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91D3C" w14:textId="77777777" w:rsidR="001A5518" w:rsidRDefault="001A5518" w:rsidP="000A557B">
      <w:pPr>
        <w:rPr>
          <w:b/>
          <w:bCs/>
          <w:i/>
          <w:iCs/>
          <w:sz w:val="22"/>
          <w:szCs w:val="22"/>
          <w:u w:val="single"/>
        </w:rPr>
      </w:pPr>
    </w:p>
    <w:p w14:paraId="2DA374B8" w14:textId="77777777" w:rsidR="00F91C7B" w:rsidRPr="00786071" w:rsidRDefault="00F91C7B" w:rsidP="000A557B">
      <w:pPr>
        <w:rPr>
          <w:b/>
          <w:bCs/>
          <w:i/>
          <w:iCs/>
          <w:sz w:val="22"/>
          <w:szCs w:val="22"/>
          <w:u w:val="single"/>
        </w:rPr>
      </w:pPr>
    </w:p>
    <w:p w14:paraId="72C17C39" w14:textId="77777777" w:rsidR="002510A5" w:rsidRPr="002510A5" w:rsidRDefault="002510A5" w:rsidP="000A557B">
      <w:pPr>
        <w:jc w:val="center"/>
        <w:rPr>
          <w:b/>
          <w:bCs/>
          <w:iCs/>
          <w:sz w:val="22"/>
          <w:szCs w:val="22"/>
          <w:u w:val="single"/>
        </w:rPr>
      </w:pPr>
      <w:r w:rsidRPr="002510A5">
        <w:rPr>
          <w:b/>
          <w:bCs/>
          <w:iCs/>
          <w:sz w:val="22"/>
          <w:szCs w:val="22"/>
          <w:u w:val="single"/>
        </w:rPr>
        <w:t>SAŽETAK KARAKTERISTIKA LIJEKA</w:t>
      </w:r>
    </w:p>
    <w:p w14:paraId="03C79E8E" w14:textId="77777777" w:rsidR="002510A5" w:rsidRPr="002510A5" w:rsidRDefault="002510A5" w:rsidP="000A557B">
      <w:pPr>
        <w:rPr>
          <w:b/>
          <w:bCs/>
          <w:i/>
          <w:iCs/>
          <w:sz w:val="22"/>
          <w:szCs w:val="22"/>
          <w:u w:val="single"/>
        </w:rPr>
      </w:pPr>
    </w:p>
    <w:p w14:paraId="1C1A6D34" w14:textId="77777777" w:rsidR="003C17AB" w:rsidRPr="00CA1FEB" w:rsidRDefault="003C17AB" w:rsidP="000A557B">
      <w:pPr>
        <w:rPr>
          <w:sz w:val="22"/>
          <w:szCs w:val="22"/>
          <w:lang w:val="sr-Latn-CS"/>
        </w:rPr>
      </w:pPr>
    </w:p>
    <w:p w14:paraId="63B294B9" w14:textId="55B7A2D6" w:rsidR="003C17AB" w:rsidRDefault="003C17AB" w:rsidP="002B621F">
      <w:pPr>
        <w:tabs>
          <w:tab w:val="left" w:pos="2688"/>
        </w:tabs>
        <w:rPr>
          <w:noProof/>
          <w:sz w:val="22"/>
          <w:szCs w:val="22"/>
          <w:lang w:val="hr-HR"/>
        </w:rPr>
      </w:pPr>
    </w:p>
    <w:p w14:paraId="550061C3" w14:textId="77777777" w:rsidR="00C37FD7" w:rsidRPr="00471DF8" w:rsidRDefault="00C37FD7" w:rsidP="000A557B">
      <w:pPr>
        <w:tabs>
          <w:tab w:val="left" w:pos="540"/>
          <w:tab w:val="left" w:pos="569"/>
        </w:tabs>
        <w:rPr>
          <w:bCs/>
          <w:sz w:val="22"/>
          <w:szCs w:val="22"/>
          <w:lang w:val="hr-HR"/>
        </w:rPr>
      </w:pPr>
    </w:p>
    <w:p w14:paraId="0AB3468B" w14:textId="77777777" w:rsidR="00411B4B" w:rsidRPr="00786071" w:rsidRDefault="00411B4B" w:rsidP="000A557B">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1AA5E7AA" w14:textId="77777777" w:rsidR="00EC2532" w:rsidRPr="00786071" w:rsidRDefault="00EC2532" w:rsidP="000A557B">
      <w:pPr>
        <w:rPr>
          <w:sz w:val="22"/>
          <w:szCs w:val="22"/>
          <w:lang w:val="pl-PL"/>
        </w:rPr>
      </w:pPr>
    </w:p>
    <w:p w14:paraId="5FA7F13B" w14:textId="333F8E90" w:rsidR="00F37492" w:rsidRDefault="00F37492" w:rsidP="000A557B">
      <w:pPr>
        <w:pStyle w:val="Bodytext1"/>
        <w:shd w:val="clear" w:color="auto" w:fill="auto"/>
        <w:spacing w:before="0" w:after="0" w:line="240" w:lineRule="auto"/>
        <w:jc w:val="both"/>
        <w:rPr>
          <w:lang w:val="sr-Latn-CS"/>
        </w:rPr>
      </w:pPr>
      <w:r>
        <w:rPr>
          <w:lang w:val="sr-Latn-CS"/>
        </w:rPr>
        <w:t xml:space="preserve">Jakavi, </w:t>
      </w:r>
      <w:r w:rsidRPr="00586BD1">
        <w:rPr>
          <w:lang w:val="sr-Latn-CS"/>
        </w:rPr>
        <w:t>5 mg</w:t>
      </w:r>
      <w:r>
        <w:rPr>
          <w:lang w:val="sr-Latn-CS"/>
        </w:rPr>
        <w:t>, tableta</w:t>
      </w:r>
    </w:p>
    <w:p w14:paraId="48DE50DB" w14:textId="03E9605A" w:rsidR="00F37492" w:rsidRDefault="00F37492" w:rsidP="000A557B">
      <w:pPr>
        <w:pStyle w:val="Bodytext1"/>
        <w:shd w:val="clear" w:color="auto" w:fill="auto"/>
        <w:spacing w:before="0" w:after="0" w:line="240" w:lineRule="auto"/>
        <w:jc w:val="both"/>
        <w:rPr>
          <w:lang w:val="sr-Latn-CS"/>
        </w:rPr>
      </w:pPr>
      <w:r>
        <w:rPr>
          <w:lang w:val="sr-Latn-CS"/>
        </w:rPr>
        <w:t>Jakavi,</w:t>
      </w:r>
      <w:r w:rsidR="00FE59C9">
        <w:rPr>
          <w:lang w:val="sr-Latn-CS"/>
        </w:rPr>
        <w:t xml:space="preserve"> </w:t>
      </w:r>
      <w:r>
        <w:rPr>
          <w:lang w:val="sr-Latn-CS"/>
        </w:rPr>
        <w:t>1</w:t>
      </w:r>
      <w:r w:rsidRPr="00586BD1">
        <w:rPr>
          <w:lang w:val="sr-Latn-CS"/>
        </w:rPr>
        <w:t>5 mg</w:t>
      </w:r>
      <w:r>
        <w:rPr>
          <w:lang w:val="sr-Latn-CS"/>
        </w:rPr>
        <w:t>, tableta</w:t>
      </w:r>
    </w:p>
    <w:p w14:paraId="13D0B508" w14:textId="2C210F4D" w:rsidR="00F37492" w:rsidRDefault="00F37492" w:rsidP="000A557B">
      <w:pPr>
        <w:pStyle w:val="Bodytext1"/>
        <w:shd w:val="clear" w:color="auto" w:fill="auto"/>
        <w:spacing w:before="0" w:after="0" w:line="240" w:lineRule="auto"/>
        <w:jc w:val="both"/>
        <w:rPr>
          <w:lang w:val="sr-Latn-CS"/>
        </w:rPr>
      </w:pPr>
      <w:r>
        <w:rPr>
          <w:lang w:val="sr-Latn-CS"/>
        </w:rPr>
        <w:t>Jakavi, 20</w:t>
      </w:r>
      <w:r w:rsidRPr="00586BD1">
        <w:rPr>
          <w:lang w:val="sr-Latn-CS"/>
        </w:rPr>
        <w:t xml:space="preserve"> mg</w:t>
      </w:r>
      <w:r>
        <w:rPr>
          <w:lang w:val="sr-Latn-CS"/>
        </w:rPr>
        <w:t>, tableta</w:t>
      </w:r>
    </w:p>
    <w:p w14:paraId="48BDB4B8" w14:textId="77777777" w:rsidR="00F37492" w:rsidRDefault="00F37492" w:rsidP="000A557B">
      <w:pPr>
        <w:jc w:val="both"/>
        <w:rPr>
          <w:bCs/>
          <w:sz w:val="22"/>
          <w:szCs w:val="22"/>
          <w:lang w:val="sv-SE"/>
        </w:rPr>
      </w:pPr>
    </w:p>
    <w:p w14:paraId="30CAD541" w14:textId="77777777" w:rsidR="00F37492" w:rsidRPr="00786071" w:rsidRDefault="00F37492" w:rsidP="000A557B">
      <w:pPr>
        <w:jc w:val="both"/>
        <w:rPr>
          <w:sz w:val="22"/>
          <w:szCs w:val="22"/>
          <w:lang w:val="sr-Latn-CS"/>
        </w:rPr>
      </w:pPr>
      <w:r w:rsidRPr="00B66A70">
        <w:rPr>
          <w:sz w:val="22"/>
          <w:szCs w:val="22"/>
          <w:lang w:val="sv-SE"/>
        </w:rPr>
        <w:t>INN:</w:t>
      </w:r>
      <w:r w:rsidRPr="00C73B47">
        <w:rPr>
          <w:sz w:val="22"/>
          <w:szCs w:val="22"/>
        </w:rPr>
        <w:t xml:space="preserve"> </w:t>
      </w:r>
      <w:r>
        <w:rPr>
          <w:sz w:val="22"/>
          <w:szCs w:val="22"/>
        </w:rPr>
        <w:t>ruksolitinib</w:t>
      </w:r>
    </w:p>
    <w:p w14:paraId="49689E81" w14:textId="77777777" w:rsidR="006D20A5" w:rsidRPr="00786071" w:rsidRDefault="006D20A5" w:rsidP="000A557B">
      <w:pPr>
        <w:rPr>
          <w:bCs/>
          <w:sz w:val="22"/>
          <w:szCs w:val="22"/>
          <w:lang w:val="sv-SE"/>
        </w:rPr>
      </w:pPr>
    </w:p>
    <w:p w14:paraId="4D959D65" w14:textId="77777777" w:rsidR="00530BD7" w:rsidRPr="00786071" w:rsidRDefault="00530BD7" w:rsidP="000A557B">
      <w:pPr>
        <w:rPr>
          <w:bCs/>
          <w:sz w:val="22"/>
          <w:szCs w:val="22"/>
          <w:lang w:val="sv-SE"/>
        </w:rPr>
      </w:pPr>
    </w:p>
    <w:p w14:paraId="7FC4000F" w14:textId="77777777" w:rsidR="00411B4B" w:rsidRPr="00786071" w:rsidRDefault="00411B4B" w:rsidP="000A557B">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1D432D85" w14:textId="77777777" w:rsidR="005A0B2E" w:rsidRPr="00786071" w:rsidRDefault="005A0B2E" w:rsidP="000A557B">
      <w:pPr>
        <w:rPr>
          <w:sz w:val="22"/>
          <w:szCs w:val="22"/>
          <w:lang w:val="sr-Latn-CS"/>
        </w:rPr>
      </w:pPr>
    </w:p>
    <w:p w14:paraId="52F02FBA" w14:textId="060AAECD" w:rsidR="00F37492" w:rsidRDefault="00F37492" w:rsidP="000A557B">
      <w:pPr>
        <w:shd w:val="clear" w:color="auto" w:fill="FFFFFF"/>
        <w:jc w:val="both"/>
        <w:rPr>
          <w:color w:val="000000"/>
          <w:sz w:val="22"/>
          <w:szCs w:val="22"/>
          <w:lang w:val="sr-Latn-CS"/>
        </w:rPr>
      </w:pPr>
      <w:r>
        <w:rPr>
          <w:color w:val="000000"/>
          <w:sz w:val="22"/>
          <w:szCs w:val="22"/>
          <w:lang w:val="sr-Latn-CS"/>
        </w:rPr>
        <w:t>Jedna tableta od 5 mg sadrži 5 mg ruksolitiniba (u obliku ruksolitinib fosfata)</w:t>
      </w:r>
      <w:r w:rsidR="00601A1E">
        <w:rPr>
          <w:color w:val="000000"/>
          <w:sz w:val="22"/>
          <w:szCs w:val="22"/>
          <w:lang w:val="sr-Latn-CS"/>
        </w:rPr>
        <w:t>.</w:t>
      </w:r>
    </w:p>
    <w:p w14:paraId="6363C8D0" w14:textId="719A9FA6" w:rsidR="00F37492" w:rsidRDefault="00F37492" w:rsidP="000A557B">
      <w:pPr>
        <w:shd w:val="clear" w:color="auto" w:fill="FFFFFF"/>
        <w:jc w:val="both"/>
        <w:rPr>
          <w:color w:val="000000"/>
          <w:sz w:val="22"/>
          <w:szCs w:val="22"/>
          <w:lang w:val="sr-Latn-CS"/>
        </w:rPr>
      </w:pPr>
      <w:r>
        <w:rPr>
          <w:color w:val="000000"/>
          <w:sz w:val="22"/>
          <w:szCs w:val="22"/>
          <w:lang w:val="sr-Latn-CS"/>
        </w:rPr>
        <w:t>Jedna tableta od 15 mg sadrži 15 mg ruksolitiniba (u obliku ruksolitinib fosfata)</w:t>
      </w:r>
      <w:r w:rsidR="00601A1E">
        <w:rPr>
          <w:color w:val="000000"/>
          <w:sz w:val="22"/>
          <w:szCs w:val="22"/>
          <w:lang w:val="sr-Latn-CS"/>
        </w:rPr>
        <w:t>.</w:t>
      </w:r>
    </w:p>
    <w:p w14:paraId="061BB007" w14:textId="1FD29D1E" w:rsidR="00F37492" w:rsidRDefault="00F37492" w:rsidP="000A557B">
      <w:pPr>
        <w:shd w:val="clear" w:color="auto" w:fill="FFFFFF"/>
        <w:jc w:val="both"/>
        <w:rPr>
          <w:color w:val="000000"/>
          <w:sz w:val="22"/>
          <w:szCs w:val="22"/>
          <w:lang w:val="sr-Latn-CS"/>
        </w:rPr>
      </w:pPr>
      <w:r>
        <w:rPr>
          <w:color w:val="000000"/>
          <w:sz w:val="22"/>
          <w:szCs w:val="22"/>
          <w:lang w:val="sr-Latn-CS"/>
        </w:rPr>
        <w:t>Jedna tableta od 20 mg sadrži 20 mg ruksolitiniba (u obliku ruksolitinib fosfata)</w:t>
      </w:r>
      <w:r w:rsidR="00601A1E">
        <w:rPr>
          <w:color w:val="000000"/>
          <w:sz w:val="22"/>
          <w:szCs w:val="22"/>
          <w:lang w:val="sr-Latn-CS"/>
        </w:rPr>
        <w:t>.</w:t>
      </w:r>
    </w:p>
    <w:p w14:paraId="6F3CB590" w14:textId="77777777" w:rsidR="00F37492" w:rsidRDefault="00F37492" w:rsidP="000A557B">
      <w:pPr>
        <w:shd w:val="clear" w:color="auto" w:fill="FFFFFF"/>
        <w:jc w:val="both"/>
        <w:rPr>
          <w:color w:val="000000"/>
          <w:sz w:val="22"/>
          <w:szCs w:val="22"/>
          <w:lang w:val="sr-Latn-CS"/>
        </w:rPr>
      </w:pPr>
    </w:p>
    <w:p w14:paraId="070E37EC" w14:textId="53EB9425" w:rsidR="00F37492" w:rsidRPr="00A12310" w:rsidRDefault="00F37492" w:rsidP="000A557B">
      <w:pPr>
        <w:shd w:val="clear" w:color="auto" w:fill="FFFFFF"/>
        <w:jc w:val="both"/>
        <w:rPr>
          <w:color w:val="000000"/>
          <w:sz w:val="22"/>
          <w:szCs w:val="22"/>
          <w:u w:val="single"/>
          <w:lang w:val="sr-Latn-CS"/>
        </w:rPr>
      </w:pPr>
      <w:r w:rsidRPr="00A12310">
        <w:rPr>
          <w:color w:val="000000"/>
          <w:sz w:val="22"/>
          <w:szCs w:val="22"/>
          <w:u w:val="single"/>
          <w:lang w:val="sr-Latn-CS"/>
        </w:rPr>
        <w:t>Ekscipijensi sa potvrđenim djelovanjem:</w:t>
      </w:r>
    </w:p>
    <w:p w14:paraId="47840DB5" w14:textId="77777777" w:rsidR="00F37492" w:rsidRDefault="00F37492" w:rsidP="000A557B">
      <w:pPr>
        <w:shd w:val="clear" w:color="auto" w:fill="FFFFFF"/>
        <w:jc w:val="both"/>
        <w:rPr>
          <w:color w:val="000000"/>
          <w:sz w:val="22"/>
          <w:szCs w:val="22"/>
          <w:lang w:val="sr-Latn-CS"/>
        </w:rPr>
      </w:pPr>
      <w:r>
        <w:rPr>
          <w:color w:val="000000"/>
          <w:sz w:val="22"/>
          <w:szCs w:val="22"/>
          <w:lang w:val="sr-Latn-CS"/>
        </w:rPr>
        <w:t>Jedna tableta od 5 mg sadrži 71,45 mg laktoze monohidrata.</w:t>
      </w:r>
    </w:p>
    <w:p w14:paraId="300EC2B4" w14:textId="77777777" w:rsidR="00F37492" w:rsidRDefault="00F37492" w:rsidP="000A557B">
      <w:pPr>
        <w:shd w:val="clear" w:color="auto" w:fill="FFFFFF"/>
        <w:jc w:val="both"/>
        <w:rPr>
          <w:color w:val="000000"/>
          <w:sz w:val="22"/>
          <w:szCs w:val="22"/>
          <w:lang w:val="sr-Latn-CS"/>
        </w:rPr>
      </w:pPr>
      <w:r>
        <w:rPr>
          <w:color w:val="000000"/>
          <w:sz w:val="22"/>
          <w:szCs w:val="22"/>
          <w:lang w:val="sr-Latn-CS"/>
        </w:rPr>
        <w:t>Jedna tableta od 15 mg sadrži 214,35 mg laktoze monohidrata.</w:t>
      </w:r>
    </w:p>
    <w:p w14:paraId="41504716" w14:textId="77777777" w:rsidR="00F37492" w:rsidRDefault="00F37492" w:rsidP="000A557B">
      <w:pPr>
        <w:shd w:val="clear" w:color="auto" w:fill="FFFFFF"/>
        <w:jc w:val="both"/>
        <w:rPr>
          <w:color w:val="000000"/>
          <w:sz w:val="22"/>
          <w:szCs w:val="22"/>
          <w:lang w:val="sr-Latn-CS"/>
        </w:rPr>
      </w:pPr>
      <w:r>
        <w:rPr>
          <w:color w:val="000000"/>
          <w:sz w:val="22"/>
          <w:szCs w:val="22"/>
          <w:lang w:val="sr-Latn-CS"/>
        </w:rPr>
        <w:t>Jedna tableta od 20 mg sadrži 285,80 mg laktoze monohidrata.</w:t>
      </w:r>
    </w:p>
    <w:p w14:paraId="3FC3ECB6" w14:textId="77777777" w:rsidR="00F37492" w:rsidRDefault="00F37492" w:rsidP="000A557B">
      <w:pPr>
        <w:jc w:val="both"/>
        <w:rPr>
          <w:sz w:val="22"/>
          <w:szCs w:val="22"/>
          <w:lang w:val="sr-Latn-CS"/>
        </w:rPr>
      </w:pPr>
    </w:p>
    <w:p w14:paraId="5A5CD42A" w14:textId="77777777" w:rsidR="00F37492" w:rsidRPr="00786071" w:rsidRDefault="00F37492" w:rsidP="000A557B">
      <w:pPr>
        <w:jc w:val="both"/>
        <w:rPr>
          <w:sz w:val="22"/>
          <w:szCs w:val="22"/>
          <w:lang w:val="sr-Latn-CS"/>
        </w:rPr>
      </w:pPr>
      <w:r w:rsidRPr="00786071">
        <w:rPr>
          <w:sz w:val="22"/>
          <w:szCs w:val="22"/>
          <w:lang w:val="sr-Latn-CS"/>
        </w:rPr>
        <w:t>Za spisak svih ekscipijenasa, pogledati dio 6.1.</w:t>
      </w:r>
    </w:p>
    <w:p w14:paraId="77AB9852" w14:textId="77777777" w:rsidR="0003793F" w:rsidRDefault="0003793F" w:rsidP="000A557B">
      <w:pPr>
        <w:rPr>
          <w:sz w:val="22"/>
          <w:szCs w:val="22"/>
          <w:lang w:val="sr-Latn-CS"/>
        </w:rPr>
      </w:pPr>
    </w:p>
    <w:p w14:paraId="0CFF8AB0" w14:textId="77777777" w:rsidR="00C37FD7" w:rsidRPr="00786071" w:rsidRDefault="00C37FD7" w:rsidP="000A557B">
      <w:pPr>
        <w:rPr>
          <w:sz w:val="22"/>
          <w:szCs w:val="22"/>
          <w:lang w:val="sr-Latn-CS"/>
        </w:rPr>
      </w:pPr>
    </w:p>
    <w:p w14:paraId="42783005" w14:textId="77777777" w:rsidR="00411B4B" w:rsidRPr="00786071" w:rsidRDefault="00411B4B" w:rsidP="000A557B">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17D6FE7E" w14:textId="77777777" w:rsidR="00411B4B" w:rsidRPr="00786071" w:rsidRDefault="00411B4B" w:rsidP="000A557B">
      <w:pPr>
        <w:rPr>
          <w:bCs/>
          <w:sz w:val="22"/>
          <w:szCs w:val="22"/>
          <w:lang w:val="sr-Latn-CS"/>
        </w:rPr>
      </w:pPr>
    </w:p>
    <w:p w14:paraId="2E8FFFBA" w14:textId="77777777" w:rsidR="00F37492" w:rsidRPr="006B6A1F" w:rsidRDefault="00F37492" w:rsidP="000A557B">
      <w:pPr>
        <w:shd w:val="clear" w:color="auto" w:fill="FFFFFF"/>
        <w:jc w:val="both"/>
        <w:rPr>
          <w:color w:val="000000"/>
          <w:sz w:val="22"/>
          <w:szCs w:val="22"/>
          <w:lang w:val="sr-Latn-CS"/>
        </w:rPr>
      </w:pPr>
      <w:r w:rsidRPr="006B6A1F">
        <w:rPr>
          <w:color w:val="000000"/>
          <w:sz w:val="22"/>
          <w:szCs w:val="22"/>
          <w:lang w:val="sr-Latn-CS"/>
        </w:rPr>
        <w:t>Tableta.</w:t>
      </w:r>
    </w:p>
    <w:p w14:paraId="6552499A" w14:textId="77777777" w:rsidR="00F37492" w:rsidRDefault="00F37492" w:rsidP="000A557B">
      <w:pPr>
        <w:shd w:val="clear" w:color="auto" w:fill="FFFFFF"/>
        <w:jc w:val="both"/>
        <w:rPr>
          <w:sz w:val="22"/>
          <w:szCs w:val="22"/>
          <w:lang w:val="sr-Latn-CS"/>
        </w:rPr>
      </w:pPr>
    </w:p>
    <w:p w14:paraId="20DE7A48" w14:textId="0F9F3E90" w:rsidR="00F37492" w:rsidRDefault="00F37492" w:rsidP="000A557B">
      <w:pPr>
        <w:shd w:val="clear" w:color="auto" w:fill="FFFFFF"/>
        <w:jc w:val="both"/>
        <w:rPr>
          <w:sz w:val="22"/>
          <w:szCs w:val="22"/>
          <w:lang w:val="sr-Latn-CS"/>
        </w:rPr>
      </w:pPr>
      <w:r w:rsidRPr="003E3E93">
        <w:rPr>
          <w:sz w:val="22"/>
          <w:szCs w:val="22"/>
          <w:u w:val="single"/>
          <w:lang w:val="sr-Latn-CS"/>
        </w:rPr>
        <w:t>Jakavi tableta od 5 mg</w:t>
      </w:r>
      <w:r>
        <w:rPr>
          <w:sz w:val="22"/>
          <w:szCs w:val="22"/>
          <w:lang w:val="sr-Latn-CS"/>
        </w:rPr>
        <w:t>: okrugla, zaobljena, bijela do skoro bijela tableta,</w:t>
      </w:r>
      <w:r w:rsidRPr="002967E4">
        <w:rPr>
          <w:lang w:val="sr-Latn-CS"/>
        </w:rPr>
        <w:t xml:space="preserve"> </w:t>
      </w:r>
      <w:r>
        <w:rPr>
          <w:sz w:val="22"/>
          <w:szCs w:val="22"/>
          <w:lang w:val="sr-Latn-CS"/>
        </w:rPr>
        <w:t>prečnika oko 7,</w:t>
      </w:r>
      <w:r w:rsidRPr="002967E4">
        <w:rPr>
          <w:sz w:val="22"/>
          <w:szCs w:val="22"/>
          <w:lang w:val="sr-Latn-CS"/>
        </w:rPr>
        <w:t>5 mm</w:t>
      </w:r>
      <w:r>
        <w:rPr>
          <w:sz w:val="22"/>
          <w:szCs w:val="22"/>
          <w:lang w:val="sr-Latn-CS"/>
        </w:rPr>
        <w:t xml:space="preserve">, sa oznakom „NVR“ sa jedne i oznakom „L5“ sa druge strane. </w:t>
      </w:r>
    </w:p>
    <w:p w14:paraId="75242213" w14:textId="77777777" w:rsidR="00BB6F20" w:rsidRDefault="00BB6F20" w:rsidP="000A557B">
      <w:pPr>
        <w:shd w:val="clear" w:color="auto" w:fill="FFFFFF"/>
        <w:jc w:val="both"/>
        <w:rPr>
          <w:sz w:val="22"/>
          <w:szCs w:val="22"/>
          <w:u w:val="single"/>
          <w:lang w:val="sr-Latn-CS"/>
        </w:rPr>
      </w:pPr>
    </w:p>
    <w:p w14:paraId="1205CDC3" w14:textId="6B2FDC19" w:rsidR="00F37492" w:rsidRDefault="00F37492" w:rsidP="000A557B">
      <w:pPr>
        <w:shd w:val="clear" w:color="auto" w:fill="FFFFFF"/>
        <w:jc w:val="both"/>
        <w:rPr>
          <w:sz w:val="22"/>
          <w:szCs w:val="22"/>
          <w:lang w:val="sr-Latn-CS"/>
        </w:rPr>
      </w:pPr>
      <w:r w:rsidRPr="003E3E93">
        <w:rPr>
          <w:sz w:val="22"/>
          <w:szCs w:val="22"/>
          <w:u w:val="single"/>
          <w:lang w:val="sr-Latn-CS"/>
        </w:rPr>
        <w:t>Jakavi tableta od 15 mg</w:t>
      </w:r>
      <w:r>
        <w:rPr>
          <w:sz w:val="22"/>
          <w:szCs w:val="22"/>
          <w:lang w:val="sr-Latn-CS"/>
        </w:rPr>
        <w:t>: ovalna, zaobljena, bijela do skoro bijela tableta, dimenzija oko 15,0 x 7,</w:t>
      </w:r>
      <w:r w:rsidRPr="002967E4">
        <w:rPr>
          <w:sz w:val="22"/>
          <w:szCs w:val="22"/>
          <w:lang w:val="sr-Latn-CS"/>
        </w:rPr>
        <w:t>0 mm</w:t>
      </w:r>
      <w:r>
        <w:rPr>
          <w:sz w:val="22"/>
          <w:szCs w:val="22"/>
          <w:lang w:val="sr-Latn-CS"/>
        </w:rPr>
        <w:t>, sa oznakom „NVR“ sa jedne i oznakom „L15“ sa druge strane.</w:t>
      </w:r>
    </w:p>
    <w:p w14:paraId="368170CC" w14:textId="77777777" w:rsidR="00BB6F20" w:rsidRDefault="00BB6F20" w:rsidP="000A557B">
      <w:pPr>
        <w:pStyle w:val="Header"/>
        <w:tabs>
          <w:tab w:val="left" w:pos="284"/>
        </w:tabs>
        <w:jc w:val="both"/>
        <w:rPr>
          <w:sz w:val="22"/>
          <w:szCs w:val="22"/>
          <w:u w:val="single"/>
          <w:lang w:val="sr-Latn-CS"/>
        </w:rPr>
      </w:pPr>
    </w:p>
    <w:p w14:paraId="03B36EC3" w14:textId="261B975B" w:rsidR="00F37492" w:rsidRDefault="00F37492" w:rsidP="000A557B">
      <w:pPr>
        <w:pStyle w:val="Header"/>
        <w:tabs>
          <w:tab w:val="left" w:pos="284"/>
        </w:tabs>
        <w:jc w:val="both"/>
        <w:rPr>
          <w:sz w:val="22"/>
          <w:szCs w:val="22"/>
          <w:lang w:val="sr-Latn-CS"/>
        </w:rPr>
      </w:pPr>
      <w:r w:rsidRPr="003E3E93">
        <w:rPr>
          <w:sz w:val="22"/>
          <w:szCs w:val="22"/>
          <w:u w:val="single"/>
          <w:lang w:val="sr-Latn-CS"/>
        </w:rPr>
        <w:t>Jakavi tableta od 20 mg</w:t>
      </w:r>
      <w:r>
        <w:rPr>
          <w:sz w:val="22"/>
          <w:szCs w:val="22"/>
          <w:lang w:val="sr-Latn-CS"/>
        </w:rPr>
        <w:t>: izdužena, zaobljena, bije</w:t>
      </w:r>
      <w:r w:rsidRPr="00847282">
        <w:rPr>
          <w:sz w:val="22"/>
          <w:szCs w:val="22"/>
          <w:lang w:val="sr-Latn-CS"/>
        </w:rPr>
        <w:t>la do s</w:t>
      </w:r>
      <w:r>
        <w:rPr>
          <w:sz w:val="22"/>
          <w:szCs w:val="22"/>
          <w:lang w:val="sr-Latn-CS"/>
        </w:rPr>
        <w:t>koro bije</w:t>
      </w:r>
      <w:r w:rsidRPr="00847282">
        <w:rPr>
          <w:sz w:val="22"/>
          <w:szCs w:val="22"/>
          <w:lang w:val="sr-Latn-CS"/>
        </w:rPr>
        <w:t xml:space="preserve">la tableta, </w:t>
      </w:r>
      <w:r>
        <w:rPr>
          <w:sz w:val="22"/>
          <w:szCs w:val="22"/>
          <w:lang w:val="sr-Latn-CS"/>
        </w:rPr>
        <w:t>dimenzija oko 16,5 x 7,</w:t>
      </w:r>
      <w:r w:rsidRPr="002967E4">
        <w:rPr>
          <w:sz w:val="22"/>
          <w:szCs w:val="22"/>
          <w:lang w:val="sr-Latn-CS"/>
        </w:rPr>
        <w:t xml:space="preserve">4 mm </w:t>
      </w:r>
      <w:r w:rsidRPr="00847282">
        <w:rPr>
          <w:sz w:val="22"/>
          <w:szCs w:val="22"/>
          <w:lang w:val="sr-Latn-CS"/>
        </w:rPr>
        <w:t>sa oznakom</w:t>
      </w:r>
      <w:r>
        <w:rPr>
          <w:sz w:val="22"/>
          <w:szCs w:val="22"/>
          <w:lang w:val="sr-Latn-CS"/>
        </w:rPr>
        <w:t xml:space="preserve"> „NVR“ sa jedne i oznakom „L20</w:t>
      </w:r>
      <w:r w:rsidRPr="00847282">
        <w:rPr>
          <w:sz w:val="22"/>
          <w:szCs w:val="22"/>
          <w:lang w:val="sr-Latn-CS"/>
        </w:rPr>
        <w:t xml:space="preserve">“ </w:t>
      </w:r>
      <w:r>
        <w:rPr>
          <w:sz w:val="22"/>
          <w:szCs w:val="22"/>
          <w:lang w:val="sr-Latn-CS"/>
        </w:rPr>
        <w:t>.</w:t>
      </w:r>
    </w:p>
    <w:p w14:paraId="2DEDF6F9" w14:textId="4113AC68" w:rsidR="00EC2532" w:rsidRDefault="00EC2532" w:rsidP="000A557B">
      <w:pPr>
        <w:rPr>
          <w:bCs/>
          <w:sz w:val="22"/>
          <w:szCs w:val="22"/>
          <w:lang w:val="sr-Latn-CS"/>
        </w:rPr>
      </w:pPr>
    </w:p>
    <w:p w14:paraId="2AC9DDAF" w14:textId="77777777" w:rsidR="00BB6F20" w:rsidRPr="00786071" w:rsidRDefault="00BB6F20" w:rsidP="000A557B">
      <w:pPr>
        <w:rPr>
          <w:bCs/>
          <w:sz w:val="22"/>
          <w:szCs w:val="22"/>
          <w:lang w:val="sr-Latn-CS"/>
        </w:rPr>
      </w:pPr>
    </w:p>
    <w:p w14:paraId="1D288813" w14:textId="77777777" w:rsidR="00411B4B" w:rsidRPr="00786071" w:rsidRDefault="00411B4B" w:rsidP="000A557B">
      <w:pPr>
        <w:tabs>
          <w:tab w:val="left" w:pos="540"/>
          <w:tab w:val="left" w:pos="569"/>
        </w:tabs>
        <w:jc w:val="both"/>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36F8FDAC" w14:textId="77777777" w:rsidR="00CD6F02" w:rsidRPr="00786071" w:rsidRDefault="00CD6F02" w:rsidP="000A557B">
      <w:pPr>
        <w:tabs>
          <w:tab w:val="left" w:pos="540"/>
          <w:tab w:val="left" w:pos="569"/>
        </w:tabs>
        <w:jc w:val="both"/>
        <w:rPr>
          <w:bCs/>
          <w:sz w:val="22"/>
          <w:szCs w:val="22"/>
        </w:rPr>
      </w:pPr>
    </w:p>
    <w:p w14:paraId="09286EE1" w14:textId="77777777" w:rsidR="00411B4B" w:rsidRPr="00786071" w:rsidRDefault="00411B4B" w:rsidP="000A557B">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6F325479" w14:textId="77777777" w:rsidR="00411B4B" w:rsidRDefault="00411B4B" w:rsidP="000A557B">
      <w:pPr>
        <w:tabs>
          <w:tab w:val="left" w:pos="540"/>
          <w:tab w:val="left" w:pos="569"/>
        </w:tabs>
        <w:jc w:val="both"/>
        <w:rPr>
          <w:bCs/>
          <w:sz w:val="22"/>
          <w:szCs w:val="22"/>
        </w:rPr>
      </w:pPr>
    </w:p>
    <w:p w14:paraId="15160F7F" w14:textId="77777777" w:rsidR="00F37492" w:rsidRPr="00F37492" w:rsidRDefault="00F37492" w:rsidP="000A557B">
      <w:pPr>
        <w:jc w:val="both"/>
        <w:rPr>
          <w:sz w:val="22"/>
          <w:szCs w:val="22"/>
          <w:u w:val="single"/>
          <w:lang w:val="sr-Latn-ME" w:eastAsia="sr-Latn-ME"/>
        </w:rPr>
      </w:pPr>
      <w:r w:rsidRPr="00F37492">
        <w:rPr>
          <w:sz w:val="22"/>
          <w:szCs w:val="22"/>
          <w:u w:val="single"/>
          <w:lang w:val="sr-Latn-ME" w:eastAsia="sr-Latn-ME"/>
        </w:rPr>
        <w:t>Mijelofibroza (MF)</w:t>
      </w:r>
    </w:p>
    <w:p w14:paraId="0A5D34FC" w14:textId="0B8A43AC" w:rsidR="00F37492" w:rsidRPr="00F37492" w:rsidRDefault="009D612C" w:rsidP="000A557B">
      <w:pPr>
        <w:jc w:val="both"/>
        <w:rPr>
          <w:sz w:val="22"/>
          <w:szCs w:val="22"/>
          <w:lang w:val="sr-Latn-ME" w:eastAsia="sr-Latn-ME"/>
        </w:rPr>
      </w:pPr>
      <w:r>
        <w:rPr>
          <w:sz w:val="22"/>
          <w:szCs w:val="22"/>
          <w:lang w:val="sr-Latn-ME" w:eastAsia="sr-Latn-ME"/>
        </w:rPr>
        <w:t xml:space="preserve">Lijek Jakavi </w:t>
      </w:r>
      <w:r w:rsidR="00F37492" w:rsidRPr="00F37492">
        <w:rPr>
          <w:sz w:val="22"/>
          <w:szCs w:val="22"/>
          <w:lang w:val="sr-Latn-ME" w:eastAsia="sr-Latn-ME"/>
        </w:rPr>
        <w:t xml:space="preserve">je indikovan za terapiju splenomegalije </w:t>
      </w:r>
      <w:r w:rsidR="00864630">
        <w:rPr>
          <w:sz w:val="22"/>
          <w:szCs w:val="22"/>
          <w:lang w:val="sr-Latn-ME" w:eastAsia="sr-Latn-ME"/>
        </w:rPr>
        <w:t>povezane sa</w:t>
      </w:r>
      <w:r w:rsidR="00864630" w:rsidRPr="00F37492">
        <w:rPr>
          <w:sz w:val="22"/>
          <w:szCs w:val="22"/>
          <w:lang w:val="sr-Latn-ME" w:eastAsia="sr-Latn-ME"/>
        </w:rPr>
        <w:t xml:space="preserve"> </w:t>
      </w:r>
      <w:r w:rsidR="00F37492" w:rsidRPr="00F37492">
        <w:rPr>
          <w:sz w:val="22"/>
          <w:szCs w:val="22"/>
          <w:lang w:val="sr-Latn-ME" w:eastAsia="sr-Latn-ME"/>
        </w:rPr>
        <w:t>bole</w:t>
      </w:r>
      <w:r w:rsidR="0047661F">
        <w:rPr>
          <w:sz w:val="22"/>
          <w:szCs w:val="22"/>
          <w:lang w:val="sr-Latn-ME" w:eastAsia="sr-Latn-ME"/>
        </w:rPr>
        <w:t>sti</w:t>
      </w:r>
      <w:r w:rsidR="00F37492" w:rsidRPr="00F37492">
        <w:rPr>
          <w:sz w:val="22"/>
          <w:szCs w:val="22"/>
          <w:lang w:val="sr-Latn-ME" w:eastAsia="sr-Latn-ME"/>
        </w:rPr>
        <w:t xml:space="preserve"> ili simptom</w:t>
      </w:r>
      <w:r w:rsidR="0047661F">
        <w:rPr>
          <w:sz w:val="22"/>
          <w:szCs w:val="22"/>
          <w:lang w:val="sr-Latn-ME" w:eastAsia="sr-Latn-ME"/>
        </w:rPr>
        <w:t>ima</w:t>
      </w:r>
      <w:r w:rsidR="00F37492" w:rsidRPr="00F37492">
        <w:rPr>
          <w:sz w:val="22"/>
          <w:szCs w:val="22"/>
          <w:lang w:val="sr-Latn-ME" w:eastAsia="sr-Latn-ME"/>
        </w:rPr>
        <w:t xml:space="preserve"> kod odraslih pacijenata sa primarnom mijelofibrozom (poznatom i kao hronična idiopatska mijelofibroza), mijelofibrozom poslije policitemije vere ili mijelofibrozom nakon esencijalne trombocitemije.</w:t>
      </w:r>
    </w:p>
    <w:p w14:paraId="34C663B7" w14:textId="77777777" w:rsidR="00F37492" w:rsidRPr="00F37492" w:rsidRDefault="00F37492" w:rsidP="000A557B">
      <w:pPr>
        <w:jc w:val="both"/>
        <w:rPr>
          <w:sz w:val="22"/>
          <w:szCs w:val="22"/>
          <w:lang w:val="sr-Latn-ME" w:eastAsia="sr-Latn-ME"/>
        </w:rPr>
      </w:pPr>
    </w:p>
    <w:p w14:paraId="39EC37DA" w14:textId="77777777" w:rsidR="00F37492" w:rsidRPr="00F37492" w:rsidRDefault="00F37492" w:rsidP="000A557B">
      <w:pPr>
        <w:tabs>
          <w:tab w:val="left" w:pos="284"/>
          <w:tab w:val="center" w:pos="4320"/>
          <w:tab w:val="right" w:pos="8640"/>
        </w:tabs>
        <w:jc w:val="both"/>
        <w:rPr>
          <w:sz w:val="22"/>
          <w:szCs w:val="22"/>
          <w:u w:val="single"/>
        </w:rPr>
      </w:pPr>
      <w:r w:rsidRPr="00F37492">
        <w:rPr>
          <w:sz w:val="22"/>
          <w:szCs w:val="22"/>
          <w:u w:val="single"/>
        </w:rPr>
        <w:t>Policitemija vera (PV)</w:t>
      </w:r>
    </w:p>
    <w:p w14:paraId="36276DE7" w14:textId="77777777" w:rsidR="00F37492" w:rsidRPr="00F37492" w:rsidRDefault="00F37492" w:rsidP="000A557B">
      <w:pPr>
        <w:tabs>
          <w:tab w:val="left" w:pos="284"/>
          <w:tab w:val="center" w:pos="4320"/>
          <w:tab w:val="right" w:pos="8640"/>
        </w:tabs>
        <w:jc w:val="both"/>
        <w:rPr>
          <w:sz w:val="22"/>
          <w:szCs w:val="22"/>
        </w:rPr>
      </w:pPr>
      <w:r w:rsidRPr="00F37492">
        <w:rPr>
          <w:sz w:val="22"/>
          <w:szCs w:val="22"/>
        </w:rPr>
        <w:t>Lijek Jakavi je indikovan za terapiju kod odraslih sa policitemijom verom (PV) koji su rezistentni ili intolerantni na hidroksiureu.</w:t>
      </w:r>
    </w:p>
    <w:p w14:paraId="21B00A3E" w14:textId="77777777" w:rsidR="00F37492" w:rsidRPr="00F37492" w:rsidRDefault="00F37492" w:rsidP="000A557B">
      <w:pPr>
        <w:jc w:val="both"/>
        <w:rPr>
          <w:sz w:val="22"/>
          <w:u w:val="single"/>
        </w:rPr>
      </w:pPr>
    </w:p>
    <w:p w14:paraId="79859F66" w14:textId="2646D018" w:rsidR="00F37492" w:rsidRDefault="00F37492" w:rsidP="00C55389">
      <w:pPr>
        <w:jc w:val="both"/>
        <w:rPr>
          <w:sz w:val="22"/>
          <w:szCs w:val="22"/>
          <w:u w:val="single"/>
        </w:rPr>
      </w:pPr>
      <w:r w:rsidRPr="00F37492">
        <w:rPr>
          <w:sz w:val="22"/>
          <w:szCs w:val="22"/>
          <w:u w:val="single"/>
        </w:rPr>
        <w:lastRenderedPageBreak/>
        <w:t>Bolest kalema protiv doma</w:t>
      </w:r>
      <w:r w:rsidRPr="00F37492">
        <w:rPr>
          <w:sz w:val="22"/>
          <w:szCs w:val="22"/>
          <w:u w:val="single"/>
          <w:lang w:val="sr-Latn-RS"/>
        </w:rPr>
        <w:t xml:space="preserve">ćina </w:t>
      </w:r>
      <w:r w:rsidRPr="00F37492">
        <w:rPr>
          <w:sz w:val="22"/>
          <w:szCs w:val="22"/>
          <w:u w:val="single"/>
        </w:rPr>
        <w:t>(</w:t>
      </w:r>
      <w:r w:rsidR="00C55389">
        <w:rPr>
          <w:sz w:val="22"/>
          <w:szCs w:val="22"/>
          <w:u w:val="single"/>
        </w:rPr>
        <w:t xml:space="preserve">engl. </w:t>
      </w:r>
      <w:r w:rsidR="00C55389" w:rsidRPr="00205B79">
        <w:rPr>
          <w:i/>
          <w:sz w:val="22"/>
          <w:szCs w:val="22"/>
          <w:u w:val="single"/>
        </w:rPr>
        <w:t>graft versus host disease</w:t>
      </w:r>
      <w:r w:rsidR="00C55389">
        <w:rPr>
          <w:sz w:val="22"/>
          <w:szCs w:val="22"/>
          <w:u w:val="single"/>
        </w:rPr>
        <w:t xml:space="preserve">, </w:t>
      </w:r>
      <w:r w:rsidRPr="00F37492">
        <w:rPr>
          <w:sz w:val="22"/>
          <w:szCs w:val="22"/>
          <w:u w:val="single"/>
        </w:rPr>
        <w:t>GvHD)</w:t>
      </w:r>
    </w:p>
    <w:p w14:paraId="2F9BC15D" w14:textId="77777777" w:rsidR="0015535A" w:rsidRDefault="0015535A" w:rsidP="00F2634B">
      <w:pPr>
        <w:jc w:val="both"/>
        <w:rPr>
          <w:sz w:val="22"/>
          <w:szCs w:val="22"/>
          <w:u w:val="single"/>
        </w:rPr>
      </w:pPr>
    </w:p>
    <w:p w14:paraId="6DA556EF" w14:textId="77777777" w:rsidR="0015535A" w:rsidRPr="00881029" w:rsidRDefault="0015535A" w:rsidP="00205B79">
      <w:pPr>
        <w:pStyle w:val="Text"/>
        <w:keepNext/>
        <w:spacing w:before="0"/>
        <w:rPr>
          <w:i/>
          <w:iCs/>
          <w:sz w:val="22"/>
          <w:szCs w:val="22"/>
          <w:u w:val="single"/>
          <w:lang w:val="hr-HR"/>
        </w:rPr>
      </w:pPr>
      <w:r w:rsidRPr="00881029">
        <w:rPr>
          <w:i/>
          <w:iCs/>
          <w:sz w:val="22"/>
          <w:szCs w:val="22"/>
          <w:u w:val="single"/>
          <w:lang w:val="hr-HR"/>
        </w:rPr>
        <w:t>Akutni GvHD</w:t>
      </w:r>
    </w:p>
    <w:p w14:paraId="7B04F71F" w14:textId="27962493" w:rsidR="0015535A" w:rsidRPr="00881029" w:rsidRDefault="0015535A" w:rsidP="00205B79">
      <w:pPr>
        <w:pStyle w:val="Text"/>
        <w:spacing w:before="0"/>
        <w:rPr>
          <w:sz w:val="22"/>
          <w:szCs w:val="22"/>
          <w:lang w:val="hr-HR"/>
        </w:rPr>
      </w:pPr>
      <w:r>
        <w:rPr>
          <w:sz w:val="22"/>
          <w:szCs w:val="22"/>
          <w:lang w:val="hr-HR"/>
        </w:rPr>
        <w:t>L</w:t>
      </w:r>
      <w:r w:rsidR="00DD0118">
        <w:rPr>
          <w:sz w:val="22"/>
          <w:szCs w:val="22"/>
          <w:lang w:val="hr-HR"/>
        </w:rPr>
        <w:t>ij</w:t>
      </w:r>
      <w:r>
        <w:rPr>
          <w:sz w:val="22"/>
          <w:szCs w:val="22"/>
          <w:lang w:val="hr-HR"/>
        </w:rPr>
        <w:t xml:space="preserve">ek </w:t>
      </w:r>
      <w:r w:rsidRPr="00881029">
        <w:rPr>
          <w:sz w:val="22"/>
          <w:szCs w:val="22"/>
          <w:lang w:val="hr-HR"/>
        </w:rPr>
        <w:t>Jakavi je indi</w:t>
      </w:r>
      <w:r>
        <w:rPr>
          <w:sz w:val="22"/>
          <w:szCs w:val="22"/>
          <w:lang w:val="hr-HR"/>
        </w:rPr>
        <w:t>kovan</w:t>
      </w:r>
      <w:r w:rsidRPr="00881029">
        <w:rPr>
          <w:sz w:val="22"/>
          <w:szCs w:val="22"/>
          <w:lang w:val="hr-HR"/>
        </w:rPr>
        <w:t xml:space="preserve"> za l</w:t>
      </w:r>
      <w:r w:rsidR="00DD0118">
        <w:rPr>
          <w:sz w:val="22"/>
          <w:szCs w:val="22"/>
          <w:lang w:val="hr-HR"/>
        </w:rPr>
        <w:t>ij</w:t>
      </w:r>
      <w:r w:rsidRPr="00881029">
        <w:rPr>
          <w:sz w:val="22"/>
          <w:szCs w:val="22"/>
          <w:lang w:val="hr-HR"/>
        </w:rPr>
        <w:t xml:space="preserve">ečenje odraslih i pedijatrijskih </w:t>
      </w:r>
      <w:r>
        <w:rPr>
          <w:sz w:val="22"/>
          <w:szCs w:val="22"/>
          <w:lang w:val="hr-HR"/>
        </w:rPr>
        <w:t>pacijen</w:t>
      </w:r>
      <w:r w:rsidR="00775325">
        <w:rPr>
          <w:sz w:val="22"/>
          <w:szCs w:val="22"/>
          <w:lang w:val="hr-HR"/>
        </w:rPr>
        <w:t>a</w:t>
      </w:r>
      <w:r>
        <w:rPr>
          <w:sz w:val="22"/>
          <w:szCs w:val="22"/>
          <w:lang w:val="hr-HR"/>
        </w:rPr>
        <w:t>ta</w:t>
      </w:r>
      <w:r w:rsidRPr="00881029">
        <w:rPr>
          <w:sz w:val="22"/>
          <w:szCs w:val="22"/>
          <w:lang w:val="hr-HR"/>
        </w:rPr>
        <w:t xml:space="preserve"> </w:t>
      </w:r>
      <w:r>
        <w:rPr>
          <w:sz w:val="22"/>
          <w:szCs w:val="22"/>
          <w:lang w:val="hr-HR"/>
        </w:rPr>
        <w:t>uzrasta</w:t>
      </w:r>
      <w:r w:rsidRPr="00881029">
        <w:rPr>
          <w:sz w:val="22"/>
          <w:szCs w:val="22"/>
          <w:lang w:val="hr-HR"/>
        </w:rPr>
        <w:t xml:space="preserve"> </w:t>
      </w:r>
      <w:r w:rsidRPr="00DF2F22">
        <w:rPr>
          <w:sz w:val="22"/>
          <w:szCs w:val="22"/>
          <w:lang w:val="hr-HR"/>
        </w:rPr>
        <w:t>od 28 dana i starijih s</w:t>
      </w:r>
      <w:r>
        <w:rPr>
          <w:sz w:val="22"/>
          <w:szCs w:val="22"/>
          <w:lang w:val="hr-HR"/>
        </w:rPr>
        <w:t>a</w:t>
      </w:r>
      <w:r w:rsidRPr="00DF2F22">
        <w:rPr>
          <w:sz w:val="22"/>
          <w:szCs w:val="22"/>
          <w:lang w:val="hr-HR"/>
        </w:rPr>
        <w:t xml:space="preserve"> akutnom</w:t>
      </w:r>
      <w:r w:rsidRPr="00881029">
        <w:rPr>
          <w:sz w:val="22"/>
          <w:szCs w:val="22"/>
          <w:lang w:val="hr-HR"/>
        </w:rPr>
        <w:t xml:space="preserve"> bolešću </w:t>
      </w:r>
      <w:r>
        <w:rPr>
          <w:sz w:val="22"/>
          <w:szCs w:val="22"/>
          <w:lang w:val="hr-HR"/>
        </w:rPr>
        <w:t>kalema protiv domaćina</w:t>
      </w:r>
      <w:r w:rsidRPr="00881029">
        <w:rPr>
          <w:sz w:val="22"/>
          <w:szCs w:val="22"/>
          <w:lang w:val="hr-HR"/>
        </w:rPr>
        <w:t xml:space="preserve"> koji imaju neadekvatan odgovor na kortikosteroide ili drug</w:t>
      </w:r>
      <w:r>
        <w:rPr>
          <w:sz w:val="22"/>
          <w:szCs w:val="22"/>
          <w:lang w:val="hr-HR"/>
        </w:rPr>
        <w:t>u</w:t>
      </w:r>
      <w:r w:rsidRPr="00881029">
        <w:rPr>
          <w:sz w:val="22"/>
          <w:szCs w:val="22"/>
          <w:lang w:val="hr-HR"/>
        </w:rPr>
        <w:t xml:space="preserve"> sistemsk</w:t>
      </w:r>
      <w:r>
        <w:rPr>
          <w:sz w:val="22"/>
          <w:szCs w:val="22"/>
          <w:lang w:val="hr-HR"/>
        </w:rPr>
        <w:t>u</w:t>
      </w:r>
      <w:r w:rsidRPr="00881029">
        <w:rPr>
          <w:sz w:val="22"/>
          <w:szCs w:val="22"/>
          <w:lang w:val="hr-HR"/>
        </w:rPr>
        <w:t xml:space="preserve"> terapij</w:t>
      </w:r>
      <w:r>
        <w:rPr>
          <w:sz w:val="22"/>
          <w:szCs w:val="22"/>
          <w:lang w:val="hr-HR"/>
        </w:rPr>
        <w:t>u</w:t>
      </w:r>
      <w:r w:rsidRPr="00881029">
        <w:rPr>
          <w:sz w:val="22"/>
          <w:szCs w:val="22"/>
          <w:lang w:val="hr-HR"/>
        </w:rPr>
        <w:t xml:space="preserve"> (</w:t>
      </w:r>
      <w:r>
        <w:rPr>
          <w:sz w:val="22"/>
          <w:szCs w:val="22"/>
          <w:lang w:val="hr-HR"/>
        </w:rPr>
        <w:t>vid</w:t>
      </w:r>
      <w:r w:rsidR="00DD0118">
        <w:rPr>
          <w:sz w:val="22"/>
          <w:szCs w:val="22"/>
          <w:lang w:val="hr-HR"/>
        </w:rPr>
        <w:t>j</w:t>
      </w:r>
      <w:r>
        <w:rPr>
          <w:sz w:val="22"/>
          <w:szCs w:val="22"/>
          <w:lang w:val="hr-HR"/>
        </w:rPr>
        <w:t>eti</w:t>
      </w:r>
      <w:r w:rsidRPr="00881029">
        <w:rPr>
          <w:sz w:val="22"/>
          <w:szCs w:val="22"/>
          <w:lang w:val="hr-HR"/>
        </w:rPr>
        <w:t xml:space="preserve"> dio 5.1).</w:t>
      </w:r>
    </w:p>
    <w:p w14:paraId="08895A79" w14:textId="77777777" w:rsidR="0015535A" w:rsidRPr="00881029" w:rsidRDefault="0015535A" w:rsidP="00205B79">
      <w:pPr>
        <w:pStyle w:val="Text"/>
        <w:spacing w:before="0"/>
        <w:rPr>
          <w:sz w:val="22"/>
          <w:szCs w:val="22"/>
          <w:lang w:val="hr-HR"/>
        </w:rPr>
      </w:pPr>
    </w:p>
    <w:p w14:paraId="18609153" w14:textId="77777777" w:rsidR="0015535A" w:rsidRPr="00881029" w:rsidRDefault="0015535A" w:rsidP="00205B79">
      <w:pPr>
        <w:pStyle w:val="Text"/>
        <w:keepNext/>
        <w:spacing w:before="0"/>
        <w:rPr>
          <w:i/>
          <w:iCs/>
          <w:sz w:val="22"/>
          <w:szCs w:val="22"/>
          <w:u w:val="single"/>
          <w:lang w:val="hr-HR"/>
        </w:rPr>
      </w:pPr>
      <w:r>
        <w:rPr>
          <w:i/>
          <w:iCs/>
          <w:sz w:val="22"/>
          <w:szCs w:val="22"/>
          <w:u w:val="single"/>
          <w:lang w:val="hr-HR"/>
        </w:rPr>
        <w:t>Hronični</w:t>
      </w:r>
      <w:r w:rsidRPr="00881029">
        <w:rPr>
          <w:i/>
          <w:iCs/>
          <w:sz w:val="22"/>
          <w:szCs w:val="22"/>
          <w:u w:val="single"/>
          <w:lang w:val="hr-HR"/>
        </w:rPr>
        <w:t xml:space="preserve"> GvHD</w:t>
      </w:r>
    </w:p>
    <w:p w14:paraId="4BB3EDED" w14:textId="79A3BB40" w:rsidR="0015535A" w:rsidRPr="00881029" w:rsidRDefault="00C55389" w:rsidP="00205B79">
      <w:pPr>
        <w:pStyle w:val="Text"/>
        <w:spacing w:before="0"/>
        <w:rPr>
          <w:sz w:val="22"/>
          <w:szCs w:val="22"/>
          <w:lang w:val="hr-HR"/>
        </w:rPr>
      </w:pPr>
      <w:r>
        <w:rPr>
          <w:sz w:val="22"/>
          <w:szCs w:val="22"/>
          <w:lang w:val="hr-HR"/>
        </w:rPr>
        <w:t xml:space="preserve">Lijek </w:t>
      </w:r>
      <w:r w:rsidR="0015535A" w:rsidRPr="00881029">
        <w:rPr>
          <w:sz w:val="22"/>
          <w:szCs w:val="22"/>
          <w:lang w:val="hr-HR"/>
        </w:rPr>
        <w:t>Jakavi je indi</w:t>
      </w:r>
      <w:r w:rsidR="00DD0118">
        <w:rPr>
          <w:sz w:val="22"/>
          <w:szCs w:val="22"/>
          <w:lang w:val="hr-HR"/>
        </w:rPr>
        <w:t>kovan</w:t>
      </w:r>
      <w:r w:rsidR="0015535A" w:rsidRPr="00881029">
        <w:rPr>
          <w:sz w:val="22"/>
          <w:szCs w:val="22"/>
          <w:lang w:val="hr-HR"/>
        </w:rPr>
        <w:t xml:space="preserve"> za liječenje odraslih i pedijatrijskih </w:t>
      </w:r>
      <w:r w:rsidR="0015535A">
        <w:rPr>
          <w:sz w:val="22"/>
          <w:szCs w:val="22"/>
          <w:lang w:val="hr-HR"/>
        </w:rPr>
        <w:t>pacijenata</w:t>
      </w:r>
      <w:r w:rsidR="0015535A" w:rsidRPr="00881029">
        <w:rPr>
          <w:sz w:val="22"/>
          <w:szCs w:val="22"/>
          <w:lang w:val="hr-HR"/>
        </w:rPr>
        <w:t xml:space="preserve"> u dobi </w:t>
      </w:r>
      <w:r w:rsidR="0015535A" w:rsidRPr="00DF2F22">
        <w:rPr>
          <w:sz w:val="22"/>
          <w:szCs w:val="22"/>
          <w:lang w:val="hr-HR"/>
        </w:rPr>
        <w:t>od 6 mjeseci i starijih s</w:t>
      </w:r>
      <w:r w:rsidR="0015535A" w:rsidRPr="00881029">
        <w:rPr>
          <w:sz w:val="22"/>
          <w:szCs w:val="22"/>
          <w:lang w:val="hr-HR"/>
        </w:rPr>
        <w:t xml:space="preserve"> </w:t>
      </w:r>
      <w:r w:rsidR="00DD0118">
        <w:rPr>
          <w:sz w:val="22"/>
          <w:szCs w:val="22"/>
          <w:lang w:val="hr-HR"/>
        </w:rPr>
        <w:t>h</w:t>
      </w:r>
      <w:r w:rsidR="0015535A" w:rsidRPr="00881029">
        <w:rPr>
          <w:sz w:val="22"/>
          <w:szCs w:val="22"/>
          <w:lang w:val="hr-HR"/>
        </w:rPr>
        <w:t xml:space="preserve">roničnom bolešću </w:t>
      </w:r>
      <w:r w:rsidR="0015535A">
        <w:rPr>
          <w:sz w:val="22"/>
          <w:szCs w:val="22"/>
          <w:lang w:val="hr-HR"/>
        </w:rPr>
        <w:t>kalema protiv domaćina</w:t>
      </w:r>
      <w:r w:rsidR="0015535A" w:rsidRPr="00881029">
        <w:rPr>
          <w:sz w:val="22"/>
          <w:szCs w:val="22"/>
          <w:lang w:val="hr-HR"/>
        </w:rPr>
        <w:t xml:space="preserve"> koji imaju neadekvatan odgovor na kortikosteroide ili druge sistemske terapije (</w:t>
      </w:r>
      <w:r w:rsidR="0015535A">
        <w:rPr>
          <w:sz w:val="22"/>
          <w:szCs w:val="22"/>
          <w:lang w:val="hr-HR"/>
        </w:rPr>
        <w:t>videti</w:t>
      </w:r>
      <w:r w:rsidR="0015535A" w:rsidRPr="00881029">
        <w:rPr>
          <w:sz w:val="22"/>
          <w:szCs w:val="22"/>
          <w:lang w:val="hr-HR"/>
        </w:rPr>
        <w:t xml:space="preserve"> </w:t>
      </w:r>
      <w:r>
        <w:rPr>
          <w:sz w:val="22"/>
          <w:szCs w:val="22"/>
          <w:lang w:val="hr-HR"/>
        </w:rPr>
        <w:t>dio</w:t>
      </w:r>
      <w:r w:rsidR="0015535A" w:rsidRPr="00881029">
        <w:rPr>
          <w:sz w:val="22"/>
          <w:szCs w:val="22"/>
          <w:lang w:val="hr-HR"/>
        </w:rPr>
        <w:t> 5.1).</w:t>
      </w:r>
    </w:p>
    <w:p w14:paraId="30B118ED" w14:textId="77777777" w:rsidR="00F37492" w:rsidRPr="00786071" w:rsidRDefault="00F37492" w:rsidP="000A557B">
      <w:pPr>
        <w:tabs>
          <w:tab w:val="left" w:pos="540"/>
          <w:tab w:val="left" w:pos="569"/>
        </w:tabs>
        <w:jc w:val="both"/>
        <w:rPr>
          <w:bCs/>
          <w:sz w:val="22"/>
          <w:szCs w:val="22"/>
        </w:rPr>
      </w:pPr>
    </w:p>
    <w:p w14:paraId="78DFA2A2" w14:textId="77777777" w:rsidR="00411B4B" w:rsidRPr="00786071" w:rsidRDefault="00411B4B" w:rsidP="000A557B">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366F2AA5" w14:textId="77777777" w:rsidR="0072020E" w:rsidRPr="00786071" w:rsidRDefault="0072020E" w:rsidP="000A557B">
      <w:pPr>
        <w:tabs>
          <w:tab w:val="left" w:pos="540"/>
          <w:tab w:val="left" w:pos="569"/>
        </w:tabs>
        <w:jc w:val="both"/>
        <w:rPr>
          <w:bCs/>
          <w:sz w:val="22"/>
          <w:szCs w:val="22"/>
        </w:rPr>
      </w:pPr>
    </w:p>
    <w:p w14:paraId="57EB301D" w14:textId="77777777" w:rsidR="00F37492" w:rsidRPr="00F37492" w:rsidRDefault="00F37492" w:rsidP="000A557B">
      <w:pPr>
        <w:jc w:val="both"/>
        <w:rPr>
          <w:rFonts w:cs="Arial Unicode MS"/>
          <w:sz w:val="22"/>
          <w:szCs w:val="22"/>
          <w:lang w:val="sr-Latn-ME" w:eastAsia="sr-Latn-ME"/>
        </w:rPr>
      </w:pPr>
      <w:r w:rsidRPr="00F37492">
        <w:rPr>
          <w:sz w:val="22"/>
          <w:szCs w:val="22"/>
          <w:lang w:val="sr-Latn-ME" w:eastAsia="sr-Latn-CS"/>
        </w:rPr>
        <w:t>Terapiju lijekom Jakavi bi trebalo da započne ljekar iskusan u primjeni antikancerskih ljekova.</w:t>
      </w:r>
    </w:p>
    <w:p w14:paraId="74A1A405" w14:textId="77777777" w:rsidR="00F37492" w:rsidRPr="00F37492" w:rsidRDefault="00F37492" w:rsidP="000A557B">
      <w:pPr>
        <w:jc w:val="both"/>
        <w:rPr>
          <w:rFonts w:cs="Arial Unicode MS"/>
          <w:sz w:val="22"/>
          <w:szCs w:val="22"/>
          <w:lang w:val="sr-Latn-ME" w:eastAsia="sr-Latn-CS"/>
        </w:rPr>
      </w:pPr>
    </w:p>
    <w:p w14:paraId="781E4BB3" w14:textId="22DF6DF7" w:rsidR="00F37492" w:rsidRPr="00F37492" w:rsidRDefault="00F37492" w:rsidP="000A557B">
      <w:pPr>
        <w:jc w:val="both"/>
        <w:rPr>
          <w:rFonts w:cs="Arial Unicode MS"/>
          <w:sz w:val="22"/>
          <w:szCs w:val="22"/>
          <w:lang w:val="sr-Latn-ME" w:eastAsia="sr-Latn-ME"/>
        </w:rPr>
      </w:pPr>
      <w:r w:rsidRPr="00F37492">
        <w:rPr>
          <w:sz w:val="22"/>
          <w:szCs w:val="22"/>
          <w:lang w:val="sr-Latn-ME" w:eastAsia="sr-Latn-CS"/>
        </w:rPr>
        <w:t xml:space="preserve">Prije započinjanja terapije lijekom Jakavi </w:t>
      </w:r>
      <w:r w:rsidR="0047661F">
        <w:rPr>
          <w:sz w:val="22"/>
          <w:szCs w:val="22"/>
          <w:lang w:val="sr-Latn-ME" w:eastAsia="sr-Latn-CS"/>
        </w:rPr>
        <w:t>mora se</w:t>
      </w:r>
      <w:r w:rsidR="0047661F" w:rsidRPr="00F37492">
        <w:rPr>
          <w:sz w:val="22"/>
          <w:szCs w:val="22"/>
          <w:lang w:val="sr-Latn-ME" w:eastAsia="sr-Latn-CS"/>
        </w:rPr>
        <w:t xml:space="preserve"> </w:t>
      </w:r>
      <w:r w:rsidRPr="00F37492">
        <w:rPr>
          <w:sz w:val="22"/>
          <w:szCs w:val="22"/>
          <w:lang w:val="sr-Latn-ME" w:eastAsia="sr-Latn-CS"/>
        </w:rPr>
        <w:t>uraditi kompletn</w:t>
      </w:r>
      <w:r w:rsidR="0047661F">
        <w:rPr>
          <w:sz w:val="22"/>
          <w:szCs w:val="22"/>
          <w:lang w:val="sr-Latn-ME" w:eastAsia="sr-Latn-CS"/>
        </w:rPr>
        <w:t>a</w:t>
      </w:r>
      <w:r w:rsidRPr="00F37492">
        <w:rPr>
          <w:sz w:val="22"/>
          <w:szCs w:val="22"/>
          <w:lang w:val="sr-Latn-ME" w:eastAsia="sr-Latn-CS"/>
        </w:rPr>
        <w:t xml:space="preserve"> krvn</w:t>
      </w:r>
      <w:r w:rsidR="0047661F">
        <w:rPr>
          <w:sz w:val="22"/>
          <w:szCs w:val="22"/>
          <w:lang w:val="sr-Latn-ME" w:eastAsia="sr-Latn-CS"/>
        </w:rPr>
        <w:t>a</w:t>
      </w:r>
      <w:r w:rsidRPr="00F37492">
        <w:rPr>
          <w:sz w:val="22"/>
          <w:szCs w:val="22"/>
          <w:lang w:val="sr-Latn-ME" w:eastAsia="sr-Latn-CS"/>
        </w:rPr>
        <w:t xml:space="preserve"> slik</w:t>
      </w:r>
      <w:r w:rsidR="0047661F">
        <w:rPr>
          <w:sz w:val="22"/>
          <w:szCs w:val="22"/>
          <w:lang w:val="sr-Latn-ME" w:eastAsia="sr-Latn-CS"/>
        </w:rPr>
        <w:t>a</w:t>
      </w:r>
      <w:r w:rsidRPr="00F37492">
        <w:rPr>
          <w:sz w:val="22"/>
          <w:szCs w:val="22"/>
          <w:lang w:val="sr-Latn-ME" w:eastAsia="sr-Latn-CS"/>
        </w:rPr>
        <w:t>, uključujući i diferencijaln</w:t>
      </w:r>
      <w:r w:rsidR="0047661F">
        <w:rPr>
          <w:sz w:val="22"/>
          <w:szCs w:val="22"/>
          <w:lang w:val="sr-Latn-ME" w:eastAsia="sr-Latn-CS"/>
        </w:rPr>
        <w:t>u krvnu</w:t>
      </w:r>
      <w:r w:rsidRPr="00F37492">
        <w:rPr>
          <w:sz w:val="22"/>
          <w:szCs w:val="22"/>
          <w:lang w:val="sr-Latn-ME" w:eastAsia="sr-Latn-CS"/>
        </w:rPr>
        <w:t xml:space="preserve"> </w:t>
      </w:r>
      <w:r w:rsidR="0047661F">
        <w:rPr>
          <w:sz w:val="22"/>
          <w:szCs w:val="22"/>
          <w:lang w:val="sr-Latn-ME" w:eastAsia="sr-Latn-CS"/>
        </w:rPr>
        <w:t>sliku</w:t>
      </w:r>
      <w:r w:rsidRPr="00F37492">
        <w:rPr>
          <w:sz w:val="22"/>
          <w:szCs w:val="22"/>
          <w:lang w:val="sr-Latn-ME" w:eastAsia="sr-Latn-CS"/>
        </w:rPr>
        <w:t xml:space="preserve"> leukocita.</w:t>
      </w:r>
    </w:p>
    <w:p w14:paraId="3D4B03D8" w14:textId="77777777" w:rsidR="00F37492" w:rsidRPr="00F37492" w:rsidRDefault="00F37492" w:rsidP="000A557B">
      <w:pPr>
        <w:jc w:val="both"/>
        <w:rPr>
          <w:rFonts w:cs="Arial Unicode MS"/>
          <w:sz w:val="22"/>
          <w:szCs w:val="22"/>
          <w:lang w:val="sr-Latn-ME" w:eastAsia="sr-Latn-CS"/>
        </w:rPr>
      </w:pPr>
    </w:p>
    <w:p w14:paraId="01DF4C04" w14:textId="07D7548A" w:rsidR="00F37492" w:rsidRPr="00F37492" w:rsidRDefault="00F37492" w:rsidP="000A557B">
      <w:pPr>
        <w:jc w:val="both"/>
        <w:rPr>
          <w:sz w:val="22"/>
          <w:szCs w:val="22"/>
          <w:lang w:val="sr-Latn-ME" w:eastAsia="sr-Latn-CS"/>
        </w:rPr>
      </w:pPr>
      <w:r w:rsidRPr="00F37492">
        <w:rPr>
          <w:sz w:val="22"/>
          <w:szCs w:val="22"/>
          <w:lang w:val="sr-Latn-ME" w:eastAsia="sr-Latn-CS"/>
        </w:rPr>
        <w:t>Kompletnu krvnu sliku, uključujući i diferencijaln</w:t>
      </w:r>
      <w:r w:rsidR="00D32086">
        <w:rPr>
          <w:sz w:val="22"/>
          <w:szCs w:val="22"/>
          <w:lang w:val="sr-Latn-ME" w:eastAsia="sr-Latn-CS"/>
        </w:rPr>
        <w:t xml:space="preserve">u krvnu sliku </w:t>
      </w:r>
      <w:r w:rsidRPr="00F37492">
        <w:rPr>
          <w:sz w:val="22"/>
          <w:szCs w:val="22"/>
          <w:lang w:val="sr-Latn-ME" w:eastAsia="sr-Latn-CS"/>
        </w:rPr>
        <w:t xml:space="preserve">leukocita treba kontrolisati na svakih 2-4 nedjelje sve dok se doza lijeka Jakavi ne stabilizuje, a potom kako je klinički indikovano (vidjeti </w:t>
      </w:r>
      <w:r w:rsidR="00D32086">
        <w:rPr>
          <w:sz w:val="22"/>
          <w:szCs w:val="22"/>
          <w:lang w:val="sr-Latn-ME" w:eastAsia="sr-Latn-CS"/>
        </w:rPr>
        <w:t xml:space="preserve">dio </w:t>
      </w:r>
      <w:r w:rsidR="00D32086" w:rsidRPr="00F37492">
        <w:rPr>
          <w:sz w:val="22"/>
          <w:szCs w:val="22"/>
          <w:lang w:val="sr-Latn-ME" w:eastAsia="sr-Latn-CS"/>
        </w:rPr>
        <w:t xml:space="preserve"> </w:t>
      </w:r>
      <w:r w:rsidRPr="00F37492">
        <w:rPr>
          <w:sz w:val="22"/>
          <w:szCs w:val="22"/>
          <w:lang w:val="sr-Latn-ME" w:eastAsia="sr-Latn-CS"/>
        </w:rPr>
        <w:t>4.4).</w:t>
      </w:r>
    </w:p>
    <w:p w14:paraId="6E73E10F" w14:textId="77777777" w:rsidR="00F37492" w:rsidRPr="00F37492" w:rsidRDefault="00F37492" w:rsidP="000A557B">
      <w:pPr>
        <w:jc w:val="both"/>
        <w:rPr>
          <w:sz w:val="22"/>
          <w:szCs w:val="22"/>
          <w:shd w:val="clear" w:color="auto" w:fill="FFFFFF"/>
          <w:lang w:val="sr-Latn-ME" w:eastAsia="sr-Latn-CS"/>
        </w:rPr>
      </w:pPr>
    </w:p>
    <w:p w14:paraId="6E8DF1B6" w14:textId="77777777" w:rsidR="00F37492" w:rsidRPr="00F37492" w:rsidRDefault="00F37492" w:rsidP="000A557B">
      <w:pPr>
        <w:tabs>
          <w:tab w:val="left" w:pos="540"/>
          <w:tab w:val="left" w:pos="569"/>
        </w:tabs>
        <w:jc w:val="both"/>
        <w:rPr>
          <w:bCs/>
          <w:sz w:val="22"/>
          <w:szCs w:val="22"/>
          <w:u w:val="single"/>
        </w:rPr>
      </w:pPr>
      <w:r w:rsidRPr="00F37492">
        <w:rPr>
          <w:bCs/>
          <w:sz w:val="22"/>
          <w:szCs w:val="22"/>
          <w:u w:val="single"/>
        </w:rPr>
        <w:t>Doziranje</w:t>
      </w:r>
    </w:p>
    <w:p w14:paraId="567ECE39" w14:textId="77777777" w:rsidR="00F37492" w:rsidRPr="00F37492" w:rsidRDefault="00F37492" w:rsidP="000A557B">
      <w:pPr>
        <w:tabs>
          <w:tab w:val="left" w:pos="540"/>
          <w:tab w:val="left" w:pos="569"/>
        </w:tabs>
        <w:jc w:val="both"/>
        <w:rPr>
          <w:bCs/>
          <w:sz w:val="22"/>
          <w:szCs w:val="22"/>
          <w:u w:val="single"/>
        </w:rPr>
      </w:pPr>
    </w:p>
    <w:p w14:paraId="59BA4B54" w14:textId="77777777" w:rsidR="00F37492" w:rsidRDefault="00F37492" w:rsidP="000A557B">
      <w:pPr>
        <w:jc w:val="both"/>
        <w:rPr>
          <w:i/>
          <w:sz w:val="22"/>
          <w:szCs w:val="22"/>
          <w:u w:val="single"/>
          <w:shd w:val="clear" w:color="auto" w:fill="FFFFFF"/>
          <w:lang w:val="sr-Latn-ME" w:eastAsia="sr-Latn-CS"/>
        </w:rPr>
      </w:pPr>
      <w:r w:rsidRPr="00F37492">
        <w:rPr>
          <w:i/>
          <w:sz w:val="22"/>
          <w:szCs w:val="22"/>
          <w:u w:val="single"/>
          <w:shd w:val="clear" w:color="auto" w:fill="FFFFFF"/>
          <w:lang w:val="sr-Latn-ME" w:eastAsia="sr-Latn-CS"/>
        </w:rPr>
        <w:t>Početna doza</w:t>
      </w:r>
    </w:p>
    <w:p w14:paraId="450ECBC7" w14:textId="04109993" w:rsidR="0015535A" w:rsidRPr="00205B79" w:rsidRDefault="0015535A" w:rsidP="000A557B">
      <w:pPr>
        <w:jc w:val="both"/>
        <w:rPr>
          <w:i/>
          <w:sz w:val="22"/>
          <w:szCs w:val="22"/>
          <w:shd w:val="clear" w:color="auto" w:fill="FFFFFF"/>
          <w:lang w:val="hr-HR" w:eastAsia="sr-Latn-CS"/>
        </w:rPr>
      </w:pPr>
      <w:r w:rsidRPr="00205B79">
        <w:rPr>
          <w:i/>
          <w:iCs/>
          <w:sz w:val="22"/>
          <w:szCs w:val="22"/>
          <w:shd w:val="clear" w:color="auto" w:fill="FFFFFF"/>
          <w:lang w:val="hr-HR" w:eastAsia="sr-Latn-CS"/>
        </w:rPr>
        <w:t>Mijelofibroza (MF)</w:t>
      </w:r>
    </w:p>
    <w:p w14:paraId="5AE8C190" w14:textId="19539105" w:rsidR="00F37492" w:rsidRPr="00703819" w:rsidRDefault="00F37492" w:rsidP="000A557B">
      <w:pPr>
        <w:jc w:val="both"/>
        <w:rPr>
          <w:iCs/>
          <w:sz w:val="22"/>
          <w:szCs w:val="22"/>
          <w:shd w:val="clear" w:color="auto" w:fill="FFFFFF"/>
          <w:lang w:val="sr-Latn-ME" w:eastAsia="sr-Latn-CS"/>
        </w:rPr>
      </w:pPr>
      <w:r w:rsidRPr="00703819">
        <w:rPr>
          <w:iCs/>
          <w:sz w:val="22"/>
          <w:szCs w:val="22"/>
          <w:shd w:val="clear" w:color="auto" w:fill="FFFFFF"/>
          <w:lang w:val="sr-Latn-ME" w:eastAsia="sr-Latn-CS"/>
        </w:rPr>
        <w:t xml:space="preserve">Preporučena početna doza </w:t>
      </w:r>
      <w:r w:rsidR="0015535A">
        <w:rPr>
          <w:iCs/>
          <w:sz w:val="22"/>
          <w:szCs w:val="22"/>
          <w:shd w:val="clear" w:color="auto" w:fill="FFFFFF"/>
          <w:lang w:val="sr-Latn-ME" w:eastAsia="sr-Latn-CS"/>
        </w:rPr>
        <w:t>l</w:t>
      </w:r>
      <w:r w:rsidR="00DD0118">
        <w:rPr>
          <w:iCs/>
          <w:sz w:val="22"/>
          <w:szCs w:val="22"/>
          <w:shd w:val="clear" w:color="auto" w:fill="FFFFFF"/>
          <w:lang w:val="sr-Latn-ME" w:eastAsia="sr-Latn-CS"/>
        </w:rPr>
        <w:t>ij</w:t>
      </w:r>
      <w:r w:rsidR="0015535A">
        <w:rPr>
          <w:iCs/>
          <w:sz w:val="22"/>
          <w:szCs w:val="22"/>
          <w:shd w:val="clear" w:color="auto" w:fill="FFFFFF"/>
          <w:lang w:val="sr-Latn-ME" w:eastAsia="sr-Latn-CS"/>
        </w:rPr>
        <w:t xml:space="preserve">eka Jakavi </w:t>
      </w:r>
      <w:r w:rsidRPr="00703819">
        <w:rPr>
          <w:iCs/>
          <w:sz w:val="22"/>
          <w:szCs w:val="22"/>
          <w:shd w:val="clear" w:color="auto" w:fill="FFFFFF"/>
          <w:lang w:val="sr-Latn-ME" w:eastAsia="sr-Latn-CS"/>
        </w:rPr>
        <w:t>kod</w:t>
      </w:r>
      <w:r w:rsidR="0015535A">
        <w:rPr>
          <w:iCs/>
          <w:sz w:val="22"/>
          <w:szCs w:val="22"/>
          <w:shd w:val="clear" w:color="auto" w:fill="FFFFFF"/>
          <w:lang w:val="sr-Latn-ME" w:eastAsia="sr-Latn-CS"/>
        </w:rPr>
        <w:t xml:space="preserve"> </w:t>
      </w:r>
      <w:r w:rsidRPr="00703819">
        <w:rPr>
          <w:iCs/>
          <w:sz w:val="22"/>
          <w:szCs w:val="22"/>
          <w:shd w:val="clear" w:color="auto" w:fill="FFFFFF"/>
          <w:lang w:val="sr-Latn-ME" w:eastAsia="sr-Latn-CS"/>
        </w:rPr>
        <w:t xml:space="preserve">(MF) </w:t>
      </w:r>
      <w:r w:rsidR="0015535A">
        <w:rPr>
          <w:iCs/>
          <w:sz w:val="22"/>
          <w:szCs w:val="22"/>
          <w:shd w:val="clear" w:color="auto" w:fill="FFFFFF"/>
          <w:lang w:val="sr-Latn-ME" w:eastAsia="sr-Latn-CS"/>
        </w:rPr>
        <w:t xml:space="preserve">je </w:t>
      </w:r>
      <w:r w:rsidRPr="00703819">
        <w:rPr>
          <w:iCs/>
          <w:sz w:val="22"/>
          <w:szCs w:val="22"/>
          <w:shd w:val="clear" w:color="auto" w:fill="FFFFFF"/>
          <w:lang w:val="sr-Latn-ME" w:eastAsia="sr-Latn-CS"/>
        </w:rPr>
        <w:t>zasnovana na broju trombocita (vidjeti Tabelu 1):</w:t>
      </w:r>
    </w:p>
    <w:p w14:paraId="2E56884E" w14:textId="77777777" w:rsidR="00F37492" w:rsidRPr="00F37492" w:rsidRDefault="00F37492" w:rsidP="000A557B">
      <w:pPr>
        <w:jc w:val="both"/>
        <w:rPr>
          <w:iCs/>
          <w:sz w:val="22"/>
          <w:szCs w:val="22"/>
          <w:u w:val="single"/>
          <w:shd w:val="clear" w:color="auto" w:fill="FFFFFF"/>
          <w:lang w:val="sr-Latn-ME" w:eastAsia="sr-Latn-CS"/>
        </w:rPr>
      </w:pPr>
    </w:p>
    <w:p w14:paraId="48B7EDC1" w14:textId="77777777" w:rsidR="00F37492" w:rsidRPr="00F37492" w:rsidRDefault="00F37492" w:rsidP="000A557B">
      <w:pPr>
        <w:jc w:val="both"/>
        <w:rPr>
          <w:rFonts w:cs="Arial Unicode MS"/>
          <w:b/>
          <w:bCs/>
          <w:iCs/>
          <w:sz w:val="22"/>
          <w:szCs w:val="22"/>
          <w:u w:val="single"/>
          <w:lang w:val="sr-Latn-ME" w:eastAsia="sr-Latn-ME"/>
        </w:rPr>
      </w:pPr>
      <w:r w:rsidRPr="00F37492">
        <w:rPr>
          <w:rFonts w:cs="Arial Unicode MS"/>
          <w:b/>
          <w:bCs/>
          <w:iCs/>
          <w:sz w:val="22"/>
          <w:szCs w:val="22"/>
          <w:u w:val="single"/>
          <w:lang w:val="sr-Latn-ME" w:eastAsia="sr-Latn-ME"/>
        </w:rPr>
        <w:t>Tabela 1 Početna doza kod mijelofibroze</w:t>
      </w:r>
    </w:p>
    <w:p w14:paraId="5328E1A6" w14:textId="77777777" w:rsidR="00F37492" w:rsidRPr="00F37492" w:rsidRDefault="00F37492" w:rsidP="000A557B">
      <w:pPr>
        <w:jc w:val="both"/>
        <w:rPr>
          <w:rFonts w:cs="Arial Unicode MS"/>
          <w:b/>
          <w:bCs/>
          <w:iCs/>
          <w:sz w:val="22"/>
          <w:szCs w:val="22"/>
          <w:u w:val="single"/>
          <w:lang w:val="sr-Latn-ME" w:eastAsia="sr-Latn-ME"/>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36"/>
        <w:gridCol w:w="4537"/>
      </w:tblGrid>
      <w:tr w:rsidR="00F37492" w:rsidRPr="00F37492" w14:paraId="0DFF7DAB" w14:textId="77777777" w:rsidTr="00BB6F20">
        <w:tc>
          <w:tcPr>
            <w:tcW w:w="4537" w:type="dxa"/>
            <w:tcBorders>
              <w:top w:val="single" w:sz="4" w:space="0" w:color="auto"/>
              <w:bottom w:val="single" w:sz="4" w:space="0" w:color="auto"/>
              <w:right w:val="single" w:sz="4" w:space="0" w:color="auto"/>
            </w:tcBorders>
            <w:shd w:val="clear" w:color="auto" w:fill="FFFFFF" w:themeFill="background1"/>
          </w:tcPr>
          <w:p w14:paraId="626583A8" w14:textId="77777777" w:rsidR="00F37492" w:rsidRPr="00F37492" w:rsidRDefault="00F37492" w:rsidP="000A557B">
            <w:pPr>
              <w:jc w:val="both"/>
              <w:rPr>
                <w:rFonts w:cs="Arial Unicode MS"/>
                <w:b/>
                <w:bCs/>
                <w:iCs/>
                <w:sz w:val="22"/>
                <w:szCs w:val="22"/>
                <w:u w:val="single"/>
                <w:lang w:val="sr-Latn-ME" w:eastAsia="sr-Latn-ME"/>
              </w:rPr>
            </w:pPr>
            <w:r w:rsidRPr="00205B79">
              <w:rPr>
                <w:rFonts w:cs="Arial Unicode MS"/>
                <w:b/>
                <w:bCs/>
                <w:iCs/>
                <w:sz w:val="22"/>
                <w:szCs w:val="22"/>
                <w:lang w:val="sr-Latn-ME" w:eastAsia="sr-Latn-ME"/>
              </w:rPr>
              <w:t>B</w:t>
            </w:r>
            <w:r w:rsidRPr="00F37492">
              <w:rPr>
                <w:rFonts w:cs="Arial Unicode MS"/>
                <w:b/>
                <w:bCs/>
                <w:iCs/>
                <w:sz w:val="22"/>
                <w:szCs w:val="22"/>
                <w:lang w:val="sr-Latn-ME" w:eastAsia="sr-Latn-ME"/>
              </w:rPr>
              <w:t>roj trombocita</w:t>
            </w:r>
          </w:p>
        </w:tc>
        <w:tc>
          <w:tcPr>
            <w:tcW w:w="4538" w:type="dxa"/>
            <w:tcBorders>
              <w:top w:val="single" w:sz="4" w:space="0" w:color="auto"/>
              <w:left w:val="single" w:sz="4" w:space="0" w:color="auto"/>
              <w:bottom w:val="single" w:sz="4" w:space="0" w:color="auto"/>
            </w:tcBorders>
            <w:shd w:val="clear" w:color="auto" w:fill="FFFFFF" w:themeFill="background1"/>
          </w:tcPr>
          <w:p w14:paraId="6B78A283" w14:textId="77777777" w:rsidR="00F37492" w:rsidRPr="00F37492" w:rsidRDefault="00F37492" w:rsidP="000A557B">
            <w:pPr>
              <w:jc w:val="both"/>
              <w:rPr>
                <w:rFonts w:cs="Arial Unicode MS"/>
                <w:b/>
                <w:bCs/>
                <w:sz w:val="22"/>
                <w:szCs w:val="22"/>
                <w:u w:val="single"/>
                <w:lang w:val="sr-Latn-ME" w:eastAsia="sr-Latn-ME"/>
              </w:rPr>
            </w:pPr>
            <w:r w:rsidRPr="00F37492">
              <w:rPr>
                <w:b/>
                <w:bCs/>
                <w:sz w:val="22"/>
                <w:szCs w:val="22"/>
                <w:lang w:val="sr-Latn-ME" w:eastAsia="sr-Latn-ME"/>
              </w:rPr>
              <w:t>Početna doza</w:t>
            </w:r>
          </w:p>
        </w:tc>
      </w:tr>
      <w:tr w:rsidR="00F37492" w:rsidRPr="00F37492" w14:paraId="13A613A3" w14:textId="77777777" w:rsidTr="00BB6F20">
        <w:tc>
          <w:tcPr>
            <w:tcW w:w="4537" w:type="dxa"/>
            <w:tcBorders>
              <w:top w:val="single" w:sz="4" w:space="0" w:color="auto"/>
              <w:bottom w:val="nil"/>
              <w:right w:val="single" w:sz="4" w:space="0" w:color="auto"/>
            </w:tcBorders>
            <w:shd w:val="clear" w:color="auto" w:fill="FFFFFF" w:themeFill="background1"/>
          </w:tcPr>
          <w:p w14:paraId="1D84C930" w14:textId="6AD2DBDE" w:rsidR="00F37492" w:rsidRPr="00F37492" w:rsidRDefault="00F37492" w:rsidP="000A557B">
            <w:pPr>
              <w:jc w:val="both"/>
              <w:rPr>
                <w:rFonts w:cs="Arial Unicode MS"/>
                <w:iCs/>
                <w:sz w:val="22"/>
                <w:szCs w:val="22"/>
                <w:lang w:val="sr-Latn-ME" w:eastAsia="sr-Latn-ME"/>
              </w:rPr>
            </w:pPr>
            <w:r w:rsidRPr="00F37492">
              <w:rPr>
                <w:rFonts w:cs="Arial Unicode MS"/>
                <w:iCs/>
                <w:sz w:val="22"/>
                <w:szCs w:val="22"/>
                <w:lang w:val="sr-Latn-ME" w:eastAsia="sr-Latn-ME"/>
              </w:rPr>
              <w:t>Veći od 200</w:t>
            </w:r>
            <w:r w:rsidR="00D32086">
              <w:rPr>
                <w:rFonts w:cs="Arial Unicode MS"/>
                <w:iCs/>
                <w:sz w:val="22"/>
                <w:szCs w:val="22"/>
                <w:lang w:val="sr-Latn-ME" w:eastAsia="sr-Latn-ME"/>
              </w:rPr>
              <w:t xml:space="preserve"> </w:t>
            </w:r>
            <w:r w:rsidRPr="00F37492">
              <w:rPr>
                <w:rFonts w:cs="Arial Unicode MS"/>
                <w:iCs/>
                <w:sz w:val="22"/>
                <w:szCs w:val="22"/>
                <w:lang w:val="sr-Latn-ME" w:eastAsia="sr-Latn-ME"/>
              </w:rPr>
              <w:t>000/mm</w:t>
            </w:r>
            <w:r w:rsidRPr="00703819">
              <w:rPr>
                <w:rFonts w:cs="Arial Unicode MS"/>
                <w:iCs/>
                <w:sz w:val="22"/>
                <w:szCs w:val="22"/>
                <w:vertAlign w:val="superscript"/>
                <w:lang w:val="sr-Latn-ME" w:eastAsia="sr-Latn-ME"/>
              </w:rPr>
              <w:t>3</w:t>
            </w:r>
          </w:p>
        </w:tc>
        <w:tc>
          <w:tcPr>
            <w:tcW w:w="4538" w:type="dxa"/>
            <w:tcBorders>
              <w:top w:val="single" w:sz="4" w:space="0" w:color="auto"/>
              <w:left w:val="single" w:sz="4" w:space="0" w:color="auto"/>
              <w:bottom w:val="nil"/>
            </w:tcBorders>
            <w:shd w:val="clear" w:color="auto" w:fill="FFFFFF" w:themeFill="background1"/>
          </w:tcPr>
          <w:p w14:paraId="0A26F588" w14:textId="2B303A9D" w:rsidR="00F37492" w:rsidRPr="00F37492" w:rsidRDefault="00F37492" w:rsidP="000A557B">
            <w:pPr>
              <w:jc w:val="both"/>
              <w:rPr>
                <w:rFonts w:cs="Arial Unicode MS"/>
                <w:b/>
                <w:bCs/>
                <w:sz w:val="22"/>
                <w:szCs w:val="22"/>
                <w:u w:val="single"/>
                <w:lang w:val="sr-Latn-ME" w:eastAsia="sr-Latn-ME"/>
              </w:rPr>
            </w:pPr>
            <w:r w:rsidRPr="00F37492">
              <w:rPr>
                <w:sz w:val="22"/>
                <w:szCs w:val="22"/>
                <w:lang w:val="sr-Latn-ME" w:eastAsia="sr-Latn-ME"/>
              </w:rPr>
              <w:t>20 mg dva puta na dan</w:t>
            </w:r>
          </w:p>
        </w:tc>
      </w:tr>
      <w:tr w:rsidR="00F37492" w:rsidRPr="00F37492" w14:paraId="37D8D2EF" w14:textId="77777777" w:rsidTr="00BB6F20">
        <w:tc>
          <w:tcPr>
            <w:tcW w:w="4537" w:type="dxa"/>
            <w:tcBorders>
              <w:top w:val="nil"/>
              <w:bottom w:val="nil"/>
              <w:right w:val="single" w:sz="4" w:space="0" w:color="auto"/>
            </w:tcBorders>
            <w:shd w:val="clear" w:color="auto" w:fill="FFFFFF" w:themeFill="background1"/>
          </w:tcPr>
          <w:p w14:paraId="654C14A7" w14:textId="44913A92" w:rsidR="00F37492" w:rsidRPr="00F37492" w:rsidRDefault="00F37492" w:rsidP="000A557B">
            <w:pPr>
              <w:jc w:val="both"/>
              <w:rPr>
                <w:rFonts w:cs="Arial Unicode MS"/>
                <w:iCs/>
                <w:sz w:val="22"/>
                <w:szCs w:val="22"/>
                <w:lang w:val="sr-Latn-ME" w:eastAsia="sr-Latn-ME"/>
              </w:rPr>
            </w:pPr>
            <w:r w:rsidRPr="00F37492">
              <w:rPr>
                <w:rFonts w:cs="Arial Unicode MS"/>
                <w:iCs/>
                <w:sz w:val="22"/>
                <w:szCs w:val="22"/>
                <w:lang w:val="sr-Latn-ME" w:eastAsia="sr-Latn-ME"/>
              </w:rPr>
              <w:t>100</w:t>
            </w:r>
            <w:r w:rsidR="00D32086">
              <w:rPr>
                <w:rFonts w:cs="Arial Unicode MS"/>
                <w:iCs/>
                <w:sz w:val="22"/>
                <w:szCs w:val="22"/>
                <w:lang w:val="sr-Latn-ME" w:eastAsia="sr-Latn-ME"/>
              </w:rPr>
              <w:t xml:space="preserve"> </w:t>
            </w:r>
            <w:r w:rsidRPr="00F37492">
              <w:rPr>
                <w:rFonts w:cs="Arial Unicode MS"/>
                <w:iCs/>
                <w:sz w:val="22"/>
                <w:szCs w:val="22"/>
                <w:lang w:val="sr-Latn-ME" w:eastAsia="sr-Latn-ME"/>
              </w:rPr>
              <w:t>000 do 200</w:t>
            </w:r>
            <w:r w:rsidR="00D32086">
              <w:rPr>
                <w:rFonts w:cs="Arial Unicode MS"/>
                <w:iCs/>
                <w:sz w:val="22"/>
                <w:szCs w:val="22"/>
                <w:lang w:val="sr-Latn-ME" w:eastAsia="sr-Latn-ME"/>
              </w:rPr>
              <w:t xml:space="preserve"> </w:t>
            </w:r>
            <w:r w:rsidRPr="00F37492">
              <w:rPr>
                <w:rFonts w:cs="Arial Unicode MS"/>
                <w:iCs/>
                <w:sz w:val="22"/>
                <w:szCs w:val="22"/>
                <w:lang w:val="sr-Latn-ME" w:eastAsia="sr-Latn-ME"/>
              </w:rPr>
              <w:t>000/mm</w:t>
            </w:r>
            <w:r w:rsidRPr="00703819">
              <w:rPr>
                <w:rFonts w:cs="Arial Unicode MS"/>
                <w:iCs/>
                <w:sz w:val="22"/>
                <w:szCs w:val="22"/>
                <w:vertAlign w:val="superscript"/>
                <w:lang w:val="sr-Latn-ME" w:eastAsia="sr-Latn-ME"/>
              </w:rPr>
              <w:t>3</w:t>
            </w:r>
          </w:p>
        </w:tc>
        <w:tc>
          <w:tcPr>
            <w:tcW w:w="4538" w:type="dxa"/>
            <w:tcBorders>
              <w:top w:val="nil"/>
              <w:left w:val="single" w:sz="4" w:space="0" w:color="auto"/>
              <w:bottom w:val="nil"/>
            </w:tcBorders>
            <w:shd w:val="clear" w:color="auto" w:fill="FFFFFF" w:themeFill="background1"/>
          </w:tcPr>
          <w:p w14:paraId="32C12C9A" w14:textId="7445550D" w:rsidR="00F37492" w:rsidRPr="00F37492" w:rsidRDefault="00F37492" w:rsidP="000A557B">
            <w:pPr>
              <w:jc w:val="both"/>
              <w:rPr>
                <w:rFonts w:cs="Arial Unicode MS"/>
                <w:b/>
                <w:bCs/>
                <w:sz w:val="22"/>
                <w:szCs w:val="22"/>
                <w:u w:val="single"/>
                <w:lang w:val="sr-Latn-ME" w:eastAsia="sr-Latn-ME"/>
              </w:rPr>
            </w:pPr>
            <w:r w:rsidRPr="00F37492">
              <w:rPr>
                <w:sz w:val="22"/>
                <w:szCs w:val="22"/>
                <w:lang w:val="sr-Latn-ME" w:eastAsia="sr-Latn-ME"/>
              </w:rPr>
              <w:t>15 mg dva puta na dan</w:t>
            </w:r>
          </w:p>
        </w:tc>
      </w:tr>
      <w:tr w:rsidR="00F37492" w:rsidRPr="00F37492" w14:paraId="12CE46AF" w14:textId="77777777" w:rsidTr="00BB6F20">
        <w:tc>
          <w:tcPr>
            <w:tcW w:w="4537" w:type="dxa"/>
            <w:tcBorders>
              <w:top w:val="nil"/>
              <w:bottom w:val="nil"/>
              <w:right w:val="single" w:sz="4" w:space="0" w:color="auto"/>
            </w:tcBorders>
            <w:shd w:val="clear" w:color="auto" w:fill="FFFFFF" w:themeFill="background1"/>
          </w:tcPr>
          <w:p w14:paraId="1420DD24" w14:textId="74B62916" w:rsidR="00F37492" w:rsidRPr="00F37492" w:rsidRDefault="00F37492" w:rsidP="000A557B">
            <w:pPr>
              <w:jc w:val="both"/>
              <w:rPr>
                <w:rFonts w:cs="Arial Unicode MS"/>
                <w:b/>
                <w:bCs/>
                <w:sz w:val="22"/>
                <w:szCs w:val="22"/>
                <w:u w:val="single"/>
                <w:lang w:val="sr-Latn-ME" w:eastAsia="sr-Latn-ME"/>
              </w:rPr>
            </w:pPr>
            <w:r w:rsidRPr="00F37492">
              <w:rPr>
                <w:sz w:val="22"/>
                <w:szCs w:val="22"/>
                <w:lang w:val="sr-Latn-ME" w:eastAsia="sr-Latn-ME"/>
              </w:rPr>
              <w:t>75</w:t>
            </w:r>
            <w:r w:rsidR="00D32086">
              <w:rPr>
                <w:sz w:val="22"/>
                <w:szCs w:val="22"/>
                <w:lang w:val="sr-Latn-ME" w:eastAsia="sr-Latn-ME"/>
              </w:rPr>
              <w:t xml:space="preserve"> </w:t>
            </w:r>
            <w:r w:rsidRPr="00F37492">
              <w:rPr>
                <w:sz w:val="22"/>
                <w:szCs w:val="22"/>
                <w:lang w:val="sr-Latn-ME" w:eastAsia="sr-Latn-ME"/>
              </w:rPr>
              <w:t xml:space="preserve">000 do </w:t>
            </w:r>
            <w:r w:rsidRPr="00F37492">
              <w:rPr>
                <w:sz w:val="22"/>
                <w:szCs w:val="22"/>
                <w:lang w:val="sr-Latn-RS" w:eastAsia="sr-Latn-ME"/>
              </w:rPr>
              <w:t>manje od</w:t>
            </w:r>
            <w:r w:rsidRPr="00F37492">
              <w:rPr>
                <w:sz w:val="22"/>
                <w:szCs w:val="22"/>
                <w:lang w:val="sr-Latn-ME" w:eastAsia="sr-Latn-ME"/>
              </w:rPr>
              <w:t xml:space="preserve"> 100</w:t>
            </w:r>
            <w:r w:rsidR="00D32086">
              <w:rPr>
                <w:sz w:val="22"/>
                <w:szCs w:val="22"/>
                <w:lang w:val="sr-Latn-ME" w:eastAsia="sr-Latn-ME"/>
              </w:rPr>
              <w:t xml:space="preserve"> </w:t>
            </w:r>
            <w:r w:rsidRPr="00F37492">
              <w:rPr>
                <w:sz w:val="22"/>
                <w:szCs w:val="22"/>
                <w:lang w:val="sr-Latn-ME" w:eastAsia="sr-Latn-ME"/>
              </w:rPr>
              <w:t>000/mm</w:t>
            </w:r>
            <w:r w:rsidRPr="00F37492">
              <w:rPr>
                <w:sz w:val="22"/>
                <w:szCs w:val="22"/>
                <w:vertAlign w:val="superscript"/>
                <w:lang w:val="sr-Latn-ME" w:eastAsia="sr-Latn-ME"/>
              </w:rPr>
              <w:t>3</w:t>
            </w:r>
          </w:p>
        </w:tc>
        <w:tc>
          <w:tcPr>
            <w:tcW w:w="4538" w:type="dxa"/>
            <w:tcBorders>
              <w:top w:val="nil"/>
              <w:left w:val="single" w:sz="4" w:space="0" w:color="auto"/>
              <w:bottom w:val="nil"/>
            </w:tcBorders>
            <w:shd w:val="clear" w:color="auto" w:fill="FFFFFF" w:themeFill="background1"/>
          </w:tcPr>
          <w:p w14:paraId="4BD0580A" w14:textId="22DCC085" w:rsidR="00F37492" w:rsidRPr="00F37492" w:rsidRDefault="00F37492" w:rsidP="000A557B">
            <w:pPr>
              <w:jc w:val="both"/>
              <w:rPr>
                <w:rFonts w:cs="Arial Unicode MS"/>
                <w:b/>
                <w:bCs/>
                <w:sz w:val="22"/>
                <w:szCs w:val="22"/>
                <w:u w:val="single"/>
                <w:lang w:val="sr-Latn-ME" w:eastAsia="sr-Latn-ME"/>
              </w:rPr>
            </w:pPr>
            <w:r w:rsidRPr="00F37492">
              <w:rPr>
                <w:sz w:val="22"/>
                <w:szCs w:val="22"/>
                <w:lang w:val="sr-Latn-ME" w:eastAsia="sr-Latn-ME"/>
              </w:rPr>
              <w:t>10 mg dva puta na dan</w:t>
            </w:r>
          </w:p>
        </w:tc>
      </w:tr>
      <w:tr w:rsidR="00F37492" w:rsidRPr="00F37492" w14:paraId="5BA93DC4" w14:textId="77777777" w:rsidTr="00BB6F20">
        <w:tc>
          <w:tcPr>
            <w:tcW w:w="4537" w:type="dxa"/>
            <w:tcBorders>
              <w:top w:val="nil"/>
              <w:bottom w:val="single" w:sz="4" w:space="0" w:color="auto"/>
              <w:right w:val="single" w:sz="4" w:space="0" w:color="auto"/>
            </w:tcBorders>
            <w:shd w:val="clear" w:color="auto" w:fill="FFFFFF" w:themeFill="background1"/>
          </w:tcPr>
          <w:p w14:paraId="0E7A7341" w14:textId="0E7CA067" w:rsidR="00F37492" w:rsidRPr="00F37492" w:rsidRDefault="00F37492" w:rsidP="000A557B">
            <w:pPr>
              <w:jc w:val="both"/>
              <w:rPr>
                <w:rFonts w:cs="Arial Unicode MS"/>
                <w:b/>
                <w:bCs/>
                <w:sz w:val="22"/>
                <w:szCs w:val="22"/>
                <w:u w:val="single"/>
                <w:lang w:val="sr-Latn-ME" w:eastAsia="sr-Latn-ME"/>
              </w:rPr>
            </w:pPr>
            <w:r w:rsidRPr="00F37492">
              <w:rPr>
                <w:sz w:val="22"/>
                <w:szCs w:val="22"/>
                <w:lang w:val="sr-Latn-ME" w:eastAsia="sr-Latn-ME"/>
              </w:rPr>
              <w:t>50</w:t>
            </w:r>
            <w:r w:rsidR="00D32086">
              <w:rPr>
                <w:sz w:val="22"/>
                <w:szCs w:val="22"/>
                <w:lang w:val="sr-Latn-ME" w:eastAsia="sr-Latn-ME"/>
              </w:rPr>
              <w:t xml:space="preserve"> </w:t>
            </w:r>
            <w:r w:rsidRPr="00F37492">
              <w:rPr>
                <w:sz w:val="22"/>
                <w:szCs w:val="22"/>
                <w:lang w:val="sr-Latn-ME" w:eastAsia="sr-Latn-ME"/>
              </w:rPr>
              <w:t xml:space="preserve">000 do </w:t>
            </w:r>
            <w:r w:rsidRPr="00F37492">
              <w:rPr>
                <w:sz w:val="22"/>
                <w:szCs w:val="22"/>
                <w:lang w:val="sr-Latn-RS" w:eastAsia="sr-Latn-ME"/>
              </w:rPr>
              <w:t>manje od</w:t>
            </w:r>
            <w:r w:rsidRPr="00F37492">
              <w:rPr>
                <w:sz w:val="22"/>
                <w:szCs w:val="22"/>
                <w:lang w:val="sr-Latn-ME" w:eastAsia="sr-Latn-ME"/>
              </w:rPr>
              <w:t xml:space="preserve"> 75</w:t>
            </w:r>
            <w:r w:rsidR="00D32086">
              <w:rPr>
                <w:sz w:val="22"/>
                <w:szCs w:val="22"/>
                <w:lang w:val="sr-Latn-ME" w:eastAsia="sr-Latn-ME"/>
              </w:rPr>
              <w:t xml:space="preserve"> </w:t>
            </w:r>
            <w:r w:rsidRPr="00F37492">
              <w:rPr>
                <w:sz w:val="22"/>
                <w:szCs w:val="22"/>
                <w:lang w:val="sr-Latn-ME" w:eastAsia="sr-Latn-ME"/>
              </w:rPr>
              <w:t>000/mm</w:t>
            </w:r>
            <w:r w:rsidRPr="00F37492">
              <w:rPr>
                <w:sz w:val="22"/>
                <w:szCs w:val="22"/>
                <w:vertAlign w:val="superscript"/>
                <w:lang w:val="sr-Latn-ME" w:eastAsia="sr-Latn-ME"/>
              </w:rPr>
              <w:t>3</w:t>
            </w:r>
          </w:p>
        </w:tc>
        <w:tc>
          <w:tcPr>
            <w:tcW w:w="4538" w:type="dxa"/>
            <w:tcBorders>
              <w:top w:val="nil"/>
              <w:left w:val="single" w:sz="4" w:space="0" w:color="auto"/>
              <w:bottom w:val="single" w:sz="4" w:space="0" w:color="auto"/>
            </w:tcBorders>
            <w:shd w:val="clear" w:color="auto" w:fill="FFFFFF" w:themeFill="background1"/>
          </w:tcPr>
          <w:p w14:paraId="0AA449A0" w14:textId="09D27E45" w:rsidR="00F37492" w:rsidRPr="00F37492" w:rsidRDefault="00F37492" w:rsidP="000A557B">
            <w:pPr>
              <w:jc w:val="both"/>
              <w:rPr>
                <w:rFonts w:cs="Arial Unicode MS"/>
                <w:b/>
                <w:bCs/>
                <w:sz w:val="22"/>
                <w:szCs w:val="22"/>
                <w:u w:val="single"/>
                <w:lang w:val="sr-Latn-ME" w:eastAsia="sr-Latn-ME"/>
              </w:rPr>
            </w:pPr>
            <w:r w:rsidRPr="00F37492">
              <w:rPr>
                <w:sz w:val="22"/>
                <w:szCs w:val="22"/>
                <w:lang w:val="sr-Latn-ME" w:eastAsia="sr-Latn-ME"/>
              </w:rPr>
              <w:t>5 mg dva puta na dan</w:t>
            </w:r>
          </w:p>
        </w:tc>
      </w:tr>
    </w:tbl>
    <w:p w14:paraId="06B35C5A" w14:textId="77777777" w:rsidR="00F37492" w:rsidRPr="00F37492" w:rsidRDefault="00F37492" w:rsidP="000A557B">
      <w:pPr>
        <w:jc w:val="both"/>
        <w:rPr>
          <w:rFonts w:cs="Arial Unicode MS"/>
          <w:b/>
          <w:bCs/>
          <w:iCs/>
          <w:sz w:val="22"/>
          <w:szCs w:val="22"/>
          <w:u w:val="single"/>
          <w:lang w:val="sr-Latn-ME" w:eastAsia="sr-Latn-ME"/>
        </w:rPr>
      </w:pPr>
    </w:p>
    <w:p w14:paraId="2CC3E78B" w14:textId="77777777" w:rsidR="0015535A" w:rsidRPr="0015535A" w:rsidRDefault="0015535A" w:rsidP="0015535A">
      <w:pPr>
        <w:jc w:val="both"/>
        <w:rPr>
          <w:i/>
          <w:iCs/>
          <w:sz w:val="22"/>
          <w:szCs w:val="22"/>
          <w:lang w:val="hr-HR" w:eastAsia="sr-Latn-CS"/>
        </w:rPr>
      </w:pPr>
      <w:r w:rsidRPr="0015535A">
        <w:rPr>
          <w:i/>
          <w:iCs/>
          <w:sz w:val="22"/>
          <w:szCs w:val="22"/>
          <w:lang w:val="hr-HR" w:eastAsia="sr-Latn-CS"/>
        </w:rPr>
        <w:t>Policitemija vera (PV)</w:t>
      </w:r>
    </w:p>
    <w:p w14:paraId="33D28930" w14:textId="77777777" w:rsidR="0015535A" w:rsidRDefault="0015535A" w:rsidP="000A557B">
      <w:pPr>
        <w:jc w:val="both"/>
        <w:rPr>
          <w:sz w:val="22"/>
          <w:szCs w:val="22"/>
          <w:lang w:val="sr-Latn-ME" w:eastAsia="sr-Latn-CS"/>
        </w:rPr>
      </w:pPr>
    </w:p>
    <w:p w14:paraId="29EA9B80" w14:textId="34011489" w:rsidR="00F37492" w:rsidRPr="00F37492" w:rsidRDefault="00F37492" w:rsidP="000A557B">
      <w:pPr>
        <w:jc w:val="both"/>
        <w:rPr>
          <w:sz w:val="22"/>
          <w:szCs w:val="22"/>
          <w:lang w:val="sr-Latn-ME" w:eastAsia="sr-Latn-CS"/>
        </w:rPr>
      </w:pPr>
      <w:r w:rsidRPr="00F37492">
        <w:rPr>
          <w:sz w:val="22"/>
          <w:szCs w:val="22"/>
          <w:lang w:val="sr-Latn-ME" w:eastAsia="sr-Latn-CS"/>
        </w:rPr>
        <w:t>Preporučena početna doza lijeka Jakavi kod PV je 10</w:t>
      </w:r>
      <w:r w:rsidR="005B15CA">
        <w:rPr>
          <w:sz w:val="22"/>
          <w:szCs w:val="22"/>
          <w:lang w:val="sr-Latn-ME" w:eastAsia="sr-Latn-CS"/>
        </w:rPr>
        <w:t xml:space="preserve"> mg</w:t>
      </w:r>
      <w:r w:rsidRPr="00F37492">
        <w:rPr>
          <w:sz w:val="22"/>
          <w:szCs w:val="22"/>
          <w:lang w:val="sr-Latn-ME" w:eastAsia="sr-Latn-CS"/>
        </w:rPr>
        <w:t xml:space="preserve"> dva puta na dan. </w:t>
      </w:r>
    </w:p>
    <w:p w14:paraId="285C36D2" w14:textId="77777777" w:rsidR="00F37492" w:rsidRDefault="00F37492" w:rsidP="000A557B">
      <w:pPr>
        <w:jc w:val="both"/>
        <w:rPr>
          <w:sz w:val="22"/>
        </w:rPr>
      </w:pPr>
    </w:p>
    <w:p w14:paraId="57503808" w14:textId="77777777" w:rsidR="0015535A" w:rsidRPr="0015535A" w:rsidRDefault="0015535A" w:rsidP="0015535A">
      <w:pPr>
        <w:jc w:val="both"/>
        <w:rPr>
          <w:i/>
          <w:iCs/>
          <w:sz w:val="22"/>
          <w:lang w:val="hr-HR"/>
        </w:rPr>
      </w:pPr>
      <w:r w:rsidRPr="0015535A">
        <w:rPr>
          <w:i/>
          <w:iCs/>
          <w:sz w:val="22"/>
          <w:lang w:val="hr-HR"/>
        </w:rPr>
        <w:t>Bolest kalema protiv domaćina (GvHD)</w:t>
      </w:r>
    </w:p>
    <w:p w14:paraId="3B826F76" w14:textId="11DE7AEF" w:rsidR="0015535A" w:rsidRPr="0015535A" w:rsidRDefault="0015535A" w:rsidP="0015535A">
      <w:pPr>
        <w:jc w:val="both"/>
        <w:rPr>
          <w:sz w:val="22"/>
          <w:lang w:val="hr-HR"/>
        </w:rPr>
      </w:pPr>
      <w:r w:rsidRPr="0015535A">
        <w:rPr>
          <w:sz w:val="22"/>
          <w:lang w:val="hr-HR"/>
        </w:rPr>
        <w:t>Preporučena početna doza l</w:t>
      </w:r>
      <w:r w:rsidR="00DD0118">
        <w:rPr>
          <w:sz w:val="22"/>
          <w:lang w:val="hr-HR"/>
        </w:rPr>
        <w:t>ij</w:t>
      </w:r>
      <w:r w:rsidRPr="0015535A">
        <w:rPr>
          <w:sz w:val="22"/>
          <w:lang w:val="hr-HR"/>
        </w:rPr>
        <w:t>eka Jakavi za akutni i hronični GvHD zasniva se na uzrastu (vid</w:t>
      </w:r>
      <w:r w:rsidR="00DD0118">
        <w:rPr>
          <w:sz w:val="22"/>
          <w:lang w:val="hr-HR"/>
        </w:rPr>
        <w:t>j</w:t>
      </w:r>
      <w:r w:rsidRPr="0015535A">
        <w:rPr>
          <w:sz w:val="22"/>
          <w:lang w:val="hr-HR"/>
        </w:rPr>
        <w:t>eti Tabele 2 i 3):</w:t>
      </w:r>
    </w:p>
    <w:p w14:paraId="15FAD291" w14:textId="77777777" w:rsidR="0015535A" w:rsidRPr="0015535A" w:rsidRDefault="0015535A" w:rsidP="0015535A">
      <w:pPr>
        <w:jc w:val="both"/>
        <w:rPr>
          <w:sz w:val="22"/>
          <w:lang w:val="hr-HR"/>
        </w:rPr>
      </w:pPr>
    </w:p>
    <w:p w14:paraId="526CD034" w14:textId="77777777" w:rsidR="0015535A" w:rsidRPr="0015535A" w:rsidRDefault="0015535A" w:rsidP="0015535A">
      <w:pPr>
        <w:jc w:val="both"/>
        <w:rPr>
          <w:b/>
          <w:bCs/>
          <w:sz w:val="22"/>
          <w:lang w:val="hr-HR"/>
        </w:rPr>
      </w:pPr>
      <w:r w:rsidRPr="0015535A">
        <w:rPr>
          <w:b/>
          <w:bCs/>
          <w:sz w:val="22"/>
          <w:lang w:val="hr-HR"/>
        </w:rPr>
        <w:t>Tabela 2</w:t>
      </w:r>
      <w:r w:rsidRPr="0015535A">
        <w:rPr>
          <w:sz w:val="22"/>
          <w:lang w:val="hr-HR"/>
        </w:rPr>
        <w:tab/>
      </w:r>
      <w:r w:rsidRPr="0015535A">
        <w:rPr>
          <w:b/>
          <w:bCs/>
          <w:sz w:val="22"/>
          <w:lang w:val="hr-HR"/>
        </w:rPr>
        <w:t>Početne doze kod akutne bolesti kalema protiv domaćina</w:t>
      </w:r>
    </w:p>
    <w:p w14:paraId="337C3854" w14:textId="77777777" w:rsidR="0015535A" w:rsidRPr="0015535A" w:rsidRDefault="0015535A" w:rsidP="0015535A">
      <w:pPr>
        <w:jc w:val="both"/>
        <w:rPr>
          <w:sz w:val="22"/>
          <w:lang w:val="hr-HR"/>
        </w:rPr>
      </w:pPr>
    </w:p>
    <w:tbl>
      <w:tblPr>
        <w:tblW w:w="0" w:type="auto"/>
        <w:tblBorders>
          <w:top w:val="single" w:sz="4" w:space="0" w:color="auto"/>
          <w:bottom w:val="single" w:sz="4" w:space="0" w:color="auto"/>
        </w:tblBorders>
        <w:tblLook w:val="0000" w:firstRow="0" w:lastRow="0" w:firstColumn="0" w:lastColumn="0" w:noHBand="0" w:noVBand="0"/>
      </w:tblPr>
      <w:tblGrid>
        <w:gridCol w:w="4535"/>
        <w:gridCol w:w="4536"/>
      </w:tblGrid>
      <w:tr w:rsidR="0015535A" w:rsidRPr="0015535A" w14:paraId="393C64FC" w14:textId="77777777" w:rsidTr="00C55389">
        <w:trPr>
          <w:cantSplit/>
        </w:trPr>
        <w:tc>
          <w:tcPr>
            <w:tcW w:w="4535" w:type="dxa"/>
            <w:tcBorders>
              <w:top w:val="single" w:sz="4" w:space="0" w:color="auto"/>
              <w:bottom w:val="single" w:sz="4" w:space="0" w:color="auto"/>
              <w:right w:val="single" w:sz="4" w:space="0" w:color="auto"/>
            </w:tcBorders>
            <w:shd w:val="clear" w:color="auto" w:fill="auto"/>
          </w:tcPr>
          <w:p w14:paraId="3F89B566" w14:textId="77777777" w:rsidR="0015535A" w:rsidRPr="0015535A" w:rsidRDefault="0015535A" w:rsidP="0015535A">
            <w:pPr>
              <w:jc w:val="both"/>
              <w:rPr>
                <w:b/>
                <w:bCs/>
                <w:sz w:val="22"/>
                <w:lang w:val="hr-HR"/>
              </w:rPr>
            </w:pPr>
            <w:r w:rsidRPr="0015535A">
              <w:rPr>
                <w:b/>
                <w:bCs/>
                <w:sz w:val="22"/>
                <w:lang w:val="hr-HR"/>
              </w:rPr>
              <w:t>Uzrasna grupa</w:t>
            </w:r>
          </w:p>
        </w:tc>
        <w:tc>
          <w:tcPr>
            <w:tcW w:w="4536" w:type="dxa"/>
            <w:tcBorders>
              <w:top w:val="single" w:sz="4" w:space="0" w:color="auto"/>
              <w:left w:val="single" w:sz="4" w:space="0" w:color="auto"/>
              <w:bottom w:val="single" w:sz="4" w:space="0" w:color="auto"/>
            </w:tcBorders>
            <w:shd w:val="clear" w:color="auto" w:fill="auto"/>
          </w:tcPr>
          <w:p w14:paraId="2100DD74" w14:textId="77777777" w:rsidR="0015535A" w:rsidRPr="0015535A" w:rsidRDefault="0015535A" w:rsidP="0015535A">
            <w:pPr>
              <w:jc w:val="both"/>
              <w:rPr>
                <w:b/>
                <w:bCs/>
                <w:sz w:val="22"/>
                <w:lang w:val="hr-HR"/>
              </w:rPr>
            </w:pPr>
            <w:r w:rsidRPr="0015535A">
              <w:rPr>
                <w:b/>
                <w:bCs/>
                <w:sz w:val="22"/>
                <w:lang w:val="hr-HR"/>
              </w:rPr>
              <w:t>Početna doza</w:t>
            </w:r>
          </w:p>
        </w:tc>
      </w:tr>
      <w:tr w:rsidR="0015535A" w:rsidRPr="0015535A" w14:paraId="1AD725EC" w14:textId="77777777" w:rsidTr="00C55389">
        <w:trPr>
          <w:cantSplit/>
        </w:trPr>
        <w:tc>
          <w:tcPr>
            <w:tcW w:w="4535" w:type="dxa"/>
            <w:tcBorders>
              <w:top w:val="single" w:sz="4" w:space="0" w:color="auto"/>
              <w:right w:val="single" w:sz="4" w:space="0" w:color="auto"/>
            </w:tcBorders>
            <w:shd w:val="clear" w:color="auto" w:fill="auto"/>
          </w:tcPr>
          <w:p w14:paraId="5CFAFA13" w14:textId="77777777" w:rsidR="0015535A" w:rsidRPr="0015535A" w:rsidRDefault="0015535A" w:rsidP="0015535A">
            <w:pPr>
              <w:jc w:val="both"/>
              <w:rPr>
                <w:sz w:val="22"/>
                <w:lang w:val="hr-HR"/>
              </w:rPr>
            </w:pPr>
            <w:r w:rsidRPr="0015535A">
              <w:rPr>
                <w:sz w:val="22"/>
                <w:lang w:val="hr-HR"/>
              </w:rPr>
              <w:t>12 godina i stariji</w:t>
            </w:r>
          </w:p>
        </w:tc>
        <w:tc>
          <w:tcPr>
            <w:tcW w:w="4536" w:type="dxa"/>
            <w:tcBorders>
              <w:top w:val="single" w:sz="4" w:space="0" w:color="auto"/>
              <w:left w:val="single" w:sz="4" w:space="0" w:color="auto"/>
            </w:tcBorders>
            <w:shd w:val="clear" w:color="auto" w:fill="auto"/>
          </w:tcPr>
          <w:p w14:paraId="2358A5A3" w14:textId="77777777" w:rsidR="0015535A" w:rsidRPr="0015535A" w:rsidRDefault="0015535A" w:rsidP="0015535A">
            <w:pPr>
              <w:jc w:val="both"/>
              <w:rPr>
                <w:sz w:val="22"/>
                <w:lang w:val="hr-HR"/>
              </w:rPr>
            </w:pPr>
            <w:r w:rsidRPr="0015535A">
              <w:rPr>
                <w:sz w:val="22"/>
                <w:lang w:val="hr-HR"/>
              </w:rPr>
              <w:t>10 mg dva puta na dan</w:t>
            </w:r>
          </w:p>
        </w:tc>
      </w:tr>
      <w:tr w:rsidR="0015535A" w:rsidRPr="0015535A" w14:paraId="3D9272CE" w14:textId="77777777" w:rsidTr="00C55389">
        <w:trPr>
          <w:cantSplit/>
        </w:trPr>
        <w:tc>
          <w:tcPr>
            <w:tcW w:w="4535" w:type="dxa"/>
            <w:tcBorders>
              <w:right w:val="single" w:sz="4" w:space="0" w:color="auto"/>
            </w:tcBorders>
            <w:shd w:val="clear" w:color="auto" w:fill="auto"/>
          </w:tcPr>
          <w:p w14:paraId="4AD6A20E" w14:textId="77777777" w:rsidR="0015535A" w:rsidRPr="0015535A" w:rsidRDefault="0015535A" w:rsidP="0015535A">
            <w:pPr>
              <w:jc w:val="both"/>
              <w:rPr>
                <w:sz w:val="22"/>
                <w:lang w:val="hr-HR"/>
              </w:rPr>
            </w:pPr>
            <w:r w:rsidRPr="0015535A">
              <w:rPr>
                <w:sz w:val="22"/>
                <w:lang w:val="hr-HR"/>
              </w:rPr>
              <w:t>6 godina do ispod 12 godina</w:t>
            </w:r>
          </w:p>
        </w:tc>
        <w:tc>
          <w:tcPr>
            <w:tcW w:w="4536" w:type="dxa"/>
            <w:tcBorders>
              <w:left w:val="single" w:sz="4" w:space="0" w:color="auto"/>
            </w:tcBorders>
            <w:shd w:val="clear" w:color="auto" w:fill="auto"/>
          </w:tcPr>
          <w:p w14:paraId="2713CC54" w14:textId="77777777" w:rsidR="0015535A" w:rsidRPr="0015535A" w:rsidRDefault="0015535A" w:rsidP="0015535A">
            <w:pPr>
              <w:jc w:val="both"/>
              <w:rPr>
                <w:sz w:val="22"/>
                <w:lang w:val="hr-HR"/>
              </w:rPr>
            </w:pPr>
            <w:r w:rsidRPr="0015535A">
              <w:rPr>
                <w:sz w:val="22"/>
                <w:lang w:val="hr-HR"/>
              </w:rPr>
              <w:t>5 mg dva puta na dan</w:t>
            </w:r>
          </w:p>
        </w:tc>
      </w:tr>
      <w:tr w:rsidR="0015535A" w:rsidRPr="0015535A" w14:paraId="160B3C3D" w14:textId="77777777" w:rsidTr="00C55389">
        <w:trPr>
          <w:cantSplit/>
        </w:trPr>
        <w:tc>
          <w:tcPr>
            <w:tcW w:w="4535" w:type="dxa"/>
            <w:tcBorders>
              <w:right w:val="single" w:sz="4" w:space="0" w:color="auto"/>
            </w:tcBorders>
            <w:shd w:val="clear" w:color="auto" w:fill="auto"/>
          </w:tcPr>
          <w:p w14:paraId="364B1CD5" w14:textId="77777777" w:rsidR="0015535A" w:rsidRPr="0015535A" w:rsidRDefault="0015535A" w:rsidP="0015535A">
            <w:pPr>
              <w:jc w:val="both"/>
              <w:rPr>
                <w:sz w:val="22"/>
                <w:lang w:val="hr-HR"/>
              </w:rPr>
            </w:pPr>
            <w:r w:rsidRPr="0015535A">
              <w:rPr>
                <w:sz w:val="22"/>
                <w:lang w:val="hr-HR"/>
              </w:rPr>
              <w:t>28 dana do ispod 6 godina</w:t>
            </w:r>
          </w:p>
        </w:tc>
        <w:tc>
          <w:tcPr>
            <w:tcW w:w="4536" w:type="dxa"/>
            <w:tcBorders>
              <w:left w:val="single" w:sz="4" w:space="0" w:color="auto"/>
            </w:tcBorders>
            <w:shd w:val="clear" w:color="auto" w:fill="auto"/>
          </w:tcPr>
          <w:p w14:paraId="7A9DE29B" w14:textId="77777777" w:rsidR="0015535A" w:rsidRPr="0015535A" w:rsidRDefault="0015535A" w:rsidP="0015535A">
            <w:pPr>
              <w:jc w:val="both"/>
              <w:rPr>
                <w:sz w:val="22"/>
                <w:lang w:val="hr-HR"/>
              </w:rPr>
            </w:pPr>
            <w:r w:rsidRPr="0015535A">
              <w:rPr>
                <w:sz w:val="22"/>
                <w:lang w:val="hr-HR"/>
              </w:rPr>
              <w:t>8 mg/m</w:t>
            </w:r>
            <w:r w:rsidRPr="0015535A">
              <w:rPr>
                <w:sz w:val="22"/>
                <w:vertAlign w:val="superscript"/>
                <w:lang w:val="hr-HR"/>
              </w:rPr>
              <w:t>2</w:t>
            </w:r>
            <w:r w:rsidRPr="0015535A">
              <w:rPr>
                <w:sz w:val="22"/>
                <w:lang w:val="hr-HR"/>
              </w:rPr>
              <w:t xml:space="preserve"> dva puta na dan</w:t>
            </w:r>
          </w:p>
        </w:tc>
      </w:tr>
    </w:tbl>
    <w:p w14:paraId="4812A13D" w14:textId="77777777" w:rsidR="0015535A" w:rsidRPr="0015535A" w:rsidRDefault="0015535A" w:rsidP="0015535A">
      <w:pPr>
        <w:jc w:val="both"/>
        <w:rPr>
          <w:sz w:val="22"/>
          <w:lang w:val="hr-HR"/>
        </w:rPr>
      </w:pPr>
    </w:p>
    <w:p w14:paraId="0DC07A07" w14:textId="77777777" w:rsidR="0015535A" w:rsidRPr="0015535A" w:rsidRDefault="0015535A" w:rsidP="0015535A">
      <w:pPr>
        <w:jc w:val="both"/>
        <w:rPr>
          <w:b/>
          <w:bCs/>
          <w:sz w:val="22"/>
          <w:lang w:val="hr-HR"/>
        </w:rPr>
      </w:pPr>
      <w:r w:rsidRPr="0015535A">
        <w:rPr>
          <w:b/>
          <w:bCs/>
          <w:sz w:val="22"/>
          <w:lang w:val="hr-HR"/>
        </w:rPr>
        <w:t>Tabela 3</w:t>
      </w:r>
      <w:r w:rsidRPr="0015535A">
        <w:rPr>
          <w:sz w:val="22"/>
          <w:lang w:val="hr-HR"/>
        </w:rPr>
        <w:tab/>
      </w:r>
      <w:r w:rsidRPr="0015535A">
        <w:rPr>
          <w:b/>
          <w:bCs/>
          <w:sz w:val="22"/>
          <w:lang w:val="hr-HR"/>
        </w:rPr>
        <w:t>Početne doze kod hronične bolesti kalema protiv domaćina</w:t>
      </w:r>
    </w:p>
    <w:p w14:paraId="2C16225B" w14:textId="77777777" w:rsidR="0015535A" w:rsidRPr="0015535A" w:rsidRDefault="0015535A" w:rsidP="0015535A">
      <w:pPr>
        <w:jc w:val="both"/>
        <w:rPr>
          <w:sz w:val="22"/>
          <w:lang w:val="hr-HR"/>
        </w:rPr>
      </w:pPr>
    </w:p>
    <w:tbl>
      <w:tblPr>
        <w:tblW w:w="0" w:type="auto"/>
        <w:tblBorders>
          <w:top w:val="single" w:sz="4" w:space="0" w:color="auto"/>
          <w:bottom w:val="single" w:sz="4" w:space="0" w:color="auto"/>
        </w:tblBorders>
        <w:tblLook w:val="0000" w:firstRow="0" w:lastRow="0" w:firstColumn="0" w:lastColumn="0" w:noHBand="0" w:noVBand="0"/>
      </w:tblPr>
      <w:tblGrid>
        <w:gridCol w:w="4536"/>
        <w:gridCol w:w="4537"/>
      </w:tblGrid>
      <w:tr w:rsidR="0015535A" w:rsidRPr="0015535A" w14:paraId="55CAC9E6" w14:textId="77777777" w:rsidTr="00C55389">
        <w:trPr>
          <w:cantSplit/>
        </w:trPr>
        <w:tc>
          <w:tcPr>
            <w:tcW w:w="4541" w:type="dxa"/>
            <w:tcBorders>
              <w:top w:val="single" w:sz="4" w:space="0" w:color="auto"/>
              <w:bottom w:val="single" w:sz="4" w:space="0" w:color="auto"/>
              <w:right w:val="single" w:sz="4" w:space="0" w:color="auto"/>
            </w:tcBorders>
            <w:shd w:val="clear" w:color="auto" w:fill="auto"/>
          </w:tcPr>
          <w:p w14:paraId="6830BF4B" w14:textId="77777777" w:rsidR="0015535A" w:rsidRPr="0015535A" w:rsidRDefault="0015535A" w:rsidP="0015535A">
            <w:pPr>
              <w:jc w:val="both"/>
              <w:rPr>
                <w:b/>
                <w:bCs/>
                <w:sz w:val="22"/>
                <w:lang w:val="hr-HR"/>
              </w:rPr>
            </w:pPr>
            <w:r w:rsidRPr="0015535A">
              <w:rPr>
                <w:b/>
                <w:bCs/>
                <w:sz w:val="22"/>
                <w:lang w:val="hr-HR"/>
              </w:rPr>
              <w:t>Uzrasna grupa</w:t>
            </w:r>
          </w:p>
        </w:tc>
        <w:tc>
          <w:tcPr>
            <w:tcW w:w="4542" w:type="dxa"/>
            <w:tcBorders>
              <w:top w:val="single" w:sz="4" w:space="0" w:color="auto"/>
              <w:left w:val="single" w:sz="4" w:space="0" w:color="auto"/>
              <w:bottom w:val="single" w:sz="4" w:space="0" w:color="auto"/>
            </w:tcBorders>
            <w:shd w:val="clear" w:color="auto" w:fill="auto"/>
          </w:tcPr>
          <w:p w14:paraId="31278FF7" w14:textId="77777777" w:rsidR="0015535A" w:rsidRPr="0015535A" w:rsidRDefault="0015535A" w:rsidP="0015535A">
            <w:pPr>
              <w:jc w:val="both"/>
              <w:rPr>
                <w:b/>
                <w:bCs/>
                <w:sz w:val="22"/>
                <w:lang w:val="hr-HR"/>
              </w:rPr>
            </w:pPr>
            <w:r w:rsidRPr="0015535A">
              <w:rPr>
                <w:b/>
                <w:bCs/>
                <w:sz w:val="22"/>
                <w:lang w:val="hr-HR"/>
              </w:rPr>
              <w:t>Početna doza</w:t>
            </w:r>
          </w:p>
        </w:tc>
      </w:tr>
      <w:tr w:rsidR="0015535A" w:rsidRPr="0015535A" w14:paraId="10E37C69" w14:textId="77777777" w:rsidTr="00C55389">
        <w:trPr>
          <w:cantSplit/>
        </w:trPr>
        <w:tc>
          <w:tcPr>
            <w:tcW w:w="4541" w:type="dxa"/>
            <w:tcBorders>
              <w:top w:val="single" w:sz="4" w:space="0" w:color="auto"/>
              <w:right w:val="single" w:sz="4" w:space="0" w:color="auto"/>
            </w:tcBorders>
            <w:shd w:val="clear" w:color="auto" w:fill="auto"/>
          </w:tcPr>
          <w:p w14:paraId="5FB06E38" w14:textId="77777777" w:rsidR="0015535A" w:rsidRPr="0015535A" w:rsidRDefault="0015535A" w:rsidP="0015535A">
            <w:pPr>
              <w:jc w:val="both"/>
              <w:rPr>
                <w:sz w:val="22"/>
                <w:lang w:val="hr-HR"/>
              </w:rPr>
            </w:pPr>
            <w:r w:rsidRPr="0015535A">
              <w:rPr>
                <w:sz w:val="22"/>
                <w:lang w:val="hr-HR"/>
              </w:rPr>
              <w:t>12 godina i stariji</w:t>
            </w:r>
          </w:p>
        </w:tc>
        <w:tc>
          <w:tcPr>
            <w:tcW w:w="4542" w:type="dxa"/>
            <w:tcBorders>
              <w:top w:val="single" w:sz="4" w:space="0" w:color="auto"/>
              <w:left w:val="single" w:sz="4" w:space="0" w:color="auto"/>
            </w:tcBorders>
            <w:shd w:val="clear" w:color="auto" w:fill="auto"/>
          </w:tcPr>
          <w:p w14:paraId="0E81493E" w14:textId="77777777" w:rsidR="0015535A" w:rsidRPr="0015535A" w:rsidRDefault="0015535A" w:rsidP="0015535A">
            <w:pPr>
              <w:jc w:val="both"/>
              <w:rPr>
                <w:sz w:val="22"/>
                <w:lang w:val="hr-HR"/>
              </w:rPr>
            </w:pPr>
            <w:r w:rsidRPr="0015535A">
              <w:rPr>
                <w:sz w:val="22"/>
                <w:lang w:val="hr-HR"/>
              </w:rPr>
              <w:t>10 mg dva puta na dan</w:t>
            </w:r>
          </w:p>
        </w:tc>
      </w:tr>
      <w:tr w:rsidR="0015535A" w:rsidRPr="0015535A" w14:paraId="3FBB38C2" w14:textId="77777777" w:rsidTr="00C55389">
        <w:trPr>
          <w:cantSplit/>
        </w:trPr>
        <w:tc>
          <w:tcPr>
            <w:tcW w:w="4541" w:type="dxa"/>
            <w:tcBorders>
              <w:right w:val="single" w:sz="4" w:space="0" w:color="auto"/>
            </w:tcBorders>
            <w:shd w:val="clear" w:color="auto" w:fill="auto"/>
          </w:tcPr>
          <w:p w14:paraId="0228740E" w14:textId="77777777" w:rsidR="0015535A" w:rsidRPr="0015535A" w:rsidRDefault="0015535A" w:rsidP="0015535A">
            <w:pPr>
              <w:jc w:val="both"/>
              <w:rPr>
                <w:sz w:val="22"/>
                <w:lang w:val="hr-HR"/>
              </w:rPr>
            </w:pPr>
            <w:r w:rsidRPr="0015535A">
              <w:rPr>
                <w:sz w:val="22"/>
                <w:lang w:val="hr-HR"/>
              </w:rPr>
              <w:t>6 godina do ispod 12 godina</w:t>
            </w:r>
          </w:p>
        </w:tc>
        <w:tc>
          <w:tcPr>
            <w:tcW w:w="4542" w:type="dxa"/>
            <w:tcBorders>
              <w:left w:val="single" w:sz="4" w:space="0" w:color="auto"/>
            </w:tcBorders>
            <w:shd w:val="clear" w:color="auto" w:fill="auto"/>
          </w:tcPr>
          <w:p w14:paraId="64F9017E" w14:textId="77777777" w:rsidR="0015535A" w:rsidRPr="0015535A" w:rsidRDefault="0015535A" w:rsidP="0015535A">
            <w:pPr>
              <w:jc w:val="both"/>
              <w:rPr>
                <w:sz w:val="22"/>
                <w:lang w:val="hr-HR"/>
              </w:rPr>
            </w:pPr>
            <w:r w:rsidRPr="0015535A">
              <w:rPr>
                <w:sz w:val="22"/>
                <w:lang w:val="hr-HR"/>
              </w:rPr>
              <w:t>5 mg dva puta na dan</w:t>
            </w:r>
          </w:p>
        </w:tc>
      </w:tr>
      <w:tr w:rsidR="0015535A" w:rsidRPr="0015535A" w14:paraId="2AC9C217" w14:textId="77777777" w:rsidTr="00C55389">
        <w:trPr>
          <w:cantSplit/>
        </w:trPr>
        <w:tc>
          <w:tcPr>
            <w:tcW w:w="4541" w:type="dxa"/>
            <w:tcBorders>
              <w:right w:val="single" w:sz="4" w:space="0" w:color="auto"/>
            </w:tcBorders>
            <w:shd w:val="clear" w:color="auto" w:fill="auto"/>
          </w:tcPr>
          <w:p w14:paraId="0C7D503C" w14:textId="37F6FA34" w:rsidR="0015535A" w:rsidRPr="0015535A" w:rsidRDefault="0015535A" w:rsidP="0015535A">
            <w:pPr>
              <w:jc w:val="both"/>
              <w:rPr>
                <w:sz w:val="22"/>
                <w:lang w:val="hr-HR"/>
              </w:rPr>
            </w:pPr>
            <w:r w:rsidRPr="0015535A">
              <w:rPr>
                <w:sz w:val="22"/>
                <w:lang w:val="hr-HR"/>
              </w:rPr>
              <w:lastRenderedPageBreak/>
              <w:t>6 m</w:t>
            </w:r>
            <w:r w:rsidR="00C55389">
              <w:rPr>
                <w:sz w:val="22"/>
                <w:lang w:val="hr-HR"/>
              </w:rPr>
              <w:t>j</w:t>
            </w:r>
            <w:r w:rsidRPr="0015535A">
              <w:rPr>
                <w:sz w:val="22"/>
                <w:lang w:val="hr-HR"/>
              </w:rPr>
              <w:t>eseci do ispod 6 godina</w:t>
            </w:r>
          </w:p>
        </w:tc>
        <w:tc>
          <w:tcPr>
            <w:tcW w:w="4542" w:type="dxa"/>
            <w:tcBorders>
              <w:left w:val="single" w:sz="4" w:space="0" w:color="auto"/>
            </w:tcBorders>
            <w:shd w:val="clear" w:color="auto" w:fill="auto"/>
          </w:tcPr>
          <w:p w14:paraId="3E7BB489" w14:textId="77777777" w:rsidR="0015535A" w:rsidRPr="0015535A" w:rsidRDefault="0015535A" w:rsidP="0015535A">
            <w:pPr>
              <w:jc w:val="both"/>
              <w:rPr>
                <w:sz w:val="22"/>
                <w:lang w:val="hr-HR"/>
              </w:rPr>
            </w:pPr>
            <w:r w:rsidRPr="0015535A">
              <w:rPr>
                <w:sz w:val="22"/>
                <w:lang w:val="hr-HR"/>
              </w:rPr>
              <w:t>8 mg/m</w:t>
            </w:r>
            <w:r w:rsidRPr="0015535A">
              <w:rPr>
                <w:sz w:val="22"/>
                <w:vertAlign w:val="superscript"/>
                <w:lang w:val="hr-HR"/>
              </w:rPr>
              <w:t>2</w:t>
            </w:r>
            <w:r w:rsidRPr="0015535A">
              <w:rPr>
                <w:sz w:val="22"/>
                <w:lang w:val="hr-HR"/>
              </w:rPr>
              <w:t xml:space="preserve"> dva puta na dan</w:t>
            </w:r>
          </w:p>
        </w:tc>
      </w:tr>
    </w:tbl>
    <w:p w14:paraId="1927A96D" w14:textId="77777777" w:rsidR="0015535A" w:rsidRPr="0015535A" w:rsidRDefault="0015535A" w:rsidP="0015535A">
      <w:pPr>
        <w:jc w:val="both"/>
        <w:rPr>
          <w:sz w:val="22"/>
          <w:lang w:val="hr-HR"/>
        </w:rPr>
      </w:pPr>
    </w:p>
    <w:p w14:paraId="219B6F80" w14:textId="51394344" w:rsidR="0015535A" w:rsidRPr="0015535A" w:rsidRDefault="0015535A" w:rsidP="0015535A">
      <w:pPr>
        <w:jc w:val="both"/>
        <w:rPr>
          <w:sz w:val="22"/>
          <w:lang w:val="hr-HR"/>
        </w:rPr>
      </w:pPr>
      <w:bookmarkStart w:id="0" w:name="_Hlk147765974"/>
      <w:r w:rsidRPr="0015535A">
        <w:rPr>
          <w:sz w:val="22"/>
          <w:lang w:val="hr-HR"/>
        </w:rPr>
        <w:t>Ove  početne doze za GvHD se mogu prim</w:t>
      </w:r>
      <w:r w:rsidR="00DD0118">
        <w:rPr>
          <w:sz w:val="22"/>
          <w:lang w:val="hr-HR"/>
        </w:rPr>
        <w:t>j</w:t>
      </w:r>
      <w:r w:rsidRPr="0015535A">
        <w:rPr>
          <w:sz w:val="22"/>
          <w:lang w:val="hr-HR"/>
        </w:rPr>
        <w:t>enjivati koristeći ili tablete za pacijente koji mogu da gutaju c</w:t>
      </w:r>
      <w:r w:rsidR="00DD0118">
        <w:rPr>
          <w:sz w:val="22"/>
          <w:lang w:val="hr-HR"/>
        </w:rPr>
        <w:t>ij</w:t>
      </w:r>
      <w:r w:rsidRPr="0015535A">
        <w:rPr>
          <w:sz w:val="22"/>
          <w:lang w:val="hr-HR"/>
        </w:rPr>
        <w:t>ele tablete ili za oralni rastvor.</w:t>
      </w:r>
      <w:bookmarkEnd w:id="0"/>
    </w:p>
    <w:p w14:paraId="63113E1D" w14:textId="180C315C" w:rsidR="0015535A" w:rsidRPr="0015535A" w:rsidDel="00D84AFB" w:rsidRDefault="0015535A" w:rsidP="0015535A">
      <w:pPr>
        <w:jc w:val="both"/>
        <w:rPr>
          <w:sz w:val="22"/>
          <w:lang w:val="hr-HR"/>
        </w:rPr>
      </w:pPr>
      <w:r w:rsidRPr="0015535A">
        <w:rPr>
          <w:sz w:val="22"/>
          <w:lang w:val="hr-HR"/>
        </w:rPr>
        <w:t>L</w:t>
      </w:r>
      <w:r w:rsidR="00DD0118">
        <w:rPr>
          <w:sz w:val="22"/>
          <w:lang w:val="hr-HR"/>
        </w:rPr>
        <w:t>ij</w:t>
      </w:r>
      <w:r w:rsidRPr="0015535A">
        <w:rPr>
          <w:sz w:val="22"/>
          <w:lang w:val="hr-HR"/>
        </w:rPr>
        <w:t>ek Jakavi, oralni rastvor</w:t>
      </w:r>
      <w:r w:rsidR="00C55389">
        <w:rPr>
          <w:sz w:val="22"/>
          <w:lang w:val="hr-HR"/>
        </w:rPr>
        <w:t>,</w:t>
      </w:r>
      <w:r w:rsidRPr="0015535A">
        <w:rPr>
          <w:sz w:val="22"/>
          <w:lang w:val="hr-HR"/>
        </w:rPr>
        <w:t xml:space="preserve"> nije registrovan u </w:t>
      </w:r>
      <w:r>
        <w:rPr>
          <w:sz w:val="22"/>
          <w:lang w:val="hr-HR"/>
        </w:rPr>
        <w:t>Crnoj Gori</w:t>
      </w:r>
      <w:r w:rsidRPr="0015535A">
        <w:rPr>
          <w:sz w:val="22"/>
          <w:lang w:val="hr-HR"/>
        </w:rPr>
        <w:t>.</w:t>
      </w:r>
    </w:p>
    <w:p w14:paraId="43AB1613" w14:textId="77777777" w:rsidR="0015535A" w:rsidRPr="00F37492" w:rsidRDefault="0015535A" w:rsidP="000A557B">
      <w:pPr>
        <w:jc w:val="both"/>
        <w:rPr>
          <w:sz w:val="22"/>
        </w:rPr>
      </w:pPr>
    </w:p>
    <w:p w14:paraId="74AFEE67" w14:textId="287DA875" w:rsidR="00F37492" w:rsidRPr="00F37492" w:rsidRDefault="00F37492" w:rsidP="000A557B">
      <w:pPr>
        <w:jc w:val="both"/>
        <w:rPr>
          <w:u w:val="single"/>
        </w:rPr>
      </w:pPr>
      <w:r w:rsidRPr="00F37492">
        <w:rPr>
          <w:sz w:val="22"/>
          <w:szCs w:val="22"/>
          <w:lang w:eastAsia="sr-Latn-CS"/>
        </w:rPr>
        <w:t xml:space="preserve">Lijek Jakavi se može uvesti kao dodatna terapija </w:t>
      </w:r>
      <w:r w:rsidR="0015535A">
        <w:rPr>
          <w:sz w:val="22"/>
          <w:szCs w:val="22"/>
          <w:lang w:eastAsia="sr-Latn-CS"/>
        </w:rPr>
        <w:t>uz</w:t>
      </w:r>
      <w:r w:rsidRPr="00F37492">
        <w:rPr>
          <w:sz w:val="22"/>
          <w:szCs w:val="22"/>
          <w:lang w:eastAsia="sr-Latn-CS"/>
        </w:rPr>
        <w:t xml:space="preserve"> kortikosteroid</w:t>
      </w:r>
      <w:r w:rsidR="0015535A">
        <w:rPr>
          <w:sz w:val="22"/>
          <w:szCs w:val="22"/>
          <w:lang w:eastAsia="sr-Latn-CS"/>
        </w:rPr>
        <w:t>e</w:t>
      </w:r>
      <w:r w:rsidRPr="00F37492">
        <w:rPr>
          <w:sz w:val="22"/>
          <w:szCs w:val="22"/>
          <w:lang w:eastAsia="sr-Latn-CS"/>
        </w:rPr>
        <w:t xml:space="preserve"> i/ili inhibitor</w:t>
      </w:r>
      <w:r w:rsidR="0015535A">
        <w:rPr>
          <w:sz w:val="22"/>
          <w:szCs w:val="22"/>
          <w:lang w:eastAsia="sr-Latn-CS"/>
        </w:rPr>
        <w:t>e</w:t>
      </w:r>
      <w:r w:rsidRPr="00F37492">
        <w:rPr>
          <w:sz w:val="22"/>
          <w:szCs w:val="22"/>
          <w:lang w:eastAsia="sr-Latn-CS"/>
        </w:rPr>
        <w:t xml:space="preserve"> kalcineurina (CNI).</w:t>
      </w:r>
    </w:p>
    <w:p w14:paraId="1C59D6A3" w14:textId="77777777" w:rsidR="00F37492" w:rsidRPr="00F37492" w:rsidRDefault="00F37492" w:rsidP="000A557B">
      <w:pPr>
        <w:jc w:val="both"/>
        <w:rPr>
          <w:rFonts w:cs="Arial Unicode MS"/>
          <w:sz w:val="22"/>
          <w:szCs w:val="22"/>
          <w:u w:val="single"/>
          <w:shd w:val="clear" w:color="auto" w:fill="FFFFFF"/>
          <w:lang w:val="sr-Latn-ME" w:eastAsia="sr-Latn-CS"/>
        </w:rPr>
      </w:pPr>
    </w:p>
    <w:p w14:paraId="3D8BF060" w14:textId="5E225733" w:rsidR="00F37492" w:rsidRPr="00F37492" w:rsidRDefault="00AA436A" w:rsidP="000A557B">
      <w:pPr>
        <w:jc w:val="both"/>
        <w:rPr>
          <w:rFonts w:cs="Arial Unicode MS"/>
          <w:iCs/>
          <w:sz w:val="22"/>
          <w:szCs w:val="22"/>
          <w:lang w:val="sr-Latn-ME" w:eastAsia="sr-Latn-ME"/>
        </w:rPr>
      </w:pPr>
      <w:r w:rsidRPr="00F37492">
        <w:rPr>
          <w:i/>
          <w:sz w:val="22"/>
          <w:szCs w:val="22"/>
          <w:u w:val="single"/>
          <w:shd w:val="clear" w:color="auto" w:fill="FFFFFF"/>
          <w:lang w:val="sr-Latn-ME" w:eastAsia="sr-Latn-CS"/>
        </w:rPr>
        <w:t>Podešavanj</w:t>
      </w:r>
      <w:r>
        <w:rPr>
          <w:i/>
          <w:sz w:val="22"/>
          <w:szCs w:val="22"/>
          <w:u w:val="single"/>
          <w:shd w:val="clear" w:color="auto" w:fill="FFFFFF"/>
          <w:lang w:val="sr-Latn-ME" w:eastAsia="sr-Latn-CS"/>
        </w:rPr>
        <w:t>a</w:t>
      </w:r>
      <w:r w:rsidRPr="00F37492">
        <w:rPr>
          <w:i/>
          <w:sz w:val="22"/>
          <w:szCs w:val="22"/>
          <w:u w:val="single"/>
          <w:shd w:val="clear" w:color="auto" w:fill="FFFFFF"/>
          <w:lang w:val="sr-Latn-ME" w:eastAsia="sr-Latn-CS"/>
        </w:rPr>
        <w:t xml:space="preserve"> </w:t>
      </w:r>
      <w:r w:rsidR="00F37492" w:rsidRPr="00F37492">
        <w:rPr>
          <w:i/>
          <w:sz w:val="22"/>
          <w:szCs w:val="22"/>
          <w:u w:val="single"/>
          <w:shd w:val="clear" w:color="auto" w:fill="FFFFFF"/>
          <w:lang w:val="sr-Latn-ME" w:eastAsia="sr-Latn-CS"/>
        </w:rPr>
        <w:t>doze</w:t>
      </w:r>
    </w:p>
    <w:p w14:paraId="3C915F74" w14:textId="77FE02FA" w:rsidR="00F37492" w:rsidRPr="00F37492" w:rsidRDefault="00F37492" w:rsidP="000A557B">
      <w:pPr>
        <w:jc w:val="both"/>
        <w:rPr>
          <w:sz w:val="22"/>
          <w:szCs w:val="22"/>
          <w:lang w:val="sr-Latn-ME" w:eastAsia="sr-Latn-CS"/>
        </w:rPr>
      </w:pPr>
      <w:r w:rsidRPr="00F37492">
        <w:rPr>
          <w:sz w:val="22"/>
          <w:szCs w:val="22"/>
          <w:lang w:val="sr-Latn-ME" w:eastAsia="sr-Latn-CS"/>
        </w:rPr>
        <w:t>Doze se mogu podešavati na osnovu efikasnosti i bezbjednosti</w:t>
      </w:r>
      <w:r w:rsidR="00D32086">
        <w:rPr>
          <w:sz w:val="22"/>
          <w:szCs w:val="22"/>
          <w:lang w:val="sr-Latn-ME" w:eastAsia="sr-Latn-CS"/>
        </w:rPr>
        <w:t xml:space="preserve"> primjene</w:t>
      </w:r>
      <w:r w:rsidRPr="00F37492">
        <w:rPr>
          <w:sz w:val="22"/>
          <w:szCs w:val="22"/>
          <w:lang w:val="sr-Latn-ME" w:eastAsia="sr-Latn-CS"/>
        </w:rPr>
        <w:t xml:space="preserve">. </w:t>
      </w:r>
    </w:p>
    <w:p w14:paraId="3007B10B" w14:textId="77777777" w:rsidR="00F37492" w:rsidRPr="00F37492" w:rsidRDefault="00F37492" w:rsidP="000A557B">
      <w:pPr>
        <w:jc w:val="both"/>
        <w:rPr>
          <w:i/>
          <w:sz w:val="22"/>
          <w:szCs w:val="22"/>
          <w:lang w:val="it-IT" w:eastAsia="sr-Latn-CS"/>
        </w:rPr>
      </w:pPr>
    </w:p>
    <w:p w14:paraId="321FCCE9" w14:textId="77777777" w:rsidR="00F37492" w:rsidRPr="00F37492" w:rsidRDefault="00F37492" w:rsidP="000A557B">
      <w:pPr>
        <w:jc w:val="both"/>
        <w:rPr>
          <w:i/>
          <w:sz w:val="22"/>
          <w:szCs w:val="22"/>
          <w:lang w:val="it-IT" w:eastAsia="sr-Latn-CS"/>
        </w:rPr>
      </w:pPr>
      <w:r w:rsidRPr="00F37492">
        <w:rPr>
          <w:i/>
          <w:sz w:val="22"/>
          <w:szCs w:val="22"/>
          <w:lang w:val="it-IT" w:eastAsia="sr-Latn-CS"/>
        </w:rPr>
        <w:t>Mijelofibroza i policitemija vera</w:t>
      </w:r>
    </w:p>
    <w:p w14:paraId="0904DF4A" w14:textId="12E3D77E" w:rsidR="00F37492" w:rsidRPr="00F37492" w:rsidRDefault="00F37492" w:rsidP="000A557B">
      <w:pPr>
        <w:jc w:val="both"/>
        <w:rPr>
          <w:sz w:val="22"/>
          <w:szCs w:val="22"/>
          <w:lang w:val="sr-Latn-ME" w:eastAsia="sr-Latn-CS"/>
        </w:rPr>
      </w:pPr>
      <w:r w:rsidRPr="00F37492">
        <w:rPr>
          <w:sz w:val="22"/>
          <w:szCs w:val="22"/>
          <w:lang w:val="sr-Latn-ME" w:eastAsia="sr-Latn-CS"/>
        </w:rPr>
        <w:t>Ako se smatra da je efikasnost nedovoljna, a broj trombocita odgovarajući, doza se može povećavati maksimalno 5 mg dva puta na dan, do maksimalne doze do 25 mg dva puta na dan.</w:t>
      </w:r>
    </w:p>
    <w:p w14:paraId="1AF6C8CA" w14:textId="77777777" w:rsidR="00F37492" w:rsidRPr="00F37492" w:rsidRDefault="00F37492" w:rsidP="000A557B">
      <w:pPr>
        <w:jc w:val="both"/>
        <w:rPr>
          <w:sz w:val="22"/>
          <w:szCs w:val="22"/>
          <w:lang w:val="sr-Latn-ME" w:eastAsia="sr-Latn-CS"/>
        </w:rPr>
      </w:pPr>
    </w:p>
    <w:p w14:paraId="0881BBFC" w14:textId="77777777" w:rsidR="00F37492" w:rsidRPr="00F37492" w:rsidRDefault="00F37492" w:rsidP="000A557B">
      <w:pPr>
        <w:jc w:val="both"/>
        <w:rPr>
          <w:sz w:val="22"/>
          <w:szCs w:val="22"/>
          <w:lang w:val="sr-Latn-ME" w:eastAsia="sr-Latn-CS"/>
        </w:rPr>
      </w:pPr>
      <w:r w:rsidRPr="00F37492">
        <w:rPr>
          <w:sz w:val="22"/>
          <w:szCs w:val="22"/>
          <w:lang w:val="sr-Latn-ME" w:eastAsia="sr-Latn-CS"/>
        </w:rPr>
        <w:t>Početnu dozu ne treba povećavati u toku prve četiri nedjelje liječenja, a zatim ne češće od jednom na svake 2 nedjelje.</w:t>
      </w:r>
    </w:p>
    <w:p w14:paraId="74157AC6" w14:textId="77777777" w:rsidR="00F37492" w:rsidRPr="00F37492" w:rsidRDefault="00F37492" w:rsidP="000A557B">
      <w:pPr>
        <w:jc w:val="both"/>
        <w:rPr>
          <w:sz w:val="22"/>
          <w:szCs w:val="22"/>
          <w:lang w:val="sr-Latn-ME" w:eastAsia="sr-Latn-CS"/>
        </w:rPr>
      </w:pPr>
    </w:p>
    <w:p w14:paraId="77140206" w14:textId="28833C0C" w:rsidR="00F37492" w:rsidRPr="00F37492" w:rsidRDefault="00F37492" w:rsidP="000A557B">
      <w:pPr>
        <w:jc w:val="both"/>
        <w:rPr>
          <w:sz w:val="22"/>
          <w:szCs w:val="22"/>
          <w:lang w:val="sr-Latn-ME" w:eastAsia="sr-Latn-CS"/>
        </w:rPr>
      </w:pPr>
      <w:r w:rsidRPr="00F37492">
        <w:rPr>
          <w:sz w:val="22"/>
          <w:szCs w:val="22"/>
          <w:lang w:val="sr-Latn-ME" w:eastAsia="sr-Latn-CS"/>
        </w:rPr>
        <w:t>Terapiju treba obustaviti kad broj trombocita padne ispod 50</w:t>
      </w:r>
      <w:r w:rsidR="00D32086">
        <w:rPr>
          <w:sz w:val="22"/>
          <w:szCs w:val="22"/>
          <w:lang w:val="sr-Latn-ME" w:eastAsia="sr-Latn-CS"/>
        </w:rPr>
        <w:t xml:space="preserve"> </w:t>
      </w:r>
      <w:r w:rsidRPr="00F37492">
        <w:rPr>
          <w:sz w:val="22"/>
          <w:szCs w:val="22"/>
          <w:lang w:val="sr-Latn-ME" w:eastAsia="sr-Latn-CS"/>
        </w:rPr>
        <w:t>000/mm</w:t>
      </w:r>
      <w:r w:rsidRPr="00F37492">
        <w:rPr>
          <w:sz w:val="22"/>
          <w:szCs w:val="22"/>
          <w:vertAlign w:val="superscript"/>
          <w:lang w:val="sr-Latn-ME" w:eastAsia="sr-Latn-CS"/>
        </w:rPr>
        <w:t>3</w:t>
      </w:r>
      <w:r w:rsidRPr="00F37492">
        <w:rPr>
          <w:sz w:val="22"/>
          <w:szCs w:val="22"/>
          <w:lang w:val="sr-Latn-ME" w:eastAsia="sr-Latn-CS"/>
        </w:rPr>
        <w:t xml:space="preserve"> ili kada je apsolutni broj neutrofila manji od 500/mm</w:t>
      </w:r>
      <w:r w:rsidRPr="00F37492">
        <w:rPr>
          <w:sz w:val="22"/>
          <w:szCs w:val="22"/>
          <w:vertAlign w:val="superscript"/>
          <w:lang w:val="sr-Latn-ME" w:eastAsia="sr-Latn-CS"/>
        </w:rPr>
        <w:t>3</w:t>
      </w:r>
      <w:r w:rsidRPr="00F37492">
        <w:rPr>
          <w:sz w:val="22"/>
          <w:szCs w:val="22"/>
          <w:lang w:val="sr-Latn-ME" w:eastAsia="sr-Latn-CS"/>
        </w:rPr>
        <w:t>. Kod PV, terapiju treba takođe obustaviti kada nivo hemoglobina bude manji od 8g/dl. Poslije oporavka krvne slike iznad ovih vrijednosti, doziranje se može ponovo započeti sa 5 mg dva puta na dan i postepeno povećavati na osnovu pažljivog praćenja vrijednosti kompletne krvne slike, uključujući i diferencijaln</w:t>
      </w:r>
      <w:r w:rsidR="00D32086">
        <w:rPr>
          <w:sz w:val="22"/>
          <w:szCs w:val="22"/>
          <w:lang w:val="sr-Latn-ME" w:eastAsia="sr-Latn-CS"/>
        </w:rPr>
        <w:t>u</w:t>
      </w:r>
      <w:r w:rsidRPr="00F37492">
        <w:rPr>
          <w:sz w:val="22"/>
          <w:szCs w:val="22"/>
          <w:lang w:val="sr-Latn-ME" w:eastAsia="sr-Latn-CS"/>
        </w:rPr>
        <w:t xml:space="preserve"> </w:t>
      </w:r>
      <w:r w:rsidR="00D32086">
        <w:rPr>
          <w:sz w:val="22"/>
          <w:szCs w:val="22"/>
          <w:lang w:val="sr-Latn-ME" w:eastAsia="sr-Latn-CS"/>
        </w:rPr>
        <w:t>krvnu sliku</w:t>
      </w:r>
      <w:r w:rsidR="00D32086" w:rsidRPr="00F37492">
        <w:rPr>
          <w:sz w:val="22"/>
          <w:szCs w:val="22"/>
          <w:lang w:val="sr-Latn-ME" w:eastAsia="sr-Latn-CS"/>
        </w:rPr>
        <w:t xml:space="preserve"> </w:t>
      </w:r>
      <w:r w:rsidRPr="00F37492">
        <w:rPr>
          <w:sz w:val="22"/>
          <w:szCs w:val="22"/>
          <w:lang w:val="sr-Latn-ME" w:eastAsia="sr-Latn-CS"/>
        </w:rPr>
        <w:t>leukocita.</w:t>
      </w:r>
    </w:p>
    <w:p w14:paraId="559EA95F" w14:textId="77777777" w:rsidR="00F37492" w:rsidRPr="00F37492" w:rsidRDefault="00F37492" w:rsidP="000A557B">
      <w:pPr>
        <w:jc w:val="both"/>
        <w:rPr>
          <w:rFonts w:cs="Arial Unicode MS"/>
          <w:sz w:val="22"/>
          <w:szCs w:val="22"/>
          <w:lang w:val="sr-Latn-ME" w:eastAsia="sr-Latn-ME"/>
        </w:rPr>
      </w:pPr>
    </w:p>
    <w:p w14:paraId="42D491D4" w14:textId="77B45E6D" w:rsidR="00F37492" w:rsidRPr="00F37492" w:rsidRDefault="00F37492" w:rsidP="000A557B">
      <w:pPr>
        <w:jc w:val="both"/>
        <w:rPr>
          <w:sz w:val="22"/>
          <w:szCs w:val="22"/>
          <w:lang w:val="sr-Latn-ME" w:eastAsia="sr-Latn-CS"/>
        </w:rPr>
      </w:pPr>
      <w:r w:rsidRPr="00F37492">
        <w:rPr>
          <w:sz w:val="22"/>
          <w:szCs w:val="22"/>
          <w:lang w:val="sr-Latn-ME" w:eastAsia="sr-Latn-CS"/>
        </w:rPr>
        <w:t xml:space="preserve">Smanjivanje doze treba uzeti u obzir ako broj trombocita padne tokom terapije kako je navedeno u </w:t>
      </w:r>
      <w:r w:rsidR="00024522">
        <w:rPr>
          <w:sz w:val="22"/>
          <w:szCs w:val="22"/>
          <w:lang w:val="sr-Latn-ME" w:eastAsia="sr-Latn-CS"/>
        </w:rPr>
        <w:t>T</w:t>
      </w:r>
      <w:r w:rsidRPr="00F37492">
        <w:rPr>
          <w:sz w:val="22"/>
          <w:szCs w:val="22"/>
          <w:lang w:val="sr-Latn-ME" w:eastAsia="sr-Latn-CS"/>
        </w:rPr>
        <w:t xml:space="preserve">abeli </w:t>
      </w:r>
      <w:r w:rsidR="0015535A">
        <w:rPr>
          <w:sz w:val="22"/>
          <w:szCs w:val="22"/>
          <w:lang w:val="sr-Latn-ME" w:eastAsia="sr-Latn-CS"/>
        </w:rPr>
        <w:t>4</w:t>
      </w:r>
      <w:r w:rsidRPr="00F37492">
        <w:rPr>
          <w:sz w:val="22"/>
          <w:szCs w:val="22"/>
          <w:lang w:val="sr-Latn-ME" w:eastAsia="sr-Latn-CS"/>
        </w:rPr>
        <w:t>, sa ciljem da se izbjegne kompletna obustava davanja lijeka zbog trombocitopenije.</w:t>
      </w:r>
    </w:p>
    <w:p w14:paraId="6FEB5691" w14:textId="77777777" w:rsidR="00F37492" w:rsidRPr="00F37492" w:rsidRDefault="00F37492" w:rsidP="000A557B">
      <w:pPr>
        <w:jc w:val="both"/>
        <w:rPr>
          <w:sz w:val="22"/>
          <w:szCs w:val="22"/>
          <w:lang w:val="sr-Latn-ME" w:eastAsia="sr-Latn-CS"/>
        </w:rPr>
      </w:pPr>
    </w:p>
    <w:p w14:paraId="3264EFBD" w14:textId="77777777" w:rsidR="00F37492" w:rsidRPr="00F37492" w:rsidRDefault="00F37492" w:rsidP="000A557B">
      <w:pPr>
        <w:jc w:val="both"/>
        <w:rPr>
          <w:b/>
          <w:bCs/>
          <w:sz w:val="22"/>
          <w:szCs w:val="22"/>
          <w:lang w:val="sr-Latn-ME" w:eastAsia="sr-Latn-CS"/>
        </w:rPr>
      </w:pPr>
    </w:p>
    <w:p w14:paraId="654DF143" w14:textId="7FCF961C" w:rsidR="00F37492" w:rsidRPr="00F37492" w:rsidRDefault="00F37492" w:rsidP="000A557B">
      <w:pPr>
        <w:jc w:val="both"/>
        <w:rPr>
          <w:b/>
          <w:bCs/>
          <w:sz w:val="22"/>
          <w:szCs w:val="22"/>
          <w:lang w:val="sr-Latn-ME" w:eastAsia="sr-Latn-CS"/>
        </w:rPr>
      </w:pPr>
      <w:r w:rsidRPr="00F37492">
        <w:rPr>
          <w:b/>
          <w:bCs/>
          <w:sz w:val="22"/>
          <w:szCs w:val="22"/>
          <w:lang w:val="sr-Latn-ME" w:eastAsia="sr-Latn-CS"/>
        </w:rPr>
        <w:t xml:space="preserve">Tabela </w:t>
      </w:r>
      <w:r w:rsidR="0015535A">
        <w:rPr>
          <w:b/>
          <w:bCs/>
          <w:sz w:val="22"/>
          <w:szCs w:val="22"/>
          <w:lang w:val="sr-Latn-ME" w:eastAsia="sr-Latn-CS"/>
        </w:rPr>
        <w:t>4</w:t>
      </w:r>
      <w:r w:rsidR="0015535A" w:rsidRPr="00F37492">
        <w:rPr>
          <w:b/>
          <w:bCs/>
          <w:sz w:val="22"/>
          <w:szCs w:val="22"/>
          <w:lang w:val="sr-Latn-ME" w:eastAsia="sr-Latn-CS"/>
        </w:rPr>
        <w:t xml:space="preserve"> </w:t>
      </w:r>
      <w:r w:rsidRPr="00F37492">
        <w:rPr>
          <w:b/>
          <w:bCs/>
          <w:sz w:val="22"/>
          <w:szCs w:val="22"/>
          <w:lang w:val="sr-Latn-ME" w:eastAsia="sr-Latn-CS"/>
        </w:rPr>
        <w:t>Preporuke doziranja kod pacijenata sa MF zbog trombocitopenije</w:t>
      </w:r>
    </w:p>
    <w:p w14:paraId="7A2D7BBE" w14:textId="77777777" w:rsidR="00F37492" w:rsidRPr="00F37492" w:rsidRDefault="00F37492" w:rsidP="000A557B">
      <w:pPr>
        <w:rPr>
          <w:b/>
          <w:bCs/>
          <w:sz w:val="22"/>
          <w:szCs w:val="22"/>
          <w:u w:val="single"/>
          <w:lang w:val="sr-Latn-ME" w:eastAsia="sr-Latn-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1275"/>
        <w:gridCol w:w="1276"/>
        <w:gridCol w:w="1276"/>
        <w:gridCol w:w="1417"/>
      </w:tblGrid>
      <w:tr w:rsidR="00F37492" w:rsidRPr="00F37492" w14:paraId="7B716DF5" w14:textId="77777777" w:rsidTr="00703819">
        <w:trPr>
          <w:trHeight w:val="499"/>
        </w:trPr>
        <w:tc>
          <w:tcPr>
            <w:tcW w:w="2547" w:type="dxa"/>
            <w:tcBorders>
              <w:top w:val="single" w:sz="4" w:space="0" w:color="auto"/>
              <w:left w:val="single" w:sz="4" w:space="0" w:color="auto"/>
              <w:bottom w:val="single" w:sz="4" w:space="0" w:color="auto"/>
              <w:right w:val="single" w:sz="4" w:space="0" w:color="auto"/>
            </w:tcBorders>
            <w:vAlign w:val="center"/>
          </w:tcPr>
          <w:p w14:paraId="3DF11126" w14:textId="77777777" w:rsidR="00F37492" w:rsidRPr="00F37492" w:rsidRDefault="00F37492" w:rsidP="000A557B">
            <w:pPr>
              <w:keepNext/>
              <w:tabs>
                <w:tab w:val="left" w:pos="284"/>
              </w:tabs>
              <w:rPr>
                <w:sz w:val="22"/>
                <w:szCs w:val="22"/>
                <w:lang w:val="x-none" w:eastAsia="x-none"/>
              </w:rPr>
            </w:pPr>
          </w:p>
        </w:tc>
        <w:tc>
          <w:tcPr>
            <w:tcW w:w="6520" w:type="dxa"/>
            <w:gridSpan w:val="5"/>
            <w:tcBorders>
              <w:top w:val="single" w:sz="4" w:space="0" w:color="auto"/>
              <w:left w:val="single" w:sz="4" w:space="0" w:color="auto"/>
              <w:bottom w:val="single" w:sz="4" w:space="0" w:color="auto"/>
              <w:right w:val="single" w:sz="4" w:space="0" w:color="auto"/>
            </w:tcBorders>
            <w:vAlign w:val="center"/>
            <w:hideMark/>
          </w:tcPr>
          <w:p w14:paraId="642BB2A6" w14:textId="77777777" w:rsidR="00F37492" w:rsidRPr="00F37492" w:rsidRDefault="00F37492" w:rsidP="000A557B">
            <w:pPr>
              <w:keepNext/>
              <w:tabs>
                <w:tab w:val="left" w:pos="284"/>
              </w:tabs>
              <w:jc w:val="center"/>
              <w:rPr>
                <w:b/>
                <w:sz w:val="22"/>
                <w:szCs w:val="22"/>
                <w:lang w:val="x-none" w:eastAsia="x-none"/>
              </w:rPr>
            </w:pPr>
            <w:r w:rsidRPr="00F37492">
              <w:rPr>
                <w:b/>
                <w:sz w:val="22"/>
                <w:szCs w:val="22"/>
                <w:lang w:val="x-none" w:eastAsia="x-none"/>
              </w:rPr>
              <w:t>Do</w:t>
            </w:r>
            <w:r w:rsidRPr="00F37492">
              <w:rPr>
                <w:b/>
                <w:sz w:val="22"/>
                <w:szCs w:val="22"/>
                <w:lang w:val="sr-Latn-RS" w:eastAsia="x-none"/>
              </w:rPr>
              <w:t>za u trenutku pada broja trombocita</w:t>
            </w:r>
          </w:p>
        </w:tc>
      </w:tr>
      <w:tr w:rsidR="00F37492" w:rsidRPr="00F37492" w14:paraId="29108F5A" w14:textId="77777777" w:rsidTr="00703819">
        <w:tc>
          <w:tcPr>
            <w:tcW w:w="2547" w:type="dxa"/>
            <w:tcBorders>
              <w:top w:val="single" w:sz="4" w:space="0" w:color="auto"/>
              <w:left w:val="single" w:sz="4" w:space="0" w:color="auto"/>
              <w:bottom w:val="single" w:sz="4" w:space="0" w:color="auto"/>
              <w:right w:val="single" w:sz="4" w:space="0" w:color="auto"/>
            </w:tcBorders>
            <w:vAlign w:val="center"/>
          </w:tcPr>
          <w:p w14:paraId="4994402C" w14:textId="77777777" w:rsidR="00F37492" w:rsidRPr="00F37492" w:rsidRDefault="00F37492" w:rsidP="000A557B">
            <w:pPr>
              <w:keepNext/>
              <w:tabs>
                <w:tab w:val="left" w:pos="284"/>
              </w:tabs>
              <w:rPr>
                <w:sz w:val="22"/>
                <w:szCs w:val="22"/>
                <w:lang w:val="x-none" w:eastAsia="x-none"/>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6EAEAD"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25 mg</w:t>
            </w:r>
            <w:r w:rsidRPr="00F37492">
              <w:rPr>
                <w:sz w:val="22"/>
                <w:szCs w:val="22"/>
                <w:lang w:val="x-none" w:eastAsia="x-none"/>
              </w:rPr>
              <w:br/>
            </w:r>
            <w:r w:rsidRPr="00F37492">
              <w:rPr>
                <w:sz w:val="22"/>
                <w:szCs w:val="22"/>
                <w:lang w:val="sr-Latn-RS" w:eastAsia="x-none"/>
              </w:rPr>
              <w:t>dva puta na dan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3002C1"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20 mg</w:t>
            </w:r>
            <w:r w:rsidRPr="00F37492">
              <w:rPr>
                <w:sz w:val="22"/>
                <w:szCs w:val="22"/>
                <w:lang w:val="x-none" w:eastAsia="x-none"/>
              </w:rPr>
              <w:br/>
            </w:r>
            <w:r w:rsidRPr="00F37492">
              <w:rPr>
                <w:sz w:val="22"/>
                <w:szCs w:val="22"/>
                <w:lang w:val="sr-Latn-RS" w:eastAsia="x-none"/>
              </w:rPr>
              <w:t>dva puta na dan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E69322"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15 mg</w:t>
            </w:r>
            <w:r w:rsidRPr="00F37492">
              <w:rPr>
                <w:sz w:val="22"/>
                <w:szCs w:val="22"/>
                <w:lang w:val="x-none" w:eastAsia="x-none"/>
              </w:rPr>
              <w:br/>
            </w:r>
            <w:r w:rsidRPr="00F37492">
              <w:rPr>
                <w:sz w:val="22"/>
                <w:szCs w:val="22"/>
                <w:lang w:val="sr-Latn-RS" w:eastAsia="x-none"/>
              </w:rPr>
              <w:t>dva puta na dan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A76434"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10 mg</w:t>
            </w:r>
            <w:r w:rsidRPr="00F37492">
              <w:rPr>
                <w:sz w:val="22"/>
                <w:szCs w:val="22"/>
                <w:lang w:val="x-none" w:eastAsia="x-none"/>
              </w:rPr>
              <w:br/>
            </w:r>
            <w:r w:rsidRPr="00F37492">
              <w:rPr>
                <w:sz w:val="22"/>
                <w:szCs w:val="22"/>
                <w:lang w:val="sr-Latn-RS" w:eastAsia="x-none"/>
              </w:rPr>
              <w:t>dva puta na dan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BC0B76" w14:textId="77777777" w:rsidR="00F37492" w:rsidRPr="00F37492" w:rsidRDefault="00F37492" w:rsidP="000A557B">
            <w:pPr>
              <w:rPr>
                <w:szCs w:val="20"/>
              </w:rPr>
            </w:pPr>
            <w:r w:rsidRPr="00F37492">
              <w:t>5 mg</w:t>
            </w:r>
            <w:r w:rsidRPr="00F37492">
              <w:br/>
              <w:t>dva puta na dan</w:t>
            </w:r>
          </w:p>
        </w:tc>
      </w:tr>
      <w:tr w:rsidR="00F37492" w:rsidRPr="00F37492" w14:paraId="341C3EE5" w14:textId="77777777" w:rsidTr="00703819">
        <w:trPr>
          <w:trHeight w:val="458"/>
        </w:trPr>
        <w:tc>
          <w:tcPr>
            <w:tcW w:w="2547" w:type="dxa"/>
            <w:tcBorders>
              <w:top w:val="single" w:sz="4" w:space="0" w:color="auto"/>
              <w:left w:val="single" w:sz="4" w:space="0" w:color="auto"/>
              <w:bottom w:val="single" w:sz="4" w:space="0" w:color="auto"/>
              <w:right w:val="single" w:sz="4" w:space="0" w:color="auto"/>
            </w:tcBorders>
            <w:vAlign w:val="center"/>
            <w:hideMark/>
          </w:tcPr>
          <w:p w14:paraId="7B582F3B" w14:textId="77777777" w:rsidR="00F37492" w:rsidRPr="00F37492" w:rsidRDefault="00F37492" w:rsidP="000A557B">
            <w:pPr>
              <w:keepNext/>
              <w:tabs>
                <w:tab w:val="left" w:pos="284"/>
              </w:tabs>
              <w:rPr>
                <w:b/>
                <w:sz w:val="22"/>
                <w:szCs w:val="22"/>
                <w:lang w:val="sr-Latn-RS" w:eastAsia="x-none"/>
              </w:rPr>
            </w:pPr>
            <w:r w:rsidRPr="00F37492">
              <w:rPr>
                <w:b/>
                <w:sz w:val="22"/>
                <w:szCs w:val="22"/>
                <w:lang w:val="sr-Latn-RS" w:eastAsia="x-none"/>
              </w:rPr>
              <w:t>Broj trombocita</w:t>
            </w:r>
          </w:p>
        </w:tc>
        <w:tc>
          <w:tcPr>
            <w:tcW w:w="6520" w:type="dxa"/>
            <w:gridSpan w:val="5"/>
            <w:tcBorders>
              <w:top w:val="single" w:sz="4" w:space="0" w:color="auto"/>
              <w:left w:val="single" w:sz="4" w:space="0" w:color="auto"/>
              <w:bottom w:val="single" w:sz="4" w:space="0" w:color="auto"/>
              <w:right w:val="single" w:sz="4" w:space="0" w:color="auto"/>
            </w:tcBorders>
            <w:vAlign w:val="center"/>
            <w:hideMark/>
          </w:tcPr>
          <w:p w14:paraId="0118EBD7" w14:textId="77777777" w:rsidR="00F37492" w:rsidRPr="00F37492" w:rsidRDefault="00F37492" w:rsidP="000A557B">
            <w:pPr>
              <w:keepNext/>
              <w:tabs>
                <w:tab w:val="left" w:pos="284"/>
              </w:tabs>
              <w:jc w:val="center"/>
              <w:rPr>
                <w:b/>
                <w:sz w:val="22"/>
                <w:szCs w:val="22"/>
                <w:lang w:val="sr-Latn-RS" w:eastAsia="x-none"/>
              </w:rPr>
            </w:pPr>
            <w:r w:rsidRPr="00F37492">
              <w:rPr>
                <w:b/>
                <w:sz w:val="22"/>
                <w:szCs w:val="22"/>
                <w:lang w:val="x-none" w:eastAsia="x-none"/>
              </w:rPr>
              <w:t>N</w:t>
            </w:r>
            <w:r w:rsidRPr="00F37492">
              <w:rPr>
                <w:b/>
                <w:sz w:val="22"/>
                <w:szCs w:val="22"/>
                <w:lang w:val="sr-Latn-RS" w:eastAsia="x-none"/>
              </w:rPr>
              <w:t>ova doza</w:t>
            </w:r>
          </w:p>
        </w:tc>
      </w:tr>
      <w:tr w:rsidR="00F37492" w:rsidRPr="00F37492" w14:paraId="31DA7073" w14:textId="77777777" w:rsidTr="00703819">
        <w:tc>
          <w:tcPr>
            <w:tcW w:w="2547" w:type="dxa"/>
            <w:tcBorders>
              <w:top w:val="single" w:sz="4" w:space="0" w:color="auto"/>
              <w:left w:val="single" w:sz="4" w:space="0" w:color="auto"/>
              <w:bottom w:val="single" w:sz="4" w:space="0" w:color="auto"/>
              <w:right w:val="single" w:sz="4" w:space="0" w:color="auto"/>
            </w:tcBorders>
            <w:vAlign w:val="center"/>
            <w:hideMark/>
          </w:tcPr>
          <w:p w14:paraId="3AA59BFA" w14:textId="0E9B0BA8" w:rsidR="00F37492" w:rsidRPr="00F37492" w:rsidRDefault="00F37492" w:rsidP="000A557B">
            <w:pPr>
              <w:keepNext/>
              <w:tabs>
                <w:tab w:val="left" w:pos="284"/>
              </w:tabs>
              <w:rPr>
                <w:sz w:val="22"/>
                <w:szCs w:val="22"/>
                <w:lang w:val="x-none" w:eastAsia="x-none"/>
              </w:rPr>
            </w:pPr>
            <w:r w:rsidRPr="00F37492">
              <w:rPr>
                <w:sz w:val="22"/>
                <w:szCs w:val="22"/>
                <w:lang w:val="x-none" w:eastAsia="x-none"/>
              </w:rPr>
              <w:t>100</w:t>
            </w:r>
            <w:r w:rsidR="00D32086">
              <w:rPr>
                <w:sz w:val="22"/>
                <w:szCs w:val="22"/>
                <w:lang w:val="sr-Latn-ME" w:eastAsia="x-none"/>
              </w:rPr>
              <w:t xml:space="preserve"> </w:t>
            </w:r>
            <w:r w:rsidRPr="00F37492">
              <w:rPr>
                <w:sz w:val="22"/>
                <w:szCs w:val="22"/>
                <w:lang w:val="x-none" w:eastAsia="x-none"/>
              </w:rPr>
              <w:t xml:space="preserve">000 </w:t>
            </w:r>
            <w:r w:rsidRPr="00F37492">
              <w:rPr>
                <w:sz w:val="22"/>
                <w:szCs w:val="22"/>
                <w:lang w:val="sr-Latn-RS" w:eastAsia="x-none"/>
              </w:rPr>
              <w:t>d</w:t>
            </w:r>
            <w:r w:rsidRPr="00F37492">
              <w:rPr>
                <w:sz w:val="22"/>
                <w:szCs w:val="22"/>
                <w:lang w:val="x-none" w:eastAsia="x-none"/>
              </w:rPr>
              <w:t xml:space="preserve">o </w:t>
            </w:r>
            <w:r w:rsidR="00AA436A" w:rsidRPr="00F37492">
              <w:rPr>
                <w:sz w:val="22"/>
                <w:szCs w:val="22"/>
                <w:lang w:val="x-none" w:eastAsia="x-none"/>
              </w:rPr>
              <w:t>&lt;</w:t>
            </w:r>
            <w:r w:rsidRPr="00F37492">
              <w:rPr>
                <w:sz w:val="22"/>
                <w:szCs w:val="22"/>
                <w:lang w:val="x-none" w:eastAsia="x-none"/>
              </w:rPr>
              <w:t>125</w:t>
            </w:r>
            <w:r w:rsidR="00D32086">
              <w:rPr>
                <w:sz w:val="22"/>
                <w:szCs w:val="22"/>
                <w:lang w:val="sr-Latn-ME" w:eastAsia="x-none"/>
              </w:rPr>
              <w:t xml:space="preserve"> </w:t>
            </w:r>
            <w:r w:rsidRPr="00F37492">
              <w:rPr>
                <w:sz w:val="22"/>
                <w:szCs w:val="22"/>
                <w:lang w:val="x-none" w:eastAsia="x-none"/>
              </w:rPr>
              <w:t>000/mm</w:t>
            </w:r>
            <w:r w:rsidRPr="00F37492">
              <w:rPr>
                <w:sz w:val="22"/>
                <w:szCs w:val="22"/>
                <w:vertAlign w:val="superscript"/>
                <w:lang w:val="x-none" w:eastAsia="x-none"/>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5DA16B"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20 mg</w:t>
            </w:r>
            <w:r w:rsidRPr="00F37492">
              <w:rPr>
                <w:sz w:val="22"/>
                <w:szCs w:val="22"/>
                <w:lang w:val="x-none" w:eastAsia="x-none"/>
              </w:rPr>
              <w:br/>
              <w:t>dva puta na dan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067510"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15 mg</w:t>
            </w:r>
            <w:r w:rsidRPr="00F37492">
              <w:rPr>
                <w:sz w:val="22"/>
                <w:szCs w:val="22"/>
                <w:lang w:val="x-none" w:eastAsia="x-none"/>
              </w:rPr>
              <w:br/>
              <w:t>dva puta na dan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C5D5EF"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Nema izm</w:t>
            </w:r>
            <w:r w:rsidRPr="00F37492">
              <w:rPr>
                <w:sz w:val="22"/>
                <w:szCs w:val="22"/>
                <w:lang w:val="sr-Latn-RS" w:eastAsia="x-none"/>
              </w:rPr>
              <w:t>j</w:t>
            </w:r>
            <w:r w:rsidRPr="00F37492">
              <w:rPr>
                <w:sz w:val="22"/>
                <w:szCs w:val="22"/>
                <w:lang w:val="x-none" w:eastAsia="x-none"/>
              </w:rPr>
              <w:t>ene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ACF39D"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Nema izm</w:t>
            </w:r>
            <w:r w:rsidRPr="00F37492">
              <w:rPr>
                <w:sz w:val="22"/>
                <w:szCs w:val="22"/>
                <w:lang w:val="sr-Latn-RS" w:eastAsia="x-none"/>
              </w:rPr>
              <w:t>j</w:t>
            </w:r>
            <w:r w:rsidRPr="00F37492">
              <w:rPr>
                <w:sz w:val="22"/>
                <w:szCs w:val="22"/>
                <w:lang w:val="x-none" w:eastAsia="x-none"/>
              </w:rPr>
              <w:t>ene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0A93F1"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Nema izm</w:t>
            </w:r>
            <w:r w:rsidRPr="00F37492">
              <w:rPr>
                <w:sz w:val="22"/>
                <w:szCs w:val="22"/>
                <w:lang w:val="sr-Latn-RS" w:eastAsia="x-none"/>
              </w:rPr>
              <w:t>j</w:t>
            </w:r>
            <w:r w:rsidRPr="00F37492">
              <w:rPr>
                <w:sz w:val="22"/>
                <w:szCs w:val="22"/>
                <w:lang w:val="x-none" w:eastAsia="x-none"/>
              </w:rPr>
              <w:t>ene</w:t>
            </w:r>
          </w:p>
        </w:tc>
      </w:tr>
      <w:tr w:rsidR="00F37492" w:rsidRPr="00F37492" w14:paraId="35745E4A" w14:textId="77777777" w:rsidTr="00703819">
        <w:tc>
          <w:tcPr>
            <w:tcW w:w="2547" w:type="dxa"/>
            <w:tcBorders>
              <w:top w:val="single" w:sz="4" w:space="0" w:color="auto"/>
              <w:left w:val="single" w:sz="4" w:space="0" w:color="auto"/>
              <w:bottom w:val="single" w:sz="4" w:space="0" w:color="auto"/>
              <w:right w:val="single" w:sz="4" w:space="0" w:color="auto"/>
            </w:tcBorders>
            <w:vAlign w:val="center"/>
            <w:hideMark/>
          </w:tcPr>
          <w:p w14:paraId="2418B4D6" w14:textId="3B760A78" w:rsidR="00F37492" w:rsidRPr="00F37492" w:rsidRDefault="00F37492" w:rsidP="000A557B">
            <w:pPr>
              <w:keepNext/>
              <w:tabs>
                <w:tab w:val="left" w:pos="284"/>
              </w:tabs>
              <w:rPr>
                <w:sz w:val="22"/>
                <w:szCs w:val="22"/>
                <w:lang w:val="x-none" w:eastAsia="x-none"/>
              </w:rPr>
            </w:pPr>
            <w:r w:rsidRPr="00F37492">
              <w:rPr>
                <w:sz w:val="22"/>
                <w:szCs w:val="22"/>
                <w:lang w:val="x-none" w:eastAsia="x-none"/>
              </w:rPr>
              <w:t>75</w:t>
            </w:r>
            <w:r w:rsidR="00D32086">
              <w:rPr>
                <w:sz w:val="22"/>
                <w:szCs w:val="22"/>
                <w:lang w:val="sr-Latn-ME" w:eastAsia="x-none"/>
              </w:rPr>
              <w:t xml:space="preserve"> </w:t>
            </w:r>
            <w:r w:rsidRPr="00F37492">
              <w:rPr>
                <w:sz w:val="22"/>
                <w:szCs w:val="22"/>
                <w:lang w:val="x-none" w:eastAsia="x-none"/>
              </w:rPr>
              <w:t>000 do &lt;100</w:t>
            </w:r>
            <w:r w:rsidR="00D32086">
              <w:rPr>
                <w:sz w:val="22"/>
                <w:szCs w:val="22"/>
                <w:lang w:val="sr-Latn-ME" w:eastAsia="x-none"/>
              </w:rPr>
              <w:t xml:space="preserve"> </w:t>
            </w:r>
            <w:r w:rsidRPr="00F37492">
              <w:rPr>
                <w:sz w:val="22"/>
                <w:szCs w:val="22"/>
                <w:lang w:val="x-none" w:eastAsia="x-none"/>
              </w:rPr>
              <w:t>000/mm</w:t>
            </w:r>
            <w:r w:rsidRPr="00F37492">
              <w:rPr>
                <w:sz w:val="22"/>
                <w:szCs w:val="22"/>
                <w:vertAlign w:val="superscript"/>
                <w:lang w:val="x-none" w:eastAsia="x-none"/>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DE2D0A"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10 mg</w:t>
            </w:r>
            <w:r w:rsidRPr="00F37492">
              <w:rPr>
                <w:sz w:val="22"/>
                <w:szCs w:val="22"/>
                <w:lang w:val="x-none" w:eastAsia="x-none"/>
              </w:rPr>
              <w:br/>
              <w:t>dva puta na dan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72B46D"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10 mg</w:t>
            </w:r>
            <w:r w:rsidRPr="00F37492">
              <w:rPr>
                <w:sz w:val="22"/>
                <w:szCs w:val="22"/>
                <w:lang w:val="x-none" w:eastAsia="x-none"/>
              </w:rPr>
              <w:br/>
              <w:t>dva puta na dan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805A44"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10 mg</w:t>
            </w:r>
            <w:r w:rsidRPr="00F37492">
              <w:rPr>
                <w:sz w:val="22"/>
                <w:szCs w:val="22"/>
                <w:lang w:val="x-none" w:eastAsia="x-none"/>
              </w:rPr>
              <w:br/>
              <w:t>dva puta na dan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13C40A"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Nema izm</w:t>
            </w:r>
            <w:r w:rsidRPr="00F37492">
              <w:rPr>
                <w:sz w:val="22"/>
                <w:szCs w:val="22"/>
                <w:lang w:val="sr-Latn-RS" w:eastAsia="x-none"/>
              </w:rPr>
              <w:t>j</w:t>
            </w:r>
            <w:r w:rsidRPr="00F37492">
              <w:rPr>
                <w:sz w:val="22"/>
                <w:szCs w:val="22"/>
                <w:lang w:val="x-none" w:eastAsia="x-none"/>
              </w:rPr>
              <w:t>ene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5470B4"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Nema izm</w:t>
            </w:r>
            <w:r w:rsidRPr="00F37492">
              <w:rPr>
                <w:sz w:val="22"/>
                <w:szCs w:val="22"/>
                <w:lang w:val="sr-Latn-RS" w:eastAsia="x-none"/>
              </w:rPr>
              <w:t>j</w:t>
            </w:r>
            <w:r w:rsidRPr="00F37492">
              <w:rPr>
                <w:sz w:val="22"/>
                <w:szCs w:val="22"/>
                <w:lang w:val="x-none" w:eastAsia="x-none"/>
              </w:rPr>
              <w:t>ene</w:t>
            </w:r>
          </w:p>
        </w:tc>
      </w:tr>
      <w:tr w:rsidR="00F37492" w:rsidRPr="00F37492" w14:paraId="10DDD6D0" w14:textId="77777777" w:rsidTr="00703819">
        <w:tc>
          <w:tcPr>
            <w:tcW w:w="2547" w:type="dxa"/>
            <w:tcBorders>
              <w:top w:val="single" w:sz="4" w:space="0" w:color="auto"/>
              <w:left w:val="single" w:sz="4" w:space="0" w:color="auto"/>
              <w:bottom w:val="single" w:sz="4" w:space="0" w:color="auto"/>
              <w:right w:val="single" w:sz="4" w:space="0" w:color="auto"/>
            </w:tcBorders>
            <w:vAlign w:val="center"/>
            <w:hideMark/>
          </w:tcPr>
          <w:p w14:paraId="4C521FDD" w14:textId="50FC51A8" w:rsidR="00F37492" w:rsidRPr="00F37492" w:rsidRDefault="00F37492" w:rsidP="000A557B">
            <w:pPr>
              <w:keepNext/>
              <w:tabs>
                <w:tab w:val="left" w:pos="284"/>
              </w:tabs>
              <w:rPr>
                <w:sz w:val="22"/>
                <w:szCs w:val="22"/>
                <w:lang w:val="x-none" w:eastAsia="x-none"/>
              </w:rPr>
            </w:pPr>
            <w:r w:rsidRPr="00F37492">
              <w:rPr>
                <w:sz w:val="22"/>
                <w:szCs w:val="22"/>
                <w:lang w:val="x-none" w:eastAsia="x-none"/>
              </w:rPr>
              <w:t>50</w:t>
            </w:r>
            <w:r w:rsidR="00D32086">
              <w:rPr>
                <w:sz w:val="22"/>
                <w:szCs w:val="22"/>
                <w:lang w:val="sr-Latn-ME" w:eastAsia="x-none"/>
              </w:rPr>
              <w:t xml:space="preserve"> </w:t>
            </w:r>
            <w:r w:rsidRPr="00F37492">
              <w:rPr>
                <w:sz w:val="22"/>
                <w:szCs w:val="22"/>
                <w:lang w:val="x-none" w:eastAsia="x-none"/>
              </w:rPr>
              <w:t>000 do &lt;75</w:t>
            </w:r>
            <w:r w:rsidR="00D32086">
              <w:rPr>
                <w:sz w:val="22"/>
                <w:szCs w:val="22"/>
                <w:lang w:val="sr-Latn-ME" w:eastAsia="x-none"/>
              </w:rPr>
              <w:t xml:space="preserve"> </w:t>
            </w:r>
            <w:r w:rsidRPr="00F37492">
              <w:rPr>
                <w:sz w:val="22"/>
                <w:szCs w:val="22"/>
                <w:lang w:val="x-none" w:eastAsia="x-none"/>
              </w:rPr>
              <w:t>000/mm</w:t>
            </w:r>
            <w:r w:rsidRPr="00F37492">
              <w:rPr>
                <w:sz w:val="22"/>
                <w:szCs w:val="22"/>
                <w:vertAlign w:val="superscript"/>
                <w:lang w:val="x-none" w:eastAsia="x-none"/>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9D391B"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5 mg</w:t>
            </w:r>
            <w:r w:rsidRPr="00F37492">
              <w:rPr>
                <w:sz w:val="22"/>
                <w:szCs w:val="22"/>
                <w:lang w:val="x-none" w:eastAsia="x-none"/>
              </w:rPr>
              <w:br/>
              <w:t>dva puta na dan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A46FC9"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5 mg</w:t>
            </w:r>
            <w:r w:rsidRPr="00F37492">
              <w:rPr>
                <w:sz w:val="22"/>
                <w:szCs w:val="22"/>
                <w:lang w:val="x-none" w:eastAsia="x-none"/>
              </w:rPr>
              <w:br/>
              <w:t>dva puta na dan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616DF3"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5 mg</w:t>
            </w:r>
            <w:r w:rsidRPr="00F37492">
              <w:rPr>
                <w:sz w:val="22"/>
                <w:szCs w:val="22"/>
                <w:lang w:val="x-none" w:eastAsia="x-none"/>
              </w:rPr>
              <w:br/>
              <w:t>dva puta na dan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C3EDE7"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5 mg</w:t>
            </w:r>
            <w:r w:rsidRPr="00F37492">
              <w:rPr>
                <w:sz w:val="22"/>
                <w:szCs w:val="22"/>
                <w:lang w:val="x-none" w:eastAsia="x-none"/>
              </w:rPr>
              <w:br/>
              <w:t>dva puta na dan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8A7CAD" w14:textId="77777777" w:rsidR="00F37492" w:rsidRPr="00F37492" w:rsidRDefault="00F37492" w:rsidP="000A557B">
            <w:pPr>
              <w:keepNext/>
              <w:tabs>
                <w:tab w:val="left" w:pos="284"/>
              </w:tabs>
              <w:rPr>
                <w:sz w:val="22"/>
                <w:szCs w:val="22"/>
                <w:lang w:val="x-none" w:eastAsia="x-none"/>
              </w:rPr>
            </w:pPr>
            <w:r w:rsidRPr="00F37492">
              <w:rPr>
                <w:sz w:val="22"/>
                <w:szCs w:val="22"/>
                <w:lang w:val="x-none" w:eastAsia="x-none"/>
              </w:rPr>
              <w:t>Nema izm</w:t>
            </w:r>
            <w:r w:rsidRPr="00F37492">
              <w:rPr>
                <w:sz w:val="22"/>
                <w:szCs w:val="22"/>
                <w:lang w:val="sr-Latn-RS" w:eastAsia="x-none"/>
              </w:rPr>
              <w:t>j</w:t>
            </w:r>
            <w:r w:rsidRPr="00F37492">
              <w:rPr>
                <w:sz w:val="22"/>
                <w:szCs w:val="22"/>
                <w:lang w:val="x-none" w:eastAsia="x-none"/>
              </w:rPr>
              <w:t>ene</w:t>
            </w:r>
          </w:p>
        </w:tc>
      </w:tr>
      <w:tr w:rsidR="00F37492" w:rsidRPr="00F37492" w14:paraId="5884EC9D" w14:textId="77777777" w:rsidTr="00703819">
        <w:trPr>
          <w:trHeight w:val="429"/>
        </w:trPr>
        <w:tc>
          <w:tcPr>
            <w:tcW w:w="2547" w:type="dxa"/>
            <w:tcBorders>
              <w:top w:val="single" w:sz="4" w:space="0" w:color="auto"/>
              <w:left w:val="single" w:sz="4" w:space="0" w:color="auto"/>
              <w:bottom w:val="single" w:sz="4" w:space="0" w:color="auto"/>
              <w:right w:val="single" w:sz="4" w:space="0" w:color="auto"/>
            </w:tcBorders>
            <w:vAlign w:val="center"/>
            <w:hideMark/>
          </w:tcPr>
          <w:p w14:paraId="29869480" w14:textId="7AD56B53" w:rsidR="00F37492" w:rsidRPr="00F37492" w:rsidRDefault="00F37492" w:rsidP="000A557B">
            <w:pPr>
              <w:tabs>
                <w:tab w:val="left" w:pos="284"/>
              </w:tabs>
              <w:rPr>
                <w:sz w:val="22"/>
                <w:szCs w:val="22"/>
                <w:lang w:val="x-none" w:eastAsia="x-none"/>
              </w:rPr>
            </w:pPr>
            <w:r w:rsidRPr="00F37492">
              <w:rPr>
                <w:sz w:val="22"/>
                <w:szCs w:val="22"/>
                <w:lang w:val="sr-Latn-RS" w:eastAsia="x-none"/>
              </w:rPr>
              <w:t>Manje od</w:t>
            </w:r>
            <w:r w:rsidRPr="00F37492">
              <w:rPr>
                <w:sz w:val="22"/>
                <w:szCs w:val="22"/>
                <w:lang w:val="x-none" w:eastAsia="x-none"/>
              </w:rPr>
              <w:t xml:space="preserve"> 50</w:t>
            </w:r>
            <w:r w:rsidR="00D32086">
              <w:rPr>
                <w:sz w:val="22"/>
                <w:szCs w:val="22"/>
                <w:lang w:val="sr-Latn-ME" w:eastAsia="x-none"/>
              </w:rPr>
              <w:t xml:space="preserve"> </w:t>
            </w:r>
            <w:r w:rsidRPr="00F37492">
              <w:rPr>
                <w:sz w:val="22"/>
                <w:szCs w:val="22"/>
                <w:lang w:val="x-none" w:eastAsia="x-none"/>
              </w:rPr>
              <w:t>000/mm</w:t>
            </w:r>
            <w:r w:rsidRPr="00F37492">
              <w:rPr>
                <w:sz w:val="22"/>
                <w:szCs w:val="22"/>
                <w:vertAlign w:val="superscript"/>
                <w:lang w:val="x-none" w:eastAsia="x-none"/>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FBA90D" w14:textId="77777777" w:rsidR="00F37492" w:rsidRPr="00F37492" w:rsidRDefault="00F37492" w:rsidP="000A557B">
            <w:pPr>
              <w:tabs>
                <w:tab w:val="left" w:pos="284"/>
              </w:tabs>
              <w:rPr>
                <w:sz w:val="22"/>
                <w:szCs w:val="22"/>
                <w:lang w:val="sr-Latn-RS" w:eastAsia="x-none"/>
              </w:rPr>
            </w:pPr>
            <w:r w:rsidRPr="00F37492">
              <w:rPr>
                <w:sz w:val="22"/>
                <w:szCs w:val="22"/>
                <w:lang w:val="sr-Latn-RS" w:eastAsia="x-none"/>
              </w:rPr>
              <w:t>Obustava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911431" w14:textId="77777777" w:rsidR="00F37492" w:rsidRPr="00F37492" w:rsidRDefault="00F37492" w:rsidP="000A557B">
            <w:pPr>
              <w:tabs>
                <w:tab w:val="left" w:pos="284"/>
              </w:tabs>
              <w:rPr>
                <w:sz w:val="22"/>
                <w:szCs w:val="22"/>
                <w:lang w:val="sr-Latn-RS" w:eastAsia="x-none"/>
              </w:rPr>
            </w:pPr>
            <w:r w:rsidRPr="00F37492">
              <w:rPr>
                <w:sz w:val="22"/>
                <w:szCs w:val="22"/>
                <w:lang w:val="sr-Latn-RS" w:eastAsia="x-none"/>
              </w:rPr>
              <w:t>Obustava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C065AE" w14:textId="77777777" w:rsidR="00F37492" w:rsidRPr="00F37492" w:rsidRDefault="00F37492" w:rsidP="000A557B">
            <w:pPr>
              <w:tabs>
                <w:tab w:val="left" w:pos="284"/>
              </w:tabs>
              <w:rPr>
                <w:sz w:val="22"/>
                <w:szCs w:val="22"/>
                <w:lang w:val="sr-Latn-RS" w:eastAsia="x-none"/>
              </w:rPr>
            </w:pPr>
            <w:r w:rsidRPr="00F37492">
              <w:rPr>
                <w:sz w:val="22"/>
                <w:szCs w:val="22"/>
                <w:lang w:val="sr-Latn-RS" w:eastAsia="x-none"/>
              </w:rPr>
              <w:t>Obustava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09A1CC" w14:textId="77777777" w:rsidR="00F37492" w:rsidRPr="00F37492" w:rsidRDefault="00F37492" w:rsidP="000A557B">
            <w:pPr>
              <w:tabs>
                <w:tab w:val="left" w:pos="284"/>
              </w:tabs>
              <w:rPr>
                <w:sz w:val="22"/>
                <w:szCs w:val="22"/>
                <w:lang w:val="x-none" w:eastAsia="x-none"/>
              </w:rPr>
            </w:pPr>
            <w:r w:rsidRPr="00F37492">
              <w:rPr>
                <w:sz w:val="22"/>
                <w:szCs w:val="22"/>
                <w:lang w:val="sr-Latn-RS" w:eastAsia="x-none"/>
              </w:rPr>
              <w:t>Obustava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90E3EE" w14:textId="77777777" w:rsidR="00F37492" w:rsidRPr="00F37492" w:rsidRDefault="00F37492" w:rsidP="000A557B">
            <w:pPr>
              <w:tabs>
                <w:tab w:val="left" w:pos="284"/>
              </w:tabs>
              <w:rPr>
                <w:sz w:val="22"/>
                <w:szCs w:val="22"/>
                <w:lang w:val="x-none" w:eastAsia="x-none"/>
              </w:rPr>
            </w:pPr>
            <w:r w:rsidRPr="00F37492">
              <w:rPr>
                <w:sz w:val="22"/>
                <w:szCs w:val="22"/>
                <w:lang w:val="sr-Latn-RS" w:eastAsia="x-none"/>
              </w:rPr>
              <w:t>Obustava</w:t>
            </w:r>
          </w:p>
        </w:tc>
      </w:tr>
    </w:tbl>
    <w:p w14:paraId="7E7623FD" w14:textId="77777777" w:rsidR="00F37492" w:rsidRPr="00F37492" w:rsidRDefault="00F37492" w:rsidP="000A557B">
      <w:pPr>
        <w:rPr>
          <w:sz w:val="22"/>
          <w:szCs w:val="22"/>
          <w:lang w:val="sr-Latn-ME" w:eastAsia="sr-Latn-CS"/>
        </w:rPr>
      </w:pPr>
    </w:p>
    <w:p w14:paraId="154FA2C4" w14:textId="10FE026E" w:rsidR="00F37492" w:rsidRPr="00F37492" w:rsidRDefault="00F37492" w:rsidP="000A557B">
      <w:pPr>
        <w:jc w:val="both"/>
        <w:rPr>
          <w:sz w:val="22"/>
          <w:szCs w:val="22"/>
          <w:lang w:val="sr-Latn-ME" w:eastAsia="sr-Latn-CS"/>
        </w:rPr>
      </w:pPr>
      <w:r w:rsidRPr="00F37492">
        <w:rPr>
          <w:sz w:val="22"/>
          <w:szCs w:val="22"/>
          <w:lang w:val="sr-Latn-ME" w:eastAsia="sr-Latn-CS"/>
        </w:rPr>
        <w:t>Kod PV, smanjivanje doze takođe treba uzeti u obzir ako nivo hemoglobina bude manji od 12g/d</w:t>
      </w:r>
      <w:r w:rsidR="00D32086">
        <w:rPr>
          <w:sz w:val="22"/>
          <w:szCs w:val="22"/>
          <w:lang w:val="sr-Latn-ME" w:eastAsia="sr-Latn-CS"/>
        </w:rPr>
        <w:t>l</w:t>
      </w:r>
      <w:r w:rsidRPr="00F37492">
        <w:rPr>
          <w:sz w:val="22"/>
          <w:szCs w:val="22"/>
          <w:lang w:val="sr-Latn-ME" w:eastAsia="sr-Latn-CS"/>
        </w:rPr>
        <w:t xml:space="preserve"> i preporučljivo je ako padne ispod 10g/d</w:t>
      </w:r>
      <w:r w:rsidR="00D32086">
        <w:rPr>
          <w:sz w:val="22"/>
          <w:szCs w:val="22"/>
          <w:lang w:val="sr-Latn-ME" w:eastAsia="sr-Latn-CS"/>
        </w:rPr>
        <w:t>l</w:t>
      </w:r>
      <w:r w:rsidRPr="00F37492">
        <w:rPr>
          <w:sz w:val="22"/>
          <w:szCs w:val="22"/>
          <w:lang w:val="sr-Latn-ME" w:eastAsia="sr-Latn-CS"/>
        </w:rPr>
        <w:t xml:space="preserve">. </w:t>
      </w:r>
    </w:p>
    <w:p w14:paraId="2B23E470" w14:textId="77777777" w:rsidR="00F37492" w:rsidRPr="00F37492" w:rsidRDefault="00F37492" w:rsidP="000A557B">
      <w:pPr>
        <w:keepNext/>
        <w:widowControl w:val="0"/>
        <w:jc w:val="both"/>
        <w:rPr>
          <w:i/>
          <w:sz w:val="22"/>
          <w:szCs w:val="22"/>
        </w:rPr>
      </w:pPr>
    </w:p>
    <w:p w14:paraId="1AFF6F1C" w14:textId="77777777" w:rsidR="00F37492" w:rsidRPr="00F37492" w:rsidRDefault="00F37492" w:rsidP="000A557B">
      <w:pPr>
        <w:keepNext/>
        <w:widowControl w:val="0"/>
        <w:jc w:val="both"/>
        <w:rPr>
          <w:bCs/>
          <w:i/>
          <w:sz w:val="22"/>
          <w:szCs w:val="22"/>
        </w:rPr>
      </w:pPr>
      <w:r w:rsidRPr="00F37492">
        <w:rPr>
          <w:bCs/>
          <w:i/>
          <w:sz w:val="22"/>
          <w:szCs w:val="22"/>
        </w:rPr>
        <w:t>Bolest kalema protiv domaćina</w:t>
      </w:r>
    </w:p>
    <w:p w14:paraId="54565784" w14:textId="59BEA1C3" w:rsidR="00F37492" w:rsidRPr="00F37492" w:rsidRDefault="00F37492" w:rsidP="000A557B">
      <w:pPr>
        <w:widowControl w:val="0"/>
        <w:jc w:val="both"/>
        <w:rPr>
          <w:sz w:val="22"/>
          <w:szCs w:val="22"/>
        </w:rPr>
      </w:pPr>
      <w:r w:rsidRPr="00F37492">
        <w:rPr>
          <w:sz w:val="22"/>
          <w:szCs w:val="22"/>
        </w:rPr>
        <w:t xml:space="preserve">Smanjenje doze i privremeni prekid terapije može biti potrebno kod pacijenata sa GvHD koji imaju trombocitopeniju, neutropeniju ili povišen ukupni bilirubin nakon standardne potporne terapije uključujući primjenu faktora rasta, antiinfektivnu terapiju i transfuziju. Preporučuje se smanjenje za jedan dozni nivo (sa 10 mg dva puta dnevno na 5 mg dva puta dnevno ili sa 5 mg dva puta dnevno na 5 </w:t>
      </w:r>
      <w:r w:rsidRPr="00F37492">
        <w:rPr>
          <w:sz w:val="22"/>
          <w:szCs w:val="22"/>
        </w:rPr>
        <w:lastRenderedPageBreak/>
        <w:t xml:space="preserve">mg jednom dnevno). Kod pacijenata koji ne mogu da podnesu lijek Jakavi u dozi od 5 mg jednom dnevno mora se prekinuti terapija. Detaljne preporuke doziranja date su u </w:t>
      </w:r>
      <w:r w:rsidR="0073558F">
        <w:rPr>
          <w:sz w:val="22"/>
          <w:szCs w:val="22"/>
        </w:rPr>
        <w:t>T</w:t>
      </w:r>
      <w:r w:rsidRPr="00F37492">
        <w:rPr>
          <w:sz w:val="22"/>
          <w:szCs w:val="22"/>
        </w:rPr>
        <w:t xml:space="preserve">abeli </w:t>
      </w:r>
      <w:r w:rsidR="0015535A">
        <w:rPr>
          <w:sz w:val="22"/>
          <w:szCs w:val="22"/>
        </w:rPr>
        <w:t>5</w:t>
      </w:r>
      <w:r w:rsidRPr="00F37492">
        <w:rPr>
          <w:sz w:val="22"/>
          <w:szCs w:val="22"/>
        </w:rPr>
        <w:t>.</w:t>
      </w:r>
    </w:p>
    <w:p w14:paraId="0F6854B3" w14:textId="77777777" w:rsidR="00F37492" w:rsidRPr="00F37492" w:rsidRDefault="00F37492" w:rsidP="000A557B">
      <w:pPr>
        <w:jc w:val="both"/>
        <w:rPr>
          <w:rFonts w:cs="Arial Unicode MS"/>
          <w:i/>
          <w:iCs/>
          <w:sz w:val="22"/>
          <w:szCs w:val="22"/>
          <w:u w:val="single"/>
          <w:shd w:val="clear" w:color="auto" w:fill="FFFFFF"/>
          <w:lang w:val="it-IT" w:eastAsia="sr-Latn-CS"/>
        </w:rPr>
      </w:pPr>
    </w:p>
    <w:p w14:paraId="3086002A" w14:textId="01509DC5" w:rsidR="00F37492" w:rsidRPr="00F37492" w:rsidRDefault="00F37492" w:rsidP="000A557B">
      <w:pPr>
        <w:jc w:val="both"/>
        <w:rPr>
          <w:b/>
          <w:sz w:val="22"/>
          <w:szCs w:val="22"/>
          <w:lang w:val="sr-Latn-RS" w:eastAsia="sr-Latn-ME"/>
        </w:rPr>
      </w:pPr>
      <w:r w:rsidRPr="00F37492">
        <w:rPr>
          <w:b/>
          <w:sz w:val="22"/>
          <w:szCs w:val="22"/>
          <w:lang w:val="it-IT" w:eastAsia="sr-Latn-CS"/>
        </w:rPr>
        <w:t xml:space="preserve">Tabela </w:t>
      </w:r>
      <w:r w:rsidR="0015535A">
        <w:rPr>
          <w:b/>
          <w:sz w:val="22"/>
          <w:szCs w:val="22"/>
          <w:lang w:val="it-IT" w:eastAsia="sr-Latn-CS"/>
        </w:rPr>
        <w:t>5</w:t>
      </w:r>
      <w:r w:rsidR="0015535A" w:rsidRPr="00F37492">
        <w:rPr>
          <w:b/>
          <w:sz w:val="22"/>
          <w:szCs w:val="22"/>
          <w:lang w:val="it-IT" w:eastAsia="sr-Latn-CS"/>
        </w:rPr>
        <w:t xml:space="preserve">  </w:t>
      </w:r>
      <w:r w:rsidRPr="00F37492">
        <w:rPr>
          <w:b/>
          <w:sz w:val="22"/>
          <w:szCs w:val="22"/>
          <w:lang w:val="it-IT" w:eastAsia="sr-Latn-CS"/>
        </w:rPr>
        <w:t>Preporuke doziranja tokom terapije ruksolitinibom kod pacijenata sa GvHD zbog trombocitopenije, neutropenije ili povi</w:t>
      </w:r>
      <w:r w:rsidRPr="00F37492">
        <w:rPr>
          <w:b/>
          <w:sz w:val="22"/>
          <w:szCs w:val="22"/>
          <w:lang w:val="sr-Latn-RS" w:eastAsia="sr-Latn-CS"/>
        </w:rPr>
        <w:t>šenog ukupnog bilirubina</w:t>
      </w:r>
    </w:p>
    <w:p w14:paraId="1FC11A62" w14:textId="77777777" w:rsidR="00F37492" w:rsidRPr="00F37492" w:rsidRDefault="00F37492" w:rsidP="000A557B">
      <w:pPr>
        <w:jc w:val="both"/>
        <w:rPr>
          <w:b/>
          <w:sz w:val="22"/>
          <w:szCs w:val="22"/>
          <w:lang w:val="sr-Latn-RS" w:eastAsia="sr-Latn-CS"/>
        </w:rPr>
      </w:pPr>
    </w:p>
    <w:tbl>
      <w:tblPr>
        <w:tblStyle w:val="TableGrid"/>
        <w:tblW w:w="0" w:type="auto"/>
        <w:tblLook w:val="04A0" w:firstRow="1" w:lastRow="0" w:firstColumn="1" w:lastColumn="0" w:noHBand="0" w:noVBand="1"/>
      </w:tblPr>
      <w:tblGrid>
        <w:gridCol w:w="4541"/>
        <w:gridCol w:w="4522"/>
      </w:tblGrid>
      <w:tr w:rsidR="00F37492" w:rsidRPr="00F37492" w14:paraId="41E8B018" w14:textId="77777777" w:rsidTr="00ED17F3">
        <w:tc>
          <w:tcPr>
            <w:tcW w:w="4541" w:type="dxa"/>
            <w:tcBorders>
              <w:top w:val="single" w:sz="4" w:space="0" w:color="auto"/>
              <w:left w:val="single" w:sz="4" w:space="0" w:color="auto"/>
              <w:bottom w:val="single" w:sz="4" w:space="0" w:color="auto"/>
              <w:right w:val="single" w:sz="4" w:space="0" w:color="auto"/>
            </w:tcBorders>
            <w:hideMark/>
          </w:tcPr>
          <w:p w14:paraId="4E1DF43F" w14:textId="77777777" w:rsidR="00F37492" w:rsidRPr="00F37492" w:rsidRDefault="00F37492" w:rsidP="000A557B">
            <w:pPr>
              <w:jc w:val="both"/>
              <w:rPr>
                <w:b/>
                <w:sz w:val="22"/>
                <w:szCs w:val="22"/>
                <w:lang w:val="sr-Latn-RS" w:eastAsia="sr-Latn-CS"/>
              </w:rPr>
            </w:pPr>
            <w:r w:rsidRPr="00F37492">
              <w:rPr>
                <w:b/>
                <w:sz w:val="22"/>
                <w:szCs w:val="22"/>
                <w:lang w:val="sr-Latn-RS" w:eastAsia="sr-Latn-CS"/>
              </w:rPr>
              <w:t>Laboratorijski parametar</w:t>
            </w:r>
          </w:p>
        </w:tc>
        <w:tc>
          <w:tcPr>
            <w:tcW w:w="4522" w:type="dxa"/>
            <w:tcBorders>
              <w:top w:val="single" w:sz="4" w:space="0" w:color="auto"/>
              <w:left w:val="single" w:sz="4" w:space="0" w:color="auto"/>
              <w:bottom w:val="single" w:sz="4" w:space="0" w:color="auto"/>
              <w:right w:val="single" w:sz="4" w:space="0" w:color="auto"/>
            </w:tcBorders>
            <w:hideMark/>
          </w:tcPr>
          <w:p w14:paraId="6E2FFC23" w14:textId="77777777" w:rsidR="00F37492" w:rsidRPr="00F37492" w:rsidRDefault="00F37492" w:rsidP="000A557B">
            <w:pPr>
              <w:jc w:val="both"/>
              <w:rPr>
                <w:b/>
                <w:sz w:val="22"/>
                <w:szCs w:val="22"/>
                <w:lang w:val="sr-Latn-RS" w:eastAsia="sr-Latn-CS"/>
              </w:rPr>
            </w:pPr>
            <w:r w:rsidRPr="00F37492">
              <w:rPr>
                <w:b/>
                <w:sz w:val="22"/>
                <w:szCs w:val="22"/>
                <w:lang w:val="sr-Latn-RS" w:eastAsia="sr-Latn-CS"/>
              </w:rPr>
              <w:t>Preporuka doziranja</w:t>
            </w:r>
          </w:p>
        </w:tc>
      </w:tr>
      <w:tr w:rsidR="00F37492" w:rsidRPr="00F37492" w14:paraId="13800B7E" w14:textId="77777777" w:rsidTr="00ED17F3">
        <w:tc>
          <w:tcPr>
            <w:tcW w:w="4541" w:type="dxa"/>
            <w:tcBorders>
              <w:top w:val="single" w:sz="4" w:space="0" w:color="auto"/>
              <w:left w:val="single" w:sz="4" w:space="0" w:color="auto"/>
              <w:bottom w:val="single" w:sz="4" w:space="0" w:color="auto"/>
              <w:right w:val="single" w:sz="4" w:space="0" w:color="auto"/>
            </w:tcBorders>
            <w:hideMark/>
          </w:tcPr>
          <w:p w14:paraId="16B8596B" w14:textId="29F6B8B1" w:rsidR="00F37492" w:rsidRPr="00F37492" w:rsidRDefault="00F37492" w:rsidP="000A557B">
            <w:pPr>
              <w:jc w:val="both"/>
              <w:rPr>
                <w:sz w:val="22"/>
                <w:szCs w:val="22"/>
              </w:rPr>
            </w:pPr>
            <w:r w:rsidRPr="00F37492">
              <w:rPr>
                <w:sz w:val="22"/>
                <w:szCs w:val="22"/>
                <w:lang w:val="sr-Latn-ME" w:eastAsia="sr-Latn-ME"/>
              </w:rPr>
              <w:t>Broj trombocita</w:t>
            </w:r>
            <w:r w:rsidRPr="00F37492">
              <w:rPr>
                <w:sz w:val="22"/>
                <w:szCs w:val="22"/>
                <w:lang w:val="sr-Latn-RS" w:eastAsia="sr-Latn-ME"/>
              </w:rPr>
              <w:t xml:space="preserve"> </w:t>
            </w:r>
            <w:r w:rsidRPr="00F37492">
              <w:rPr>
                <w:sz w:val="22"/>
                <w:szCs w:val="22"/>
                <w:lang w:val="sr-Latn-ME" w:eastAsia="sr-Latn-ME"/>
              </w:rPr>
              <w:t>&lt; 20</w:t>
            </w:r>
            <w:r w:rsidR="00A750E2">
              <w:rPr>
                <w:sz w:val="22"/>
                <w:szCs w:val="22"/>
                <w:lang w:val="sr-Latn-ME" w:eastAsia="sr-Latn-ME"/>
              </w:rPr>
              <w:t xml:space="preserve"> </w:t>
            </w:r>
            <w:r w:rsidRPr="00F37492">
              <w:rPr>
                <w:sz w:val="22"/>
                <w:szCs w:val="22"/>
                <w:lang w:val="sr-Latn-ME" w:eastAsia="sr-Latn-ME"/>
              </w:rPr>
              <w:t>000/mm</w:t>
            </w:r>
            <w:r w:rsidRPr="00F37492">
              <w:rPr>
                <w:sz w:val="22"/>
                <w:szCs w:val="22"/>
                <w:vertAlign w:val="superscript"/>
                <w:lang w:val="sr-Latn-ME" w:eastAsia="sr-Latn-ME"/>
              </w:rPr>
              <w:t>3</w:t>
            </w:r>
          </w:p>
        </w:tc>
        <w:tc>
          <w:tcPr>
            <w:tcW w:w="4522" w:type="dxa"/>
            <w:tcBorders>
              <w:top w:val="single" w:sz="4" w:space="0" w:color="auto"/>
              <w:left w:val="single" w:sz="4" w:space="0" w:color="auto"/>
              <w:bottom w:val="single" w:sz="4" w:space="0" w:color="auto"/>
              <w:right w:val="single" w:sz="4" w:space="0" w:color="auto"/>
            </w:tcBorders>
            <w:hideMark/>
          </w:tcPr>
          <w:p w14:paraId="394B2966" w14:textId="77777777" w:rsidR="00F37492" w:rsidRPr="00F37492" w:rsidRDefault="00F37492" w:rsidP="000A557B">
            <w:pPr>
              <w:rPr>
                <w:sz w:val="22"/>
                <w:szCs w:val="22"/>
                <w:lang w:val="sr-Latn-RS" w:eastAsia="sr-Latn-CS"/>
              </w:rPr>
            </w:pPr>
            <w:r w:rsidRPr="00F37492">
              <w:rPr>
                <w:sz w:val="22"/>
                <w:szCs w:val="22"/>
                <w:lang w:val="sr-Latn-RS" w:eastAsia="sr-Latn-CS"/>
              </w:rPr>
              <w:t xml:space="preserve">Smanjiti dozu lijeka Jakavi za jedan dozni nivo. Ako je broj trombocita  </w:t>
            </w:r>
            <w:r w:rsidRPr="00F37492">
              <w:rPr>
                <w:sz w:val="22"/>
                <w:szCs w:val="22"/>
                <w:lang w:val="sr-Latn-ME" w:eastAsia="sr-Latn-ME"/>
              </w:rPr>
              <w:t>≥</w:t>
            </w:r>
            <w:r w:rsidRPr="00F37492">
              <w:rPr>
                <w:sz w:val="22"/>
                <w:szCs w:val="22"/>
                <w:lang w:val="sr-Latn-RS" w:eastAsia="sr-Latn-CS"/>
              </w:rPr>
              <w:t xml:space="preserve"> </w:t>
            </w:r>
            <w:r w:rsidRPr="00F37492">
              <w:rPr>
                <w:sz w:val="22"/>
                <w:szCs w:val="22"/>
                <w:lang w:val="sr-Latn-ME" w:eastAsia="sr-Latn-ME"/>
              </w:rPr>
              <w:t>20,000/mm</w:t>
            </w:r>
            <w:r w:rsidRPr="00F37492">
              <w:rPr>
                <w:sz w:val="22"/>
                <w:szCs w:val="22"/>
                <w:vertAlign w:val="superscript"/>
                <w:lang w:val="sr-Latn-ME" w:eastAsia="sr-Latn-ME"/>
              </w:rPr>
              <w:t>3</w:t>
            </w:r>
            <w:r w:rsidRPr="00F37492">
              <w:rPr>
                <w:sz w:val="22"/>
                <w:szCs w:val="22"/>
                <w:lang w:val="sr-Latn-RS" w:eastAsia="sr-Latn-CS"/>
              </w:rPr>
              <w:t xml:space="preserve"> u toku sedam dana, doza lijeka se može povećati na početni dozni nivo, u suprotnom održavati smanjenu dozu.</w:t>
            </w:r>
          </w:p>
        </w:tc>
      </w:tr>
      <w:tr w:rsidR="00F37492" w:rsidRPr="00F37492" w14:paraId="19E654CF" w14:textId="77777777" w:rsidTr="00ED17F3">
        <w:tc>
          <w:tcPr>
            <w:tcW w:w="4541" w:type="dxa"/>
            <w:tcBorders>
              <w:top w:val="single" w:sz="4" w:space="0" w:color="auto"/>
              <w:left w:val="single" w:sz="4" w:space="0" w:color="auto"/>
              <w:bottom w:val="single" w:sz="4" w:space="0" w:color="auto"/>
              <w:right w:val="single" w:sz="4" w:space="0" w:color="auto"/>
            </w:tcBorders>
            <w:hideMark/>
          </w:tcPr>
          <w:p w14:paraId="3245A7A8" w14:textId="79183331" w:rsidR="00F37492" w:rsidRPr="00F37492" w:rsidRDefault="00F37492" w:rsidP="000A557B">
            <w:pPr>
              <w:jc w:val="both"/>
              <w:rPr>
                <w:sz w:val="22"/>
                <w:szCs w:val="22"/>
                <w:lang w:val="sr-Latn-RS" w:eastAsia="sr-Latn-CS"/>
              </w:rPr>
            </w:pPr>
            <w:r w:rsidRPr="00F37492">
              <w:rPr>
                <w:sz w:val="22"/>
                <w:szCs w:val="22"/>
                <w:lang w:val="sr-Latn-ME" w:eastAsia="sr-Latn-ME"/>
              </w:rPr>
              <w:t>Broj trombocita</w:t>
            </w:r>
            <w:r w:rsidRPr="00F37492">
              <w:rPr>
                <w:sz w:val="22"/>
                <w:szCs w:val="22"/>
                <w:lang w:val="sr-Latn-RS" w:eastAsia="sr-Latn-ME"/>
              </w:rPr>
              <w:t xml:space="preserve"> </w:t>
            </w:r>
            <w:r w:rsidRPr="00F37492">
              <w:rPr>
                <w:sz w:val="22"/>
                <w:szCs w:val="22"/>
                <w:lang w:val="sr-Latn-ME" w:eastAsia="sr-Latn-ME"/>
              </w:rPr>
              <w:t>&lt; 15</w:t>
            </w:r>
            <w:r w:rsidR="00A750E2">
              <w:rPr>
                <w:sz w:val="22"/>
                <w:szCs w:val="22"/>
                <w:lang w:val="sr-Latn-ME" w:eastAsia="sr-Latn-ME"/>
              </w:rPr>
              <w:t xml:space="preserve"> </w:t>
            </w:r>
            <w:r w:rsidRPr="00F37492">
              <w:rPr>
                <w:sz w:val="22"/>
                <w:szCs w:val="22"/>
                <w:lang w:val="sr-Latn-ME" w:eastAsia="sr-Latn-ME"/>
              </w:rPr>
              <w:t>000/mm</w:t>
            </w:r>
            <w:r w:rsidRPr="00F37492">
              <w:rPr>
                <w:sz w:val="22"/>
                <w:szCs w:val="22"/>
                <w:vertAlign w:val="superscript"/>
                <w:lang w:val="sr-Latn-ME" w:eastAsia="sr-Latn-ME"/>
              </w:rPr>
              <w:t>3</w:t>
            </w:r>
          </w:p>
        </w:tc>
        <w:tc>
          <w:tcPr>
            <w:tcW w:w="4522" w:type="dxa"/>
            <w:tcBorders>
              <w:top w:val="single" w:sz="4" w:space="0" w:color="auto"/>
              <w:left w:val="single" w:sz="4" w:space="0" w:color="auto"/>
              <w:bottom w:val="single" w:sz="4" w:space="0" w:color="auto"/>
              <w:right w:val="single" w:sz="4" w:space="0" w:color="auto"/>
            </w:tcBorders>
            <w:hideMark/>
          </w:tcPr>
          <w:p w14:paraId="353DAB6D" w14:textId="3070D749" w:rsidR="00F37492" w:rsidRPr="00F37492" w:rsidRDefault="00F37492" w:rsidP="000A557B">
            <w:pPr>
              <w:rPr>
                <w:sz w:val="22"/>
                <w:szCs w:val="22"/>
                <w:lang w:val="sr-Latn-RS" w:eastAsia="sr-Latn-CS"/>
              </w:rPr>
            </w:pPr>
            <w:r w:rsidRPr="00F37492">
              <w:rPr>
                <w:sz w:val="22"/>
                <w:szCs w:val="22"/>
                <w:lang w:val="sr-Latn-RS" w:eastAsia="sr-Latn-CS"/>
              </w:rPr>
              <w:t xml:space="preserve">Obustaviti primjenu lijeka Jakavi dok broj trombocita ne bude </w:t>
            </w:r>
            <w:r w:rsidRPr="00F37492">
              <w:rPr>
                <w:sz w:val="22"/>
                <w:szCs w:val="22"/>
                <w:lang w:val="sr-Latn-ME" w:eastAsia="sr-Latn-ME"/>
              </w:rPr>
              <w:t xml:space="preserve"> ≥</w:t>
            </w:r>
            <w:r w:rsidR="00843119">
              <w:rPr>
                <w:sz w:val="22"/>
                <w:szCs w:val="22"/>
                <w:lang w:val="sr-Latn-ME" w:eastAsia="sr-Latn-ME"/>
              </w:rPr>
              <w:t xml:space="preserve"> </w:t>
            </w:r>
            <w:r w:rsidRPr="00F37492">
              <w:rPr>
                <w:sz w:val="22"/>
                <w:szCs w:val="22"/>
                <w:lang w:val="sr-Latn-ME" w:eastAsia="sr-Latn-ME"/>
              </w:rPr>
              <w:t>20</w:t>
            </w:r>
            <w:r w:rsidR="00843119">
              <w:rPr>
                <w:sz w:val="22"/>
                <w:szCs w:val="22"/>
                <w:lang w:val="sr-Latn-ME" w:eastAsia="sr-Latn-ME"/>
              </w:rPr>
              <w:t xml:space="preserve"> </w:t>
            </w:r>
            <w:r w:rsidRPr="00F37492">
              <w:rPr>
                <w:sz w:val="22"/>
                <w:szCs w:val="22"/>
                <w:lang w:val="sr-Latn-ME" w:eastAsia="sr-Latn-ME"/>
              </w:rPr>
              <w:t>000/mm</w:t>
            </w:r>
            <w:r w:rsidRPr="00F37492">
              <w:rPr>
                <w:sz w:val="22"/>
                <w:szCs w:val="22"/>
                <w:vertAlign w:val="superscript"/>
                <w:lang w:val="sr-Latn-ME" w:eastAsia="sr-Latn-ME"/>
              </w:rPr>
              <w:t>3</w:t>
            </w:r>
            <w:r w:rsidRPr="00F37492">
              <w:rPr>
                <w:sz w:val="22"/>
                <w:szCs w:val="22"/>
                <w:lang w:val="sr-Latn-RS" w:eastAsia="sr-Latn-CS"/>
              </w:rPr>
              <w:t>, a zatim nastaviti primjenu lijeka dozom smanjenom za jedan dozni nivo.</w:t>
            </w:r>
          </w:p>
        </w:tc>
      </w:tr>
      <w:tr w:rsidR="00F37492" w:rsidRPr="00F37492" w14:paraId="2850EA80" w14:textId="77777777" w:rsidTr="00ED17F3">
        <w:tc>
          <w:tcPr>
            <w:tcW w:w="4541" w:type="dxa"/>
            <w:tcBorders>
              <w:top w:val="single" w:sz="4" w:space="0" w:color="auto"/>
              <w:left w:val="single" w:sz="4" w:space="0" w:color="auto"/>
              <w:bottom w:val="single" w:sz="4" w:space="0" w:color="auto"/>
              <w:right w:val="single" w:sz="4" w:space="0" w:color="auto"/>
            </w:tcBorders>
            <w:hideMark/>
          </w:tcPr>
          <w:p w14:paraId="3450455E" w14:textId="77777777" w:rsidR="00F37492" w:rsidRPr="00F37492" w:rsidRDefault="00F37492" w:rsidP="000A557B">
            <w:pPr>
              <w:jc w:val="both"/>
              <w:rPr>
                <w:sz w:val="22"/>
                <w:szCs w:val="22"/>
              </w:rPr>
            </w:pPr>
            <w:r w:rsidRPr="00F37492">
              <w:rPr>
                <w:sz w:val="22"/>
                <w:szCs w:val="22"/>
                <w:lang w:val="sr-Latn-RS" w:eastAsia="sr-Latn-CS"/>
              </w:rPr>
              <w:t>Apsolutni broj neutrofila (ABN)</w:t>
            </w:r>
            <w:r w:rsidRPr="00F37492">
              <w:rPr>
                <w:sz w:val="22"/>
                <w:szCs w:val="22"/>
                <w:lang w:val="sr-Latn-RS" w:eastAsia="sr-Latn-ME"/>
              </w:rPr>
              <w:t xml:space="preserve"> </w:t>
            </w:r>
          </w:p>
          <w:p w14:paraId="0681FB86" w14:textId="11F345D6" w:rsidR="00F37492" w:rsidRPr="00F37492" w:rsidRDefault="00F37492" w:rsidP="000A557B">
            <w:pPr>
              <w:jc w:val="both"/>
              <w:rPr>
                <w:sz w:val="22"/>
                <w:szCs w:val="22"/>
                <w:lang w:val="sr-Latn-RS" w:eastAsia="sr-Latn-CS"/>
              </w:rPr>
            </w:pPr>
            <w:r w:rsidRPr="00F37492">
              <w:rPr>
                <w:sz w:val="22"/>
                <w:szCs w:val="22"/>
                <w:lang w:val="sr-Latn-ME" w:eastAsia="sr-Latn-ME"/>
              </w:rPr>
              <w:t>≥</w:t>
            </w:r>
            <w:r w:rsidR="00843119">
              <w:rPr>
                <w:sz w:val="22"/>
                <w:szCs w:val="22"/>
                <w:lang w:val="sr-Latn-ME" w:eastAsia="sr-Latn-ME"/>
              </w:rPr>
              <w:t xml:space="preserve"> </w:t>
            </w:r>
            <w:r w:rsidRPr="00F37492">
              <w:rPr>
                <w:sz w:val="22"/>
                <w:szCs w:val="22"/>
                <w:lang w:val="sr-Latn-ME" w:eastAsia="sr-Latn-ME"/>
              </w:rPr>
              <w:t>500/mm</w:t>
            </w:r>
            <w:r w:rsidRPr="00F37492">
              <w:rPr>
                <w:sz w:val="22"/>
                <w:szCs w:val="22"/>
                <w:vertAlign w:val="superscript"/>
                <w:lang w:val="sr-Latn-ME" w:eastAsia="sr-Latn-ME"/>
              </w:rPr>
              <w:t>3</w:t>
            </w:r>
            <w:r w:rsidRPr="00F37492">
              <w:rPr>
                <w:sz w:val="22"/>
                <w:szCs w:val="22"/>
                <w:lang w:val="sr-Latn-ME" w:eastAsia="sr-Latn-ME"/>
              </w:rPr>
              <w:t xml:space="preserve"> do &lt;</w:t>
            </w:r>
            <w:r w:rsidR="00A750E2">
              <w:rPr>
                <w:sz w:val="22"/>
                <w:szCs w:val="22"/>
                <w:lang w:val="sr-Latn-ME" w:eastAsia="sr-Latn-ME"/>
              </w:rPr>
              <w:t xml:space="preserve"> </w:t>
            </w:r>
            <w:r w:rsidRPr="00F37492">
              <w:rPr>
                <w:sz w:val="22"/>
                <w:szCs w:val="22"/>
                <w:lang w:val="sr-Latn-ME" w:eastAsia="sr-Latn-ME"/>
              </w:rPr>
              <w:t>750/mm</w:t>
            </w:r>
            <w:r w:rsidRPr="00F37492">
              <w:rPr>
                <w:sz w:val="22"/>
                <w:szCs w:val="22"/>
                <w:vertAlign w:val="superscript"/>
                <w:lang w:val="sr-Latn-ME" w:eastAsia="sr-Latn-ME"/>
              </w:rPr>
              <w:t>3</w:t>
            </w:r>
          </w:p>
        </w:tc>
        <w:tc>
          <w:tcPr>
            <w:tcW w:w="4522" w:type="dxa"/>
            <w:tcBorders>
              <w:top w:val="single" w:sz="4" w:space="0" w:color="auto"/>
              <w:left w:val="single" w:sz="4" w:space="0" w:color="auto"/>
              <w:bottom w:val="single" w:sz="4" w:space="0" w:color="auto"/>
              <w:right w:val="single" w:sz="4" w:space="0" w:color="auto"/>
            </w:tcBorders>
            <w:hideMark/>
          </w:tcPr>
          <w:p w14:paraId="439AE506" w14:textId="44D3AF95" w:rsidR="00F37492" w:rsidRPr="00F37492" w:rsidRDefault="00F37492" w:rsidP="000A557B">
            <w:pPr>
              <w:rPr>
                <w:sz w:val="22"/>
                <w:szCs w:val="22"/>
                <w:lang w:val="sr-Latn-RS" w:eastAsia="sr-Latn-CS"/>
              </w:rPr>
            </w:pPr>
            <w:r w:rsidRPr="00F37492">
              <w:rPr>
                <w:sz w:val="22"/>
                <w:szCs w:val="22"/>
                <w:lang w:val="sr-Latn-RS" w:eastAsia="sr-Latn-CS"/>
              </w:rPr>
              <w:t xml:space="preserve">Smanjiti dozu lijeka Jakavi za jedan dozni nivo. Nastaviti primjenu lijeka </w:t>
            </w:r>
            <w:r w:rsidR="00843119">
              <w:rPr>
                <w:sz w:val="22"/>
                <w:szCs w:val="22"/>
                <w:lang w:val="sr-Latn-RS" w:eastAsia="sr-Latn-CS"/>
              </w:rPr>
              <w:t>s</w:t>
            </w:r>
            <w:r w:rsidRPr="00F37492">
              <w:rPr>
                <w:sz w:val="22"/>
                <w:szCs w:val="22"/>
                <w:lang w:val="sr-Latn-RS" w:eastAsia="sr-Latn-CS"/>
              </w:rPr>
              <w:t>a početn</w:t>
            </w:r>
            <w:r w:rsidR="00843119">
              <w:rPr>
                <w:sz w:val="22"/>
                <w:szCs w:val="22"/>
                <w:lang w:val="sr-Latn-RS" w:eastAsia="sr-Latn-CS"/>
              </w:rPr>
              <w:t>i</w:t>
            </w:r>
            <w:r w:rsidRPr="00F37492">
              <w:rPr>
                <w:sz w:val="22"/>
                <w:szCs w:val="22"/>
                <w:lang w:val="sr-Latn-RS" w:eastAsia="sr-Latn-CS"/>
              </w:rPr>
              <w:t>m dozn</w:t>
            </w:r>
            <w:r w:rsidR="00843119">
              <w:rPr>
                <w:sz w:val="22"/>
                <w:szCs w:val="22"/>
                <w:lang w:val="sr-Latn-RS" w:eastAsia="sr-Latn-CS"/>
              </w:rPr>
              <w:t>i</w:t>
            </w:r>
            <w:r w:rsidRPr="00F37492">
              <w:rPr>
                <w:sz w:val="22"/>
                <w:szCs w:val="22"/>
                <w:lang w:val="sr-Latn-RS" w:eastAsia="sr-Latn-CS"/>
              </w:rPr>
              <w:t>m nivo</w:t>
            </w:r>
            <w:r w:rsidR="00843119">
              <w:rPr>
                <w:sz w:val="22"/>
                <w:szCs w:val="22"/>
                <w:lang w:val="sr-Latn-RS" w:eastAsia="sr-Latn-CS"/>
              </w:rPr>
              <w:t>om</w:t>
            </w:r>
            <w:r w:rsidRPr="00F37492">
              <w:rPr>
                <w:sz w:val="22"/>
                <w:szCs w:val="22"/>
                <w:lang w:val="sr-Latn-RS" w:eastAsia="sr-Latn-CS"/>
              </w:rPr>
              <w:t xml:space="preserve"> ako je ABN </w:t>
            </w:r>
            <w:r w:rsidRPr="00F37492">
              <w:rPr>
                <w:sz w:val="22"/>
                <w:szCs w:val="22"/>
                <w:lang w:val="sr-Latn-ME" w:eastAsia="sr-Latn-ME"/>
              </w:rPr>
              <w:t>&gt; 1</w:t>
            </w:r>
            <w:r w:rsidR="00843119">
              <w:rPr>
                <w:sz w:val="22"/>
                <w:szCs w:val="22"/>
                <w:lang w:val="sr-Latn-ME" w:eastAsia="sr-Latn-ME"/>
              </w:rPr>
              <w:t xml:space="preserve"> </w:t>
            </w:r>
            <w:r w:rsidRPr="00F37492">
              <w:rPr>
                <w:sz w:val="22"/>
                <w:szCs w:val="22"/>
                <w:lang w:val="sr-Latn-ME" w:eastAsia="sr-Latn-ME"/>
              </w:rPr>
              <w:t>000/mm</w:t>
            </w:r>
            <w:r w:rsidRPr="00F37492">
              <w:rPr>
                <w:sz w:val="22"/>
                <w:szCs w:val="22"/>
                <w:vertAlign w:val="superscript"/>
                <w:lang w:val="sr-Latn-ME" w:eastAsia="sr-Latn-ME"/>
              </w:rPr>
              <w:t>3</w:t>
            </w:r>
            <w:r w:rsidRPr="00F37492">
              <w:rPr>
                <w:sz w:val="22"/>
                <w:szCs w:val="22"/>
                <w:lang w:val="sr-Latn-ME" w:eastAsia="sr-Latn-ME"/>
              </w:rPr>
              <w:t>.</w:t>
            </w:r>
          </w:p>
        </w:tc>
      </w:tr>
      <w:tr w:rsidR="00F37492" w:rsidRPr="00F37492" w14:paraId="75D8E5AD" w14:textId="77777777" w:rsidTr="00ED17F3">
        <w:tc>
          <w:tcPr>
            <w:tcW w:w="4541" w:type="dxa"/>
            <w:tcBorders>
              <w:top w:val="single" w:sz="4" w:space="0" w:color="auto"/>
              <w:left w:val="single" w:sz="4" w:space="0" w:color="auto"/>
              <w:bottom w:val="single" w:sz="4" w:space="0" w:color="auto"/>
              <w:right w:val="single" w:sz="4" w:space="0" w:color="auto"/>
            </w:tcBorders>
            <w:hideMark/>
          </w:tcPr>
          <w:p w14:paraId="434109BD" w14:textId="77777777" w:rsidR="00F37492" w:rsidRPr="00F37492" w:rsidRDefault="00F37492" w:rsidP="000A557B">
            <w:pPr>
              <w:jc w:val="both"/>
              <w:rPr>
                <w:sz w:val="22"/>
                <w:szCs w:val="22"/>
                <w:lang w:val="sr-Latn-RS" w:eastAsia="sr-Latn-CS"/>
              </w:rPr>
            </w:pPr>
            <w:r w:rsidRPr="00F37492">
              <w:rPr>
                <w:sz w:val="22"/>
                <w:szCs w:val="22"/>
                <w:lang w:val="sr-Latn-RS" w:eastAsia="sr-Latn-CS"/>
              </w:rPr>
              <w:t>Apsolutni broj neutrofila</w:t>
            </w:r>
          </w:p>
          <w:p w14:paraId="311F7E50" w14:textId="5FEB249D" w:rsidR="00F37492" w:rsidRPr="00F37492" w:rsidRDefault="00F37492" w:rsidP="000A557B">
            <w:pPr>
              <w:jc w:val="both"/>
              <w:rPr>
                <w:sz w:val="22"/>
                <w:szCs w:val="22"/>
                <w:lang w:val="sr-Latn-RS" w:eastAsia="sr-Latn-CS"/>
              </w:rPr>
            </w:pPr>
            <w:r w:rsidRPr="00F37492">
              <w:rPr>
                <w:sz w:val="22"/>
                <w:szCs w:val="22"/>
                <w:lang w:val="sr-Latn-ME" w:eastAsia="sr-Latn-ME"/>
              </w:rPr>
              <w:t>&lt;</w:t>
            </w:r>
            <w:r w:rsidR="00A750E2">
              <w:rPr>
                <w:sz w:val="22"/>
                <w:szCs w:val="22"/>
                <w:lang w:val="sr-Latn-ME" w:eastAsia="sr-Latn-ME"/>
              </w:rPr>
              <w:t xml:space="preserve"> </w:t>
            </w:r>
            <w:r w:rsidRPr="00F37492">
              <w:rPr>
                <w:sz w:val="22"/>
                <w:szCs w:val="22"/>
                <w:lang w:val="sr-Latn-ME" w:eastAsia="sr-Latn-ME"/>
              </w:rPr>
              <w:t>500/mm</w:t>
            </w:r>
            <w:r w:rsidRPr="00F37492">
              <w:rPr>
                <w:sz w:val="22"/>
                <w:szCs w:val="22"/>
                <w:vertAlign w:val="superscript"/>
                <w:lang w:val="sr-Latn-ME" w:eastAsia="sr-Latn-ME"/>
              </w:rPr>
              <w:t>3</w:t>
            </w:r>
          </w:p>
        </w:tc>
        <w:tc>
          <w:tcPr>
            <w:tcW w:w="4522" w:type="dxa"/>
            <w:tcBorders>
              <w:top w:val="single" w:sz="4" w:space="0" w:color="auto"/>
              <w:left w:val="single" w:sz="4" w:space="0" w:color="auto"/>
              <w:bottom w:val="single" w:sz="4" w:space="0" w:color="auto"/>
              <w:right w:val="single" w:sz="4" w:space="0" w:color="auto"/>
            </w:tcBorders>
            <w:hideMark/>
          </w:tcPr>
          <w:p w14:paraId="203D970F" w14:textId="79825DFD" w:rsidR="00F37492" w:rsidRPr="00F37492" w:rsidRDefault="00F37492" w:rsidP="000A557B">
            <w:pPr>
              <w:rPr>
                <w:sz w:val="22"/>
                <w:szCs w:val="22"/>
                <w:lang w:val="sr-Latn-RS" w:eastAsia="sr-Latn-CS"/>
              </w:rPr>
            </w:pPr>
            <w:r w:rsidRPr="00F37492">
              <w:rPr>
                <w:sz w:val="22"/>
                <w:szCs w:val="22"/>
                <w:lang w:val="sr-Latn-RS" w:eastAsia="sr-Latn-CS"/>
              </w:rPr>
              <w:t xml:space="preserve">Obustaviti primjenu lijeka Jakavi dok ABN ne bude </w:t>
            </w:r>
            <w:r w:rsidRPr="00F37492">
              <w:rPr>
                <w:rFonts w:eastAsia="SimSun"/>
                <w:sz w:val="22"/>
                <w:szCs w:val="22"/>
                <w:lang w:val="hr-HR" w:eastAsia="sr-Latn-ME"/>
              </w:rPr>
              <w:t>&gt;</w:t>
            </w:r>
            <w:r w:rsidR="008E1D16">
              <w:rPr>
                <w:rFonts w:eastAsia="SimSun"/>
                <w:sz w:val="22"/>
                <w:szCs w:val="22"/>
                <w:lang w:val="hr-HR" w:eastAsia="sr-Latn-ME"/>
              </w:rPr>
              <w:t xml:space="preserve"> </w:t>
            </w:r>
            <w:r w:rsidRPr="00F37492">
              <w:rPr>
                <w:rFonts w:eastAsia="SimSun"/>
                <w:sz w:val="22"/>
                <w:szCs w:val="22"/>
                <w:lang w:val="hr-HR" w:eastAsia="sr-Latn-ME"/>
              </w:rPr>
              <w:t>500/mm</w:t>
            </w:r>
            <w:r w:rsidRPr="00F37492">
              <w:rPr>
                <w:rFonts w:eastAsia="SimSun"/>
                <w:sz w:val="22"/>
                <w:szCs w:val="22"/>
                <w:vertAlign w:val="superscript"/>
                <w:lang w:val="hr-HR" w:eastAsia="sr-Latn-ME"/>
              </w:rPr>
              <w:t>3</w:t>
            </w:r>
            <w:r w:rsidRPr="00F37492">
              <w:rPr>
                <w:rFonts w:eastAsia="SimSun"/>
                <w:sz w:val="22"/>
                <w:szCs w:val="22"/>
                <w:lang w:val="hr-HR" w:eastAsia="sr-Latn-ME"/>
              </w:rPr>
              <w:t>, a zatim nastaviti primjenu lijeka dozom smanjenom za jedan dozni nivo. Ako je ABN &gt;</w:t>
            </w:r>
            <w:r w:rsidR="008E1D16">
              <w:rPr>
                <w:rFonts w:eastAsia="SimSun"/>
                <w:sz w:val="22"/>
                <w:szCs w:val="22"/>
                <w:lang w:val="hr-HR" w:eastAsia="sr-Latn-ME"/>
              </w:rPr>
              <w:t xml:space="preserve"> </w:t>
            </w:r>
            <w:r w:rsidRPr="00F37492">
              <w:rPr>
                <w:rFonts w:eastAsia="SimSun"/>
                <w:sz w:val="22"/>
                <w:szCs w:val="22"/>
                <w:lang w:val="hr-HR" w:eastAsia="sr-Latn-ME"/>
              </w:rPr>
              <w:t>1000/mm</w:t>
            </w:r>
            <w:r w:rsidRPr="00F37492">
              <w:rPr>
                <w:rFonts w:eastAsia="SimSun"/>
                <w:sz w:val="22"/>
                <w:szCs w:val="22"/>
                <w:vertAlign w:val="superscript"/>
                <w:lang w:val="hr-HR" w:eastAsia="sr-Latn-ME"/>
              </w:rPr>
              <w:t>3</w:t>
            </w:r>
            <w:r w:rsidRPr="00F37492">
              <w:rPr>
                <w:rFonts w:eastAsia="SimSun"/>
                <w:sz w:val="22"/>
                <w:szCs w:val="22"/>
                <w:lang w:val="hr-HR" w:eastAsia="sr-Latn-ME"/>
              </w:rPr>
              <w:t>,</w:t>
            </w:r>
            <w:r w:rsidRPr="00F37492">
              <w:rPr>
                <w:rFonts w:eastAsia="SimSun"/>
                <w:sz w:val="22"/>
                <w:szCs w:val="22"/>
                <w:vertAlign w:val="superscript"/>
                <w:lang w:val="hr-HR" w:eastAsia="sr-Latn-ME"/>
              </w:rPr>
              <w:t xml:space="preserve"> </w:t>
            </w:r>
            <w:r w:rsidRPr="00F37492">
              <w:rPr>
                <w:rFonts w:eastAsia="SimSun"/>
                <w:sz w:val="22"/>
                <w:szCs w:val="22"/>
                <w:lang w:val="hr-HR" w:eastAsia="sr-Latn-ME"/>
              </w:rPr>
              <w:t>doziranje se može nastaviti početnom dozom.</w:t>
            </w:r>
          </w:p>
        </w:tc>
      </w:tr>
      <w:tr w:rsidR="00ED17F3" w:rsidRPr="00F37492" w14:paraId="70239960" w14:textId="77777777" w:rsidTr="00ED17F3">
        <w:tc>
          <w:tcPr>
            <w:tcW w:w="4541" w:type="dxa"/>
            <w:vMerge w:val="restart"/>
            <w:tcBorders>
              <w:top w:val="single" w:sz="4" w:space="0" w:color="auto"/>
              <w:left w:val="single" w:sz="4" w:space="0" w:color="auto"/>
              <w:right w:val="single" w:sz="4" w:space="0" w:color="auto"/>
            </w:tcBorders>
            <w:hideMark/>
          </w:tcPr>
          <w:p w14:paraId="1CF005C7" w14:textId="77777777" w:rsidR="00ED17F3" w:rsidRPr="00F37492" w:rsidRDefault="00ED17F3" w:rsidP="000A557B">
            <w:pPr>
              <w:jc w:val="both"/>
              <w:rPr>
                <w:sz w:val="22"/>
                <w:szCs w:val="22"/>
                <w:lang w:val="sr-Latn-RS" w:eastAsia="sr-Latn-CS"/>
              </w:rPr>
            </w:pPr>
            <w:r w:rsidRPr="00F37492">
              <w:rPr>
                <w:sz w:val="22"/>
                <w:szCs w:val="22"/>
                <w:lang w:val="sr-Latn-RS" w:eastAsia="sr-Latn-CS"/>
              </w:rPr>
              <w:t xml:space="preserve">Povišen ukupni bilirubin nije uzrokovan GvHD (jetra nije zahvaćena GvHD) </w:t>
            </w:r>
          </w:p>
        </w:tc>
        <w:tc>
          <w:tcPr>
            <w:tcW w:w="4522" w:type="dxa"/>
            <w:tcBorders>
              <w:top w:val="single" w:sz="4" w:space="0" w:color="auto"/>
              <w:left w:val="single" w:sz="4" w:space="0" w:color="auto"/>
              <w:bottom w:val="single" w:sz="4" w:space="0" w:color="auto"/>
              <w:right w:val="single" w:sz="4" w:space="0" w:color="auto"/>
            </w:tcBorders>
            <w:hideMark/>
          </w:tcPr>
          <w:p w14:paraId="3F1A545F" w14:textId="2EAD154B" w:rsidR="00ED17F3" w:rsidRPr="00F37492" w:rsidRDefault="00ED17F3" w:rsidP="000A557B">
            <w:pPr>
              <w:rPr>
                <w:sz w:val="22"/>
                <w:szCs w:val="22"/>
                <w:lang w:val="sr-Latn-RS" w:eastAsia="sr-Latn-CS"/>
              </w:rPr>
            </w:pPr>
            <w:r w:rsidRPr="00F37492">
              <w:rPr>
                <w:rFonts w:eastAsia="SimSun"/>
                <w:sz w:val="22"/>
                <w:szCs w:val="22"/>
                <w:lang w:val="hr-HR" w:eastAsia="sr-Latn-ME"/>
              </w:rPr>
              <w:t>&gt;</w:t>
            </w:r>
            <w:r>
              <w:rPr>
                <w:rFonts w:eastAsia="SimSun"/>
                <w:sz w:val="22"/>
                <w:szCs w:val="22"/>
                <w:lang w:val="hr-HR" w:eastAsia="sr-Latn-ME"/>
              </w:rPr>
              <w:t xml:space="preserve"> </w:t>
            </w:r>
            <w:r w:rsidRPr="00F37492">
              <w:rPr>
                <w:rFonts w:eastAsia="SimSun"/>
                <w:sz w:val="22"/>
                <w:szCs w:val="22"/>
                <w:lang w:val="hr-HR" w:eastAsia="sr-Latn-ME"/>
              </w:rPr>
              <w:t>3,0</w:t>
            </w:r>
            <w:r w:rsidRPr="00F37492">
              <w:rPr>
                <w:sz w:val="22"/>
                <w:szCs w:val="22"/>
                <w:lang w:val="sr-Latn-RS" w:eastAsia="sr-Latn-CS"/>
              </w:rPr>
              <w:t xml:space="preserve"> do 5,0 x gornje granice normale (GGN): nastaviti primjenu lijeka Jakavi dozom smanjenom za jedan d</w:t>
            </w:r>
            <w:r w:rsidRPr="00F37492">
              <w:rPr>
                <w:rFonts w:eastAsia="SimSun"/>
                <w:sz w:val="22"/>
                <w:szCs w:val="22"/>
                <w:lang w:val="hr-HR" w:eastAsia="sr-Latn-ME"/>
              </w:rPr>
              <w:t>ozni nivo do ≤</w:t>
            </w:r>
            <w:r>
              <w:rPr>
                <w:rFonts w:eastAsia="SimSun"/>
                <w:sz w:val="22"/>
                <w:szCs w:val="22"/>
                <w:lang w:val="hr-HR" w:eastAsia="sr-Latn-ME"/>
              </w:rPr>
              <w:t xml:space="preserve"> </w:t>
            </w:r>
            <w:r w:rsidRPr="00F37492">
              <w:rPr>
                <w:rFonts w:eastAsia="SimSun"/>
                <w:sz w:val="22"/>
                <w:szCs w:val="22"/>
                <w:lang w:val="hr-HR" w:eastAsia="sr-Latn-ME"/>
              </w:rPr>
              <w:t>3,0 x GGN.</w:t>
            </w:r>
          </w:p>
        </w:tc>
      </w:tr>
      <w:tr w:rsidR="00ED17F3" w:rsidRPr="00F37492" w14:paraId="1CC65C98" w14:textId="77777777" w:rsidTr="00ED17F3">
        <w:tc>
          <w:tcPr>
            <w:tcW w:w="0" w:type="auto"/>
            <w:vMerge/>
            <w:tcBorders>
              <w:left w:val="single" w:sz="4" w:space="0" w:color="auto"/>
              <w:right w:val="single" w:sz="4" w:space="0" w:color="auto"/>
            </w:tcBorders>
            <w:vAlign w:val="center"/>
            <w:hideMark/>
          </w:tcPr>
          <w:p w14:paraId="20BFE20D" w14:textId="77777777" w:rsidR="00ED17F3" w:rsidRPr="00F37492" w:rsidRDefault="00ED17F3" w:rsidP="000A557B">
            <w:pPr>
              <w:rPr>
                <w:sz w:val="22"/>
                <w:szCs w:val="22"/>
                <w:lang w:val="sr-Latn-RS" w:eastAsia="sr-Latn-CS"/>
              </w:rPr>
            </w:pPr>
          </w:p>
        </w:tc>
        <w:tc>
          <w:tcPr>
            <w:tcW w:w="4522" w:type="dxa"/>
            <w:tcBorders>
              <w:top w:val="single" w:sz="4" w:space="0" w:color="auto"/>
              <w:left w:val="single" w:sz="4" w:space="0" w:color="auto"/>
              <w:bottom w:val="single" w:sz="4" w:space="0" w:color="auto"/>
              <w:right w:val="single" w:sz="4" w:space="0" w:color="auto"/>
            </w:tcBorders>
            <w:hideMark/>
          </w:tcPr>
          <w:p w14:paraId="7C4FCF08" w14:textId="73A75BBC" w:rsidR="00ED17F3" w:rsidRPr="00F37492" w:rsidRDefault="00ED17F3" w:rsidP="000A557B">
            <w:pPr>
              <w:rPr>
                <w:sz w:val="22"/>
                <w:szCs w:val="22"/>
                <w:lang w:val="sr-Latn-RS" w:eastAsia="sr-Latn-CS"/>
              </w:rPr>
            </w:pPr>
            <w:r w:rsidRPr="00F37492">
              <w:rPr>
                <w:sz w:val="22"/>
                <w:szCs w:val="22"/>
                <w:lang w:val="sr-Latn-RS" w:eastAsia="sr-Latn-CS"/>
              </w:rPr>
              <w:t>&gt;</w:t>
            </w:r>
            <w:r>
              <w:rPr>
                <w:sz w:val="22"/>
                <w:szCs w:val="22"/>
                <w:lang w:val="sr-Latn-RS" w:eastAsia="sr-Latn-CS"/>
              </w:rPr>
              <w:t xml:space="preserve"> </w:t>
            </w:r>
            <w:r w:rsidRPr="00F37492">
              <w:rPr>
                <w:sz w:val="22"/>
                <w:szCs w:val="22"/>
                <w:lang w:val="sr-Latn-RS" w:eastAsia="sr-Latn-CS"/>
              </w:rPr>
              <w:t>5,0 do 10,0 x GGN: obustaviti primjenu lijeka Jakavi do 14 dana dok ukupni bilirubin ne bude ≤</w:t>
            </w:r>
            <w:r>
              <w:rPr>
                <w:sz w:val="22"/>
                <w:szCs w:val="22"/>
                <w:lang w:val="sr-Latn-RS" w:eastAsia="sr-Latn-CS"/>
              </w:rPr>
              <w:t xml:space="preserve"> </w:t>
            </w:r>
            <w:r w:rsidRPr="00F37492">
              <w:rPr>
                <w:sz w:val="22"/>
                <w:szCs w:val="22"/>
                <w:lang w:val="sr-Latn-RS" w:eastAsia="sr-Latn-CS"/>
              </w:rPr>
              <w:t>3,0 x GGN. Ako je ukupni bilirubin ≤</w:t>
            </w:r>
            <w:r>
              <w:rPr>
                <w:sz w:val="22"/>
                <w:szCs w:val="22"/>
                <w:lang w:val="sr-Latn-RS" w:eastAsia="sr-Latn-CS"/>
              </w:rPr>
              <w:t xml:space="preserve"> </w:t>
            </w:r>
            <w:r w:rsidRPr="00F37492">
              <w:rPr>
                <w:sz w:val="22"/>
                <w:szCs w:val="22"/>
                <w:lang w:val="sr-Latn-RS" w:eastAsia="sr-Latn-CS"/>
              </w:rPr>
              <w:t>3,0 x GGN, doziranje se može nastaviti trenutnom dozom. Ako nije ≤</w:t>
            </w:r>
            <w:r>
              <w:rPr>
                <w:sz w:val="22"/>
                <w:szCs w:val="22"/>
                <w:lang w:val="sr-Latn-RS" w:eastAsia="sr-Latn-CS"/>
              </w:rPr>
              <w:t xml:space="preserve"> </w:t>
            </w:r>
            <w:r w:rsidRPr="00F37492">
              <w:rPr>
                <w:sz w:val="22"/>
                <w:szCs w:val="22"/>
                <w:lang w:val="sr-Latn-RS" w:eastAsia="sr-Latn-CS"/>
              </w:rPr>
              <w:t>3,0 x GGN nakon 14 dana, nastaviti primjenu lijeka dozom smanjenom za jedan dozni nivo.</w:t>
            </w:r>
          </w:p>
        </w:tc>
      </w:tr>
      <w:tr w:rsidR="00ED17F3" w:rsidRPr="00F37492" w14:paraId="3C0B5066" w14:textId="77777777" w:rsidTr="00ED17F3">
        <w:tc>
          <w:tcPr>
            <w:tcW w:w="4541" w:type="dxa"/>
            <w:vMerge/>
            <w:tcBorders>
              <w:left w:val="single" w:sz="4" w:space="0" w:color="auto"/>
              <w:bottom w:val="single" w:sz="4" w:space="0" w:color="auto"/>
              <w:right w:val="single" w:sz="4" w:space="0" w:color="auto"/>
            </w:tcBorders>
          </w:tcPr>
          <w:p w14:paraId="00DB0246" w14:textId="77777777" w:rsidR="00ED17F3" w:rsidRPr="00F37492" w:rsidRDefault="00ED17F3" w:rsidP="000A557B">
            <w:pPr>
              <w:jc w:val="both"/>
              <w:rPr>
                <w:sz w:val="22"/>
                <w:szCs w:val="22"/>
                <w:lang w:val="sr-Latn-RS" w:eastAsia="sr-Latn-CS"/>
              </w:rPr>
            </w:pPr>
          </w:p>
        </w:tc>
        <w:tc>
          <w:tcPr>
            <w:tcW w:w="4522" w:type="dxa"/>
            <w:tcBorders>
              <w:top w:val="single" w:sz="4" w:space="0" w:color="auto"/>
              <w:left w:val="single" w:sz="4" w:space="0" w:color="auto"/>
              <w:bottom w:val="single" w:sz="4" w:space="0" w:color="auto"/>
              <w:right w:val="single" w:sz="4" w:space="0" w:color="auto"/>
            </w:tcBorders>
            <w:hideMark/>
          </w:tcPr>
          <w:p w14:paraId="6CF2DCBE" w14:textId="5976AFD8" w:rsidR="00ED17F3" w:rsidRPr="00F37492" w:rsidRDefault="00ED17F3" w:rsidP="000A557B">
            <w:pPr>
              <w:rPr>
                <w:sz w:val="22"/>
                <w:szCs w:val="22"/>
                <w:lang w:val="sr-Latn-RS" w:eastAsia="sr-Latn-CS"/>
              </w:rPr>
            </w:pPr>
            <w:r w:rsidRPr="00F37492">
              <w:rPr>
                <w:rFonts w:eastAsia="SimSun"/>
                <w:sz w:val="22"/>
                <w:szCs w:val="22"/>
                <w:lang w:val="hr-HR" w:eastAsia="sr-Latn-ME"/>
              </w:rPr>
              <w:t>&gt;</w:t>
            </w:r>
            <w:r>
              <w:rPr>
                <w:rFonts w:eastAsia="SimSun"/>
                <w:sz w:val="22"/>
                <w:szCs w:val="22"/>
                <w:lang w:val="hr-HR" w:eastAsia="sr-Latn-ME"/>
              </w:rPr>
              <w:t xml:space="preserve"> </w:t>
            </w:r>
            <w:r w:rsidRPr="00F37492">
              <w:rPr>
                <w:rFonts w:eastAsia="SimSun"/>
                <w:sz w:val="22"/>
                <w:szCs w:val="22"/>
                <w:lang w:val="hr-HR" w:eastAsia="sr-Latn-ME"/>
              </w:rPr>
              <w:t>10,0 x GGN: obustaviti primjenu lijeka Jakavi dok ukupni bilirubin ne bude ≤</w:t>
            </w:r>
            <w:r>
              <w:rPr>
                <w:rFonts w:eastAsia="SimSun"/>
                <w:sz w:val="22"/>
                <w:szCs w:val="22"/>
                <w:lang w:val="hr-HR" w:eastAsia="sr-Latn-ME"/>
              </w:rPr>
              <w:t xml:space="preserve"> </w:t>
            </w:r>
            <w:r w:rsidRPr="00F37492">
              <w:rPr>
                <w:rFonts w:eastAsia="SimSun"/>
                <w:sz w:val="22"/>
                <w:szCs w:val="22"/>
                <w:lang w:val="hr-HR" w:eastAsia="sr-Latn-ME"/>
              </w:rPr>
              <w:t xml:space="preserve">3,0 x GGN, zatim nastaviti </w:t>
            </w:r>
            <w:r w:rsidRPr="00F37492">
              <w:rPr>
                <w:sz w:val="22"/>
                <w:szCs w:val="22"/>
                <w:lang w:val="sr-Latn-RS" w:eastAsia="sr-Latn-CS"/>
              </w:rPr>
              <w:t>dozom smanjenom za jedan dozni nivo</w:t>
            </w:r>
            <w:r w:rsidRPr="00F37492">
              <w:rPr>
                <w:rFonts w:eastAsia="SimSun"/>
                <w:sz w:val="22"/>
                <w:szCs w:val="22"/>
                <w:lang w:val="hr-HR" w:eastAsia="sr-Latn-ME"/>
              </w:rPr>
              <w:t>.</w:t>
            </w:r>
          </w:p>
        </w:tc>
      </w:tr>
      <w:tr w:rsidR="00F37492" w:rsidRPr="00F37492" w14:paraId="400C8A6B" w14:textId="77777777" w:rsidTr="00ED17F3">
        <w:tc>
          <w:tcPr>
            <w:tcW w:w="4541" w:type="dxa"/>
            <w:tcBorders>
              <w:top w:val="single" w:sz="4" w:space="0" w:color="auto"/>
              <w:left w:val="single" w:sz="4" w:space="0" w:color="auto"/>
              <w:bottom w:val="single" w:sz="4" w:space="0" w:color="auto"/>
              <w:right w:val="single" w:sz="4" w:space="0" w:color="auto"/>
            </w:tcBorders>
            <w:hideMark/>
          </w:tcPr>
          <w:p w14:paraId="19182350" w14:textId="77777777" w:rsidR="00F37492" w:rsidRPr="00F37492" w:rsidRDefault="00F37492" w:rsidP="000A557B">
            <w:pPr>
              <w:jc w:val="both"/>
              <w:rPr>
                <w:sz w:val="22"/>
                <w:szCs w:val="22"/>
                <w:lang w:val="sr-Latn-RS" w:eastAsia="sr-Latn-CS"/>
              </w:rPr>
            </w:pPr>
            <w:r w:rsidRPr="00F37492">
              <w:rPr>
                <w:sz w:val="22"/>
                <w:szCs w:val="22"/>
                <w:lang w:val="sr-Latn-RS" w:eastAsia="sr-Latn-CS"/>
              </w:rPr>
              <w:t>Povišen ukupni bilirubin uzrokovan GvHD (GvHD jetre)</w:t>
            </w:r>
          </w:p>
        </w:tc>
        <w:tc>
          <w:tcPr>
            <w:tcW w:w="4522" w:type="dxa"/>
            <w:tcBorders>
              <w:top w:val="single" w:sz="4" w:space="0" w:color="auto"/>
              <w:left w:val="single" w:sz="4" w:space="0" w:color="auto"/>
              <w:bottom w:val="single" w:sz="4" w:space="0" w:color="auto"/>
              <w:right w:val="single" w:sz="4" w:space="0" w:color="auto"/>
            </w:tcBorders>
            <w:hideMark/>
          </w:tcPr>
          <w:p w14:paraId="4E0F67C3" w14:textId="6A675D6E" w:rsidR="00F37492" w:rsidRPr="00F37492" w:rsidRDefault="00F37492" w:rsidP="000A557B">
            <w:pPr>
              <w:rPr>
                <w:sz w:val="22"/>
                <w:szCs w:val="22"/>
                <w:lang w:val="sr-Latn-RS" w:eastAsia="sr-Latn-CS"/>
              </w:rPr>
            </w:pPr>
            <w:r w:rsidRPr="00F37492">
              <w:rPr>
                <w:rFonts w:eastAsia="SimSun"/>
                <w:sz w:val="22"/>
                <w:szCs w:val="22"/>
                <w:lang w:val="hr-HR" w:eastAsia="sr-Latn-ME"/>
              </w:rPr>
              <w:t>&gt;</w:t>
            </w:r>
            <w:r w:rsidR="008E1D16">
              <w:rPr>
                <w:rFonts w:eastAsia="SimSun"/>
                <w:sz w:val="22"/>
                <w:szCs w:val="22"/>
                <w:lang w:val="hr-HR" w:eastAsia="sr-Latn-ME"/>
              </w:rPr>
              <w:t xml:space="preserve"> </w:t>
            </w:r>
            <w:r w:rsidRPr="00F37492">
              <w:rPr>
                <w:rFonts w:eastAsia="SimSun"/>
                <w:sz w:val="22"/>
                <w:szCs w:val="22"/>
                <w:lang w:val="hr-HR" w:eastAsia="sr-Latn-ME"/>
              </w:rPr>
              <w:t xml:space="preserve">3,0 x GGN: nastaviti primjenu lijeka Jakavi dozom </w:t>
            </w:r>
            <w:r w:rsidRPr="00F37492">
              <w:rPr>
                <w:sz w:val="22"/>
                <w:szCs w:val="22"/>
                <w:lang w:val="sr-Latn-RS" w:eastAsia="sr-Latn-CS"/>
              </w:rPr>
              <w:t>smanjenom za jedan dozni nivo</w:t>
            </w:r>
            <w:r w:rsidRPr="00F37492">
              <w:rPr>
                <w:rFonts w:eastAsia="SimSun"/>
                <w:sz w:val="22"/>
                <w:szCs w:val="22"/>
                <w:lang w:val="hr-HR" w:eastAsia="sr-Latn-ME"/>
              </w:rPr>
              <w:t xml:space="preserve"> dok ukupni bilirubin ne bude ≤</w:t>
            </w:r>
            <w:r w:rsidR="008E1D16">
              <w:rPr>
                <w:rFonts w:eastAsia="SimSun"/>
                <w:sz w:val="22"/>
                <w:szCs w:val="22"/>
                <w:lang w:val="hr-HR" w:eastAsia="sr-Latn-ME"/>
              </w:rPr>
              <w:t xml:space="preserve"> </w:t>
            </w:r>
            <w:r w:rsidRPr="00F37492">
              <w:rPr>
                <w:rFonts w:eastAsia="SimSun"/>
                <w:sz w:val="22"/>
                <w:szCs w:val="22"/>
                <w:lang w:val="hr-HR" w:eastAsia="sr-Latn-ME"/>
              </w:rPr>
              <w:t>3,0 x GGN.</w:t>
            </w:r>
          </w:p>
        </w:tc>
      </w:tr>
    </w:tbl>
    <w:p w14:paraId="3E0101E7" w14:textId="77777777" w:rsidR="00F37492" w:rsidRPr="00F37492" w:rsidRDefault="00F37492" w:rsidP="000A557B">
      <w:pPr>
        <w:jc w:val="both"/>
        <w:rPr>
          <w:rFonts w:cs="Arial Unicode MS"/>
          <w:i/>
          <w:iCs/>
          <w:sz w:val="22"/>
          <w:szCs w:val="22"/>
          <w:u w:val="single"/>
          <w:lang w:val="sr-Latn-ME" w:eastAsia="sr-Latn-CS"/>
        </w:rPr>
      </w:pPr>
    </w:p>
    <w:p w14:paraId="47B2E278" w14:textId="77777777" w:rsidR="00F37492" w:rsidRPr="00F37492" w:rsidRDefault="00F37492" w:rsidP="000A557B">
      <w:pPr>
        <w:jc w:val="both"/>
        <w:rPr>
          <w:i/>
          <w:iCs/>
          <w:sz w:val="22"/>
          <w:szCs w:val="22"/>
          <w:u w:val="single"/>
          <w:lang w:val="sr-Latn-ME" w:eastAsia="sr-Latn-CS"/>
        </w:rPr>
      </w:pPr>
      <w:r w:rsidRPr="00F37492">
        <w:rPr>
          <w:i/>
          <w:iCs/>
          <w:sz w:val="22"/>
          <w:szCs w:val="22"/>
          <w:u w:val="single"/>
          <w:lang w:val="sr-Latn-ME" w:eastAsia="sr-Latn-CS"/>
        </w:rPr>
        <w:t>Podešavanje doze uz istovremenu terapiju snažnim CYP3A4 inhibitorima ili</w:t>
      </w:r>
      <w:r w:rsidRPr="00F37492">
        <w:rPr>
          <w:i/>
          <w:iCs/>
          <w:sz w:val="22"/>
          <w:szCs w:val="22"/>
          <w:u w:val="single"/>
          <w:lang w:val="sr-Latn-ME" w:eastAsia="sr-Latn-ME"/>
        </w:rPr>
        <w:t xml:space="preserve"> </w:t>
      </w:r>
      <w:r w:rsidRPr="00F37492">
        <w:rPr>
          <w:i/>
          <w:iCs/>
          <w:sz w:val="22"/>
          <w:szCs w:val="22"/>
          <w:u w:val="single"/>
          <w:lang w:val="sr-Latn-ME" w:eastAsia="sr-Latn-CS"/>
        </w:rPr>
        <w:t>dualnim CYP2C9/3A4 inhibitorima</w:t>
      </w:r>
      <w:r w:rsidRPr="00F37492" w:rsidDel="00600769">
        <w:rPr>
          <w:i/>
          <w:iCs/>
          <w:sz w:val="22"/>
          <w:szCs w:val="22"/>
          <w:u w:val="single"/>
          <w:lang w:val="sr-Latn-ME" w:eastAsia="sr-Latn-CS"/>
        </w:rPr>
        <w:t xml:space="preserve"> </w:t>
      </w:r>
    </w:p>
    <w:p w14:paraId="34A6F07C" w14:textId="5D977834" w:rsidR="00F37492" w:rsidRPr="00F37492" w:rsidRDefault="00F37492" w:rsidP="000A557B">
      <w:pPr>
        <w:jc w:val="both"/>
        <w:rPr>
          <w:rFonts w:cs="Arial Unicode MS"/>
          <w:sz w:val="22"/>
          <w:szCs w:val="22"/>
          <w:lang w:val="sr-Latn-RS" w:eastAsia="sr-Latn-ME"/>
        </w:rPr>
      </w:pPr>
      <w:r w:rsidRPr="00F37492">
        <w:rPr>
          <w:sz w:val="22"/>
          <w:szCs w:val="22"/>
          <w:lang w:val="sr-Latn-ME" w:eastAsia="sr-Latn-CS"/>
        </w:rPr>
        <w:t xml:space="preserve">Kada se ruksolitinib daje istovremeno sa snažnim inhibitorima CYP3A4 ili dvojnim inhibitorima enzima CYP2C9 i CYP3A4 (npr. flukonazol) doza lijeka ruksolitiniba trebalo bi da se smanji za približno 50% i primjenjuje dva puta dnevno (vidjeti </w:t>
      </w:r>
      <w:r w:rsidR="0015535A">
        <w:rPr>
          <w:sz w:val="22"/>
          <w:szCs w:val="22"/>
          <w:lang w:val="sr-Latn-ME" w:eastAsia="sr-Latn-CS"/>
        </w:rPr>
        <w:t>djelove</w:t>
      </w:r>
      <w:r w:rsidR="0015535A" w:rsidRPr="00F37492">
        <w:rPr>
          <w:sz w:val="22"/>
          <w:szCs w:val="22"/>
          <w:lang w:val="sr-Latn-ME" w:eastAsia="sr-Latn-CS"/>
        </w:rPr>
        <w:t xml:space="preserve"> </w:t>
      </w:r>
      <w:r w:rsidR="0015535A">
        <w:rPr>
          <w:sz w:val="22"/>
          <w:szCs w:val="22"/>
          <w:lang w:val="sr-Latn-ME" w:eastAsia="sr-Latn-CS"/>
        </w:rPr>
        <w:t xml:space="preserve">4.4 i </w:t>
      </w:r>
      <w:r w:rsidRPr="00F37492">
        <w:rPr>
          <w:sz w:val="22"/>
          <w:szCs w:val="22"/>
          <w:lang w:val="sr-Latn-ME" w:eastAsia="sr-Latn-CS"/>
        </w:rPr>
        <w:t>4.5). Treba izbjegavati istovremenu primjenu l</w:t>
      </w:r>
      <w:r w:rsidR="00F26103">
        <w:rPr>
          <w:sz w:val="22"/>
          <w:szCs w:val="22"/>
          <w:lang w:val="sr-Latn-ME" w:eastAsia="sr-Latn-CS"/>
        </w:rPr>
        <w:t>ij</w:t>
      </w:r>
      <w:r w:rsidRPr="00F37492">
        <w:rPr>
          <w:sz w:val="22"/>
          <w:szCs w:val="22"/>
          <w:lang w:val="sr-Latn-ME" w:eastAsia="sr-Latn-CS"/>
        </w:rPr>
        <w:t>eka ruksolitinib sa dnevnom dozom flukonazola ve</w:t>
      </w:r>
      <w:r w:rsidRPr="00F37492">
        <w:rPr>
          <w:sz w:val="22"/>
          <w:szCs w:val="22"/>
          <w:lang w:val="sr-Latn-RS" w:eastAsia="sr-Latn-CS"/>
        </w:rPr>
        <w:t>ćom od 200</w:t>
      </w:r>
      <w:r w:rsidR="00F26103">
        <w:rPr>
          <w:sz w:val="22"/>
          <w:szCs w:val="22"/>
          <w:lang w:val="sr-Latn-RS" w:eastAsia="sr-Latn-CS"/>
        </w:rPr>
        <w:t xml:space="preserve"> </w:t>
      </w:r>
      <w:r w:rsidRPr="00F37492">
        <w:rPr>
          <w:sz w:val="22"/>
          <w:szCs w:val="22"/>
          <w:lang w:val="sr-Latn-RS" w:eastAsia="sr-Latn-CS"/>
        </w:rPr>
        <w:t>mg.</w:t>
      </w:r>
    </w:p>
    <w:p w14:paraId="0328039C" w14:textId="77777777" w:rsidR="00F37492" w:rsidRPr="00F37492" w:rsidRDefault="00F37492" w:rsidP="000A557B">
      <w:pPr>
        <w:jc w:val="both"/>
        <w:rPr>
          <w:rFonts w:cs="Arial Unicode MS"/>
          <w:sz w:val="22"/>
          <w:szCs w:val="22"/>
          <w:u w:val="single"/>
          <w:shd w:val="clear" w:color="auto" w:fill="FFFFFF"/>
          <w:lang w:val="sr-Latn-ME" w:eastAsia="sr-Latn-CS"/>
        </w:rPr>
      </w:pPr>
    </w:p>
    <w:p w14:paraId="311F387C" w14:textId="2E011E5B" w:rsidR="00F37492" w:rsidRDefault="00F37492" w:rsidP="000A557B">
      <w:pPr>
        <w:jc w:val="both"/>
        <w:rPr>
          <w:i/>
          <w:sz w:val="22"/>
          <w:szCs w:val="22"/>
          <w:u w:val="single"/>
          <w:shd w:val="clear" w:color="auto" w:fill="FFFFFF"/>
          <w:lang w:val="sr-Latn-ME" w:eastAsia="sr-Latn-CS"/>
        </w:rPr>
      </w:pPr>
      <w:r w:rsidRPr="00F37492">
        <w:rPr>
          <w:i/>
          <w:sz w:val="22"/>
          <w:szCs w:val="22"/>
          <w:u w:val="single"/>
          <w:shd w:val="clear" w:color="auto" w:fill="FFFFFF"/>
          <w:lang w:val="sr-Latn-ME" w:eastAsia="sr-Latn-CS"/>
        </w:rPr>
        <w:t>Posebne populacije</w:t>
      </w:r>
    </w:p>
    <w:p w14:paraId="7BF64646" w14:textId="77777777" w:rsidR="00710F9A" w:rsidRPr="00F37492" w:rsidRDefault="00710F9A" w:rsidP="000A557B">
      <w:pPr>
        <w:jc w:val="both"/>
        <w:rPr>
          <w:rFonts w:cs="Arial Unicode MS"/>
          <w:i/>
          <w:sz w:val="22"/>
          <w:szCs w:val="22"/>
          <w:u w:val="single"/>
          <w:shd w:val="clear" w:color="auto" w:fill="FFFFFF"/>
          <w:lang w:val="sr-Latn-ME" w:eastAsia="sr-Latn-CS"/>
        </w:rPr>
      </w:pPr>
    </w:p>
    <w:p w14:paraId="15C6CB76" w14:textId="77777777" w:rsidR="00F37492" w:rsidRPr="00F37492" w:rsidRDefault="00F37492" w:rsidP="000A557B">
      <w:pPr>
        <w:jc w:val="both"/>
        <w:rPr>
          <w:rFonts w:cs="Arial Unicode MS"/>
          <w:i/>
          <w:iCs/>
          <w:sz w:val="22"/>
          <w:szCs w:val="22"/>
          <w:lang w:val="sr-Latn-ME" w:eastAsia="sr-Latn-ME"/>
        </w:rPr>
      </w:pPr>
      <w:r w:rsidRPr="00F37492">
        <w:rPr>
          <w:i/>
          <w:iCs/>
          <w:sz w:val="22"/>
          <w:szCs w:val="22"/>
          <w:lang w:val="sr-Latn-ME" w:eastAsia="sr-Latn-CS"/>
        </w:rPr>
        <w:t>Poremećaj funkcije bubrega</w:t>
      </w:r>
    </w:p>
    <w:p w14:paraId="06783341" w14:textId="77777777" w:rsidR="00F37492" w:rsidRPr="00F37492" w:rsidRDefault="00F37492" w:rsidP="000A557B">
      <w:pPr>
        <w:jc w:val="both"/>
        <w:rPr>
          <w:rFonts w:cs="Arial Unicode MS"/>
          <w:sz w:val="22"/>
          <w:szCs w:val="22"/>
          <w:lang w:val="sr-Latn-ME" w:eastAsia="sr-Latn-ME"/>
        </w:rPr>
      </w:pPr>
      <w:r w:rsidRPr="00F37492">
        <w:rPr>
          <w:sz w:val="22"/>
          <w:szCs w:val="22"/>
          <w:lang w:val="sr-Latn-ME" w:eastAsia="sr-Latn-CS"/>
        </w:rPr>
        <w:t>Nije potrebno posebno podešavanje doze kod pacijenata sa blagim do umjerenim poremećajem funkcije bubrega.</w:t>
      </w:r>
    </w:p>
    <w:p w14:paraId="4C52FFBB" w14:textId="77777777" w:rsidR="00F37492" w:rsidRPr="00F37492" w:rsidRDefault="00F37492" w:rsidP="000A557B">
      <w:pPr>
        <w:jc w:val="both"/>
        <w:rPr>
          <w:rFonts w:cs="Arial Unicode MS"/>
          <w:sz w:val="22"/>
          <w:szCs w:val="22"/>
          <w:lang w:val="sr-Latn-ME" w:eastAsia="sr-Latn-CS"/>
        </w:rPr>
      </w:pPr>
    </w:p>
    <w:p w14:paraId="27298ED7" w14:textId="16EB3F6E" w:rsidR="00F37492" w:rsidRPr="00F37492" w:rsidRDefault="00F37492" w:rsidP="000A557B">
      <w:pPr>
        <w:jc w:val="both"/>
        <w:rPr>
          <w:sz w:val="22"/>
          <w:szCs w:val="22"/>
          <w:lang w:val="sr-Latn-ME" w:eastAsia="sr-Latn-CS"/>
        </w:rPr>
      </w:pPr>
      <w:r w:rsidRPr="00F37492">
        <w:rPr>
          <w:sz w:val="22"/>
          <w:szCs w:val="22"/>
          <w:lang w:val="sr-Latn-ME" w:eastAsia="sr-Latn-CS"/>
        </w:rPr>
        <w:lastRenderedPageBreak/>
        <w:t>Kod pacijenata sa teškim poremećajem bubrežne funkcije (klirens kreatinina manji od 30 m</w:t>
      </w:r>
      <w:r w:rsidR="00710F9A">
        <w:rPr>
          <w:sz w:val="22"/>
          <w:szCs w:val="22"/>
          <w:lang w:val="sr-Latn-ME" w:eastAsia="sr-Latn-CS"/>
        </w:rPr>
        <w:t>l</w:t>
      </w:r>
      <w:r w:rsidRPr="00F37492">
        <w:rPr>
          <w:sz w:val="22"/>
          <w:szCs w:val="22"/>
          <w:lang w:val="sr-Latn-ME" w:eastAsia="sr-Latn-CS"/>
        </w:rPr>
        <w:t>/min) preporučena početna doza određena na osnovu broja trombocita kod pacijenata sa MF</w:t>
      </w:r>
      <w:r w:rsidR="0015535A" w:rsidRPr="0015535A">
        <w:rPr>
          <w:sz w:val="22"/>
          <w:szCs w:val="22"/>
          <w:lang w:eastAsia="sr-Latn-CS"/>
        </w:rPr>
        <w:t>, PV ili GvHD</w:t>
      </w:r>
      <w:r w:rsidRPr="00F37492">
        <w:rPr>
          <w:sz w:val="22"/>
          <w:szCs w:val="22"/>
          <w:lang w:val="sr-Latn-ME" w:eastAsia="sr-Latn-CS"/>
        </w:rPr>
        <w:t xml:space="preserve"> treba da se smanji za oko 50% i primjenjuje dva puta dnevno.</w:t>
      </w:r>
      <w:r w:rsidR="0015535A">
        <w:rPr>
          <w:sz w:val="22"/>
          <w:szCs w:val="22"/>
          <w:lang w:val="sr-Latn-ME" w:eastAsia="sr-Latn-CS"/>
        </w:rPr>
        <w:t xml:space="preserve"> </w:t>
      </w:r>
      <w:r w:rsidRPr="00F37492">
        <w:rPr>
          <w:sz w:val="22"/>
          <w:szCs w:val="22"/>
          <w:lang w:val="sr-Latn-ME" w:eastAsia="sr-Latn-CS"/>
        </w:rPr>
        <w:t>Pacijente treba pažljivo pratiti u odnosu na parametare bezbjednosti i efikasnosti dok primaju terapiju lijekom ruksolitinib</w:t>
      </w:r>
      <w:r w:rsidR="0015535A">
        <w:rPr>
          <w:sz w:val="22"/>
          <w:szCs w:val="22"/>
          <w:lang w:val="sr-Latn-ME" w:eastAsia="sr-Latn-CS"/>
        </w:rPr>
        <w:t xml:space="preserve"> </w:t>
      </w:r>
      <w:r w:rsidR="0015535A" w:rsidRPr="0015535A">
        <w:rPr>
          <w:sz w:val="22"/>
          <w:szCs w:val="22"/>
          <w:lang w:eastAsia="sr-Latn-CS"/>
        </w:rPr>
        <w:t xml:space="preserve">(videti </w:t>
      </w:r>
      <w:r w:rsidR="0015535A">
        <w:rPr>
          <w:sz w:val="22"/>
          <w:szCs w:val="22"/>
          <w:lang w:eastAsia="sr-Latn-CS"/>
        </w:rPr>
        <w:t>dio</w:t>
      </w:r>
      <w:r w:rsidR="0015535A" w:rsidRPr="0015535A">
        <w:rPr>
          <w:sz w:val="22"/>
          <w:szCs w:val="22"/>
          <w:lang w:eastAsia="sr-Latn-CS"/>
        </w:rPr>
        <w:t xml:space="preserve"> 4.4)</w:t>
      </w:r>
      <w:r w:rsidR="0015535A">
        <w:rPr>
          <w:sz w:val="22"/>
          <w:szCs w:val="22"/>
          <w:lang w:val="sr-Latn-ME" w:eastAsia="sr-Latn-CS"/>
        </w:rPr>
        <w:t xml:space="preserve"> </w:t>
      </w:r>
      <w:r w:rsidRPr="00F37492">
        <w:rPr>
          <w:sz w:val="22"/>
          <w:szCs w:val="22"/>
          <w:lang w:val="sr-Latn-ME" w:eastAsia="sr-Latn-CS"/>
        </w:rPr>
        <w:t>.</w:t>
      </w:r>
      <w:r w:rsidR="0015535A">
        <w:rPr>
          <w:sz w:val="22"/>
          <w:szCs w:val="22"/>
          <w:lang w:val="sr-Latn-ME" w:eastAsia="sr-Latn-CS"/>
        </w:rPr>
        <w:t xml:space="preserve"> </w:t>
      </w:r>
    </w:p>
    <w:p w14:paraId="005982C9" w14:textId="77777777" w:rsidR="00F37492" w:rsidRPr="00F37492" w:rsidRDefault="00F37492" w:rsidP="000A557B">
      <w:pPr>
        <w:jc w:val="both"/>
        <w:rPr>
          <w:rFonts w:cs="Arial Unicode MS"/>
          <w:sz w:val="22"/>
          <w:szCs w:val="22"/>
          <w:lang w:val="sr-Latn-ME" w:eastAsia="sr-Latn-ME"/>
        </w:rPr>
      </w:pPr>
    </w:p>
    <w:p w14:paraId="04FB00BC" w14:textId="40599DBF" w:rsidR="00F37492" w:rsidRPr="00F37492" w:rsidRDefault="00F37492" w:rsidP="000A557B">
      <w:pPr>
        <w:jc w:val="both"/>
        <w:rPr>
          <w:sz w:val="22"/>
          <w:szCs w:val="22"/>
          <w:lang w:val="sr-Latn-ME" w:eastAsia="sr-Latn-CS"/>
        </w:rPr>
      </w:pPr>
      <w:r w:rsidRPr="00F37492">
        <w:rPr>
          <w:sz w:val="22"/>
          <w:szCs w:val="22"/>
          <w:lang w:val="sr-Latn-ME" w:eastAsia="sr-Latn-CS"/>
        </w:rPr>
        <w:t>Podaci o najboljim opcijama doziranja za pacijente u terminalnom stadijumu bubrežne bolesti (ESRD) na hemodijalizi su ograničeni. Farmakokinetička/farmakodinamska simulacija zasnovana na raspoloživim podacima za ovu populaciju ukazuje da početna doza za pacijente sa MF sa ESRD na hemodijalizi treba da bude pojedinačna doza od 15-20 mg ili dvije doze od 10 mg uzete sa razmakom od 12 sati, koja se daje po završetku hemodijalize i to samo onog dana kada se hemodijaliza obavlja. Pojedinačna doza od 15 mg se preporučuje pacijentima sa MF čiji je broj trombocita između 100</w:t>
      </w:r>
      <w:r w:rsidR="00710F9A">
        <w:rPr>
          <w:sz w:val="22"/>
          <w:szCs w:val="22"/>
          <w:lang w:val="sr-Latn-ME" w:eastAsia="sr-Latn-CS"/>
        </w:rPr>
        <w:t xml:space="preserve"> </w:t>
      </w:r>
      <w:r w:rsidRPr="00F37492">
        <w:rPr>
          <w:sz w:val="22"/>
          <w:szCs w:val="22"/>
          <w:lang w:val="sr-Latn-ME" w:eastAsia="sr-Latn-CS"/>
        </w:rPr>
        <w:t>000/mm</w:t>
      </w:r>
      <w:r w:rsidRPr="00F37492">
        <w:rPr>
          <w:sz w:val="22"/>
          <w:szCs w:val="22"/>
          <w:vertAlign w:val="superscript"/>
          <w:lang w:val="sr-Latn-ME" w:eastAsia="sr-Latn-CS"/>
        </w:rPr>
        <w:t>3</w:t>
      </w:r>
      <w:r w:rsidRPr="00F37492">
        <w:rPr>
          <w:sz w:val="22"/>
          <w:szCs w:val="22"/>
          <w:lang w:val="sr-Latn-ME" w:eastAsia="sr-Latn-CS"/>
        </w:rPr>
        <w:t xml:space="preserve"> i 200</w:t>
      </w:r>
      <w:r w:rsidR="00710F9A">
        <w:rPr>
          <w:sz w:val="22"/>
          <w:szCs w:val="22"/>
          <w:lang w:val="sr-Latn-ME" w:eastAsia="sr-Latn-CS"/>
        </w:rPr>
        <w:t xml:space="preserve"> </w:t>
      </w:r>
      <w:r w:rsidRPr="00F37492">
        <w:rPr>
          <w:sz w:val="22"/>
          <w:szCs w:val="22"/>
          <w:lang w:val="sr-Latn-ME" w:eastAsia="sr-Latn-CS"/>
        </w:rPr>
        <w:t>000/mm</w:t>
      </w:r>
      <w:r w:rsidRPr="00F37492">
        <w:rPr>
          <w:sz w:val="22"/>
          <w:szCs w:val="22"/>
          <w:vertAlign w:val="superscript"/>
          <w:lang w:val="sr-Latn-ME" w:eastAsia="sr-Latn-CS"/>
        </w:rPr>
        <w:t>3</w:t>
      </w:r>
      <w:r w:rsidRPr="00F37492">
        <w:rPr>
          <w:sz w:val="22"/>
          <w:szCs w:val="22"/>
          <w:lang w:val="sr-Latn-ME" w:eastAsia="sr-Latn-CS"/>
        </w:rPr>
        <w:t>. Pojedinačna doza od 20 mg ili dvije doze od po 10 mg uzete sa razmakom od 12 sati se preporučuju pacijentima sa MF čiji je broj trombocita &gt;</w:t>
      </w:r>
      <w:r w:rsidR="00710F9A">
        <w:rPr>
          <w:sz w:val="22"/>
          <w:szCs w:val="22"/>
          <w:lang w:val="sr-Latn-ME" w:eastAsia="sr-Latn-CS"/>
        </w:rPr>
        <w:t xml:space="preserve"> </w:t>
      </w:r>
      <w:r w:rsidRPr="00F37492">
        <w:rPr>
          <w:sz w:val="22"/>
          <w:szCs w:val="22"/>
          <w:lang w:val="sr-Latn-ME" w:eastAsia="sr-Latn-CS"/>
        </w:rPr>
        <w:t>200</w:t>
      </w:r>
      <w:r w:rsidR="00710F9A">
        <w:rPr>
          <w:sz w:val="22"/>
          <w:szCs w:val="22"/>
          <w:lang w:val="sr-Latn-ME" w:eastAsia="sr-Latn-CS"/>
        </w:rPr>
        <w:t xml:space="preserve"> </w:t>
      </w:r>
      <w:r w:rsidRPr="00F37492">
        <w:rPr>
          <w:sz w:val="22"/>
          <w:szCs w:val="22"/>
          <w:lang w:val="sr-Latn-ME" w:eastAsia="sr-Latn-CS"/>
        </w:rPr>
        <w:t>000/mm</w:t>
      </w:r>
      <w:r w:rsidRPr="00F37492">
        <w:rPr>
          <w:sz w:val="22"/>
          <w:szCs w:val="22"/>
          <w:vertAlign w:val="superscript"/>
          <w:lang w:val="sr-Latn-ME" w:eastAsia="sr-Latn-CS"/>
        </w:rPr>
        <w:t>3</w:t>
      </w:r>
      <w:r w:rsidRPr="00F37492">
        <w:rPr>
          <w:sz w:val="22"/>
          <w:szCs w:val="22"/>
          <w:lang w:val="sr-Latn-ME" w:eastAsia="sr-Latn-CS"/>
        </w:rPr>
        <w:t xml:space="preserve">. Naredne doze (pojedinačne doze ili dvije doze od po 10 mg uzete sa razmakom od 12 sati) treba primijeniti na dan same </w:t>
      </w:r>
      <w:r w:rsidR="00024522">
        <w:rPr>
          <w:sz w:val="22"/>
          <w:szCs w:val="22"/>
          <w:lang w:val="sr-Latn-ME" w:eastAsia="sr-Latn-CS"/>
        </w:rPr>
        <w:t>hemo</w:t>
      </w:r>
      <w:r w:rsidRPr="00F37492">
        <w:rPr>
          <w:sz w:val="22"/>
          <w:szCs w:val="22"/>
          <w:lang w:val="sr-Latn-ME" w:eastAsia="sr-Latn-CS"/>
        </w:rPr>
        <w:t xml:space="preserve">dijalize, pošto se dijaliza završi. </w:t>
      </w:r>
    </w:p>
    <w:p w14:paraId="2C57EA1E" w14:textId="77777777" w:rsidR="00F37492" w:rsidRPr="00F37492" w:rsidRDefault="00F37492" w:rsidP="000A557B">
      <w:pPr>
        <w:jc w:val="both"/>
        <w:rPr>
          <w:sz w:val="22"/>
          <w:szCs w:val="22"/>
          <w:lang w:val="sr-Latn-ME" w:eastAsia="sr-Latn-CS"/>
        </w:rPr>
      </w:pPr>
    </w:p>
    <w:p w14:paraId="43BD3D20" w14:textId="7E6ABA3D" w:rsidR="00F37492" w:rsidRPr="00F37492" w:rsidRDefault="00F37492" w:rsidP="000A557B">
      <w:pPr>
        <w:jc w:val="both"/>
        <w:rPr>
          <w:sz w:val="22"/>
          <w:szCs w:val="22"/>
          <w:lang w:val="sr-Latn-ME" w:eastAsia="sr-Latn-CS"/>
        </w:rPr>
      </w:pPr>
      <w:r w:rsidRPr="00F37492">
        <w:rPr>
          <w:sz w:val="22"/>
          <w:szCs w:val="22"/>
          <w:lang w:val="sr-Latn-ME" w:eastAsia="sr-Latn-CS"/>
        </w:rPr>
        <w:t xml:space="preserve">Preporučena početna doza kod pacijenata sa PV sa ESRD na hemodijalizi je pojedinačna doza od 10 mg ili dvije doze od 5mg uzete sa razmakom od 12 sati, koja se daje po završetku dijalize, i to samo onog dana kada se hemodijaliza obavlja. Ove preporuke za doziranje su bazirane na simulaciji i bilo koja modifikacija doze u terminalnom stadijumu bubrežne bolesti (ESRD) trebalo bi da bude praćena monitoringom bezbjednosti i efikasnosti kod svakog pacijenta posebno. Nema podataka o doziranju kod pacijenata koji se podvrgavaju peritonealnoj dijalizi ili kontinuiranoj venovenskoj hemofiltraciji (vidjeti </w:t>
      </w:r>
      <w:r w:rsidR="00710F9A">
        <w:rPr>
          <w:sz w:val="22"/>
          <w:szCs w:val="22"/>
          <w:lang w:val="sr-Latn-ME" w:eastAsia="sr-Latn-CS"/>
        </w:rPr>
        <w:t>dio</w:t>
      </w:r>
      <w:r w:rsidR="00710F9A" w:rsidRPr="00F37492">
        <w:rPr>
          <w:sz w:val="22"/>
          <w:szCs w:val="22"/>
          <w:lang w:val="sr-Latn-ME" w:eastAsia="sr-Latn-CS"/>
        </w:rPr>
        <w:t xml:space="preserve"> </w:t>
      </w:r>
      <w:r w:rsidRPr="00F37492">
        <w:rPr>
          <w:sz w:val="22"/>
          <w:szCs w:val="22"/>
          <w:lang w:val="sr-Latn-ME" w:eastAsia="sr-Latn-CS"/>
        </w:rPr>
        <w:t>5.2).</w:t>
      </w:r>
    </w:p>
    <w:p w14:paraId="4DDEDF6F" w14:textId="77777777" w:rsidR="00F37492" w:rsidRPr="00F37492" w:rsidRDefault="00F37492" w:rsidP="000A557B">
      <w:pPr>
        <w:jc w:val="both"/>
        <w:rPr>
          <w:i/>
          <w:iCs/>
          <w:sz w:val="22"/>
          <w:szCs w:val="22"/>
          <w:lang w:val="sr-Latn-ME" w:eastAsia="sr-Latn-ME"/>
        </w:rPr>
      </w:pPr>
    </w:p>
    <w:p w14:paraId="7A2E8F92" w14:textId="77777777" w:rsidR="00F37492" w:rsidRPr="00F37492" w:rsidRDefault="00F37492" w:rsidP="000A557B">
      <w:pPr>
        <w:jc w:val="both"/>
        <w:rPr>
          <w:rFonts w:cs="Arial Unicode MS"/>
          <w:iCs/>
          <w:sz w:val="22"/>
          <w:szCs w:val="22"/>
          <w:lang w:val="sr-Latn-ME" w:eastAsia="sr-Latn-CS"/>
        </w:rPr>
      </w:pPr>
      <w:r w:rsidRPr="00F37492">
        <w:rPr>
          <w:rFonts w:cs="Arial Unicode MS"/>
          <w:iCs/>
          <w:sz w:val="22"/>
          <w:szCs w:val="22"/>
          <w:lang w:val="sr-Latn-ME" w:eastAsia="sr-Latn-CS"/>
        </w:rPr>
        <w:t>Nema podataka o pacijentima sa GvHD i ESRD.</w:t>
      </w:r>
    </w:p>
    <w:p w14:paraId="6746C39B" w14:textId="77777777" w:rsidR="00F37492" w:rsidRPr="00F37492" w:rsidRDefault="00F37492" w:rsidP="000A557B">
      <w:pPr>
        <w:jc w:val="both"/>
        <w:rPr>
          <w:rFonts w:cs="Arial Unicode MS"/>
          <w:i/>
          <w:iCs/>
          <w:sz w:val="22"/>
          <w:szCs w:val="22"/>
          <w:lang w:val="sr-Latn-ME" w:eastAsia="sr-Latn-CS"/>
        </w:rPr>
      </w:pPr>
    </w:p>
    <w:p w14:paraId="20CAFCFC" w14:textId="77777777" w:rsidR="00F37492" w:rsidRPr="00F37492" w:rsidRDefault="00F37492" w:rsidP="000A557B">
      <w:pPr>
        <w:jc w:val="both"/>
        <w:rPr>
          <w:rFonts w:cs="Arial Unicode MS"/>
          <w:i/>
          <w:iCs/>
          <w:sz w:val="22"/>
          <w:szCs w:val="22"/>
          <w:lang w:val="sr-Latn-ME" w:eastAsia="sr-Latn-ME"/>
        </w:rPr>
      </w:pPr>
      <w:r w:rsidRPr="00F37492">
        <w:rPr>
          <w:i/>
          <w:iCs/>
          <w:sz w:val="22"/>
          <w:szCs w:val="22"/>
          <w:lang w:val="sr-Latn-ME" w:eastAsia="sr-Latn-CS"/>
        </w:rPr>
        <w:t>Poremećaj funkcije jetre</w:t>
      </w:r>
    </w:p>
    <w:p w14:paraId="265803B3" w14:textId="5913CA8D" w:rsidR="00F37492" w:rsidRPr="00F37492" w:rsidRDefault="00F37492" w:rsidP="000A557B">
      <w:pPr>
        <w:jc w:val="both"/>
        <w:rPr>
          <w:rFonts w:cs="Arial Unicode MS"/>
          <w:sz w:val="22"/>
          <w:szCs w:val="22"/>
          <w:lang w:val="sr-Latn-ME" w:eastAsia="sr-Latn-ME"/>
        </w:rPr>
      </w:pPr>
      <w:r w:rsidRPr="00F37492">
        <w:rPr>
          <w:sz w:val="22"/>
          <w:szCs w:val="22"/>
          <w:lang w:val="sr-Latn-ME" w:eastAsia="sr-Latn-CS"/>
        </w:rPr>
        <w:t>Kod pacijenata sa MF sa bilo kojim poremećajem funkcije jetre preporučena početna doza na osnovu broja trombocita treba da se smanji za približno 50% i primjenjuje dva puta dn</w:t>
      </w:r>
      <w:r w:rsidR="00710F9A">
        <w:rPr>
          <w:sz w:val="22"/>
          <w:szCs w:val="22"/>
          <w:lang w:val="sr-Latn-ME" w:eastAsia="sr-Latn-CS"/>
        </w:rPr>
        <w:t>e</w:t>
      </w:r>
      <w:r w:rsidRPr="00F37492">
        <w:rPr>
          <w:sz w:val="22"/>
          <w:szCs w:val="22"/>
          <w:lang w:val="sr-Latn-ME" w:eastAsia="sr-Latn-CS"/>
        </w:rPr>
        <w:t xml:space="preserve">vno. Naredne doze treba </w:t>
      </w:r>
      <w:r w:rsidR="00710F9A">
        <w:rPr>
          <w:sz w:val="22"/>
          <w:szCs w:val="22"/>
          <w:lang w:val="sr-Latn-ME" w:eastAsia="sr-Latn-CS"/>
        </w:rPr>
        <w:t>prilagoditi na</w:t>
      </w:r>
      <w:r w:rsidRPr="00F37492">
        <w:rPr>
          <w:sz w:val="22"/>
          <w:szCs w:val="22"/>
          <w:lang w:val="sr-Latn-ME" w:eastAsia="sr-Latn-CS"/>
        </w:rPr>
        <w:t xml:space="preserve"> osnovu pažljivog praćenja bezbjednosti i efikasnosti. Preporučena početna doza je 5 mg dva puta na dan kod pacijenata sa PV.</w:t>
      </w:r>
      <w:r w:rsidR="0015535A">
        <w:rPr>
          <w:sz w:val="22"/>
          <w:szCs w:val="22"/>
          <w:lang w:val="sr-Latn-ME" w:eastAsia="sr-Latn-CS"/>
        </w:rPr>
        <w:t xml:space="preserve"> </w:t>
      </w:r>
      <w:r w:rsidRPr="00F37492">
        <w:rPr>
          <w:sz w:val="22"/>
          <w:szCs w:val="22"/>
          <w:lang w:val="sr-Latn-ME" w:eastAsia="sr-Latn-CS"/>
        </w:rPr>
        <w:t xml:space="preserve">Doza lijeka ruksolitinib može se </w:t>
      </w:r>
      <w:r w:rsidR="00FB011D">
        <w:rPr>
          <w:sz w:val="22"/>
          <w:szCs w:val="22"/>
          <w:lang w:val="sr-Latn-ME" w:eastAsia="sr-Latn-CS"/>
        </w:rPr>
        <w:t>titrirati</w:t>
      </w:r>
      <w:r w:rsidRPr="00F37492">
        <w:rPr>
          <w:sz w:val="22"/>
          <w:szCs w:val="22"/>
          <w:lang w:val="sr-Latn-ME" w:eastAsia="sr-Latn-CS"/>
        </w:rPr>
        <w:t xml:space="preserve"> </w:t>
      </w:r>
      <w:r w:rsidR="00FB011D">
        <w:rPr>
          <w:sz w:val="22"/>
          <w:szCs w:val="22"/>
          <w:lang w:val="sr-Latn-ME" w:eastAsia="sr-Latn-CS"/>
        </w:rPr>
        <w:t>da</w:t>
      </w:r>
      <w:r w:rsidRPr="00F37492">
        <w:rPr>
          <w:sz w:val="22"/>
          <w:szCs w:val="22"/>
          <w:lang w:val="sr-Latn-ME" w:eastAsia="sr-Latn-CS"/>
        </w:rPr>
        <w:t xml:space="preserve"> bi se smanjio rizik od citopenije</w:t>
      </w:r>
      <w:r w:rsidR="0015535A">
        <w:rPr>
          <w:sz w:val="22"/>
          <w:szCs w:val="22"/>
          <w:lang w:val="sr-Latn-ME" w:eastAsia="sr-Latn-CS"/>
        </w:rPr>
        <w:t xml:space="preserve"> </w:t>
      </w:r>
      <w:r w:rsidR="0015535A" w:rsidRPr="0015535A">
        <w:rPr>
          <w:sz w:val="22"/>
          <w:szCs w:val="22"/>
          <w:lang w:eastAsia="sr-Latn-CS"/>
        </w:rPr>
        <w:t>(vid</w:t>
      </w:r>
      <w:r w:rsidR="00DD0118">
        <w:rPr>
          <w:sz w:val="22"/>
          <w:szCs w:val="22"/>
          <w:lang w:eastAsia="sr-Latn-CS"/>
        </w:rPr>
        <w:t>j</w:t>
      </w:r>
      <w:r w:rsidR="0015535A" w:rsidRPr="0015535A">
        <w:rPr>
          <w:sz w:val="22"/>
          <w:szCs w:val="22"/>
          <w:lang w:eastAsia="sr-Latn-CS"/>
        </w:rPr>
        <w:t xml:space="preserve">eti </w:t>
      </w:r>
      <w:r w:rsidR="0015535A">
        <w:rPr>
          <w:sz w:val="22"/>
          <w:szCs w:val="22"/>
          <w:lang w:eastAsia="sr-Latn-CS"/>
        </w:rPr>
        <w:t>dio</w:t>
      </w:r>
      <w:r w:rsidR="0015535A" w:rsidRPr="0015535A">
        <w:rPr>
          <w:sz w:val="22"/>
          <w:szCs w:val="22"/>
          <w:lang w:eastAsia="sr-Latn-CS"/>
        </w:rPr>
        <w:t xml:space="preserve"> 4.4)</w:t>
      </w:r>
      <w:r w:rsidRPr="00F37492">
        <w:rPr>
          <w:sz w:val="22"/>
          <w:szCs w:val="22"/>
          <w:lang w:val="sr-Latn-ME" w:eastAsia="sr-Latn-CS"/>
        </w:rPr>
        <w:t>.</w:t>
      </w:r>
    </w:p>
    <w:p w14:paraId="1992ADB1" w14:textId="77777777" w:rsidR="00F37492" w:rsidRPr="00F37492" w:rsidRDefault="00F37492" w:rsidP="000A557B">
      <w:pPr>
        <w:jc w:val="both"/>
        <w:rPr>
          <w:i/>
          <w:iCs/>
          <w:sz w:val="22"/>
          <w:szCs w:val="22"/>
          <w:lang w:val="sr-Latn-ME" w:eastAsia="sr-Latn-ME"/>
        </w:rPr>
      </w:pPr>
    </w:p>
    <w:p w14:paraId="2B1E139A" w14:textId="29B13E29" w:rsidR="00F37492" w:rsidRPr="00F37492" w:rsidRDefault="00F37492" w:rsidP="000A557B">
      <w:pPr>
        <w:widowControl w:val="0"/>
        <w:jc w:val="both"/>
        <w:rPr>
          <w:sz w:val="22"/>
          <w:szCs w:val="22"/>
          <w:lang w:val="hr-HR"/>
        </w:rPr>
      </w:pPr>
      <w:r w:rsidRPr="00F37492">
        <w:rPr>
          <w:sz w:val="22"/>
          <w:szCs w:val="22"/>
          <w:lang w:val="hr-HR"/>
        </w:rPr>
        <w:t xml:space="preserve">Kod pacijenata sa blagim, umjerenim ili teškim oštećenjem jetre koje nije povezano s GvHD, početnu dozu ruksolitiniba treba smanjiti za 50% (vidjeti </w:t>
      </w:r>
      <w:r w:rsidR="00FB011D">
        <w:rPr>
          <w:sz w:val="22"/>
          <w:szCs w:val="22"/>
          <w:lang w:val="hr-HR"/>
        </w:rPr>
        <w:t>dio</w:t>
      </w:r>
      <w:r w:rsidR="00FB011D" w:rsidRPr="00F37492">
        <w:rPr>
          <w:sz w:val="22"/>
          <w:szCs w:val="22"/>
          <w:lang w:val="hr-HR"/>
        </w:rPr>
        <w:t> </w:t>
      </w:r>
      <w:r w:rsidRPr="00F37492">
        <w:rPr>
          <w:sz w:val="22"/>
          <w:szCs w:val="22"/>
          <w:lang w:val="hr-HR"/>
        </w:rPr>
        <w:t>5.2).</w:t>
      </w:r>
    </w:p>
    <w:p w14:paraId="3BE2CC8B" w14:textId="77777777" w:rsidR="00F37492" w:rsidRPr="00F37492" w:rsidRDefault="00F37492" w:rsidP="000A557B">
      <w:pPr>
        <w:widowControl w:val="0"/>
        <w:jc w:val="both"/>
        <w:rPr>
          <w:sz w:val="22"/>
          <w:szCs w:val="22"/>
          <w:lang w:val="hr-HR"/>
        </w:rPr>
      </w:pPr>
    </w:p>
    <w:p w14:paraId="06CDC2EC" w14:textId="0E77F974" w:rsidR="00F37492" w:rsidRPr="00F37492" w:rsidRDefault="00F37492" w:rsidP="000A557B">
      <w:pPr>
        <w:widowControl w:val="0"/>
        <w:jc w:val="both"/>
        <w:rPr>
          <w:sz w:val="22"/>
          <w:szCs w:val="22"/>
          <w:lang w:val="hr-HR"/>
        </w:rPr>
      </w:pPr>
      <w:r w:rsidRPr="00F37492">
        <w:rPr>
          <w:sz w:val="22"/>
          <w:szCs w:val="22"/>
          <w:lang w:val="hr-HR"/>
        </w:rPr>
        <w:t>Kod pacijenata kojima je jetra zahvaćena GvHD</w:t>
      </w:r>
      <w:r w:rsidRPr="00F37492">
        <w:rPr>
          <w:sz w:val="22"/>
          <w:szCs w:val="22"/>
          <w:lang w:val="hr-HR"/>
        </w:rPr>
        <w:noBreakHyphen/>
        <w:t>om i povišen im je ukupan bilirubin na &gt;</w:t>
      </w:r>
      <w:r w:rsidR="00FB011D">
        <w:rPr>
          <w:sz w:val="22"/>
          <w:szCs w:val="22"/>
          <w:lang w:val="hr-HR"/>
        </w:rPr>
        <w:t xml:space="preserve"> </w:t>
      </w:r>
      <w:r w:rsidRPr="00F37492">
        <w:rPr>
          <w:sz w:val="22"/>
          <w:szCs w:val="22"/>
          <w:lang w:val="hr-HR"/>
        </w:rPr>
        <w:t>3 x GGN, potrebno je učestalije pratiti krvnu sliku zbog toksičnosti i preporučeno je smanjenje doze za jedan dozni nivo.</w:t>
      </w:r>
    </w:p>
    <w:p w14:paraId="1EBB83B8" w14:textId="77777777" w:rsidR="00F37492" w:rsidRPr="00F37492" w:rsidRDefault="00F37492" w:rsidP="000A557B">
      <w:pPr>
        <w:jc w:val="both"/>
        <w:rPr>
          <w:rFonts w:cs="Arial Unicode MS"/>
          <w:i/>
          <w:iCs/>
          <w:sz w:val="22"/>
          <w:szCs w:val="22"/>
          <w:lang w:val="sr-Latn-ME" w:eastAsia="sr-Latn-CS"/>
        </w:rPr>
      </w:pPr>
    </w:p>
    <w:p w14:paraId="1AB8F539" w14:textId="5252C725" w:rsidR="00F37492" w:rsidRPr="00F37492" w:rsidRDefault="00F37492" w:rsidP="000A557B">
      <w:pPr>
        <w:jc w:val="both"/>
        <w:rPr>
          <w:rFonts w:cs="Arial Unicode MS"/>
          <w:i/>
          <w:iCs/>
          <w:sz w:val="22"/>
          <w:szCs w:val="22"/>
          <w:lang w:val="sr-Latn-ME" w:eastAsia="sr-Latn-ME"/>
        </w:rPr>
      </w:pPr>
      <w:r w:rsidRPr="00F37492">
        <w:rPr>
          <w:i/>
          <w:iCs/>
          <w:sz w:val="22"/>
          <w:szCs w:val="22"/>
          <w:lang w:val="sr-Latn-ME" w:eastAsia="sr-Latn-CS"/>
        </w:rPr>
        <w:t>Stariji pacijenti (≥</w:t>
      </w:r>
      <w:r w:rsidR="00FB011D">
        <w:rPr>
          <w:i/>
          <w:iCs/>
          <w:sz w:val="22"/>
          <w:szCs w:val="22"/>
          <w:lang w:val="sr-Latn-ME" w:eastAsia="sr-Latn-CS"/>
        </w:rPr>
        <w:t xml:space="preserve"> </w:t>
      </w:r>
      <w:r w:rsidRPr="00F37492">
        <w:rPr>
          <w:i/>
          <w:iCs/>
          <w:sz w:val="22"/>
          <w:szCs w:val="22"/>
          <w:lang w:val="sr-Latn-ME" w:eastAsia="sr-Latn-CS"/>
        </w:rPr>
        <w:t>65 godina)</w:t>
      </w:r>
    </w:p>
    <w:p w14:paraId="44A45B35" w14:textId="4CAEAFFB" w:rsidR="00F37492" w:rsidRPr="00F37492" w:rsidRDefault="00F37492" w:rsidP="000A557B">
      <w:pPr>
        <w:jc w:val="both"/>
        <w:rPr>
          <w:rFonts w:cs="Arial Unicode MS"/>
          <w:sz w:val="22"/>
          <w:szCs w:val="22"/>
          <w:lang w:val="sr-Latn-ME" w:eastAsia="sr-Latn-ME"/>
        </w:rPr>
      </w:pPr>
      <w:r w:rsidRPr="00F37492">
        <w:rPr>
          <w:sz w:val="22"/>
          <w:szCs w:val="22"/>
          <w:lang w:val="sr-Latn-ME" w:eastAsia="sr-Latn-CS"/>
        </w:rPr>
        <w:t>Ne postoje preporuke za dodatno podešavanje doze kod starijih pacijenata.</w:t>
      </w:r>
    </w:p>
    <w:p w14:paraId="704BCF60" w14:textId="77777777" w:rsidR="00F37492" w:rsidRPr="00F37492" w:rsidRDefault="00F37492" w:rsidP="000A557B">
      <w:pPr>
        <w:jc w:val="both"/>
        <w:rPr>
          <w:rFonts w:cs="Arial Unicode MS"/>
          <w:i/>
          <w:iCs/>
          <w:sz w:val="22"/>
          <w:szCs w:val="22"/>
          <w:lang w:val="sr-Latn-ME" w:eastAsia="sr-Latn-CS"/>
        </w:rPr>
      </w:pPr>
    </w:p>
    <w:p w14:paraId="275F8EE3" w14:textId="77777777" w:rsidR="00F37492" w:rsidRPr="00F37492" w:rsidRDefault="00F37492" w:rsidP="000A557B">
      <w:pPr>
        <w:jc w:val="both"/>
        <w:rPr>
          <w:rFonts w:cs="Arial Unicode MS"/>
          <w:i/>
          <w:iCs/>
          <w:sz w:val="22"/>
          <w:szCs w:val="22"/>
          <w:lang w:val="sr-Latn-ME" w:eastAsia="sr-Latn-ME"/>
        </w:rPr>
      </w:pPr>
      <w:r w:rsidRPr="00F37492">
        <w:rPr>
          <w:i/>
          <w:iCs/>
          <w:sz w:val="22"/>
          <w:szCs w:val="22"/>
          <w:lang w:val="sr-Latn-ME" w:eastAsia="sr-Latn-CS"/>
        </w:rPr>
        <w:t>Pedijatrijska populacija</w:t>
      </w:r>
    </w:p>
    <w:p w14:paraId="543550F1" w14:textId="674E69A6" w:rsidR="00F37492" w:rsidRPr="00F37492" w:rsidRDefault="00F37492" w:rsidP="000A557B">
      <w:pPr>
        <w:jc w:val="both"/>
        <w:rPr>
          <w:rFonts w:cs="Arial Unicode MS"/>
          <w:sz w:val="22"/>
          <w:szCs w:val="22"/>
          <w:u w:val="single"/>
          <w:shd w:val="clear" w:color="auto" w:fill="FFFFFF"/>
          <w:lang w:val="sr-Latn-ME" w:eastAsia="sr-Latn-CS"/>
        </w:rPr>
      </w:pPr>
      <w:r w:rsidRPr="00F37492">
        <w:rPr>
          <w:sz w:val="22"/>
          <w:szCs w:val="22"/>
          <w:lang w:val="sr-Latn-ME" w:eastAsia="sr-Latn-CS"/>
        </w:rPr>
        <w:t>Nije utvrđen</w:t>
      </w:r>
      <w:r w:rsidR="00A867F1">
        <w:rPr>
          <w:sz w:val="22"/>
          <w:szCs w:val="22"/>
          <w:lang w:val="sr-Latn-ME" w:eastAsia="sr-Latn-CS"/>
        </w:rPr>
        <w:t>a</w:t>
      </w:r>
      <w:r w:rsidRPr="00F37492">
        <w:rPr>
          <w:sz w:val="22"/>
          <w:szCs w:val="22"/>
          <w:lang w:val="sr-Latn-ME" w:eastAsia="sr-Latn-CS"/>
        </w:rPr>
        <w:t xml:space="preserve"> bezbjednost i efikasnost lijeka Jakavi kod djece i adolescenata mlađih od 18 godina sa MF i PV. Podaci ni</w:t>
      </w:r>
      <w:r w:rsidR="00FB011D">
        <w:rPr>
          <w:sz w:val="22"/>
          <w:szCs w:val="22"/>
          <w:lang w:val="sr-Latn-ME" w:eastAsia="sr-Latn-CS"/>
        </w:rPr>
        <w:t>je</w:t>
      </w:r>
      <w:r w:rsidRPr="00F37492">
        <w:rPr>
          <w:sz w:val="22"/>
          <w:szCs w:val="22"/>
          <w:lang w:val="sr-Latn-ME" w:eastAsia="sr-Latn-CS"/>
        </w:rPr>
        <w:t xml:space="preserve">su dostupni (vidjeti </w:t>
      </w:r>
      <w:r w:rsidR="00FB011D">
        <w:rPr>
          <w:sz w:val="22"/>
          <w:szCs w:val="22"/>
          <w:lang w:val="sr-Latn-ME" w:eastAsia="sr-Latn-CS"/>
        </w:rPr>
        <w:t>dio</w:t>
      </w:r>
      <w:r w:rsidR="00FB011D" w:rsidRPr="00F37492">
        <w:rPr>
          <w:sz w:val="22"/>
          <w:szCs w:val="22"/>
          <w:lang w:val="sr-Latn-ME" w:eastAsia="sr-Latn-CS"/>
        </w:rPr>
        <w:t xml:space="preserve"> </w:t>
      </w:r>
      <w:r w:rsidRPr="00F37492">
        <w:rPr>
          <w:sz w:val="22"/>
          <w:szCs w:val="22"/>
          <w:lang w:val="sr-Latn-ME" w:eastAsia="sr-Latn-CS"/>
        </w:rPr>
        <w:t>5.1).</w:t>
      </w:r>
    </w:p>
    <w:p w14:paraId="6E3B6DCD" w14:textId="77777777" w:rsidR="00F37492" w:rsidRPr="00F37492" w:rsidRDefault="00F37492" w:rsidP="000A557B">
      <w:pPr>
        <w:jc w:val="both"/>
        <w:rPr>
          <w:rFonts w:cs="Arial Unicode MS"/>
          <w:sz w:val="22"/>
          <w:szCs w:val="22"/>
          <w:u w:val="single"/>
          <w:shd w:val="clear" w:color="auto" w:fill="FFFFFF"/>
          <w:lang w:val="sr-Latn-ME" w:eastAsia="sr-Latn-CS"/>
        </w:rPr>
      </w:pPr>
    </w:p>
    <w:p w14:paraId="78F055DE" w14:textId="77777777" w:rsidR="00F37492" w:rsidRPr="00F37492" w:rsidRDefault="00F37492" w:rsidP="000A557B">
      <w:pPr>
        <w:jc w:val="both"/>
        <w:rPr>
          <w:rFonts w:cs="Arial Unicode MS"/>
          <w:iCs/>
          <w:sz w:val="22"/>
          <w:szCs w:val="22"/>
          <w:lang w:val="sr-Latn-ME" w:eastAsia="sr-Latn-ME"/>
        </w:rPr>
      </w:pPr>
      <w:r w:rsidRPr="00F37492">
        <w:rPr>
          <w:i/>
          <w:sz w:val="22"/>
          <w:szCs w:val="22"/>
          <w:u w:val="single"/>
          <w:shd w:val="clear" w:color="auto" w:fill="FFFFFF"/>
          <w:lang w:val="sr-Latn-ME" w:eastAsia="sr-Latn-CS"/>
        </w:rPr>
        <w:t>Obustava terapije</w:t>
      </w:r>
    </w:p>
    <w:p w14:paraId="371B245A" w14:textId="7A6F123B" w:rsidR="00F37492" w:rsidRPr="00F37492" w:rsidRDefault="00F37492" w:rsidP="000A557B">
      <w:pPr>
        <w:jc w:val="both"/>
        <w:rPr>
          <w:sz w:val="22"/>
          <w:szCs w:val="22"/>
          <w:lang w:val="sr-Latn-ME" w:eastAsia="sr-Latn-CS"/>
        </w:rPr>
      </w:pPr>
      <w:r w:rsidRPr="00F37492">
        <w:rPr>
          <w:sz w:val="22"/>
          <w:szCs w:val="22"/>
          <w:lang w:val="sr-Latn-ME" w:eastAsia="sr-Latn-CS"/>
        </w:rPr>
        <w:t xml:space="preserve">Terapija MF i PV može da se nastavi sve dok je </w:t>
      </w:r>
      <w:r w:rsidR="0015535A">
        <w:rPr>
          <w:sz w:val="22"/>
          <w:szCs w:val="22"/>
          <w:lang w:val="sr-Latn-ME" w:eastAsia="sr-Latn-CS"/>
        </w:rPr>
        <w:t>proc</w:t>
      </w:r>
      <w:r w:rsidR="00DD0118">
        <w:rPr>
          <w:sz w:val="22"/>
          <w:szCs w:val="22"/>
          <w:lang w:val="sr-Latn-ME" w:eastAsia="sr-Latn-CS"/>
        </w:rPr>
        <w:t>ij</w:t>
      </w:r>
      <w:r w:rsidR="0015535A">
        <w:rPr>
          <w:sz w:val="22"/>
          <w:szCs w:val="22"/>
          <w:lang w:val="sr-Latn-ME" w:eastAsia="sr-Latn-CS"/>
        </w:rPr>
        <w:t xml:space="preserve">enjeni </w:t>
      </w:r>
      <w:r w:rsidRPr="00F37492">
        <w:rPr>
          <w:sz w:val="22"/>
          <w:szCs w:val="22"/>
          <w:lang w:val="sr-Latn-ME" w:eastAsia="sr-Latn-CS"/>
        </w:rPr>
        <w:t xml:space="preserve">odnos koristi i rizika pozitivan. Međutim, terapija može da se obustavi 6 mjeseci nakon započinjana terapije, ako nema smanjenja veličine slezine ili ublažavanja simptoma, od početka liječenja. </w:t>
      </w:r>
    </w:p>
    <w:p w14:paraId="274E7088" w14:textId="77777777" w:rsidR="00F37492" w:rsidRPr="00F37492" w:rsidRDefault="00F37492" w:rsidP="000A557B">
      <w:pPr>
        <w:jc w:val="both"/>
        <w:rPr>
          <w:rFonts w:cs="Arial Unicode MS"/>
          <w:sz w:val="22"/>
          <w:szCs w:val="22"/>
          <w:lang w:val="sr-Latn-ME" w:eastAsia="sr-Latn-CS"/>
        </w:rPr>
      </w:pPr>
    </w:p>
    <w:p w14:paraId="073FD119" w14:textId="77777777" w:rsidR="00F37492" w:rsidRPr="00F37492" w:rsidRDefault="00F37492" w:rsidP="000A557B">
      <w:pPr>
        <w:jc w:val="both"/>
        <w:rPr>
          <w:sz w:val="22"/>
          <w:szCs w:val="22"/>
          <w:lang w:val="sr-Latn-ME" w:eastAsia="sr-Latn-CS"/>
        </w:rPr>
      </w:pPr>
      <w:r w:rsidRPr="00F37492">
        <w:rPr>
          <w:sz w:val="22"/>
          <w:szCs w:val="22"/>
          <w:lang w:val="sr-Latn-ME" w:eastAsia="sr-Latn-CS"/>
        </w:rPr>
        <w:t>Preporučuje se da se, kod pacijenata koji su pokazali određeni stepen kliničkog poboljšanja, terapija ruksolitinibom obustavi ako se održava uvećanje slezine u dužinu za 40% u poređenju sa vrijednošću na početku terapije (što otprilike odgovara povećanju zapremine slezine od oko 25%), a nema više vidljivog dodatnog poboljšanja simptoma povezanih sa bolešću.</w:t>
      </w:r>
    </w:p>
    <w:p w14:paraId="36456EB2" w14:textId="77777777" w:rsidR="00F37492" w:rsidRPr="00F37492" w:rsidRDefault="00F37492" w:rsidP="000A557B">
      <w:pPr>
        <w:tabs>
          <w:tab w:val="left" w:pos="540"/>
          <w:tab w:val="left" w:pos="569"/>
        </w:tabs>
        <w:jc w:val="both"/>
        <w:rPr>
          <w:bCs/>
          <w:sz w:val="22"/>
          <w:szCs w:val="22"/>
          <w:u w:val="single"/>
        </w:rPr>
      </w:pPr>
    </w:p>
    <w:p w14:paraId="20B46880" w14:textId="5943D669" w:rsidR="00F37492" w:rsidRPr="00F37492" w:rsidRDefault="00F37492" w:rsidP="000A557B">
      <w:pPr>
        <w:jc w:val="both"/>
        <w:rPr>
          <w:rFonts w:cs="Arial Unicode MS"/>
          <w:sz w:val="22"/>
          <w:szCs w:val="22"/>
          <w:shd w:val="clear" w:color="auto" w:fill="FFFFFF"/>
          <w:lang w:val="it-IT" w:eastAsia="sr-Latn-CS"/>
        </w:rPr>
      </w:pPr>
      <w:r w:rsidRPr="00F37492">
        <w:rPr>
          <w:rFonts w:cs="Arial Unicode MS"/>
          <w:sz w:val="22"/>
          <w:szCs w:val="22"/>
          <w:shd w:val="clear" w:color="auto" w:fill="FFFFFF"/>
          <w:lang w:val="it-IT" w:eastAsia="sr-Latn-CS"/>
        </w:rPr>
        <w:lastRenderedPageBreak/>
        <w:t>Kod GvHD se postepeno smanjenje lijeka Jakavi može razmotriti kod pacijenata s odgovorom i nakon prekida primjene kortikosteroida. Preporučuje se smanjenje doze lijeka Jakavi za 50% svaka dva mjeseca. Ako se znaci ili simptomi GvHD-a ponove za vrijeme ili nakon postepenog smanjenja doze lijeka Jakavi, potrebno je razmotriti ponovno</w:t>
      </w:r>
      <w:r w:rsidR="00951A37">
        <w:rPr>
          <w:rFonts w:cs="Arial Unicode MS"/>
          <w:sz w:val="22"/>
          <w:szCs w:val="22"/>
          <w:shd w:val="clear" w:color="auto" w:fill="FFFFFF"/>
          <w:lang w:val="it-IT" w:eastAsia="sr-Latn-CS"/>
        </w:rPr>
        <w:t xml:space="preserve"> postupno</w:t>
      </w:r>
      <w:r w:rsidRPr="00F37492">
        <w:rPr>
          <w:rFonts w:cs="Arial Unicode MS"/>
          <w:sz w:val="22"/>
          <w:szCs w:val="22"/>
          <w:shd w:val="clear" w:color="auto" w:fill="FFFFFF"/>
          <w:lang w:val="it-IT" w:eastAsia="sr-Latn-CS"/>
        </w:rPr>
        <w:t xml:space="preserve"> povećanje doze.</w:t>
      </w:r>
    </w:p>
    <w:p w14:paraId="4419B511" w14:textId="77777777" w:rsidR="00F37492" w:rsidRPr="00F37492" w:rsidRDefault="00F37492" w:rsidP="000A557B">
      <w:pPr>
        <w:tabs>
          <w:tab w:val="left" w:pos="540"/>
          <w:tab w:val="left" w:pos="569"/>
        </w:tabs>
        <w:jc w:val="both"/>
        <w:rPr>
          <w:bCs/>
          <w:sz w:val="22"/>
          <w:szCs w:val="22"/>
          <w:u w:val="single"/>
        </w:rPr>
      </w:pPr>
    </w:p>
    <w:p w14:paraId="29441A5B" w14:textId="77777777" w:rsidR="00F37492" w:rsidRPr="00F37492" w:rsidRDefault="00F37492" w:rsidP="000A557B">
      <w:pPr>
        <w:tabs>
          <w:tab w:val="left" w:pos="540"/>
          <w:tab w:val="left" w:pos="569"/>
        </w:tabs>
        <w:jc w:val="both"/>
        <w:rPr>
          <w:bCs/>
          <w:sz w:val="22"/>
          <w:szCs w:val="22"/>
          <w:u w:val="single"/>
        </w:rPr>
      </w:pPr>
      <w:r w:rsidRPr="00F37492">
        <w:rPr>
          <w:bCs/>
          <w:sz w:val="22"/>
          <w:szCs w:val="22"/>
          <w:u w:val="single"/>
        </w:rPr>
        <w:t>Način primjene</w:t>
      </w:r>
    </w:p>
    <w:p w14:paraId="34B3CBFB" w14:textId="77777777" w:rsidR="00F37492" w:rsidRPr="00F37492" w:rsidRDefault="00F37492" w:rsidP="000A557B">
      <w:pPr>
        <w:jc w:val="both"/>
        <w:rPr>
          <w:rFonts w:cs="Arial Unicode MS"/>
          <w:sz w:val="22"/>
          <w:szCs w:val="22"/>
          <w:lang w:val="sr-Latn-ME" w:eastAsia="sr-Latn-ME"/>
        </w:rPr>
      </w:pPr>
      <w:r w:rsidRPr="00F37492">
        <w:rPr>
          <w:sz w:val="22"/>
          <w:szCs w:val="22"/>
          <w:lang w:val="sr-Latn-ME" w:eastAsia="sr-Latn-CS"/>
        </w:rPr>
        <w:t>Lijek Jakavi se uzima oralno, sa hranom ili bez nje.</w:t>
      </w:r>
    </w:p>
    <w:p w14:paraId="70A53B7D" w14:textId="77777777" w:rsidR="00F37492" w:rsidRPr="00F37492" w:rsidRDefault="00F37492" w:rsidP="000A557B">
      <w:pPr>
        <w:jc w:val="both"/>
        <w:rPr>
          <w:sz w:val="22"/>
          <w:szCs w:val="22"/>
          <w:lang w:val="sr-Latn-ME" w:eastAsia="sr-Latn-CS"/>
        </w:rPr>
      </w:pPr>
    </w:p>
    <w:p w14:paraId="0DE82C6A" w14:textId="77777777" w:rsidR="00F37492" w:rsidRPr="00F37492" w:rsidRDefault="00F37492" w:rsidP="000A557B">
      <w:pPr>
        <w:jc w:val="both"/>
        <w:rPr>
          <w:rFonts w:cs="Arial Unicode MS"/>
          <w:sz w:val="22"/>
          <w:szCs w:val="22"/>
          <w:lang w:val="it-IT" w:eastAsia="sr-Latn-ME"/>
        </w:rPr>
      </w:pPr>
      <w:r w:rsidRPr="00F37492">
        <w:rPr>
          <w:sz w:val="22"/>
          <w:szCs w:val="22"/>
          <w:lang w:val="it-IT" w:eastAsia="sr-Latn-CS"/>
        </w:rPr>
        <w:t>Ako se propusti doza, pacijent ne treba da uzima dodatnu dozu, ali treba da uzme narednu, kako je propisano.</w:t>
      </w:r>
    </w:p>
    <w:p w14:paraId="13D2EC91" w14:textId="77777777" w:rsidR="00452E9D" w:rsidRPr="00786071" w:rsidRDefault="00452E9D" w:rsidP="000A557B">
      <w:pPr>
        <w:tabs>
          <w:tab w:val="left" w:pos="540"/>
          <w:tab w:val="left" w:pos="569"/>
        </w:tabs>
        <w:jc w:val="both"/>
        <w:rPr>
          <w:bCs/>
          <w:sz w:val="22"/>
          <w:szCs w:val="22"/>
        </w:rPr>
      </w:pPr>
    </w:p>
    <w:p w14:paraId="1DCA225D" w14:textId="77777777" w:rsidR="00411B4B" w:rsidRPr="00786071" w:rsidRDefault="00411B4B" w:rsidP="000A557B">
      <w:pPr>
        <w:tabs>
          <w:tab w:val="left" w:pos="540"/>
          <w:tab w:val="left" w:pos="569"/>
        </w:tabs>
        <w:jc w:val="both"/>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14:paraId="6E94F94A" w14:textId="77777777" w:rsidR="0072020E" w:rsidRDefault="0072020E" w:rsidP="000A557B">
      <w:pPr>
        <w:tabs>
          <w:tab w:val="left" w:pos="540"/>
          <w:tab w:val="left" w:pos="569"/>
        </w:tabs>
        <w:jc w:val="both"/>
        <w:rPr>
          <w:bCs/>
          <w:sz w:val="22"/>
          <w:szCs w:val="22"/>
        </w:rPr>
      </w:pPr>
    </w:p>
    <w:p w14:paraId="12680956" w14:textId="1721069B" w:rsidR="00F37492" w:rsidRDefault="00F37492" w:rsidP="000A557B">
      <w:pPr>
        <w:jc w:val="both"/>
        <w:rPr>
          <w:sz w:val="22"/>
          <w:szCs w:val="22"/>
          <w:lang w:val="sr-Latn-ME" w:eastAsia="sr-Latn-CS"/>
        </w:rPr>
      </w:pPr>
      <w:r w:rsidRPr="00F37492">
        <w:rPr>
          <w:sz w:val="22"/>
          <w:szCs w:val="22"/>
          <w:lang w:val="sr-Latn-ME" w:eastAsia="sr-Latn-CS"/>
        </w:rPr>
        <w:t xml:space="preserve">Preosjetljivost na aktivnu supstancu ili bilo koju od pomoćnih supstanci navedenih u </w:t>
      </w:r>
      <w:r w:rsidR="00951A37">
        <w:rPr>
          <w:sz w:val="22"/>
          <w:szCs w:val="22"/>
          <w:lang w:val="sr-Latn-ME" w:eastAsia="sr-Latn-CS"/>
        </w:rPr>
        <w:t>dijelu</w:t>
      </w:r>
      <w:r w:rsidR="00951A37" w:rsidRPr="00F37492">
        <w:rPr>
          <w:sz w:val="22"/>
          <w:szCs w:val="22"/>
          <w:lang w:val="sr-Latn-ME" w:eastAsia="sr-Latn-CS"/>
        </w:rPr>
        <w:t xml:space="preserve"> </w:t>
      </w:r>
      <w:r w:rsidRPr="00F37492">
        <w:rPr>
          <w:sz w:val="22"/>
          <w:szCs w:val="22"/>
          <w:lang w:val="sr-Latn-ME" w:eastAsia="sr-Latn-CS"/>
        </w:rPr>
        <w:t xml:space="preserve">6.1. </w:t>
      </w:r>
    </w:p>
    <w:p w14:paraId="788B1219" w14:textId="77777777" w:rsidR="00951A37" w:rsidRPr="00F37492" w:rsidRDefault="00951A37" w:rsidP="000A557B">
      <w:pPr>
        <w:jc w:val="both"/>
        <w:rPr>
          <w:sz w:val="22"/>
          <w:szCs w:val="22"/>
          <w:lang w:val="sr-Latn-ME" w:eastAsia="sr-Latn-CS"/>
        </w:rPr>
      </w:pPr>
    </w:p>
    <w:p w14:paraId="3C3AEDB4" w14:textId="77777777" w:rsidR="00F37492" w:rsidRPr="00F37492" w:rsidRDefault="00F37492" w:rsidP="000A557B">
      <w:pPr>
        <w:jc w:val="both"/>
        <w:rPr>
          <w:rFonts w:cs="Arial Unicode MS"/>
          <w:sz w:val="22"/>
          <w:szCs w:val="22"/>
          <w:lang w:val="sr-Latn-ME" w:eastAsia="sr-Latn-ME"/>
        </w:rPr>
      </w:pPr>
      <w:r w:rsidRPr="00F37492">
        <w:rPr>
          <w:sz w:val="22"/>
          <w:szCs w:val="22"/>
          <w:lang w:val="sr-Latn-ME" w:eastAsia="sr-Latn-CS"/>
        </w:rPr>
        <w:t>Trudnoća i dojenje.</w:t>
      </w:r>
    </w:p>
    <w:p w14:paraId="7A2FAF61" w14:textId="77777777" w:rsidR="00F37492" w:rsidRPr="00786071" w:rsidRDefault="00F37492" w:rsidP="000A557B">
      <w:pPr>
        <w:tabs>
          <w:tab w:val="left" w:pos="540"/>
          <w:tab w:val="left" w:pos="569"/>
        </w:tabs>
        <w:jc w:val="both"/>
        <w:rPr>
          <w:bCs/>
          <w:sz w:val="22"/>
          <w:szCs w:val="22"/>
        </w:rPr>
      </w:pPr>
    </w:p>
    <w:p w14:paraId="642C6BDD" w14:textId="77777777" w:rsidR="00411B4B" w:rsidRPr="00786071" w:rsidRDefault="00411B4B" w:rsidP="000A557B">
      <w:pPr>
        <w:tabs>
          <w:tab w:val="left" w:pos="540"/>
          <w:tab w:val="left" w:pos="569"/>
        </w:tabs>
        <w:jc w:val="both"/>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1732F15A" w14:textId="77777777" w:rsidR="0072020E" w:rsidRPr="00786071" w:rsidRDefault="0072020E" w:rsidP="000A557B">
      <w:pPr>
        <w:tabs>
          <w:tab w:val="left" w:pos="540"/>
          <w:tab w:val="left" w:pos="569"/>
        </w:tabs>
        <w:rPr>
          <w:bCs/>
          <w:sz w:val="22"/>
          <w:szCs w:val="22"/>
        </w:rPr>
      </w:pPr>
    </w:p>
    <w:p w14:paraId="2462E942" w14:textId="5D4ACE46" w:rsidR="00F37492" w:rsidRDefault="00F37492" w:rsidP="000A557B">
      <w:pPr>
        <w:jc w:val="both"/>
        <w:rPr>
          <w:sz w:val="22"/>
          <w:szCs w:val="22"/>
          <w:u w:val="single"/>
          <w:shd w:val="clear" w:color="auto" w:fill="FFFFFF"/>
          <w:lang w:val="it-IT" w:eastAsia="sr-Latn-CS"/>
        </w:rPr>
      </w:pPr>
      <w:r w:rsidRPr="00F37492">
        <w:rPr>
          <w:sz w:val="22"/>
          <w:szCs w:val="22"/>
          <w:u w:val="single"/>
          <w:shd w:val="clear" w:color="auto" w:fill="FFFFFF"/>
          <w:lang w:val="it-IT" w:eastAsia="sr-Latn-CS"/>
        </w:rPr>
        <w:t>Mijelosupresija</w:t>
      </w:r>
    </w:p>
    <w:p w14:paraId="19D84A45" w14:textId="77777777" w:rsidR="00197407" w:rsidRPr="00F37492" w:rsidRDefault="00197407" w:rsidP="000A557B">
      <w:pPr>
        <w:jc w:val="both"/>
        <w:rPr>
          <w:rFonts w:cs="Arial Unicode MS"/>
          <w:sz w:val="22"/>
          <w:szCs w:val="22"/>
          <w:lang w:val="ru-RU" w:eastAsia="sr-Latn-ME"/>
        </w:rPr>
      </w:pPr>
    </w:p>
    <w:p w14:paraId="019B3E54" w14:textId="65F72946" w:rsidR="00F37492" w:rsidRPr="00F37492" w:rsidRDefault="00F37492" w:rsidP="000A557B">
      <w:pPr>
        <w:jc w:val="both"/>
        <w:rPr>
          <w:rFonts w:cs="Arial Unicode MS"/>
          <w:sz w:val="22"/>
          <w:szCs w:val="22"/>
          <w:lang w:val="ru-RU" w:eastAsia="sr-Latn-ME"/>
        </w:rPr>
      </w:pPr>
      <w:r w:rsidRPr="00F37492">
        <w:rPr>
          <w:sz w:val="22"/>
          <w:szCs w:val="22"/>
          <w:lang w:val="it-IT" w:eastAsia="sr-Latn-CS"/>
        </w:rPr>
        <w:t>Terapija</w:t>
      </w:r>
      <w:r w:rsidRPr="00F37492">
        <w:rPr>
          <w:sz w:val="22"/>
          <w:szCs w:val="22"/>
          <w:lang w:val="ru-RU" w:eastAsia="sr-Latn-CS"/>
        </w:rPr>
        <w:t xml:space="preserve"> </w:t>
      </w:r>
      <w:r w:rsidRPr="00F37492">
        <w:rPr>
          <w:sz w:val="22"/>
          <w:szCs w:val="22"/>
          <w:lang w:val="it-IT" w:eastAsia="sr-Latn-CS"/>
        </w:rPr>
        <w:t>lijekom</w:t>
      </w:r>
      <w:r w:rsidRPr="00F37492">
        <w:rPr>
          <w:sz w:val="22"/>
          <w:szCs w:val="22"/>
          <w:lang w:val="ru-RU" w:eastAsia="sr-Latn-CS"/>
        </w:rPr>
        <w:t xml:space="preserve"> </w:t>
      </w:r>
      <w:r w:rsidRPr="00F37492">
        <w:rPr>
          <w:sz w:val="22"/>
          <w:szCs w:val="22"/>
          <w:lang w:val="it-IT" w:eastAsia="sr-Latn-CS"/>
        </w:rPr>
        <w:t>Jakavi</w:t>
      </w:r>
      <w:r w:rsidRPr="00F37492">
        <w:rPr>
          <w:sz w:val="22"/>
          <w:szCs w:val="22"/>
          <w:lang w:val="ru-RU" w:eastAsia="sr-Latn-CS"/>
        </w:rPr>
        <w:t xml:space="preserve"> </w:t>
      </w:r>
      <w:r w:rsidRPr="00F37492">
        <w:rPr>
          <w:sz w:val="22"/>
          <w:szCs w:val="22"/>
          <w:lang w:val="it-IT" w:eastAsia="sr-Latn-CS"/>
        </w:rPr>
        <w:t>mo</w:t>
      </w:r>
      <w:r w:rsidRPr="00F37492">
        <w:rPr>
          <w:sz w:val="22"/>
          <w:szCs w:val="22"/>
          <w:lang w:val="ru-RU" w:eastAsia="sr-Latn-CS"/>
        </w:rPr>
        <w:t>ž</w:t>
      </w:r>
      <w:r w:rsidRPr="00F37492">
        <w:rPr>
          <w:sz w:val="22"/>
          <w:szCs w:val="22"/>
          <w:lang w:val="it-IT" w:eastAsia="sr-Latn-CS"/>
        </w:rPr>
        <w:t>e</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izazove</w:t>
      </w:r>
      <w:r w:rsidRPr="00F37492">
        <w:rPr>
          <w:sz w:val="22"/>
          <w:szCs w:val="22"/>
          <w:lang w:val="ru-RU" w:eastAsia="sr-Latn-CS"/>
        </w:rPr>
        <w:t xml:space="preserve"> </w:t>
      </w:r>
      <w:r w:rsidRPr="00F37492">
        <w:rPr>
          <w:sz w:val="22"/>
          <w:szCs w:val="22"/>
          <w:lang w:val="it-IT" w:eastAsia="sr-Latn-CS"/>
        </w:rPr>
        <w:t>hematolo</w:t>
      </w:r>
      <w:r w:rsidRPr="00F37492">
        <w:rPr>
          <w:sz w:val="22"/>
          <w:szCs w:val="22"/>
          <w:lang w:val="ru-RU" w:eastAsia="sr-Latn-CS"/>
        </w:rPr>
        <w:t>š</w:t>
      </w:r>
      <w:r w:rsidRPr="00F37492">
        <w:rPr>
          <w:sz w:val="22"/>
          <w:szCs w:val="22"/>
          <w:lang w:val="it-IT" w:eastAsia="sr-Latn-CS"/>
        </w:rPr>
        <w:t>ke</w:t>
      </w:r>
      <w:r w:rsidRPr="00F37492">
        <w:rPr>
          <w:sz w:val="22"/>
          <w:szCs w:val="22"/>
          <w:lang w:val="ru-RU" w:eastAsia="sr-Latn-CS"/>
        </w:rPr>
        <w:t xml:space="preserve"> </w:t>
      </w:r>
      <w:r w:rsidRPr="00F37492">
        <w:rPr>
          <w:sz w:val="22"/>
          <w:szCs w:val="22"/>
          <w:lang w:val="it-IT" w:eastAsia="sr-Latn-CS"/>
        </w:rPr>
        <w:t>ne</w:t>
      </w:r>
      <w:r w:rsidRPr="00F37492">
        <w:rPr>
          <w:sz w:val="22"/>
          <w:szCs w:val="22"/>
          <w:lang w:val="ru-RU" w:eastAsia="sr-Latn-CS"/>
        </w:rPr>
        <w:t>ž</w:t>
      </w:r>
      <w:r w:rsidRPr="00F37492">
        <w:rPr>
          <w:sz w:val="22"/>
          <w:szCs w:val="22"/>
          <w:lang w:val="it-IT" w:eastAsia="sr-Latn-CS"/>
        </w:rPr>
        <w:t>eljene</w:t>
      </w:r>
      <w:r w:rsidRPr="00F37492">
        <w:rPr>
          <w:sz w:val="22"/>
          <w:szCs w:val="22"/>
          <w:lang w:val="ru-RU" w:eastAsia="sr-Latn-CS"/>
        </w:rPr>
        <w:t xml:space="preserve"> </w:t>
      </w:r>
      <w:r w:rsidRPr="00F37492">
        <w:rPr>
          <w:sz w:val="22"/>
          <w:szCs w:val="22"/>
          <w:lang w:val="it-IT" w:eastAsia="sr-Latn-CS"/>
        </w:rPr>
        <w:t>reakcije</w:t>
      </w:r>
      <w:r w:rsidRPr="00F37492">
        <w:rPr>
          <w:sz w:val="22"/>
          <w:szCs w:val="22"/>
          <w:lang w:val="ru-RU" w:eastAsia="sr-Latn-CS"/>
        </w:rPr>
        <w:t xml:space="preserve"> </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lijek</w:t>
      </w:r>
      <w:r w:rsidRPr="00F37492">
        <w:rPr>
          <w:sz w:val="22"/>
          <w:szCs w:val="22"/>
          <w:lang w:val="ru-RU" w:eastAsia="sr-Latn-CS"/>
        </w:rPr>
        <w:t xml:space="preserve">, </w:t>
      </w:r>
      <w:r w:rsidRPr="00F37492">
        <w:rPr>
          <w:sz w:val="22"/>
          <w:szCs w:val="22"/>
          <w:lang w:val="it-IT" w:eastAsia="sr-Latn-CS"/>
        </w:rPr>
        <w:t>uklju</w:t>
      </w:r>
      <w:r w:rsidRPr="00F37492">
        <w:rPr>
          <w:sz w:val="22"/>
          <w:szCs w:val="22"/>
          <w:lang w:val="ru-RU" w:eastAsia="sr-Latn-CS"/>
        </w:rPr>
        <w:t>č</w:t>
      </w:r>
      <w:r w:rsidRPr="00F37492">
        <w:rPr>
          <w:sz w:val="22"/>
          <w:szCs w:val="22"/>
          <w:lang w:val="it-IT" w:eastAsia="sr-Latn-CS"/>
        </w:rPr>
        <w:t>uju</w:t>
      </w:r>
      <w:r w:rsidRPr="00F37492">
        <w:rPr>
          <w:sz w:val="22"/>
          <w:szCs w:val="22"/>
          <w:lang w:val="ru-RU" w:eastAsia="sr-Latn-CS"/>
        </w:rPr>
        <w:t>ć</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trombocitopeniju</w:t>
      </w:r>
      <w:r w:rsidRPr="00F37492">
        <w:rPr>
          <w:sz w:val="22"/>
          <w:szCs w:val="22"/>
          <w:lang w:val="ru-RU" w:eastAsia="sr-Latn-CS"/>
        </w:rPr>
        <w:t xml:space="preserve">, </w:t>
      </w:r>
      <w:r w:rsidRPr="00F37492">
        <w:rPr>
          <w:sz w:val="22"/>
          <w:szCs w:val="22"/>
          <w:lang w:val="it-IT" w:eastAsia="sr-Latn-CS"/>
        </w:rPr>
        <w:t>anemiju</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neutropeniju</w:t>
      </w:r>
      <w:r w:rsidRPr="00F37492">
        <w:rPr>
          <w:sz w:val="22"/>
          <w:szCs w:val="22"/>
          <w:lang w:val="ru-RU" w:eastAsia="sr-Latn-CS"/>
        </w:rPr>
        <w:t xml:space="preserve">. </w:t>
      </w:r>
      <w:r w:rsidRPr="00F37492">
        <w:rPr>
          <w:sz w:val="22"/>
          <w:szCs w:val="22"/>
          <w:lang w:val="it-IT" w:eastAsia="sr-Latn-CS"/>
        </w:rPr>
        <w:t>Kompletna</w:t>
      </w:r>
      <w:r w:rsidRPr="00F37492">
        <w:rPr>
          <w:sz w:val="22"/>
          <w:szCs w:val="22"/>
          <w:lang w:val="ru-RU" w:eastAsia="sr-Latn-CS"/>
        </w:rPr>
        <w:t xml:space="preserve"> </w:t>
      </w:r>
      <w:r w:rsidRPr="00F37492">
        <w:rPr>
          <w:sz w:val="22"/>
          <w:szCs w:val="22"/>
          <w:lang w:val="it-IT" w:eastAsia="sr-Latn-CS"/>
        </w:rPr>
        <w:t>krvna</w:t>
      </w:r>
      <w:r w:rsidRPr="00F37492">
        <w:rPr>
          <w:sz w:val="22"/>
          <w:szCs w:val="22"/>
          <w:lang w:val="ru-RU" w:eastAsia="sr-Latn-CS"/>
        </w:rPr>
        <w:t xml:space="preserve"> </w:t>
      </w:r>
      <w:r w:rsidRPr="00F37492">
        <w:rPr>
          <w:sz w:val="22"/>
          <w:szCs w:val="22"/>
          <w:lang w:val="it-IT" w:eastAsia="sr-Latn-CS"/>
        </w:rPr>
        <w:t>slika</w:t>
      </w:r>
      <w:r w:rsidRPr="00F37492">
        <w:rPr>
          <w:sz w:val="22"/>
          <w:szCs w:val="22"/>
          <w:lang w:val="ru-RU" w:eastAsia="sr-Latn-CS"/>
        </w:rPr>
        <w:t xml:space="preserve">, </w:t>
      </w:r>
      <w:r w:rsidRPr="00F37492">
        <w:rPr>
          <w:sz w:val="22"/>
          <w:szCs w:val="22"/>
          <w:lang w:val="it-IT" w:eastAsia="sr-Latn-CS"/>
        </w:rPr>
        <w:t>uklju</w:t>
      </w:r>
      <w:r w:rsidRPr="00F37492">
        <w:rPr>
          <w:sz w:val="22"/>
          <w:szCs w:val="22"/>
          <w:lang w:val="ru-RU" w:eastAsia="sr-Latn-CS"/>
        </w:rPr>
        <w:t>č</w:t>
      </w:r>
      <w:r w:rsidRPr="00F37492">
        <w:rPr>
          <w:sz w:val="22"/>
          <w:szCs w:val="22"/>
          <w:lang w:val="it-IT" w:eastAsia="sr-Latn-CS"/>
        </w:rPr>
        <w:t>uju</w:t>
      </w:r>
      <w:r w:rsidRPr="00F37492">
        <w:rPr>
          <w:sz w:val="22"/>
          <w:szCs w:val="22"/>
          <w:lang w:val="ru-RU" w:eastAsia="sr-Latn-CS"/>
        </w:rPr>
        <w:t>ć</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diferencijaln</w:t>
      </w:r>
      <w:r w:rsidR="00197407">
        <w:rPr>
          <w:sz w:val="22"/>
          <w:szCs w:val="22"/>
          <w:lang w:val="it-IT" w:eastAsia="sr-Latn-CS"/>
        </w:rPr>
        <w:t xml:space="preserve">u krvnu sliku </w:t>
      </w:r>
      <w:r w:rsidRPr="00F37492">
        <w:rPr>
          <w:sz w:val="22"/>
          <w:szCs w:val="22"/>
          <w:lang w:val="it-IT" w:eastAsia="sr-Latn-CS"/>
        </w:rPr>
        <w:t>leukocita</w:t>
      </w:r>
      <w:r w:rsidRPr="00F37492">
        <w:rPr>
          <w:sz w:val="22"/>
          <w:szCs w:val="22"/>
          <w:lang w:val="ru-RU" w:eastAsia="sr-Latn-CS"/>
        </w:rPr>
        <w:t xml:space="preserve"> </w:t>
      </w:r>
      <w:r w:rsidRPr="00F37492">
        <w:rPr>
          <w:sz w:val="22"/>
          <w:szCs w:val="22"/>
          <w:lang w:val="it-IT" w:eastAsia="sr-Latn-CS"/>
        </w:rPr>
        <w:t>moraju</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urade</w:t>
      </w:r>
      <w:r w:rsidRPr="00F37492">
        <w:rPr>
          <w:sz w:val="22"/>
          <w:szCs w:val="22"/>
          <w:lang w:val="ru-RU" w:eastAsia="sr-Latn-CS"/>
        </w:rPr>
        <w:t xml:space="preserve"> </w:t>
      </w:r>
      <w:r w:rsidRPr="00F37492">
        <w:rPr>
          <w:sz w:val="22"/>
          <w:szCs w:val="22"/>
          <w:lang w:val="it-IT" w:eastAsia="sr-Latn-CS"/>
        </w:rPr>
        <w:t>prije</w:t>
      </w:r>
      <w:r w:rsidRPr="00F37492">
        <w:rPr>
          <w:sz w:val="22"/>
          <w:szCs w:val="22"/>
          <w:lang w:val="ru-RU" w:eastAsia="sr-Latn-CS"/>
        </w:rPr>
        <w:t xml:space="preserve"> </w:t>
      </w:r>
      <w:r w:rsidRPr="00F37492">
        <w:rPr>
          <w:sz w:val="22"/>
          <w:szCs w:val="22"/>
          <w:lang w:val="it-IT" w:eastAsia="sr-Latn-CS"/>
        </w:rPr>
        <w:t>zapo</w:t>
      </w:r>
      <w:r w:rsidRPr="00F37492">
        <w:rPr>
          <w:sz w:val="22"/>
          <w:szCs w:val="22"/>
          <w:lang w:val="ru-RU" w:eastAsia="sr-Latn-CS"/>
        </w:rPr>
        <w:t>č</w:t>
      </w:r>
      <w:r w:rsidRPr="00F37492">
        <w:rPr>
          <w:sz w:val="22"/>
          <w:szCs w:val="22"/>
          <w:lang w:val="it-IT" w:eastAsia="sr-Latn-CS"/>
        </w:rPr>
        <w:t>injanja</w:t>
      </w:r>
      <w:r w:rsidRPr="00F37492">
        <w:rPr>
          <w:sz w:val="22"/>
          <w:szCs w:val="22"/>
          <w:lang w:val="ru-RU" w:eastAsia="sr-Latn-CS"/>
        </w:rPr>
        <w:t xml:space="preserve"> </w:t>
      </w:r>
      <w:r w:rsidRPr="00F37492">
        <w:rPr>
          <w:sz w:val="22"/>
          <w:szCs w:val="22"/>
          <w:lang w:val="it-IT" w:eastAsia="sr-Latn-CS"/>
        </w:rPr>
        <w:t>terapije</w:t>
      </w:r>
      <w:r w:rsidRPr="00F37492">
        <w:rPr>
          <w:sz w:val="22"/>
          <w:szCs w:val="22"/>
          <w:lang w:val="ru-RU" w:eastAsia="sr-Latn-CS"/>
        </w:rPr>
        <w:t xml:space="preserve"> </w:t>
      </w:r>
      <w:r w:rsidRPr="00F37492">
        <w:rPr>
          <w:sz w:val="22"/>
          <w:szCs w:val="22"/>
          <w:lang w:val="sr-Latn-CS" w:eastAsia="sr-Latn-CS"/>
        </w:rPr>
        <w:t>lijekom Jakavi</w:t>
      </w:r>
      <w:r w:rsidRPr="00F37492">
        <w:rPr>
          <w:sz w:val="22"/>
          <w:szCs w:val="22"/>
          <w:lang w:val="ru-RU" w:eastAsia="sr-Latn-CS"/>
        </w:rPr>
        <w:t xml:space="preserve">. </w:t>
      </w:r>
      <w:r w:rsidRPr="00F37492">
        <w:rPr>
          <w:sz w:val="22"/>
          <w:szCs w:val="22"/>
          <w:lang w:val="it-IT" w:eastAsia="sr-Latn-CS"/>
        </w:rPr>
        <w:t>Terapiju</w:t>
      </w:r>
      <w:r w:rsidRPr="00F37492">
        <w:rPr>
          <w:sz w:val="22"/>
          <w:szCs w:val="22"/>
          <w:lang w:val="ru-RU" w:eastAsia="sr-Latn-CS"/>
        </w:rPr>
        <w:t xml:space="preserve"> </w:t>
      </w:r>
      <w:r w:rsidRPr="00F37492">
        <w:rPr>
          <w:sz w:val="22"/>
          <w:szCs w:val="22"/>
          <w:lang w:val="it-IT" w:eastAsia="sr-Latn-CS"/>
        </w:rPr>
        <w:t>treba</w:t>
      </w:r>
      <w:r w:rsidRPr="00F37492">
        <w:rPr>
          <w:sz w:val="22"/>
          <w:szCs w:val="22"/>
          <w:lang w:val="ru-RU" w:eastAsia="sr-Latn-CS"/>
        </w:rPr>
        <w:t xml:space="preserve"> </w:t>
      </w:r>
      <w:r w:rsidRPr="00F37492">
        <w:rPr>
          <w:sz w:val="22"/>
          <w:szCs w:val="22"/>
          <w:lang w:val="it-IT" w:eastAsia="sr-Latn-CS"/>
        </w:rPr>
        <w:t>obustaviti</w:t>
      </w:r>
      <w:r w:rsidRPr="00F37492">
        <w:rPr>
          <w:sz w:val="22"/>
          <w:szCs w:val="22"/>
          <w:lang w:val="ru-RU" w:eastAsia="sr-Latn-CS"/>
        </w:rPr>
        <w:t xml:space="preserve"> </w:t>
      </w:r>
      <w:r w:rsidRPr="00F37492">
        <w:rPr>
          <w:sz w:val="22"/>
          <w:szCs w:val="22"/>
          <w:lang w:val="it-IT" w:eastAsia="sr-Latn-CS"/>
        </w:rPr>
        <w:t>kod</w:t>
      </w:r>
      <w:r w:rsidRPr="00F37492">
        <w:rPr>
          <w:sz w:val="22"/>
          <w:szCs w:val="22"/>
          <w:lang w:val="ru-RU" w:eastAsia="sr-Latn-CS"/>
        </w:rPr>
        <w:t xml:space="preserve"> </w:t>
      </w:r>
      <w:r w:rsidRPr="00F37492">
        <w:rPr>
          <w:sz w:val="22"/>
          <w:szCs w:val="22"/>
          <w:lang w:val="it-IT" w:eastAsia="sr-Latn-CS"/>
        </w:rPr>
        <w:t>pacijenata</w:t>
      </w:r>
      <w:r w:rsidRPr="00F37492">
        <w:rPr>
          <w:sz w:val="22"/>
          <w:szCs w:val="22"/>
          <w:lang w:val="ru-RU" w:eastAsia="sr-Latn-CS"/>
        </w:rPr>
        <w:t xml:space="preserve"> </w:t>
      </w:r>
      <w:r w:rsidRPr="00F37492">
        <w:rPr>
          <w:sz w:val="22"/>
          <w:szCs w:val="22"/>
          <w:lang w:val="it-IT" w:eastAsia="sr-Latn-CS"/>
        </w:rPr>
        <w:t>sa</w:t>
      </w:r>
      <w:r w:rsidRPr="00F37492">
        <w:rPr>
          <w:sz w:val="22"/>
          <w:szCs w:val="22"/>
          <w:lang w:val="ru-RU" w:eastAsia="sr-Latn-CS"/>
        </w:rPr>
        <w:t xml:space="preserve"> </w:t>
      </w:r>
      <w:r w:rsidRPr="00F37492">
        <w:rPr>
          <w:sz w:val="22"/>
          <w:szCs w:val="22"/>
          <w:lang w:val="en-GB" w:eastAsia="sr-Latn-CS"/>
        </w:rPr>
        <w:t>MF</w:t>
      </w:r>
      <w:r w:rsidRPr="00F37492">
        <w:rPr>
          <w:sz w:val="22"/>
          <w:szCs w:val="22"/>
          <w:lang w:val="ru-RU" w:eastAsia="sr-Latn-ME"/>
        </w:rPr>
        <w:t xml:space="preserve"> </w:t>
      </w:r>
      <w:r w:rsidRPr="00F37492">
        <w:rPr>
          <w:sz w:val="22"/>
          <w:szCs w:val="22"/>
          <w:lang w:val="it-IT" w:eastAsia="sr-Latn-ME"/>
        </w:rPr>
        <w:t>sa</w:t>
      </w:r>
      <w:r w:rsidRPr="00F37492">
        <w:rPr>
          <w:sz w:val="22"/>
          <w:szCs w:val="22"/>
          <w:lang w:val="ru-RU" w:eastAsia="sr-Latn-ME"/>
        </w:rPr>
        <w:t xml:space="preserve"> </w:t>
      </w:r>
      <w:r w:rsidRPr="00F37492">
        <w:rPr>
          <w:sz w:val="22"/>
          <w:szCs w:val="22"/>
          <w:lang w:val="it-IT" w:eastAsia="sr-Latn-CS"/>
        </w:rPr>
        <w:t>brojem</w:t>
      </w:r>
      <w:r w:rsidRPr="00F37492">
        <w:rPr>
          <w:sz w:val="22"/>
          <w:szCs w:val="22"/>
          <w:lang w:val="ru-RU" w:eastAsia="sr-Latn-CS"/>
        </w:rPr>
        <w:t xml:space="preserve"> </w:t>
      </w:r>
      <w:r w:rsidRPr="00F37492">
        <w:rPr>
          <w:sz w:val="22"/>
          <w:szCs w:val="22"/>
          <w:lang w:val="it-IT" w:eastAsia="sr-Latn-CS"/>
        </w:rPr>
        <w:t>trombocita</w:t>
      </w:r>
      <w:r w:rsidRPr="00F37492">
        <w:rPr>
          <w:sz w:val="22"/>
          <w:szCs w:val="22"/>
          <w:lang w:val="ru-RU" w:eastAsia="sr-Latn-CS"/>
        </w:rPr>
        <w:t xml:space="preserve"> </w:t>
      </w:r>
      <w:r w:rsidRPr="00F37492">
        <w:rPr>
          <w:sz w:val="22"/>
          <w:szCs w:val="22"/>
          <w:lang w:val="it-IT" w:eastAsia="sr-Latn-CS"/>
        </w:rPr>
        <w:t>ispod</w:t>
      </w:r>
      <w:r w:rsidRPr="00F37492">
        <w:rPr>
          <w:sz w:val="22"/>
          <w:szCs w:val="22"/>
          <w:lang w:val="ru-RU" w:eastAsia="sr-Latn-CS"/>
        </w:rPr>
        <w:t xml:space="preserve"> 50</w:t>
      </w:r>
      <w:r w:rsidR="00197407">
        <w:rPr>
          <w:sz w:val="22"/>
          <w:szCs w:val="22"/>
          <w:lang w:val="sr-Latn-ME" w:eastAsia="sr-Latn-CS"/>
        </w:rPr>
        <w:t xml:space="preserve"> </w:t>
      </w:r>
      <w:r w:rsidRPr="00F37492">
        <w:rPr>
          <w:sz w:val="22"/>
          <w:szCs w:val="22"/>
          <w:lang w:val="ru-RU" w:eastAsia="sr-Latn-CS"/>
        </w:rPr>
        <w:t>000/</w:t>
      </w:r>
      <w:r w:rsidRPr="00F37492">
        <w:rPr>
          <w:sz w:val="22"/>
          <w:szCs w:val="22"/>
          <w:lang w:val="it-IT" w:eastAsia="sr-Latn-CS"/>
        </w:rPr>
        <w:t>mm</w:t>
      </w:r>
      <w:r w:rsidRPr="00F37492">
        <w:rPr>
          <w:sz w:val="22"/>
          <w:szCs w:val="22"/>
          <w:vertAlign w:val="superscript"/>
          <w:lang w:val="ru-RU" w:eastAsia="sr-Latn-CS"/>
        </w:rPr>
        <w:t>3</w:t>
      </w:r>
      <w:r w:rsidRPr="00F37492">
        <w:rPr>
          <w:sz w:val="22"/>
          <w:szCs w:val="22"/>
          <w:lang w:val="ru-RU" w:eastAsia="sr-Latn-CS"/>
        </w:rPr>
        <w:t xml:space="preserve"> </w:t>
      </w:r>
      <w:r w:rsidRPr="00F37492">
        <w:rPr>
          <w:sz w:val="22"/>
          <w:szCs w:val="22"/>
          <w:lang w:val="it-IT" w:eastAsia="sr-Latn-CS"/>
        </w:rPr>
        <w:t>odnosno</w:t>
      </w:r>
      <w:r w:rsidRPr="00F37492">
        <w:rPr>
          <w:sz w:val="22"/>
          <w:szCs w:val="22"/>
          <w:lang w:val="ru-RU" w:eastAsia="sr-Latn-CS"/>
        </w:rPr>
        <w:t xml:space="preserve"> </w:t>
      </w:r>
      <w:r w:rsidRPr="00F37492">
        <w:rPr>
          <w:sz w:val="22"/>
          <w:szCs w:val="22"/>
          <w:lang w:val="it-IT" w:eastAsia="sr-Latn-CS"/>
        </w:rPr>
        <w:t>kod</w:t>
      </w:r>
      <w:r w:rsidRPr="00F37492">
        <w:rPr>
          <w:sz w:val="22"/>
          <w:szCs w:val="22"/>
          <w:lang w:val="ru-RU" w:eastAsia="sr-Latn-CS"/>
        </w:rPr>
        <w:t xml:space="preserve"> </w:t>
      </w:r>
      <w:r w:rsidRPr="00F37492">
        <w:rPr>
          <w:sz w:val="22"/>
          <w:szCs w:val="22"/>
          <w:lang w:val="it-IT" w:eastAsia="sr-Latn-CS"/>
        </w:rPr>
        <w:t>kojih</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apsolutni</w:t>
      </w:r>
      <w:r w:rsidRPr="00F37492">
        <w:rPr>
          <w:sz w:val="22"/>
          <w:szCs w:val="22"/>
          <w:lang w:val="ru-RU" w:eastAsia="sr-Latn-CS"/>
        </w:rPr>
        <w:t xml:space="preserve"> </w:t>
      </w:r>
      <w:r w:rsidRPr="00F37492">
        <w:rPr>
          <w:sz w:val="22"/>
          <w:szCs w:val="22"/>
          <w:lang w:val="it-IT" w:eastAsia="sr-Latn-CS"/>
        </w:rPr>
        <w:t>broj</w:t>
      </w:r>
      <w:r w:rsidRPr="00F37492">
        <w:rPr>
          <w:sz w:val="22"/>
          <w:szCs w:val="22"/>
          <w:lang w:val="ru-RU" w:eastAsia="sr-Latn-CS"/>
        </w:rPr>
        <w:t xml:space="preserve"> </w:t>
      </w:r>
      <w:r w:rsidRPr="00F37492">
        <w:rPr>
          <w:sz w:val="22"/>
          <w:szCs w:val="22"/>
          <w:lang w:val="it-IT" w:eastAsia="sr-Latn-CS"/>
        </w:rPr>
        <w:t>neutrofila</w:t>
      </w:r>
      <w:r w:rsidRPr="00F37492">
        <w:rPr>
          <w:sz w:val="22"/>
          <w:szCs w:val="22"/>
          <w:lang w:val="ru-RU" w:eastAsia="sr-Latn-CS"/>
        </w:rPr>
        <w:t xml:space="preserve"> </w:t>
      </w:r>
      <w:r w:rsidRPr="00F37492">
        <w:rPr>
          <w:sz w:val="22"/>
          <w:szCs w:val="22"/>
          <w:lang w:val="it-IT" w:eastAsia="sr-Latn-CS"/>
        </w:rPr>
        <w:t>ispod</w:t>
      </w:r>
      <w:r w:rsidRPr="00F37492">
        <w:rPr>
          <w:sz w:val="22"/>
          <w:szCs w:val="22"/>
          <w:lang w:val="ru-RU" w:eastAsia="sr-Latn-CS"/>
        </w:rPr>
        <w:t xml:space="preserve"> 500/</w:t>
      </w:r>
      <w:r w:rsidRPr="00F37492">
        <w:rPr>
          <w:sz w:val="22"/>
          <w:szCs w:val="22"/>
          <w:lang w:val="it-IT" w:eastAsia="sr-Latn-CS"/>
        </w:rPr>
        <w:t>mm</w:t>
      </w:r>
      <w:r w:rsidRPr="00F37492">
        <w:rPr>
          <w:sz w:val="22"/>
          <w:szCs w:val="22"/>
          <w:vertAlign w:val="superscript"/>
          <w:lang w:val="ru-RU" w:eastAsia="sr-Latn-CS"/>
        </w:rPr>
        <w:t>3</w:t>
      </w:r>
      <w:r w:rsidRPr="00F37492">
        <w:rPr>
          <w:sz w:val="22"/>
          <w:szCs w:val="22"/>
          <w:lang w:val="ru-RU" w:eastAsia="sr-Latn-CS"/>
        </w:rPr>
        <w:t xml:space="preserve"> (</w:t>
      </w:r>
      <w:r w:rsidRPr="00F37492">
        <w:rPr>
          <w:sz w:val="22"/>
          <w:szCs w:val="22"/>
          <w:lang w:val="it-IT" w:eastAsia="sr-Latn-CS"/>
        </w:rPr>
        <w:t>vidjeti</w:t>
      </w:r>
      <w:r w:rsidRPr="00F37492">
        <w:rPr>
          <w:sz w:val="22"/>
          <w:szCs w:val="22"/>
          <w:lang w:val="ru-RU" w:eastAsia="sr-Latn-CS"/>
        </w:rPr>
        <w:t xml:space="preserve"> </w:t>
      </w:r>
      <w:r w:rsidR="00197407">
        <w:rPr>
          <w:sz w:val="22"/>
          <w:szCs w:val="22"/>
          <w:lang w:val="it-IT" w:eastAsia="sr-Latn-CS"/>
        </w:rPr>
        <w:t>dio</w:t>
      </w:r>
      <w:r w:rsidR="00197407" w:rsidRPr="00F37492">
        <w:rPr>
          <w:sz w:val="22"/>
          <w:szCs w:val="22"/>
          <w:lang w:val="ru-RU" w:eastAsia="sr-Latn-CS"/>
        </w:rPr>
        <w:t xml:space="preserve"> </w:t>
      </w:r>
      <w:r w:rsidRPr="00F37492">
        <w:rPr>
          <w:sz w:val="22"/>
          <w:szCs w:val="22"/>
          <w:lang w:val="ru-RU" w:eastAsia="sr-Latn-CS"/>
        </w:rPr>
        <w:t>4.2).</w:t>
      </w:r>
    </w:p>
    <w:p w14:paraId="3BB2DC94" w14:textId="77777777" w:rsidR="00F37492" w:rsidRPr="00F37492" w:rsidRDefault="00F37492" w:rsidP="000A557B">
      <w:pPr>
        <w:jc w:val="both"/>
        <w:rPr>
          <w:sz w:val="22"/>
          <w:szCs w:val="22"/>
          <w:lang w:val="ru-RU" w:eastAsia="sr-Latn-CS"/>
        </w:rPr>
      </w:pPr>
    </w:p>
    <w:p w14:paraId="57C4FF38" w14:textId="78887AF4" w:rsidR="00F37492" w:rsidRPr="00F37492" w:rsidRDefault="00F37492" w:rsidP="000A557B">
      <w:pPr>
        <w:jc w:val="both"/>
        <w:rPr>
          <w:rFonts w:cs="Arial Unicode MS"/>
          <w:sz w:val="22"/>
          <w:szCs w:val="22"/>
          <w:lang w:val="ru-RU" w:eastAsia="sr-Latn-ME"/>
        </w:rPr>
      </w:pPr>
      <w:r w:rsidRPr="00F37492">
        <w:rPr>
          <w:sz w:val="22"/>
          <w:szCs w:val="22"/>
          <w:lang w:val="it-IT" w:eastAsia="sr-Latn-CS"/>
        </w:rPr>
        <w:t>Primije</w:t>
      </w:r>
      <w:r w:rsidRPr="00F37492">
        <w:rPr>
          <w:sz w:val="22"/>
          <w:szCs w:val="22"/>
          <w:lang w:val="ru-RU" w:eastAsia="sr-Latn-CS"/>
        </w:rPr>
        <w:t>ć</w:t>
      </w:r>
      <w:r w:rsidRPr="00F37492">
        <w:rPr>
          <w:sz w:val="22"/>
          <w:szCs w:val="22"/>
          <w:lang w:val="it-IT" w:eastAsia="sr-Latn-CS"/>
        </w:rPr>
        <w:t>eno</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razvoj</w:t>
      </w:r>
      <w:r w:rsidRPr="00F37492">
        <w:rPr>
          <w:sz w:val="22"/>
          <w:szCs w:val="22"/>
          <w:lang w:val="ru-RU" w:eastAsia="sr-Latn-CS"/>
        </w:rPr>
        <w:t xml:space="preserve"> </w:t>
      </w:r>
      <w:r w:rsidRPr="00F37492">
        <w:rPr>
          <w:sz w:val="22"/>
          <w:szCs w:val="22"/>
          <w:lang w:val="it-IT" w:eastAsia="sr-Latn-CS"/>
        </w:rPr>
        <w:t>trombocitopenije</w:t>
      </w:r>
      <w:r w:rsidRPr="00F37492">
        <w:rPr>
          <w:sz w:val="22"/>
          <w:szCs w:val="22"/>
          <w:lang w:val="ru-RU" w:eastAsia="sr-Latn-CS"/>
        </w:rPr>
        <w:t xml:space="preserve"> </w:t>
      </w:r>
      <w:r w:rsidRPr="00F37492">
        <w:rPr>
          <w:sz w:val="22"/>
          <w:szCs w:val="22"/>
          <w:lang w:val="it-IT" w:eastAsia="sr-Latn-CS"/>
        </w:rPr>
        <w:t>tokom</w:t>
      </w:r>
      <w:r w:rsidRPr="00F37492">
        <w:rPr>
          <w:sz w:val="22"/>
          <w:szCs w:val="22"/>
          <w:lang w:val="ru-RU" w:eastAsia="sr-Latn-CS"/>
        </w:rPr>
        <w:t xml:space="preserve"> </w:t>
      </w:r>
      <w:r w:rsidRPr="00F37492">
        <w:rPr>
          <w:sz w:val="22"/>
          <w:szCs w:val="22"/>
          <w:lang w:val="it-IT" w:eastAsia="sr-Latn-CS"/>
        </w:rPr>
        <w:t>terapije</w:t>
      </w:r>
      <w:r w:rsidRPr="00F37492">
        <w:rPr>
          <w:sz w:val="22"/>
          <w:szCs w:val="22"/>
          <w:lang w:val="ru-RU" w:eastAsia="sr-Latn-CS"/>
        </w:rPr>
        <w:t xml:space="preserve"> </w:t>
      </w:r>
      <w:r w:rsidRPr="00F37492">
        <w:rPr>
          <w:sz w:val="22"/>
          <w:szCs w:val="22"/>
          <w:lang w:val="it-IT" w:eastAsia="sr-Latn-CS"/>
        </w:rPr>
        <w:t>vjerovatniji</w:t>
      </w:r>
      <w:r w:rsidRPr="00F37492">
        <w:rPr>
          <w:sz w:val="22"/>
          <w:szCs w:val="22"/>
          <w:lang w:val="ru-RU" w:eastAsia="sr-Latn-CS"/>
        </w:rPr>
        <w:t xml:space="preserve"> </w:t>
      </w:r>
      <w:r w:rsidRPr="00F37492">
        <w:rPr>
          <w:sz w:val="22"/>
          <w:szCs w:val="22"/>
          <w:lang w:val="it-IT" w:eastAsia="sr-Latn-CS"/>
        </w:rPr>
        <w:t>kod</w:t>
      </w:r>
      <w:r w:rsidRPr="00F37492">
        <w:rPr>
          <w:sz w:val="22"/>
          <w:szCs w:val="22"/>
          <w:lang w:val="ru-RU" w:eastAsia="sr-Latn-CS"/>
        </w:rPr>
        <w:t xml:space="preserve"> </w:t>
      </w:r>
      <w:r w:rsidRPr="00F37492">
        <w:rPr>
          <w:sz w:val="22"/>
          <w:szCs w:val="22"/>
          <w:lang w:val="it-IT" w:eastAsia="sr-Latn-CS"/>
        </w:rPr>
        <w:t>pacijenata</w:t>
      </w:r>
      <w:r w:rsidRPr="00F37492">
        <w:rPr>
          <w:sz w:val="22"/>
          <w:szCs w:val="22"/>
          <w:lang w:val="ru-RU" w:eastAsia="sr-Latn-CS"/>
        </w:rPr>
        <w:t xml:space="preserve"> </w:t>
      </w:r>
      <w:r w:rsidRPr="00F37492">
        <w:rPr>
          <w:sz w:val="22"/>
          <w:szCs w:val="22"/>
          <w:lang w:val="it-IT" w:eastAsia="sr-Latn-CS"/>
        </w:rPr>
        <w:t>sa</w:t>
      </w:r>
      <w:r w:rsidRPr="00F37492">
        <w:rPr>
          <w:sz w:val="22"/>
          <w:szCs w:val="22"/>
          <w:lang w:val="ru-RU" w:eastAsia="sr-Latn-CS"/>
        </w:rPr>
        <w:t xml:space="preserve"> </w:t>
      </w:r>
      <w:r w:rsidRPr="00F37492">
        <w:rPr>
          <w:sz w:val="22"/>
          <w:szCs w:val="22"/>
          <w:lang w:val="en-GB" w:eastAsia="sr-Latn-CS"/>
        </w:rPr>
        <w:t xml:space="preserve">MF sa </w:t>
      </w:r>
      <w:r w:rsidRPr="00F37492">
        <w:rPr>
          <w:sz w:val="22"/>
          <w:szCs w:val="22"/>
          <w:lang w:val="it-IT" w:eastAsia="sr-Latn-CS"/>
        </w:rPr>
        <w:t>niskim</w:t>
      </w:r>
      <w:r w:rsidRPr="00F37492">
        <w:rPr>
          <w:sz w:val="22"/>
          <w:szCs w:val="22"/>
          <w:lang w:val="ru-RU" w:eastAsia="sr-Latn-CS"/>
        </w:rPr>
        <w:t xml:space="preserve"> </w:t>
      </w:r>
      <w:r w:rsidRPr="00F37492">
        <w:rPr>
          <w:sz w:val="22"/>
          <w:szCs w:val="22"/>
          <w:lang w:val="it-IT" w:eastAsia="sr-Latn-CS"/>
        </w:rPr>
        <w:t>brojem</w:t>
      </w:r>
      <w:r w:rsidRPr="00F37492">
        <w:rPr>
          <w:sz w:val="22"/>
          <w:szCs w:val="22"/>
          <w:lang w:val="ru-RU" w:eastAsia="sr-Latn-CS"/>
        </w:rPr>
        <w:t xml:space="preserve"> </w:t>
      </w:r>
      <w:r w:rsidRPr="00F37492">
        <w:rPr>
          <w:sz w:val="22"/>
          <w:szCs w:val="22"/>
          <w:lang w:val="it-IT" w:eastAsia="sr-Latn-CS"/>
        </w:rPr>
        <w:t>trombocita</w:t>
      </w:r>
      <w:r w:rsidRPr="00F37492">
        <w:rPr>
          <w:sz w:val="22"/>
          <w:szCs w:val="22"/>
          <w:lang w:val="ru-RU" w:eastAsia="sr-Latn-CS"/>
        </w:rPr>
        <w:t xml:space="preserve"> (&lt;</w:t>
      </w:r>
      <w:r w:rsidR="00197407">
        <w:rPr>
          <w:sz w:val="22"/>
          <w:szCs w:val="22"/>
          <w:lang w:val="sr-Latn-ME" w:eastAsia="sr-Latn-CS"/>
        </w:rPr>
        <w:t xml:space="preserve"> </w:t>
      </w:r>
      <w:r w:rsidRPr="00F37492">
        <w:rPr>
          <w:sz w:val="22"/>
          <w:szCs w:val="22"/>
          <w:lang w:val="ru-RU" w:eastAsia="sr-Latn-CS"/>
        </w:rPr>
        <w:t>200</w:t>
      </w:r>
      <w:r w:rsidR="00197407">
        <w:rPr>
          <w:sz w:val="22"/>
          <w:szCs w:val="22"/>
          <w:lang w:val="sr-Latn-ME" w:eastAsia="sr-Latn-CS"/>
        </w:rPr>
        <w:t xml:space="preserve"> </w:t>
      </w:r>
      <w:r w:rsidRPr="00F37492">
        <w:rPr>
          <w:sz w:val="22"/>
          <w:szCs w:val="22"/>
          <w:lang w:val="ru-RU" w:eastAsia="sr-Latn-CS"/>
        </w:rPr>
        <w:t>000/</w:t>
      </w:r>
      <w:r w:rsidRPr="00F37492">
        <w:rPr>
          <w:sz w:val="22"/>
          <w:szCs w:val="22"/>
          <w:lang w:val="it-IT" w:eastAsia="sr-Latn-CS"/>
        </w:rPr>
        <w:t>mm</w:t>
      </w:r>
      <w:r w:rsidRPr="00F37492">
        <w:rPr>
          <w:sz w:val="22"/>
          <w:szCs w:val="22"/>
          <w:vertAlign w:val="superscript"/>
          <w:lang w:val="ru-RU" w:eastAsia="sr-Latn-CS"/>
        </w:rPr>
        <w:t>3</w:t>
      </w:r>
      <w:r w:rsidRPr="00F37492">
        <w:rPr>
          <w:sz w:val="22"/>
          <w:szCs w:val="22"/>
          <w:lang w:val="ru-RU" w:eastAsia="sr-Latn-CS"/>
        </w:rPr>
        <w:t xml:space="preserve">) </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po</w:t>
      </w:r>
      <w:r w:rsidRPr="00F37492">
        <w:rPr>
          <w:sz w:val="22"/>
          <w:szCs w:val="22"/>
          <w:lang w:val="ru-RU" w:eastAsia="sr-Latn-CS"/>
        </w:rPr>
        <w:t>č</w:t>
      </w:r>
      <w:r w:rsidRPr="00F37492">
        <w:rPr>
          <w:sz w:val="22"/>
          <w:szCs w:val="22"/>
          <w:lang w:val="it-IT" w:eastAsia="sr-Latn-CS"/>
        </w:rPr>
        <w:t>etku</w:t>
      </w:r>
      <w:r w:rsidRPr="00F37492">
        <w:rPr>
          <w:sz w:val="22"/>
          <w:szCs w:val="22"/>
          <w:lang w:val="ru-RU" w:eastAsia="sr-Latn-CS"/>
        </w:rPr>
        <w:t xml:space="preserve"> </w:t>
      </w:r>
      <w:r w:rsidRPr="00F37492">
        <w:rPr>
          <w:sz w:val="22"/>
          <w:szCs w:val="22"/>
          <w:lang w:val="it-IT" w:eastAsia="sr-Latn-CS"/>
        </w:rPr>
        <w:t>terapije</w:t>
      </w:r>
      <w:r w:rsidRPr="00F37492">
        <w:rPr>
          <w:sz w:val="22"/>
          <w:szCs w:val="22"/>
          <w:lang w:val="ru-RU" w:eastAsia="sr-Latn-CS"/>
        </w:rPr>
        <w:t>.</w:t>
      </w:r>
    </w:p>
    <w:p w14:paraId="3B7FEA66" w14:textId="77777777" w:rsidR="00F37492" w:rsidRPr="00F37492" w:rsidRDefault="00F37492" w:rsidP="000A557B">
      <w:pPr>
        <w:jc w:val="both"/>
        <w:rPr>
          <w:rFonts w:cs="Arial Unicode MS"/>
          <w:sz w:val="22"/>
          <w:szCs w:val="22"/>
          <w:lang w:val="ru-RU" w:eastAsia="sr-Latn-CS"/>
        </w:rPr>
      </w:pPr>
    </w:p>
    <w:p w14:paraId="355029D7" w14:textId="0A5F82C4" w:rsidR="00F37492" w:rsidRPr="00F37492" w:rsidRDefault="00F37492" w:rsidP="000A557B">
      <w:pPr>
        <w:jc w:val="both"/>
        <w:rPr>
          <w:rFonts w:cs="Arial Unicode MS"/>
          <w:sz w:val="22"/>
          <w:szCs w:val="22"/>
          <w:lang w:val="ru-RU" w:eastAsia="sr-Latn-ME"/>
        </w:rPr>
      </w:pPr>
      <w:r w:rsidRPr="00F37492">
        <w:rPr>
          <w:sz w:val="22"/>
          <w:szCs w:val="22"/>
          <w:lang w:val="it-IT" w:eastAsia="sr-Latn-CS"/>
        </w:rPr>
        <w:t>Trombocitopenija</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po</w:t>
      </w:r>
      <w:r w:rsidRPr="00F37492">
        <w:rPr>
          <w:sz w:val="22"/>
          <w:szCs w:val="22"/>
          <w:lang w:val="ru-RU" w:eastAsia="sr-Latn-CS"/>
        </w:rPr>
        <w:t xml:space="preserve"> </w:t>
      </w:r>
      <w:r w:rsidRPr="00F37492">
        <w:rPr>
          <w:sz w:val="22"/>
          <w:szCs w:val="22"/>
          <w:lang w:val="it-IT" w:eastAsia="sr-Latn-CS"/>
        </w:rPr>
        <w:t>pravilu</w:t>
      </w:r>
      <w:r w:rsidRPr="00F37492">
        <w:rPr>
          <w:sz w:val="22"/>
          <w:szCs w:val="22"/>
          <w:lang w:val="ru-RU" w:eastAsia="sr-Latn-CS"/>
        </w:rPr>
        <w:t xml:space="preserve"> </w:t>
      </w:r>
      <w:r w:rsidRPr="00F37492">
        <w:rPr>
          <w:sz w:val="22"/>
          <w:szCs w:val="22"/>
          <w:lang w:val="it-IT" w:eastAsia="sr-Latn-CS"/>
        </w:rPr>
        <w:t>reverzibilna</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obi</w:t>
      </w:r>
      <w:r w:rsidRPr="00F37492">
        <w:rPr>
          <w:sz w:val="22"/>
          <w:szCs w:val="22"/>
          <w:lang w:val="ru-RU" w:eastAsia="sr-Latn-CS"/>
        </w:rPr>
        <w:t>č</w:t>
      </w:r>
      <w:r w:rsidRPr="00F37492">
        <w:rPr>
          <w:sz w:val="22"/>
          <w:szCs w:val="22"/>
          <w:lang w:val="it-IT" w:eastAsia="sr-Latn-CS"/>
        </w:rPr>
        <w:t>no</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kontroli</w:t>
      </w:r>
      <w:r w:rsidRPr="00F37492">
        <w:rPr>
          <w:sz w:val="22"/>
          <w:szCs w:val="22"/>
          <w:lang w:val="ru-RU" w:eastAsia="sr-Latn-CS"/>
        </w:rPr>
        <w:t>š</w:t>
      </w:r>
      <w:r w:rsidRPr="00F37492">
        <w:rPr>
          <w:sz w:val="22"/>
          <w:szCs w:val="22"/>
          <w:lang w:val="it-IT" w:eastAsia="sr-Latn-CS"/>
        </w:rPr>
        <w:t>e</w:t>
      </w:r>
      <w:r w:rsidRPr="00F37492">
        <w:rPr>
          <w:sz w:val="22"/>
          <w:szCs w:val="22"/>
          <w:lang w:val="ru-RU" w:eastAsia="sr-Latn-CS"/>
        </w:rPr>
        <w:t xml:space="preserve"> </w:t>
      </w:r>
      <w:r w:rsidRPr="00F37492">
        <w:rPr>
          <w:sz w:val="22"/>
          <w:szCs w:val="22"/>
          <w:lang w:val="it-IT" w:eastAsia="sr-Latn-CS"/>
        </w:rPr>
        <w:t>smanjenjem</w:t>
      </w:r>
      <w:r w:rsidRPr="00F37492">
        <w:rPr>
          <w:sz w:val="22"/>
          <w:szCs w:val="22"/>
          <w:lang w:val="ru-RU" w:eastAsia="sr-Latn-CS"/>
        </w:rPr>
        <w:t xml:space="preserve"> </w:t>
      </w:r>
      <w:r w:rsidRPr="00F37492">
        <w:rPr>
          <w:sz w:val="22"/>
          <w:szCs w:val="22"/>
          <w:lang w:val="it-IT" w:eastAsia="sr-Latn-CS"/>
        </w:rPr>
        <w:t>doze</w:t>
      </w:r>
      <w:r w:rsidRPr="00F37492">
        <w:rPr>
          <w:sz w:val="22"/>
          <w:szCs w:val="22"/>
          <w:lang w:val="ru-RU" w:eastAsia="sr-Latn-CS"/>
        </w:rPr>
        <w:t xml:space="preserve"> </w:t>
      </w:r>
      <w:r w:rsidRPr="00F37492">
        <w:rPr>
          <w:sz w:val="22"/>
          <w:szCs w:val="22"/>
          <w:lang w:val="it-IT" w:eastAsia="sr-Latn-CS"/>
        </w:rPr>
        <w:t>ili</w:t>
      </w:r>
      <w:r w:rsidRPr="00F37492">
        <w:rPr>
          <w:sz w:val="22"/>
          <w:szCs w:val="22"/>
          <w:lang w:val="ru-RU" w:eastAsia="sr-Latn-CS"/>
        </w:rPr>
        <w:t xml:space="preserve"> </w:t>
      </w:r>
      <w:r w:rsidRPr="00F37492">
        <w:rPr>
          <w:sz w:val="22"/>
          <w:szCs w:val="22"/>
          <w:lang w:val="it-IT" w:eastAsia="sr-Latn-CS"/>
        </w:rPr>
        <w:t>privremenom</w:t>
      </w:r>
      <w:r w:rsidRPr="00F37492">
        <w:rPr>
          <w:sz w:val="22"/>
          <w:szCs w:val="22"/>
          <w:lang w:val="ru-RU" w:eastAsia="sr-Latn-CS"/>
        </w:rPr>
        <w:t xml:space="preserve"> </w:t>
      </w:r>
      <w:r w:rsidRPr="00F37492">
        <w:rPr>
          <w:sz w:val="22"/>
          <w:szCs w:val="22"/>
          <w:lang w:val="it-IT" w:eastAsia="sr-Latn-CS"/>
        </w:rPr>
        <w:t>obustavom</w:t>
      </w:r>
      <w:r w:rsidRPr="00F37492">
        <w:rPr>
          <w:sz w:val="22"/>
          <w:szCs w:val="22"/>
          <w:lang w:val="ru-RU" w:eastAsia="sr-Latn-CS"/>
        </w:rPr>
        <w:t xml:space="preserve"> </w:t>
      </w:r>
      <w:r w:rsidRPr="00F37492">
        <w:rPr>
          <w:sz w:val="22"/>
          <w:szCs w:val="22"/>
          <w:lang w:val="sr-Latn-CS" w:eastAsia="sr-Latn-CS"/>
        </w:rPr>
        <w:t xml:space="preserve">lijeka Jakavi </w:t>
      </w:r>
      <w:r w:rsidRPr="00F37492">
        <w:rPr>
          <w:sz w:val="22"/>
          <w:szCs w:val="22"/>
          <w:lang w:val="ru-RU" w:eastAsia="sr-Latn-CS"/>
        </w:rPr>
        <w:t>(</w:t>
      </w:r>
      <w:r w:rsidRPr="00F37492">
        <w:rPr>
          <w:sz w:val="22"/>
          <w:szCs w:val="22"/>
          <w:lang w:val="it-IT" w:eastAsia="sr-Latn-CS"/>
        </w:rPr>
        <w:t>vidjeti</w:t>
      </w:r>
      <w:r w:rsidRPr="00F37492">
        <w:rPr>
          <w:sz w:val="22"/>
          <w:szCs w:val="22"/>
          <w:lang w:val="ru-RU" w:eastAsia="sr-Latn-CS"/>
        </w:rPr>
        <w:t xml:space="preserve"> </w:t>
      </w:r>
      <w:r w:rsidR="000B504C">
        <w:rPr>
          <w:sz w:val="22"/>
          <w:szCs w:val="22"/>
          <w:lang w:val="it-IT" w:eastAsia="sr-Latn-CS"/>
        </w:rPr>
        <w:t>djelove</w:t>
      </w:r>
      <w:r w:rsidR="000B504C" w:rsidRPr="00F37492">
        <w:rPr>
          <w:sz w:val="22"/>
          <w:szCs w:val="22"/>
          <w:lang w:val="ru-RU" w:eastAsia="sr-Latn-CS"/>
        </w:rPr>
        <w:t xml:space="preserve"> </w:t>
      </w:r>
      <w:r w:rsidRPr="00F37492">
        <w:rPr>
          <w:sz w:val="22"/>
          <w:szCs w:val="22"/>
          <w:lang w:val="ru-RU" w:eastAsia="sr-Latn-CS"/>
        </w:rPr>
        <w:t xml:space="preserve">4.2 </w:t>
      </w:r>
      <w:r w:rsidRPr="00F37492">
        <w:rPr>
          <w:sz w:val="22"/>
          <w:szCs w:val="22"/>
          <w:lang w:val="it-IT" w:eastAsia="sr-Latn-CS"/>
        </w:rPr>
        <w:t>i</w:t>
      </w:r>
      <w:r w:rsidRPr="00F37492">
        <w:rPr>
          <w:sz w:val="22"/>
          <w:szCs w:val="22"/>
          <w:lang w:val="ru-RU" w:eastAsia="sr-Latn-CS"/>
        </w:rPr>
        <w:t xml:space="preserve"> 4.8). </w:t>
      </w:r>
      <w:r w:rsidRPr="00F37492">
        <w:rPr>
          <w:sz w:val="22"/>
          <w:szCs w:val="22"/>
          <w:lang w:val="it-IT" w:eastAsia="sr-Latn-CS"/>
        </w:rPr>
        <w:t>Me</w:t>
      </w:r>
      <w:r w:rsidRPr="00F37492">
        <w:rPr>
          <w:sz w:val="22"/>
          <w:szCs w:val="22"/>
          <w:lang w:val="ru-RU" w:eastAsia="sr-Latn-CS"/>
        </w:rPr>
        <w:t>đ</w:t>
      </w:r>
      <w:r w:rsidRPr="00F37492">
        <w:rPr>
          <w:sz w:val="22"/>
          <w:szCs w:val="22"/>
          <w:lang w:val="it-IT" w:eastAsia="sr-Latn-CS"/>
        </w:rPr>
        <w:t>utim</w:t>
      </w:r>
      <w:r w:rsidRPr="00F37492">
        <w:rPr>
          <w:sz w:val="22"/>
          <w:szCs w:val="22"/>
          <w:lang w:val="ru-RU" w:eastAsia="sr-Latn-CS"/>
        </w:rPr>
        <w:t xml:space="preserve">, </w:t>
      </w:r>
      <w:r w:rsidRPr="00F37492">
        <w:rPr>
          <w:sz w:val="22"/>
          <w:szCs w:val="22"/>
          <w:lang w:val="it-IT" w:eastAsia="sr-Latn-CS"/>
        </w:rPr>
        <w:t>ako</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to</w:t>
      </w:r>
      <w:r w:rsidRPr="00F37492">
        <w:rPr>
          <w:sz w:val="22"/>
          <w:szCs w:val="22"/>
          <w:lang w:val="ru-RU" w:eastAsia="sr-Latn-CS"/>
        </w:rPr>
        <w:t xml:space="preserve"> </w:t>
      </w:r>
      <w:r w:rsidRPr="00F37492">
        <w:rPr>
          <w:sz w:val="22"/>
          <w:szCs w:val="22"/>
          <w:lang w:val="it-IT" w:eastAsia="sr-Latn-CS"/>
        </w:rPr>
        <w:t>klini</w:t>
      </w:r>
      <w:r w:rsidRPr="00F37492">
        <w:rPr>
          <w:sz w:val="22"/>
          <w:szCs w:val="22"/>
          <w:lang w:val="ru-RU" w:eastAsia="sr-Latn-CS"/>
        </w:rPr>
        <w:t>č</w:t>
      </w:r>
      <w:r w:rsidRPr="00F37492">
        <w:rPr>
          <w:sz w:val="22"/>
          <w:szCs w:val="22"/>
          <w:lang w:val="it-IT" w:eastAsia="sr-Latn-CS"/>
        </w:rPr>
        <w:t>ki</w:t>
      </w:r>
      <w:r w:rsidRPr="00F37492">
        <w:rPr>
          <w:sz w:val="22"/>
          <w:szCs w:val="22"/>
          <w:lang w:val="ru-RU" w:eastAsia="sr-Latn-CS"/>
        </w:rPr>
        <w:t xml:space="preserve"> </w:t>
      </w:r>
      <w:r w:rsidRPr="00F37492">
        <w:rPr>
          <w:sz w:val="22"/>
          <w:szCs w:val="22"/>
          <w:lang w:val="it-IT" w:eastAsia="sr-Latn-CS"/>
        </w:rPr>
        <w:t>indikovano</w:t>
      </w:r>
      <w:r w:rsidRPr="00F37492">
        <w:rPr>
          <w:sz w:val="22"/>
          <w:szCs w:val="22"/>
          <w:lang w:val="ru-RU" w:eastAsia="sr-Latn-CS"/>
        </w:rPr>
        <w:t xml:space="preserve">, </w:t>
      </w:r>
      <w:r w:rsidRPr="00F37492">
        <w:rPr>
          <w:sz w:val="22"/>
          <w:szCs w:val="22"/>
          <w:lang w:val="it-IT" w:eastAsia="sr-Latn-CS"/>
        </w:rPr>
        <w:t>mo</w:t>
      </w:r>
      <w:r w:rsidRPr="00F37492">
        <w:rPr>
          <w:sz w:val="22"/>
          <w:szCs w:val="22"/>
          <w:lang w:val="ru-RU" w:eastAsia="sr-Latn-CS"/>
        </w:rPr>
        <w:t>ž</w:t>
      </w:r>
      <w:r w:rsidRPr="00F37492">
        <w:rPr>
          <w:sz w:val="22"/>
          <w:szCs w:val="22"/>
          <w:lang w:val="it-IT" w:eastAsia="sr-Latn-CS"/>
        </w:rPr>
        <w:t>e</w:t>
      </w:r>
      <w:r w:rsidRPr="00F37492">
        <w:rPr>
          <w:sz w:val="22"/>
          <w:szCs w:val="22"/>
          <w:lang w:val="ru-RU" w:eastAsia="sr-Latn-CS"/>
        </w:rPr>
        <w:t xml:space="preserve"> </w:t>
      </w:r>
      <w:r w:rsidRPr="00F37492">
        <w:rPr>
          <w:sz w:val="22"/>
          <w:szCs w:val="22"/>
          <w:lang w:val="it-IT" w:eastAsia="sr-Latn-CS"/>
        </w:rPr>
        <w:t>biti</w:t>
      </w:r>
      <w:r w:rsidRPr="00F37492">
        <w:rPr>
          <w:sz w:val="22"/>
          <w:szCs w:val="22"/>
          <w:lang w:val="ru-RU" w:eastAsia="sr-Latn-CS"/>
        </w:rPr>
        <w:t xml:space="preserve"> </w:t>
      </w:r>
      <w:r w:rsidRPr="00F37492">
        <w:rPr>
          <w:sz w:val="22"/>
          <w:szCs w:val="22"/>
          <w:lang w:val="it-IT" w:eastAsia="sr-Latn-CS"/>
        </w:rPr>
        <w:t>potrebna</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transfuzija</w:t>
      </w:r>
      <w:r w:rsidRPr="00F37492">
        <w:rPr>
          <w:sz w:val="22"/>
          <w:szCs w:val="22"/>
          <w:lang w:val="ru-RU" w:eastAsia="sr-Latn-CS"/>
        </w:rPr>
        <w:t xml:space="preserve"> </w:t>
      </w:r>
      <w:r w:rsidRPr="00F37492">
        <w:rPr>
          <w:sz w:val="22"/>
          <w:szCs w:val="22"/>
          <w:lang w:val="it-IT" w:eastAsia="sr-Latn-CS"/>
        </w:rPr>
        <w:t>trombocita</w:t>
      </w:r>
      <w:r w:rsidRPr="00F37492">
        <w:rPr>
          <w:sz w:val="22"/>
          <w:szCs w:val="22"/>
          <w:lang w:val="ru-RU" w:eastAsia="sr-Latn-CS"/>
        </w:rPr>
        <w:t>.</w:t>
      </w:r>
    </w:p>
    <w:p w14:paraId="5F61EE53" w14:textId="77777777" w:rsidR="00F37492" w:rsidRPr="00F37492" w:rsidRDefault="00F37492" w:rsidP="000A557B">
      <w:pPr>
        <w:jc w:val="both"/>
        <w:rPr>
          <w:rFonts w:cs="Arial Unicode MS"/>
          <w:sz w:val="22"/>
          <w:szCs w:val="22"/>
          <w:lang w:val="ru-RU" w:eastAsia="sr-Latn-CS"/>
        </w:rPr>
      </w:pPr>
    </w:p>
    <w:p w14:paraId="4B00E275" w14:textId="77777777" w:rsidR="00F37492" w:rsidRPr="00F37492" w:rsidRDefault="00F37492" w:rsidP="000A557B">
      <w:pPr>
        <w:jc w:val="both"/>
        <w:rPr>
          <w:rFonts w:cs="Arial Unicode MS"/>
          <w:sz w:val="22"/>
          <w:szCs w:val="22"/>
          <w:lang w:val="ru-RU" w:eastAsia="sr-Latn-ME"/>
        </w:rPr>
      </w:pPr>
      <w:r w:rsidRPr="00F37492">
        <w:rPr>
          <w:sz w:val="22"/>
          <w:szCs w:val="22"/>
          <w:lang w:val="it-IT" w:eastAsia="sr-Latn-CS"/>
        </w:rPr>
        <w:t>Pacijentima</w:t>
      </w:r>
      <w:r w:rsidRPr="00F37492">
        <w:rPr>
          <w:sz w:val="22"/>
          <w:szCs w:val="22"/>
          <w:lang w:val="ru-RU" w:eastAsia="sr-Latn-CS"/>
        </w:rPr>
        <w:t xml:space="preserve"> </w:t>
      </w:r>
      <w:r w:rsidRPr="00F37492">
        <w:rPr>
          <w:sz w:val="22"/>
          <w:szCs w:val="22"/>
          <w:lang w:val="it-IT" w:eastAsia="sr-Latn-CS"/>
        </w:rPr>
        <w:t>koji</w:t>
      </w:r>
      <w:r w:rsidRPr="00F37492">
        <w:rPr>
          <w:sz w:val="22"/>
          <w:szCs w:val="22"/>
          <w:lang w:val="ru-RU" w:eastAsia="sr-Latn-CS"/>
        </w:rPr>
        <w:t xml:space="preserve"> </w:t>
      </w:r>
      <w:r w:rsidRPr="00F37492">
        <w:rPr>
          <w:sz w:val="22"/>
          <w:szCs w:val="22"/>
          <w:lang w:val="it-IT" w:eastAsia="sr-Latn-CS"/>
        </w:rPr>
        <w:t>razviju</w:t>
      </w:r>
      <w:r w:rsidRPr="00F37492">
        <w:rPr>
          <w:sz w:val="22"/>
          <w:szCs w:val="22"/>
          <w:lang w:val="ru-RU" w:eastAsia="sr-Latn-CS"/>
        </w:rPr>
        <w:t xml:space="preserve"> </w:t>
      </w:r>
      <w:r w:rsidRPr="00F37492">
        <w:rPr>
          <w:sz w:val="22"/>
          <w:szCs w:val="22"/>
          <w:lang w:val="it-IT" w:eastAsia="sr-Latn-CS"/>
        </w:rPr>
        <w:t>anemiju</w:t>
      </w:r>
      <w:r w:rsidRPr="00F37492">
        <w:rPr>
          <w:sz w:val="22"/>
          <w:szCs w:val="22"/>
          <w:lang w:val="ru-RU" w:eastAsia="sr-Latn-CS"/>
        </w:rPr>
        <w:t xml:space="preserve"> </w:t>
      </w:r>
      <w:r w:rsidRPr="00F37492">
        <w:rPr>
          <w:sz w:val="22"/>
          <w:szCs w:val="22"/>
          <w:lang w:val="it-IT" w:eastAsia="sr-Latn-CS"/>
        </w:rPr>
        <w:t>mo</w:t>
      </w:r>
      <w:r w:rsidRPr="00F37492">
        <w:rPr>
          <w:sz w:val="22"/>
          <w:szCs w:val="22"/>
          <w:lang w:val="ru-RU" w:eastAsia="sr-Latn-CS"/>
        </w:rPr>
        <w:t>ž</w:t>
      </w:r>
      <w:r w:rsidRPr="00F37492">
        <w:rPr>
          <w:sz w:val="22"/>
          <w:szCs w:val="22"/>
          <w:lang w:val="it-IT" w:eastAsia="sr-Latn-CS"/>
        </w:rPr>
        <w:t>e</w:t>
      </w:r>
      <w:r w:rsidRPr="00F37492">
        <w:rPr>
          <w:sz w:val="22"/>
          <w:szCs w:val="22"/>
          <w:lang w:val="ru-RU" w:eastAsia="sr-Latn-CS"/>
        </w:rPr>
        <w:t xml:space="preserve"> </w:t>
      </w:r>
      <w:r w:rsidRPr="00F37492">
        <w:rPr>
          <w:sz w:val="22"/>
          <w:szCs w:val="22"/>
          <w:lang w:val="it-IT" w:eastAsia="sr-Latn-CS"/>
        </w:rPr>
        <w:t>biti</w:t>
      </w:r>
      <w:r w:rsidRPr="00F37492">
        <w:rPr>
          <w:sz w:val="22"/>
          <w:szCs w:val="22"/>
          <w:lang w:val="ru-RU" w:eastAsia="sr-Latn-CS"/>
        </w:rPr>
        <w:t xml:space="preserve"> </w:t>
      </w:r>
      <w:r w:rsidRPr="00F37492">
        <w:rPr>
          <w:sz w:val="22"/>
          <w:szCs w:val="22"/>
          <w:lang w:val="it-IT" w:eastAsia="sr-Latn-CS"/>
        </w:rPr>
        <w:t>potrebna</w:t>
      </w:r>
      <w:r w:rsidRPr="00F37492">
        <w:rPr>
          <w:sz w:val="22"/>
          <w:szCs w:val="22"/>
          <w:lang w:val="ru-RU" w:eastAsia="sr-Latn-CS"/>
        </w:rPr>
        <w:t xml:space="preserve"> </w:t>
      </w:r>
      <w:r w:rsidRPr="00F37492">
        <w:rPr>
          <w:sz w:val="22"/>
          <w:szCs w:val="22"/>
          <w:lang w:val="it-IT" w:eastAsia="sr-Latn-CS"/>
        </w:rPr>
        <w:t>transfuzija</w:t>
      </w:r>
      <w:r w:rsidRPr="00F37492">
        <w:rPr>
          <w:sz w:val="22"/>
          <w:szCs w:val="22"/>
          <w:lang w:val="ru-RU" w:eastAsia="sr-Latn-CS"/>
        </w:rPr>
        <w:t xml:space="preserve">. </w:t>
      </w:r>
      <w:r w:rsidRPr="00F37492">
        <w:rPr>
          <w:sz w:val="22"/>
          <w:szCs w:val="22"/>
          <w:lang w:val="it-IT" w:eastAsia="sr-Latn-CS"/>
        </w:rPr>
        <w:t>Tako</w:t>
      </w:r>
      <w:r w:rsidRPr="00F37492">
        <w:rPr>
          <w:sz w:val="22"/>
          <w:szCs w:val="22"/>
          <w:lang w:val="ru-RU" w:eastAsia="sr-Latn-CS"/>
        </w:rPr>
        <w:t>đ</w:t>
      </w:r>
      <w:r w:rsidRPr="00F37492">
        <w:rPr>
          <w:sz w:val="22"/>
          <w:szCs w:val="22"/>
          <w:lang w:val="it-IT" w:eastAsia="sr-Latn-CS"/>
        </w:rPr>
        <w:t>e</w:t>
      </w:r>
      <w:r w:rsidRPr="00F37492">
        <w:rPr>
          <w:sz w:val="22"/>
          <w:szCs w:val="22"/>
          <w:lang w:val="ru-RU" w:eastAsia="sr-Latn-CS"/>
        </w:rPr>
        <w:t xml:space="preserve"> </w:t>
      </w:r>
      <w:r w:rsidRPr="00F37492">
        <w:rPr>
          <w:sz w:val="22"/>
          <w:szCs w:val="22"/>
          <w:lang w:val="it-IT" w:eastAsia="sr-Latn-CS"/>
        </w:rPr>
        <w:t>treba</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uzme</w:t>
      </w:r>
      <w:r w:rsidRPr="00F37492">
        <w:rPr>
          <w:sz w:val="22"/>
          <w:szCs w:val="22"/>
          <w:lang w:val="ru-RU" w:eastAsia="sr-Latn-CS"/>
        </w:rPr>
        <w:t xml:space="preserve"> </w:t>
      </w:r>
      <w:r w:rsidRPr="00F37492">
        <w:rPr>
          <w:sz w:val="22"/>
          <w:szCs w:val="22"/>
          <w:lang w:val="it-IT" w:eastAsia="sr-Latn-CS"/>
        </w:rPr>
        <w:t>u</w:t>
      </w:r>
      <w:r w:rsidRPr="00F37492">
        <w:rPr>
          <w:sz w:val="22"/>
          <w:szCs w:val="22"/>
          <w:lang w:val="ru-RU" w:eastAsia="sr-Latn-CS"/>
        </w:rPr>
        <w:t xml:space="preserve"> </w:t>
      </w:r>
      <w:r w:rsidRPr="00F37492">
        <w:rPr>
          <w:sz w:val="22"/>
          <w:szCs w:val="22"/>
          <w:lang w:val="it-IT" w:eastAsia="sr-Latn-CS"/>
        </w:rPr>
        <w:t>obzir</w:t>
      </w:r>
      <w:r w:rsidRPr="00F37492">
        <w:rPr>
          <w:sz w:val="22"/>
          <w:szCs w:val="22"/>
          <w:lang w:val="ru-RU" w:eastAsia="sr-Latn-CS"/>
        </w:rPr>
        <w:t xml:space="preserve"> </w:t>
      </w:r>
      <w:r w:rsidRPr="00F37492">
        <w:rPr>
          <w:sz w:val="22"/>
          <w:szCs w:val="22"/>
          <w:lang w:val="it-IT" w:eastAsia="sr-Latn-CS"/>
        </w:rPr>
        <w:t>pode</w:t>
      </w:r>
      <w:r w:rsidRPr="00F37492">
        <w:rPr>
          <w:sz w:val="22"/>
          <w:szCs w:val="22"/>
          <w:lang w:val="ru-RU" w:eastAsia="sr-Latn-CS"/>
        </w:rPr>
        <w:t>š</w:t>
      </w:r>
      <w:r w:rsidRPr="00F37492">
        <w:rPr>
          <w:sz w:val="22"/>
          <w:szCs w:val="22"/>
          <w:lang w:val="it-IT" w:eastAsia="sr-Latn-CS"/>
        </w:rPr>
        <w:t>avanje</w:t>
      </w:r>
      <w:r w:rsidRPr="00F37492">
        <w:rPr>
          <w:sz w:val="22"/>
          <w:szCs w:val="22"/>
          <w:lang w:val="ru-RU" w:eastAsia="sr-Latn-CS"/>
        </w:rPr>
        <w:t xml:space="preserve"> </w:t>
      </w:r>
      <w:r w:rsidRPr="00F37492">
        <w:rPr>
          <w:sz w:val="22"/>
          <w:szCs w:val="22"/>
          <w:lang w:val="it-IT" w:eastAsia="sr-Latn-CS"/>
        </w:rPr>
        <w:t>doze</w:t>
      </w:r>
      <w:r w:rsidRPr="00F37492">
        <w:rPr>
          <w:sz w:val="22"/>
          <w:szCs w:val="22"/>
          <w:lang w:val="ru-RU" w:eastAsia="sr-Latn-CS"/>
        </w:rPr>
        <w:t xml:space="preserve"> </w:t>
      </w:r>
      <w:r w:rsidRPr="00F37492">
        <w:rPr>
          <w:sz w:val="22"/>
          <w:szCs w:val="22"/>
          <w:lang w:val="sr-Latn-CS" w:eastAsia="sr-Latn-CS"/>
        </w:rPr>
        <w:t xml:space="preserve">ili prekid terapije </w:t>
      </w:r>
      <w:r w:rsidRPr="00F37492">
        <w:rPr>
          <w:sz w:val="22"/>
          <w:szCs w:val="22"/>
          <w:lang w:val="it-IT" w:eastAsia="sr-Latn-CS"/>
        </w:rPr>
        <w:t>za</w:t>
      </w:r>
      <w:r w:rsidRPr="00F37492">
        <w:rPr>
          <w:sz w:val="22"/>
          <w:szCs w:val="22"/>
          <w:lang w:val="ru-RU" w:eastAsia="sr-Latn-CS"/>
        </w:rPr>
        <w:t xml:space="preserve"> </w:t>
      </w:r>
      <w:r w:rsidRPr="00F37492">
        <w:rPr>
          <w:sz w:val="22"/>
          <w:szCs w:val="22"/>
          <w:lang w:val="it-IT" w:eastAsia="sr-Latn-CS"/>
        </w:rPr>
        <w:t>pacijente</w:t>
      </w:r>
      <w:r w:rsidRPr="00F37492">
        <w:rPr>
          <w:sz w:val="22"/>
          <w:szCs w:val="22"/>
          <w:lang w:val="ru-RU" w:eastAsia="sr-Latn-CS"/>
        </w:rPr>
        <w:t xml:space="preserve"> </w:t>
      </w:r>
      <w:r w:rsidRPr="00F37492">
        <w:rPr>
          <w:sz w:val="22"/>
          <w:szCs w:val="22"/>
          <w:lang w:val="it-IT" w:eastAsia="sr-Latn-CS"/>
        </w:rPr>
        <w:t>koji</w:t>
      </w:r>
      <w:r w:rsidRPr="00F37492">
        <w:rPr>
          <w:sz w:val="22"/>
          <w:szCs w:val="22"/>
          <w:lang w:val="ru-RU" w:eastAsia="sr-Latn-CS"/>
        </w:rPr>
        <w:t xml:space="preserve"> </w:t>
      </w:r>
      <w:r w:rsidRPr="00F37492">
        <w:rPr>
          <w:sz w:val="22"/>
          <w:szCs w:val="22"/>
          <w:lang w:val="it-IT" w:eastAsia="sr-Latn-CS"/>
        </w:rPr>
        <w:t>razvijaju</w:t>
      </w:r>
      <w:r w:rsidRPr="00F37492">
        <w:rPr>
          <w:sz w:val="22"/>
          <w:szCs w:val="22"/>
          <w:lang w:val="ru-RU" w:eastAsia="sr-Latn-CS"/>
        </w:rPr>
        <w:t xml:space="preserve"> </w:t>
      </w:r>
      <w:r w:rsidRPr="00F37492">
        <w:rPr>
          <w:sz w:val="22"/>
          <w:szCs w:val="22"/>
          <w:lang w:val="it-IT" w:eastAsia="sr-Latn-CS"/>
        </w:rPr>
        <w:t>anemiju</w:t>
      </w:r>
      <w:r w:rsidRPr="00F37492">
        <w:rPr>
          <w:sz w:val="22"/>
          <w:szCs w:val="22"/>
          <w:lang w:val="ru-RU" w:eastAsia="sr-Latn-CS"/>
        </w:rPr>
        <w:t>.</w:t>
      </w:r>
    </w:p>
    <w:p w14:paraId="7BFC8974" w14:textId="77777777" w:rsidR="00F37492" w:rsidRPr="00F37492" w:rsidRDefault="00F37492" w:rsidP="000A557B">
      <w:pPr>
        <w:jc w:val="both"/>
        <w:rPr>
          <w:rFonts w:cs="Arial Unicode MS"/>
          <w:sz w:val="22"/>
          <w:szCs w:val="22"/>
          <w:lang w:val="ru-RU" w:eastAsia="sr-Latn-CS"/>
        </w:rPr>
      </w:pPr>
    </w:p>
    <w:p w14:paraId="22321703" w14:textId="04E13653" w:rsidR="00F37492" w:rsidRPr="00F37492" w:rsidRDefault="00F37492" w:rsidP="000A557B">
      <w:pPr>
        <w:jc w:val="both"/>
        <w:rPr>
          <w:rFonts w:cs="Arial Unicode MS"/>
          <w:sz w:val="22"/>
          <w:szCs w:val="22"/>
          <w:lang w:val="ru-RU" w:eastAsia="sr-Latn-ME"/>
        </w:rPr>
      </w:pPr>
      <w:r w:rsidRPr="00F37492">
        <w:rPr>
          <w:sz w:val="22"/>
          <w:szCs w:val="22"/>
          <w:lang w:val="it-IT" w:eastAsia="sr-Latn-CS"/>
        </w:rPr>
        <w:t>Kod</w:t>
      </w:r>
      <w:r w:rsidRPr="00F37492">
        <w:rPr>
          <w:sz w:val="22"/>
          <w:szCs w:val="22"/>
          <w:lang w:val="ru-RU" w:eastAsia="sr-Latn-CS"/>
        </w:rPr>
        <w:t xml:space="preserve"> </w:t>
      </w:r>
      <w:r w:rsidRPr="00F37492">
        <w:rPr>
          <w:sz w:val="22"/>
          <w:szCs w:val="22"/>
          <w:lang w:val="it-IT" w:eastAsia="sr-Latn-CS"/>
        </w:rPr>
        <w:t>pacijenata</w:t>
      </w:r>
      <w:r w:rsidRPr="00F37492">
        <w:rPr>
          <w:sz w:val="22"/>
          <w:szCs w:val="22"/>
          <w:lang w:val="ru-RU" w:eastAsia="sr-Latn-CS"/>
        </w:rPr>
        <w:t xml:space="preserve"> </w:t>
      </w:r>
      <w:r w:rsidRPr="00F37492">
        <w:rPr>
          <w:sz w:val="22"/>
          <w:szCs w:val="22"/>
          <w:lang w:val="it-IT" w:eastAsia="sr-Latn-CS"/>
        </w:rPr>
        <w:t>koji</w:t>
      </w:r>
      <w:r w:rsidRPr="00F37492">
        <w:rPr>
          <w:sz w:val="22"/>
          <w:szCs w:val="22"/>
          <w:lang w:val="ru-RU" w:eastAsia="sr-Latn-CS"/>
        </w:rPr>
        <w:t xml:space="preserve"> </w:t>
      </w:r>
      <w:r w:rsidRPr="00F37492">
        <w:rPr>
          <w:sz w:val="22"/>
          <w:szCs w:val="22"/>
          <w:lang w:val="it-IT" w:eastAsia="sr-Latn-CS"/>
        </w:rPr>
        <w:t>imaju</w:t>
      </w:r>
      <w:r w:rsidRPr="00F37492">
        <w:rPr>
          <w:sz w:val="22"/>
          <w:szCs w:val="22"/>
          <w:lang w:val="ru-RU" w:eastAsia="sr-Latn-CS"/>
        </w:rPr>
        <w:t xml:space="preserve"> </w:t>
      </w:r>
      <w:r w:rsidRPr="00F37492">
        <w:rPr>
          <w:sz w:val="22"/>
          <w:szCs w:val="22"/>
          <w:lang w:val="it-IT" w:eastAsia="sr-Latn-CS"/>
        </w:rPr>
        <w:t>nivo</w:t>
      </w:r>
      <w:r w:rsidRPr="00F37492">
        <w:rPr>
          <w:sz w:val="22"/>
          <w:szCs w:val="22"/>
          <w:lang w:val="ru-RU" w:eastAsia="sr-Latn-CS"/>
        </w:rPr>
        <w:t xml:space="preserve"> </w:t>
      </w:r>
      <w:r w:rsidRPr="00F37492">
        <w:rPr>
          <w:sz w:val="22"/>
          <w:szCs w:val="22"/>
          <w:lang w:val="it-IT" w:eastAsia="sr-Latn-CS"/>
        </w:rPr>
        <w:t>hemoglobina</w:t>
      </w:r>
      <w:r w:rsidRPr="00F37492">
        <w:rPr>
          <w:sz w:val="22"/>
          <w:szCs w:val="22"/>
          <w:lang w:val="ru-RU" w:eastAsia="sr-Latn-CS"/>
        </w:rPr>
        <w:t xml:space="preserve"> </w:t>
      </w:r>
      <w:r w:rsidRPr="00F37492">
        <w:rPr>
          <w:sz w:val="22"/>
          <w:szCs w:val="22"/>
          <w:lang w:val="it-IT" w:eastAsia="sr-Latn-CS"/>
        </w:rPr>
        <w:t>ispod</w:t>
      </w:r>
      <w:r w:rsidRPr="00F37492">
        <w:rPr>
          <w:sz w:val="22"/>
          <w:szCs w:val="22"/>
          <w:lang w:val="ru-RU" w:eastAsia="sr-Latn-CS"/>
        </w:rPr>
        <w:t xml:space="preserve"> 10,0 </w:t>
      </w:r>
      <w:r w:rsidRPr="00F37492">
        <w:rPr>
          <w:sz w:val="22"/>
          <w:szCs w:val="22"/>
          <w:lang w:val="it-IT" w:eastAsia="sr-Latn-CS"/>
        </w:rPr>
        <w:t>g</w:t>
      </w:r>
      <w:r w:rsidRPr="00F37492">
        <w:rPr>
          <w:sz w:val="22"/>
          <w:szCs w:val="22"/>
          <w:lang w:val="ru-RU" w:eastAsia="sr-Latn-CS"/>
        </w:rPr>
        <w:t>/</w:t>
      </w:r>
      <w:r w:rsidRPr="00F37492">
        <w:rPr>
          <w:sz w:val="22"/>
          <w:szCs w:val="22"/>
          <w:lang w:val="it-IT" w:eastAsia="sr-Latn-CS"/>
        </w:rPr>
        <w:t>d</w:t>
      </w:r>
      <w:r w:rsidR="00F33E03">
        <w:rPr>
          <w:sz w:val="22"/>
          <w:szCs w:val="22"/>
          <w:lang w:val="it-IT" w:eastAsia="sr-Latn-CS"/>
        </w:rPr>
        <w:t>l</w:t>
      </w:r>
      <w:r w:rsidRPr="00F37492">
        <w:rPr>
          <w:sz w:val="22"/>
          <w:szCs w:val="22"/>
          <w:lang w:val="ru-RU" w:eastAsia="sr-Latn-CS"/>
        </w:rPr>
        <w:t xml:space="preserve"> </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po</w:t>
      </w:r>
      <w:r w:rsidRPr="00F37492">
        <w:rPr>
          <w:sz w:val="22"/>
          <w:szCs w:val="22"/>
          <w:lang w:val="ru-RU" w:eastAsia="sr-Latn-CS"/>
        </w:rPr>
        <w:t>č</w:t>
      </w:r>
      <w:r w:rsidRPr="00F37492">
        <w:rPr>
          <w:sz w:val="22"/>
          <w:szCs w:val="22"/>
          <w:lang w:val="it-IT" w:eastAsia="sr-Latn-CS"/>
        </w:rPr>
        <w:t>etku</w:t>
      </w:r>
      <w:r w:rsidRPr="00F37492">
        <w:rPr>
          <w:sz w:val="22"/>
          <w:szCs w:val="22"/>
          <w:lang w:val="ru-RU" w:eastAsia="sr-Latn-CS"/>
        </w:rPr>
        <w:t xml:space="preserve"> </w:t>
      </w:r>
      <w:r w:rsidRPr="00F37492">
        <w:rPr>
          <w:sz w:val="22"/>
          <w:szCs w:val="22"/>
          <w:lang w:val="it-IT" w:eastAsia="sr-Latn-CS"/>
        </w:rPr>
        <w:t>terapije</w:t>
      </w:r>
      <w:r w:rsidRPr="00F37492">
        <w:rPr>
          <w:sz w:val="22"/>
          <w:szCs w:val="22"/>
          <w:lang w:val="ru-RU" w:eastAsia="sr-Latn-CS"/>
        </w:rPr>
        <w:t xml:space="preserve"> </w:t>
      </w:r>
      <w:r w:rsidRPr="00F37492">
        <w:rPr>
          <w:sz w:val="22"/>
          <w:szCs w:val="22"/>
          <w:lang w:val="it-IT" w:eastAsia="sr-Latn-CS"/>
        </w:rPr>
        <w:t>postoji</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ve</w:t>
      </w:r>
      <w:r w:rsidRPr="00F37492">
        <w:rPr>
          <w:sz w:val="22"/>
          <w:szCs w:val="22"/>
          <w:lang w:val="ru-RU" w:eastAsia="sr-Latn-CS"/>
        </w:rPr>
        <w:t>ć</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rizik</w:t>
      </w:r>
      <w:r w:rsidRPr="00F37492">
        <w:rPr>
          <w:sz w:val="22"/>
          <w:szCs w:val="22"/>
          <w:lang w:val="ru-RU" w:eastAsia="sr-Latn-CS"/>
        </w:rPr>
        <w:t xml:space="preserve"> </w:t>
      </w:r>
      <w:r w:rsidRPr="00F37492">
        <w:rPr>
          <w:sz w:val="22"/>
          <w:szCs w:val="22"/>
          <w:lang w:val="it-IT" w:eastAsia="sr-Latn-CS"/>
        </w:rPr>
        <w:t>od</w:t>
      </w:r>
      <w:r w:rsidRPr="00F37492">
        <w:rPr>
          <w:sz w:val="22"/>
          <w:szCs w:val="22"/>
          <w:lang w:val="ru-RU" w:eastAsia="sr-Latn-CS"/>
        </w:rPr>
        <w:t xml:space="preserve"> </w:t>
      </w:r>
      <w:r w:rsidRPr="00F37492">
        <w:rPr>
          <w:sz w:val="22"/>
          <w:szCs w:val="22"/>
          <w:lang w:val="it-IT" w:eastAsia="sr-Latn-CS"/>
        </w:rPr>
        <w:t>pada</w:t>
      </w:r>
      <w:r w:rsidRPr="00F37492">
        <w:rPr>
          <w:sz w:val="22"/>
          <w:szCs w:val="22"/>
          <w:lang w:val="ru-RU" w:eastAsia="sr-Latn-CS"/>
        </w:rPr>
        <w:t xml:space="preserve"> </w:t>
      </w:r>
      <w:r w:rsidRPr="00F37492">
        <w:rPr>
          <w:sz w:val="22"/>
          <w:szCs w:val="22"/>
          <w:lang w:val="it-IT" w:eastAsia="sr-Latn-CS"/>
        </w:rPr>
        <w:t>hemoglobina</w:t>
      </w:r>
      <w:r w:rsidRPr="00F37492">
        <w:rPr>
          <w:sz w:val="22"/>
          <w:szCs w:val="22"/>
          <w:lang w:val="ru-RU" w:eastAsia="sr-Latn-CS"/>
        </w:rPr>
        <w:t xml:space="preserve"> </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nivo</w:t>
      </w:r>
      <w:r w:rsidRPr="00F37492">
        <w:rPr>
          <w:sz w:val="22"/>
          <w:szCs w:val="22"/>
          <w:lang w:val="ru-RU" w:eastAsia="sr-Latn-CS"/>
        </w:rPr>
        <w:t xml:space="preserve"> </w:t>
      </w:r>
      <w:r w:rsidRPr="00F37492">
        <w:rPr>
          <w:sz w:val="22"/>
          <w:szCs w:val="22"/>
          <w:lang w:val="it-IT" w:eastAsia="sr-Latn-CS"/>
        </w:rPr>
        <w:t>ispod</w:t>
      </w:r>
      <w:r w:rsidRPr="00F37492">
        <w:rPr>
          <w:sz w:val="22"/>
          <w:szCs w:val="22"/>
          <w:lang w:val="ru-RU" w:eastAsia="sr-Latn-CS"/>
        </w:rPr>
        <w:t xml:space="preserve"> 8,0 </w:t>
      </w:r>
      <w:r w:rsidRPr="00F37492">
        <w:rPr>
          <w:sz w:val="22"/>
          <w:szCs w:val="22"/>
          <w:lang w:val="it-IT" w:eastAsia="sr-Latn-CS"/>
        </w:rPr>
        <w:t>g</w:t>
      </w:r>
      <w:r w:rsidRPr="00F37492">
        <w:rPr>
          <w:sz w:val="22"/>
          <w:szCs w:val="22"/>
          <w:lang w:val="ru-RU" w:eastAsia="sr-Latn-CS"/>
        </w:rPr>
        <w:t>/</w:t>
      </w:r>
      <w:r w:rsidRPr="00F37492">
        <w:rPr>
          <w:sz w:val="22"/>
          <w:szCs w:val="22"/>
          <w:lang w:val="it-IT" w:eastAsia="sr-Latn-CS"/>
        </w:rPr>
        <w:t>d</w:t>
      </w:r>
      <w:r w:rsidR="00F33E03">
        <w:rPr>
          <w:sz w:val="22"/>
          <w:szCs w:val="22"/>
          <w:lang w:val="sr-Latn-ME" w:eastAsia="sr-Latn-CS"/>
        </w:rPr>
        <w:t>l</w:t>
      </w:r>
      <w:r w:rsidRPr="00F37492">
        <w:rPr>
          <w:sz w:val="22"/>
          <w:szCs w:val="22"/>
          <w:lang w:val="ru-RU" w:eastAsia="sr-Latn-CS"/>
        </w:rPr>
        <w:t xml:space="preserve"> </w:t>
      </w:r>
      <w:r w:rsidRPr="00F37492">
        <w:rPr>
          <w:sz w:val="22"/>
          <w:szCs w:val="22"/>
          <w:lang w:val="it-IT" w:eastAsia="sr-Latn-CS"/>
        </w:rPr>
        <w:t>u</w:t>
      </w:r>
      <w:r w:rsidRPr="00F37492">
        <w:rPr>
          <w:sz w:val="22"/>
          <w:szCs w:val="22"/>
          <w:lang w:val="ru-RU" w:eastAsia="sr-Latn-CS"/>
        </w:rPr>
        <w:t xml:space="preserve"> </w:t>
      </w:r>
      <w:r w:rsidRPr="00F37492">
        <w:rPr>
          <w:sz w:val="22"/>
          <w:szCs w:val="22"/>
          <w:lang w:val="it-IT" w:eastAsia="sr-Latn-CS"/>
        </w:rPr>
        <w:t>toku</w:t>
      </w:r>
      <w:r w:rsidRPr="00F37492">
        <w:rPr>
          <w:sz w:val="22"/>
          <w:szCs w:val="22"/>
          <w:lang w:val="ru-RU" w:eastAsia="sr-Latn-CS"/>
        </w:rPr>
        <w:t xml:space="preserve"> </w:t>
      </w:r>
      <w:r w:rsidRPr="00F37492">
        <w:rPr>
          <w:sz w:val="22"/>
          <w:szCs w:val="22"/>
          <w:lang w:val="it-IT" w:eastAsia="sr-Latn-CS"/>
        </w:rPr>
        <w:t>terapije</w:t>
      </w:r>
      <w:r w:rsidRPr="00F37492">
        <w:rPr>
          <w:sz w:val="22"/>
          <w:szCs w:val="22"/>
          <w:lang w:val="ru-RU" w:eastAsia="sr-Latn-CS"/>
        </w:rPr>
        <w:t xml:space="preserve"> </w:t>
      </w:r>
      <w:r w:rsidRPr="00F37492">
        <w:rPr>
          <w:sz w:val="22"/>
          <w:szCs w:val="22"/>
          <w:lang w:val="it-IT" w:eastAsia="sr-Latn-CS"/>
        </w:rPr>
        <w:t>u</w:t>
      </w:r>
      <w:r w:rsidRPr="00F37492">
        <w:rPr>
          <w:sz w:val="22"/>
          <w:szCs w:val="22"/>
          <w:lang w:val="ru-RU" w:eastAsia="sr-Latn-CS"/>
        </w:rPr>
        <w:t xml:space="preserve"> </w:t>
      </w:r>
      <w:r w:rsidRPr="00F37492">
        <w:rPr>
          <w:sz w:val="22"/>
          <w:szCs w:val="22"/>
          <w:lang w:val="it-IT" w:eastAsia="sr-Latn-CS"/>
        </w:rPr>
        <w:t>pore</w:t>
      </w:r>
      <w:r w:rsidRPr="00F37492">
        <w:rPr>
          <w:sz w:val="22"/>
          <w:szCs w:val="22"/>
          <w:lang w:val="ru-RU" w:eastAsia="sr-Latn-CS"/>
        </w:rPr>
        <w:t>đ</w:t>
      </w:r>
      <w:r w:rsidRPr="00F37492">
        <w:rPr>
          <w:sz w:val="22"/>
          <w:szCs w:val="22"/>
          <w:lang w:val="it-IT" w:eastAsia="sr-Latn-CS"/>
        </w:rPr>
        <w:t>enju</w:t>
      </w:r>
      <w:r w:rsidRPr="00F37492">
        <w:rPr>
          <w:sz w:val="22"/>
          <w:szCs w:val="22"/>
          <w:lang w:val="ru-RU" w:eastAsia="sr-Latn-CS"/>
        </w:rPr>
        <w:t xml:space="preserve"> </w:t>
      </w:r>
      <w:r w:rsidRPr="00F37492">
        <w:rPr>
          <w:sz w:val="22"/>
          <w:szCs w:val="22"/>
          <w:lang w:val="it-IT" w:eastAsia="sr-Latn-CS"/>
        </w:rPr>
        <w:t>sa</w:t>
      </w:r>
      <w:r w:rsidRPr="00F37492">
        <w:rPr>
          <w:sz w:val="22"/>
          <w:szCs w:val="22"/>
          <w:lang w:val="ru-RU" w:eastAsia="sr-Latn-CS"/>
        </w:rPr>
        <w:t xml:space="preserve"> </w:t>
      </w:r>
      <w:r w:rsidRPr="00F37492">
        <w:rPr>
          <w:sz w:val="22"/>
          <w:szCs w:val="22"/>
          <w:lang w:val="it-IT" w:eastAsia="sr-Latn-CS"/>
        </w:rPr>
        <w:t>pacijentima</w:t>
      </w:r>
      <w:r w:rsidRPr="00F37492">
        <w:rPr>
          <w:sz w:val="22"/>
          <w:szCs w:val="22"/>
          <w:lang w:val="ru-RU" w:eastAsia="sr-Latn-CS"/>
        </w:rPr>
        <w:t xml:space="preserve"> </w:t>
      </w:r>
      <w:r w:rsidRPr="00F37492">
        <w:rPr>
          <w:sz w:val="22"/>
          <w:szCs w:val="22"/>
          <w:lang w:val="it-IT" w:eastAsia="sr-Latn-CS"/>
        </w:rPr>
        <w:t>koji</w:t>
      </w:r>
      <w:r w:rsidRPr="00F37492">
        <w:rPr>
          <w:sz w:val="22"/>
          <w:szCs w:val="22"/>
          <w:lang w:val="ru-RU" w:eastAsia="sr-Latn-CS"/>
        </w:rPr>
        <w:t xml:space="preserve"> </w:t>
      </w:r>
      <w:r w:rsidRPr="00F37492">
        <w:rPr>
          <w:sz w:val="22"/>
          <w:szCs w:val="22"/>
          <w:lang w:val="it-IT" w:eastAsia="sr-Latn-CS"/>
        </w:rPr>
        <w:t>imaju</w:t>
      </w:r>
      <w:r w:rsidRPr="00F37492">
        <w:rPr>
          <w:sz w:val="22"/>
          <w:szCs w:val="22"/>
          <w:lang w:val="ru-RU" w:eastAsia="sr-Latn-CS"/>
        </w:rPr>
        <w:t xml:space="preserve"> </w:t>
      </w:r>
      <w:r w:rsidRPr="00F37492">
        <w:rPr>
          <w:sz w:val="22"/>
          <w:szCs w:val="22"/>
          <w:lang w:val="it-IT" w:eastAsia="sr-Latn-CS"/>
        </w:rPr>
        <w:t>vi</w:t>
      </w:r>
      <w:r w:rsidRPr="00F37492">
        <w:rPr>
          <w:sz w:val="22"/>
          <w:szCs w:val="22"/>
          <w:lang w:val="ru-RU" w:eastAsia="sr-Latn-CS"/>
        </w:rPr>
        <w:t>š</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po</w:t>
      </w:r>
      <w:r w:rsidRPr="00F37492">
        <w:rPr>
          <w:sz w:val="22"/>
          <w:szCs w:val="22"/>
          <w:lang w:val="ru-RU" w:eastAsia="sr-Latn-CS"/>
        </w:rPr>
        <w:t>č</w:t>
      </w:r>
      <w:r w:rsidRPr="00F37492">
        <w:rPr>
          <w:sz w:val="22"/>
          <w:szCs w:val="22"/>
          <w:lang w:val="it-IT" w:eastAsia="sr-Latn-CS"/>
        </w:rPr>
        <w:t>etni</w:t>
      </w:r>
      <w:r w:rsidRPr="00F37492">
        <w:rPr>
          <w:sz w:val="22"/>
          <w:szCs w:val="22"/>
          <w:lang w:val="ru-RU" w:eastAsia="sr-Latn-CS"/>
        </w:rPr>
        <w:t xml:space="preserve"> </w:t>
      </w:r>
      <w:r w:rsidRPr="00F37492">
        <w:rPr>
          <w:sz w:val="22"/>
          <w:szCs w:val="22"/>
          <w:lang w:val="it-IT" w:eastAsia="sr-Latn-CS"/>
        </w:rPr>
        <w:t>nivo</w:t>
      </w:r>
      <w:r w:rsidRPr="00F37492">
        <w:rPr>
          <w:sz w:val="22"/>
          <w:szCs w:val="22"/>
          <w:lang w:val="ru-RU" w:eastAsia="sr-Latn-CS"/>
        </w:rPr>
        <w:t xml:space="preserve"> </w:t>
      </w:r>
      <w:r w:rsidRPr="00F37492">
        <w:rPr>
          <w:sz w:val="22"/>
          <w:szCs w:val="22"/>
          <w:lang w:val="it-IT" w:eastAsia="sr-Latn-CS"/>
        </w:rPr>
        <w:t>hemoglobina</w:t>
      </w:r>
      <w:r w:rsidRPr="00F37492">
        <w:rPr>
          <w:sz w:val="22"/>
          <w:szCs w:val="22"/>
          <w:lang w:val="ru-RU" w:eastAsia="sr-Latn-CS"/>
        </w:rPr>
        <w:t xml:space="preserve"> (79,3% </w:t>
      </w:r>
      <w:r w:rsidRPr="00F37492">
        <w:rPr>
          <w:sz w:val="22"/>
          <w:szCs w:val="22"/>
          <w:lang w:val="it-IT" w:eastAsia="sr-Latn-CS"/>
        </w:rPr>
        <w:t>prema</w:t>
      </w:r>
      <w:r w:rsidRPr="00F37492">
        <w:rPr>
          <w:sz w:val="22"/>
          <w:szCs w:val="22"/>
          <w:lang w:val="ru-RU" w:eastAsia="sr-Latn-CS"/>
        </w:rPr>
        <w:t xml:space="preserve"> 30,1%). Č</w:t>
      </w:r>
      <w:r w:rsidRPr="00F37492">
        <w:rPr>
          <w:sz w:val="22"/>
          <w:szCs w:val="22"/>
          <w:lang w:val="it-IT" w:eastAsia="sr-Latn-CS"/>
        </w:rPr>
        <w:t>e</w:t>
      </w:r>
      <w:r w:rsidRPr="00F37492">
        <w:rPr>
          <w:sz w:val="22"/>
          <w:szCs w:val="22"/>
          <w:lang w:val="ru-RU" w:eastAsia="sr-Latn-CS"/>
        </w:rPr>
        <w:t>šć</w:t>
      </w:r>
      <w:r w:rsidRPr="00F37492">
        <w:rPr>
          <w:sz w:val="22"/>
          <w:szCs w:val="22"/>
          <w:lang w:val="it-IT" w:eastAsia="sr-Latn-CS"/>
        </w:rPr>
        <w:t>a</w:t>
      </w:r>
      <w:r w:rsidRPr="00F37492">
        <w:rPr>
          <w:sz w:val="22"/>
          <w:szCs w:val="22"/>
          <w:lang w:val="ru-RU" w:eastAsia="sr-Latn-CS"/>
        </w:rPr>
        <w:t xml:space="preserve"> </w:t>
      </w:r>
      <w:r w:rsidRPr="00F37492">
        <w:rPr>
          <w:sz w:val="22"/>
          <w:szCs w:val="22"/>
          <w:lang w:val="it-IT" w:eastAsia="sr-Latn-CS"/>
        </w:rPr>
        <w:t>kontrola</w:t>
      </w:r>
      <w:r w:rsidRPr="00F37492">
        <w:rPr>
          <w:sz w:val="22"/>
          <w:szCs w:val="22"/>
          <w:lang w:val="ru-RU" w:eastAsia="sr-Latn-CS"/>
        </w:rPr>
        <w:t xml:space="preserve"> </w:t>
      </w:r>
      <w:r w:rsidRPr="00F37492">
        <w:rPr>
          <w:sz w:val="22"/>
          <w:szCs w:val="22"/>
          <w:lang w:val="it-IT" w:eastAsia="sr-Latn-CS"/>
        </w:rPr>
        <w:t>hematolo</w:t>
      </w:r>
      <w:r w:rsidRPr="00F37492">
        <w:rPr>
          <w:sz w:val="22"/>
          <w:szCs w:val="22"/>
          <w:lang w:val="ru-RU" w:eastAsia="sr-Latn-CS"/>
        </w:rPr>
        <w:t>š</w:t>
      </w:r>
      <w:r w:rsidRPr="00F37492">
        <w:rPr>
          <w:sz w:val="22"/>
          <w:szCs w:val="22"/>
          <w:lang w:val="it-IT" w:eastAsia="sr-Latn-CS"/>
        </w:rPr>
        <w:t>kih</w:t>
      </w:r>
      <w:r w:rsidRPr="00F37492">
        <w:rPr>
          <w:sz w:val="22"/>
          <w:szCs w:val="22"/>
          <w:lang w:val="ru-RU" w:eastAsia="sr-Latn-CS"/>
        </w:rPr>
        <w:t xml:space="preserve"> </w:t>
      </w:r>
      <w:r w:rsidRPr="00F37492">
        <w:rPr>
          <w:sz w:val="22"/>
          <w:szCs w:val="22"/>
          <w:lang w:val="it-IT" w:eastAsia="sr-Latn-CS"/>
        </w:rPr>
        <w:t>parametara</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klini</w:t>
      </w:r>
      <w:r w:rsidRPr="00F37492">
        <w:rPr>
          <w:sz w:val="22"/>
          <w:szCs w:val="22"/>
          <w:lang w:val="ru-RU" w:eastAsia="sr-Latn-CS"/>
        </w:rPr>
        <w:t>č</w:t>
      </w:r>
      <w:r w:rsidRPr="00F37492">
        <w:rPr>
          <w:sz w:val="22"/>
          <w:szCs w:val="22"/>
          <w:lang w:val="it-IT" w:eastAsia="sr-Latn-CS"/>
        </w:rPr>
        <w:t>kih</w:t>
      </w:r>
      <w:r w:rsidRPr="00F37492">
        <w:rPr>
          <w:sz w:val="22"/>
          <w:szCs w:val="22"/>
          <w:lang w:val="ru-RU" w:eastAsia="sr-Latn-CS"/>
        </w:rPr>
        <w:t xml:space="preserve"> </w:t>
      </w:r>
      <w:r w:rsidRPr="00F37492">
        <w:rPr>
          <w:sz w:val="22"/>
          <w:szCs w:val="22"/>
          <w:lang w:val="it-IT" w:eastAsia="sr-Latn-CS"/>
        </w:rPr>
        <w:t>znakova</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simptoma</w:t>
      </w:r>
      <w:r w:rsidRPr="00F37492">
        <w:rPr>
          <w:sz w:val="22"/>
          <w:szCs w:val="22"/>
          <w:lang w:val="ru-RU" w:eastAsia="sr-Latn-CS"/>
        </w:rPr>
        <w:t xml:space="preserve"> </w:t>
      </w:r>
      <w:r w:rsidRPr="00F37492">
        <w:rPr>
          <w:sz w:val="22"/>
          <w:szCs w:val="22"/>
          <w:lang w:val="it-IT" w:eastAsia="sr-Latn-CS"/>
        </w:rPr>
        <w:t>ne</w:t>
      </w:r>
      <w:r w:rsidRPr="00F37492">
        <w:rPr>
          <w:sz w:val="22"/>
          <w:szCs w:val="22"/>
          <w:lang w:val="ru-RU" w:eastAsia="sr-Latn-CS"/>
        </w:rPr>
        <w:t>ž</w:t>
      </w:r>
      <w:r w:rsidRPr="00F37492">
        <w:rPr>
          <w:sz w:val="22"/>
          <w:szCs w:val="22"/>
          <w:lang w:val="it-IT" w:eastAsia="sr-Latn-CS"/>
        </w:rPr>
        <w:t>eljenih</w:t>
      </w:r>
      <w:r w:rsidRPr="00F37492">
        <w:rPr>
          <w:sz w:val="22"/>
          <w:szCs w:val="22"/>
          <w:lang w:val="ru-RU" w:eastAsia="sr-Latn-CS"/>
        </w:rPr>
        <w:t xml:space="preserve"> </w:t>
      </w:r>
      <w:r w:rsidRPr="00F37492">
        <w:rPr>
          <w:sz w:val="22"/>
          <w:szCs w:val="22"/>
          <w:lang w:val="it-IT" w:eastAsia="sr-Latn-CS"/>
        </w:rPr>
        <w:t>reakcija</w:t>
      </w:r>
      <w:r w:rsidRPr="00F37492">
        <w:rPr>
          <w:sz w:val="22"/>
          <w:szCs w:val="22"/>
          <w:lang w:val="ru-RU" w:eastAsia="sr-Latn-CS"/>
        </w:rPr>
        <w:t xml:space="preserve"> </w:t>
      </w:r>
      <w:r w:rsidRPr="00F37492">
        <w:rPr>
          <w:sz w:val="22"/>
          <w:szCs w:val="22"/>
          <w:lang w:val="it-IT" w:eastAsia="sr-Latn-CS"/>
        </w:rPr>
        <w:t>povezanih</w:t>
      </w:r>
      <w:r w:rsidRPr="00F37492">
        <w:rPr>
          <w:sz w:val="22"/>
          <w:szCs w:val="22"/>
          <w:lang w:val="ru-RU" w:eastAsia="sr-Latn-CS"/>
        </w:rPr>
        <w:t xml:space="preserve"> </w:t>
      </w:r>
      <w:r w:rsidRPr="00F37492">
        <w:rPr>
          <w:sz w:val="22"/>
          <w:szCs w:val="22"/>
          <w:lang w:val="it-IT" w:eastAsia="sr-Latn-CS"/>
        </w:rPr>
        <w:t>sa</w:t>
      </w:r>
      <w:r w:rsidRPr="00F37492">
        <w:rPr>
          <w:sz w:val="22"/>
          <w:szCs w:val="22"/>
          <w:lang w:val="ru-RU" w:eastAsia="sr-Latn-CS"/>
        </w:rPr>
        <w:t xml:space="preserve"> </w:t>
      </w:r>
      <w:r w:rsidRPr="00F37492">
        <w:rPr>
          <w:sz w:val="22"/>
          <w:szCs w:val="22"/>
          <w:lang w:val="sr-Latn-CS" w:eastAsia="sr-Latn-CS"/>
        </w:rPr>
        <w:t>lijekom Jakavi</w:t>
      </w:r>
      <w:r w:rsidRPr="00F37492">
        <w:rPr>
          <w:sz w:val="22"/>
          <w:szCs w:val="22"/>
          <w:lang w:val="ru-RU" w:eastAsia="sr-Latn-CS"/>
        </w:rPr>
        <w:t xml:space="preserve"> </w:t>
      </w:r>
      <w:r w:rsidRPr="00F37492">
        <w:rPr>
          <w:sz w:val="22"/>
          <w:szCs w:val="22"/>
          <w:lang w:val="it-IT" w:eastAsia="sr-Latn-CS"/>
        </w:rPr>
        <w:t>preporu</w:t>
      </w:r>
      <w:r w:rsidRPr="00F37492">
        <w:rPr>
          <w:sz w:val="22"/>
          <w:szCs w:val="22"/>
          <w:lang w:val="ru-RU" w:eastAsia="sr-Latn-CS"/>
        </w:rPr>
        <w:t>č</w:t>
      </w:r>
      <w:r w:rsidRPr="00F37492">
        <w:rPr>
          <w:sz w:val="22"/>
          <w:szCs w:val="22"/>
          <w:lang w:val="it-IT" w:eastAsia="sr-Latn-CS"/>
        </w:rPr>
        <w:t>uje</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kod</w:t>
      </w:r>
      <w:r w:rsidRPr="00F37492">
        <w:rPr>
          <w:sz w:val="22"/>
          <w:szCs w:val="22"/>
          <w:lang w:val="ru-RU" w:eastAsia="sr-Latn-CS"/>
        </w:rPr>
        <w:t xml:space="preserve"> </w:t>
      </w:r>
      <w:r w:rsidRPr="00F37492">
        <w:rPr>
          <w:sz w:val="22"/>
          <w:szCs w:val="22"/>
          <w:lang w:val="it-IT" w:eastAsia="sr-Latn-CS"/>
        </w:rPr>
        <w:t>pacijenata</w:t>
      </w:r>
      <w:r w:rsidRPr="00F37492">
        <w:rPr>
          <w:sz w:val="22"/>
          <w:szCs w:val="22"/>
          <w:lang w:val="ru-RU" w:eastAsia="sr-Latn-CS"/>
        </w:rPr>
        <w:t xml:space="preserve"> </w:t>
      </w:r>
      <w:r w:rsidRPr="00F37492">
        <w:rPr>
          <w:sz w:val="22"/>
          <w:szCs w:val="22"/>
          <w:lang w:val="it-IT" w:eastAsia="sr-Latn-CS"/>
        </w:rPr>
        <w:t>kod</w:t>
      </w:r>
      <w:r w:rsidRPr="00F37492">
        <w:rPr>
          <w:sz w:val="22"/>
          <w:szCs w:val="22"/>
          <w:lang w:val="ru-RU" w:eastAsia="sr-Latn-CS"/>
        </w:rPr>
        <w:t xml:space="preserve"> </w:t>
      </w:r>
      <w:r w:rsidRPr="00F37492">
        <w:rPr>
          <w:sz w:val="22"/>
          <w:szCs w:val="22"/>
          <w:lang w:val="it-IT" w:eastAsia="sr-Latn-CS"/>
        </w:rPr>
        <w:t>kojih</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po</w:t>
      </w:r>
      <w:r w:rsidRPr="00F37492">
        <w:rPr>
          <w:sz w:val="22"/>
          <w:szCs w:val="22"/>
          <w:lang w:val="ru-RU" w:eastAsia="sr-Latn-CS"/>
        </w:rPr>
        <w:t>č</w:t>
      </w:r>
      <w:r w:rsidRPr="00F37492">
        <w:rPr>
          <w:sz w:val="22"/>
          <w:szCs w:val="22"/>
          <w:lang w:val="it-IT" w:eastAsia="sr-Latn-CS"/>
        </w:rPr>
        <w:t>etku</w:t>
      </w:r>
      <w:r w:rsidRPr="00F37492">
        <w:rPr>
          <w:sz w:val="22"/>
          <w:szCs w:val="22"/>
          <w:lang w:val="ru-RU" w:eastAsia="sr-Latn-CS"/>
        </w:rPr>
        <w:t xml:space="preserve"> </w:t>
      </w:r>
      <w:r w:rsidRPr="00F37492">
        <w:rPr>
          <w:sz w:val="22"/>
          <w:szCs w:val="22"/>
          <w:lang w:val="it-IT" w:eastAsia="sr-Latn-CS"/>
        </w:rPr>
        <w:t>terapije</w:t>
      </w:r>
      <w:r w:rsidRPr="00F37492">
        <w:rPr>
          <w:sz w:val="22"/>
          <w:szCs w:val="22"/>
          <w:lang w:val="ru-RU" w:eastAsia="sr-Latn-CS"/>
        </w:rPr>
        <w:t xml:space="preserve"> </w:t>
      </w:r>
      <w:r w:rsidRPr="00F37492">
        <w:rPr>
          <w:sz w:val="22"/>
          <w:szCs w:val="22"/>
          <w:lang w:val="it-IT" w:eastAsia="sr-Latn-CS"/>
        </w:rPr>
        <w:t>nivo</w:t>
      </w:r>
      <w:r w:rsidRPr="00F37492">
        <w:rPr>
          <w:sz w:val="22"/>
          <w:szCs w:val="22"/>
          <w:lang w:val="ru-RU" w:eastAsia="sr-Latn-CS"/>
        </w:rPr>
        <w:t xml:space="preserve"> </w:t>
      </w:r>
      <w:r w:rsidRPr="00F37492">
        <w:rPr>
          <w:sz w:val="22"/>
          <w:szCs w:val="22"/>
          <w:lang w:val="it-IT" w:eastAsia="sr-Latn-CS"/>
        </w:rPr>
        <w:t>hemoglobina</w:t>
      </w:r>
      <w:r w:rsidRPr="00F37492">
        <w:rPr>
          <w:sz w:val="22"/>
          <w:szCs w:val="22"/>
          <w:lang w:val="ru-RU" w:eastAsia="sr-Latn-CS"/>
        </w:rPr>
        <w:t xml:space="preserve"> </w:t>
      </w:r>
      <w:r w:rsidRPr="00F37492">
        <w:rPr>
          <w:sz w:val="22"/>
          <w:szCs w:val="22"/>
          <w:lang w:val="it-IT" w:eastAsia="sr-Latn-CS"/>
        </w:rPr>
        <w:t>manji</w:t>
      </w:r>
      <w:r w:rsidRPr="00F37492">
        <w:rPr>
          <w:sz w:val="22"/>
          <w:szCs w:val="22"/>
          <w:lang w:val="ru-RU" w:eastAsia="sr-Latn-CS"/>
        </w:rPr>
        <w:t xml:space="preserve"> </w:t>
      </w:r>
      <w:r w:rsidRPr="00F37492">
        <w:rPr>
          <w:sz w:val="22"/>
          <w:szCs w:val="22"/>
          <w:lang w:val="it-IT" w:eastAsia="sr-Latn-CS"/>
        </w:rPr>
        <w:t>od</w:t>
      </w:r>
      <w:r w:rsidRPr="00F37492">
        <w:rPr>
          <w:sz w:val="22"/>
          <w:szCs w:val="22"/>
          <w:lang w:val="ru-RU" w:eastAsia="sr-Latn-CS"/>
        </w:rPr>
        <w:t xml:space="preserve"> 10,0 </w:t>
      </w:r>
      <w:r w:rsidRPr="00F37492">
        <w:rPr>
          <w:sz w:val="22"/>
          <w:szCs w:val="22"/>
          <w:lang w:val="it-IT" w:eastAsia="sr-Latn-CS"/>
        </w:rPr>
        <w:t>g</w:t>
      </w:r>
      <w:r w:rsidRPr="00F37492">
        <w:rPr>
          <w:sz w:val="22"/>
          <w:szCs w:val="22"/>
          <w:lang w:val="ru-RU" w:eastAsia="sr-Latn-CS"/>
        </w:rPr>
        <w:t>/</w:t>
      </w:r>
      <w:r w:rsidRPr="00F37492">
        <w:rPr>
          <w:sz w:val="22"/>
          <w:szCs w:val="22"/>
          <w:lang w:val="it-IT" w:eastAsia="sr-Latn-CS"/>
        </w:rPr>
        <w:t>d</w:t>
      </w:r>
      <w:r w:rsidR="00F33E03">
        <w:rPr>
          <w:sz w:val="22"/>
          <w:szCs w:val="22"/>
          <w:lang w:val="it-IT" w:eastAsia="sr-Latn-CS"/>
        </w:rPr>
        <w:t>l</w:t>
      </w:r>
      <w:r w:rsidRPr="00F37492">
        <w:rPr>
          <w:sz w:val="22"/>
          <w:szCs w:val="22"/>
          <w:lang w:val="ru-RU" w:eastAsia="sr-Latn-CS"/>
        </w:rPr>
        <w:t>.</w:t>
      </w:r>
    </w:p>
    <w:p w14:paraId="76A988E8" w14:textId="77777777" w:rsidR="00F37492" w:rsidRPr="00F37492" w:rsidRDefault="00F37492" w:rsidP="000A557B">
      <w:pPr>
        <w:jc w:val="both"/>
        <w:rPr>
          <w:rFonts w:cs="Arial Unicode MS"/>
          <w:sz w:val="22"/>
          <w:szCs w:val="22"/>
          <w:lang w:val="ru-RU" w:eastAsia="sr-Latn-CS"/>
        </w:rPr>
      </w:pPr>
    </w:p>
    <w:p w14:paraId="60F61CAC" w14:textId="120D5075" w:rsidR="00F37492" w:rsidRPr="00F37492" w:rsidRDefault="00F37492" w:rsidP="000A557B">
      <w:pPr>
        <w:jc w:val="both"/>
        <w:rPr>
          <w:rFonts w:cs="Arial Unicode MS"/>
          <w:sz w:val="22"/>
          <w:szCs w:val="22"/>
          <w:lang w:val="ru-RU" w:eastAsia="sr-Latn-ME"/>
        </w:rPr>
      </w:pPr>
      <w:r w:rsidRPr="00F37492">
        <w:rPr>
          <w:sz w:val="22"/>
          <w:szCs w:val="22"/>
          <w:lang w:val="it-IT" w:eastAsia="sr-Latn-CS"/>
        </w:rPr>
        <w:t>Neutropenija</w:t>
      </w:r>
      <w:r w:rsidRPr="00F37492">
        <w:rPr>
          <w:sz w:val="22"/>
          <w:szCs w:val="22"/>
          <w:lang w:val="ru-RU" w:eastAsia="sr-Latn-CS"/>
        </w:rPr>
        <w:t xml:space="preserve"> (</w:t>
      </w:r>
      <w:r w:rsidRPr="00F37492">
        <w:rPr>
          <w:sz w:val="22"/>
          <w:szCs w:val="22"/>
          <w:lang w:val="it-IT" w:eastAsia="sr-Latn-CS"/>
        </w:rPr>
        <w:t>apsolutni</w:t>
      </w:r>
      <w:r w:rsidRPr="00F37492">
        <w:rPr>
          <w:sz w:val="22"/>
          <w:szCs w:val="22"/>
          <w:lang w:val="ru-RU" w:eastAsia="sr-Latn-CS"/>
        </w:rPr>
        <w:t xml:space="preserve"> </w:t>
      </w:r>
      <w:r w:rsidRPr="00F37492">
        <w:rPr>
          <w:sz w:val="22"/>
          <w:szCs w:val="22"/>
          <w:lang w:val="it-IT" w:eastAsia="sr-Latn-CS"/>
        </w:rPr>
        <w:t>boj</w:t>
      </w:r>
      <w:r w:rsidRPr="00F37492">
        <w:rPr>
          <w:sz w:val="22"/>
          <w:szCs w:val="22"/>
          <w:lang w:val="ru-RU" w:eastAsia="sr-Latn-CS"/>
        </w:rPr>
        <w:t xml:space="preserve"> </w:t>
      </w:r>
      <w:r w:rsidRPr="00F37492">
        <w:rPr>
          <w:sz w:val="22"/>
          <w:szCs w:val="22"/>
          <w:lang w:val="it-IT" w:eastAsia="sr-Latn-CS"/>
        </w:rPr>
        <w:t>neutrofila</w:t>
      </w:r>
      <w:r w:rsidRPr="00F37492">
        <w:rPr>
          <w:sz w:val="22"/>
          <w:szCs w:val="22"/>
          <w:lang w:val="ru-RU" w:eastAsia="sr-Latn-CS"/>
        </w:rPr>
        <w:t xml:space="preserve"> &lt;</w:t>
      </w:r>
      <w:r w:rsidR="00F33E03">
        <w:rPr>
          <w:sz w:val="22"/>
          <w:szCs w:val="22"/>
          <w:lang w:val="sr-Latn-ME" w:eastAsia="sr-Latn-CS"/>
        </w:rPr>
        <w:t xml:space="preserve"> </w:t>
      </w:r>
      <w:r w:rsidRPr="00F37492">
        <w:rPr>
          <w:sz w:val="22"/>
          <w:szCs w:val="22"/>
          <w:lang w:val="ru-RU" w:eastAsia="sr-Latn-CS"/>
        </w:rPr>
        <w:t xml:space="preserve">500)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po</w:t>
      </w:r>
      <w:r w:rsidRPr="00F37492">
        <w:rPr>
          <w:sz w:val="22"/>
          <w:szCs w:val="22"/>
          <w:lang w:val="ru-RU" w:eastAsia="sr-Latn-CS"/>
        </w:rPr>
        <w:t xml:space="preserve"> </w:t>
      </w:r>
      <w:r w:rsidRPr="00F37492">
        <w:rPr>
          <w:sz w:val="22"/>
          <w:szCs w:val="22"/>
          <w:lang w:val="it-IT" w:eastAsia="sr-Latn-CS"/>
        </w:rPr>
        <w:t>pravilu</w:t>
      </w:r>
      <w:r w:rsidRPr="00F37492">
        <w:rPr>
          <w:sz w:val="22"/>
          <w:szCs w:val="22"/>
          <w:lang w:val="ru-RU" w:eastAsia="sr-Latn-CS"/>
        </w:rPr>
        <w:t xml:space="preserve"> </w:t>
      </w:r>
      <w:r w:rsidRPr="00F37492">
        <w:rPr>
          <w:sz w:val="22"/>
          <w:szCs w:val="22"/>
          <w:lang w:val="it-IT" w:eastAsia="sr-Latn-CS"/>
        </w:rPr>
        <w:t>bila</w:t>
      </w:r>
      <w:r w:rsidRPr="00F37492">
        <w:rPr>
          <w:sz w:val="22"/>
          <w:szCs w:val="22"/>
          <w:lang w:val="ru-RU" w:eastAsia="sr-Latn-CS"/>
        </w:rPr>
        <w:t xml:space="preserve"> </w:t>
      </w:r>
      <w:r w:rsidRPr="00F37492">
        <w:rPr>
          <w:sz w:val="22"/>
          <w:szCs w:val="22"/>
          <w:lang w:val="it-IT" w:eastAsia="sr-Latn-CS"/>
        </w:rPr>
        <w:t>reverzibilna</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mogla</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bude</w:t>
      </w:r>
      <w:r w:rsidRPr="00F37492">
        <w:rPr>
          <w:sz w:val="22"/>
          <w:szCs w:val="22"/>
          <w:lang w:val="ru-RU" w:eastAsia="sr-Latn-CS"/>
        </w:rPr>
        <w:t xml:space="preserve"> </w:t>
      </w:r>
      <w:r w:rsidRPr="00F37492">
        <w:rPr>
          <w:sz w:val="22"/>
          <w:szCs w:val="22"/>
          <w:lang w:val="it-IT" w:eastAsia="sr-Latn-CS"/>
        </w:rPr>
        <w:t>kontrolisana</w:t>
      </w:r>
      <w:r w:rsidRPr="00F37492">
        <w:rPr>
          <w:sz w:val="22"/>
          <w:szCs w:val="22"/>
          <w:lang w:val="ru-RU" w:eastAsia="sr-Latn-CS"/>
        </w:rPr>
        <w:t xml:space="preserve"> </w:t>
      </w:r>
      <w:r w:rsidRPr="00F37492">
        <w:rPr>
          <w:sz w:val="22"/>
          <w:szCs w:val="22"/>
          <w:lang w:val="it-IT" w:eastAsia="sr-Latn-CS"/>
        </w:rPr>
        <w:t>privremenom</w:t>
      </w:r>
      <w:r w:rsidRPr="00F37492">
        <w:rPr>
          <w:sz w:val="22"/>
          <w:szCs w:val="22"/>
          <w:lang w:val="ru-RU" w:eastAsia="sr-Latn-CS"/>
        </w:rPr>
        <w:t xml:space="preserve"> </w:t>
      </w:r>
      <w:r w:rsidRPr="00F37492">
        <w:rPr>
          <w:sz w:val="22"/>
          <w:szCs w:val="22"/>
          <w:lang w:val="it-IT" w:eastAsia="sr-Latn-CS"/>
        </w:rPr>
        <w:t>obustavom</w:t>
      </w:r>
      <w:r w:rsidRPr="00F37492">
        <w:rPr>
          <w:sz w:val="22"/>
          <w:szCs w:val="22"/>
          <w:lang w:val="ru-RU" w:eastAsia="sr-Latn-CS"/>
        </w:rPr>
        <w:t xml:space="preserve"> </w:t>
      </w:r>
      <w:r w:rsidRPr="00F37492">
        <w:rPr>
          <w:sz w:val="22"/>
          <w:szCs w:val="22"/>
          <w:lang w:val="it-IT" w:eastAsia="sr-Latn-CS"/>
        </w:rPr>
        <w:t>terapije</w:t>
      </w:r>
      <w:r w:rsidRPr="00F37492">
        <w:rPr>
          <w:sz w:val="22"/>
          <w:szCs w:val="22"/>
          <w:lang w:val="ru-RU" w:eastAsia="sr-Latn-CS"/>
        </w:rPr>
        <w:t xml:space="preserve"> </w:t>
      </w:r>
      <w:r w:rsidRPr="00F37492">
        <w:rPr>
          <w:sz w:val="22"/>
          <w:szCs w:val="22"/>
          <w:lang w:val="it-IT" w:eastAsia="sr-Latn-CS"/>
        </w:rPr>
        <w:t>ruksolitinibom</w:t>
      </w:r>
      <w:r w:rsidRPr="00F37492">
        <w:rPr>
          <w:sz w:val="22"/>
          <w:szCs w:val="22"/>
          <w:lang w:val="ru-RU" w:eastAsia="sr-Latn-CS"/>
        </w:rPr>
        <w:t xml:space="preserve"> (</w:t>
      </w:r>
      <w:r w:rsidRPr="00F37492">
        <w:rPr>
          <w:sz w:val="22"/>
          <w:szCs w:val="22"/>
          <w:lang w:val="it-IT" w:eastAsia="sr-Latn-CS"/>
        </w:rPr>
        <w:t>vidjeti</w:t>
      </w:r>
      <w:r w:rsidRPr="00F37492">
        <w:rPr>
          <w:sz w:val="22"/>
          <w:szCs w:val="22"/>
          <w:lang w:val="ru-RU" w:eastAsia="sr-Latn-CS"/>
        </w:rPr>
        <w:t xml:space="preserve"> </w:t>
      </w:r>
      <w:r w:rsidR="00F33E03">
        <w:rPr>
          <w:sz w:val="22"/>
          <w:szCs w:val="22"/>
          <w:lang w:val="it-IT" w:eastAsia="sr-Latn-CS"/>
        </w:rPr>
        <w:t>djelove</w:t>
      </w:r>
      <w:r w:rsidR="00F33E03" w:rsidRPr="00F37492">
        <w:rPr>
          <w:sz w:val="22"/>
          <w:szCs w:val="22"/>
          <w:lang w:val="ru-RU" w:eastAsia="sr-Latn-CS"/>
        </w:rPr>
        <w:t xml:space="preserve"> </w:t>
      </w:r>
      <w:r w:rsidRPr="00F37492">
        <w:rPr>
          <w:sz w:val="22"/>
          <w:szCs w:val="22"/>
          <w:lang w:val="ru-RU" w:eastAsia="sr-Latn-CS"/>
        </w:rPr>
        <w:t xml:space="preserve">4.2 </w:t>
      </w:r>
      <w:r w:rsidRPr="00F37492">
        <w:rPr>
          <w:sz w:val="22"/>
          <w:szCs w:val="22"/>
          <w:lang w:val="it-IT" w:eastAsia="sr-Latn-CS"/>
        </w:rPr>
        <w:t>i</w:t>
      </w:r>
      <w:r w:rsidRPr="00F37492">
        <w:rPr>
          <w:sz w:val="22"/>
          <w:szCs w:val="22"/>
          <w:lang w:val="ru-RU" w:eastAsia="sr-Latn-CS"/>
        </w:rPr>
        <w:t xml:space="preserve"> 4.8).</w:t>
      </w:r>
    </w:p>
    <w:p w14:paraId="5CB6DE01" w14:textId="77777777" w:rsidR="00F37492" w:rsidRPr="00F37492" w:rsidRDefault="00F37492" w:rsidP="000A557B">
      <w:pPr>
        <w:jc w:val="both"/>
        <w:rPr>
          <w:rFonts w:cs="Arial Unicode MS"/>
          <w:sz w:val="22"/>
          <w:szCs w:val="22"/>
          <w:lang w:val="ru-RU" w:eastAsia="sr-Latn-CS"/>
        </w:rPr>
      </w:pPr>
    </w:p>
    <w:p w14:paraId="6E6FBF4D" w14:textId="22CFA9B8" w:rsidR="00F37492" w:rsidRPr="00F37492" w:rsidRDefault="00F37492" w:rsidP="000A557B">
      <w:pPr>
        <w:jc w:val="both"/>
        <w:rPr>
          <w:rFonts w:cs="Arial Unicode MS"/>
          <w:sz w:val="22"/>
          <w:szCs w:val="22"/>
          <w:lang w:val="ru-RU" w:eastAsia="sr-Latn-ME"/>
        </w:rPr>
      </w:pPr>
      <w:r w:rsidRPr="00F37492">
        <w:rPr>
          <w:sz w:val="22"/>
          <w:szCs w:val="22"/>
          <w:lang w:val="it-IT" w:eastAsia="sr-Latn-CS"/>
        </w:rPr>
        <w:t>Kompletnu</w:t>
      </w:r>
      <w:r w:rsidRPr="00F37492">
        <w:rPr>
          <w:sz w:val="22"/>
          <w:szCs w:val="22"/>
          <w:lang w:val="ru-RU" w:eastAsia="sr-Latn-CS"/>
        </w:rPr>
        <w:t xml:space="preserve"> </w:t>
      </w:r>
      <w:r w:rsidRPr="00F37492">
        <w:rPr>
          <w:sz w:val="22"/>
          <w:szCs w:val="22"/>
          <w:lang w:val="it-IT" w:eastAsia="sr-Latn-CS"/>
        </w:rPr>
        <w:t>krvnu</w:t>
      </w:r>
      <w:r w:rsidRPr="00F37492">
        <w:rPr>
          <w:sz w:val="22"/>
          <w:szCs w:val="22"/>
          <w:lang w:val="ru-RU" w:eastAsia="sr-Latn-CS"/>
        </w:rPr>
        <w:t xml:space="preserve"> </w:t>
      </w:r>
      <w:r w:rsidRPr="00F37492">
        <w:rPr>
          <w:sz w:val="22"/>
          <w:szCs w:val="22"/>
          <w:lang w:val="it-IT" w:eastAsia="sr-Latn-CS"/>
        </w:rPr>
        <w:t>sliku</w:t>
      </w:r>
      <w:r w:rsidRPr="00F37492">
        <w:rPr>
          <w:sz w:val="22"/>
          <w:szCs w:val="22"/>
          <w:lang w:val="ru-RU" w:eastAsia="sr-Latn-CS"/>
        </w:rPr>
        <w:t xml:space="preserve"> </w:t>
      </w:r>
      <w:r w:rsidRPr="00F37492">
        <w:rPr>
          <w:sz w:val="22"/>
          <w:szCs w:val="22"/>
          <w:lang w:val="it-IT" w:eastAsia="sr-Latn-CS"/>
        </w:rPr>
        <w:t>treba</w:t>
      </w:r>
      <w:r w:rsidRPr="00F37492">
        <w:rPr>
          <w:sz w:val="22"/>
          <w:szCs w:val="22"/>
          <w:lang w:val="ru-RU" w:eastAsia="sr-Latn-CS"/>
        </w:rPr>
        <w:t xml:space="preserve"> </w:t>
      </w:r>
      <w:r w:rsidRPr="00F37492">
        <w:rPr>
          <w:sz w:val="22"/>
          <w:szCs w:val="22"/>
          <w:lang w:val="it-IT" w:eastAsia="sr-Latn-CS"/>
        </w:rPr>
        <w:t>kontrolisati</w:t>
      </w:r>
      <w:r w:rsidRPr="00F37492">
        <w:rPr>
          <w:sz w:val="22"/>
          <w:szCs w:val="22"/>
          <w:lang w:val="ru-RU" w:eastAsia="sr-Latn-CS"/>
        </w:rPr>
        <w:t xml:space="preserve"> </w:t>
      </w:r>
      <w:r w:rsidRPr="00F37492">
        <w:rPr>
          <w:sz w:val="22"/>
          <w:szCs w:val="22"/>
          <w:lang w:val="it-IT" w:eastAsia="sr-Latn-CS"/>
        </w:rPr>
        <w:t>kako</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klini</w:t>
      </w:r>
      <w:r w:rsidRPr="00F37492">
        <w:rPr>
          <w:sz w:val="22"/>
          <w:szCs w:val="22"/>
          <w:lang w:val="ru-RU" w:eastAsia="sr-Latn-CS"/>
        </w:rPr>
        <w:t>č</w:t>
      </w:r>
      <w:r w:rsidRPr="00F37492">
        <w:rPr>
          <w:sz w:val="22"/>
          <w:szCs w:val="22"/>
          <w:lang w:val="it-IT" w:eastAsia="sr-Latn-CS"/>
        </w:rPr>
        <w:t>ki</w:t>
      </w:r>
      <w:r w:rsidRPr="00F37492">
        <w:rPr>
          <w:sz w:val="22"/>
          <w:szCs w:val="22"/>
          <w:lang w:val="ru-RU" w:eastAsia="sr-Latn-CS"/>
        </w:rPr>
        <w:t xml:space="preserve"> </w:t>
      </w:r>
      <w:r w:rsidRPr="00F37492">
        <w:rPr>
          <w:sz w:val="22"/>
          <w:szCs w:val="22"/>
          <w:lang w:val="it-IT" w:eastAsia="sr-Latn-CS"/>
        </w:rPr>
        <w:t>indikovano</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dozu</w:t>
      </w:r>
      <w:r w:rsidRPr="00F37492">
        <w:rPr>
          <w:sz w:val="22"/>
          <w:szCs w:val="22"/>
          <w:lang w:val="ru-RU" w:eastAsia="sr-Latn-CS"/>
        </w:rPr>
        <w:t xml:space="preserve"> </w:t>
      </w:r>
      <w:r w:rsidRPr="00F37492">
        <w:rPr>
          <w:sz w:val="22"/>
          <w:szCs w:val="22"/>
          <w:lang w:val="it-IT" w:eastAsia="sr-Latn-CS"/>
        </w:rPr>
        <w:t>pode</w:t>
      </w:r>
      <w:r w:rsidRPr="00F37492">
        <w:rPr>
          <w:sz w:val="22"/>
          <w:szCs w:val="22"/>
          <w:lang w:val="ru-RU" w:eastAsia="sr-Latn-CS"/>
        </w:rPr>
        <w:t>š</w:t>
      </w:r>
      <w:r w:rsidRPr="00F37492">
        <w:rPr>
          <w:sz w:val="22"/>
          <w:szCs w:val="22"/>
          <w:lang w:val="it-IT" w:eastAsia="sr-Latn-CS"/>
        </w:rPr>
        <w:t>avati</w:t>
      </w:r>
      <w:r w:rsidRPr="00F37492">
        <w:rPr>
          <w:sz w:val="22"/>
          <w:szCs w:val="22"/>
          <w:lang w:val="ru-RU" w:eastAsia="sr-Latn-CS"/>
        </w:rPr>
        <w:t xml:space="preserve"> </w:t>
      </w:r>
      <w:r w:rsidRPr="00F37492">
        <w:rPr>
          <w:sz w:val="22"/>
          <w:szCs w:val="22"/>
          <w:lang w:val="it-IT" w:eastAsia="sr-Latn-CS"/>
        </w:rPr>
        <w:t>po</w:t>
      </w:r>
      <w:r w:rsidRPr="00F37492">
        <w:rPr>
          <w:sz w:val="22"/>
          <w:szCs w:val="22"/>
          <w:lang w:val="ru-RU" w:eastAsia="sr-Latn-CS"/>
        </w:rPr>
        <w:t xml:space="preserve"> </w:t>
      </w:r>
      <w:r w:rsidRPr="00F37492">
        <w:rPr>
          <w:sz w:val="22"/>
          <w:szCs w:val="22"/>
          <w:lang w:val="it-IT" w:eastAsia="sr-Latn-CS"/>
        </w:rPr>
        <w:t>potrebi</w:t>
      </w:r>
      <w:r w:rsidRPr="00F37492">
        <w:rPr>
          <w:sz w:val="22"/>
          <w:szCs w:val="22"/>
          <w:lang w:val="ru-RU" w:eastAsia="sr-Latn-CS"/>
        </w:rPr>
        <w:t xml:space="preserve"> (</w:t>
      </w:r>
      <w:r w:rsidRPr="00F37492">
        <w:rPr>
          <w:sz w:val="22"/>
          <w:szCs w:val="22"/>
          <w:lang w:val="it-IT" w:eastAsia="sr-Latn-CS"/>
        </w:rPr>
        <w:t>vidjeti</w:t>
      </w:r>
      <w:r w:rsidRPr="00F37492">
        <w:rPr>
          <w:sz w:val="22"/>
          <w:szCs w:val="22"/>
          <w:lang w:val="ru-RU" w:eastAsia="sr-Latn-CS"/>
        </w:rPr>
        <w:t xml:space="preserve"> </w:t>
      </w:r>
      <w:r w:rsidR="00F33E03">
        <w:rPr>
          <w:sz w:val="22"/>
          <w:szCs w:val="22"/>
          <w:lang w:val="it-IT" w:eastAsia="sr-Latn-CS"/>
        </w:rPr>
        <w:t>djelove</w:t>
      </w:r>
      <w:r w:rsidR="00F33E03" w:rsidRPr="00F37492">
        <w:rPr>
          <w:sz w:val="22"/>
          <w:szCs w:val="22"/>
          <w:lang w:val="ru-RU" w:eastAsia="sr-Latn-CS"/>
        </w:rPr>
        <w:t xml:space="preserve"> </w:t>
      </w:r>
      <w:r w:rsidRPr="00F37492">
        <w:rPr>
          <w:sz w:val="22"/>
          <w:szCs w:val="22"/>
          <w:lang w:val="ru-RU" w:eastAsia="sr-Latn-CS"/>
        </w:rPr>
        <w:t xml:space="preserve">4.2 </w:t>
      </w:r>
      <w:r w:rsidRPr="00F37492">
        <w:rPr>
          <w:sz w:val="22"/>
          <w:szCs w:val="22"/>
          <w:lang w:val="it-IT" w:eastAsia="sr-Latn-CS"/>
        </w:rPr>
        <w:t>i</w:t>
      </w:r>
      <w:r w:rsidRPr="00F37492">
        <w:rPr>
          <w:sz w:val="22"/>
          <w:szCs w:val="22"/>
          <w:lang w:val="ru-RU" w:eastAsia="sr-Latn-CS"/>
        </w:rPr>
        <w:t xml:space="preserve"> 4.8).</w:t>
      </w:r>
    </w:p>
    <w:p w14:paraId="500ADF3D" w14:textId="77777777" w:rsidR="00F37492" w:rsidRPr="00F37492" w:rsidRDefault="00F37492" w:rsidP="000A557B">
      <w:pPr>
        <w:jc w:val="both"/>
        <w:rPr>
          <w:rFonts w:cs="Arial Unicode MS"/>
          <w:sz w:val="22"/>
          <w:szCs w:val="22"/>
          <w:u w:val="single"/>
          <w:lang w:val="ru-RU" w:eastAsia="sr-Latn-CS"/>
        </w:rPr>
      </w:pPr>
    </w:p>
    <w:p w14:paraId="4C230126" w14:textId="4881F63A" w:rsidR="00F37492" w:rsidRDefault="00F37492" w:rsidP="000A557B">
      <w:pPr>
        <w:jc w:val="both"/>
        <w:rPr>
          <w:sz w:val="22"/>
          <w:szCs w:val="22"/>
          <w:u w:val="single"/>
          <w:lang w:val="it-IT" w:eastAsia="sr-Latn-CS"/>
        </w:rPr>
      </w:pPr>
      <w:r w:rsidRPr="00F37492">
        <w:rPr>
          <w:sz w:val="22"/>
          <w:szCs w:val="22"/>
          <w:u w:val="single"/>
          <w:lang w:val="it-IT" w:eastAsia="sr-Latn-CS"/>
        </w:rPr>
        <w:t>Infekcije</w:t>
      </w:r>
    </w:p>
    <w:p w14:paraId="3CCFEA42" w14:textId="77777777" w:rsidR="00F33E03" w:rsidRPr="00F37492" w:rsidRDefault="00F33E03" w:rsidP="000A557B">
      <w:pPr>
        <w:jc w:val="both"/>
        <w:rPr>
          <w:rFonts w:cs="Arial Unicode MS"/>
          <w:sz w:val="22"/>
          <w:szCs w:val="22"/>
          <w:lang w:val="ru-RU" w:eastAsia="sr-Latn-ME"/>
        </w:rPr>
      </w:pPr>
    </w:p>
    <w:p w14:paraId="75EFEE69" w14:textId="77777777" w:rsidR="00F37492" w:rsidRPr="00F37492" w:rsidRDefault="00F37492" w:rsidP="000A557B">
      <w:pPr>
        <w:jc w:val="both"/>
        <w:rPr>
          <w:sz w:val="22"/>
          <w:szCs w:val="22"/>
          <w:lang w:val="hr-HR" w:eastAsia="sr-Latn-CS"/>
        </w:rPr>
      </w:pPr>
      <w:r w:rsidRPr="00F37492">
        <w:rPr>
          <w:sz w:val="22"/>
          <w:szCs w:val="22"/>
          <w:lang w:val="it-IT" w:eastAsia="sr-Latn-CS"/>
        </w:rPr>
        <w:t>Ozbiljne</w:t>
      </w:r>
      <w:r w:rsidRPr="00F37492">
        <w:rPr>
          <w:sz w:val="22"/>
          <w:szCs w:val="22"/>
          <w:lang w:val="ru-RU" w:eastAsia="sr-Latn-CS"/>
        </w:rPr>
        <w:t xml:space="preserve"> </w:t>
      </w:r>
      <w:r w:rsidRPr="00F37492">
        <w:rPr>
          <w:sz w:val="22"/>
          <w:szCs w:val="22"/>
          <w:lang w:val="it-IT" w:eastAsia="sr-Latn-CS"/>
        </w:rPr>
        <w:t>bakterijske</w:t>
      </w:r>
      <w:r w:rsidRPr="00F37492">
        <w:rPr>
          <w:sz w:val="22"/>
          <w:szCs w:val="22"/>
          <w:lang w:val="ru-RU" w:eastAsia="sr-Latn-CS"/>
        </w:rPr>
        <w:t xml:space="preserve">, </w:t>
      </w:r>
      <w:r w:rsidRPr="00F37492">
        <w:rPr>
          <w:sz w:val="22"/>
          <w:szCs w:val="22"/>
          <w:lang w:val="it-IT" w:eastAsia="sr-Latn-CS"/>
        </w:rPr>
        <w:t>mikobakterijske</w:t>
      </w:r>
      <w:r w:rsidRPr="00F37492">
        <w:rPr>
          <w:sz w:val="22"/>
          <w:szCs w:val="22"/>
          <w:lang w:val="ru-RU" w:eastAsia="sr-Latn-CS"/>
        </w:rPr>
        <w:t xml:space="preserve">, </w:t>
      </w:r>
      <w:r w:rsidRPr="00F37492">
        <w:rPr>
          <w:sz w:val="22"/>
          <w:szCs w:val="22"/>
          <w:lang w:val="it-IT" w:eastAsia="sr-Latn-CS"/>
        </w:rPr>
        <w:t>gljivi</w:t>
      </w:r>
      <w:r w:rsidRPr="00F37492">
        <w:rPr>
          <w:sz w:val="22"/>
          <w:szCs w:val="22"/>
          <w:lang w:val="ru-RU" w:eastAsia="sr-Latn-CS"/>
        </w:rPr>
        <w:t>č</w:t>
      </w:r>
      <w:r w:rsidRPr="00F37492">
        <w:rPr>
          <w:sz w:val="22"/>
          <w:szCs w:val="22"/>
          <w:lang w:val="it-IT" w:eastAsia="sr-Latn-CS"/>
        </w:rPr>
        <w:t>ne</w:t>
      </w:r>
      <w:r w:rsidRPr="00F37492">
        <w:rPr>
          <w:sz w:val="22"/>
          <w:szCs w:val="22"/>
          <w:lang w:val="ru-RU" w:eastAsia="sr-Latn-CS"/>
        </w:rPr>
        <w:t xml:space="preserve">, </w:t>
      </w:r>
      <w:r w:rsidRPr="00F37492">
        <w:rPr>
          <w:sz w:val="22"/>
          <w:szCs w:val="22"/>
          <w:lang w:val="it-IT" w:eastAsia="sr-Latn-CS"/>
        </w:rPr>
        <w:t>virusne</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druge</w:t>
      </w:r>
      <w:r w:rsidRPr="00F37492">
        <w:rPr>
          <w:sz w:val="22"/>
          <w:szCs w:val="22"/>
          <w:lang w:val="ru-RU" w:eastAsia="sr-Latn-CS"/>
        </w:rPr>
        <w:t xml:space="preserve"> </w:t>
      </w:r>
      <w:r w:rsidRPr="00F37492">
        <w:rPr>
          <w:sz w:val="22"/>
          <w:szCs w:val="22"/>
          <w:lang w:val="it-IT" w:eastAsia="sr-Latn-CS"/>
        </w:rPr>
        <w:t>oportunisti</w:t>
      </w:r>
      <w:r w:rsidRPr="00F37492">
        <w:rPr>
          <w:sz w:val="22"/>
          <w:szCs w:val="22"/>
          <w:lang w:val="ru-RU" w:eastAsia="sr-Latn-CS"/>
        </w:rPr>
        <w:t>č</w:t>
      </w:r>
      <w:r w:rsidRPr="00F37492">
        <w:rPr>
          <w:sz w:val="22"/>
          <w:szCs w:val="22"/>
          <w:lang w:val="it-IT" w:eastAsia="sr-Latn-CS"/>
        </w:rPr>
        <w:t>ke</w:t>
      </w:r>
      <w:r w:rsidRPr="00F37492">
        <w:rPr>
          <w:sz w:val="22"/>
          <w:szCs w:val="22"/>
          <w:lang w:val="ru-RU" w:eastAsia="sr-Latn-CS"/>
        </w:rPr>
        <w:t xml:space="preserve"> </w:t>
      </w:r>
      <w:r w:rsidRPr="00F37492">
        <w:rPr>
          <w:sz w:val="22"/>
          <w:szCs w:val="22"/>
          <w:lang w:val="it-IT" w:eastAsia="sr-Latn-CS"/>
        </w:rPr>
        <w:t>infekcije</w:t>
      </w:r>
      <w:r w:rsidRPr="00F37492">
        <w:rPr>
          <w:sz w:val="22"/>
          <w:szCs w:val="22"/>
          <w:lang w:val="ru-RU" w:eastAsia="sr-Latn-CS"/>
        </w:rPr>
        <w:t xml:space="preserve"> </w:t>
      </w:r>
      <w:r w:rsidRPr="00F37492">
        <w:rPr>
          <w:sz w:val="22"/>
          <w:szCs w:val="22"/>
          <w:lang w:val="it-IT" w:eastAsia="sr-Latn-CS"/>
        </w:rPr>
        <w:t>doga</w:t>
      </w:r>
      <w:r w:rsidRPr="00F37492">
        <w:rPr>
          <w:sz w:val="22"/>
          <w:szCs w:val="22"/>
          <w:lang w:val="ru-RU" w:eastAsia="sr-Latn-CS"/>
        </w:rPr>
        <w:t>đ</w:t>
      </w:r>
      <w:r w:rsidRPr="00F37492">
        <w:rPr>
          <w:sz w:val="22"/>
          <w:szCs w:val="22"/>
          <w:lang w:val="it-IT" w:eastAsia="sr-Latn-CS"/>
        </w:rPr>
        <w:t>ale</w:t>
      </w:r>
      <w:r w:rsidRPr="00F37492">
        <w:rPr>
          <w:sz w:val="22"/>
          <w:szCs w:val="22"/>
          <w:lang w:val="ru-RU" w:eastAsia="sr-Latn-CS"/>
        </w:rPr>
        <w:t xml:space="preserve"> </w:t>
      </w:r>
      <w:r w:rsidRPr="00F37492">
        <w:rPr>
          <w:sz w:val="22"/>
          <w:szCs w:val="22"/>
          <w:lang w:val="it-IT" w:eastAsia="sr-Latn-CS"/>
        </w:rPr>
        <w:t>su</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kod</w:t>
      </w:r>
      <w:r w:rsidRPr="00F37492">
        <w:rPr>
          <w:sz w:val="22"/>
          <w:szCs w:val="22"/>
          <w:lang w:val="ru-RU" w:eastAsia="sr-Latn-CS"/>
        </w:rPr>
        <w:t xml:space="preserve"> </w:t>
      </w:r>
      <w:r w:rsidRPr="00F37492">
        <w:rPr>
          <w:sz w:val="22"/>
          <w:szCs w:val="22"/>
          <w:lang w:val="it-IT" w:eastAsia="sr-Latn-CS"/>
        </w:rPr>
        <w:t>pacijenata</w:t>
      </w:r>
      <w:r w:rsidRPr="00F37492">
        <w:rPr>
          <w:sz w:val="22"/>
          <w:szCs w:val="22"/>
          <w:lang w:val="ru-RU" w:eastAsia="sr-Latn-CS"/>
        </w:rPr>
        <w:t xml:space="preserve"> </w:t>
      </w:r>
      <w:r w:rsidRPr="00F37492">
        <w:rPr>
          <w:sz w:val="22"/>
          <w:szCs w:val="22"/>
          <w:lang w:val="it-IT" w:eastAsia="sr-Latn-CS"/>
        </w:rPr>
        <w:t>lije</w:t>
      </w:r>
      <w:r w:rsidRPr="00F37492">
        <w:rPr>
          <w:sz w:val="22"/>
          <w:szCs w:val="22"/>
          <w:lang w:val="ru-RU" w:eastAsia="sr-Latn-CS"/>
        </w:rPr>
        <w:t>č</w:t>
      </w:r>
      <w:r w:rsidRPr="00F37492">
        <w:rPr>
          <w:sz w:val="22"/>
          <w:szCs w:val="22"/>
          <w:lang w:val="it-IT" w:eastAsia="sr-Latn-CS"/>
        </w:rPr>
        <w:t>enih</w:t>
      </w:r>
      <w:r w:rsidRPr="00F37492">
        <w:rPr>
          <w:sz w:val="22"/>
          <w:szCs w:val="22"/>
          <w:lang w:val="ru-RU" w:eastAsia="sr-Latn-CS"/>
        </w:rPr>
        <w:t xml:space="preserve"> </w:t>
      </w:r>
      <w:r w:rsidRPr="00F37492">
        <w:rPr>
          <w:sz w:val="22"/>
          <w:szCs w:val="22"/>
          <w:lang w:val="it-IT" w:eastAsia="sr-Latn-CS"/>
        </w:rPr>
        <w:t>lijekom</w:t>
      </w:r>
      <w:r w:rsidRPr="00F37492">
        <w:rPr>
          <w:sz w:val="22"/>
          <w:szCs w:val="22"/>
          <w:lang w:val="ru-RU" w:eastAsia="sr-Latn-CS"/>
        </w:rPr>
        <w:t xml:space="preserve"> </w:t>
      </w:r>
      <w:r w:rsidRPr="00F37492">
        <w:rPr>
          <w:sz w:val="22"/>
          <w:szCs w:val="22"/>
          <w:lang w:val="it-IT" w:eastAsia="sr-Latn-CS"/>
        </w:rPr>
        <w:t>Jakavi</w:t>
      </w:r>
      <w:r w:rsidRPr="00F37492">
        <w:rPr>
          <w:sz w:val="22"/>
          <w:szCs w:val="22"/>
          <w:lang w:val="ru-RU" w:eastAsia="sr-Latn-CS"/>
        </w:rPr>
        <w:t>.</w:t>
      </w:r>
      <w:r w:rsidRPr="00F37492">
        <w:rPr>
          <w:sz w:val="22"/>
          <w:szCs w:val="22"/>
          <w:lang w:val="sr-Latn-RS" w:eastAsia="sr-Latn-CS"/>
        </w:rPr>
        <w:t xml:space="preserve"> Kod pacijenata treba procjenjivati rizik od razvoja ozbiljnih infekcija.</w:t>
      </w:r>
      <w:r w:rsidRPr="00F37492">
        <w:rPr>
          <w:sz w:val="22"/>
          <w:szCs w:val="22"/>
          <w:lang w:val="hr-HR" w:eastAsia="sr-Latn-CS"/>
        </w:rPr>
        <w:t xml:space="preserve"> Ljekari treba da pažljivo prate pacijente koji primjenjuju lijek Jakavi kako bi uočili znakove i simptome infekcije i odmah započeli sa odgovarajućom terapijom. Liječenje lijekom Jakavi ne bi trebalo započinjati dok se ne izliječi svaka aktivna ozbiljna infekcija.</w:t>
      </w:r>
    </w:p>
    <w:p w14:paraId="109A29A9" w14:textId="77777777" w:rsidR="00F37492" w:rsidRPr="00F37492" w:rsidRDefault="00F37492" w:rsidP="000A557B">
      <w:pPr>
        <w:jc w:val="both"/>
        <w:rPr>
          <w:sz w:val="22"/>
          <w:szCs w:val="22"/>
          <w:lang w:val="hr-HR" w:eastAsia="sr-Latn-CS"/>
        </w:rPr>
      </w:pPr>
    </w:p>
    <w:p w14:paraId="053CE116" w14:textId="13AEC074" w:rsidR="00F37492" w:rsidRPr="00F37492" w:rsidRDefault="00F37492" w:rsidP="000A557B">
      <w:pPr>
        <w:jc w:val="both"/>
        <w:rPr>
          <w:rFonts w:cs="Arial Unicode MS"/>
          <w:sz w:val="22"/>
          <w:szCs w:val="22"/>
          <w:lang w:val="hr-HR" w:eastAsia="sr-Latn-ME"/>
        </w:rPr>
      </w:pPr>
      <w:r w:rsidRPr="00F37492">
        <w:rPr>
          <w:sz w:val="22"/>
          <w:szCs w:val="22"/>
          <w:lang w:val="hr-HR" w:eastAsia="sr-Latn-CS"/>
        </w:rPr>
        <w:lastRenderedPageBreak/>
        <w:t>Kod pacijenata koji primaju lijek Jakavi zab</w:t>
      </w:r>
      <w:r w:rsidR="00F33E03">
        <w:rPr>
          <w:sz w:val="22"/>
          <w:szCs w:val="22"/>
          <w:lang w:val="hr-HR" w:eastAsia="sr-Latn-CS"/>
        </w:rPr>
        <w:t>i</w:t>
      </w:r>
      <w:r w:rsidRPr="00F37492">
        <w:rPr>
          <w:sz w:val="22"/>
          <w:szCs w:val="22"/>
          <w:lang w:val="hr-HR" w:eastAsia="sr-Latn-CS"/>
        </w:rPr>
        <w:t>l</w:t>
      </w:r>
      <w:r w:rsidR="00F33E03">
        <w:rPr>
          <w:sz w:val="22"/>
          <w:szCs w:val="22"/>
          <w:lang w:val="hr-HR" w:eastAsia="sr-Latn-CS"/>
        </w:rPr>
        <w:t>j</w:t>
      </w:r>
      <w:r w:rsidRPr="00F37492">
        <w:rPr>
          <w:sz w:val="22"/>
          <w:szCs w:val="22"/>
          <w:lang w:val="hr-HR" w:eastAsia="sr-Latn-CS"/>
        </w:rPr>
        <w:t>ežena je tuberkuloza. Prije početka liječenja, kod pacijenta treba provjeriti postojanje aktivne ili inaktivne („latentne“) tuberkuloze, prema lokalnim preporukama. To može uključivati anamnezu, mogući prethodni kontakt sa tuberkulozom i/ili odgovarajuće nalaze, kao što je rendgen pluća, tuberkulinski test i/ili test otpuštanja interferona gama, u skladu sa mogućnostima. Ljekare koji propisuju lijek podsjećamo na rizik od lažno negativnog tuberkulinskog kožnog testa, posebno kod pacijenata koji su teško bolesni ili imunokompromitovani.</w:t>
      </w:r>
    </w:p>
    <w:p w14:paraId="0B93AE4F" w14:textId="77777777" w:rsidR="00F37492" w:rsidRPr="00F37492" w:rsidRDefault="00F37492" w:rsidP="000A557B">
      <w:pPr>
        <w:jc w:val="both"/>
        <w:rPr>
          <w:rFonts w:cs="Arial Unicode MS"/>
          <w:sz w:val="22"/>
          <w:szCs w:val="22"/>
          <w:u w:val="single"/>
          <w:lang w:val="ru-RU" w:eastAsia="sr-Latn-CS"/>
        </w:rPr>
      </w:pPr>
    </w:p>
    <w:p w14:paraId="3B92D1B5" w14:textId="77777777" w:rsidR="00F37492" w:rsidRPr="00F37492" w:rsidRDefault="00F37492" w:rsidP="000A557B">
      <w:pPr>
        <w:widowControl w:val="0"/>
        <w:jc w:val="both"/>
        <w:rPr>
          <w:sz w:val="22"/>
          <w:szCs w:val="22"/>
          <w:lang w:val="hr-HR"/>
        </w:rPr>
      </w:pPr>
      <w:r w:rsidRPr="00F37492">
        <w:rPr>
          <w:sz w:val="22"/>
          <w:szCs w:val="22"/>
          <w:lang w:val="hr-HR"/>
        </w:rPr>
        <w:t>Kod pacijenata sa hroničnim HBV infekcijama koji uzimaju lijek Jakavi zabilježena su povećanja virusnog opterećenja hepatitisom B (titar HBV</w:t>
      </w:r>
      <w:r w:rsidRPr="00F37492">
        <w:rPr>
          <w:sz w:val="22"/>
          <w:szCs w:val="22"/>
          <w:lang w:val="hr-HR"/>
        </w:rPr>
        <w:noBreakHyphen/>
        <w:t>DNK), sa ili bez povećanja nivoa alanin aminotransferaze i aspartat aminotransferaze. Prije početka liječenja lijekom Jakavi preporučuje se da se provjeri da li pacijent ima HBV infekciju. Pacijente sa hroničnom HBV infekcijom treba liječiti i pratiti u skladu sa kliničkim smjernicama.</w:t>
      </w:r>
    </w:p>
    <w:p w14:paraId="6BA00A22" w14:textId="77777777" w:rsidR="00FE59C9" w:rsidRDefault="00FE59C9" w:rsidP="000A557B">
      <w:pPr>
        <w:jc w:val="both"/>
        <w:rPr>
          <w:sz w:val="22"/>
          <w:szCs w:val="22"/>
          <w:u w:val="single"/>
          <w:lang w:val="hr-HR" w:eastAsia="sr-Latn-CS"/>
        </w:rPr>
      </w:pPr>
    </w:p>
    <w:p w14:paraId="02DE73A0" w14:textId="29DF03C3" w:rsidR="00F37492" w:rsidRDefault="00F37492" w:rsidP="000A557B">
      <w:pPr>
        <w:jc w:val="both"/>
        <w:rPr>
          <w:sz w:val="22"/>
          <w:szCs w:val="22"/>
          <w:u w:val="single"/>
          <w:lang w:val="hr-HR" w:eastAsia="sr-Latn-CS"/>
        </w:rPr>
      </w:pPr>
      <w:r w:rsidRPr="00F37492">
        <w:rPr>
          <w:sz w:val="22"/>
          <w:szCs w:val="22"/>
          <w:u w:val="single"/>
          <w:lang w:val="hr-HR" w:eastAsia="sr-Latn-CS"/>
        </w:rPr>
        <w:t>Herpes zoster</w:t>
      </w:r>
    </w:p>
    <w:p w14:paraId="5D4FC8CC" w14:textId="77777777" w:rsidR="00FE59C9" w:rsidRDefault="00FE59C9" w:rsidP="000A557B">
      <w:pPr>
        <w:jc w:val="both"/>
        <w:rPr>
          <w:sz w:val="22"/>
          <w:szCs w:val="22"/>
          <w:lang w:val="hr-HR" w:eastAsia="sr-Latn-CS"/>
        </w:rPr>
      </w:pPr>
    </w:p>
    <w:p w14:paraId="2B0673EE" w14:textId="2EB7D414" w:rsidR="00F37492" w:rsidRPr="00F37492" w:rsidRDefault="00F37492" w:rsidP="000A557B">
      <w:pPr>
        <w:jc w:val="both"/>
        <w:rPr>
          <w:rFonts w:cs="Arial Unicode MS"/>
          <w:sz w:val="22"/>
          <w:szCs w:val="22"/>
          <w:lang w:val="hr-HR" w:eastAsia="sr-Latn-ME"/>
        </w:rPr>
      </w:pPr>
      <w:r w:rsidRPr="00F37492">
        <w:rPr>
          <w:sz w:val="22"/>
          <w:szCs w:val="22"/>
          <w:lang w:val="hr-HR" w:eastAsia="sr-Latn-CS"/>
        </w:rPr>
        <w:t>Ljekari treba pacijentima da objasne koji su rani znaci i simptomi herpes zostera, uz savjet da terapiju ove infekcije treba započeti što je prije moguće.</w:t>
      </w:r>
    </w:p>
    <w:p w14:paraId="319A2AC9" w14:textId="77777777" w:rsidR="00F37492" w:rsidRPr="00F37492" w:rsidRDefault="00F37492" w:rsidP="000A557B">
      <w:pPr>
        <w:jc w:val="both"/>
        <w:rPr>
          <w:rFonts w:cs="Arial Unicode MS"/>
          <w:sz w:val="22"/>
          <w:szCs w:val="22"/>
          <w:u w:val="single"/>
          <w:lang w:val="hr-HR" w:eastAsia="sr-Latn-CS"/>
        </w:rPr>
      </w:pPr>
    </w:p>
    <w:p w14:paraId="026829C7" w14:textId="45D86633" w:rsidR="00F37492" w:rsidRDefault="00F37492" w:rsidP="000A557B">
      <w:pPr>
        <w:jc w:val="both"/>
        <w:rPr>
          <w:sz w:val="22"/>
          <w:szCs w:val="22"/>
          <w:u w:val="single"/>
          <w:lang w:val="hr-HR" w:eastAsia="sr-Latn-CS"/>
        </w:rPr>
      </w:pPr>
      <w:r w:rsidRPr="00F37492">
        <w:rPr>
          <w:sz w:val="22"/>
          <w:szCs w:val="22"/>
          <w:u w:val="single"/>
          <w:lang w:val="hr-HR" w:eastAsia="sr-Latn-CS"/>
        </w:rPr>
        <w:t>Progresivna multifokalna leukoencefalopatija</w:t>
      </w:r>
    </w:p>
    <w:p w14:paraId="19D58C38" w14:textId="77777777" w:rsidR="00F33E03" w:rsidRPr="00F37492" w:rsidRDefault="00F33E03" w:rsidP="000A557B">
      <w:pPr>
        <w:jc w:val="both"/>
        <w:rPr>
          <w:sz w:val="22"/>
          <w:szCs w:val="22"/>
          <w:u w:val="single"/>
          <w:lang w:val="hr-HR" w:eastAsia="sr-Latn-CS"/>
        </w:rPr>
      </w:pPr>
    </w:p>
    <w:p w14:paraId="71177914" w14:textId="77777777" w:rsidR="00F37492" w:rsidRPr="00F37492" w:rsidRDefault="00F37492" w:rsidP="000A557B">
      <w:pPr>
        <w:jc w:val="both"/>
        <w:rPr>
          <w:rFonts w:cs="Arial Unicode MS"/>
          <w:sz w:val="22"/>
          <w:szCs w:val="22"/>
          <w:lang w:val="hr-HR" w:eastAsia="sr-Latn-ME"/>
        </w:rPr>
      </w:pPr>
      <w:r w:rsidRPr="00F37492">
        <w:rPr>
          <w:sz w:val="22"/>
          <w:szCs w:val="22"/>
          <w:lang w:val="hr-HR" w:eastAsia="sr-Latn-CS"/>
        </w:rPr>
        <w:t xml:space="preserve">Progresivna multifokalna leukoencefalopatija (PML) zabilježena je kod terapije MF lijekom Jakavi. Ljekari moraju posebno paziti na simptome koji upućuju na PML, koje pacijenti možda neće primijetiti (npr. kognitivni neurološki ili psihijatrijski simptomi ili znaci). Potrebno je pratiti pacijente zbog moguće pojave ili pogoršanja bilo kojeg od tih simptoma ili znakova, a ako se takvi simptomi/znaci pojave, potrebno je razmotriti upućivanje neurologu ili odgovarajuće dijagnostičke mjere za PML. Ako postoji sumnja na PML, dalje doziranje treba obustaviti dok se ne isključi PML. </w:t>
      </w:r>
    </w:p>
    <w:p w14:paraId="08377E51" w14:textId="77777777" w:rsidR="00904CB7" w:rsidRDefault="00904CB7" w:rsidP="000A557B">
      <w:pPr>
        <w:pStyle w:val="Bodytext1"/>
        <w:spacing w:before="0" w:after="0" w:line="240" w:lineRule="auto"/>
        <w:jc w:val="both"/>
        <w:rPr>
          <w:rStyle w:val="Bodytext10"/>
          <w:lang w:val="hr-HR" w:eastAsia="sr-Latn-CS"/>
        </w:rPr>
      </w:pPr>
    </w:p>
    <w:p w14:paraId="40A314C9" w14:textId="62F5BBEE" w:rsidR="00EB53EB" w:rsidRDefault="00EB53EB" w:rsidP="000A557B">
      <w:pPr>
        <w:pStyle w:val="Bodytext1"/>
        <w:spacing w:before="0" w:after="0" w:line="240" w:lineRule="auto"/>
        <w:jc w:val="both"/>
        <w:rPr>
          <w:rStyle w:val="Bodytext10"/>
          <w:lang w:val="hr-HR" w:eastAsia="sr-Latn-CS"/>
        </w:rPr>
      </w:pPr>
      <w:r>
        <w:rPr>
          <w:rStyle w:val="Bodytext10"/>
          <w:lang w:val="hr-HR" w:eastAsia="sr-Latn-CS"/>
        </w:rPr>
        <w:t>Poremećaji/povećanje nivoa lipida</w:t>
      </w:r>
    </w:p>
    <w:p w14:paraId="4B612CE6" w14:textId="77777777" w:rsidR="00EB53EB" w:rsidRDefault="00EB53EB" w:rsidP="000A557B">
      <w:pPr>
        <w:pStyle w:val="Bodytext1"/>
        <w:spacing w:before="0" w:after="0" w:line="240" w:lineRule="auto"/>
        <w:jc w:val="both"/>
        <w:rPr>
          <w:rStyle w:val="Bodytext10"/>
          <w:lang w:val="hr-HR" w:eastAsia="sr-Latn-CS"/>
        </w:rPr>
      </w:pPr>
    </w:p>
    <w:p w14:paraId="6A045123" w14:textId="1072D3E8" w:rsidR="00EB53EB" w:rsidRPr="00CA6D58" w:rsidRDefault="00EB53EB" w:rsidP="000A557B">
      <w:pPr>
        <w:pStyle w:val="Bodytext1"/>
        <w:spacing w:before="0" w:after="0" w:line="240" w:lineRule="auto"/>
        <w:jc w:val="both"/>
        <w:rPr>
          <w:rStyle w:val="Bodytext10"/>
          <w:u w:val="none"/>
          <w:lang w:val="hr-HR" w:eastAsia="sr-Latn-CS"/>
        </w:rPr>
      </w:pPr>
      <w:r w:rsidRPr="00CA6D58">
        <w:rPr>
          <w:rStyle w:val="Bodytext10"/>
          <w:u w:val="none"/>
          <w:lang w:val="hr-HR" w:eastAsia="sr-Latn-CS"/>
        </w:rPr>
        <w:t>L</w:t>
      </w:r>
      <w:r>
        <w:rPr>
          <w:rStyle w:val="Bodytext10"/>
          <w:u w:val="none"/>
          <w:lang w:val="hr-HR" w:eastAsia="sr-Latn-CS"/>
        </w:rPr>
        <w:t>ij</w:t>
      </w:r>
      <w:r w:rsidRPr="00CA6D58">
        <w:rPr>
          <w:rStyle w:val="Bodytext10"/>
          <w:u w:val="none"/>
          <w:lang w:val="hr-HR" w:eastAsia="sr-Latn-CS"/>
        </w:rPr>
        <w:t>ečenje l</w:t>
      </w:r>
      <w:r>
        <w:rPr>
          <w:rStyle w:val="Bodytext10"/>
          <w:u w:val="none"/>
          <w:lang w:val="hr-HR" w:eastAsia="sr-Latn-CS"/>
        </w:rPr>
        <w:t>ij</w:t>
      </w:r>
      <w:r w:rsidRPr="00CA6D58">
        <w:rPr>
          <w:rStyle w:val="Bodytext10"/>
          <w:u w:val="none"/>
          <w:lang w:val="hr-HR" w:eastAsia="sr-Latn-CS"/>
        </w:rPr>
        <w:t>ekom Jakavi povezano je sa povećanjem lipidnih parametara</w:t>
      </w:r>
      <w:r>
        <w:rPr>
          <w:rStyle w:val="Bodytext10"/>
          <w:u w:val="none"/>
          <w:lang w:val="hr-HR" w:eastAsia="sr-Latn-CS"/>
        </w:rPr>
        <w:t>,</w:t>
      </w:r>
      <w:r w:rsidRPr="00CA6D58">
        <w:rPr>
          <w:rStyle w:val="Bodytext10"/>
          <w:u w:val="none"/>
          <w:lang w:val="hr-HR" w:eastAsia="sr-Latn-CS"/>
        </w:rPr>
        <w:t xml:space="preserve"> uključujući ukupan holesterol, lipoproteine velike gustine (HDL), lipoproteine male gustine (LDL) i trigliceride. Preporučuje se praćenje nivoa lipida i terapija dislipidemij</w:t>
      </w:r>
      <w:r>
        <w:rPr>
          <w:rStyle w:val="Bodytext10"/>
          <w:u w:val="none"/>
          <w:lang w:val="hr-HR" w:eastAsia="sr-Latn-CS"/>
        </w:rPr>
        <w:t xml:space="preserve">e </w:t>
      </w:r>
      <w:r w:rsidRPr="00CA6D58">
        <w:rPr>
          <w:rStyle w:val="Bodytext10"/>
          <w:u w:val="none"/>
          <w:lang w:val="hr-HR" w:eastAsia="sr-Latn-CS"/>
        </w:rPr>
        <w:t>prema kliničkim vodičima.</w:t>
      </w:r>
    </w:p>
    <w:p w14:paraId="43F96871" w14:textId="77777777" w:rsidR="00F37492" w:rsidRDefault="00F37492" w:rsidP="000A557B">
      <w:pPr>
        <w:jc w:val="both"/>
        <w:rPr>
          <w:sz w:val="22"/>
          <w:szCs w:val="22"/>
          <w:u w:val="single"/>
          <w:lang w:val="hr-HR" w:eastAsia="sr-Latn-CS"/>
        </w:rPr>
      </w:pPr>
    </w:p>
    <w:p w14:paraId="21F4D813" w14:textId="77777777" w:rsidR="003638C6" w:rsidRPr="006072C6" w:rsidRDefault="003638C6" w:rsidP="000A557B">
      <w:pPr>
        <w:keepNext/>
        <w:keepLines/>
        <w:jc w:val="both"/>
        <w:rPr>
          <w:sz w:val="22"/>
          <w:szCs w:val="22"/>
          <w:u w:val="single"/>
          <w:lang w:val="hr-HR"/>
        </w:rPr>
      </w:pPr>
      <w:bookmarkStart w:id="1" w:name="_Hlk158991979"/>
      <w:r w:rsidRPr="006072C6">
        <w:rPr>
          <w:sz w:val="22"/>
          <w:szCs w:val="22"/>
          <w:u w:val="single"/>
          <w:lang w:val="hr-HR"/>
        </w:rPr>
        <w:t xml:space="preserve">Značajni kardiovaskularni neželjeni događaji (engl. </w:t>
      </w:r>
      <w:r w:rsidRPr="006072C6">
        <w:rPr>
          <w:i/>
          <w:iCs/>
          <w:sz w:val="22"/>
          <w:szCs w:val="22"/>
          <w:u w:val="single"/>
          <w:lang w:val="hr-HR"/>
        </w:rPr>
        <w:t>m</w:t>
      </w:r>
      <w:r w:rsidRPr="006072C6">
        <w:rPr>
          <w:i/>
          <w:iCs/>
          <w:noProof/>
          <w:sz w:val="22"/>
          <w:szCs w:val="22"/>
          <w:u w:val="single"/>
        </w:rPr>
        <w:t>ajor adverse cardiac events</w:t>
      </w:r>
      <w:r w:rsidRPr="006072C6">
        <w:rPr>
          <w:noProof/>
          <w:sz w:val="22"/>
          <w:szCs w:val="22"/>
          <w:u w:val="single"/>
        </w:rPr>
        <w:t>, MACE</w:t>
      </w:r>
      <w:bookmarkEnd w:id="1"/>
      <w:r w:rsidRPr="006072C6">
        <w:rPr>
          <w:noProof/>
          <w:sz w:val="22"/>
          <w:szCs w:val="22"/>
          <w:u w:val="single"/>
        </w:rPr>
        <w:t>)</w:t>
      </w:r>
    </w:p>
    <w:p w14:paraId="49122725" w14:textId="77777777" w:rsidR="003638C6" w:rsidRPr="006072C6" w:rsidRDefault="003638C6" w:rsidP="000A557B">
      <w:pPr>
        <w:keepNext/>
        <w:keepLines/>
        <w:jc w:val="both"/>
        <w:rPr>
          <w:sz w:val="22"/>
          <w:szCs w:val="22"/>
          <w:lang w:val="hr-HR"/>
        </w:rPr>
      </w:pPr>
    </w:p>
    <w:p w14:paraId="587492E7" w14:textId="498B14B3" w:rsidR="003638C6" w:rsidRPr="006072C6" w:rsidRDefault="003638C6" w:rsidP="000A557B">
      <w:pPr>
        <w:widowControl w:val="0"/>
        <w:jc w:val="both"/>
        <w:rPr>
          <w:sz w:val="22"/>
          <w:szCs w:val="22"/>
          <w:lang w:val="hr-HR"/>
        </w:rPr>
      </w:pPr>
      <w:r w:rsidRPr="006072C6">
        <w:rPr>
          <w:sz w:val="22"/>
          <w:szCs w:val="22"/>
          <w:lang w:val="hr-HR"/>
        </w:rPr>
        <w:t>U velikom randomizovanom, aktivnim komparatorom kontrolisanom ispitivanju prim</w:t>
      </w:r>
      <w:r w:rsidR="00892456">
        <w:rPr>
          <w:sz w:val="22"/>
          <w:szCs w:val="22"/>
          <w:lang w:val="hr-HR"/>
        </w:rPr>
        <w:t>j</w:t>
      </w:r>
      <w:r w:rsidRPr="006072C6">
        <w:rPr>
          <w:sz w:val="22"/>
          <w:szCs w:val="22"/>
          <w:lang w:val="hr-HR"/>
        </w:rPr>
        <w:t>ene tofacitiniba (drugi JAK inhibitor) kod pacijenata sa reumatoidnim artritisom starosti od 50 i više godina sa najmanje jednim dodatnim faktorom kardiovaskularnog rizika, veći stepen MACE definisan kao kardiovaskularna smrt, infarkt miokarda bez smrtnog ishoda i moždani udar bez smrtnog ishoda, je prim</w:t>
      </w:r>
      <w:r w:rsidR="00892456">
        <w:rPr>
          <w:sz w:val="22"/>
          <w:szCs w:val="22"/>
          <w:lang w:val="hr-HR"/>
        </w:rPr>
        <w:t>ij</w:t>
      </w:r>
      <w:r w:rsidRPr="006072C6">
        <w:rPr>
          <w:sz w:val="22"/>
          <w:szCs w:val="22"/>
          <w:lang w:val="hr-HR"/>
        </w:rPr>
        <w:t>ećen kod prim</w:t>
      </w:r>
      <w:r w:rsidR="00892456">
        <w:rPr>
          <w:sz w:val="22"/>
          <w:szCs w:val="22"/>
          <w:lang w:val="hr-HR"/>
        </w:rPr>
        <w:t>j</w:t>
      </w:r>
      <w:r w:rsidRPr="006072C6">
        <w:rPr>
          <w:sz w:val="22"/>
          <w:szCs w:val="22"/>
          <w:lang w:val="hr-HR"/>
        </w:rPr>
        <w:t>ene tofacitiniba u poređenju sa prim</w:t>
      </w:r>
      <w:r w:rsidR="00892456">
        <w:rPr>
          <w:sz w:val="22"/>
          <w:szCs w:val="22"/>
          <w:lang w:val="hr-HR"/>
        </w:rPr>
        <w:t>j</w:t>
      </w:r>
      <w:r w:rsidRPr="006072C6">
        <w:rPr>
          <w:sz w:val="22"/>
          <w:szCs w:val="22"/>
          <w:lang w:val="hr-HR"/>
        </w:rPr>
        <w:t xml:space="preserve">enom inhibitora faktora nekroze tumora (engl. </w:t>
      </w:r>
      <w:r w:rsidRPr="006072C6">
        <w:rPr>
          <w:i/>
          <w:iCs/>
          <w:sz w:val="22"/>
          <w:szCs w:val="22"/>
          <w:lang w:val="hr-HR"/>
        </w:rPr>
        <w:t>tumour necrosis factor</w:t>
      </w:r>
      <w:r w:rsidRPr="006072C6">
        <w:rPr>
          <w:sz w:val="22"/>
          <w:szCs w:val="22"/>
          <w:lang w:val="hr-HR"/>
        </w:rPr>
        <w:t>, TNF).</w:t>
      </w:r>
    </w:p>
    <w:p w14:paraId="0B34874E" w14:textId="77777777" w:rsidR="003638C6" w:rsidRPr="006072C6" w:rsidRDefault="003638C6" w:rsidP="000A557B">
      <w:pPr>
        <w:widowControl w:val="0"/>
        <w:jc w:val="both"/>
        <w:rPr>
          <w:sz w:val="22"/>
          <w:szCs w:val="22"/>
          <w:lang w:val="hr-HR"/>
        </w:rPr>
      </w:pPr>
    </w:p>
    <w:p w14:paraId="79377793" w14:textId="2FF1F3C2" w:rsidR="003638C6" w:rsidRPr="006072C6" w:rsidRDefault="003638C6" w:rsidP="000A557B">
      <w:pPr>
        <w:widowControl w:val="0"/>
        <w:jc w:val="both"/>
        <w:rPr>
          <w:sz w:val="22"/>
          <w:szCs w:val="22"/>
          <w:lang w:val="hr-HR"/>
        </w:rPr>
      </w:pPr>
      <w:r w:rsidRPr="006072C6">
        <w:rPr>
          <w:sz w:val="22"/>
          <w:szCs w:val="22"/>
          <w:lang w:val="hr-HR"/>
        </w:rPr>
        <w:t>MACE je prijavljen kod pacijenata koji prim</w:t>
      </w:r>
      <w:r w:rsidR="00892456">
        <w:rPr>
          <w:sz w:val="22"/>
          <w:szCs w:val="22"/>
          <w:lang w:val="hr-HR"/>
        </w:rPr>
        <w:t>j</w:t>
      </w:r>
      <w:r w:rsidRPr="006072C6">
        <w:rPr>
          <w:sz w:val="22"/>
          <w:szCs w:val="22"/>
          <w:lang w:val="hr-HR"/>
        </w:rPr>
        <w:t>enjuju l</w:t>
      </w:r>
      <w:r w:rsidR="00892456">
        <w:rPr>
          <w:sz w:val="22"/>
          <w:szCs w:val="22"/>
          <w:lang w:val="hr-HR"/>
        </w:rPr>
        <w:t>ij</w:t>
      </w:r>
      <w:r w:rsidRPr="006072C6">
        <w:rPr>
          <w:sz w:val="22"/>
          <w:szCs w:val="22"/>
          <w:lang w:val="hr-HR"/>
        </w:rPr>
        <w:t>ek Jakavi. Pr</w:t>
      </w:r>
      <w:r w:rsidR="00892456">
        <w:rPr>
          <w:sz w:val="22"/>
          <w:szCs w:val="22"/>
          <w:lang w:val="hr-HR"/>
        </w:rPr>
        <w:t>ij</w:t>
      </w:r>
      <w:r w:rsidRPr="006072C6">
        <w:rPr>
          <w:sz w:val="22"/>
          <w:szCs w:val="22"/>
          <w:lang w:val="hr-HR"/>
        </w:rPr>
        <w:t>e započinjanja ili nastavka terapije l</w:t>
      </w:r>
      <w:r w:rsidR="00892456">
        <w:rPr>
          <w:sz w:val="22"/>
          <w:szCs w:val="22"/>
          <w:lang w:val="hr-HR"/>
        </w:rPr>
        <w:t>ij</w:t>
      </w:r>
      <w:r w:rsidRPr="006072C6">
        <w:rPr>
          <w:sz w:val="22"/>
          <w:szCs w:val="22"/>
          <w:lang w:val="hr-HR"/>
        </w:rPr>
        <w:t>ekom Jakavi, treba razmotriti koristi i rizike za svakog pacijenta pojedinačno, naročito kod pacijenata od 65 godina i starijih, pacijenata koji su aktivni ili bivši dugogodišnji pušači, i kod pacijenata sa aterosklerotskim kardiovaskularnim bolestima u anamnezi ili drugim faktorima kardiovaskularnog rizika.</w:t>
      </w:r>
    </w:p>
    <w:p w14:paraId="5FF3441A" w14:textId="77777777" w:rsidR="003638C6" w:rsidRPr="006072C6" w:rsidRDefault="003638C6" w:rsidP="000A557B">
      <w:pPr>
        <w:widowControl w:val="0"/>
        <w:jc w:val="both"/>
        <w:rPr>
          <w:sz w:val="22"/>
          <w:szCs w:val="22"/>
          <w:lang w:val="hr-HR"/>
        </w:rPr>
      </w:pPr>
    </w:p>
    <w:p w14:paraId="12888379" w14:textId="77777777" w:rsidR="003638C6" w:rsidRPr="006072C6" w:rsidRDefault="003638C6" w:rsidP="000A557B">
      <w:pPr>
        <w:keepNext/>
        <w:widowControl w:val="0"/>
        <w:jc w:val="both"/>
        <w:rPr>
          <w:sz w:val="22"/>
          <w:szCs w:val="22"/>
          <w:u w:val="single"/>
          <w:lang w:val="hr-HR"/>
        </w:rPr>
      </w:pPr>
      <w:r w:rsidRPr="006072C6">
        <w:rPr>
          <w:sz w:val="22"/>
          <w:szCs w:val="22"/>
          <w:u w:val="single"/>
          <w:lang w:val="hr-HR"/>
        </w:rPr>
        <w:t>Tromboza</w:t>
      </w:r>
    </w:p>
    <w:p w14:paraId="1A286D42" w14:textId="77777777" w:rsidR="003638C6" w:rsidRPr="006072C6" w:rsidRDefault="003638C6" w:rsidP="000A557B">
      <w:pPr>
        <w:keepNext/>
        <w:widowControl w:val="0"/>
        <w:jc w:val="both"/>
        <w:rPr>
          <w:sz w:val="22"/>
          <w:szCs w:val="22"/>
          <w:lang w:val="hr-HR"/>
        </w:rPr>
      </w:pPr>
    </w:p>
    <w:p w14:paraId="1BF44E93" w14:textId="5F72CF96" w:rsidR="003638C6" w:rsidRPr="006072C6" w:rsidRDefault="003638C6" w:rsidP="000A557B">
      <w:pPr>
        <w:widowControl w:val="0"/>
        <w:jc w:val="both"/>
        <w:rPr>
          <w:sz w:val="22"/>
          <w:szCs w:val="22"/>
          <w:lang w:val="hr-HR"/>
        </w:rPr>
      </w:pPr>
      <w:r w:rsidRPr="006072C6">
        <w:rPr>
          <w:sz w:val="22"/>
          <w:szCs w:val="22"/>
          <w:lang w:val="hr-HR"/>
        </w:rPr>
        <w:t>U velikom randomizovanom, aktivnim komparatorom kontrolisanom ispitivanju prim</w:t>
      </w:r>
      <w:r w:rsidR="00892456">
        <w:rPr>
          <w:sz w:val="22"/>
          <w:szCs w:val="22"/>
          <w:lang w:val="hr-HR"/>
        </w:rPr>
        <w:t>j</w:t>
      </w:r>
      <w:r w:rsidRPr="006072C6">
        <w:rPr>
          <w:sz w:val="22"/>
          <w:szCs w:val="22"/>
          <w:lang w:val="hr-HR"/>
        </w:rPr>
        <w:t>ene tofacitiniba (drugi JAK inhibitor) kod pacijenata sa reumatoidnim artritisom starosti od 50 i više godina sa najmanje jednim dodatnim faktorom kardiovaskularnog rizika, veća učestalost događaja venske tromboembolije (VTE) zavisna od doze, uključujući duboku vensku trombozu (DVT) i plućnu emboliju (PE), je prim</w:t>
      </w:r>
      <w:r w:rsidR="00892456">
        <w:rPr>
          <w:sz w:val="22"/>
          <w:szCs w:val="22"/>
          <w:lang w:val="hr-HR"/>
        </w:rPr>
        <w:t>ij</w:t>
      </w:r>
      <w:r w:rsidRPr="006072C6">
        <w:rPr>
          <w:sz w:val="22"/>
          <w:szCs w:val="22"/>
          <w:lang w:val="hr-HR"/>
        </w:rPr>
        <w:t>ećena kod prim</w:t>
      </w:r>
      <w:r w:rsidR="00892456">
        <w:rPr>
          <w:sz w:val="22"/>
          <w:szCs w:val="22"/>
          <w:lang w:val="hr-HR"/>
        </w:rPr>
        <w:t>j</w:t>
      </w:r>
      <w:r w:rsidRPr="006072C6">
        <w:rPr>
          <w:sz w:val="22"/>
          <w:szCs w:val="22"/>
          <w:lang w:val="hr-HR"/>
        </w:rPr>
        <w:t xml:space="preserve">ene </w:t>
      </w:r>
      <w:r w:rsidRPr="006072C6">
        <w:rPr>
          <w:sz w:val="22"/>
          <w:szCs w:val="22"/>
        </w:rPr>
        <w:t>tofacitiniba u poređenju sa prim</w:t>
      </w:r>
      <w:r w:rsidR="00892456">
        <w:rPr>
          <w:sz w:val="22"/>
          <w:szCs w:val="22"/>
        </w:rPr>
        <w:t>j</w:t>
      </w:r>
      <w:r w:rsidRPr="006072C6">
        <w:rPr>
          <w:sz w:val="22"/>
          <w:szCs w:val="22"/>
        </w:rPr>
        <w:t>enom TNF inhibitora</w:t>
      </w:r>
      <w:r w:rsidRPr="006072C6">
        <w:rPr>
          <w:sz w:val="22"/>
          <w:szCs w:val="22"/>
          <w:lang w:val="hr-HR"/>
        </w:rPr>
        <w:t>.</w:t>
      </w:r>
    </w:p>
    <w:p w14:paraId="06772FD4" w14:textId="77777777" w:rsidR="003638C6" w:rsidRPr="006072C6" w:rsidRDefault="003638C6" w:rsidP="000A557B">
      <w:pPr>
        <w:widowControl w:val="0"/>
        <w:jc w:val="both"/>
        <w:rPr>
          <w:sz w:val="22"/>
          <w:szCs w:val="22"/>
          <w:lang w:val="hr-HR"/>
        </w:rPr>
      </w:pPr>
    </w:p>
    <w:p w14:paraId="25728400" w14:textId="6B661576" w:rsidR="003638C6" w:rsidRPr="006072C6" w:rsidRDefault="003638C6" w:rsidP="000A557B">
      <w:pPr>
        <w:widowControl w:val="0"/>
        <w:jc w:val="both"/>
        <w:rPr>
          <w:sz w:val="22"/>
          <w:szCs w:val="22"/>
          <w:lang w:val="hr-HR"/>
        </w:rPr>
      </w:pPr>
      <w:r w:rsidRPr="006072C6">
        <w:rPr>
          <w:sz w:val="22"/>
          <w:szCs w:val="22"/>
          <w:lang w:val="hr-HR"/>
        </w:rPr>
        <w:t>Kod pacijenata koji primenjuju l</w:t>
      </w:r>
      <w:r w:rsidR="00892456">
        <w:rPr>
          <w:sz w:val="22"/>
          <w:szCs w:val="22"/>
          <w:lang w:val="hr-HR"/>
        </w:rPr>
        <w:t>ij</w:t>
      </w:r>
      <w:r w:rsidRPr="006072C6">
        <w:rPr>
          <w:sz w:val="22"/>
          <w:szCs w:val="22"/>
          <w:lang w:val="hr-HR"/>
        </w:rPr>
        <w:t xml:space="preserve">ek Jakavi, prijavljeni su događaji duboke venske tromboze (DVT) i </w:t>
      </w:r>
      <w:r w:rsidRPr="006072C6">
        <w:rPr>
          <w:sz w:val="22"/>
          <w:szCs w:val="22"/>
          <w:lang w:val="hr-HR"/>
        </w:rPr>
        <w:lastRenderedPageBreak/>
        <w:t>plućne embolije (PE). Kod pacijenata sa MF i PV, koji su l</w:t>
      </w:r>
      <w:r w:rsidR="00892456">
        <w:rPr>
          <w:sz w:val="22"/>
          <w:szCs w:val="22"/>
          <w:lang w:val="hr-HR"/>
        </w:rPr>
        <w:t>ij</w:t>
      </w:r>
      <w:r w:rsidRPr="006072C6">
        <w:rPr>
          <w:sz w:val="22"/>
          <w:szCs w:val="22"/>
          <w:lang w:val="hr-HR"/>
        </w:rPr>
        <w:t>ečeni l</w:t>
      </w:r>
      <w:r w:rsidR="00892456">
        <w:rPr>
          <w:sz w:val="22"/>
          <w:szCs w:val="22"/>
          <w:lang w:val="hr-HR"/>
        </w:rPr>
        <w:t>ij</w:t>
      </w:r>
      <w:r w:rsidRPr="006072C6">
        <w:rPr>
          <w:sz w:val="22"/>
          <w:szCs w:val="22"/>
          <w:lang w:val="hr-HR"/>
        </w:rPr>
        <w:t>ekom Jakavi u kliničkim ispitivanjima, učestalost tromboembolijskih događaja je bila slična kod pacijenata koji su prim</w:t>
      </w:r>
      <w:r w:rsidR="00892456">
        <w:rPr>
          <w:sz w:val="22"/>
          <w:szCs w:val="22"/>
          <w:lang w:val="hr-HR"/>
        </w:rPr>
        <w:t>j</w:t>
      </w:r>
      <w:r w:rsidRPr="006072C6">
        <w:rPr>
          <w:sz w:val="22"/>
          <w:szCs w:val="22"/>
          <w:lang w:val="hr-HR"/>
        </w:rPr>
        <w:t>enjivali l</w:t>
      </w:r>
      <w:r w:rsidR="00892456">
        <w:rPr>
          <w:sz w:val="22"/>
          <w:szCs w:val="22"/>
          <w:lang w:val="hr-HR"/>
        </w:rPr>
        <w:t>ij</w:t>
      </w:r>
      <w:r w:rsidRPr="006072C6">
        <w:rPr>
          <w:sz w:val="22"/>
          <w:szCs w:val="22"/>
          <w:lang w:val="hr-HR"/>
        </w:rPr>
        <w:t>ek Jakavi i pacijenata koji su primali kontrolni l</w:t>
      </w:r>
      <w:r w:rsidR="00892456">
        <w:rPr>
          <w:sz w:val="22"/>
          <w:szCs w:val="22"/>
          <w:lang w:val="hr-HR"/>
        </w:rPr>
        <w:t>ij</w:t>
      </w:r>
      <w:r w:rsidRPr="006072C6">
        <w:rPr>
          <w:sz w:val="22"/>
          <w:szCs w:val="22"/>
          <w:lang w:val="hr-HR"/>
        </w:rPr>
        <w:t>ek.</w:t>
      </w:r>
    </w:p>
    <w:p w14:paraId="353EBF61" w14:textId="77777777" w:rsidR="003638C6" w:rsidRPr="006072C6" w:rsidRDefault="003638C6" w:rsidP="000A557B">
      <w:pPr>
        <w:widowControl w:val="0"/>
        <w:jc w:val="both"/>
        <w:rPr>
          <w:sz w:val="22"/>
          <w:szCs w:val="22"/>
          <w:lang w:val="hr-HR"/>
        </w:rPr>
      </w:pPr>
    </w:p>
    <w:p w14:paraId="4340BBBD" w14:textId="3219D5FE" w:rsidR="003638C6" w:rsidRPr="006072C6" w:rsidRDefault="003638C6" w:rsidP="000A557B">
      <w:pPr>
        <w:widowControl w:val="0"/>
        <w:jc w:val="both"/>
        <w:rPr>
          <w:sz w:val="22"/>
          <w:szCs w:val="22"/>
          <w:lang w:val="hr-HR"/>
        </w:rPr>
      </w:pPr>
      <w:r w:rsidRPr="006072C6">
        <w:rPr>
          <w:sz w:val="22"/>
          <w:szCs w:val="22"/>
          <w:lang w:val="hr-HR"/>
        </w:rPr>
        <w:t>Pr</w:t>
      </w:r>
      <w:r w:rsidR="00892456">
        <w:rPr>
          <w:sz w:val="22"/>
          <w:szCs w:val="22"/>
          <w:lang w:val="hr-HR"/>
        </w:rPr>
        <w:t>ij</w:t>
      </w:r>
      <w:r w:rsidRPr="006072C6">
        <w:rPr>
          <w:sz w:val="22"/>
          <w:szCs w:val="22"/>
          <w:lang w:val="hr-HR"/>
        </w:rPr>
        <w:t>e započinjanja ili nastavka terapije l</w:t>
      </w:r>
      <w:r w:rsidR="00892456">
        <w:rPr>
          <w:sz w:val="22"/>
          <w:szCs w:val="22"/>
          <w:lang w:val="hr-HR"/>
        </w:rPr>
        <w:t>ij</w:t>
      </w:r>
      <w:r w:rsidRPr="006072C6">
        <w:rPr>
          <w:sz w:val="22"/>
          <w:szCs w:val="22"/>
          <w:lang w:val="hr-HR"/>
        </w:rPr>
        <w:t>ekom Jakavi, treba razmotriti koristi i rizike za svakog pacijenta pojedinačno, naročito kod pacijenta sa faktorima kardiovaskularnog rizika (vid</w:t>
      </w:r>
      <w:r w:rsidR="00892456">
        <w:rPr>
          <w:sz w:val="22"/>
          <w:szCs w:val="22"/>
          <w:lang w:val="hr-HR"/>
        </w:rPr>
        <w:t>j</w:t>
      </w:r>
      <w:r w:rsidRPr="006072C6">
        <w:rPr>
          <w:sz w:val="22"/>
          <w:szCs w:val="22"/>
          <w:lang w:val="hr-HR"/>
        </w:rPr>
        <w:t xml:space="preserve">eti takođe </w:t>
      </w:r>
      <w:r w:rsidR="00892456">
        <w:rPr>
          <w:sz w:val="22"/>
          <w:szCs w:val="22"/>
          <w:lang w:val="hr-HR"/>
        </w:rPr>
        <w:t>dio</w:t>
      </w:r>
      <w:r w:rsidR="00892456" w:rsidRPr="006072C6">
        <w:rPr>
          <w:sz w:val="22"/>
          <w:szCs w:val="22"/>
          <w:lang w:val="hr-HR"/>
        </w:rPr>
        <w:t> </w:t>
      </w:r>
      <w:r w:rsidRPr="006072C6">
        <w:rPr>
          <w:sz w:val="22"/>
          <w:szCs w:val="22"/>
          <w:lang w:val="hr-HR"/>
        </w:rPr>
        <w:t xml:space="preserve">4.4 „Značajni kardiovaskularni neželjeni događaji (engl. </w:t>
      </w:r>
      <w:r w:rsidRPr="006072C6">
        <w:rPr>
          <w:i/>
          <w:iCs/>
          <w:sz w:val="22"/>
          <w:szCs w:val="22"/>
          <w:lang w:val="hr-HR"/>
        </w:rPr>
        <w:t>m</w:t>
      </w:r>
      <w:r w:rsidRPr="006072C6">
        <w:rPr>
          <w:i/>
          <w:iCs/>
          <w:sz w:val="22"/>
          <w:szCs w:val="22"/>
        </w:rPr>
        <w:t>ajor adverse cardiac events</w:t>
      </w:r>
      <w:r w:rsidRPr="006072C6">
        <w:rPr>
          <w:sz w:val="22"/>
          <w:szCs w:val="22"/>
        </w:rPr>
        <w:t>, MACE)”.</w:t>
      </w:r>
    </w:p>
    <w:p w14:paraId="256F10C9" w14:textId="77777777" w:rsidR="003638C6" w:rsidRPr="006072C6" w:rsidRDefault="003638C6" w:rsidP="000A557B">
      <w:pPr>
        <w:widowControl w:val="0"/>
        <w:jc w:val="both"/>
        <w:rPr>
          <w:sz w:val="22"/>
          <w:szCs w:val="22"/>
          <w:lang w:val="hr-HR"/>
        </w:rPr>
      </w:pPr>
    </w:p>
    <w:p w14:paraId="30E3C1AB" w14:textId="3CA3E85B" w:rsidR="003638C6" w:rsidRPr="006072C6" w:rsidRDefault="003638C6" w:rsidP="000A557B">
      <w:pPr>
        <w:widowControl w:val="0"/>
        <w:jc w:val="both"/>
        <w:rPr>
          <w:sz w:val="22"/>
          <w:szCs w:val="22"/>
          <w:lang w:val="hr-HR"/>
        </w:rPr>
      </w:pPr>
      <w:r w:rsidRPr="006072C6">
        <w:rPr>
          <w:sz w:val="22"/>
          <w:szCs w:val="22"/>
          <w:lang w:val="hr-HR"/>
        </w:rPr>
        <w:t>Pacijente sa simptomima tromboze treba odmah pregledati i adekvatno l</w:t>
      </w:r>
      <w:r w:rsidR="00892456">
        <w:rPr>
          <w:sz w:val="22"/>
          <w:szCs w:val="22"/>
          <w:lang w:val="hr-HR"/>
        </w:rPr>
        <w:t>ij</w:t>
      </w:r>
      <w:r w:rsidRPr="006072C6">
        <w:rPr>
          <w:sz w:val="22"/>
          <w:szCs w:val="22"/>
          <w:lang w:val="hr-HR"/>
        </w:rPr>
        <w:t>ečiti.</w:t>
      </w:r>
    </w:p>
    <w:p w14:paraId="2C897E03" w14:textId="77777777" w:rsidR="003638C6" w:rsidRPr="006072C6" w:rsidRDefault="003638C6" w:rsidP="000A557B">
      <w:pPr>
        <w:widowControl w:val="0"/>
        <w:jc w:val="both"/>
        <w:rPr>
          <w:sz w:val="22"/>
          <w:szCs w:val="22"/>
          <w:lang w:val="hr-HR"/>
        </w:rPr>
      </w:pPr>
    </w:p>
    <w:p w14:paraId="31B3F81B" w14:textId="77777777" w:rsidR="003638C6" w:rsidRPr="006072C6" w:rsidRDefault="003638C6" w:rsidP="000A557B">
      <w:pPr>
        <w:keepNext/>
        <w:widowControl w:val="0"/>
        <w:jc w:val="both"/>
        <w:rPr>
          <w:sz w:val="22"/>
          <w:szCs w:val="22"/>
          <w:u w:val="single"/>
          <w:lang w:val="hr-HR"/>
        </w:rPr>
      </w:pPr>
      <w:r w:rsidRPr="006072C6">
        <w:rPr>
          <w:sz w:val="22"/>
          <w:szCs w:val="22"/>
          <w:u w:val="single"/>
          <w:lang w:val="hr-HR"/>
        </w:rPr>
        <w:t>Druge primarne maligne bolesti</w:t>
      </w:r>
    </w:p>
    <w:p w14:paraId="6041F46E" w14:textId="77777777" w:rsidR="003638C6" w:rsidRPr="006072C6" w:rsidRDefault="003638C6" w:rsidP="000A557B">
      <w:pPr>
        <w:keepNext/>
        <w:widowControl w:val="0"/>
        <w:jc w:val="both"/>
        <w:rPr>
          <w:sz w:val="22"/>
          <w:szCs w:val="22"/>
          <w:lang w:val="hr-HR"/>
        </w:rPr>
      </w:pPr>
    </w:p>
    <w:p w14:paraId="5D4B0AE2" w14:textId="0DB92DB2" w:rsidR="003638C6" w:rsidRPr="006072C6" w:rsidRDefault="003638C6" w:rsidP="000A557B">
      <w:pPr>
        <w:widowControl w:val="0"/>
        <w:jc w:val="both"/>
        <w:rPr>
          <w:sz w:val="22"/>
          <w:szCs w:val="22"/>
          <w:lang w:val="hr-HR"/>
        </w:rPr>
      </w:pPr>
      <w:r w:rsidRPr="006072C6">
        <w:rPr>
          <w:sz w:val="22"/>
          <w:szCs w:val="22"/>
          <w:lang w:val="hr-HR"/>
        </w:rPr>
        <w:t>U velikom randomizovanom, aktivnim komparatorom kontrolisanom ispitivanju prim</w:t>
      </w:r>
      <w:r w:rsidR="00892456">
        <w:rPr>
          <w:sz w:val="22"/>
          <w:szCs w:val="22"/>
          <w:lang w:val="hr-HR"/>
        </w:rPr>
        <w:t>j</w:t>
      </w:r>
      <w:r w:rsidRPr="006072C6">
        <w:rPr>
          <w:sz w:val="22"/>
          <w:szCs w:val="22"/>
          <w:lang w:val="hr-HR"/>
        </w:rPr>
        <w:t xml:space="preserve">ene tofacitiniba (drugi JAK inhibitor) kod pacijenta sa reumatoidnim artritisom starosti od 50 i više godina sa najmanje jednim dodatnim faktorom kardiovaskularnog rizika, veća učestalost malignih bolesti, naročito raka pluća, limfoma, nemelanomskog raka kože (engl. </w:t>
      </w:r>
      <w:r w:rsidRPr="006072C6">
        <w:rPr>
          <w:rFonts w:eastAsia="SimSun"/>
          <w:i/>
          <w:iCs/>
          <w:kern w:val="24"/>
          <w:sz w:val="22"/>
          <w:szCs w:val="22"/>
          <w:lang w:eastAsia="de-CH"/>
        </w:rPr>
        <w:t>non-melanoma skin cancer</w:t>
      </w:r>
      <w:r w:rsidRPr="006072C6">
        <w:rPr>
          <w:sz w:val="22"/>
          <w:szCs w:val="22"/>
          <w:lang w:val="hr-HR"/>
        </w:rPr>
        <w:t>, NMSC), je prim</w:t>
      </w:r>
      <w:r w:rsidR="00892456">
        <w:rPr>
          <w:sz w:val="22"/>
          <w:szCs w:val="22"/>
          <w:lang w:val="hr-HR"/>
        </w:rPr>
        <w:t>ij</w:t>
      </w:r>
      <w:r w:rsidRPr="006072C6">
        <w:rPr>
          <w:sz w:val="22"/>
          <w:szCs w:val="22"/>
          <w:lang w:val="hr-HR"/>
        </w:rPr>
        <w:t>ećen kod prim</w:t>
      </w:r>
      <w:r w:rsidR="00892456">
        <w:rPr>
          <w:sz w:val="22"/>
          <w:szCs w:val="22"/>
          <w:lang w:val="hr-HR"/>
        </w:rPr>
        <w:t>j</w:t>
      </w:r>
      <w:r w:rsidRPr="006072C6">
        <w:rPr>
          <w:sz w:val="22"/>
          <w:szCs w:val="22"/>
          <w:lang w:val="hr-HR"/>
        </w:rPr>
        <w:t xml:space="preserve">ene </w:t>
      </w:r>
      <w:r w:rsidRPr="006072C6">
        <w:rPr>
          <w:sz w:val="22"/>
          <w:szCs w:val="22"/>
        </w:rPr>
        <w:t>tofacitiniba</w:t>
      </w:r>
      <w:r w:rsidRPr="006072C6">
        <w:rPr>
          <w:sz w:val="22"/>
          <w:szCs w:val="22"/>
          <w:lang w:val="hr-HR"/>
        </w:rPr>
        <w:t xml:space="preserve"> u </w:t>
      </w:r>
      <w:r w:rsidRPr="006072C6">
        <w:rPr>
          <w:sz w:val="22"/>
          <w:szCs w:val="22"/>
        </w:rPr>
        <w:t>poređenju sa prim</w:t>
      </w:r>
      <w:r w:rsidR="00892456">
        <w:rPr>
          <w:sz w:val="22"/>
          <w:szCs w:val="22"/>
        </w:rPr>
        <w:t>j</w:t>
      </w:r>
      <w:r w:rsidRPr="006072C6">
        <w:rPr>
          <w:sz w:val="22"/>
          <w:szCs w:val="22"/>
        </w:rPr>
        <w:t>enom TNF inhibitora</w:t>
      </w:r>
      <w:r w:rsidRPr="006072C6">
        <w:rPr>
          <w:sz w:val="22"/>
          <w:szCs w:val="22"/>
          <w:lang w:val="hr-HR"/>
        </w:rPr>
        <w:t>.</w:t>
      </w:r>
    </w:p>
    <w:p w14:paraId="22ED61A9" w14:textId="77777777" w:rsidR="003638C6" w:rsidRPr="006072C6" w:rsidRDefault="003638C6" w:rsidP="000A557B">
      <w:pPr>
        <w:widowControl w:val="0"/>
        <w:jc w:val="both"/>
        <w:rPr>
          <w:sz w:val="22"/>
          <w:szCs w:val="22"/>
          <w:lang w:val="hr-HR"/>
        </w:rPr>
      </w:pPr>
    </w:p>
    <w:p w14:paraId="07C856E8" w14:textId="280BCA40" w:rsidR="003638C6" w:rsidRPr="006072C6" w:rsidRDefault="003638C6" w:rsidP="000A557B">
      <w:pPr>
        <w:widowControl w:val="0"/>
        <w:jc w:val="both"/>
        <w:rPr>
          <w:sz w:val="22"/>
          <w:szCs w:val="22"/>
          <w:lang w:val="hr-HR"/>
        </w:rPr>
      </w:pPr>
      <w:r w:rsidRPr="006072C6">
        <w:rPr>
          <w:sz w:val="22"/>
          <w:szCs w:val="22"/>
          <w:lang w:val="hr-HR"/>
        </w:rPr>
        <w:t>Kod pacijenata koji primaju JAK inhibitore, uključujući l</w:t>
      </w:r>
      <w:r w:rsidR="00892456">
        <w:rPr>
          <w:sz w:val="22"/>
          <w:szCs w:val="22"/>
          <w:lang w:val="hr-HR"/>
        </w:rPr>
        <w:t>ij</w:t>
      </w:r>
      <w:r w:rsidRPr="006072C6">
        <w:rPr>
          <w:sz w:val="22"/>
          <w:szCs w:val="22"/>
          <w:lang w:val="hr-HR"/>
        </w:rPr>
        <w:t>ek Jakavi, su prijavljeni limfom i druge maligne bolesti.</w:t>
      </w:r>
    </w:p>
    <w:p w14:paraId="2BBAB2D6" w14:textId="77777777" w:rsidR="003638C6" w:rsidRPr="006072C6" w:rsidRDefault="003638C6" w:rsidP="000A557B">
      <w:pPr>
        <w:widowControl w:val="0"/>
        <w:jc w:val="both"/>
        <w:rPr>
          <w:sz w:val="22"/>
          <w:szCs w:val="22"/>
          <w:lang w:val="hr-HR"/>
        </w:rPr>
      </w:pPr>
    </w:p>
    <w:p w14:paraId="346B8A31" w14:textId="78620AD9" w:rsidR="003638C6" w:rsidRPr="006072C6" w:rsidRDefault="003638C6" w:rsidP="000A557B">
      <w:pPr>
        <w:widowControl w:val="0"/>
        <w:jc w:val="both"/>
        <w:rPr>
          <w:sz w:val="22"/>
          <w:szCs w:val="22"/>
          <w:lang w:val="hr-HR"/>
        </w:rPr>
      </w:pPr>
      <w:r w:rsidRPr="006072C6">
        <w:rPr>
          <w:sz w:val="22"/>
          <w:szCs w:val="22"/>
          <w:lang w:val="hr-HR"/>
        </w:rPr>
        <w:t>Slučajevi nemelanomskog raka kože (NMSC), uključujući karcinom bazalnih ćelija, skvamoznih ćelija i Merkelovih ćelija, prijavljeni su kod pacijenata l</w:t>
      </w:r>
      <w:r w:rsidR="00892456">
        <w:rPr>
          <w:sz w:val="22"/>
          <w:szCs w:val="22"/>
          <w:lang w:val="hr-HR"/>
        </w:rPr>
        <w:t>ij</w:t>
      </w:r>
      <w:r w:rsidRPr="006072C6">
        <w:rPr>
          <w:sz w:val="22"/>
          <w:szCs w:val="22"/>
          <w:lang w:val="hr-HR"/>
        </w:rPr>
        <w:t>ečenih ruksolitinibom. Većina pacijenata sa MF i PV je u anamnezi imala produženo l</w:t>
      </w:r>
      <w:r w:rsidR="00892456">
        <w:rPr>
          <w:sz w:val="22"/>
          <w:szCs w:val="22"/>
          <w:lang w:val="hr-HR"/>
        </w:rPr>
        <w:t>ij</w:t>
      </w:r>
      <w:r w:rsidRPr="006072C6">
        <w:rPr>
          <w:sz w:val="22"/>
          <w:szCs w:val="22"/>
          <w:lang w:val="hr-HR"/>
        </w:rPr>
        <w:t>ečenje hidroksiureom i prethodni NMSC ili premaligne kožne lezije. Pacijentima sa povećanim rizikom od raka kože se preporučuju periodični pregledi kože.</w:t>
      </w:r>
    </w:p>
    <w:p w14:paraId="1DA2FB29" w14:textId="77777777" w:rsidR="00F37492" w:rsidRPr="00F37492" w:rsidRDefault="00F37492" w:rsidP="000A557B">
      <w:pPr>
        <w:jc w:val="both"/>
        <w:rPr>
          <w:sz w:val="22"/>
          <w:szCs w:val="22"/>
          <w:u w:val="single"/>
          <w:lang w:val="hr-HR" w:eastAsia="sr-Latn-CS"/>
        </w:rPr>
      </w:pPr>
    </w:p>
    <w:p w14:paraId="108A0547" w14:textId="28668EED" w:rsidR="00F37492" w:rsidRDefault="00F37492" w:rsidP="000A557B">
      <w:pPr>
        <w:jc w:val="both"/>
        <w:rPr>
          <w:sz w:val="22"/>
          <w:szCs w:val="22"/>
          <w:u w:val="single"/>
          <w:lang w:val="hr-HR" w:eastAsia="sr-Latn-CS"/>
        </w:rPr>
      </w:pPr>
      <w:r w:rsidRPr="00F37492">
        <w:rPr>
          <w:sz w:val="22"/>
          <w:szCs w:val="22"/>
          <w:u w:val="single"/>
          <w:lang w:val="hr-HR" w:eastAsia="sr-Latn-CS"/>
        </w:rPr>
        <w:t>Posebne populacije</w:t>
      </w:r>
    </w:p>
    <w:p w14:paraId="0185F1EB" w14:textId="77777777" w:rsidR="00892456" w:rsidRPr="00F37492" w:rsidRDefault="00892456" w:rsidP="000A557B">
      <w:pPr>
        <w:jc w:val="both"/>
        <w:rPr>
          <w:sz w:val="22"/>
          <w:szCs w:val="22"/>
          <w:u w:val="single"/>
          <w:lang w:val="hr-HR" w:eastAsia="sr-Latn-CS"/>
        </w:rPr>
      </w:pPr>
    </w:p>
    <w:p w14:paraId="19F91CCF" w14:textId="77777777" w:rsidR="00F37492" w:rsidRPr="00205B79" w:rsidRDefault="00F37492" w:rsidP="000A557B">
      <w:pPr>
        <w:jc w:val="both"/>
        <w:rPr>
          <w:rFonts w:cs="Arial Unicode MS"/>
          <w:sz w:val="22"/>
          <w:szCs w:val="22"/>
          <w:u w:val="single"/>
          <w:lang w:val="hr-HR" w:eastAsia="sr-Latn-ME"/>
        </w:rPr>
      </w:pPr>
      <w:r w:rsidRPr="00205B79">
        <w:rPr>
          <w:i/>
          <w:iCs/>
          <w:sz w:val="22"/>
          <w:szCs w:val="22"/>
          <w:u w:val="single"/>
          <w:lang w:val="hr-HR" w:eastAsia="sr-Latn-CS"/>
        </w:rPr>
        <w:t>Poremećaj funkcije bubrega</w:t>
      </w:r>
    </w:p>
    <w:p w14:paraId="04D2E487" w14:textId="31AE2EFB" w:rsidR="00F37492" w:rsidRPr="00F37492" w:rsidRDefault="00F37492" w:rsidP="000A557B">
      <w:pPr>
        <w:jc w:val="both"/>
        <w:rPr>
          <w:rFonts w:cs="Arial Unicode MS"/>
          <w:sz w:val="22"/>
          <w:szCs w:val="22"/>
          <w:lang w:val="hr-HR" w:eastAsia="sr-Latn-ME"/>
        </w:rPr>
      </w:pPr>
      <w:r w:rsidRPr="00F37492">
        <w:rPr>
          <w:sz w:val="22"/>
          <w:szCs w:val="22"/>
          <w:lang w:val="hr-HR" w:eastAsia="sr-Latn-CS"/>
        </w:rPr>
        <w:t>Početnu doza lijeka Jakavi treba smanjiti kod pacijenata s</w:t>
      </w:r>
      <w:r w:rsidR="00D83177">
        <w:rPr>
          <w:sz w:val="22"/>
          <w:szCs w:val="22"/>
          <w:lang w:val="hr-HR" w:eastAsia="sr-Latn-CS"/>
        </w:rPr>
        <w:t>a</w:t>
      </w:r>
      <w:r w:rsidRPr="00F37492">
        <w:rPr>
          <w:sz w:val="22"/>
          <w:szCs w:val="22"/>
          <w:lang w:val="hr-HR" w:eastAsia="sr-Latn-CS"/>
        </w:rPr>
        <w:t xml:space="preserve"> teškim poremećajem funkcije bubrega. Za pacijente sa terminalnim bubrežnim oboljenjem koji su na hemodijalizi početna doza treba da se bazira na broju trombocita kod pacijenata sa MF, dok je preporučena početna doza kod pacijenata sa PV jedna doza od 10 mg (vidjeti </w:t>
      </w:r>
      <w:r w:rsidR="00D83177">
        <w:rPr>
          <w:sz w:val="22"/>
          <w:szCs w:val="22"/>
          <w:lang w:val="hr-HR" w:eastAsia="sr-Latn-CS"/>
        </w:rPr>
        <w:t xml:space="preserve">dio </w:t>
      </w:r>
      <w:r w:rsidRPr="00F37492">
        <w:rPr>
          <w:sz w:val="22"/>
          <w:szCs w:val="22"/>
          <w:lang w:val="hr-HR" w:eastAsia="sr-Latn-CS"/>
        </w:rPr>
        <w:t xml:space="preserve">4.2). Naredne doze (pojedinačna doza od 20 mg  </w:t>
      </w:r>
      <w:r w:rsidRPr="00F37492">
        <w:rPr>
          <w:sz w:val="22"/>
          <w:szCs w:val="22"/>
          <w:lang w:val="hr-HR" w:eastAsia="sr-Latn-ME"/>
        </w:rPr>
        <w:t>ili dvije doze od 10 mg date u razmaku od 12 sati kod pacijenata sa MF; pojedinačna doza od 10 mg ili dvije doze od 5 mg date u razmaku od 12 sati kod pacijenata sa PV)</w:t>
      </w:r>
      <w:r w:rsidRPr="00F37492">
        <w:rPr>
          <w:sz w:val="22"/>
          <w:szCs w:val="22"/>
          <w:lang w:val="hr-HR" w:eastAsia="sr-Latn-CS"/>
        </w:rPr>
        <w:t xml:space="preserve"> treba da se daju na dan kada se radi hemodijaliza i to po završetku hemodijalize. Dodatna podešavanja doze treba da se rade uz pažljivu procjenu bezbjednosti i efikasnosti</w:t>
      </w:r>
      <w:r w:rsidR="0015535A">
        <w:rPr>
          <w:sz w:val="22"/>
          <w:szCs w:val="22"/>
          <w:lang w:val="hr-HR" w:eastAsia="sr-Latn-CS"/>
        </w:rPr>
        <w:t>.</w:t>
      </w:r>
      <w:r w:rsidRPr="00F37492">
        <w:rPr>
          <w:sz w:val="22"/>
          <w:szCs w:val="22"/>
          <w:lang w:val="hr-HR" w:eastAsia="sr-Latn-CS"/>
        </w:rPr>
        <w:t xml:space="preserve"> </w:t>
      </w:r>
      <w:r w:rsidR="0015535A" w:rsidRPr="0015535A">
        <w:rPr>
          <w:sz w:val="22"/>
          <w:szCs w:val="22"/>
          <w:lang w:val="hr-HR" w:eastAsia="sr-Latn-CS"/>
        </w:rPr>
        <w:t>Kod pacijenata sa GvHD koji imaju teško oštećenje funkcije bubrega, početnu dozu l</w:t>
      </w:r>
      <w:r w:rsidR="00DD0118">
        <w:rPr>
          <w:sz w:val="22"/>
          <w:szCs w:val="22"/>
          <w:lang w:val="hr-HR" w:eastAsia="sr-Latn-CS"/>
        </w:rPr>
        <w:t>ij</w:t>
      </w:r>
      <w:r w:rsidR="0015535A" w:rsidRPr="0015535A">
        <w:rPr>
          <w:sz w:val="22"/>
          <w:szCs w:val="22"/>
          <w:lang w:val="hr-HR" w:eastAsia="sr-Latn-CS"/>
        </w:rPr>
        <w:t xml:space="preserve">eka Jakavi treba smanjiti za otprilike 50% </w:t>
      </w:r>
      <w:r w:rsidRPr="00F37492">
        <w:rPr>
          <w:sz w:val="22"/>
          <w:szCs w:val="22"/>
          <w:lang w:val="hr-HR" w:eastAsia="sr-Latn-CS"/>
        </w:rPr>
        <w:t xml:space="preserve">(vidjeti </w:t>
      </w:r>
      <w:r w:rsidR="00D83177">
        <w:rPr>
          <w:sz w:val="22"/>
          <w:szCs w:val="22"/>
          <w:lang w:val="hr-HR" w:eastAsia="sr-Latn-CS"/>
        </w:rPr>
        <w:t>djelove</w:t>
      </w:r>
      <w:r w:rsidR="00D83177" w:rsidRPr="00F37492">
        <w:rPr>
          <w:sz w:val="22"/>
          <w:szCs w:val="22"/>
          <w:lang w:val="hr-HR" w:eastAsia="sr-Latn-CS"/>
        </w:rPr>
        <w:t xml:space="preserve"> </w:t>
      </w:r>
      <w:r w:rsidRPr="00F37492">
        <w:rPr>
          <w:sz w:val="22"/>
          <w:szCs w:val="22"/>
          <w:lang w:val="hr-HR" w:eastAsia="sr-Latn-CS"/>
        </w:rPr>
        <w:t>4.2 i 5.2).</w:t>
      </w:r>
    </w:p>
    <w:p w14:paraId="2995D2C8" w14:textId="77777777" w:rsidR="00F37492" w:rsidRPr="00F37492" w:rsidRDefault="00F37492" w:rsidP="000A557B">
      <w:pPr>
        <w:jc w:val="both"/>
        <w:rPr>
          <w:rFonts w:cs="Arial Unicode MS"/>
          <w:i/>
          <w:iCs/>
          <w:sz w:val="22"/>
          <w:szCs w:val="22"/>
          <w:lang w:val="hr-HR" w:eastAsia="sr-Latn-CS"/>
        </w:rPr>
      </w:pPr>
    </w:p>
    <w:p w14:paraId="73C3FDEC" w14:textId="77777777" w:rsidR="00F37492" w:rsidRPr="00205B79" w:rsidRDefault="00F37492" w:rsidP="000A557B">
      <w:pPr>
        <w:jc w:val="both"/>
        <w:rPr>
          <w:rFonts w:cs="Arial Unicode MS"/>
          <w:i/>
          <w:iCs/>
          <w:sz w:val="22"/>
          <w:szCs w:val="22"/>
          <w:u w:val="single"/>
          <w:lang w:val="hr-HR" w:eastAsia="sr-Latn-ME"/>
        </w:rPr>
      </w:pPr>
      <w:r w:rsidRPr="00205B79">
        <w:rPr>
          <w:i/>
          <w:iCs/>
          <w:sz w:val="22"/>
          <w:szCs w:val="22"/>
          <w:u w:val="single"/>
          <w:lang w:val="hr-HR" w:eastAsia="sr-Latn-CS"/>
        </w:rPr>
        <w:t>Poremećaj funkcije jetre</w:t>
      </w:r>
    </w:p>
    <w:p w14:paraId="40F13A93" w14:textId="58670572" w:rsidR="00F37492" w:rsidRPr="00F37492" w:rsidRDefault="00F37492" w:rsidP="000A557B">
      <w:pPr>
        <w:jc w:val="both"/>
        <w:rPr>
          <w:rFonts w:cs="Arial Unicode MS"/>
          <w:sz w:val="22"/>
          <w:szCs w:val="22"/>
          <w:lang w:val="hr-HR" w:eastAsia="sr-Latn-ME"/>
        </w:rPr>
      </w:pPr>
      <w:r w:rsidRPr="00F37492">
        <w:rPr>
          <w:sz w:val="22"/>
          <w:szCs w:val="22"/>
          <w:lang w:val="hr-HR" w:eastAsia="sr-Latn-CS"/>
        </w:rPr>
        <w:t xml:space="preserve">Početna doza lijeka Jakavi treba da bude smanjena za otprilike 50% kod pacijenata sa MF i PV sa poremećajem funkcije jetre. Dalja podešavanja doze treba da se zasnivaju na procjeni bezbjednosti i efikasnosti ovog lijeka. Kod pacijenata sa GvHD sa poremećajem funkcije jetre koji nije povezan sa GvHD, početna doza lijeka Jakavi treba da se smanji za oko 50 % (vidjeti </w:t>
      </w:r>
      <w:r w:rsidR="00D83177">
        <w:rPr>
          <w:sz w:val="22"/>
          <w:szCs w:val="22"/>
          <w:lang w:val="hr-HR" w:eastAsia="sr-Latn-CS"/>
        </w:rPr>
        <w:t>djelove</w:t>
      </w:r>
      <w:r w:rsidR="00D83177" w:rsidRPr="00F37492">
        <w:rPr>
          <w:sz w:val="22"/>
          <w:szCs w:val="22"/>
          <w:lang w:val="hr-HR" w:eastAsia="sr-Latn-CS"/>
        </w:rPr>
        <w:t xml:space="preserve"> </w:t>
      </w:r>
      <w:r w:rsidRPr="00F37492">
        <w:rPr>
          <w:sz w:val="22"/>
          <w:szCs w:val="22"/>
          <w:lang w:val="hr-HR" w:eastAsia="sr-Latn-CS"/>
        </w:rPr>
        <w:t>4.2 i 5.2).</w:t>
      </w:r>
    </w:p>
    <w:p w14:paraId="0160EC5A" w14:textId="77777777" w:rsidR="00F37492" w:rsidRDefault="00F37492" w:rsidP="000A557B">
      <w:pPr>
        <w:jc w:val="both"/>
        <w:rPr>
          <w:rFonts w:cs="Arial Unicode MS"/>
          <w:sz w:val="22"/>
          <w:szCs w:val="22"/>
          <w:u w:val="single"/>
          <w:lang w:val="hr-HR" w:eastAsia="sr-Latn-CS"/>
        </w:rPr>
      </w:pPr>
    </w:p>
    <w:p w14:paraId="6613FE70" w14:textId="21710F64" w:rsidR="0015535A" w:rsidRPr="00205B79" w:rsidRDefault="0015535A" w:rsidP="0015535A">
      <w:pPr>
        <w:jc w:val="both"/>
        <w:rPr>
          <w:rFonts w:cs="Arial Unicode MS"/>
          <w:sz w:val="22"/>
          <w:szCs w:val="22"/>
          <w:lang w:val="hr-HR" w:eastAsia="sr-Latn-CS"/>
        </w:rPr>
      </w:pPr>
      <w:r w:rsidRPr="00205B79">
        <w:rPr>
          <w:rFonts w:cs="Arial Unicode MS"/>
          <w:sz w:val="22"/>
          <w:szCs w:val="22"/>
          <w:lang w:val="hr-HR" w:eastAsia="sr-Latn-CS"/>
        </w:rPr>
        <w:t xml:space="preserve">Pacijentima kojima je dijagnostifikovano oštećenje funkcije jetre treba pratiti kompletnu krvnu sliku, dok uzimaju </w:t>
      </w:r>
      <w:r w:rsidRPr="00205B79">
        <w:rPr>
          <w:rFonts w:cs="Arial Unicode MS"/>
          <w:bCs/>
          <w:sz w:val="22"/>
          <w:szCs w:val="22"/>
          <w:lang w:val="hr-HR" w:eastAsia="sr-Latn-CS"/>
        </w:rPr>
        <w:t>ruksolitinib,</w:t>
      </w:r>
      <w:r w:rsidRPr="00205B79">
        <w:rPr>
          <w:rFonts w:cs="Arial Unicode MS"/>
          <w:sz w:val="22"/>
          <w:szCs w:val="22"/>
          <w:lang w:val="hr-HR" w:eastAsia="sr-Latn-CS"/>
        </w:rPr>
        <w:t xml:space="preserve"> uključujući i diferencijalnu krvnu sliku leukocita, najmanje svakih ned</w:t>
      </w:r>
      <w:r w:rsidR="00DD0118" w:rsidRPr="00205B79">
        <w:rPr>
          <w:rFonts w:cs="Arial Unicode MS"/>
          <w:sz w:val="22"/>
          <w:szCs w:val="22"/>
          <w:lang w:val="hr-HR" w:eastAsia="sr-Latn-CS"/>
        </w:rPr>
        <w:t>j</w:t>
      </w:r>
      <w:r w:rsidRPr="00205B79">
        <w:rPr>
          <w:rFonts w:cs="Arial Unicode MS"/>
          <w:sz w:val="22"/>
          <w:szCs w:val="22"/>
          <w:lang w:val="hr-HR" w:eastAsia="sr-Latn-CS"/>
        </w:rPr>
        <w:t>elju dana do dv</w:t>
      </w:r>
      <w:r w:rsidR="00DD0118" w:rsidRPr="00205B79">
        <w:rPr>
          <w:rFonts w:cs="Arial Unicode MS"/>
          <w:sz w:val="22"/>
          <w:szCs w:val="22"/>
          <w:lang w:val="hr-HR" w:eastAsia="sr-Latn-CS"/>
        </w:rPr>
        <w:t>ij</w:t>
      </w:r>
      <w:r w:rsidRPr="00205B79">
        <w:rPr>
          <w:rFonts w:cs="Arial Unicode MS"/>
          <w:sz w:val="22"/>
          <w:szCs w:val="22"/>
          <w:lang w:val="hr-HR" w:eastAsia="sr-Latn-CS"/>
        </w:rPr>
        <w:t>e tokom prvih 6 ned</w:t>
      </w:r>
      <w:r w:rsidR="00DD0118" w:rsidRPr="00205B79">
        <w:rPr>
          <w:rFonts w:cs="Arial Unicode MS"/>
          <w:sz w:val="22"/>
          <w:szCs w:val="22"/>
          <w:lang w:val="hr-HR" w:eastAsia="sr-Latn-CS"/>
        </w:rPr>
        <w:t>j</w:t>
      </w:r>
      <w:r w:rsidRPr="00205B79">
        <w:rPr>
          <w:rFonts w:cs="Arial Unicode MS"/>
          <w:sz w:val="22"/>
          <w:szCs w:val="22"/>
          <w:lang w:val="hr-HR" w:eastAsia="sr-Latn-CS"/>
        </w:rPr>
        <w:t xml:space="preserve">elja od uvođenja terapije </w:t>
      </w:r>
      <w:r w:rsidRPr="00205B79">
        <w:rPr>
          <w:rFonts w:cs="Arial Unicode MS"/>
          <w:bCs/>
          <w:sz w:val="22"/>
          <w:szCs w:val="22"/>
          <w:lang w:val="hr-HR" w:eastAsia="sr-Latn-CS"/>
        </w:rPr>
        <w:t xml:space="preserve">ruksolitiniba </w:t>
      </w:r>
      <w:r w:rsidRPr="00205B79">
        <w:rPr>
          <w:rFonts w:cs="Arial Unicode MS"/>
          <w:sz w:val="22"/>
          <w:szCs w:val="22"/>
          <w:lang w:val="hr-HR" w:eastAsia="sr-Latn-CS"/>
        </w:rPr>
        <w:t>pa kako je klinički indikovano nakon što im se funkcija jetre i krvna slika stabilizuju.</w:t>
      </w:r>
    </w:p>
    <w:p w14:paraId="5F49E7DE" w14:textId="77777777" w:rsidR="0015535A" w:rsidRPr="00F37492" w:rsidRDefault="0015535A" w:rsidP="000A557B">
      <w:pPr>
        <w:jc w:val="both"/>
        <w:rPr>
          <w:rFonts w:cs="Arial Unicode MS"/>
          <w:sz w:val="22"/>
          <w:szCs w:val="22"/>
          <w:u w:val="single"/>
          <w:lang w:val="hr-HR" w:eastAsia="sr-Latn-CS"/>
        </w:rPr>
      </w:pPr>
    </w:p>
    <w:p w14:paraId="7E57EF17" w14:textId="6E9C3804" w:rsidR="00F37492" w:rsidRDefault="00F37492" w:rsidP="000A557B">
      <w:pPr>
        <w:jc w:val="both"/>
        <w:rPr>
          <w:sz w:val="22"/>
          <w:szCs w:val="22"/>
          <w:u w:val="single"/>
          <w:lang w:val="hr-HR" w:eastAsia="sr-Latn-CS"/>
        </w:rPr>
      </w:pPr>
      <w:r w:rsidRPr="00F37492">
        <w:rPr>
          <w:sz w:val="22"/>
          <w:szCs w:val="22"/>
          <w:u w:val="single"/>
          <w:lang w:val="hr-HR" w:eastAsia="sr-Latn-CS"/>
        </w:rPr>
        <w:t>Interakcije</w:t>
      </w:r>
    </w:p>
    <w:p w14:paraId="7A1DED62" w14:textId="77777777" w:rsidR="00D83177" w:rsidRPr="00F37492" w:rsidRDefault="00D83177" w:rsidP="000A557B">
      <w:pPr>
        <w:jc w:val="both"/>
        <w:rPr>
          <w:rFonts w:cs="Arial Unicode MS"/>
          <w:sz w:val="22"/>
          <w:szCs w:val="22"/>
          <w:lang w:val="hr-HR" w:eastAsia="sr-Latn-ME"/>
        </w:rPr>
      </w:pPr>
    </w:p>
    <w:p w14:paraId="0E7C409E" w14:textId="4693CC45" w:rsidR="00F37492" w:rsidRPr="00F37492" w:rsidRDefault="00F37492" w:rsidP="000A557B">
      <w:pPr>
        <w:jc w:val="both"/>
        <w:rPr>
          <w:sz w:val="22"/>
          <w:szCs w:val="22"/>
          <w:lang w:val="hr-HR" w:eastAsia="sr-Latn-CS"/>
        </w:rPr>
      </w:pPr>
      <w:r w:rsidRPr="00F37492">
        <w:rPr>
          <w:sz w:val="22"/>
          <w:szCs w:val="22"/>
          <w:lang w:val="hr-HR" w:eastAsia="sr-Latn-CS"/>
        </w:rPr>
        <w:t xml:space="preserve">Ako se lijek Jakavi daje istovremeno sa snažnim inhibitorima CYP3A4 ili dvojnim inhibitorima enzima CYP2C9 i CYP3A4 (npr. flukonazol) njegova doza treba da se smanji za približno 50% i primjenjuje dva puta dnevno (vidjeti </w:t>
      </w:r>
      <w:r w:rsidR="00D83177">
        <w:rPr>
          <w:sz w:val="22"/>
          <w:szCs w:val="22"/>
          <w:lang w:val="hr-HR" w:eastAsia="sr-Latn-CS"/>
        </w:rPr>
        <w:t>djelove</w:t>
      </w:r>
      <w:r w:rsidR="00D83177" w:rsidRPr="00F37492">
        <w:rPr>
          <w:sz w:val="22"/>
          <w:szCs w:val="22"/>
          <w:lang w:val="hr-HR" w:eastAsia="sr-Latn-CS"/>
        </w:rPr>
        <w:t xml:space="preserve"> </w:t>
      </w:r>
      <w:r w:rsidRPr="00F37492">
        <w:rPr>
          <w:sz w:val="22"/>
          <w:szCs w:val="22"/>
          <w:lang w:val="hr-HR" w:eastAsia="sr-Latn-CS"/>
        </w:rPr>
        <w:t>4.2 i 4.5).</w:t>
      </w:r>
    </w:p>
    <w:p w14:paraId="4FC7A4C5" w14:textId="77777777" w:rsidR="00F37492" w:rsidRDefault="00F37492" w:rsidP="000A557B">
      <w:pPr>
        <w:jc w:val="both"/>
        <w:rPr>
          <w:rFonts w:cs="Arial Unicode MS"/>
          <w:sz w:val="22"/>
          <w:szCs w:val="22"/>
          <w:lang w:val="hr-HR" w:eastAsia="sr-Latn-ME"/>
        </w:rPr>
      </w:pPr>
    </w:p>
    <w:p w14:paraId="74A9CFED" w14:textId="72E2B73D" w:rsidR="0015535A" w:rsidRPr="0015535A" w:rsidRDefault="0015535A" w:rsidP="0015535A">
      <w:pPr>
        <w:jc w:val="both"/>
        <w:rPr>
          <w:rFonts w:cs="Arial Unicode MS"/>
          <w:sz w:val="22"/>
          <w:szCs w:val="22"/>
          <w:lang w:val="hr-HR" w:eastAsia="sr-Latn-ME"/>
        </w:rPr>
      </w:pPr>
      <w:r w:rsidRPr="0015535A">
        <w:rPr>
          <w:rFonts w:cs="Arial Unicode MS"/>
          <w:sz w:val="22"/>
          <w:szCs w:val="22"/>
          <w:lang w:val="hr-HR" w:eastAsia="sr-Latn-ME"/>
        </w:rPr>
        <w:lastRenderedPageBreak/>
        <w:t>Preporučuje se učestalije praćenje (npr. dva puta ned</w:t>
      </w:r>
      <w:r w:rsidR="00DD0118">
        <w:rPr>
          <w:rFonts w:cs="Arial Unicode MS"/>
          <w:sz w:val="22"/>
          <w:szCs w:val="22"/>
          <w:lang w:val="hr-HR" w:eastAsia="sr-Latn-ME"/>
        </w:rPr>
        <w:t>j</w:t>
      </w:r>
      <w:r w:rsidRPr="0015535A">
        <w:rPr>
          <w:rFonts w:cs="Arial Unicode MS"/>
          <w:sz w:val="22"/>
          <w:szCs w:val="22"/>
          <w:lang w:val="hr-HR" w:eastAsia="sr-Latn-ME"/>
        </w:rPr>
        <w:t>eljno) hematoloških parametara, kliničkih znakova i simptoma neželjenih reakcija na l</w:t>
      </w:r>
      <w:r w:rsidR="00DD0118">
        <w:rPr>
          <w:rFonts w:cs="Arial Unicode MS"/>
          <w:sz w:val="22"/>
          <w:szCs w:val="22"/>
          <w:lang w:val="hr-HR" w:eastAsia="sr-Latn-ME"/>
        </w:rPr>
        <w:t>ij</w:t>
      </w:r>
      <w:r w:rsidRPr="0015535A">
        <w:rPr>
          <w:rFonts w:cs="Arial Unicode MS"/>
          <w:sz w:val="22"/>
          <w:szCs w:val="22"/>
          <w:lang w:val="hr-HR" w:eastAsia="sr-Latn-ME"/>
        </w:rPr>
        <w:t>ek povezanih sa ruksolitinibom tokom prim</w:t>
      </w:r>
      <w:r w:rsidR="00DD0118">
        <w:rPr>
          <w:rFonts w:cs="Arial Unicode MS"/>
          <w:sz w:val="22"/>
          <w:szCs w:val="22"/>
          <w:lang w:val="hr-HR" w:eastAsia="sr-Latn-ME"/>
        </w:rPr>
        <w:t>j</w:t>
      </w:r>
      <w:r w:rsidRPr="0015535A">
        <w:rPr>
          <w:rFonts w:cs="Arial Unicode MS"/>
          <w:sz w:val="22"/>
          <w:szCs w:val="22"/>
          <w:lang w:val="hr-HR" w:eastAsia="sr-Latn-ME"/>
        </w:rPr>
        <w:t>ene snažnih inhibitora CYP3A4 ili dvostrukih inhibitora enzima CYP2C9 i CYP3A4.</w:t>
      </w:r>
    </w:p>
    <w:p w14:paraId="4FD73F38" w14:textId="77777777" w:rsidR="0015535A" w:rsidRPr="00F37492" w:rsidRDefault="0015535A" w:rsidP="000A557B">
      <w:pPr>
        <w:jc w:val="both"/>
        <w:rPr>
          <w:rFonts w:cs="Arial Unicode MS"/>
          <w:sz w:val="22"/>
          <w:szCs w:val="22"/>
          <w:lang w:val="hr-HR" w:eastAsia="sr-Latn-ME"/>
        </w:rPr>
      </w:pPr>
    </w:p>
    <w:p w14:paraId="3908FC53" w14:textId="1C4BA986" w:rsidR="00F37492" w:rsidRPr="00F37492" w:rsidRDefault="00F37492" w:rsidP="000A557B">
      <w:pPr>
        <w:jc w:val="both"/>
        <w:rPr>
          <w:rFonts w:cs="Arial Unicode MS"/>
          <w:sz w:val="22"/>
          <w:szCs w:val="22"/>
          <w:lang w:val="hr-HR" w:eastAsia="sr-Latn-ME"/>
        </w:rPr>
      </w:pPr>
      <w:r w:rsidRPr="00F37492">
        <w:rPr>
          <w:sz w:val="22"/>
          <w:szCs w:val="22"/>
          <w:lang w:val="hr-HR" w:eastAsia="sr-Latn-CS"/>
        </w:rPr>
        <w:t xml:space="preserve">Istovremena upotreba citoreduktivnih terapija sa lijekom Jakavi povezana je sa citopenijama koje se mogu kontrolisati (vidjeti </w:t>
      </w:r>
      <w:r w:rsidR="00D83177">
        <w:rPr>
          <w:sz w:val="22"/>
          <w:szCs w:val="22"/>
          <w:lang w:val="hr-HR" w:eastAsia="sr-Latn-CS"/>
        </w:rPr>
        <w:t>dio</w:t>
      </w:r>
      <w:r w:rsidR="00D83177" w:rsidRPr="00F37492">
        <w:rPr>
          <w:sz w:val="22"/>
          <w:szCs w:val="22"/>
          <w:lang w:val="hr-HR" w:eastAsia="sr-Latn-CS"/>
        </w:rPr>
        <w:t xml:space="preserve"> </w:t>
      </w:r>
      <w:r w:rsidRPr="00F37492">
        <w:rPr>
          <w:sz w:val="22"/>
          <w:szCs w:val="22"/>
          <w:lang w:val="hr-HR" w:eastAsia="sr-Latn-CS"/>
        </w:rPr>
        <w:t>4.2 za modifikaciju doze tokom citopenije).</w:t>
      </w:r>
    </w:p>
    <w:p w14:paraId="28C4BF11" w14:textId="77777777" w:rsidR="00F37492" w:rsidRPr="00F37492" w:rsidRDefault="00F37492" w:rsidP="000A557B">
      <w:pPr>
        <w:jc w:val="both"/>
        <w:rPr>
          <w:rFonts w:cs="Arial Unicode MS"/>
          <w:sz w:val="22"/>
          <w:szCs w:val="22"/>
          <w:u w:val="single"/>
          <w:lang w:val="hr-HR" w:eastAsia="sr-Latn-CS"/>
        </w:rPr>
      </w:pPr>
    </w:p>
    <w:p w14:paraId="1EE2AA85" w14:textId="77777777" w:rsidR="00F37492" w:rsidRDefault="00F37492" w:rsidP="000A557B">
      <w:pPr>
        <w:jc w:val="both"/>
        <w:rPr>
          <w:sz w:val="22"/>
          <w:szCs w:val="22"/>
          <w:u w:val="single"/>
          <w:lang w:val="hr-HR" w:eastAsia="sr-Latn-CS"/>
        </w:rPr>
      </w:pPr>
      <w:r w:rsidRPr="00F37492">
        <w:rPr>
          <w:sz w:val="22"/>
          <w:szCs w:val="22"/>
          <w:u w:val="single"/>
          <w:lang w:val="hr-HR" w:eastAsia="sr-Latn-CS"/>
        </w:rPr>
        <w:t>Dejstvo nagle obustave lijeka</w:t>
      </w:r>
    </w:p>
    <w:p w14:paraId="0B0A6C53" w14:textId="77777777" w:rsidR="00EB53EB" w:rsidRPr="00F37492" w:rsidRDefault="00EB53EB" w:rsidP="000A557B">
      <w:pPr>
        <w:jc w:val="both"/>
        <w:rPr>
          <w:rFonts w:cs="Arial Unicode MS"/>
          <w:sz w:val="22"/>
          <w:szCs w:val="22"/>
          <w:lang w:val="hr-HR" w:eastAsia="sr-Latn-ME"/>
        </w:rPr>
      </w:pPr>
    </w:p>
    <w:p w14:paraId="78B484C2" w14:textId="77777777" w:rsidR="00F37492" w:rsidRPr="00F37492" w:rsidRDefault="00F37492" w:rsidP="000A557B">
      <w:pPr>
        <w:jc w:val="both"/>
        <w:rPr>
          <w:sz w:val="22"/>
          <w:szCs w:val="22"/>
          <w:lang w:val="hr-HR" w:eastAsia="sr-Latn-CS"/>
        </w:rPr>
      </w:pPr>
      <w:r w:rsidRPr="00F37492">
        <w:rPr>
          <w:sz w:val="22"/>
          <w:szCs w:val="22"/>
          <w:lang w:val="hr-HR" w:eastAsia="sr-Latn-CS"/>
        </w:rPr>
        <w:t>Po obustavi ili potpunom prekidu terapije lijekom Jakavi, moguće je da se simptomi MF ponovo jave u periodu od približno nedjelju dana. Bilo je slučajeva da su pacijenti koji su prestali da uzimaju lijek Jakavi, doživjeli i teže neželjene događaje, a posebno u slučaju istovremenog prisustva druge bolesti. Nije utvrđeno da li je nagla obustava lijeka Jakavi doprinijela ovim događajima. Osim ako nagla obustava nije neophodna, trebalo bi razmotriti postepeno smanjivanje doze lijeka Jakavi, iako nije dokazana korist od postepenog smanjivanja doze.</w:t>
      </w:r>
    </w:p>
    <w:p w14:paraId="4055FB84" w14:textId="77777777" w:rsidR="00F37492" w:rsidRPr="00F37492" w:rsidRDefault="00F37492" w:rsidP="000A557B">
      <w:pPr>
        <w:jc w:val="both"/>
        <w:rPr>
          <w:rFonts w:cs="Arial Unicode MS"/>
          <w:sz w:val="22"/>
          <w:szCs w:val="22"/>
          <w:u w:val="single"/>
          <w:lang w:val="hr-HR" w:eastAsia="sr-Latn-CS"/>
        </w:rPr>
      </w:pPr>
    </w:p>
    <w:p w14:paraId="3D9EC64D" w14:textId="09DB3190" w:rsidR="00F37492" w:rsidRDefault="00F37492" w:rsidP="000A557B">
      <w:pPr>
        <w:jc w:val="both"/>
        <w:rPr>
          <w:sz w:val="22"/>
          <w:szCs w:val="22"/>
          <w:u w:val="single"/>
          <w:lang w:val="hr-HR" w:eastAsia="sr-Latn-CS"/>
        </w:rPr>
      </w:pPr>
      <w:r w:rsidRPr="00F37492">
        <w:rPr>
          <w:sz w:val="22"/>
          <w:szCs w:val="22"/>
          <w:u w:val="single"/>
          <w:lang w:val="hr-HR" w:eastAsia="sr-Latn-CS"/>
        </w:rPr>
        <w:t>Pomoćne supstance</w:t>
      </w:r>
      <w:r w:rsidR="0015535A" w:rsidRPr="0015535A">
        <w:rPr>
          <w:sz w:val="22"/>
          <w:szCs w:val="22"/>
          <w:u w:val="single"/>
          <w:lang w:val="it-IT" w:eastAsia="sr-Latn-CS"/>
        </w:rPr>
        <w:t xml:space="preserve"> sa poznatim dejstvom</w:t>
      </w:r>
    </w:p>
    <w:p w14:paraId="52D56AA5" w14:textId="77777777" w:rsidR="00D83177" w:rsidRPr="00F37492" w:rsidRDefault="00D83177" w:rsidP="000A557B">
      <w:pPr>
        <w:jc w:val="both"/>
        <w:rPr>
          <w:rFonts w:cs="Arial Unicode MS"/>
          <w:sz w:val="22"/>
          <w:szCs w:val="22"/>
          <w:lang w:val="hr-HR" w:eastAsia="sr-Latn-ME"/>
        </w:rPr>
      </w:pPr>
    </w:p>
    <w:p w14:paraId="0F2A5F87" w14:textId="77777777" w:rsidR="00F37492" w:rsidRPr="00F37492" w:rsidRDefault="00F37492" w:rsidP="000A557B">
      <w:pPr>
        <w:jc w:val="both"/>
        <w:rPr>
          <w:sz w:val="22"/>
          <w:szCs w:val="22"/>
          <w:lang w:val="hr-HR" w:eastAsia="sr-Latn-CS"/>
        </w:rPr>
      </w:pPr>
      <w:r w:rsidRPr="00F37492">
        <w:rPr>
          <w:sz w:val="22"/>
          <w:szCs w:val="22"/>
          <w:lang w:val="hr-HR" w:eastAsia="sr-Latn-CS"/>
        </w:rPr>
        <w:t>Lijek Jakavi sadrži laktozu, monohidrat. Pacijenti sa rijetkim, nasljednim problemima nepodnošenja galaktoze, deficijencijom Lapp laktaze ili glukozno-galaktoznom malapsorpcijom ne treba da uzimaju ovaj lijek.</w:t>
      </w:r>
    </w:p>
    <w:p w14:paraId="679F7291" w14:textId="77777777" w:rsidR="00F37492" w:rsidRPr="00F37492" w:rsidRDefault="00F37492" w:rsidP="000A557B">
      <w:pPr>
        <w:jc w:val="both"/>
        <w:rPr>
          <w:color w:val="000000"/>
          <w:sz w:val="22"/>
          <w:szCs w:val="22"/>
          <w:lang w:val="hr-HR"/>
        </w:rPr>
      </w:pPr>
    </w:p>
    <w:p w14:paraId="7AB6DABA" w14:textId="56B534FB" w:rsidR="00057E35" w:rsidRPr="00214D6C" w:rsidRDefault="00F37492" w:rsidP="00214D6C">
      <w:pPr>
        <w:jc w:val="both"/>
        <w:rPr>
          <w:color w:val="000000"/>
          <w:sz w:val="22"/>
          <w:szCs w:val="22"/>
          <w:lang w:val="hr-HR"/>
        </w:rPr>
      </w:pPr>
      <w:r w:rsidRPr="00F37492">
        <w:rPr>
          <w:color w:val="000000"/>
          <w:sz w:val="22"/>
          <w:szCs w:val="22"/>
          <w:lang w:val="hr-HR"/>
        </w:rPr>
        <w:t>Lijek Jakavi sadrži manje od 1 mmol (23 mg) natrijuma po tableti, odnosno suštinski je bez natrijuma.</w:t>
      </w:r>
    </w:p>
    <w:p w14:paraId="3A2855EC" w14:textId="77777777" w:rsidR="00FE59C9" w:rsidRDefault="00FE59C9" w:rsidP="000A557B">
      <w:pPr>
        <w:tabs>
          <w:tab w:val="left" w:pos="540"/>
          <w:tab w:val="left" w:pos="569"/>
        </w:tabs>
        <w:jc w:val="both"/>
        <w:rPr>
          <w:b/>
          <w:bCs/>
          <w:sz w:val="22"/>
          <w:szCs w:val="22"/>
        </w:rPr>
      </w:pPr>
    </w:p>
    <w:p w14:paraId="53F21631" w14:textId="4BF9686F" w:rsidR="00411B4B" w:rsidRDefault="00411B4B" w:rsidP="000A557B">
      <w:pPr>
        <w:tabs>
          <w:tab w:val="left" w:pos="540"/>
          <w:tab w:val="left" w:pos="569"/>
        </w:tabs>
        <w:jc w:val="both"/>
        <w:rPr>
          <w:b/>
          <w:bCs/>
          <w:sz w:val="22"/>
          <w:szCs w:val="22"/>
        </w:rPr>
      </w:pPr>
      <w:r w:rsidRPr="00BD73AB">
        <w:rPr>
          <w:b/>
          <w:bCs/>
          <w:sz w:val="22"/>
          <w:szCs w:val="22"/>
        </w:rPr>
        <w:t>4.5.</w:t>
      </w:r>
      <w:r w:rsidR="00D83177" w:rsidRPr="00BD73AB">
        <w:rPr>
          <w:b/>
          <w:bCs/>
          <w:sz w:val="22"/>
          <w:szCs w:val="22"/>
        </w:rPr>
        <w:t xml:space="preserve"> </w:t>
      </w:r>
      <w:r w:rsidRPr="00BD73AB">
        <w:rPr>
          <w:b/>
          <w:bCs/>
          <w:sz w:val="22"/>
          <w:szCs w:val="22"/>
        </w:rPr>
        <w:t>Interakcije sa drugim ljekovima i druge vrste interakcija</w:t>
      </w:r>
    </w:p>
    <w:p w14:paraId="5D7B7995" w14:textId="77777777" w:rsidR="00D83177" w:rsidRDefault="00D83177" w:rsidP="000A557B">
      <w:pPr>
        <w:tabs>
          <w:tab w:val="left" w:pos="540"/>
          <w:tab w:val="left" w:pos="569"/>
        </w:tabs>
        <w:jc w:val="both"/>
        <w:rPr>
          <w:b/>
          <w:bCs/>
          <w:sz w:val="22"/>
          <w:szCs w:val="22"/>
        </w:rPr>
      </w:pPr>
    </w:p>
    <w:p w14:paraId="0F1638BC" w14:textId="77777777" w:rsidR="00F37492" w:rsidRPr="00F37492" w:rsidRDefault="00F37492" w:rsidP="000A557B">
      <w:pPr>
        <w:jc w:val="both"/>
        <w:rPr>
          <w:rFonts w:cs="Arial Unicode MS"/>
          <w:bCs/>
          <w:sz w:val="22"/>
          <w:szCs w:val="22"/>
          <w:lang w:val="ru-RU" w:eastAsia="sr-Latn-ME"/>
        </w:rPr>
      </w:pPr>
      <w:r w:rsidRPr="00F37492">
        <w:rPr>
          <w:sz w:val="22"/>
          <w:szCs w:val="22"/>
          <w:lang w:val="hr-HR" w:eastAsia="sr-Latn-CS"/>
        </w:rPr>
        <w:t>Ispitivanja</w:t>
      </w:r>
      <w:r w:rsidRPr="00F37492">
        <w:rPr>
          <w:bCs/>
          <w:sz w:val="22"/>
          <w:szCs w:val="22"/>
          <w:lang w:val="ru-RU" w:eastAsia="sr-Latn-ME"/>
        </w:rPr>
        <w:t xml:space="preserve"> </w:t>
      </w:r>
      <w:r w:rsidRPr="00F37492">
        <w:rPr>
          <w:bCs/>
          <w:sz w:val="22"/>
          <w:szCs w:val="22"/>
          <w:lang w:val="hr-HR" w:eastAsia="sr-Latn-ME"/>
        </w:rPr>
        <w:t>interakcija</w:t>
      </w:r>
      <w:r w:rsidRPr="00F37492">
        <w:rPr>
          <w:bCs/>
          <w:sz w:val="22"/>
          <w:szCs w:val="22"/>
          <w:lang w:val="ru-RU" w:eastAsia="sr-Latn-ME"/>
        </w:rPr>
        <w:t xml:space="preserve"> </w:t>
      </w:r>
      <w:r w:rsidRPr="00F37492">
        <w:rPr>
          <w:bCs/>
          <w:sz w:val="22"/>
          <w:szCs w:val="22"/>
          <w:lang w:val="hr-HR" w:eastAsia="sr-Latn-ME"/>
        </w:rPr>
        <w:t>ra</w:t>
      </w:r>
      <w:r w:rsidRPr="00F37492">
        <w:rPr>
          <w:bCs/>
          <w:sz w:val="22"/>
          <w:szCs w:val="22"/>
          <w:lang w:val="ru-RU" w:eastAsia="sr-Latn-ME"/>
        </w:rPr>
        <w:t>đ</w:t>
      </w:r>
      <w:r w:rsidRPr="00F37492">
        <w:rPr>
          <w:bCs/>
          <w:sz w:val="22"/>
          <w:szCs w:val="22"/>
          <w:lang w:val="hr-HR" w:eastAsia="sr-Latn-ME"/>
        </w:rPr>
        <w:t>ena</w:t>
      </w:r>
      <w:r w:rsidRPr="00F37492">
        <w:rPr>
          <w:bCs/>
          <w:sz w:val="22"/>
          <w:szCs w:val="22"/>
          <w:lang w:val="ru-RU" w:eastAsia="sr-Latn-ME"/>
        </w:rPr>
        <w:t xml:space="preserve"> </w:t>
      </w:r>
      <w:r w:rsidRPr="00F37492">
        <w:rPr>
          <w:bCs/>
          <w:sz w:val="22"/>
          <w:szCs w:val="22"/>
          <w:lang w:val="hr-HR" w:eastAsia="sr-Latn-ME"/>
        </w:rPr>
        <w:t>su</w:t>
      </w:r>
      <w:r w:rsidRPr="00F37492">
        <w:rPr>
          <w:bCs/>
          <w:sz w:val="22"/>
          <w:szCs w:val="22"/>
          <w:lang w:val="ru-RU" w:eastAsia="sr-Latn-ME"/>
        </w:rPr>
        <w:t xml:space="preserve"> </w:t>
      </w:r>
      <w:r w:rsidRPr="00F37492">
        <w:rPr>
          <w:bCs/>
          <w:sz w:val="22"/>
          <w:szCs w:val="22"/>
          <w:lang w:val="hr-HR" w:eastAsia="sr-Latn-ME"/>
        </w:rPr>
        <w:t>samo</w:t>
      </w:r>
      <w:r w:rsidRPr="00F37492">
        <w:rPr>
          <w:bCs/>
          <w:sz w:val="22"/>
          <w:szCs w:val="22"/>
          <w:lang w:val="ru-RU" w:eastAsia="sr-Latn-ME"/>
        </w:rPr>
        <w:t xml:space="preserve"> </w:t>
      </w:r>
      <w:r w:rsidRPr="00F37492">
        <w:rPr>
          <w:bCs/>
          <w:sz w:val="22"/>
          <w:szCs w:val="22"/>
          <w:lang w:val="hr-HR" w:eastAsia="sr-Latn-ME"/>
        </w:rPr>
        <w:t>kod</w:t>
      </w:r>
      <w:r w:rsidRPr="00F37492">
        <w:rPr>
          <w:bCs/>
          <w:sz w:val="22"/>
          <w:szCs w:val="22"/>
          <w:lang w:val="ru-RU" w:eastAsia="sr-Latn-ME"/>
        </w:rPr>
        <w:t xml:space="preserve"> </w:t>
      </w:r>
      <w:r w:rsidRPr="00F37492">
        <w:rPr>
          <w:bCs/>
          <w:sz w:val="22"/>
          <w:szCs w:val="22"/>
          <w:lang w:val="hr-HR" w:eastAsia="sr-Latn-ME"/>
        </w:rPr>
        <w:t>odraslih</w:t>
      </w:r>
      <w:r w:rsidRPr="00F37492">
        <w:rPr>
          <w:bCs/>
          <w:sz w:val="22"/>
          <w:szCs w:val="22"/>
          <w:lang w:val="ru-RU" w:eastAsia="sr-Latn-ME"/>
        </w:rPr>
        <w:t>.</w:t>
      </w:r>
    </w:p>
    <w:p w14:paraId="628B2C62" w14:textId="77777777" w:rsidR="00F37492" w:rsidRPr="00F37492" w:rsidRDefault="00F37492" w:rsidP="000A557B">
      <w:pPr>
        <w:keepNext/>
        <w:keepLines/>
        <w:jc w:val="both"/>
        <w:outlineLvl w:val="0"/>
        <w:rPr>
          <w:rFonts w:cs="Arial Unicode MS"/>
          <w:sz w:val="22"/>
          <w:szCs w:val="22"/>
          <w:lang w:val="ru-RU" w:eastAsia="sr-Latn-ME"/>
        </w:rPr>
      </w:pPr>
    </w:p>
    <w:p w14:paraId="10328C43" w14:textId="77777777" w:rsidR="00F37492" w:rsidRPr="00F37492" w:rsidRDefault="00F37492" w:rsidP="000A557B">
      <w:pPr>
        <w:jc w:val="both"/>
        <w:rPr>
          <w:rFonts w:cs="Arial Unicode MS"/>
          <w:sz w:val="22"/>
          <w:szCs w:val="22"/>
          <w:lang w:val="ru-RU" w:eastAsia="sr-Latn-ME"/>
        </w:rPr>
      </w:pPr>
      <w:r w:rsidRPr="00F37492">
        <w:rPr>
          <w:sz w:val="22"/>
          <w:szCs w:val="22"/>
          <w:lang w:val="hr-HR" w:eastAsia="sr-Latn-CS"/>
        </w:rPr>
        <w:t>Ruksolitinib</w:t>
      </w:r>
      <w:r w:rsidRPr="00F37492">
        <w:rPr>
          <w:sz w:val="22"/>
          <w:szCs w:val="22"/>
          <w:lang w:val="ru-RU" w:eastAsia="sr-Latn-CS"/>
        </w:rPr>
        <w:t xml:space="preserve"> </w:t>
      </w:r>
      <w:r w:rsidRPr="00F37492">
        <w:rPr>
          <w:sz w:val="22"/>
          <w:szCs w:val="22"/>
          <w:lang w:val="hr-HR" w:eastAsia="sr-Latn-CS"/>
        </w:rPr>
        <w:t>se</w:t>
      </w:r>
      <w:r w:rsidRPr="00F37492">
        <w:rPr>
          <w:sz w:val="22"/>
          <w:szCs w:val="22"/>
          <w:lang w:val="ru-RU" w:eastAsia="sr-Latn-CS"/>
        </w:rPr>
        <w:t xml:space="preserve"> </w:t>
      </w:r>
      <w:r w:rsidRPr="00F37492">
        <w:rPr>
          <w:sz w:val="22"/>
          <w:szCs w:val="22"/>
          <w:lang w:val="hr-HR" w:eastAsia="sr-Latn-CS"/>
        </w:rPr>
        <w:t>elimini</w:t>
      </w:r>
      <w:r w:rsidRPr="00F37492">
        <w:rPr>
          <w:sz w:val="22"/>
          <w:szCs w:val="22"/>
          <w:lang w:val="ru-RU" w:eastAsia="sr-Latn-CS"/>
        </w:rPr>
        <w:t>š</w:t>
      </w:r>
      <w:r w:rsidRPr="00F37492">
        <w:rPr>
          <w:sz w:val="22"/>
          <w:szCs w:val="22"/>
          <w:lang w:val="hr-HR" w:eastAsia="sr-Latn-CS"/>
        </w:rPr>
        <w:t>e</w:t>
      </w:r>
      <w:r w:rsidRPr="00F37492">
        <w:rPr>
          <w:sz w:val="22"/>
          <w:szCs w:val="22"/>
          <w:lang w:val="ru-RU" w:eastAsia="sr-Latn-CS"/>
        </w:rPr>
        <w:t xml:space="preserve"> </w:t>
      </w:r>
      <w:r w:rsidRPr="00F37492">
        <w:rPr>
          <w:sz w:val="22"/>
          <w:szCs w:val="22"/>
          <w:lang w:val="hr-HR" w:eastAsia="sr-Latn-CS"/>
        </w:rPr>
        <w:t>metabolisanjem</w:t>
      </w:r>
      <w:r w:rsidRPr="00F37492">
        <w:rPr>
          <w:sz w:val="22"/>
          <w:szCs w:val="22"/>
          <w:lang w:val="ru-RU" w:eastAsia="sr-Latn-CS"/>
        </w:rPr>
        <w:t xml:space="preserve"> </w:t>
      </w:r>
      <w:r w:rsidRPr="00F37492">
        <w:rPr>
          <w:sz w:val="22"/>
          <w:szCs w:val="22"/>
          <w:lang w:val="hr-HR" w:eastAsia="sr-Latn-CS"/>
        </w:rPr>
        <w:t>putem</w:t>
      </w:r>
      <w:r w:rsidRPr="00F37492">
        <w:rPr>
          <w:sz w:val="22"/>
          <w:szCs w:val="22"/>
          <w:lang w:val="ru-RU" w:eastAsia="sr-Latn-CS"/>
        </w:rPr>
        <w:t xml:space="preserve"> </w:t>
      </w:r>
      <w:r w:rsidRPr="00F37492">
        <w:rPr>
          <w:sz w:val="22"/>
          <w:szCs w:val="22"/>
          <w:lang w:val="hr-HR" w:eastAsia="sr-Latn-CS"/>
        </w:rPr>
        <w:t>CYP</w:t>
      </w:r>
      <w:r w:rsidRPr="00F37492">
        <w:rPr>
          <w:sz w:val="22"/>
          <w:szCs w:val="22"/>
          <w:lang w:val="ru-RU" w:eastAsia="sr-Latn-CS"/>
        </w:rPr>
        <w:t>3</w:t>
      </w:r>
      <w:r w:rsidRPr="00F37492">
        <w:rPr>
          <w:sz w:val="22"/>
          <w:szCs w:val="22"/>
          <w:lang w:val="hr-HR" w:eastAsia="sr-Latn-CS"/>
        </w:rPr>
        <w:t>A</w:t>
      </w:r>
      <w:r w:rsidRPr="00F37492">
        <w:rPr>
          <w:sz w:val="22"/>
          <w:szCs w:val="22"/>
          <w:lang w:val="ru-RU" w:eastAsia="sr-Latn-CS"/>
        </w:rPr>
        <w:t xml:space="preserve">4 </w:t>
      </w:r>
      <w:r w:rsidRPr="00F37492">
        <w:rPr>
          <w:sz w:val="22"/>
          <w:szCs w:val="22"/>
          <w:lang w:val="hr-HR" w:eastAsia="sr-Latn-CS"/>
        </w:rPr>
        <w:t>i</w:t>
      </w:r>
      <w:r w:rsidRPr="00F37492">
        <w:rPr>
          <w:sz w:val="22"/>
          <w:szCs w:val="22"/>
          <w:lang w:val="ru-RU" w:eastAsia="sr-Latn-CS"/>
        </w:rPr>
        <w:t xml:space="preserve"> </w:t>
      </w:r>
      <w:r w:rsidRPr="00F37492">
        <w:rPr>
          <w:sz w:val="22"/>
          <w:szCs w:val="22"/>
          <w:lang w:val="hr-HR" w:eastAsia="sr-Latn-CS"/>
        </w:rPr>
        <w:t>CYP</w:t>
      </w:r>
      <w:r w:rsidRPr="00F37492">
        <w:rPr>
          <w:sz w:val="22"/>
          <w:szCs w:val="22"/>
          <w:lang w:val="ru-RU" w:eastAsia="sr-Latn-CS"/>
        </w:rPr>
        <w:t>2</w:t>
      </w:r>
      <w:r w:rsidRPr="00F37492">
        <w:rPr>
          <w:sz w:val="22"/>
          <w:szCs w:val="22"/>
          <w:lang w:val="hr-HR" w:eastAsia="sr-Latn-CS"/>
        </w:rPr>
        <w:t>C</w:t>
      </w:r>
      <w:r w:rsidRPr="00F37492">
        <w:rPr>
          <w:sz w:val="22"/>
          <w:szCs w:val="22"/>
          <w:lang w:val="ru-RU" w:eastAsia="sr-Latn-CS"/>
        </w:rPr>
        <w:t xml:space="preserve">9. </w:t>
      </w:r>
      <w:r w:rsidRPr="00F37492">
        <w:rPr>
          <w:sz w:val="22"/>
          <w:szCs w:val="22"/>
          <w:lang w:val="it-IT" w:eastAsia="sr-Latn-CS"/>
        </w:rPr>
        <w:t>Prema</w:t>
      </w:r>
      <w:r w:rsidRPr="00F37492">
        <w:rPr>
          <w:sz w:val="22"/>
          <w:szCs w:val="22"/>
          <w:lang w:val="ru-RU" w:eastAsia="sr-Latn-CS"/>
        </w:rPr>
        <w:t xml:space="preserve"> </w:t>
      </w:r>
      <w:r w:rsidRPr="00F37492">
        <w:rPr>
          <w:sz w:val="22"/>
          <w:szCs w:val="22"/>
          <w:lang w:val="it-IT" w:eastAsia="sr-Latn-CS"/>
        </w:rPr>
        <w:t>tome</w:t>
      </w:r>
      <w:r w:rsidRPr="00F37492">
        <w:rPr>
          <w:sz w:val="22"/>
          <w:szCs w:val="22"/>
          <w:lang w:val="ru-RU" w:eastAsia="sr-Latn-CS"/>
        </w:rPr>
        <w:t xml:space="preserve">, </w:t>
      </w:r>
      <w:r w:rsidRPr="00F37492">
        <w:rPr>
          <w:sz w:val="22"/>
          <w:szCs w:val="22"/>
          <w:lang w:val="it-IT" w:eastAsia="sr-Latn-CS"/>
        </w:rPr>
        <w:t>ljekovi</w:t>
      </w:r>
      <w:r w:rsidRPr="00F37492">
        <w:rPr>
          <w:sz w:val="22"/>
          <w:szCs w:val="22"/>
          <w:lang w:val="ru-RU" w:eastAsia="sr-Latn-CS"/>
        </w:rPr>
        <w:t xml:space="preserve"> </w:t>
      </w:r>
      <w:r w:rsidRPr="00F37492">
        <w:rPr>
          <w:sz w:val="22"/>
          <w:szCs w:val="22"/>
          <w:lang w:val="it-IT" w:eastAsia="sr-Latn-CS"/>
        </w:rPr>
        <w:t>koji</w:t>
      </w:r>
      <w:r w:rsidRPr="00F37492">
        <w:rPr>
          <w:sz w:val="22"/>
          <w:szCs w:val="22"/>
          <w:lang w:val="ru-RU" w:eastAsia="sr-Latn-CS"/>
        </w:rPr>
        <w:t xml:space="preserve"> </w:t>
      </w:r>
      <w:r w:rsidRPr="00F37492">
        <w:rPr>
          <w:sz w:val="22"/>
          <w:szCs w:val="22"/>
          <w:lang w:val="it-IT" w:eastAsia="sr-Latn-CS"/>
        </w:rPr>
        <w:t>inhibiraju</w:t>
      </w:r>
      <w:r w:rsidRPr="00F37492">
        <w:rPr>
          <w:sz w:val="22"/>
          <w:szCs w:val="22"/>
          <w:lang w:val="ru-RU" w:eastAsia="sr-Latn-CS"/>
        </w:rPr>
        <w:t xml:space="preserve"> </w:t>
      </w:r>
      <w:r w:rsidRPr="00F37492">
        <w:rPr>
          <w:sz w:val="22"/>
          <w:szCs w:val="22"/>
          <w:lang w:val="it-IT" w:eastAsia="sr-Latn-CS"/>
        </w:rPr>
        <w:t>ove</w:t>
      </w:r>
      <w:r w:rsidRPr="00F37492">
        <w:rPr>
          <w:sz w:val="22"/>
          <w:szCs w:val="22"/>
          <w:lang w:val="ru-RU" w:eastAsia="sr-Latn-CS"/>
        </w:rPr>
        <w:t xml:space="preserve"> </w:t>
      </w:r>
      <w:r w:rsidRPr="00F37492">
        <w:rPr>
          <w:sz w:val="22"/>
          <w:szCs w:val="22"/>
          <w:lang w:val="it-IT" w:eastAsia="sr-Latn-CS"/>
        </w:rPr>
        <w:t>enzime</w:t>
      </w:r>
      <w:r w:rsidRPr="00F37492">
        <w:rPr>
          <w:sz w:val="22"/>
          <w:szCs w:val="22"/>
          <w:lang w:val="ru-RU" w:eastAsia="sr-Latn-CS"/>
        </w:rPr>
        <w:t xml:space="preserve"> </w:t>
      </w:r>
      <w:r w:rsidRPr="00F37492">
        <w:rPr>
          <w:sz w:val="22"/>
          <w:szCs w:val="22"/>
          <w:lang w:val="it-IT" w:eastAsia="sr-Latn-CS"/>
        </w:rPr>
        <w:t>mogu</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dovedu</w:t>
      </w:r>
      <w:r w:rsidRPr="00F37492">
        <w:rPr>
          <w:sz w:val="22"/>
          <w:szCs w:val="22"/>
          <w:lang w:val="ru-RU" w:eastAsia="sr-Latn-CS"/>
        </w:rPr>
        <w:t xml:space="preserve"> </w:t>
      </w:r>
      <w:r w:rsidRPr="00F37492">
        <w:rPr>
          <w:sz w:val="22"/>
          <w:szCs w:val="22"/>
          <w:lang w:val="it-IT" w:eastAsia="sr-Latn-CS"/>
        </w:rPr>
        <w:t>do</w:t>
      </w:r>
      <w:r w:rsidRPr="00F37492">
        <w:rPr>
          <w:sz w:val="22"/>
          <w:szCs w:val="22"/>
          <w:lang w:val="ru-RU" w:eastAsia="sr-Latn-CS"/>
        </w:rPr>
        <w:t xml:space="preserve"> </w:t>
      </w:r>
      <w:r w:rsidRPr="00F37492">
        <w:rPr>
          <w:sz w:val="22"/>
          <w:szCs w:val="22"/>
          <w:lang w:val="it-IT" w:eastAsia="sr-Latn-CS"/>
        </w:rPr>
        <w:t>pove</w:t>
      </w:r>
      <w:r w:rsidRPr="00F37492">
        <w:rPr>
          <w:sz w:val="22"/>
          <w:szCs w:val="22"/>
          <w:lang w:val="ru-RU" w:eastAsia="sr-Latn-CS"/>
        </w:rPr>
        <w:t>ć</w:t>
      </w:r>
      <w:r w:rsidRPr="00F37492">
        <w:rPr>
          <w:sz w:val="22"/>
          <w:szCs w:val="22"/>
          <w:lang w:val="it-IT" w:eastAsia="sr-Latn-CS"/>
        </w:rPr>
        <w:t>ane</w:t>
      </w:r>
      <w:r w:rsidRPr="00F37492">
        <w:rPr>
          <w:sz w:val="22"/>
          <w:szCs w:val="22"/>
          <w:lang w:val="ru-RU" w:eastAsia="sr-Latn-CS"/>
        </w:rPr>
        <w:t xml:space="preserve"> </w:t>
      </w:r>
      <w:r w:rsidRPr="00F37492">
        <w:rPr>
          <w:sz w:val="22"/>
          <w:szCs w:val="22"/>
          <w:lang w:val="it-IT" w:eastAsia="sr-Latn-CS"/>
        </w:rPr>
        <w:t>izlo</w:t>
      </w:r>
      <w:r w:rsidRPr="00F37492">
        <w:rPr>
          <w:sz w:val="22"/>
          <w:szCs w:val="22"/>
          <w:lang w:val="ru-RU" w:eastAsia="sr-Latn-CS"/>
        </w:rPr>
        <w:t>ž</w:t>
      </w:r>
      <w:r w:rsidRPr="00F37492">
        <w:rPr>
          <w:sz w:val="22"/>
          <w:szCs w:val="22"/>
          <w:lang w:val="it-IT" w:eastAsia="sr-Latn-CS"/>
        </w:rPr>
        <w:t>enosti</w:t>
      </w:r>
      <w:r w:rsidRPr="00F37492">
        <w:rPr>
          <w:sz w:val="22"/>
          <w:szCs w:val="22"/>
          <w:lang w:val="ru-RU" w:eastAsia="sr-Latn-CS"/>
        </w:rPr>
        <w:t xml:space="preserve"> </w:t>
      </w:r>
      <w:r w:rsidRPr="00F37492">
        <w:rPr>
          <w:sz w:val="22"/>
          <w:szCs w:val="22"/>
          <w:lang w:val="it-IT" w:eastAsia="sr-Latn-CS"/>
        </w:rPr>
        <w:t>ruksolitinibu</w:t>
      </w:r>
      <w:r w:rsidRPr="00F37492">
        <w:rPr>
          <w:sz w:val="22"/>
          <w:szCs w:val="22"/>
          <w:lang w:val="ru-RU" w:eastAsia="sr-Latn-CS"/>
        </w:rPr>
        <w:t>.</w:t>
      </w:r>
    </w:p>
    <w:p w14:paraId="7E3BA5F3" w14:textId="77777777" w:rsidR="00F37492" w:rsidRPr="00F37492" w:rsidRDefault="00F37492" w:rsidP="000A557B">
      <w:pPr>
        <w:jc w:val="both"/>
        <w:rPr>
          <w:sz w:val="22"/>
          <w:szCs w:val="22"/>
          <w:u w:val="single"/>
          <w:lang w:val="ru-RU" w:eastAsia="sr-Latn-CS"/>
        </w:rPr>
      </w:pPr>
    </w:p>
    <w:p w14:paraId="515A63A5" w14:textId="77777777" w:rsidR="00F37492" w:rsidRPr="00F37492" w:rsidRDefault="00F37492" w:rsidP="000A557B">
      <w:pPr>
        <w:jc w:val="both"/>
        <w:rPr>
          <w:sz w:val="22"/>
          <w:szCs w:val="22"/>
          <w:u w:val="single"/>
          <w:lang w:val="ru-RU" w:eastAsia="sr-Latn-CS"/>
        </w:rPr>
      </w:pPr>
      <w:r w:rsidRPr="00F37492">
        <w:rPr>
          <w:sz w:val="22"/>
          <w:szCs w:val="22"/>
          <w:u w:val="single"/>
          <w:lang w:val="it-IT" w:eastAsia="sr-Latn-CS"/>
        </w:rPr>
        <w:t>Interakcije</w:t>
      </w:r>
      <w:r w:rsidRPr="00F37492">
        <w:rPr>
          <w:sz w:val="22"/>
          <w:szCs w:val="22"/>
          <w:u w:val="single"/>
          <w:lang w:val="ru-RU" w:eastAsia="sr-Latn-CS"/>
        </w:rPr>
        <w:t xml:space="preserve"> </w:t>
      </w:r>
      <w:r w:rsidRPr="00F37492">
        <w:rPr>
          <w:sz w:val="22"/>
          <w:szCs w:val="22"/>
          <w:u w:val="single"/>
          <w:lang w:val="it-IT" w:eastAsia="sr-Latn-CS"/>
        </w:rPr>
        <w:t>zbog</w:t>
      </w:r>
      <w:r w:rsidRPr="00F37492">
        <w:rPr>
          <w:sz w:val="22"/>
          <w:szCs w:val="22"/>
          <w:u w:val="single"/>
          <w:lang w:val="ru-RU" w:eastAsia="sr-Latn-CS"/>
        </w:rPr>
        <w:t xml:space="preserve"> </w:t>
      </w:r>
      <w:r w:rsidRPr="00F37492">
        <w:rPr>
          <w:sz w:val="22"/>
          <w:szCs w:val="22"/>
          <w:u w:val="single"/>
          <w:lang w:val="it-IT" w:eastAsia="sr-Latn-CS"/>
        </w:rPr>
        <w:t>kojih</w:t>
      </w:r>
      <w:r w:rsidRPr="00F37492">
        <w:rPr>
          <w:sz w:val="22"/>
          <w:szCs w:val="22"/>
          <w:u w:val="single"/>
          <w:lang w:val="ru-RU" w:eastAsia="sr-Latn-CS"/>
        </w:rPr>
        <w:t xml:space="preserve"> </w:t>
      </w:r>
      <w:r w:rsidRPr="00F37492">
        <w:rPr>
          <w:sz w:val="22"/>
          <w:szCs w:val="22"/>
          <w:u w:val="single"/>
          <w:lang w:val="it-IT" w:eastAsia="sr-Latn-CS"/>
        </w:rPr>
        <w:t>dolazi</w:t>
      </w:r>
      <w:r w:rsidRPr="00F37492">
        <w:rPr>
          <w:sz w:val="22"/>
          <w:szCs w:val="22"/>
          <w:u w:val="single"/>
          <w:lang w:val="ru-RU" w:eastAsia="sr-Latn-CS"/>
        </w:rPr>
        <w:t xml:space="preserve"> </w:t>
      </w:r>
      <w:r w:rsidRPr="00F37492">
        <w:rPr>
          <w:sz w:val="22"/>
          <w:szCs w:val="22"/>
          <w:u w:val="single"/>
          <w:lang w:val="it-IT" w:eastAsia="sr-Latn-CS"/>
        </w:rPr>
        <w:t>do</w:t>
      </w:r>
      <w:r w:rsidRPr="00F37492">
        <w:rPr>
          <w:sz w:val="22"/>
          <w:szCs w:val="22"/>
          <w:u w:val="single"/>
          <w:lang w:val="ru-RU" w:eastAsia="sr-Latn-CS"/>
        </w:rPr>
        <w:t xml:space="preserve"> </w:t>
      </w:r>
      <w:r w:rsidRPr="00F37492">
        <w:rPr>
          <w:sz w:val="22"/>
          <w:szCs w:val="22"/>
          <w:u w:val="single"/>
          <w:lang w:val="it-IT" w:eastAsia="sr-Latn-CS"/>
        </w:rPr>
        <w:t>smanjenja</w:t>
      </w:r>
      <w:r w:rsidRPr="00F37492">
        <w:rPr>
          <w:sz w:val="22"/>
          <w:szCs w:val="22"/>
          <w:u w:val="single"/>
          <w:lang w:val="ru-RU" w:eastAsia="sr-Latn-CS"/>
        </w:rPr>
        <w:t xml:space="preserve"> </w:t>
      </w:r>
      <w:r w:rsidRPr="00F37492">
        <w:rPr>
          <w:sz w:val="22"/>
          <w:szCs w:val="22"/>
          <w:u w:val="single"/>
          <w:lang w:val="it-IT" w:eastAsia="sr-Latn-CS"/>
        </w:rPr>
        <w:t>doze</w:t>
      </w:r>
      <w:r w:rsidRPr="00F37492">
        <w:rPr>
          <w:sz w:val="22"/>
          <w:szCs w:val="22"/>
          <w:u w:val="single"/>
          <w:lang w:val="ru-RU" w:eastAsia="sr-Latn-CS"/>
        </w:rPr>
        <w:t xml:space="preserve"> </w:t>
      </w:r>
      <w:r w:rsidRPr="00F37492">
        <w:rPr>
          <w:sz w:val="22"/>
          <w:szCs w:val="22"/>
          <w:u w:val="single"/>
          <w:lang w:val="it-IT" w:eastAsia="sr-Latn-CS"/>
        </w:rPr>
        <w:t>ruksolitiniba</w:t>
      </w:r>
      <w:r w:rsidRPr="00F37492">
        <w:rPr>
          <w:sz w:val="22"/>
          <w:szCs w:val="22"/>
          <w:u w:val="single"/>
          <w:lang w:val="ru-RU" w:eastAsia="sr-Latn-CS"/>
        </w:rPr>
        <w:t xml:space="preserve"> </w:t>
      </w:r>
    </w:p>
    <w:p w14:paraId="13ADA143" w14:textId="77777777" w:rsidR="00F37492" w:rsidRPr="00F37492" w:rsidRDefault="00F37492" w:rsidP="000A557B">
      <w:pPr>
        <w:jc w:val="both"/>
        <w:rPr>
          <w:rFonts w:cs="Arial Unicode MS"/>
          <w:sz w:val="22"/>
          <w:szCs w:val="22"/>
          <w:u w:val="single"/>
          <w:lang w:val="ru-RU" w:eastAsia="sr-Latn-CS"/>
        </w:rPr>
      </w:pPr>
    </w:p>
    <w:p w14:paraId="07104589" w14:textId="77777777" w:rsidR="00F37492" w:rsidRPr="00F37492" w:rsidRDefault="00F37492" w:rsidP="000A557B">
      <w:pPr>
        <w:jc w:val="both"/>
        <w:rPr>
          <w:rFonts w:cs="Arial Unicode MS"/>
          <w:sz w:val="22"/>
          <w:szCs w:val="22"/>
          <w:lang w:val="ru-RU" w:eastAsia="sr-Latn-ME"/>
        </w:rPr>
      </w:pPr>
      <w:r w:rsidRPr="00F37492">
        <w:rPr>
          <w:i/>
          <w:iCs/>
          <w:sz w:val="22"/>
          <w:szCs w:val="22"/>
          <w:u w:val="single"/>
          <w:lang w:val="it-IT" w:eastAsia="sr-Latn-CS"/>
        </w:rPr>
        <w:t>Inhibitori</w:t>
      </w:r>
      <w:r w:rsidRPr="00F37492">
        <w:rPr>
          <w:i/>
          <w:iCs/>
          <w:sz w:val="22"/>
          <w:szCs w:val="22"/>
          <w:u w:val="single"/>
          <w:lang w:val="ru-RU" w:eastAsia="sr-Latn-CS"/>
        </w:rPr>
        <w:t xml:space="preserve"> </w:t>
      </w:r>
      <w:r w:rsidRPr="00F37492">
        <w:rPr>
          <w:i/>
          <w:iCs/>
          <w:sz w:val="22"/>
          <w:szCs w:val="22"/>
          <w:u w:val="single"/>
          <w:lang w:val="it-IT" w:eastAsia="sr-Latn-CS"/>
        </w:rPr>
        <w:t>CYP</w:t>
      </w:r>
      <w:r w:rsidRPr="00F37492">
        <w:rPr>
          <w:i/>
          <w:iCs/>
          <w:sz w:val="22"/>
          <w:szCs w:val="22"/>
          <w:u w:val="single"/>
          <w:lang w:val="ru-RU" w:eastAsia="sr-Latn-CS"/>
        </w:rPr>
        <w:t>3</w:t>
      </w:r>
      <w:r w:rsidRPr="00F37492">
        <w:rPr>
          <w:i/>
          <w:iCs/>
          <w:sz w:val="22"/>
          <w:szCs w:val="22"/>
          <w:u w:val="single"/>
          <w:lang w:val="it-IT" w:eastAsia="sr-Latn-CS"/>
        </w:rPr>
        <w:t>A</w:t>
      </w:r>
      <w:r w:rsidRPr="00F37492">
        <w:rPr>
          <w:i/>
          <w:iCs/>
          <w:sz w:val="22"/>
          <w:szCs w:val="22"/>
          <w:u w:val="single"/>
          <w:lang w:val="ru-RU" w:eastAsia="sr-Latn-CS"/>
        </w:rPr>
        <w:t xml:space="preserve">4 </w:t>
      </w:r>
    </w:p>
    <w:p w14:paraId="1648431B" w14:textId="77777777" w:rsidR="00F37492" w:rsidRPr="00F37492" w:rsidRDefault="00F37492" w:rsidP="000A557B">
      <w:pPr>
        <w:jc w:val="both"/>
        <w:rPr>
          <w:rFonts w:cs="Arial Unicode MS"/>
          <w:i/>
          <w:iCs/>
          <w:sz w:val="22"/>
          <w:szCs w:val="22"/>
          <w:lang w:val="ru-RU" w:eastAsia="sr-Latn-ME"/>
        </w:rPr>
      </w:pPr>
      <w:r w:rsidRPr="00F37492">
        <w:rPr>
          <w:i/>
          <w:iCs/>
          <w:sz w:val="22"/>
          <w:szCs w:val="22"/>
          <w:lang w:val="it-IT" w:eastAsia="sr-Latn-CS"/>
        </w:rPr>
        <w:t>Sna</w:t>
      </w:r>
      <w:r w:rsidRPr="00F37492">
        <w:rPr>
          <w:i/>
          <w:iCs/>
          <w:sz w:val="22"/>
          <w:szCs w:val="22"/>
          <w:lang w:val="ru-RU" w:eastAsia="sr-Latn-CS"/>
        </w:rPr>
        <w:t>ž</w:t>
      </w:r>
      <w:r w:rsidRPr="00F37492">
        <w:rPr>
          <w:i/>
          <w:iCs/>
          <w:sz w:val="22"/>
          <w:szCs w:val="22"/>
          <w:lang w:val="it-IT" w:eastAsia="sr-Latn-CS"/>
        </w:rPr>
        <w:t>ni</w:t>
      </w:r>
      <w:r w:rsidRPr="00F37492">
        <w:rPr>
          <w:i/>
          <w:iCs/>
          <w:sz w:val="22"/>
          <w:szCs w:val="22"/>
          <w:lang w:val="ru-RU" w:eastAsia="sr-Latn-CS"/>
        </w:rPr>
        <w:t xml:space="preserve"> </w:t>
      </w:r>
      <w:r w:rsidRPr="00F37492">
        <w:rPr>
          <w:i/>
          <w:iCs/>
          <w:sz w:val="22"/>
          <w:szCs w:val="22"/>
          <w:lang w:val="it-IT" w:eastAsia="sr-Latn-CS"/>
        </w:rPr>
        <w:t>CYP</w:t>
      </w:r>
      <w:r w:rsidRPr="00F37492">
        <w:rPr>
          <w:i/>
          <w:iCs/>
          <w:sz w:val="22"/>
          <w:szCs w:val="22"/>
          <w:lang w:val="ru-RU" w:eastAsia="sr-Latn-CS"/>
        </w:rPr>
        <w:t>3</w:t>
      </w:r>
      <w:r w:rsidRPr="00F37492">
        <w:rPr>
          <w:i/>
          <w:iCs/>
          <w:sz w:val="22"/>
          <w:szCs w:val="22"/>
          <w:lang w:val="it-IT" w:eastAsia="sr-Latn-CS"/>
        </w:rPr>
        <w:t>A</w:t>
      </w:r>
      <w:r w:rsidRPr="00F37492">
        <w:rPr>
          <w:i/>
          <w:iCs/>
          <w:sz w:val="22"/>
          <w:szCs w:val="22"/>
          <w:lang w:val="ru-RU" w:eastAsia="sr-Latn-CS"/>
        </w:rPr>
        <w:t xml:space="preserve">4 </w:t>
      </w:r>
      <w:r w:rsidRPr="00F37492">
        <w:rPr>
          <w:i/>
          <w:iCs/>
          <w:sz w:val="22"/>
          <w:szCs w:val="22"/>
          <w:lang w:val="it-IT" w:eastAsia="sr-Latn-CS"/>
        </w:rPr>
        <w:t>inhibitori</w:t>
      </w:r>
      <w:r w:rsidRPr="00F37492">
        <w:rPr>
          <w:i/>
          <w:iCs/>
          <w:sz w:val="22"/>
          <w:szCs w:val="22"/>
          <w:lang w:val="ru-RU" w:eastAsia="sr-Latn-CS"/>
        </w:rPr>
        <w:t xml:space="preserve"> (</w:t>
      </w:r>
      <w:r w:rsidRPr="00F37492">
        <w:rPr>
          <w:i/>
          <w:iCs/>
          <w:sz w:val="22"/>
          <w:szCs w:val="22"/>
          <w:lang w:val="it-IT" w:eastAsia="sr-Latn-CS"/>
        </w:rPr>
        <w:t>kao</w:t>
      </w:r>
      <w:r w:rsidRPr="00F37492">
        <w:rPr>
          <w:i/>
          <w:iCs/>
          <w:sz w:val="22"/>
          <w:szCs w:val="22"/>
          <w:lang w:val="ru-RU" w:eastAsia="sr-Latn-CS"/>
        </w:rPr>
        <w:t xml:space="preserve"> š</w:t>
      </w:r>
      <w:r w:rsidRPr="00F37492">
        <w:rPr>
          <w:i/>
          <w:iCs/>
          <w:sz w:val="22"/>
          <w:szCs w:val="22"/>
          <w:lang w:val="it-IT" w:eastAsia="sr-Latn-CS"/>
        </w:rPr>
        <w:t>to</w:t>
      </w:r>
      <w:r w:rsidRPr="00F37492">
        <w:rPr>
          <w:i/>
          <w:iCs/>
          <w:sz w:val="22"/>
          <w:szCs w:val="22"/>
          <w:lang w:val="ru-RU" w:eastAsia="sr-Latn-CS"/>
        </w:rPr>
        <w:t xml:space="preserve"> </w:t>
      </w:r>
      <w:r w:rsidRPr="00F37492">
        <w:rPr>
          <w:i/>
          <w:iCs/>
          <w:sz w:val="22"/>
          <w:szCs w:val="22"/>
          <w:lang w:val="it-IT" w:eastAsia="sr-Latn-CS"/>
        </w:rPr>
        <w:t>su</w:t>
      </w:r>
      <w:r w:rsidRPr="00F37492">
        <w:rPr>
          <w:i/>
          <w:iCs/>
          <w:sz w:val="22"/>
          <w:szCs w:val="22"/>
          <w:lang w:val="ru-RU" w:eastAsia="sr-Latn-CS"/>
        </w:rPr>
        <w:t xml:space="preserve">, </w:t>
      </w:r>
      <w:r w:rsidRPr="00F37492">
        <w:rPr>
          <w:i/>
          <w:iCs/>
          <w:sz w:val="22"/>
          <w:szCs w:val="22"/>
          <w:lang w:val="it-IT" w:eastAsia="sr-Latn-CS"/>
        </w:rPr>
        <w:t>izme</w:t>
      </w:r>
      <w:r w:rsidRPr="00F37492">
        <w:rPr>
          <w:i/>
          <w:iCs/>
          <w:sz w:val="22"/>
          <w:szCs w:val="22"/>
          <w:lang w:val="ru-RU" w:eastAsia="sr-Latn-CS"/>
        </w:rPr>
        <w:t>đ</w:t>
      </w:r>
      <w:r w:rsidRPr="00F37492">
        <w:rPr>
          <w:i/>
          <w:iCs/>
          <w:sz w:val="22"/>
          <w:szCs w:val="22"/>
          <w:lang w:val="it-IT" w:eastAsia="sr-Latn-CS"/>
        </w:rPr>
        <w:t>u</w:t>
      </w:r>
      <w:r w:rsidRPr="00F37492">
        <w:rPr>
          <w:i/>
          <w:iCs/>
          <w:sz w:val="22"/>
          <w:szCs w:val="22"/>
          <w:lang w:val="ru-RU" w:eastAsia="sr-Latn-CS"/>
        </w:rPr>
        <w:t xml:space="preserve"> </w:t>
      </w:r>
      <w:r w:rsidRPr="00F37492">
        <w:rPr>
          <w:i/>
          <w:iCs/>
          <w:sz w:val="22"/>
          <w:szCs w:val="22"/>
          <w:lang w:val="it-IT" w:eastAsia="sr-Latn-CS"/>
        </w:rPr>
        <w:t>ostalih</w:t>
      </w:r>
      <w:r w:rsidRPr="00F37492">
        <w:rPr>
          <w:i/>
          <w:iCs/>
          <w:sz w:val="22"/>
          <w:szCs w:val="22"/>
          <w:lang w:val="ru-RU" w:eastAsia="sr-Latn-CS"/>
        </w:rPr>
        <w:t xml:space="preserve">, </w:t>
      </w:r>
      <w:r w:rsidRPr="00F37492">
        <w:rPr>
          <w:i/>
          <w:iCs/>
          <w:sz w:val="22"/>
          <w:szCs w:val="22"/>
          <w:lang w:val="it-IT" w:eastAsia="sr-Latn-CS"/>
        </w:rPr>
        <w:t>boceprevir</w:t>
      </w:r>
      <w:r w:rsidRPr="00F37492">
        <w:rPr>
          <w:i/>
          <w:iCs/>
          <w:sz w:val="22"/>
          <w:szCs w:val="22"/>
          <w:lang w:val="ru-RU" w:eastAsia="sr-Latn-CS"/>
        </w:rPr>
        <w:t xml:space="preserve">, </w:t>
      </w:r>
      <w:r w:rsidRPr="00F37492">
        <w:rPr>
          <w:i/>
          <w:iCs/>
          <w:sz w:val="22"/>
          <w:szCs w:val="22"/>
          <w:lang w:val="it-IT" w:eastAsia="sr-Latn-CS"/>
        </w:rPr>
        <w:t>klaritromicin</w:t>
      </w:r>
      <w:r w:rsidRPr="00F37492">
        <w:rPr>
          <w:i/>
          <w:iCs/>
          <w:sz w:val="22"/>
          <w:szCs w:val="22"/>
          <w:lang w:val="ru-RU" w:eastAsia="sr-Latn-CS"/>
        </w:rPr>
        <w:t xml:space="preserve">, </w:t>
      </w:r>
      <w:r w:rsidRPr="00F37492">
        <w:rPr>
          <w:i/>
          <w:iCs/>
          <w:sz w:val="22"/>
          <w:szCs w:val="22"/>
          <w:lang w:val="it-IT" w:eastAsia="sr-Latn-CS"/>
        </w:rPr>
        <w:t>indinavir</w:t>
      </w:r>
      <w:r w:rsidRPr="00F37492">
        <w:rPr>
          <w:i/>
          <w:iCs/>
          <w:sz w:val="22"/>
          <w:szCs w:val="22"/>
          <w:lang w:val="ru-RU" w:eastAsia="sr-Latn-CS"/>
        </w:rPr>
        <w:t xml:space="preserve">, </w:t>
      </w:r>
      <w:r w:rsidRPr="00F37492">
        <w:rPr>
          <w:i/>
          <w:iCs/>
          <w:sz w:val="22"/>
          <w:szCs w:val="22"/>
          <w:lang w:val="it-IT" w:eastAsia="sr-Latn-CS"/>
        </w:rPr>
        <w:t>itrakonazol</w:t>
      </w:r>
      <w:r w:rsidRPr="00F37492">
        <w:rPr>
          <w:i/>
          <w:iCs/>
          <w:sz w:val="22"/>
          <w:szCs w:val="22"/>
          <w:lang w:val="ru-RU" w:eastAsia="sr-Latn-CS"/>
        </w:rPr>
        <w:t xml:space="preserve">, </w:t>
      </w:r>
      <w:r w:rsidRPr="00F37492">
        <w:rPr>
          <w:i/>
          <w:iCs/>
          <w:sz w:val="22"/>
          <w:szCs w:val="22"/>
          <w:lang w:val="it-IT" w:eastAsia="sr-Latn-CS"/>
        </w:rPr>
        <w:t>ketokonazol</w:t>
      </w:r>
      <w:r w:rsidRPr="00F37492">
        <w:rPr>
          <w:i/>
          <w:iCs/>
          <w:sz w:val="22"/>
          <w:szCs w:val="22"/>
          <w:lang w:val="ru-RU" w:eastAsia="sr-Latn-CS"/>
        </w:rPr>
        <w:t xml:space="preserve">, </w:t>
      </w:r>
      <w:r w:rsidRPr="00F37492">
        <w:rPr>
          <w:i/>
          <w:iCs/>
          <w:sz w:val="22"/>
          <w:szCs w:val="22"/>
          <w:lang w:val="it-IT" w:eastAsia="sr-Latn-CS"/>
        </w:rPr>
        <w:t>lopinavir</w:t>
      </w:r>
      <w:r w:rsidRPr="00F37492">
        <w:rPr>
          <w:i/>
          <w:iCs/>
          <w:sz w:val="22"/>
          <w:szCs w:val="22"/>
          <w:lang w:val="ru-RU" w:eastAsia="sr-Latn-CS"/>
        </w:rPr>
        <w:t>/</w:t>
      </w:r>
      <w:r w:rsidRPr="00F37492">
        <w:rPr>
          <w:i/>
          <w:iCs/>
          <w:sz w:val="22"/>
          <w:szCs w:val="22"/>
          <w:lang w:val="it-IT" w:eastAsia="sr-Latn-CS"/>
        </w:rPr>
        <w:t>ritonavir</w:t>
      </w:r>
      <w:r w:rsidRPr="00F37492">
        <w:rPr>
          <w:i/>
          <w:iCs/>
          <w:sz w:val="22"/>
          <w:szCs w:val="22"/>
          <w:lang w:val="ru-RU" w:eastAsia="sr-Latn-CS"/>
        </w:rPr>
        <w:t xml:space="preserve">, </w:t>
      </w:r>
      <w:r w:rsidRPr="00F37492">
        <w:rPr>
          <w:i/>
          <w:iCs/>
          <w:sz w:val="22"/>
          <w:szCs w:val="22"/>
          <w:lang w:val="it-IT" w:eastAsia="sr-Latn-CS"/>
        </w:rPr>
        <w:t>ritonavir</w:t>
      </w:r>
      <w:r w:rsidRPr="00F37492">
        <w:rPr>
          <w:i/>
          <w:iCs/>
          <w:sz w:val="22"/>
          <w:szCs w:val="22"/>
          <w:lang w:val="ru-RU" w:eastAsia="sr-Latn-CS"/>
        </w:rPr>
        <w:t xml:space="preserve">, </w:t>
      </w:r>
      <w:r w:rsidRPr="00F37492">
        <w:rPr>
          <w:i/>
          <w:iCs/>
          <w:sz w:val="22"/>
          <w:szCs w:val="22"/>
          <w:lang w:val="it-IT" w:eastAsia="sr-Latn-CS"/>
        </w:rPr>
        <w:t>mibefradil</w:t>
      </w:r>
      <w:r w:rsidRPr="00F37492">
        <w:rPr>
          <w:i/>
          <w:iCs/>
          <w:sz w:val="22"/>
          <w:szCs w:val="22"/>
          <w:lang w:val="ru-RU" w:eastAsia="sr-Latn-CS"/>
        </w:rPr>
        <w:t xml:space="preserve">, </w:t>
      </w:r>
      <w:r w:rsidRPr="00F37492">
        <w:rPr>
          <w:i/>
          <w:iCs/>
          <w:sz w:val="22"/>
          <w:szCs w:val="22"/>
          <w:lang w:val="it-IT" w:eastAsia="sr-Latn-CS"/>
        </w:rPr>
        <w:t>nefazodon</w:t>
      </w:r>
      <w:r w:rsidRPr="00F37492">
        <w:rPr>
          <w:i/>
          <w:iCs/>
          <w:sz w:val="22"/>
          <w:szCs w:val="22"/>
          <w:lang w:val="ru-RU" w:eastAsia="sr-Latn-CS"/>
        </w:rPr>
        <w:t xml:space="preserve">, </w:t>
      </w:r>
      <w:r w:rsidRPr="00F37492">
        <w:rPr>
          <w:i/>
          <w:iCs/>
          <w:sz w:val="22"/>
          <w:szCs w:val="22"/>
          <w:lang w:val="it-IT" w:eastAsia="sr-Latn-CS"/>
        </w:rPr>
        <w:t>nelfinavir</w:t>
      </w:r>
      <w:r w:rsidRPr="00F37492">
        <w:rPr>
          <w:i/>
          <w:iCs/>
          <w:sz w:val="22"/>
          <w:szCs w:val="22"/>
          <w:lang w:val="ru-RU" w:eastAsia="sr-Latn-CS"/>
        </w:rPr>
        <w:t xml:space="preserve">, </w:t>
      </w:r>
      <w:r w:rsidRPr="00F37492">
        <w:rPr>
          <w:i/>
          <w:iCs/>
          <w:sz w:val="22"/>
          <w:szCs w:val="22"/>
          <w:lang w:val="it-IT" w:eastAsia="sr-Latn-CS"/>
        </w:rPr>
        <w:t>posakonazol</w:t>
      </w:r>
      <w:r w:rsidRPr="00F37492">
        <w:rPr>
          <w:i/>
          <w:iCs/>
          <w:sz w:val="22"/>
          <w:szCs w:val="22"/>
          <w:lang w:val="ru-RU" w:eastAsia="sr-Latn-CS"/>
        </w:rPr>
        <w:t xml:space="preserve">, </w:t>
      </w:r>
      <w:r w:rsidRPr="00F37492">
        <w:rPr>
          <w:i/>
          <w:iCs/>
          <w:sz w:val="22"/>
          <w:szCs w:val="22"/>
          <w:lang w:val="it-IT" w:eastAsia="sr-Latn-CS"/>
        </w:rPr>
        <w:t>sakvinavir</w:t>
      </w:r>
      <w:r w:rsidRPr="00F37492">
        <w:rPr>
          <w:i/>
          <w:iCs/>
          <w:sz w:val="22"/>
          <w:szCs w:val="22"/>
          <w:lang w:val="ru-RU" w:eastAsia="sr-Latn-CS"/>
        </w:rPr>
        <w:t xml:space="preserve">, </w:t>
      </w:r>
      <w:r w:rsidRPr="00F37492">
        <w:rPr>
          <w:i/>
          <w:iCs/>
          <w:sz w:val="22"/>
          <w:szCs w:val="22"/>
          <w:lang w:val="it-IT" w:eastAsia="sr-Latn-CS"/>
        </w:rPr>
        <w:t>telaprevir</w:t>
      </w:r>
      <w:r w:rsidRPr="00F37492">
        <w:rPr>
          <w:i/>
          <w:iCs/>
          <w:sz w:val="22"/>
          <w:szCs w:val="22"/>
          <w:lang w:val="ru-RU" w:eastAsia="sr-Latn-CS"/>
        </w:rPr>
        <w:t xml:space="preserve">, </w:t>
      </w:r>
      <w:r w:rsidRPr="00F37492">
        <w:rPr>
          <w:i/>
          <w:iCs/>
          <w:sz w:val="22"/>
          <w:szCs w:val="22"/>
          <w:lang w:val="it-IT" w:eastAsia="sr-Latn-CS"/>
        </w:rPr>
        <w:t>telitromicin</w:t>
      </w:r>
      <w:r w:rsidRPr="00F37492">
        <w:rPr>
          <w:i/>
          <w:iCs/>
          <w:sz w:val="22"/>
          <w:szCs w:val="22"/>
          <w:lang w:val="ru-RU" w:eastAsia="sr-Latn-CS"/>
        </w:rPr>
        <w:t xml:space="preserve">, </w:t>
      </w:r>
      <w:r w:rsidRPr="00F37492">
        <w:rPr>
          <w:i/>
          <w:iCs/>
          <w:sz w:val="22"/>
          <w:szCs w:val="22"/>
          <w:lang w:val="it-IT" w:eastAsia="sr-Latn-CS"/>
        </w:rPr>
        <w:t>vorikonazol</w:t>
      </w:r>
      <w:r w:rsidRPr="00F37492">
        <w:rPr>
          <w:i/>
          <w:iCs/>
          <w:sz w:val="22"/>
          <w:szCs w:val="22"/>
          <w:lang w:val="ru-RU" w:eastAsia="sr-Latn-CS"/>
        </w:rPr>
        <w:t>)</w:t>
      </w:r>
    </w:p>
    <w:p w14:paraId="6D432E55" w14:textId="5528FA4B" w:rsidR="00F37492" w:rsidRPr="00F37492" w:rsidRDefault="00F37492" w:rsidP="000A557B">
      <w:pPr>
        <w:jc w:val="both"/>
        <w:rPr>
          <w:rFonts w:cs="Arial Unicode MS"/>
          <w:sz w:val="22"/>
          <w:szCs w:val="22"/>
          <w:lang w:val="ru-RU" w:eastAsia="sr-Latn-ME"/>
        </w:rPr>
      </w:pPr>
      <w:r w:rsidRPr="00F37492">
        <w:rPr>
          <w:sz w:val="22"/>
          <w:szCs w:val="22"/>
          <w:lang w:val="it-IT" w:eastAsia="sr-Latn-CS"/>
        </w:rPr>
        <w:t>Kod</w:t>
      </w:r>
      <w:r w:rsidRPr="00F37492">
        <w:rPr>
          <w:sz w:val="22"/>
          <w:szCs w:val="22"/>
          <w:lang w:val="ru-RU" w:eastAsia="sr-Latn-CS"/>
        </w:rPr>
        <w:t xml:space="preserve"> </w:t>
      </w:r>
      <w:r w:rsidRPr="00F37492">
        <w:rPr>
          <w:sz w:val="22"/>
          <w:szCs w:val="22"/>
          <w:lang w:val="it-IT" w:eastAsia="sr-Latn-CS"/>
        </w:rPr>
        <w:t>zdravih</w:t>
      </w:r>
      <w:r w:rsidRPr="00F37492">
        <w:rPr>
          <w:sz w:val="22"/>
          <w:szCs w:val="22"/>
          <w:lang w:val="ru-RU" w:eastAsia="sr-Latn-CS"/>
        </w:rPr>
        <w:t xml:space="preserve"> </w:t>
      </w:r>
      <w:r w:rsidRPr="00F37492">
        <w:rPr>
          <w:sz w:val="22"/>
          <w:szCs w:val="22"/>
          <w:lang w:val="it-IT" w:eastAsia="sr-Latn-CS"/>
        </w:rPr>
        <w:t>ispitanika</w:t>
      </w:r>
      <w:r w:rsidRPr="00F37492">
        <w:rPr>
          <w:sz w:val="22"/>
          <w:szCs w:val="22"/>
          <w:lang w:val="ru-RU" w:eastAsia="sr-Latn-CS"/>
        </w:rPr>
        <w:t xml:space="preserve"> </w:t>
      </w:r>
      <w:r w:rsidRPr="00F37492">
        <w:rPr>
          <w:sz w:val="22"/>
          <w:szCs w:val="22"/>
          <w:lang w:val="it-IT" w:eastAsia="sr-Latn-CS"/>
        </w:rPr>
        <w:t>istovremen</w:t>
      </w:r>
      <w:r w:rsidR="00D83177">
        <w:rPr>
          <w:sz w:val="22"/>
          <w:szCs w:val="22"/>
          <w:lang w:val="it-IT" w:eastAsia="sr-Latn-CS"/>
        </w:rPr>
        <w:t>a</w:t>
      </w:r>
      <w:r w:rsidRPr="00F37492">
        <w:rPr>
          <w:sz w:val="22"/>
          <w:szCs w:val="22"/>
          <w:lang w:val="ru-RU" w:eastAsia="sr-Latn-CS"/>
        </w:rPr>
        <w:t xml:space="preserve"> </w:t>
      </w:r>
      <w:r w:rsidR="00D83177">
        <w:rPr>
          <w:sz w:val="22"/>
          <w:szCs w:val="22"/>
          <w:lang w:val="it-IT" w:eastAsia="sr-Latn-CS"/>
        </w:rPr>
        <w:t>primjena</w:t>
      </w:r>
      <w:r w:rsidR="00D83177" w:rsidRPr="00F37492">
        <w:rPr>
          <w:sz w:val="22"/>
          <w:szCs w:val="22"/>
          <w:lang w:val="ru-RU" w:eastAsia="sr-Latn-CS"/>
        </w:rPr>
        <w:t xml:space="preserve"> </w:t>
      </w:r>
      <w:r w:rsidRPr="00F37492">
        <w:rPr>
          <w:sz w:val="22"/>
          <w:szCs w:val="22"/>
          <w:lang w:val="sr-Latn-CS" w:eastAsia="sr-Latn-CS"/>
        </w:rPr>
        <w:t>lijeka ruksolitinib</w:t>
      </w:r>
      <w:r w:rsidRPr="00F37492">
        <w:rPr>
          <w:sz w:val="22"/>
          <w:szCs w:val="22"/>
          <w:lang w:val="ru-RU" w:eastAsia="sr-Latn-CS"/>
        </w:rPr>
        <w:t xml:space="preserve"> (</w:t>
      </w:r>
      <w:r w:rsidRPr="00F37492">
        <w:rPr>
          <w:sz w:val="22"/>
          <w:szCs w:val="22"/>
          <w:lang w:val="it-IT" w:eastAsia="sr-Latn-CS"/>
        </w:rPr>
        <w:t>jedna</w:t>
      </w:r>
      <w:r w:rsidRPr="00F37492">
        <w:rPr>
          <w:sz w:val="22"/>
          <w:szCs w:val="22"/>
          <w:lang w:val="ru-RU" w:eastAsia="sr-Latn-CS"/>
        </w:rPr>
        <w:t xml:space="preserve"> </w:t>
      </w:r>
      <w:r w:rsidRPr="00F37492">
        <w:rPr>
          <w:sz w:val="22"/>
          <w:szCs w:val="22"/>
          <w:lang w:val="it-IT" w:eastAsia="sr-Latn-CS"/>
        </w:rPr>
        <w:t>doza</w:t>
      </w:r>
      <w:r w:rsidRPr="00F37492">
        <w:rPr>
          <w:sz w:val="22"/>
          <w:szCs w:val="22"/>
          <w:lang w:val="ru-RU" w:eastAsia="sr-Latn-CS"/>
        </w:rPr>
        <w:t xml:space="preserve"> </w:t>
      </w:r>
      <w:r w:rsidRPr="00F37492">
        <w:rPr>
          <w:sz w:val="22"/>
          <w:szCs w:val="22"/>
          <w:lang w:val="it-IT" w:eastAsia="sr-Latn-CS"/>
        </w:rPr>
        <w:t>od</w:t>
      </w:r>
      <w:r w:rsidRPr="00F37492">
        <w:rPr>
          <w:sz w:val="22"/>
          <w:szCs w:val="22"/>
          <w:lang w:val="ru-RU" w:eastAsia="sr-Latn-CS"/>
        </w:rPr>
        <w:t xml:space="preserve"> 10 </w:t>
      </w:r>
      <w:r w:rsidRPr="00F37492">
        <w:rPr>
          <w:sz w:val="22"/>
          <w:szCs w:val="22"/>
          <w:lang w:val="it-IT" w:eastAsia="sr-Latn-CS"/>
        </w:rPr>
        <w:t>mg</w:t>
      </w:r>
      <w:r w:rsidRPr="00F37492">
        <w:rPr>
          <w:sz w:val="22"/>
          <w:szCs w:val="22"/>
          <w:lang w:val="ru-RU" w:eastAsia="sr-Latn-CS"/>
        </w:rPr>
        <w:t xml:space="preserve">) </w:t>
      </w:r>
      <w:r w:rsidRPr="00F37492">
        <w:rPr>
          <w:sz w:val="22"/>
          <w:szCs w:val="22"/>
          <w:lang w:val="sr-Latn-CS" w:eastAsia="sr-Latn-CS"/>
        </w:rPr>
        <w:t>sa</w:t>
      </w:r>
      <w:r w:rsidRPr="00F37492">
        <w:rPr>
          <w:sz w:val="22"/>
          <w:szCs w:val="22"/>
          <w:lang w:val="ru-RU" w:eastAsia="sr-Latn-CS"/>
        </w:rPr>
        <w:t xml:space="preserve"> </w:t>
      </w:r>
      <w:r w:rsidRPr="00F37492">
        <w:rPr>
          <w:sz w:val="22"/>
          <w:szCs w:val="22"/>
          <w:lang w:val="it-IT" w:eastAsia="sr-Latn-CS"/>
        </w:rPr>
        <w:t>sna</w:t>
      </w:r>
      <w:r w:rsidRPr="00F37492">
        <w:rPr>
          <w:sz w:val="22"/>
          <w:szCs w:val="22"/>
          <w:lang w:val="ru-RU" w:eastAsia="sr-Latn-CS"/>
        </w:rPr>
        <w:t>ž</w:t>
      </w:r>
      <w:r w:rsidRPr="00F37492">
        <w:rPr>
          <w:sz w:val="22"/>
          <w:szCs w:val="22"/>
          <w:lang w:val="it-IT" w:eastAsia="sr-Latn-CS"/>
        </w:rPr>
        <w:t>nim</w:t>
      </w:r>
      <w:r w:rsidRPr="00F37492">
        <w:rPr>
          <w:sz w:val="22"/>
          <w:szCs w:val="22"/>
          <w:lang w:val="ru-RU" w:eastAsia="sr-Latn-CS"/>
        </w:rPr>
        <w:t xml:space="preserve"> </w:t>
      </w:r>
      <w:r w:rsidRPr="00F37492">
        <w:rPr>
          <w:sz w:val="22"/>
          <w:szCs w:val="22"/>
          <w:lang w:val="it-IT" w:eastAsia="sr-Latn-CS"/>
        </w:rPr>
        <w:t>inhibitorom</w:t>
      </w:r>
      <w:r w:rsidRPr="00F37492">
        <w:rPr>
          <w:sz w:val="22"/>
          <w:szCs w:val="22"/>
          <w:lang w:val="ru-RU" w:eastAsia="sr-Latn-CS"/>
        </w:rPr>
        <w:t xml:space="preserve"> </w:t>
      </w:r>
      <w:r w:rsidRPr="00F37492">
        <w:rPr>
          <w:sz w:val="22"/>
          <w:szCs w:val="22"/>
          <w:lang w:val="it-IT" w:eastAsia="sr-Latn-CS"/>
        </w:rPr>
        <w:t>CYP</w:t>
      </w:r>
      <w:r w:rsidRPr="00F37492">
        <w:rPr>
          <w:sz w:val="22"/>
          <w:szCs w:val="22"/>
          <w:lang w:val="ru-RU" w:eastAsia="sr-Latn-CS"/>
        </w:rPr>
        <w:t>3</w:t>
      </w:r>
      <w:r w:rsidRPr="00F37492">
        <w:rPr>
          <w:sz w:val="22"/>
          <w:szCs w:val="22"/>
          <w:lang w:val="it-IT" w:eastAsia="sr-Latn-CS"/>
        </w:rPr>
        <w:t>A</w:t>
      </w:r>
      <w:r w:rsidRPr="00F37492">
        <w:rPr>
          <w:sz w:val="22"/>
          <w:szCs w:val="22"/>
          <w:lang w:val="ru-RU" w:eastAsia="sr-Latn-CS"/>
        </w:rPr>
        <w:t xml:space="preserve">4, </w:t>
      </w:r>
      <w:r w:rsidRPr="00F37492">
        <w:rPr>
          <w:sz w:val="22"/>
          <w:szCs w:val="22"/>
          <w:lang w:val="it-IT" w:eastAsia="sr-Latn-CS"/>
        </w:rPr>
        <w:t>ketokonazolom</w:t>
      </w:r>
      <w:r w:rsidRPr="00F37492">
        <w:rPr>
          <w:sz w:val="22"/>
          <w:szCs w:val="22"/>
          <w:lang w:val="ru-RU" w:eastAsia="sr-Latn-CS"/>
        </w:rPr>
        <w:t xml:space="preserve">, </w:t>
      </w:r>
      <w:r w:rsidRPr="00F37492">
        <w:rPr>
          <w:sz w:val="22"/>
          <w:szCs w:val="22"/>
          <w:lang w:val="it-IT" w:eastAsia="sr-Latn-CS"/>
        </w:rPr>
        <w:t>dovodilo</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do</w:t>
      </w:r>
      <w:r w:rsidRPr="00F37492">
        <w:rPr>
          <w:sz w:val="22"/>
          <w:szCs w:val="22"/>
          <w:lang w:val="ru-RU" w:eastAsia="sr-Latn-CS"/>
        </w:rPr>
        <w:t xml:space="preserve"> </w:t>
      </w:r>
      <w:r w:rsidRPr="00F37492">
        <w:rPr>
          <w:sz w:val="22"/>
          <w:szCs w:val="22"/>
          <w:lang w:val="it-IT" w:eastAsia="sr-Latn-CS"/>
        </w:rPr>
        <w:t>pove</w:t>
      </w:r>
      <w:r w:rsidRPr="00F37492">
        <w:rPr>
          <w:sz w:val="22"/>
          <w:szCs w:val="22"/>
          <w:lang w:val="ru-RU" w:eastAsia="sr-Latn-CS"/>
        </w:rPr>
        <w:t>ć</w:t>
      </w:r>
      <w:r w:rsidRPr="00F37492">
        <w:rPr>
          <w:sz w:val="22"/>
          <w:szCs w:val="22"/>
          <w:lang w:val="it-IT" w:eastAsia="sr-Latn-CS"/>
        </w:rPr>
        <w:t>anja</w:t>
      </w:r>
      <w:r w:rsidRPr="00F37492">
        <w:rPr>
          <w:sz w:val="22"/>
          <w:szCs w:val="22"/>
          <w:lang w:val="ru-RU" w:eastAsia="sr-Latn-CS"/>
        </w:rPr>
        <w:t xml:space="preserve"> </w:t>
      </w:r>
      <w:r w:rsidRPr="00F37492">
        <w:rPr>
          <w:sz w:val="22"/>
          <w:szCs w:val="22"/>
          <w:lang w:val="it-IT" w:eastAsia="sr-Latn-CS"/>
        </w:rPr>
        <w:t>C</w:t>
      </w:r>
      <w:r w:rsidRPr="00F37492">
        <w:rPr>
          <w:sz w:val="22"/>
          <w:szCs w:val="22"/>
          <w:vertAlign w:val="subscript"/>
          <w:lang w:val="it-IT" w:eastAsia="sr-Latn-CS"/>
        </w:rPr>
        <w:t>max</w:t>
      </w:r>
      <w:r w:rsidRPr="00F37492">
        <w:rPr>
          <w:sz w:val="22"/>
          <w:szCs w:val="22"/>
          <w:lang w:val="ru-RU" w:eastAsia="sr-Latn-CS"/>
        </w:rPr>
        <w:t xml:space="preserve"> </w:t>
      </w:r>
      <w:r w:rsidRPr="00F37492">
        <w:rPr>
          <w:sz w:val="22"/>
          <w:szCs w:val="22"/>
          <w:lang w:val="sr-Latn-CS" w:eastAsia="sr-Latn-CS"/>
        </w:rPr>
        <w:t xml:space="preserve">(maksimalna koncentracija u plazmi) </w:t>
      </w:r>
      <w:r w:rsidRPr="00F37492">
        <w:rPr>
          <w:sz w:val="22"/>
          <w:szCs w:val="22"/>
          <w:lang w:val="it-IT" w:eastAsia="sr-Latn-CS"/>
        </w:rPr>
        <w:t>ruksolitiniba</w:t>
      </w:r>
      <w:r w:rsidRPr="00F37492">
        <w:rPr>
          <w:sz w:val="22"/>
          <w:szCs w:val="22"/>
          <w:lang w:val="ru-RU" w:eastAsia="sr-Latn-CS"/>
        </w:rPr>
        <w:t xml:space="preserve"> </w:t>
      </w:r>
      <w:r w:rsidRPr="00F37492">
        <w:rPr>
          <w:sz w:val="22"/>
          <w:szCs w:val="22"/>
          <w:lang w:val="it-IT" w:eastAsia="sr-Latn-CS"/>
        </w:rPr>
        <w:t>za</w:t>
      </w:r>
      <w:r w:rsidRPr="00F37492">
        <w:rPr>
          <w:sz w:val="22"/>
          <w:szCs w:val="22"/>
          <w:lang w:val="ru-RU" w:eastAsia="sr-Latn-CS"/>
        </w:rPr>
        <w:t xml:space="preserve"> 33%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pove</w:t>
      </w:r>
      <w:r w:rsidRPr="00F37492">
        <w:rPr>
          <w:sz w:val="22"/>
          <w:szCs w:val="22"/>
          <w:lang w:val="ru-RU" w:eastAsia="sr-Latn-CS"/>
        </w:rPr>
        <w:t>ć</w:t>
      </w:r>
      <w:r w:rsidRPr="00F37492">
        <w:rPr>
          <w:sz w:val="22"/>
          <w:szCs w:val="22"/>
          <w:lang w:val="it-IT" w:eastAsia="sr-Latn-CS"/>
        </w:rPr>
        <w:t>anja</w:t>
      </w:r>
      <w:r w:rsidRPr="00F37492">
        <w:rPr>
          <w:sz w:val="22"/>
          <w:szCs w:val="22"/>
          <w:lang w:val="ru-RU" w:eastAsia="sr-Latn-CS"/>
        </w:rPr>
        <w:t xml:space="preserve"> </w:t>
      </w:r>
      <w:r w:rsidRPr="00F37492">
        <w:rPr>
          <w:sz w:val="22"/>
          <w:szCs w:val="22"/>
          <w:lang w:val="it-IT" w:eastAsia="sr-Latn-CS"/>
        </w:rPr>
        <w:t>PIK</w:t>
      </w:r>
      <w:r w:rsidRPr="00F37492">
        <w:rPr>
          <w:sz w:val="22"/>
          <w:szCs w:val="22"/>
          <w:lang w:val="ru-RU" w:eastAsia="sr-Latn-CS"/>
        </w:rPr>
        <w:t xml:space="preserve"> (</w:t>
      </w:r>
      <w:r w:rsidRPr="00F37492">
        <w:rPr>
          <w:sz w:val="22"/>
          <w:szCs w:val="22"/>
          <w:lang w:val="it-IT" w:eastAsia="sr-Latn-CS"/>
        </w:rPr>
        <w:t>povr</w:t>
      </w:r>
      <w:r w:rsidRPr="00F37492">
        <w:rPr>
          <w:sz w:val="22"/>
          <w:szCs w:val="22"/>
          <w:lang w:val="ru-RU" w:eastAsia="sr-Latn-CS"/>
        </w:rPr>
        <w:t>š</w:t>
      </w:r>
      <w:r w:rsidRPr="00F37492">
        <w:rPr>
          <w:sz w:val="22"/>
          <w:szCs w:val="22"/>
          <w:lang w:val="it-IT" w:eastAsia="sr-Latn-CS"/>
        </w:rPr>
        <w:t>ina</w:t>
      </w:r>
      <w:r w:rsidRPr="00F37492">
        <w:rPr>
          <w:sz w:val="22"/>
          <w:szCs w:val="22"/>
          <w:lang w:val="ru-RU" w:eastAsia="sr-Latn-CS"/>
        </w:rPr>
        <w:t xml:space="preserve"> </w:t>
      </w:r>
      <w:r w:rsidRPr="00F37492">
        <w:rPr>
          <w:sz w:val="22"/>
          <w:szCs w:val="22"/>
          <w:lang w:val="it-IT" w:eastAsia="sr-Latn-CS"/>
        </w:rPr>
        <w:t>ispod</w:t>
      </w:r>
      <w:r w:rsidRPr="00F37492">
        <w:rPr>
          <w:sz w:val="22"/>
          <w:szCs w:val="22"/>
          <w:lang w:val="ru-RU" w:eastAsia="sr-Latn-CS"/>
        </w:rPr>
        <w:t xml:space="preserve"> </w:t>
      </w:r>
      <w:r w:rsidRPr="00F37492">
        <w:rPr>
          <w:sz w:val="22"/>
          <w:szCs w:val="22"/>
          <w:lang w:val="it-IT" w:eastAsia="sr-Latn-CS"/>
        </w:rPr>
        <w:t>krive</w:t>
      </w:r>
      <w:r w:rsidRPr="00F37492">
        <w:rPr>
          <w:sz w:val="22"/>
          <w:szCs w:val="22"/>
          <w:lang w:val="ru-RU" w:eastAsia="sr-Latn-CS"/>
        </w:rPr>
        <w:t xml:space="preserve">) </w:t>
      </w:r>
      <w:r w:rsidRPr="00F37492">
        <w:rPr>
          <w:sz w:val="22"/>
          <w:szCs w:val="22"/>
          <w:lang w:val="it-IT" w:eastAsia="sr-Latn-CS"/>
        </w:rPr>
        <w:t>ruksolitiniba</w:t>
      </w:r>
      <w:r w:rsidRPr="00F37492">
        <w:rPr>
          <w:sz w:val="22"/>
          <w:szCs w:val="22"/>
          <w:lang w:val="ru-RU" w:eastAsia="sr-Latn-CS"/>
        </w:rPr>
        <w:t xml:space="preserve"> </w:t>
      </w:r>
      <w:r w:rsidRPr="00F37492">
        <w:rPr>
          <w:sz w:val="22"/>
          <w:szCs w:val="22"/>
          <w:lang w:val="it-IT" w:eastAsia="sr-Latn-CS"/>
        </w:rPr>
        <w:t>za</w:t>
      </w:r>
      <w:r w:rsidRPr="00F37492">
        <w:rPr>
          <w:sz w:val="22"/>
          <w:szCs w:val="22"/>
          <w:lang w:val="ru-RU" w:eastAsia="sr-Latn-CS"/>
        </w:rPr>
        <w:t xml:space="preserve"> 91%, </w:t>
      </w:r>
      <w:r w:rsidRPr="00F37492">
        <w:rPr>
          <w:sz w:val="22"/>
          <w:szCs w:val="22"/>
          <w:lang w:val="it-IT" w:eastAsia="sr-Latn-CS"/>
        </w:rPr>
        <w:t>u</w:t>
      </w:r>
      <w:r w:rsidRPr="00F37492">
        <w:rPr>
          <w:sz w:val="22"/>
          <w:szCs w:val="22"/>
          <w:lang w:val="ru-RU" w:eastAsia="sr-Latn-CS"/>
        </w:rPr>
        <w:t xml:space="preserve"> </w:t>
      </w:r>
      <w:r w:rsidRPr="00F37492">
        <w:rPr>
          <w:sz w:val="22"/>
          <w:szCs w:val="22"/>
          <w:lang w:val="it-IT" w:eastAsia="sr-Latn-CS"/>
        </w:rPr>
        <w:t>odnosu</w:t>
      </w:r>
      <w:r w:rsidRPr="00F37492">
        <w:rPr>
          <w:sz w:val="22"/>
          <w:szCs w:val="22"/>
          <w:lang w:val="ru-RU" w:eastAsia="sr-Latn-CS"/>
        </w:rPr>
        <w:t xml:space="preserve"> </w:t>
      </w:r>
      <w:r w:rsidRPr="00F37492">
        <w:rPr>
          <w:sz w:val="22"/>
          <w:szCs w:val="22"/>
          <w:lang w:val="it-IT" w:eastAsia="sr-Latn-CS"/>
        </w:rPr>
        <w:t>kada</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dat</w:t>
      </w:r>
      <w:r w:rsidRPr="00F37492">
        <w:rPr>
          <w:sz w:val="22"/>
          <w:szCs w:val="22"/>
          <w:lang w:val="ru-RU" w:eastAsia="sr-Latn-CS"/>
        </w:rPr>
        <w:t xml:space="preserve"> </w:t>
      </w:r>
      <w:r w:rsidRPr="00F37492">
        <w:rPr>
          <w:sz w:val="22"/>
          <w:szCs w:val="22"/>
          <w:lang w:val="it-IT" w:eastAsia="sr-Latn-CS"/>
        </w:rPr>
        <w:t>samo</w:t>
      </w:r>
      <w:r w:rsidRPr="00F37492">
        <w:rPr>
          <w:sz w:val="22"/>
          <w:szCs w:val="22"/>
          <w:lang w:val="ru-RU" w:eastAsia="sr-Latn-CS"/>
        </w:rPr>
        <w:t xml:space="preserve"> </w:t>
      </w:r>
      <w:r w:rsidRPr="00F37492">
        <w:rPr>
          <w:sz w:val="22"/>
          <w:szCs w:val="22"/>
          <w:lang w:val="it-IT" w:eastAsia="sr-Latn-CS"/>
        </w:rPr>
        <w:t>ruksolitinib</w:t>
      </w:r>
      <w:r w:rsidRPr="00F37492">
        <w:rPr>
          <w:sz w:val="22"/>
          <w:szCs w:val="22"/>
          <w:lang w:val="ru-RU" w:eastAsia="sr-Latn-CS"/>
        </w:rPr>
        <w:t xml:space="preserve">. </w:t>
      </w:r>
      <w:r w:rsidRPr="00F37492">
        <w:rPr>
          <w:sz w:val="22"/>
          <w:szCs w:val="22"/>
          <w:lang w:val="it-IT" w:eastAsia="sr-Latn-CS"/>
        </w:rPr>
        <w:t>Poluvrijeme</w:t>
      </w:r>
      <w:r w:rsidRPr="00F37492">
        <w:rPr>
          <w:sz w:val="22"/>
          <w:szCs w:val="22"/>
          <w:lang w:val="ru-RU" w:eastAsia="sr-Latn-CS"/>
        </w:rPr>
        <w:t xml:space="preserve"> </w:t>
      </w:r>
      <w:r w:rsidRPr="00F37492">
        <w:rPr>
          <w:sz w:val="22"/>
          <w:szCs w:val="22"/>
          <w:lang w:val="it-IT" w:eastAsia="sr-Latn-CS"/>
        </w:rPr>
        <w:t>eliminacije</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bilo</w:t>
      </w:r>
      <w:r w:rsidRPr="00F37492">
        <w:rPr>
          <w:sz w:val="22"/>
          <w:szCs w:val="22"/>
          <w:lang w:val="ru-RU" w:eastAsia="sr-Latn-CS"/>
        </w:rPr>
        <w:t xml:space="preserve"> </w:t>
      </w:r>
      <w:r w:rsidRPr="00F37492">
        <w:rPr>
          <w:sz w:val="22"/>
          <w:szCs w:val="22"/>
          <w:lang w:val="it-IT" w:eastAsia="sr-Latn-CS"/>
        </w:rPr>
        <w:t>produ</w:t>
      </w:r>
      <w:r w:rsidRPr="00F37492">
        <w:rPr>
          <w:sz w:val="22"/>
          <w:szCs w:val="22"/>
          <w:lang w:val="ru-RU" w:eastAsia="sr-Latn-CS"/>
        </w:rPr>
        <w:t>ž</w:t>
      </w:r>
      <w:r w:rsidRPr="00F37492">
        <w:rPr>
          <w:sz w:val="22"/>
          <w:szCs w:val="22"/>
          <w:lang w:val="it-IT" w:eastAsia="sr-Latn-CS"/>
        </w:rPr>
        <w:t>eno</w:t>
      </w:r>
      <w:r w:rsidRPr="00F37492">
        <w:rPr>
          <w:sz w:val="22"/>
          <w:szCs w:val="22"/>
          <w:lang w:val="ru-RU" w:eastAsia="sr-Latn-CS"/>
        </w:rPr>
        <w:t xml:space="preserve"> </w:t>
      </w:r>
      <w:r w:rsidRPr="00F37492">
        <w:rPr>
          <w:sz w:val="22"/>
          <w:szCs w:val="22"/>
          <w:lang w:val="it-IT" w:eastAsia="sr-Latn-CS"/>
        </w:rPr>
        <w:t>sa</w:t>
      </w:r>
      <w:r w:rsidRPr="00F37492">
        <w:rPr>
          <w:sz w:val="22"/>
          <w:szCs w:val="22"/>
          <w:lang w:val="ru-RU" w:eastAsia="sr-Latn-CS"/>
        </w:rPr>
        <w:t xml:space="preserve"> 3,7 </w:t>
      </w:r>
      <w:r w:rsidRPr="00F37492">
        <w:rPr>
          <w:sz w:val="22"/>
          <w:szCs w:val="22"/>
          <w:lang w:val="it-IT" w:eastAsia="sr-Latn-CS"/>
        </w:rPr>
        <w:t>na</w:t>
      </w:r>
      <w:r w:rsidRPr="00F37492">
        <w:rPr>
          <w:sz w:val="22"/>
          <w:szCs w:val="22"/>
          <w:lang w:val="ru-RU" w:eastAsia="sr-Latn-CS"/>
        </w:rPr>
        <w:t xml:space="preserve"> 6,0 </w:t>
      </w:r>
      <w:r w:rsidRPr="00F37492">
        <w:rPr>
          <w:sz w:val="22"/>
          <w:szCs w:val="22"/>
          <w:lang w:val="it-IT" w:eastAsia="sr-Latn-CS"/>
        </w:rPr>
        <w:t>h</w:t>
      </w:r>
      <w:r w:rsidRPr="00F37492">
        <w:rPr>
          <w:sz w:val="22"/>
          <w:szCs w:val="22"/>
          <w:lang w:val="ru-RU" w:eastAsia="sr-Latn-CS"/>
        </w:rPr>
        <w:t xml:space="preserve"> </w:t>
      </w:r>
      <w:r w:rsidRPr="00F37492">
        <w:rPr>
          <w:sz w:val="22"/>
          <w:szCs w:val="22"/>
          <w:lang w:val="it-IT" w:eastAsia="sr-Latn-CS"/>
        </w:rPr>
        <w:t>kada</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istovremeno</w:t>
      </w:r>
      <w:r w:rsidRPr="00F37492">
        <w:rPr>
          <w:sz w:val="22"/>
          <w:szCs w:val="22"/>
          <w:lang w:val="ru-RU" w:eastAsia="sr-Latn-CS"/>
        </w:rPr>
        <w:t xml:space="preserve"> </w:t>
      </w:r>
      <w:r w:rsidRPr="00F37492">
        <w:rPr>
          <w:sz w:val="22"/>
          <w:szCs w:val="22"/>
          <w:lang w:val="it-IT" w:eastAsia="sr-Latn-CS"/>
        </w:rPr>
        <w:t>primjenjivao</w:t>
      </w:r>
      <w:r w:rsidRPr="00F37492">
        <w:rPr>
          <w:sz w:val="22"/>
          <w:szCs w:val="22"/>
          <w:lang w:val="ru-RU" w:eastAsia="sr-Latn-CS"/>
        </w:rPr>
        <w:t xml:space="preserve"> </w:t>
      </w:r>
      <w:r w:rsidRPr="00F37492">
        <w:rPr>
          <w:sz w:val="22"/>
          <w:szCs w:val="22"/>
          <w:lang w:val="it-IT" w:eastAsia="sr-Latn-CS"/>
        </w:rPr>
        <w:t>ketokonazol</w:t>
      </w:r>
      <w:r w:rsidRPr="00F37492">
        <w:rPr>
          <w:sz w:val="22"/>
          <w:szCs w:val="22"/>
          <w:lang w:val="ru-RU" w:eastAsia="sr-Latn-CS"/>
        </w:rPr>
        <w:t>.</w:t>
      </w:r>
    </w:p>
    <w:p w14:paraId="455576AE" w14:textId="77777777" w:rsidR="00F37492" w:rsidRPr="00F37492" w:rsidRDefault="00F37492" w:rsidP="000A557B">
      <w:pPr>
        <w:jc w:val="both"/>
        <w:rPr>
          <w:rFonts w:cs="Arial Unicode MS"/>
          <w:sz w:val="22"/>
          <w:szCs w:val="22"/>
          <w:lang w:val="ru-RU" w:eastAsia="sr-Latn-CS"/>
        </w:rPr>
      </w:pPr>
    </w:p>
    <w:p w14:paraId="7AB6B82A" w14:textId="77777777" w:rsidR="00F37492" w:rsidRPr="00F37492" w:rsidRDefault="00F37492" w:rsidP="000A557B">
      <w:pPr>
        <w:jc w:val="both"/>
        <w:rPr>
          <w:sz w:val="22"/>
          <w:szCs w:val="22"/>
          <w:lang w:val="ru-RU" w:eastAsia="sr-Latn-CS"/>
        </w:rPr>
      </w:pPr>
      <w:r w:rsidRPr="00F37492">
        <w:rPr>
          <w:sz w:val="22"/>
          <w:szCs w:val="22"/>
          <w:lang w:val="it-IT" w:eastAsia="sr-Latn-CS"/>
        </w:rPr>
        <w:t>Kada</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ruksolitinib</w:t>
      </w:r>
      <w:r w:rsidRPr="00F37492">
        <w:rPr>
          <w:sz w:val="22"/>
          <w:szCs w:val="22"/>
          <w:lang w:val="ru-RU" w:eastAsia="sr-Latn-CS"/>
        </w:rPr>
        <w:t xml:space="preserve"> </w:t>
      </w:r>
      <w:r w:rsidRPr="00F37492">
        <w:rPr>
          <w:sz w:val="22"/>
          <w:szCs w:val="22"/>
          <w:lang w:val="it-IT" w:eastAsia="sr-Latn-CS"/>
        </w:rPr>
        <w:t>daje</w:t>
      </w:r>
      <w:r w:rsidRPr="00F37492">
        <w:rPr>
          <w:sz w:val="22"/>
          <w:szCs w:val="22"/>
          <w:lang w:val="ru-RU" w:eastAsia="sr-Latn-CS"/>
        </w:rPr>
        <w:t xml:space="preserve"> </w:t>
      </w:r>
      <w:r w:rsidRPr="00F37492">
        <w:rPr>
          <w:sz w:val="22"/>
          <w:szCs w:val="22"/>
          <w:lang w:val="it-IT" w:eastAsia="sr-Latn-CS"/>
        </w:rPr>
        <w:t>uz</w:t>
      </w:r>
      <w:r w:rsidRPr="00F37492">
        <w:rPr>
          <w:sz w:val="22"/>
          <w:szCs w:val="22"/>
          <w:lang w:val="ru-RU" w:eastAsia="sr-Latn-CS"/>
        </w:rPr>
        <w:t xml:space="preserve"> </w:t>
      </w:r>
      <w:r w:rsidRPr="00F37492">
        <w:rPr>
          <w:sz w:val="22"/>
          <w:szCs w:val="22"/>
          <w:lang w:val="it-IT" w:eastAsia="sr-Latn-CS"/>
        </w:rPr>
        <w:t>sna</w:t>
      </w:r>
      <w:r w:rsidRPr="00F37492">
        <w:rPr>
          <w:sz w:val="22"/>
          <w:szCs w:val="22"/>
          <w:lang w:val="ru-RU" w:eastAsia="sr-Latn-CS"/>
        </w:rPr>
        <w:t>ž</w:t>
      </w:r>
      <w:r w:rsidRPr="00F37492">
        <w:rPr>
          <w:sz w:val="22"/>
          <w:szCs w:val="22"/>
          <w:lang w:val="it-IT" w:eastAsia="sr-Latn-CS"/>
        </w:rPr>
        <w:t>ne</w:t>
      </w:r>
      <w:r w:rsidRPr="00F37492">
        <w:rPr>
          <w:sz w:val="22"/>
          <w:szCs w:val="22"/>
          <w:lang w:val="ru-RU" w:eastAsia="sr-Latn-CS"/>
        </w:rPr>
        <w:t xml:space="preserve"> </w:t>
      </w:r>
      <w:r w:rsidRPr="00F37492">
        <w:rPr>
          <w:sz w:val="22"/>
          <w:szCs w:val="22"/>
          <w:lang w:val="it-IT" w:eastAsia="sr-Latn-CS"/>
        </w:rPr>
        <w:t>CYP</w:t>
      </w:r>
      <w:r w:rsidRPr="00F37492">
        <w:rPr>
          <w:sz w:val="22"/>
          <w:szCs w:val="22"/>
          <w:lang w:val="ru-RU" w:eastAsia="sr-Latn-CS"/>
        </w:rPr>
        <w:t>3</w:t>
      </w:r>
      <w:r w:rsidRPr="00F37492">
        <w:rPr>
          <w:sz w:val="22"/>
          <w:szCs w:val="22"/>
          <w:lang w:val="it-IT" w:eastAsia="sr-Latn-CS"/>
        </w:rPr>
        <w:t>A</w:t>
      </w:r>
      <w:r w:rsidRPr="00F37492">
        <w:rPr>
          <w:sz w:val="22"/>
          <w:szCs w:val="22"/>
          <w:lang w:val="ru-RU" w:eastAsia="sr-Latn-CS"/>
        </w:rPr>
        <w:t xml:space="preserve">4 </w:t>
      </w:r>
      <w:r w:rsidRPr="00F37492">
        <w:rPr>
          <w:sz w:val="22"/>
          <w:szCs w:val="22"/>
          <w:lang w:val="it-IT" w:eastAsia="sr-Latn-CS"/>
        </w:rPr>
        <w:t>inhibitore,</w:t>
      </w:r>
      <w:r w:rsidRPr="00F37492">
        <w:rPr>
          <w:sz w:val="22"/>
          <w:szCs w:val="22"/>
          <w:lang w:val="ru-RU" w:eastAsia="sr-Latn-CS"/>
        </w:rPr>
        <w:t xml:space="preserve"> </w:t>
      </w:r>
      <w:r w:rsidRPr="00F37492">
        <w:rPr>
          <w:sz w:val="22"/>
          <w:szCs w:val="22"/>
          <w:lang w:val="it-IT" w:eastAsia="sr-Latn-CS"/>
        </w:rPr>
        <w:t>njegova</w:t>
      </w:r>
      <w:r w:rsidRPr="00F37492">
        <w:rPr>
          <w:sz w:val="22"/>
          <w:szCs w:val="22"/>
          <w:lang w:val="ru-RU" w:eastAsia="sr-Latn-CS"/>
        </w:rPr>
        <w:t xml:space="preserve"> </w:t>
      </w:r>
      <w:r w:rsidRPr="00F37492">
        <w:rPr>
          <w:sz w:val="22"/>
          <w:szCs w:val="22"/>
          <w:lang w:val="it-IT" w:eastAsia="sr-Latn-CS"/>
        </w:rPr>
        <w:t>pojedina</w:t>
      </w:r>
      <w:r w:rsidRPr="00F37492">
        <w:rPr>
          <w:sz w:val="22"/>
          <w:szCs w:val="22"/>
          <w:lang w:val="ru-RU" w:eastAsia="sr-Latn-CS"/>
        </w:rPr>
        <w:t>č</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doza</w:t>
      </w:r>
      <w:r w:rsidRPr="00F37492">
        <w:rPr>
          <w:sz w:val="22"/>
          <w:szCs w:val="22"/>
          <w:lang w:val="ru-RU" w:eastAsia="sr-Latn-CS"/>
        </w:rPr>
        <w:t xml:space="preserve"> </w:t>
      </w:r>
      <w:r w:rsidRPr="00F37492">
        <w:rPr>
          <w:sz w:val="22"/>
          <w:szCs w:val="22"/>
          <w:lang w:val="it-IT" w:eastAsia="sr-Latn-CS"/>
        </w:rPr>
        <w:t>treba</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smanji</w:t>
      </w:r>
      <w:r w:rsidRPr="00F37492">
        <w:rPr>
          <w:sz w:val="22"/>
          <w:szCs w:val="22"/>
          <w:lang w:val="ru-RU" w:eastAsia="sr-Latn-CS"/>
        </w:rPr>
        <w:t xml:space="preserve"> </w:t>
      </w:r>
      <w:r w:rsidRPr="00F37492">
        <w:rPr>
          <w:sz w:val="22"/>
          <w:szCs w:val="22"/>
          <w:lang w:val="it-IT" w:eastAsia="sr-Latn-CS"/>
        </w:rPr>
        <w:t>za</w:t>
      </w:r>
      <w:r w:rsidRPr="00F37492">
        <w:rPr>
          <w:sz w:val="22"/>
          <w:szCs w:val="22"/>
          <w:lang w:val="ru-RU" w:eastAsia="sr-Latn-CS"/>
        </w:rPr>
        <w:t xml:space="preserve"> </w:t>
      </w:r>
      <w:r w:rsidRPr="00F37492">
        <w:rPr>
          <w:sz w:val="22"/>
          <w:szCs w:val="22"/>
          <w:lang w:val="it-IT" w:eastAsia="sr-Latn-CS"/>
        </w:rPr>
        <w:t>pribli</w:t>
      </w:r>
      <w:r w:rsidRPr="00F37492">
        <w:rPr>
          <w:sz w:val="22"/>
          <w:szCs w:val="22"/>
          <w:lang w:val="ru-RU" w:eastAsia="sr-Latn-CS"/>
        </w:rPr>
        <w:t>ž</w:t>
      </w:r>
      <w:r w:rsidRPr="00F37492">
        <w:rPr>
          <w:sz w:val="22"/>
          <w:szCs w:val="22"/>
          <w:lang w:val="it-IT" w:eastAsia="sr-Latn-CS"/>
        </w:rPr>
        <w:t>no</w:t>
      </w:r>
      <w:r w:rsidRPr="00F37492">
        <w:rPr>
          <w:sz w:val="22"/>
          <w:szCs w:val="22"/>
          <w:lang w:val="ru-RU" w:eastAsia="sr-Latn-CS"/>
        </w:rPr>
        <w:t xml:space="preserve"> 50%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primjenjuje</w:t>
      </w:r>
      <w:r w:rsidRPr="00F37492">
        <w:rPr>
          <w:sz w:val="22"/>
          <w:szCs w:val="22"/>
          <w:lang w:val="ru-RU" w:eastAsia="sr-Latn-CS"/>
        </w:rPr>
        <w:t xml:space="preserve"> </w:t>
      </w:r>
      <w:r w:rsidRPr="00F37492">
        <w:rPr>
          <w:sz w:val="22"/>
          <w:szCs w:val="22"/>
          <w:lang w:val="it-IT" w:eastAsia="sr-Latn-CS"/>
        </w:rPr>
        <w:t>dva</w:t>
      </w:r>
      <w:r w:rsidRPr="00F37492">
        <w:rPr>
          <w:sz w:val="22"/>
          <w:szCs w:val="22"/>
          <w:lang w:val="ru-RU" w:eastAsia="sr-Latn-CS"/>
        </w:rPr>
        <w:t xml:space="preserve"> </w:t>
      </w:r>
      <w:r w:rsidRPr="00F37492">
        <w:rPr>
          <w:sz w:val="22"/>
          <w:szCs w:val="22"/>
          <w:lang w:val="it-IT" w:eastAsia="sr-Latn-CS"/>
        </w:rPr>
        <w:t>puta</w:t>
      </w:r>
      <w:r w:rsidRPr="00F37492">
        <w:rPr>
          <w:sz w:val="22"/>
          <w:szCs w:val="22"/>
          <w:lang w:val="ru-RU" w:eastAsia="sr-Latn-CS"/>
        </w:rPr>
        <w:t xml:space="preserve"> </w:t>
      </w:r>
      <w:r w:rsidRPr="00F37492">
        <w:rPr>
          <w:sz w:val="22"/>
          <w:szCs w:val="22"/>
          <w:lang w:val="it-IT" w:eastAsia="sr-Latn-CS"/>
        </w:rPr>
        <w:t>dnevno</w:t>
      </w:r>
      <w:r w:rsidRPr="00F37492">
        <w:rPr>
          <w:sz w:val="22"/>
          <w:szCs w:val="22"/>
          <w:lang w:val="ru-RU" w:eastAsia="sr-Latn-CS"/>
        </w:rPr>
        <w:t xml:space="preserve">. </w:t>
      </w:r>
    </w:p>
    <w:p w14:paraId="4EC423FC" w14:textId="77777777" w:rsidR="00F37492" w:rsidRPr="00F37492" w:rsidRDefault="00F37492" w:rsidP="000A557B">
      <w:pPr>
        <w:jc w:val="both"/>
        <w:rPr>
          <w:sz w:val="22"/>
          <w:szCs w:val="22"/>
          <w:lang w:val="ru-RU" w:eastAsia="sr-Latn-CS"/>
        </w:rPr>
      </w:pPr>
    </w:p>
    <w:p w14:paraId="55A556C8" w14:textId="2E3751C8" w:rsidR="00F37492" w:rsidRPr="00F37492" w:rsidRDefault="00F37492" w:rsidP="000A557B">
      <w:pPr>
        <w:jc w:val="both"/>
        <w:rPr>
          <w:rFonts w:cs="Arial Unicode MS"/>
          <w:sz w:val="22"/>
          <w:szCs w:val="22"/>
          <w:lang w:val="ru-RU" w:eastAsia="sr-Latn-ME"/>
        </w:rPr>
      </w:pPr>
      <w:r w:rsidRPr="00F37492">
        <w:rPr>
          <w:sz w:val="22"/>
          <w:szCs w:val="22"/>
          <w:lang w:val="it-IT" w:eastAsia="sr-Latn-CS"/>
        </w:rPr>
        <w:t>Pacijente</w:t>
      </w:r>
      <w:r w:rsidRPr="00F37492">
        <w:rPr>
          <w:sz w:val="22"/>
          <w:szCs w:val="22"/>
          <w:lang w:val="ru-RU" w:eastAsia="sr-Latn-CS"/>
        </w:rPr>
        <w:t xml:space="preserve"> </w:t>
      </w:r>
      <w:r w:rsidRPr="00F37492">
        <w:rPr>
          <w:sz w:val="22"/>
          <w:szCs w:val="22"/>
          <w:lang w:val="it-IT" w:eastAsia="sr-Latn-CS"/>
        </w:rPr>
        <w:t>treba</w:t>
      </w:r>
      <w:r w:rsidRPr="00F37492">
        <w:rPr>
          <w:sz w:val="22"/>
          <w:szCs w:val="22"/>
          <w:lang w:val="ru-RU" w:eastAsia="sr-Latn-CS"/>
        </w:rPr>
        <w:t xml:space="preserve"> </w:t>
      </w:r>
      <w:r w:rsidRPr="00F37492">
        <w:rPr>
          <w:sz w:val="22"/>
          <w:szCs w:val="22"/>
          <w:lang w:val="it-IT" w:eastAsia="sr-Latn-CS"/>
        </w:rPr>
        <w:t>pa</w:t>
      </w:r>
      <w:r w:rsidRPr="00F37492">
        <w:rPr>
          <w:sz w:val="22"/>
          <w:szCs w:val="22"/>
          <w:lang w:val="ru-RU" w:eastAsia="sr-Latn-CS"/>
        </w:rPr>
        <w:t>ž</w:t>
      </w:r>
      <w:r w:rsidRPr="00F37492">
        <w:rPr>
          <w:sz w:val="22"/>
          <w:szCs w:val="22"/>
          <w:lang w:val="it-IT" w:eastAsia="sr-Latn-CS"/>
        </w:rPr>
        <w:t>ljivo</w:t>
      </w:r>
      <w:r w:rsidRPr="00F37492">
        <w:rPr>
          <w:sz w:val="22"/>
          <w:szCs w:val="22"/>
          <w:lang w:val="ru-RU" w:eastAsia="sr-Latn-CS"/>
        </w:rPr>
        <w:t xml:space="preserve"> </w:t>
      </w:r>
      <w:r w:rsidRPr="00F37492">
        <w:rPr>
          <w:sz w:val="22"/>
          <w:szCs w:val="22"/>
          <w:lang w:val="it-IT" w:eastAsia="sr-Latn-CS"/>
        </w:rPr>
        <w:t>kontrolisati</w:t>
      </w:r>
      <w:r w:rsidRPr="00F37492">
        <w:rPr>
          <w:sz w:val="22"/>
          <w:szCs w:val="22"/>
          <w:lang w:val="ru-RU" w:eastAsia="sr-Latn-CS"/>
        </w:rPr>
        <w:t xml:space="preserve"> (</w:t>
      </w:r>
      <w:r w:rsidRPr="00F37492">
        <w:rPr>
          <w:sz w:val="22"/>
          <w:szCs w:val="22"/>
          <w:lang w:val="it-IT" w:eastAsia="sr-Latn-CS"/>
        </w:rPr>
        <w:t>npr</w:t>
      </w:r>
      <w:r w:rsidRPr="00F37492">
        <w:rPr>
          <w:sz w:val="22"/>
          <w:szCs w:val="22"/>
          <w:lang w:val="ru-RU" w:eastAsia="sr-Latn-CS"/>
        </w:rPr>
        <w:t xml:space="preserve">. </w:t>
      </w:r>
      <w:r w:rsidRPr="00F37492">
        <w:rPr>
          <w:sz w:val="22"/>
          <w:szCs w:val="22"/>
          <w:lang w:val="it-IT" w:eastAsia="sr-Latn-CS"/>
        </w:rPr>
        <w:t>dva</w:t>
      </w:r>
      <w:r w:rsidRPr="00F37492">
        <w:rPr>
          <w:sz w:val="22"/>
          <w:szCs w:val="22"/>
          <w:lang w:val="ru-RU" w:eastAsia="sr-Latn-CS"/>
        </w:rPr>
        <w:t xml:space="preserve"> </w:t>
      </w:r>
      <w:r w:rsidRPr="00F37492">
        <w:rPr>
          <w:sz w:val="22"/>
          <w:szCs w:val="22"/>
          <w:lang w:val="it-IT" w:eastAsia="sr-Latn-CS"/>
        </w:rPr>
        <w:t>puta</w:t>
      </w:r>
      <w:r w:rsidRPr="00F37492">
        <w:rPr>
          <w:sz w:val="22"/>
          <w:szCs w:val="22"/>
          <w:lang w:val="ru-RU" w:eastAsia="sr-Latn-CS"/>
        </w:rPr>
        <w:t xml:space="preserve"> </w:t>
      </w:r>
      <w:r w:rsidRPr="00F37492">
        <w:rPr>
          <w:sz w:val="22"/>
          <w:szCs w:val="22"/>
          <w:lang w:val="it-IT" w:eastAsia="sr-Latn-CS"/>
        </w:rPr>
        <w:t>nedjeljno</w:t>
      </w:r>
      <w:r w:rsidRPr="00F37492">
        <w:rPr>
          <w:sz w:val="22"/>
          <w:szCs w:val="22"/>
          <w:lang w:val="ru-RU" w:eastAsia="sr-Latn-CS"/>
        </w:rPr>
        <w:t xml:space="preserve">) </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citopenije</w:t>
      </w:r>
      <w:r w:rsidRPr="00F37492">
        <w:rPr>
          <w:sz w:val="22"/>
          <w:szCs w:val="22"/>
          <w:lang w:val="ru-RU" w:eastAsia="sr-Latn-CS"/>
        </w:rPr>
        <w:t xml:space="preserve">, </w:t>
      </w:r>
      <w:r w:rsidRPr="00F37492">
        <w:rPr>
          <w:sz w:val="22"/>
          <w:szCs w:val="22"/>
          <w:lang w:val="it-IT" w:eastAsia="sr-Latn-CS"/>
        </w:rPr>
        <w:t>a</w:t>
      </w:r>
      <w:r w:rsidRPr="00F37492">
        <w:rPr>
          <w:sz w:val="22"/>
          <w:szCs w:val="22"/>
          <w:lang w:val="ru-RU" w:eastAsia="sr-Latn-CS"/>
        </w:rPr>
        <w:t xml:space="preserve"> </w:t>
      </w:r>
      <w:r w:rsidRPr="00F37492">
        <w:rPr>
          <w:sz w:val="22"/>
          <w:szCs w:val="22"/>
          <w:lang w:val="it-IT" w:eastAsia="sr-Latn-CS"/>
        </w:rPr>
        <w:t>dozu</w:t>
      </w:r>
      <w:r w:rsidRPr="00F37492">
        <w:rPr>
          <w:sz w:val="22"/>
          <w:szCs w:val="22"/>
          <w:lang w:val="ru-RU" w:eastAsia="sr-Latn-CS"/>
        </w:rPr>
        <w:t xml:space="preserve"> </w:t>
      </w:r>
      <w:r w:rsidRPr="00F37492">
        <w:rPr>
          <w:sz w:val="22"/>
          <w:szCs w:val="22"/>
          <w:lang w:val="it-IT" w:eastAsia="sr-Latn-CS"/>
        </w:rPr>
        <w:t>pode</w:t>
      </w:r>
      <w:r w:rsidRPr="00F37492">
        <w:rPr>
          <w:sz w:val="22"/>
          <w:szCs w:val="22"/>
          <w:lang w:val="ru-RU" w:eastAsia="sr-Latn-CS"/>
        </w:rPr>
        <w:t>š</w:t>
      </w:r>
      <w:r w:rsidRPr="00F37492">
        <w:rPr>
          <w:sz w:val="22"/>
          <w:szCs w:val="22"/>
          <w:lang w:val="it-IT" w:eastAsia="sr-Latn-CS"/>
        </w:rPr>
        <w:t>avati</w:t>
      </w:r>
      <w:r w:rsidRPr="00F37492">
        <w:rPr>
          <w:sz w:val="22"/>
          <w:szCs w:val="22"/>
          <w:lang w:val="ru-RU" w:eastAsia="sr-Latn-CS"/>
        </w:rPr>
        <w:t xml:space="preserve"> </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osnovu</w:t>
      </w:r>
      <w:r w:rsidRPr="00F37492">
        <w:rPr>
          <w:sz w:val="22"/>
          <w:szCs w:val="22"/>
          <w:lang w:val="ru-RU" w:eastAsia="sr-Latn-CS"/>
        </w:rPr>
        <w:t xml:space="preserve"> </w:t>
      </w:r>
      <w:r w:rsidRPr="00F37492">
        <w:rPr>
          <w:sz w:val="22"/>
          <w:szCs w:val="22"/>
          <w:lang w:val="it-IT" w:eastAsia="sr-Latn-CS"/>
        </w:rPr>
        <w:t>bezbjednosti</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efikasnosti</w:t>
      </w:r>
      <w:r w:rsidRPr="00F37492">
        <w:rPr>
          <w:sz w:val="22"/>
          <w:szCs w:val="22"/>
          <w:lang w:val="ru-RU" w:eastAsia="sr-Latn-CS"/>
        </w:rPr>
        <w:t xml:space="preserve"> (</w:t>
      </w:r>
      <w:r w:rsidRPr="00F37492">
        <w:rPr>
          <w:sz w:val="22"/>
          <w:szCs w:val="22"/>
          <w:lang w:val="it-IT" w:eastAsia="sr-Latn-CS"/>
        </w:rPr>
        <w:t>vidjeti</w:t>
      </w:r>
      <w:r w:rsidRPr="00F37492">
        <w:rPr>
          <w:sz w:val="22"/>
          <w:szCs w:val="22"/>
          <w:lang w:val="ru-RU" w:eastAsia="sr-Latn-CS"/>
        </w:rPr>
        <w:t xml:space="preserve"> </w:t>
      </w:r>
      <w:r w:rsidR="00D83177">
        <w:rPr>
          <w:sz w:val="22"/>
          <w:szCs w:val="22"/>
          <w:lang w:val="it-IT" w:eastAsia="sr-Latn-CS"/>
        </w:rPr>
        <w:t>dio</w:t>
      </w:r>
      <w:r w:rsidR="00D83177" w:rsidRPr="00F37492">
        <w:rPr>
          <w:sz w:val="22"/>
          <w:szCs w:val="22"/>
          <w:lang w:val="ru-RU" w:eastAsia="sr-Latn-CS"/>
        </w:rPr>
        <w:t xml:space="preserve"> </w:t>
      </w:r>
      <w:r w:rsidRPr="00F37492">
        <w:rPr>
          <w:sz w:val="22"/>
          <w:szCs w:val="22"/>
          <w:lang w:val="ru-RU" w:eastAsia="sr-Latn-CS"/>
        </w:rPr>
        <w:t>4.2).</w:t>
      </w:r>
    </w:p>
    <w:p w14:paraId="42FF2780" w14:textId="77777777" w:rsidR="00F37492" w:rsidRPr="00F37492" w:rsidRDefault="00F37492" w:rsidP="000A557B">
      <w:pPr>
        <w:jc w:val="both"/>
        <w:rPr>
          <w:rFonts w:cs="Arial Unicode MS"/>
          <w:i/>
          <w:iCs/>
          <w:sz w:val="22"/>
          <w:szCs w:val="22"/>
          <w:lang w:val="ru-RU" w:eastAsia="sr-Latn-CS"/>
        </w:rPr>
      </w:pPr>
    </w:p>
    <w:p w14:paraId="519B221B" w14:textId="77777777" w:rsidR="00F37492" w:rsidRPr="00F37492" w:rsidRDefault="00F37492" w:rsidP="000A557B">
      <w:pPr>
        <w:jc w:val="both"/>
        <w:rPr>
          <w:rFonts w:cs="Arial Unicode MS"/>
          <w:i/>
          <w:iCs/>
          <w:sz w:val="22"/>
          <w:szCs w:val="22"/>
          <w:lang w:val="ru-RU" w:eastAsia="sr-Latn-ME"/>
        </w:rPr>
      </w:pPr>
      <w:r w:rsidRPr="00F37492">
        <w:rPr>
          <w:i/>
          <w:iCs/>
          <w:sz w:val="22"/>
          <w:szCs w:val="22"/>
          <w:lang w:val="it-IT" w:eastAsia="sr-Latn-CS"/>
        </w:rPr>
        <w:t>Dvojni</w:t>
      </w:r>
      <w:r w:rsidRPr="00F37492">
        <w:rPr>
          <w:i/>
          <w:iCs/>
          <w:sz w:val="22"/>
          <w:szCs w:val="22"/>
          <w:lang w:val="ru-RU" w:eastAsia="sr-Latn-CS"/>
        </w:rPr>
        <w:t xml:space="preserve"> </w:t>
      </w:r>
      <w:r w:rsidRPr="00F37492">
        <w:rPr>
          <w:i/>
          <w:iCs/>
          <w:sz w:val="22"/>
          <w:szCs w:val="22"/>
          <w:lang w:val="it-IT" w:eastAsia="sr-Latn-CS"/>
        </w:rPr>
        <w:t>CYP</w:t>
      </w:r>
      <w:r w:rsidRPr="00F37492">
        <w:rPr>
          <w:i/>
          <w:iCs/>
          <w:sz w:val="22"/>
          <w:szCs w:val="22"/>
          <w:lang w:val="ru-RU" w:eastAsia="sr-Latn-CS"/>
        </w:rPr>
        <w:t>2</w:t>
      </w:r>
      <w:r w:rsidRPr="00F37492">
        <w:rPr>
          <w:i/>
          <w:iCs/>
          <w:sz w:val="22"/>
          <w:szCs w:val="22"/>
          <w:lang w:val="it-IT" w:eastAsia="sr-Latn-CS"/>
        </w:rPr>
        <w:t>C</w:t>
      </w:r>
      <w:r w:rsidRPr="00F37492">
        <w:rPr>
          <w:i/>
          <w:iCs/>
          <w:sz w:val="22"/>
          <w:szCs w:val="22"/>
          <w:lang w:val="ru-RU" w:eastAsia="sr-Latn-CS"/>
        </w:rPr>
        <w:t xml:space="preserve">9 </w:t>
      </w:r>
      <w:r w:rsidRPr="00F37492">
        <w:rPr>
          <w:i/>
          <w:iCs/>
          <w:sz w:val="22"/>
          <w:szCs w:val="22"/>
          <w:lang w:val="it-IT" w:eastAsia="sr-Latn-CS"/>
        </w:rPr>
        <w:t>i</w:t>
      </w:r>
      <w:r w:rsidRPr="00F37492">
        <w:rPr>
          <w:i/>
          <w:iCs/>
          <w:sz w:val="22"/>
          <w:szCs w:val="22"/>
          <w:lang w:val="ru-RU" w:eastAsia="sr-Latn-CS"/>
        </w:rPr>
        <w:t xml:space="preserve"> </w:t>
      </w:r>
      <w:r w:rsidRPr="00F37492">
        <w:rPr>
          <w:i/>
          <w:iCs/>
          <w:sz w:val="22"/>
          <w:szCs w:val="22"/>
          <w:lang w:val="it-IT" w:eastAsia="sr-Latn-CS"/>
        </w:rPr>
        <w:t>CYP</w:t>
      </w:r>
      <w:r w:rsidRPr="00F37492">
        <w:rPr>
          <w:i/>
          <w:iCs/>
          <w:sz w:val="22"/>
          <w:szCs w:val="22"/>
          <w:lang w:val="ru-RU" w:eastAsia="sr-Latn-CS"/>
        </w:rPr>
        <w:t>3</w:t>
      </w:r>
      <w:r w:rsidRPr="00F37492">
        <w:rPr>
          <w:i/>
          <w:iCs/>
          <w:sz w:val="22"/>
          <w:szCs w:val="22"/>
          <w:lang w:val="it-IT" w:eastAsia="sr-Latn-CS"/>
        </w:rPr>
        <w:t>A</w:t>
      </w:r>
      <w:r w:rsidRPr="00F37492">
        <w:rPr>
          <w:i/>
          <w:iCs/>
          <w:sz w:val="22"/>
          <w:szCs w:val="22"/>
          <w:lang w:val="ru-RU" w:eastAsia="sr-Latn-CS"/>
        </w:rPr>
        <w:t xml:space="preserve">4 </w:t>
      </w:r>
      <w:r w:rsidRPr="00F37492">
        <w:rPr>
          <w:i/>
          <w:iCs/>
          <w:sz w:val="22"/>
          <w:szCs w:val="22"/>
          <w:lang w:val="it-IT" w:eastAsia="sr-Latn-CS"/>
        </w:rPr>
        <w:t>inhibitori</w:t>
      </w:r>
    </w:p>
    <w:p w14:paraId="47784006" w14:textId="21F206F6" w:rsidR="00F37492" w:rsidRDefault="00F37492" w:rsidP="000A557B">
      <w:pPr>
        <w:jc w:val="both"/>
        <w:rPr>
          <w:sz w:val="22"/>
          <w:szCs w:val="22"/>
          <w:lang w:val="sr-Latn-RS" w:eastAsia="sr-Latn-CS"/>
        </w:rPr>
      </w:pPr>
      <w:r w:rsidRPr="00F37492">
        <w:rPr>
          <w:sz w:val="22"/>
          <w:szCs w:val="22"/>
          <w:lang w:val="sr-Latn-RS" w:eastAsia="sr-Latn-CS"/>
        </w:rPr>
        <w:t>Kod zdravih ispitanika istovremeno davanje lijeka ruksolitinib (jedna doza od 10 mg) sa dvojnim CYP2C9 i CYP2A4 inhibitorom flukonazolom dovodilo je do povećanja C</w:t>
      </w:r>
      <w:r w:rsidRPr="00F37492">
        <w:rPr>
          <w:sz w:val="22"/>
          <w:szCs w:val="22"/>
          <w:vertAlign w:val="subscript"/>
          <w:lang w:val="sr-Latn-RS" w:eastAsia="sr-Latn-CS"/>
        </w:rPr>
        <w:t>max</w:t>
      </w:r>
      <w:r w:rsidRPr="00F37492">
        <w:rPr>
          <w:sz w:val="22"/>
          <w:szCs w:val="22"/>
          <w:lang w:val="sr-Latn-RS" w:eastAsia="sr-Latn-CS"/>
        </w:rPr>
        <w:t xml:space="preserve"> i PIK koje je bilo veće od 47% i 232% u odnosu kada je dat samo ruksolitinib. </w:t>
      </w:r>
    </w:p>
    <w:p w14:paraId="5D01C01E" w14:textId="77777777" w:rsidR="00D83177" w:rsidRPr="00F37492" w:rsidRDefault="00D83177" w:rsidP="000A557B">
      <w:pPr>
        <w:jc w:val="both"/>
        <w:rPr>
          <w:sz w:val="22"/>
          <w:szCs w:val="22"/>
          <w:lang w:val="sr-Latn-RS" w:eastAsia="sr-Latn-CS"/>
        </w:rPr>
      </w:pPr>
    </w:p>
    <w:p w14:paraId="6B3CF454" w14:textId="5B167D5B" w:rsidR="00F37492" w:rsidRPr="00F37492" w:rsidRDefault="00F37492" w:rsidP="000A557B">
      <w:pPr>
        <w:jc w:val="both"/>
        <w:rPr>
          <w:rFonts w:cs="Arial Unicode MS"/>
          <w:sz w:val="22"/>
          <w:szCs w:val="22"/>
          <w:lang w:val="sr-Latn-RS" w:eastAsia="sr-Latn-ME"/>
        </w:rPr>
      </w:pPr>
      <w:r w:rsidRPr="00F37492">
        <w:rPr>
          <w:sz w:val="22"/>
          <w:szCs w:val="22"/>
          <w:lang w:val="sr-Latn-RS" w:eastAsia="sr-Latn-CS"/>
        </w:rPr>
        <w:t xml:space="preserve">Treba </w:t>
      </w:r>
      <w:r w:rsidRPr="00F37492">
        <w:rPr>
          <w:sz w:val="22"/>
          <w:szCs w:val="22"/>
          <w:lang w:val="it-IT" w:eastAsia="sr-Latn-CS"/>
        </w:rPr>
        <w:t>razmotriti</w:t>
      </w:r>
      <w:r w:rsidRPr="00F37492">
        <w:rPr>
          <w:sz w:val="22"/>
          <w:szCs w:val="22"/>
          <w:lang w:val="ru-RU" w:eastAsia="sr-Latn-CS"/>
        </w:rPr>
        <w:t xml:space="preserve"> </w:t>
      </w:r>
      <w:r w:rsidRPr="00F37492">
        <w:rPr>
          <w:sz w:val="22"/>
          <w:szCs w:val="22"/>
          <w:lang w:val="it-IT" w:eastAsia="sr-Latn-CS"/>
        </w:rPr>
        <w:t>smanjenje</w:t>
      </w:r>
      <w:r w:rsidRPr="00F37492">
        <w:rPr>
          <w:sz w:val="22"/>
          <w:szCs w:val="22"/>
          <w:lang w:val="ru-RU" w:eastAsia="sr-Latn-CS"/>
        </w:rPr>
        <w:t xml:space="preserve"> </w:t>
      </w:r>
      <w:r w:rsidRPr="00F37492">
        <w:rPr>
          <w:sz w:val="22"/>
          <w:szCs w:val="22"/>
          <w:lang w:val="it-IT" w:eastAsia="sr-Latn-CS"/>
        </w:rPr>
        <w:t>doze</w:t>
      </w:r>
      <w:r w:rsidRPr="00F37492">
        <w:rPr>
          <w:sz w:val="22"/>
          <w:szCs w:val="22"/>
          <w:lang w:val="ru-RU" w:eastAsia="sr-Latn-CS"/>
        </w:rPr>
        <w:t xml:space="preserve"> </w:t>
      </w:r>
      <w:r w:rsidRPr="00F37492">
        <w:rPr>
          <w:sz w:val="22"/>
          <w:szCs w:val="22"/>
          <w:lang w:val="it-IT" w:eastAsia="sr-Latn-CS"/>
        </w:rPr>
        <w:t>za</w:t>
      </w:r>
      <w:r w:rsidRPr="00F37492">
        <w:rPr>
          <w:sz w:val="22"/>
          <w:szCs w:val="22"/>
          <w:lang w:val="ru-RU" w:eastAsia="sr-Latn-CS"/>
        </w:rPr>
        <w:t xml:space="preserve"> 50% </w:t>
      </w:r>
      <w:r w:rsidRPr="00F37492">
        <w:rPr>
          <w:sz w:val="22"/>
          <w:szCs w:val="22"/>
          <w:lang w:val="it-IT" w:eastAsia="sr-Latn-CS"/>
        </w:rPr>
        <w:t>kada</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koriste</w:t>
      </w:r>
      <w:r w:rsidRPr="00F37492">
        <w:rPr>
          <w:sz w:val="22"/>
          <w:szCs w:val="22"/>
          <w:lang w:val="ru-RU" w:eastAsia="sr-Latn-CS"/>
        </w:rPr>
        <w:t xml:space="preserve"> </w:t>
      </w:r>
      <w:r w:rsidRPr="00F37492">
        <w:rPr>
          <w:sz w:val="22"/>
          <w:szCs w:val="22"/>
          <w:lang w:val="it-IT" w:eastAsia="sr-Latn-CS"/>
        </w:rPr>
        <w:t>ljekovi</w:t>
      </w:r>
      <w:r w:rsidRPr="00F37492">
        <w:rPr>
          <w:sz w:val="22"/>
          <w:szCs w:val="22"/>
          <w:lang w:val="ru-RU" w:eastAsia="sr-Latn-CS"/>
        </w:rPr>
        <w:t xml:space="preserve"> </w:t>
      </w:r>
      <w:r w:rsidRPr="00F37492">
        <w:rPr>
          <w:sz w:val="22"/>
          <w:szCs w:val="22"/>
          <w:lang w:val="it-IT" w:eastAsia="sr-Latn-CS"/>
        </w:rPr>
        <w:t>koji</w:t>
      </w:r>
      <w:r w:rsidRPr="00F37492">
        <w:rPr>
          <w:sz w:val="22"/>
          <w:szCs w:val="22"/>
          <w:lang w:val="ru-RU" w:eastAsia="sr-Latn-CS"/>
        </w:rPr>
        <w:t xml:space="preserve"> </w:t>
      </w:r>
      <w:r w:rsidRPr="00F37492">
        <w:rPr>
          <w:sz w:val="22"/>
          <w:szCs w:val="22"/>
          <w:lang w:val="it-IT" w:eastAsia="sr-Latn-CS"/>
        </w:rPr>
        <w:t>su</w:t>
      </w:r>
      <w:r w:rsidRPr="00F37492">
        <w:rPr>
          <w:sz w:val="22"/>
          <w:szCs w:val="22"/>
          <w:lang w:val="ru-RU" w:eastAsia="sr-Latn-CS"/>
        </w:rPr>
        <w:t xml:space="preserve"> </w:t>
      </w:r>
      <w:r w:rsidRPr="00F37492">
        <w:rPr>
          <w:sz w:val="22"/>
          <w:szCs w:val="22"/>
          <w:lang w:val="it-IT" w:eastAsia="sr-Latn-CS"/>
        </w:rPr>
        <w:t>dvojni</w:t>
      </w:r>
      <w:r w:rsidRPr="00F37492">
        <w:rPr>
          <w:sz w:val="22"/>
          <w:szCs w:val="22"/>
          <w:lang w:val="ru-RU" w:eastAsia="sr-Latn-CS"/>
        </w:rPr>
        <w:t xml:space="preserve"> </w:t>
      </w:r>
      <w:r w:rsidRPr="00F37492">
        <w:rPr>
          <w:sz w:val="22"/>
          <w:szCs w:val="22"/>
          <w:lang w:val="it-IT" w:eastAsia="sr-Latn-CS"/>
        </w:rPr>
        <w:t>inhibitori</w:t>
      </w:r>
      <w:r w:rsidRPr="00F37492">
        <w:rPr>
          <w:sz w:val="22"/>
          <w:szCs w:val="22"/>
          <w:lang w:val="ru-RU" w:eastAsia="sr-Latn-CS"/>
        </w:rPr>
        <w:t xml:space="preserve"> </w:t>
      </w:r>
      <w:r w:rsidRPr="00F37492">
        <w:rPr>
          <w:sz w:val="22"/>
          <w:szCs w:val="22"/>
          <w:lang w:val="it-IT" w:eastAsia="sr-Latn-CS"/>
        </w:rPr>
        <w:t>CYP</w:t>
      </w:r>
      <w:r w:rsidRPr="00F37492">
        <w:rPr>
          <w:sz w:val="22"/>
          <w:szCs w:val="22"/>
          <w:lang w:val="ru-RU" w:eastAsia="sr-Latn-CS"/>
        </w:rPr>
        <w:t>2</w:t>
      </w:r>
      <w:r w:rsidRPr="00F37492">
        <w:rPr>
          <w:sz w:val="22"/>
          <w:szCs w:val="22"/>
          <w:lang w:val="it-IT" w:eastAsia="sr-Latn-CS"/>
        </w:rPr>
        <w:t>C</w:t>
      </w:r>
      <w:r w:rsidRPr="00F37492">
        <w:rPr>
          <w:sz w:val="22"/>
          <w:szCs w:val="22"/>
          <w:lang w:val="ru-RU" w:eastAsia="sr-Latn-CS"/>
        </w:rPr>
        <w:t xml:space="preserve">9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CYP</w:t>
      </w:r>
      <w:r w:rsidRPr="00F37492">
        <w:rPr>
          <w:sz w:val="22"/>
          <w:szCs w:val="22"/>
          <w:lang w:val="ru-RU" w:eastAsia="sr-Latn-CS"/>
        </w:rPr>
        <w:t>3</w:t>
      </w:r>
      <w:r w:rsidRPr="00F37492">
        <w:rPr>
          <w:sz w:val="22"/>
          <w:szCs w:val="22"/>
          <w:lang w:val="it-IT" w:eastAsia="sr-Latn-CS"/>
        </w:rPr>
        <w:t>A</w:t>
      </w:r>
      <w:r w:rsidRPr="00F37492">
        <w:rPr>
          <w:sz w:val="22"/>
          <w:szCs w:val="22"/>
          <w:lang w:val="ru-RU" w:eastAsia="sr-Latn-CS"/>
        </w:rPr>
        <w:t xml:space="preserve">4 </w:t>
      </w:r>
      <w:r w:rsidRPr="00F37492">
        <w:rPr>
          <w:sz w:val="22"/>
          <w:szCs w:val="22"/>
          <w:lang w:val="it-IT" w:eastAsia="sr-Latn-CS"/>
        </w:rPr>
        <w:t>enzima</w:t>
      </w:r>
      <w:r w:rsidRPr="00F37492">
        <w:rPr>
          <w:sz w:val="22"/>
          <w:szCs w:val="22"/>
          <w:lang w:val="ru-RU" w:eastAsia="sr-Latn-CS"/>
        </w:rPr>
        <w:t xml:space="preserve"> (</w:t>
      </w:r>
      <w:r w:rsidRPr="00F37492">
        <w:rPr>
          <w:sz w:val="22"/>
          <w:szCs w:val="22"/>
          <w:lang w:val="it-IT" w:eastAsia="sr-Latn-CS"/>
        </w:rPr>
        <w:t>npr</w:t>
      </w:r>
      <w:r w:rsidRPr="00F37492">
        <w:rPr>
          <w:sz w:val="22"/>
          <w:szCs w:val="22"/>
          <w:lang w:val="ru-RU" w:eastAsia="sr-Latn-CS"/>
        </w:rPr>
        <w:t xml:space="preserve">. </w:t>
      </w:r>
      <w:r w:rsidRPr="00F37492">
        <w:rPr>
          <w:sz w:val="22"/>
          <w:szCs w:val="22"/>
          <w:lang w:val="it-IT" w:eastAsia="sr-Latn-CS"/>
        </w:rPr>
        <w:t>flukonazol</w:t>
      </w:r>
      <w:r w:rsidRPr="00F37492">
        <w:rPr>
          <w:sz w:val="22"/>
          <w:szCs w:val="22"/>
          <w:lang w:val="ru-RU" w:eastAsia="sr-Latn-CS"/>
        </w:rPr>
        <w:t>).</w:t>
      </w:r>
      <w:r w:rsidRPr="00F37492">
        <w:rPr>
          <w:sz w:val="22"/>
          <w:szCs w:val="22"/>
          <w:lang w:val="sr-Latn-RS" w:eastAsia="sr-Latn-CS"/>
        </w:rPr>
        <w:t xml:space="preserve"> Izbjegavati istovremenu primjenu l</w:t>
      </w:r>
      <w:r w:rsidR="00D83177">
        <w:rPr>
          <w:sz w:val="22"/>
          <w:szCs w:val="22"/>
          <w:lang w:val="sr-Latn-RS" w:eastAsia="sr-Latn-CS"/>
        </w:rPr>
        <w:t>ij</w:t>
      </w:r>
      <w:r w:rsidRPr="00F37492">
        <w:rPr>
          <w:sz w:val="22"/>
          <w:szCs w:val="22"/>
          <w:lang w:val="sr-Latn-RS" w:eastAsia="sr-Latn-CS"/>
        </w:rPr>
        <w:t>eka ruksolitinib sa dnevnom dozom flukonazola većom od 200</w:t>
      </w:r>
      <w:r w:rsidR="00D83177">
        <w:rPr>
          <w:sz w:val="22"/>
          <w:szCs w:val="22"/>
          <w:lang w:val="sr-Latn-RS" w:eastAsia="sr-Latn-CS"/>
        </w:rPr>
        <w:t xml:space="preserve"> </w:t>
      </w:r>
      <w:r w:rsidRPr="00F37492">
        <w:rPr>
          <w:sz w:val="22"/>
          <w:szCs w:val="22"/>
          <w:lang w:val="sr-Latn-RS" w:eastAsia="sr-Latn-CS"/>
        </w:rPr>
        <w:t>mg.</w:t>
      </w:r>
    </w:p>
    <w:p w14:paraId="7B8FBB01" w14:textId="6ADC56E1" w:rsidR="00F37492" w:rsidRDefault="00F37492" w:rsidP="000A557B">
      <w:pPr>
        <w:jc w:val="both"/>
        <w:rPr>
          <w:sz w:val="22"/>
          <w:szCs w:val="22"/>
          <w:u w:val="single"/>
          <w:lang w:val="it-IT" w:eastAsia="sr-Latn-CS"/>
        </w:rPr>
      </w:pPr>
      <w:r w:rsidRPr="00F37492">
        <w:rPr>
          <w:sz w:val="22"/>
          <w:szCs w:val="22"/>
          <w:u w:val="single"/>
          <w:lang w:val="it-IT" w:eastAsia="sr-Latn-CS"/>
        </w:rPr>
        <w:lastRenderedPageBreak/>
        <w:t>Induktori</w:t>
      </w:r>
      <w:r w:rsidRPr="00F37492">
        <w:rPr>
          <w:sz w:val="22"/>
          <w:szCs w:val="22"/>
          <w:u w:val="single"/>
          <w:lang w:val="ru-RU" w:eastAsia="sr-Latn-CS"/>
        </w:rPr>
        <w:t xml:space="preserve"> </w:t>
      </w:r>
      <w:r w:rsidRPr="00F37492">
        <w:rPr>
          <w:sz w:val="22"/>
          <w:szCs w:val="22"/>
          <w:u w:val="single"/>
          <w:lang w:val="it-IT" w:eastAsia="sr-Latn-CS"/>
        </w:rPr>
        <w:t>enzima</w:t>
      </w:r>
    </w:p>
    <w:p w14:paraId="21FDE6A8" w14:textId="77777777" w:rsidR="00D83177" w:rsidRPr="00F37492" w:rsidRDefault="00D83177" w:rsidP="000A557B">
      <w:pPr>
        <w:jc w:val="both"/>
        <w:rPr>
          <w:rFonts w:cs="Arial Unicode MS"/>
          <w:sz w:val="22"/>
          <w:szCs w:val="22"/>
          <w:lang w:val="ru-RU" w:eastAsia="sr-Latn-ME"/>
        </w:rPr>
      </w:pPr>
    </w:p>
    <w:p w14:paraId="540603CF" w14:textId="77777777" w:rsidR="00F37492" w:rsidRPr="00703819" w:rsidRDefault="00F37492" w:rsidP="000A557B">
      <w:pPr>
        <w:jc w:val="both"/>
        <w:rPr>
          <w:rFonts w:cs="Arial Unicode MS"/>
          <w:i/>
          <w:sz w:val="22"/>
          <w:szCs w:val="22"/>
          <w:u w:val="single"/>
          <w:lang w:val="ru-RU" w:eastAsia="sr-Latn-CS"/>
        </w:rPr>
      </w:pPr>
      <w:r w:rsidRPr="00703819">
        <w:rPr>
          <w:i/>
          <w:iCs/>
          <w:sz w:val="22"/>
          <w:szCs w:val="22"/>
          <w:u w:val="single"/>
          <w:lang w:val="it-IT" w:eastAsia="sr-Latn-CS"/>
        </w:rPr>
        <w:t>CYP</w:t>
      </w:r>
      <w:r w:rsidRPr="00703819">
        <w:rPr>
          <w:i/>
          <w:iCs/>
          <w:sz w:val="22"/>
          <w:szCs w:val="22"/>
          <w:u w:val="single"/>
          <w:lang w:val="ru-RU" w:eastAsia="sr-Latn-CS"/>
        </w:rPr>
        <w:t>3</w:t>
      </w:r>
      <w:r w:rsidRPr="00703819">
        <w:rPr>
          <w:i/>
          <w:iCs/>
          <w:sz w:val="22"/>
          <w:szCs w:val="22"/>
          <w:u w:val="single"/>
          <w:lang w:val="it-IT" w:eastAsia="sr-Latn-CS"/>
        </w:rPr>
        <w:t>A</w:t>
      </w:r>
      <w:r w:rsidRPr="00703819">
        <w:rPr>
          <w:i/>
          <w:iCs/>
          <w:sz w:val="22"/>
          <w:szCs w:val="22"/>
          <w:u w:val="single"/>
          <w:lang w:val="ru-RU" w:eastAsia="sr-Latn-CS"/>
        </w:rPr>
        <w:t xml:space="preserve">4 </w:t>
      </w:r>
      <w:r w:rsidRPr="00703819">
        <w:rPr>
          <w:i/>
          <w:iCs/>
          <w:sz w:val="22"/>
          <w:szCs w:val="22"/>
          <w:u w:val="single"/>
          <w:lang w:val="it-IT" w:eastAsia="sr-Latn-CS"/>
        </w:rPr>
        <w:t>induktori</w:t>
      </w:r>
      <w:r w:rsidRPr="00703819">
        <w:rPr>
          <w:i/>
          <w:iCs/>
          <w:sz w:val="22"/>
          <w:szCs w:val="22"/>
          <w:u w:val="single"/>
          <w:lang w:val="ru-RU" w:eastAsia="sr-Latn-CS"/>
        </w:rPr>
        <w:t xml:space="preserve"> (</w:t>
      </w:r>
      <w:r w:rsidRPr="00703819">
        <w:rPr>
          <w:i/>
          <w:iCs/>
          <w:sz w:val="22"/>
          <w:szCs w:val="22"/>
          <w:u w:val="single"/>
          <w:lang w:val="it-IT" w:eastAsia="sr-Latn-CS"/>
        </w:rPr>
        <w:t>kao</w:t>
      </w:r>
      <w:r w:rsidRPr="00703819">
        <w:rPr>
          <w:i/>
          <w:iCs/>
          <w:sz w:val="22"/>
          <w:szCs w:val="22"/>
          <w:u w:val="single"/>
          <w:lang w:val="ru-RU" w:eastAsia="sr-Latn-CS"/>
        </w:rPr>
        <w:t xml:space="preserve"> š</w:t>
      </w:r>
      <w:r w:rsidRPr="00703819">
        <w:rPr>
          <w:i/>
          <w:iCs/>
          <w:sz w:val="22"/>
          <w:szCs w:val="22"/>
          <w:u w:val="single"/>
          <w:lang w:val="it-IT" w:eastAsia="sr-Latn-CS"/>
        </w:rPr>
        <w:t>to</w:t>
      </w:r>
      <w:r w:rsidRPr="00703819">
        <w:rPr>
          <w:i/>
          <w:iCs/>
          <w:sz w:val="22"/>
          <w:szCs w:val="22"/>
          <w:u w:val="single"/>
          <w:lang w:val="ru-RU" w:eastAsia="sr-Latn-CS"/>
        </w:rPr>
        <w:t xml:space="preserve"> </w:t>
      </w:r>
      <w:r w:rsidRPr="00703819">
        <w:rPr>
          <w:i/>
          <w:iCs/>
          <w:sz w:val="22"/>
          <w:szCs w:val="22"/>
          <w:u w:val="single"/>
          <w:lang w:val="it-IT" w:eastAsia="sr-Latn-CS"/>
        </w:rPr>
        <w:t>su</w:t>
      </w:r>
      <w:r w:rsidRPr="00703819">
        <w:rPr>
          <w:i/>
          <w:iCs/>
          <w:sz w:val="22"/>
          <w:szCs w:val="22"/>
          <w:u w:val="single"/>
          <w:lang w:val="ru-RU" w:eastAsia="sr-Latn-CS"/>
        </w:rPr>
        <w:t xml:space="preserve">, </w:t>
      </w:r>
      <w:r w:rsidRPr="00703819">
        <w:rPr>
          <w:i/>
          <w:iCs/>
          <w:sz w:val="22"/>
          <w:szCs w:val="22"/>
          <w:u w:val="single"/>
          <w:lang w:val="it-IT" w:eastAsia="sr-Latn-CS"/>
        </w:rPr>
        <w:t>izme</w:t>
      </w:r>
      <w:r w:rsidRPr="00703819">
        <w:rPr>
          <w:i/>
          <w:iCs/>
          <w:sz w:val="22"/>
          <w:szCs w:val="22"/>
          <w:u w:val="single"/>
          <w:lang w:val="ru-RU" w:eastAsia="sr-Latn-CS"/>
        </w:rPr>
        <w:t>đ</w:t>
      </w:r>
      <w:r w:rsidRPr="00703819">
        <w:rPr>
          <w:i/>
          <w:iCs/>
          <w:sz w:val="22"/>
          <w:szCs w:val="22"/>
          <w:u w:val="single"/>
          <w:lang w:val="it-IT" w:eastAsia="sr-Latn-CS"/>
        </w:rPr>
        <w:t>u</w:t>
      </w:r>
      <w:r w:rsidRPr="00703819">
        <w:rPr>
          <w:i/>
          <w:iCs/>
          <w:sz w:val="22"/>
          <w:szCs w:val="22"/>
          <w:u w:val="single"/>
          <w:lang w:val="ru-RU" w:eastAsia="sr-Latn-CS"/>
        </w:rPr>
        <w:t xml:space="preserve"> </w:t>
      </w:r>
      <w:r w:rsidRPr="00703819">
        <w:rPr>
          <w:i/>
          <w:iCs/>
          <w:sz w:val="22"/>
          <w:szCs w:val="22"/>
          <w:u w:val="single"/>
          <w:lang w:val="it-IT" w:eastAsia="sr-Latn-CS"/>
        </w:rPr>
        <w:t>ostalih</w:t>
      </w:r>
      <w:r w:rsidRPr="00703819">
        <w:rPr>
          <w:i/>
          <w:iCs/>
          <w:sz w:val="22"/>
          <w:szCs w:val="22"/>
          <w:u w:val="single"/>
          <w:lang w:val="ru-RU" w:eastAsia="sr-Latn-CS"/>
        </w:rPr>
        <w:t xml:space="preserve">, </w:t>
      </w:r>
      <w:r w:rsidRPr="00703819">
        <w:rPr>
          <w:i/>
          <w:iCs/>
          <w:sz w:val="22"/>
          <w:szCs w:val="22"/>
          <w:u w:val="single"/>
          <w:lang w:val="it-IT" w:eastAsia="sr-Latn-CS"/>
        </w:rPr>
        <w:t>avasimib</w:t>
      </w:r>
      <w:r w:rsidRPr="00703819">
        <w:rPr>
          <w:i/>
          <w:iCs/>
          <w:sz w:val="22"/>
          <w:szCs w:val="22"/>
          <w:u w:val="single"/>
          <w:lang w:val="ru-RU" w:eastAsia="sr-Latn-CS"/>
        </w:rPr>
        <w:t xml:space="preserve">, </w:t>
      </w:r>
      <w:r w:rsidRPr="00703819">
        <w:rPr>
          <w:i/>
          <w:iCs/>
          <w:sz w:val="22"/>
          <w:szCs w:val="22"/>
          <w:u w:val="single"/>
          <w:lang w:val="it-IT" w:eastAsia="sr-Latn-CS"/>
        </w:rPr>
        <w:t>karbamazepin</w:t>
      </w:r>
      <w:r w:rsidRPr="00703819">
        <w:rPr>
          <w:i/>
          <w:iCs/>
          <w:sz w:val="22"/>
          <w:szCs w:val="22"/>
          <w:u w:val="single"/>
          <w:lang w:val="ru-RU" w:eastAsia="sr-Latn-CS"/>
        </w:rPr>
        <w:t xml:space="preserve">. </w:t>
      </w:r>
      <w:r w:rsidRPr="00703819">
        <w:rPr>
          <w:i/>
          <w:iCs/>
          <w:sz w:val="22"/>
          <w:szCs w:val="22"/>
          <w:u w:val="single"/>
          <w:lang w:val="it-IT" w:eastAsia="sr-Latn-CS"/>
        </w:rPr>
        <w:t>fenobarbital</w:t>
      </w:r>
      <w:r w:rsidRPr="00703819">
        <w:rPr>
          <w:i/>
          <w:iCs/>
          <w:sz w:val="22"/>
          <w:szCs w:val="22"/>
          <w:u w:val="single"/>
          <w:lang w:val="ru-RU" w:eastAsia="sr-Latn-CS"/>
        </w:rPr>
        <w:t xml:space="preserve">, </w:t>
      </w:r>
      <w:r w:rsidRPr="00703819">
        <w:rPr>
          <w:i/>
          <w:iCs/>
          <w:sz w:val="22"/>
          <w:szCs w:val="22"/>
          <w:u w:val="single"/>
          <w:lang w:val="it-IT" w:eastAsia="sr-Latn-CS"/>
        </w:rPr>
        <w:t>fenitoin</w:t>
      </w:r>
      <w:r w:rsidRPr="00703819">
        <w:rPr>
          <w:i/>
          <w:iCs/>
          <w:sz w:val="22"/>
          <w:szCs w:val="22"/>
          <w:u w:val="single"/>
          <w:lang w:val="ru-RU" w:eastAsia="sr-Latn-CS"/>
        </w:rPr>
        <w:t xml:space="preserve">, </w:t>
      </w:r>
      <w:r w:rsidRPr="00703819">
        <w:rPr>
          <w:i/>
          <w:iCs/>
          <w:sz w:val="22"/>
          <w:szCs w:val="22"/>
          <w:u w:val="single"/>
          <w:lang w:val="it-IT" w:eastAsia="sr-Latn-CS"/>
        </w:rPr>
        <w:t>rifabutin</w:t>
      </w:r>
      <w:r w:rsidRPr="00703819">
        <w:rPr>
          <w:i/>
          <w:iCs/>
          <w:sz w:val="22"/>
          <w:szCs w:val="22"/>
          <w:u w:val="single"/>
          <w:lang w:val="ru-RU" w:eastAsia="sr-Latn-CS"/>
        </w:rPr>
        <w:t xml:space="preserve">, </w:t>
      </w:r>
      <w:r w:rsidRPr="00703819">
        <w:rPr>
          <w:i/>
          <w:iCs/>
          <w:sz w:val="22"/>
          <w:szCs w:val="22"/>
          <w:u w:val="single"/>
          <w:lang w:val="it-IT" w:eastAsia="sr-Latn-CS"/>
        </w:rPr>
        <w:t>rifampin</w:t>
      </w:r>
      <w:r w:rsidRPr="00703819">
        <w:rPr>
          <w:i/>
          <w:iCs/>
          <w:sz w:val="22"/>
          <w:szCs w:val="22"/>
          <w:u w:val="single"/>
          <w:lang w:val="ru-RU" w:eastAsia="sr-Latn-CS"/>
        </w:rPr>
        <w:t xml:space="preserve"> (</w:t>
      </w:r>
      <w:r w:rsidRPr="00703819">
        <w:rPr>
          <w:i/>
          <w:iCs/>
          <w:sz w:val="22"/>
          <w:szCs w:val="22"/>
          <w:u w:val="single"/>
          <w:lang w:val="it-IT" w:eastAsia="sr-Latn-CS"/>
        </w:rPr>
        <w:t>rifampicin</w:t>
      </w:r>
      <w:r w:rsidRPr="00703819">
        <w:rPr>
          <w:i/>
          <w:iCs/>
          <w:sz w:val="22"/>
          <w:szCs w:val="22"/>
          <w:u w:val="single"/>
          <w:lang w:val="ru-RU" w:eastAsia="sr-Latn-CS"/>
        </w:rPr>
        <w:t xml:space="preserve">), </w:t>
      </w:r>
      <w:r w:rsidRPr="00703819">
        <w:rPr>
          <w:i/>
          <w:iCs/>
          <w:sz w:val="22"/>
          <w:szCs w:val="22"/>
          <w:u w:val="single"/>
          <w:lang w:val="it-IT" w:eastAsia="sr-Latn-CS"/>
        </w:rPr>
        <w:t>kantarion</w:t>
      </w:r>
      <w:r w:rsidRPr="00703819">
        <w:rPr>
          <w:i/>
          <w:sz w:val="22"/>
          <w:szCs w:val="22"/>
          <w:u w:val="single"/>
          <w:lang w:val="ru-RU" w:eastAsia="sr-Latn-CS"/>
        </w:rPr>
        <w:t xml:space="preserve"> (</w:t>
      </w:r>
      <w:r w:rsidRPr="00703819">
        <w:rPr>
          <w:i/>
          <w:sz w:val="22"/>
          <w:szCs w:val="22"/>
          <w:u w:val="single"/>
          <w:lang w:val="it-IT" w:eastAsia="sr-Latn-CS"/>
        </w:rPr>
        <w:t>Hypericum</w:t>
      </w:r>
      <w:r w:rsidRPr="00703819">
        <w:rPr>
          <w:i/>
          <w:sz w:val="22"/>
          <w:szCs w:val="22"/>
          <w:u w:val="single"/>
          <w:lang w:val="ru-RU" w:eastAsia="sr-Latn-CS"/>
        </w:rPr>
        <w:t xml:space="preserve"> </w:t>
      </w:r>
      <w:r w:rsidRPr="00703819">
        <w:rPr>
          <w:i/>
          <w:sz w:val="22"/>
          <w:szCs w:val="22"/>
          <w:u w:val="single"/>
          <w:lang w:val="it-IT" w:eastAsia="sr-Latn-CS"/>
        </w:rPr>
        <w:t>perforatum</w:t>
      </w:r>
      <w:r w:rsidRPr="00703819">
        <w:rPr>
          <w:i/>
          <w:sz w:val="22"/>
          <w:szCs w:val="22"/>
          <w:u w:val="single"/>
          <w:lang w:val="ru-RU" w:eastAsia="sr-Latn-CS"/>
        </w:rPr>
        <w:t xml:space="preserve">)) </w:t>
      </w:r>
    </w:p>
    <w:p w14:paraId="05CCEC27" w14:textId="608965AD" w:rsidR="00F37492" w:rsidRPr="00F37492" w:rsidRDefault="00F37492" w:rsidP="000A557B">
      <w:pPr>
        <w:jc w:val="both"/>
        <w:rPr>
          <w:rFonts w:cs="Arial Unicode MS"/>
          <w:i/>
          <w:iCs/>
          <w:sz w:val="22"/>
          <w:szCs w:val="22"/>
          <w:lang w:val="ru-RU" w:eastAsia="sr-Latn-ME"/>
        </w:rPr>
      </w:pPr>
      <w:r w:rsidRPr="00F37492">
        <w:rPr>
          <w:sz w:val="22"/>
          <w:szCs w:val="22"/>
          <w:lang w:val="it-IT" w:eastAsia="sr-Latn-CS"/>
        </w:rPr>
        <w:t>Pacijente</w:t>
      </w:r>
      <w:r w:rsidRPr="00F37492">
        <w:rPr>
          <w:sz w:val="22"/>
          <w:szCs w:val="22"/>
          <w:lang w:val="ru-RU" w:eastAsia="sr-Latn-CS"/>
        </w:rPr>
        <w:t xml:space="preserve"> </w:t>
      </w:r>
      <w:r w:rsidRPr="00F37492">
        <w:rPr>
          <w:sz w:val="22"/>
          <w:szCs w:val="22"/>
          <w:lang w:val="it-IT" w:eastAsia="sr-Latn-CS"/>
        </w:rPr>
        <w:t>treba</w:t>
      </w:r>
      <w:r w:rsidRPr="00F37492">
        <w:rPr>
          <w:sz w:val="22"/>
          <w:szCs w:val="22"/>
          <w:lang w:val="ru-RU" w:eastAsia="sr-Latn-CS"/>
        </w:rPr>
        <w:t xml:space="preserve"> </w:t>
      </w:r>
      <w:r w:rsidRPr="00F37492">
        <w:rPr>
          <w:sz w:val="22"/>
          <w:szCs w:val="22"/>
          <w:lang w:val="it-IT" w:eastAsia="sr-Latn-CS"/>
        </w:rPr>
        <w:t>pa</w:t>
      </w:r>
      <w:r w:rsidRPr="00F37492">
        <w:rPr>
          <w:sz w:val="22"/>
          <w:szCs w:val="22"/>
          <w:lang w:val="ru-RU" w:eastAsia="sr-Latn-CS"/>
        </w:rPr>
        <w:t>ž</w:t>
      </w:r>
      <w:r w:rsidRPr="00F37492">
        <w:rPr>
          <w:sz w:val="22"/>
          <w:szCs w:val="22"/>
          <w:lang w:val="it-IT" w:eastAsia="sr-Latn-CS"/>
        </w:rPr>
        <w:t>ljivo</w:t>
      </w:r>
      <w:r w:rsidRPr="00F37492">
        <w:rPr>
          <w:sz w:val="22"/>
          <w:szCs w:val="22"/>
          <w:lang w:val="ru-RU" w:eastAsia="sr-Latn-CS"/>
        </w:rPr>
        <w:t xml:space="preserve"> </w:t>
      </w:r>
      <w:r w:rsidRPr="00F37492">
        <w:rPr>
          <w:sz w:val="22"/>
          <w:szCs w:val="22"/>
          <w:lang w:val="it-IT" w:eastAsia="sr-Latn-CS"/>
        </w:rPr>
        <w:t>pratiti</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dozu</w:t>
      </w:r>
      <w:r w:rsidRPr="00F37492">
        <w:rPr>
          <w:sz w:val="22"/>
          <w:szCs w:val="22"/>
          <w:lang w:val="ru-RU" w:eastAsia="sr-Latn-CS"/>
        </w:rPr>
        <w:t xml:space="preserve"> </w:t>
      </w:r>
      <w:r w:rsidRPr="00F37492">
        <w:rPr>
          <w:sz w:val="22"/>
          <w:szCs w:val="22"/>
          <w:lang w:val="it-IT" w:eastAsia="sr-Latn-CS"/>
        </w:rPr>
        <w:t>pode</w:t>
      </w:r>
      <w:r w:rsidRPr="00F37492">
        <w:rPr>
          <w:sz w:val="22"/>
          <w:szCs w:val="22"/>
          <w:lang w:val="ru-RU" w:eastAsia="sr-Latn-CS"/>
        </w:rPr>
        <w:t>š</w:t>
      </w:r>
      <w:r w:rsidRPr="00F37492">
        <w:rPr>
          <w:sz w:val="22"/>
          <w:szCs w:val="22"/>
          <w:lang w:val="it-IT" w:eastAsia="sr-Latn-CS"/>
        </w:rPr>
        <w:t>avati</w:t>
      </w:r>
      <w:r w:rsidRPr="00F37492">
        <w:rPr>
          <w:sz w:val="22"/>
          <w:szCs w:val="22"/>
          <w:lang w:val="ru-RU" w:eastAsia="sr-Latn-CS"/>
        </w:rPr>
        <w:t xml:space="preserve"> </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osnovu</w:t>
      </w:r>
      <w:r w:rsidRPr="00F37492">
        <w:rPr>
          <w:sz w:val="22"/>
          <w:szCs w:val="22"/>
          <w:lang w:val="ru-RU" w:eastAsia="sr-Latn-CS"/>
        </w:rPr>
        <w:t xml:space="preserve"> </w:t>
      </w:r>
      <w:r w:rsidRPr="00F37492">
        <w:rPr>
          <w:sz w:val="22"/>
          <w:szCs w:val="22"/>
          <w:lang w:val="it-IT" w:eastAsia="sr-Latn-CS"/>
        </w:rPr>
        <w:t>bezbjednosti</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efikasnosti</w:t>
      </w:r>
      <w:r w:rsidRPr="00F37492">
        <w:rPr>
          <w:sz w:val="22"/>
          <w:szCs w:val="22"/>
          <w:lang w:val="ru-RU" w:eastAsia="sr-Latn-CS"/>
        </w:rPr>
        <w:t xml:space="preserve"> (</w:t>
      </w:r>
      <w:r w:rsidRPr="00F37492">
        <w:rPr>
          <w:sz w:val="22"/>
          <w:szCs w:val="22"/>
          <w:lang w:val="it-IT" w:eastAsia="sr-Latn-CS"/>
        </w:rPr>
        <w:t>vidjeti</w:t>
      </w:r>
      <w:r w:rsidRPr="00F37492">
        <w:rPr>
          <w:sz w:val="22"/>
          <w:szCs w:val="22"/>
          <w:lang w:val="ru-RU" w:eastAsia="sr-Latn-CS"/>
        </w:rPr>
        <w:t xml:space="preserve"> </w:t>
      </w:r>
      <w:r w:rsidR="00D83177">
        <w:rPr>
          <w:sz w:val="22"/>
          <w:szCs w:val="22"/>
          <w:lang w:val="it-IT" w:eastAsia="sr-Latn-CS"/>
        </w:rPr>
        <w:t>dio</w:t>
      </w:r>
      <w:r w:rsidR="00D83177" w:rsidRPr="00F37492">
        <w:rPr>
          <w:sz w:val="22"/>
          <w:szCs w:val="22"/>
          <w:lang w:val="ru-RU" w:eastAsia="sr-Latn-CS"/>
        </w:rPr>
        <w:t xml:space="preserve"> </w:t>
      </w:r>
      <w:r w:rsidRPr="00F37492">
        <w:rPr>
          <w:sz w:val="22"/>
          <w:szCs w:val="22"/>
          <w:lang w:val="ru-RU" w:eastAsia="sr-Latn-CS"/>
        </w:rPr>
        <w:t>4.2).</w:t>
      </w:r>
    </w:p>
    <w:p w14:paraId="218C4061" w14:textId="77777777" w:rsidR="00F37492" w:rsidRPr="00F37492" w:rsidRDefault="00F37492" w:rsidP="000A557B">
      <w:pPr>
        <w:jc w:val="both"/>
        <w:rPr>
          <w:rFonts w:cs="Arial Unicode MS"/>
          <w:sz w:val="22"/>
          <w:szCs w:val="22"/>
          <w:lang w:val="ru-RU" w:eastAsia="sr-Latn-CS"/>
        </w:rPr>
      </w:pPr>
    </w:p>
    <w:p w14:paraId="1C8E8329" w14:textId="77777777" w:rsidR="00F37492" w:rsidRPr="00F37492" w:rsidRDefault="00F37492" w:rsidP="000A557B">
      <w:pPr>
        <w:jc w:val="both"/>
        <w:rPr>
          <w:rFonts w:cs="Arial Unicode MS"/>
          <w:sz w:val="22"/>
          <w:szCs w:val="22"/>
          <w:lang w:val="ru-RU" w:eastAsia="sr-Latn-CS"/>
        </w:rPr>
      </w:pPr>
      <w:r w:rsidRPr="00F37492">
        <w:rPr>
          <w:sz w:val="22"/>
          <w:szCs w:val="22"/>
          <w:lang w:val="it-IT" w:eastAsia="sr-Latn-CS"/>
        </w:rPr>
        <w:t>Kod</w:t>
      </w:r>
      <w:r w:rsidRPr="00F37492">
        <w:rPr>
          <w:sz w:val="22"/>
          <w:szCs w:val="22"/>
          <w:lang w:val="ru-RU" w:eastAsia="sr-Latn-CS"/>
        </w:rPr>
        <w:t xml:space="preserve"> </w:t>
      </w:r>
      <w:r w:rsidRPr="00F37492">
        <w:rPr>
          <w:sz w:val="22"/>
          <w:szCs w:val="22"/>
          <w:lang w:val="it-IT" w:eastAsia="sr-Latn-CS"/>
        </w:rPr>
        <w:t>zdravih</w:t>
      </w:r>
      <w:r w:rsidRPr="00F37492">
        <w:rPr>
          <w:sz w:val="22"/>
          <w:szCs w:val="22"/>
          <w:lang w:val="ru-RU" w:eastAsia="sr-Latn-CS"/>
        </w:rPr>
        <w:t xml:space="preserve"> </w:t>
      </w:r>
      <w:r w:rsidRPr="00F37492">
        <w:rPr>
          <w:sz w:val="22"/>
          <w:szCs w:val="22"/>
          <w:lang w:val="it-IT" w:eastAsia="sr-Latn-CS"/>
        </w:rPr>
        <w:t>ispitanika</w:t>
      </w:r>
      <w:r w:rsidRPr="00F37492">
        <w:rPr>
          <w:sz w:val="22"/>
          <w:szCs w:val="22"/>
          <w:lang w:val="ru-RU" w:eastAsia="sr-Latn-CS"/>
        </w:rPr>
        <w:t xml:space="preserve"> </w:t>
      </w:r>
      <w:r w:rsidRPr="00F37492">
        <w:rPr>
          <w:sz w:val="22"/>
          <w:szCs w:val="22"/>
          <w:lang w:val="it-IT" w:eastAsia="sr-Latn-CS"/>
        </w:rPr>
        <w:t>koji</w:t>
      </w:r>
      <w:r w:rsidRPr="00F37492">
        <w:rPr>
          <w:sz w:val="22"/>
          <w:szCs w:val="22"/>
          <w:lang w:val="ru-RU" w:eastAsia="sr-Latn-CS"/>
        </w:rPr>
        <w:t xml:space="preserve"> </w:t>
      </w:r>
      <w:r w:rsidRPr="00F37492">
        <w:rPr>
          <w:sz w:val="22"/>
          <w:szCs w:val="22"/>
          <w:lang w:val="it-IT" w:eastAsia="sr-Latn-CS"/>
        </w:rPr>
        <w:t>su</w:t>
      </w:r>
      <w:r w:rsidRPr="00F37492">
        <w:rPr>
          <w:sz w:val="22"/>
          <w:szCs w:val="22"/>
          <w:lang w:val="ru-RU" w:eastAsia="sr-Latn-CS"/>
        </w:rPr>
        <w:t xml:space="preserve"> </w:t>
      </w:r>
      <w:r w:rsidRPr="00F37492">
        <w:rPr>
          <w:sz w:val="22"/>
          <w:szCs w:val="22"/>
          <w:lang w:val="it-IT" w:eastAsia="sr-Latn-CS"/>
        </w:rPr>
        <w:t>primali</w:t>
      </w:r>
      <w:r w:rsidRPr="00F37492">
        <w:rPr>
          <w:sz w:val="22"/>
          <w:szCs w:val="22"/>
          <w:lang w:val="ru-RU" w:eastAsia="sr-Latn-CS"/>
        </w:rPr>
        <w:t xml:space="preserve"> </w:t>
      </w:r>
      <w:r w:rsidRPr="00F37492">
        <w:rPr>
          <w:sz w:val="22"/>
          <w:szCs w:val="22"/>
          <w:lang w:val="it-IT" w:eastAsia="sr-Latn-CS"/>
        </w:rPr>
        <w:t>ruksolitinib</w:t>
      </w:r>
      <w:r w:rsidRPr="00F37492">
        <w:rPr>
          <w:sz w:val="22"/>
          <w:szCs w:val="22"/>
          <w:lang w:val="ru-RU" w:eastAsia="sr-Latn-CS"/>
        </w:rPr>
        <w:t xml:space="preserve"> (</w:t>
      </w:r>
      <w:r w:rsidRPr="00F37492">
        <w:rPr>
          <w:sz w:val="22"/>
          <w:szCs w:val="22"/>
          <w:lang w:val="it-IT" w:eastAsia="sr-Latn-CS"/>
        </w:rPr>
        <w:t>pojedina</w:t>
      </w:r>
      <w:r w:rsidRPr="00F37492">
        <w:rPr>
          <w:sz w:val="22"/>
          <w:szCs w:val="22"/>
          <w:lang w:val="ru-RU" w:eastAsia="sr-Latn-CS"/>
        </w:rPr>
        <w:t>č</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doza</w:t>
      </w:r>
      <w:r w:rsidRPr="00F37492">
        <w:rPr>
          <w:sz w:val="22"/>
          <w:szCs w:val="22"/>
          <w:lang w:val="ru-RU" w:eastAsia="sr-Latn-CS"/>
        </w:rPr>
        <w:t xml:space="preserve"> </w:t>
      </w:r>
      <w:r w:rsidRPr="00F37492">
        <w:rPr>
          <w:sz w:val="22"/>
          <w:szCs w:val="22"/>
          <w:lang w:val="it-IT" w:eastAsia="sr-Latn-CS"/>
        </w:rPr>
        <w:t>od</w:t>
      </w:r>
      <w:r w:rsidRPr="00F37492">
        <w:rPr>
          <w:sz w:val="22"/>
          <w:szCs w:val="22"/>
          <w:lang w:val="ru-RU" w:eastAsia="sr-Latn-CS"/>
        </w:rPr>
        <w:t xml:space="preserve"> 50 </w:t>
      </w:r>
      <w:r w:rsidRPr="00F37492">
        <w:rPr>
          <w:sz w:val="22"/>
          <w:szCs w:val="22"/>
          <w:lang w:val="it-IT" w:eastAsia="sr-Latn-CS"/>
        </w:rPr>
        <w:t>mg</w:t>
      </w:r>
      <w:r w:rsidRPr="00F37492">
        <w:rPr>
          <w:sz w:val="22"/>
          <w:szCs w:val="22"/>
          <w:lang w:val="ru-RU" w:eastAsia="sr-Latn-CS"/>
        </w:rPr>
        <w:t xml:space="preserve">) </w:t>
      </w:r>
      <w:r w:rsidRPr="00F37492">
        <w:rPr>
          <w:sz w:val="22"/>
          <w:szCs w:val="22"/>
          <w:lang w:val="it-IT" w:eastAsia="sr-Latn-CS"/>
        </w:rPr>
        <w:t>poslije</w:t>
      </w:r>
      <w:r w:rsidRPr="00F37492">
        <w:rPr>
          <w:sz w:val="22"/>
          <w:szCs w:val="22"/>
          <w:lang w:val="ru-RU" w:eastAsia="sr-Latn-CS"/>
        </w:rPr>
        <w:t xml:space="preserve"> </w:t>
      </w:r>
      <w:r w:rsidRPr="00F37492">
        <w:rPr>
          <w:sz w:val="22"/>
          <w:szCs w:val="22"/>
          <w:lang w:val="it-IT" w:eastAsia="sr-Latn-CS"/>
        </w:rPr>
        <w:t>sna</w:t>
      </w:r>
      <w:r w:rsidRPr="00F37492">
        <w:rPr>
          <w:sz w:val="22"/>
          <w:szCs w:val="22"/>
          <w:lang w:val="ru-RU" w:eastAsia="sr-Latn-CS"/>
        </w:rPr>
        <w:t>ž</w:t>
      </w:r>
      <w:r w:rsidRPr="00F37492">
        <w:rPr>
          <w:sz w:val="22"/>
          <w:szCs w:val="22"/>
          <w:lang w:val="it-IT" w:eastAsia="sr-Latn-CS"/>
        </w:rPr>
        <w:t>nog</w:t>
      </w:r>
      <w:r w:rsidRPr="00F37492">
        <w:rPr>
          <w:sz w:val="22"/>
          <w:szCs w:val="22"/>
          <w:lang w:val="ru-RU" w:eastAsia="sr-Latn-CS"/>
        </w:rPr>
        <w:t xml:space="preserve"> </w:t>
      </w:r>
      <w:r w:rsidRPr="00F37492">
        <w:rPr>
          <w:sz w:val="22"/>
          <w:szCs w:val="22"/>
          <w:lang w:val="it-IT" w:eastAsia="sr-Latn-CS"/>
        </w:rPr>
        <w:t>induktora</w:t>
      </w:r>
      <w:r w:rsidRPr="00F37492">
        <w:rPr>
          <w:sz w:val="22"/>
          <w:szCs w:val="22"/>
          <w:lang w:val="ru-RU" w:eastAsia="sr-Latn-CS"/>
        </w:rPr>
        <w:t xml:space="preserve"> </w:t>
      </w:r>
      <w:r w:rsidRPr="00F37492">
        <w:rPr>
          <w:sz w:val="22"/>
          <w:szCs w:val="22"/>
          <w:lang w:val="it-IT" w:eastAsia="sr-Latn-CS"/>
        </w:rPr>
        <w:t>CYP</w:t>
      </w:r>
      <w:r w:rsidRPr="00F37492">
        <w:rPr>
          <w:sz w:val="22"/>
          <w:szCs w:val="22"/>
          <w:lang w:val="ru-RU" w:eastAsia="sr-Latn-CS"/>
        </w:rPr>
        <w:t>3</w:t>
      </w:r>
      <w:r w:rsidRPr="00F37492">
        <w:rPr>
          <w:sz w:val="22"/>
          <w:szCs w:val="22"/>
          <w:lang w:val="it-IT" w:eastAsia="sr-Latn-CS"/>
        </w:rPr>
        <w:t>A</w:t>
      </w:r>
      <w:r w:rsidRPr="00F37492">
        <w:rPr>
          <w:sz w:val="22"/>
          <w:szCs w:val="22"/>
          <w:lang w:val="ru-RU" w:eastAsia="sr-Latn-CS"/>
        </w:rPr>
        <w:t xml:space="preserve">4 </w:t>
      </w:r>
      <w:r w:rsidRPr="00F37492">
        <w:rPr>
          <w:sz w:val="22"/>
          <w:szCs w:val="22"/>
          <w:lang w:val="it-IT" w:eastAsia="sr-Latn-CS"/>
        </w:rPr>
        <w:t>rifampicina</w:t>
      </w:r>
      <w:r w:rsidRPr="00F37492">
        <w:rPr>
          <w:sz w:val="22"/>
          <w:szCs w:val="22"/>
          <w:lang w:val="ru-RU" w:eastAsia="sr-Latn-CS"/>
        </w:rPr>
        <w:t xml:space="preserve"> (</w:t>
      </w:r>
      <w:r w:rsidRPr="00F37492">
        <w:rPr>
          <w:sz w:val="22"/>
          <w:szCs w:val="22"/>
          <w:lang w:val="it-IT" w:eastAsia="sr-Latn-CS"/>
        </w:rPr>
        <w:t>dnevna</w:t>
      </w:r>
      <w:r w:rsidRPr="00F37492">
        <w:rPr>
          <w:sz w:val="22"/>
          <w:szCs w:val="22"/>
          <w:lang w:val="ru-RU" w:eastAsia="sr-Latn-CS"/>
        </w:rPr>
        <w:t xml:space="preserve"> </w:t>
      </w:r>
      <w:r w:rsidRPr="00F37492">
        <w:rPr>
          <w:sz w:val="22"/>
          <w:szCs w:val="22"/>
          <w:lang w:val="it-IT" w:eastAsia="sr-Latn-CS"/>
        </w:rPr>
        <w:t>doza</w:t>
      </w:r>
      <w:r w:rsidRPr="00F37492">
        <w:rPr>
          <w:sz w:val="22"/>
          <w:szCs w:val="22"/>
          <w:lang w:val="ru-RU" w:eastAsia="sr-Latn-CS"/>
        </w:rPr>
        <w:t xml:space="preserve"> </w:t>
      </w:r>
      <w:r w:rsidRPr="00F37492">
        <w:rPr>
          <w:sz w:val="22"/>
          <w:szCs w:val="22"/>
          <w:lang w:val="it-IT" w:eastAsia="sr-Latn-CS"/>
        </w:rPr>
        <w:t>od</w:t>
      </w:r>
      <w:r w:rsidRPr="00F37492">
        <w:rPr>
          <w:sz w:val="22"/>
          <w:szCs w:val="22"/>
          <w:lang w:val="ru-RU" w:eastAsia="sr-Latn-CS"/>
        </w:rPr>
        <w:t xml:space="preserve"> 600 </w:t>
      </w:r>
      <w:r w:rsidRPr="00F37492">
        <w:rPr>
          <w:sz w:val="22"/>
          <w:szCs w:val="22"/>
          <w:lang w:val="it-IT" w:eastAsia="sr-Latn-CS"/>
        </w:rPr>
        <w:t>mg</w:t>
      </w:r>
      <w:r w:rsidRPr="00F37492">
        <w:rPr>
          <w:sz w:val="22"/>
          <w:szCs w:val="22"/>
          <w:lang w:val="ru-RU" w:eastAsia="sr-Latn-CS"/>
        </w:rPr>
        <w:t xml:space="preserve"> </w:t>
      </w:r>
      <w:r w:rsidRPr="00F37492">
        <w:rPr>
          <w:sz w:val="22"/>
          <w:szCs w:val="22"/>
          <w:lang w:val="it-IT" w:eastAsia="sr-Latn-CS"/>
        </w:rPr>
        <w:t>tokom</w:t>
      </w:r>
      <w:r w:rsidRPr="00F37492">
        <w:rPr>
          <w:sz w:val="22"/>
          <w:szCs w:val="22"/>
          <w:lang w:val="ru-RU" w:eastAsia="sr-Latn-CS"/>
        </w:rPr>
        <w:t xml:space="preserve"> 10 </w:t>
      </w:r>
      <w:r w:rsidRPr="00F37492">
        <w:rPr>
          <w:sz w:val="22"/>
          <w:szCs w:val="22"/>
          <w:lang w:val="it-IT" w:eastAsia="sr-Latn-CS"/>
        </w:rPr>
        <w:t>dana</w:t>
      </w:r>
      <w:r w:rsidRPr="00F37492">
        <w:rPr>
          <w:sz w:val="22"/>
          <w:szCs w:val="22"/>
          <w:lang w:val="ru-RU" w:eastAsia="sr-Latn-CS"/>
        </w:rPr>
        <w:t xml:space="preserve">), </w:t>
      </w:r>
      <w:r w:rsidRPr="00F37492">
        <w:rPr>
          <w:sz w:val="22"/>
          <w:szCs w:val="22"/>
          <w:lang w:val="it-IT" w:eastAsia="sr-Latn-CS"/>
        </w:rPr>
        <w:t>PIK</w:t>
      </w:r>
      <w:r w:rsidRPr="00F37492">
        <w:rPr>
          <w:sz w:val="22"/>
          <w:szCs w:val="22"/>
          <w:lang w:val="ru-RU" w:eastAsia="sr-Latn-CS"/>
        </w:rPr>
        <w:t xml:space="preserve"> </w:t>
      </w:r>
      <w:r w:rsidRPr="00F37492">
        <w:rPr>
          <w:sz w:val="22"/>
          <w:szCs w:val="22"/>
          <w:lang w:val="it-IT" w:eastAsia="sr-Latn-CS"/>
        </w:rPr>
        <w:t>ruksolitiniba</w:t>
      </w:r>
      <w:r w:rsidRPr="00F37492">
        <w:rPr>
          <w:sz w:val="22"/>
          <w:szCs w:val="22"/>
          <w:lang w:val="ru-RU" w:eastAsia="sr-Latn-CS"/>
        </w:rPr>
        <w:t xml:space="preserve"> </w:t>
      </w:r>
      <w:r w:rsidRPr="00F37492">
        <w:rPr>
          <w:sz w:val="22"/>
          <w:szCs w:val="22"/>
          <w:lang w:val="it-IT" w:eastAsia="sr-Latn-CS"/>
        </w:rPr>
        <w:t>bila</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70% </w:t>
      </w:r>
      <w:r w:rsidRPr="00F37492">
        <w:rPr>
          <w:sz w:val="22"/>
          <w:szCs w:val="22"/>
          <w:lang w:val="it-IT" w:eastAsia="sr-Latn-CS"/>
        </w:rPr>
        <w:t>ni</w:t>
      </w:r>
      <w:r w:rsidRPr="00F37492">
        <w:rPr>
          <w:sz w:val="22"/>
          <w:szCs w:val="22"/>
          <w:lang w:val="ru-RU" w:eastAsia="sr-Latn-CS"/>
        </w:rPr>
        <w:t>ž</w:t>
      </w:r>
      <w:r w:rsidRPr="00F37492">
        <w:rPr>
          <w:sz w:val="22"/>
          <w:szCs w:val="22"/>
          <w:lang w:val="it-IT" w:eastAsia="sr-Latn-CS"/>
        </w:rPr>
        <w:t>a</w:t>
      </w:r>
      <w:r w:rsidRPr="00F37492">
        <w:rPr>
          <w:sz w:val="22"/>
          <w:szCs w:val="22"/>
          <w:lang w:val="ru-RU" w:eastAsia="sr-Latn-CS"/>
        </w:rPr>
        <w:t xml:space="preserve"> </w:t>
      </w:r>
      <w:r w:rsidRPr="00F37492">
        <w:rPr>
          <w:sz w:val="22"/>
          <w:szCs w:val="22"/>
          <w:lang w:val="it-IT" w:eastAsia="sr-Latn-CS"/>
        </w:rPr>
        <w:t>nego</w:t>
      </w:r>
      <w:r w:rsidRPr="00F37492">
        <w:rPr>
          <w:sz w:val="22"/>
          <w:szCs w:val="22"/>
          <w:lang w:val="ru-RU" w:eastAsia="sr-Latn-CS"/>
        </w:rPr>
        <w:t xml:space="preserve"> </w:t>
      </w:r>
      <w:r w:rsidRPr="00F37492">
        <w:rPr>
          <w:sz w:val="22"/>
          <w:szCs w:val="22"/>
          <w:lang w:val="it-IT" w:eastAsia="sr-Latn-CS"/>
        </w:rPr>
        <w:t>poslije</w:t>
      </w:r>
      <w:r w:rsidRPr="00F37492">
        <w:rPr>
          <w:sz w:val="22"/>
          <w:szCs w:val="22"/>
          <w:lang w:val="ru-RU" w:eastAsia="sr-Latn-CS"/>
        </w:rPr>
        <w:t xml:space="preserve"> </w:t>
      </w:r>
      <w:r w:rsidRPr="00F37492">
        <w:rPr>
          <w:sz w:val="22"/>
          <w:szCs w:val="22"/>
          <w:lang w:val="it-IT" w:eastAsia="sr-Latn-CS"/>
        </w:rPr>
        <w:t>davanja</w:t>
      </w:r>
      <w:r w:rsidRPr="00F37492">
        <w:rPr>
          <w:sz w:val="22"/>
          <w:szCs w:val="22"/>
          <w:lang w:val="ru-RU" w:eastAsia="sr-Latn-CS"/>
        </w:rPr>
        <w:t xml:space="preserve"> </w:t>
      </w:r>
      <w:r w:rsidRPr="00F37492">
        <w:rPr>
          <w:sz w:val="22"/>
          <w:szCs w:val="22"/>
          <w:lang w:val="it-IT" w:eastAsia="sr-Latn-CS"/>
        </w:rPr>
        <w:t>samog</w:t>
      </w:r>
      <w:r w:rsidRPr="00F37492">
        <w:rPr>
          <w:sz w:val="22"/>
          <w:szCs w:val="22"/>
          <w:lang w:val="ru-RU" w:eastAsia="sr-Latn-CS"/>
        </w:rPr>
        <w:t xml:space="preserve"> </w:t>
      </w:r>
      <w:r w:rsidRPr="00F37492">
        <w:rPr>
          <w:sz w:val="22"/>
          <w:szCs w:val="22"/>
          <w:lang w:val="it-IT" w:eastAsia="sr-Latn-CS"/>
        </w:rPr>
        <w:t>lijeka</w:t>
      </w:r>
      <w:r w:rsidRPr="00F37492">
        <w:rPr>
          <w:sz w:val="22"/>
          <w:szCs w:val="22"/>
          <w:lang w:val="ru-RU" w:eastAsia="sr-Latn-CS"/>
        </w:rPr>
        <w:t xml:space="preserve"> </w:t>
      </w:r>
      <w:r w:rsidRPr="00F37492">
        <w:rPr>
          <w:sz w:val="22"/>
          <w:szCs w:val="22"/>
          <w:lang w:val="it-IT" w:eastAsia="sr-Latn-CS"/>
        </w:rPr>
        <w:t>ruksolitinib</w:t>
      </w:r>
      <w:r w:rsidRPr="00F37492">
        <w:rPr>
          <w:sz w:val="22"/>
          <w:szCs w:val="22"/>
          <w:lang w:val="ru-RU" w:eastAsia="sr-Latn-CS"/>
        </w:rPr>
        <w:t xml:space="preserve">. </w:t>
      </w:r>
      <w:r w:rsidRPr="00F37492">
        <w:rPr>
          <w:sz w:val="22"/>
          <w:szCs w:val="22"/>
          <w:lang w:val="it-IT" w:eastAsia="sr-Latn-CS"/>
        </w:rPr>
        <w:t>Izlo</w:t>
      </w:r>
      <w:r w:rsidRPr="00F37492">
        <w:rPr>
          <w:sz w:val="22"/>
          <w:szCs w:val="22"/>
          <w:lang w:val="ru-RU" w:eastAsia="sr-Latn-CS"/>
        </w:rPr>
        <w:t>ž</w:t>
      </w:r>
      <w:r w:rsidRPr="00F37492">
        <w:rPr>
          <w:sz w:val="22"/>
          <w:szCs w:val="22"/>
          <w:lang w:val="it-IT" w:eastAsia="sr-Latn-CS"/>
        </w:rPr>
        <w:t>enost</w:t>
      </w:r>
      <w:r w:rsidRPr="00F37492">
        <w:rPr>
          <w:sz w:val="22"/>
          <w:szCs w:val="22"/>
          <w:lang w:val="ru-RU" w:eastAsia="sr-Latn-CS"/>
        </w:rPr>
        <w:t xml:space="preserve"> </w:t>
      </w:r>
      <w:r w:rsidRPr="00F37492">
        <w:rPr>
          <w:sz w:val="22"/>
          <w:szCs w:val="22"/>
          <w:lang w:val="it-IT" w:eastAsia="sr-Latn-CS"/>
        </w:rPr>
        <w:t>aktivnim</w:t>
      </w:r>
      <w:r w:rsidRPr="00F37492">
        <w:rPr>
          <w:sz w:val="22"/>
          <w:szCs w:val="22"/>
          <w:lang w:val="ru-RU" w:eastAsia="sr-Latn-CS"/>
        </w:rPr>
        <w:t xml:space="preserve"> </w:t>
      </w:r>
      <w:r w:rsidRPr="00F37492">
        <w:rPr>
          <w:sz w:val="22"/>
          <w:szCs w:val="22"/>
          <w:lang w:val="it-IT" w:eastAsia="sr-Latn-CS"/>
        </w:rPr>
        <w:t>metabolitima</w:t>
      </w:r>
      <w:r w:rsidRPr="00F37492">
        <w:rPr>
          <w:sz w:val="22"/>
          <w:szCs w:val="22"/>
          <w:lang w:val="ru-RU" w:eastAsia="sr-Latn-CS"/>
        </w:rPr>
        <w:t xml:space="preserve"> </w:t>
      </w:r>
      <w:r w:rsidRPr="00F37492">
        <w:rPr>
          <w:sz w:val="22"/>
          <w:szCs w:val="22"/>
          <w:lang w:val="it-IT" w:eastAsia="sr-Latn-CS"/>
        </w:rPr>
        <w:t>ruksolitiniba</w:t>
      </w:r>
      <w:r w:rsidRPr="00F37492">
        <w:rPr>
          <w:sz w:val="22"/>
          <w:szCs w:val="22"/>
          <w:lang w:val="ru-RU" w:eastAsia="sr-Latn-CS"/>
        </w:rPr>
        <w:t xml:space="preserve"> </w:t>
      </w:r>
      <w:r w:rsidRPr="00F37492">
        <w:rPr>
          <w:sz w:val="22"/>
          <w:szCs w:val="22"/>
          <w:lang w:val="it-IT" w:eastAsia="sr-Latn-CS"/>
        </w:rPr>
        <w:t>ostala</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neizmijenjena</w:t>
      </w:r>
      <w:r w:rsidRPr="00F37492">
        <w:rPr>
          <w:sz w:val="22"/>
          <w:szCs w:val="22"/>
          <w:lang w:val="ru-RU" w:eastAsia="sr-Latn-CS"/>
        </w:rPr>
        <w:t xml:space="preserve">. </w:t>
      </w:r>
      <w:r w:rsidRPr="00F37492">
        <w:rPr>
          <w:sz w:val="22"/>
          <w:szCs w:val="22"/>
          <w:lang w:val="it-IT" w:eastAsia="sr-Latn-CS"/>
        </w:rPr>
        <w:t>Sveukupno</w:t>
      </w:r>
      <w:r w:rsidRPr="00F37492">
        <w:rPr>
          <w:sz w:val="22"/>
          <w:szCs w:val="22"/>
          <w:lang w:val="ru-RU" w:eastAsia="sr-Latn-CS"/>
        </w:rPr>
        <w:t xml:space="preserve">, </w:t>
      </w:r>
      <w:r w:rsidRPr="00F37492">
        <w:rPr>
          <w:sz w:val="22"/>
          <w:szCs w:val="22"/>
          <w:lang w:val="it-IT" w:eastAsia="sr-Latn-CS"/>
        </w:rPr>
        <w:t>farmakodinamska</w:t>
      </w:r>
      <w:r w:rsidRPr="00F37492">
        <w:rPr>
          <w:sz w:val="22"/>
          <w:szCs w:val="22"/>
          <w:lang w:val="ru-RU" w:eastAsia="sr-Latn-CS"/>
        </w:rPr>
        <w:t xml:space="preserve"> </w:t>
      </w:r>
      <w:r w:rsidRPr="00F37492">
        <w:rPr>
          <w:sz w:val="22"/>
          <w:szCs w:val="22"/>
          <w:lang w:val="it-IT" w:eastAsia="sr-Latn-CS"/>
        </w:rPr>
        <w:t>aktivnost</w:t>
      </w:r>
      <w:r w:rsidRPr="00F37492">
        <w:rPr>
          <w:sz w:val="22"/>
          <w:szCs w:val="22"/>
          <w:lang w:val="ru-RU" w:eastAsia="sr-Latn-CS"/>
        </w:rPr>
        <w:t xml:space="preserve"> </w:t>
      </w:r>
      <w:r w:rsidRPr="00F37492">
        <w:rPr>
          <w:sz w:val="22"/>
          <w:szCs w:val="22"/>
          <w:lang w:val="it-IT" w:eastAsia="sr-Latn-CS"/>
        </w:rPr>
        <w:t>ruksolitiniba</w:t>
      </w:r>
      <w:r w:rsidRPr="00F37492">
        <w:rPr>
          <w:sz w:val="22"/>
          <w:szCs w:val="22"/>
          <w:lang w:val="ru-RU" w:eastAsia="sr-Latn-CS"/>
        </w:rPr>
        <w:t xml:space="preserve"> </w:t>
      </w:r>
      <w:r w:rsidRPr="00F37492">
        <w:rPr>
          <w:sz w:val="22"/>
          <w:szCs w:val="22"/>
          <w:lang w:val="it-IT" w:eastAsia="sr-Latn-CS"/>
        </w:rPr>
        <w:t>bila</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sli</w:t>
      </w:r>
      <w:r w:rsidRPr="00F37492">
        <w:rPr>
          <w:sz w:val="22"/>
          <w:szCs w:val="22"/>
          <w:lang w:val="ru-RU" w:eastAsia="sr-Latn-CS"/>
        </w:rPr>
        <w:t>č</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ukazuju</w:t>
      </w:r>
      <w:r w:rsidRPr="00F37492">
        <w:rPr>
          <w:sz w:val="22"/>
          <w:szCs w:val="22"/>
          <w:lang w:val="ru-RU" w:eastAsia="sr-Latn-CS"/>
        </w:rPr>
        <w:t>ć</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to</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indukcija</w:t>
      </w:r>
      <w:r w:rsidRPr="00F37492">
        <w:rPr>
          <w:sz w:val="22"/>
          <w:szCs w:val="22"/>
          <w:lang w:val="ru-RU" w:eastAsia="sr-Latn-CS"/>
        </w:rPr>
        <w:t xml:space="preserve"> </w:t>
      </w:r>
      <w:r w:rsidRPr="00F37492">
        <w:rPr>
          <w:sz w:val="22"/>
          <w:szCs w:val="22"/>
          <w:lang w:val="it-IT" w:eastAsia="sr-Latn-CS"/>
        </w:rPr>
        <w:t>CYP</w:t>
      </w:r>
      <w:r w:rsidRPr="00F37492">
        <w:rPr>
          <w:sz w:val="22"/>
          <w:szCs w:val="22"/>
          <w:lang w:val="ru-RU" w:eastAsia="sr-Latn-CS"/>
        </w:rPr>
        <w:t>3</w:t>
      </w:r>
      <w:r w:rsidRPr="00F37492">
        <w:rPr>
          <w:sz w:val="22"/>
          <w:szCs w:val="22"/>
          <w:lang w:val="it-IT" w:eastAsia="sr-Latn-CS"/>
        </w:rPr>
        <w:t>A</w:t>
      </w:r>
      <w:r w:rsidRPr="00F37492">
        <w:rPr>
          <w:sz w:val="22"/>
          <w:szCs w:val="22"/>
          <w:lang w:val="ru-RU" w:eastAsia="sr-Latn-CS"/>
        </w:rPr>
        <w:t xml:space="preserve">4 </w:t>
      </w:r>
      <w:r w:rsidRPr="00F37492">
        <w:rPr>
          <w:sz w:val="22"/>
          <w:szCs w:val="22"/>
          <w:lang w:val="it-IT" w:eastAsia="sr-Latn-CS"/>
        </w:rPr>
        <w:t>dovela</w:t>
      </w:r>
      <w:r w:rsidRPr="00F37492">
        <w:rPr>
          <w:sz w:val="22"/>
          <w:szCs w:val="22"/>
          <w:lang w:val="ru-RU" w:eastAsia="sr-Latn-CS"/>
        </w:rPr>
        <w:t xml:space="preserve"> </w:t>
      </w:r>
      <w:r w:rsidRPr="00F37492">
        <w:rPr>
          <w:sz w:val="22"/>
          <w:szCs w:val="22"/>
          <w:lang w:val="it-IT" w:eastAsia="sr-Latn-CS"/>
        </w:rPr>
        <w:t>do</w:t>
      </w:r>
      <w:r w:rsidRPr="00F37492">
        <w:rPr>
          <w:sz w:val="22"/>
          <w:szCs w:val="22"/>
          <w:lang w:val="ru-RU" w:eastAsia="sr-Latn-CS"/>
        </w:rPr>
        <w:t xml:space="preserve"> </w:t>
      </w:r>
      <w:r w:rsidRPr="00F37492">
        <w:rPr>
          <w:sz w:val="22"/>
          <w:szCs w:val="22"/>
          <w:lang w:val="it-IT" w:eastAsia="sr-Latn-CS"/>
        </w:rPr>
        <w:t>minimalnih</w:t>
      </w:r>
      <w:r w:rsidRPr="00F37492">
        <w:rPr>
          <w:sz w:val="22"/>
          <w:szCs w:val="22"/>
          <w:lang w:val="ru-RU" w:eastAsia="sr-Latn-CS"/>
        </w:rPr>
        <w:t xml:space="preserve"> </w:t>
      </w:r>
      <w:r w:rsidRPr="00F37492">
        <w:rPr>
          <w:sz w:val="22"/>
          <w:szCs w:val="22"/>
          <w:lang w:val="it-IT" w:eastAsia="sr-Latn-CS"/>
        </w:rPr>
        <w:t>promjena</w:t>
      </w:r>
      <w:r w:rsidRPr="00F37492">
        <w:rPr>
          <w:sz w:val="22"/>
          <w:szCs w:val="22"/>
          <w:lang w:val="ru-RU" w:eastAsia="sr-Latn-CS"/>
        </w:rPr>
        <w:t xml:space="preserve"> </w:t>
      </w:r>
      <w:r w:rsidRPr="00F37492">
        <w:rPr>
          <w:sz w:val="22"/>
          <w:szCs w:val="22"/>
          <w:lang w:val="it-IT" w:eastAsia="sr-Latn-CS"/>
        </w:rPr>
        <w:t>u</w:t>
      </w:r>
      <w:r w:rsidRPr="00F37492">
        <w:rPr>
          <w:sz w:val="22"/>
          <w:szCs w:val="22"/>
          <w:lang w:val="ru-RU" w:eastAsia="sr-Latn-CS"/>
        </w:rPr>
        <w:t xml:space="preserve"> </w:t>
      </w:r>
      <w:r w:rsidRPr="00F37492">
        <w:rPr>
          <w:sz w:val="22"/>
          <w:szCs w:val="22"/>
          <w:lang w:val="it-IT" w:eastAsia="sr-Latn-CS"/>
        </w:rPr>
        <w:t>farmakodinamici</w:t>
      </w:r>
      <w:r w:rsidRPr="00F37492">
        <w:rPr>
          <w:sz w:val="22"/>
          <w:szCs w:val="22"/>
          <w:lang w:val="ru-RU" w:eastAsia="sr-Latn-CS"/>
        </w:rPr>
        <w:t xml:space="preserve">. </w:t>
      </w:r>
      <w:r w:rsidRPr="00F37492">
        <w:rPr>
          <w:sz w:val="22"/>
          <w:szCs w:val="22"/>
          <w:lang w:val="it-IT" w:eastAsia="sr-Latn-CS"/>
        </w:rPr>
        <w:t>Me</w:t>
      </w:r>
      <w:r w:rsidRPr="00F37492">
        <w:rPr>
          <w:sz w:val="22"/>
          <w:szCs w:val="22"/>
          <w:lang w:val="ru-RU" w:eastAsia="sr-Latn-CS"/>
        </w:rPr>
        <w:t>đ</w:t>
      </w:r>
      <w:r w:rsidRPr="00F37492">
        <w:rPr>
          <w:sz w:val="22"/>
          <w:szCs w:val="22"/>
          <w:lang w:val="it-IT" w:eastAsia="sr-Latn-CS"/>
        </w:rPr>
        <w:t>utim</w:t>
      </w:r>
      <w:r w:rsidRPr="00F37492">
        <w:rPr>
          <w:sz w:val="22"/>
          <w:szCs w:val="22"/>
          <w:lang w:val="ru-RU" w:eastAsia="sr-Latn-CS"/>
        </w:rPr>
        <w:t xml:space="preserve">, </w:t>
      </w:r>
      <w:r w:rsidRPr="00F37492">
        <w:rPr>
          <w:sz w:val="22"/>
          <w:szCs w:val="22"/>
          <w:lang w:val="it-IT" w:eastAsia="sr-Latn-CS"/>
        </w:rPr>
        <w:t>ovo</w:t>
      </w:r>
      <w:r w:rsidRPr="00F37492">
        <w:rPr>
          <w:sz w:val="22"/>
          <w:szCs w:val="22"/>
          <w:lang w:val="ru-RU" w:eastAsia="sr-Latn-CS"/>
        </w:rPr>
        <w:t xml:space="preserve"> </w:t>
      </w:r>
      <w:r w:rsidRPr="00F37492">
        <w:rPr>
          <w:sz w:val="22"/>
          <w:szCs w:val="22"/>
          <w:lang w:val="it-IT" w:eastAsia="sr-Latn-CS"/>
        </w:rPr>
        <w:t>bi</w:t>
      </w:r>
      <w:r w:rsidRPr="00F37492">
        <w:rPr>
          <w:sz w:val="22"/>
          <w:szCs w:val="22"/>
          <w:lang w:val="ru-RU" w:eastAsia="sr-Latn-CS"/>
        </w:rPr>
        <w:t xml:space="preserve"> </w:t>
      </w:r>
      <w:r w:rsidRPr="00F37492">
        <w:rPr>
          <w:sz w:val="22"/>
          <w:szCs w:val="22"/>
          <w:lang w:val="it-IT" w:eastAsia="sr-Latn-CS"/>
        </w:rPr>
        <w:t>moglo</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bude</w:t>
      </w:r>
      <w:r w:rsidRPr="00F37492">
        <w:rPr>
          <w:sz w:val="22"/>
          <w:szCs w:val="22"/>
          <w:lang w:val="ru-RU" w:eastAsia="sr-Latn-CS"/>
        </w:rPr>
        <w:t xml:space="preserve"> </w:t>
      </w:r>
      <w:r w:rsidRPr="00F37492">
        <w:rPr>
          <w:sz w:val="22"/>
          <w:szCs w:val="22"/>
          <w:lang w:val="it-IT" w:eastAsia="sr-Latn-CS"/>
        </w:rPr>
        <w:t>povezano</w:t>
      </w:r>
      <w:r w:rsidRPr="00F37492">
        <w:rPr>
          <w:sz w:val="22"/>
          <w:szCs w:val="22"/>
          <w:lang w:val="ru-RU" w:eastAsia="sr-Latn-CS"/>
        </w:rPr>
        <w:t xml:space="preserve"> </w:t>
      </w:r>
      <w:r w:rsidRPr="00F37492">
        <w:rPr>
          <w:sz w:val="22"/>
          <w:szCs w:val="22"/>
          <w:lang w:val="it-IT" w:eastAsia="sr-Latn-CS"/>
        </w:rPr>
        <w:t>s</w:t>
      </w:r>
      <w:r w:rsidRPr="00F37492">
        <w:rPr>
          <w:sz w:val="22"/>
          <w:szCs w:val="22"/>
          <w:lang w:val="ru-RU" w:eastAsia="sr-Latn-CS"/>
        </w:rPr>
        <w:t xml:space="preserve"> </w:t>
      </w:r>
      <w:r w:rsidRPr="00F37492">
        <w:rPr>
          <w:sz w:val="22"/>
          <w:szCs w:val="22"/>
          <w:lang w:val="it-IT" w:eastAsia="sr-Latn-CS"/>
        </w:rPr>
        <w:t>tim</w:t>
      </w:r>
      <w:r w:rsidRPr="00F37492">
        <w:rPr>
          <w:sz w:val="22"/>
          <w:szCs w:val="22"/>
          <w:lang w:val="ru-RU" w:eastAsia="sr-Latn-CS"/>
        </w:rPr>
        <w:t xml:space="preserve"> š</w:t>
      </w:r>
      <w:r w:rsidRPr="00F37492">
        <w:rPr>
          <w:sz w:val="22"/>
          <w:szCs w:val="22"/>
          <w:lang w:val="it-IT" w:eastAsia="sr-Latn-CS"/>
        </w:rPr>
        <w:t>to</w:t>
      </w:r>
      <w:r w:rsidRPr="00F37492">
        <w:rPr>
          <w:sz w:val="22"/>
          <w:szCs w:val="22"/>
          <w:lang w:val="ru-RU" w:eastAsia="sr-Latn-CS"/>
        </w:rPr>
        <w:t xml:space="preserve"> </w:t>
      </w:r>
      <w:r w:rsidRPr="00F37492">
        <w:rPr>
          <w:sz w:val="22"/>
          <w:szCs w:val="22"/>
          <w:lang w:val="it-IT" w:eastAsia="sr-Latn-CS"/>
        </w:rPr>
        <w:t>visoka</w:t>
      </w:r>
      <w:r w:rsidRPr="00F37492">
        <w:rPr>
          <w:sz w:val="22"/>
          <w:szCs w:val="22"/>
          <w:lang w:val="ru-RU" w:eastAsia="sr-Latn-CS"/>
        </w:rPr>
        <w:t xml:space="preserve"> </w:t>
      </w:r>
      <w:r w:rsidRPr="00F37492">
        <w:rPr>
          <w:sz w:val="22"/>
          <w:szCs w:val="22"/>
          <w:lang w:val="it-IT" w:eastAsia="sr-Latn-CS"/>
        </w:rPr>
        <w:t>doza</w:t>
      </w:r>
      <w:r w:rsidRPr="00F37492">
        <w:rPr>
          <w:sz w:val="22"/>
          <w:szCs w:val="22"/>
          <w:lang w:val="ru-RU" w:eastAsia="sr-Latn-CS"/>
        </w:rPr>
        <w:t xml:space="preserve"> </w:t>
      </w:r>
      <w:r w:rsidRPr="00F37492">
        <w:rPr>
          <w:sz w:val="22"/>
          <w:szCs w:val="22"/>
          <w:lang w:val="it-IT" w:eastAsia="sr-Latn-CS"/>
        </w:rPr>
        <w:t>ruksolitiniba</w:t>
      </w:r>
      <w:r w:rsidRPr="00F37492">
        <w:rPr>
          <w:sz w:val="22"/>
          <w:szCs w:val="22"/>
          <w:lang w:val="ru-RU" w:eastAsia="sr-Latn-CS"/>
        </w:rPr>
        <w:t xml:space="preserve"> </w:t>
      </w:r>
      <w:r w:rsidRPr="00F37492">
        <w:rPr>
          <w:sz w:val="22"/>
          <w:szCs w:val="22"/>
          <w:lang w:val="it-IT" w:eastAsia="sr-Latn-CS"/>
        </w:rPr>
        <w:t>dovodi</w:t>
      </w:r>
      <w:r w:rsidRPr="00F37492">
        <w:rPr>
          <w:sz w:val="22"/>
          <w:szCs w:val="22"/>
          <w:lang w:val="ru-RU" w:eastAsia="sr-Latn-CS"/>
        </w:rPr>
        <w:t xml:space="preserve"> </w:t>
      </w:r>
      <w:r w:rsidRPr="00F37492">
        <w:rPr>
          <w:sz w:val="22"/>
          <w:szCs w:val="22"/>
          <w:lang w:val="it-IT" w:eastAsia="sr-Latn-CS"/>
        </w:rPr>
        <w:t>do</w:t>
      </w:r>
      <w:r w:rsidRPr="00F37492">
        <w:rPr>
          <w:sz w:val="22"/>
          <w:szCs w:val="22"/>
          <w:lang w:val="ru-RU" w:eastAsia="sr-Latn-CS"/>
        </w:rPr>
        <w:t xml:space="preserve"> </w:t>
      </w:r>
      <w:r w:rsidRPr="00F37492">
        <w:rPr>
          <w:sz w:val="22"/>
          <w:szCs w:val="22"/>
          <w:lang w:val="it-IT" w:eastAsia="sr-Latn-CS"/>
        </w:rPr>
        <w:t>farmakodinamskog</w:t>
      </w:r>
      <w:r w:rsidRPr="00F37492">
        <w:rPr>
          <w:sz w:val="22"/>
          <w:szCs w:val="22"/>
          <w:lang w:val="ru-RU" w:eastAsia="sr-Latn-CS"/>
        </w:rPr>
        <w:t xml:space="preserve"> </w:t>
      </w:r>
      <w:r w:rsidRPr="00F37492">
        <w:rPr>
          <w:sz w:val="22"/>
          <w:szCs w:val="22"/>
          <w:lang w:val="it-IT" w:eastAsia="sr-Latn-CS"/>
        </w:rPr>
        <w:t>dejstva</w:t>
      </w:r>
      <w:r w:rsidRPr="00F37492">
        <w:rPr>
          <w:sz w:val="22"/>
          <w:szCs w:val="22"/>
          <w:lang w:val="ru-RU" w:eastAsia="sr-Latn-CS"/>
        </w:rPr>
        <w:t xml:space="preserve"> </w:t>
      </w:r>
      <w:r w:rsidRPr="00F37492">
        <w:rPr>
          <w:sz w:val="22"/>
          <w:szCs w:val="22"/>
          <w:lang w:val="it-IT" w:eastAsia="sr-Latn-CS"/>
        </w:rPr>
        <w:t>blizu</w:t>
      </w:r>
      <w:r w:rsidRPr="00F37492">
        <w:rPr>
          <w:sz w:val="22"/>
          <w:szCs w:val="22"/>
          <w:lang w:val="ru-RU" w:eastAsia="sr-Latn-CS"/>
        </w:rPr>
        <w:t xml:space="preserve"> </w:t>
      </w:r>
      <w:r w:rsidRPr="00F37492">
        <w:rPr>
          <w:sz w:val="22"/>
          <w:szCs w:val="22"/>
          <w:lang w:val="it-IT" w:eastAsia="sr-Latn-CS"/>
        </w:rPr>
        <w:t>E</w:t>
      </w:r>
      <w:r w:rsidRPr="00F37492">
        <w:rPr>
          <w:sz w:val="22"/>
          <w:szCs w:val="22"/>
          <w:vertAlign w:val="subscript"/>
          <w:lang w:val="it-IT" w:eastAsia="sr-Latn-CS"/>
        </w:rPr>
        <w:t>max</w:t>
      </w:r>
      <w:r w:rsidRPr="00F37492">
        <w:rPr>
          <w:sz w:val="22"/>
          <w:szCs w:val="22"/>
          <w:lang w:val="ru-RU" w:eastAsia="sr-Latn-CS"/>
        </w:rPr>
        <w:t xml:space="preserve">. </w:t>
      </w:r>
      <w:r w:rsidRPr="00F37492">
        <w:rPr>
          <w:sz w:val="22"/>
          <w:szCs w:val="22"/>
          <w:lang w:val="it-IT" w:eastAsia="sr-Latn-CS"/>
        </w:rPr>
        <w:t>Mogu</w:t>
      </w:r>
      <w:r w:rsidRPr="00F37492">
        <w:rPr>
          <w:sz w:val="22"/>
          <w:szCs w:val="22"/>
          <w:lang w:val="ru-RU" w:eastAsia="sr-Latn-CS"/>
        </w:rPr>
        <w:t>ć</w:t>
      </w:r>
      <w:r w:rsidRPr="00F37492">
        <w:rPr>
          <w:sz w:val="22"/>
          <w:szCs w:val="22"/>
          <w:lang w:val="it-IT" w:eastAsia="sr-Latn-CS"/>
        </w:rPr>
        <w:t>e</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ć</w:t>
      </w:r>
      <w:r w:rsidRPr="00F37492">
        <w:rPr>
          <w:sz w:val="22"/>
          <w:szCs w:val="22"/>
          <w:lang w:val="it-IT" w:eastAsia="sr-Latn-CS"/>
        </w:rPr>
        <w:t>e</w:t>
      </w:r>
      <w:r w:rsidRPr="00F37492">
        <w:rPr>
          <w:sz w:val="22"/>
          <w:szCs w:val="22"/>
          <w:lang w:val="ru-RU" w:eastAsia="sr-Latn-CS"/>
        </w:rPr>
        <w:t xml:space="preserve"> </w:t>
      </w:r>
      <w:r w:rsidRPr="00F37492">
        <w:rPr>
          <w:sz w:val="22"/>
          <w:szCs w:val="22"/>
          <w:lang w:val="it-IT" w:eastAsia="sr-Latn-CS"/>
        </w:rPr>
        <w:t>kod</w:t>
      </w:r>
      <w:r w:rsidRPr="00F37492">
        <w:rPr>
          <w:sz w:val="22"/>
          <w:szCs w:val="22"/>
          <w:lang w:val="ru-RU" w:eastAsia="sr-Latn-CS"/>
        </w:rPr>
        <w:t xml:space="preserve"> </w:t>
      </w:r>
      <w:r w:rsidRPr="00F37492">
        <w:rPr>
          <w:sz w:val="22"/>
          <w:szCs w:val="22"/>
          <w:lang w:val="it-IT" w:eastAsia="sr-Latn-CS"/>
        </w:rPr>
        <w:t>pojedina</w:t>
      </w:r>
      <w:r w:rsidRPr="00F37492">
        <w:rPr>
          <w:sz w:val="22"/>
          <w:szCs w:val="22"/>
          <w:lang w:val="ru-RU" w:eastAsia="sr-Latn-CS"/>
        </w:rPr>
        <w:t>č</w:t>
      </w:r>
      <w:r w:rsidRPr="00F37492">
        <w:rPr>
          <w:sz w:val="22"/>
          <w:szCs w:val="22"/>
          <w:lang w:val="it-IT" w:eastAsia="sr-Latn-CS"/>
        </w:rPr>
        <w:t>nog</w:t>
      </w:r>
      <w:r w:rsidRPr="00F37492">
        <w:rPr>
          <w:sz w:val="22"/>
          <w:szCs w:val="22"/>
          <w:lang w:val="ru-RU" w:eastAsia="sr-Latn-CS"/>
        </w:rPr>
        <w:t xml:space="preserve"> </w:t>
      </w:r>
      <w:r w:rsidRPr="00F37492">
        <w:rPr>
          <w:sz w:val="22"/>
          <w:szCs w:val="22"/>
          <w:lang w:val="it-IT" w:eastAsia="sr-Latn-CS"/>
        </w:rPr>
        <w:t>pacijenta</w:t>
      </w:r>
      <w:r w:rsidRPr="00F37492">
        <w:rPr>
          <w:sz w:val="22"/>
          <w:szCs w:val="22"/>
          <w:lang w:val="ru-RU" w:eastAsia="sr-Latn-CS"/>
        </w:rPr>
        <w:t xml:space="preserve"> </w:t>
      </w:r>
      <w:r w:rsidRPr="00F37492">
        <w:rPr>
          <w:sz w:val="22"/>
          <w:szCs w:val="22"/>
          <w:lang w:val="it-IT" w:eastAsia="sr-Latn-CS"/>
        </w:rPr>
        <w:t>biti</w:t>
      </w:r>
      <w:r w:rsidRPr="00F37492">
        <w:rPr>
          <w:sz w:val="22"/>
          <w:szCs w:val="22"/>
          <w:lang w:val="ru-RU" w:eastAsia="sr-Latn-CS"/>
        </w:rPr>
        <w:t xml:space="preserve"> </w:t>
      </w:r>
      <w:r w:rsidRPr="00F37492">
        <w:rPr>
          <w:sz w:val="22"/>
          <w:szCs w:val="22"/>
          <w:lang w:val="it-IT" w:eastAsia="sr-Latn-CS"/>
        </w:rPr>
        <w:t>potrebno</w:t>
      </w:r>
      <w:r w:rsidRPr="00F37492">
        <w:rPr>
          <w:sz w:val="22"/>
          <w:szCs w:val="22"/>
          <w:lang w:val="ru-RU" w:eastAsia="sr-Latn-CS"/>
        </w:rPr>
        <w:t xml:space="preserve"> </w:t>
      </w:r>
      <w:r w:rsidRPr="00F37492">
        <w:rPr>
          <w:sz w:val="22"/>
          <w:szCs w:val="22"/>
          <w:lang w:val="it-IT" w:eastAsia="sr-Latn-CS"/>
        </w:rPr>
        <w:t>pove</w:t>
      </w:r>
      <w:r w:rsidRPr="00F37492">
        <w:rPr>
          <w:sz w:val="22"/>
          <w:szCs w:val="22"/>
          <w:lang w:val="ru-RU" w:eastAsia="sr-Latn-CS"/>
        </w:rPr>
        <w:t>ć</w:t>
      </w:r>
      <w:r w:rsidRPr="00F37492">
        <w:rPr>
          <w:sz w:val="22"/>
          <w:szCs w:val="22"/>
          <w:lang w:val="it-IT" w:eastAsia="sr-Latn-CS"/>
        </w:rPr>
        <w:t>anje</w:t>
      </w:r>
      <w:r w:rsidRPr="00F37492">
        <w:rPr>
          <w:sz w:val="22"/>
          <w:szCs w:val="22"/>
          <w:lang w:val="ru-RU" w:eastAsia="sr-Latn-CS"/>
        </w:rPr>
        <w:t xml:space="preserve"> </w:t>
      </w:r>
      <w:r w:rsidRPr="00F37492">
        <w:rPr>
          <w:sz w:val="22"/>
          <w:szCs w:val="22"/>
          <w:lang w:val="it-IT" w:eastAsia="sr-Latn-CS"/>
        </w:rPr>
        <w:t>doze</w:t>
      </w:r>
      <w:r w:rsidRPr="00F37492">
        <w:rPr>
          <w:sz w:val="22"/>
          <w:szCs w:val="22"/>
          <w:lang w:val="ru-RU" w:eastAsia="sr-Latn-CS"/>
        </w:rPr>
        <w:t xml:space="preserve"> </w:t>
      </w:r>
      <w:r w:rsidRPr="00F37492">
        <w:rPr>
          <w:sz w:val="22"/>
          <w:szCs w:val="22"/>
          <w:lang w:val="it-IT" w:eastAsia="sr-Latn-CS"/>
        </w:rPr>
        <w:t>ruksolitiniba</w:t>
      </w:r>
      <w:r w:rsidRPr="00F37492">
        <w:rPr>
          <w:sz w:val="22"/>
          <w:szCs w:val="22"/>
          <w:lang w:val="ru-RU" w:eastAsia="sr-Latn-CS"/>
        </w:rPr>
        <w:t xml:space="preserve"> </w:t>
      </w:r>
      <w:r w:rsidRPr="00F37492">
        <w:rPr>
          <w:sz w:val="22"/>
          <w:szCs w:val="22"/>
          <w:lang w:val="it-IT" w:eastAsia="sr-Latn-CS"/>
        </w:rPr>
        <w:t>kada</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zapo</w:t>
      </w:r>
      <w:r w:rsidRPr="00F37492">
        <w:rPr>
          <w:sz w:val="22"/>
          <w:szCs w:val="22"/>
          <w:lang w:val="ru-RU" w:eastAsia="sr-Latn-CS"/>
        </w:rPr>
        <w:t>č</w:t>
      </w:r>
      <w:r w:rsidRPr="00F37492">
        <w:rPr>
          <w:sz w:val="22"/>
          <w:szCs w:val="22"/>
          <w:lang w:val="it-IT" w:eastAsia="sr-Latn-CS"/>
        </w:rPr>
        <w:t>inje</w:t>
      </w:r>
      <w:r w:rsidRPr="00F37492">
        <w:rPr>
          <w:sz w:val="22"/>
          <w:szCs w:val="22"/>
          <w:lang w:val="ru-RU" w:eastAsia="sr-Latn-CS"/>
        </w:rPr>
        <w:t xml:space="preserve"> </w:t>
      </w:r>
      <w:r w:rsidRPr="00F37492">
        <w:rPr>
          <w:sz w:val="22"/>
          <w:szCs w:val="22"/>
          <w:lang w:val="it-IT" w:eastAsia="sr-Latn-CS"/>
        </w:rPr>
        <w:t>lije</w:t>
      </w:r>
      <w:r w:rsidRPr="00F37492">
        <w:rPr>
          <w:sz w:val="22"/>
          <w:szCs w:val="22"/>
          <w:lang w:val="ru-RU" w:eastAsia="sr-Latn-CS"/>
        </w:rPr>
        <w:t>č</w:t>
      </w:r>
      <w:r w:rsidRPr="00F37492">
        <w:rPr>
          <w:sz w:val="22"/>
          <w:szCs w:val="22"/>
          <w:lang w:val="it-IT" w:eastAsia="sr-Latn-CS"/>
        </w:rPr>
        <w:t>enje</w:t>
      </w:r>
      <w:r w:rsidRPr="00F37492">
        <w:rPr>
          <w:sz w:val="22"/>
          <w:szCs w:val="22"/>
          <w:lang w:val="ru-RU" w:eastAsia="sr-Latn-CS"/>
        </w:rPr>
        <w:t xml:space="preserve"> </w:t>
      </w:r>
      <w:r w:rsidRPr="00F37492">
        <w:rPr>
          <w:sz w:val="22"/>
          <w:szCs w:val="22"/>
          <w:lang w:val="it-IT" w:eastAsia="sr-Latn-CS"/>
        </w:rPr>
        <w:t>sna</w:t>
      </w:r>
      <w:r w:rsidRPr="00F37492">
        <w:rPr>
          <w:sz w:val="22"/>
          <w:szCs w:val="22"/>
          <w:lang w:val="ru-RU" w:eastAsia="sr-Latn-CS"/>
        </w:rPr>
        <w:t>ž</w:t>
      </w:r>
      <w:r w:rsidRPr="00F37492">
        <w:rPr>
          <w:sz w:val="22"/>
          <w:szCs w:val="22"/>
          <w:lang w:val="it-IT" w:eastAsia="sr-Latn-CS"/>
        </w:rPr>
        <w:t>nim</w:t>
      </w:r>
      <w:r w:rsidRPr="00F37492">
        <w:rPr>
          <w:sz w:val="22"/>
          <w:szCs w:val="22"/>
          <w:lang w:val="ru-RU" w:eastAsia="sr-Latn-CS"/>
        </w:rPr>
        <w:t xml:space="preserve"> </w:t>
      </w:r>
      <w:r w:rsidRPr="00F37492">
        <w:rPr>
          <w:sz w:val="22"/>
          <w:szCs w:val="22"/>
          <w:lang w:val="it-IT" w:eastAsia="sr-Latn-CS"/>
        </w:rPr>
        <w:t>induktorom</w:t>
      </w:r>
      <w:r w:rsidRPr="00F37492">
        <w:rPr>
          <w:sz w:val="22"/>
          <w:szCs w:val="22"/>
          <w:lang w:val="ru-RU" w:eastAsia="sr-Latn-CS"/>
        </w:rPr>
        <w:t xml:space="preserve"> </w:t>
      </w:r>
      <w:r w:rsidRPr="00F37492">
        <w:rPr>
          <w:sz w:val="22"/>
          <w:szCs w:val="22"/>
          <w:lang w:val="it-IT" w:eastAsia="sr-Latn-CS"/>
        </w:rPr>
        <w:t>enzima</w:t>
      </w:r>
      <w:r w:rsidRPr="00F37492">
        <w:rPr>
          <w:sz w:val="22"/>
          <w:szCs w:val="22"/>
          <w:lang w:val="ru-RU" w:eastAsia="sr-Latn-CS"/>
        </w:rPr>
        <w:t>.</w:t>
      </w:r>
    </w:p>
    <w:p w14:paraId="224A7F08" w14:textId="77777777" w:rsidR="00F37492" w:rsidRPr="00F37492" w:rsidRDefault="00F37492" w:rsidP="000A557B">
      <w:pPr>
        <w:jc w:val="both"/>
        <w:rPr>
          <w:rFonts w:cs="Arial Unicode MS"/>
          <w:sz w:val="22"/>
          <w:szCs w:val="22"/>
          <w:lang w:val="ru-RU" w:eastAsia="sr-Latn-ME"/>
        </w:rPr>
      </w:pPr>
    </w:p>
    <w:p w14:paraId="1EF82628" w14:textId="77777777" w:rsidR="00F37492" w:rsidRPr="00F37492" w:rsidRDefault="00F37492" w:rsidP="000A557B">
      <w:pPr>
        <w:jc w:val="both"/>
        <w:rPr>
          <w:sz w:val="22"/>
          <w:szCs w:val="22"/>
          <w:u w:val="single"/>
          <w:lang w:val="it-IT" w:eastAsia="sr-Latn-CS"/>
        </w:rPr>
      </w:pPr>
      <w:r w:rsidRPr="00F37492">
        <w:rPr>
          <w:sz w:val="22"/>
          <w:szCs w:val="22"/>
          <w:u w:val="single"/>
          <w:lang w:val="it-IT" w:eastAsia="sr-Latn-CS"/>
        </w:rPr>
        <w:t>Druge</w:t>
      </w:r>
      <w:r w:rsidRPr="00F37492">
        <w:rPr>
          <w:sz w:val="22"/>
          <w:szCs w:val="22"/>
          <w:u w:val="single"/>
          <w:lang w:val="ru-RU" w:eastAsia="sr-Latn-CS"/>
        </w:rPr>
        <w:t xml:space="preserve"> </w:t>
      </w:r>
      <w:r w:rsidRPr="00F37492">
        <w:rPr>
          <w:sz w:val="22"/>
          <w:szCs w:val="22"/>
          <w:u w:val="single"/>
          <w:lang w:val="it-IT" w:eastAsia="sr-Latn-CS"/>
        </w:rPr>
        <w:t>interakcije</w:t>
      </w:r>
      <w:r w:rsidRPr="00F37492">
        <w:rPr>
          <w:sz w:val="22"/>
          <w:szCs w:val="22"/>
          <w:u w:val="single"/>
          <w:lang w:val="ru-RU" w:eastAsia="sr-Latn-CS"/>
        </w:rPr>
        <w:t xml:space="preserve"> </w:t>
      </w:r>
      <w:r w:rsidRPr="00F37492">
        <w:rPr>
          <w:sz w:val="22"/>
          <w:szCs w:val="22"/>
          <w:u w:val="single"/>
          <w:lang w:val="it-IT" w:eastAsia="sr-Latn-CS"/>
        </w:rPr>
        <w:t>sa</w:t>
      </w:r>
      <w:r w:rsidRPr="00F37492">
        <w:rPr>
          <w:sz w:val="22"/>
          <w:szCs w:val="22"/>
          <w:u w:val="single"/>
          <w:lang w:val="ru-RU" w:eastAsia="sr-Latn-CS"/>
        </w:rPr>
        <w:t xml:space="preserve"> </w:t>
      </w:r>
      <w:r w:rsidRPr="00F37492">
        <w:rPr>
          <w:sz w:val="22"/>
          <w:szCs w:val="22"/>
          <w:u w:val="single"/>
          <w:lang w:val="it-IT" w:eastAsia="sr-Latn-CS"/>
        </w:rPr>
        <w:t>ruksolitinibom</w:t>
      </w:r>
      <w:r w:rsidRPr="00F37492">
        <w:rPr>
          <w:sz w:val="22"/>
          <w:szCs w:val="22"/>
          <w:u w:val="single"/>
          <w:lang w:val="ru-RU" w:eastAsia="sr-Latn-CS"/>
        </w:rPr>
        <w:t xml:space="preserve"> </w:t>
      </w:r>
      <w:r w:rsidRPr="00F37492">
        <w:rPr>
          <w:sz w:val="22"/>
          <w:szCs w:val="22"/>
          <w:u w:val="single"/>
          <w:lang w:val="it-IT" w:eastAsia="sr-Latn-CS"/>
        </w:rPr>
        <w:t>koje</w:t>
      </w:r>
      <w:r w:rsidRPr="00F37492">
        <w:rPr>
          <w:sz w:val="22"/>
          <w:szCs w:val="22"/>
          <w:u w:val="single"/>
          <w:lang w:val="ru-RU" w:eastAsia="sr-Latn-CS"/>
        </w:rPr>
        <w:t xml:space="preserve"> </w:t>
      </w:r>
      <w:r w:rsidRPr="00F37492">
        <w:rPr>
          <w:sz w:val="22"/>
          <w:szCs w:val="22"/>
          <w:u w:val="single"/>
          <w:lang w:val="it-IT" w:eastAsia="sr-Latn-CS"/>
        </w:rPr>
        <w:t>treba</w:t>
      </w:r>
      <w:r w:rsidRPr="00F37492">
        <w:rPr>
          <w:sz w:val="22"/>
          <w:szCs w:val="22"/>
          <w:u w:val="single"/>
          <w:lang w:val="ru-RU" w:eastAsia="sr-Latn-CS"/>
        </w:rPr>
        <w:t xml:space="preserve"> </w:t>
      </w:r>
      <w:r w:rsidRPr="00F37492">
        <w:rPr>
          <w:sz w:val="22"/>
          <w:szCs w:val="22"/>
          <w:u w:val="single"/>
          <w:lang w:val="it-IT" w:eastAsia="sr-Latn-CS"/>
        </w:rPr>
        <w:t>uzeti</w:t>
      </w:r>
      <w:r w:rsidRPr="00F37492">
        <w:rPr>
          <w:sz w:val="22"/>
          <w:szCs w:val="22"/>
          <w:u w:val="single"/>
          <w:lang w:val="ru-RU" w:eastAsia="sr-Latn-CS"/>
        </w:rPr>
        <w:t xml:space="preserve"> </w:t>
      </w:r>
      <w:r w:rsidRPr="00F37492">
        <w:rPr>
          <w:sz w:val="22"/>
          <w:szCs w:val="22"/>
          <w:u w:val="single"/>
          <w:lang w:val="it-IT" w:eastAsia="sr-Latn-CS"/>
        </w:rPr>
        <w:t>u</w:t>
      </w:r>
      <w:r w:rsidRPr="00F37492">
        <w:rPr>
          <w:sz w:val="22"/>
          <w:szCs w:val="22"/>
          <w:u w:val="single"/>
          <w:lang w:val="ru-RU" w:eastAsia="sr-Latn-CS"/>
        </w:rPr>
        <w:t xml:space="preserve"> </w:t>
      </w:r>
      <w:r w:rsidRPr="00F37492">
        <w:rPr>
          <w:sz w:val="22"/>
          <w:szCs w:val="22"/>
          <w:u w:val="single"/>
          <w:lang w:val="it-IT" w:eastAsia="sr-Latn-CS"/>
        </w:rPr>
        <w:t>obzir</w:t>
      </w:r>
    </w:p>
    <w:p w14:paraId="30DC949D" w14:textId="77777777" w:rsidR="00F37492" w:rsidRPr="00F37492" w:rsidRDefault="00F37492" w:rsidP="000A557B">
      <w:pPr>
        <w:jc w:val="both"/>
        <w:rPr>
          <w:rFonts w:cs="Arial Unicode MS"/>
          <w:sz w:val="22"/>
          <w:szCs w:val="22"/>
          <w:lang w:val="ru-RU" w:eastAsia="sr-Latn-ME"/>
        </w:rPr>
      </w:pPr>
    </w:p>
    <w:p w14:paraId="193E1AD6" w14:textId="77777777" w:rsidR="00F37492" w:rsidRPr="00F37492" w:rsidRDefault="00F37492" w:rsidP="000A557B">
      <w:pPr>
        <w:jc w:val="both"/>
        <w:rPr>
          <w:rFonts w:cs="Arial Unicode MS"/>
          <w:i/>
          <w:iCs/>
          <w:sz w:val="22"/>
          <w:szCs w:val="22"/>
          <w:lang w:val="ru-RU" w:eastAsia="sr-Latn-ME"/>
        </w:rPr>
      </w:pPr>
      <w:r w:rsidRPr="00F37492">
        <w:rPr>
          <w:i/>
          <w:sz w:val="22"/>
          <w:szCs w:val="22"/>
          <w:u w:val="single"/>
          <w:lang w:val="it-IT" w:eastAsia="sr-Latn-CS"/>
        </w:rPr>
        <w:t>Blagi</w:t>
      </w:r>
      <w:r w:rsidRPr="00F37492">
        <w:rPr>
          <w:i/>
          <w:sz w:val="22"/>
          <w:szCs w:val="22"/>
          <w:u w:val="single"/>
          <w:lang w:val="ru-RU" w:eastAsia="sr-Latn-CS"/>
        </w:rPr>
        <w:t xml:space="preserve"> </w:t>
      </w:r>
      <w:r w:rsidRPr="00F37492">
        <w:rPr>
          <w:i/>
          <w:sz w:val="22"/>
          <w:szCs w:val="22"/>
          <w:u w:val="single"/>
          <w:lang w:val="it-IT" w:eastAsia="sr-Latn-CS"/>
        </w:rPr>
        <w:t>ili</w:t>
      </w:r>
      <w:r w:rsidRPr="00F37492">
        <w:rPr>
          <w:i/>
          <w:sz w:val="22"/>
          <w:szCs w:val="22"/>
          <w:u w:val="single"/>
          <w:lang w:val="ru-RU" w:eastAsia="sr-Latn-CS"/>
        </w:rPr>
        <w:t xml:space="preserve"> </w:t>
      </w:r>
      <w:r w:rsidRPr="00F37492">
        <w:rPr>
          <w:i/>
          <w:sz w:val="22"/>
          <w:szCs w:val="22"/>
          <w:u w:val="single"/>
          <w:lang w:val="it-IT" w:eastAsia="sr-Latn-CS"/>
        </w:rPr>
        <w:t>umjereni</w:t>
      </w:r>
      <w:r w:rsidRPr="00F37492">
        <w:rPr>
          <w:i/>
          <w:sz w:val="22"/>
          <w:szCs w:val="22"/>
          <w:u w:val="single"/>
          <w:lang w:val="ru-RU" w:eastAsia="sr-Latn-CS"/>
        </w:rPr>
        <w:t xml:space="preserve"> </w:t>
      </w:r>
      <w:r w:rsidRPr="00F37492">
        <w:rPr>
          <w:i/>
          <w:sz w:val="22"/>
          <w:szCs w:val="22"/>
          <w:u w:val="single"/>
          <w:lang w:val="it-IT" w:eastAsia="sr-Latn-CS"/>
        </w:rPr>
        <w:t>inhibitori</w:t>
      </w:r>
      <w:r w:rsidRPr="00F37492">
        <w:rPr>
          <w:i/>
          <w:sz w:val="22"/>
          <w:szCs w:val="22"/>
          <w:u w:val="single"/>
          <w:lang w:val="ru-RU" w:eastAsia="sr-Latn-CS"/>
        </w:rPr>
        <w:t xml:space="preserve"> </w:t>
      </w:r>
      <w:r w:rsidRPr="00F37492">
        <w:rPr>
          <w:i/>
          <w:sz w:val="22"/>
          <w:szCs w:val="22"/>
          <w:u w:val="single"/>
          <w:lang w:val="it-IT" w:eastAsia="sr-Latn-CS"/>
        </w:rPr>
        <w:t>CYP</w:t>
      </w:r>
      <w:r w:rsidRPr="00F37492">
        <w:rPr>
          <w:i/>
          <w:sz w:val="22"/>
          <w:szCs w:val="22"/>
          <w:u w:val="single"/>
          <w:lang w:val="ru-RU" w:eastAsia="sr-Latn-CS"/>
        </w:rPr>
        <w:t>3</w:t>
      </w:r>
      <w:r w:rsidRPr="00F37492">
        <w:rPr>
          <w:i/>
          <w:sz w:val="22"/>
          <w:szCs w:val="22"/>
          <w:u w:val="single"/>
          <w:lang w:val="it-IT" w:eastAsia="sr-Latn-CS"/>
        </w:rPr>
        <w:t>A</w:t>
      </w:r>
      <w:r w:rsidRPr="00F37492">
        <w:rPr>
          <w:i/>
          <w:sz w:val="22"/>
          <w:szCs w:val="22"/>
          <w:u w:val="single"/>
          <w:lang w:val="ru-RU" w:eastAsia="sr-Latn-CS"/>
        </w:rPr>
        <w:t>4 (</w:t>
      </w:r>
      <w:r w:rsidRPr="00F37492">
        <w:rPr>
          <w:i/>
          <w:sz w:val="22"/>
          <w:szCs w:val="22"/>
          <w:u w:val="single"/>
          <w:lang w:val="it-IT" w:eastAsia="sr-Latn-CS"/>
        </w:rPr>
        <w:t>kao</w:t>
      </w:r>
      <w:r w:rsidRPr="00F37492">
        <w:rPr>
          <w:i/>
          <w:sz w:val="22"/>
          <w:szCs w:val="22"/>
          <w:u w:val="single"/>
          <w:lang w:val="ru-RU" w:eastAsia="sr-Latn-CS"/>
        </w:rPr>
        <w:t xml:space="preserve"> š</w:t>
      </w:r>
      <w:r w:rsidRPr="00F37492">
        <w:rPr>
          <w:i/>
          <w:sz w:val="22"/>
          <w:szCs w:val="22"/>
          <w:u w:val="single"/>
          <w:lang w:val="it-IT" w:eastAsia="sr-Latn-CS"/>
        </w:rPr>
        <w:t>to</w:t>
      </w:r>
      <w:r w:rsidRPr="00F37492">
        <w:rPr>
          <w:i/>
          <w:sz w:val="22"/>
          <w:szCs w:val="22"/>
          <w:u w:val="single"/>
          <w:lang w:val="ru-RU" w:eastAsia="sr-Latn-CS"/>
        </w:rPr>
        <w:t xml:space="preserve"> </w:t>
      </w:r>
      <w:r w:rsidRPr="00F37492">
        <w:rPr>
          <w:i/>
          <w:sz w:val="22"/>
          <w:szCs w:val="22"/>
          <w:u w:val="single"/>
          <w:lang w:val="it-IT" w:eastAsia="sr-Latn-CS"/>
        </w:rPr>
        <w:t>su</w:t>
      </w:r>
      <w:r w:rsidRPr="00F37492">
        <w:rPr>
          <w:i/>
          <w:sz w:val="22"/>
          <w:szCs w:val="22"/>
          <w:u w:val="single"/>
          <w:lang w:val="ru-RU" w:eastAsia="sr-Latn-CS"/>
        </w:rPr>
        <w:t xml:space="preserve">, </w:t>
      </w:r>
      <w:r w:rsidRPr="00F37492">
        <w:rPr>
          <w:i/>
          <w:sz w:val="22"/>
          <w:szCs w:val="22"/>
          <w:u w:val="single"/>
          <w:lang w:val="it-IT" w:eastAsia="sr-Latn-CS"/>
        </w:rPr>
        <w:t>izme</w:t>
      </w:r>
      <w:r w:rsidRPr="00F37492">
        <w:rPr>
          <w:i/>
          <w:sz w:val="22"/>
          <w:szCs w:val="22"/>
          <w:u w:val="single"/>
          <w:lang w:val="ru-RU" w:eastAsia="sr-Latn-CS"/>
        </w:rPr>
        <w:t>đ</w:t>
      </w:r>
      <w:r w:rsidRPr="00F37492">
        <w:rPr>
          <w:i/>
          <w:sz w:val="22"/>
          <w:szCs w:val="22"/>
          <w:u w:val="single"/>
          <w:lang w:val="it-IT" w:eastAsia="sr-Latn-CS"/>
        </w:rPr>
        <w:t>u</w:t>
      </w:r>
      <w:r w:rsidRPr="00F37492">
        <w:rPr>
          <w:i/>
          <w:sz w:val="22"/>
          <w:szCs w:val="22"/>
          <w:u w:val="single"/>
          <w:lang w:val="ru-RU" w:eastAsia="sr-Latn-CS"/>
        </w:rPr>
        <w:t xml:space="preserve"> </w:t>
      </w:r>
      <w:r w:rsidRPr="00F37492">
        <w:rPr>
          <w:i/>
          <w:sz w:val="22"/>
          <w:szCs w:val="22"/>
          <w:u w:val="single"/>
          <w:lang w:val="it-IT" w:eastAsia="sr-Latn-CS"/>
        </w:rPr>
        <w:t>ostalih</w:t>
      </w:r>
      <w:r w:rsidRPr="00F37492">
        <w:rPr>
          <w:i/>
          <w:sz w:val="22"/>
          <w:szCs w:val="22"/>
          <w:u w:val="single"/>
          <w:lang w:val="ru-RU" w:eastAsia="sr-Latn-CS"/>
        </w:rPr>
        <w:t xml:space="preserve">, </w:t>
      </w:r>
      <w:r w:rsidRPr="00F37492">
        <w:rPr>
          <w:i/>
          <w:sz w:val="22"/>
          <w:szCs w:val="22"/>
          <w:u w:val="single"/>
          <w:lang w:val="it-IT" w:eastAsia="sr-Latn-CS"/>
        </w:rPr>
        <w:t>ciprofloksacin</w:t>
      </w:r>
      <w:r w:rsidRPr="00F37492">
        <w:rPr>
          <w:i/>
          <w:sz w:val="22"/>
          <w:szCs w:val="22"/>
          <w:u w:val="single"/>
          <w:lang w:val="ru-RU" w:eastAsia="sr-Latn-CS"/>
        </w:rPr>
        <w:t xml:space="preserve">, </w:t>
      </w:r>
      <w:r w:rsidRPr="00F37492">
        <w:rPr>
          <w:i/>
          <w:sz w:val="22"/>
          <w:szCs w:val="22"/>
          <w:u w:val="single"/>
          <w:lang w:val="it-IT" w:eastAsia="sr-Latn-CS"/>
        </w:rPr>
        <w:t>eritromicin</w:t>
      </w:r>
      <w:r w:rsidRPr="00F37492">
        <w:rPr>
          <w:i/>
          <w:sz w:val="22"/>
          <w:szCs w:val="22"/>
          <w:u w:val="single"/>
          <w:lang w:val="ru-RU" w:eastAsia="sr-Latn-CS"/>
        </w:rPr>
        <w:t xml:space="preserve">, </w:t>
      </w:r>
      <w:r w:rsidRPr="00F37492">
        <w:rPr>
          <w:i/>
          <w:sz w:val="22"/>
          <w:szCs w:val="22"/>
          <w:u w:val="single"/>
          <w:lang w:val="it-IT" w:eastAsia="sr-Latn-CS"/>
        </w:rPr>
        <w:t>amprenavir</w:t>
      </w:r>
      <w:r w:rsidRPr="00F37492">
        <w:rPr>
          <w:i/>
          <w:sz w:val="22"/>
          <w:szCs w:val="22"/>
          <w:u w:val="single"/>
          <w:lang w:val="ru-RU" w:eastAsia="sr-Latn-CS"/>
        </w:rPr>
        <w:t xml:space="preserve">, </w:t>
      </w:r>
      <w:r w:rsidRPr="00F37492">
        <w:rPr>
          <w:i/>
          <w:sz w:val="22"/>
          <w:szCs w:val="22"/>
          <w:u w:val="single"/>
          <w:lang w:val="it-IT" w:eastAsia="sr-Latn-CS"/>
        </w:rPr>
        <w:t>atazanavir</w:t>
      </w:r>
      <w:r w:rsidRPr="00F37492">
        <w:rPr>
          <w:i/>
          <w:sz w:val="22"/>
          <w:szCs w:val="22"/>
          <w:u w:val="single"/>
          <w:lang w:val="ru-RU" w:eastAsia="sr-Latn-CS"/>
        </w:rPr>
        <w:t xml:space="preserve">, </w:t>
      </w:r>
      <w:r w:rsidRPr="00F37492">
        <w:rPr>
          <w:i/>
          <w:sz w:val="22"/>
          <w:szCs w:val="22"/>
          <w:u w:val="single"/>
          <w:lang w:val="it-IT" w:eastAsia="sr-Latn-CS"/>
        </w:rPr>
        <w:t>diltiazem</w:t>
      </w:r>
      <w:r w:rsidRPr="00F37492">
        <w:rPr>
          <w:i/>
          <w:sz w:val="22"/>
          <w:szCs w:val="22"/>
          <w:u w:val="single"/>
          <w:lang w:val="ru-RU" w:eastAsia="sr-Latn-CS"/>
        </w:rPr>
        <w:t xml:space="preserve">, </w:t>
      </w:r>
      <w:r w:rsidRPr="00F37492">
        <w:rPr>
          <w:i/>
          <w:sz w:val="22"/>
          <w:szCs w:val="22"/>
          <w:u w:val="single"/>
          <w:lang w:val="it-IT" w:eastAsia="sr-Latn-CS"/>
        </w:rPr>
        <w:t>cimetidin</w:t>
      </w:r>
      <w:r w:rsidRPr="00F37492">
        <w:rPr>
          <w:i/>
          <w:sz w:val="22"/>
          <w:szCs w:val="22"/>
          <w:u w:val="single"/>
          <w:lang w:val="ru-RU" w:eastAsia="sr-Latn-CS"/>
        </w:rPr>
        <w:t>)</w:t>
      </w:r>
    </w:p>
    <w:p w14:paraId="7E98485F" w14:textId="51C95BBF" w:rsidR="00F37492" w:rsidRPr="00F37492" w:rsidRDefault="00F37492" w:rsidP="000A557B">
      <w:pPr>
        <w:jc w:val="both"/>
        <w:rPr>
          <w:rFonts w:cs="Arial Unicode MS"/>
          <w:sz w:val="22"/>
          <w:szCs w:val="22"/>
          <w:lang w:val="ru-RU" w:eastAsia="sr-Latn-ME"/>
        </w:rPr>
      </w:pPr>
      <w:r w:rsidRPr="00F37492">
        <w:rPr>
          <w:sz w:val="22"/>
          <w:szCs w:val="22"/>
          <w:lang w:val="it-IT" w:eastAsia="sr-Latn-CS"/>
        </w:rPr>
        <w:t>Kod</w:t>
      </w:r>
      <w:r w:rsidRPr="00F37492">
        <w:rPr>
          <w:sz w:val="22"/>
          <w:szCs w:val="22"/>
          <w:lang w:val="ru-RU" w:eastAsia="sr-Latn-CS"/>
        </w:rPr>
        <w:t xml:space="preserve"> </w:t>
      </w:r>
      <w:r w:rsidRPr="00F37492">
        <w:rPr>
          <w:sz w:val="22"/>
          <w:szCs w:val="22"/>
          <w:lang w:val="it-IT" w:eastAsia="sr-Latn-CS"/>
        </w:rPr>
        <w:t>zdravih</w:t>
      </w:r>
      <w:r w:rsidRPr="00F37492">
        <w:rPr>
          <w:sz w:val="22"/>
          <w:szCs w:val="22"/>
          <w:lang w:val="ru-RU" w:eastAsia="sr-Latn-CS"/>
        </w:rPr>
        <w:t xml:space="preserve"> </w:t>
      </w:r>
      <w:r w:rsidRPr="00F37492">
        <w:rPr>
          <w:sz w:val="22"/>
          <w:szCs w:val="22"/>
          <w:lang w:val="it-IT" w:eastAsia="sr-Latn-CS"/>
        </w:rPr>
        <w:t>ispitanika</w:t>
      </w:r>
      <w:r w:rsidRPr="00F37492">
        <w:rPr>
          <w:sz w:val="22"/>
          <w:szCs w:val="22"/>
          <w:lang w:val="ru-RU" w:eastAsia="sr-Latn-CS"/>
        </w:rPr>
        <w:t xml:space="preserve">, </w:t>
      </w:r>
      <w:r w:rsidRPr="00F37492">
        <w:rPr>
          <w:sz w:val="22"/>
          <w:szCs w:val="22"/>
          <w:lang w:val="it-IT" w:eastAsia="sr-Latn-CS"/>
        </w:rPr>
        <w:t>istovremeno</w:t>
      </w:r>
      <w:r w:rsidRPr="00F37492">
        <w:rPr>
          <w:sz w:val="22"/>
          <w:szCs w:val="22"/>
          <w:lang w:val="ru-RU" w:eastAsia="sr-Latn-CS"/>
        </w:rPr>
        <w:t xml:space="preserve"> </w:t>
      </w:r>
      <w:r w:rsidRPr="00F37492">
        <w:rPr>
          <w:sz w:val="22"/>
          <w:szCs w:val="22"/>
          <w:lang w:val="it-IT" w:eastAsia="sr-Latn-CS"/>
        </w:rPr>
        <w:t>davanje</w:t>
      </w:r>
      <w:r w:rsidRPr="00F37492">
        <w:rPr>
          <w:sz w:val="22"/>
          <w:szCs w:val="22"/>
          <w:lang w:val="ru-RU" w:eastAsia="sr-Latn-CS"/>
        </w:rPr>
        <w:t xml:space="preserve"> </w:t>
      </w:r>
      <w:r w:rsidRPr="00F37492">
        <w:rPr>
          <w:sz w:val="22"/>
          <w:szCs w:val="22"/>
          <w:lang w:val="it-IT" w:eastAsia="sr-Latn-CS"/>
        </w:rPr>
        <w:t>ruksolitiniba</w:t>
      </w:r>
      <w:r w:rsidRPr="00F37492">
        <w:rPr>
          <w:sz w:val="22"/>
          <w:szCs w:val="22"/>
          <w:lang w:val="ru-RU" w:eastAsia="sr-Latn-CS"/>
        </w:rPr>
        <w:t xml:space="preserve"> (</w:t>
      </w:r>
      <w:r w:rsidRPr="00F37492">
        <w:rPr>
          <w:sz w:val="22"/>
          <w:szCs w:val="22"/>
          <w:lang w:val="it-IT" w:eastAsia="sr-Latn-CS"/>
        </w:rPr>
        <w:t>pojedina</w:t>
      </w:r>
      <w:r w:rsidRPr="00F37492">
        <w:rPr>
          <w:sz w:val="22"/>
          <w:szCs w:val="22"/>
          <w:lang w:val="ru-RU" w:eastAsia="sr-Latn-CS"/>
        </w:rPr>
        <w:t>č</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doza</w:t>
      </w:r>
      <w:r w:rsidRPr="00F37492">
        <w:rPr>
          <w:sz w:val="22"/>
          <w:szCs w:val="22"/>
          <w:lang w:val="ru-RU" w:eastAsia="sr-Latn-CS"/>
        </w:rPr>
        <w:t xml:space="preserve"> </w:t>
      </w:r>
      <w:r w:rsidRPr="00F37492">
        <w:rPr>
          <w:sz w:val="22"/>
          <w:szCs w:val="22"/>
          <w:lang w:val="it-IT" w:eastAsia="sr-Latn-CS"/>
        </w:rPr>
        <w:t>od</w:t>
      </w:r>
      <w:r w:rsidRPr="00F37492">
        <w:rPr>
          <w:sz w:val="22"/>
          <w:szCs w:val="22"/>
          <w:lang w:val="ru-RU" w:eastAsia="sr-Latn-CS"/>
        </w:rPr>
        <w:t xml:space="preserve"> 10 </w:t>
      </w:r>
      <w:r w:rsidRPr="00F37492">
        <w:rPr>
          <w:sz w:val="22"/>
          <w:szCs w:val="22"/>
          <w:lang w:val="it-IT" w:eastAsia="sr-Latn-CS"/>
        </w:rPr>
        <w:t>mg</w:t>
      </w:r>
      <w:r w:rsidRPr="00F37492">
        <w:rPr>
          <w:sz w:val="22"/>
          <w:szCs w:val="22"/>
          <w:lang w:val="ru-RU" w:eastAsia="sr-Latn-CS"/>
        </w:rPr>
        <w:t xml:space="preserve">) </w:t>
      </w:r>
      <w:r w:rsidRPr="00F37492">
        <w:rPr>
          <w:sz w:val="22"/>
          <w:szCs w:val="22"/>
          <w:lang w:val="it-IT" w:eastAsia="sr-Latn-CS"/>
        </w:rPr>
        <w:t>sa</w:t>
      </w:r>
      <w:r w:rsidRPr="00F37492">
        <w:rPr>
          <w:sz w:val="22"/>
          <w:szCs w:val="22"/>
          <w:lang w:val="ru-RU" w:eastAsia="sr-Latn-CS"/>
        </w:rPr>
        <w:t xml:space="preserve"> </w:t>
      </w:r>
      <w:r w:rsidRPr="00F37492">
        <w:rPr>
          <w:sz w:val="22"/>
          <w:szCs w:val="22"/>
          <w:lang w:val="it-IT" w:eastAsia="sr-Latn-CS"/>
        </w:rPr>
        <w:t>eritromicinom</w:t>
      </w:r>
      <w:r w:rsidRPr="00F37492">
        <w:rPr>
          <w:sz w:val="22"/>
          <w:szCs w:val="22"/>
          <w:lang w:val="ru-RU" w:eastAsia="sr-Latn-CS"/>
        </w:rPr>
        <w:t xml:space="preserve"> 500 </w:t>
      </w:r>
      <w:r w:rsidRPr="00F37492">
        <w:rPr>
          <w:sz w:val="22"/>
          <w:szCs w:val="22"/>
          <w:lang w:val="it-IT" w:eastAsia="sr-Latn-CS"/>
        </w:rPr>
        <w:t>mg</w:t>
      </w:r>
      <w:r w:rsidRPr="00F37492">
        <w:rPr>
          <w:sz w:val="22"/>
          <w:szCs w:val="22"/>
          <w:lang w:val="ru-RU" w:eastAsia="sr-Latn-CS"/>
        </w:rPr>
        <w:t xml:space="preserve"> </w:t>
      </w:r>
      <w:r w:rsidRPr="00F37492">
        <w:rPr>
          <w:sz w:val="22"/>
          <w:szCs w:val="22"/>
          <w:lang w:val="it-IT" w:eastAsia="sr-Latn-CS"/>
        </w:rPr>
        <w:t>dva</w:t>
      </w:r>
      <w:r w:rsidRPr="00F37492">
        <w:rPr>
          <w:sz w:val="22"/>
          <w:szCs w:val="22"/>
          <w:lang w:val="ru-RU" w:eastAsia="sr-Latn-CS"/>
        </w:rPr>
        <w:t xml:space="preserve"> </w:t>
      </w:r>
      <w:r w:rsidRPr="00F37492">
        <w:rPr>
          <w:sz w:val="22"/>
          <w:szCs w:val="22"/>
          <w:lang w:val="it-IT" w:eastAsia="sr-Latn-CS"/>
        </w:rPr>
        <w:t>puta</w:t>
      </w:r>
      <w:r w:rsidRPr="00F37492">
        <w:rPr>
          <w:sz w:val="22"/>
          <w:szCs w:val="22"/>
          <w:lang w:val="ru-RU" w:eastAsia="sr-Latn-CS"/>
        </w:rPr>
        <w:t xml:space="preserve"> </w:t>
      </w:r>
      <w:r w:rsidRPr="00F37492">
        <w:rPr>
          <w:sz w:val="22"/>
          <w:szCs w:val="22"/>
          <w:lang w:val="it-IT" w:eastAsia="sr-Latn-CS"/>
        </w:rPr>
        <w:t>na</w:t>
      </w:r>
      <w:r w:rsidRPr="00F37492">
        <w:rPr>
          <w:sz w:val="22"/>
          <w:szCs w:val="22"/>
          <w:lang w:val="ru-RU" w:eastAsia="sr-Latn-CS"/>
        </w:rPr>
        <w:t xml:space="preserve"> </w:t>
      </w:r>
      <w:r w:rsidRPr="00F37492">
        <w:rPr>
          <w:sz w:val="22"/>
          <w:szCs w:val="22"/>
          <w:lang w:val="it-IT" w:eastAsia="sr-Latn-CS"/>
        </w:rPr>
        <w:t>dan</w:t>
      </w:r>
      <w:r w:rsidRPr="00F37492">
        <w:rPr>
          <w:sz w:val="22"/>
          <w:szCs w:val="22"/>
          <w:lang w:val="ru-RU" w:eastAsia="sr-Latn-CS"/>
        </w:rPr>
        <w:t xml:space="preserve"> </w:t>
      </w:r>
      <w:r w:rsidRPr="00F37492">
        <w:rPr>
          <w:sz w:val="22"/>
          <w:szCs w:val="22"/>
          <w:lang w:val="it-IT" w:eastAsia="sr-Latn-CS"/>
        </w:rPr>
        <w:t>tokom</w:t>
      </w:r>
      <w:r w:rsidRPr="00F37492">
        <w:rPr>
          <w:sz w:val="22"/>
          <w:szCs w:val="22"/>
          <w:lang w:val="ru-RU" w:eastAsia="sr-Latn-CS"/>
        </w:rPr>
        <w:t xml:space="preserve"> č</w:t>
      </w:r>
      <w:r w:rsidRPr="00F37492">
        <w:rPr>
          <w:sz w:val="22"/>
          <w:szCs w:val="22"/>
          <w:lang w:val="it-IT" w:eastAsia="sr-Latn-CS"/>
        </w:rPr>
        <w:t>etiri</w:t>
      </w:r>
      <w:r w:rsidRPr="00F37492">
        <w:rPr>
          <w:sz w:val="22"/>
          <w:szCs w:val="22"/>
          <w:lang w:val="ru-RU" w:eastAsia="sr-Latn-CS"/>
        </w:rPr>
        <w:t xml:space="preserve"> </w:t>
      </w:r>
      <w:r w:rsidRPr="00F37492">
        <w:rPr>
          <w:sz w:val="22"/>
          <w:szCs w:val="22"/>
          <w:lang w:val="it-IT" w:eastAsia="sr-Latn-CS"/>
        </w:rPr>
        <w:t>dana</w:t>
      </w:r>
      <w:r w:rsidRPr="00F37492">
        <w:rPr>
          <w:sz w:val="22"/>
          <w:szCs w:val="22"/>
          <w:lang w:val="ru-RU" w:eastAsia="sr-Latn-CS"/>
        </w:rPr>
        <w:t xml:space="preserve"> </w:t>
      </w:r>
      <w:r w:rsidRPr="00F37492">
        <w:rPr>
          <w:sz w:val="22"/>
          <w:szCs w:val="22"/>
          <w:lang w:val="it-IT" w:eastAsia="sr-Latn-CS"/>
        </w:rPr>
        <w:t>dovodila</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do</w:t>
      </w:r>
      <w:r w:rsidRPr="00F37492">
        <w:rPr>
          <w:sz w:val="22"/>
          <w:szCs w:val="22"/>
          <w:lang w:val="ru-RU" w:eastAsia="sr-Latn-CS"/>
        </w:rPr>
        <w:t xml:space="preserve"> </w:t>
      </w:r>
      <w:r w:rsidRPr="00F37492">
        <w:rPr>
          <w:sz w:val="22"/>
          <w:szCs w:val="22"/>
          <w:lang w:val="it-IT" w:eastAsia="sr-Latn-CS"/>
        </w:rPr>
        <w:t>pove</w:t>
      </w:r>
      <w:r w:rsidRPr="00F37492">
        <w:rPr>
          <w:sz w:val="22"/>
          <w:szCs w:val="22"/>
          <w:lang w:val="ru-RU" w:eastAsia="sr-Latn-CS"/>
        </w:rPr>
        <w:t>ć</w:t>
      </w:r>
      <w:r w:rsidRPr="00F37492">
        <w:rPr>
          <w:sz w:val="22"/>
          <w:szCs w:val="22"/>
          <w:lang w:val="it-IT" w:eastAsia="sr-Latn-CS"/>
        </w:rPr>
        <w:t>anja</w:t>
      </w:r>
      <w:r w:rsidRPr="00F37492">
        <w:rPr>
          <w:sz w:val="22"/>
          <w:szCs w:val="22"/>
          <w:lang w:val="ru-RU" w:eastAsia="sr-Latn-CS"/>
        </w:rPr>
        <w:t xml:space="preserve"> </w:t>
      </w:r>
      <w:r w:rsidRPr="00F37492">
        <w:rPr>
          <w:sz w:val="22"/>
          <w:szCs w:val="22"/>
          <w:lang w:val="it-IT" w:eastAsia="sr-Latn-CS"/>
        </w:rPr>
        <w:t>C</w:t>
      </w:r>
      <w:r w:rsidRPr="00F37492">
        <w:rPr>
          <w:sz w:val="22"/>
          <w:szCs w:val="22"/>
          <w:vertAlign w:val="subscript"/>
          <w:lang w:val="it-IT" w:eastAsia="sr-Latn-CS"/>
        </w:rPr>
        <w:t>max</w:t>
      </w:r>
      <w:r w:rsidRPr="00F37492">
        <w:rPr>
          <w:sz w:val="22"/>
          <w:szCs w:val="22"/>
          <w:lang w:val="ru-RU" w:eastAsia="sr-Latn-CS"/>
        </w:rPr>
        <w:t xml:space="preserve"> </w:t>
      </w:r>
      <w:r w:rsidRPr="00F37492">
        <w:rPr>
          <w:sz w:val="22"/>
          <w:szCs w:val="22"/>
          <w:lang w:val="it-IT" w:eastAsia="sr-Latn-CS"/>
        </w:rPr>
        <w:t>ruksolitiniba</w:t>
      </w:r>
      <w:r w:rsidRPr="00F37492">
        <w:rPr>
          <w:sz w:val="22"/>
          <w:szCs w:val="22"/>
          <w:lang w:val="ru-RU" w:eastAsia="sr-Latn-CS"/>
        </w:rPr>
        <w:t xml:space="preserve"> </w:t>
      </w:r>
      <w:r w:rsidRPr="00F37492">
        <w:rPr>
          <w:sz w:val="22"/>
          <w:szCs w:val="22"/>
          <w:lang w:val="it-IT" w:eastAsia="sr-Latn-CS"/>
        </w:rPr>
        <w:t>za</w:t>
      </w:r>
      <w:r w:rsidRPr="00F37492">
        <w:rPr>
          <w:sz w:val="22"/>
          <w:szCs w:val="22"/>
          <w:lang w:val="ru-RU" w:eastAsia="sr-Latn-CS"/>
        </w:rPr>
        <w:t xml:space="preserve"> 8%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pove</w:t>
      </w:r>
      <w:r w:rsidRPr="00F37492">
        <w:rPr>
          <w:sz w:val="22"/>
          <w:szCs w:val="22"/>
          <w:lang w:val="ru-RU" w:eastAsia="sr-Latn-CS"/>
        </w:rPr>
        <w:t>ć</w:t>
      </w:r>
      <w:r w:rsidRPr="00F37492">
        <w:rPr>
          <w:sz w:val="22"/>
          <w:szCs w:val="22"/>
          <w:lang w:val="it-IT" w:eastAsia="sr-Latn-CS"/>
        </w:rPr>
        <w:t>anja</w:t>
      </w:r>
      <w:r w:rsidRPr="00F37492">
        <w:rPr>
          <w:sz w:val="22"/>
          <w:szCs w:val="22"/>
          <w:lang w:val="ru-RU" w:eastAsia="sr-Latn-CS"/>
        </w:rPr>
        <w:t xml:space="preserve"> </w:t>
      </w:r>
      <w:r w:rsidRPr="00F37492">
        <w:rPr>
          <w:sz w:val="22"/>
          <w:szCs w:val="22"/>
          <w:lang w:val="it-IT" w:eastAsia="sr-Latn-CS"/>
        </w:rPr>
        <w:t>PIK</w:t>
      </w:r>
      <w:r w:rsidRPr="00F37492">
        <w:rPr>
          <w:sz w:val="22"/>
          <w:szCs w:val="22"/>
          <w:lang w:val="ru-RU" w:eastAsia="sr-Latn-CS"/>
        </w:rPr>
        <w:t xml:space="preserve"> </w:t>
      </w:r>
      <w:r w:rsidRPr="00F37492">
        <w:rPr>
          <w:sz w:val="22"/>
          <w:szCs w:val="22"/>
          <w:lang w:val="it-IT" w:eastAsia="sr-Latn-CS"/>
        </w:rPr>
        <w:t>za</w:t>
      </w:r>
      <w:r w:rsidRPr="00F37492">
        <w:rPr>
          <w:sz w:val="22"/>
          <w:szCs w:val="22"/>
          <w:lang w:val="ru-RU" w:eastAsia="sr-Latn-CS"/>
        </w:rPr>
        <w:t xml:space="preserve"> 27%, </w:t>
      </w:r>
      <w:r w:rsidRPr="00F37492">
        <w:rPr>
          <w:sz w:val="22"/>
          <w:szCs w:val="22"/>
          <w:lang w:val="it-IT" w:eastAsia="sr-Latn-CS"/>
        </w:rPr>
        <w:t>u</w:t>
      </w:r>
      <w:r w:rsidRPr="00F37492">
        <w:rPr>
          <w:sz w:val="22"/>
          <w:szCs w:val="22"/>
          <w:lang w:val="ru-RU" w:eastAsia="sr-Latn-CS"/>
        </w:rPr>
        <w:t xml:space="preserve"> </w:t>
      </w:r>
      <w:r w:rsidRPr="00F37492">
        <w:rPr>
          <w:sz w:val="22"/>
          <w:szCs w:val="22"/>
          <w:lang w:val="it-IT" w:eastAsia="sr-Latn-CS"/>
        </w:rPr>
        <w:t>odnosu</w:t>
      </w:r>
      <w:r w:rsidRPr="00F37492">
        <w:rPr>
          <w:sz w:val="22"/>
          <w:szCs w:val="22"/>
          <w:lang w:val="ru-RU" w:eastAsia="sr-Latn-CS"/>
        </w:rPr>
        <w:t xml:space="preserve"> </w:t>
      </w:r>
      <w:r w:rsidRPr="00F37492">
        <w:rPr>
          <w:sz w:val="22"/>
          <w:szCs w:val="22"/>
          <w:lang w:val="it-IT" w:eastAsia="sr-Latn-CS"/>
        </w:rPr>
        <w:t>kada</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prim</w:t>
      </w:r>
      <w:r w:rsidR="00D83177">
        <w:rPr>
          <w:sz w:val="22"/>
          <w:szCs w:val="22"/>
          <w:lang w:val="it-IT" w:eastAsia="sr-Latn-CS"/>
        </w:rPr>
        <w:t>i</w:t>
      </w:r>
      <w:r w:rsidRPr="00F37492">
        <w:rPr>
          <w:sz w:val="22"/>
          <w:szCs w:val="22"/>
          <w:lang w:val="it-IT" w:eastAsia="sr-Latn-CS"/>
        </w:rPr>
        <w:t>jenjen</w:t>
      </w:r>
      <w:r w:rsidRPr="00F37492">
        <w:rPr>
          <w:sz w:val="22"/>
          <w:szCs w:val="22"/>
          <w:lang w:val="ru-RU" w:eastAsia="sr-Latn-CS"/>
        </w:rPr>
        <w:t xml:space="preserve"> </w:t>
      </w:r>
      <w:r w:rsidRPr="00F37492">
        <w:rPr>
          <w:sz w:val="22"/>
          <w:szCs w:val="22"/>
          <w:lang w:val="it-IT" w:eastAsia="sr-Latn-CS"/>
        </w:rPr>
        <w:t>samo</w:t>
      </w:r>
      <w:r w:rsidRPr="00F37492">
        <w:rPr>
          <w:sz w:val="22"/>
          <w:szCs w:val="22"/>
          <w:lang w:val="ru-RU" w:eastAsia="sr-Latn-CS"/>
        </w:rPr>
        <w:t xml:space="preserve"> </w:t>
      </w:r>
      <w:r w:rsidRPr="00F37492">
        <w:rPr>
          <w:sz w:val="22"/>
          <w:szCs w:val="22"/>
          <w:lang w:val="it-IT" w:eastAsia="sr-Latn-CS"/>
        </w:rPr>
        <w:t>ruksolitinib</w:t>
      </w:r>
      <w:r w:rsidRPr="00F37492">
        <w:rPr>
          <w:sz w:val="22"/>
          <w:szCs w:val="22"/>
          <w:lang w:val="ru-RU" w:eastAsia="sr-Latn-CS"/>
        </w:rPr>
        <w:t>.</w:t>
      </w:r>
    </w:p>
    <w:p w14:paraId="331D7367" w14:textId="77777777" w:rsidR="00F37492" w:rsidRPr="00F37492" w:rsidRDefault="00F37492" w:rsidP="000A557B">
      <w:pPr>
        <w:jc w:val="both"/>
        <w:rPr>
          <w:rFonts w:cs="Arial Unicode MS"/>
          <w:sz w:val="22"/>
          <w:szCs w:val="22"/>
          <w:lang w:val="ru-RU" w:eastAsia="sr-Latn-CS"/>
        </w:rPr>
      </w:pPr>
    </w:p>
    <w:p w14:paraId="0BE0F8E2" w14:textId="77777777" w:rsidR="00F37492" w:rsidRPr="00F37492" w:rsidRDefault="00F37492" w:rsidP="000A557B">
      <w:pPr>
        <w:jc w:val="both"/>
        <w:rPr>
          <w:rFonts w:cs="Arial Unicode MS"/>
          <w:sz w:val="22"/>
          <w:szCs w:val="22"/>
          <w:lang w:val="ru-RU" w:eastAsia="sr-Latn-ME"/>
        </w:rPr>
      </w:pPr>
      <w:r w:rsidRPr="00F37492">
        <w:rPr>
          <w:sz w:val="22"/>
          <w:szCs w:val="22"/>
          <w:lang w:val="it-IT" w:eastAsia="sr-Latn-CS"/>
        </w:rPr>
        <w:t>Ne</w:t>
      </w:r>
      <w:r w:rsidRPr="00F37492">
        <w:rPr>
          <w:sz w:val="22"/>
          <w:szCs w:val="22"/>
          <w:lang w:val="ru-RU" w:eastAsia="sr-Latn-CS"/>
        </w:rPr>
        <w:t xml:space="preserve"> </w:t>
      </w:r>
      <w:r w:rsidRPr="00F37492">
        <w:rPr>
          <w:sz w:val="22"/>
          <w:szCs w:val="22"/>
          <w:lang w:val="it-IT" w:eastAsia="sr-Latn-CS"/>
        </w:rPr>
        <w:t>preporu</w:t>
      </w:r>
      <w:r w:rsidRPr="00F37492">
        <w:rPr>
          <w:sz w:val="22"/>
          <w:szCs w:val="22"/>
          <w:lang w:val="ru-RU" w:eastAsia="sr-Latn-CS"/>
        </w:rPr>
        <w:t>č</w:t>
      </w:r>
      <w:r w:rsidRPr="00F37492">
        <w:rPr>
          <w:sz w:val="22"/>
          <w:szCs w:val="22"/>
          <w:lang w:val="it-IT" w:eastAsia="sr-Latn-CS"/>
        </w:rPr>
        <w:t>uje</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pode</w:t>
      </w:r>
      <w:r w:rsidRPr="00F37492">
        <w:rPr>
          <w:sz w:val="22"/>
          <w:szCs w:val="22"/>
          <w:lang w:val="ru-RU" w:eastAsia="sr-Latn-CS"/>
        </w:rPr>
        <w:t>š</w:t>
      </w:r>
      <w:r w:rsidRPr="00F37492">
        <w:rPr>
          <w:sz w:val="22"/>
          <w:szCs w:val="22"/>
          <w:lang w:val="it-IT" w:eastAsia="sr-Latn-CS"/>
        </w:rPr>
        <w:t>avanje</w:t>
      </w:r>
      <w:r w:rsidRPr="00F37492">
        <w:rPr>
          <w:sz w:val="22"/>
          <w:szCs w:val="22"/>
          <w:lang w:val="ru-RU" w:eastAsia="sr-Latn-CS"/>
        </w:rPr>
        <w:t xml:space="preserve"> </w:t>
      </w:r>
      <w:r w:rsidRPr="00F37492">
        <w:rPr>
          <w:sz w:val="22"/>
          <w:szCs w:val="22"/>
          <w:lang w:val="it-IT" w:eastAsia="sr-Latn-CS"/>
        </w:rPr>
        <w:t>doze</w:t>
      </w:r>
      <w:r w:rsidRPr="00F37492">
        <w:rPr>
          <w:sz w:val="22"/>
          <w:szCs w:val="22"/>
          <w:lang w:val="ru-RU" w:eastAsia="sr-Latn-CS"/>
        </w:rPr>
        <w:t xml:space="preserve"> </w:t>
      </w:r>
      <w:r w:rsidRPr="00F37492">
        <w:rPr>
          <w:sz w:val="22"/>
          <w:szCs w:val="22"/>
          <w:lang w:val="it-IT" w:eastAsia="sr-Latn-CS"/>
        </w:rPr>
        <w:t>kada</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ruksolitinib</w:t>
      </w:r>
      <w:r w:rsidRPr="00F37492">
        <w:rPr>
          <w:sz w:val="22"/>
          <w:szCs w:val="22"/>
          <w:lang w:val="ru-RU" w:eastAsia="sr-Latn-CS"/>
        </w:rPr>
        <w:t xml:space="preserve"> </w:t>
      </w:r>
      <w:r w:rsidRPr="00F37492">
        <w:rPr>
          <w:sz w:val="22"/>
          <w:szCs w:val="22"/>
          <w:lang w:val="it-IT" w:eastAsia="sr-Latn-CS"/>
        </w:rPr>
        <w:t>daje</w:t>
      </w:r>
      <w:r w:rsidRPr="00F37492">
        <w:rPr>
          <w:sz w:val="22"/>
          <w:szCs w:val="22"/>
          <w:lang w:val="ru-RU" w:eastAsia="sr-Latn-CS"/>
        </w:rPr>
        <w:t xml:space="preserve"> </w:t>
      </w:r>
      <w:r w:rsidRPr="00F37492">
        <w:rPr>
          <w:sz w:val="22"/>
          <w:szCs w:val="22"/>
          <w:lang w:val="it-IT" w:eastAsia="sr-Latn-CS"/>
        </w:rPr>
        <w:t>istovremeno</w:t>
      </w:r>
      <w:r w:rsidRPr="00F37492">
        <w:rPr>
          <w:sz w:val="22"/>
          <w:szCs w:val="22"/>
          <w:lang w:val="ru-RU" w:eastAsia="sr-Latn-CS"/>
        </w:rPr>
        <w:t xml:space="preserve"> </w:t>
      </w:r>
      <w:r w:rsidRPr="00F37492">
        <w:rPr>
          <w:sz w:val="22"/>
          <w:szCs w:val="22"/>
          <w:lang w:val="it-IT" w:eastAsia="sr-Latn-CS"/>
        </w:rPr>
        <w:t>sa</w:t>
      </w:r>
      <w:r w:rsidRPr="00F37492">
        <w:rPr>
          <w:sz w:val="22"/>
          <w:szCs w:val="22"/>
          <w:lang w:val="ru-RU" w:eastAsia="sr-Latn-CS"/>
        </w:rPr>
        <w:t xml:space="preserve"> </w:t>
      </w:r>
      <w:r w:rsidRPr="00F37492">
        <w:rPr>
          <w:sz w:val="22"/>
          <w:szCs w:val="22"/>
          <w:lang w:val="it-IT" w:eastAsia="sr-Latn-CS"/>
        </w:rPr>
        <w:t>blagim</w:t>
      </w:r>
      <w:r w:rsidRPr="00F37492">
        <w:rPr>
          <w:sz w:val="22"/>
          <w:szCs w:val="22"/>
          <w:lang w:val="ru-RU" w:eastAsia="sr-Latn-CS"/>
        </w:rPr>
        <w:t xml:space="preserve"> </w:t>
      </w:r>
      <w:r w:rsidRPr="00F37492">
        <w:rPr>
          <w:sz w:val="22"/>
          <w:szCs w:val="22"/>
          <w:lang w:val="it-IT" w:eastAsia="sr-Latn-CS"/>
        </w:rPr>
        <w:t>do</w:t>
      </w:r>
      <w:r w:rsidRPr="00F37492">
        <w:rPr>
          <w:sz w:val="22"/>
          <w:szCs w:val="22"/>
          <w:lang w:val="ru-RU" w:eastAsia="sr-Latn-CS"/>
        </w:rPr>
        <w:t xml:space="preserve"> </w:t>
      </w:r>
      <w:r w:rsidRPr="00F37492">
        <w:rPr>
          <w:sz w:val="22"/>
          <w:szCs w:val="22"/>
          <w:lang w:val="it-IT" w:eastAsia="sr-Latn-CS"/>
        </w:rPr>
        <w:t>umjerenim</w:t>
      </w:r>
      <w:r w:rsidRPr="00F37492">
        <w:rPr>
          <w:sz w:val="22"/>
          <w:szCs w:val="22"/>
          <w:lang w:val="ru-RU" w:eastAsia="sr-Latn-CS"/>
        </w:rPr>
        <w:t xml:space="preserve"> </w:t>
      </w:r>
      <w:r w:rsidRPr="00F37492">
        <w:rPr>
          <w:sz w:val="22"/>
          <w:szCs w:val="22"/>
          <w:lang w:val="it-IT" w:eastAsia="sr-Latn-CS"/>
        </w:rPr>
        <w:t>inhibitorima</w:t>
      </w:r>
      <w:r w:rsidRPr="00F37492">
        <w:rPr>
          <w:sz w:val="22"/>
          <w:szCs w:val="22"/>
          <w:lang w:val="ru-RU" w:eastAsia="sr-Latn-CS"/>
        </w:rPr>
        <w:t xml:space="preserve"> </w:t>
      </w:r>
      <w:r w:rsidRPr="00F37492">
        <w:rPr>
          <w:sz w:val="22"/>
          <w:szCs w:val="22"/>
          <w:lang w:val="it-IT" w:eastAsia="sr-Latn-CS"/>
        </w:rPr>
        <w:t>CYP</w:t>
      </w:r>
      <w:r w:rsidRPr="00F37492">
        <w:rPr>
          <w:sz w:val="22"/>
          <w:szCs w:val="22"/>
          <w:lang w:val="ru-RU" w:eastAsia="sr-Latn-CS"/>
        </w:rPr>
        <w:t>3</w:t>
      </w:r>
      <w:r w:rsidRPr="00F37492">
        <w:rPr>
          <w:sz w:val="22"/>
          <w:szCs w:val="22"/>
          <w:lang w:val="it-IT" w:eastAsia="sr-Latn-CS"/>
        </w:rPr>
        <w:t>A</w:t>
      </w:r>
      <w:r w:rsidRPr="00F37492">
        <w:rPr>
          <w:sz w:val="22"/>
          <w:szCs w:val="22"/>
          <w:lang w:val="ru-RU" w:eastAsia="sr-Latn-CS"/>
        </w:rPr>
        <w:t>4 (</w:t>
      </w:r>
      <w:r w:rsidRPr="00F37492">
        <w:rPr>
          <w:sz w:val="22"/>
          <w:szCs w:val="22"/>
          <w:lang w:val="it-IT" w:eastAsia="sr-Latn-CS"/>
        </w:rPr>
        <w:t>npr</w:t>
      </w:r>
      <w:r w:rsidRPr="00F37492">
        <w:rPr>
          <w:sz w:val="22"/>
          <w:szCs w:val="22"/>
          <w:lang w:val="ru-RU" w:eastAsia="sr-Latn-CS"/>
        </w:rPr>
        <w:t xml:space="preserve">. </w:t>
      </w:r>
      <w:r w:rsidRPr="00F37492">
        <w:rPr>
          <w:sz w:val="22"/>
          <w:szCs w:val="22"/>
          <w:lang w:val="it-IT" w:eastAsia="sr-Latn-CS"/>
        </w:rPr>
        <w:t>eritromicin</w:t>
      </w:r>
      <w:r w:rsidRPr="00F37492">
        <w:rPr>
          <w:sz w:val="22"/>
          <w:szCs w:val="22"/>
          <w:lang w:val="ru-RU" w:eastAsia="sr-Latn-CS"/>
        </w:rPr>
        <w:t xml:space="preserve">). </w:t>
      </w:r>
      <w:r w:rsidRPr="00F37492">
        <w:rPr>
          <w:sz w:val="22"/>
          <w:szCs w:val="22"/>
          <w:lang w:val="it-IT" w:eastAsia="sr-Latn-CS"/>
        </w:rPr>
        <w:t>Me</w:t>
      </w:r>
      <w:r w:rsidRPr="00F37492">
        <w:rPr>
          <w:sz w:val="22"/>
          <w:szCs w:val="22"/>
          <w:lang w:val="ru-RU" w:eastAsia="sr-Latn-CS"/>
        </w:rPr>
        <w:t>đ</w:t>
      </w:r>
      <w:r w:rsidRPr="00F37492">
        <w:rPr>
          <w:sz w:val="22"/>
          <w:szCs w:val="22"/>
          <w:lang w:val="it-IT" w:eastAsia="sr-Latn-CS"/>
        </w:rPr>
        <w:t>utim</w:t>
      </w:r>
      <w:r w:rsidRPr="00F37492">
        <w:rPr>
          <w:sz w:val="22"/>
          <w:szCs w:val="22"/>
          <w:lang w:val="ru-RU" w:eastAsia="sr-Latn-CS"/>
        </w:rPr>
        <w:t xml:space="preserve">, </w:t>
      </w:r>
      <w:r w:rsidRPr="00F37492">
        <w:rPr>
          <w:sz w:val="22"/>
          <w:szCs w:val="22"/>
          <w:lang w:val="it-IT" w:eastAsia="sr-Latn-CS"/>
        </w:rPr>
        <w:t>pacijente</w:t>
      </w:r>
      <w:r w:rsidRPr="00F37492">
        <w:rPr>
          <w:sz w:val="22"/>
          <w:szCs w:val="22"/>
          <w:lang w:val="ru-RU" w:eastAsia="sr-Latn-CS"/>
        </w:rPr>
        <w:t xml:space="preserve"> </w:t>
      </w:r>
      <w:r w:rsidRPr="00F37492">
        <w:rPr>
          <w:sz w:val="22"/>
          <w:szCs w:val="22"/>
          <w:lang w:val="it-IT" w:eastAsia="sr-Latn-CS"/>
        </w:rPr>
        <w:t>treba</w:t>
      </w:r>
      <w:r w:rsidRPr="00F37492">
        <w:rPr>
          <w:sz w:val="22"/>
          <w:szCs w:val="22"/>
          <w:lang w:val="ru-RU" w:eastAsia="sr-Latn-CS"/>
        </w:rPr>
        <w:t xml:space="preserve"> </w:t>
      </w:r>
      <w:r w:rsidRPr="00F37492">
        <w:rPr>
          <w:sz w:val="22"/>
          <w:szCs w:val="22"/>
          <w:lang w:val="it-IT" w:eastAsia="sr-Latn-CS"/>
        </w:rPr>
        <w:t>pa</w:t>
      </w:r>
      <w:r w:rsidRPr="00F37492">
        <w:rPr>
          <w:sz w:val="22"/>
          <w:szCs w:val="22"/>
          <w:lang w:val="ru-RU" w:eastAsia="sr-Latn-CS"/>
        </w:rPr>
        <w:t>ž</w:t>
      </w:r>
      <w:r w:rsidRPr="00F37492">
        <w:rPr>
          <w:sz w:val="22"/>
          <w:szCs w:val="22"/>
          <w:lang w:val="it-IT" w:eastAsia="sr-Latn-CS"/>
        </w:rPr>
        <w:t>ljivo</w:t>
      </w:r>
      <w:r w:rsidRPr="00F37492">
        <w:rPr>
          <w:sz w:val="22"/>
          <w:szCs w:val="22"/>
          <w:lang w:val="ru-RU" w:eastAsia="sr-Latn-CS"/>
        </w:rPr>
        <w:t xml:space="preserve"> </w:t>
      </w:r>
      <w:r w:rsidRPr="00F37492">
        <w:rPr>
          <w:sz w:val="22"/>
          <w:szCs w:val="22"/>
          <w:lang w:val="it-IT" w:eastAsia="sr-Latn-CS"/>
        </w:rPr>
        <w:t>pratiti</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identifikuje</w:t>
      </w:r>
      <w:r w:rsidRPr="00F37492">
        <w:rPr>
          <w:sz w:val="22"/>
          <w:szCs w:val="22"/>
          <w:lang w:val="ru-RU" w:eastAsia="sr-Latn-CS"/>
        </w:rPr>
        <w:t xml:space="preserve"> </w:t>
      </w:r>
      <w:r w:rsidRPr="00F37492">
        <w:rPr>
          <w:sz w:val="22"/>
          <w:szCs w:val="22"/>
          <w:lang w:val="it-IT" w:eastAsia="sr-Latn-CS"/>
        </w:rPr>
        <w:t>eventualna</w:t>
      </w:r>
      <w:r w:rsidRPr="00F37492">
        <w:rPr>
          <w:sz w:val="22"/>
          <w:szCs w:val="22"/>
          <w:lang w:val="ru-RU" w:eastAsia="sr-Latn-CS"/>
        </w:rPr>
        <w:t xml:space="preserve"> </w:t>
      </w:r>
      <w:r w:rsidRPr="00F37492">
        <w:rPr>
          <w:sz w:val="22"/>
          <w:szCs w:val="22"/>
          <w:lang w:val="it-IT" w:eastAsia="sr-Latn-CS"/>
        </w:rPr>
        <w:t>citopenija</w:t>
      </w:r>
      <w:r w:rsidRPr="00F37492">
        <w:rPr>
          <w:sz w:val="22"/>
          <w:szCs w:val="22"/>
          <w:lang w:val="ru-RU" w:eastAsia="sr-Latn-CS"/>
        </w:rPr>
        <w:t xml:space="preserve"> </w:t>
      </w:r>
      <w:r w:rsidRPr="00F37492">
        <w:rPr>
          <w:sz w:val="22"/>
          <w:szCs w:val="22"/>
          <w:lang w:val="it-IT" w:eastAsia="sr-Latn-CS"/>
        </w:rPr>
        <w:t>kada</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zapo</w:t>
      </w:r>
      <w:r w:rsidRPr="00F37492">
        <w:rPr>
          <w:sz w:val="22"/>
          <w:szCs w:val="22"/>
          <w:lang w:val="ru-RU" w:eastAsia="sr-Latn-CS"/>
        </w:rPr>
        <w:t>č</w:t>
      </w:r>
      <w:r w:rsidRPr="00F37492">
        <w:rPr>
          <w:sz w:val="22"/>
          <w:szCs w:val="22"/>
          <w:lang w:val="it-IT" w:eastAsia="sr-Latn-CS"/>
        </w:rPr>
        <w:t>inje</w:t>
      </w:r>
      <w:r w:rsidRPr="00F37492">
        <w:rPr>
          <w:sz w:val="22"/>
          <w:szCs w:val="22"/>
          <w:lang w:val="ru-RU" w:eastAsia="sr-Latn-CS"/>
        </w:rPr>
        <w:t xml:space="preserve"> </w:t>
      </w:r>
      <w:r w:rsidRPr="00F37492">
        <w:rPr>
          <w:sz w:val="22"/>
          <w:szCs w:val="22"/>
          <w:lang w:val="it-IT" w:eastAsia="sr-Latn-CS"/>
        </w:rPr>
        <w:t>terapija</w:t>
      </w:r>
      <w:r w:rsidRPr="00F37492">
        <w:rPr>
          <w:sz w:val="22"/>
          <w:szCs w:val="22"/>
          <w:lang w:val="ru-RU" w:eastAsia="sr-Latn-CS"/>
        </w:rPr>
        <w:t xml:space="preserve"> </w:t>
      </w:r>
      <w:r w:rsidRPr="00F37492">
        <w:rPr>
          <w:sz w:val="22"/>
          <w:szCs w:val="22"/>
          <w:lang w:val="it-IT" w:eastAsia="sr-Latn-CS"/>
        </w:rPr>
        <w:t>umjerenim</w:t>
      </w:r>
      <w:r w:rsidRPr="00F37492">
        <w:rPr>
          <w:sz w:val="22"/>
          <w:szCs w:val="22"/>
          <w:lang w:val="ru-RU" w:eastAsia="sr-Latn-CS"/>
        </w:rPr>
        <w:t xml:space="preserve"> </w:t>
      </w:r>
      <w:r w:rsidRPr="00F37492">
        <w:rPr>
          <w:sz w:val="22"/>
          <w:szCs w:val="22"/>
          <w:lang w:val="it-IT" w:eastAsia="sr-Latn-CS"/>
        </w:rPr>
        <w:t>inhibitorom</w:t>
      </w:r>
      <w:r w:rsidRPr="00F37492">
        <w:rPr>
          <w:sz w:val="22"/>
          <w:szCs w:val="22"/>
          <w:lang w:val="ru-RU" w:eastAsia="sr-Latn-CS"/>
        </w:rPr>
        <w:t xml:space="preserve"> </w:t>
      </w:r>
      <w:r w:rsidRPr="00F37492">
        <w:rPr>
          <w:sz w:val="22"/>
          <w:szCs w:val="22"/>
          <w:lang w:val="it-IT" w:eastAsia="sr-Latn-CS"/>
        </w:rPr>
        <w:t>CYP</w:t>
      </w:r>
      <w:r w:rsidRPr="00F37492">
        <w:rPr>
          <w:sz w:val="22"/>
          <w:szCs w:val="22"/>
          <w:lang w:val="ru-RU" w:eastAsia="sr-Latn-CS"/>
        </w:rPr>
        <w:t>3</w:t>
      </w:r>
      <w:r w:rsidRPr="00F37492">
        <w:rPr>
          <w:sz w:val="22"/>
          <w:szCs w:val="22"/>
          <w:lang w:val="it-IT" w:eastAsia="sr-Latn-CS"/>
        </w:rPr>
        <w:t>A</w:t>
      </w:r>
      <w:r w:rsidRPr="00F37492">
        <w:rPr>
          <w:sz w:val="22"/>
          <w:szCs w:val="22"/>
          <w:lang w:val="ru-RU" w:eastAsia="sr-Latn-CS"/>
        </w:rPr>
        <w:t>4.</w:t>
      </w:r>
    </w:p>
    <w:p w14:paraId="50B8ADFF" w14:textId="77777777" w:rsidR="00F37492" w:rsidRPr="00F37492" w:rsidRDefault="00F37492" w:rsidP="000A557B">
      <w:pPr>
        <w:jc w:val="both"/>
        <w:rPr>
          <w:rFonts w:cs="Arial Unicode MS"/>
          <w:sz w:val="22"/>
          <w:szCs w:val="22"/>
          <w:u w:val="single"/>
          <w:lang w:val="ru-RU" w:eastAsia="sr-Latn-CS"/>
        </w:rPr>
      </w:pPr>
    </w:p>
    <w:p w14:paraId="57F7FCCE" w14:textId="77777777" w:rsidR="00F37492" w:rsidRPr="00F37492" w:rsidRDefault="00F37492" w:rsidP="000A557B">
      <w:pPr>
        <w:jc w:val="both"/>
        <w:rPr>
          <w:sz w:val="22"/>
          <w:szCs w:val="22"/>
          <w:u w:val="single"/>
          <w:lang w:val="ru-RU" w:eastAsia="sr-Latn-CS"/>
        </w:rPr>
      </w:pPr>
      <w:r w:rsidRPr="00F37492">
        <w:rPr>
          <w:sz w:val="22"/>
          <w:szCs w:val="22"/>
          <w:u w:val="single"/>
          <w:lang w:val="it-IT" w:eastAsia="sr-Latn-CS"/>
        </w:rPr>
        <w:t>Dejstva</w:t>
      </w:r>
      <w:r w:rsidRPr="00F37492">
        <w:rPr>
          <w:sz w:val="22"/>
          <w:szCs w:val="22"/>
          <w:u w:val="single"/>
          <w:lang w:val="ru-RU" w:eastAsia="sr-Latn-CS"/>
        </w:rPr>
        <w:t xml:space="preserve"> </w:t>
      </w:r>
      <w:r w:rsidRPr="00F37492">
        <w:rPr>
          <w:sz w:val="22"/>
          <w:szCs w:val="22"/>
          <w:u w:val="single"/>
          <w:lang w:val="it-IT" w:eastAsia="sr-Latn-CS"/>
        </w:rPr>
        <w:t>ruksolitiniba</w:t>
      </w:r>
      <w:r w:rsidRPr="00F37492">
        <w:rPr>
          <w:sz w:val="22"/>
          <w:szCs w:val="22"/>
          <w:u w:val="single"/>
          <w:lang w:val="ru-RU" w:eastAsia="sr-Latn-CS"/>
        </w:rPr>
        <w:t xml:space="preserve"> </w:t>
      </w:r>
      <w:r w:rsidRPr="00F37492">
        <w:rPr>
          <w:sz w:val="22"/>
          <w:szCs w:val="22"/>
          <w:u w:val="single"/>
          <w:lang w:val="it-IT" w:eastAsia="sr-Latn-CS"/>
        </w:rPr>
        <w:t>na</w:t>
      </w:r>
      <w:r w:rsidRPr="00F37492">
        <w:rPr>
          <w:sz w:val="22"/>
          <w:szCs w:val="22"/>
          <w:u w:val="single"/>
          <w:lang w:val="ru-RU" w:eastAsia="sr-Latn-CS"/>
        </w:rPr>
        <w:t xml:space="preserve"> </w:t>
      </w:r>
      <w:r w:rsidRPr="00F37492">
        <w:rPr>
          <w:sz w:val="22"/>
          <w:szCs w:val="22"/>
          <w:u w:val="single"/>
          <w:lang w:val="it-IT" w:eastAsia="sr-Latn-CS"/>
        </w:rPr>
        <w:t>druge</w:t>
      </w:r>
      <w:r w:rsidRPr="00F37492">
        <w:rPr>
          <w:sz w:val="22"/>
          <w:szCs w:val="22"/>
          <w:u w:val="single"/>
          <w:lang w:val="ru-RU" w:eastAsia="sr-Latn-CS"/>
        </w:rPr>
        <w:t xml:space="preserve"> </w:t>
      </w:r>
      <w:r w:rsidRPr="00F37492">
        <w:rPr>
          <w:sz w:val="22"/>
          <w:szCs w:val="22"/>
          <w:u w:val="single"/>
          <w:lang w:val="it-IT" w:eastAsia="sr-Latn-CS"/>
        </w:rPr>
        <w:t>ljekove</w:t>
      </w:r>
      <w:r w:rsidRPr="00F37492">
        <w:rPr>
          <w:sz w:val="22"/>
          <w:szCs w:val="22"/>
          <w:u w:val="single"/>
          <w:lang w:val="ru-RU" w:eastAsia="sr-Latn-CS"/>
        </w:rPr>
        <w:t xml:space="preserve"> </w:t>
      </w:r>
    </w:p>
    <w:p w14:paraId="5FAA5DA0" w14:textId="77777777" w:rsidR="00F37492" w:rsidRPr="00F37492" w:rsidRDefault="00F37492" w:rsidP="000A557B">
      <w:pPr>
        <w:jc w:val="both"/>
        <w:rPr>
          <w:rFonts w:cs="Arial Unicode MS"/>
          <w:sz w:val="22"/>
          <w:szCs w:val="22"/>
          <w:u w:val="single"/>
          <w:shd w:val="clear" w:color="auto" w:fill="FFFFFF"/>
          <w:lang w:val="ru-RU" w:eastAsia="sr-Latn-CS"/>
        </w:rPr>
      </w:pPr>
    </w:p>
    <w:p w14:paraId="25D6A775" w14:textId="77777777" w:rsidR="00F37492" w:rsidRPr="00F37492" w:rsidRDefault="00F37492" w:rsidP="000A557B">
      <w:pPr>
        <w:jc w:val="both"/>
        <w:rPr>
          <w:rFonts w:cs="Arial Unicode MS"/>
          <w:i/>
          <w:iCs/>
          <w:sz w:val="22"/>
          <w:szCs w:val="22"/>
          <w:lang w:val="ru-RU" w:eastAsia="sr-Latn-ME"/>
        </w:rPr>
      </w:pPr>
      <w:r w:rsidRPr="00F37492">
        <w:rPr>
          <w:i/>
          <w:sz w:val="22"/>
          <w:szCs w:val="22"/>
          <w:u w:val="single"/>
          <w:shd w:val="clear" w:color="auto" w:fill="FFFFFF"/>
          <w:lang w:val="it-IT" w:eastAsia="sr-Latn-CS"/>
        </w:rPr>
        <w:t>Supstance</w:t>
      </w:r>
      <w:r w:rsidRPr="00F37492">
        <w:rPr>
          <w:i/>
          <w:sz w:val="22"/>
          <w:szCs w:val="22"/>
          <w:u w:val="single"/>
          <w:shd w:val="clear" w:color="auto" w:fill="FFFFFF"/>
          <w:lang w:val="ru-RU" w:eastAsia="sr-Latn-CS"/>
        </w:rPr>
        <w:t xml:space="preserve"> </w:t>
      </w:r>
      <w:r w:rsidRPr="00F37492">
        <w:rPr>
          <w:i/>
          <w:sz w:val="22"/>
          <w:szCs w:val="22"/>
          <w:u w:val="single"/>
          <w:shd w:val="clear" w:color="auto" w:fill="FFFFFF"/>
          <w:lang w:val="it-IT" w:eastAsia="sr-Latn-CS"/>
        </w:rPr>
        <w:t>koje</w:t>
      </w:r>
      <w:r w:rsidRPr="00F37492">
        <w:rPr>
          <w:i/>
          <w:sz w:val="22"/>
          <w:szCs w:val="22"/>
          <w:u w:val="single"/>
          <w:shd w:val="clear" w:color="auto" w:fill="FFFFFF"/>
          <w:lang w:val="ru-RU" w:eastAsia="sr-Latn-CS"/>
        </w:rPr>
        <w:t xml:space="preserve"> </w:t>
      </w:r>
      <w:r w:rsidRPr="00F37492">
        <w:rPr>
          <w:i/>
          <w:sz w:val="22"/>
          <w:szCs w:val="22"/>
          <w:u w:val="single"/>
          <w:shd w:val="clear" w:color="auto" w:fill="FFFFFF"/>
          <w:lang w:val="it-IT" w:eastAsia="sr-Latn-CS"/>
        </w:rPr>
        <w:t>se</w:t>
      </w:r>
      <w:r w:rsidRPr="00F37492">
        <w:rPr>
          <w:i/>
          <w:sz w:val="22"/>
          <w:szCs w:val="22"/>
          <w:u w:val="single"/>
          <w:shd w:val="clear" w:color="auto" w:fill="FFFFFF"/>
          <w:lang w:val="ru-RU" w:eastAsia="sr-Latn-CS"/>
        </w:rPr>
        <w:t xml:space="preserve"> </w:t>
      </w:r>
      <w:r w:rsidRPr="00F37492">
        <w:rPr>
          <w:i/>
          <w:sz w:val="22"/>
          <w:szCs w:val="22"/>
          <w:u w:val="single"/>
          <w:shd w:val="clear" w:color="auto" w:fill="FFFFFF"/>
          <w:lang w:val="it-IT" w:eastAsia="sr-Latn-CS"/>
        </w:rPr>
        <w:t>transportuju</w:t>
      </w:r>
      <w:r w:rsidRPr="00F37492">
        <w:rPr>
          <w:i/>
          <w:sz w:val="22"/>
          <w:szCs w:val="22"/>
          <w:u w:val="single"/>
          <w:shd w:val="clear" w:color="auto" w:fill="FFFFFF"/>
          <w:lang w:val="ru-RU" w:eastAsia="sr-Latn-CS"/>
        </w:rPr>
        <w:t xml:space="preserve"> </w:t>
      </w:r>
      <w:r w:rsidRPr="00F37492">
        <w:rPr>
          <w:i/>
          <w:sz w:val="22"/>
          <w:szCs w:val="22"/>
          <w:u w:val="single"/>
          <w:shd w:val="clear" w:color="auto" w:fill="FFFFFF"/>
          <w:lang w:val="it-IT" w:eastAsia="sr-Latn-CS"/>
        </w:rPr>
        <w:t>pomo</w:t>
      </w:r>
      <w:r w:rsidRPr="00F37492">
        <w:rPr>
          <w:i/>
          <w:sz w:val="22"/>
          <w:szCs w:val="22"/>
          <w:u w:val="single"/>
          <w:shd w:val="clear" w:color="auto" w:fill="FFFFFF"/>
          <w:lang w:val="ru-RU" w:eastAsia="sr-Latn-CS"/>
        </w:rPr>
        <w:t>ć</w:t>
      </w:r>
      <w:r w:rsidRPr="00F37492">
        <w:rPr>
          <w:i/>
          <w:sz w:val="22"/>
          <w:szCs w:val="22"/>
          <w:u w:val="single"/>
          <w:shd w:val="clear" w:color="auto" w:fill="FFFFFF"/>
          <w:lang w:val="it-IT" w:eastAsia="sr-Latn-CS"/>
        </w:rPr>
        <w:t>u</w:t>
      </w:r>
      <w:r w:rsidRPr="00F37492">
        <w:rPr>
          <w:i/>
          <w:sz w:val="22"/>
          <w:szCs w:val="22"/>
          <w:u w:val="single"/>
          <w:shd w:val="clear" w:color="auto" w:fill="FFFFFF"/>
          <w:lang w:val="ru-RU" w:eastAsia="sr-Latn-CS"/>
        </w:rPr>
        <w:t xml:space="preserve"> </w:t>
      </w:r>
      <w:r w:rsidRPr="00F37492">
        <w:rPr>
          <w:i/>
          <w:sz w:val="22"/>
          <w:szCs w:val="22"/>
          <w:u w:val="single"/>
          <w:shd w:val="clear" w:color="auto" w:fill="FFFFFF"/>
          <w:lang w:val="it-IT" w:eastAsia="sr-Latn-CS"/>
        </w:rPr>
        <w:t>P</w:t>
      </w:r>
      <w:r w:rsidRPr="00F37492">
        <w:rPr>
          <w:i/>
          <w:sz w:val="22"/>
          <w:szCs w:val="22"/>
          <w:u w:val="single"/>
          <w:shd w:val="clear" w:color="auto" w:fill="FFFFFF"/>
          <w:lang w:val="ru-RU" w:eastAsia="sr-Latn-CS"/>
        </w:rPr>
        <w:t>-</w:t>
      </w:r>
      <w:r w:rsidRPr="00F37492">
        <w:rPr>
          <w:i/>
          <w:sz w:val="22"/>
          <w:szCs w:val="22"/>
          <w:u w:val="single"/>
          <w:shd w:val="clear" w:color="auto" w:fill="FFFFFF"/>
          <w:lang w:val="it-IT" w:eastAsia="sr-Latn-CS"/>
        </w:rPr>
        <w:t>glikoproteina</w:t>
      </w:r>
      <w:r w:rsidRPr="00F37492">
        <w:rPr>
          <w:i/>
          <w:sz w:val="22"/>
          <w:szCs w:val="22"/>
          <w:u w:val="single"/>
          <w:shd w:val="clear" w:color="auto" w:fill="FFFFFF"/>
          <w:lang w:val="ru-RU" w:eastAsia="sr-Latn-CS"/>
        </w:rPr>
        <w:t xml:space="preserve"> </w:t>
      </w:r>
      <w:r w:rsidRPr="00F37492">
        <w:rPr>
          <w:i/>
          <w:sz w:val="22"/>
          <w:szCs w:val="22"/>
          <w:u w:val="single"/>
          <w:shd w:val="clear" w:color="auto" w:fill="FFFFFF"/>
          <w:lang w:val="it-IT" w:eastAsia="sr-Latn-CS"/>
        </w:rPr>
        <w:t>ili</w:t>
      </w:r>
      <w:r w:rsidRPr="00F37492">
        <w:rPr>
          <w:i/>
          <w:sz w:val="22"/>
          <w:szCs w:val="22"/>
          <w:u w:val="single"/>
          <w:shd w:val="clear" w:color="auto" w:fill="FFFFFF"/>
          <w:lang w:val="ru-RU" w:eastAsia="sr-Latn-CS"/>
        </w:rPr>
        <w:t xml:space="preserve"> </w:t>
      </w:r>
      <w:r w:rsidRPr="00F37492">
        <w:rPr>
          <w:i/>
          <w:sz w:val="22"/>
          <w:szCs w:val="22"/>
          <w:u w:val="single"/>
          <w:shd w:val="clear" w:color="auto" w:fill="FFFFFF"/>
          <w:lang w:val="it-IT" w:eastAsia="sr-Latn-CS"/>
        </w:rPr>
        <w:t>drugih</w:t>
      </w:r>
      <w:r w:rsidRPr="00F37492">
        <w:rPr>
          <w:i/>
          <w:sz w:val="22"/>
          <w:szCs w:val="22"/>
          <w:u w:val="single"/>
          <w:shd w:val="clear" w:color="auto" w:fill="FFFFFF"/>
          <w:lang w:val="ru-RU" w:eastAsia="sr-Latn-CS"/>
        </w:rPr>
        <w:t xml:space="preserve"> </w:t>
      </w:r>
      <w:r w:rsidRPr="00F37492">
        <w:rPr>
          <w:i/>
          <w:sz w:val="22"/>
          <w:szCs w:val="22"/>
          <w:u w:val="single"/>
          <w:shd w:val="clear" w:color="auto" w:fill="FFFFFF"/>
          <w:lang w:val="it-IT" w:eastAsia="sr-Latn-CS"/>
        </w:rPr>
        <w:t>transportera</w:t>
      </w:r>
    </w:p>
    <w:p w14:paraId="36E2EF4C" w14:textId="77777777" w:rsidR="00F37492" w:rsidRPr="00F37492" w:rsidRDefault="00F37492" w:rsidP="000A557B">
      <w:pPr>
        <w:jc w:val="both"/>
        <w:rPr>
          <w:rFonts w:cs="Arial Unicode MS"/>
          <w:sz w:val="22"/>
          <w:szCs w:val="22"/>
          <w:lang w:val="ru-RU" w:eastAsia="sr-Latn-ME"/>
        </w:rPr>
      </w:pPr>
      <w:r w:rsidRPr="00F37492">
        <w:rPr>
          <w:sz w:val="22"/>
          <w:szCs w:val="22"/>
          <w:lang w:val="it-IT" w:eastAsia="sr-Latn-CS"/>
        </w:rPr>
        <w:t>Ruksolitinib</w:t>
      </w:r>
      <w:r w:rsidRPr="00F37492">
        <w:rPr>
          <w:sz w:val="22"/>
          <w:szCs w:val="22"/>
          <w:lang w:val="ru-RU" w:eastAsia="sr-Latn-CS"/>
        </w:rPr>
        <w:t xml:space="preserve"> </w:t>
      </w:r>
      <w:r w:rsidRPr="00F37492">
        <w:rPr>
          <w:sz w:val="22"/>
          <w:szCs w:val="22"/>
          <w:lang w:val="it-IT" w:eastAsia="sr-Latn-CS"/>
        </w:rPr>
        <w:t>mo</w:t>
      </w:r>
      <w:r w:rsidRPr="00F37492">
        <w:rPr>
          <w:sz w:val="22"/>
          <w:szCs w:val="22"/>
          <w:lang w:val="ru-RU" w:eastAsia="sr-Latn-CS"/>
        </w:rPr>
        <w:t>ž</w:t>
      </w:r>
      <w:r w:rsidRPr="00F37492">
        <w:rPr>
          <w:sz w:val="22"/>
          <w:szCs w:val="22"/>
          <w:lang w:val="it-IT" w:eastAsia="sr-Latn-CS"/>
        </w:rPr>
        <w:t>e</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inhibira</w:t>
      </w:r>
      <w:r w:rsidRPr="00F37492">
        <w:rPr>
          <w:sz w:val="22"/>
          <w:szCs w:val="22"/>
          <w:lang w:val="ru-RU" w:eastAsia="sr-Latn-CS"/>
        </w:rPr>
        <w:t xml:space="preserve"> </w:t>
      </w:r>
      <w:r w:rsidRPr="00F37492">
        <w:rPr>
          <w:sz w:val="22"/>
          <w:szCs w:val="22"/>
          <w:lang w:val="it-IT" w:eastAsia="sr-Latn-CS"/>
        </w:rPr>
        <w:t>P</w:t>
      </w:r>
      <w:r w:rsidRPr="00F37492">
        <w:rPr>
          <w:sz w:val="22"/>
          <w:szCs w:val="22"/>
          <w:lang w:val="ru-RU" w:eastAsia="sr-Latn-CS"/>
        </w:rPr>
        <w:t>-</w:t>
      </w:r>
      <w:r w:rsidRPr="00F37492">
        <w:rPr>
          <w:sz w:val="22"/>
          <w:szCs w:val="22"/>
          <w:lang w:val="it-IT" w:eastAsia="sr-Latn-CS"/>
        </w:rPr>
        <w:t>glikoprotein</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protein</w:t>
      </w:r>
      <w:r w:rsidRPr="00F37492">
        <w:rPr>
          <w:sz w:val="22"/>
          <w:szCs w:val="22"/>
          <w:lang w:val="ru-RU" w:eastAsia="sr-Latn-CS"/>
        </w:rPr>
        <w:t xml:space="preserve"> </w:t>
      </w:r>
      <w:r w:rsidRPr="00F37492">
        <w:rPr>
          <w:sz w:val="22"/>
          <w:szCs w:val="22"/>
          <w:lang w:val="it-IT" w:eastAsia="sr-Latn-CS"/>
        </w:rPr>
        <w:t>rezistencije</w:t>
      </w:r>
      <w:r w:rsidRPr="00F37492">
        <w:rPr>
          <w:sz w:val="22"/>
          <w:szCs w:val="22"/>
          <w:lang w:val="ru-RU" w:eastAsia="sr-Latn-CS"/>
        </w:rPr>
        <w:t xml:space="preserve"> </w:t>
      </w:r>
      <w:r w:rsidRPr="00F37492">
        <w:rPr>
          <w:sz w:val="22"/>
          <w:szCs w:val="22"/>
          <w:lang w:val="it-IT" w:eastAsia="sr-Latn-CS"/>
        </w:rPr>
        <w:t>kancera</w:t>
      </w:r>
      <w:r w:rsidRPr="00F37492">
        <w:rPr>
          <w:sz w:val="22"/>
          <w:szCs w:val="22"/>
          <w:lang w:val="ru-RU" w:eastAsia="sr-Latn-CS"/>
        </w:rPr>
        <w:t xml:space="preserve"> </w:t>
      </w:r>
      <w:r w:rsidRPr="00F37492">
        <w:rPr>
          <w:sz w:val="22"/>
          <w:szCs w:val="22"/>
          <w:lang w:val="it-IT" w:eastAsia="sr-Latn-CS"/>
        </w:rPr>
        <w:t>dojke</w:t>
      </w:r>
      <w:r w:rsidRPr="00F37492">
        <w:rPr>
          <w:sz w:val="22"/>
          <w:szCs w:val="22"/>
          <w:lang w:val="ru-RU" w:eastAsia="sr-Latn-CS"/>
        </w:rPr>
        <w:t xml:space="preserve"> (</w:t>
      </w:r>
      <w:r w:rsidRPr="00F37492">
        <w:rPr>
          <w:sz w:val="22"/>
          <w:szCs w:val="22"/>
          <w:lang w:val="it-IT" w:eastAsia="sr-Latn-CS"/>
        </w:rPr>
        <w:t xml:space="preserve">engl. </w:t>
      </w:r>
      <w:r w:rsidRPr="00F37492">
        <w:rPr>
          <w:i/>
          <w:sz w:val="22"/>
          <w:szCs w:val="22"/>
          <w:lang w:val="sr-Latn-ME" w:eastAsia="sr-Latn-ME"/>
        </w:rPr>
        <w:t>breast cancer resistance protein</w:t>
      </w:r>
      <w:r w:rsidRPr="00F37492">
        <w:rPr>
          <w:sz w:val="22"/>
          <w:szCs w:val="22"/>
          <w:lang w:val="sr-Latn-ME" w:eastAsia="sr-Latn-ME"/>
        </w:rPr>
        <w:t xml:space="preserve">, </w:t>
      </w:r>
      <w:r w:rsidRPr="00F37492">
        <w:rPr>
          <w:sz w:val="22"/>
          <w:szCs w:val="22"/>
          <w:lang w:val="it-IT" w:eastAsia="sr-Latn-CS"/>
        </w:rPr>
        <w:t>BCRP</w:t>
      </w:r>
      <w:r w:rsidRPr="00F37492">
        <w:rPr>
          <w:sz w:val="22"/>
          <w:szCs w:val="22"/>
          <w:lang w:val="ru-RU" w:eastAsia="sr-Latn-CS"/>
        </w:rPr>
        <w:t xml:space="preserve">) </w:t>
      </w:r>
      <w:r w:rsidRPr="00F37492">
        <w:rPr>
          <w:sz w:val="22"/>
          <w:szCs w:val="22"/>
          <w:lang w:val="it-IT" w:eastAsia="sr-Latn-CS"/>
        </w:rPr>
        <w:t>u</w:t>
      </w:r>
      <w:r w:rsidRPr="00F37492">
        <w:rPr>
          <w:sz w:val="22"/>
          <w:szCs w:val="22"/>
          <w:lang w:val="ru-RU" w:eastAsia="sr-Latn-CS"/>
        </w:rPr>
        <w:t xml:space="preserve"> </w:t>
      </w:r>
      <w:r w:rsidRPr="00F37492">
        <w:rPr>
          <w:sz w:val="22"/>
          <w:szCs w:val="22"/>
          <w:lang w:val="it-IT" w:eastAsia="sr-Latn-CS"/>
        </w:rPr>
        <w:t>crijevima</w:t>
      </w:r>
      <w:r w:rsidRPr="00F37492">
        <w:rPr>
          <w:sz w:val="22"/>
          <w:szCs w:val="22"/>
          <w:lang w:val="ru-RU" w:eastAsia="sr-Latn-CS"/>
        </w:rPr>
        <w:t xml:space="preserve">. </w:t>
      </w:r>
      <w:r w:rsidRPr="00F37492">
        <w:rPr>
          <w:sz w:val="22"/>
          <w:szCs w:val="22"/>
          <w:lang w:val="it-IT" w:eastAsia="sr-Latn-CS"/>
        </w:rPr>
        <w:t>Ovo</w:t>
      </w:r>
      <w:r w:rsidRPr="00F37492">
        <w:rPr>
          <w:sz w:val="22"/>
          <w:szCs w:val="22"/>
          <w:lang w:val="ru-RU" w:eastAsia="sr-Latn-CS"/>
        </w:rPr>
        <w:t xml:space="preserve"> </w:t>
      </w:r>
      <w:r w:rsidRPr="00F37492">
        <w:rPr>
          <w:sz w:val="22"/>
          <w:szCs w:val="22"/>
          <w:lang w:val="it-IT" w:eastAsia="sr-Latn-CS"/>
        </w:rPr>
        <w:t>mo</w:t>
      </w:r>
      <w:r w:rsidRPr="00F37492">
        <w:rPr>
          <w:sz w:val="22"/>
          <w:szCs w:val="22"/>
          <w:lang w:val="ru-RU" w:eastAsia="sr-Latn-CS"/>
        </w:rPr>
        <w:t>ž</w:t>
      </w:r>
      <w:r w:rsidRPr="00F37492">
        <w:rPr>
          <w:sz w:val="22"/>
          <w:szCs w:val="22"/>
          <w:lang w:val="it-IT" w:eastAsia="sr-Latn-CS"/>
        </w:rPr>
        <w:t>e</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dovede</w:t>
      </w:r>
      <w:r w:rsidRPr="00F37492">
        <w:rPr>
          <w:sz w:val="22"/>
          <w:szCs w:val="22"/>
          <w:lang w:val="ru-RU" w:eastAsia="sr-Latn-CS"/>
        </w:rPr>
        <w:t xml:space="preserve"> </w:t>
      </w:r>
      <w:r w:rsidRPr="00F37492">
        <w:rPr>
          <w:sz w:val="22"/>
          <w:szCs w:val="22"/>
          <w:lang w:val="it-IT" w:eastAsia="sr-Latn-CS"/>
        </w:rPr>
        <w:t>do</w:t>
      </w:r>
      <w:r w:rsidRPr="00F37492">
        <w:rPr>
          <w:sz w:val="22"/>
          <w:szCs w:val="22"/>
          <w:lang w:val="ru-RU" w:eastAsia="sr-Latn-CS"/>
        </w:rPr>
        <w:t xml:space="preserve"> </w:t>
      </w:r>
      <w:r w:rsidRPr="00F37492">
        <w:rPr>
          <w:sz w:val="22"/>
          <w:szCs w:val="22"/>
          <w:lang w:val="it-IT" w:eastAsia="sr-Latn-CS"/>
        </w:rPr>
        <w:t>pove</w:t>
      </w:r>
      <w:r w:rsidRPr="00F37492">
        <w:rPr>
          <w:sz w:val="22"/>
          <w:szCs w:val="22"/>
          <w:lang w:val="ru-RU" w:eastAsia="sr-Latn-CS"/>
        </w:rPr>
        <w:t>ć</w:t>
      </w:r>
      <w:r w:rsidRPr="00F37492">
        <w:rPr>
          <w:sz w:val="22"/>
          <w:szCs w:val="22"/>
          <w:lang w:val="it-IT" w:eastAsia="sr-Latn-CS"/>
        </w:rPr>
        <w:t>ane</w:t>
      </w:r>
      <w:r w:rsidRPr="00F37492">
        <w:rPr>
          <w:sz w:val="22"/>
          <w:szCs w:val="22"/>
          <w:lang w:val="ru-RU" w:eastAsia="sr-Latn-CS"/>
        </w:rPr>
        <w:t xml:space="preserve"> </w:t>
      </w:r>
      <w:r w:rsidRPr="00F37492">
        <w:rPr>
          <w:sz w:val="22"/>
          <w:szCs w:val="22"/>
          <w:lang w:val="it-IT" w:eastAsia="sr-Latn-CS"/>
        </w:rPr>
        <w:t>sistemske</w:t>
      </w:r>
      <w:r w:rsidRPr="00F37492">
        <w:rPr>
          <w:sz w:val="22"/>
          <w:szCs w:val="22"/>
          <w:lang w:val="ru-RU" w:eastAsia="sr-Latn-CS"/>
        </w:rPr>
        <w:t xml:space="preserve"> </w:t>
      </w:r>
      <w:r w:rsidRPr="00F37492">
        <w:rPr>
          <w:sz w:val="22"/>
          <w:szCs w:val="22"/>
          <w:lang w:val="it-IT" w:eastAsia="sr-Latn-CS"/>
        </w:rPr>
        <w:t>izlo</w:t>
      </w:r>
      <w:r w:rsidRPr="00F37492">
        <w:rPr>
          <w:sz w:val="22"/>
          <w:szCs w:val="22"/>
          <w:lang w:val="ru-RU" w:eastAsia="sr-Latn-CS"/>
        </w:rPr>
        <w:t>ž</w:t>
      </w:r>
      <w:r w:rsidRPr="00F37492">
        <w:rPr>
          <w:sz w:val="22"/>
          <w:szCs w:val="22"/>
          <w:lang w:val="it-IT" w:eastAsia="sr-Latn-CS"/>
        </w:rPr>
        <w:t>enosti</w:t>
      </w:r>
      <w:r w:rsidRPr="00F37492">
        <w:rPr>
          <w:sz w:val="22"/>
          <w:szCs w:val="22"/>
          <w:lang w:val="ru-RU" w:eastAsia="sr-Latn-CS"/>
        </w:rPr>
        <w:t xml:space="preserve"> </w:t>
      </w:r>
      <w:r w:rsidRPr="00F37492">
        <w:rPr>
          <w:sz w:val="22"/>
          <w:szCs w:val="22"/>
          <w:lang w:val="it-IT" w:eastAsia="sr-Latn-CS"/>
        </w:rPr>
        <w:t>supstratima</w:t>
      </w:r>
      <w:r w:rsidRPr="00F37492">
        <w:rPr>
          <w:sz w:val="22"/>
          <w:szCs w:val="22"/>
          <w:lang w:val="ru-RU" w:eastAsia="sr-Latn-CS"/>
        </w:rPr>
        <w:t xml:space="preserve"> </w:t>
      </w:r>
      <w:r w:rsidRPr="00F37492">
        <w:rPr>
          <w:sz w:val="22"/>
          <w:szCs w:val="22"/>
          <w:lang w:val="it-IT" w:eastAsia="sr-Latn-CS"/>
        </w:rPr>
        <w:t>ovih</w:t>
      </w:r>
      <w:r w:rsidRPr="00F37492">
        <w:rPr>
          <w:sz w:val="22"/>
          <w:szCs w:val="22"/>
          <w:lang w:val="ru-RU" w:eastAsia="sr-Latn-CS"/>
        </w:rPr>
        <w:t xml:space="preserve"> </w:t>
      </w:r>
      <w:r w:rsidRPr="00F37492">
        <w:rPr>
          <w:sz w:val="22"/>
          <w:szCs w:val="22"/>
          <w:lang w:val="it-IT" w:eastAsia="sr-Latn-CS"/>
        </w:rPr>
        <w:t>transportera</w:t>
      </w:r>
      <w:r w:rsidRPr="00F37492">
        <w:rPr>
          <w:sz w:val="22"/>
          <w:szCs w:val="22"/>
          <w:lang w:val="ru-RU" w:eastAsia="sr-Latn-CS"/>
        </w:rPr>
        <w:t xml:space="preserve">, </w:t>
      </w:r>
      <w:r w:rsidRPr="00F37492">
        <w:rPr>
          <w:sz w:val="22"/>
          <w:szCs w:val="22"/>
          <w:lang w:val="it-IT" w:eastAsia="sr-Latn-CS"/>
        </w:rPr>
        <w:t>kao</w:t>
      </w:r>
      <w:r w:rsidRPr="00F37492">
        <w:rPr>
          <w:sz w:val="22"/>
          <w:szCs w:val="22"/>
          <w:lang w:val="ru-RU" w:eastAsia="sr-Latn-CS"/>
        </w:rPr>
        <w:t xml:space="preserve"> š</w:t>
      </w:r>
      <w:r w:rsidRPr="00F37492">
        <w:rPr>
          <w:sz w:val="22"/>
          <w:szCs w:val="22"/>
          <w:lang w:val="it-IT" w:eastAsia="sr-Latn-CS"/>
        </w:rPr>
        <w:t>to</w:t>
      </w:r>
      <w:r w:rsidRPr="00F37492">
        <w:rPr>
          <w:sz w:val="22"/>
          <w:szCs w:val="22"/>
          <w:lang w:val="ru-RU" w:eastAsia="sr-Latn-CS"/>
        </w:rPr>
        <w:t xml:space="preserve"> </w:t>
      </w:r>
      <w:r w:rsidRPr="00F37492">
        <w:rPr>
          <w:sz w:val="22"/>
          <w:szCs w:val="22"/>
          <w:lang w:val="it-IT" w:eastAsia="sr-Latn-CS"/>
        </w:rPr>
        <w:t>su</w:t>
      </w:r>
      <w:r w:rsidRPr="00F37492">
        <w:rPr>
          <w:sz w:val="22"/>
          <w:szCs w:val="22"/>
          <w:lang w:val="ru-RU" w:eastAsia="sr-Latn-CS"/>
        </w:rPr>
        <w:t xml:space="preserve"> </w:t>
      </w:r>
      <w:r w:rsidRPr="00F37492">
        <w:rPr>
          <w:sz w:val="22"/>
          <w:szCs w:val="22"/>
          <w:lang w:val="it-IT" w:eastAsia="sr-Latn-CS"/>
        </w:rPr>
        <w:t>dabigatran</w:t>
      </w:r>
      <w:r w:rsidRPr="00F37492">
        <w:rPr>
          <w:sz w:val="22"/>
          <w:szCs w:val="22"/>
          <w:lang w:val="ru-RU" w:eastAsia="sr-Latn-CS"/>
        </w:rPr>
        <w:t xml:space="preserve"> </w:t>
      </w:r>
      <w:r w:rsidRPr="00F37492">
        <w:rPr>
          <w:sz w:val="22"/>
          <w:szCs w:val="22"/>
          <w:lang w:val="it-IT" w:eastAsia="sr-Latn-CS"/>
        </w:rPr>
        <w:t>eteksilat</w:t>
      </w:r>
      <w:r w:rsidRPr="00F37492">
        <w:rPr>
          <w:sz w:val="22"/>
          <w:szCs w:val="22"/>
          <w:lang w:val="ru-RU" w:eastAsia="sr-Latn-CS"/>
        </w:rPr>
        <w:t xml:space="preserve">, </w:t>
      </w:r>
      <w:r w:rsidRPr="00F37492">
        <w:rPr>
          <w:sz w:val="22"/>
          <w:szCs w:val="22"/>
          <w:lang w:val="it-IT" w:eastAsia="sr-Latn-CS"/>
        </w:rPr>
        <w:t>ciklosporin</w:t>
      </w:r>
      <w:r w:rsidRPr="00F37492">
        <w:rPr>
          <w:sz w:val="22"/>
          <w:szCs w:val="22"/>
          <w:lang w:val="ru-RU" w:eastAsia="sr-Latn-CS"/>
        </w:rPr>
        <w:t xml:space="preserve">, </w:t>
      </w:r>
      <w:r w:rsidRPr="00F37492">
        <w:rPr>
          <w:sz w:val="22"/>
          <w:szCs w:val="22"/>
          <w:lang w:val="it-IT" w:eastAsia="sr-Latn-CS"/>
        </w:rPr>
        <w:t>rosuvastatin</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potencijalno</w:t>
      </w:r>
      <w:r w:rsidRPr="00F37492">
        <w:rPr>
          <w:sz w:val="22"/>
          <w:szCs w:val="22"/>
          <w:lang w:val="ru-RU" w:eastAsia="sr-Latn-CS"/>
        </w:rPr>
        <w:t xml:space="preserve"> </w:t>
      </w:r>
      <w:r w:rsidRPr="00F37492">
        <w:rPr>
          <w:sz w:val="22"/>
          <w:szCs w:val="22"/>
          <w:lang w:val="it-IT" w:eastAsia="sr-Latn-CS"/>
        </w:rPr>
        <w:t>digoksin</w:t>
      </w:r>
      <w:r w:rsidRPr="00F37492">
        <w:rPr>
          <w:sz w:val="22"/>
          <w:szCs w:val="22"/>
          <w:lang w:val="ru-RU" w:eastAsia="sr-Latn-CS"/>
        </w:rPr>
        <w:t xml:space="preserve">. </w:t>
      </w:r>
      <w:r w:rsidRPr="00F37492">
        <w:rPr>
          <w:sz w:val="22"/>
          <w:szCs w:val="22"/>
          <w:lang w:val="it-IT" w:eastAsia="sr-Latn-CS"/>
        </w:rPr>
        <w:t>Savjetuje</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terapijsko</w:t>
      </w:r>
      <w:r w:rsidRPr="00F37492">
        <w:rPr>
          <w:sz w:val="22"/>
          <w:szCs w:val="22"/>
          <w:lang w:val="ru-RU" w:eastAsia="sr-Latn-CS"/>
        </w:rPr>
        <w:t xml:space="preserve"> </w:t>
      </w:r>
      <w:r w:rsidRPr="00F37492">
        <w:rPr>
          <w:sz w:val="22"/>
          <w:szCs w:val="22"/>
          <w:lang w:val="it-IT" w:eastAsia="sr-Latn-CS"/>
        </w:rPr>
        <w:t>pra</w:t>
      </w:r>
      <w:r w:rsidRPr="00F37492">
        <w:rPr>
          <w:sz w:val="22"/>
          <w:szCs w:val="22"/>
          <w:lang w:val="ru-RU" w:eastAsia="sr-Latn-CS"/>
        </w:rPr>
        <w:t>ć</w:t>
      </w:r>
      <w:r w:rsidRPr="00F37492">
        <w:rPr>
          <w:sz w:val="22"/>
          <w:szCs w:val="22"/>
          <w:lang w:val="it-IT" w:eastAsia="sr-Latn-CS"/>
        </w:rPr>
        <w:t>enje</w:t>
      </w:r>
      <w:r w:rsidRPr="00F37492">
        <w:rPr>
          <w:sz w:val="22"/>
          <w:szCs w:val="22"/>
          <w:lang w:val="ru-RU" w:eastAsia="sr-Latn-CS"/>
        </w:rPr>
        <w:t xml:space="preserve"> </w:t>
      </w:r>
      <w:r w:rsidRPr="00F37492">
        <w:rPr>
          <w:sz w:val="22"/>
          <w:szCs w:val="22"/>
          <w:lang w:val="it-IT" w:eastAsia="sr-Latn-CS"/>
        </w:rPr>
        <w:t>lijeka</w:t>
      </w:r>
      <w:r w:rsidRPr="00F37492">
        <w:rPr>
          <w:sz w:val="22"/>
          <w:szCs w:val="22"/>
          <w:lang w:val="ru-RU" w:eastAsia="sr-Latn-CS"/>
        </w:rPr>
        <w:t xml:space="preserve"> (</w:t>
      </w:r>
      <w:r w:rsidRPr="00F37492">
        <w:rPr>
          <w:sz w:val="22"/>
          <w:szCs w:val="22"/>
          <w:lang w:val="it-IT" w:eastAsia="sr-Latn-CS"/>
        </w:rPr>
        <w:t>TDM</w:t>
      </w:r>
      <w:r w:rsidRPr="00F37492">
        <w:rPr>
          <w:sz w:val="22"/>
          <w:szCs w:val="22"/>
          <w:lang w:val="ru-RU" w:eastAsia="sr-Latn-CS"/>
        </w:rPr>
        <w:t xml:space="preserve">) </w:t>
      </w:r>
      <w:r w:rsidRPr="00F37492">
        <w:rPr>
          <w:sz w:val="22"/>
          <w:szCs w:val="22"/>
          <w:lang w:val="it-IT" w:eastAsia="sr-Latn-CS"/>
        </w:rPr>
        <w:t>ili</w:t>
      </w:r>
      <w:r w:rsidRPr="00F37492">
        <w:rPr>
          <w:sz w:val="22"/>
          <w:szCs w:val="22"/>
          <w:lang w:val="ru-RU" w:eastAsia="sr-Latn-CS"/>
        </w:rPr>
        <w:t xml:space="preserve"> </w:t>
      </w:r>
      <w:r w:rsidRPr="00F37492">
        <w:rPr>
          <w:sz w:val="22"/>
          <w:szCs w:val="22"/>
          <w:lang w:val="it-IT" w:eastAsia="sr-Latn-CS"/>
        </w:rPr>
        <w:t>klini</w:t>
      </w:r>
      <w:r w:rsidRPr="00F37492">
        <w:rPr>
          <w:sz w:val="22"/>
          <w:szCs w:val="22"/>
          <w:lang w:val="ru-RU" w:eastAsia="sr-Latn-CS"/>
        </w:rPr>
        <w:t>č</w:t>
      </w:r>
      <w:r w:rsidRPr="00F37492">
        <w:rPr>
          <w:sz w:val="22"/>
          <w:szCs w:val="22"/>
          <w:lang w:val="it-IT" w:eastAsia="sr-Latn-CS"/>
        </w:rPr>
        <w:t>ko</w:t>
      </w:r>
      <w:r w:rsidRPr="00F37492">
        <w:rPr>
          <w:sz w:val="22"/>
          <w:szCs w:val="22"/>
          <w:lang w:val="ru-RU" w:eastAsia="sr-Latn-CS"/>
        </w:rPr>
        <w:t xml:space="preserve"> </w:t>
      </w:r>
      <w:r w:rsidRPr="00F37492">
        <w:rPr>
          <w:sz w:val="22"/>
          <w:szCs w:val="22"/>
          <w:lang w:val="it-IT" w:eastAsia="sr-Latn-CS"/>
        </w:rPr>
        <w:t>pra</w:t>
      </w:r>
      <w:r w:rsidRPr="00F37492">
        <w:rPr>
          <w:sz w:val="22"/>
          <w:szCs w:val="22"/>
          <w:lang w:val="ru-RU" w:eastAsia="sr-Latn-CS"/>
        </w:rPr>
        <w:t>ć</w:t>
      </w:r>
      <w:r w:rsidRPr="00F37492">
        <w:rPr>
          <w:sz w:val="22"/>
          <w:szCs w:val="22"/>
          <w:lang w:val="it-IT" w:eastAsia="sr-Latn-CS"/>
        </w:rPr>
        <w:t>enje</w:t>
      </w:r>
      <w:r w:rsidRPr="00F37492">
        <w:rPr>
          <w:sz w:val="22"/>
          <w:szCs w:val="22"/>
          <w:lang w:val="ru-RU" w:eastAsia="sr-Latn-CS"/>
        </w:rPr>
        <w:t xml:space="preserve"> </w:t>
      </w:r>
      <w:r w:rsidRPr="00F37492">
        <w:rPr>
          <w:sz w:val="22"/>
          <w:szCs w:val="22"/>
          <w:lang w:val="it-IT" w:eastAsia="sr-Latn-CS"/>
        </w:rPr>
        <w:t>primijenjene</w:t>
      </w:r>
      <w:r w:rsidRPr="00F37492">
        <w:rPr>
          <w:sz w:val="22"/>
          <w:szCs w:val="22"/>
          <w:lang w:val="ru-RU" w:eastAsia="sr-Latn-CS"/>
        </w:rPr>
        <w:t xml:space="preserve"> </w:t>
      </w:r>
      <w:r w:rsidRPr="00F37492">
        <w:rPr>
          <w:sz w:val="22"/>
          <w:szCs w:val="22"/>
          <w:lang w:val="it-IT" w:eastAsia="sr-Latn-CS"/>
        </w:rPr>
        <w:t>supstance</w:t>
      </w:r>
      <w:r w:rsidRPr="00F37492">
        <w:rPr>
          <w:sz w:val="22"/>
          <w:szCs w:val="22"/>
          <w:lang w:val="ru-RU" w:eastAsia="sr-Latn-CS"/>
        </w:rPr>
        <w:t>.</w:t>
      </w:r>
    </w:p>
    <w:p w14:paraId="3B030E80" w14:textId="77777777" w:rsidR="00F37492" w:rsidRPr="00F37492" w:rsidRDefault="00F37492" w:rsidP="000A557B">
      <w:pPr>
        <w:jc w:val="both"/>
        <w:rPr>
          <w:sz w:val="22"/>
          <w:szCs w:val="22"/>
          <w:lang w:val="ru-RU" w:eastAsia="sr-Latn-CS"/>
        </w:rPr>
      </w:pPr>
    </w:p>
    <w:p w14:paraId="7F5020CF" w14:textId="77777777" w:rsidR="00F37492" w:rsidRPr="00F37492" w:rsidRDefault="00F37492" w:rsidP="000A557B">
      <w:pPr>
        <w:jc w:val="both"/>
        <w:rPr>
          <w:sz w:val="22"/>
          <w:szCs w:val="22"/>
          <w:lang w:val="ru-RU" w:eastAsia="sr-Latn-CS"/>
        </w:rPr>
      </w:pPr>
      <w:r w:rsidRPr="00F37492">
        <w:rPr>
          <w:sz w:val="22"/>
          <w:szCs w:val="22"/>
          <w:lang w:val="it-IT" w:eastAsia="sr-Latn-CS"/>
        </w:rPr>
        <w:t>Mogu</w:t>
      </w:r>
      <w:r w:rsidRPr="00F37492">
        <w:rPr>
          <w:sz w:val="22"/>
          <w:szCs w:val="22"/>
          <w:lang w:val="ru-RU" w:eastAsia="sr-Latn-CS"/>
        </w:rPr>
        <w:t>ć</w:t>
      </w:r>
      <w:r w:rsidRPr="00F37492">
        <w:rPr>
          <w:sz w:val="22"/>
          <w:szCs w:val="22"/>
          <w:lang w:val="it-IT" w:eastAsia="sr-Latn-CS"/>
        </w:rPr>
        <w:t>e</w:t>
      </w:r>
      <w:r w:rsidRPr="00F37492">
        <w:rPr>
          <w:sz w:val="22"/>
          <w:szCs w:val="22"/>
          <w:lang w:val="ru-RU" w:eastAsia="sr-Latn-CS"/>
        </w:rPr>
        <w:t xml:space="preserve"> </w:t>
      </w:r>
      <w:r w:rsidRPr="00F37492">
        <w:rPr>
          <w:sz w:val="22"/>
          <w:szCs w:val="22"/>
          <w:lang w:val="it-IT" w:eastAsia="sr-Latn-CS"/>
        </w:rPr>
        <w:t>je</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da</w:t>
      </w:r>
      <w:r w:rsidRPr="00F37492">
        <w:rPr>
          <w:sz w:val="22"/>
          <w:szCs w:val="22"/>
          <w:lang w:val="ru-RU" w:eastAsia="sr-Latn-CS"/>
        </w:rPr>
        <w:t xml:space="preserve"> </w:t>
      </w:r>
      <w:r w:rsidRPr="00F37492">
        <w:rPr>
          <w:sz w:val="22"/>
          <w:szCs w:val="22"/>
          <w:lang w:val="it-IT" w:eastAsia="sr-Latn-CS"/>
        </w:rPr>
        <w:t>potencijalna</w:t>
      </w:r>
      <w:r w:rsidRPr="00F37492">
        <w:rPr>
          <w:sz w:val="22"/>
          <w:szCs w:val="22"/>
          <w:lang w:val="ru-RU" w:eastAsia="sr-Latn-CS"/>
        </w:rPr>
        <w:t xml:space="preserve"> </w:t>
      </w:r>
      <w:r w:rsidRPr="00F37492">
        <w:rPr>
          <w:sz w:val="22"/>
          <w:szCs w:val="22"/>
          <w:lang w:val="it-IT" w:eastAsia="sr-Latn-CS"/>
        </w:rPr>
        <w:t>inhibicija</w:t>
      </w:r>
      <w:r w:rsidRPr="00F37492">
        <w:rPr>
          <w:sz w:val="22"/>
          <w:szCs w:val="22"/>
          <w:lang w:val="ru-RU" w:eastAsia="sr-Latn-CS"/>
        </w:rPr>
        <w:t xml:space="preserve"> </w:t>
      </w:r>
      <w:r w:rsidRPr="00F37492">
        <w:rPr>
          <w:sz w:val="22"/>
          <w:szCs w:val="22"/>
          <w:lang w:val="it-IT" w:eastAsia="sr-Latn-CS"/>
        </w:rPr>
        <w:t>P</w:t>
      </w:r>
      <w:r w:rsidRPr="00F37492">
        <w:rPr>
          <w:sz w:val="22"/>
          <w:szCs w:val="22"/>
          <w:lang w:val="ru-RU" w:eastAsia="sr-Latn-CS"/>
        </w:rPr>
        <w:t>-</w:t>
      </w:r>
      <w:r w:rsidRPr="00F37492">
        <w:rPr>
          <w:sz w:val="22"/>
          <w:szCs w:val="22"/>
          <w:lang w:val="it-IT" w:eastAsia="sr-Latn-CS"/>
        </w:rPr>
        <w:t>gp</w:t>
      </w:r>
      <w:r w:rsidRPr="00F37492">
        <w:rPr>
          <w:sz w:val="22"/>
          <w:szCs w:val="22"/>
          <w:lang w:val="ru-RU" w:eastAsia="sr-Latn-CS"/>
        </w:rPr>
        <w:t xml:space="preserve"> </w:t>
      </w:r>
      <w:r w:rsidRPr="00F37492">
        <w:rPr>
          <w:sz w:val="22"/>
          <w:szCs w:val="22"/>
          <w:lang w:val="it-IT" w:eastAsia="sr-Latn-CS"/>
        </w:rPr>
        <w:t>i</w:t>
      </w:r>
      <w:r w:rsidRPr="00F37492">
        <w:rPr>
          <w:sz w:val="22"/>
          <w:szCs w:val="22"/>
          <w:lang w:val="ru-RU" w:eastAsia="sr-Latn-CS"/>
        </w:rPr>
        <w:t xml:space="preserve"> </w:t>
      </w:r>
      <w:r w:rsidRPr="00F37492">
        <w:rPr>
          <w:sz w:val="22"/>
          <w:szCs w:val="22"/>
          <w:lang w:val="it-IT" w:eastAsia="sr-Latn-CS"/>
        </w:rPr>
        <w:t>BCRP</w:t>
      </w:r>
      <w:r w:rsidRPr="00F37492">
        <w:rPr>
          <w:sz w:val="22"/>
          <w:szCs w:val="22"/>
          <w:lang w:val="ru-RU" w:eastAsia="sr-Latn-CS"/>
        </w:rPr>
        <w:t xml:space="preserve"> </w:t>
      </w:r>
      <w:r w:rsidRPr="00F37492">
        <w:rPr>
          <w:sz w:val="22"/>
          <w:szCs w:val="22"/>
          <w:lang w:val="it-IT" w:eastAsia="sr-Latn-CS"/>
        </w:rPr>
        <w:t>u</w:t>
      </w:r>
      <w:r w:rsidRPr="00F37492">
        <w:rPr>
          <w:sz w:val="22"/>
          <w:szCs w:val="22"/>
          <w:lang w:val="ru-RU" w:eastAsia="sr-Latn-CS"/>
        </w:rPr>
        <w:t xml:space="preserve"> </w:t>
      </w:r>
      <w:r w:rsidRPr="00F37492">
        <w:rPr>
          <w:sz w:val="22"/>
          <w:szCs w:val="22"/>
          <w:lang w:val="it-IT" w:eastAsia="sr-Latn-CS"/>
        </w:rPr>
        <w:t>crijevima</w:t>
      </w:r>
      <w:r w:rsidRPr="00F37492">
        <w:rPr>
          <w:sz w:val="22"/>
          <w:szCs w:val="22"/>
          <w:lang w:val="ru-RU" w:eastAsia="sr-Latn-CS"/>
        </w:rPr>
        <w:t xml:space="preserve"> </w:t>
      </w:r>
      <w:r w:rsidRPr="00F37492">
        <w:rPr>
          <w:sz w:val="22"/>
          <w:szCs w:val="22"/>
          <w:lang w:val="it-IT" w:eastAsia="sr-Latn-CS"/>
        </w:rPr>
        <w:t>mo</w:t>
      </w:r>
      <w:r w:rsidRPr="00F37492">
        <w:rPr>
          <w:sz w:val="22"/>
          <w:szCs w:val="22"/>
          <w:lang w:val="ru-RU" w:eastAsia="sr-Latn-CS"/>
        </w:rPr>
        <w:t>ž</w:t>
      </w:r>
      <w:r w:rsidRPr="00F37492">
        <w:rPr>
          <w:sz w:val="22"/>
          <w:szCs w:val="22"/>
          <w:lang w:val="it-IT" w:eastAsia="sr-Latn-CS"/>
        </w:rPr>
        <w:t>e</w:t>
      </w:r>
      <w:r w:rsidRPr="00F37492">
        <w:rPr>
          <w:sz w:val="22"/>
          <w:szCs w:val="22"/>
          <w:lang w:val="ru-RU" w:eastAsia="sr-Latn-CS"/>
        </w:rPr>
        <w:t xml:space="preserve"> </w:t>
      </w:r>
      <w:r w:rsidRPr="00F37492">
        <w:rPr>
          <w:sz w:val="22"/>
          <w:szCs w:val="22"/>
          <w:lang w:val="it-IT" w:eastAsia="sr-Latn-CS"/>
        </w:rPr>
        <w:t>biti</w:t>
      </w:r>
      <w:r w:rsidRPr="00F37492">
        <w:rPr>
          <w:sz w:val="22"/>
          <w:szCs w:val="22"/>
          <w:lang w:val="ru-RU" w:eastAsia="sr-Latn-CS"/>
        </w:rPr>
        <w:t xml:space="preserve"> </w:t>
      </w:r>
      <w:r w:rsidRPr="00F37492">
        <w:rPr>
          <w:sz w:val="22"/>
          <w:szCs w:val="22"/>
          <w:lang w:val="it-IT" w:eastAsia="sr-Latn-CS"/>
        </w:rPr>
        <w:t>minimalna</w:t>
      </w:r>
      <w:r w:rsidRPr="00F37492">
        <w:rPr>
          <w:sz w:val="22"/>
          <w:szCs w:val="22"/>
          <w:lang w:val="ru-RU" w:eastAsia="sr-Latn-CS"/>
        </w:rPr>
        <w:t xml:space="preserve"> </w:t>
      </w:r>
      <w:r w:rsidRPr="00F37492">
        <w:rPr>
          <w:sz w:val="22"/>
          <w:szCs w:val="22"/>
          <w:lang w:val="it-IT" w:eastAsia="sr-Latn-CS"/>
        </w:rPr>
        <w:t>ako</w:t>
      </w:r>
      <w:r w:rsidRPr="00F37492">
        <w:rPr>
          <w:sz w:val="22"/>
          <w:szCs w:val="22"/>
          <w:lang w:val="ru-RU" w:eastAsia="sr-Latn-CS"/>
        </w:rPr>
        <w:t xml:space="preserve"> </w:t>
      </w:r>
      <w:r w:rsidRPr="00F37492">
        <w:rPr>
          <w:sz w:val="22"/>
          <w:szCs w:val="22"/>
          <w:lang w:val="it-IT" w:eastAsia="sr-Latn-CS"/>
        </w:rPr>
        <w:t>se</w:t>
      </w:r>
      <w:r w:rsidRPr="00F37492">
        <w:rPr>
          <w:sz w:val="22"/>
          <w:szCs w:val="22"/>
          <w:lang w:val="ru-RU" w:eastAsia="sr-Latn-CS"/>
        </w:rPr>
        <w:t xml:space="preserve"> </w:t>
      </w:r>
      <w:r w:rsidRPr="00F37492">
        <w:rPr>
          <w:sz w:val="22"/>
          <w:szCs w:val="22"/>
          <w:lang w:val="it-IT" w:eastAsia="sr-Latn-CS"/>
        </w:rPr>
        <w:t>vrijeme</w:t>
      </w:r>
      <w:r w:rsidRPr="00F37492">
        <w:rPr>
          <w:sz w:val="22"/>
          <w:szCs w:val="22"/>
          <w:lang w:val="ru-RU" w:eastAsia="sr-Latn-CS"/>
        </w:rPr>
        <w:t xml:space="preserve"> </w:t>
      </w:r>
      <w:r w:rsidRPr="00F37492">
        <w:rPr>
          <w:sz w:val="22"/>
          <w:szCs w:val="22"/>
          <w:lang w:val="it-IT" w:eastAsia="sr-Latn-CS"/>
        </w:rPr>
        <w:t>izme</w:t>
      </w:r>
      <w:r w:rsidRPr="00F37492">
        <w:rPr>
          <w:sz w:val="22"/>
          <w:szCs w:val="22"/>
          <w:lang w:val="ru-RU" w:eastAsia="sr-Latn-CS"/>
        </w:rPr>
        <w:t>đ</w:t>
      </w:r>
      <w:r w:rsidRPr="00F37492">
        <w:rPr>
          <w:sz w:val="22"/>
          <w:szCs w:val="22"/>
          <w:lang w:val="it-IT" w:eastAsia="sr-Latn-CS"/>
        </w:rPr>
        <w:t>u</w:t>
      </w:r>
      <w:r w:rsidRPr="00F37492">
        <w:rPr>
          <w:sz w:val="22"/>
          <w:szCs w:val="22"/>
          <w:lang w:val="ru-RU" w:eastAsia="sr-Latn-CS"/>
        </w:rPr>
        <w:t xml:space="preserve"> </w:t>
      </w:r>
      <w:r w:rsidRPr="00F37492">
        <w:rPr>
          <w:sz w:val="22"/>
          <w:szCs w:val="22"/>
          <w:lang w:val="it-IT" w:eastAsia="sr-Latn-CS"/>
        </w:rPr>
        <w:t>davanja</w:t>
      </w:r>
      <w:r w:rsidRPr="00F37492">
        <w:rPr>
          <w:sz w:val="22"/>
          <w:szCs w:val="22"/>
          <w:lang w:val="ru-RU" w:eastAsia="sr-Latn-CS"/>
        </w:rPr>
        <w:t xml:space="preserve"> </w:t>
      </w:r>
      <w:r w:rsidRPr="00F37492">
        <w:rPr>
          <w:sz w:val="22"/>
          <w:szCs w:val="22"/>
          <w:lang w:val="it-IT" w:eastAsia="sr-Latn-CS"/>
        </w:rPr>
        <w:t>dva</w:t>
      </w:r>
      <w:r w:rsidRPr="00F37492">
        <w:rPr>
          <w:sz w:val="22"/>
          <w:szCs w:val="22"/>
          <w:lang w:val="ru-RU" w:eastAsia="sr-Latn-CS"/>
        </w:rPr>
        <w:t xml:space="preserve"> </w:t>
      </w:r>
      <w:r w:rsidRPr="00F37492">
        <w:rPr>
          <w:sz w:val="22"/>
          <w:szCs w:val="22"/>
          <w:lang w:val="it-IT" w:eastAsia="sr-Latn-CS"/>
        </w:rPr>
        <w:t>lijeka</w:t>
      </w:r>
      <w:r w:rsidRPr="00F37492">
        <w:rPr>
          <w:sz w:val="22"/>
          <w:szCs w:val="22"/>
          <w:lang w:val="ru-RU" w:eastAsia="sr-Latn-CS"/>
        </w:rPr>
        <w:t xml:space="preserve"> </w:t>
      </w:r>
      <w:r w:rsidRPr="00F37492">
        <w:rPr>
          <w:sz w:val="22"/>
          <w:szCs w:val="22"/>
          <w:lang w:val="it-IT" w:eastAsia="sr-Latn-CS"/>
        </w:rPr>
        <w:t>maksimalno</w:t>
      </w:r>
      <w:r w:rsidRPr="00F37492">
        <w:rPr>
          <w:sz w:val="22"/>
          <w:szCs w:val="22"/>
          <w:lang w:val="ru-RU" w:eastAsia="sr-Latn-CS"/>
        </w:rPr>
        <w:t xml:space="preserve"> </w:t>
      </w:r>
      <w:r w:rsidRPr="00F37492">
        <w:rPr>
          <w:sz w:val="22"/>
          <w:szCs w:val="22"/>
          <w:lang w:val="it-IT" w:eastAsia="sr-Latn-CS"/>
        </w:rPr>
        <w:t>produ</w:t>
      </w:r>
      <w:r w:rsidRPr="00F37492">
        <w:rPr>
          <w:sz w:val="22"/>
          <w:szCs w:val="22"/>
          <w:lang w:val="ru-RU" w:eastAsia="sr-Latn-CS"/>
        </w:rPr>
        <w:t>ž</w:t>
      </w:r>
      <w:r w:rsidRPr="00F37492">
        <w:rPr>
          <w:sz w:val="22"/>
          <w:szCs w:val="22"/>
          <w:lang w:val="it-IT" w:eastAsia="sr-Latn-CS"/>
        </w:rPr>
        <w:t>i</w:t>
      </w:r>
      <w:r w:rsidRPr="00F37492">
        <w:rPr>
          <w:sz w:val="22"/>
          <w:szCs w:val="22"/>
          <w:lang w:val="ru-RU" w:eastAsia="sr-Latn-CS"/>
        </w:rPr>
        <w:t>.</w:t>
      </w:r>
    </w:p>
    <w:p w14:paraId="40079D03" w14:textId="77777777" w:rsidR="00F37492" w:rsidRPr="00F37492" w:rsidRDefault="00F37492" w:rsidP="000A557B">
      <w:pPr>
        <w:jc w:val="both"/>
        <w:rPr>
          <w:rFonts w:cs="Arial Unicode MS"/>
          <w:sz w:val="22"/>
          <w:szCs w:val="22"/>
          <w:lang w:val="ru-RU" w:eastAsia="sr-Latn-ME"/>
        </w:rPr>
      </w:pPr>
    </w:p>
    <w:p w14:paraId="7F1F40A5" w14:textId="77777777" w:rsidR="00F37492" w:rsidRPr="00F37492" w:rsidRDefault="00F37492" w:rsidP="000A557B">
      <w:pPr>
        <w:widowControl w:val="0"/>
        <w:tabs>
          <w:tab w:val="left" w:pos="567"/>
        </w:tabs>
        <w:jc w:val="both"/>
        <w:rPr>
          <w:noProof/>
          <w:sz w:val="22"/>
          <w:szCs w:val="22"/>
          <w:lang w:val="hr-HR"/>
        </w:rPr>
      </w:pPr>
      <w:r w:rsidRPr="00F37492">
        <w:rPr>
          <w:sz w:val="22"/>
          <w:szCs w:val="22"/>
          <w:lang w:val="hr-HR"/>
        </w:rPr>
        <w:t xml:space="preserve">Ispitivanje na zdravim ispitanicima pokazalo je da ruksolitinib nije inhibirao metabolizam oralnog midazolama, CYP3A4 supstrata. Stoga se ne očekuje povećana izloženost CYP3A4 supstratima kada se kombinuju sa </w:t>
      </w:r>
      <w:r w:rsidRPr="00F37492">
        <w:rPr>
          <w:sz w:val="22"/>
          <w:szCs w:val="22"/>
          <w:lang w:val="hr-HR" w:eastAsia="sr-Latn-CS"/>
        </w:rPr>
        <w:t>ruksolitinibom</w:t>
      </w:r>
      <w:r w:rsidRPr="00F37492">
        <w:rPr>
          <w:sz w:val="22"/>
          <w:szCs w:val="22"/>
          <w:lang w:val="hr-HR"/>
        </w:rPr>
        <w:t xml:space="preserve">. Drugo ispitivanje na zdravim ispitanicima pokazalo je da </w:t>
      </w:r>
      <w:r w:rsidRPr="00F37492">
        <w:rPr>
          <w:sz w:val="22"/>
          <w:szCs w:val="22"/>
          <w:lang w:val="hr-HR" w:eastAsia="sr-Latn-CS"/>
        </w:rPr>
        <w:t>ruksolitinib</w:t>
      </w:r>
      <w:r w:rsidRPr="00F37492">
        <w:rPr>
          <w:sz w:val="22"/>
          <w:szCs w:val="22"/>
          <w:lang w:val="ru-RU" w:eastAsia="sr-Latn-CS"/>
        </w:rPr>
        <w:t xml:space="preserve"> </w:t>
      </w:r>
      <w:r w:rsidRPr="00F37492">
        <w:rPr>
          <w:sz w:val="22"/>
          <w:szCs w:val="22"/>
          <w:lang w:val="hr-HR"/>
        </w:rPr>
        <w:t>ne utiče ne farmakokinetiku oralnog kontraceptiva koji sadrži etinilestradiol i levonorgestrel. Stoga se ne očekuje da će istovremena primjena ruksolitiniba uticati na kontraceptivnu efikasnost ove kombinacije.</w:t>
      </w:r>
    </w:p>
    <w:p w14:paraId="094A4320" w14:textId="77777777" w:rsidR="0072020E" w:rsidRPr="00786071" w:rsidRDefault="0072020E" w:rsidP="000A557B">
      <w:pPr>
        <w:tabs>
          <w:tab w:val="left" w:pos="540"/>
          <w:tab w:val="left" w:pos="569"/>
        </w:tabs>
        <w:jc w:val="both"/>
        <w:rPr>
          <w:bCs/>
          <w:sz w:val="22"/>
          <w:szCs w:val="22"/>
        </w:rPr>
      </w:pPr>
    </w:p>
    <w:p w14:paraId="00FDD6A1" w14:textId="77777777" w:rsidR="0072020E" w:rsidRDefault="0072020E" w:rsidP="000A557B">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251F9437" w14:textId="77777777" w:rsidR="002031B3" w:rsidRDefault="002031B3" w:rsidP="000A557B">
      <w:pPr>
        <w:tabs>
          <w:tab w:val="left" w:pos="540"/>
          <w:tab w:val="left" w:pos="569"/>
        </w:tabs>
        <w:jc w:val="both"/>
        <w:rPr>
          <w:sz w:val="22"/>
          <w:szCs w:val="22"/>
          <w:u w:val="single"/>
        </w:rPr>
      </w:pPr>
    </w:p>
    <w:p w14:paraId="52720045" w14:textId="665E5236" w:rsidR="00F37492" w:rsidRDefault="00F37492" w:rsidP="000A557B">
      <w:pPr>
        <w:tabs>
          <w:tab w:val="left" w:pos="540"/>
          <w:tab w:val="left" w:pos="569"/>
        </w:tabs>
        <w:jc w:val="both"/>
        <w:rPr>
          <w:sz w:val="22"/>
          <w:szCs w:val="22"/>
          <w:u w:val="single"/>
        </w:rPr>
      </w:pPr>
      <w:r w:rsidRPr="00F37492">
        <w:rPr>
          <w:sz w:val="22"/>
          <w:szCs w:val="22"/>
          <w:u w:val="single"/>
        </w:rPr>
        <w:t>Trudnoća</w:t>
      </w:r>
    </w:p>
    <w:p w14:paraId="4B84BE61" w14:textId="77777777" w:rsidR="008B3642" w:rsidRPr="00F37492" w:rsidRDefault="008B3642" w:rsidP="000A557B">
      <w:pPr>
        <w:tabs>
          <w:tab w:val="left" w:pos="540"/>
          <w:tab w:val="left" w:pos="569"/>
        </w:tabs>
        <w:jc w:val="both"/>
        <w:rPr>
          <w:sz w:val="22"/>
          <w:szCs w:val="22"/>
          <w:u w:val="single"/>
        </w:rPr>
      </w:pPr>
    </w:p>
    <w:p w14:paraId="7A8135D9" w14:textId="77777777" w:rsidR="00F37492" w:rsidRPr="00F37492" w:rsidRDefault="00F37492" w:rsidP="000A557B">
      <w:pPr>
        <w:jc w:val="both"/>
        <w:rPr>
          <w:rFonts w:cs="Arial Unicode MS"/>
          <w:sz w:val="22"/>
          <w:szCs w:val="22"/>
          <w:lang w:val="ru-RU" w:eastAsia="sr-Latn-ME"/>
        </w:rPr>
      </w:pPr>
      <w:r w:rsidRPr="00F37492">
        <w:rPr>
          <w:sz w:val="22"/>
          <w:szCs w:val="22"/>
          <w:lang w:val="sr-Latn-ME" w:eastAsia="sr-Latn-CS"/>
        </w:rPr>
        <w:t>Nema</w:t>
      </w:r>
      <w:r w:rsidRPr="00F37492">
        <w:rPr>
          <w:sz w:val="22"/>
          <w:szCs w:val="22"/>
          <w:lang w:val="ru-RU" w:eastAsia="sr-Latn-CS"/>
        </w:rPr>
        <w:t xml:space="preserve"> </w:t>
      </w:r>
      <w:r w:rsidRPr="00F37492">
        <w:rPr>
          <w:sz w:val="22"/>
          <w:szCs w:val="22"/>
          <w:lang w:val="sr-Latn-ME" w:eastAsia="sr-Latn-CS"/>
        </w:rPr>
        <w:t>podataka</w:t>
      </w:r>
      <w:r w:rsidRPr="00F37492">
        <w:rPr>
          <w:sz w:val="22"/>
          <w:szCs w:val="22"/>
          <w:lang w:val="ru-RU" w:eastAsia="sr-Latn-CS"/>
        </w:rPr>
        <w:t xml:space="preserve"> </w:t>
      </w:r>
      <w:r w:rsidRPr="00F37492">
        <w:rPr>
          <w:sz w:val="22"/>
          <w:szCs w:val="22"/>
          <w:lang w:val="sr-Latn-ME" w:eastAsia="sr-Latn-CS"/>
        </w:rPr>
        <w:t>o</w:t>
      </w:r>
      <w:r w:rsidRPr="00F37492">
        <w:rPr>
          <w:sz w:val="22"/>
          <w:szCs w:val="22"/>
          <w:lang w:val="ru-RU" w:eastAsia="sr-Latn-CS"/>
        </w:rPr>
        <w:t xml:space="preserve"> </w:t>
      </w:r>
      <w:r w:rsidRPr="00F37492">
        <w:rPr>
          <w:sz w:val="22"/>
          <w:szCs w:val="22"/>
          <w:lang w:val="sr-Latn-ME" w:eastAsia="sr-Latn-CS"/>
        </w:rPr>
        <w:t>upotrebi</w:t>
      </w:r>
      <w:r w:rsidRPr="00F37492">
        <w:rPr>
          <w:sz w:val="22"/>
          <w:szCs w:val="22"/>
          <w:lang w:val="ru-RU" w:eastAsia="sr-Latn-CS"/>
        </w:rPr>
        <w:t xml:space="preserve"> </w:t>
      </w:r>
      <w:r w:rsidRPr="00F37492">
        <w:rPr>
          <w:sz w:val="22"/>
          <w:szCs w:val="22"/>
          <w:lang w:val="sr-Latn-CS" w:eastAsia="sr-Latn-CS"/>
        </w:rPr>
        <w:t>lijeka Jakavi</w:t>
      </w:r>
      <w:r w:rsidRPr="00F37492">
        <w:rPr>
          <w:sz w:val="22"/>
          <w:szCs w:val="22"/>
          <w:lang w:val="ru-RU" w:eastAsia="sr-Latn-CS"/>
        </w:rPr>
        <w:t xml:space="preserve"> </w:t>
      </w:r>
      <w:r w:rsidRPr="00F37492">
        <w:rPr>
          <w:sz w:val="22"/>
          <w:szCs w:val="22"/>
          <w:lang w:val="sr-Latn-ME" w:eastAsia="sr-Latn-CS"/>
        </w:rPr>
        <w:t>kod</w:t>
      </w:r>
      <w:r w:rsidRPr="00F37492">
        <w:rPr>
          <w:sz w:val="22"/>
          <w:szCs w:val="22"/>
          <w:lang w:val="ru-RU" w:eastAsia="sr-Latn-CS"/>
        </w:rPr>
        <w:t xml:space="preserve"> </w:t>
      </w:r>
      <w:r w:rsidRPr="00F37492">
        <w:rPr>
          <w:sz w:val="22"/>
          <w:szCs w:val="22"/>
          <w:lang w:val="sr-Latn-ME" w:eastAsia="sr-Latn-CS"/>
        </w:rPr>
        <w:t>trudnica</w:t>
      </w:r>
      <w:r w:rsidRPr="00F37492">
        <w:rPr>
          <w:sz w:val="22"/>
          <w:szCs w:val="22"/>
          <w:lang w:val="ru-RU" w:eastAsia="sr-Latn-CS"/>
        </w:rPr>
        <w:t>.</w:t>
      </w:r>
    </w:p>
    <w:p w14:paraId="49FBBD6B" w14:textId="77777777" w:rsidR="00F37492" w:rsidRPr="00F37492" w:rsidRDefault="00F37492" w:rsidP="000A557B">
      <w:pPr>
        <w:jc w:val="both"/>
        <w:rPr>
          <w:sz w:val="22"/>
          <w:szCs w:val="22"/>
          <w:lang w:val="ru-RU" w:eastAsia="sr-Latn-CS"/>
        </w:rPr>
      </w:pPr>
    </w:p>
    <w:p w14:paraId="599E87D0" w14:textId="73E46B24" w:rsidR="00F37492" w:rsidRPr="00F37492" w:rsidRDefault="00F37492" w:rsidP="000A557B">
      <w:pPr>
        <w:jc w:val="both"/>
        <w:rPr>
          <w:sz w:val="22"/>
          <w:szCs w:val="22"/>
          <w:shd w:val="clear" w:color="auto" w:fill="FFFFFF"/>
          <w:lang w:val="ru-RU" w:eastAsia="sr-Latn-CS"/>
        </w:rPr>
      </w:pPr>
      <w:r w:rsidRPr="00F37492">
        <w:rPr>
          <w:sz w:val="22"/>
          <w:szCs w:val="22"/>
          <w:lang w:val="sr-Latn-ME" w:eastAsia="sr-Latn-CS"/>
        </w:rPr>
        <w:t>Ispitivanja</w:t>
      </w:r>
      <w:r w:rsidRPr="00F37492">
        <w:rPr>
          <w:sz w:val="22"/>
          <w:szCs w:val="22"/>
          <w:lang w:val="ru-RU" w:eastAsia="sr-Latn-CS"/>
        </w:rPr>
        <w:t xml:space="preserve"> </w:t>
      </w:r>
      <w:r w:rsidRPr="00F37492">
        <w:rPr>
          <w:sz w:val="22"/>
          <w:szCs w:val="22"/>
          <w:lang w:val="sr-Latn-ME" w:eastAsia="sr-Latn-CS"/>
        </w:rPr>
        <w:t>na</w:t>
      </w:r>
      <w:r w:rsidRPr="00F37492">
        <w:rPr>
          <w:sz w:val="22"/>
          <w:szCs w:val="22"/>
          <w:lang w:val="ru-RU" w:eastAsia="sr-Latn-CS"/>
        </w:rPr>
        <w:t xml:space="preserve"> ž</w:t>
      </w:r>
      <w:r w:rsidRPr="00F37492">
        <w:rPr>
          <w:sz w:val="22"/>
          <w:szCs w:val="22"/>
          <w:lang w:val="sr-Latn-ME" w:eastAsia="sr-Latn-CS"/>
        </w:rPr>
        <w:t>ivotinjama</w:t>
      </w:r>
      <w:r w:rsidRPr="00F37492">
        <w:rPr>
          <w:sz w:val="22"/>
          <w:szCs w:val="22"/>
          <w:lang w:val="ru-RU" w:eastAsia="sr-Latn-CS"/>
        </w:rPr>
        <w:t xml:space="preserve"> </w:t>
      </w:r>
      <w:r w:rsidRPr="00F37492">
        <w:rPr>
          <w:sz w:val="22"/>
          <w:szCs w:val="22"/>
          <w:lang w:val="sr-Latn-ME" w:eastAsia="sr-Latn-CS"/>
        </w:rPr>
        <w:t>su</w:t>
      </w:r>
      <w:r w:rsidRPr="00F37492">
        <w:rPr>
          <w:sz w:val="22"/>
          <w:szCs w:val="22"/>
          <w:lang w:val="ru-RU" w:eastAsia="sr-Latn-CS"/>
        </w:rPr>
        <w:t xml:space="preserve"> </w:t>
      </w:r>
      <w:r w:rsidRPr="00F37492">
        <w:rPr>
          <w:sz w:val="22"/>
          <w:szCs w:val="22"/>
          <w:lang w:val="sr-Latn-ME" w:eastAsia="sr-Latn-CS"/>
        </w:rPr>
        <w:t>pokazala</w:t>
      </w:r>
      <w:r w:rsidRPr="00F37492">
        <w:rPr>
          <w:sz w:val="22"/>
          <w:szCs w:val="22"/>
          <w:lang w:val="ru-RU" w:eastAsia="sr-Latn-CS"/>
        </w:rPr>
        <w:t xml:space="preserve"> </w:t>
      </w:r>
      <w:r w:rsidRPr="00F37492">
        <w:rPr>
          <w:sz w:val="22"/>
          <w:szCs w:val="22"/>
          <w:lang w:val="sr-Latn-ME" w:eastAsia="sr-Latn-CS"/>
        </w:rPr>
        <w:t>da</w:t>
      </w:r>
      <w:r w:rsidRPr="00F37492">
        <w:rPr>
          <w:sz w:val="22"/>
          <w:szCs w:val="22"/>
          <w:lang w:val="ru-RU" w:eastAsia="sr-Latn-CS"/>
        </w:rPr>
        <w:t xml:space="preserve"> </w:t>
      </w:r>
      <w:r w:rsidRPr="00F37492">
        <w:rPr>
          <w:sz w:val="22"/>
          <w:szCs w:val="22"/>
          <w:lang w:val="sr-Latn-ME" w:eastAsia="sr-Latn-CS"/>
        </w:rPr>
        <w:t>je</w:t>
      </w:r>
      <w:r w:rsidRPr="00F37492">
        <w:rPr>
          <w:sz w:val="22"/>
          <w:szCs w:val="22"/>
          <w:lang w:val="ru-RU" w:eastAsia="sr-Latn-CS"/>
        </w:rPr>
        <w:t xml:space="preserve"> </w:t>
      </w:r>
      <w:r w:rsidRPr="00F37492">
        <w:rPr>
          <w:sz w:val="22"/>
          <w:szCs w:val="22"/>
          <w:lang w:val="sr-Latn-ME" w:eastAsia="sr-Latn-CS"/>
        </w:rPr>
        <w:t>ruksolitinib</w:t>
      </w:r>
      <w:r w:rsidRPr="00F37492">
        <w:rPr>
          <w:sz w:val="22"/>
          <w:szCs w:val="22"/>
          <w:lang w:val="ru-RU" w:eastAsia="sr-Latn-CS"/>
        </w:rPr>
        <w:t xml:space="preserve"> </w:t>
      </w:r>
      <w:r w:rsidRPr="00F37492">
        <w:rPr>
          <w:sz w:val="22"/>
          <w:szCs w:val="22"/>
          <w:lang w:val="sr-Latn-ME" w:eastAsia="sr-Latn-CS"/>
        </w:rPr>
        <w:t>embriotoksi</w:t>
      </w:r>
      <w:r w:rsidRPr="00F37492">
        <w:rPr>
          <w:sz w:val="22"/>
          <w:szCs w:val="22"/>
          <w:lang w:val="ru-RU" w:eastAsia="sr-Latn-CS"/>
        </w:rPr>
        <w:t>č</w:t>
      </w:r>
      <w:r w:rsidRPr="00F37492">
        <w:rPr>
          <w:sz w:val="22"/>
          <w:szCs w:val="22"/>
          <w:lang w:val="sr-Latn-ME" w:eastAsia="sr-Latn-CS"/>
        </w:rPr>
        <w:t>an</w:t>
      </w:r>
      <w:r w:rsidRPr="00F37492">
        <w:rPr>
          <w:sz w:val="22"/>
          <w:szCs w:val="22"/>
          <w:lang w:val="ru-RU" w:eastAsia="sr-Latn-CS"/>
        </w:rPr>
        <w:t xml:space="preserve"> </w:t>
      </w:r>
      <w:r w:rsidRPr="00F37492">
        <w:rPr>
          <w:sz w:val="22"/>
          <w:szCs w:val="22"/>
          <w:lang w:val="sr-Latn-ME" w:eastAsia="sr-Latn-CS"/>
        </w:rPr>
        <w:t>i</w:t>
      </w:r>
      <w:r w:rsidRPr="00F37492">
        <w:rPr>
          <w:sz w:val="22"/>
          <w:szCs w:val="22"/>
          <w:lang w:val="ru-RU" w:eastAsia="sr-Latn-CS"/>
        </w:rPr>
        <w:t xml:space="preserve"> </w:t>
      </w:r>
      <w:r w:rsidRPr="00F37492">
        <w:rPr>
          <w:sz w:val="22"/>
          <w:szCs w:val="22"/>
          <w:lang w:val="sr-Latn-ME" w:eastAsia="sr-Latn-CS"/>
        </w:rPr>
        <w:t>fetotoksi</w:t>
      </w:r>
      <w:r w:rsidRPr="00F37492">
        <w:rPr>
          <w:sz w:val="22"/>
          <w:szCs w:val="22"/>
          <w:lang w:val="ru-RU" w:eastAsia="sr-Latn-CS"/>
        </w:rPr>
        <w:t>č</w:t>
      </w:r>
      <w:r w:rsidRPr="00F37492">
        <w:rPr>
          <w:sz w:val="22"/>
          <w:szCs w:val="22"/>
          <w:lang w:val="sr-Latn-ME" w:eastAsia="sr-Latn-CS"/>
        </w:rPr>
        <w:t>an</w:t>
      </w:r>
      <w:r w:rsidRPr="00F37492">
        <w:rPr>
          <w:sz w:val="22"/>
          <w:szCs w:val="22"/>
          <w:lang w:val="ru-RU" w:eastAsia="sr-Latn-CS"/>
        </w:rPr>
        <w:t xml:space="preserve">. </w:t>
      </w:r>
      <w:r w:rsidRPr="00F37492">
        <w:rPr>
          <w:sz w:val="22"/>
          <w:szCs w:val="22"/>
          <w:lang w:val="sr-Latn-ME" w:eastAsia="sr-Latn-CS"/>
        </w:rPr>
        <w:t>Teratogenost</w:t>
      </w:r>
      <w:r w:rsidRPr="00F37492">
        <w:rPr>
          <w:sz w:val="22"/>
          <w:szCs w:val="22"/>
          <w:lang w:val="ru-RU" w:eastAsia="sr-Latn-CS"/>
        </w:rPr>
        <w:t xml:space="preserve"> </w:t>
      </w:r>
      <w:r w:rsidRPr="00F37492">
        <w:rPr>
          <w:sz w:val="22"/>
          <w:szCs w:val="22"/>
          <w:lang w:val="sr-Latn-ME" w:eastAsia="sr-Latn-CS"/>
        </w:rPr>
        <w:t>nije</w:t>
      </w:r>
      <w:r w:rsidRPr="00F37492">
        <w:rPr>
          <w:sz w:val="22"/>
          <w:szCs w:val="22"/>
          <w:lang w:val="ru-RU" w:eastAsia="sr-Latn-CS"/>
        </w:rPr>
        <w:t xml:space="preserve"> </w:t>
      </w:r>
      <w:r w:rsidRPr="00F37492">
        <w:rPr>
          <w:sz w:val="22"/>
          <w:szCs w:val="22"/>
          <w:lang w:val="sr-Latn-ME" w:eastAsia="sr-Latn-CS"/>
        </w:rPr>
        <w:t>zabilje</w:t>
      </w:r>
      <w:r w:rsidRPr="00F37492">
        <w:rPr>
          <w:sz w:val="22"/>
          <w:szCs w:val="22"/>
          <w:lang w:val="ru-RU" w:eastAsia="sr-Latn-CS"/>
        </w:rPr>
        <w:t>ž</w:t>
      </w:r>
      <w:r w:rsidRPr="00F37492">
        <w:rPr>
          <w:sz w:val="22"/>
          <w:szCs w:val="22"/>
          <w:lang w:val="sr-Latn-ME" w:eastAsia="sr-Latn-CS"/>
        </w:rPr>
        <w:t>ena</w:t>
      </w:r>
      <w:r w:rsidRPr="00F37492">
        <w:rPr>
          <w:sz w:val="22"/>
          <w:szCs w:val="22"/>
          <w:lang w:val="ru-RU" w:eastAsia="sr-Latn-CS"/>
        </w:rPr>
        <w:t xml:space="preserve"> </w:t>
      </w:r>
      <w:r w:rsidRPr="00F37492">
        <w:rPr>
          <w:sz w:val="22"/>
          <w:szCs w:val="22"/>
          <w:lang w:val="sr-Latn-ME" w:eastAsia="sr-Latn-CS"/>
        </w:rPr>
        <w:t>kod</w:t>
      </w:r>
      <w:r w:rsidRPr="00F37492">
        <w:rPr>
          <w:sz w:val="22"/>
          <w:szCs w:val="22"/>
          <w:lang w:val="ru-RU" w:eastAsia="sr-Latn-CS"/>
        </w:rPr>
        <w:t xml:space="preserve"> </w:t>
      </w:r>
      <w:r w:rsidRPr="00F37492">
        <w:rPr>
          <w:sz w:val="22"/>
          <w:szCs w:val="22"/>
          <w:lang w:val="sr-Latn-ME" w:eastAsia="sr-Latn-CS"/>
        </w:rPr>
        <w:t>pacova</w:t>
      </w:r>
      <w:r w:rsidRPr="00F37492">
        <w:rPr>
          <w:sz w:val="22"/>
          <w:szCs w:val="22"/>
          <w:lang w:val="ru-RU" w:eastAsia="sr-Latn-CS"/>
        </w:rPr>
        <w:t xml:space="preserve"> </w:t>
      </w:r>
      <w:r w:rsidRPr="00F37492">
        <w:rPr>
          <w:sz w:val="22"/>
          <w:szCs w:val="22"/>
          <w:lang w:val="sr-Latn-ME" w:eastAsia="sr-Latn-CS"/>
        </w:rPr>
        <w:t>ili</w:t>
      </w:r>
      <w:r w:rsidRPr="00F37492">
        <w:rPr>
          <w:sz w:val="22"/>
          <w:szCs w:val="22"/>
          <w:lang w:val="ru-RU" w:eastAsia="sr-Latn-CS"/>
        </w:rPr>
        <w:t xml:space="preserve"> </w:t>
      </w:r>
      <w:r w:rsidRPr="00F37492">
        <w:rPr>
          <w:sz w:val="22"/>
          <w:szCs w:val="22"/>
          <w:lang w:val="sr-Latn-ME" w:eastAsia="sr-Latn-CS"/>
        </w:rPr>
        <w:t>kuni</w:t>
      </w:r>
      <w:r w:rsidRPr="00F37492">
        <w:rPr>
          <w:sz w:val="22"/>
          <w:szCs w:val="22"/>
          <w:lang w:val="ru-RU" w:eastAsia="sr-Latn-CS"/>
        </w:rPr>
        <w:t>ć</w:t>
      </w:r>
      <w:r w:rsidRPr="00F37492">
        <w:rPr>
          <w:sz w:val="22"/>
          <w:szCs w:val="22"/>
          <w:lang w:val="sr-Latn-ME" w:eastAsia="sr-Latn-CS"/>
        </w:rPr>
        <w:t>a</w:t>
      </w:r>
      <w:r w:rsidRPr="00F37492">
        <w:rPr>
          <w:sz w:val="22"/>
          <w:szCs w:val="22"/>
          <w:lang w:val="ru-RU" w:eastAsia="sr-Latn-CS"/>
        </w:rPr>
        <w:t xml:space="preserve">. </w:t>
      </w:r>
      <w:r w:rsidRPr="00F37492">
        <w:rPr>
          <w:sz w:val="22"/>
          <w:szCs w:val="22"/>
          <w:lang w:val="sr-Latn-ME" w:eastAsia="sr-Latn-CS"/>
        </w:rPr>
        <w:t>Me</w:t>
      </w:r>
      <w:r w:rsidRPr="00F37492">
        <w:rPr>
          <w:sz w:val="22"/>
          <w:szCs w:val="22"/>
          <w:lang w:val="ru-RU" w:eastAsia="sr-Latn-CS"/>
        </w:rPr>
        <w:t>đ</w:t>
      </w:r>
      <w:r w:rsidRPr="00F37492">
        <w:rPr>
          <w:sz w:val="22"/>
          <w:szCs w:val="22"/>
          <w:lang w:val="sr-Latn-ME" w:eastAsia="sr-Latn-CS"/>
        </w:rPr>
        <w:t>utim</w:t>
      </w:r>
      <w:r w:rsidRPr="00F37492">
        <w:rPr>
          <w:sz w:val="22"/>
          <w:szCs w:val="22"/>
          <w:lang w:val="ru-RU" w:eastAsia="sr-Latn-CS"/>
        </w:rPr>
        <w:t xml:space="preserve">, </w:t>
      </w:r>
      <w:r w:rsidRPr="00F37492">
        <w:rPr>
          <w:sz w:val="22"/>
          <w:szCs w:val="22"/>
          <w:lang w:val="sr-Latn-ME" w:eastAsia="sr-Latn-CS"/>
        </w:rPr>
        <w:t>granice</w:t>
      </w:r>
      <w:r w:rsidRPr="00F37492">
        <w:rPr>
          <w:sz w:val="22"/>
          <w:szCs w:val="22"/>
          <w:lang w:val="ru-RU" w:eastAsia="sr-Latn-CS"/>
        </w:rPr>
        <w:t xml:space="preserve"> </w:t>
      </w:r>
      <w:r w:rsidRPr="00F37492">
        <w:rPr>
          <w:sz w:val="22"/>
          <w:szCs w:val="22"/>
          <w:lang w:val="sr-Latn-ME" w:eastAsia="sr-Latn-CS"/>
        </w:rPr>
        <w:t>izlo</w:t>
      </w:r>
      <w:r w:rsidRPr="00F37492">
        <w:rPr>
          <w:sz w:val="22"/>
          <w:szCs w:val="22"/>
          <w:lang w:val="ru-RU" w:eastAsia="sr-Latn-CS"/>
        </w:rPr>
        <w:t>ž</w:t>
      </w:r>
      <w:r w:rsidRPr="00F37492">
        <w:rPr>
          <w:sz w:val="22"/>
          <w:szCs w:val="22"/>
          <w:lang w:val="sr-Latn-ME" w:eastAsia="sr-Latn-CS"/>
        </w:rPr>
        <w:t>enosti</w:t>
      </w:r>
      <w:r w:rsidRPr="00F37492">
        <w:rPr>
          <w:sz w:val="22"/>
          <w:szCs w:val="22"/>
          <w:lang w:val="ru-RU" w:eastAsia="sr-Latn-CS"/>
        </w:rPr>
        <w:t xml:space="preserve"> </w:t>
      </w:r>
      <w:r w:rsidRPr="00F37492">
        <w:rPr>
          <w:sz w:val="22"/>
          <w:szCs w:val="22"/>
          <w:lang w:val="sr-Latn-ME" w:eastAsia="sr-Latn-CS"/>
        </w:rPr>
        <w:t>u</w:t>
      </w:r>
      <w:r w:rsidRPr="00F37492">
        <w:rPr>
          <w:sz w:val="22"/>
          <w:szCs w:val="22"/>
          <w:lang w:val="ru-RU" w:eastAsia="sr-Latn-CS"/>
        </w:rPr>
        <w:t xml:space="preserve"> </w:t>
      </w:r>
      <w:r w:rsidRPr="00F37492">
        <w:rPr>
          <w:sz w:val="22"/>
          <w:szCs w:val="22"/>
          <w:lang w:val="sr-Latn-ME" w:eastAsia="sr-Latn-CS"/>
        </w:rPr>
        <w:t>pore</w:t>
      </w:r>
      <w:r w:rsidRPr="00F37492">
        <w:rPr>
          <w:sz w:val="22"/>
          <w:szCs w:val="22"/>
          <w:lang w:val="ru-RU" w:eastAsia="sr-Latn-CS"/>
        </w:rPr>
        <w:t>đ</w:t>
      </w:r>
      <w:r w:rsidRPr="00F37492">
        <w:rPr>
          <w:sz w:val="22"/>
          <w:szCs w:val="22"/>
          <w:lang w:val="sr-Latn-ME" w:eastAsia="sr-Latn-CS"/>
        </w:rPr>
        <w:t>enju</w:t>
      </w:r>
      <w:r w:rsidRPr="00F37492">
        <w:rPr>
          <w:sz w:val="22"/>
          <w:szCs w:val="22"/>
          <w:lang w:val="ru-RU" w:eastAsia="sr-Latn-CS"/>
        </w:rPr>
        <w:t xml:space="preserve"> </w:t>
      </w:r>
      <w:r w:rsidRPr="00F37492">
        <w:rPr>
          <w:sz w:val="22"/>
          <w:szCs w:val="22"/>
          <w:lang w:val="sr-Latn-ME" w:eastAsia="sr-Latn-CS"/>
        </w:rPr>
        <w:t>sa</w:t>
      </w:r>
      <w:r w:rsidRPr="00F37492">
        <w:rPr>
          <w:sz w:val="22"/>
          <w:szCs w:val="22"/>
          <w:lang w:val="ru-RU" w:eastAsia="sr-Latn-CS"/>
        </w:rPr>
        <w:t xml:space="preserve"> </w:t>
      </w:r>
      <w:r w:rsidRPr="00F37492">
        <w:rPr>
          <w:sz w:val="22"/>
          <w:szCs w:val="22"/>
          <w:lang w:val="sr-Latn-ME" w:eastAsia="sr-Latn-CS"/>
        </w:rPr>
        <w:t>najve</w:t>
      </w:r>
      <w:r w:rsidRPr="00F37492">
        <w:rPr>
          <w:sz w:val="22"/>
          <w:szCs w:val="22"/>
          <w:lang w:val="ru-RU" w:eastAsia="sr-Latn-CS"/>
        </w:rPr>
        <w:t>ć</w:t>
      </w:r>
      <w:r w:rsidRPr="00F37492">
        <w:rPr>
          <w:sz w:val="22"/>
          <w:szCs w:val="22"/>
          <w:lang w:val="sr-Latn-ME" w:eastAsia="sr-Latn-CS"/>
        </w:rPr>
        <w:t>im</w:t>
      </w:r>
      <w:r w:rsidRPr="00F37492">
        <w:rPr>
          <w:sz w:val="22"/>
          <w:szCs w:val="22"/>
          <w:lang w:val="ru-RU" w:eastAsia="sr-Latn-CS"/>
        </w:rPr>
        <w:t xml:space="preserve"> </w:t>
      </w:r>
      <w:r w:rsidRPr="00F37492">
        <w:rPr>
          <w:sz w:val="22"/>
          <w:szCs w:val="22"/>
          <w:lang w:val="sr-Latn-ME" w:eastAsia="sr-Latn-CS"/>
        </w:rPr>
        <w:t>klini</w:t>
      </w:r>
      <w:r w:rsidRPr="00F37492">
        <w:rPr>
          <w:sz w:val="22"/>
          <w:szCs w:val="22"/>
          <w:lang w:val="ru-RU" w:eastAsia="sr-Latn-CS"/>
        </w:rPr>
        <w:t>č</w:t>
      </w:r>
      <w:r w:rsidRPr="00F37492">
        <w:rPr>
          <w:sz w:val="22"/>
          <w:szCs w:val="22"/>
          <w:lang w:val="sr-Latn-ME" w:eastAsia="sr-Latn-CS"/>
        </w:rPr>
        <w:t>kim</w:t>
      </w:r>
      <w:r w:rsidRPr="00F37492">
        <w:rPr>
          <w:sz w:val="22"/>
          <w:szCs w:val="22"/>
          <w:lang w:val="ru-RU" w:eastAsia="sr-Latn-CS"/>
        </w:rPr>
        <w:t xml:space="preserve"> </w:t>
      </w:r>
      <w:r w:rsidRPr="00F37492">
        <w:rPr>
          <w:sz w:val="22"/>
          <w:szCs w:val="22"/>
          <w:lang w:val="sr-Latn-ME" w:eastAsia="sr-Latn-CS"/>
        </w:rPr>
        <w:t>dozama</w:t>
      </w:r>
      <w:r w:rsidRPr="00F37492">
        <w:rPr>
          <w:sz w:val="22"/>
          <w:szCs w:val="22"/>
          <w:lang w:val="ru-RU" w:eastAsia="sr-Latn-CS"/>
        </w:rPr>
        <w:t xml:space="preserve"> </w:t>
      </w:r>
      <w:r w:rsidRPr="00F37492">
        <w:rPr>
          <w:sz w:val="22"/>
          <w:szCs w:val="22"/>
          <w:lang w:val="sr-Latn-ME" w:eastAsia="sr-Latn-CS"/>
        </w:rPr>
        <w:t>bile</w:t>
      </w:r>
      <w:r w:rsidRPr="00F37492">
        <w:rPr>
          <w:sz w:val="22"/>
          <w:szCs w:val="22"/>
          <w:lang w:val="ru-RU" w:eastAsia="sr-Latn-CS"/>
        </w:rPr>
        <w:t xml:space="preserve"> </w:t>
      </w:r>
      <w:r w:rsidRPr="00F37492">
        <w:rPr>
          <w:sz w:val="22"/>
          <w:szCs w:val="22"/>
          <w:lang w:val="sr-Latn-ME" w:eastAsia="sr-Latn-CS"/>
        </w:rPr>
        <w:t>su</w:t>
      </w:r>
      <w:r w:rsidRPr="00F37492">
        <w:rPr>
          <w:sz w:val="22"/>
          <w:szCs w:val="22"/>
          <w:lang w:val="ru-RU" w:eastAsia="sr-Latn-CS"/>
        </w:rPr>
        <w:t xml:space="preserve"> </w:t>
      </w:r>
      <w:r w:rsidRPr="00F37492">
        <w:rPr>
          <w:sz w:val="22"/>
          <w:szCs w:val="22"/>
          <w:lang w:val="sr-Latn-ME" w:eastAsia="sr-Latn-CS"/>
        </w:rPr>
        <w:t>niske</w:t>
      </w:r>
      <w:r w:rsidRPr="00F37492">
        <w:rPr>
          <w:sz w:val="22"/>
          <w:szCs w:val="22"/>
          <w:lang w:val="ru-RU" w:eastAsia="sr-Latn-CS"/>
        </w:rPr>
        <w:t xml:space="preserve">, </w:t>
      </w:r>
      <w:r w:rsidRPr="00F37492">
        <w:rPr>
          <w:sz w:val="22"/>
          <w:szCs w:val="22"/>
          <w:lang w:val="sr-Latn-ME" w:eastAsia="sr-Latn-CS"/>
        </w:rPr>
        <w:t>pa</w:t>
      </w:r>
      <w:r w:rsidRPr="00F37492">
        <w:rPr>
          <w:sz w:val="22"/>
          <w:szCs w:val="22"/>
          <w:lang w:val="ru-RU" w:eastAsia="sr-Latn-CS"/>
        </w:rPr>
        <w:t xml:space="preserve"> </w:t>
      </w:r>
      <w:r w:rsidRPr="00F37492">
        <w:rPr>
          <w:sz w:val="22"/>
          <w:szCs w:val="22"/>
          <w:lang w:val="sr-Latn-ME" w:eastAsia="sr-Latn-CS"/>
        </w:rPr>
        <w:t>su</w:t>
      </w:r>
      <w:r w:rsidRPr="00F37492">
        <w:rPr>
          <w:sz w:val="22"/>
          <w:szCs w:val="22"/>
          <w:lang w:val="ru-RU" w:eastAsia="sr-Latn-CS"/>
        </w:rPr>
        <w:t xml:space="preserve"> </w:t>
      </w:r>
      <w:r w:rsidRPr="00F37492">
        <w:rPr>
          <w:sz w:val="22"/>
          <w:szCs w:val="22"/>
          <w:lang w:val="sr-Latn-ME" w:eastAsia="sr-Latn-CS"/>
        </w:rPr>
        <w:t>rezultati</w:t>
      </w:r>
      <w:r w:rsidRPr="00F37492">
        <w:rPr>
          <w:sz w:val="22"/>
          <w:szCs w:val="22"/>
          <w:lang w:val="ru-RU" w:eastAsia="sr-Latn-CS"/>
        </w:rPr>
        <w:t xml:space="preserve"> </w:t>
      </w:r>
      <w:r w:rsidRPr="00F37492">
        <w:rPr>
          <w:sz w:val="22"/>
          <w:szCs w:val="22"/>
          <w:lang w:val="sr-Latn-ME" w:eastAsia="sr-Latn-CS"/>
        </w:rPr>
        <w:t>stoga</w:t>
      </w:r>
      <w:r w:rsidRPr="00F37492">
        <w:rPr>
          <w:sz w:val="22"/>
          <w:szCs w:val="22"/>
          <w:lang w:val="ru-RU" w:eastAsia="sr-Latn-CS"/>
        </w:rPr>
        <w:t xml:space="preserve"> </w:t>
      </w:r>
      <w:r w:rsidRPr="00F37492">
        <w:rPr>
          <w:sz w:val="22"/>
          <w:szCs w:val="22"/>
          <w:lang w:val="sr-Latn-ME" w:eastAsia="sr-Latn-CS"/>
        </w:rPr>
        <w:t>od</w:t>
      </w:r>
      <w:r w:rsidRPr="00F37492">
        <w:rPr>
          <w:sz w:val="22"/>
          <w:szCs w:val="22"/>
          <w:lang w:val="ru-RU" w:eastAsia="sr-Latn-CS"/>
        </w:rPr>
        <w:t xml:space="preserve"> </w:t>
      </w:r>
      <w:r w:rsidRPr="00F37492">
        <w:rPr>
          <w:sz w:val="22"/>
          <w:szCs w:val="22"/>
          <w:lang w:val="sr-Latn-ME" w:eastAsia="sr-Latn-CS"/>
        </w:rPr>
        <w:t>ograni</w:t>
      </w:r>
      <w:r w:rsidRPr="00F37492">
        <w:rPr>
          <w:sz w:val="22"/>
          <w:szCs w:val="22"/>
          <w:lang w:val="ru-RU" w:eastAsia="sr-Latn-CS"/>
        </w:rPr>
        <w:t>č</w:t>
      </w:r>
      <w:r w:rsidRPr="00F37492">
        <w:rPr>
          <w:sz w:val="22"/>
          <w:szCs w:val="22"/>
          <w:lang w:val="sr-Latn-ME" w:eastAsia="sr-Latn-CS"/>
        </w:rPr>
        <w:t>enog</w:t>
      </w:r>
      <w:r w:rsidRPr="00F37492">
        <w:rPr>
          <w:sz w:val="22"/>
          <w:szCs w:val="22"/>
          <w:lang w:val="ru-RU" w:eastAsia="sr-Latn-CS"/>
        </w:rPr>
        <w:t xml:space="preserve"> </w:t>
      </w:r>
      <w:r w:rsidRPr="00F37492">
        <w:rPr>
          <w:sz w:val="22"/>
          <w:szCs w:val="22"/>
          <w:lang w:val="sr-Latn-ME" w:eastAsia="sr-Latn-CS"/>
        </w:rPr>
        <w:t>zna</w:t>
      </w:r>
      <w:r w:rsidRPr="00F37492">
        <w:rPr>
          <w:sz w:val="22"/>
          <w:szCs w:val="22"/>
          <w:lang w:val="ru-RU" w:eastAsia="sr-Latn-CS"/>
        </w:rPr>
        <w:t>č</w:t>
      </w:r>
      <w:r w:rsidRPr="00F37492">
        <w:rPr>
          <w:sz w:val="22"/>
          <w:szCs w:val="22"/>
          <w:lang w:val="sr-Latn-ME" w:eastAsia="sr-Latn-CS"/>
        </w:rPr>
        <w:t>aja</w:t>
      </w:r>
      <w:r w:rsidRPr="00F37492">
        <w:rPr>
          <w:sz w:val="22"/>
          <w:szCs w:val="22"/>
          <w:lang w:val="ru-RU" w:eastAsia="sr-Latn-CS"/>
        </w:rPr>
        <w:t xml:space="preserve"> </w:t>
      </w:r>
      <w:r w:rsidRPr="00F37492">
        <w:rPr>
          <w:sz w:val="22"/>
          <w:szCs w:val="22"/>
          <w:lang w:val="sr-Latn-ME" w:eastAsia="sr-Latn-CS"/>
        </w:rPr>
        <w:t>za</w:t>
      </w:r>
      <w:r w:rsidRPr="00F37492">
        <w:rPr>
          <w:sz w:val="22"/>
          <w:szCs w:val="22"/>
          <w:lang w:val="ru-RU" w:eastAsia="sr-Latn-CS"/>
        </w:rPr>
        <w:t xml:space="preserve"> </w:t>
      </w:r>
      <w:r w:rsidRPr="00F37492">
        <w:rPr>
          <w:sz w:val="22"/>
          <w:szCs w:val="22"/>
          <w:lang w:val="sr-Latn-ME" w:eastAsia="sr-Latn-CS"/>
        </w:rPr>
        <w:t>ljude</w:t>
      </w:r>
      <w:r w:rsidRPr="00F37492">
        <w:rPr>
          <w:sz w:val="22"/>
          <w:szCs w:val="22"/>
          <w:lang w:val="ru-RU" w:eastAsia="sr-Latn-CS"/>
        </w:rPr>
        <w:t xml:space="preserve"> (</w:t>
      </w:r>
      <w:r w:rsidRPr="00F37492">
        <w:rPr>
          <w:sz w:val="22"/>
          <w:szCs w:val="22"/>
          <w:lang w:val="sr-Latn-ME" w:eastAsia="sr-Latn-CS"/>
        </w:rPr>
        <w:t>vidjeti</w:t>
      </w:r>
      <w:r w:rsidRPr="00F37492">
        <w:rPr>
          <w:sz w:val="22"/>
          <w:szCs w:val="22"/>
          <w:lang w:val="ru-RU" w:eastAsia="sr-Latn-CS"/>
        </w:rPr>
        <w:t xml:space="preserve"> </w:t>
      </w:r>
      <w:r w:rsidR="008B3642">
        <w:rPr>
          <w:sz w:val="22"/>
          <w:szCs w:val="22"/>
          <w:lang w:val="sr-Latn-ME" w:eastAsia="sr-Latn-CS"/>
        </w:rPr>
        <w:t>dio</w:t>
      </w:r>
      <w:r w:rsidR="008B3642" w:rsidRPr="00F37492">
        <w:rPr>
          <w:sz w:val="22"/>
          <w:szCs w:val="22"/>
          <w:lang w:val="ru-RU" w:eastAsia="sr-Latn-CS"/>
        </w:rPr>
        <w:t xml:space="preserve"> </w:t>
      </w:r>
      <w:r w:rsidRPr="00F37492">
        <w:rPr>
          <w:sz w:val="22"/>
          <w:szCs w:val="22"/>
          <w:lang w:val="ru-RU" w:eastAsia="sr-Latn-CS"/>
        </w:rPr>
        <w:t xml:space="preserve">5.3). </w:t>
      </w:r>
      <w:r w:rsidRPr="00F37492">
        <w:rPr>
          <w:sz w:val="22"/>
          <w:szCs w:val="22"/>
          <w:lang w:val="sr-Latn-ME" w:eastAsia="sr-Latn-CS"/>
        </w:rPr>
        <w:t>Nije</w:t>
      </w:r>
      <w:r w:rsidRPr="00F37492">
        <w:rPr>
          <w:sz w:val="22"/>
          <w:szCs w:val="22"/>
          <w:lang w:val="ru-RU" w:eastAsia="sr-Latn-CS"/>
        </w:rPr>
        <w:t xml:space="preserve"> </w:t>
      </w:r>
      <w:r w:rsidRPr="00F37492">
        <w:rPr>
          <w:sz w:val="22"/>
          <w:szCs w:val="22"/>
          <w:lang w:val="sr-Latn-ME" w:eastAsia="sr-Latn-CS"/>
        </w:rPr>
        <w:t>poznato</w:t>
      </w:r>
      <w:r w:rsidRPr="00F37492">
        <w:rPr>
          <w:sz w:val="22"/>
          <w:szCs w:val="22"/>
          <w:lang w:val="ru-RU" w:eastAsia="sr-Latn-CS"/>
        </w:rPr>
        <w:t xml:space="preserve"> </w:t>
      </w:r>
      <w:r w:rsidRPr="00F37492">
        <w:rPr>
          <w:sz w:val="22"/>
          <w:szCs w:val="22"/>
          <w:lang w:val="sr-Latn-ME" w:eastAsia="sr-Latn-CS"/>
        </w:rPr>
        <w:t>koliki</w:t>
      </w:r>
      <w:r w:rsidRPr="00F37492">
        <w:rPr>
          <w:sz w:val="22"/>
          <w:szCs w:val="22"/>
          <w:lang w:val="ru-RU" w:eastAsia="sr-Latn-CS"/>
        </w:rPr>
        <w:t xml:space="preserve"> </w:t>
      </w:r>
      <w:r w:rsidRPr="00F37492">
        <w:rPr>
          <w:sz w:val="22"/>
          <w:szCs w:val="22"/>
          <w:lang w:val="sr-Latn-ME" w:eastAsia="sr-Latn-CS"/>
        </w:rPr>
        <w:t>je</w:t>
      </w:r>
      <w:r w:rsidRPr="00F37492">
        <w:rPr>
          <w:sz w:val="22"/>
          <w:szCs w:val="22"/>
          <w:lang w:val="ru-RU" w:eastAsia="sr-Latn-CS"/>
        </w:rPr>
        <w:t xml:space="preserve"> </w:t>
      </w:r>
      <w:r w:rsidRPr="00F37492">
        <w:rPr>
          <w:sz w:val="22"/>
          <w:szCs w:val="22"/>
          <w:lang w:val="sr-Latn-ME" w:eastAsia="sr-Latn-CS"/>
        </w:rPr>
        <w:t>potencijalni</w:t>
      </w:r>
      <w:r w:rsidRPr="00F37492">
        <w:rPr>
          <w:sz w:val="22"/>
          <w:szCs w:val="22"/>
          <w:lang w:val="ru-RU" w:eastAsia="sr-Latn-CS"/>
        </w:rPr>
        <w:t xml:space="preserve"> </w:t>
      </w:r>
      <w:r w:rsidRPr="00F37492">
        <w:rPr>
          <w:sz w:val="22"/>
          <w:szCs w:val="22"/>
          <w:lang w:val="sr-Latn-ME" w:eastAsia="sr-Latn-CS"/>
        </w:rPr>
        <w:t>rizik</w:t>
      </w:r>
      <w:r w:rsidRPr="00F37492">
        <w:rPr>
          <w:sz w:val="22"/>
          <w:szCs w:val="22"/>
          <w:lang w:val="ru-RU" w:eastAsia="sr-Latn-CS"/>
        </w:rPr>
        <w:t xml:space="preserve"> </w:t>
      </w:r>
      <w:r w:rsidRPr="00F37492">
        <w:rPr>
          <w:sz w:val="22"/>
          <w:szCs w:val="22"/>
          <w:lang w:val="sr-Latn-ME" w:eastAsia="sr-Latn-CS"/>
        </w:rPr>
        <w:t>po</w:t>
      </w:r>
      <w:r w:rsidRPr="00F37492">
        <w:rPr>
          <w:sz w:val="22"/>
          <w:szCs w:val="22"/>
          <w:lang w:val="ru-RU" w:eastAsia="sr-Latn-CS"/>
        </w:rPr>
        <w:t xml:space="preserve"> </w:t>
      </w:r>
      <w:r w:rsidRPr="00F37492">
        <w:rPr>
          <w:sz w:val="22"/>
          <w:szCs w:val="22"/>
          <w:lang w:val="sr-Latn-ME" w:eastAsia="sr-Latn-CS"/>
        </w:rPr>
        <w:t>ljude</w:t>
      </w:r>
      <w:r w:rsidRPr="00F37492">
        <w:rPr>
          <w:sz w:val="22"/>
          <w:szCs w:val="22"/>
          <w:lang w:val="ru-RU" w:eastAsia="sr-Latn-CS"/>
        </w:rPr>
        <w:t xml:space="preserve">. </w:t>
      </w:r>
      <w:r w:rsidRPr="00F37492">
        <w:rPr>
          <w:sz w:val="22"/>
          <w:szCs w:val="22"/>
          <w:lang w:val="sr-Latn-ME" w:eastAsia="sr-Latn-CS"/>
        </w:rPr>
        <w:t>Kao</w:t>
      </w:r>
      <w:r w:rsidRPr="00F37492">
        <w:rPr>
          <w:sz w:val="22"/>
          <w:szCs w:val="22"/>
          <w:lang w:val="ru-RU" w:eastAsia="sr-Latn-CS"/>
        </w:rPr>
        <w:t xml:space="preserve"> </w:t>
      </w:r>
      <w:r w:rsidRPr="00F37492">
        <w:rPr>
          <w:sz w:val="22"/>
          <w:szCs w:val="22"/>
          <w:lang w:val="sr-Latn-ME" w:eastAsia="sr-Latn-CS"/>
        </w:rPr>
        <w:t>mjera</w:t>
      </w:r>
      <w:r w:rsidRPr="00F37492">
        <w:rPr>
          <w:sz w:val="22"/>
          <w:szCs w:val="22"/>
          <w:lang w:val="ru-RU" w:eastAsia="sr-Latn-CS"/>
        </w:rPr>
        <w:t xml:space="preserve"> </w:t>
      </w:r>
      <w:r w:rsidRPr="00F37492">
        <w:rPr>
          <w:sz w:val="22"/>
          <w:szCs w:val="22"/>
          <w:lang w:val="sr-Latn-ME" w:eastAsia="sr-Latn-CS"/>
        </w:rPr>
        <w:t>predostro</w:t>
      </w:r>
      <w:r w:rsidRPr="00F37492">
        <w:rPr>
          <w:sz w:val="22"/>
          <w:szCs w:val="22"/>
          <w:lang w:val="ru-RU" w:eastAsia="sr-Latn-CS"/>
        </w:rPr>
        <w:t>ž</w:t>
      </w:r>
      <w:r w:rsidRPr="00F37492">
        <w:rPr>
          <w:sz w:val="22"/>
          <w:szCs w:val="22"/>
          <w:lang w:val="sr-Latn-ME" w:eastAsia="sr-Latn-CS"/>
        </w:rPr>
        <w:t>nosti</w:t>
      </w:r>
      <w:r w:rsidRPr="00F37492">
        <w:rPr>
          <w:sz w:val="22"/>
          <w:szCs w:val="22"/>
          <w:lang w:val="ru-RU" w:eastAsia="sr-Latn-CS"/>
        </w:rPr>
        <w:t xml:space="preserve">, </w:t>
      </w:r>
      <w:r w:rsidRPr="00F37492">
        <w:rPr>
          <w:sz w:val="22"/>
          <w:szCs w:val="22"/>
          <w:lang w:val="sr-Latn-ME" w:eastAsia="sr-Latn-CS"/>
        </w:rPr>
        <w:t>upotreba</w:t>
      </w:r>
      <w:r w:rsidRPr="00F37492">
        <w:rPr>
          <w:sz w:val="22"/>
          <w:szCs w:val="22"/>
          <w:lang w:val="ru-RU" w:eastAsia="sr-Latn-CS"/>
        </w:rPr>
        <w:t xml:space="preserve"> </w:t>
      </w:r>
      <w:r w:rsidRPr="00F37492">
        <w:rPr>
          <w:sz w:val="22"/>
          <w:szCs w:val="22"/>
          <w:lang w:val="sr-Latn-ME" w:eastAsia="sr-Latn-CS"/>
        </w:rPr>
        <w:t>lijeka</w:t>
      </w:r>
      <w:r w:rsidRPr="00F37492">
        <w:rPr>
          <w:sz w:val="22"/>
          <w:szCs w:val="22"/>
          <w:lang w:val="ru-RU" w:eastAsia="sr-Latn-CS"/>
        </w:rPr>
        <w:t xml:space="preserve"> </w:t>
      </w:r>
      <w:r w:rsidRPr="00F37492">
        <w:rPr>
          <w:sz w:val="22"/>
          <w:szCs w:val="22"/>
          <w:lang w:val="sr-Latn-ME" w:eastAsia="sr-Latn-CS"/>
        </w:rPr>
        <w:t>Jakavi</w:t>
      </w:r>
      <w:r w:rsidRPr="00F37492">
        <w:rPr>
          <w:sz w:val="22"/>
          <w:szCs w:val="22"/>
          <w:lang w:val="ru-RU" w:eastAsia="sr-Latn-CS"/>
        </w:rPr>
        <w:t xml:space="preserve"> </w:t>
      </w:r>
      <w:r w:rsidRPr="00F37492">
        <w:rPr>
          <w:sz w:val="22"/>
          <w:szCs w:val="22"/>
          <w:lang w:val="sr-Latn-ME" w:eastAsia="sr-Latn-CS"/>
        </w:rPr>
        <w:t>tokom</w:t>
      </w:r>
      <w:r w:rsidRPr="00F37492">
        <w:rPr>
          <w:sz w:val="22"/>
          <w:szCs w:val="22"/>
          <w:lang w:val="ru-RU" w:eastAsia="sr-Latn-CS"/>
        </w:rPr>
        <w:t xml:space="preserve"> </w:t>
      </w:r>
      <w:r w:rsidRPr="00F37492">
        <w:rPr>
          <w:sz w:val="22"/>
          <w:szCs w:val="22"/>
          <w:lang w:val="sr-Latn-ME" w:eastAsia="sr-Latn-CS"/>
        </w:rPr>
        <w:t>trudno</w:t>
      </w:r>
      <w:r w:rsidRPr="00F37492">
        <w:rPr>
          <w:sz w:val="22"/>
          <w:szCs w:val="22"/>
          <w:lang w:val="ru-RU" w:eastAsia="sr-Latn-CS"/>
        </w:rPr>
        <w:t>ć</w:t>
      </w:r>
      <w:r w:rsidRPr="00F37492">
        <w:rPr>
          <w:sz w:val="22"/>
          <w:szCs w:val="22"/>
          <w:lang w:val="sr-Latn-ME" w:eastAsia="sr-Latn-CS"/>
        </w:rPr>
        <w:t>e</w:t>
      </w:r>
      <w:r w:rsidRPr="00F37492">
        <w:rPr>
          <w:sz w:val="22"/>
          <w:szCs w:val="22"/>
          <w:lang w:val="ru-RU" w:eastAsia="sr-Latn-CS"/>
        </w:rPr>
        <w:t xml:space="preserve"> </w:t>
      </w:r>
      <w:r w:rsidRPr="00F37492">
        <w:rPr>
          <w:sz w:val="22"/>
          <w:szCs w:val="22"/>
          <w:lang w:val="sr-Latn-ME" w:eastAsia="sr-Latn-CS"/>
        </w:rPr>
        <w:t>je</w:t>
      </w:r>
      <w:r w:rsidRPr="00F37492">
        <w:rPr>
          <w:sz w:val="22"/>
          <w:szCs w:val="22"/>
          <w:lang w:val="ru-RU" w:eastAsia="sr-Latn-CS"/>
        </w:rPr>
        <w:t xml:space="preserve"> </w:t>
      </w:r>
      <w:r w:rsidRPr="00F37492">
        <w:rPr>
          <w:sz w:val="22"/>
          <w:szCs w:val="22"/>
          <w:lang w:val="sr-Latn-ME" w:eastAsia="sr-Latn-CS"/>
        </w:rPr>
        <w:t>kontraindikovana</w:t>
      </w:r>
      <w:r w:rsidRPr="00F37492">
        <w:rPr>
          <w:sz w:val="22"/>
          <w:szCs w:val="22"/>
          <w:lang w:val="ru-RU" w:eastAsia="sr-Latn-CS"/>
        </w:rPr>
        <w:t xml:space="preserve"> (</w:t>
      </w:r>
      <w:r w:rsidRPr="00F37492">
        <w:rPr>
          <w:sz w:val="22"/>
          <w:szCs w:val="22"/>
          <w:lang w:val="sr-Latn-ME" w:eastAsia="sr-Latn-CS"/>
        </w:rPr>
        <w:t>vidjeti</w:t>
      </w:r>
      <w:r w:rsidRPr="00F37492">
        <w:rPr>
          <w:sz w:val="22"/>
          <w:szCs w:val="22"/>
          <w:lang w:val="ru-RU" w:eastAsia="sr-Latn-CS"/>
        </w:rPr>
        <w:t xml:space="preserve"> </w:t>
      </w:r>
      <w:r w:rsidR="008B3642">
        <w:rPr>
          <w:sz w:val="22"/>
          <w:szCs w:val="22"/>
          <w:lang w:val="sr-Latn-ME" w:eastAsia="sr-Latn-CS"/>
        </w:rPr>
        <w:t>dio</w:t>
      </w:r>
      <w:r w:rsidR="008B3642" w:rsidRPr="00F37492">
        <w:rPr>
          <w:sz w:val="22"/>
          <w:szCs w:val="22"/>
          <w:shd w:val="clear" w:color="auto" w:fill="FFFFFF"/>
          <w:lang w:val="ru-RU" w:eastAsia="sr-Latn-CS"/>
        </w:rPr>
        <w:t xml:space="preserve"> </w:t>
      </w:r>
      <w:r w:rsidRPr="00F37492">
        <w:rPr>
          <w:sz w:val="22"/>
          <w:szCs w:val="22"/>
          <w:shd w:val="clear" w:color="auto" w:fill="FFFFFF"/>
          <w:lang w:val="ru-RU" w:eastAsia="sr-Latn-CS"/>
        </w:rPr>
        <w:t xml:space="preserve">4.3). </w:t>
      </w:r>
    </w:p>
    <w:p w14:paraId="31CD1D84" w14:textId="77777777" w:rsidR="00F37492" w:rsidRPr="00F37492" w:rsidRDefault="00F37492" w:rsidP="000A557B">
      <w:pPr>
        <w:jc w:val="both"/>
        <w:rPr>
          <w:sz w:val="22"/>
          <w:szCs w:val="22"/>
          <w:shd w:val="clear" w:color="auto" w:fill="FFFFFF"/>
          <w:lang w:val="ru-RU" w:eastAsia="sr-Latn-CS"/>
        </w:rPr>
      </w:pPr>
    </w:p>
    <w:p w14:paraId="24F21A76" w14:textId="569E0C8F" w:rsidR="00F37492" w:rsidRDefault="00F37492" w:rsidP="000A557B">
      <w:pPr>
        <w:jc w:val="both"/>
        <w:rPr>
          <w:sz w:val="22"/>
          <w:szCs w:val="22"/>
          <w:u w:val="single"/>
          <w:shd w:val="clear" w:color="auto" w:fill="FFFFFF"/>
          <w:lang w:val="sr-Latn-RS" w:eastAsia="sr-Latn-CS"/>
        </w:rPr>
      </w:pPr>
      <w:r w:rsidRPr="00F37492">
        <w:rPr>
          <w:sz w:val="22"/>
          <w:szCs w:val="22"/>
          <w:u w:val="single"/>
          <w:shd w:val="clear" w:color="auto" w:fill="FFFFFF"/>
          <w:lang w:val="sr-Latn-RS" w:eastAsia="sr-Latn-CS"/>
        </w:rPr>
        <w:t>Žene u reproduktivnom periodu/Kontracepcija</w:t>
      </w:r>
    </w:p>
    <w:p w14:paraId="0854B9F9" w14:textId="77777777" w:rsidR="008B3642" w:rsidRPr="00F37492" w:rsidRDefault="008B3642" w:rsidP="000A557B">
      <w:pPr>
        <w:jc w:val="both"/>
        <w:rPr>
          <w:sz w:val="22"/>
          <w:szCs w:val="22"/>
          <w:u w:val="single"/>
          <w:shd w:val="clear" w:color="auto" w:fill="FFFFFF"/>
          <w:lang w:val="sr-Latn-RS" w:eastAsia="sr-Latn-CS"/>
        </w:rPr>
      </w:pPr>
    </w:p>
    <w:p w14:paraId="76EDDB9C" w14:textId="4A40C159" w:rsidR="00F37492" w:rsidRPr="00F37492" w:rsidRDefault="00F37492" w:rsidP="000A557B">
      <w:pPr>
        <w:jc w:val="both"/>
        <w:rPr>
          <w:rFonts w:cs="Arial Unicode MS"/>
          <w:sz w:val="22"/>
          <w:szCs w:val="22"/>
          <w:lang w:val="ru-RU" w:eastAsia="sr-Latn-ME"/>
        </w:rPr>
      </w:pPr>
      <w:r w:rsidRPr="00F37492">
        <w:rPr>
          <w:sz w:val="22"/>
          <w:szCs w:val="22"/>
          <w:shd w:val="clear" w:color="auto" w:fill="FFFFFF"/>
          <w:lang w:val="ru-RU" w:eastAsia="sr-Latn-CS"/>
        </w:rPr>
        <w:t>Ž</w:t>
      </w:r>
      <w:r w:rsidRPr="00F37492">
        <w:rPr>
          <w:sz w:val="22"/>
          <w:szCs w:val="22"/>
          <w:shd w:val="clear" w:color="auto" w:fill="FFFFFF"/>
          <w:lang w:val="sr-Latn-ME" w:eastAsia="sr-Latn-CS"/>
        </w:rPr>
        <w:t>ene</w:t>
      </w:r>
      <w:r w:rsidRPr="00F37492">
        <w:rPr>
          <w:sz w:val="22"/>
          <w:szCs w:val="22"/>
          <w:shd w:val="clear" w:color="auto" w:fill="FFFFFF"/>
          <w:lang w:val="ru-RU" w:eastAsia="sr-Latn-CS"/>
        </w:rPr>
        <w:t xml:space="preserve"> </w:t>
      </w:r>
      <w:r w:rsidRPr="00F37492">
        <w:rPr>
          <w:sz w:val="22"/>
          <w:szCs w:val="22"/>
          <w:shd w:val="clear" w:color="auto" w:fill="FFFFFF"/>
          <w:lang w:val="sr-Latn-ME" w:eastAsia="sr-Latn-CS"/>
        </w:rPr>
        <w:t>koje</w:t>
      </w:r>
      <w:r w:rsidRPr="00F37492">
        <w:rPr>
          <w:sz w:val="22"/>
          <w:szCs w:val="22"/>
          <w:shd w:val="clear" w:color="auto" w:fill="FFFFFF"/>
          <w:lang w:val="ru-RU" w:eastAsia="sr-Latn-CS"/>
        </w:rPr>
        <w:t xml:space="preserve"> </w:t>
      </w:r>
      <w:r w:rsidRPr="00F37492">
        <w:rPr>
          <w:sz w:val="22"/>
          <w:szCs w:val="22"/>
          <w:shd w:val="clear" w:color="auto" w:fill="FFFFFF"/>
          <w:lang w:val="sr-Latn-ME" w:eastAsia="sr-Latn-CS"/>
        </w:rPr>
        <w:t>mogu</w:t>
      </w:r>
      <w:r w:rsidRPr="00F37492">
        <w:rPr>
          <w:sz w:val="22"/>
          <w:szCs w:val="22"/>
          <w:shd w:val="clear" w:color="auto" w:fill="FFFFFF"/>
          <w:lang w:val="ru-RU" w:eastAsia="sr-Latn-CS"/>
        </w:rPr>
        <w:t xml:space="preserve"> </w:t>
      </w:r>
      <w:r w:rsidRPr="00F37492">
        <w:rPr>
          <w:sz w:val="22"/>
          <w:szCs w:val="22"/>
          <w:shd w:val="clear" w:color="auto" w:fill="FFFFFF"/>
          <w:lang w:val="sr-Latn-ME" w:eastAsia="sr-Latn-CS"/>
        </w:rPr>
        <w:t>da</w:t>
      </w:r>
      <w:r w:rsidRPr="00F37492">
        <w:rPr>
          <w:sz w:val="22"/>
          <w:szCs w:val="22"/>
          <w:shd w:val="clear" w:color="auto" w:fill="FFFFFF"/>
          <w:lang w:val="ru-RU" w:eastAsia="sr-Latn-CS"/>
        </w:rPr>
        <w:t xml:space="preserve"> </w:t>
      </w:r>
      <w:r w:rsidRPr="00F37492">
        <w:rPr>
          <w:sz w:val="22"/>
          <w:szCs w:val="22"/>
          <w:shd w:val="clear" w:color="auto" w:fill="FFFFFF"/>
          <w:lang w:val="sr-Latn-ME" w:eastAsia="sr-Latn-CS"/>
        </w:rPr>
        <w:t>ra</w:t>
      </w:r>
      <w:r w:rsidRPr="00F37492">
        <w:rPr>
          <w:sz w:val="22"/>
          <w:szCs w:val="22"/>
          <w:shd w:val="clear" w:color="auto" w:fill="FFFFFF"/>
          <w:lang w:val="ru-RU" w:eastAsia="sr-Latn-CS"/>
        </w:rPr>
        <w:t>đ</w:t>
      </w:r>
      <w:r w:rsidRPr="00F37492">
        <w:rPr>
          <w:sz w:val="22"/>
          <w:szCs w:val="22"/>
          <w:shd w:val="clear" w:color="auto" w:fill="FFFFFF"/>
          <w:lang w:val="sr-Latn-ME" w:eastAsia="sr-Latn-CS"/>
        </w:rPr>
        <w:t>aju</w:t>
      </w:r>
      <w:r w:rsidRPr="00F37492">
        <w:rPr>
          <w:sz w:val="22"/>
          <w:szCs w:val="22"/>
          <w:shd w:val="clear" w:color="auto" w:fill="FFFFFF"/>
          <w:lang w:val="ru-RU" w:eastAsia="sr-Latn-CS"/>
        </w:rPr>
        <w:t xml:space="preserve"> </w:t>
      </w:r>
      <w:r w:rsidRPr="00F37492">
        <w:rPr>
          <w:sz w:val="22"/>
          <w:szCs w:val="22"/>
          <w:shd w:val="clear" w:color="auto" w:fill="FFFFFF"/>
          <w:lang w:val="sr-Latn-ME" w:eastAsia="sr-Latn-CS"/>
        </w:rPr>
        <w:t>treba</w:t>
      </w:r>
      <w:r w:rsidRPr="00F37492">
        <w:rPr>
          <w:sz w:val="22"/>
          <w:szCs w:val="22"/>
          <w:shd w:val="clear" w:color="auto" w:fill="FFFFFF"/>
          <w:lang w:val="ru-RU" w:eastAsia="sr-Latn-CS"/>
        </w:rPr>
        <w:t xml:space="preserve"> </w:t>
      </w:r>
      <w:r w:rsidRPr="00F37492">
        <w:rPr>
          <w:sz w:val="22"/>
          <w:szCs w:val="22"/>
          <w:shd w:val="clear" w:color="auto" w:fill="FFFFFF"/>
          <w:lang w:val="sr-Latn-ME" w:eastAsia="sr-Latn-CS"/>
        </w:rPr>
        <w:t>da</w:t>
      </w:r>
      <w:r w:rsidRPr="00F37492">
        <w:rPr>
          <w:sz w:val="22"/>
          <w:szCs w:val="22"/>
          <w:shd w:val="clear" w:color="auto" w:fill="FFFFFF"/>
          <w:lang w:val="ru-RU" w:eastAsia="sr-Latn-CS"/>
        </w:rPr>
        <w:t xml:space="preserve"> </w:t>
      </w:r>
      <w:r w:rsidRPr="00F37492">
        <w:rPr>
          <w:sz w:val="22"/>
          <w:szCs w:val="22"/>
          <w:shd w:val="clear" w:color="auto" w:fill="FFFFFF"/>
          <w:lang w:val="sr-Latn-ME" w:eastAsia="sr-Latn-CS"/>
        </w:rPr>
        <w:t>koriste</w:t>
      </w:r>
      <w:r w:rsidRPr="00F37492">
        <w:rPr>
          <w:sz w:val="22"/>
          <w:szCs w:val="22"/>
          <w:shd w:val="clear" w:color="auto" w:fill="FFFFFF"/>
          <w:lang w:val="ru-RU" w:eastAsia="sr-Latn-CS"/>
        </w:rPr>
        <w:t xml:space="preserve"> </w:t>
      </w:r>
      <w:r w:rsidR="008B3642">
        <w:rPr>
          <w:sz w:val="22"/>
          <w:szCs w:val="22"/>
          <w:shd w:val="clear" w:color="auto" w:fill="FFFFFF"/>
          <w:lang w:val="sr-Latn-ME" w:eastAsia="sr-Latn-CS"/>
        </w:rPr>
        <w:t>efikasnu</w:t>
      </w:r>
      <w:r w:rsidR="008B3642" w:rsidRPr="00F37492">
        <w:rPr>
          <w:sz w:val="22"/>
          <w:szCs w:val="22"/>
          <w:shd w:val="clear" w:color="auto" w:fill="FFFFFF"/>
          <w:lang w:val="ru-RU" w:eastAsia="sr-Latn-CS"/>
        </w:rPr>
        <w:t xml:space="preserve"> </w:t>
      </w:r>
      <w:r w:rsidRPr="00F37492">
        <w:rPr>
          <w:sz w:val="22"/>
          <w:szCs w:val="22"/>
          <w:shd w:val="clear" w:color="auto" w:fill="FFFFFF"/>
          <w:lang w:val="sr-Latn-ME" w:eastAsia="sr-Latn-CS"/>
        </w:rPr>
        <w:t>kontracepciju</w:t>
      </w:r>
      <w:r w:rsidRPr="00F37492">
        <w:rPr>
          <w:sz w:val="22"/>
          <w:szCs w:val="22"/>
          <w:shd w:val="clear" w:color="auto" w:fill="FFFFFF"/>
          <w:lang w:val="ru-RU" w:eastAsia="sr-Latn-CS"/>
        </w:rPr>
        <w:t xml:space="preserve"> </w:t>
      </w:r>
      <w:r w:rsidRPr="00F37492">
        <w:rPr>
          <w:sz w:val="22"/>
          <w:szCs w:val="22"/>
          <w:shd w:val="clear" w:color="auto" w:fill="FFFFFF"/>
          <w:lang w:val="sr-Latn-ME" w:eastAsia="sr-Latn-CS"/>
        </w:rPr>
        <w:t>tokom</w:t>
      </w:r>
      <w:r w:rsidRPr="00F37492">
        <w:rPr>
          <w:sz w:val="22"/>
          <w:szCs w:val="22"/>
          <w:shd w:val="clear" w:color="auto" w:fill="FFFFFF"/>
          <w:lang w:val="ru-RU" w:eastAsia="sr-Latn-CS"/>
        </w:rPr>
        <w:t xml:space="preserve"> </w:t>
      </w:r>
      <w:r w:rsidRPr="00F37492">
        <w:rPr>
          <w:sz w:val="22"/>
          <w:szCs w:val="22"/>
          <w:shd w:val="clear" w:color="auto" w:fill="FFFFFF"/>
          <w:lang w:val="sr-Latn-ME" w:eastAsia="sr-Latn-CS"/>
        </w:rPr>
        <w:t>terapije</w:t>
      </w:r>
      <w:r w:rsidRPr="00F37492">
        <w:rPr>
          <w:sz w:val="22"/>
          <w:szCs w:val="22"/>
          <w:shd w:val="clear" w:color="auto" w:fill="FFFFFF"/>
          <w:lang w:val="ru-RU" w:eastAsia="sr-Latn-CS"/>
        </w:rPr>
        <w:t xml:space="preserve"> </w:t>
      </w:r>
      <w:r w:rsidRPr="00F37492">
        <w:rPr>
          <w:sz w:val="22"/>
          <w:szCs w:val="22"/>
          <w:shd w:val="clear" w:color="auto" w:fill="FFFFFF"/>
          <w:lang w:val="sr-Latn-CS" w:eastAsia="sr-Latn-CS"/>
        </w:rPr>
        <w:t>lijekom Jakavi</w:t>
      </w:r>
      <w:r w:rsidRPr="00F37492">
        <w:rPr>
          <w:sz w:val="22"/>
          <w:szCs w:val="22"/>
          <w:shd w:val="clear" w:color="auto" w:fill="FFFFFF"/>
          <w:lang w:val="ru-RU" w:eastAsia="sr-Latn-CS"/>
        </w:rPr>
        <w:t>.</w:t>
      </w:r>
      <w:r w:rsidRPr="00F37492">
        <w:rPr>
          <w:sz w:val="22"/>
          <w:szCs w:val="22"/>
          <w:lang w:val="ru-RU" w:eastAsia="sr-Latn-CS"/>
        </w:rPr>
        <w:t xml:space="preserve"> </w:t>
      </w:r>
      <w:r w:rsidRPr="00F37492">
        <w:rPr>
          <w:sz w:val="22"/>
          <w:szCs w:val="22"/>
          <w:lang w:val="sr-Latn-ME" w:eastAsia="sr-Latn-CS"/>
        </w:rPr>
        <w:t>Ako</w:t>
      </w:r>
      <w:r w:rsidRPr="00F37492">
        <w:rPr>
          <w:sz w:val="22"/>
          <w:szCs w:val="22"/>
          <w:lang w:val="ru-RU" w:eastAsia="sr-Latn-CS"/>
        </w:rPr>
        <w:t xml:space="preserve"> </w:t>
      </w:r>
      <w:r w:rsidRPr="00F37492">
        <w:rPr>
          <w:sz w:val="22"/>
          <w:szCs w:val="22"/>
          <w:lang w:val="sr-Latn-ME" w:eastAsia="sr-Latn-CS"/>
        </w:rPr>
        <w:t>do</w:t>
      </w:r>
      <w:r w:rsidRPr="00F37492">
        <w:rPr>
          <w:sz w:val="22"/>
          <w:szCs w:val="22"/>
          <w:lang w:val="ru-RU" w:eastAsia="sr-Latn-CS"/>
        </w:rPr>
        <w:t xml:space="preserve"> </w:t>
      </w:r>
      <w:r w:rsidRPr="00F37492">
        <w:rPr>
          <w:sz w:val="22"/>
          <w:szCs w:val="22"/>
          <w:lang w:val="sr-Latn-ME" w:eastAsia="sr-Latn-CS"/>
        </w:rPr>
        <w:t>trudno</w:t>
      </w:r>
      <w:r w:rsidRPr="00F37492">
        <w:rPr>
          <w:sz w:val="22"/>
          <w:szCs w:val="22"/>
          <w:lang w:val="ru-RU" w:eastAsia="sr-Latn-CS"/>
        </w:rPr>
        <w:t>ć</w:t>
      </w:r>
      <w:r w:rsidRPr="00F37492">
        <w:rPr>
          <w:sz w:val="22"/>
          <w:szCs w:val="22"/>
          <w:lang w:val="sr-Latn-ME" w:eastAsia="sr-Latn-CS"/>
        </w:rPr>
        <w:t>e</w:t>
      </w:r>
      <w:r w:rsidRPr="00F37492">
        <w:rPr>
          <w:sz w:val="22"/>
          <w:szCs w:val="22"/>
          <w:lang w:val="ru-RU" w:eastAsia="sr-Latn-CS"/>
        </w:rPr>
        <w:t xml:space="preserve"> </w:t>
      </w:r>
      <w:r w:rsidRPr="00F37492">
        <w:rPr>
          <w:sz w:val="22"/>
          <w:szCs w:val="22"/>
          <w:lang w:val="sr-Latn-ME" w:eastAsia="sr-Latn-CS"/>
        </w:rPr>
        <w:t>ipak</w:t>
      </w:r>
      <w:r w:rsidRPr="00F37492">
        <w:rPr>
          <w:sz w:val="22"/>
          <w:szCs w:val="22"/>
          <w:lang w:val="ru-RU" w:eastAsia="sr-Latn-CS"/>
        </w:rPr>
        <w:t xml:space="preserve"> </w:t>
      </w:r>
      <w:r w:rsidRPr="00F37492">
        <w:rPr>
          <w:sz w:val="22"/>
          <w:szCs w:val="22"/>
          <w:lang w:val="sr-Latn-ME" w:eastAsia="sr-Latn-CS"/>
        </w:rPr>
        <w:t>do</w:t>
      </w:r>
      <w:r w:rsidRPr="00F37492">
        <w:rPr>
          <w:sz w:val="22"/>
          <w:szCs w:val="22"/>
          <w:lang w:val="ru-RU" w:eastAsia="sr-Latn-CS"/>
        </w:rPr>
        <w:t>đ</w:t>
      </w:r>
      <w:r w:rsidRPr="00F37492">
        <w:rPr>
          <w:sz w:val="22"/>
          <w:szCs w:val="22"/>
          <w:lang w:val="sr-Latn-ME" w:eastAsia="sr-Latn-CS"/>
        </w:rPr>
        <w:t>e</w:t>
      </w:r>
      <w:r w:rsidRPr="00F37492">
        <w:rPr>
          <w:sz w:val="22"/>
          <w:szCs w:val="22"/>
          <w:lang w:val="ru-RU" w:eastAsia="sr-Latn-CS"/>
        </w:rPr>
        <w:t xml:space="preserve"> </w:t>
      </w:r>
      <w:r w:rsidRPr="00F37492">
        <w:rPr>
          <w:sz w:val="22"/>
          <w:szCs w:val="22"/>
          <w:lang w:val="sr-Latn-ME" w:eastAsia="sr-Latn-CS"/>
        </w:rPr>
        <w:t>tokom</w:t>
      </w:r>
      <w:r w:rsidRPr="00F37492">
        <w:rPr>
          <w:sz w:val="22"/>
          <w:szCs w:val="22"/>
          <w:lang w:val="ru-RU" w:eastAsia="sr-Latn-CS"/>
        </w:rPr>
        <w:t xml:space="preserve"> </w:t>
      </w:r>
      <w:r w:rsidRPr="00F37492">
        <w:rPr>
          <w:sz w:val="22"/>
          <w:szCs w:val="22"/>
          <w:lang w:val="sr-Latn-ME" w:eastAsia="sr-Latn-CS"/>
        </w:rPr>
        <w:t>terapije</w:t>
      </w:r>
      <w:r w:rsidRPr="00F37492">
        <w:rPr>
          <w:sz w:val="22"/>
          <w:szCs w:val="22"/>
          <w:lang w:val="ru-RU" w:eastAsia="sr-Latn-CS"/>
        </w:rPr>
        <w:t xml:space="preserve"> </w:t>
      </w:r>
      <w:r w:rsidRPr="00F37492">
        <w:rPr>
          <w:sz w:val="22"/>
          <w:szCs w:val="22"/>
          <w:lang w:val="sr-Latn-CS" w:eastAsia="sr-Latn-CS"/>
        </w:rPr>
        <w:t>lijekom Jakavi</w:t>
      </w:r>
      <w:r w:rsidRPr="00F37492">
        <w:rPr>
          <w:sz w:val="22"/>
          <w:szCs w:val="22"/>
          <w:lang w:val="ru-RU" w:eastAsia="sr-Latn-CS"/>
        </w:rPr>
        <w:t xml:space="preserve">, </w:t>
      </w:r>
      <w:r w:rsidRPr="00F37492">
        <w:rPr>
          <w:sz w:val="22"/>
          <w:szCs w:val="22"/>
          <w:lang w:val="sr-Latn-ME" w:eastAsia="sr-Latn-CS"/>
        </w:rPr>
        <w:t>mora</w:t>
      </w:r>
      <w:r w:rsidRPr="00F37492">
        <w:rPr>
          <w:sz w:val="22"/>
          <w:szCs w:val="22"/>
          <w:lang w:val="ru-RU" w:eastAsia="sr-Latn-CS"/>
        </w:rPr>
        <w:t xml:space="preserve"> </w:t>
      </w:r>
      <w:r w:rsidRPr="00F37492">
        <w:rPr>
          <w:sz w:val="22"/>
          <w:szCs w:val="22"/>
          <w:lang w:val="sr-Latn-ME" w:eastAsia="sr-Latn-CS"/>
        </w:rPr>
        <w:t>se</w:t>
      </w:r>
      <w:r w:rsidRPr="00F37492">
        <w:rPr>
          <w:sz w:val="22"/>
          <w:szCs w:val="22"/>
          <w:lang w:val="ru-RU" w:eastAsia="sr-Latn-CS"/>
        </w:rPr>
        <w:t xml:space="preserve"> </w:t>
      </w:r>
      <w:r w:rsidRPr="00F37492">
        <w:rPr>
          <w:sz w:val="22"/>
          <w:szCs w:val="22"/>
          <w:lang w:val="sr-Latn-ME" w:eastAsia="sr-Latn-CS"/>
        </w:rPr>
        <w:t>obaviti</w:t>
      </w:r>
      <w:r w:rsidRPr="00F37492">
        <w:rPr>
          <w:sz w:val="22"/>
          <w:szCs w:val="22"/>
          <w:lang w:val="ru-RU" w:eastAsia="sr-Latn-CS"/>
        </w:rPr>
        <w:t xml:space="preserve"> </w:t>
      </w:r>
      <w:r w:rsidRPr="00F37492">
        <w:rPr>
          <w:sz w:val="22"/>
          <w:szCs w:val="22"/>
          <w:lang w:val="sr-Latn-ME" w:eastAsia="sr-Latn-CS"/>
        </w:rPr>
        <w:t>analiza</w:t>
      </w:r>
      <w:r w:rsidRPr="00F37492">
        <w:rPr>
          <w:sz w:val="22"/>
          <w:szCs w:val="22"/>
          <w:lang w:val="ru-RU" w:eastAsia="sr-Latn-CS"/>
        </w:rPr>
        <w:t xml:space="preserve"> </w:t>
      </w:r>
      <w:r w:rsidRPr="00F37492">
        <w:rPr>
          <w:sz w:val="22"/>
          <w:szCs w:val="22"/>
          <w:lang w:val="sr-Latn-ME" w:eastAsia="sr-Latn-CS"/>
        </w:rPr>
        <w:t>koristi</w:t>
      </w:r>
      <w:r w:rsidRPr="00F37492">
        <w:rPr>
          <w:sz w:val="22"/>
          <w:szCs w:val="22"/>
          <w:lang w:val="ru-RU" w:eastAsia="sr-Latn-CS"/>
        </w:rPr>
        <w:t xml:space="preserve"> </w:t>
      </w:r>
      <w:r w:rsidRPr="00F37492">
        <w:rPr>
          <w:sz w:val="22"/>
          <w:szCs w:val="22"/>
          <w:lang w:val="sr-Latn-ME" w:eastAsia="sr-Latn-CS"/>
        </w:rPr>
        <w:t>i</w:t>
      </w:r>
      <w:r w:rsidRPr="00F37492">
        <w:rPr>
          <w:sz w:val="22"/>
          <w:szCs w:val="22"/>
          <w:lang w:val="ru-RU" w:eastAsia="sr-Latn-CS"/>
        </w:rPr>
        <w:t xml:space="preserve"> </w:t>
      </w:r>
      <w:r w:rsidRPr="00F37492">
        <w:rPr>
          <w:sz w:val="22"/>
          <w:szCs w:val="22"/>
          <w:lang w:val="sr-Latn-ME" w:eastAsia="sr-Latn-CS"/>
        </w:rPr>
        <w:t>rizika</w:t>
      </w:r>
      <w:r w:rsidRPr="00F37492">
        <w:rPr>
          <w:sz w:val="22"/>
          <w:szCs w:val="22"/>
          <w:lang w:val="ru-RU" w:eastAsia="sr-Latn-CS"/>
        </w:rPr>
        <w:t xml:space="preserve"> </w:t>
      </w:r>
      <w:r w:rsidRPr="00F37492">
        <w:rPr>
          <w:sz w:val="22"/>
          <w:szCs w:val="22"/>
          <w:lang w:val="sr-Latn-ME" w:eastAsia="sr-Latn-CS"/>
        </w:rPr>
        <w:t>za</w:t>
      </w:r>
      <w:r w:rsidRPr="00F37492">
        <w:rPr>
          <w:sz w:val="22"/>
          <w:szCs w:val="22"/>
          <w:lang w:val="ru-RU" w:eastAsia="sr-Latn-CS"/>
        </w:rPr>
        <w:t xml:space="preserve"> </w:t>
      </w:r>
      <w:r w:rsidRPr="00F37492">
        <w:rPr>
          <w:sz w:val="22"/>
          <w:szCs w:val="22"/>
          <w:lang w:val="sr-Latn-ME" w:eastAsia="sr-Latn-CS"/>
        </w:rPr>
        <w:t>svaku</w:t>
      </w:r>
      <w:r w:rsidRPr="00F37492">
        <w:rPr>
          <w:sz w:val="22"/>
          <w:szCs w:val="22"/>
          <w:lang w:val="ru-RU" w:eastAsia="sr-Latn-CS"/>
        </w:rPr>
        <w:t xml:space="preserve"> </w:t>
      </w:r>
      <w:r w:rsidRPr="00F37492">
        <w:rPr>
          <w:sz w:val="22"/>
          <w:szCs w:val="22"/>
          <w:lang w:val="sr-Latn-ME" w:eastAsia="sr-Latn-CS"/>
        </w:rPr>
        <w:t>pacijentkinju</w:t>
      </w:r>
      <w:r w:rsidRPr="00F37492">
        <w:rPr>
          <w:sz w:val="22"/>
          <w:szCs w:val="22"/>
          <w:lang w:val="ru-RU" w:eastAsia="sr-Latn-CS"/>
        </w:rPr>
        <w:t xml:space="preserve"> </w:t>
      </w:r>
      <w:r w:rsidRPr="00F37492">
        <w:rPr>
          <w:sz w:val="22"/>
          <w:szCs w:val="22"/>
          <w:lang w:val="sr-Latn-ME" w:eastAsia="sr-Latn-CS"/>
        </w:rPr>
        <w:t>posebno</w:t>
      </w:r>
      <w:r w:rsidRPr="00F37492">
        <w:rPr>
          <w:sz w:val="22"/>
          <w:szCs w:val="22"/>
          <w:lang w:val="ru-RU" w:eastAsia="sr-Latn-CS"/>
        </w:rPr>
        <w:t xml:space="preserve">, </w:t>
      </w:r>
      <w:r w:rsidRPr="00F37492">
        <w:rPr>
          <w:sz w:val="22"/>
          <w:szCs w:val="22"/>
          <w:lang w:val="sr-Latn-ME" w:eastAsia="sr-Latn-CS"/>
        </w:rPr>
        <w:t>uz</w:t>
      </w:r>
      <w:r w:rsidRPr="00F37492">
        <w:rPr>
          <w:sz w:val="22"/>
          <w:szCs w:val="22"/>
          <w:lang w:val="ru-RU" w:eastAsia="sr-Latn-CS"/>
        </w:rPr>
        <w:t xml:space="preserve"> </w:t>
      </w:r>
      <w:r w:rsidRPr="00F37492">
        <w:rPr>
          <w:sz w:val="22"/>
          <w:szCs w:val="22"/>
          <w:lang w:val="sr-Latn-ME" w:eastAsia="sr-Latn-CS"/>
        </w:rPr>
        <w:t>pa</w:t>
      </w:r>
      <w:r w:rsidRPr="00F37492">
        <w:rPr>
          <w:sz w:val="22"/>
          <w:szCs w:val="22"/>
          <w:lang w:val="ru-RU" w:eastAsia="sr-Latn-CS"/>
        </w:rPr>
        <w:t>ž</w:t>
      </w:r>
      <w:r w:rsidRPr="00F37492">
        <w:rPr>
          <w:sz w:val="22"/>
          <w:szCs w:val="22"/>
          <w:lang w:val="sr-Latn-ME" w:eastAsia="sr-Latn-CS"/>
        </w:rPr>
        <w:t>ljivo</w:t>
      </w:r>
      <w:r w:rsidRPr="00F37492">
        <w:rPr>
          <w:sz w:val="22"/>
          <w:szCs w:val="22"/>
          <w:lang w:val="ru-RU" w:eastAsia="sr-Latn-CS"/>
        </w:rPr>
        <w:t xml:space="preserve"> </w:t>
      </w:r>
      <w:r w:rsidRPr="00F37492">
        <w:rPr>
          <w:sz w:val="22"/>
          <w:szCs w:val="22"/>
          <w:lang w:val="sr-Latn-ME" w:eastAsia="sr-Latn-CS"/>
        </w:rPr>
        <w:t>pra</w:t>
      </w:r>
      <w:r w:rsidRPr="00F37492">
        <w:rPr>
          <w:sz w:val="22"/>
          <w:szCs w:val="22"/>
          <w:lang w:val="ru-RU" w:eastAsia="sr-Latn-CS"/>
        </w:rPr>
        <w:t>ć</w:t>
      </w:r>
      <w:r w:rsidRPr="00F37492">
        <w:rPr>
          <w:sz w:val="22"/>
          <w:szCs w:val="22"/>
          <w:lang w:val="sr-Latn-ME" w:eastAsia="sr-Latn-CS"/>
        </w:rPr>
        <w:t>enje</w:t>
      </w:r>
      <w:r w:rsidRPr="00F37492">
        <w:rPr>
          <w:sz w:val="22"/>
          <w:szCs w:val="22"/>
          <w:lang w:val="ru-RU" w:eastAsia="sr-Latn-CS"/>
        </w:rPr>
        <w:t xml:space="preserve"> </w:t>
      </w:r>
      <w:r w:rsidRPr="00F37492">
        <w:rPr>
          <w:sz w:val="22"/>
          <w:szCs w:val="22"/>
          <w:lang w:val="sr-Latn-ME" w:eastAsia="sr-Latn-CS"/>
        </w:rPr>
        <w:t>vezano</w:t>
      </w:r>
      <w:r w:rsidRPr="00F37492">
        <w:rPr>
          <w:sz w:val="22"/>
          <w:szCs w:val="22"/>
          <w:lang w:val="ru-RU" w:eastAsia="sr-Latn-CS"/>
        </w:rPr>
        <w:t xml:space="preserve"> </w:t>
      </w:r>
      <w:r w:rsidRPr="00F37492">
        <w:rPr>
          <w:sz w:val="22"/>
          <w:szCs w:val="22"/>
          <w:lang w:val="sr-Latn-ME" w:eastAsia="sr-Latn-CS"/>
        </w:rPr>
        <w:t>za</w:t>
      </w:r>
      <w:r w:rsidRPr="00F37492">
        <w:rPr>
          <w:sz w:val="22"/>
          <w:szCs w:val="22"/>
          <w:lang w:val="ru-RU" w:eastAsia="sr-Latn-CS"/>
        </w:rPr>
        <w:t xml:space="preserve"> </w:t>
      </w:r>
      <w:r w:rsidRPr="00F37492">
        <w:rPr>
          <w:sz w:val="22"/>
          <w:szCs w:val="22"/>
          <w:lang w:val="sr-Latn-ME" w:eastAsia="sr-Latn-CS"/>
        </w:rPr>
        <w:t>potencijalne</w:t>
      </w:r>
      <w:r w:rsidRPr="00F37492">
        <w:rPr>
          <w:sz w:val="22"/>
          <w:szCs w:val="22"/>
          <w:lang w:val="ru-RU" w:eastAsia="sr-Latn-CS"/>
        </w:rPr>
        <w:t xml:space="preserve"> </w:t>
      </w:r>
      <w:r w:rsidRPr="00F37492">
        <w:rPr>
          <w:sz w:val="22"/>
          <w:szCs w:val="22"/>
          <w:lang w:val="sr-Latn-ME" w:eastAsia="sr-Latn-CS"/>
        </w:rPr>
        <w:t>rizike</w:t>
      </w:r>
      <w:r w:rsidRPr="00F37492">
        <w:rPr>
          <w:sz w:val="22"/>
          <w:szCs w:val="22"/>
          <w:lang w:val="ru-RU" w:eastAsia="sr-Latn-CS"/>
        </w:rPr>
        <w:t xml:space="preserve"> </w:t>
      </w:r>
      <w:r w:rsidRPr="00F37492">
        <w:rPr>
          <w:sz w:val="22"/>
          <w:szCs w:val="22"/>
          <w:lang w:val="sr-Latn-ME" w:eastAsia="sr-Latn-CS"/>
        </w:rPr>
        <w:t>po</w:t>
      </w:r>
      <w:r w:rsidRPr="00F37492">
        <w:rPr>
          <w:sz w:val="22"/>
          <w:szCs w:val="22"/>
          <w:lang w:val="ru-RU" w:eastAsia="sr-Latn-CS"/>
        </w:rPr>
        <w:t xml:space="preserve"> </w:t>
      </w:r>
      <w:r w:rsidRPr="00F37492">
        <w:rPr>
          <w:sz w:val="22"/>
          <w:szCs w:val="22"/>
          <w:lang w:val="sr-Latn-ME" w:eastAsia="sr-Latn-CS"/>
        </w:rPr>
        <w:t>fetus</w:t>
      </w:r>
      <w:r w:rsidRPr="00F37492">
        <w:rPr>
          <w:sz w:val="22"/>
          <w:szCs w:val="22"/>
          <w:lang w:val="ru-RU" w:eastAsia="sr-Latn-CS"/>
        </w:rPr>
        <w:t xml:space="preserve"> (</w:t>
      </w:r>
      <w:r w:rsidRPr="00F37492">
        <w:rPr>
          <w:sz w:val="22"/>
          <w:szCs w:val="22"/>
          <w:lang w:val="sr-Latn-ME" w:eastAsia="sr-Latn-CS"/>
        </w:rPr>
        <w:t>vidjeti</w:t>
      </w:r>
      <w:r w:rsidRPr="00F37492">
        <w:rPr>
          <w:sz w:val="22"/>
          <w:szCs w:val="22"/>
          <w:lang w:val="ru-RU" w:eastAsia="sr-Latn-CS"/>
        </w:rPr>
        <w:t xml:space="preserve"> </w:t>
      </w:r>
      <w:r w:rsidR="008B3642">
        <w:rPr>
          <w:sz w:val="22"/>
          <w:szCs w:val="22"/>
          <w:lang w:val="sr-Latn-ME" w:eastAsia="sr-Latn-CS"/>
        </w:rPr>
        <w:t>dio</w:t>
      </w:r>
      <w:r w:rsidR="008B3642" w:rsidRPr="00F37492">
        <w:rPr>
          <w:sz w:val="22"/>
          <w:szCs w:val="22"/>
          <w:shd w:val="clear" w:color="auto" w:fill="FFFFFF"/>
          <w:lang w:val="ru-RU" w:eastAsia="sr-Latn-CS"/>
        </w:rPr>
        <w:t xml:space="preserve"> </w:t>
      </w:r>
      <w:r w:rsidRPr="00F37492">
        <w:rPr>
          <w:sz w:val="22"/>
          <w:szCs w:val="22"/>
          <w:shd w:val="clear" w:color="auto" w:fill="FFFFFF"/>
          <w:lang w:val="ru-RU" w:eastAsia="sr-Latn-CS"/>
        </w:rPr>
        <w:t>5.3).</w:t>
      </w:r>
    </w:p>
    <w:p w14:paraId="1E0ED919" w14:textId="77777777" w:rsidR="00F37492" w:rsidRPr="00F37492" w:rsidRDefault="00F37492" w:rsidP="000A557B">
      <w:pPr>
        <w:jc w:val="both"/>
        <w:rPr>
          <w:sz w:val="22"/>
          <w:szCs w:val="22"/>
          <w:u w:val="single"/>
          <w:shd w:val="clear" w:color="auto" w:fill="FFFFFF"/>
          <w:lang w:val="ru-RU" w:eastAsia="sr-Latn-CS"/>
        </w:rPr>
      </w:pPr>
    </w:p>
    <w:p w14:paraId="588C26AC" w14:textId="77777777" w:rsidR="008B3642" w:rsidRDefault="00F37492" w:rsidP="000A557B">
      <w:pPr>
        <w:tabs>
          <w:tab w:val="left" w:pos="540"/>
          <w:tab w:val="left" w:pos="569"/>
        </w:tabs>
        <w:jc w:val="both"/>
        <w:rPr>
          <w:sz w:val="22"/>
          <w:szCs w:val="22"/>
          <w:u w:val="single"/>
        </w:rPr>
      </w:pPr>
      <w:r w:rsidRPr="00F37492">
        <w:rPr>
          <w:sz w:val="22"/>
          <w:szCs w:val="22"/>
          <w:u w:val="single"/>
        </w:rPr>
        <w:t>Dojenje</w:t>
      </w:r>
    </w:p>
    <w:p w14:paraId="3AAB5D70" w14:textId="3600D22F" w:rsidR="00F37492" w:rsidRPr="00F37492" w:rsidRDefault="00F37492" w:rsidP="000A557B">
      <w:pPr>
        <w:tabs>
          <w:tab w:val="left" w:pos="540"/>
          <w:tab w:val="left" w:pos="569"/>
        </w:tabs>
        <w:jc w:val="both"/>
        <w:rPr>
          <w:b/>
          <w:bCs/>
          <w:sz w:val="22"/>
          <w:szCs w:val="22"/>
        </w:rPr>
      </w:pPr>
      <w:r w:rsidRPr="00F37492">
        <w:rPr>
          <w:sz w:val="22"/>
          <w:szCs w:val="22"/>
          <w:u w:val="single"/>
        </w:rPr>
        <w:t xml:space="preserve"> </w:t>
      </w:r>
    </w:p>
    <w:p w14:paraId="5B2C64DB" w14:textId="4500A328" w:rsidR="00F37492" w:rsidRPr="00F37492" w:rsidRDefault="008B3642" w:rsidP="000A557B">
      <w:pPr>
        <w:jc w:val="both"/>
        <w:rPr>
          <w:sz w:val="22"/>
          <w:szCs w:val="22"/>
          <w:lang w:val="it-IT" w:eastAsia="sr-Latn-CS"/>
        </w:rPr>
      </w:pPr>
      <w:r>
        <w:rPr>
          <w:sz w:val="22"/>
          <w:szCs w:val="22"/>
          <w:lang w:val="sr-Latn-ME" w:eastAsia="sr-Latn-CS"/>
        </w:rPr>
        <w:t xml:space="preserve">Lijek </w:t>
      </w:r>
      <w:r w:rsidR="00F37492" w:rsidRPr="00F37492">
        <w:rPr>
          <w:sz w:val="22"/>
          <w:szCs w:val="22"/>
          <w:lang w:val="sr-Latn-ME" w:eastAsia="sr-Latn-CS"/>
        </w:rPr>
        <w:t>Jakavi</w:t>
      </w:r>
      <w:r w:rsidR="00F37492" w:rsidRPr="00F37492">
        <w:rPr>
          <w:sz w:val="22"/>
          <w:szCs w:val="22"/>
          <w:lang w:val="ru-RU" w:eastAsia="sr-Latn-CS"/>
        </w:rPr>
        <w:t xml:space="preserve"> </w:t>
      </w:r>
      <w:r w:rsidR="00F37492" w:rsidRPr="00F37492">
        <w:rPr>
          <w:sz w:val="22"/>
          <w:szCs w:val="22"/>
          <w:lang w:val="sr-Latn-ME" w:eastAsia="sr-Latn-CS"/>
        </w:rPr>
        <w:t>se</w:t>
      </w:r>
      <w:r w:rsidR="00F37492" w:rsidRPr="00F37492">
        <w:rPr>
          <w:sz w:val="22"/>
          <w:szCs w:val="22"/>
          <w:lang w:val="ru-RU" w:eastAsia="sr-Latn-CS"/>
        </w:rPr>
        <w:t xml:space="preserve"> </w:t>
      </w:r>
      <w:r w:rsidR="00F37492" w:rsidRPr="00F37492">
        <w:rPr>
          <w:sz w:val="22"/>
          <w:szCs w:val="22"/>
          <w:lang w:val="sr-Latn-ME" w:eastAsia="sr-Latn-CS"/>
        </w:rPr>
        <w:t>ne</w:t>
      </w:r>
      <w:r w:rsidR="00F37492" w:rsidRPr="00F37492">
        <w:rPr>
          <w:sz w:val="22"/>
          <w:szCs w:val="22"/>
          <w:lang w:val="ru-RU" w:eastAsia="sr-Latn-CS"/>
        </w:rPr>
        <w:t xml:space="preserve"> </w:t>
      </w:r>
      <w:r w:rsidR="00F37492" w:rsidRPr="00F37492">
        <w:rPr>
          <w:sz w:val="22"/>
          <w:szCs w:val="22"/>
          <w:lang w:val="sr-Latn-ME" w:eastAsia="sr-Latn-CS"/>
        </w:rPr>
        <w:t>smije</w:t>
      </w:r>
      <w:r w:rsidR="00F37492" w:rsidRPr="00F37492">
        <w:rPr>
          <w:sz w:val="22"/>
          <w:szCs w:val="22"/>
          <w:lang w:val="ru-RU" w:eastAsia="sr-Latn-CS"/>
        </w:rPr>
        <w:t xml:space="preserve"> </w:t>
      </w:r>
      <w:r w:rsidR="00F37492" w:rsidRPr="00F37492">
        <w:rPr>
          <w:sz w:val="22"/>
          <w:szCs w:val="22"/>
          <w:lang w:val="sr-Latn-ME" w:eastAsia="sr-Latn-CS"/>
        </w:rPr>
        <w:t>koristiti</w:t>
      </w:r>
      <w:r w:rsidR="00F37492" w:rsidRPr="00F37492">
        <w:rPr>
          <w:sz w:val="22"/>
          <w:szCs w:val="22"/>
          <w:lang w:val="ru-RU" w:eastAsia="sr-Latn-CS"/>
        </w:rPr>
        <w:t xml:space="preserve"> </w:t>
      </w:r>
      <w:r w:rsidR="00F37492" w:rsidRPr="00F37492">
        <w:rPr>
          <w:sz w:val="22"/>
          <w:szCs w:val="22"/>
          <w:lang w:val="sr-Latn-ME" w:eastAsia="sr-Latn-CS"/>
        </w:rPr>
        <w:t>tokom</w:t>
      </w:r>
      <w:r w:rsidR="00F37492" w:rsidRPr="00F37492">
        <w:rPr>
          <w:sz w:val="22"/>
          <w:szCs w:val="22"/>
          <w:lang w:val="ru-RU" w:eastAsia="sr-Latn-CS"/>
        </w:rPr>
        <w:t xml:space="preserve"> </w:t>
      </w:r>
      <w:r w:rsidR="00F37492" w:rsidRPr="00F37492">
        <w:rPr>
          <w:sz w:val="22"/>
          <w:szCs w:val="22"/>
          <w:lang w:val="sr-Latn-ME" w:eastAsia="sr-Latn-CS"/>
        </w:rPr>
        <w:t>dojenja</w:t>
      </w:r>
      <w:r w:rsidR="00F37492" w:rsidRPr="00F37492">
        <w:rPr>
          <w:sz w:val="22"/>
          <w:szCs w:val="22"/>
          <w:lang w:val="ru-RU" w:eastAsia="sr-Latn-CS"/>
        </w:rPr>
        <w:t xml:space="preserve"> (</w:t>
      </w:r>
      <w:r w:rsidR="00F37492" w:rsidRPr="00F37492">
        <w:rPr>
          <w:sz w:val="22"/>
          <w:szCs w:val="22"/>
          <w:lang w:val="sr-Latn-ME" w:eastAsia="sr-Latn-CS"/>
        </w:rPr>
        <w:t>vidjeti</w:t>
      </w:r>
      <w:r w:rsidR="00F37492" w:rsidRPr="00F37492">
        <w:rPr>
          <w:sz w:val="22"/>
          <w:szCs w:val="22"/>
          <w:lang w:val="ru-RU" w:eastAsia="sr-Latn-CS"/>
        </w:rPr>
        <w:t xml:space="preserve"> </w:t>
      </w:r>
      <w:r>
        <w:rPr>
          <w:sz w:val="22"/>
          <w:szCs w:val="22"/>
          <w:lang w:val="sr-Latn-ME" w:eastAsia="sr-Latn-CS"/>
        </w:rPr>
        <w:t>dio</w:t>
      </w:r>
      <w:r w:rsidRPr="00F37492">
        <w:rPr>
          <w:sz w:val="22"/>
          <w:szCs w:val="22"/>
          <w:lang w:val="ru-RU" w:eastAsia="sr-Latn-CS"/>
        </w:rPr>
        <w:t xml:space="preserve"> </w:t>
      </w:r>
      <w:r w:rsidR="00F37492" w:rsidRPr="00F37492">
        <w:rPr>
          <w:sz w:val="22"/>
          <w:szCs w:val="22"/>
          <w:lang w:val="ru-RU" w:eastAsia="sr-Latn-CS"/>
        </w:rPr>
        <w:t xml:space="preserve">4.3), </w:t>
      </w:r>
      <w:r w:rsidR="00F37492" w:rsidRPr="00F37492">
        <w:rPr>
          <w:sz w:val="22"/>
          <w:szCs w:val="22"/>
          <w:lang w:val="sr-Latn-ME" w:eastAsia="sr-Latn-CS"/>
        </w:rPr>
        <w:t>pa</w:t>
      </w:r>
      <w:r w:rsidR="00F37492" w:rsidRPr="00F37492">
        <w:rPr>
          <w:sz w:val="22"/>
          <w:szCs w:val="22"/>
          <w:lang w:val="ru-RU" w:eastAsia="sr-Latn-CS"/>
        </w:rPr>
        <w:t xml:space="preserve"> </w:t>
      </w:r>
      <w:r w:rsidR="00F37492" w:rsidRPr="00F37492">
        <w:rPr>
          <w:sz w:val="22"/>
          <w:szCs w:val="22"/>
          <w:lang w:val="sr-Latn-ME" w:eastAsia="sr-Latn-CS"/>
        </w:rPr>
        <w:t>stoga</w:t>
      </w:r>
      <w:r w:rsidR="00F37492" w:rsidRPr="00F37492">
        <w:rPr>
          <w:sz w:val="22"/>
          <w:szCs w:val="22"/>
          <w:lang w:val="ru-RU" w:eastAsia="sr-Latn-CS"/>
        </w:rPr>
        <w:t xml:space="preserve"> </w:t>
      </w:r>
      <w:r w:rsidR="00F37492" w:rsidRPr="00F37492">
        <w:rPr>
          <w:sz w:val="22"/>
          <w:szCs w:val="22"/>
          <w:lang w:val="sr-Latn-ME" w:eastAsia="sr-Latn-CS"/>
        </w:rPr>
        <w:t>dojenje</w:t>
      </w:r>
      <w:r w:rsidR="00F37492" w:rsidRPr="00F37492">
        <w:rPr>
          <w:sz w:val="22"/>
          <w:szCs w:val="22"/>
          <w:lang w:val="ru-RU" w:eastAsia="sr-Latn-CS"/>
        </w:rPr>
        <w:t xml:space="preserve"> </w:t>
      </w:r>
      <w:r w:rsidR="00F37492" w:rsidRPr="00F37492">
        <w:rPr>
          <w:sz w:val="22"/>
          <w:szCs w:val="22"/>
          <w:lang w:val="sr-Latn-ME" w:eastAsia="sr-Latn-CS"/>
        </w:rPr>
        <w:t>treba</w:t>
      </w:r>
      <w:r w:rsidR="00F37492" w:rsidRPr="00F37492">
        <w:rPr>
          <w:sz w:val="22"/>
          <w:szCs w:val="22"/>
          <w:lang w:val="ru-RU" w:eastAsia="sr-Latn-CS"/>
        </w:rPr>
        <w:t xml:space="preserve"> </w:t>
      </w:r>
      <w:r w:rsidR="00F37492" w:rsidRPr="00F37492">
        <w:rPr>
          <w:sz w:val="22"/>
          <w:szCs w:val="22"/>
          <w:lang w:val="sr-Latn-ME" w:eastAsia="sr-Latn-CS"/>
        </w:rPr>
        <w:t>obustaviti</w:t>
      </w:r>
      <w:r w:rsidR="00F37492" w:rsidRPr="00F37492">
        <w:rPr>
          <w:sz w:val="22"/>
          <w:szCs w:val="22"/>
          <w:lang w:val="ru-RU" w:eastAsia="sr-Latn-CS"/>
        </w:rPr>
        <w:t xml:space="preserve"> </w:t>
      </w:r>
      <w:r w:rsidR="00F37492" w:rsidRPr="00F37492">
        <w:rPr>
          <w:sz w:val="22"/>
          <w:szCs w:val="22"/>
          <w:lang w:val="sr-Latn-ME" w:eastAsia="sr-Latn-CS"/>
        </w:rPr>
        <w:t>kada</w:t>
      </w:r>
      <w:r w:rsidR="00F37492" w:rsidRPr="00F37492">
        <w:rPr>
          <w:sz w:val="22"/>
          <w:szCs w:val="22"/>
          <w:lang w:val="ru-RU" w:eastAsia="sr-Latn-CS"/>
        </w:rPr>
        <w:t xml:space="preserve"> </w:t>
      </w:r>
      <w:r w:rsidR="00F37492" w:rsidRPr="00F37492">
        <w:rPr>
          <w:sz w:val="22"/>
          <w:szCs w:val="22"/>
          <w:lang w:val="sr-Latn-ME" w:eastAsia="sr-Latn-CS"/>
        </w:rPr>
        <w:t>se</w:t>
      </w:r>
      <w:r w:rsidR="00F37492" w:rsidRPr="00F37492">
        <w:rPr>
          <w:sz w:val="22"/>
          <w:szCs w:val="22"/>
          <w:lang w:val="ru-RU" w:eastAsia="sr-Latn-CS"/>
        </w:rPr>
        <w:t xml:space="preserve"> </w:t>
      </w:r>
      <w:r w:rsidR="00F37492" w:rsidRPr="00F37492">
        <w:rPr>
          <w:sz w:val="22"/>
          <w:szCs w:val="22"/>
          <w:lang w:val="sr-Latn-ME" w:eastAsia="sr-Latn-CS"/>
        </w:rPr>
        <w:t>zapo</w:t>
      </w:r>
      <w:r w:rsidR="00F37492" w:rsidRPr="00F37492">
        <w:rPr>
          <w:sz w:val="22"/>
          <w:szCs w:val="22"/>
          <w:lang w:val="ru-RU" w:eastAsia="sr-Latn-CS"/>
        </w:rPr>
        <w:t>č</w:t>
      </w:r>
      <w:r w:rsidR="00F37492" w:rsidRPr="00F37492">
        <w:rPr>
          <w:sz w:val="22"/>
          <w:szCs w:val="22"/>
          <w:lang w:val="sr-Latn-ME" w:eastAsia="sr-Latn-CS"/>
        </w:rPr>
        <w:t>ne</w:t>
      </w:r>
      <w:r w:rsidR="00F37492" w:rsidRPr="00F37492">
        <w:rPr>
          <w:sz w:val="22"/>
          <w:szCs w:val="22"/>
          <w:lang w:val="ru-RU" w:eastAsia="sr-Latn-CS"/>
        </w:rPr>
        <w:t xml:space="preserve"> </w:t>
      </w:r>
      <w:r w:rsidR="00F37492" w:rsidRPr="00F37492">
        <w:rPr>
          <w:sz w:val="22"/>
          <w:szCs w:val="22"/>
          <w:lang w:val="sr-Latn-ME" w:eastAsia="sr-Latn-CS"/>
        </w:rPr>
        <w:t>terapija</w:t>
      </w:r>
      <w:r w:rsidR="00F37492" w:rsidRPr="00F37492">
        <w:rPr>
          <w:sz w:val="22"/>
          <w:szCs w:val="22"/>
          <w:lang w:val="ru-RU" w:eastAsia="sr-Latn-CS"/>
        </w:rPr>
        <w:t xml:space="preserve">. </w:t>
      </w:r>
      <w:r w:rsidR="00F37492" w:rsidRPr="00F37492">
        <w:rPr>
          <w:sz w:val="22"/>
          <w:szCs w:val="22"/>
          <w:lang w:val="it-IT" w:eastAsia="sr-Latn-CS"/>
        </w:rPr>
        <w:t xml:space="preserve">Nije poznato da li se ruksolitinib i/ili njegovi metaboliti izlučuju u </w:t>
      </w:r>
      <w:r>
        <w:rPr>
          <w:sz w:val="22"/>
          <w:szCs w:val="22"/>
          <w:lang w:val="it-IT" w:eastAsia="sr-Latn-CS"/>
        </w:rPr>
        <w:t xml:space="preserve">majčino </w:t>
      </w:r>
      <w:r w:rsidR="00F37492" w:rsidRPr="00F37492">
        <w:rPr>
          <w:sz w:val="22"/>
          <w:szCs w:val="22"/>
          <w:lang w:val="it-IT" w:eastAsia="sr-Latn-CS"/>
        </w:rPr>
        <w:t xml:space="preserve">mlijeko. Ne može se isključiti rizik po dijete koje se doji. Raspoloživi farmakodimanski/toksikološki podaci dobijeni na životinjama pokazuju da se ruksolitinib i njegovi metaboliti izlučuju u mlijeku (vidjeti </w:t>
      </w:r>
      <w:r>
        <w:rPr>
          <w:sz w:val="22"/>
          <w:szCs w:val="22"/>
          <w:lang w:val="it-IT" w:eastAsia="sr-Latn-CS"/>
        </w:rPr>
        <w:t>dio</w:t>
      </w:r>
      <w:r w:rsidRPr="00F37492">
        <w:rPr>
          <w:sz w:val="22"/>
          <w:szCs w:val="22"/>
          <w:lang w:val="it-IT" w:eastAsia="sr-Latn-CS"/>
        </w:rPr>
        <w:t xml:space="preserve"> </w:t>
      </w:r>
      <w:r w:rsidR="00F37492" w:rsidRPr="00F37492">
        <w:rPr>
          <w:sz w:val="22"/>
          <w:szCs w:val="22"/>
          <w:lang w:val="it-IT" w:eastAsia="sr-Latn-CS"/>
        </w:rPr>
        <w:t>5.3).</w:t>
      </w:r>
    </w:p>
    <w:p w14:paraId="51261739" w14:textId="77777777" w:rsidR="00F37492" w:rsidRPr="00F37492" w:rsidRDefault="00F37492" w:rsidP="000A557B">
      <w:pPr>
        <w:jc w:val="both"/>
        <w:rPr>
          <w:rFonts w:cs="Arial Unicode MS"/>
          <w:sz w:val="22"/>
          <w:szCs w:val="22"/>
          <w:lang w:val="it-IT" w:eastAsia="sr-Latn-ME"/>
        </w:rPr>
      </w:pPr>
    </w:p>
    <w:p w14:paraId="3D55D49A" w14:textId="1A6CCAC6" w:rsidR="00F37492" w:rsidRDefault="00F37492" w:rsidP="000A557B">
      <w:pPr>
        <w:tabs>
          <w:tab w:val="left" w:pos="540"/>
          <w:tab w:val="left" w:pos="569"/>
        </w:tabs>
        <w:jc w:val="both"/>
        <w:rPr>
          <w:sz w:val="22"/>
          <w:szCs w:val="22"/>
          <w:u w:val="single"/>
        </w:rPr>
      </w:pPr>
      <w:r w:rsidRPr="00F37492">
        <w:rPr>
          <w:sz w:val="22"/>
          <w:szCs w:val="22"/>
          <w:u w:val="single"/>
        </w:rPr>
        <w:t>Plodnost</w:t>
      </w:r>
    </w:p>
    <w:p w14:paraId="5AABDCC1" w14:textId="77777777" w:rsidR="008B3642" w:rsidRPr="00F37492" w:rsidRDefault="008B3642" w:rsidP="000A557B">
      <w:pPr>
        <w:tabs>
          <w:tab w:val="left" w:pos="540"/>
          <w:tab w:val="left" w:pos="569"/>
        </w:tabs>
        <w:jc w:val="both"/>
        <w:rPr>
          <w:sz w:val="22"/>
          <w:szCs w:val="22"/>
          <w:u w:val="single"/>
        </w:rPr>
      </w:pPr>
    </w:p>
    <w:p w14:paraId="20C9EB31" w14:textId="77777777" w:rsidR="00F37492" w:rsidRPr="00F37492" w:rsidRDefault="00F37492" w:rsidP="000A557B">
      <w:pPr>
        <w:jc w:val="both"/>
        <w:rPr>
          <w:rFonts w:cs="Arial Unicode MS"/>
          <w:sz w:val="22"/>
          <w:szCs w:val="22"/>
          <w:lang w:val="it-IT" w:eastAsia="sr-Latn-ME"/>
        </w:rPr>
      </w:pPr>
      <w:r w:rsidRPr="00F37492">
        <w:rPr>
          <w:sz w:val="22"/>
          <w:szCs w:val="22"/>
          <w:lang w:val="it-IT" w:eastAsia="sr-Latn-CS"/>
        </w:rPr>
        <w:t>Nema podataka o dejstvu ruksolitiniba na fertilitet kod ljudi. U ispitivanjima na životinjama nije zapaženo nikakvo dejstvo na fertilitet.</w:t>
      </w:r>
    </w:p>
    <w:p w14:paraId="1FE6A891" w14:textId="77777777" w:rsidR="00227BDB" w:rsidRDefault="00227BDB" w:rsidP="000A557B">
      <w:pPr>
        <w:tabs>
          <w:tab w:val="left" w:pos="540"/>
          <w:tab w:val="left" w:pos="569"/>
        </w:tabs>
        <w:jc w:val="both"/>
        <w:rPr>
          <w:b/>
          <w:bCs/>
          <w:sz w:val="22"/>
          <w:szCs w:val="22"/>
        </w:rPr>
      </w:pPr>
    </w:p>
    <w:p w14:paraId="6EDD79AC" w14:textId="77777777" w:rsidR="0072020E" w:rsidRPr="00786071" w:rsidRDefault="0072020E" w:rsidP="000A557B">
      <w:pPr>
        <w:tabs>
          <w:tab w:val="left" w:pos="540"/>
          <w:tab w:val="left" w:pos="569"/>
        </w:tabs>
        <w:jc w:val="both"/>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4191A1C3" w14:textId="77777777" w:rsidR="0072020E" w:rsidRDefault="0072020E" w:rsidP="000A557B">
      <w:pPr>
        <w:tabs>
          <w:tab w:val="left" w:pos="540"/>
          <w:tab w:val="left" w:pos="569"/>
        </w:tabs>
        <w:jc w:val="both"/>
        <w:rPr>
          <w:b/>
          <w:bCs/>
          <w:sz w:val="22"/>
          <w:szCs w:val="22"/>
        </w:rPr>
      </w:pPr>
    </w:p>
    <w:p w14:paraId="3447CD7D" w14:textId="77777777" w:rsidR="00F37492" w:rsidRPr="00F37492" w:rsidRDefault="00F37492" w:rsidP="000A557B">
      <w:pPr>
        <w:jc w:val="both"/>
        <w:rPr>
          <w:sz w:val="22"/>
          <w:szCs w:val="22"/>
          <w:lang w:val="it-IT" w:eastAsia="sr-Latn-CS"/>
        </w:rPr>
      </w:pPr>
      <w:r w:rsidRPr="00F37492">
        <w:rPr>
          <w:sz w:val="22"/>
          <w:szCs w:val="22"/>
          <w:lang w:val="it-IT" w:eastAsia="sr-Latn-CS"/>
        </w:rPr>
        <w:t>Lijek Jakavi nema ili ima zanemarljivo sedativno dejstvo. Međutim, pacijenti koji osjete vrtoglavicu nakon primjene ruksolitiniba ne treba da upravljaju ni vozilima, ni mašinama.</w:t>
      </w:r>
    </w:p>
    <w:p w14:paraId="1062AB06" w14:textId="77777777" w:rsidR="00F37492" w:rsidRPr="00786071" w:rsidRDefault="00F37492" w:rsidP="000A557B">
      <w:pPr>
        <w:tabs>
          <w:tab w:val="left" w:pos="540"/>
          <w:tab w:val="left" w:pos="569"/>
        </w:tabs>
        <w:jc w:val="both"/>
        <w:rPr>
          <w:b/>
          <w:bCs/>
          <w:sz w:val="22"/>
          <w:szCs w:val="22"/>
        </w:rPr>
      </w:pPr>
    </w:p>
    <w:p w14:paraId="0AF78D6F" w14:textId="77777777" w:rsidR="0072020E" w:rsidRDefault="0072020E" w:rsidP="000A557B">
      <w:pPr>
        <w:tabs>
          <w:tab w:val="left" w:pos="540"/>
          <w:tab w:val="left" w:pos="569"/>
        </w:tabs>
        <w:jc w:val="both"/>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55F99BC3" w14:textId="77777777" w:rsidR="004E70AD" w:rsidRDefault="004E70AD" w:rsidP="000A557B">
      <w:pPr>
        <w:tabs>
          <w:tab w:val="left" w:pos="540"/>
          <w:tab w:val="left" w:pos="569"/>
        </w:tabs>
        <w:rPr>
          <w:b/>
          <w:bCs/>
          <w:sz w:val="22"/>
          <w:szCs w:val="22"/>
        </w:rPr>
      </w:pPr>
    </w:p>
    <w:p w14:paraId="33BA667E" w14:textId="77777777" w:rsidR="00F37492" w:rsidRPr="00F37492" w:rsidRDefault="00F37492" w:rsidP="000A557B">
      <w:pPr>
        <w:jc w:val="both"/>
        <w:rPr>
          <w:rFonts w:cs="Arial Unicode MS"/>
          <w:sz w:val="22"/>
          <w:szCs w:val="22"/>
          <w:lang w:val="sr-Latn-ME" w:eastAsia="sr-Latn-ME"/>
        </w:rPr>
      </w:pPr>
      <w:r w:rsidRPr="00F37492">
        <w:rPr>
          <w:sz w:val="22"/>
          <w:szCs w:val="22"/>
          <w:u w:val="single"/>
          <w:shd w:val="clear" w:color="auto" w:fill="FFFFFF"/>
          <w:lang w:val="sr-Latn-ME" w:eastAsia="sr-Latn-CS"/>
        </w:rPr>
        <w:t>Sažetak bezbjednosnog profila</w:t>
      </w:r>
    </w:p>
    <w:p w14:paraId="10FAC306" w14:textId="77777777" w:rsidR="00F37492" w:rsidRPr="00F37492" w:rsidRDefault="00F37492" w:rsidP="000A557B">
      <w:pPr>
        <w:keepNext/>
        <w:jc w:val="both"/>
        <w:rPr>
          <w:sz w:val="22"/>
          <w:szCs w:val="22"/>
          <w:u w:val="single"/>
          <w:lang w:val="hr-HR"/>
        </w:rPr>
      </w:pPr>
    </w:p>
    <w:p w14:paraId="7F186916" w14:textId="77777777" w:rsidR="00F37492" w:rsidRPr="00F37492" w:rsidRDefault="00F37492" w:rsidP="000A557B">
      <w:pPr>
        <w:keepNext/>
        <w:jc w:val="both"/>
        <w:rPr>
          <w:i/>
          <w:sz w:val="22"/>
          <w:szCs w:val="22"/>
          <w:u w:val="single"/>
          <w:lang w:val="hr-HR"/>
        </w:rPr>
      </w:pPr>
      <w:r w:rsidRPr="00F37492">
        <w:rPr>
          <w:i/>
          <w:sz w:val="22"/>
          <w:szCs w:val="22"/>
          <w:u w:val="single"/>
          <w:lang w:val="hr-HR"/>
        </w:rPr>
        <w:t>Mijelofibroza</w:t>
      </w:r>
    </w:p>
    <w:p w14:paraId="66845BC3" w14:textId="77777777" w:rsidR="00F37492" w:rsidRPr="00F37492" w:rsidRDefault="00F37492" w:rsidP="000A557B">
      <w:pPr>
        <w:jc w:val="both"/>
        <w:rPr>
          <w:rFonts w:cs="Arial Unicode MS"/>
          <w:sz w:val="22"/>
          <w:szCs w:val="22"/>
          <w:lang w:val="hr-HR" w:eastAsia="sr-Latn-ME"/>
        </w:rPr>
      </w:pPr>
      <w:r w:rsidRPr="00F37492">
        <w:rPr>
          <w:sz w:val="22"/>
          <w:szCs w:val="22"/>
          <w:lang w:val="hr-HR" w:eastAsia="sr-Latn-CS"/>
        </w:rPr>
        <w:t>Najčešće prijavljene neželjene reakcije na lijek bile su trombocitopenija i anemija.</w:t>
      </w:r>
    </w:p>
    <w:p w14:paraId="7EC141E5" w14:textId="77777777" w:rsidR="00F37492" w:rsidRPr="00F37492" w:rsidRDefault="00F37492" w:rsidP="000A557B">
      <w:pPr>
        <w:jc w:val="both"/>
        <w:rPr>
          <w:sz w:val="22"/>
          <w:szCs w:val="22"/>
          <w:lang w:val="hr-HR" w:eastAsia="sr-Latn-CS"/>
        </w:rPr>
      </w:pPr>
    </w:p>
    <w:p w14:paraId="5709EA46" w14:textId="77777777" w:rsidR="00F37492" w:rsidRPr="00F37492" w:rsidRDefault="00F37492" w:rsidP="000A557B">
      <w:pPr>
        <w:jc w:val="both"/>
        <w:rPr>
          <w:rFonts w:cs="Arial Unicode MS"/>
          <w:sz w:val="22"/>
          <w:szCs w:val="22"/>
          <w:lang w:val="hr-HR" w:eastAsia="sr-Latn-ME"/>
        </w:rPr>
      </w:pPr>
      <w:r w:rsidRPr="00F37492">
        <w:rPr>
          <w:sz w:val="22"/>
          <w:szCs w:val="22"/>
          <w:lang w:val="hr-HR" w:eastAsia="sr-Latn-CS"/>
        </w:rPr>
        <w:t xml:space="preserve">Hematološke neželjene reakcije na lijek (bilo koji stepen po Zajedničkim terminološkim kriterijumima za neželjene događaje, engl. </w:t>
      </w:r>
      <w:r w:rsidRPr="00F37492">
        <w:rPr>
          <w:i/>
          <w:sz w:val="22"/>
          <w:szCs w:val="22"/>
          <w:lang w:val="hr-HR" w:eastAsia="sr-Latn-CS"/>
        </w:rPr>
        <w:t>Common Terminology Criteria for Adverse Events,</w:t>
      </w:r>
      <w:r w:rsidRPr="00F37492">
        <w:rPr>
          <w:sz w:val="22"/>
          <w:szCs w:val="22"/>
          <w:lang w:val="hr-HR" w:eastAsia="sr-Latn-CS"/>
        </w:rPr>
        <w:t xml:space="preserve"> CTCAE) uključile su anemiju (83,8%), trombocitopeniju (</w:t>
      </w:r>
      <w:r w:rsidRPr="00F37492">
        <w:rPr>
          <w:sz w:val="22"/>
          <w:szCs w:val="22"/>
          <w:lang w:val="sr-Latn-ME" w:eastAsia="sr-Latn-CS"/>
        </w:rPr>
        <w:t>80,5</w:t>
      </w:r>
      <w:r w:rsidRPr="00F37492">
        <w:rPr>
          <w:sz w:val="22"/>
          <w:szCs w:val="22"/>
          <w:lang w:val="hr-HR" w:eastAsia="sr-Latn-CS"/>
        </w:rPr>
        <w:t>%) i neutropeniju (</w:t>
      </w:r>
      <w:r w:rsidRPr="00F37492">
        <w:rPr>
          <w:sz w:val="22"/>
          <w:szCs w:val="22"/>
          <w:lang w:val="sr-Latn-ME" w:eastAsia="sr-Latn-CS"/>
        </w:rPr>
        <w:t>20,8</w:t>
      </w:r>
      <w:r w:rsidRPr="00F37492">
        <w:rPr>
          <w:sz w:val="22"/>
          <w:szCs w:val="22"/>
          <w:lang w:val="hr-HR" w:eastAsia="sr-Latn-CS"/>
        </w:rPr>
        <w:t>%).</w:t>
      </w:r>
    </w:p>
    <w:p w14:paraId="326D517A" w14:textId="77777777" w:rsidR="00F37492" w:rsidRPr="00F37492" w:rsidRDefault="00F37492" w:rsidP="000A557B">
      <w:pPr>
        <w:jc w:val="both"/>
        <w:rPr>
          <w:sz w:val="22"/>
          <w:szCs w:val="22"/>
          <w:lang w:val="hr-HR" w:eastAsia="sr-Latn-CS"/>
        </w:rPr>
      </w:pPr>
    </w:p>
    <w:p w14:paraId="26DB8B31" w14:textId="77777777" w:rsidR="00F37492" w:rsidRPr="00F37492" w:rsidRDefault="00F37492" w:rsidP="000A557B">
      <w:pPr>
        <w:jc w:val="both"/>
        <w:rPr>
          <w:rFonts w:cs="Arial Unicode MS"/>
          <w:sz w:val="22"/>
          <w:szCs w:val="22"/>
          <w:lang w:val="hr-HR" w:eastAsia="sr-Latn-ME"/>
        </w:rPr>
      </w:pPr>
      <w:r w:rsidRPr="00F37492">
        <w:rPr>
          <w:sz w:val="22"/>
          <w:szCs w:val="22"/>
          <w:lang w:val="hr-HR" w:eastAsia="sr-Latn-CS"/>
        </w:rPr>
        <w:t>Anemija, trombocitopenija i neutropenija su dozno zavisna neželjena dejstva.</w:t>
      </w:r>
    </w:p>
    <w:p w14:paraId="4F77906C" w14:textId="77777777" w:rsidR="00F37492" w:rsidRPr="00F37492" w:rsidRDefault="00F37492" w:rsidP="000A557B">
      <w:pPr>
        <w:jc w:val="both"/>
        <w:rPr>
          <w:sz w:val="22"/>
          <w:szCs w:val="22"/>
          <w:lang w:val="hr-HR" w:eastAsia="sr-Latn-CS"/>
        </w:rPr>
      </w:pPr>
    </w:p>
    <w:p w14:paraId="38EC4CDC" w14:textId="4480082D" w:rsidR="00F37492" w:rsidRPr="00F37492" w:rsidRDefault="00F37492" w:rsidP="000A557B">
      <w:pPr>
        <w:jc w:val="both"/>
        <w:rPr>
          <w:rFonts w:cs="Arial Unicode MS"/>
          <w:sz w:val="22"/>
          <w:szCs w:val="22"/>
          <w:lang w:val="hr-HR" w:eastAsia="sr-Latn-ME"/>
        </w:rPr>
      </w:pPr>
      <w:r w:rsidRPr="00F37492">
        <w:rPr>
          <w:sz w:val="22"/>
          <w:szCs w:val="22"/>
          <w:lang w:val="hr-HR" w:eastAsia="sr-Latn-CS"/>
        </w:rPr>
        <w:t>Tri najčešće nehematološke neželjene reakcije na lijek bile su: pojava modrica (</w:t>
      </w:r>
      <w:r w:rsidRPr="00F37492">
        <w:rPr>
          <w:sz w:val="22"/>
          <w:szCs w:val="22"/>
          <w:lang w:val="it-IT" w:eastAsia="sr-Latn-CS"/>
        </w:rPr>
        <w:t>33</w:t>
      </w:r>
      <w:r w:rsidRPr="00F37492">
        <w:rPr>
          <w:sz w:val="22"/>
          <w:szCs w:val="22"/>
          <w:lang w:val="it-IT" w:eastAsia="sr-Latn-ME"/>
        </w:rPr>
        <w:t>,3</w:t>
      </w:r>
      <w:r w:rsidRPr="00F37492">
        <w:rPr>
          <w:sz w:val="22"/>
          <w:szCs w:val="22"/>
          <w:lang w:val="hr-HR" w:eastAsia="sr-Latn-CS"/>
        </w:rPr>
        <w:t xml:space="preserve">%), </w:t>
      </w:r>
      <w:r w:rsidRPr="00F37492">
        <w:rPr>
          <w:sz w:val="22"/>
          <w:szCs w:val="22"/>
          <w:lang w:val="it-IT" w:eastAsia="sr-Latn-CS"/>
        </w:rPr>
        <w:t xml:space="preserve">druga krvarenja (uključujući epistaksu, postproceduralno krvarenja i hematuriju) (24,3%) i </w:t>
      </w:r>
      <w:r w:rsidRPr="00F37492">
        <w:rPr>
          <w:sz w:val="22"/>
          <w:szCs w:val="22"/>
          <w:lang w:val="hr-HR" w:eastAsia="sr-Latn-CS"/>
        </w:rPr>
        <w:t>vrtoglavica (</w:t>
      </w:r>
      <w:r w:rsidRPr="00F37492">
        <w:rPr>
          <w:sz w:val="22"/>
          <w:szCs w:val="22"/>
          <w:lang w:val="it-IT" w:eastAsia="sr-Latn-CS"/>
        </w:rPr>
        <w:t>21,9</w:t>
      </w:r>
      <w:r w:rsidRPr="00F37492">
        <w:rPr>
          <w:sz w:val="22"/>
          <w:szCs w:val="22"/>
          <w:lang w:val="hr-HR" w:eastAsia="sr-Latn-CS"/>
        </w:rPr>
        <w:t>%).</w:t>
      </w:r>
    </w:p>
    <w:p w14:paraId="5C4D74A7" w14:textId="77777777" w:rsidR="00F37492" w:rsidRPr="00F37492" w:rsidRDefault="00F37492" w:rsidP="000A557B">
      <w:pPr>
        <w:jc w:val="both"/>
        <w:rPr>
          <w:sz w:val="22"/>
          <w:szCs w:val="22"/>
          <w:lang w:val="hr-HR" w:eastAsia="sr-Latn-CS"/>
        </w:rPr>
      </w:pPr>
    </w:p>
    <w:p w14:paraId="2281179E" w14:textId="7EC68D98" w:rsidR="00F37492" w:rsidRPr="00F37492" w:rsidRDefault="00F37492" w:rsidP="000A557B">
      <w:pPr>
        <w:jc w:val="both"/>
        <w:rPr>
          <w:rFonts w:cs="Arial Unicode MS"/>
          <w:sz w:val="22"/>
          <w:szCs w:val="22"/>
          <w:lang w:val="hr-HR" w:eastAsia="sr-Latn-ME"/>
        </w:rPr>
      </w:pPr>
      <w:r w:rsidRPr="00F37492">
        <w:rPr>
          <w:sz w:val="22"/>
          <w:szCs w:val="22"/>
          <w:lang w:val="hr-HR" w:eastAsia="sr-Latn-CS"/>
        </w:rPr>
        <w:t xml:space="preserve">Tri najčešće nehematološke laboratorijske abnormalnosti </w:t>
      </w:r>
      <w:r w:rsidRPr="00F37492">
        <w:rPr>
          <w:sz w:val="22"/>
          <w:szCs w:val="22"/>
          <w:lang w:val="it-IT" w:eastAsia="sr-Latn-CS"/>
        </w:rPr>
        <w:t xml:space="preserve">prepoznate kao neželjene reakcije </w:t>
      </w:r>
      <w:r w:rsidRPr="00F37492">
        <w:rPr>
          <w:sz w:val="22"/>
          <w:szCs w:val="22"/>
          <w:lang w:val="hr-HR" w:eastAsia="sr-Latn-CS"/>
        </w:rPr>
        <w:t xml:space="preserve">bile su: </w:t>
      </w:r>
      <w:r w:rsidRPr="00F37492">
        <w:rPr>
          <w:sz w:val="22"/>
          <w:szCs w:val="22"/>
          <w:lang w:val="it-IT" w:eastAsia="sr-Latn-CS"/>
        </w:rPr>
        <w:t>povi</w:t>
      </w:r>
      <w:r w:rsidRPr="00F37492">
        <w:rPr>
          <w:sz w:val="22"/>
          <w:szCs w:val="22"/>
          <w:lang w:val="sr-Latn-RS" w:eastAsia="sr-Latn-CS"/>
        </w:rPr>
        <w:t>šena</w:t>
      </w:r>
      <w:r w:rsidRPr="00F37492">
        <w:rPr>
          <w:sz w:val="22"/>
          <w:szCs w:val="22"/>
          <w:lang w:val="sr-Latn-RS" w:eastAsia="sr-Latn-ME"/>
        </w:rPr>
        <w:t xml:space="preserve"> </w:t>
      </w:r>
      <w:r w:rsidRPr="00F37492">
        <w:rPr>
          <w:sz w:val="22"/>
          <w:szCs w:val="22"/>
          <w:lang w:val="hr-HR" w:eastAsia="sr-Latn-CS"/>
        </w:rPr>
        <w:t>alanin aminotransferaza (</w:t>
      </w:r>
      <w:r w:rsidRPr="00F37492">
        <w:rPr>
          <w:sz w:val="22"/>
          <w:szCs w:val="22"/>
          <w:lang w:val="it-IT" w:eastAsia="sr-Latn-CS"/>
        </w:rPr>
        <w:t>40,7</w:t>
      </w:r>
      <w:r w:rsidRPr="00F37492">
        <w:rPr>
          <w:sz w:val="22"/>
          <w:szCs w:val="22"/>
          <w:lang w:val="hr-HR" w:eastAsia="sr-Latn-CS"/>
        </w:rPr>
        <w:t xml:space="preserve">%), povišena aspartat aminotransferaza (31,5%) i </w:t>
      </w:r>
      <w:r w:rsidRPr="00F37492">
        <w:rPr>
          <w:sz w:val="22"/>
          <w:szCs w:val="22"/>
          <w:lang w:val="it-IT" w:eastAsia="sr-Latn-CS"/>
        </w:rPr>
        <w:t>hipertrigliceridemija</w:t>
      </w:r>
      <w:r w:rsidRPr="00F37492">
        <w:rPr>
          <w:sz w:val="22"/>
          <w:szCs w:val="22"/>
          <w:lang w:val="hr-HR" w:eastAsia="sr-Latn-CS"/>
        </w:rPr>
        <w:t xml:space="preserve"> </w:t>
      </w:r>
      <w:r w:rsidRPr="00F37492">
        <w:rPr>
          <w:sz w:val="21"/>
          <w:szCs w:val="21"/>
          <w:shd w:val="clear" w:color="auto" w:fill="FFFFFF"/>
          <w:lang w:val="hr-HR" w:eastAsia="sr-Latn-CS"/>
        </w:rPr>
        <w:t>(25,2%).</w:t>
      </w:r>
      <w:r w:rsidRPr="00F37492">
        <w:rPr>
          <w:sz w:val="22"/>
          <w:szCs w:val="22"/>
          <w:lang w:val="hr-HR" w:eastAsia="sr-Latn-ME"/>
        </w:rPr>
        <w:t xml:space="preserve"> </w:t>
      </w:r>
      <w:r w:rsidRPr="00F37492">
        <w:rPr>
          <w:sz w:val="21"/>
          <w:szCs w:val="21"/>
          <w:shd w:val="clear" w:color="auto" w:fill="FFFFFF"/>
          <w:lang w:val="hr-HR" w:eastAsia="sr-Latn-CS"/>
        </w:rPr>
        <w:t>U kliničkim studijama MF faze 3 ni</w:t>
      </w:r>
      <w:r w:rsidR="00BC6DEA">
        <w:rPr>
          <w:sz w:val="21"/>
          <w:szCs w:val="21"/>
          <w:shd w:val="clear" w:color="auto" w:fill="FFFFFF"/>
          <w:lang w:val="hr-HR" w:eastAsia="sr-Latn-CS"/>
        </w:rPr>
        <w:t>je</w:t>
      </w:r>
      <w:r w:rsidRPr="00F37492">
        <w:rPr>
          <w:sz w:val="21"/>
          <w:szCs w:val="21"/>
          <w:shd w:val="clear" w:color="auto" w:fill="FFFFFF"/>
          <w:lang w:val="hr-HR" w:eastAsia="sr-Latn-CS"/>
        </w:rPr>
        <w:t xml:space="preserve">su bili uočeni ni </w:t>
      </w:r>
      <w:r w:rsidRPr="00F37492">
        <w:rPr>
          <w:sz w:val="22"/>
          <w:szCs w:val="22"/>
          <w:lang w:val="it-IT" w:eastAsia="sr-Latn-CS"/>
        </w:rPr>
        <w:t>hipertrigliceridemija</w:t>
      </w:r>
      <w:r w:rsidRPr="00F37492">
        <w:rPr>
          <w:sz w:val="21"/>
          <w:szCs w:val="21"/>
          <w:shd w:val="clear" w:color="auto" w:fill="FFFFFF"/>
          <w:lang w:val="hr-HR" w:eastAsia="sr-Latn-CS"/>
        </w:rPr>
        <w:t xml:space="preserve"> </w:t>
      </w:r>
      <w:r w:rsidRPr="00F37492">
        <w:rPr>
          <w:sz w:val="21"/>
          <w:szCs w:val="21"/>
          <w:shd w:val="clear" w:color="auto" w:fill="FFFFFF"/>
          <w:lang w:val="it-IT" w:eastAsia="sr-Latn-CS"/>
        </w:rPr>
        <w:t>ili povišena aspartat aminotransferaza</w:t>
      </w:r>
      <w:r w:rsidRPr="00F37492">
        <w:rPr>
          <w:sz w:val="21"/>
          <w:szCs w:val="21"/>
          <w:shd w:val="clear" w:color="auto" w:fill="FFFFFF"/>
          <w:lang w:val="it-IT" w:eastAsia="sr-Latn-ME"/>
        </w:rPr>
        <w:t xml:space="preserve"> </w:t>
      </w:r>
      <w:r w:rsidRPr="00F37492">
        <w:rPr>
          <w:sz w:val="21"/>
          <w:szCs w:val="21"/>
          <w:shd w:val="clear" w:color="auto" w:fill="FFFFFF"/>
          <w:lang w:val="hr-HR" w:eastAsia="sr-Latn-CS"/>
        </w:rPr>
        <w:t xml:space="preserve">stepena 3 ili 4 prema CTCAE u, niti povećanje alanin aminotransferaze </w:t>
      </w:r>
      <w:r w:rsidRPr="00F37492">
        <w:rPr>
          <w:sz w:val="21"/>
          <w:szCs w:val="21"/>
          <w:shd w:val="clear" w:color="auto" w:fill="FFFFFF"/>
          <w:lang w:val="it-IT" w:eastAsia="sr-Latn-CS"/>
        </w:rPr>
        <w:t xml:space="preserve">ili hiperholesterolemija </w:t>
      </w:r>
      <w:r w:rsidRPr="00F37492">
        <w:rPr>
          <w:sz w:val="21"/>
          <w:szCs w:val="21"/>
          <w:shd w:val="clear" w:color="auto" w:fill="FFFFFF"/>
          <w:lang w:val="hr-HR" w:eastAsia="sr-Latn-CS"/>
        </w:rPr>
        <w:t>stepena 4 prema CTCAE u.</w:t>
      </w:r>
    </w:p>
    <w:p w14:paraId="4D73BFEB" w14:textId="77777777" w:rsidR="00F37492" w:rsidRPr="00F37492" w:rsidRDefault="00F37492" w:rsidP="000A557B">
      <w:pPr>
        <w:jc w:val="both"/>
        <w:rPr>
          <w:sz w:val="22"/>
          <w:szCs w:val="22"/>
          <w:u w:val="single"/>
          <w:shd w:val="clear" w:color="auto" w:fill="FFFFFF"/>
          <w:lang w:val="hr-HR" w:eastAsia="sr-Latn-CS"/>
        </w:rPr>
      </w:pPr>
    </w:p>
    <w:p w14:paraId="6C968B10" w14:textId="77777777" w:rsidR="00F37492" w:rsidRPr="00F37492" w:rsidRDefault="00F37492" w:rsidP="000A557B">
      <w:pPr>
        <w:jc w:val="both"/>
        <w:rPr>
          <w:sz w:val="22"/>
          <w:szCs w:val="22"/>
          <w:lang w:val="hr-HR"/>
        </w:rPr>
      </w:pPr>
      <w:r w:rsidRPr="00F37492">
        <w:rPr>
          <w:sz w:val="22"/>
          <w:szCs w:val="22"/>
          <w:lang w:val="hr-HR"/>
        </w:rPr>
        <w:t>Prekid terapije usljed neželjenih događaja, bez obzira na uzročno posljedičnu vezu, uočeni su kod 30,0% pacijenata.</w:t>
      </w:r>
    </w:p>
    <w:p w14:paraId="6661C5D8" w14:textId="77777777" w:rsidR="00F37492" w:rsidRPr="00F37492" w:rsidRDefault="00F37492" w:rsidP="000A557B">
      <w:pPr>
        <w:jc w:val="both"/>
        <w:rPr>
          <w:sz w:val="22"/>
          <w:szCs w:val="22"/>
          <w:u w:val="single"/>
          <w:shd w:val="clear" w:color="auto" w:fill="FFFFFF"/>
          <w:lang w:val="hr-HR" w:eastAsia="sr-Latn-CS"/>
        </w:rPr>
      </w:pPr>
    </w:p>
    <w:p w14:paraId="4FEFD200" w14:textId="77777777" w:rsidR="00F37492" w:rsidRPr="00F37492" w:rsidRDefault="00F37492" w:rsidP="000A557B">
      <w:pPr>
        <w:keepNext/>
        <w:widowControl w:val="0"/>
        <w:jc w:val="both"/>
        <w:rPr>
          <w:rFonts w:eastAsia="MS Mincho"/>
          <w:i/>
          <w:sz w:val="22"/>
          <w:szCs w:val="22"/>
          <w:u w:val="single"/>
          <w:lang w:val="hr-HR" w:eastAsia="x-none"/>
        </w:rPr>
      </w:pPr>
      <w:r w:rsidRPr="00F37492">
        <w:rPr>
          <w:rFonts w:eastAsia="MS Mincho"/>
          <w:i/>
          <w:sz w:val="22"/>
          <w:szCs w:val="22"/>
          <w:u w:val="single"/>
          <w:lang w:val="hr-HR" w:eastAsia="x-none"/>
        </w:rPr>
        <w:t>Policitemija vera</w:t>
      </w:r>
    </w:p>
    <w:p w14:paraId="3E581E5F" w14:textId="77777777" w:rsidR="00F37492" w:rsidRPr="00F37492" w:rsidRDefault="00F37492" w:rsidP="000A557B">
      <w:pPr>
        <w:widowControl w:val="0"/>
        <w:tabs>
          <w:tab w:val="left" w:pos="720"/>
        </w:tabs>
        <w:jc w:val="both"/>
        <w:rPr>
          <w:rFonts w:eastAsia="MS Mincho"/>
          <w:sz w:val="22"/>
          <w:szCs w:val="22"/>
          <w:lang w:val="hr-HR" w:eastAsia="x-none"/>
        </w:rPr>
      </w:pPr>
      <w:r w:rsidRPr="00F37492">
        <w:rPr>
          <w:rFonts w:eastAsia="MS Mincho"/>
          <w:sz w:val="22"/>
          <w:szCs w:val="22"/>
          <w:lang w:val="hr-HR" w:eastAsia="x-none"/>
        </w:rPr>
        <w:t>Najučestalije prijavljene neželjene reakcije na lijek bile su anemija i povećanje alanin aminotransferaze.</w:t>
      </w:r>
    </w:p>
    <w:p w14:paraId="5591EA38" w14:textId="77777777" w:rsidR="00F37492" w:rsidRPr="00F37492" w:rsidRDefault="00F37492" w:rsidP="000A557B">
      <w:pPr>
        <w:widowControl w:val="0"/>
        <w:jc w:val="both"/>
        <w:rPr>
          <w:rFonts w:eastAsia="MS Mincho"/>
          <w:sz w:val="22"/>
          <w:lang w:val="hr-HR"/>
        </w:rPr>
      </w:pPr>
    </w:p>
    <w:p w14:paraId="59D339AA" w14:textId="0E841CB8" w:rsidR="00F37492" w:rsidRPr="00F37492" w:rsidRDefault="00F37492" w:rsidP="000A557B">
      <w:pPr>
        <w:widowControl w:val="0"/>
        <w:jc w:val="both"/>
        <w:rPr>
          <w:rFonts w:eastAsia="MS Mincho"/>
          <w:sz w:val="22"/>
          <w:szCs w:val="22"/>
          <w:lang w:val="hr-HR" w:eastAsia="x-none"/>
        </w:rPr>
      </w:pPr>
      <w:r w:rsidRPr="00F37492">
        <w:rPr>
          <w:rFonts w:eastAsia="MS Mincho"/>
          <w:sz w:val="22"/>
          <w:szCs w:val="22"/>
          <w:lang w:val="hr-HR" w:eastAsia="x-none"/>
        </w:rPr>
        <w:t>Hematološke neželjene reakcije (bilo kojeg stepena prema CTCAE</w:t>
      </w:r>
      <w:r w:rsidRPr="00F37492">
        <w:rPr>
          <w:rFonts w:eastAsia="MS Mincho"/>
          <w:sz w:val="22"/>
          <w:szCs w:val="22"/>
          <w:lang w:val="hr-HR" w:eastAsia="x-none"/>
        </w:rPr>
        <w:noBreakHyphen/>
        <w:t>u) uključivale su anemiju (61,8%), trombocitopeniju (25,0%)</w:t>
      </w:r>
      <w:r w:rsidRPr="00F37492">
        <w:rPr>
          <w:rFonts w:eastAsia="MS Mincho"/>
          <w:szCs w:val="22"/>
          <w:lang w:val="hr-HR" w:eastAsia="x-none"/>
        </w:rPr>
        <w:t xml:space="preserve"> i neutropeniju (5,3%)</w:t>
      </w:r>
      <w:r w:rsidRPr="00F37492">
        <w:rPr>
          <w:rFonts w:eastAsia="MS Mincho"/>
          <w:sz w:val="22"/>
          <w:szCs w:val="22"/>
          <w:lang w:val="hr-HR" w:eastAsia="x-none"/>
        </w:rPr>
        <w:t>. Anemija i trombocitopenija stepena 3 ili 4 prema CTCAE</w:t>
      </w:r>
      <w:r w:rsidRPr="00F37492">
        <w:rPr>
          <w:rFonts w:eastAsia="MS Mincho"/>
          <w:sz w:val="22"/>
          <w:szCs w:val="22"/>
          <w:lang w:val="hr-HR" w:eastAsia="x-none"/>
        </w:rPr>
        <w:noBreakHyphen/>
        <w:t>u bile su prijavljene kod 2,9% odnosno 2,6%</w:t>
      </w:r>
      <w:r w:rsidR="00BC6DEA">
        <w:rPr>
          <w:rFonts w:eastAsia="MS Mincho"/>
          <w:sz w:val="22"/>
          <w:szCs w:val="22"/>
          <w:lang w:val="hr-HR" w:eastAsia="x-none"/>
        </w:rPr>
        <w:t xml:space="preserve"> pacijenata</w:t>
      </w:r>
      <w:r w:rsidRPr="00F37492">
        <w:rPr>
          <w:rFonts w:eastAsia="MS Mincho"/>
          <w:sz w:val="22"/>
          <w:szCs w:val="22"/>
          <w:lang w:val="hr-HR" w:eastAsia="x-none"/>
        </w:rPr>
        <w:t>.</w:t>
      </w:r>
    </w:p>
    <w:p w14:paraId="17580800" w14:textId="77777777" w:rsidR="00F37492" w:rsidRPr="00F37492" w:rsidRDefault="00F37492" w:rsidP="000A557B">
      <w:pPr>
        <w:widowControl w:val="0"/>
        <w:jc w:val="both"/>
        <w:rPr>
          <w:rFonts w:eastAsia="MS Mincho"/>
          <w:sz w:val="22"/>
          <w:szCs w:val="22"/>
          <w:lang w:val="hr-HR" w:eastAsia="x-none"/>
        </w:rPr>
      </w:pPr>
    </w:p>
    <w:p w14:paraId="2737A84A" w14:textId="22330BF6" w:rsidR="00F37492" w:rsidRPr="00F37492" w:rsidRDefault="00F37492" w:rsidP="000A557B">
      <w:pPr>
        <w:widowControl w:val="0"/>
        <w:jc w:val="both"/>
        <w:rPr>
          <w:rFonts w:eastAsia="MS Mincho"/>
          <w:sz w:val="22"/>
          <w:szCs w:val="22"/>
          <w:lang w:val="hr-HR" w:eastAsia="x-none"/>
        </w:rPr>
      </w:pPr>
      <w:r w:rsidRPr="00F37492">
        <w:rPr>
          <w:rFonts w:eastAsia="MS Mincho"/>
          <w:sz w:val="22"/>
          <w:szCs w:val="22"/>
          <w:lang w:val="hr-HR" w:eastAsia="x-none"/>
        </w:rPr>
        <w:t xml:space="preserve">Tri najučestalije nehematološke neželjene reakcije bile su </w:t>
      </w:r>
      <w:r w:rsidR="002C1314">
        <w:rPr>
          <w:rFonts w:eastAsia="MS Mincho"/>
          <w:sz w:val="22"/>
          <w:szCs w:val="22"/>
          <w:lang w:val="hr-HR" w:eastAsia="x-none"/>
        </w:rPr>
        <w:t>porast tjelesne mase</w:t>
      </w:r>
      <w:r w:rsidRPr="00F37492">
        <w:rPr>
          <w:rFonts w:eastAsia="MS Mincho"/>
          <w:sz w:val="22"/>
          <w:szCs w:val="22"/>
          <w:lang w:val="hr-HR" w:eastAsia="x-none"/>
        </w:rPr>
        <w:t xml:space="preserve"> (20,3%), vrtoglavica (19,4%) i glavobolja (17,9%).</w:t>
      </w:r>
    </w:p>
    <w:p w14:paraId="1D3FF2E1" w14:textId="77777777" w:rsidR="00F37492" w:rsidRPr="00F37492" w:rsidRDefault="00F37492" w:rsidP="000A557B">
      <w:pPr>
        <w:widowControl w:val="0"/>
        <w:jc w:val="both"/>
        <w:rPr>
          <w:rFonts w:eastAsia="MS Mincho"/>
          <w:sz w:val="22"/>
          <w:szCs w:val="22"/>
          <w:lang w:val="hr-HR" w:eastAsia="x-none"/>
        </w:rPr>
      </w:pPr>
    </w:p>
    <w:p w14:paraId="39556CF8" w14:textId="77777777" w:rsidR="00F37492" w:rsidRPr="00F37492" w:rsidRDefault="00F37492" w:rsidP="000A557B">
      <w:pPr>
        <w:widowControl w:val="0"/>
        <w:jc w:val="both"/>
        <w:rPr>
          <w:rFonts w:eastAsia="MS Mincho"/>
          <w:sz w:val="22"/>
          <w:szCs w:val="22"/>
          <w:lang w:val="hr-HR" w:eastAsia="x-none"/>
        </w:rPr>
      </w:pPr>
      <w:r w:rsidRPr="00F37492">
        <w:rPr>
          <w:rFonts w:eastAsia="MS Mincho"/>
          <w:sz w:val="22"/>
          <w:szCs w:val="22"/>
          <w:lang w:val="hr-HR" w:eastAsia="x-none"/>
        </w:rPr>
        <w:t>Tri najučestalije nehematološke laboratorijske abnormalnosti (bilo kojeg stepena prema CTCAE</w:t>
      </w:r>
      <w:r w:rsidRPr="00F37492">
        <w:rPr>
          <w:rFonts w:eastAsia="MS Mincho"/>
          <w:sz w:val="22"/>
          <w:szCs w:val="22"/>
          <w:lang w:val="hr-HR" w:eastAsia="x-none"/>
        </w:rPr>
        <w:noBreakHyphen/>
        <w:t>u), prepoznate kao neželjene reakcije, bile su povišena alanin aminotransferaza (45,3%), povišena aspartat aminotransferaza (42,6%) i hiperholesterolemija (34,7%). Nije bilo uočeno povišenje alanin aminotransferaze, niti hipertrigliceridemija stepena 4 prema CTCAE-u, a zabilježeno je jedno povećanje aspartat aminotransferaze stepena 4 prema CTCAE-u.</w:t>
      </w:r>
    </w:p>
    <w:p w14:paraId="0DF82F67" w14:textId="77777777" w:rsidR="00F37492" w:rsidRPr="00F37492" w:rsidRDefault="00F37492" w:rsidP="000A557B">
      <w:pPr>
        <w:widowControl w:val="0"/>
        <w:jc w:val="both"/>
        <w:rPr>
          <w:rFonts w:eastAsia="MS Mincho"/>
          <w:sz w:val="22"/>
          <w:szCs w:val="22"/>
          <w:lang w:val="hr-HR" w:eastAsia="x-none"/>
        </w:rPr>
      </w:pPr>
    </w:p>
    <w:p w14:paraId="053F2DF5" w14:textId="71D2A1FF" w:rsidR="00F37492" w:rsidRPr="00F37492" w:rsidRDefault="00F37492" w:rsidP="000A557B">
      <w:pPr>
        <w:widowControl w:val="0"/>
        <w:jc w:val="both"/>
        <w:rPr>
          <w:rFonts w:eastAsia="MS Mincho"/>
          <w:sz w:val="22"/>
          <w:szCs w:val="22"/>
          <w:lang w:val="hr-HR" w:eastAsia="x-none"/>
        </w:rPr>
      </w:pPr>
      <w:r w:rsidRPr="00F37492">
        <w:rPr>
          <w:rFonts w:eastAsia="MS Mincho"/>
          <w:sz w:val="22"/>
          <w:szCs w:val="22"/>
          <w:lang w:val="hr-HR" w:eastAsia="x-none"/>
        </w:rPr>
        <w:t>Prekid terapije usl</w:t>
      </w:r>
      <w:r w:rsidR="00697918">
        <w:rPr>
          <w:rFonts w:eastAsia="MS Mincho"/>
          <w:sz w:val="22"/>
          <w:szCs w:val="22"/>
          <w:lang w:val="hr-HR" w:eastAsia="x-none"/>
        </w:rPr>
        <w:t>j</w:t>
      </w:r>
      <w:r w:rsidRPr="00F37492">
        <w:rPr>
          <w:rFonts w:eastAsia="MS Mincho"/>
          <w:sz w:val="22"/>
          <w:szCs w:val="22"/>
          <w:lang w:val="hr-HR" w:eastAsia="x-none"/>
        </w:rPr>
        <w:t>ed neželjenih događaja, bez obzira na uzročno posljedičnu vezu, bio je uočen kod 19,4% pacijenata.</w:t>
      </w:r>
    </w:p>
    <w:p w14:paraId="63D2B192" w14:textId="77777777" w:rsidR="00F37492" w:rsidRPr="00F37492" w:rsidRDefault="00F37492" w:rsidP="000A557B">
      <w:pPr>
        <w:widowControl w:val="0"/>
        <w:tabs>
          <w:tab w:val="left" w:pos="720"/>
        </w:tabs>
        <w:jc w:val="both"/>
        <w:rPr>
          <w:rFonts w:eastAsia="MS Mincho"/>
          <w:i/>
          <w:szCs w:val="22"/>
          <w:lang w:val="hr-HR" w:eastAsia="x-none"/>
        </w:rPr>
      </w:pPr>
    </w:p>
    <w:p w14:paraId="24F31644" w14:textId="77777777" w:rsidR="00F37492" w:rsidRPr="00703819" w:rsidRDefault="00F37492" w:rsidP="000A557B">
      <w:pPr>
        <w:widowControl w:val="0"/>
        <w:tabs>
          <w:tab w:val="left" w:pos="720"/>
        </w:tabs>
        <w:jc w:val="both"/>
        <w:rPr>
          <w:rFonts w:eastAsia="MS Mincho"/>
          <w:i/>
          <w:sz w:val="22"/>
          <w:szCs w:val="22"/>
          <w:u w:val="single"/>
          <w:lang w:val="hr-HR" w:eastAsia="x-none"/>
        </w:rPr>
      </w:pPr>
      <w:r w:rsidRPr="00703819">
        <w:rPr>
          <w:rFonts w:eastAsia="MS Mincho"/>
          <w:i/>
          <w:sz w:val="22"/>
          <w:szCs w:val="22"/>
          <w:u w:val="single"/>
          <w:lang w:val="hr-HR" w:eastAsia="x-none"/>
        </w:rPr>
        <w:t>Akutni GvHD</w:t>
      </w:r>
    </w:p>
    <w:p w14:paraId="1CA9FB95" w14:textId="024D0EC1" w:rsidR="00F37492" w:rsidRPr="00F37492" w:rsidRDefault="00F37492" w:rsidP="000A557B">
      <w:pPr>
        <w:widowControl w:val="0"/>
        <w:tabs>
          <w:tab w:val="left" w:pos="720"/>
        </w:tabs>
        <w:jc w:val="both"/>
        <w:rPr>
          <w:rFonts w:eastAsia="MS Mincho"/>
          <w:sz w:val="22"/>
          <w:szCs w:val="22"/>
          <w:lang w:val="hr-HR" w:eastAsia="x-none"/>
        </w:rPr>
      </w:pPr>
      <w:r w:rsidRPr="00F37492">
        <w:rPr>
          <w:rFonts w:eastAsia="MS Mincho"/>
          <w:sz w:val="22"/>
          <w:szCs w:val="22"/>
          <w:lang w:val="hr-HR" w:eastAsia="x-none"/>
        </w:rPr>
        <w:t xml:space="preserve">Najučestalije prijavljene neželjene reakcije na lijek </w:t>
      </w:r>
      <w:r w:rsidR="00233435" w:rsidRPr="00233435">
        <w:rPr>
          <w:rFonts w:eastAsia="MS Mincho"/>
          <w:sz w:val="22"/>
          <w:szCs w:val="22"/>
          <w:lang w:val="hr-HR" w:eastAsia="x-none"/>
        </w:rPr>
        <w:t>u ispitivanju REACH2 (na odraslim i adolescentnim pacijentima)</w:t>
      </w:r>
      <w:r w:rsidR="00F2634B">
        <w:rPr>
          <w:rFonts w:eastAsia="MS Mincho"/>
          <w:sz w:val="22"/>
          <w:szCs w:val="22"/>
          <w:lang w:val="hr-HR" w:eastAsia="x-none"/>
        </w:rPr>
        <w:t xml:space="preserve"> </w:t>
      </w:r>
      <w:r w:rsidRPr="00F37492">
        <w:rPr>
          <w:rFonts w:eastAsia="MS Mincho"/>
          <w:sz w:val="22"/>
          <w:szCs w:val="22"/>
          <w:lang w:val="hr-HR" w:eastAsia="x-none"/>
        </w:rPr>
        <w:t>bile su trombocitopenija, anemija</w:t>
      </w:r>
      <w:r w:rsidR="00233435">
        <w:rPr>
          <w:rFonts w:eastAsia="MS Mincho"/>
          <w:sz w:val="22"/>
          <w:szCs w:val="22"/>
          <w:lang w:val="hr-HR" w:eastAsia="x-none"/>
        </w:rPr>
        <w:t>,</w:t>
      </w:r>
      <w:r w:rsidRPr="00F37492">
        <w:rPr>
          <w:rFonts w:eastAsia="MS Mincho"/>
          <w:sz w:val="22"/>
          <w:szCs w:val="22"/>
          <w:lang w:val="hr-HR" w:eastAsia="x-none"/>
        </w:rPr>
        <w:t xml:space="preserve"> neutropenija</w:t>
      </w:r>
      <w:r w:rsidR="00233435" w:rsidRPr="00233435">
        <w:rPr>
          <w:rFonts w:eastAsia="MS Mincho"/>
          <w:sz w:val="22"/>
          <w:szCs w:val="22"/>
          <w:lang w:val="hr-HR" w:eastAsia="x-none"/>
        </w:rPr>
        <w:t>, povišena alanin aminotransferaza i povišena aspartat aminotransferaza. Najčešće prijavljene neželjene reakcije na l</w:t>
      </w:r>
      <w:r w:rsidR="00DD0118">
        <w:rPr>
          <w:rFonts w:eastAsia="MS Mincho"/>
          <w:sz w:val="22"/>
          <w:szCs w:val="22"/>
          <w:lang w:val="hr-HR" w:eastAsia="x-none"/>
        </w:rPr>
        <w:t>ij</w:t>
      </w:r>
      <w:r w:rsidR="00233435" w:rsidRPr="00233435">
        <w:rPr>
          <w:rFonts w:eastAsia="MS Mincho"/>
          <w:sz w:val="22"/>
          <w:szCs w:val="22"/>
          <w:lang w:val="hr-HR" w:eastAsia="x-none"/>
        </w:rPr>
        <w:t>ek u objedinjenoj grupi pedijatrijskih pacijenata (adolescentni pacijenti iz ispitivanja REACH2 i pedijatrijski iz REACH4) bile su anemija, neutropenija, povišena alanin aminotransferaza, hiper</w:t>
      </w:r>
      <w:r w:rsidR="003A374F">
        <w:rPr>
          <w:rFonts w:eastAsia="MS Mincho"/>
          <w:sz w:val="22"/>
          <w:szCs w:val="22"/>
          <w:lang w:val="hr-HR" w:eastAsia="x-none"/>
        </w:rPr>
        <w:t>h</w:t>
      </w:r>
      <w:r w:rsidR="00233435" w:rsidRPr="00233435">
        <w:rPr>
          <w:rFonts w:eastAsia="MS Mincho"/>
          <w:sz w:val="22"/>
          <w:szCs w:val="22"/>
          <w:lang w:val="hr-HR" w:eastAsia="x-none"/>
        </w:rPr>
        <w:t>olesterolemija i trombocitopenija</w:t>
      </w:r>
      <w:r w:rsidRPr="00F37492">
        <w:rPr>
          <w:rFonts w:eastAsia="MS Mincho"/>
          <w:sz w:val="22"/>
          <w:szCs w:val="22"/>
          <w:lang w:val="hr-HR" w:eastAsia="x-none"/>
        </w:rPr>
        <w:t>.</w:t>
      </w:r>
    </w:p>
    <w:p w14:paraId="4025448B" w14:textId="77777777" w:rsidR="00F37492" w:rsidRPr="00F37492" w:rsidRDefault="00F37492" w:rsidP="000A557B">
      <w:pPr>
        <w:widowControl w:val="0"/>
        <w:tabs>
          <w:tab w:val="left" w:pos="720"/>
        </w:tabs>
        <w:jc w:val="both"/>
        <w:rPr>
          <w:rFonts w:eastAsia="MS Mincho"/>
          <w:sz w:val="22"/>
          <w:szCs w:val="22"/>
          <w:lang w:val="hr-HR" w:eastAsia="x-none"/>
        </w:rPr>
      </w:pPr>
    </w:p>
    <w:p w14:paraId="70C351EC" w14:textId="1B5FF72E" w:rsidR="00F37492" w:rsidRPr="00F37492" w:rsidRDefault="00F37492" w:rsidP="000A557B">
      <w:pPr>
        <w:widowControl w:val="0"/>
        <w:tabs>
          <w:tab w:val="left" w:pos="720"/>
        </w:tabs>
        <w:jc w:val="both"/>
        <w:rPr>
          <w:sz w:val="22"/>
          <w:szCs w:val="22"/>
          <w:lang w:val="it-IT" w:eastAsia="sr-Latn-CS"/>
        </w:rPr>
      </w:pPr>
      <w:r w:rsidRPr="00F37492">
        <w:rPr>
          <w:rFonts w:eastAsia="MS Mincho"/>
          <w:sz w:val="22"/>
          <w:szCs w:val="22"/>
          <w:lang w:val="hr-HR" w:eastAsia="x-none"/>
        </w:rPr>
        <w:t>Hematološke laboratorijske abnormalnosti</w:t>
      </w:r>
      <w:r w:rsidRPr="00F37492">
        <w:rPr>
          <w:sz w:val="22"/>
          <w:szCs w:val="22"/>
          <w:lang w:val="it-IT" w:eastAsia="sr-Latn-CS"/>
        </w:rPr>
        <w:t xml:space="preserve"> prepoznate kao neželjene reakcije </w:t>
      </w:r>
      <w:r w:rsidR="00233435" w:rsidRPr="00233435">
        <w:rPr>
          <w:sz w:val="22"/>
          <w:szCs w:val="22"/>
          <w:lang w:val="it-IT" w:eastAsia="sr-Latn-CS"/>
        </w:rPr>
        <w:t>na l</w:t>
      </w:r>
      <w:r w:rsidR="00DD0118">
        <w:rPr>
          <w:sz w:val="22"/>
          <w:szCs w:val="22"/>
          <w:lang w:val="it-IT" w:eastAsia="sr-Latn-CS"/>
        </w:rPr>
        <w:t>ij</w:t>
      </w:r>
      <w:r w:rsidR="00233435" w:rsidRPr="00233435">
        <w:rPr>
          <w:sz w:val="22"/>
          <w:szCs w:val="22"/>
          <w:lang w:val="it-IT" w:eastAsia="sr-Latn-CS"/>
        </w:rPr>
        <w:t xml:space="preserve">ek </w:t>
      </w:r>
      <w:r w:rsidR="00233435" w:rsidRPr="00233435">
        <w:rPr>
          <w:sz w:val="22"/>
          <w:szCs w:val="22"/>
          <w:lang w:val="hr-HR" w:eastAsia="sr-Latn-CS"/>
        </w:rPr>
        <w:t xml:space="preserve">u ispitivanju REACH2 (na odraslim i adolescentnim pacijentima) i u objedinjenoj grupi pedijatrijskih pacijenata (REACH2 i REACH4) </w:t>
      </w:r>
      <w:r w:rsidRPr="00F37492">
        <w:rPr>
          <w:sz w:val="22"/>
          <w:szCs w:val="22"/>
          <w:lang w:val="it-IT" w:eastAsia="sr-Latn-CS"/>
        </w:rPr>
        <w:t>uključ</w:t>
      </w:r>
      <w:r w:rsidR="00233435">
        <w:rPr>
          <w:sz w:val="22"/>
          <w:szCs w:val="22"/>
          <w:lang w:val="it-IT" w:eastAsia="sr-Latn-CS"/>
        </w:rPr>
        <w:t>ivala su</w:t>
      </w:r>
      <w:r w:rsidRPr="00F37492">
        <w:rPr>
          <w:sz w:val="22"/>
          <w:szCs w:val="22"/>
          <w:lang w:val="it-IT" w:eastAsia="sr-Latn-CS"/>
        </w:rPr>
        <w:t xml:space="preserve"> trombocitopeniju (85,2%</w:t>
      </w:r>
      <w:r w:rsidR="00233435" w:rsidRPr="00233435">
        <w:rPr>
          <w:sz w:val="22"/>
          <w:szCs w:val="22"/>
          <w:lang w:val="hr-HR" w:eastAsia="sr-Latn-CS"/>
        </w:rPr>
        <w:t>, odnosno 55,1%</w:t>
      </w:r>
      <w:r w:rsidRPr="00F37492">
        <w:rPr>
          <w:sz w:val="22"/>
          <w:szCs w:val="22"/>
          <w:lang w:val="it-IT" w:eastAsia="sr-Latn-CS"/>
        </w:rPr>
        <w:t>), anemiju (75,0%</w:t>
      </w:r>
      <w:r w:rsidR="00233435" w:rsidRPr="00233435">
        <w:rPr>
          <w:sz w:val="22"/>
          <w:szCs w:val="22"/>
          <w:lang w:val="hr-HR" w:eastAsia="sr-Latn-CS"/>
        </w:rPr>
        <w:t>, odnosno 70,8%</w:t>
      </w:r>
      <w:r w:rsidRPr="00F37492">
        <w:rPr>
          <w:sz w:val="22"/>
          <w:szCs w:val="22"/>
          <w:lang w:val="it-IT" w:eastAsia="sr-Latn-CS"/>
        </w:rPr>
        <w:t>) i neutropeniju (65,1%</w:t>
      </w:r>
      <w:r w:rsidR="00233435" w:rsidRPr="00233435">
        <w:rPr>
          <w:sz w:val="22"/>
          <w:szCs w:val="22"/>
          <w:lang w:val="hr-HR" w:eastAsia="sr-Latn-CS"/>
        </w:rPr>
        <w:t>, odnosno 70,0%</w:t>
      </w:r>
      <w:r w:rsidRPr="00F37492">
        <w:rPr>
          <w:sz w:val="22"/>
          <w:szCs w:val="22"/>
          <w:lang w:val="it-IT" w:eastAsia="sr-Latn-CS"/>
        </w:rPr>
        <w:t xml:space="preserve">). Anemija stepena 3 prijavljena je kod 47,7% pacijenata </w:t>
      </w:r>
      <w:r w:rsidR="00233435" w:rsidRPr="00233435">
        <w:rPr>
          <w:sz w:val="22"/>
          <w:szCs w:val="22"/>
          <w:lang w:val="hr-HR" w:eastAsia="sr-Latn-CS"/>
        </w:rPr>
        <w:t>u ispitivanju REACH2 te kod 45,8% pacijenata u objedinjenoj grupi pedijatrijskih pacijenata</w:t>
      </w:r>
      <w:r w:rsidRPr="00F37492">
        <w:rPr>
          <w:sz w:val="22"/>
          <w:szCs w:val="22"/>
          <w:lang w:val="it-IT" w:eastAsia="sr-Latn-CS"/>
        </w:rPr>
        <w:t>.</w:t>
      </w:r>
      <w:r w:rsidR="00CB2FF2">
        <w:rPr>
          <w:sz w:val="22"/>
          <w:szCs w:val="22"/>
          <w:lang w:val="it-IT" w:eastAsia="sr-Latn-CS"/>
        </w:rPr>
        <w:t xml:space="preserve"> </w:t>
      </w:r>
      <w:r w:rsidRPr="00F37492">
        <w:rPr>
          <w:sz w:val="22"/>
          <w:szCs w:val="22"/>
          <w:lang w:val="it-IT" w:eastAsia="sr-Latn-CS"/>
        </w:rPr>
        <w:t>Trombocitopenija stepena 3 i 4 prijavljena je kod 31,3% tj. 47,7% pacijenata</w:t>
      </w:r>
      <w:r w:rsidR="00233435" w:rsidRPr="00233435">
        <w:rPr>
          <w:sz w:val="22"/>
          <w:lang w:val="hr-HR" w:eastAsia="sr-Latn-CS"/>
        </w:rPr>
        <w:t xml:space="preserve"> </w:t>
      </w:r>
      <w:r w:rsidR="00233435" w:rsidRPr="00233435">
        <w:rPr>
          <w:sz w:val="22"/>
          <w:szCs w:val="22"/>
          <w:lang w:val="hr-HR" w:eastAsia="sr-Latn-CS"/>
        </w:rPr>
        <w:t>u ispitivanju REACH2 i u 14,6%, odnosno 22,4%, pacijenata u objedinjenoj grupi pedijatrijskih pacijenata. Neutropenije stepena 3 i 4 su bile prijavljene kod 17,9%, odnosno 20,6%, pacijenata u ispitivanju REACH2 i kod 32,0%, odnosno 22,0%, pacijenata u objedinjenoj grupi pedijatrijskih pacijenata</w:t>
      </w:r>
      <w:r w:rsidRPr="00F37492">
        <w:rPr>
          <w:sz w:val="22"/>
          <w:szCs w:val="22"/>
          <w:lang w:val="it-IT" w:eastAsia="sr-Latn-CS"/>
        </w:rPr>
        <w:t>.</w:t>
      </w:r>
    </w:p>
    <w:p w14:paraId="102ACB3D" w14:textId="77777777" w:rsidR="00F37492" w:rsidRPr="00F37492" w:rsidRDefault="00F37492" w:rsidP="000A557B">
      <w:pPr>
        <w:widowControl w:val="0"/>
        <w:tabs>
          <w:tab w:val="left" w:pos="720"/>
        </w:tabs>
        <w:jc w:val="both"/>
        <w:rPr>
          <w:sz w:val="22"/>
          <w:szCs w:val="22"/>
          <w:lang w:val="it-IT" w:eastAsia="sr-Latn-CS"/>
        </w:rPr>
      </w:pPr>
    </w:p>
    <w:p w14:paraId="54C3AA6B" w14:textId="502C9D34" w:rsidR="00F37492" w:rsidRPr="00F37492" w:rsidRDefault="00233435" w:rsidP="000A557B">
      <w:pPr>
        <w:widowControl w:val="0"/>
        <w:tabs>
          <w:tab w:val="left" w:pos="720"/>
        </w:tabs>
        <w:jc w:val="both"/>
        <w:rPr>
          <w:sz w:val="22"/>
          <w:szCs w:val="22"/>
          <w:lang w:val="it-IT" w:eastAsia="sr-Latn-CS"/>
        </w:rPr>
      </w:pPr>
      <w:r>
        <w:rPr>
          <w:rFonts w:eastAsia="MS Mincho"/>
          <w:sz w:val="22"/>
          <w:szCs w:val="22"/>
          <w:lang w:val="hr-HR" w:eastAsia="x-none"/>
        </w:rPr>
        <w:t>N</w:t>
      </w:r>
      <w:r w:rsidR="00F37492" w:rsidRPr="00F37492">
        <w:rPr>
          <w:rFonts w:eastAsia="MS Mincho"/>
          <w:sz w:val="22"/>
          <w:szCs w:val="22"/>
          <w:lang w:val="hr-HR" w:eastAsia="x-none"/>
        </w:rPr>
        <w:t>ajučestalije</w:t>
      </w:r>
      <w:r w:rsidR="00F37492" w:rsidRPr="00F37492">
        <w:rPr>
          <w:sz w:val="22"/>
          <w:szCs w:val="22"/>
          <w:lang w:val="it-IT" w:eastAsia="sr-Latn-CS"/>
        </w:rPr>
        <w:t xml:space="preserve"> nehematološke neželjene reakcije na lijek </w:t>
      </w:r>
      <w:r w:rsidRPr="00233435">
        <w:rPr>
          <w:sz w:val="22"/>
          <w:szCs w:val="22"/>
          <w:lang w:val="hr-HR" w:eastAsia="sr-Latn-CS"/>
        </w:rPr>
        <w:t xml:space="preserve">u ispitivanju REACH2 (na odraslim i adolescentnim pacijentima) i kod objedinjene grupe pedijatrijskih pacijenata (REACH2 i REACH4) </w:t>
      </w:r>
      <w:r w:rsidR="00F37492" w:rsidRPr="00F37492">
        <w:rPr>
          <w:sz w:val="22"/>
          <w:szCs w:val="22"/>
          <w:lang w:val="it-IT" w:eastAsia="sr-Latn-CS"/>
        </w:rPr>
        <w:t>su bile infekcija citomegalovirusom (CMV) (32,3%</w:t>
      </w:r>
      <w:r w:rsidRPr="00233435">
        <w:rPr>
          <w:sz w:val="22"/>
          <w:szCs w:val="22"/>
          <w:lang w:val="hr-HR" w:eastAsia="sr-Latn-CS"/>
        </w:rPr>
        <w:t>, odnosno 31,4%</w:t>
      </w:r>
      <w:r w:rsidR="00F37492" w:rsidRPr="00F37492">
        <w:rPr>
          <w:sz w:val="22"/>
          <w:szCs w:val="22"/>
          <w:lang w:val="it-IT" w:eastAsia="sr-Latn-CS"/>
        </w:rPr>
        <w:t>), sepsa (25,4%</w:t>
      </w:r>
      <w:r>
        <w:rPr>
          <w:sz w:val="22"/>
          <w:szCs w:val="22"/>
          <w:lang w:val="it-IT" w:eastAsia="sr-Latn-CS"/>
        </w:rPr>
        <w:t>,</w:t>
      </w:r>
      <w:r w:rsidRPr="00233435">
        <w:rPr>
          <w:sz w:val="22"/>
          <w:lang w:val="hr-HR" w:eastAsia="sr-Latn-CS"/>
        </w:rPr>
        <w:t xml:space="preserve"> </w:t>
      </w:r>
      <w:r w:rsidRPr="00233435">
        <w:rPr>
          <w:sz w:val="22"/>
          <w:szCs w:val="22"/>
          <w:lang w:val="hr-HR" w:eastAsia="sr-Latn-CS"/>
        </w:rPr>
        <w:t>odnosno 9,8%</w:t>
      </w:r>
      <w:r w:rsidR="00F37492" w:rsidRPr="00F37492">
        <w:rPr>
          <w:sz w:val="22"/>
          <w:szCs w:val="22"/>
          <w:lang w:val="it-IT" w:eastAsia="sr-Latn-CS"/>
        </w:rPr>
        <w:t>)</w:t>
      </w:r>
      <w:r>
        <w:rPr>
          <w:sz w:val="22"/>
          <w:szCs w:val="22"/>
          <w:lang w:val="it-IT" w:eastAsia="sr-Latn-CS"/>
        </w:rPr>
        <w:t>,</w:t>
      </w:r>
      <w:r w:rsidR="00F37492" w:rsidRPr="00F37492">
        <w:rPr>
          <w:sz w:val="22"/>
          <w:szCs w:val="22"/>
          <w:lang w:val="it-IT" w:eastAsia="sr-Latn-CS"/>
        </w:rPr>
        <w:t xml:space="preserve"> infekcija urinarnog trakta (17,9%</w:t>
      </w:r>
      <w:r w:rsidRPr="00233435">
        <w:rPr>
          <w:sz w:val="22"/>
          <w:lang w:val="hr-HR" w:eastAsia="sr-Latn-CS"/>
        </w:rPr>
        <w:t xml:space="preserve"> </w:t>
      </w:r>
      <w:r w:rsidRPr="00233435">
        <w:rPr>
          <w:sz w:val="22"/>
          <w:szCs w:val="22"/>
          <w:lang w:val="hr-HR" w:eastAsia="sr-Latn-CS"/>
        </w:rPr>
        <w:t>odnosno 9,8%), hipertenzija (13,4%, odnosno 17,6%) i mučnina (16,4%, odnosno 3,9%</w:t>
      </w:r>
      <w:r w:rsidR="00F37492" w:rsidRPr="00F37492">
        <w:rPr>
          <w:sz w:val="22"/>
          <w:szCs w:val="22"/>
          <w:lang w:val="it-IT" w:eastAsia="sr-Latn-CS"/>
        </w:rPr>
        <w:t>).</w:t>
      </w:r>
    </w:p>
    <w:p w14:paraId="716D9ABE" w14:textId="77777777" w:rsidR="00F37492" w:rsidRPr="00F37492" w:rsidRDefault="00F37492" w:rsidP="000A557B">
      <w:pPr>
        <w:widowControl w:val="0"/>
        <w:tabs>
          <w:tab w:val="left" w:pos="720"/>
        </w:tabs>
        <w:jc w:val="both"/>
        <w:rPr>
          <w:sz w:val="22"/>
          <w:szCs w:val="22"/>
          <w:lang w:val="it-IT" w:eastAsia="sr-Latn-CS"/>
        </w:rPr>
      </w:pPr>
    </w:p>
    <w:p w14:paraId="7EBA3A63" w14:textId="5FA4326F" w:rsidR="00F37492" w:rsidRDefault="00233435" w:rsidP="00F91F2E">
      <w:pPr>
        <w:widowControl w:val="0"/>
        <w:tabs>
          <w:tab w:val="left" w:pos="720"/>
        </w:tabs>
        <w:jc w:val="both"/>
        <w:rPr>
          <w:sz w:val="22"/>
          <w:szCs w:val="22"/>
          <w:lang w:val="hr-HR" w:eastAsia="sr-Latn-CS"/>
        </w:rPr>
      </w:pPr>
      <w:r>
        <w:rPr>
          <w:rFonts w:eastAsia="MS Mincho"/>
          <w:sz w:val="22"/>
          <w:szCs w:val="22"/>
          <w:lang w:val="hr-HR" w:eastAsia="x-none"/>
        </w:rPr>
        <w:t>N</w:t>
      </w:r>
      <w:r w:rsidR="00F37492" w:rsidRPr="00F37492">
        <w:rPr>
          <w:rFonts w:eastAsia="MS Mincho"/>
          <w:sz w:val="22"/>
          <w:szCs w:val="22"/>
          <w:lang w:val="hr-HR" w:eastAsia="x-none"/>
        </w:rPr>
        <w:t>ajučestalije</w:t>
      </w:r>
      <w:r w:rsidR="00F37492" w:rsidRPr="00F37492">
        <w:rPr>
          <w:sz w:val="22"/>
          <w:szCs w:val="22"/>
          <w:lang w:val="it-IT" w:eastAsia="sr-Latn-CS"/>
        </w:rPr>
        <w:t xml:space="preserve"> nehematološke </w:t>
      </w:r>
      <w:r w:rsidR="00F37492" w:rsidRPr="00F37492">
        <w:rPr>
          <w:rFonts w:eastAsia="MS Mincho"/>
          <w:sz w:val="22"/>
          <w:szCs w:val="22"/>
          <w:lang w:val="hr-HR" w:eastAsia="x-none"/>
        </w:rPr>
        <w:t xml:space="preserve">laboratorijske abnormalnosti prepoznate kao neželjene reakcije na lijek </w:t>
      </w:r>
      <w:r w:rsidRPr="00233435">
        <w:rPr>
          <w:rFonts w:eastAsia="MS Mincho"/>
          <w:sz w:val="22"/>
          <w:szCs w:val="22"/>
          <w:lang w:val="hr-HR" w:eastAsia="x-none"/>
        </w:rPr>
        <w:t xml:space="preserve">u ispitivanju REACH2 (na odraslim i adolescentnim pacijentima) i kod objedinjene grupe pedijatrijskih ispitanika (REACH2 i REACH4) </w:t>
      </w:r>
      <w:r w:rsidR="00F37492" w:rsidRPr="00F37492">
        <w:rPr>
          <w:rFonts w:eastAsia="MS Mincho"/>
          <w:sz w:val="22"/>
          <w:szCs w:val="22"/>
          <w:lang w:val="hr-HR" w:eastAsia="x-none"/>
        </w:rPr>
        <w:t>bile su povišena</w:t>
      </w:r>
      <w:r w:rsidR="00F37492" w:rsidRPr="00F37492">
        <w:rPr>
          <w:sz w:val="22"/>
          <w:szCs w:val="22"/>
          <w:lang w:val="it-IT" w:eastAsia="sr-Latn-CS"/>
        </w:rPr>
        <w:t xml:space="preserve"> alanin aminotransferaza (54,9%</w:t>
      </w:r>
      <w:r w:rsidRPr="00233435">
        <w:rPr>
          <w:sz w:val="22"/>
          <w:szCs w:val="22"/>
          <w:lang w:val="hr-HR" w:eastAsia="sr-Latn-CS"/>
        </w:rPr>
        <w:t>, odnosno 63,3 %</w:t>
      </w:r>
      <w:r w:rsidR="00F37492" w:rsidRPr="00F37492">
        <w:rPr>
          <w:sz w:val="22"/>
          <w:szCs w:val="22"/>
          <w:lang w:val="it-IT" w:eastAsia="sr-Latn-CS"/>
        </w:rPr>
        <w:t>), povišena aspartat aminotransferaza (52,3%</w:t>
      </w:r>
      <w:r w:rsidRPr="00233435">
        <w:rPr>
          <w:sz w:val="22"/>
          <w:szCs w:val="22"/>
          <w:lang w:val="hr-HR" w:eastAsia="sr-Latn-CS"/>
        </w:rPr>
        <w:t>, odnosno 50,0 %</w:t>
      </w:r>
      <w:r w:rsidR="00F37492" w:rsidRPr="00F37492">
        <w:rPr>
          <w:sz w:val="22"/>
          <w:szCs w:val="22"/>
          <w:lang w:val="it-IT" w:eastAsia="sr-Latn-CS"/>
        </w:rPr>
        <w:t>) i hiperholesterolemija (49,2%</w:t>
      </w:r>
      <w:r w:rsidRPr="00233435">
        <w:rPr>
          <w:sz w:val="22"/>
          <w:szCs w:val="22"/>
          <w:lang w:val="hr-HR" w:eastAsia="sr-Latn-CS"/>
        </w:rPr>
        <w:t>, odnosno 61,2 %</w:t>
      </w:r>
      <w:r w:rsidR="00F37492" w:rsidRPr="00F37492">
        <w:rPr>
          <w:sz w:val="22"/>
          <w:szCs w:val="22"/>
          <w:lang w:val="it-IT" w:eastAsia="sr-Latn-CS"/>
        </w:rPr>
        <w:t>). Većina je bila stepena 1 i 2</w:t>
      </w:r>
      <w:r w:rsidRPr="00233435">
        <w:rPr>
          <w:sz w:val="22"/>
          <w:szCs w:val="22"/>
          <w:lang w:val="hr-HR" w:eastAsia="sr-Latn-CS"/>
        </w:rPr>
        <w:t>, ali povišenje alanin aminotransferaze stepena 3 je bilo prijavljeno kod 17,6 % pacijenata u ispitivanju REACH2 i kod 27,3 % pacijenata u objedinjenoj grupi pedijatrijskih pacijenata.</w:t>
      </w:r>
    </w:p>
    <w:p w14:paraId="6D44C92D" w14:textId="77777777" w:rsidR="00965F68" w:rsidRPr="00F37492" w:rsidRDefault="00965F68" w:rsidP="00F91F2E">
      <w:pPr>
        <w:widowControl w:val="0"/>
        <w:tabs>
          <w:tab w:val="left" w:pos="720"/>
        </w:tabs>
        <w:jc w:val="both"/>
        <w:rPr>
          <w:rFonts w:eastAsia="MS Mincho"/>
          <w:sz w:val="22"/>
          <w:szCs w:val="22"/>
          <w:lang w:val="hr-HR" w:eastAsia="x-none"/>
        </w:rPr>
      </w:pPr>
    </w:p>
    <w:p w14:paraId="495ED80F" w14:textId="5A97C541" w:rsidR="00F37492" w:rsidRPr="00F37492" w:rsidRDefault="00F37492" w:rsidP="000A557B">
      <w:pPr>
        <w:widowControl w:val="0"/>
        <w:jc w:val="both"/>
        <w:rPr>
          <w:rFonts w:eastAsia="MS Mincho"/>
          <w:sz w:val="22"/>
          <w:szCs w:val="22"/>
          <w:lang w:val="hr-HR" w:eastAsia="x-none"/>
        </w:rPr>
      </w:pPr>
      <w:r w:rsidRPr="00F37492">
        <w:rPr>
          <w:rFonts w:eastAsia="MS Mincho"/>
          <w:sz w:val="22"/>
          <w:szCs w:val="22"/>
          <w:lang w:val="hr-HR" w:eastAsia="x-none"/>
        </w:rPr>
        <w:t>Prekid terapije usljed neželjenih događaja, bez obzira na uzročno posljedičnu vezu, bio je uočen kod 29,4% pacijenata</w:t>
      </w:r>
      <w:r w:rsidR="00233435" w:rsidRPr="00233435">
        <w:rPr>
          <w:sz w:val="22"/>
          <w:szCs w:val="22"/>
          <w:lang w:val="hr-HR"/>
        </w:rPr>
        <w:t xml:space="preserve"> </w:t>
      </w:r>
      <w:r w:rsidR="00233435" w:rsidRPr="00233435">
        <w:rPr>
          <w:rFonts w:eastAsia="MS Mincho"/>
          <w:sz w:val="22"/>
          <w:szCs w:val="22"/>
          <w:lang w:val="hr-HR" w:eastAsia="x-none"/>
        </w:rPr>
        <w:t>u ispitivanju REACH2 i kod 21,6% pacijenata u objedinjenoj grupi pedijatrijskih pacijenata.</w:t>
      </w:r>
      <w:r w:rsidRPr="00F37492">
        <w:rPr>
          <w:rFonts w:eastAsia="MS Mincho"/>
          <w:sz w:val="22"/>
          <w:szCs w:val="22"/>
          <w:lang w:val="hr-HR" w:eastAsia="x-none"/>
        </w:rPr>
        <w:t>.</w:t>
      </w:r>
    </w:p>
    <w:p w14:paraId="56938719" w14:textId="77777777" w:rsidR="00F37492" w:rsidRPr="00F37492" w:rsidRDefault="00F37492" w:rsidP="000A557B">
      <w:pPr>
        <w:keepNext/>
        <w:keepLines/>
        <w:jc w:val="both"/>
        <w:rPr>
          <w:rFonts w:eastAsia="MS Mincho"/>
          <w:i/>
          <w:sz w:val="22"/>
          <w:szCs w:val="22"/>
          <w:u w:val="single"/>
        </w:rPr>
      </w:pPr>
    </w:p>
    <w:p w14:paraId="74B2A724" w14:textId="77777777" w:rsidR="00F37492" w:rsidRPr="00F37492" w:rsidRDefault="00F37492" w:rsidP="000A557B">
      <w:pPr>
        <w:keepNext/>
        <w:keepLines/>
        <w:jc w:val="both"/>
        <w:rPr>
          <w:rFonts w:eastAsia="MS Mincho"/>
          <w:i/>
          <w:sz w:val="22"/>
          <w:szCs w:val="22"/>
          <w:u w:val="single"/>
        </w:rPr>
      </w:pPr>
      <w:r w:rsidRPr="00F37492">
        <w:rPr>
          <w:rFonts w:eastAsia="MS Mincho"/>
          <w:i/>
          <w:sz w:val="22"/>
          <w:szCs w:val="22"/>
          <w:u w:val="single"/>
        </w:rPr>
        <w:t>Hronični GvHD</w:t>
      </w:r>
    </w:p>
    <w:p w14:paraId="04C300D9" w14:textId="679B9DA2" w:rsidR="00F37492" w:rsidRPr="00F37492" w:rsidRDefault="00F37492" w:rsidP="000A557B">
      <w:pPr>
        <w:widowControl w:val="0"/>
        <w:tabs>
          <w:tab w:val="left" w:pos="720"/>
        </w:tabs>
        <w:jc w:val="both"/>
        <w:rPr>
          <w:sz w:val="22"/>
          <w:szCs w:val="22"/>
          <w:lang w:val="it-IT" w:eastAsia="sr-Latn-CS"/>
        </w:rPr>
      </w:pPr>
      <w:r w:rsidRPr="00F37492">
        <w:rPr>
          <w:rFonts w:eastAsia="MS Mincho"/>
          <w:sz w:val="22"/>
          <w:szCs w:val="22"/>
          <w:lang w:val="hr-HR" w:eastAsia="x-none"/>
        </w:rPr>
        <w:t xml:space="preserve">Najučestalije prijavljene neželjene reakcije na lijek </w:t>
      </w:r>
      <w:r w:rsidR="00233435" w:rsidRPr="00233435">
        <w:rPr>
          <w:rFonts w:eastAsia="MS Mincho"/>
          <w:sz w:val="22"/>
          <w:szCs w:val="22"/>
          <w:lang w:val="hr-HR" w:eastAsia="x-none"/>
        </w:rPr>
        <w:t xml:space="preserve">u ispitivanju REACH3 (na odraslim i adolescentnim pacijentima) </w:t>
      </w:r>
      <w:r w:rsidRPr="00F37492">
        <w:rPr>
          <w:rFonts w:eastAsia="MS Mincho"/>
          <w:sz w:val="22"/>
          <w:szCs w:val="22"/>
          <w:lang w:val="hr-HR" w:eastAsia="x-none"/>
        </w:rPr>
        <w:t xml:space="preserve">bile su anemija, </w:t>
      </w:r>
      <w:r w:rsidRPr="00F37492">
        <w:rPr>
          <w:sz w:val="22"/>
          <w:szCs w:val="22"/>
          <w:lang w:val="it-IT" w:eastAsia="sr-Latn-CS"/>
        </w:rPr>
        <w:t xml:space="preserve">hiperholesterolemija </w:t>
      </w:r>
      <w:r w:rsidRPr="00F37492">
        <w:rPr>
          <w:sz w:val="22"/>
          <w:szCs w:val="22"/>
        </w:rPr>
        <w:t>i</w:t>
      </w:r>
      <w:r w:rsidRPr="00F37492">
        <w:rPr>
          <w:sz w:val="22"/>
          <w:szCs w:val="22"/>
          <w:lang w:val="it-IT" w:eastAsia="sr-Latn-CS"/>
        </w:rPr>
        <w:t xml:space="preserve"> povišena aspartat aminotransferaza.</w:t>
      </w:r>
      <w:r w:rsidR="00233435">
        <w:rPr>
          <w:sz w:val="22"/>
          <w:szCs w:val="22"/>
          <w:lang w:val="it-IT" w:eastAsia="sr-Latn-CS"/>
        </w:rPr>
        <w:t xml:space="preserve"> </w:t>
      </w:r>
      <w:r w:rsidR="00233435" w:rsidRPr="00233435">
        <w:rPr>
          <w:sz w:val="22"/>
          <w:szCs w:val="22"/>
          <w:lang w:val="hr-HR" w:eastAsia="sr-Latn-CS"/>
        </w:rPr>
        <w:t>Najčešće prijavljene neželjene reakcije na l</w:t>
      </w:r>
      <w:r w:rsidR="00DD0118">
        <w:rPr>
          <w:sz w:val="22"/>
          <w:szCs w:val="22"/>
          <w:lang w:val="hr-HR" w:eastAsia="sr-Latn-CS"/>
        </w:rPr>
        <w:t>ij</w:t>
      </w:r>
      <w:r w:rsidR="00233435" w:rsidRPr="00233435">
        <w:rPr>
          <w:sz w:val="22"/>
          <w:szCs w:val="22"/>
          <w:lang w:val="hr-HR" w:eastAsia="sr-Latn-CS"/>
        </w:rPr>
        <w:t>ek u objedinjenoj grupi pedijatrijskih pacijenata (adolescentni pacijenti iz ispitivanja REACH3 i pedijatrijski iz REACH5) su bile neutropenija, hiperholesterolemija i povišena alanin aminotransferaza.</w:t>
      </w:r>
    </w:p>
    <w:p w14:paraId="4804468B" w14:textId="77777777" w:rsidR="00F37492" w:rsidRPr="00F37492" w:rsidRDefault="00F37492" w:rsidP="000A557B">
      <w:pPr>
        <w:widowControl w:val="0"/>
        <w:tabs>
          <w:tab w:val="left" w:pos="720"/>
        </w:tabs>
        <w:jc w:val="both"/>
        <w:rPr>
          <w:sz w:val="22"/>
          <w:szCs w:val="22"/>
        </w:rPr>
      </w:pPr>
    </w:p>
    <w:p w14:paraId="671327CC" w14:textId="5A49EDF7" w:rsidR="00F37492" w:rsidRPr="00F91F2E" w:rsidRDefault="00F37492" w:rsidP="000A557B">
      <w:pPr>
        <w:jc w:val="both"/>
        <w:rPr>
          <w:rFonts w:eastAsia="MS Mincho"/>
          <w:sz w:val="22"/>
          <w:szCs w:val="22"/>
          <w:lang w:val="hr-HR"/>
        </w:rPr>
      </w:pPr>
      <w:r w:rsidRPr="00F37492">
        <w:rPr>
          <w:rFonts w:eastAsia="MS Mincho"/>
          <w:sz w:val="22"/>
          <w:szCs w:val="22"/>
        </w:rPr>
        <w:t xml:space="preserve">Hematološke laboratorijske abnormalnosti prepoznate kao neželjene reakcije na lijek </w:t>
      </w:r>
      <w:r w:rsidR="00233435" w:rsidRPr="00233435">
        <w:rPr>
          <w:rFonts w:eastAsia="MS Mincho"/>
          <w:sz w:val="22"/>
          <w:szCs w:val="22"/>
          <w:lang w:val="hr-HR"/>
        </w:rPr>
        <w:t xml:space="preserve">u ispitivanju REACH3 (na odraslim i adolescentnim pacijentima) i u objedinjenoj grupi pedijatrijskih pacijenata (REACH3 i REACH5) </w:t>
      </w:r>
      <w:r w:rsidRPr="00F37492">
        <w:rPr>
          <w:rFonts w:eastAsia="MS Mincho"/>
          <w:sz w:val="22"/>
          <w:szCs w:val="22"/>
        </w:rPr>
        <w:t>uključuju anemiju (68,6%</w:t>
      </w:r>
      <w:r w:rsidR="00233435" w:rsidRPr="00233435">
        <w:rPr>
          <w:rFonts w:eastAsia="MS Mincho"/>
          <w:sz w:val="22"/>
          <w:szCs w:val="22"/>
          <w:lang w:val="hr-HR"/>
        </w:rPr>
        <w:t>, odnosno 49,1%</w:t>
      </w:r>
      <w:r w:rsidRPr="00F37492">
        <w:rPr>
          <w:rFonts w:eastAsia="MS Mincho"/>
          <w:sz w:val="22"/>
          <w:szCs w:val="22"/>
        </w:rPr>
        <w:t xml:space="preserve">), </w:t>
      </w:r>
      <w:r w:rsidR="00233435" w:rsidRPr="00233435">
        <w:rPr>
          <w:rFonts w:eastAsia="MS Mincho"/>
          <w:sz w:val="22"/>
          <w:szCs w:val="22"/>
          <w:lang w:val="hr-HR"/>
        </w:rPr>
        <w:t>neutropeniju (36,2%, odnosno 59,3%) i</w:t>
      </w:r>
      <w:r w:rsidR="00233435" w:rsidRPr="00233435">
        <w:rPr>
          <w:rFonts w:eastAsia="MS Mincho"/>
          <w:sz w:val="22"/>
          <w:szCs w:val="22"/>
        </w:rPr>
        <w:t xml:space="preserve"> </w:t>
      </w:r>
      <w:r w:rsidRPr="00F37492">
        <w:rPr>
          <w:rFonts w:eastAsia="MS Mincho"/>
          <w:sz w:val="22"/>
          <w:szCs w:val="22"/>
        </w:rPr>
        <w:t>trombocitopeniju (34,4%</w:t>
      </w:r>
      <w:r w:rsidR="00233435" w:rsidRPr="00233435">
        <w:rPr>
          <w:rFonts w:eastAsia="MS Mincho"/>
          <w:sz w:val="22"/>
          <w:szCs w:val="22"/>
          <w:lang w:val="hr-HR"/>
        </w:rPr>
        <w:t>, odnosno 35,2%</w:t>
      </w:r>
      <w:r w:rsidRPr="00F37492">
        <w:rPr>
          <w:rFonts w:eastAsia="MS Mincho"/>
          <w:sz w:val="22"/>
          <w:szCs w:val="22"/>
        </w:rPr>
        <w:t xml:space="preserve">). Anemija stepena 3 prijavljena je kod 14,8% pacijenata </w:t>
      </w:r>
      <w:r w:rsidR="00233435" w:rsidRPr="00233435">
        <w:rPr>
          <w:rFonts w:eastAsia="MS Mincho"/>
          <w:sz w:val="22"/>
          <w:szCs w:val="22"/>
          <w:lang w:val="hr-HR"/>
        </w:rPr>
        <w:t>u ispitivanju REACH3 i kod 17,0 % pacijenata u objedinjenoj grupi pedijatrijskih pacijenata</w:t>
      </w:r>
      <w:r w:rsidR="00233435">
        <w:rPr>
          <w:rFonts w:eastAsia="MS Mincho"/>
          <w:sz w:val="22"/>
          <w:szCs w:val="22"/>
        </w:rPr>
        <w:t>.</w:t>
      </w:r>
      <w:r w:rsidRPr="00F37492">
        <w:rPr>
          <w:rFonts w:eastAsia="MS Mincho"/>
          <w:sz w:val="22"/>
          <w:szCs w:val="22"/>
        </w:rPr>
        <w:t xml:space="preserve"> </w:t>
      </w:r>
      <w:r w:rsidRPr="00F37492">
        <w:rPr>
          <w:rFonts w:eastAsia="MS Mincho"/>
          <w:sz w:val="22"/>
          <w:szCs w:val="22"/>
        </w:rPr>
        <w:lastRenderedPageBreak/>
        <w:t>Neutropenija stepena 3 i 4 prijavljena je kod 9,5% tj. 6,7%</w:t>
      </w:r>
      <w:r w:rsidR="0092190D">
        <w:rPr>
          <w:rFonts w:eastAsia="MS Mincho"/>
          <w:sz w:val="22"/>
          <w:szCs w:val="22"/>
        </w:rPr>
        <w:t xml:space="preserve"> </w:t>
      </w:r>
      <w:r w:rsidR="0092190D" w:rsidRPr="0092190D">
        <w:rPr>
          <w:rFonts w:eastAsia="MS Mincho"/>
          <w:sz w:val="22"/>
          <w:szCs w:val="22"/>
          <w:lang w:val="hr-HR"/>
        </w:rPr>
        <w:t>u ispitivanju REACH3 te u 17,3%, odnosno 11,1%, pacijenata u objedinjenoj grupi pedijatrijskih pacijenata. Trombocitopenije gradusa 3 i 4 su bile prijavljene kod 5,9%, odnosno 10,7%, odraslih i adolescentnih pacijenata u ispitivanju REACH3 te u 7,7%, odnosno 11,1%, pacijenata u objedinjenoj grupi pedijatrijskih pacijenata.</w:t>
      </w:r>
    </w:p>
    <w:p w14:paraId="64EAAD20" w14:textId="77777777" w:rsidR="00F37492" w:rsidRPr="00F37492" w:rsidRDefault="00F37492" w:rsidP="000A557B">
      <w:pPr>
        <w:jc w:val="both"/>
        <w:rPr>
          <w:rFonts w:eastAsia="MS Mincho"/>
          <w:sz w:val="22"/>
          <w:szCs w:val="22"/>
        </w:rPr>
      </w:pPr>
    </w:p>
    <w:p w14:paraId="232DE84E" w14:textId="17551131" w:rsidR="00F37492" w:rsidRPr="00F37492" w:rsidRDefault="0092190D" w:rsidP="000A557B">
      <w:pPr>
        <w:jc w:val="both"/>
        <w:rPr>
          <w:rFonts w:eastAsia="MS Mincho"/>
          <w:sz w:val="22"/>
          <w:szCs w:val="22"/>
        </w:rPr>
      </w:pPr>
      <w:r>
        <w:rPr>
          <w:rFonts w:eastAsia="MS Mincho"/>
          <w:sz w:val="22"/>
          <w:szCs w:val="22"/>
        </w:rPr>
        <w:t>N</w:t>
      </w:r>
      <w:r w:rsidR="00F37492" w:rsidRPr="00F37492">
        <w:rPr>
          <w:rFonts w:eastAsia="MS Mincho"/>
          <w:sz w:val="22"/>
          <w:szCs w:val="22"/>
        </w:rPr>
        <w:t xml:space="preserve">ajučestalije nehematološke neželjene reakcije na lijek </w:t>
      </w:r>
      <w:r w:rsidRPr="0092190D">
        <w:rPr>
          <w:rFonts w:eastAsia="MS Mincho"/>
          <w:sz w:val="22"/>
          <w:szCs w:val="22"/>
          <w:lang w:val="hr-HR"/>
        </w:rPr>
        <w:t>u ispitivanju REACH3 (na odraslim i adolescentnim pacijentima) i u objedinjenoj grupi pedijatrijskih pacijenata (REACH3 i REACH5)</w:t>
      </w:r>
      <w:r>
        <w:rPr>
          <w:rFonts w:eastAsia="MS Mincho"/>
          <w:sz w:val="22"/>
          <w:szCs w:val="22"/>
          <w:lang w:val="hr-HR"/>
        </w:rPr>
        <w:t xml:space="preserve"> </w:t>
      </w:r>
      <w:r w:rsidR="00F37492" w:rsidRPr="00F37492">
        <w:rPr>
          <w:rFonts w:eastAsia="MS Mincho"/>
          <w:sz w:val="22"/>
          <w:szCs w:val="22"/>
        </w:rPr>
        <w:t>su bile hipertenzija (15,0%</w:t>
      </w:r>
      <w:r w:rsidRPr="0092190D">
        <w:rPr>
          <w:rFonts w:eastAsia="MS Mincho"/>
          <w:sz w:val="22"/>
          <w:szCs w:val="22"/>
          <w:lang w:val="hr-HR"/>
        </w:rPr>
        <w:t>, odnosno 14,5%</w:t>
      </w:r>
      <w:r w:rsidR="00F37492" w:rsidRPr="00F37492">
        <w:rPr>
          <w:rFonts w:eastAsia="MS Mincho"/>
          <w:sz w:val="22"/>
          <w:szCs w:val="22"/>
        </w:rPr>
        <w:t>)</w:t>
      </w:r>
      <w:r>
        <w:rPr>
          <w:rFonts w:eastAsia="MS Mincho"/>
          <w:sz w:val="22"/>
          <w:szCs w:val="22"/>
        </w:rPr>
        <w:t xml:space="preserve"> i</w:t>
      </w:r>
      <w:r w:rsidR="00F37492" w:rsidRPr="00F37492">
        <w:rPr>
          <w:rFonts w:eastAsia="MS Mincho"/>
          <w:sz w:val="22"/>
          <w:szCs w:val="22"/>
        </w:rPr>
        <w:t xml:space="preserve"> glavobolja (10,2%</w:t>
      </w:r>
      <w:r w:rsidRPr="0092190D">
        <w:rPr>
          <w:rFonts w:eastAsia="MS Mincho"/>
          <w:sz w:val="22"/>
          <w:szCs w:val="22"/>
          <w:lang w:val="hr-HR"/>
        </w:rPr>
        <w:t>, odnosno 18,2</w:t>
      </w:r>
      <w:r>
        <w:rPr>
          <w:rFonts w:eastAsia="MS Mincho"/>
          <w:sz w:val="22"/>
          <w:szCs w:val="22"/>
          <w:lang w:val="hr-HR"/>
        </w:rPr>
        <w:t>%</w:t>
      </w:r>
      <w:r w:rsidR="00F37492" w:rsidRPr="00F37492">
        <w:rPr>
          <w:rFonts w:eastAsia="MS Mincho"/>
          <w:sz w:val="22"/>
          <w:szCs w:val="22"/>
        </w:rPr>
        <w:t>).</w:t>
      </w:r>
    </w:p>
    <w:p w14:paraId="3335C25E" w14:textId="21B96878" w:rsidR="00F37492" w:rsidRPr="00F37492" w:rsidRDefault="0092190D" w:rsidP="000A557B">
      <w:pPr>
        <w:widowControl w:val="0"/>
        <w:tabs>
          <w:tab w:val="left" w:pos="720"/>
        </w:tabs>
        <w:jc w:val="both"/>
        <w:rPr>
          <w:sz w:val="22"/>
          <w:szCs w:val="22"/>
          <w:lang w:val="it-IT" w:eastAsia="sr-Latn-CS"/>
        </w:rPr>
      </w:pPr>
      <w:r>
        <w:rPr>
          <w:sz w:val="22"/>
          <w:szCs w:val="22"/>
        </w:rPr>
        <w:t>N</w:t>
      </w:r>
      <w:r w:rsidR="00F37492" w:rsidRPr="00F37492">
        <w:rPr>
          <w:sz w:val="22"/>
          <w:szCs w:val="22"/>
        </w:rPr>
        <w:t xml:space="preserve">ajučestalije nehematološke laboratorijske abnormalnosti prepoznate kao neželjene reakcije na lijek </w:t>
      </w:r>
      <w:r w:rsidRPr="0092190D">
        <w:rPr>
          <w:sz w:val="22"/>
          <w:szCs w:val="22"/>
          <w:lang w:val="hr-HR"/>
        </w:rPr>
        <w:t>u ispitivanju REACH3 (na odraslim i adolescentnim pacijentima) i u objedinjenoj grupi pedijatrijskih pacijenata (REACH3 i REACH5) su</w:t>
      </w:r>
      <w:r w:rsidRPr="0092190D">
        <w:rPr>
          <w:sz w:val="22"/>
          <w:szCs w:val="22"/>
        </w:rPr>
        <w:t xml:space="preserve"> </w:t>
      </w:r>
      <w:r w:rsidR="00F37492" w:rsidRPr="00F37492">
        <w:rPr>
          <w:sz w:val="22"/>
          <w:szCs w:val="22"/>
        </w:rPr>
        <w:t>bile hiperholesterolemija (52,3%</w:t>
      </w:r>
      <w:r w:rsidRPr="0092190D">
        <w:rPr>
          <w:sz w:val="22"/>
          <w:szCs w:val="22"/>
          <w:lang w:val="hr-HR"/>
        </w:rPr>
        <w:t>, odnosno 54,9%</w:t>
      </w:r>
      <w:r w:rsidR="00F37492" w:rsidRPr="00F37492">
        <w:rPr>
          <w:sz w:val="22"/>
          <w:szCs w:val="22"/>
        </w:rPr>
        <w:t>), povišena aspartat aminotransferaze (52,2%</w:t>
      </w:r>
      <w:r w:rsidRPr="0092190D">
        <w:rPr>
          <w:sz w:val="22"/>
          <w:szCs w:val="22"/>
          <w:lang w:val="hr-HR"/>
        </w:rPr>
        <w:t>, odnosno 45,5%</w:t>
      </w:r>
      <w:r w:rsidR="00F37492" w:rsidRPr="00F37492">
        <w:rPr>
          <w:sz w:val="22"/>
          <w:szCs w:val="22"/>
        </w:rPr>
        <w:t>) i povišena alanin aminotransferaze (43,1%</w:t>
      </w:r>
      <w:r w:rsidRPr="0092190D">
        <w:rPr>
          <w:sz w:val="22"/>
          <w:szCs w:val="22"/>
          <w:lang w:val="hr-HR"/>
        </w:rPr>
        <w:t>, odnosno 50,9%</w:t>
      </w:r>
      <w:r w:rsidR="00F37492" w:rsidRPr="00F37492">
        <w:rPr>
          <w:sz w:val="22"/>
          <w:szCs w:val="22"/>
        </w:rPr>
        <w:t xml:space="preserve">). </w:t>
      </w:r>
      <w:r w:rsidR="00F37492" w:rsidRPr="00F37492">
        <w:rPr>
          <w:sz w:val="22"/>
          <w:szCs w:val="22"/>
          <w:lang w:val="it-IT" w:eastAsia="sr-Latn-CS"/>
        </w:rPr>
        <w:t>Većina je bila stepena 1 i 2</w:t>
      </w:r>
      <w:r w:rsidRPr="0092190D">
        <w:rPr>
          <w:sz w:val="22"/>
          <w:szCs w:val="22"/>
          <w:lang w:val="hr-HR" w:eastAsia="sr-Latn-CS"/>
        </w:rPr>
        <w:t>, međutim odstupanja u rezultatima laboratorijskih ispitivanja stepena 3 prijavljena u objedinjenoj grupi pedijatrijskih pacijenata su uključivala povišenu alanin aminotransferazu (14,9%) i povišenu aspartat aminotransferazu (11,5%)</w:t>
      </w:r>
      <w:r w:rsidR="00F37492" w:rsidRPr="00F37492">
        <w:rPr>
          <w:sz w:val="22"/>
          <w:szCs w:val="22"/>
          <w:lang w:val="it-IT" w:eastAsia="sr-Latn-CS"/>
        </w:rPr>
        <w:t>.</w:t>
      </w:r>
    </w:p>
    <w:p w14:paraId="306E554F" w14:textId="77777777" w:rsidR="00F37492" w:rsidRPr="00F37492" w:rsidRDefault="00F37492" w:rsidP="000A557B">
      <w:pPr>
        <w:jc w:val="both"/>
        <w:rPr>
          <w:rFonts w:eastAsia="MS Mincho"/>
          <w:sz w:val="22"/>
          <w:szCs w:val="22"/>
        </w:rPr>
      </w:pPr>
    </w:p>
    <w:p w14:paraId="13CB8447" w14:textId="60E983E1" w:rsidR="00F37492" w:rsidRPr="00F37492" w:rsidRDefault="00F37492" w:rsidP="000A557B">
      <w:pPr>
        <w:widowControl w:val="0"/>
        <w:tabs>
          <w:tab w:val="left" w:pos="720"/>
        </w:tabs>
        <w:jc w:val="both"/>
        <w:rPr>
          <w:rFonts w:eastAsia="MS Mincho"/>
          <w:sz w:val="22"/>
          <w:szCs w:val="22"/>
          <w:lang w:val="hr-HR" w:eastAsia="x-none"/>
        </w:rPr>
      </w:pPr>
      <w:r w:rsidRPr="00F37492">
        <w:rPr>
          <w:rFonts w:eastAsia="MS Mincho"/>
          <w:sz w:val="22"/>
          <w:szCs w:val="22"/>
          <w:lang w:val="hr-HR" w:eastAsia="x-none"/>
        </w:rPr>
        <w:t>Prekid terapije usljed neželjenih događaja, bez obzira na uzročno posljedičnu vezu, bio je uočen kod 18,1% pacijenata</w:t>
      </w:r>
      <w:r w:rsidR="00455700" w:rsidRPr="00455700">
        <w:rPr>
          <w:rFonts w:eastAsia="MS Mincho"/>
          <w:sz w:val="22"/>
          <w:szCs w:val="22"/>
          <w:lang w:val="hr-HR" w:eastAsia="x-none"/>
        </w:rPr>
        <w:t xml:space="preserve"> u ispitivanju REACH3 i kod 14,5% pacijenata u objedinjenoj grupi pedijatrijskih pacijenata</w:t>
      </w:r>
      <w:r w:rsidRPr="00F37492">
        <w:rPr>
          <w:rFonts w:eastAsia="MS Mincho"/>
          <w:sz w:val="22"/>
          <w:szCs w:val="22"/>
          <w:lang w:val="hr-HR" w:eastAsia="x-none"/>
        </w:rPr>
        <w:t>.</w:t>
      </w:r>
    </w:p>
    <w:p w14:paraId="019E63B3" w14:textId="77777777" w:rsidR="00F37492" w:rsidRPr="00F37492" w:rsidRDefault="00F37492" w:rsidP="000A557B">
      <w:pPr>
        <w:jc w:val="both"/>
        <w:rPr>
          <w:sz w:val="22"/>
          <w:szCs w:val="22"/>
          <w:u w:val="single"/>
          <w:shd w:val="clear" w:color="auto" w:fill="FFFFFF"/>
          <w:lang w:val="hr-HR" w:eastAsia="sr-Latn-CS"/>
        </w:rPr>
      </w:pPr>
    </w:p>
    <w:p w14:paraId="34637D94" w14:textId="6A6C9C06" w:rsidR="00F37492" w:rsidRPr="00F37492" w:rsidRDefault="00F37492" w:rsidP="000A557B">
      <w:pPr>
        <w:jc w:val="both"/>
        <w:rPr>
          <w:sz w:val="22"/>
          <w:szCs w:val="22"/>
          <w:u w:val="single"/>
          <w:shd w:val="clear" w:color="auto" w:fill="FFFFFF"/>
          <w:lang w:val="hr-HR" w:eastAsia="sr-Latn-CS"/>
        </w:rPr>
      </w:pPr>
      <w:r w:rsidRPr="00F37492">
        <w:rPr>
          <w:sz w:val="22"/>
          <w:szCs w:val="22"/>
          <w:u w:val="single"/>
          <w:shd w:val="clear" w:color="auto" w:fill="FFFFFF"/>
          <w:lang w:val="hr-HR" w:eastAsia="sr-Latn-CS"/>
        </w:rPr>
        <w:t xml:space="preserve">Tabelarni prikaz neželjenih reakcija na lijek </w:t>
      </w:r>
      <w:r w:rsidR="00455700">
        <w:rPr>
          <w:sz w:val="22"/>
          <w:szCs w:val="22"/>
          <w:u w:val="single"/>
          <w:shd w:val="clear" w:color="auto" w:fill="FFFFFF"/>
          <w:lang w:val="hr-HR" w:eastAsia="sr-Latn-CS"/>
        </w:rPr>
        <w:t xml:space="preserve"> </w:t>
      </w:r>
    </w:p>
    <w:p w14:paraId="67D56F68" w14:textId="77777777" w:rsidR="00F37492" w:rsidRPr="00F37492" w:rsidRDefault="00F37492" w:rsidP="000A557B">
      <w:pPr>
        <w:jc w:val="both"/>
        <w:rPr>
          <w:rFonts w:cs="Arial Unicode MS"/>
          <w:sz w:val="22"/>
          <w:szCs w:val="22"/>
          <w:lang w:val="hr-HR" w:eastAsia="sr-Latn-ME"/>
        </w:rPr>
      </w:pPr>
    </w:p>
    <w:p w14:paraId="021FC98E" w14:textId="77777777" w:rsidR="00F37492" w:rsidRPr="00F37492" w:rsidRDefault="00F37492" w:rsidP="000A557B">
      <w:pPr>
        <w:widowControl w:val="0"/>
        <w:jc w:val="both"/>
        <w:rPr>
          <w:rFonts w:eastAsia="MS Mincho"/>
          <w:sz w:val="22"/>
          <w:szCs w:val="22"/>
          <w:lang w:val="en-GB"/>
        </w:rPr>
      </w:pPr>
      <w:r w:rsidRPr="00F37492">
        <w:rPr>
          <w:rFonts w:eastAsia="MS Mincho"/>
          <w:sz w:val="22"/>
          <w:szCs w:val="22"/>
          <w:lang w:val="it-IT" w:eastAsia="sr-Latn-CS"/>
        </w:rPr>
        <w:t xml:space="preserve">Procjena bezbjednosti lijeka Jakavi kod pacijenata sa MF rađena je na osnovu podataka dugotrajnog praćenja iz dvije studije faze 3 </w:t>
      </w:r>
      <w:r w:rsidRPr="00F37492">
        <w:rPr>
          <w:rFonts w:eastAsia="MS Mincho"/>
          <w:sz w:val="22"/>
          <w:szCs w:val="22"/>
          <w:lang w:val="en-GB"/>
        </w:rPr>
        <w:t>(COMFORT</w:t>
      </w:r>
      <w:r w:rsidRPr="00F37492">
        <w:rPr>
          <w:rFonts w:eastAsia="MS Mincho"/>
          <w:sz w:val="22"/>
          <w:szCs w:val="22"/>
          <w:lang w:val="en-GB"/>
        </w:rPr>
        <w:noBreakHyphen/>
        <w:t>I i COMFORT</w:t>
      </w:r>
      <w:r w:rsidRPr="00F37492">
        <w:rPr>
          <w:rFonts w:eastAsia="MS Mincho"/>
          <w:sz w:val="22"/>
          <w:szCs w:val="22"/>
          <w:lang w:val="en-GB"/>
        </w:rPr>
        <w:noBreakHyphen/>
        <w:t>II), uključujući podatke od pacijenata koji su na početku randomizovani na ruksolitinib (n=301) i pacijenata koji su primali ruksolitinib nakon prelaska sa terapija koje su bile kontrole (n=156). Medijana izloženosti MF pacijenata, na kojoj se zasniva kategorizacija učestalosti neželjenih reakcija, bila je 30,5 mjeseci (opseg od 0,3 do 68,1 mjeseci).</w:t>
      </w:r>
    </w:p>
    <w:p w14:paraId="18840370" w14:textId="77777777" w:rsidR="00F37492" w:rsidRPr="00F37492" w:rsidRDefault="00F37492" w:rsidP="000A557B">
      <w:pPr>
        <w:widowControl w:val="0"/>
        <w:jc w:val="both"/>
        <w:rPr>
          <w:rFonts w:eastAsia="MS Mincho"/>
          <w:sz w:val="22"/>
          <w:szCs w:val="22"/>
          <w:lang w:val="en-GB"/>
        </w:rPr>
      </w:pPr>
    </w:p>
    <w:p w14:paraId="1B8491AB" w14:textId="1B5EAD11" w:rsidR="00F37492" w:rsidRDefault="00F37492" w:rsidP="000A557B">
      <w:pPr>
        <w:widowControl w:val="0"/>
        <w:jc w:val="both"/>
        <w:rPr>
          <w:rFonts w:eastAsia="MS Mincho"/>
          <w:sz w:val="22"/>
          <w:szCs w:val="22"/>
          <w:lang w:val="en-GB"/>
        </w:rPr>
      </w:pPr>
      <w:r w:rsidRPr="00F37492">
        <w:rPr>
          <w:rFonts w:eastAsia="MS Mincho"/>
          <w:sz w:val="22"/>
          <w:szCs w:val="22"/>
          <w:lang w:val="it-IT" w:eastAsia="sr-Latn-CS"/>
        </w:rPr>
        <w:t xml:space="preserve">Procjena bezbjednosti lijeka Jakavi kod pacijenata sa PV rađena je na osnovu podataka dugotrajnog praćenja iz dvije studije faze 3 </w:t>
      </w:r>
      <w:r w:rsidRPr="00F37492">
        <w:rPr>
          <w:rFonts w:eastAsia="MS Mincho"/>
          <w:sz w:val="22"/>
          <w:szCs w:val="22"/>
          <w:lang w:val="en-GB"/>
        </w:rPr>
        <w:t xml:space="preserve">(RESPONSE i RESPONSE 2) uključujući podatke od pacijenata koji su na početku randomizovani na ruksolitinib (n=184) i pacijenata koji su primali ruksolitinib nakon prelaska sa terapija koje su bile kontrole (n=156). Medijana izloženosti PV pacijenata, na kojoj se zasniva kategorizacija učestalosti neželjenih reakcija, bila je </w:t>
      </w:r>
      <w:r w:rsidRPr="00F37492">
        <w:rPr>
          <w:rFonts w:eastAsia="MS Mincho"/>
          <w:sz w:val="22"/>
          <w:szCs w:val="22"/>
        </w:rPr>
        <w:t>41,7 </w:t>
      </w:r>
      <w:r w:rsidRPr="00F37492">
        <w:rPr>
          <w:rFonts w:eastAsia="MS Mincho"/>
          <w:sz w:val="22"/>
          <w:szCs w:val="22"/>
          <w:lang w:val="en-GB"/>
        </w:rPr>
        <w:t>mjeseci (opseg od 0,</w:t>
      </w:r>
      <w:r w:rsidRPr="00F37492">
        <w:rPr>
          <w:rFonts w:eastAsia="MS Mincho"/>
          <w:sz w:val="22"/>
          <w:szCs w:val="22"/>
        </w:rPr>
        <w:t>0</w:t>
      </w:r>
      <w:r w:rsidRPr="00F37492">
        <w:rPr>
          <w:rFonts w:eastAsia="MS Mincho"/>
          <w:sz w:val="22"/>
          <w:szCs w:val="22"/>
          <w:lang w:val="en-GB"/>
        </w:rPr>
        <w:t xml:space="preserve">3 do </w:t>
      </w:r>
      <w:r w:rsidRPr="00F37492">
        <w:rPr>
          <w:rFonts w:eastAsia="MS Mincho"/>
          <w:sz w:val="22"/>
          <w:szCs w:val="22"/>
        </w:rPr>
        <w:t>59,7 </w:t>
      </w:r>
      <w:r w:rsidRPr="00F37492">
        <w:rPr>
          <w:rFonts w:eastAsia="MS Mincho"/>
          <w:sz w:val="22"/>
          <w:szCs w:val="22"/>
          <w:lang w:val="en-GB"/>
        </w:rPr>
        <w:t>mjeseci).</w:t>
      </w:r>
    </w:p>
    <w:p w14:paraId="0FB778A3" w14:textId="77777777" w:rsidR="00697918" w:rsidRPr="00F37492" w:rsidRDefault="00697918" w:rsidP="000A557B">
      <w:pPr>
        <w:widowControl w:val="0"/>
        <w:jc w:val="both"/>
        <w:rPr>
          <w:rFonts w:eastAsia="MS Mincho"/>
          <w:sz w:val="22"/>
          <w:szCs w:val="22"/>
          <w:lang w:val="en-GB"/>
        </w:rPr>
      </w:pPr>
    </w:p>
    <w:p w14:paraId="47D51D85" w14:textId="60D038F1" w:rsidR="00F37492" w:rsidRPr="00F37492" w:rsidRDefault="00F37492" w:rsidP="000A557B">
      <w:pPr>
        <w:widowControl w:val="0"/>
        <w:jc w:val="both"/>
        <w:rPr>
          <w:rFonts w:eastAsia="MS Mincho"/>
          <w:sz w:val="22"/>
          <w:szCs w:val="22"/>
          <w:lang w:val="en-GB"/>
        </w:rPr>
      </w:pPr>
      <w:r w:rsidRPr="00F37492">
        <w:rPr>
          <w:rFonts w:eastAsia="MS Mincho"/>
          <w:sz w:val="22"/>
          <w:szCs w:val="22"/>
          <w:lang w:val="en-GB"/>
        </w:rPr>
        <w:t>Procjena</w:t>
      </w:r>
      <w:r w:rsidRPr="00F37492">
        <w:rPr>
          <w:rFonts w:eastAsia="MS Mincho"/>
          <w:sz w:val="22"/>
          <w:szCs w:val="22"/>
          <w:lang w:val="it-IT" w:eastAsia="sr-Latn-CS"/>
        </w:rPr>
        <w:t xml:space="preserve"> bezbjednosti l</w:t>
      </w:r>
      <w:r w:rsidR="00697918">
        <w:rPr>
          <w:rFonts w:eastAsia="MS Mincho"/>
          <w:sz w:val="22"/>
          <w:szCs w:val="22"/>
          <w:lang w:val="it-IT" w:eastAsia="sr-Latn-CS"/>
        </w:rPr>
        <w:t>ij</w:t>
      </w:r>
      <w:r w:rsidRPr="00F37492">
        <w:rPr>
          <w:rFonts w:eastAsia="MS Mincho"/>
          <w:sz w:val="22"/>
          <w:szCs w:val="22"/>
          <w:lang w:val="it-IT" w:eastAsia="sr-Latn-CS"/>
        </w:rPr>
        <w:t>eka</w:t>
      </w:r>
      <w:r w:rsidRPr="00F37492">
        <w:rPr>
          <w:rFonts w:eastAsia="MS Mincho"/>
          <w:sz w:val="22"/>
          <w:szCs w:val="22"/>
          <w:lang w:val="en-GB"/>
        </w:rPr>
        <w:t xml:space="preserve"> Jakavi kod pacijenata sa akutnim GvHD rađena je na osnovu podataka iz studije faze 3 REACH2</w:t>
      </w:r>
      <w:r w:rsidR="00455700">
        <w:rPr>
          <w:rFonts w:eastAsia="MS Mincho"/>
          <w:sz w:val="22"/>
          <w:szCs w:val="22"/>
          <w:lang w:val="en-GB"/>
        </w:rPr>
        <w:t xml:space="preserve"> </w:t>
      </w:r>
      <w:r w:rsidR="00455700" w:rsidRPr="00455700">
        <w:rPr>
          <w:rFonts w:eastAsia="MS Mincho"/>
          <w:sz w:val="22"/>
          <w:szCs w:val="22"/>
          <w:lang w:val="hr-HR"/>
        </w:rPr>
        <w:t>i u ispitivanju faze 2 REACH4. REACH2 je</w:t>
      </w:r>
      <w:r w:rsidRPr="00F37492">
        <w:rPr>
          <w:rFonts w:eastAsia="MS Mincho"/>
          <w:sz w:val="22"/>
          <w:szCs w:val="22"/>
          <w:lang w:val="en-GB"/>
        </w:rPr>
        <w:t xml:space="preserve">, uključujući podatke </w:t>
      </w:r>
      <w:r w:rsidR="00455700">
        <w:rPr>
          <w:rFonts w:eastAsia="MS Mincho"/>
          <w:sz w:val="22"/>
          <w:szCs w:val="22"/>
          <w:lang w:val="en-GB"/>
        </w:rPr>
        <w:t xml:space="preserve">od 201 </w:t>
      </w:r>
      <w:r w:rsidRPr="00F37492">
        <w:rPr>
          <w:rFonts w:eastAsia="MS Mincho"/>
          <w:sz w:val="22"/>
          <w:szCs w:val="22"/>
          <w:lang w:val="en-GB"/>
        </w:rPr>
        <w:t xml:space="preserve">pacijenata </w:t>
      </w:r>
      <w:r w:rsidR="00455700" w:rsidRPr="00455700">
        <w:rPr>
          <w:rFonts w:eastAsia="MS Mincho"/>
          <w:sz w:val="22"/>
          <w:szCs w:val="22"/>
          <w:lang w:val="hr-HR"/>
        </w:rPr>
        <w:t>uzrasta od ≥ 12 godina</w:t>
      </w:r>
      <w:r w:rsidR="00455700" w:rsidRPr="00455700">
        <w:rPr>
          <w:rFonts w:eastAsia="MS Mincho"/>
          <w:sz w:val="22"/>
          <w:szCs w:val="22"/>
          <w:lang w:val="en-GB"/>
        </w:rPr>
        <w:t xml:space="preserve"> </w:t>
      </w:r>
      <w:r w:rsidRPr="00F37492">
        <w:rPr>
          <w:rFonts w:eastAsia="MS Mincho"/>
          <w:sz w:val="22"/>
          <w:szCs w:val="22"/>
          <w:lang w:val="en-GB"/>
        </w:rPr>
        <w:t xml:space="preserve">inicijalno randomizovanih na lijek Jakavi (n=152) i pacijenata koji su dobili lijek Jakavi nakon prelaska iz grupe sa najboljom dostupnom terapijom (engl. </w:t>
      </w:r>
      <w:r w:rsidRPr="00F37492">
        <w:rPr>
          <w:rFonts w:eastAsia="MS Mincho"/>
          <w:i/>
          <w:sz w:val="22"/>
          <w:szCs w:val="22"/>
          <w:lang w:val="en-GB"/>
        </w:rPr>
        <w:t>the best available therapy,</w:t>
      </w:r>
      <w:r w:rsidRPr="00F37492">
        <w:rPr>
          <w:rFonts w:eastAsia="MS Mincho"/>
          <w:sz w:val="22"/>
          <w:szCs w:val="22"/>
          <w:lang w:val="en-GB"/>
        </w:rPr>
        <w:t xml:space="preserve"> BAT) (n=49). Medijana izloženosti pacijenata, na kojoj se zasniva kategorizacija učestalosti neželjenih reakcija, bila je 8,9 nedjelja (opseg 0,3 do 66,1 ned</w:t>
      </w:r>
      <w:r w:rsidR="00B46775">
        <w:rPr>
          <w:rFonts w:eastAsia="MS Mincho"/>
          <w:sz w:val="22"/>
          <w:szCs w:val="22"/>
          <w:lang w:val="en-GB"/>
        </w:rPr>
        <w:t>j</w:t>
      </w:r>
      <w:r w:rsidRPr="00F37492">
        <w:rPr>
          <w:rFonts w:eastAsia="MS Mincho"/>
          <w:sz w:val="22"/>
          <w:szCs w:val="22"/>
          <w:lang w:val="en-GB"/>
        </w:rPr>
        <w:t>elja).</w:t>
      </w:r>
      <w:r w:rsidR="00455700">
        <w:rPr>
          <w:rFonts w:eastAsia="MS Mincho"/>
          <w:sz w:val="22"/>
          <w:szCs w:val="22"/>
          <w:lang w:val="en-GB"/>
        </w:rPr>
        <w:t xml:space="preserve"> </w:t>
      </w:r>
      <w:r w:rsidR="00455700" w:rsidRPr="00455700">
        <w:rPr>
          <w:rFonts w:eastAsia="MS Mincho"/>
          <w:sz w:val="22"/>
          <w:szCs w:val="22"/>
          <w:lang w:val="hr-HR"/>
        </w:rPr>
        <w:t>U objedinjenoj grupi pedijatrijskih pacijenata uzrasta od ≥ 2 godine (6 pacijenata u ispitivanju REACH2 i 45 pacijenata u ispitivanju REACH4), medijana izloženosti je bila 16,7 ned</w:t>
      </w:r>
      <w:r w:rsidR="00DD0118">
        <w:rPr>
          <w:rFonts w:eastAsia="MS Mincho"/>
          <w:sz w:val="22"/>
          <w:szCs w:val="22"/>
          <w:lang w:val="hr-HR"/>
        </w:rPr>
        <w:t>j</w:t>
      </w:r>
      <w:r w:rsidR="00455700" w:rsidRPr="00455700">
        <w:rPr>
          <w:rFonts w:eastAsia="MS Mincho"/>
          <w:sz w:val="22"/>
          <w:szCs w:val="22"/>
          <w:lang w:val="hr-HR"/>
        </w:rPr>
        <w:t>elja (raspon 1,1 do 48,9 ned</w:t>
      </w:r>
      <w:r w:rsidR="00DD0118">
        <w:rPr>
          <w:rFonts w:eastAsia="MS Mincho"/>
          <w:sz w:val="22"/>
          <w:szCs w:val="22"/>
          <w:lang w:val="hr-HR"/>
        </w:rPr>
        <w:t>j</w:t>
      </w:r>
      <w:r w:rsidR="00455700" w:rsidRPr="00455700">
        <w:rPr>
          <w:rFonts w:eastAsia="MS Mincho"/>
          <w:sz w:val="22"/>
          <w:szCs w:val="22"/>
          <w:lang w:val="hr-HR"/>
        </w:rPr>
        <w:t>elja).</w:t>
      </w:r>
    </w:p>
    <w:p w14:paraId="55DA4D55" w14:textId="77777777" w:rsidR="00F37492" w:rsidRPr="00F37492" w:rsidRDefault="00F37492" w:rsidP="000A557B">
      <w:pPr>
        <w:widowControl w:val="0"/>
        <w:jc w:val="both"/>
        <w:rPr>
          <w:rFonts w:eastAsia="MS Mincho"/>
          <w:sz w:val="22"/>
          <w:szCs w:val="22"/>
          <w:lang w:val="en-GB"/>
        </w:rPr>
      </w:pPr>
    </w:p>
    <w:p w14:paraId="32D5A3CD" w14:textId="79754918" w:rsidR="00F37492" w:rsidRPr="00F91F2E" w:rsidRDefault="00F37492" w:rsidP="000A557B">
      <w:pPr>
        <w:widowControl w:val="0"/>
        <w:jc w:val="both"/>
        <w:rPr>
          <w:rFonts w:eastAsia="MS Mincho"/>
          <w:sz w:val="22"/>
          <w:szCs w:val="22"/>
          <w:lang w:val="hr-HR"/>
        </w:rPr>
      </w:pPr>
      <w:r w:rsidRPr="00F37492">
        <w:rPr>
          <w:rFonts w:eastAsia="MS Mincho"/>
          <w:sz w:val="22"/>
          <w:szCs w:val="22"/>
          <w:lang w:val="en-GB"/>
        </w:rPr>
        <w:t>Procjena bezbjednosti lijeka Jakavi kod pacijenata sa hroničnim GvHD rađena je na osnovu podataka iz studije faze 3 REACH3</w:t>
      </w:r>
      <w:r w:rsidR="00455700" w:rsidRPr="00455700">
        <w:rPr>
          <w:sz w:val="22"/>
          <w:szCs w:val="22"/>
          <w:lang w:val="hr-HR"/>
        </w:rPr>
        <w:t xml:space="preserve"> </w:t>
      </w:r>
      <w:r w:rsidR="00455700" w:rsidRPr="00455700">
        <w:rPr>
          <w:rFonts w:eastAsia="MS Mincho"/>
          <w:sz w:val="22"/>
          <w:szCs w:val="22"/>
          <w:lang w:val="hr-HR"/>
        </w:rPr>
        <w:t>i u ispitivanju faze 2 REACH5. REACH3 je</w:t>
      </w:r>
      <w:r w:rsidRPr="00F37492">
        <w:rPr>
          <w:rFonts w:eastAsia="MS Mincho"/>
          <w:sz w:val="22"/>
          <w:szCs w:val="22"/>
          <w:lang w:val="en-GB"/>
        </w:rPr>
        <w:t xml:space="preserve">, uključujući podatke </w:t>
      </w:r>
      <w:r w:rsidR="00455700">
        <w:rPr>
          <w:rFonts w:eastAsia="MS Mincho"/>
          <w:sz w:val="22"/>
          <w:szCs w:val="22"/>
          <w:lang w:val="en-GB"/>
        </w:rPr>
        <w:t xml:space="preserve">od 226 </w:t>
      </w:r>
      <w:r w:rsidRPr="00F37492">
        <w:rPr>
          <w:rFonts w:eastAsia="MS Mincho"/>
          <w:sz w:val="22"/>
          <w:szCs w:val="22"/>
          <w:lang w:val="en-GB"/>
        </w:rPr>
        <w:t xml:space="preserve">pacijenata </w:t>
      </w:r>
      <w:r w:rsidR="00455700" w:rsidRPr="00455700">
        <w:rPr>
          <w:rFonts w:eastAsia="MS Mincho"/>
          <w:sz w:val="22"/>
          <w:szCs w:val="22"/>
          <w:lang w:val="hr-HR"/>
        </w:rPr>
        <w:t>uzrasta od ≥ 12 godina</w:t>
      </w:r>
      <w:r w:rsidR="00455700" w:rsidRPr="00455700">
        <w:rPr>
          <w:rFonts w:eastAsia="MS Mincho"/>
          <w:sz w:val="22"/>
          <w:szCs w:val="22"/>
          <w:lang w:val="en-GB"/>
        </w:rPr>
        <w:t xml:space="preserve"> </w:t>
      </w:r>
      <w:r w:rsidRPr="00F37492">
        <w:rPr>
          <w:rFonts w:eastAsia="MS Mincho"/>
          <w:sz w:val="22"/>
          <w:szCs w:val="22"/>
          <w:lang w:val="en-GB"/>
        </w:rPr>
        <w:t xml:space="preserve">inicijalno randomizovanih na lijek Jakavi (n=165) i pacijenata koji su dobili lijek Jakavi nakon prelaska iz </w:t>
      </w:r>
      <w:r w:rsidR="0010057E">
        <w:rPr>
          <w:rFonts w:eastAsia="MS Mincho"/>
          <w:sz w:val="22"/>
          <w:szCs w:val="22"/>
          <w:lang w:val="en-GB"/>
        </w:rPr>
        <w:t>NDT</w:t>
      </w:r>
      <w:r w:rsidRPr="00F37492">
        <w:rPr>
          <w:rFonts w:eastAsia="MS Mincho"/>
          <w:sz w:val="22"/>
          <w:szCs w:val="22"/>
          <w:lang w:val="en-GB"/>
        </w:rPr>
        <w:t xml:space="preserve"> grupe (n=61). Medijana izloženosti PV pacijenata, na kojoj se zasniva kategorizacija učestalosti neželjenih reakcija, bila je 41,4 nedjelju (opseg 0,7 do 127,3 nedjelja).</w:t>
      </w:r>
      <w:r w:rsidR="00455700" w:rsidRPr="00455700">
        <w:rPr>
          <w:rFonts w:eastAsia="MS Mincho"/>
          <w:sz w:val="22"/>
          <w:szCs w:val="22"/>
          <w:lang w:val="hr-HR"/>
        </w:rPr>
        <w:t xml:space="preserve"> U objedinjenoj grupi pedijatrijskih pacijenata uzrasta od ≥ 2 godine (10 pacijenata u ispitivanju REACH3 i 45 pacijenata u ispitivanju REACH5), medijana izloženosti je bila 57,1 ned</w:t>
      </w:r>
      <w:r w:rsidR="00DD0118">
        <w:rPr>
          <w:rFonts w:eastAsia="MS Mincho"/>
          <w:sz w:val="22"/>
          <w:szCs w:val="22"/>
          <w:lang w:val="hr-HR"/>
        </w:rPr>
        <w:t>j</w:t>
      </w:r>
      <w:r w:rsidR="00455700" w:rsidRPr="00455700">
        <w:rPr>
          <w:rFonts w:eastAsia="MS Mincho"/>
          <w:sz w:val="22"/>
          <w:szCs w:val="22"/>
          <w:lang w:val="hr-HR"/>
        </w:rPr>
        <w:t>elja (raspon 2,1 do 155,4 ned</w:t>
      </w:r>
      <w:r w:rsidR="00DD0118">
        <w:rPr>
          <w:rFonts w:eastAsia="MS Mincho"/>
          <w:sz w:val="22"/>
          <w:szCs w:val="22"/>
          <w:lang w:val="hr-HR"/>
        </w:rPr>
        <w:t>j</w:t>
      </w:r>
      <w:r w:rsidR="00455700" w:rsidRPr="00455700">
        <w:rPr>
          <w:rFonts w:eastAsia="MS Mincho"/>
          <w:sz w:val="22"/>
          <w:szCs w:val="22"/>
          <w:lang w:val="hr-HR"/>
        </w:rPr>
        <w:t>elja).</w:t>
      </w:r>
    </w:p>
    <w:p w14:paraId="48F9B4DB" w14:textId="77777777" w:rsidR="00F37492" w:rsidRPr="00F37492" w:rsidRDefault="00F37492" w:rsidP="000A557B">
      <w:pPr>
        <w:jc w:val="both"/>
        <w:rPr>
          <w:sz w:val="22"/>
          <w:szCs w:val="22"/>
          <w:lang w:val="hr-HR" w:eastAsia="sr-Latn-CS"/>
        </w:rPr>
      </w:pPr>
    </w:p>
    <w:p w14:paraId="2E9C170B" w14:textId="0C83CF03" w:rsidR="00F37492" w:rsidRPr="00F37492" w:rsidRDefault="00F37492" w:rsidP="000A557B">
      <w:pPr>
        <w:jc w:val="both"/>
        <w:rPr>
          <w:rFonts w:cs="Arial Unicode MS"/>
          <w:sz w:val="22"/>
          <w:szCs w:val="22"/>
          <w:lang w:val="hr-HR" w:eastAsia="sr-Latn-ME"/>
        </w:rPr>
      </w:pPr>
      <w:r w:rsidRPr="00F37492">
        <w:rPr>
          <w:sz w:val="22"/>
          <w:szCs w:val="22"/>
          <w:lang w:val="hr-HR" w:eastAsia="sr-Latn-CS"/>
        </w:rPr>
        <w:t>U programu kliničkih ispitivanja ozbiljnost neželjene reakcije na lijek procjenjivana je na bazi CTCAE, gdje se definišu kao stepen 1 = blago, stepen 2 = umjereno, stepen 3 = ozbiljno i stepen 4</w:t>
      </w:r>
      <w:r w:rsidR="00CB2FF2">
        <w:rPr>
          <w:sz w:val="22"/>
          <w:szCs w:val="22"/>
          <w:lang w:val="hr-HR" w:eastAsia="sr-Latn-CS"/>
        </w:rPr>
        <w:t xml:space="preserve"> </w:t>
      </w:r>
      <w:r w:rsidRPr="00F37492">
        <w:rPr>
          <w:sz w:val="22"/>
          <w:szCs w:val="22"/>
          <w:lang w:val="hr-HR" w:eastAsia="sr-Latn-CS"/>
        </w:rPr>
        <w:t>=</w:t>
      </w:r>
      <w:r w:rsidR="00CB2FF2">
        <w:rPr>
          <w:sz w:val="22"/>
          <w:szCs w:val="22"/>
          <w:lang w:val="hr-HR" w:eastAsia="sr-Latn-CS"/>
        </w:rPr>
        <w:t xml:space="preserve"> </w:t>
      </w:r>
      <w:r w:rsidRPr="00F37492">
        <w:rPr>
          <w:sz w:val="22"/>
          <w:szCs w:val="22"/>
          <w:lang w:val="hr-HR" w:eastAsia="sr-Latn-CS"/>
        </w:rPr>
        <w:t>životno ugrožavajuće</w:t>
      </w:r>
      <w:r w:rsidRPr="00F37492">
        <w:rPr>
          <w:sz w:val="22"/>
          <w:szCs w:val="22"/>
          <w:lang w:val="it-IT" w:eastAsia="sr-Latn-CS"/>
        </w:rPr>
        <w:t xml:space="preserve"> ili onesposobljavajuće, stepen 5 = smrt</w:t>
      </w:r>
      <w:r w:rsidRPr="00F37492">
        <w:rPr>
          <w:sz w:val="22"/>
          <w:szCs w:val="22"/>
          <w:lang w:val="hr-HR" w:eastAsia="sr-Latn-CS"/>
        </w:rPr>
        <w:t>.</w:t>
      </w:r>
    </w:p>
    <w:p w14:paraId="352CC089" w14:textId="77777777" w:rsidR="00F37492" w:rsidRPr="00F37492" w:rsidRDefault="00F37492" w:rsidP="000A557B">
      <w:pPr>
        <w:jc w:val="both"/>
        <w:rPr>
          <w:sz w:val="22"/>
          <w:szCs w:val="22"/>
          <w:lang w:val="hr-HR" w:eastAsia="sr-Latn-CS"/>
        </w:rPr>
      </w:pPr>
    </w:p>
    <w:p w14:paraId="10E322D0" w14:textId="674E01BB" w:rsidR="00F37492" w:rsidRPr="00F37492" w:rsidRDefault="00F37492" w:rsidP="000A557B">
      <w:pPr>
        <w:jc w:val="both"/>
        <w:rPr>
          <w:sz w:val="22"/>
          <w:szCs w:val="22"/>
          <w:lang w:val="it-IT" w:eastAsia="sr-Latn-CS"/>
        </w:rPr>
      </w:pPr>
      <w:r w:rsidRPr="00F37492">
        <w:rPr>
          <w:sz w:val="22"/>
          <w:szCs w:val="22"/>
          <w:lang w:val="it-IT" w:eastAsia="sr-Latn-CS"/>
        </w:rPr>
        <w:t xml:space="preserve">Neželjene reakcije na lijek iz kliničkih ispitivanja MF i PV (Tabela </w:t>
      </w:r>
      <w:r w:rsidR="00455700">
        <w:rPr>
          <w:sz w:val="22"/>
          <w:szCs w:val="22"/>
          <w:lang w:val="it-IT" w:eastAsia="sr-Latn-CS"/>
        </w:rPr>
        <w:t>6</w:t>
      </w:r>
      <w:r w:rsidRPr="00F37492">
        <w:rPr>
          <w:sz w:val="22"/>
          <w:szCs w:val="22"/>
          <w:lang w:val="it-IT" w:eastAsia="sr-Latn-CS"/>
        </w:rPr>
        <w:t xml:space="preserve">) i akutnog i hroničnog GvHD (Tabela </w:t>
      </w:r>
      <w:r w:rsidR="00455700">
        <w:rPr>
          <w:sz w:val="22"/>
          <w:szCs w:val="22"/>
          <w:lang w:val="it-IT" w:eastAsia="sr-Latn-CS"/>
        </w:rPr>
        <w:t>7</w:t>
      </w:r>
      <w:r w:rsidRPr="00F37492">
        <w:rPr>
          <w:sz w:val="22"/>
          <w:szCs w:val="22"/>
          <w:lang w:val="it-IT" w:eastAsia="sr-Latn-CS"/>
        </w:rPr>
        <w:t>) navedene su po MedDRA klasi sistema organa. U svakoj klasi sistema organa, neželjene reakcije na lijek rangirane su po učestalosti, prvo su</w:t>
      </w:r>
      <w:r w:rsidR="00B46775">
        <w:rPr>
          <w:sz w:val="22"/>
          <w:szCs w:val="22"/>
          <w:lang w:val="it-IT" w:eastAsia="sr-Latn-CS"/>
        </w:rPr>
        <w:t xml:space="preserve"> navedene</w:t>
      </w:r>
      <w:r w:rsidRPr="00F37492">
        <w:rPr>
          <w:sz w:val="22"/>
          <w:szCs w:val="22"/>
          <w:lang w:val="it-IT" w:eastAsia="sr-Latn-CS"/>
        </w:rPr>
        <w:t xml:space="preserve"> najčešće. Uz to, koriste se i odgovarajuće kategorije učestalosti za svaku neželjenu reakciju na lijek po sljedećoj konvenciji: veoma čest</w:t>
      </w:r>
      <w:r w:rsidR="00E7218B">
        <w:rPr>
          <w:sz w:val="22"/>
          <w:szCs w:val="22"/>
          <w:lang w:val="it-IT" w:eastAsia="sr-Latn-CS"/>
        </w:rPr>
        <w:t>o</w:t>
      </w:r>
      <w:r w:rsidRPr="00F37492">
        <w:rPr>
          <w:sz w:val="22"/>
          <w:szCs w:val="22"/>
          <w:lang w:val="it-IT" w:eastAsia="sr-Latn-CS"/>
        </w:rPr>
        <w:t xml:space="preserve"> (≥</w:t>
      </w:r>
      <w:r w:rsidR="00B46775">
        <w:rPr>
          <w:sz w:val="22"/>
          <w:szCs w:val="22"/>
          <w:lang w:val="it-IT" w:eastAsia="sr-Latn-CS"/>
        </w:rPr>
        <w:t xml:space="preserve"> </w:t>
      </w:r>
      <w:r w:rsidRPr="00F37492">
        <w:rPr>
          <w:sz w:val="22"/>
          <w:szCs w:val="22"/>
          <w:lang w:val="it-IT" w:eastAsia="sr-Latn-CS"/>
        </w:rPr>
        <w:t>1/10); čest</w:t>
      </w:r>
      <w:r w:rsidR="00E7218B">
        <w:rPr>
          <w:sz w:val="22"/>
          <w:szCs w:val="22"/>
          <w:lang w:val="it-IT" w:eastAsia="sr-Latn-CS"/>
        </w:rPr>
        <w:t>o</w:t>
      </w:r>
      <w:r w:rsidRPr="00F37492">
        <w:rPr>
          <w:sz w:val="22"/>
          <w:szCs w:val="22"/>
          <w:lang w:val="it-IT" w:eastAsia="sr-Latn-CS"/>
        </w:rPr>
        <w:t xml:space="preserve"> (≥</w:t>
      </w:r>
      <w:r w:rsidR="00B46775">
        <w:rPr>
          <w:sz w:val="22"/>
          <w:szCs w:val="22"/>
          <w:lang w:val="it-IT" w:eastAsia="sr-Latn-CS"/>
        </w:rPr>
        <w:t xml:space="preserve"> </w:t>
      </w:r>
      <w:r w:rsidRPr="00F37492">
        <w:rPr>
          <w:sz w:val="22"/>
          <w:szCs w:val="22"/>
          <w:lang w:val="it-IT" w:eastAsia="sr-Latn-CS"/>
        </w:rPr>
        <w:t>1/100 do &lt;</w:t>
      </w:r>
      <w:r w:rsidR="00B46775">
        <w:rPr>
          <w:sz w:val="22"/>
          <w:szCs w:val="22"/>
          <w:lang w:val="it-IT" w:eastAsia="sr-Latn-CS"/>
        </w:rPr>
        <w:t xml:space="preserve"> </w:t>
      </w:r>
      <w:r w:rsidRPr="00F37492">
        <w:rPr>
          <w:sz w:val="22"/>
          <w:szCs w:val="22"/>
          <w:lang w:val="it-IT" w:eastAsia="sr-Latn-CS"/>
        </w:rPr>
        <w:t>1/10); povremen</w:t>
      </w:r>
      <w:r w:rsidR="00E7218B">
        <w:rPr>
          <w:sz w:val="22"/>
          <w:szCs w:val="22"/>
          <w:lang w:val="it-IT" w:eastAsia="sr-Latn-CS"/>
        </w:rPr>
        <w:t>o</w:t>
      </w:r>
      <w:r w:rsidRPr="00F37492">
        <w:rPr>
          <w:sz w:val="22"/>
          <w:szCs w:val="22"/>
          <w:lang w:val="it-IT" w:eastAsia="sr-Latn-CS"/>
        </w:rPr>
        <w:t xml:space="preserve"> (≥</w:t>
      </w:r>
      <w:r w:rsidR="00B46775">
        <w:rPr>
          <w:sz w:val="22"/>
          <w:szCs w:val="22"/>
          <w:lang w:val="it-IT" w:eastAsia="sr-Latn-CS"/>
        </w:rPr>
        <w:t xml:space="preserve"> </w:t>
      </w:r>
      <w:r w:rsidRPr="00F37492">
        <w:rPr>
          <w:sz w:val="22"/>
          <w:szCs w:val="22"/>
          <w:lang w:val="it-IT" w:eastAsia="sr-Latn-CS"/>
        </w:rPr>
        <w:t>1/1000 do &lt;</w:t>
      </w:r>
      <w:r w:rsidR="00B46775">
        <w:rPr>
          <w:sz w:val="22"/>
          <w:szCs w:val="22"/>
          <w:lang w:val="it-IT" w:eastAsia="sr-Latn-CS"/>
        </w:rPr>
        <w:t xml:space="preserve"> </w:t>
      </w:r>
      <w:r w:rsidRPr="00F37492">
        <w:rPr>
          <w:sz w:val="22"/>
          <w:szCs w:val="22"/>
          <w:lang w:val="it-IT" w:eastAsia="sr-Latn-CS"/>
        </w:rPr>
        <w:t>1/100); rijetk</w:t>
      </w:r>
      <w:r w:rsidR="00E7218B">
        <w:rPr>
          <w:sz w:val="22"/>
          <w:szCs w:val="22"/>
          <w:lang w:val="it-IT" w:eastAsia="sr-Latn-CS"/>
        </w:rPr>
        <w:t>o</w:t>
      </w:r>
      <w:r w:rsidRPr="00F37492">
        <w:rPr>
          <w:sz w:val="22"/>
          <w:szCs w:val="22"/>
          <w:lang w:val="it-IT" w:eastAsia="sr-Latn-CS"/>
        </w:rPr>
        <w:t xml:space="preserve"> (≥</w:t>
      </w:r>
      <w:r w:rsidR="00B46775">
        <w:rPr>
          <w:sz w:val="22"/>
          <w:szCs w:val="22"/>
          <w:lang w:val="it-IT" w:eastAsia="sr-Latn-CS"/>
        </w:rPr>
        <w:t xml:space="preserve"> </w:t>
      </w:r>
      <w:r w:rsidRPr="00F37492">
        <w:rPr>
          <w:sz w:val="22"/>
          <w:szCs w:val="22"/>
          <w:lang w:val="it-IT" w:eastAsia="sr-Latn-CS"/>
        </w:rPr>
        <w:t>1/10</w:t>
      </w:r>
      <w:r w:rsidR="00B46775">
        <w:rPr>
          <w:sz w:val="22"/>
          <w:szCs w:val="22"/>
          <w:lang w:val="it-IT" w:eastAsia="sr-Latn-CS"/>
        </w:rPr>
        <w:t xml:space="preserve"> </w:t>
      </w:r>
      <w:r w:rsidRPr="00F37492">
        <w:rPr>
          <w:sz w:val="22"/>
          <w:szCs w:val="22"/>
          <w:lang w:val="it-IT" w:eastAsia="sr-Latn-CS"/>
        </w:rPr>
        <w:t>000 do &lt;</w:t>
      </w:r>
      <w:r w:rsidR="00B46775">
        <w:rPr>
          <w:sz w:val="22"/>
          <w:szCs w:val="22"/>
          <w:lang w:val="it-IT" w:eastAsia="sr-Latn-CS"/>
        </w:rPr>
        <w:t xml:space="preserve"> </w:t>
      </w:r>
      <w:r w:rsidRPr="00F37492">
        <w:rPr>
          <w:sz w:val="22"/>
          <w:szCs w:val="22"/>
          <w:lang w:val="it-IT" w:eastAsia="sr-Latn-CS"/>
        </w:rPr>
        <w:t>1/1000); veoma rijetk</w:t>
      </w:r>
      <w:r w:rsidR="00E7218B">
        <w:rPr>
          <w:sz w:val="22"/>
          <w:szCs w:val="22"/>
          <w:lang w:val="it-IT" w:eastAsia="sr-Latn-CS"/>
        </w:rPr>
        <w:t>o</w:t>
      </w:r>
      <w:r w:rsidRPr="00F37492">
        <w:rPr>
          <w:sz w:val="22"/>
          <w:szCs w:val="22"/>
          <w:lang w:val="it-IT" w:eastAsia="sr-Latn-CS"/>
        </w:rPr>
        <w:t xml:space="preserve"> (&lt;</w:t>
      </w:r>
      <w:r w:rsidR="00B46775">
        <w:rPr>
          <w:sz w:val="22"/>
          <w:szCs w:val="22"/>
          <w:lang w:val="it-IT" w:eastAsia="sr-Latn-CS"/>
        </w:rPr>
        <w:t xml:space="preserve"> </w:t>
      </w:r>
      <w:r w:rsidRPr="00F37492">
        <w:rPr>
          <w:sz w:val="22"/>
          <w:szCs w:val="22"/>
          <w:lang w:val="it-IT" w:eastAsia="sr-Latn-CS"/>
        </w:rPr>
        <w:t>1/10</w:t>
      </w:r>
      <w:r w:rsidR="00B46775">
        <w:rPr>
          <w:sz w:val="22"/>
          <w:szCs w:val="22"/>
          <w:lang w:val="it-IT" w:eastAsia="sr-Latn-CS"/>
        </w:rPr>
        <w:t xml:space="preserve"> </w:t>
      </w:r>
      <w:r w:rsidRPr="00F37492">
        <w:rPr>
          <w:sz w:val="22"/>
          <w:szCs w:val="22"/>
          <w:lang w:val="it-IT" w:eastAsia="sr-Latn-CS"/>
        </w:rPr>
        <w:t>000); nepoznat</w:t>
      </w:r>
      <w:r w:rsidR="00E7218B">
        <w:rPr>
          <w:sz w:val="22"/>
          <w:szCs w:val="22"/>
          <w:lang w:val="it-IT" w:eastAsia="sr-Latn-CS"/>
        </w:rPr>
        <w:t>o</w:t>
      </w:r>
      <w:r w:rsidRPr="00F37492">
        <w:rPr>
          <w:sz w:val="22"/>
          <w:szCs w:val="22"/>
          <w:lang w:val="it-IT" w:eastAsia="sr-Latn-CS"/>
        </w:rPr>
        <w:t xml:space="preserve"> (ne može se procijeniti na osnovu dostupnih podataka).</w:t>
      </w:r>
    </w:p>
    <w:p w14:paraId="74BB2D46" w14:textId="77777777" w:rsidR="00F37492" w:rsidRPr="00F37492" w:rsidRDefault="00F37492" w:rsidP="000A557B">
      <w:pPr>
        <w:jc w:val="both"/>
        <w:rPr>
          <w:sz w:val="22"/>
          <w:szCs w:val="22"/>
          <w:lang w:val="it-IT" w:eastAsia="sr-Latn-CS"/>
        </w:rPr>
      </w:pPr>
    </w:p>
    <w:p w14:paraId="4BC4BA9C" w14:textId="3254170F" w:rsidR="00F37492" w:rsidRPr="00F37492" w:rsidRDefault="00F37492" w:rsidP="000A557B">
      <w:pPr>
        <w:shd w:val="clear" w:color="auto" w:fill="FFFFFF"/>
        <w:jc w:val="both"/>
        <w:rPr>
          <w:color w:val="000000"/>
          <w:sz w:val="22"/>
          <w:szCs w:val="22"/>
          <w:lang w:val="sr-Latn-CS"/>
        </w:rPr>
      </w:pPr>
      <w:r w:rsidRPr="00F37492">
        <w:rPr>
          <w:b/>
          <w:sz w:val="22"/>
          <w:szCs w:val="22"/>
          <w:lang w:val="it-IT" w:eastAsia="sr-Latn-CS"/>
        </w:rPr>
        <w:t xml:space="preserve">Tabela </w:t>
      </w:r>
      <w:r w:rsidR="00455700">
        <w:rPr>
          <w:b/>
          <w:sz w:val="22"/>
          <w:szCs w:val="22"/>
          <w:lang w:val="it-IT" w:eastAsia="sr-Latn-CS"/>
        </w:rPr>
        <w:t>6</w:t>
      </w:r>
      <w:r w:rsidRPr="00F37492">
        <w:rPr>
          <w:b/>
          <w:sz w:val="22"/>
          <w:szCs w:val="22"/>
          <w:lang w:val="it-IT" w:eastAsia="sr-Latn-CS"/>
        </w:rPr>
        <w:t xml:space="preserve"> </w:t>
      </w:r>
      <w:r w:rsidRPr="00F37492">
        <w:rPr>
          <w:b/>
          <w:sz w:val="22"/>
          <w:szCs w:val="22"/>
          <w:lang w:val="hr-HR"/>
        </w:rPr>
        <w:t xml:space="preserve">Kategorija učestalosti neželjenih reakcija na lijek u studijama faze 3 MF i PV </w:t>
      </w:r>
    </w:p>
    <w:p w14:paraId="5537C6F7" w14:textId="77777777"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 xml:space="preserve"> </w:t>
      </w: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239"/>
        <w:gridCol w:w="3247"/>
      </w:tblGrid>
      <w:tr w:rsidR="00F37492" w:rsidRPr="00F37492" w14:paraId="558CB957" w14:textId="77777777" w:rsidTr="00BB6F20">
        <w:tc>
          <w:tcPr>
            <w:tcW w:w="3681" w:type="dxa"/>
            <w:tcBorders>
              <w:top w:val="single" w:sz="4" w:space="0" w:color="auto"/>
              <w:left w:val="single" w:sz="4" w:space="0" w:color="auto"/>
              <w:bottom w:val="single" w:sz="4" w:space="0" w:color="auto"/>
              <w:right w:val="single" w:sz="4" w:space="0" w:color="auto"/>
            </w:tcBorders>
            <w:shd w:val="clear" w:color="auto" w:fill="auto"/>
          </w:tcPr>
          <w:p w14:paraId="57D8D8D5" w14:textId="77777777" w:rsidR="00F37492" w:rsidRPr="00F37492" w:rsidRDefault="00F37492" w:rsidP="000A557B">
            <w:pPr>
              <w:keepNext/>
              <w:jc w:val="both"/>
              <w:rPr>
                <w:rFonts w:eastAsia="MS Mincho"/>
                <w:sz w:val="22"/>
                <w:szCs w:val="22"/>
                <w:lang w:val="hr-HR"/>
              </w:rPr>
            </w:pPr>
            <w:r w:rsidRPr="00F37492">
              <w:rPr>
                <w:rFonts w:eastAsia="MS Mincho"/>
                <w:b/>
                <w:sz w:val="22"/>
                <w:szCs w:val="22"/>
                <w:lang w:val="hr-HR"/>
              </w:rPr>
              <w:t>Neželjena reakcija na lijek</w:t>
            </w:r>
          </w:p>
        </w:tc>
        <w:tc>
          <w:tcPr>
            <w:tcW w:w="2239" w:type="dxa"/>
            <w:tcBorders>
              <w:top w:val="single" w:sz="4" w:space="0" w:color="auto"/>
              <w:left w:val="single" w:sz="4" w:space="0" w:color="auto"/>
              <w:bottom w:val="single" w:sz="4" w:space="0" w:color="auto"/>
              <w:right w:val="single" w:sz="4" w:space="0" w:color="auto"/>
            </w:tcBorders>
            <w:hideMark/>
          </w:tcPr>
          <w:p w14:paraId="35033AD2" w14:textId="77777777" w:rsidR="00F37492" w:rsidRPr="00F37492" w:rsidRDefault="00F37492" w:rsidP="000A557B">
            <w:pPr>
              <w:keepNext/>
              <w:jc w:val="center"/>
              <w:rPr>
                <w:rFonts w:eastAsia="MS Mincho"/>
                <w:b/>
                <w:sz w:val="22"/>
                <w:szCs w:val="22"/>
                <w:lang w:val="hr-HR"/>
              </w:rPr>
            </w:pPr>
            <w:r w:rsidRPr="00F37492">
              <w:rPr>
                <w:rFonts w:eastAsia="MS Mincho"/>
                <w:b/>
                <w:sz w:val="22"/>
                <w:szCs w:val="22"/>
                <w:lang w:val="hr-HR"/>
              </w:rPr>
              <w:t>Kategorija učestalosti za pacijente sa MF</w:t>
            </w:r>
          </w:p>
        </w:tc>
        <w:tc>
          <w:tcPr>
            <w:tcW w:w="3247" w:type="dxa"/>
            <w:tcBorders>
              <w:top w:val="single" w:sz="4" w:space="0" w:color="auto"/>
              <w:left w:val="single" w:sz="4" w:space="0" w:color="auto"/>
              <w:bottom w:val="single" w:sz="4" w:space="0" w:color="auto"/>
              <w:right w:val="single" w:sz="4" w:space="0" w:color="auto"/>
            </w:tcBorders>
            <w:hideMark/>
          </w:tcPr>
          <w:p w14:paraId="57F46327" w14:textId="77777777" w:rsidR="00F37492" w:rsidRPr="00F37492" w:rsidRDefault="00F37492" w:rsidP="000A557B">
            <w:pPr>
              <w:keepNext/>
              <w:jc w:val="center"/>
              <w:rPr>
                <w:rFonts w:eastAsia="MS Mincho"/>
                <w:b/>
                <w:sz w:val="22"/>
                <w:szCs w:val="22"/>
                <w:lang w:val="hr-HR"/>
              </w:rPr>
            </w:pPr>
            <w:r w:rsidRPr="00F37492">
              <w:rPr>
                <w:rFonts w:eastAsia="MS Mincho"/>
                <w:b/>
                <w:sz w:val="22"/>
                <w:szCs w:val="22"/>
                <w:lang w:val="hr-HR"/>
              </w:rPr>
              <w:t>Kategorija učestalosti za pacijente sa PV</w:t>
            </w:r>
          </w:p>
        </w:tc>
      </w:tr>
      <w:tr w:rsidR="00F37492" w:rsidRPr="00F37492" w14:paraId="06617DC7"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12AF2735" w14:textId="77777777" w:rsidR="00F37492" w:rsidRPr="00F37492" w:rsidRDefault="00F37492" w:rsidP="000A557B">
            <w:pPr>
              <w:keepNext/>
              <w:rPr>
                <w:rFonts w:eastAsia="MS Mincho"/>
                <w:b/>
                <w:sz w:val="22"/>
                <w:szCs w:val="22"/>
                <w:lang w:val="hr-HR"/>
              </w:rPr>
            </w:pPr>
            <w:r w:rsidRPr="00F37492">
              <w:rPr>
                <w:rFonts w:eastAsia="MS Mincho"/>
                <w:b/>
                <w:sz w:val="22"/>
                <w:szCs w:val="22"/>
                <w:lang w:val="hr-HR"/>
              </w:rPr>
              <w:t>Infekcije i infestacije</w:t>
            </w:r>
          </w:p>
        </w:tc>
        <w:tc>
          <w:tcPr>
            <w:tcW w:w="2239" w:type="dxa"/>
            <w:tcBorders>
              <w:top w:val="single" w:sz="4" w:space="0" w:color="auto"/>
              <w:left w:val="single" w:sz="4" w:space="0" w:color="auto"/>
              <w:bottom w:val="single" w:sz="4" w:space="0" w:color="auto"/>
              <w:right w:val="single" w:sz="4" w:space="0" w:color="auto"/>
            </w:tcBorders>
          </w:tcPr>
          <w:p w14:paraId="647FE59B" w14:textId="77777777" w:rsidR="00F37492" w:rsidRPr="00F37492" w:rsidRDefault="00F37492" w:rsidP="000A557B">
            <w:pPr>
              <w:keepNext/>
              <w:jc w:val="center"/>
              <w:rPr>
                <w:rFonts w:eastAsia="MS Mincho"/>
                <w:b/>
                <w:sz w:val="22"/>
                <w:szCs w:val="22"/>
                <w:lang w:val="hr-HR"/>
              </w:rPr>
            </w:pPr>
          </w:p>
        </w:tc>
        <w:tc>
          <w:tcPr>
            <w:tcW w:w="3247" w:type="dxa"/>
            <w:tcBorders>
              <w:top w:val="single" w:sz="4" w:space="0" w:color="auto"/>
              <w:left w:val="single" w:sz="4" w:space="0" w:color="auto"/>
              <w:bottom w:val="single" w:sz="4" w:space="0" w:color="auto"/>
              <w:right w:val="single" w:sz="4" w:space="0" w:color="auto"/>
            </w:tcBorders>
          </w:tcPr>
          <w:p w14:paraId="199864D8" w14:textId="77777777" w:rsidR="00F37492" w:rsidRPr="00F37492" w:rsidRDefault="00F37492" w:rsidP="000A557B">
            <w:pPr>
              <w:keepNext/>
              <w:jc w:val="center"/>
              <w:rPr>
                <w:rFonts w:eastAsia="MS Mincho"/>
                <w:b/>
                <w:sz w:val="22"/>
                <w:szCs w:val="22"/>
                <w:lang w:val="hr-HR"/>
              </w:rPr>
            </w:pPr>
          </w:p>
        </w:tc>
      </w:tr>
      <w:tr w:rsidR="00F37492" w:rsidRPr="00F37492" w14:paraId="28E86E9C"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hideMark/>
          </w:tcPr>
          <w:p w14:paraId="6522DD75"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Infekcije urinarnog trakta</w:t>
            </w:r>
            <w:r w:rsidRPr="00F37492">
              <w:rPr>
                <w:rFonts w:eastAsia="MS Mincho"/>
                <w:sz w:val="22"/>
                <w:szCs w:val="22"/>
                <w:vertAlign w:val="superscript"/>
                <w:lang w:val="hr-HR"/>
              </w:rPr>
              <w:t>d</w:t>
            </w:r>
          </w:p>
        </w:tc>
        <w:tc>
          <w:tcPr>
            <w:tcW w:w="2239" w:type="dxa"/>
            <w:tcBorders>
              <w:top w:val="single" w:sz="4" w:space="0" w:color="auto"/>
              <w:left w:val="single" w:sz="4" w:space="0" w:color="auto"/>
              <w:bottom w:val="single" w:sz="4" w:space="0" w:color="auto"/>
              <w:right w:val="single" w:sz="4" w:space="0" w:color="auto"/>
            </w:tcBorders>
            <w:vAlign w:val="center"/>
          </w:tcPr>
          <w:p w14:paraId="0596CB1E"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04FAE9CF"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21DA6534"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77E82A4A"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Herpes zoster</w:t>
            </w:r>
            <w:r w:rsidRPr="00F37492">
              <w:rPr>
                <w:rFonts w:eastAsia="MS Mincho"/>
                <w:sz w:val="22"/>
                <w:szCs w:val="22"/>
                <w:vertAlign w:val="superscript"/>
                <w:lang w:val="hr-HR"/>
              </w:rPr>
              <w:t>d</w:t>
            </w:r>
          </w:p>
        </w:tc>
        <w:tc>
          <w:tcPr>
            <w:tcW w:w="2239" w:type="dxa"/>
            <w:tcBorders>
              <w:top w:val="single" w:sz="4" w:space="0" w:color="auto"/>
              <w:left w:val="single" w:sz="4" w:space="0" w:color="auto"/>
              <w:bottom w:val="single" w:sz="4" w:space="0" w:color="auto"/>
              <w:right w:val="single" w:sz="4" w:space="0" w:color="auto"/>
            </w:tcBorders>
            <w:vAlign w:val="center"/>
          </w:tcPr>
          <w:p w14:paraId="20AB4DFF"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Vema često</w:t>
            </w:r>
          </w:p>
        </w:tc>
        <w:tc>
          <w:tcPr>
            <w:tcW w:w="3247" w:type="dxa"/>
            <w:tcBorders>
              <w:top w:val="single" w:sz="4" w:space="0" w:color="auto"/>
              <w:left w:val="single" w:sz="4" w:space="0" w:color="auto"/>
              <w:bottom w:val="single" w:sz="4" w:space="0" w:color="auto"/>
              <w:right w:val="single" w:sz="4" w:space="0" w:color="auto"/>
            </w:tcBorders>
            <w:vAlign w:val="center"/>
          </w:tcPr>
          <w:p w14:paraId="66DC05E1"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05C5C772"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526934E9"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Pneumonija</w:t>
            </w:r>
          </w:p>
        </w:tc>
        <w:tc>
          <w:tcPr>
            <w:tcW w:w="2239" w:type="dxa"/>
            <w:tcBorders>
              <w:top w:val="single" w:sz="4" w:space="0" w:color="auto"/>
              <w:left w:val="single" w:sz="4" w:space="0" w:color="auto"/>
              <w:bottom w:val="single" w:sz="4" w:space="0" w:color="auto"/>
              <w:right w:val="single" w:sz="4" w:space="0" w:color="auto"/>
            </w:tcBorders>
            <w:vAlign w:val="center"/>
          </w:tcPr>
          <w:p w14:paraId="291FB140"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3FDFBF97"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r>
      <w:tr w:rsidR="00F37492" w:rsidRPr="00F37492" w14:paraId="01B70E6E"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0F810DC0"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Sepsa</w:t>
            </w:r>
          </w:p>
        </w:tc>
        <w:tc>
          <w:tcPr>
            <w:tcW w:w="2239" w:type="dxa"/>
            <w:tcBorders>
              <w:top w:val="single" w:sz="4" w:space="0" w:color="auto"/>
              <w:left w:val="single" w:sz="4" w:space="0" w:color="auto"/>
              <w:bottom w:val="single" w:sz="4" w:space="0" w:color="auto"/>
              <w:right w:val="single" w:sz="4" w:space="0" w:color="auto"/>
            </w:tcBorders>
            <w:vAlign w:val="center"/>
          </w:tcPr>
          <w:p w14:paraId="64F92E1A"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c>
          <w:tcPr>
            <w:tcW w:w="3247" w:type="dxa"/>
            <w:tcBorders>
              <w:top w:val="single" w:sz="4" w:space="0" w:color="auto"/>
              <w:left w:val="single" w:sz="4" w:space="0" w:color="auto"/>
              <w:bottom w:val="single" w:sz="4" w:space="0" w:color="auto"/>
              <w:right w:val="single" w:sz="4" w:space="0" w:color="auto"/>
            </w:tcBorders>
          </w:tcPr>
          <w:p w14:paraId="466A93DB"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Povremeno</w:t>
            </w:r>
          </w:p>
        </w:tc>
      </w:tr>
      <w:tr w:rsidR="00F37492" w:rsidRPr="00F37492" w14:paraId="63173FB6"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66B14B94" w14:textId="77777777" w:rsidR="00F37492" w:rsidRPr="00F37492" w:rsidRDefault="00F37492" w:rsidP="000A557B">
            <w:pPr>
              <w:keepNext/>
              <w:rPr>
                <w:rFonts w:eastAsia="MS Mincho"/>
                <w:sz w:val="22"/>
                <w:szCs w:val="22"/>
                <w:vertAlign w:val="superscript"/>
                <w:lang w:val="hr-HR"/>
              </w:rPr>
            </w:pPr>
            <w:r w:rsidRPr="00F37492">
              <w:rPr>
                <w:rFonts w:eastAsia="MS Mincho"/>
                <w:sz w:val="22"/>
                <w:szCs w:val="22"/>
                <w:lang w:val="hr-HR"/>
              </w:rPr>
              <w:t>Tuberkuloza</w:t>
            </w:r>
            <w:r w:rsidRPr="00F37492">
              <w:rPr>
                <w:rFonts w:eastAsia="MS Mincho"/>
                <w:sz w:val="22"/>
                <w:szCs w:val="22"/>
                <w:vertAlign w:val="superscript"/>
                <w:lang w:val="hr-HR"/>
              </w:rPr>
              <w:t>f</w:t>
            </w:r>
          </w:p>
        </w:tc>
        <w:tc>
          <w:tcPr>
            <w:tcW w:w="2239" w:type="dxa"/>
            <w:tcBorders>
              <w:top w:val="single" w:sz="4" w:space="0" w:color="auto"/>
              <w:left w:val="single" w:sz="4" w:space="0" w:color="auto"/>
              <w:bottom w:val="single" w:sz="4" w:space="0" w:color="auto"/>
              <w:right w:val="single" w:sz="4" w:space="0" w:color="auto"/>
            </w:tcBorders>
            <w:vAlign w:val="center"/>
          </w:tcPr>
          <w:p w14:paraId="3AAD60C2"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Povremeno</w:t>
            </w:r>
          </w:p>
        </w:tc>
        <w:tc>
          <w:tcPr>
            <w:tcW w:w="3247" w:type="dxa"/>
            <w:tcBorders>
              <w:top w:val="single" w:sz="4" w:space="0" w:color="auto"/>
              <w:left w:val="single" w:sz="4" w:space="0" w:color="auto"/>
              <w:bottom w:val="single" w:sz="4" w:space="0" w:color="auto"/>
              <w:right w:val="single" w:sz="4" w:space="0" w:color="auto"/>
            </w:tcBorders>
          </w:tcPr>
          <w:p w14:paraId="2865C3DA"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Nepoznato</w:t>
            </w:r>
            <w:r w:rsidRPr="00F37492">
              <w:rPr>
                <w:rFonts w:eastAsia="MS Mincho"/>
                <w:sz w:val="22"/>
                <w:szCs w:val="22"/>
                <w:vertAlign w:val="superscript"/>
                <w:lang w:val="hr-HR"/>
              </w:rPr>
              <w:t>e</w:t>
            </w:r>
          </w:p>
        </w:tc>
      </w:tr>
      <w:tr w:rsidR="00F37492" w:rsidRPr="00F37492" w14:paraId="00900F92"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0DF407D4" w14:textId="77777777" w:rsidR="00F37492" w:rsidRPr="00F37492" w:rsidDel="00D344EC" w:rsidRDefault="00F37492" w:rsidP="000A557B">
            <w:pPr>
              <w:keepNext/>
              <w:rPr>
                <w:rFonts w:eastAsia="MS Mincho"/>
                <w:sz w:val="22"/>
                <w:szCs w:val="22"/>
                <w:lang w:val="hr-HR"/>
              </w:rPr>
            </w:pPr>
            <w:r w:rsidRPr="00F37492">
              <w:rPr>
                <w:rFonts w:eastAsia="MS Mincho"/>
                <w:sz w:val="22"/>
                <w:szCs w:val="22"/>
                <w:lang w:val="hr-HR"/>
              </w:rPr>
              <w:t>Reaktivacija HBV</w:t>
            </w:r>
          </w:p>
        </w:tc>
        <w:tc>
          <w:tcPr>
            <w:tcW w:w="2239" w:type="dxa"/>
            <w:tcBorders>
              <w:top w:val="single" w:sz="4" w:space="0" w:color="auto"/>
              <w:left w:val="single" w:sz="4" w:space="0" w:color="auto"/>
              <w:bottom w:val="single" w:sz="4" w:space="0" w:color="auto"/>
              <w:right w:val="single" w:sz="4" w:space="0" w:color="auto"/>
            </w:tcBorders>
            <w:vAlign w:val="center"/>
          </w:tcPr>
          <w:p w14:paraId="65DD1A45"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Nepoznato</w:t>
            </w:r>
            <w:r w:rsidRPr="00F37492">
              <w:rPr>
                <w:rFonts w:eastAsia="MS Mincho"/>
                <w:sz w:val="22"/>
                <w:szCs w:val="22"/>
                <w:vertAlign w:val="superscript"/>
                <w:lang w:val="hr-HR"/>
              </w:rPr>
              <w:t>e</w:t>
            </w:r>
          </w:p>
        </w:tc>
        <w:tc>
          <w:tcPr>
            <w:tcW w:w="3247" w:type="dxa"/>
            <w:tcBorders>
              <w:top w:val="single" w:sz="4" w:space="0" w:color="auto"/>
              <w:left w:val="single" w:sz="4" w:space="0" w:color="auto"/>
              <w:bottom w:val="single" w:sz="4" w:space="0" w:color="auto"/>
              <w:right w:val="single" w:sz="4" w:space="0" w:color="auto"/>
            </w:tcBorders>
            <w:vAlign w:val="center"/>
          </w:tcPr>
          <w:p w14:paraId="6E45A321"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Povremeno</w:t>
            </w:r>
          </w:p>
        </w:tc>
      </w:tr>
      <w:tr w:rsidR="00F37492" w:rsidRPr="00F37492" w14:paraId="175E7ADC"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31B1FAC7" w14:textId="77777777" w:rsidR="00F37492" w:rsidRPr="00F37492" w:rsidRDefault="00F37492" w:rsidP="000A557B">
            <w:pPr>
              <w:keepNext/>
              <w:rPr>
                <w:rFonts w:eastAsia="MS Mincho"/>
                <w:b/>
                <w:sz w:val="22"/>
                <w:szCs w:val="22"/>
                <w:lang w:val="hr-HR"/>
              </w:rPr>
            </w:pPr>
            <w:r w:rsidRPr="00F37492">
              <w:rPr>
                <w:rFonts w:eastAsia="MS Mincho"/>
                <w:b/>
                <w:sz w:val="22"/>
                <w:szCs w:val="22"/>
                <w:lang w:val="hr-HR"/>
              </w:rPr>
              <w:t>Poremećaji na nivou krvi i limfnog sistema</w:t>
            </w:r>
            <w:r w:rsidRPr="00F37492">
              <w:rPr>
                <w:rFonts w:eastAsia="MS Mincho"/>
                <w:b/>
                <w:sz w:val="22"/>
                <w:szCs w:val="22"/>
                <w:vertAlign w:val="superscript"/>
                <w:lang w:val="hr-HR"/>
              </w:rPr>
              <w:t>a,d</w:t>
            </w:r>
          </w:p>
        </w:tc>
        <w:tc>
          <w:tcPr>
            <w:tcW w:w="2239" w:type="dxa"/>
            <w:tcBorders>
              <w:top w:val="single" w:sz="4" w:space="0" w:color="auto"/>
              <w:left w:val="single" w:sz="4" w:space="0" w:color="auto"/>
              <w:bottom w:val="single" w:sz="4" w:space="0" w:color="auto"/>
              <w:right w:val="single" w:sz="4" w:space="0" w:color="auto"/>
            </w:tcBorders>
          </w:tcPr>
          <w:p w14:paraId="13EE7A9D" w14:textId="77777777" w:rsidR="00F37492" w:rsidRPr="00F37492" w:rsidRDefault="00F37492" w:rsidP="000A557B">
            <w:pPr>
              <w:keepNext/>
              <w:jc w:val="center"/>
              <w:rPr>
                <w:rFonts w:eastAsia="MS Mincho"/>
                <w:b/>
                <w:sz w:val="22"/>
                <w:szCs w:val="22"/>
                <w:lang w:val="hr-HR"/>
              </w:rPr>
            </w:pPr>
          </w:p>
        </w:tc>
        <w:tc>
          <w:tcPr>
            <w:tcW w:w="3247" w:type="dxa"/>
            <w:tcBorders>
              <w:top w:val="single" w:sz="4" w:space="0" w:color="auto"/>
              <w:left w:val="single" w:sz="4" w:space="0" w:color="auto"/>
              <w:bottom w:val="single" w:sz="4" w:space="0" w:color="auto"/>
              <w:right w:val="single" w:sz="4" w:space="0" w:color="auto"/>
            </w:tcBorders>
          </w:tcPr>
          <w:p w14:paraId="3EE2A19B" w14:textId="77777777" w:rsidR="00F37492" w:rsidRPr="00F37492" w:rsidRDefault="00F37492" w:rsidP="000A557B">
            <w:pPr>
              <w:keepNext/>
              <w:jc w:val="center"/>
              <w:rPr>
                <w:rFonts w:eastAsia="MS Mincho"/>
                <w:b/>
                <w:sz w:val="22"/>
                <w:szCs w:val="22"/>
                <w:lang w:val="hr-HR"/>
              </w:rPr>
            </w:pPr>
          </w:p>
        </w:tc>
      </w:tr>
      <w:tr w:rsidR="00F37492" w:rsidRPr="00F37492" w14:paraId="131EA859"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1E9C06EA"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Anemija</w:t>
            </w:r>
            <w:r w:rsidRPr="00F37492">
              <w:rPr>
                <w:rFonts w:eastAsia="MS Mincho"/>
                <w:sz w:val="22"/>
                <w:szCs w:val="22"/>
                <w:vertAlign w:val="superscript"/>
                <w:lang w:val="hr-HR"/>
              </w:rPr>
              <w:t>a</w:t>
            </w:r>
          </w:p>
        </w:tc>
        <w:tc>
          <w:tcPr>
            <w:tcW w:w="2239" w:type="dxa"/>
            <w:tcBorders>
              <w:top w:val="single" w:sz="4" w:space="0" w:color="auto"/>
              <w:left w:val="single" w:sz="4" w:space="0" w:color="auto"/>
              <w:bottom w:val="single" w:sz="4" w:space="0" w:color="auto"/>
              <w:right w:val="single" w:sz="4" w:space="0" w:color="auto"/>
            </w:tcBorders>
          </w:tcPr>
          <w:p w14:paraId="62C2134D" w14:textId="77777777" w:rsidR="00F37492" w:rsidRPr="00F37492" w:rsidRDefault="00F37492" w:rsidP="000A557B">
            <w:pPr>
              <w:keepNext/>
              <w:jc w:val="center"/>
              <w:rPr>
                <w:rFonts w:eastAsia="MS Mincho"/>
                <w:sz w:val="22"/>
                <w:szCs w:val="22"/>
                <w:lang w:val="hr-HR"/>
              </w:rPr>
            </w:pPr>
          </w:p>
        </w:tc>
        <w:tc>
          <w:tcPr>
            <w:tcW w:w="3247" w:type="dxa"/>
            <w:tcBorders>
              <w:top w:val="single" w:sz="4" w:space="0" w:color="auto"/>
              <w:left w:val="single" w:sz="4" w:space="0" w:color="auto"/>
              <w:bottom w:val="single" w:sz="4" w:space="0" w:color="auto"/>
              <w:right w:val="single" w:sz="4" w:space="0" w:color="auto"/>
            </w:tcBorders>
          </w:tcPr>
          <w:p w14:paraId="4A6B5813" w14:textId="77777777" w:rsidR="00F37492" w:rsidRPr="00F37492" w:rsidRDefault="00F37492" w:rsidP="000A557B">
            <w:pPr>
              <w:keepNext/>
              <w:jc w:val="center"/>
              <w:rPr>
                <w:rFonts w:eastAsia="MS Mincho"/>
                <w:sz w:val="22"/>
                <w:szCs w:val="22"/>
                <w:lang w:val="hr-HR"/>
              </w:rPr>
            </w:pPr>
          </w:p>
        </w:tc>
      </w:tr>
      <w:tr w:rsidR="00F37492" w:rsidRPr="00F37492" w14:paraId="547F31E5" w14:textId="77777777" w:rsidTr="00BB6F20">
        <w:trPr>
          <w:cantSplit/>
        </w:trPr>
        <w:tc>
          <w:tcPr>
            <w:tcW w:w="3681" w:type="dxa"/>
            <w:tcBorders>
              <w:top w:val="single" w:sz="4" w:space="0" w:color="auto"/>
              <w:left w:val="single" w:sz="4" w:space="0" w:color="auto"/>
              <w:bottom w:val="single" w:sz="4" w:space="0" w:color="auto"/>
              <w:right w:val="single" w:sz="4" w:space="0" w:color="auto"/>
            </w:tcBorders>
          </w:tcPr>
          <w:p w14:paraId="1A2D10D6" w14:textId="77777777" w:rsidR="00F37492" w:rsidRPr="00F37492" w:rsidRDefault="00F37492" w:rsidP="000A557B">
            <w:pPr>
              <w:keepLines/>
              <w:tabs>
                <w:tab w:val="left" w:pos="284"/>
              </w:tabs>
              <w:spacing w:before="40" w:after="20"/>
              <w:rPr>
                <w:sz w:val="22"/>
                <w:szCs w:val="22"/>
                <w:lang w:val="hr-HR" w:eastAsia="x-none"/>
              </w:rPr>
            </w:pPr>
            <w:r w:rsidRPr="00F37492">
              <w:rPr>
                <w:sz w:val="22"/>
                <w:szCs w:val="22"/>
                <w:lang w:val="hr-HR" w:eastAsia="x-none"/>
              </w:rPr>
              <w:t>CTCAE</w:t>
            </w:r>
            <w:r w:rsidRPr="00F37492">
              <w:rPr>
                <w:sz w:val="22"/>
                <w:szCs w:val="22"/>
                <w:vertAlign w:val="superscript"/>
                <w:lang w:val="hr-HR" w:eastAsia="x-none"/>
              </w:rPr>
              <w:t>c</w:t>
            </w:r>
            <w:r w:rsidRPr="00F37492">
              <w:rPr>
                <w:sz w:val="22"/>
                <w:szCs w:val="22"/>
                <w:lang w:val="hr-HR" w:eastAsia="x-none"/>
              </w:rPr>
              <w:t xml:space="preserve"> stepen 4</w:t>
            </w:r>
          </w:p>
          <w:p w14:paraId="4DEBA58D" w14:textId="26149EA1" w:rsidR="00F37492" w:rsidRPr="00F37492" w:rsidRDefault="00F37492" w:rsidP="000A557B">
            <w:pPr>
              <w:keepNext/>
              <w:rPr>
                <w:rFonts w:eastAsia="MS Mincho"/>
                <w:sz w:val="22"/>
                <w:szCs w:val="22"/>
                <w:lang w:val="hr-HR"/>
              </w:rPr>
            </w:pPr>
            <w:r w:rsidRPr="00F37492">
              <w:rPr>
                <w:rFonts w:eastAsia="MS Mincho"/>
                <w:sz w:val="22"/>
                <w:szCs w:val="22"/>
                <w:lang w:val="hr-HR"/>
              </w:rPr>
              <w:t>(&lt;</w:t>
            </w:r>
            <w:r w:rsidR="00B46775">
              <w:rPr>
                <w:rFonts w:eastAsia="MS Mincho"/>
                <w:sz w:val="22"/>
                <w:szCs w:val="22"/>
                <w:lang w:val="hr-HR"/>
              </w:rPr>
              <w:t xml:space="preserve"> </w:t>
            </w:r>
            <w:r w:rsidRPr="00F37492">
              <w:rPr>
                <w:rFonts w:eastAsia="MS Mincho"/>
                <w:sz w:val="22"/>
                <w:szCs w:val="22"/>
                <w:lang w:val="hr-HR"/>
              </w:rPr>
              <w:t>6,5 g/dl)</w:t>
            </w:r>
          </w:p>
        </w:tc>
        <w:tc>
          <w:tcPr>
            <w:tcW w:w="2239" w:type="dxa"/>
            <w:tcBorders>
              <w:top w:val="single" w:sz="4" w:space="0" w:color="auto"/>
              <w:left w:val="single" w:sz="4" w:space="0" w:color="auto"/>
              <w:bottom w:val="single" w:sz="4" w:space="0" w:color="auto"/>
              <w:right w:val="single" w:sz="4" w:space="0" w:color="auto"/>
            </w:tcBorders>
          </w:tcPr>
          <w:p w14:paraId="643AFAD2"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45B53A02"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Povremeno</w:t>
            </w:r>
          </w:p>
        </w:tc>
      </w:tr>
      <w:tr w:rsidR="00F37492" w:rsidRPr="00F37492" w14:paraId="1CAE8C92" w14:textId="77777777" w:rsidTr="00BB6F20">
        <w:trPr>
          <w:cantSplit/>
        </w:trPr>
        <w:tc>
          <w:tcPr>
            <w:tcW w:w="3681" w:type="dxa"/>
            <w:tcBorders>
              <w:top w:val="single" w:sz="4" w:space="0" w:color="auto"/>
              <w:left w:val="single" w:sz="4" w:space="0" w:color="auto"/>
              <w:bottom w:val="single" w:sz="4" w:space="0" w:color="auto"/>
              <w:right w:val="single" w:sz="4" w:space="0" w:color="auto"/>
            </w:tcBorders>
          </w:tcPr>
          <w:p w14:paraId="2EAA0FDC" w14:textId="77777777" w:rsidR="00F37492" w:rsidRPr="00F37492" w:rsidRDefault="00F37492" w:rsidP="000A557B">
            <w:pPr>
              <w:keepLines/>
              <w:tabs>
                <w:tab w:val="left" w:pos="284"/>
              </w:tabs>
              <w:spacing w:before="40" w:after="20"/>
              <w:rPr>
                <w:sz w:val="22"/>
                <w:szCs w:val="22"/>
                <w:lang w:val="hr-HR" w:eastAsia="x-none"/>
              </w:rPr>
            </w:pPr>
            <w:r w:rsidRPr="00F37492">
              <w:rPr>
                <w:sz w:val="22"/>
                <w:szCs w:val="22"/>
                <w:lang w:val="hr-HR" w:eastAsia="x-none"/>
              </w:rPr>
              <w:t>CTCAE</w:t>
            </w:r>
            <w:r w:rsidRPr="00F37492">
              <w:rPr>
                <w:sz w:val="22"/>
                <w:szCs w:val="22"/>
                <w:vertAlign w:val="superscript"/>
                <w:lang w:val="hr-HR" w:eastAsia="x-none"/>
              </w:rPr>
              <w:t>c</w:t>
            </w:r>
            <w:r w:rsidRPr="00F37492">
              <w:rPr>
                <w:sz w:val="22"/>
                <w:szCs w:val="22"/>
                <w:lang w:val="hr-HR" w:eastAsia="x-none"/>
              </w:rPr>
              <w:t xml:space="preserve"> stepen 3</w:t>
            </w:r>
          </w:p>
          <w:p w14:paraId="4D2F3374" w14:textId="547788D2" w:rsidR="00F37492" w:rsidRPr="00F37492" w:rsidRDefault="00F37492" w:rsidP="000A557B">
            <w:pPr>
              <w:keepNext/>
              <w:rPr>
                <w:rFonts w:eastAsia="MS Mincho"/>
                <w:sz w:val="22"/>
                <w:szCs w:val="22"/>
                <w:lang w:val="hr-HR"/>
              </w:rPr>
            </w:pPr>
            <w:r w:rsidRPr="00F37492">
              <w:rPr>
                <w:rFonts w:eastAsia="MS Mincho"/>
                <w:sz w:val="22"/>
                <w:szCs w:val="22"/>
                <w:lang w:val="hr-HR"/>
              </w:rPr>
              <w:t>(&lt;</w:t>
            </w:r>
            <w:r w:rsidR="00B46775">
              <w:rPr>
                <w:rFonts w:eastAsia="MS Mincho"/>
                <w:sz w:val="22"/>
                <w:szCs w:val="22"/>
                <w:lang w:val="hr-HR"/>
              </w:rPr>
              <w:t xml:space="preserve"> </w:t>
            </w:r>
            <w:r w:rsidRPr="00F37492">
              <w:rPr>
                <w:rFonts w:eastAsia="MS Mincho"/>
                <w:sz w:val="22"/>
                <w:szCs w:val="22"/>
                <w:lang w:val="hr-HR"/>
              </w:rPr>
              <w:t>8,0 – 6,5 g/dl)</w:t>
            </w:r>
          </w:p>
        </w:tc>
        <w:tc>
          <w:tcPr>
            <w:tcW w:w="2239" w:type="dxa"/>
            <w:tcBorders>
              <w:top w:val="single" w:sz="4" w:space="0" w:color="auto"/>
              <w:left w:val="single" w:sz="4" w:space="0" w:color="auto"/>
              <w:bottom w:val="single" w:sz="4" w:space="0" w:color="auto"/>
              <w:right w:val="single" w:sz="4" w:space="0" w:color="auto"/>
            </w:tcBorders>
          </w:tcPr>
          <w:p w14:paraId="26D5BC63"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70A8F43C"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r>
      <w:tr w:rsidR="00F37492" w:rsidRPr="00F37492" w14:paraId="29B04572" w14:textId="77777777" w:rsidTr="00BB6F20">
        <w:trPr>
          <w:cantSplit/>
        </w:trPr>
        <w:tc>
          <w:tcPr>
            <w:tcW w:w="3681" w:type="dxa"/>
            <w:tcBorders>
              <w:top w:val="single" w:sz="4" w:space="0" w:color="auto"/>
              <w:left w:val="single" w:sz="4" w:space="0" w:color="auto"/>
              <w:bottom w:val="single" w:sz="4" w:space="0" w:color="auto"/>
              <w:right w:val="single" w:sz="4" w:space="0" w:color="auto"/>
            </w:tcBorders>
          </w:tcPr>
          <w:p w14:paraId="6F5390BB"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Bilo koji CTCAE</w:t>
            </w:r>
            <w:r w:rsidRPr="00F37492">
              <w:rPr>
                <w:rFonts w:eastAsia="MS Mincho"/>
                <w:sz w:val="22"/>
                <w:szCs w:val="22"/>
                <w:vertAlign w:val="superscript"/>
                <w:lang w:val="hr-HR"/>
              </w:rPr>
              <w:t>c</w:t>
            </w:r>
            <w:r w:rsidRPr="00F37492">
              <w:rPr>
                <w:rFonts w:eastAsia="MS Mincho"/>
                <w:sz w:val="22"/>
                <w:szCs w:val="22"/>
                <w:lang w:val="hr-HR"/>
              </w:rPr>
              <w:t xml:space="preserve"> stepen</w:t>
            </w:r>
          </w:p>
        </w:tc>
        <w:tc>
          <w:tcPr>
            <w:tcW w:w="2239" w:type="dxa"/>
            <w:tcBorders>
              <w:top w:val="single" w:sz="4" w:space="0" w:color="auto"/>
              <w:left w:val="single" w:sz="4" w:space="0" w:color="auto"/>
              <w:bottom w:val="single" w:sz="4" w:space="0" w:color="auto"/>
              <w:right w:val="single" w:sz="4" w:space="0" w:color="auto"/>
            </w:tcBorders>
          </w:tcPr>
          <w:p w14:paraId="73E45203"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192B3581"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3C76708A"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6A64E700"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Trombocitopenija</w:t>
            </w:r>
            <w:r w:rsidRPr="00F37492">
              <w:rPr>
                <w:rFonts w:eastAsia="MS Mincho"/>
                <w:sz w:val="22"/>
                <w:szCs w:val="22"/>
                <w:vertAlign w:val="superscript"/>
                <w:lang w:val="hr-HR"/>
              </w:rPr>
              <w:t>a</w:t>
            </w:r>
          </w:p>
        </w:tc>
        <w:tc>
          <w:tcPr>
            <w:tcW w:w="2239" w:type="dxa"/>
            <w:tcBorders>
              <w:top w:val="single" w:sz="4" w:space="0" w:color="auto"/>
              <w:left w:val="single" w:sz="4" w:space="0" w:color="auto"/>
              <w:bottom w:val="single" w:sz="4" w:space="0" w:color="auto"/>
              <w:right w:val="single" w:sz="4" w:space="0" w:color="auto"/>
            </w:tcBorders>
          </w:tcPr>
          <w:p w14:paraId="3BFEDADE" w14:textId="77777777" w:rsidR="00F37492" w:rsidRPr="00F37492" w:rsidRDefault="00F37492" w:rsidP="000A557B">
            <w:pPr>
              <w:keepNext/>
              <w:jc w:val="center"/>
              <w:rPr>
                <w:rFonts w:eastAsia="MS Mincho"/>
                <w:sz w:val="22"/>
                <w:szCs w:val="22"/>
                <w:lang w:val="hr-HR"/>
              </w:rPr>
            </w:pPr>
          </w:p>
        </w:tc>
        <w:tc>
          <w:tcPr>
            <w:tcW w:w="3247" w:type="dxa"/>
            <w:tcBorders>
              <w:top w:val="single" w:sz="4" w:space="0" w:color="auto"/>
              <w:left w:val="single" w:sz="4" w:space="0" w:color="auto"/>
              <w:bottom w:val="single" w:sz="4" w:space="0" w:color="auto"/>
              <w:right w:val="single" w:sz="4" w:space="0" w:color="auto"/>
            </w:tcBorders>
          </w:tcPr>
          <w:p w14:paraId="3B1F57C2" w14:textId="77777777" w:rsidR="00F37492" w:rsidRPr="00F37492" w:rsidRDefault="00F37492" w:rsidP="000A557B">
            <w:pPr>
              <w:keepNext/>
              <w:jc w:val="center"/>
              <w:rPr>
                <w:rFonts w:eastAsia="MS Mincho"/>
                <w:sz w:val="22"/>
                <w:szCs w:val="22"/>
                <w:lang w:val="hr-HR"/>
              </w:rPr>
            </w:pPr>
          </w:p>
        </w:tc>
      </w:tr>
      <w:tr w:rsidR="00F37492" w:rsidRPr="00F37492" w14:paraId="7315436F"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26C8276A" w14:textId="77777777" w:rsidR="00F37492" w:rsidRPr="00F37492" w:rsidRDefault="00F37492" w:rsidP="000A557B">
            <w:pPr>
              <w:keepLines/>
              <w:tabs>
                <w:tab w:val="left" w:pos="284"/>
              </w:tabs>
              <w:spacing w:before="40" w:after="20"/>
              <w:rPr>
                <w:sz w:val="22"/>
                <w:szCs w:val="22"/>
                <w:lang w:val="hr-HR" w:eastAsia="x-none"/>
              </w:rPr>
            </w:pPr>
            <w:r w:rsidRPr="00F37492">
              <w:rPr>
                <w:sz w:val="22"/>
                <w:szCs w:val="22"/>
                <w:lang w:val="hr-HR" w:eastAsia="x-none"/>
              </w:rPr>
              <w:t>CTCAE</w:t>
            </w:r>
            <w:r w:rsidRPr="00F37492">
              <w:rPr>
                <w:sz w:val="22"/>
                <w:szCs w:val="22"/>
                <w:vertAlign w:val="superscript"/>
                <w:lang w:val="hr-HR" w:eastAsia="x-none"/>
              </w:rPr>
              <w:t>c</w:t>
            </w:r>
            <w:r w:rsidRPr="00F37492">
              <w:rPr>
                <w:sz w:val="22"/>
                <w:szCs w:val="22"/>
                <w:lang w:val="hr-HR" w:eastAsia="x-none"/>
              </w:rPr>
              <w:t xml:space="preserve"> stepen 4</w:t>
            </w:r>
          </w:p>
          <w:p w14:paraId="679CD9B5" w14:textId="3E58E6CD" w:rsidR="00F37492" w:rsidRPr="00F37492" w:rsidRDefault="00F37492" w:rsidP="000A557B">
            <w:pPr>
              <w:keepNext/>
              <w:rPr>
                <w:rFonts w:eastAsia="MS Mincho"/>
                <w:sz w:val="22"/>
                <w:szCs w:val="22"/>
                <w:lang w:val="hr-HR"/>
              </w:rPr>
            </w:pPr>
            <w:r w:rsidRPr="00F37492">
              <w:rPr>
                <w:rFonts w:eastAsia="MS Mincho"/>
                <w:sz w:val="22"/>
                <w:szCs w:val="22"/>
                <w:lang w:val="hr-HR"/>
              </w:rPr>
              <w:t>(&lt;</w:t>
            </w:r>
            <w:r w:rsidR="00B46775">
              <w:rPr>
                <w:rFonts w:eastAsia="MS Mincho"/>
                <w:sz w:val="22"/>
                <w:szCs w:val="22"/>
                <w:lang w:val="hr-HR"/>
              </w:rPr>
              <w:t xml:space="preserve"> </w:t>
            </w:r>
            <w:r w:rsidRPr="00F37492">
              <w:rPr>
                <w:rFonts w:eastAsia="MS Mincho"/>
                <w:sz w:val="22"/>
                <w:szCs w:val="22"/>
                <w:lang w:val="hr-HR"/>
              </w:rPr>
              <w:t>25 000/mm</w:t>
            </w:r>
            <w:r w:rsidRPr="00F37492">
              <w:rPr>
                <w:rFonts w:eastAsia="MS Mincho"/>
                <w:sz w:val="22"/>
                <w:szCs w:val="22"/>
                <w:vertAlign w:val="superscript"/>
                <w:lang w:val="hr-HR"/>
              </w:rPr>
              <w:t>3</w:t>
            </w:r>
            <w:r w:rsidRPr="00F37492">
              <w:rPr>
                <w:rFonts w:eastAsia="MS Mincho"/>
                <w:sz w:val="22"/>
                <w:szCs w:val="22"/>
                <w:lang w:val="hr-HR"/>
              </w:rPr>
              <w:t>)</w:t>
            </w:r>
          </w:p>
        </w:tc>
        <w:tc>
          <w:tcPr>
            <w:tcW w:w="2239" w:type="dxa"/>
            <w:tcBorders>
              <w:top w:val="single" w:sz="4" w:space="0" w:color="auto"/>
              <w:left w:val="single" w:sz="4" w:space="0" w:color="auto"/>
              <w:bottom w:val="single" w:sz="4" w:space="0" w:color="auto"/>
              <w:right w:val="single" w:sz="4" w:space="0" w:color="auto"/>
            </w:tcBorders>
          </w:tcPr>
          <w:p w14:paraId="0758EA8C"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c>
          <w:tcPr>
            <w:tcW w:w="3247" w:type="dxa"/>
            <w:tcBorders>
              <w:top w:val="single" w:sz="4" w:space="0" w:color="auto"/>
              <w:left w:val="single" w:sz="4" w:space="0" w:color="auto"/>
              <w:bottom w:val="single" w:sz="4" w:space="0" w:color="auto"/>
              <w:right w:val="single" w:sz="4" w:space="0" w:color="auto"/>
            </w:tcBorders>
          </w:tcPr>
          <w:p w14:paraId="792A9EA6"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Povremeno</w:t>
            </w:r>
          </w:p>
        </w:tc>
      </w:tr>
      <w:tr w:rsidR="00F37492" w:rsidRPr="00F37492" w14:paraId="6E5EFB21"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11C8E05B" w14:textId="77777777" w:rsidR="00F37492" w:rsidRPr="00F37492" w:rsidRDefault="00F37492" w:rsidP="000A557B">
            <w:pPr>
              <w:keepLines/>
              <w:tabs>
                <w:tab w:val="left" w:pos="284"/>
              </w:tabs>
              <w:spacing w:before="40" w:after="20"/>
              <w:rPr>
                <w:sz w:val="22"/>
                <w:szCs w:val="22"/>
                <w:lang w:val="hr-HR" w:eastAsia="x-none"/>
              </w:rPr>
            </w:pPr>
            <w:r w:rsidRPr="00F37492">
              <w:rPr>
                <w:sz w:val="22"/>
                <w:szCs w:val="22"/>
                <w:lang w:val="hr-HR" w:eastAsia="x-none"/>
              </w:rPr>
              <w:t>CTCAE</w:t>
            </w:r>
            <w:r w:rsidRPr="00F37492">
              <w:rPr>
                <w:sz w:val="22"/>
                <w:szCs w:val="22"/>
                <w:vertAlign w:val="superscript"/>
                <w:lang w:val="hr-HR" w:eastAsia="x-none"/>
              </w:rPr>
              <w:t>c</w:t>
            </w:r>
            <w:r w:rsidRPr="00F37492">
              <w:rPr>
                <w:sz w:val="22"/>
                <w:szCs w:val="22"/>
                <w:lang w:val="hr-HR" w:eastAsia="x-none"/>
              </w:rPr>
              <w:t xml:space="preserve"> stepen 3</w:t>
            </w:r>
          </w:p>
          <w:p w14:paraId="6253AD3E"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(50 000 – 25 000/mm</w:t>
            </w:r>
            <w:r w:rsidRPr="00F37492">
              <w:rPr>
                <w:rFonts w:eastAsia="MS Mincho"/>
                <w:sz w:val="22"/>
                <w:szCs w:val="22"/>
                <w:vertAlign w:val="superscript"/>
                <w:lang w:val="hr-HR"/>
              </w:rPr>
              <w:t>3</w:t>
            </w:r>
            <w:r w:rsidRPr="00F37492">
              <w:rPr>
                <w:rFonts w:eastAsia="MS Mincho"/>
                <w:sz w:val="22"/>
                <w:szCs w:val="22"/>
                <w:lang w:val="hr-HR"/>
              </w:rPr>
              <w:t>)</w:t>
            </w:r>
          </w:p>
        </w:tc>
        <w:tc>
          <w:tcPr>
            <w:tcW w:w="2239" w:type="dxa"/>
            <w:tcBorders>
              <w:top w:val="single" w:sz="4" w:space="0" w:color="auto"/>
              <w:left w:val="single" w:sz="4" w:space="0" w:color="auto"/>
              <w:bottom w:val="single" w:sz="4" w:space="0" w:color="auto"/>
              <w:right w:val="single" w:sz="4" w:space="0" w:color="auto"/>
            </w:tcBorders>
          </w:tcPr>
          <w:p w14:paraId="3F2A077A"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4A6DB8FF"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 xml:space="preserve">Često </w:t>
            </w:r>
          </w:p>
        </w:tc>
      </w:tr>
      <w:tr w:rsidR="00F37492" w:rsidRPr="00F37492" w14:paraId="08511513" w14:textId="77777777" w:rsidTr="00BB6F20">
        <w:trPr>
          <w:cantSplit/>
          <w:trHeight w:val="424"/>
        </w:trPr>
        <w:tc>
          <w:tcPr>
            <w:tcW w:w="3681" w:type="dxa"/>
            <w:tcBorders>
              <w:top w:val="single" w:sz="4" w:space="0" w:color="auto"/>
              <w:left w:val="single" w:sz="4" w:space="0" w:color="auto"/>
              <w:bottom w:val="single" w:sz="4" w:space="0" w:color="auto"/>
              <w:right w:val="single" w:sz="4" w:space="0" w:color="auto"/>
            </w:tcBorders>
            <w:vAlign w:val="center"/>
          </w:tcPr>
          <w:p w14:paraId="4CD521CA"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Bilo koji CTCAE</w:t>
            </w:r>
            <w:r w:rsidRPr="00F37492">
              <w:rPr>
                <w:rFonts w:eastAsia="MS Mincho"/>
                <w:sz w:val="22"/>
                <w:szCs w:val="22"/>
                <w:vertAlign w:val="superscript"/>
                <w:lang w:val="hr-HR"/>
              </w:rPr>
              <w:t>c</w:t>
            </w:r>
            <w:r w:rsidRPr="00F37492">
              <w:rPr>
                <w:rFonts w:eastAsia="MS Mincho"/>
                <w:sz w:val="22"/>
                <w:szCs w:val="22"/>
                <w:lang w:val="hr-HR"/>
              </w:rPr>
              <w:t xml:space="preserve"> stepen</w:t>
            </w:r>
          </w:p>
        </w:tc>
        <w:tc>
          <w:tcPr>
            <w:tcW w:w="2239" w:type="dxa"/>
            <w:tcBorders>
              <w:top w:val="single" w:sz="4" w:space="0" w:color="auto"/>
              <w:left w:val="single" w:sz="4" w:space="0" w:color="auto"/>
              <w:bottom w:val="single" w:sz="4" w:space="0" w:color="auto"/>
              <w:right w:val="single" w:sz="4" w:space="0" w:color="auto"/>
            </w:tcBorders>
          </w:tcPr>
          <w:p w14:paraId="277E2584"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2D71F858"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31BC2CF7"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29A229DC"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Neutropenija</w:t>
            </w:r>
            <w:r w:rsidRPr="00F37492">
              <w:rPr>
                <w:rFonts w:eastAsia="MS Mincho"/>
                <w:sz w:val="22"/>
                <w:szCs w:val="22"/>
                <w:vertAlign w:val="superscript"/>
                <w:lang w:val="hr-HR"/>
              </w:rPr>
              <w:t>a</w:t>
            </w:r>
          </w:p>
        </w:tc>
        <w:tc>
          <w:tcPr>
            <w:tcW w:w="2239" w:type="dxa"/>
            <w:tcBorders>
              <w:top w:val="single" w:sz="4" w:space="0" w:color="auto"/>
              <w:left w:val="single" w:sz="4" w:space="0" w:color="auto"/>
              <w:bottom w:val="single" w:sz="4" w:space="0" w:color="auto"/>
              <w:right w:val="single" w:sz="4" w:space="0" w:color="auto"/>
            </w:tcBorders>
          </w:tcPr>
          <w:p w14:paraId="4D2C99FD" w14:textId="77777777" w:rsidR="00F37492" w:rsidRPr="00F37492" w:rsidRDefault="00F37492" w:rsidP="000A557B">
            <w:pPr>
              <w:keepNext/>
              <w:jc w:val="center"/>
              <w:rPr>
                <w:rFonts w:eastAsia="MS Mincho"/>
                <w:sz w:val="22"/>
                <w:szCs w:val="22"/>
                <w:lang w:val="hr-HR"/>
              </w:rPr>
            </w:pPr>
          </w:p>
        </w:tc>
        <w:tc>
          <w:tcPr>
            <w:tcW w:w="3247" w:type="dxa"/>
            <w:tcBorders>
              <w:top w:val="single" w:sz="4" w:space="0" w:color="auto"/>
              <w:left w:val="single" w:sz="4" w:space="0" w:color="auto"/>
              <w:bottom w:val="single" w:sz="4" w:space="0" w:color="auto"/>
              <w:right w:val="single" w:sz="4" w:space="0" w:color="auto"/>
            </w:tcBorders>
          </w:tcPr>
          <w:p w14:paraId="431C5A2C" w14:textId="77777777" w:rsidR="00F37492" w:rsidRPr="00F37492" w:rsidRDefault="00F37492" w:rsidP="000A557B">
            <w:pPr>
              <w:keepNext/>
              <w:jc w:val="center"/>
              <w:rPr>
                <w:rFonts w:eastAsia="MS Mincho"/>
                <w:sz w:val="22"/>
                <w:szCs w:val="22"/>
                <w:lang w:val="hr-HR"/>
              </w:rPr>
            </w:pPr>
          </w:p>
        </w:tc>
      </w:tr>
      <w:tr w:rsidR="00F37492" w:rsidRPr="00F37492" w14:paraId="7FFDF5ED"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1B15D78D" w14:textId="77777777" w:rsidR="00F37492" w:rsidRPr="00F37492" w:rsidRDefault="00F37492" w:rsidP="000A557B">
            <w:pPr>
              <w:keepLines/>
              <w:tabs>
                <w:tab w:val="left" w:pos="284"/>
              </w:tabs>
              <w:spacing w:before="40" w:after="20"/>
              <w:rPr>
                <w:sz w:val="22"/>
                <w:szCs w:val="22"/>
                <w:lang w:val="hr-HR" w:eastAsia="x-none"/>
              </w:rPr>
            </w:pPr>
            <w:r w:rsidRPr="00F37492">
              <w:rPr>
                <w:sz w:val="22"/>
                <w:szCs w:val="22"/>
                <w:lang w:val="hr-HR" w:eastAsia="x-none"/>
              </w:rPr>
              <w:t>CTCAE</w:t>
            </w:r>
            <w:r w:rsidRPr="00F37492">
              <w:rPr>
                <w:sz w:val="22"/>
                <w:szCs w:val="22"/>
                <w:vertAlign w:val="superscript"/>
                <w:lang w:val="hr-HR" w:eastAsia="x-none"/>
              </w:rPr>
              <w:t>c</w:t>
            </w:r>
            <w:r w:rsidRPr="00F37492">
              <w:rPr>
                <w:sz w:val="22"/>
                <w:szCs w:val="22"/>
                <w:lang w:val="hr-HR" w:eastAsia="x-none"/>
              </w:rPr>
              <w:t xml:space="preserve"> stepen 4</w:t>
            </w:r>
          </w:p>
          <w:p w14:paraId="2FFAEB34" w14:textId="4C66DBD5" w:rsidR="00F37492" w:rsidRPr="00F37492" w:rsidRDefault="00F37492" w:rsidP="000A557B">
            <w:pPr>
              <w:keepNext/>
              <w:rPr>
                <w:rFonts w:eastAsia="MS Mincho"/>
                <w:sz w:val="22"/>
                <w:szCs w:val="22"/>
                <w:lang w:val="hr-HR"/>
              </w:rPr>
            </w:pPr>
            <w:r w:rsidRPr="00F37492">
              <w:rPr>
                <w:rFonts w:eastAsia="MS Mincho"/>
                <w:sz w:val="22"/>
                <w:szCs w:val="22"/>
                <w:lang w:val="hr-HR"/>
              </w:rPr>
              <w:t>(&lt;</w:t>
            </w:r>
            <w:r w:rsidR="00B46775">
              <w:rPr>
                <w:rFonts w:eastAsia="MS Mincho"/>
                <w:sz w:val="22"/>
                <w:szCs w:val="22"/>
                <w:lang w:val="hr-HR"/>
              </w:rPr>
              <w:t xml:space="preserve"> </w:t>
            </w:r>
            <w:r w:rsidRPr="00F37492">
              <w:rPr>
                <w:rFonts w:eastAsia="MS Mincho"/>
                <w:sz w:val="22"/>
                <w:szCs w:val="22"/>
                <w:lang w:val="hr-HR"/>
              </w:rPr>
              <w:t>500/mm</w:t>
            </w:r>
            <w:r w:rsidRPr="00F37492">
              <w:rPr>
                <w:rFonts w:eastAsia="MS Mincho"/>
                <w:sz w:val="22"/>
                <w:szCs w:val="22"/>
                <w:vertAlign w:val="superscript"/>
                <w:lang w:val="hr-HR"/>
              </w:rPr>
              <w:t>3</w:t>
            </w:r>
            <w:r w:rsidRPr="00F37492">
              <w:rPr>
                <w:rFonts w:eastAsia="MS Mincho"/>
                <w:sz w:val="22"/>
                <w:szCs w:val="22"/>
                <w:lang w:val="hr-HR"/>
              </w:rPr>
              <w:t>)</w:t>
            </w:r>
          </w:p>
        </w:tc>
        <w:tc>
          <w:tcPr>
            <w:tcW w:w="2239" w:type="dxa"/>
            <w:tcBorders>
              <w:top w:val="single" w:sz="4" w:space="0" w:color="auto"/>
              <w:left w:val="single" w:sz="4" w:space="0" w:color="auto"/>
              <w:bottom w:val="single" w:sz="4" w:space="0" w:color="auto"/>
              <w:right w:val="single" w:sz="4" w:space="0" w:color="auto"/>
            </w:tcBorders>
          </w:tcPr>
          <w:p w14:paraId="481DFF75"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c>
          <w:tcPr>
            <w:tcW w:w="3247" w:type="dxa"/>
            <w:tcBorders>
              <w:top w:val="single" w:sz="4" w:space="0" w:color="auto"/>
              <w:left w:val="single" w:sz="4" w:space="0" w:color="auto"/>
              <w:bottom w:val="single" w:sz="4" w:space="0" w:color="auto"/>
              <w:right w:val="single" w:sz="4" w:space="0" w:color="auto"/>
            </w:tcBorders>
          </w:tcPr>
          <w:p w14:paraId="41DE15FA"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Povremeno</w:t>
            </w:r>
          </w:p>
        </w:tc>
      </w:tr>
      <w:tr w:rsidR="00F37492" w:rsidRPr="00F37492" w14:paraId="24E1C013"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4CD08AB2" w14:textId="77777777" w:rsidR="00F37492" w:rsidRPr="00F37492" w:rsidRDefault="00F37492" w:rsidP="000A557B">
            <w:pPr>
              <w:keepLines/>
              <w:tabs>
                <w:tab w:val="left" w:pos="284"/>
              </w:tabs>
              <w:spacing w:before="40" w:after="20"/>
              <w:rPr>
                <w:sz w:val="22"/>
                <w:szCs w:val="22"/>
                <w:lang w:val="hr-HR" w:eastAsia="x-none"/>
              </w:rPr>
            </w:pPr>
            <w:r w:rsidRPr="00F37492">
              <w:rPr>
                <w:sz w:val="22"/>
                <w:szCs w:val="22"/>
                <w:lang w:val="hr-HR" w:eastAsia="x-none"/>
              </w:rPr>
              <w:t>CTCAE</w:t>
            </w:r>
            <w:r w:rsidRPr="00F37492">
              <w:rPr>
                <w:sz w:val="22"/>
                <w:szCs w:val="22"/>
                <w:vertAlign w:val="superscript"/>
                <w:lang w:val="hr-HR" w:eastAsia="x-none"/>
              </w:rPr>
              <w:t>c</w:t>
            </w:r>
            <w:r w:rsidRPr="00F37492">
              <w:rPr>
                <w:sz w:val="22"/>
                <w:szCs w:val="22"/>
                <w:lang w:val="hr-HR" w:eastAsia="x-none"/>
              </w:rPr>
              <w:t xml:space="preserve"> stepen 3</w:t>
            </w:r>
          </w:p>
          <w:p w14:paraId="7765A368" w14:textId="47FD3A62" w:rsidR="00F37492" w:rsidRPr="00F37492" w:rsidRDefault="00F37492" w:rsidP="000A557B">
            <w:pPr>
              <w:keepNext/>
              <w:rPr>
                <w:rFonts w:eastAsia="MS Mincho"/>
                <w:sz w:val="22"/>
                <w:szCs w:val="22"/>
                <w:lang w:val="hr-HR"/>
              </w:rPr>
            </w:pPr>
            <w:r w:rsidRPr="00F37492">
              <w:rPr>
                <w:rFonts w:eastAsia="MS Mincho"/>
                <w:sz w:val="22"/>
                <w:szCs w:val="22"/>
                <w:lang w:val="hr-HR"/>
              </w:rPr>
              <w:t>(&lt;</w:t>
            </w:r>
            <w:r w:rsidR="00B46775">
              <w:rPr>
                <w:rFonts w:eastAsia="MS Mincho"/>
                <w:sz w:val="22"/>
                <w:szCs w:val="22"/>
                <w:lang w:val="hr-HR"/>
              </w:rPr>
              <w:t xml:space="preserve"> </w:t>
            </w:r>
            <w:r w:rsidRPr="00F37492">
              <w:rPr>
                <w:rFonts w:eastAsia="MS Mincho"/>
                <w:sz w:val="22"/>
                <w:szCs w:val="22"/>
                <w:lang w:val="hr-HR"/>
              </w:rPr>
              <w:t>1000 – 500/mm</w:t>
            </w:r>
            <w:r w:rsidRPr="00F37492">
              <w:rPr>
                <w:rFonts w:eastAsia="MS Mincho"/>
                <w:sz w:val="22"/>
                <w:szCs w:val="22"/>
                <w:vertAlign w:val="superscript"/>
                <w:lang w:val="hr-HR"/>
              </w:rPr>
              <w:t>3</w:t>
            </w:r>
            <w:r w:rsidRPr="00F37492">
              <w:rPr>
                <w:rFonts w:eastAsia="MS Mincho"/>
                <w:sz w:val="22"/>
                <w:szCs w:val="22"/>
                <w:lang w:val="hr-HR"/>
              </w:rPr>
              <w:t>)</w:t>
            </w:r>
          </w:p>
        </w:tc>
        <w:tc>
          <w:tcPr>
            <w:tcW w:w="2239" w:type="dxa"/>
            <w:tcBorders>
              <w:top w:val="single" w:sz="4" w:space="0" w:color="auto"/>
              <w:left w:val="single" w:sz="4" w:space="0" w:color="auto"/>
              <w:bottom w:val="single" w:sz="4" w:space="0" w:color="auto"/>
              <w:right w:val="single" w:sz="4" w:space="0" w:color="auto"/>
            </w:tcBorders>
          </w:tcPr>
          <w:p w14:paraId="113AB755"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c>
          <w:tcPr>
            <w:tcW w:w="3247" w:type="dxa"/>
            <w:tcBorders>
              <w:top w:val="single" w:sz="4" w:space="0" w:color="auto"/>
              <w:left w:val="single" w:sz="4" w:space="0" w:color="auto"/>
              <w:bottom w:val="single" w:sz="4" w:space="0" w:color="auto"/>
              <w:right w:val="single" w:sz="4" w:space="0" w:color="auto"/>
            </w:tcBorders>
          </w:tcPr>
          <w:p w14:paraId="1497F6BF"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Povremeno</w:t>
            </w:r>
          </w:p>
        </w:tc>
      </w:tr>
      <w:tr w:rsidR="00F37492" w:rsidRPr="00F37492" w14:paraId="0E696608"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039265B5"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lastRenderedPageBreak/>
              <w:t>Bilo koji CTCAE</w:t>
            </w:r>
            <w:r w:rsidRPr="00F37492">
              <w:rPr>
                <w:rFonts w:eastAsia="MS Mincho"/>
                <w:sz w:val="22"/>
                <w:szCs w:val="22"/>
                <w:vertAlign w:val="superscript"/>
                <w:lang w:val="hr-HR"/>
              </w:rPr>
              <w:t>c</w:t>
            </w:r>
            <w:r w:rsidRPr="00F37492">
              <w:rPr>
                <w:rFonts w:eastAsia="MS Mincho"/>
                <w:sz w:val="22"/>
                <w:szCs w:val="22"/>
                <w:lang w:val="hr-HR"/>
              </w:rPr>
              <w:t xml:space="preserve"> stepen</w:t>
            </w:r>
          </w:p>
        </w:tc>
        <w:tc>
          <w:tcPr>
            <w:tcW w:w="2239" w:type="dxa"/>
            <w:tcBorders>
              <w:top w:val="single" w:sz="4" w:space="0" w:color="auto"/>
              <w:left w:val="single" w:sz="4" w:space="0" w:color="auto"/>
              <w:bottom w:val="single" w:sz="4" w:space="0" w:color="auto"/>
              <w:right w:val="single" w:sz="4" w:space="0" w:color="auto"/>
            </w:tcBorders>
          </w:tcPr>
          <w:p w14:paraId="22548B33"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206CF115"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r>
      <w:tr w:rsidR="00F37492" w:rsidRPr="00F37492" w14:paraId="1EB4B060" w14:textId="77777777" w:rsidTr="00BB6F20">
        <w:trPr>
          <w:cantSplit/>
        </w:trPr>
        <w:tc>
          <w:tcPr>
            <w:tcW w:w="3681" w:type="dxa"/>
            <w:tcBorders>
              <w:top w:val="single" w:sz="4" w:space="0" w:color="auto"/>
              <w:left w:val="single" w:sz="4" w:space="0" w:color="auto"/>
              <w:bottom w:val="single" w:sz="4" w:space="0" w:color="auto"/>
              <w:right w:val="single" w:sz="4" w:space="0" w:color="auto"/>
            </w:tcBorders>
          </w:tcPr>
          <w:p w14:paraId="7C7C0B9B"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Pancitopenija</w:t>
            </w:r>
            <w:r w:rsidRPr="00F37492">
              <w:rPr>
                <w:rFonts w:eastAsia="MS Mincho"/>
                <w:sz w:val="22"/>
                <w:szCs w:val="22"/>
                <w:vertAlign w:val="superscript"/>
                <w:lang w:val="hr-HR"/>
              </w:rPr>
              <w:t>a,b</w:t>
            </w:r>
          </w:p>
        </w:tc>
        <w:tc>
          <w:tcPr>
            <w:tcW w:w="2239" w:type="dxa"/>
            <w:tcBorders>
              <w:top w:val="single" w:sz="4" w:space="0" w:color="auto"/>
              <w:left w:val="single" w:sz="4" w:space="0" w:color="auto"/>
              <w:bottom w:val="single" w:sz="4" w:space="0" w:color="auto"/>
              <w:right w:val="single" w:sz="4" w:space="0" w:color="auto"/>
            </w:tcBorders>
            <w:vAlign w:val="center"/>
          </w:tcPr>
          <w:p w14:paraId="3DD63D2F"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c>
          <w:tcPr>
            <w:tcW w:w="3247" w:type="dxa"/>
            <w:tcBorders>
              <w:top w:val="single" w:sz="4" w:space="0" w:color="auto"/>
              <w:left w:val="single" w:sz="4" w:space="0" w:color="auto"/>
              <w:bottom w:val="single" w:sz="4" w:space="0" w:color="auto"/>
              <w:right w:val="single" w:sz="4" w:space="0" w:color="auto"/>
            </w:tcBorders>
            <w:vAlign w:val="center"/>
          </w:tcPr>
          <w:p w14:paraId="5EF601EC" w14:textId="77777777" w:rsidR="00F37492" w:rsidRPr="00F37492" w:rsidDel="00D344EC" w:rsidRDefault="00F37492" w:rsidP="000A557B">
            <w:pPr>
              <w:keepNext/>
              <w:jc w:val="center"/>
              <w:rPr>
                <w:rFonts w:eastAsia="MS Mincho"/>
                <w:sz w:val="22"/>
                <w:szCs w:val="22"/>
                <w:lang w:val="hr-HR"/>
              </w:rPr>
            </w:pPr>
            <w:r w:rsidRPr="00F37492">
              <w:rPr>
                <w:rFonts w:eastAsia="MS Mincho"/>
                <w:sz w:val="22"/>
                <w:szCs w:val="22"/>
                <w:lang w:val="hr-HR"/>
              </w:rPr>
              <w:t>Često</w:t>
            </w:r>
          </w:p>
        </w:tc>
      </w:tr>
      <w:tr w:rsidR="00F37492" w:rsidRPr="00F37492" w14:paraId="1880DD9C" w14:textId="77777777" w:rsidTr="00BB6F20">
        <w:trPr>
          <w:cantSplit/>
        </w:trPr>
        <w:tc>
          <w:tcPr>
            <w:tcW w:w="3681" w:type="dxa"/>
            <w:tcBorders>
              <w:top w:val="single" w:sz="4" w:space="0" w:color="auto"/>
              <w:left w:val="single" w:sz="4" w:space="0" w:color="auto"/>
              <w:bottom w:val="single" w:sz="4" w:space="0" w:color="auto"/>
              <w:right w:val="single" w:sz="4" w:space="0" w:color="auto"/>
            </w:tcBorders>
          </w:tcPr>
          <w:p w14:paraId="14DF0D19"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Krvarenje (bilo koje krvarenje uključujući intrakranijalno, gastrointestinalno, modrice i druga krvarenja)</w:t>
            </w:r>
          </w:p>
        </w:tc>
        <w:tc>
          <w:tcPr>
            <w:tcW w:w="2239" w:type="dxa"/>
            <w:tcBorders>
              <w:top w:val="single" w:sz="4" w:space="0" w:color="auto"/>
              <w:left w:val="single" w:sz="4" w:space="0" w:color="auto"/>
              <w:bottom w:val="single" w:sz="4" w:space="0" w:color="auto"/>
              <w:right w:val="single" w:sz="4" w:space="0" w:color="auto"/>
            </w:tcBorders>
          </w:tcPr>
          <w:p w14:paraId="4C0630BA"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248835B3"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5DB443DE" w14:textId="77777777" w:rsidTr="00BB6F20">
        <w:trPr>
          <w:cantSplit/>
        </w:trPr>
        <w:tc>
          <w:tcPr>
            <w:tcW w:w="3681" w:type="dxa"/>
            <w:tcBorders>
              <w:top w:val="single" w:sz="4" w:space="0" w:color="auto"/>
              <w:left w:val="single" w:sz="4" w:space="0" w:color="auto"/>
              <w:bottom w:val="single" w:sz="4" w:space="0" w:color="auto"/>
              <w:right w:val="single" w:sz="4" w:space="0" w:color="auto"/>
            </w:tcBorders>
          </w:tcPr>
          <w:p w14:paraId="22C26B63"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Modrice</w:t>
            </w:r>
          </w:p>
        </w:tc>
        <w:tc>
          <w:tcPr>
            <w:tcW w:w="2239" w:type="dxa"/>
            <w:tcBorders>
              <w:top w:val="single" w:sz="4" w:space="0" w:color="auto"/>
              <w:left w:val="single" w:sz="4" w:space="0" w:color="auto"/>
              <w:bottom w:val="single" w:sz="4" w:space="0" w:color="auto"/>
              <w:right w:val="single" w:sz="4" w:space="0" w:color="auto"/>
            </w:tcBorders>
            <w:vAlign w:val="center"/>
          </w:tcPr>
          <w:p w14:paraId="179E73E8"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vAlign w:val="center"/>
          </w:tcPr>
          <w:p w14:paraId="34D154F0"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0D42E2FE" w14:textId="77777777" w:rsidTr="00BB6F20">
        <w:trPr>
          <w:cantSplit/>
        </w:trPr>
        <w:tc>
          <w:tcPr>
            <w:tcW w:w="3681" w:type="dxa"/>
            <w:tcBorders>
              <w:top w:val="single" w:sz="4" w:space="0" w:color="auto"/>
              <w:left w:val="single" w:sz="4" w:space="0" w:color="auto"/>
              <w:bottom w:val="single" w:sz="4" w:space="0" w:color="auto"/>
              <w:right w:val="single" w:sz="4" w:space="0" w:color="auto"/>
            </w:tcBorders>
          </w:tcPr>
          <w:p w14:paraId="679C7CD4"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Gastrointestinalno krvarenje</w:t>
            </w:r>
          </w:p>
        </w:tc>
        <w:tc>
          <w:tcPr>
            <w:tcW w:w="2239" w:type="dxa"/>
            <w:tcBorders>
              <w:top w:val="single" w:sz="4" w:space="0" w:color="auto"/>
              <w:left w:val="single" w:sz="4" w:space="0" w:color="auto"/>
              <w:bottom w:val="single" w:sz="4" w:space="0" w:color="auto"/>
              <w:right w:val="single" w:sz="4" w:space="0" w:color="auto"/>
            </w:tcBorders>
            <w:vAlign w:val="center"/>
          </w:tcPr>
          <w:p w14:paraId="796DC168"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vAlign w:val="center"/>
          </w:tcPr>
          <w:p w14:paraId="02A19E4F"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r>
      <w:tr w:rsidR="00F37492" w:rsidRPr="00F37492" w14:paraId="58CF88D0" w14:textId="77777777" w:rsidTr="00BB6F20">
        <w:trPr>
          <w:cantSplit/>
        </w:trPr>
        <w:tc>
          <w:tcPr>
            <w:tcW w:w="3681" w:type="dxa"/>
            <w:tcBorders>
              <w:top w:val="single" w:sz="4" w:space="0" w:color="auto"/>
              <w:left w:val="single" w:sz="4" w:space="0" w:color="auto"/>
              <w:bottom w:val="single" w:sz="4" w:space="0" w:color="auto"/>
              <w:right w:val="single" w:sz="4" w:space="0" w:color="auto"/>
            </w:tcBorders>
          </w:tcPr>
          <w:p w14:paraId="5A0AD6C8"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Intrakranijalno krvarenje</w:t>
            </w:r>
          </w:p>
        </w:tc>
        <w:tc>
          <w:tcPr>
            <w:tcW w:w="2239" w:type="dxa"/>
            <w:tcBorders>
              <w:top w:val="single" w:sz="4" w:space="0" w:color="auto"/>
              <w:left w:val="single" w:sz="4" w:space="0" w:color="auto"/>
              <w:bottom w:val="single" w:sz="4" w:space="0" w:color="auto"/>
              <w:right w:val="single" w:sz="4" w:space="0" w:color="auto"/>
            </w:tcBorders>
          </w:tcPr>
          <w:p w14:paraId="6CDEA371"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c>
          <w:tcPr>
            <w:tcW w:w="3247" w:type="dxa"/>
            <w:tcBorders>
              <w:top w:val="single" w:sz="4" w:space="0" w:color="auto"/>
              <w:left w:val="single" w:sz="4" w:space="0" w:color="auto"/>
              <w:bottom w:val="single" w:sz="4" w:space="0" w:color="auto"/>
              <w:right w:val="single" w:sz="4" w:space="0" w:color="auto"/>
            </w:tcBorders>
          </w:tcPr>
          <w:p w14:paraId="34310D14" w14:textId="77777777" w:rsidR="00F37492" w:rsidRPr="00F37492" w:rsidRDefault="00F37492" w:rsidP="000A557B">
            <w:pPr>
              <w:keepNext/>
              <w:jc w:val="center"/>
              <w:rPr>
                <w:rFonts w:eastAsia="MS Mincho"/>
                <w:b/>
                <w:sz w:val="22"/>
                <w:szCs w:val="22"/>
                <w:lang w:val="hr-HR"/>
              </w:rPr>
            </w:pPr>
            <w:r w:rsidRPr="00F37492">
              <w:rPr>
                <w:rFonts w:eastAsia="MS Mincho"/>
                <w:sz w:val="22"/>
                <w:szCs w:val="22"/>
                <w:lang w:val="hr-HR"/>
              </w:rPr>
              <w:t>Povremeno</w:t>
            </w:r>
          </w:p>
        </w:tc>
      </w:tr>
      <w:tr w:rsidR="00F37492" w:rsidRPr="00F37492" w14:paraId="488B21FC" w14:textId="77777777" w:rsidTr="00BB6F20">
        <w:trPr>
          <w:cantSplit/>
        </w:trPr>
        <w:tc>
          <w:tcPr>
            <w:tcW w:w="3681" w:type="dxa"/>
            <w:tcBorders>
              <w:top w:val="single" w:sz="4" w:space="0" w:color="auto"/>
              <w:left w:val="single" w:sz="4" w:space="0" w:color="auto"/>
              <w:bottom w:val="single" w:sz="4" w:space="0" w:color="auto"/>
              <w:right w:val="single" w:sz="4" w:space="0" w:color="auto"/>
            </w:tcBorders>
          </w:tcPr>
          <w:p w14:paraId="2CC07785"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Druga krvarenja (uključujući epistaksu, postproceduralno krvarenje i hematuriju)</w:t>
            </w:r>
          </w:p>
        </w:tc>
        <w:tc>
          <w:tcPr>
            <w:tcW w:w="2239" w:type="dxa"/>
            <w:tcBorders>
              <w:top w:val="single" w:sz="4" w:space="0" w:color="auto"/>
              <w:left w:val="single" w:sz="4" w:space="0" w:color="auto"/>
              <w:bottom w:val="single" w:sz="4" w:space="0" w:color="auto"/>
              <w:right w:val="single" w:sz="4" w:space="0" w:color="auto"/>
            </w:tcBorders>
          </w:tcPr>
          <w:p w14:paraId="6EB5E8A1"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53AA54FC"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2F40207A"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1CA3A39B" w14:textId="77777777" w:rsidR="00F37492" w:rsidRPr="00F37492" w:rsidRDefault="00F37492" w:rsidP="000A557B">
            <w:pPr>
              <w:keepNext/>
              <w:rPr>
                <w:rFonts w:eastAsia="MS Mincho"/>
                <w:b/>
                <w:sz w:val="22"/>
                <w:szCs w:val="22"/>
                <w:lang w:val="hr-HR"/>
              </w:rPr>
            </w:pPr>
            <w:r w:rsidRPr="00F37492">
              <w:rPr>
                <w:rFonts w:eastAsia="MS Mincho"/>
                <w:b/>
                <w:sz w:val="22"/>
                <w:szCs w:val="22"/>
                <w:lang w:val="hr-HR"/>
              </w:rPr>
              <w:t>Poremećaji metabolizma i ishrane</w:t>
            </w:r>
          </w:p>
        </w:tc>
        <w:tc>
          <w:tcPr>
            <w:tcW w:w="2239" w:type="dxa"/>
            <w:tcBorders>
              <w:top w:val="single" w:sz="4" w:space="0" w:color="auto"/>
              <w:left w:val="single" w:sz="4" w:space="0" w:color="auto"/>
              <w:bottom w:val="single" w:sz="4" w:space="0" w:color="auto"/>
              <w:right w:val="single" w:sz="4" w:space="0" w:color="auto"/>
            </w:tcBorders>
          </w:tcPr>
          <w:p w14:paraId="4CC829BB" w14:textId="77777777" w:rsidR="00F37492" w:rsidRPr="00F37492" w:rsidRDefault="00F37492" w:rsidP="000A557B">
            <w:pPr>
              <w:keepNext/>
              <w:jc w:val="center"/>
              <w:rPr>
                <w:rFonts w:eastAsia="MS Mincho"/>
                <w:b/>
                <w:sz w:val="22"/>
                <w:szCs w:val="22"/>
                <w:lang w:val="hr-HR"/>
              </w:rPr>
            </w:pPr>
          </w:p>
        </w:tc>
        <w:tc>
          <w:tcPr>
            <w:tcW w:w="3247" w:type="dxa"/>
            <w:tcBorders>
              <w:top w:val="single" w:sz="4" w:space="0" w:color="auto"/>
              <w:left w:val="single" w:sz="4" w:space="0" w:color="auto"/>
              <w:bottom w:val="single" w:sz="4" w:space="0" w:color="auto"/>
              <w:right w:val="single" w:sz="4" w:space="0" w:color="auto"/>
            </w:tcBorders>
          </w:tcPr>
          <w:p w14:paraId="35F5BC28" w14:textId="77777777" w:rsidR="00F37492" w:rsidRPr="00F37492" w:rsidRDefault="00F37492" w:rsidP="000A557B">
            <w:pPr>
              <w:keepNext/>
              <w:jc w:val="center"/>
              <w:rPr>
                <w:rFonts w:eastAsia="MS Mincho"/>
                <w:b/>
                <w:sz w:val="22"/>
                <w:szCs w:val="22"/>
                <w:lang w:val="hr-HR"/>
              </w:rPr>
            </w:pPr>
          </w:p>
        </w:tc>
      </w:tr>
      <w:tr w:rsidR="00F37492" w:rsidRPr="00F37492" w14:paraId="0BB7F658"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593FCDD1" w14:textId="77777777" w:rsidR="00F37492" w:rsidRPr="00F37492" w:rsidRDefault="00F37492" w:rsidP="000A557B">
            <w:pPr>
              <w:keepNext/>
              <w:rPr>
                <w:rFonts w:eastAsia="MS Mincho"/>
                <w:sz w:val="22"/>
                <w:szCs w:val="22"/>
                <w:vertAlign w:val="superscript"/>
                <w:lang w:val="hr-HR"/>
              </w:rPr>
            </w:pPr>
            <w:r w:rsidRPr="00F37492">
              <w:rPr>
                <w:rFonts w:eastAsia="MS Mincho"/>
                <w:sz w:val="22"/>
                <w:szCs w:val="22"/>
                <w:lang w:val="hr-HR"/>
              </w:rPr>
              <w:t>Hiperholesterolemija</w:t>
            </w:r>
            <w:r w:rsidRPr="00F37492">
              <w:rPr>
                <w:rFonts w:eastAsia="MS Mincho"/>
                <w:sz w:val="22"/>
                <w:szCs w:val="22"/>
                <w:vertAlign w:val="superscript"/>
                <w:lang w:val="hr-HR"/>
              </w:rPr>
              <w:t>a</w:t>
            </w:r>
          </w:p>
          <w:p w14:paraId="7FC7BD7D"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CTCAE</w:t>
            </w:r>
            <w:r w:rsidRPr="00F37492">
              <w:rPr>
                <w:rFonts w:eastAsia="MS Mincho"/>
                <w:sz w:val="22"/>
                <w:szCs w:val="22"/>
                <w:vertAlign w:val="superscript"/>
                <w:lang w:val="hr-HR"/>
              </w:rPr>
              <w:t>c</w:t>
            </w:r>
            <w:r w:rsidRPr="00F37492">
              <w:rPr>
                <w:rFonts w:eastAsia="MS Mincho"/>
                <w:sz w:val="22"/>
                <w:szCs w:val="22"/>
                <w:lang w:val="hr-HR"/>
              </w:rPr>
              <w:t xml:space="preserve"> stepen 1 i 2</w:t>
            </w:r>
          </w:p>
        </w:tc>
        <w:tc>
          <w:tcPr>
            <w:tcW w:w="2239" w:type="dxa"/>
            <w:tcBorders>
              <w:top w:val="single" w:sz="4" w:space="0" w:color="auto"/>
              <w:left w:val="single" w:sz="4" w:space="0" w:color="auto"/>
              <w:bottom w:val="single" w:sz="4" w:space="0" w:color="auto"/>
              <w:right w:val="single" w:sz="4" w:space="0" w:color="auto"/>
            </w:tcBorders>
          </w:tcPr>
          <w:p w14:paraId="2CBD5A33"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773A1EAE"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36C4ABB6"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2B724EA2" w14:textId="77777777" w:rsidR="00F37492" w:rsidRPr="00F37492" w:rsidRDefault="00F37492" w:rsidP="000A557B">
            <w:pPr>
              <w:keepLines/>
              <w:tabs>
                <w:tab w:val="left" w:pos="284"/>
              </w:tabs>
              <w:spacing w:before="40" w:after="20"/>
              <w:rPr>
                <w:sz w:val="22"/>
                <w:szCs w:val="22"/>
                <w:vertAlign w:val="superscript"/>
                <w:lang w:val="hr-HR" w:eastAsia="x-none"/>
              </w:rPr>
            </w:pPr>
            <w:r w:rsidRPr="00F37492">
              <w:rPr>
                <w:sz w:val="22"/>
                <w:szCs w:val="22"/>
                <w:lang w:val="hr-HR" w:eastAsia="x-none"/>
              </w:rPr>
              <w:t>Hipertrigliceridemija</w:t>
            </w:r>
            <w:r w:rsidRPr="00F37492">
              <w:rPr>
                <w:sz w:val="22"/>
                <w:szCs w:val="22"/>
                <w:vertAlign w:val="superscript"/>
                <w:lang w:val="hr-HR" w:eastAsia="x-none"/>
              </w:rPr>
              <w:t>a</w:t>
            </w:r>
          </w:p>
          <w:p w14:paraId="5B3F6D53"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CTCAE</w:t>
            </w:r>
            <w:r w:rsidRPr="00F37492">
              <w:rPr>
                <w:rFonts w:eastAsia="MS Mincho"/>
                <w:sz w:val="22"/>
                <w:szCs w:val="22"/>
                <w:vertAlign w:val="superscript"/>
                <w:lang w:val="hr-HR"/>
              </w:rPr>
              <w:t>c</w:t>
            </w:r>
            <w:r w:rsidRPr="00F37492">
              <w:rPr>
                <w:rFonts w:eastAsia="MS Mincho"/>
                <w:sz w:val="22"/>
                <w:szCs w:val="22"/>
                <w:lang w:val="hr-HR"/>
              </w:rPr>
              <w:t xml:space="preserve"> stepen 1</w:t>
            </w:r>
          </w:p>
        </w:tc>
        <w:tc>
          <w:tcPr>
            <w:tcW w:w="2239" w:type="dxa"/>
            <w:tcBorders>
              <w:top w:val="single" w:sz="4" w:space="0" w:color="auto"/>
              <w:left w:val="single" w:sz="4" w:space="0" w:color="auto"/>
              <w:bottom w:val="single" w:sz="4" w:space="0" w:color="auto"/>
              <w:right w:val="single" w:sz="4" w:space="0" w:color="auto"/>
            </w:tcBorders>
          </w:tcPr>
          <w:p w14:paraId="2B51E624"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7FF6B683"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79EA69BD" w14:textId="77777777" w:rsidTr="00BB6F20">
        <w:trPr>
          <w:cantSplit/>
        </w:trPr>
        <w:tc>
          <w:tcPr>
            <w:tcW w:w="3681" w:type="dxa"/>
            <w:tcBorders>
              <w:top w:val="single" w:sz="4" w:space="0" w:color="auto"/>
              <w:left w:val="single" w:sz="4" w:space="0" w:color="auto"/>
              <w:bottom w:val="single" w:sz="4" w:space="0" w:color="auto"/>
              <w:right w:val="single" w:sz="4" w:space="0" w:color="auto"/>
            </w:tcBorders>
          </w:tcPr>
          <w:p w14:paraId="31FC4327" w14:textId="0E23AD90" w:rsidR="00F37492" w:rsidRPr="00F37492" w:rsidRDefault="00F37492" w:rsidP="000A557B">
            <w:pPr>
              <w:keepLines/>
              <w:tabs>
                <w:tab w:val="left" w:pos="284"/>
              </w:tabs>
              <w:spacing w:before="40" w:after="20"/>
              <w:rPr>
                <w:sz w:val="22"/>
                <w:szCs w:val="22"/>
                <w:lang w:val="hr-HR" w:eastAsia="x-none"/>
              </w:rPr>
            </w:pPr>
            <w:r w:rsidRPr="00F37492">
              <w:rPr>
                <w:sz w:val="22"/>
                <w:szCs w:val="22"/>
                <w:lang w:val="hr-HR" w:eastAsia="x-none"/>
              </w:rPr>
              <w:t xml:space="preserve">Porast tjelesne </w:t>
            </w:r>
            <w:r w:rsidR="00B46775">
              <w:rPr>
                <w:sz w:val="22"/>
                <w:szCs w:val="22"/>
                <w:lang w:val="hr-HR" w:eastAsia="x-none"/>
              </w:rPr>
              <w:t>mase</w:t>
            </w:r>
            <w:r w:rsidR="00B46775" w:rsidRPr="00F37492">
              <w:rPr>
                <w:sz w:val="22"/>
                <w:szCs w:val="22"/>
                <w:vertAlign w:val="superscript"/>
                <w:lang w:val="hr-HR" w:eastAsia="x-none"/>
              </w:rPr>
              <w:t>a</w:t>
            </w:r>
          </w:p>
        </w:tc>
        <w:tc>
          <w:tcPr>
            <w:tcW w:w="2239" w:type="dxa"/>
            <w:tcBorders>
              <w:top w:val="single" w:sz="4" w:space="0" w:color="auto"/>
              <w:left w:val="single" w:sz="4" w:space="0" w:color="auto"/>
              <w:bottom w:val="single" w:sz="4" w:space="0" w:color="auto"/>
              <w:right w:val="single" w:sz="4" w:space="0" w:color="auto"/>
            </w:tcBorders>
            <w:vAlign w:val="center"/>
          </w:tcPr>
          <w:p w14:paraId="35A9076F"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vAlign w:val="center"/>
          </w:tcPr>
          <w:p w14:paraId="308F061E"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5C433016"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30E76462" w14:textId="77777777" w:rsidR="00F37492" w:rsidRPr="00F37492" w:rsidRDefault="00F37492" w:rsidP="000A557B">
            <w:pPr>
              <w:keepNext/>
              <w:rPr>
                <w:rFonts w:eastAsia="MS Mincho"/>
                <w:b/>
                <w:sz w:val="22"/>
                <w:szCs w:val="22"/>
                <w:lang w:val="hr-HR"/>
              </w:rPr>
            </w:pPr>
            <w:r w:rsidRPr="00F37492">
              <w:rPr>
                <w:rFonts w:eastAsia="MS Mincho"/>
                <w:b/>
                <w:sz w:val="22"/>
                <w:szCs w:val="22"/>
                <w:lang w:eastAsia="sr-Latn-CS"/>
              </w:rPr>
              <w:t>Poremećaji nervnog sistema</w:t>
            </w:r>
          </w:p>
        </w:tc>
        <w:tc>
          <w:tcPr>
            <w:tcW w:w="2239" w:type="dxa"/>
            <w:tcBorders>
              <w:top w:val="single" w:sz="4" w:space="0" w:color="auto"/>
              <w:left w:val="single" w:sz="4" w:space="0" w:color="auto"/>
              <w:bottom w:val="single" w:sz="4" w:space="0" w:color="auto"/>
              <w:right w:val="single" w:sz="4" w:space="0" w:color="auto"/>
            </w:tcBorders>
          </w:tcPr>
          <w:p w14:paraId="3802CCA8" w14:textId="77777777" w:rsidR="00F37492" w:rsidRPr="00F37492" w:rsidRDefault="00F37492" w:rsidP="000A557B">
            <w:pPr>
              <w:keepNext/>
              <w:jc w:val="center"/>
              <w:rPr>
                <w:rFonts w:eastAsia="MS Mincho"/>
                <w:b/>
                <w:sz w:val="22"/>
                <w:szCs w:val="22"/>
                <w:lang w:val="hr-HR"/>
              </w:rPr>
            </w:pPr>
          </w:p>
        </w:tc>
        <w:tc>
          <w:tcPr>
            <w:tcW w:w="3247" w:type="dxa"/>
            <w:tcBorders>
              <w:top w:val="single" w:sz="4" w:space="0" w:color="auto"/>
              <w:left w:val="single" w:sz="4" w:space="0" w:color="auto"/>
              <w:bottom w:val="single" w:sz="4" w:space="0" w:color="auto"/>
              <w:right w:val="single" w:sz="4" w:space="0" w:color="auto"/>
            </w:tcBorders>
          </w:tcPr>
          <w:p w14:paraId="5E7226B1" w14:textId="77777777" w:rsidR="00F37492" w:rsidRPr="00F37492" w:rsidRDefault="00F37492" w:rsidP="000A557B">
            <w:pPr>
              <w:keepNext/>
              <w:jc w:val="center"/>
              <w:rPr>
                <w:rFonts w:eastAsia="MS Mincho"/>
                <w:b/>
                <w:sz w:val="22"/>
                <w:szCs w:val="22"/>
                <w:lang w:val="hr-HR"/>
              </w:rPr>
            </w:pPr>
          </w:p>
        </w:tc>
      </w:tr>
      <w:tr w:rsidR="00F37492" w:rsidRPr="00F37492" w14:paraId="5D9355AE"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1898A964"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Vrtoglavica</w:t>
            </w:r>
          </w:p>
        </w:tc>
        <w:tc>
          <w:tcPr>
            <w:tcW w:w="2239" w:type="dxa"/>
            <w:tcBorders>
              <w:top w:val="single" w:sz="4" w:space="0" w:color="auto"/>
              <w:left w:val="single" w:sz="4" w:space="0" w:color="auto"/>
              <w:bottom w:val="single" w:sz="4" w:space="0" w:color="auto"/>
              <w:right w:val="single" w:sz="4" w:space="0" w:color="auto"/>
            </w:tcBorders>
          </w:tcPr>
          <w:p w14:paraId="33A71C4C"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2CF56794"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032F5FC2"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784AE7E6"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Glavobolja</w:t>
            </w:r>
          </w:p>
        </w:tc>
        <w:tc>
          <w:tcPr>
            <w:tcW w:w="2239" w:type="dxa"/>
            <w:tcBorders>
              <w:top w:val="single" w:sz="4" w:space="0" w:color="auto"/>
              <w:left w:val="single" w:sz="4" w:space="0" w:color="auto"/>
              <w:bottom w:val="single" w:sz="4" w:space="0" w:color="auto"/>
              <w:right w:val="single" w:sz="4" w:space="0" w:color="auto"/>
            </w:tcBorders>
          </w:tcPr>
          <w:p w14:paraId="6CAF4DC6"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1C47A270"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63C2B483"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4B794A60" w14:textId="77777777" w:rsidR="00F37492" w:rsidRPr="00F37492" w:rsidRDefault="00F37492" w:rsidP="000A557B">
            <w:pPr>
              <w:keepNext/>
              <w:rPr>
                <w:rFonts w:eastAsia="MS Mincho"/>
                <w:b/>
                <w:sz w:val="22"/>
                <w:szCs w:val="22"/>
                <w:lang w:val="hr-HR"/>
              </w:rPr>
            </w:pPr>
            <w:r w:rsidRPr="00F37492">
              <w:rPr>
                <w:rFonts w:eastAsia="MS Mincho"/>
                <w:b/>
                <w:sz w:val="22"/>
                <w:szCs w:val="22"/>
                <w:lang w:val="hr-HR"/>
              </w:rPr>
              <w:t>Gastrointestinalni poremećaji</w:t>
            </w:r>
          </w:p>
        </w:tc>
        <w:tc>
          <w:tcPr>
            <w:tcW w:w="2239" w:type="dxa"/>
            <w:tcBorders>
              <w:top w:val="single" w:sz="4" w:space="0" w:color="auto"/>
              <w:left w:val="single" w:sz="4" w:space="0" w:color="auto"/>
              <w:bottom w:val="single" w:sz="4" w:space="0" w:color="auto"/>
              <w:right w:val="single" w:sz="4" w:space="0" w:color="auto"/>
            </w:tcBorders>
          </w:tcPr>
          <w:p w14:paraId="072727DD" w14:textId="77777777" w:rsidR="00F37492" w:rsidRPr="00F37492" w:rsidRDefault="00F37492" w:rsidP="000A557B">
            <w:pPr>
              <w:keepNext/>
              <w:jc w:val="center"/>
              <w:rPr>
                <w:rFonts w:eastAsia="MS Mincho"/>
                <w:b/>
                <w:sz w:val="22"/>
                <w:szCs w:val="22"/>
                <w:lang w:val="hr-HR"/>
              </w:rPr>
            </w:pPr>
          </w:p>
        </w:tc>
        <w:tc>
          <w:tcPr>
            <w:tcW w:w="3247" w:type="dxa"/>
            <w:tcBorders>
              <w:top w:val="single" w:sz="4" w:space="0" w:color="auto"/>
              <w:left w:val="single" w:sz="4" w:space="0" w:color="auto"/>
              <w:bottom w:val="single" w:sz="4" w:space="0" w:color="auto"/>
              <w:right w:val="single" w:sz="4" w:space="0" w:color="auto"/>
            </w:tcBorders>
          </w:tcPr>
          <w:p w14:paraId="0430EB62" w14:textId="77777777" w:rsidR="00F37492" w:rsidRPr="00F37492" w:rsidRDefault="00F37492" w:rsidP="000A557B">
            <w:pPr>
              <w:keepNext/>
              <w:jc w:val="center"/>
              <w:rPr>
                <w:rFonts w:eastAsia="MS Mincho"/>
                <w:b/>
                <w:sz w:val="22"/>
                <w:szCs w:val="22"/>
                <w:lang w:val="hr-HR"/>
              </w:rPr>
            </w:pPr>
          </w:p>
        </w:tc>
      </w:tr>
      <w:tr w:rsidR="00F37492" w:rsidRPr="00F37492" w14:paraId="6B32873C"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3F940259"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Povišena lipaza, bilo koji CTCAE</w:t>
            </w:r>
            <w:r w:rsidRPr="00F37492">
              <w:rPr>
                <w:rFonts w:eastAsia="MS Mincho"/>
                <w:sz w:val="22"/>
                <w:szCs w:val="22"/>
                <w:vertAlign w:val="superscript"/>
                <w:lang w:val="hr-HR"/>
              </w:rPr>
              <w:t>c</w:t>
            </w:r>
            <w:r w:rsidRPr="00F37492">
              <w:rPr>
                <w:rFonts w:eastAsia="MS Mincho"/>
                <w:sz w:val="22"/>
                <w:szCs w:val="22"/>
                <w:lang w:val="hr-HR"/>
              </w:rPr>
              <w:t xml:space="preserve"> stepen</w:t>
            </w:r>
          </w:p>
        </w:tc>
        <w:tc>
          <w:tcPr>
            <w:tcW w:w="2239" w:type="dxa"/>
            <w:tcBorders>
              <w:top w:val="single" w:sz="4" w:space="0" w:color="auto"/>
              <w:left w:val="single" w:sz="4" w:space="0" w:color="auto"/>
              <w:bottom w:val="single" w:sz="4" w:space="0" w:color="auto"/>
              <w:right w:val="single" w:sz="4" w:space="0" w:color="auto"/>
            </w:tcBorders>
            <w:vAlign w:val="center"/>
          </w:tcPr>
          <w:p w14:paraId="2C2AD45E"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vAlign w:val="center"/>
          </w:tcPr>
          <w:p w14:paraId="0221F14B"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68FE3607" w14:textId="77777777" w:rsidTr="00BB6F20">
        <w:trPr>
          <w:cantSplit/>
        </w:trPr>
        <w:tc>
          <w:tcPr>
            <w:tcW w:w="3681" w:type="dxa"/>
            <w:tcBorders>
              <w:top w:val="single" w:sz="4" w:space="0" w:color="auto"/>
              <w:left w:val="single" w:sz="4" w:space="0" w:color="auto"/>
              <w:bottom w:val="single" w:sz="4" w:space="0" w:color="auto"/>
              <w:right w:val="single" w:sz="4" w:space="0" w:color="auto"/>
            </w:tcBorders>
          </w:tcPr>
          <w:p w14:paraId="0C7B0376"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Konstipacija</w:t>
            </w:r>
          </w:p>
        </w:tc>
        <w:tc>
          <w:tcPr>
            <w:tcW w:w="2239" w:type="dxa"/>
            <w:tcBorders>
              <w:top w:val="single" w:sz="4" w:space="0" w:color="auto"/>
              <w:left w:val="single" w:sz="4" w:space="0" w:color="auto"/>
              <w:bottom w:val="single" w:sz="4" w:space="0" w:color="auto"/>
              <w:right w:val="single" w:sz="4" w:space="0" w:color="auto"/>
            </w:tcBorders>
          </w:tcPr>
          <w:p w14:paraId="6640773E"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522B7A43"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3F2C3D63"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7B6B94A3"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Flatulencija</w:t>
            </w:r>
          </w:p>
        </w:tc>
        <w:tc>
          <w:tcPr>
            <w:tcW w:w="2239" w:type="dxa"/>
            <w:tcBorders>
              <w:top w:val="single" w:sz="4" w:space="0" w:color="auto"/>
              <w:left w:val="single" w:sz="4" w:space="0" w:color="auto"/>
              <w:bottom w:val="single" w:sz="4" w:space="0" w:color="auto"/>
              <w:right w:val="single" w:sz="4" w:space="0" w:color="auto"/>
            </w:tcBorders>
          </w:tcPr>
          <w:p w14:paraId="69323935"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c>
          <w:tcPr>
            <w:tcW w:w="3247" w:type="dxa"/>
            <w:tcBorders>
              <w:top w:val="single" w:sz="4" w:space="0" w:color="auto"/>
              <w:left w:val="single" w:sz="4" w:space="0" w:color="auto"/>
              <w:bottom w:val="single" w:sz="4" w:space="0" w:color="auto"/>
              <w:right w:val="single" w:sz="4" w:space="0" w:color="auto"/>
            </w:tcBorders>
          </w:tcPr>
          <w:p w14:paraId="46C99A2B"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r>
      <w:tr w:rsidR="00F37492" w:rsidRPr="00F37492" w14:paraId="734C1EA9"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1F3BC9AC" w14:textId="77777777" w:rsidR="00F37492" w:rsidRPr="00F37492" w:rsidRDefault="00F37492" w:rsidP="000A557B">
            <w:pPr>
              <w:keepNext/>
              <w:rPr>
                <w:rFonts w:eastAsia="MS Mincho"/>
                <w:b/>
                <w:sz w:val="22"/>
                <w:szCs w:val="22"/>
                <w:lang w:val="hr-HR"/>
              </w:rPr>
            </w:pPr>
            <w:r w:rsidRPr="00F37492">
              <w:rPr>
                <w:rFonts w:eastAsia="MS Mincho"/>
                <w:b/>
                <w:sz w:val="22"/>
                <w:szCs w:val="22"/>
                <w:lang w:val="hr-HR"/>
              </w:rPr>
              <w:t>Hepatobilijarni poremećaji</w:t>
            </w:r>
          </w:p>
        </w:tc>
        <w:tc>
          <w:tcPr>
            <w:tcW w:w="2239" w:type="dxa"/>
            <w:tcBorders>
              <w:top w:val="single" w:sz="4" w:space="0" w:color="auto"/>
              <w:left w:val="single" w:sz="4" w:space="0" w:color="auto"/>
              <w:bottom w:val="single" w:sz="4" w:space="0" w:color="auto"/>
              <w:right w:val="single" w:sz="4" w:space="0" w:color="auto"/>
            </w:tcBorders>
          </w:tcPr>
          <w:p w14:paraId="53B482A1" w14:textId="77777777" w:rsidR="00F37492" w:rsidRPr="00F37492" w:rsidRDefault="00F37492" w:rsidP="000A557B">
            <w:pPr>
              <w:keepNext/>
              <w:jc w:val="center"/>
              <w:rPr>
                <w:rFonts w:eastAsia="MS Mincho"/>
                <w:b/>
                <w:sz w:val="22"/>
                <w:szCs w:val="22"/>
                <w:lang w:val="hr-HR"/>
              </w:rPr>
            </w:pPr>
          </w:p>
        </w:tc>
        <w:tc>
          <w:tcPr>
            <w:tcW w:w="3247" w:type="dxa"/>
            <w:tcBorders>
              <w:top w:val="single" w:sz="4" w:space="0" w:color="auto"/>
              <w:left w:val="single" w:sz="4" w:space="0" w:color="auto"/>
              <w:bottom w:val="single" w:sz="4" w:space="0" w:color="auto"/>
              <w:right w:val="single" w:sz="4" w:space="0" w:color="auto"/>
            </w:tcBorders>
          </w:tcPr>
          <w:p w14:paraId="4F044EB4" w14:textId="77777777" w:rsidR="00F37492" w:rsidRPr="00F37492" w:rsidRDefault="00F37492" w:rsidP="000A557B">
            <w:pPr>
              <w:keepNext/>
              <w:jc w:val="center"/>
              <w:rPr>
                <w:rFonts w:eastAsia="MS Mincho"/>
                <w:b/>
                <w:sz w:val="22"/>
                <w:szCs w:val="22"/>
                <w:lang w:val="hr-HR"/>
              </w:rPr>
            </w:pPr>
          </w:p>
        </w:tc>
      </w:tr>
      <w:tr w:rsidR="00F37492" w:rsidRPr="00F37492" w14:paraId="7AA87FBA"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4A414057"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Povišena alanin aminotransferaza</w:t>
            </w:r>
            <w:r w:rsidRPr="00F37492">
              <w:rPr>
                <w:rFonts w:eastAsia="MS Mincho"/>
                <w:sz w:val="22"/>
                <w:szCs w:val="22"/>
                <w:vertAlign w:val="superscript"/>
                <w:lang w:val="hr-HR"/>
              </w:rPr>
              <w:t>a</w:t>
            </w:r>
          </w:p>
        </w:tc>
        <w:tc>
          <w:tcPr>
            <w:tcW w:w="2239" w:type="dxa"/>
            <w:tcBorders>
              <w:top w:val="single" w:sz="4" w:space="0" w:color="auto"/>
              <w:left w:val="single" w:sz="4" w:space="0" w:color="auto"/>
              <w:bottom w:val="single" w:sz="4" w:space="0" w:color="auto"/>
              <w:right w:val="single" w:sz="4" w:space="0" w:color="auto"/>
            </w:tcBorders>
          </w:tcPr>
          <w:p w14:paraId="444E28B1" w14:textId="77777777" w:rsidR="00F37492" w:rsidRPr="00F37492" w:rsidRDefault="00F37492" w:rsidP="000A557B">
            <w:pPr>
              <w:keepNext/>
              <w:jc w:val="center"/>
              <w:rPr>
                <w:rFonts w:eastAsia="MS Mincho"/>
                <w:sz w:val="22"/>
                <w:szCs w:val="22"/>
                <w:lang w:val="hr-HR"/>
              </w:rPr>
            </w:pPr>
          </w:p>
        </w:tc>
        <w:tc>
          <w:tcPr>
            <w:tcW w:w="3247" w:type="dxa"/>
            <w:tcBorders>
              <w:top w:val="single" w:sz="4" w:space="0" w:color="auto"/>
              <w:left w:val="single" w:sz="4" w:space="0" w:color="auto"/>
              <w:bottom w:val="single" w:sz="4" w:space="0" w:color="auto"/>
              <w:right w:val="single" w:sz="4" w:space="0" w:color="auto"/>
            </w:tcBorders>
          </w:tcPr>
          <w:p w14:paraId="057BD509" w14:textId="77777777" w:rsidR="00F37492" w:rsidRPr="00F37492" w:rsidRDefault="00F37492" w:rsidP="000A557B">
            <w:pPr>
              <w:keepNext/>
              <w:jc w:val="center"/>
              <w:rPr>
                <w:rFonts w:eastAsia="MS Mincho"/>
                <w:sz w:val="22"/>
                <w:szCs w:val="22"/>
                <w:lang w:val="hr-HR"/>
              </w:rPr>
            </w:pPr>
          </w:p>
        </w:tc>
      </w:tr>
      <w:tr w:rsidR="00F37492" w:rsidRPr="00F37492" w14:paraId="1930EC86"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2D38EB06" w14:textId="77777777" w:rsidR="00F37492" w:rsidRPr="00F37492" w:rsidRDefault="00F37492" w:rsidP="000A557B">
            <w:pPr>
              <w:keepNext/>
              <w:keepLines/>
              <w:tabs>
                <w:tab w:val="left" w:pos="284"/>
              </w:tabs>
              <w:spacing w:before="40" w:after="20"/>
              <w:rPr>
                <w:sz w:val="22"/>
                <w:szCs w:val="22"/>
                <w:lang w:val="hr-HR" w:eastAsia="x-none"/>
              </w:rPr>
            </w:pPr>
            <w:r w:rsidRPr="00F37492">
              <w:rPr>
                <w:sz w:val="22"/>
                <w:szCs w:val="22"/>
                <w:lang w:val="hr-HR" w:eastAsia="x-none"/>
              </w:rPr>
              <w:t>CTCAE</w:t>
            </w:r>
            <w:r w:rsidRPr="00F37492">
              <w:rPr>
                <w:sz w:val="22"/>
                <w:szCs w:val="22"/>
                <w:vertAlign w:val="superscript"/>
                <w:lang w:val="hr-HR" w:eastAsia="x-none"/>
              </w:rPr>
              <w:t>c</w:t>
            </w:r>
            <w:r w:rsidRPr="00F37492">
              <w:rPr>
                <w:sz w:val="22"/>
                <w:szCs w:val="22"/>
                <w:lang w:val="hr-HR" w:eastAsia="x-none"/>
              </w:rPr>
              <w:t xml:space="preserve"> stepen 3</w:t>
            </w:r>
          </w:p>
          <w:p w14:paraId="7B9D00BF"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(&gt; 5x – 20 x GGN)</w:t>
            </w:r>
          </w:p>
        </w:tc>
        <w:tc>
          <w:tcPr>
            <w:tcW w:w="2239" w:type="dxa"/>
            <w:tcBorders>
              <w:top w:val="single" w:sz="4" w:space="0" w:color="auto"/>
              <w:left w:val="single" w:sz="4" w:space="0" w:color="auto"/>
              <w:bottom w:val="single" w:sz="4" w:space="0" w:color="auto"/>
              <w:right w:val="single" w:sz="4" w:space="0" w:color="auto"/>
            </w:tcBorders>
          </w:tcPr>
          <w:p w14:paraId="513288BC"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c>
          <w:tcPr>
            <w:tcW w:w="3247" w:type="dxa"/>
            <w:tcBorders>
              <w:top w:val="single" w:sz="4" w:space="0" w:color="auto"/>
              <w:left w:val="single" w:sz="4" w:space="0" w:color="auto"/>
              <w:bottom w:val="single" w:sz="4" w:space="0" w:color="auto"/>
              <w:right w:val="single" w:sz="4" w:space="0" w:color="auto"/>
            </w:tcBorders>
          </w:tcPr>
          <w:p w14:paraId="1AB47D20"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Često</w:t>
            </w:r>
          </w:p>
        </w:tc>
      </w:tr>
      <w:tr w:rsidR="00F37492" w:rsidRPr="00F37492" w14:paraId="65F5E4B1"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04EE977E"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Bilo koji CTCAE</w:t>
            </w:r>
            <w:r w:rsidRPr="00F37492">
              <w:rPr>
                <w:rFonts w:eastAsia="MS Mincho"/>
                <w:sz w:val="22"/>
                <w:szCs w:val="22"/>
                <w:vertAlign w:val="superscript"/>
                <w:lang w:val="hr-HR"/>
              </w:rPr>
              <w:t>c</w:t>
            </w:r>
            <w:r w:rsidRPr="00F37492">
              <w:rPr>
                <w:rFonts w:eastAsia="MS Mincho"/>
                <w:sz w:val="22"/>
                <w:szCs w:val="22"/>
                <w:lang w:val="hr-HR"/>
              </w:rPr>
              <w:t xml:space="preserve"> stepen</w:t>
            </w:r>
          </w:p>
        </w:tc>
        <w:tc>
          <w:tcPr>
            <w:tcW w:w="2239" w:type="dxa"/>
            <w:tcBorders>
              <w:top w:val="single" w:sz="4" w:space="0" w:color="auto"/>
              <w:left w:val="single" w:sz="4" w:space="0" w:color="auto"/>
              <w:bottom w:val="single" w:sz="4" w:space="0" w:color="auto"/>
              <w:right w:val="single" w:sz="4" w:space="0" w:color="auto"/>
            </w:tcBorders>
          </w:tcPr>
          <w:p w14:paraId="503662D6"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 xml:space="preserve"> Veoma često </w:t>
            </w:r>
          </w:p>
        </w:tc>
        <w:tc>
          <w:tcPr>
            <w:tcW w:w="3247" w:type="dxa"/>
            <w:tcBorders>
              <w:top w:val="single" w:sz="4" w:space="0" w:color="auto"/>
              <w:left w:val="single" w:sz="4" w:space="0" w:color="auto"/>
              <w:bottom w:val="single" w:sz="4" w:space="0" w:color="auto"/>
              <w:right w:val="single" w:sz="4" w:space="0" w:color="auto"/>
            </w:tcBorders>
          </w:tcPr>
          <w:p w14:paraId="517A9012"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7E15A2D8" w14:textId="77777777" w:rsidTr="00BB6F20">
        <w:trPr>
          <w:cantSplit/>
        </w:trPr>
        <w:tc>
          <w:tcPr>
            <w:tcW w:w="3681" w:type="dxa"/>
            <w:tcBorders>
              <w:top w:val="single" w:sz="4" w:space="0" w:color="auto"/>
              <w:left w:val="single" w:sz="4" w:space="0" w:color="auto"/>
              <w:bottom w:val="single" w:sz="4" w:space="0" w:color="auto"/>
              <w:right w:val="single" w:sz="4" w:space="0" w:color="auto"/>
            </w:tcBorders>
            <w:hideMark/>
          </w:tcPr>
          <w:p w14:paraId="2553588F"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Povišena aspartat aminotransferaza</w:t>
            </w:r>
            <w:r w:rsidRPr="00F37492">
              <w:rPr>
                <w:rFonts w:eastAsia="MS Mincho"/>
                <w:sz w:val="22"/>
                <w:szCs w:val="22"/>
                <w:vertAlign w:val="superscript"/>
                <w:lang w:val="hr-HR"/>
              </w:rPr>
              <w:t>a</w:t>
            </w:r>
          </w:p>
        </w:tc>
        <w:tc>
          <w:tcPr>
            <w:tcW w:w="2239" w:type="dxa"/>
            <w:tcBorders>
              <w:top w:val="single" w:sz="4" w:space="0" w:color="auto"/>
              <w:left w:val="single" w:sz="4" w:space="0" w:color="auto"/>
              <w:bottom w:val="single" w:sz="4" w:space="0" w:color="auto"/>
              <w:right w:val="single" w:sz="4" w:space="0" w:color="auto"/>
            </w:tcBorders>
          </w:tcPr>
          <w:p w14:paraId="09791BE7" w14:textId="77777777" w:rsidR="00F37492" w:rsidRPr="00F37492" w:rsidRDefault="00F37492" w:rsidP="000A557B">
            <w:pPr>
              <w:keepNext/>
              <w:jc w:val="center"/>
              <w:rPr>
                <w:rFonts w:eastAsia="MS Mincho"/>
                <w:sz w:val="22"/>
                <w:szCs w:val="22"/>
                <w:lang w:val="hr-HR"/>
              </w:rPr>
            </w:pPr>
          </w:p>
        </w:tc>
        <w:tc>
          <w:tcPr>
            <w:tcW w:w="3247" w:type="dxa"/>
            <w:tcBorders>
              <w:top w:val="single" w:sz="4" w:space="0" w:color="auto"/>
              <w:left w:val="single" w:sz="4" w:space="0" w:color="auto"/>
              <w:bottom w:val="single" w:sz="4" w:space="0" w:color="auto"/>
              <w:right w:val="single" w:sz="4" w:space="0" w:color="auto"/>
            </w:tcBorders>
          </w:tcPr>
          <w:p w14:paraId="06301801" w14:textId="77777777" w:rsidR="00F37492" w:rsidRPr="00F37492" w:rsidRDefault="00F37492" w:rsidP="000A557B">
            <w:pPr>
              <w:keepNext/>
              <w:jc w:val="center"/>
              <w:rPr>
                <w:rFonts w:eastAsia="MS Mincho"/>
                <w:sz w:val="22"/>
                <w:szCs w:val="22"/>
                <w:lang w:val="hr-HR"/>
              </w:rPr>
            </w:pPr>
          </w:p>
        </w:tc>
      </w:tr>
      <w:tr w:rsidR="00F37492" w:rsidRPr="00F37492" w14:paraId="5AE342E0" w14:textId="77777777" w:rsidTr="00BB6F20">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1F15396C" w14:textId="77777777" w:rsidR="00F37492" w:rsidRPr="00F37492" w:rsidRDefault="00F37492" w:rsidP="000A557B">
            <w:pPr>
              <w:keepNext/>
              <w:rPr>
                <w:rFonts w:eastAsia="MS Mincho"/>
                <w:sz w:val="22"/>
                <w:szCs w:val="22"/>
                <w:lang w:val="hr-HR"/>
              </w:rPr>
            </w:pPr>
            <w:r w:rsidRPr="00F37492">
              <w:rPr>
                <w:rFonts w:eastAsia="MS Mincho"/>
                <w:sz w:val="22"/>
                <w:szCs w:val="22"/>
                <w:lang w:val="hr-HR"/>
              </w:rPr>
              <w:t>Bilo koji CTCAE</w:t>
            </w:r>
            <w:r w:rsidRPr="00F37492">
              <w:rPr>
                <w:rFonts w:eastAsia="MS Mincho"/>
                <w:sz w:val="22"/>
                <w:szCs w:val="22"/>
                <w:vertAlign w:val="superscript"/>
                <w:lang w:val="hr-HR"/>
              </w:rPr>
              <w:t>c</w:t>
            </w:r>
            <w:r w:rsidRPr="00F37492">
              <w:rPr>
                <w:rFonts w:eastAsia="MS Mincho"/>
                <w:sz w:val="22"/>
                <w:szCs w:val="22"/>
                <w:lang w:val="hr-HR"/>
              </w:rPr>
              <w:t xml:space="preserve"> stepen</w:t>
            </w:r>
          </w:p>
        </w:tc>
        <w:tc>
          <w:tcPr>
            <w:tcW w:w="2239" w:type="dxa"/>
            <w:tcBorders>
              <w:top w:val="single" w:sz="4" w:space="0" w:color="auto"/>
              <w:left w:val="single" w:sz="4" w:space="0" w:color="auto"/>
              <w:bottom w:val="single" w:sz="4" w:space="0" w:color="auto"/>
              <w:right w:val="single" w:sz="4" w:space="0" w:color="auto"/>
            </w:tcBorders>
          </w:tcPr>
          <w:p w14:paraId="0C48AEF1"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single" w:sz="4" w:space="0" w:color="auto"/>
              <w:right w:val="single" w:sz="4" w:space="0" w:color="auto"/>
            </w:tcBorders>
          </w:tcPr>
          <w:p w14:paraId="5B6C0AB2"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3EDC68E7" w14:textId="77777777" w:rsidTr="002B621F">
        <w:trPr>
          <w:cantSplit/>
        </w:trPr>
        <w:tc>
          <w:tcPr>
            <w:tcW w:w="3681" w:type="dxa"/>
            <w:tcBorders>
              <w:top w:val="single" w:sz="4" w:space="0" w:color="auto"/>
              <w:left w:val="single" w:sz="4" w:space="0" w:color="auto"/>
              <w:bottom w:val="single" w:sz="4" w:space="0" w:color="auto"/>
              <w:right w:val="single" w:sz="4" w:space="0" w:color="auto"/>
            </w:tcBorders>
            <w:vAlign w:val="center"/>
          </w:tcPr>
          <w:p w14:paraId="5B898103" w14:textId="77777777" w:rsidR="00F37492" w:rsidRPr="00F37492" w:rsidRDefault="00F37492" w:rsidP="000A557B">
            <w:pPr>
              <w:keepNext/>
              <w:rPr>
                <w:rFonts w:eastAsia="MS Mincho"/>
                <w:sz w:val="22"/>
                <w:szCs w:val="22"/>
                <w:lang w:val="hr-HR"/>
              </w:rPr>
            </w:pPr>
            <w:r w:rsidRPr="00F37492">
              <w:rPr>
                <w:rFonts w:eastAsia="MS Mincho"/>
                <w:b/>
                <w:sz w:val="22"/>
                <w:szCs w:val="22"/>
                <w:lang w:val="hr-HR"/>
              </w:rPr>
              <w:t>Vaskularni poremećaji</w:t>
            </w:r>
          </w:p>
        </w:tc>
        <w:tc>
          <w:tcPr>
            <w:tcW w:w="2239" w:type="dxa"/>
            <w:tcBorders>
              <w:top w:val="single" w:sz="4" w:space="0" w:color="auto"/>
              <w:left w:val="single" w:sz="4" w:space="0" w:color="auto"/>
              <w:bottom w:val="single" w:sz="4" w:space="0" w:color="auto"/>
              <w:right w:val="single" w:sz="4" w:space="0" w:color="auto"/>
            </w:tcBorders>
          </w:tcPr>
          <w:p w14:paraId="452730AC" w14:textId="77777777" w:rsidR="00F37492" w:rsidRPr="00F37492" w:rsidRDefault="00F37492" w:rsidP="000A557B">
            <w:pPr>
              <w:keepNext/>
              <w:jc w:val="center"/>
              <w:rPr>
                <w:rFonts w:eastAsia="MS Mincho"/>
                <w:sz w:val="22"/>
                <w:szCs w:val="22"/>
                <w:lang w:val="hr-HR"/>
              </w:rPr>
            </w:pPr>
          </w:p>
        </w:tc>
        <w:tc>
          <w:tcPr>
            <w:tcW w:w="3247" w:type="dxa"/>
            <w:tcBorders>
              <w:top w:val="single" w:sz="4" w:space="0" w:color="auto"/>
              <w:left w:val="single" w:sz="4" w:space="0" w:color="auto"/>
              <w:bottom w:val="single" w:sz="4" w:space="0" w:color="auto"/>
              <w:right w:val="single" w:sz="4" w:space="0" w:color="auto"/>
            </w:tcBorders>
          </w:tcPr>
          <w:p w14:paraId="0B83157F" w14:textId="77777777" w:rsidR="00F37492" w:rsidRPr="00F37492" w:rsidRDefault="00F37492" w:rsidP="000A557B">
            <w:pPr>
              <w:keepNext/>
              <w:jc w:val="center"/>
              <w:rPr>
                <w:rFonts w:eastAsia="MS Mincho"/>
                <w:sz w:val="22"/>
                <w:szCs w:val="22"/>
                <w:lang w:val="hr-HR"/>
              </w:rPr>
            </w:pPr>
          </w:p>
        </w:tc>
      </w:tr>
      <w:tr w:rsidR="00F37492" w:rsidRPr="00F37492" w14:paraId="74A90E63" w14:textId="77777777" w:rsidTr="002B621F">
        <w:trPr>
          <w:cantSplit/>
        </w:trPr>
        <w:tc>
          <w:tcPr>
            <w:tcW w:w="3681" w:type="dxa"/>
            <w:tcBorders>
              <w:top w:val="single" w:sz="4" w:space="0" w:color="auto"/>
              <w:left w:val="single" w:sz="4" w:space="0" w:color="auto"/>
              <w:bottom w:val="nil"/>
              <w:right w:val="single" w:sz="4" w:space="0" w:color="auto"/>
            </w:tcBorders>
            <w:vAlign w:val="center"/>
          </w:tcPr>
          <w:p w14:paraId="28B12F80" w14:textId="77777777" w:rsidR="00F37492" w:rsidRPr="00F37492" w:rsidRDefault="00F37492" w:rsidP="000A557B">
            <w:pPr>
              <w:keepNext/>
              <w:rPr>
                <w:rFonts w:eastAsia="MS Mincho"/>
                <w:b/>
                <w:sz w:val="22"/>
                <w:szCs w:val="22"/>
                <w:lang w:val="hr-HR"/>
              </w:rPr>
            </w:pPr>
            <w:r w:rsidRPr="00F37492">
              <w:rPr>
                <w:rFonts w:eastAsia="MS Mincho"/>
                <w:bCs/>
                <w:sz w:val="22"/>
                <w:szCs w:val="22"/>
                <w:lang w:val="hr-HR"/>
              </w:rPr>
              <w:t>Hipertenzija</w:t>
            </w:r>
          </w:p>
        </w:tc>
        <w:tc>
          <w:tcPr>
            <w:tcW w:w="2239" w:type="dxa"/>
            <w:tcBorders>
              <w:top w:val="single" w:sz="4" w:space="0" w:color="auto"/>
              <w:left w:val="single" w:sz="4" w:space="0" w:color="auto"/>
              <w:bottom w:val="nil"/>
              <w:right w:val="single" w:sz="4" w:space="0" w:color="auto"/>
            </w:tcBorders>
            <w:vAlign w:val="center"/>
          </w:tcPr>
          <w:p w14:paraId="30780337"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c>
          <w:tcPr>
            <w:tcW w:w="3247" w:type="dxa"/>
            <w:tcBorders>
              <w:top w:val="single" w:sz="4" w:space="0" w:color="auto"/>
              <w:left w:val="single" w:sz="4" w:space="0" w:color="auto"/>
              <w:bottom w:val="nil"/>
              <w:right w:val="single" w:sz="4" w:space="0" w:color="auto"/>
            </w:tcBorders>
          </w:tcPr>
          <w:p w14:paraId="072013ED" w14:textId="77777777" w:rsidR="00F37492" w:rsidRPr="00F37492" w:rsidRDefault="00F37492" w:rsidP="000A557B">
            <w:pPr>
              <w:keepNext/>
              <w:jc w:val="center"/>
              <w:rPr>
                <w:rFonts w:eastAsia="MS Mincho"/>
                <w:sz w:val="22"/>
                <w:szCs w:val="22"/>
                <w:lang w:val="hr-HR"/>
              </w:rPr>
            </w:pPr>
            <w:r w:rsidRPr="00F37492">
              <w:rPr>
                <w:rFonts w:eastAsia="MS Mincho"/>
                <w:sz w:val="22"/>
                <w:szCs w:val="22"/>
                <w:lang w:val="hr-HR"/>
              </w:rPr>
              <w:t>Veoma često</w:t>
            </w:r>
          </w:p>
        </w:tc>
      </w:tr>
      <w:tr w:rsidR="00F37492" w:rsidRPr="00F37492" w14:paraId="6D73BD0E" w14:textId="77777777" w:rsidTr="002B621F">
        <w:trPr>
          <w:cantSplit/>
        </w:trPr>
        <w:tc>
          <w:tcPr>
            <w:tcW w:w="9167" w:type="dxa"/>
            <w:gridSpan w:val="3"/>
            <w:tcBorders>
              <w:top w:val="nil"/>
              <w:left w:val="single" w:sz="4" w:space="0" w:color="auto"/>
              <w:bottom w:val="nil"/>
              <w:right w:val="single" w:sz="4" w:space="0" w:color="auto"/>
            </w:tcBorders>
            <w:hideMark/>
          </w:tcPr>
          <w:p w14:paraId="1499DB03" w14:textId="77777777" w:rsidR="00F37492" w:rsidRPr="00F37492" w:rsidRDefault="00F37492" w:rsidP="000A557B">
            <w:pPr>
              <w:keepNext/>
              <w:rPr>
                <w:rFonts w:eastAsia="MS Mincho"/>
                <w:sz w:val="22"/>
                <w:szCs w:val="22"/>
                <w:lang w:val="hr-HR"/>
              </w:rPr>
            </w:pPr>
          </w:p>
        </w:tc>
      </w:tr>
      <w:tr w:rsidR="00F37492" w:rsidRPr="00F37492" w14:paraId="126A85F1" w14:textId="77777777" w:rsidTr="00BB6F20">
        <w:trPr>
          <w:cantSplit/>
        </w:trPr>
        <w:tc>
          <w:tcPr>
            <w:tcW w:w="9167" w:type="dxa"/>
            <w:gridSpan w:val="3"/>
            <w:tcBorders>
              <w:top w:val="nil"/>
              <w:left w:val="single" w:sz="4" w:space="0" w:color="auto"/>
              <w:bottom w:val="nil"/>
              <w:right w:val="single" w:sz="4" w:space="0" w:color="auto"/>
            </w:tcBorders>
            <w:hideMark/>
          </w:tcPr>
          <w:p w14:paraId="0C28C06B" w14:textId="09C63074" w:rsidR="00F37492" w:rsidRPr="00F37492" w:rsidRDefault="00F37492" w:rsidP="000A557B">
            <w:pPr>
              <w:keepNext/>
              <w:jc w:val="both"/>
              <w:rPr>
                <w:rFonts w:eastAsia="MS Mincho"/>
                <w:sz w:val="22"/>
                <w:szCs w:val="20"/>
                <w:lang w:val="hr-HR"/>
              </w:rPr>
            </w:pPr>
            <w:r w:rsidRPr="00F37492">
              <w:rPr>
                <w:rFonts w:eastAsia="MS Mincho"/>
                <w:sz w:val="22"/>
                <w:szCs w:val="22"/>
                <w:vertAlign w:val="superscript"/>
                <w:lang w:val="hr-HR"/>
              </w:rPr>
              <w:t>a</w:t>
            </w:r>
            <w:r w:rsidRPr="00F37492">
              <w:rPr>
                <w:rFonts w:eastAsia="MS Mincho"/>
                <w:sz w:val="22"/>
                <w:szCs w:val="22"/>
                <w:vertAlign w:val="superscript"/>
                <w:lang w:val="hr-HR"/>
              </w:rPr>
              <w:tab/>
            </w:r>
            <w:r w:rsidRPr="00F37492">
              <w:rPr>
                <w:rFonts w:eastAsia="MS Mincho"/>
                <w:sz w:val="22"/>
                <w:szCs w:val="22"/>
                <w:lang w:val="hr-HR"/>
              </w:rPr>
              <w:t>Učestalost se bazira na novim ili pogor</w:t>
            </w:r>
            <w:r w:rsidRPr="00F37492">
              <w:rPr>
                <w:rFonts w:eastAsia="MS Mincho"/>
                <w:sz w:val="22"/>
                <w:szCs w:val="22"/>
                <w:lang w:val="sr-Latn-RS"/>
              </w:rPr>
              <w:t xml:space="preserve">šanim </w:t>
            </w:r>
            <w:r w:rsidRPr="00F37492">
              <w:rPr>
                <w:rFonts w:eastAsia="MS Mincho"/>
                <w:sz w:val="22"/>
                <w:szCs w:val="22"/>
                <w:lang w:val="hr-HR"/>
              </w:rPr>
              <w:t>laboratorijskim vrijednostima</w:t>
            </w:r>
            <w:r w:rsidRPr="00F37492">
              <w:rPr>
                <w:rFonts w:eastAsia="MS Mincho"/>
                <w:sz w:val="22"/>
                <w:szCs w:val="20"/>
                <w:lang w:val="hr-HR"/>
              </w:rPr>
              <w:t xml:space="preserve"> u </w:t>
            </w:r>
            <w:r w:rsidRPr="00F37492">
              <w:rPr>
                <w:rFonts w:eastAsia="MS Mincho"/>
                <w:sz w:val="22"/>
                <w:szCs w:val="22"/>
                <w:lang w:val="hr-HR"/>
              </w:rPr>
              <w:t xml:space="preserve">poređenju sa početnim </w:t>
            </w:r>
            <w:r w:rsidR="00EB60AE">
              <w:rPr>
                <w:rFonts w:eastAsia="MS Mincho"/>
                <w:sz w:val="22"/>
                <w:szCs w:val="22"/>
                <w:lang w:val="hr-HR"/>
              </w:rPr>
              <w:t>vrijednostima</w:t>
            </w:r>
            <w:r w:rsidRPr="00F37492">
              <w:rPr>
                <w:rFonts w:eastAsia="MS Mincho"/>
                <w:sz w:val="22"/>
                <w:szCs w:val="20"/>
                <w:lang w:val="hr-HR"/>
              </w:rPr>
              <w:t>.</w:t>
            </w:r>
          </w:p>
        </w:tc>
      </w:tr>
      <w:tr w:rsidR="00F37492" w:rsidRPr="00F37492" w14:paraId="32EA4B4B" w14:textId="77777777" w:rsidTr="00BB6F20">
        <w:trPr>
          <w:cantSplit/>
        </w:trPr>
        <w:tc>
          <w:tcPr>
            <w:tcW w:w="9167" w:type="dxa"/>
            <w:gridSpan w:val="3"/>
            <w:tcBorders>
              <w:top w:val="nil"/>
              <w:left w:val="single" w:sz="4" w:space="0" w:color="auto"/>
              <w:bottom w:val="nil"/>
              <w:right w:val="single" w:sz="4" w:space="0" w:color="auto"/>
            </w:tcBorders>
            <w:hideMark/>
          </w:tcPr>
          <w:p w14:paraId="1BA12374" w14:textId="37C075D8" w:rsidR="00F37492" w:rsidRPr="00F37492" w:rsidRDefault="00F37492" w:rsidP="000A557B">
            <w:pPr>
              <w:keepNext/>
              <w:jc w:val="both"/>
              <w:rPr>
                <w:rFonts w:eastAsia="MS Mincho"/>
                <w:sz w:val="22"/>
                <w:szCs w:val="22"/>
                <w:lang w:val="hr-HR"/>
              </w:rPr>
            </w:pPr>
            <w:r w:rsidRPr="00F37492">
              <w:rPr>
                <w:rFonts w:eastAsia="MS Mincho"/>
                <w:sz w:val="22"/>
                <w:szCs w:val="22"/>
                <w:vertAlign w:val="superscript"/>
                <w:lang w:val="hr-HR"/>
              </w:rPr>
              <w:t>b</w:t>
            </w:r>
            <w:r w:rsidRPr="00F37492">
              <w:rPr>
                <w:rFonts w:eastAsia="MS Mincho"/>
                <w:sz w:val="22"/>
                <w:szCs w:val="22"/>
                <w:vertAlign w:val="superscript"/>
                <w:lang w:val="hr-HR"/>
              </w:rPr>
              <w:tab/>
            </w:r>
            <w:r w:rsidRPr="00F37492">
              <w:rPr>
                <w:rFonts w:eastAsia="MS Mincho"/>
                <w:sz w:val="22"/>
                <w:szCs w:val="22"/>
                <w:lang w:val="hr-HR"/>
              </w:rPr>
              <w:t>Pancitopenija je definisana nivoom hemoglobina &lt;</w:t>
            </w:r>
            <w:r w:rsidR="00EB60AE">
              <w:rPr>
                <w:rFonts w:eastAsia="MS Mincho"/>
                <w:sz w:val="22"/>
                <w:szCs w:val="22"/>
                <w:lang w:val="hr-HR"/>
              </w:rPr>
              <w:t xml:space="preserve"> </w:t>
            </w:r>
            <w:r w:rsidRPr="00F37492">
              <w:rPr>
                <w:rFonts w:eastAsia="MS Mincho"/>
                <w:sz w:val="22"/>
                <w:szCs w:val="22"/>
                <w:lang w:val="hr-HR"/>
              </w:rPr>
              <w:t>100 g/l, brojem trombocita &lt;</w:t>
            </w:r>
            <w:r w:rsidR="00EB60AE">
              <w:rPr>
                <w:rFonts w:eastAsia="MS Mincho"/>
                <w:sz w:val="22"/>
                <w:szCs w:val="22"/>
                <w:lang w:val="hr-HR"/>
              </w:rPr>
              <w:t xml:space="preserve"> </w:t>
            </w:r>
            <w:r w:rsidRPr="00F37492">
              <w:rPr>
                <w:rFonts w:eastAsia="MS Mincho"/>
                <w:sz w:val="22"/>
                <w:szCs w:val="22"/>
                <w:lang w:val="hr-HR"/>
              </w:rPr>
              <w:t>100x10</w:t>
            </w:r>
            <w:r w:rsidRPr="00703819">
              <w:rPr>
                <w:rFonts w:eastAsia="MS Mincho"/>
                <w:sz w:val="22"/>
                <w:szCs w:val="22"/>
                <w:vertAlign w:val="superscript"/>
                <w:lang w:val="hr-HR"/>
              </w:rPr>
              <w:t>9</w:t>
            </w:r>
            <w:r w:rsidRPr="00F37492">
              <w:rPr>
                <w:rFonts w:eastAsia="MS Mincho"/>
                <w:sz w:val="22"/>
                <w:szCs w:val="22"/>
                <w:lang w:val="hr-HR"/>
              </w:rPr>
              <w:t>/l i brojem neutrofila &lt;</w:t>
            </w:r>
            <w:r w:rsidR="00EB60AE">
              <w:rPr>
                <w:rFonts w:eastAsia="MS Mincho"/>
                <w:sz w:val="22"/>
                <w:szCs w:val="22"/>
                <w:lang w:val="hr-HR"/>
              </w:rPr>
              <w:t xml:space="preserve"> </w:t>
            </w:r>
            <w:r w:rsidRPr="00F37492">
              <w:rPr>
                <w:rFonts w:eastAsia="MS Mincho"/>
                <w:sz w:val="22"/>
                <w:szCs w:val="22"/>
                <w:lang w:val="hr-HR"/>
              </w:rPr>
              <w:t>1</w:t>
            </w:r>
            <w:r w:rsidR="00B74267">
              <w:rPr>
                <w:rFonts w:eastAsia="MS Mincho"/>
                <w:sz w:val="22"/>
                <w:szCs w:val="22"/>
                <w:lang w:val="hr-HR"/>
              </w:rPr>
              <w:t>,</w:t>
            </w:r>
            <w:r w:rsidRPr="00F37492">
              <w:rPr>
                <w:rFonts w:eastAsia="MS Mincho"/>
                <w:sz w:val="22"/>
                <w:szCs w:val="22"/>
                <w:lang w:val="hr-HR"/>
              </w:rPr>
              <w:t>5x10</w:t>
            </w:r>
            <w:r w:rsidRPr="00703819">
              <w:rPr>
                <w:rFonts w:eastAsia="MS Mincho"/>
                <w:sz w:val="22"/>
                <w:szCs w:val="22"/>
                <w:vertAlign w:val="superscript"/>
                <w:lang w:val="hr-HR"/>
              </w:rPr>
              <w:t>9</w:t>
            </w:r>
            <w:r w:rsidRPr="00F37492">
              <w:rPr>
                <w:rFonts w:eastAsia="MS Mincho"/>
                <w:sz w:val="22"/>
                <w:szCs w:val="22"/>
                <w:lang w:val="hr-HR"/>
              </w:rPr>
              <w:t>/l (ili niskim brojem leukocita stepena 2 ako nedostaje broj neutrofila) istovremeno u procjeni laboratorijskih podataka</w:t>
            </w:r>
          </w:p>
          <w:p w14:paraId="0FD9D5C3" w14:textId="0C3B554A" w:rsidR="00F37492" w:rsidRPr="00F37492" w:rsidRDefault="00F37492" w:rsidP="000A557B">
            <w:pPr>
              <w:keepNext/>
              <w:tabs>
                <w:tab w:val="left" w:pos="2012"/>
              </w:tabs>
              <w:jc w:val="both"/>
              <w:rPr>
                <w:rFonts w:eastAsia="MS Mincho"/>
                <w:sz w:val="22"/>
                <w:szCs w:val="22"/>
                <w:lang w:val="hr-HR"/>
              </w:rPr>
            </w:pPr>
            <w:r w:rsidRPr="00F37492">
              <w:rPr>
                <w:rFonts w:eastAsia="MS Mincho"/>
                <w:sz w:val="22"/>
                <w:szCs w:val="22"/>
                <w:vertAlign w:val="superscript"/>
                <w:lang w:val="hr-HR"/>
              </w:rPr>
              <w:t>c</w:t>
            </w:r>
            <w:r w:rsidRPr="00F37492">
              <w:rPr>
                <w:rFonts w:eastAsia="MS Mincho"/>
                <w:sz w:val="22"/>
                <w:szCs w:val="22"/>
                <w:lang w:val="hr-HR"/>
              </w:rPr>
              <w:t xml:space="preserve">        </w:t>
            </w:r>
            <w:r w:rsidR="00EB60AE">
              <w:rPr>
                <w:rFonts w:eastAsia="MS Mincho"/>
                <w:sz w:val="22"/>
                <w:szCs w:val="22"/>
                <w:lang w:val="hr-HR"/>
              </w:rPr>
              <w:t xml:space="preserve"> </w:t>
            </w:r>
            <w:r w:rsidRPr="00F37492">
              <w:rPr>
                <w:rFonts w:eastAsia="MS Mincho"/>
                <w:sz w:val="22"/>
                <w:szCs w:val="22"/>
                <w:lang w:val="hr-HR"/>
              </w:rPr>
              <w:t>Uobičajeni naziv kriterijuma za neželjene događaje (CTCAE) verzija 3.0; stepen</w:t>
            </w:r>
            <w:r w:rsidR="00E7218B">
              <w:rPr>
                <w:rFonts w:eastAsia="MS Mincho"/>
                <w:sz w:val="22"/>
                <w:szCs w:val="22"/>
                <w:lang w:val="hr-HR"/>
              </w:rPr>
              <w:t xml:space="preserve"> </w:t>
            </w:r>
            <w:r w:rsidRPr="00F37492">
              <w:rPr>
                <w:rFonts w:eastAsia="MS Mincho"/>
                <w:sz w:val="22"/>
                <w:szCs w:val="22"/>
                <w:lang w:val="hr-HR"/>
              </w:rPr>
              <w:t>1 = blaga, stepen 2 = umjerena, stepen 3 = teška, stepen 4 = opasna po život</w:t>
            </w:r>
          </w:p>
        </w:tc>
      </w:tr>
      <w:tr w:rsidR="00F37492" w:rsidRPr="00F37492" w14:paraId="6DE1E36C" w14:textId="77777777" w:rsidTr="00BB6F20">
        <w:trPr>
          <w:cantSplit/>
        </w:trPr>
        <w:tc>
          <w:tcPr>
            <w:tcW w:w="9167" w:type="dxa"/>
            <w:gridSpan w:val="3"/>
            <w:tcBorders>
              <w:top w:val="nil"/>
              <w:left w:val="single" w:sz="4" w:space="0" w:color="auto"/>
              <w:bottom w:val="nil"/>
              <w:right w:val="single" w:sz="4" w:space="0" w:color="auto"/>
            </w:tcBorders>
            <w:hideMark/>
          </w:tcPr>
          <w:p w14:paraId="61575196" w14:textId="38CBE0A0" w:rsidR="00F37492" w:rsidRPr="00F37492" w:rsidRDefault="00F37492" w:rsidP="000A557B">
            <w:pPr>
              <w:jc w:val="both"/>
              <w:rPr>
                <w:rFonts w:eastAsia="MS Mincho"/>
                <w:sz w:val="22"/>
                <w:szCs w:val="22"/>
                <w:lang w:val="hr-HR"/>
              </w:rPr>
            </w:pPr>
            <w:r w:rsidRPr="00F37492">
              <w:rPr>
                <w:rFonts w:eastAsia="MS Mincho"/>
                <w:sz w:val="22"/>
                <w:szCs w:val="22"/>
                <w:vertAlign w:val="superscript"/>
                <w:lang w:val="hr-HR"/>
              </w:rPr>
              <w:t>d</w:t>
            </w:r>
            <w:r w:rsidR="00EB60AE">
              <w:rPr>
                <w:rFonts w:eastAsia="MS Mincho"/>
                <w:sz w:val="22"/>
                <w:szCs w:val="22"/>
                <w:vertAlign w:val="superscript"/>
                <w:lang w:val="hr-HR"/>
              </w:rPr>
              <w:t xml:space="preserve">              </w:t>
            </w:r>
            <w:r w:rsidRPr="00F37492">
              <w:rPr>
                <w:rFonts w:eastAsia="MS Mincho"/>
                <w:sz w:val="22"/>
                <w:szCs w:val="22"/>
                <w:lang w:val="hr-HR"/>
              </w:rPr>
              <w:t>Ove neželjene reakcije na lijek su opisane u tekstu.</w:t>
            </w:r>
          </w:p>
        </w:tc>
      </w:tr>
      <w:tr w:rsidR="00F37492" w:rsidRPr="00F37492" w14:paraId="2E624DF1" w14:textId="77777777" w:rsidTr="00BB6F20">
        <w:trPr>
          <w:cantSplit/>
        </w:trPr>
        <w:tc>
          <w:tcPr>
            <w:tcW w:w="9167" w:type="dxa"/>
            <w:gridSpan w:val="3"/>
            <w:tcBorders>
              <w:top w:val="nil"/>
              <w:left w:val="single" w:sz="4" w:space="0" w:color="auto"/>
              <w:bottom w:val="single" w:sz="4" w:space="0" w:color="auto"/>
              <w:right w:val="single" w:sz="4" w:space="0" w:color="auto"/>
            </w:tcBorders>
          </w:tcPr>
          <w:p w14:paraId="0DDE90B6" w14:textId="5A608320" w:rsidR="00F37492" w:rsidRPr="00F37492" w:rsidRDefault="00F37492" w:rsidP="000A557B">
            <w:pPr>
              <w:jc w:val="both"/>
              <w:rPr>
                <w:rFonts w:eastAsia="MS Mincho"/>
                <w:sz w:val="22"/>
                <w:szCs w:val="22"/>
                <w:lang w:val="hr-HR"/>
              </w:rPr>
            </w:pPr>
            <w:r w:rsidRPr="00F37492">
              <w:rPr>
                <w:rFonts w:eastAsia="MS Mincho"/>
                <w:sz w:val="22"/>
                <w:szCs w:val="22"/>
                <w:vertAlign w:val="superscript"/>
                <w:lang w:val="hr-HR"/>
              </w:rPr>
              <w:t>e</w:t>
            </w:r>
            <w:r w:rsidRPr="00F37492">
              <w:rPr>
                <w:rFonts w:eastAsia="MS Mincho"/>
                <w:sz w:val="22"/>
                <w:szCs w:val="22"/>
                <w:vertAlign w:val="superscript"/>
                <w:lang w:val="hr-HR"/>
              </w:rPr>
              <w:tab/>
            </w:r>
            <w:r w:rsidRPr="00F37492">
              <w:rPr>
                <w:rFonts w:eastAsia="MS Mincho"/>
                <w:sz w:val="22"/>
                <w:szCs w:val="22"/>
                <w:lang w:val="hr-HR"/>
              </w:rPr>
              <w:t>Ne</w:t>
            </w:r>
            <w:r w:rsidRPr="00F37492">
              <w:rPr>
                <w:rFonts w:eastAsia="MS Mincho"/>
                <w:sz w:val="22"/>
                <w:szCs w:val="22"/>
                <w:lang w:val="sr-Latn-RS"/>
              </w:rPr>
              <w:t>željene reakcije na l</w:t>
            </w:r>
            <w:r w:rsidR="00EB60AE">
              <w:rPr>
                <w:rFonts w:eastAsia="MS Mincho"/>
                <w:sz w:val="22"/>
                <w:szCs w:val="22"/>
                <w:lang w:val="sr-Latn-RS"/>
              </w:rPr>
              <w:t>ij</w:t>
            </w:r>
            <w:r w:rsidRPr="00F37492">
              <w:rPr>
                <w:rFonts w:eastAsia="MS Mincho"/>
                <w:sz w:val="22"/>
                <w:szCs w:val="22"/>
                <w:lang w:val="sr-Latn-RS"/>
              </w:rPr>
              <w:t>ek prikupljene u postmarketinškom periodu</w:t>
            </w:r>
          </w:p>
        </w:tc>
      </w:tr>
    </w:tbl>
    <w:p w14:paraId="0C54D665" w14:textId="77777777" w:rsidR="00F37492" w:rsidRPr="00F37492" w:rsidRDefault="00F37492" w:rsidP="000A557B">
      <w:pPr>
        <w:shd w:val="clear" w:color="auto" w:fill="FFFFFF"/>
        <w:rPr>
          <w:color w:val="000000"/>
          <w:sz w:val="22"/>
          <w:szCs w:val="22"/>
          <w:lang w:val="hr-HR"/>
        </w:rPr>
      </w:pPr>
    </w:p>
    <w:p w14:paraId="2DB18AE1" w14:textId="007529EE"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 xml:space="preserve">Po obustavi lijeka kod pacijenata sa MF moguća je ponovna pojava simptoma MF kao što su zamor, bol u kostima, visoka temperatura, pruritus, noćno znojenje, simptomatska splenomegalija i gubitak tjelesne mase. U kliničkim ispitivanjima sa MF ukupni skor simptoma za MF postepeno se vraća na početne vrijednosti u roku od 7 dana po obustavi doziranja (vidjeti </w:t>
      </w:r>
      <w:r w:rsidR="00EB60AE">
        <w:rPr>
          <w:color w:val="000000"/>
          <w:sz w:val="22"/>
          <w:szCs w:val="22"/>
          <w:lang w:val="sr-Latn-CS"/>
        </w:rPr>
        <w:t>dio</w:t>
      </w:r>
      <w:r w:rsidR="00EB60AE" w:rsidRPr="00F37492">
        <w:rPr>
          <w:color w:val="000000"/>
          <w:sz w:val="22"/>
          <w:szCs w:val="22"/>
          <w:lang w:val="sr-Latn-CS"/>
        </w:rPr>
        <w:t xml:space="preserve"> </w:t>
      </w:r>
      <w:r w:rsidRPr="00F37492">
        <w:rPr>
          <w:color w:val="000000"/>
          <w:sz w:val="22"/>
          <w:szCs w:val="22"/>
          <w:lang w:val="sr-Latn-CS"/>
        </w:rPr>
        <w:t>4.4).</w:t>
      </w:r>
    </w:p>
    <w:p w14:paraId="209357E9" w14:textId="77777777" w:rsidR="00F37492" w:rsidRPr="00F37492" w:rsidRDefault="00F37492" w:rsidP="000A557B">
      <w:pPr>
        <w:shd w:val="clear" w:color="auto" w:fill="FFFFFF"/>
        <w:rPr>
          <w:b/>
          <w:lang w:val="it-IT" w:eastAsia="sr-Latn-CS"/>
        </w:rPr>
      </w:pPr>
    </w:p>
    <w:p w14:paraId="4FA05AC3" w14:textId="6DBB7E87" w:rsidR="00F37492" w:rsidRPr="00F37492" w:rsidRDefault="00F37492" w:rsidP="000A557B">
      <w:pPr>
        <w:shd w:val="clear" w:color="auto" w:fill="FFFFFF"/>
        <w:rPr>
          <w:b/>
          <w:sz w:val="22"/>
          <w:szCs w:val="22"/>
          <w:lang w:val="it-IT" w:eastAsia="sr-Latn-CS"/>
        </w:rPr>
      </w:pPr>
      <w:r w:rsidRPr="00F37492">
        <w:rPr>
          <w:b/>
          <w:sz w:val="22"/>
          <w:szCs w:val="22"/>
          <w:lang w:val="it-IT" w:eastAsia="sr-Latn-CS"/>
        </w:rPr>
        <w:t xml:space="preserve">Tabela </w:t>
      </w:r>
      <w:r w:rsidR="00455700">
        <w:rPr>
          <w:b/>
          <w:sz w:val="22"/>
          <w:szCs w:val="22"/>
          <w:lang w:val="it-IT" w:eastAsia="sr-Latn-CS"/>
        </w:rPr>
        <w:t>7</w:t>
      </w:r>
      <w:r w:rsidR="00EB60AE">
        <w:rPr>
          <w:b/>
          <w:sz w:val="22"/>
          <w:szCs w:val="22"/>
          <w:lang w:val="it-IT" w:eastAsia="sr-Latn-CS"/>
        </w:rPr>
        <w:t xml:space="preserve">      </w:t>
      </w:r>
      <w:r w:rsidRPr="00F37492">
        <w:rPr>
          <w:b/>
          <w:sz w:val="22"/>
          <w:szCs w:val="22"/>
          <w:lang w:val="it-IT" w:eastAsia="sr-Latn-CS"/>
        </w:rPr>
        <w:t xml:space="preserve">Kategorija učestalosti neželjenih reakcija na lijek u </w:t>
      </w:r>
      <w:r w:rsidR="00455700">
        <w:rPr>
          <w:b/>
          <w:sz w:val="22"/>
          <w:szCs w:val="22"/>
          <w:lang w:val="it-IT" w:eastAsia="sr-Latn-CS"/>
        </w:rPr>
        <w:t xml:space="preserve">kliničkim </w:t>
      </w:r>
      <w:r w:rsidRPr="00F37492">
        <w:rPr>
          <w:b/>
          <w:sz w:val="22"/>
          <w:szCs w:val="22"/>
          <w:lang w:val="it-IT" w:eastAsia="sr-Latn-CS"/>
        </w:rPr>
        <w:t xml:space="preserve">studijama </w:t>
      </w:r>
      <w:r w:rsidR="00455700">
        <w:rPr>
          <w:b/>
          <w:sz w:val="22"/>
          <w:szCs w:val="22"/>
          <w:lang w:val="it-IT" w:eastAsia="sr-Latn-CS"/>
        </w:rPr>
        <w:t xml:space="preserve"> </w:t>
      </w:r>
      <w:r w:rsidRPr="00F37492">
        <w:rPr>
          <w:b/>
          <w:sz w:val="22"/>
          <w:szCs w:val="22"/>
          <w:lang w:val="it-IT" w:eastAsia="sr-Latn-CS"/>
        </w:rPr>
        <w:t xml:space="preserve"> </w:t>
      </w:r>
      <w:r w:rsidR="00EB60AE">
        <w:rPr>
          <w:b/>
          <w:sz w:val="22"/>
          <w:szCs w:val="22"/>
          <w:lang w:val="it-IT" w:eastAsia="sr-Latn-CS"/>
        </w:rPr>
        <w:t xml:space="preserve">za </w:t>
      </w:r>
      <w:r w:rsidRPr="00F37492">
        <w:rPr>
          <w:b/>
          <w:sz w:val="22"/>
          <w:szCs w:val="22"/>
          <w:lang w:val="it-IT" w:eastAsia="sr-Latn-CS"/>
        </w:rPr>
        <w:t>GvHD</w:t>
      </w:r>
    </w:p>
    <w:p w14:paraId="55C6D1DE" w14:textId="77777777" w:rsidR="00F37492" w:rsidRPr="00F37492" w:rsidRDefault="00F37492" w:rsidP="000A557B">
      <w:pPr>
        <w:shd w:val="clear" w:color="auto" w:fill="FFFFFF"/>
        <w:rPr>
          <w:b/>
          <w:lang w:val="it-IT"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252"/>
        <w:gridCol w:w="1269"/>
        <w:gridCol w:w="1883"/>
        <w:gridCol w:w="1883"/>
        <w:gridCol w:w="1881"/>
      </w:tblGrid>
      <w:tr w:rsidR="00455700" w:rsidRPr="00F37492" w14:paraId="6C10F3B2" w14:textId="281C52A7" w:rsidTr="00F91F2E">
        <w:trPr>
          <w:cantSplit/>
        </w:trPr>
        <w:tc>
          <w:tcPr>
            <w:tcW w:w="1184" w:type="pct"/>
            <w:gridSpan w:val="2"/>
            <w:tcBorders>
              <w:top w:val="single" w:sz="4" w:space="0" w:color="auto"/>
              <w:left w:val="single" w:sz="4" w:space="0" w:color="auto"/>
              <w:bottom w:val="single" w:sz="4" w:space="0" w:color="auto"/>
              <w:right w:val="single" w:sz="4" w:space="0" w:color="auto"/>
            </w:tcBorders>
            <w:vAlign w:val="center"/>
          </w:tcPr>
          <w:p w14:paraId="476E021F" w14:textId="77777777" w:rsidR="00455700" w:rsidRPr="00F37492" w:rsidRDefault="00455700" w:rsidP="00455700">
            <w:pPr>
              <w:keepNext/>
              <w:widowControl w:val="0"/>
              <w:rPr>
                <w:b/>
                <w:noProof/>
                <w:sz w:val="22"/>
                <w:szCs w:val="22"/>
              </w:rPr>
            </w:pPr>
          </w:p>
        </w:tc>
        <w:tc>
          <w:tcPr>
            <w:tcW w:w="700" w:type="pct"/>
            <w:tcBorders>
              <w:top w:val="single" w:sz="4" w:space="0" w:color="auto"/>
              <w:left w:val="single" w:sz="4" w:space="0" w:color="auto"/>
              <w:bottom w:val="single" w:sz="4" w:space="0" w:color="auto"/>
              <w:right w:val="single" w:sz="4" w:space="0" w:color="auto"/>
            </w:tcBorders>
            <w:vAlign w:val="center"/>
            <w:hideMark/>
          </w:tcPr>
          <w:p w14:paraId="62543C3F" w14:textId="77777777" w:rsidR="00455700" w:rsidRPr="00F37492" w:rsidRDefault="00455700" w:rsidP="00455700">
            <w:pPr>
              <w:keepNext/>
              <w:widowControl w:val="0"/>
              <w:jc w:val="center"/>
              <w:rPr>
                <w:b/>
                <w:noProof/>
                <w:sz w:val="22"/>
                <w:szCs w:val="22"/>
              </w:rPr>
            </w:pPr>
            <w:r w:rsidRPr="00F37492">
              <w:rPr>
                <w:b/>
                <w:sz w:val="22"/>
                <w:szCs w:val="22"/>
                <w:lang w:val="hr-HR"/>
              </w:rPr>
              <w:t>A</w:t>
            </w:r>
            <w:r w:rsidRPr="00F37492">
              <w:rPr>
                <w:b/>
                <w:noProof/>
                <w:sz w:val="22"/>
                <w:szCs w:val="22"/>
              </w:rPr>
              <w:t>kutni GvHD (REACH2)</w:t>
            </w:r>
          </w:p>
        </w:tc>
        <w:tc>
          <w:tcPr>
            <w:tcW w:w="1039" w:type="pct"/>
            <w:vAlign w:val="center"/>
          </w:tcPr>
          <w:p w14:paraId="5E8D78B9" w14:textId="6A327D34" w:rsidR="00455700" w:rsidRPr="00455700" w:rsidRDefault="00455700" w:rsidP="00455700">
            <w:pPr>
              <w:keepNext/>
              <w:widowControl w:val="0"/>
              <w:jc w:val="center"/>
              <w:rPr>
                <w:b/>
                <w:noProof/>
                <w:sz w:val="22"/>
                <w:szCs w:val="22"/>
              </w:rPr>
            </w:pPr>
            <w:r w:rsidRPr="00F91F2E">
              <w:rPr>
                <w:rFonts w:eastAsia="SimSun"/>
                <w:b/>
                <w:sz w:val="22"/>
                <w:szCs w:val="22"/>
                <w:lang w:val="hr-HR"/>
              </w:rPr>
              <w:t>Akutni GvHD (objedinjena pedijatrijska grupa)</w:t>
            </w:r>
          </w:p>
        </w:tc>
        <w:tc>
          <w:tcPr>
            <w:tcW w:w="1039" w:type="pct"/>
            <w:tcBorders>
              <w:top w:val="single" w:sz="4" w:space="0" w:color="auto"/>
              <w:left w:val="single" w:sz="4" w:space="0" w:color="auto"/>
              <w:bottom w:val="single" w:sz="4" w:space="0" w:color="auto"/>
              <w:right w:val="single" w:sz="4" w:space="0" w:color="auto"/>
            </w:tcBorders>
            <w:vAlign w:val="center"/>
            <w:hideMark/>
          </w:tcPr>
          <w:p w14:paraId="549826AF" w14:textId="3D28BAA7" w:rsidR="00455700" w:rsidRPr="00F37492" w:rsidRDefault="00455700" w:rsidP="00455700">
            <w:pPr>
              <w:keepNext/>
              <w:widowControl w:val="0"/>
              <w:jc w:val="center"/>
              <w:rPr>
                <w:b/>
                <w:noProof/>
                <w:sz w:val="22"/>
                <w:szCs w:val="22"/>
              </w:rPr>
            </w:pPr>
            <w:r w:rsidRPr="00F37492">
              <w:rPr>
                <w:b/>
                <w:noProof/>
                <w:sz w:val="22"/>
                <w:szCs w:val="22"/>
              </w:rPr>
              <w:t>Hronični GvHD (REACH3)</w:t>
            </w:r>
          </w:p>
        </w:tc>
        <w:tc>
          <w:tcPr>
            <w:tcW w:w="1038" w:type="pct"/>
            <w:vAlign w:val="center"/>
          </w:tcPr>
          <w:p w14:paraId="619BA496" w14:textId="2C0CA758" w:rsidR="00455700" w:rsidRPr="00455700" w:rsidRDefault="00455700" w:rsidP="00455700">
            <w:pPr>
              <w:keepNext/>
              <w:widowControl w:val="0"/>
              <w:jc w:val="center"/>
              <w:rPr>
                <w:b/>
                <w:noProof/>
                <w:sz w:val="22"/>
                <w:szCs w:val="22"/>
              </w:rPr>
            </w:pPr>
            <w:r w:rsidRPr="00F91F2E">
              <w:rPr>
                <w:rFonts w:eastAsia="SimSun"/>
                <w:b/>
                <w:sz w:val="22"/>
                <w:szCs w:val="22"/>
                <w:lang w:val="hr-HR"/>
              </w:rPr>
              <w:t>Hronični GvHD (objedinjena pedijatrijska grupa)</w:t>
            </w:r>
          </w:p>
        </w:tc>
      </w:tr>
      <w:tr w:rsidR="00455700" w:rsidRPr="00F37492" w14:paraId="24E8160E" w14:textId="2B05F91E" w:rsidTr="00F91F2E">
        <w:trPr>
          <w:cantSplit/>
        </w:trPr>
        <w:tc>
          <w:tcPr>
            <w:tcW w:w="1184" w:type="pct"/>
            <w:gridSpan w:val="2"/>
            <w:tcBorders>
              <w:top w:val="single" w:sz="4" w:space="0" w:color="auto"/>
              <w:left w:val="single" w:sz="4" w:space="0" w:color="auto"/>
              <w:bottom w:val="single" w:sz="4" w:space="0" w:color="auto"/>
              <w:right w:val="single" w:sz="4" w:space="0" w:color="auto"/>
            </w:tcBorders>
            <w:vAlign w:val="center"/>
            <w:hideMark/>
          </w:tcPr>
          <w:p w14:paraId="6161D19F" w14:textId="77777777" w:rsidR="00455700" w:rsidRPr="00F37492" w:rsidRDefault="00455700" w:rsidP="00455700">
            <w:pPr>
              <w:keepNext/>
              <w:widowControl w:val="0"/>
              <w:rPr>
                <w:b/>
                <w:noProof/>
                <w:sz w:val="22"/>
                <w:szCs w:val="22"/>
              </w:rPr>
            </w:pPr>
            <w:r w:rsidRPr="00F37492">
              <w:rPr>
                <w:b/>
                <w:sz w:val="22"/>
                <w:szCs w:val="22"/>
                <w:lang w:val="hr-HR"/>
              </w:rPr>
              <w:t>Neželjena reakcija na lijek</w:t>
            </w:r>
          </w:p>
        </w:tc>
        <w:tc>
          <w:tcPr>
            <w:tcW w:w="700" w:type="pct"/>
            <w:tcBorders>
              <w:top w:val="single" w:sz="4" w:space="0" w:color="auto"/>
              <w:left w:val="single" w:sz="4" w:space="0" w:color="auto"/>
              <w:bottom w:val="single" w:sz="4" w:space="0" w:color="auto"/>
              <w:right w:val="single" w:sz="4" w:space="0" w:color="auto"/>
            </w:tcBorders>
            <w:vAlign w:val="center"/>
            <w:hideMark/>
          </w:tcPr>
          <w:p w14:paraId="00B3B894" w14:textId="77777777" w:rsidR="00455700" w:rsidRPr="00F37492" w:rsidRDefault="00455700" w:rsidP="00455700">
            <w:pPr>
              <w:keepNext/>
              <w:widowControl w:val="0"/>
              <w:jc w:val="center"/>
              <w:rPr>
                <w:b/>
                <w:noProof/>
                <w:sz w:val="22"/>
                <w:szCs w:val="22"/>
              </w:rPr>
            </w:pPr>
            <w:r w:rsidRPr="00F37492">
              <w:rPr>
                <w:b/>
                <w:sz w:val="22"/>
                <w:szCs w:val="22"/>
                <w:lang w:val="hr-HR"/>
              </w:rPr>
              <w:t>Kategorija učestalosti</w:t>
            </w:r>
          </w:p>
        </w:tc>
        <w:tc>
          <w:tcPr>
            <w:tcW w:w="1039" w:type="pct"/>
            <w:vAlign w:val="center"/>
          </w:tcPr>
          <w:p w14:paraId="3A3FC3DF" w14:textId="2DFA1380" w:rsidR="00455700" w:rsidRPr="00455700" w:rsidRDefault="00455700" w:rsidP="00455700">
            <w:pPr>
              <w:keepNext/>
              <w:widowControl w:val="0"/>
              <w:jc w:val="center"/>
              <w:rPr>
                <w:b/>
                <w:sz w:val="22"/>
                <w:szCs w:val="22"/>
                <w:lang w:val="hr-HR"/>
              </w:rPr>
            </w:pPr>
            <w:r w:rsidRPr="00F91F2E">
              <w:rPr>
                <w:rFonts w:eastAsia="SimSun"/>
                <w:b/>
                <w:sz w:val="22"/>
                <w:szCs w:val="22"/>
                <w:lang w:val="hr-HR"/>
              </w:rPr>
              <w:t>Kategorija učestalosti</w:t>
            </w:r>
          </w:p>
        </w:tc>
        <w:tc>
          <w:tcPr>
            <w:tcW w:w="1039" w:type="pct"/>
            <w:tcBorders>
              <w:top w:val="single" w:sz="4" w:space="0" w:color="auto"/>
              <w:left w:val="single" w:sz="4" w:space="0" w:color="auto"/>
              <w:bottom w:val="single" w:sz="4" w:space="0" w:color="auto"/>
              <w:right w:val="single" w:sz="4" w:space="0" w:color="auto"/>
            </w:tcBorders>
            <w:hideMark/>
          </w:tcPr>
          <w:p w14:paraId="09BCA3E4" w14:textId="745D4C29" w:rsidR="00455700" w:rsidRPr="00F37492" w:rsidRDefault="00455700" w:rsidP="00455700">
            <w:pPr>
              <w:keepNext/>
              <w:widowControl w:val="0"/>
              <w:jc w:val="center"/>
              <w:rPr>
                <w:b/>
                <w:noProof/>
                <w:sz w:val="22"/>
                <w:szCs w:val="22"/>
              </w:rPr>
            </w:pPr>
            <w:r w:rsidRPr="00F37492">
              <w:rPr>
                <w:b/>
                <w:sz w:val="22"/>
                <w:szCs w:val="22"/>
                <w:lang w:val="hr-HR"/>
              </w:rPr>
              <w:t>Kategorija učestalosti</w:t>
            </w:r>
          </w:p>
        </w:tc>
        <w:tc>
          <w:tcPr>
            <w:tcW w:w="1038" w:type="pct"/>
            <w:vAlign w:val="center"/>
          </w:tcPr>
          <w:p w14:paraId="1F32B996" w14:textId="7C7CA405" w:rsidR="00455700" w:rsidRPr="00455700" w:rsidRDefault="00455700" w:rsidP="00455700">
            <w:pPr>
              <w:keepNext/>
              <w:widowControl w:val="0"/>
              <w:jc w:val="center"/>
              <w:rPr>
                <w:b/>
                <w:sz w:val="22"/>
                <w:szCs w:val="22"/>
                <w:lang w:val="hr-HR"/>
              </w:rPr>
            </w:pPr>
            <w:r w:rsidRPr="00F91F2E">
              <w:rPr>
                <w:rFonts w:eastAsia="SimSun"/>
                <w:b/>
                <w:sz w:val="22"/>
                <w:szCs w:val="22"/>
                <w:lang w:val="hr-HR"/>
              </w:rPr>
              <w:t>Kategorija učestalosti</w:t>
            </w:r>
          </w:p>
        </w:tc>
      </w:tr>
      <w:tr w:rsidR="00455700" w:rsidRPr="00F37492" w14:paraId="63733C2B" w14:textId="7806601E" w:rsidTr="00F91F2E">
        <w:trPr>
          <w:cantSplit/>
        </w:trPr>
        <w:tc>
          <w:tcPr>
            <w:tcW w:w="1045" w:type="pct"/>
            <w:tcBorders>
              <w:top w:val="single" w:sz="4" w:space="0" w:color="auto"/>
              <w:left w:val="single" w:sz="4" w:space="0" w:color="auto"/>
              <w:bottom w:val="single" w:sz="4" w:space="0" w:color="auto"/>
              <w:right w:val="single" w:sz="4" w:space="0" w:color="auto"/>
            </w:tcBorders>
          </w:tcPr>
          <w:p w14:paraId="2246EC76" w14:textId="77777777" w:rsidR="00455700" w:rsidRPr="00F37492" w:rsidRDefault="00455700" w:rsidP="000A557B">
            <w:pPr>
              <w:keepNext/>
              <w:widowControl w:val="0"/>
              <w:rPr>
                <w:b/>
                <w:sz w:val="22"/>
                <w:szCs w:val="22"/>
                <w:lang w:val="hr-HR"/>
              </w:rPr>
            </w:pPr>
          </w:p>
        </w:tc>
        <w:tc>
          <w:tcPr>
            <w:tcW w:w="2917" w:type="pct"/>
            <w:gridSpan w:val="4"/>
            <w:tcBorders>
              <w:top w:val="single" w:sz="4" w:space="0" w:color="auto"/>
              <w:left w:val="single" w:sz="4" w:space="0" w:color="auto"/>
              <w:bottom w:val="single" w:sz="4" w:space="0" w:color="auto"/>
              <w:right w:val="single" w:sz="4" w:space="0" w:color="auto"/>
            </w:tcBorders>
            <w:vAlign w:val="center"/>
            <w:hideMark/>
          </w:tcPr>
          <w:p w14:paraId="76A2ED37" w14:textId="3B4A08F8" w:rsidR="00455700" w:rsidRPr="00F37492" w:rsidRDefault="00455700" w:rsidP="000A557B">
            <w:pPr>
              <w:keepNext/>
              <w:widowControl w:val="0"/>
              <w:rPr>
                <w:b/>
                <w:noProof/>
                <w:sz w:val="22"/>
                <w:szCs w:val="22"/>
              </w:rPr>
            </w:pPr>
            <w:r w:rsidRPr="00F37492">
              <w:rPr>
                <w:b/>
                <w:sz w:val="22"/>
                <w:szCs w:val="22"/>
                <w:lang w:val="hr-HR"/>
              </w:rPr>
              <w:t>Infekcije i infestacije</w:t>
            </w:r>
          </w:p>
        </w:tc>
        <w:tc>
          <w:tcPr>
            <w:tcW w:w="1038" w:type="pct"/>
            <w:tcBorders>
              <w:top w:val="single" w:sz="4" w:space="0" w:color="auto"/>
              <w:left w:val="single" w:sz="4" w:space="0" w:color="auto"/>
              <w:bottom w:val="single" w:sz="4" w:space="0" w:color="auto"/>
              <w:right w:val="single" w:sz="4" w:space="0" w:color="auto"/>
            </w:tcBorders>
          </w:tcPr>
          <w:p w14:paraId="27A25AAF" w14:textId="77777777" w:rsidR="00455700" w:rsidRPr="00F37492" w:rsidRDefault="00455700" w:rsidP="000A557B">
            <w:pPr>
              <w:keepNext/>
              <w:widowControl w:val="0"/>
              <w:rPr>
                <w:b/>
                <w:sz w:val="22"/>
                <w:szCs w:val="22"/>
                <w:lang w:val="hr-HR"/>
              </w:rPr>
            </w:pPr>
          </w:p>
        </w:tc>
      </w:tr>
      <w:tr w:rsidR="00455700" w:rsidRPr="00F37492" w14:paraId="0E6594DA" w14:textId="1A7DA1C0"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56D8367B" w14:textId="77777777" w:rsidR="00455700" w:rsidRPr="00F37492" w:rsidRDefault="00455700" w:rsidP="00455700">
            <w:pPr>
              <w:keepNext/>
              <w:widowControl w:val="0"/>
              <w:rPr>
                <w:noProof/>
                <w:sz w:val="22"/>
                <w:szCs w:val="22"/>
              </w:rPr>
            </w:pPr>
            <w:r w:rsidRPr="00F37492">
              <w:rPr>
                <w:noProof/>
                <w:sz w:val="22"/>
                <w:szCs w:val="22"/>
              </w:rPr>
              <w:t>CMV infekcije</w:t>
            </w:r>
          </w:p>
        </w:tc>
        <w:tc>
          <w:tcPr>
            <w:tcW w:w="700" w:type="pct"/>
            <w:tcBorders>
              <w:top w:val="single" w:sz="4" w:space="0" w:color="auto"/>
              <w:left w:val="single" w:sz="4" w:space="0" w:color="auto"/>
              <w:bottom w:val="single" w:sz="4" w:space="0" w:color="auto"/>
              <w:right w:val="single" w:sz="4" w:space="0" w:color="auto"/>
            </w:tcBorders>
            <w:hideMark/>
          </w:tcPr>
          <w:p w14:paraId="3FAEE600"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tcPr>
          <w:p w14:paraId="51F123C3" w14:textId="474F19DB"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33BA5542" w14:textId="15EA2098"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tcPr>
          <w:p w14:paraId="60B302BD" w14:textId="3821233F"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r>
      <w:tr w:rsidR="00455700" w:rsidRPr="00F37492" w14:paraId="2D412A54" w14:textId="4E7CEB25"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6A0C3ACC" w14:textId="6D0D3F4E" w:rsidR="00455700" w:rsidRPr="00F37492" w:rsidRDefault="00455700" w:rsidP="00455700">
            <w:pPr>
              <w:keepNext/>
              <w:widowControl w:val="0"/>
              <w:rPr>
                <w:noProof/>
                <w:sz w:val="22"/>
                <w:szCs w:val="22"/>
              </w:rPr>
            </w:pPr>
            <w:r w:rsidRPr="00F37492">
              <w:rPr>
                <w:noProof/>
                <w:sz w:val="22"/>
                <w:szCs w:val="22"/>
              </w:rPr>
              <w:tab/>
              <w:t>CTCAE</w:t>
            </w:r>
            <w:r w:rsidRPr="00F37492">
              <w:rPr>
                <w:noProof/>
                <w:sz w:val="22"/>
                <w:szCs w:val="22"/>
                <w:vertAlign w:val="superscript"/>
              </w:rPr>
              <w:t>3</w:t>
            </w:r>
            <w:r w:rsidRPr="00F37492">
              <w:rPr>
                <w:noProof/>
                <w:sz w:val="22"/>
                <w:szCs w:val="22"/>
              </w:rPr>
              <w:t xml:space="preserve"> stepen </w:t>
            </w:r>
            <w:r w:rsidRPr="00F37492">
              <w:rPr>
                <w:bCs/>
                <w:noProof/>
                <w:sz w:val="22"/>
                <w:szCs w:val="22"/>
              </w:rPr>
              <w:t>≥</w:t>
            </w:r>
            <w:r>
              <w:rPr>
                <w:bCs/>
                <w:noProof/>
                <w:sz w:val="22"/>
                <w:szCs w:val="22"/>
              </w:rPr>
              <w:t xml:space="preserve"> </w:t>
            </w:r>
            <w:r w:rsidRPr="00F37492">
              <w:rPr>
                <w:noProof/>
                <w:sz w:val="22"/>
                <w:szCs w:val="22"/>
              </w:rPr>
              <w:t>3</w:t>
            </w:r>
          </w:p>
        </w:tc>
        <w:tc>
          <w:tcPr>
            <w:tcW w:w="700" w:type="pct"/>
            <w:tcBorders>
              <w:top w:val="single" w:sz="4" w:space="0" w:color="auto"/>
              <w:left w:val="single" w:sz="4" w:space="0" w:color="auto"/>
              <w:bottom w:val="single" w:sz="4" w:space="0" w:color="auto"/>
              <w:right w:val="single" w:sz="4" w:space="0" w:color="auto"/>
            </w:tcBorders>
            <w:vAlign w:val="center"/>
            <w:hideMark/>
          </w:tcPr>
          <w:p w14:paraId="72388883"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tcBorders>
              <w:bottom w:val="single" w:sz="4" w:space="0" w:color="auto"/>
            </w:tcBorders>
            <w:vAlign w:val="center"/>
          </w:tcPr>
          <w:p w14:paraId="30EDF967" w14:textId="409FB2D6"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c>
          <w:tcPr>
            <w:tcW w:w="1039" w:type="pct"/>
            <w:tcBorders>
              <w:top w:val="single" w:sz="4" w:space="0" w:color="auto"/>
              <w:left w:val="single" w:sz="4" w:space="0" w:color="auto"/>
              <w:bottom w:val="single" w:sz="4" w:space="0" w:color="auto"/>
              <w:right w:val="single" w:sz="4" w:space="0" w:color="auto"/>
            </w:tcBorders>
            <w:vAlign w:val="center"/>
            <w:hideMark/>
          </w:tcPr>
          <w:p w14:paraId="7DD9F2B6" w14:textId="2AF5C0B0"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vAlign w:val="center"/>
          </w:tcPr>
          <w:p w14:paraId="2955C628" w14:textId="6A51E7E0" w:rsidR="00455700" w:rsidRPr="00455700" w:rsidRDefault="00455700" w:rsidP="00455700">
            <w:pPr>
              <w:keepNext/>
              <w:widowControl w:val="0"/>
              <w:jc w:val="center"/>
              <w:rPr>
                <w:noProof/>
                <w:sz w:val="22"/>
                <w:szCs w:val="22"/>
              </w:rPr>
            </w:pPr>
            <w:r w:rsidRPr="00F91F2E">
              <w:rPr>
                <w:rFonts w:eastAsia="SimSun"/>
                <w:sz w:val="22"/>
                <w:szCs w:val="22"/>
                <w:lang w:val="hr-HR"/>
              </w:rPr>
              <w:t>N/P</w:t>
            </w:r>
            <w:r w:rsidRPr="00F91F2E">
              <w:rPr>
                <w:rFonts w:eastAsia="SimSun"/>
                <w:sz w:val="22"/>
                <w:szCs w:val="22"/>
                <w:vertAlign w:val="superscript"/>
                <w:lang w:val="hr-HR"/>
              </w:rPr>
              <w:t xml:space="preserve">5 </w:t>
            </w:r>
          </w:p>
        </w:tc>
      </w:tr>
      <w:tr w:rsidR="00455700" w:rsidRPr="00F37492" w14:paraId="2146C254" w14:textId="5A9FAC98"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380195E2" w14:textId="77777777" w:rsidR="00455700" w:rsidRPr="00F37492" w:rsidRDefault="00455700" w:rsidP="00455700">
            <w:pPr>
              <w:keepNext/>
              <w:widowControl w:val="0"/>
              <w:rPr>
                <w:noProof/>
                <w:sz w:val="22"/>
                <w:szCs w:val="22"/>
              </w:rPr>
            </w:pPr>
            <w:r w:rsidRPr="00F37492">
              <w:rPr>
                <w:noProof/>
                <w:sz w:val="22"/>
                <w:szCs w:val="22"/>
              </w:rPr>
              <w:t>Sepsa</w:t>
            </w:r>
          </w:p>
        </w:tc>
        <w:tc>
          <w:tcPr>
            <w:tcW w:w="700" w:type="pct"/>
            <w:tcBorders>
              <w:top w:val="single" w:sz="4" w:space="0" w:color="auto"/>
              <w:left w:val="single" w:sz="4" w:space="0" w:color="auto"/>
              <w:bottom w:val="single" w:sz="4" w:space="0" w:color="auto"/>
              <w:right w:val="single" w:sz="4" w:space="0" w:color="auto"/>
            </w:tcBorders>
            <w:vAlign w:val="center"/>
            <w:hideMark/>
          </w:tcPr>
          <w:p w14:paraId="2FDFCFE0"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vAlign w:val="center"/>
          </w:tcPr>
          <w:p w14:paraId="092E83AC" w14:textId="499C9222"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c>
          <w:tcPr>
            <w:tcW w:w="1039" w:type="pct"/>
            <w:tcBorders>
              <w:top w:val="single" w:sz="4" w:space="0" w:color="auto"/>
              <w:left w:val="single" w:sz="4" w:space="0" w:color="auto"/>
              <w:bottom w:val="single" w:sz="4" w:space="0" w:color="auto"/>
              <w:right w:val="single" w:sz="4" w:space="0" w:color="auto"/>
            </w:tcBorders>
            <w:vAlign w:val="center"/>
            <w:hideMark/>
          </w:tcPr>
          <w:p w14:paraId="383696DF" w14:textId="3485B99D" w:rsidR="00455700" w:rsidRPr="00F37492" w:rsidRDefault="00455700" w:rsidP="00455700">
            <w:pPr>
              <w:keepNext/>
              <w:widowControl w:val="0"/>
              <w:jc w:val="center"/>
              <w:rPr>
                <w:noProof/>
                <w:sz w:val="22"/>
                <w:szCs w:val="22"/>
              </w:rPr>
            </w:pPr>
            <w:r w:rsidRPr="00F37492">
              <w:rPr>
                <w:noProof/>
                <w:sz w:val="22"/>
                <w:szCs w:val="22"/>
              </w:rPr>
              <w:t>-</w:t>
            </w:r>
          </w:p>
        </w:tc>
        <w:tc>
          <w:tcPr>
            <w:tcW w:w="1038" w:type="pct"/>
            <w:vAlign w:val="center"/>
          </w:tcPr>
          <w:p w14:paraId="3AAD28AC" w14:textId="63395ADC" w:rsidR="00455700" w:rsidRPr="00455700" w:rsidRDefault="00455700" w:rsidP="00455700">
            <w:pPr>
              <w:keepNext/>
              <w:widowControl w:val="0"/>
              <w:jc w:val="center"/>
              <w:rPr>
                <w:noProof/>
                <w:sz w:val="22"/>
                <w:szCs w:val="22"/>
              </w:rPr>
            </w:pPr>
            <w:r w:rsidRPr="00F91F2E">
              <w:rPr>
                <w:rFonts w:eastAsia="SimSun"/>
                <w:sz w:val="22"/>
                <w:szCs w:val="22"/>
                <w:lang w:val="hr-HR"/>
              </w:rPr>
              <w:t>-</w:t>
            </w:r>
            <w:r w:rsidRPr="00F91F2E">
              <w:rPr>
                <w:rFonts w:eastAsia="SimSun"/>
                <w:sz w:val="22"/>
                <w:szCs w:val="22"/>
                <w:vertAlign w:val="superscript"/>
                <w:lang w:val="hr-HR"/>
              </w:rPr>
              <w:t>6</w:t>
            </w:r>
          </w:p>
        </w:tc>
      </w:tr>
      <w:tr w:rsidR="00455700" w:rsidRPr="00F37492" w14:paraId="4D593517" w14:textId="1FFE2614"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3299D7C6" w14:textId="7ADB6A53" w:rsidR="00455700" w:rsidRPr="00F37492" w:rsidRDefault="00455700" w:rsidP="00455700">
            <w:pPr>
              <w:keepNext/>
              <w:widowControl w:val="0"/>
              <w:rPr>
                <w:noProof/>
                <w:sz w:val="22"/>
                <w:szCs w:val="22"/>
              </w:rPr>
            </w:pPr>
            <w:r w:rsidRPr="00F37492">
              <w:rPr>
                <w:noProof/>
                <w:sz w:val="22"/>
                <w:szCs w:val="22"/>
              </w:rPr>
              <w:tab/>
              <w:t xml:space="preserve">CTCAE stepen </w:t>
            </w:r>
            <w:r w:rsidRPr="00F37492">
              <w:rPr>
                <w:bCs/>
                <w:noProof/>
                <w:sz w:val="22"/>
                <w:szCs w:val="22"/>
              </w:rPr>
              <w:t>≥</w:t>
            </w:r>
            <w:r>
              <w:rPr>
                <w:bCs/>
                <w:noProof/>
                <w:sz w:val="22"/>
                <w:szCs w:val="22"/>
              </w:rPr>
              <w:t xml:space="preserve"> </w:t>
            </w:r>
            <w:r w:rsidRPr="00F37492">
              <w:rPr>
                <w:noProof/>
                <w:sz w:val="22"/>
                <w:szCs w:val="22"/>
              </w:rPr>
              <w:t>3</w:t>
            </w:r>
          </w:p>
        </w:tc>
        <w:tc>
          <w:tcPr>
            <w:tcW w:w="700" w:type="pct"/>
            <w:tcBorders>
              <w:top w:val="single" w:sz="4" w:space="0" w:color="auto"/>
              <w:left w:val="single" w:sz="4" w:space="0" w:color="auto"/>
              <w:bottom w:val="single" w:sz="4" w:space="0" w:color="auto"/>
              <w:right w:val="single" w:sz="4" w:space="0" w:color="auto"/>
            </w:tcBorders>
            <w:vAlign w:val="center"/>
            <w:hideMark/>
          </w:tcPr>
          <w:p w14:paraId="52F796CD"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vAlign w:val="center"/>
          </w:tcPr>
          <w:p w14:paraId="75581651" w14:textId="169F0CC1"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c>
          <w:tcPr>
            <w:tcW w:w="1039" w:type="pct"/>
            <w:tcBorders>
              <w:top w:val="single" w:sz="4" w:space="0" w:color="auto"/>
              <w:left w:val="single" w:sz="4" w:space="0" w:color="auto"/>
              <w:bottom w:val="single" w:sz="4" w:space="0" w:color="auto"/>
              <w:right w:val="single" w:sz="4" w:space="0" w:color="auto"/>
            </w:tcBorders>
            <w:vAlign w:val="center"/>
            <w:hideMark/>
          </w:tcPr>
          <w:p w14:paraId="7F61286F" w14:textId="587E0379" w:rsidR="00455700" w:rsidRPr="00F37492" w:rsidRDefault="00455700" w:rsidP="00455700">
            <w:pPr>
              <w:keepNext/>
              <w:widowControl w:val="0"/>
              <w:jc w:val="center"/>
              <w:rPr>
                <w:noProof/>
                <w:sz w:val="22"/>
                <w:szCs w:val="22"/>
              </w:rPr>
            </w:pPr>
            <w:r w:rsidRPr="00F37492">
              <w:rPr>
                <w:noProof/>
                <w:sz w:val="22"/>
                <w:szCs w:val="22"/>
              </w:rPr>
              <w:t>-</w:t>
            </w:r>
          </w:p>
        </w:tc>
        <w:tc>
          <w:tcPr>
            <w:tcW w:w="1038" w:type="pct"/>
            <w:vAlign w:val="center"/>
          </w:tcPr>
          <w:p w14:paraId="74078DB3" w14:textId="2A5F85A3" w:rsidR="00455700" w:rsidRPr="00455700" w:rsidRDefault="00455700" w:rsidP="00455700">
            <w:pPr>
              <w:keepNext/>
              <w:widowControl w:val="0"/>
              <w:jc w:val="center"/>
              <w:rPr>
                <w:noProof/>
                <w:sz w:val="22"/>
                <w:szCs w:val="22"/>
              </w:rPr>
            </w:pPr>
            <w:r w:rsidRPr="00F91F2E">
              <w:rPr>
                <w:rFonts w:eastAsia="SimSun"/>
                <w:sz w:val="22"/>
                <w:szCs w:val="22"/>
                <w:lang w:val="hr-HR"/>
              </w:rPr>
              <w:t>-</w:t>
            </w:r>
            <w:r w:rsidRPr="00F91F2E">
              <w:rPr>
                <w:rFonts w:eastAsia="SimSun"/>
                <w:sz w:val="22"/>
                <w:szCs w:val="22"/>
                <w:vertAlign w:val="superscript"/>
                <w:lang w:val="hr-HR"/>
              </w:rPr>
              <w:t>6</w:t>
            </w:r>
          </w:p>
        </w:tc>
      </w:tr>
      <w:tr w:rsidR="00455700" w:rsidRPr="00F37492" w14:paraId="0938B6C3" w14:textId="60D41452"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72569C7A" w14:textId="77777777" w:rsidR="00455700" w:rsidRPr="00F37492" w:rsidRDefault="00455700" w:rsidP="00455700">
            <w:pPr>
              <w:keepNext/>
              <w:widowControl w:val="0"/>
              <w:rPr>
                <w:noProof/>
                <w:sz w:val="22"/>
                <w:szCs w:val="22"/>
              </w:rPr>
            </w:pPr>
            <w:r w:rsidRPr="00F37492">
              <w:rPr>
                <w:sz w:val="22"/>
                <w:szCs w:val="22"/>
                <w:lang w:val="hr-HR"/>
              </w:rPr>
              <w:t>Infekcije urinarnog trakta</w:t>
            </w:r>
          </w:p>
        </w:tc>
        <w:tc>
          <w:tcPr>
            <w:tcW w:w="700" w:type="pct"/>
            <w:tcBorders>
              <w:top w:val="single" w:sz="4" w:space="0" w:color="auto"/>
              <w:left w:val="single" w:sz="4" w:space="0" w:color="auto"/>
              <w:bottom w:val="single" w:sz="4" w:space="0" w:color="auto"/>
              <w:right w:val="single" w:sz="4" w:space="0" w:color="auto"/>
            </w:tcBorders>
            <w:hideMark/>
          </w:tcPr>
          <w:p w14:paraId="7FBDEE73"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tcPr>
          <w:p w14:paraId="3EFD5BFB" w14:textId="6EB8F8E4"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c>
          <w:tcPr>
            <w:tcW w:w="1039" w:type="pct"/>
            <w:tcBorders>
              <w:top w:val="single" w:sz="4" w:space="0" w:color="auto"/>
              <w:left w:val="single" w:sz="4" w:space="0" w:color="auto"/>
              <w:bottom w:val="single" w:sz="4" w:space="0" w:color="auto"/>
              <w:right w:val="single" w:sz="4" w:space="0" w:color="auto"/>
            </w:tcBorders>
            <w:hideMark/>
          </w:tcPr>
          <w:p w14:paraId="3471B4FA" w14:textId="4F5D07B4"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tcPr>
          <w:p w14:paraId="431C7737" w14:textId="2D967E48"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r>
      <w:tr w:rsidR="00455700" w:rsidRPr="00F37492" w14:paraId="73875A00" w14:textId="36164243"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5FC80572" w14:textId="01F58488" w:rsidR="00455700" w:rsidRPr="00F37492" w:rsidRDefault="00455700" w:rsidP="00455700">
            <w:pPr>
              <w:keepNext/>
              <w:widowControl w:val="0"/>
              <w:rPr>
                <w:noProof/>
                <w:sz w:val="22"/>
                <w:szCs w:val="22"/>
              </w:rPr>
            </w:pPr>
            <w:r w:rsidRPr="00F37492">
              <w:rPr>
                <w:noProof/>
                <w:sz w:val="22"/>
                <w:szCs w:val="22"/>
              </w:rPr>
              <w:tab/>
              <w:t xml:space="preserve">CTCAE stepen </w:t>
            </w:r>
            <w:r w:rsidRPr="00F37492">
              <w:rPr>
                <w:bCs/>
                <w:noProof/>
                <w:sz w:val="22"/>
                <w:szCs w:val="22"/>
              </w:rPr>
              <w:t>≥</w:t>
            </w:r>
            <w:r>
              <w:rPr>
                <w:bCs/>
                <w:noProof/>
                <w:sz w:val="22"/>
                <w:szCs w:val="22"/>
              </w:rPr>
              <w:t xml:space="preserve"> </w:t>
            </w:r>
            <w:r w:rsidRPr="00F37492">
              <w:rPr>
                <w:noProof/>
                <w:sz w:val="22"/>
                <w:szCs w:val="22"/>
              </w:rPr>
              <w:t>3</w:t>
            </w:r>
          </w:p>
        </w:tc>
        <w:tc>
          <w:tcPr>
            <w:tcW w:w="700" w:type="pct"/>
            <w:tcBorders>
              <w:top w:val="single" w:sz="4" w:space="0" w:color="auto"/>
              <w:left w:val="single" w:sz="4" w:space="0" w:color="auto"/>
              <w:bottom w:val="single" w:sz="4" w:space="0" w:color="auto"/>
              <w:right w:val="single" w:sz="4" w:space="0" w:color="auto"/>
            </w:tcBorders>
            <w:vAlign w:val="center"/>
            <w:hideMark/>
          </w:tcPr>
          <w:p w14:paraId="1785BF82" w14:textId="77777777" w:rsidR="00455700" w:rsidRPr="00F37492" w:rsidRDefault="00455700" w:rsidP="00455700">
            <w:pPr>
              <w:keepNext/>
              <w:widowControl w:val="0"/>
              <w:jc w:val="center"/>
              <w:rPr>
                <w:noProof/>
                <w:sz w:val="22"/>
                <w:szCs w:val="22"/>
              </w:rPr>
            </w:pPr>
            <w:r w:rsidRPr="00F37492">
              <w:rPr>
                <w:noProof/>
                <w:sz w:val="22"/>
                <w:szCs w:val="22"/>
              </w:rPr>
              <w:t>Često</w:t>
            </w:r>
          </w:p>
        </w:tc>
        <w:tc>
          <w:tcPr>
            <w:tcW w:w="1039" w:type="pct"/>
            <w:vAlign w:val="center"/>
          </w:tcPr>
          <w:p w14:paraId="6219AF7A" w14:textId="4931262F"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c>
          <w:tcPr>
            <w:tcW w:w="1039" w:type="pct"/>
            <w:tcBorders>
              <w:top w:val="single" w:sz="4" w:space="0" w:color="auto"/>
              <w:left w:val="single" w:sz="4" w:space="0" w:color="auto"/>
              <w:bottom w:val="single" w:sz="4" w:space="0" w:color="auto"/>
              <w:right w:val="single" w:sz="4" w:space="0" w:color="auto"/>
            </w:tcBorders>
            <w:vAlign w:val="center"/>
            <w:hideMark/>
          </w:tcPr>
          <w:p w14:paraId="01109095" w14:textId="18BE92FD"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vAlign w:val="center"/>
          </w:tcPr>
          <w:p w14:paraId="0EF8D08C" w14:textId="01774F40"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r>
      <w:tr w:rsidR="00455700" w:rsidRPr="00F37492" w14:paraId="5968D036" w14:textId="7A6533EB"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2A94A2D8" w14:textId="77777777" w:rsidR="00455700" w:rsidRPr="00F37492" w:rsidRDefault="00455700" w:rsidP="00455700">
            <w:pPr>
              <w:keepNext/>
              <w:widowControl w:val="0"/>
              <w:rPr>
                <w:noProof/>
                <w:sz w:val="22"/>
                <w:szCs w:val="22"/>
              </w:rPr>
            </w:pPr>
            <w:r w:rsidRPr="00F37492">
              <w:rPr>
                <w:noProof/>
                <w:sz w:val="22"/>
                <w:szCs w:val="22"/>
              </w:rPr>
              <w:t>Infekcije BK virusom</w:t>
            </w:r>
          </w:p>
        </w:tc>
        <w:tc>
          <w:tcPr>
            <w:tcW w:w="700" w:type="pct"/>
            <w:hideMark/>
          </w:tcPr>
          <w:p w14:paraId="23380C9E" w14:textId="4CF1FE2C" w:rsidR="00455700" w:rsidRPr="00455700" w:rsidRDefault="00455700" w:rsidP="00455700">
            <w:pPr>
              <w:keepNext/>
              <w:widowControl w:val="0"/>
              <w:jc w:val="center"/>
              <w:rPr>
                <w:noProof/>
                <w:sz w:val="22"/>
                <w:szCs w:val="22"/>
              </w:rPr>
            </w:pPr>
            <w:r w:rsidRPr="00F91F2E">
              <w:rPr>
                <w:rFonts w:eastAsia="SimSun"/>
                <w:sz w:val="22"/>
                <w:szCs w:val="22"/>
                <w:lang w:val="hr-HR"/>
              </w:rPr>
              <w:t>-</w:t>
            </w:r>
            <w:r w:rsidRPr="00F91F2E">
              <w:rPr>
                <w:rFonts w:eastAsia="SimSun"/>
                <w:sz w:val="22"/>
                <w:szCs w:val="22"/>
                <w:vertAlign w:val="superscript"/>
                <w:lang w:val="hr-HR"/>
              </w:rPr>
              <w:t>6</w:t>
            </w:r>
          </w:p>
        </w:tc>
        <w:tc>
          <w:tcPr>
            <w:tcW w:w="1039" w:type="pct"/>
          </w:tcPr>
          <w:p w14:paraId="241EBCCC" w14:textId="7D92AD84" w:rsidR="00455700" w:rsidRPr="00455700" w:rsidRDefault="00455700" w:rsidP="00455700">
            <w:pPr>
              <w:keepNext/>
              <w:widowControl w:val="0"/>
              <w:jc w:val="center"/>
              <w:rPr>
                <w:noProof/>
                <w:sz w:val="22"/>
                <w:szCs w:val="22"/>
              </w:rPr>
            </w:pPr>
            <w:r w:rsidRPr="00F91F2E">
              <w:rPr>
                <w:rFonts w:eastAsia="SimSun"/>
                <w:sz w:val="22"/>
                <w:szCs w:val="22"/>
                <w:lang w:val="hr-HR"/>
              </w:rPr>
              <w:t>-</w:t>
            </w:r>
            <w:r w:rsidRPr="00F91F2E">
              <w:rPr>
                <w:rFonts w:eastAsia="SimSun"/>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3848BC33" w14:textId="0E6DC4AC"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tcPr>
          <w:p w14:paraId="1785ACE5" w14:textId="5927FB7A"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r>
      <w:tr w:rsidR="00455700" w:rsidRPr="00F37492" w14:paraId="180EF639" w14:textId="7E467DAB"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25087FBC" w14:textId="453AA0F2" w:rsidR="00455700" w:rsidRPr="00F37492" w:rsidRDefault="00455700" w:rsidP="00455700">
            <w:pPr>
              <w:widowControl w:val="0"/>
              <w:rPr>
                <w:noProof/>
                <w:sz w:val="22"/>
                <w:szCs w:val="22"/>
              </w:rPr>
            </w:pPr>
            <w:r w:rsidRPr="00F37492">
              <w:rPr>
                <w:noProof/>
                <w:sz w:val="22"/>
                <w:szCs w:val="22"/>
              </w:rPr>
              <w:tab/>
              <w:t xml:space="preserve">CTCAE stepen </w:t>
            </w:r>
            <w:r w:rsidRPr="00F37492">
              <w:rPr>
                <w:bCs/>
                <w:noProof/>
                <w:sz w:val="22"/>
                <w:szCs w:val="22"/>
              </w:rPr>
              <w:t>≥</w:t>
            </w:r>
            <w:r>
              <w:rPr>
                <w:bCs/>
                <w:noProof/>
                <w:sz w:val="22"/>
                <w:szCs w:val="22"/>
              </w:rPr>
              <w:t xml:space="preserve"> </w:t>
            </w:r>
            <w:r w:rsidRPr="00F37492">
              <w:rPr>
                <w:noProof/>
                <w:sz w:val="22"/>
                <w:szCs w:val="22"/>
              </w:rPr>
              <w:t>3</w:t>
            </w:r>
          </w:p>
        </w:tc>
        <w:tc>
          <w:tcPr>
            <w:tcW w:w="700" w:type="pct"/>
            <w:hideMark/>
          </w:tcPr>
          <w:p w14:paraId="52191A26" w14:textId="7AB0C502" w:rsidR="00455700" w:rsidRPr="00455700" w:rsidRDefault="00455700" w:rsidP="00455700">
            <w:pPr>
              <w:widowControl w:val="0"/>
              <w:jc w:val="center"/>
              <w:rPr>
                <w:noProof/>
                <w:sz w:val="22"/>
                <w:szCs w:val="22"/>
              </w:rPr>
            </w:pPr>
            <w:r w:rsidRPr="00F91F2E">
              <w:rPr>
                <w:rFonts w:eastAsia="SimSun"/>
                <w:sz w:val="22"/>
                <w:szCs w:val="22"/>
                <w:lang w:val="hr-HR"/>
              </w:rPr>
              <w:t>-</w:t>
            </w:r>
            <w:r w:rsidRPr="00F91F2E">
              <w:rPr>
                <w:rFonts w:eastAsia="SimSun"/>
                <w:sz w:val="22"/>
                <w:szCs w:val="22"/>
                <w:vertAlign w:val="superscript"/>
                <w:lang w:val="hr-HR"/>
              </w:rPr>
              <w:t>6</w:t>
            </w:r>
          </w:p>
        </w:tc>
        <w:tc>
          <w:tcPr>
            <w:tcW w:w="1039" w:type="pct"/>
            <w:tcBorders>
              <w:bottom w:val="nil"/>
            </w:tcBorders>
          </w:tcPr>
          <w:p w14:paraId="3B59A760" w14:textId="7F1795FD" w:rsidR="00455700" w:rsidRPr="00455700" w:rsidRDefault="00455700" w:rsidP="00455700">
            <w:pPr>
              <w:widowControl w:val="0"/>
              <w:jc w:val="center"/>
              <w:rPr>
                <w:noProof/>
                <w:sz w:val="22"/>
                <w:szCs w:val="22"/>
              </w:rPr>
            </w:pPr>
            <w:r w:rsidRPr="00F91F2E">
              <w:rPr>
                <w:rFonts w:eastAsia="SimSun"/>
                <w:sz w:val="22"/>
                <w:szCs w:val="22"/>
                <w:lang w:val="hr-HR"/>
              </w:rPr>
              <w:t>-</w:t>
            </w:r>
            <w:r w:rsidRPr="00F91F2E">
              <w:rPr>
                <w:rFonts w:eastAsia="SimSun"/>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280D0F41" w14:textId="4A3DAE6F" w:rsidR="00455700" w:rsidRPr="00F37492" w:rsidRDefault="00455700" w:rsidP="00455700">
            <w:pPr>
              <w:widowControl w:val="0"/>
              <w:jc w:val="center"/>
              <w:rPr>
                <w:noProof/>
                <w:sz w:val="22"/>
                <w:szCs w:val="22"/>
              </w:rPr>
            </w:pPr>
            <w:r w:rsidRPr="00F37492">
              <w:rPr>
                <w:noProof/>
                <w:sz w:val="22"/>
                <w:szCs w:val="22"/>
              </w:rPr>
              <w:t>Povremeno</w:t>
            </w:r>
          </w:p>
        </w:tc>
        <w:tc>
          <w:tcPr>
            <w:tcW w:w="1038" w:type="pct"/>
          </w:tcPr>
          <w:p w14:paraId="714FF6F7" w14:textId="6DE75E1F" w:rsidR="00455700" w:rsidRPr="00455700" w:rsidRDefault="00455700" w:rsidP="00455700">
            <w:pPr>
              <w:widowControl w:val="0"/>
              <w:jc w:val="center"/>
              <w:rPr>
                <w:noProof/>
                <w:sz w:val="22"/>
                <w:szCs w:val="22"/>
              </w:rPr>
            </w:pPr>
            <w:r w:rsidRPr="00F91F2E">
              <w:rPr>
                <w:rFonts w:eastAsia="SimSun"/>
                <w:sz w:val="22"/>
                <w:szCs w:val="22"/>
                <w:lang w:val="hr-HR"/>
              </w:rPr>
              <w:t>N/P</w:t>
            </w:r>
            <w:r w:rsidRPr="00F91F2E">
              <w:rPr>
                <w:rFonts w:eastAsia="SimSun"/>
                <w:sz w:val="22"/>
                <w:szCs w:val="22"/>
                <w:vertAlign w:val="superscript"/>
                <w:lang w:val="hr-HR"/>
              </w:rPr>
              <w:t>5</w:t>
            </w:r>
          </w:p>
        </w:tc>
      </w:tr>
      <w:tr w:rsidR="00455700" w:rsidRPr="00F37492" w14:paraId="16A3B77A" w14:textId="23C246A9" w:rsidTr="00F91F2E">
        <w:trPr>
          <w:cantSplit/>
        </w:trPr>
        <w:tc>
          <w:tcPr>
            <w:tcW w:w="1045" w:type="pct"/>
            <w:tcBorders>
              <w:top w:val="single" w:sz="4" w:space="0" w:color="auto"/>
              <w:left w:val="single" w:sz="4" w:space="0" w:color="auto"/>
              <w:bottom w:val="single" w:sz="4" w:space="0" w:color="auto"/>
              <w:right w:val="single" w:sz="4" w:space="0" w:color="auto"/>
            </w:tcBorders>
          </w:tcPr>
          <w:p w14:paraId="5F84E198" w14:textId="77777777" w:rsidR="00455700" w:rsidRPr="00F37492" w:rsidRDefault="00455700" w:rsidP="000A557B">
            <w:pPr>
              <w:keepNext/>
              <w:widowControl w:val="0"/>
              <w:rPr>
                <w:b/>
                <w:sz w:val="22"/>
                <w:szCs w:val="22"/>
                <w:lang w:val="hr-HR"/>
              </w:rPr>
            </w:pPr>
          </w:p>
        </w:tc>
        <w:tc>
          <w:tcPr>
            <w:tcW w:w="2917" w:type="pct"/>
            <w:gridSpan w:val="4"/>
            <w:tcBorders>
              <w:top w:val="single" w:sz="4" w:space="0" w:color="auto"/>
              <w:left w:val="single" w:sz="4" w:space="0" w:color="auto"/>
              <w:bottom w:val="single" w:sz="4" w:space="0" w:color="auto"/>
              <w:right w:val="single" w:sz="4" w:space="0" w:color="auto"/>
            </w:tcBorders>
            <w:vAlign w:val="center"/>
            <w:hideMark/>
          </w:tcPr>
          <w:p w14:paraId="1108B8BC" w14:textId="7976D98D" w:rsidR="00455700" w:rsidRPr="00F37492" w:rsidRDefault="00455700" w:rsidP="000A557B">
            <w:pPr>
              <w:keepNext/>
              <w:widowControl w:val="0"/>
              <w:rPr>
                <w:b/>
                <w:noProof/>
                <w:sz w:val="22"/>
                <w:szCs w:val="22"/>
              </w:rPr>
            </w:pPr>
            <w:r w:rsidRPr="00F37492">
              <w:rPr>
                <w:b/>
                <w:sz w:val="22"/>
                <w:szCs w:val="22"/>
                <w:lang w:val="hr-HR"/>
              </w:rPr>
              <w:t>Poremećaji krvi i limfnog sistema</w:t>
            </w:r>
          </w:p>
        </w:tc>
        <w:tc>
          <w:tcPr>
            <w:tcW w:w="1038" w:type="pct"/>
            <w:tcBorders>
              <w:top w:val="single" w:sz="4" w:space="0" w:color="auto"/>
              <w:left w:val="single" w:sz="4" w:space="0" w:color="auto"/>
              <w:bottom w:val="single" w:sz="4" w:space="0" w:color="auto"/>
              <w:right w:val="single" w:sz="4" w:space="0" w:color="auto"/>
            </w:tcBorders>
          </w:tcPr>
          <w:p w14:paraId="6F1D8EA5" w14:textId="77777777" w:rsidR="00455700" w:rsidRPr="00F37492" w:rsidRDefault="00455700" w:rsidP="000A557B">
            <w:pPr>
              <w:keepNext/>
              <w:widowControl w:val="0"/>
              <w:rPr>
                <w:b/>
                <w:sz w:val="22"/>
                <w:szCs w:val="22"/>
                <w:lang w:val="hr-HR"/>
              </w:rPr>
            </w:pPr>
          </w:p>
        </w:tc>
      </w:tr>
      <w:tr w:rsidR="00455700" w:rsidRPr="00F37492" w14:paraId="4C2AA3DF" w14:textId="5BF63432"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21C2791F" w14:textId="77777777" w:rsidR="00455700" w:rsidRPr="00F37492" w:rsidRDefault="00455700" w:rsidP="00455700">
            <w:pPr>
              <w:keepNext/>
              <w:widowControl w:val="0"/>
              <w:rPr>
                <w:noProof/>
                <w:sz w:val="22"/>
                <w:szCs w:val="22"/>
              </w:rPr>
            </w:pPr>
            <w:r w:rsidRPr="00F37492">
              <w:rPr>
                <w:noProof/>
                <w:sz w:val="22"/>
                <w:szCs w:val="22"/>
              </w:rPr>
              <w:t>Trombocitopenija</w:t>
            </w:r>
            <w:r w:rsidRPr="00F37492">
              <w:rPr>
                <w:noProof/>
                <w:sz w:val="22"/>
                <w:szCs w:val="22"/>
                <w:vertAlign w:val="superscript"/>
              </w:rPr>
              <w:t>1</w:t>
            </w:r>
          </w:p>
        </w:tc>
        <w:tc>
          <w:tcPr>
            <w:tcW w:w="700" w:type="pct"/>
            <w:tcBorders>
              <w:top w:val="single" w:sz="4" w:space="0" w:color="auto"/>
              <w:left w:val="single" w:sz="4" w:space="0" w:color="auto"/>
              <w:bottom w:val="single" w:sz="4" w:space="0" w:color="auto"/>
              <w:right w:val="single" w:sz="4" w:space="0" w:color="auto"/>
            </w:tcBorders>
            <w:vAlign w:val="center"/>
            <w:hideMark/>
          </w:tcPr>
          <w:p w14:paraId="3CAD5DC6"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tcPr>
          <w:p w14:paraId="3B0763B9" w14:textId="1DD4F872"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61F341A8" w14:textId="07CF694D" w:rsidR="00455700" w:rsidRPr="00F37492" w:rsidRDefault="00455700" w:rsidP="00455700">
            <w:pPr>
              <w:keepNext/>
              <w:widowControl w:val="0"/>
              <w:jc w:val="center"/>
              <w:rPr>
                <w:noProof/>
                <w:sz w:val="22"/>
                <w:szCs w:val="22"/>
              </w:rPr>
            </w:pPr>
            <w:r w:rsidRPr="00F37492">
              <w:rPr>
                <w:noProof/>
                <w:sz w:val="22"/>
                <w:szCs w:val="22"/>
              </w:rPr>
              <w:t>Veoma često</w:t>
            </w:r>
          </w:p>
        </w:tc>
        <w:tc>
          <w:tcPr>
            <w:tcW w:w="1038" w:type="pct"/>
          </w:tcPr>
          <w:p w14:paraId="0F3D3D81" w14:textId="02F17A66"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r>
      <w:tr w:rsidR="00455700" w:rsidRPr="00F37492" w14:paraId="4A72D0C2" w14:textId="3B6D4173"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1ADD73B0" w14:textId="77777777" w:rsidR="00455700" w:rsidRPr="00F37492" w:rsidRDefault="00455700" w:rsidP="00455700">
            <w:pPr>
              <w:keepNext/>
              <w:widowControl w:val="0"/>
              <w:rPr>
                <w:noProof/>
                <w:sz w:val="22"/>
                <w:szCs w:val="22"/>
              </w:rPr>
            </w:pPr>
            <w:r w:rsidRPr="00F37492">
              <w:rPr>
                <w:noProof/>
                <w:sz w:val="22"/>
                <w:szCs w:val="22"/>
              </w:rPr>
              <w:tab/>
              <w:t>CTCAE stepen 3</w:t>
            </w:r>
          </w:p>
        </w:tc>
        <w:tc>
          <w:tcPr>
            <w:tcW w:w="700" w:type="pct"/>
            <w:tcBorders>
              <w:top w:val="single" w:sz="4" w:space="0" w:color="auto"/>
              <w:left w:val="single" w:sz="4" w:space="0" w:color="auto"/>
              <w:bottom w:val="single" w:sz="4" w:space="0" w:color="auto"/>
              <w:right w:val="single" w:sz="4" w:space="0" w:color="auto"/>
            </w:tcBorders>
            <w:hideMark/>
          </w:tcPr>
          <w:p w14:paraId="3CABD9F7" w14:textId="77777777" w:rsidR="00455700" w:rsidRPr="00F37492" w:rsidRDefault="00455700" w:rsidP="00455700">
            <w:pPr>
              <w:keepNext/>
              <w:widowControl w:val="0"/>
              <w:jc w:val="center"/>
              <w:rPr>
                <w:noProof/>
                <w:sz w:val="22"/>
                <w:szCs w:val="22"/>
              </w:rPr>
            </w:pPr>
            <w:r w:rsidRPr="00F37492">
              <w:rPr>
                <w:bCs/>
                <w:noProof/>
                <w:sz w:val="22"/>
                <w:szCs w:val="22"/>
              </w:rPr>
              <w:t>Veoma često</w:t>
            </w:r>
          </w:p>
        </w:tc>
        <w:tc>
          <w:tcPr>
            <w:tcW w:w="1039" w:type="pct"/>
          </w:tcPr>
          <w:p w14:paraId="27C9C84F" w14:textId="0E4BF2CD"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27D5A6F5" w14:textId="25898541"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tcPr>
          <w:p w14:paraId="6974AC78" w14:textId="04F146BE"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r>
      <w:tr w:rsidR="00455700" w:rsidRPr="00F37492" w14:paraId="48A6FBAC" w14:textId="3C0973AD"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31BF6E74" w14:textId="77777777" w:rsidR="00455700" w:rsidRPr="00F37492" w:rsidRDefault="00455700" w:rsidP="00455700">
            <w:pPr>
              <w:keepNext/>
              <w:widowControl w:val="0"/>
              <w:rPr>
                <w:noProof/>
                <w:sz w:val="22"/>
                <w:szCs w:val="22"/>
              </w:rPr>
            </w:pPr>
            <w:r w:rsidRPr="00F37492">
              <w:rPr>
                <w:noProof/>
                <w:sz w:val="22"/>
                <w:szCs w:val="22"/>
              </w:rPr>
              <w:tab/>
              <w:t>CTCAE stepen 4</w:t>
            </w:r>
          </w:p>
        </w:tc>
        <w:tc>
          <w:tcPr>
            <w:tcW w:w="700" w:type="pct"/>
            <w:tcBorders>
              <w:top w:val="single" w:sz="4" w:space="0" w:color="auto"/>
              <w:left w:val="single" w:sz="4" w:space="0" w:color="auto"/>
              <w:bottom w:val="single" w:sz="4" w:space="0" w:color="auto"/>
              <w:right w:val="single" w:sz="4" w:space="0" w:color="auto"/>
            </w:tcBorders>
            <w:hideMark/>
          </w:tcPr>
          <w:p w14:paraId="17FD3907" w14:textId="77777777" w:rsidR="00455700" w:rsidRPr="00F37492" w:rsidRDefault="00455700" w:rsidP="00455700">
            <w:pPr>
              <w:keepNext/>
              <w:widowControl w:val="0"/>
              <w:jc w:val="center"/>
              <w:rPr>
                <w:noProof/>
                <w:sz w:val="22"/>
                <w:szCs w:val="22"/>
              </w:rPr>
            </w:pPr>
            <w:r w:rsidRPr="00F37492">
              <w:rPr>
                <w:bCs/>
                <w:noProof/>
                <w:sz w:val="22"/>
                <w:szCs w:val="22"/>
              </w:rPr>
              <w:t>Veoma često</w:t>
            </w:r>
          </w:p>
        </w:tc>
        <w:tc>
          <w:tcPr>
            <w:tcW w:w="1039" w:type="pct"/>
          </w:tcPr>
          <w:p w14:paraId="0A8640DC" w14:textId="12AE5D98"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68816FB2" w14:textId="0316534C" w:rsidR="00455700" w:rsidRPr="00F37492" w:rsidRDefault="00455700" w:rsidP="00455700">
            <w:pPr>
              <w:keepNext/>
              <w:widowControl w:val="0"/>
              <w:jc w:val="center"/>
              <w:rPr>
                <w:noProof/>
                <w:sz w:val="22"/>
                <w:szCs w:val="22"/>
              </w:rPr>
            </w:pPr>
            <w:r w:rsidRPr="00F37492">
              <w:rPr>
                <w:noProof/>
                <w:sz w:val="22"/>
                <w:szCs w:val="22"/>
              </w:rPr>
              <w:t>Veoma često</w:t>
            </w:r>
          </w:p>
        </w:tc>
        <w:tc>
          <w:tcPr>
            <w:tcW w:w="1038" w:type="pct"/>
          </w:tcPr>
          <w:p w14:paraId="51A785E5" w14:textId="37339688"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r>
      <w:tr w:rsidR="00455700" w:rsidRPr="00F37492" w14:paraId="692E6846" w14:textId="22C87810"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4911C090" w14:textId="77777777" w:rsidR="00455700" w:rsidRPr="00F37492" w:rsidRDefault="00455700" w:rsidP="00455700">
            <w:pPr>
              <w:keepNext/>
              <w:widowControl w:val="0"/>
              <w:rPr>
                <w:noProof/>
                <w:sz w:val="22"/>
                <w:szCs w:val="22"/>
              </w:rPr>
            </w:pPr>
            <w:r w:rsidRPr="00F37492">
              <w:rPr>
                <w:noProof/>
                <w:sz w:val="22"/>
                <w:szCs w:val="22"/>
              </w:rPr>
              <w:t>Anemija</w:t>
            </w:r>
            <w:r w:rsidRPr="00F37492">
              <w:rPr>
                <w:noProof/>
                <w:sz w:val="22"/>
                <w:szCs w:val="22"/>
                <w:vertAlign w:val="superscript"/>
              </w:rPr>
              <w:t>1</w:t>
            </w:r>
          </w:p>
        </w:tc>
        <w:tc>
          <w:tcPr>
            <w:tcW w:w="700" w:type="pct"/>
            <w:tcBorders>
              <w:top w:val="single" w:sz="4" w:space="0" w:color="auto"/>
              <w:left w:val="single" w:sz="4" w:space="0" w:color="auto"/>
              <w:bottom w:val="single" w:sz="4" w:space="0" w:color="auto"/>
              <w:right w:val="single" w:sz="4" w:space="0" w:color="auto"/>
            </w:tcBorders>
            <w:hideMark/>
          </w:tcPr>
          <w:p w14:paraId="49152E4D"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tcPr>
          <w:p w14:paraId="65A8EF18" w14:textId="46494FC2" w:rsidR="00455700" w:rsidRPr="00455700" w:rsidRDefault="00455700" w:rsidP="00455700">
            <w:pPr>
              <w:keepNext/>
              <w:widowControl w:val="0"/>
              <w:jc w:val="center"/>
              <w:rPr>
                <w:noProof/>
                <w:sz w:val="22"/>
                <w:szCs w:val="22"/>
              </w:rPr>
            </w:pPr>
            <w:r w:rsidRPr="00F91F2E">
              <w:rPr>
                <w:noProof/>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4C9E1F95" w14:textId="5B72FEE1" w:rsidR="00455700" w:rsidRPr="00F37492" w:rsidRDefault="00455700" w:rsidP="00455700">
            <w:pPr>
              <w:keepNext/>
              <w:widowControl w:val="0"/>
              <w:jc w:val="center"/>
              <w:rPr>
                <w:noProof/>
                <w:sz w:val="22"/>
                <w:szCs w:val="22"/>
              </w:rPr>
            </w:pPr>
            <w:r w:rsidRPr="00F37492">
              <w:rPr>
                <w:noProof/>
                <w:sz w:val="22"/>
                <w:szCs w:val="22"/>
              </w:rPr>
              <w:t>Veoma često</w:t>
            </w:r>
          </w:p>
        </w:tc>
        <w:tc>
          <w:tcPr>
            <w:tcW w:w="1038" w:type="pct"/>
          </w:tcPr>
          <w:p w14:paraId="7FB2B76E" w14:textId="5122B005"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r>
      <w:tr w:rsidR="00455700" w:rsidRPr="00F37492" w14:paraId="08D0BA5E" w14:textId="0633EAF4"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34633AC5" w14:textId="77777777" w:rsidR="00455700" w:rsidRPr="00F37492" w:rsidRDefault="00455700" w:rsidP="00455700">
            <w:pPr>
              <w:keepNext/>
              <w:widowControl w:val="0"/>
              <w:rPr>
                <w:noProof/>
                <w:sz w:val="22"/>
                <w:szCs w:val="22"/>
              </w:rPr>
            </w:pPr>
            <w:r w:rsidRPr="00F37492">
              <w:rPr>
                <w:noProof/>
                <w:sz w:val="22"/>
                <w:szCs w:val="22"/>
              </w:rPr>
              <w:tab/>
              <w:t>CTCAE stepen 3</w:t>
            </w:r>
          </w:p>
        </w:tc>
        <w:tc>
          <w:tcPr>
            <w:tcW w:w="700" w:type="pct"/>
            <w:tcBorders>
              <w:top w:val="single" w:sz="4" w:space="0" w:color="auto"/>
              <w:left w:val="single" w:sz="4" w:space="0" w:color="auto"/>
              <w:bottom w:val="single" w:sz="4" w:space="0" w:color="auto"/>
              <w:right w:val="single" w:sz="4" w:space="0" w:color="auto"/>
            </w:tcBorders>
            <w:hideMark/>
          </w:tcPr>
          <w:p w14:paraId="5DD25C46"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tcPr>
          <w:p w14:paraId="3E8E148F" w14:textId="0585A085"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6A2AD8EC" w14:textId="1CE955D2" w:rsidR="00455700" w:rsidRPr="00F37492" w:rsidRDefault="00455700" w:rsidP="00455700">
            <w:pPr>
              <w:keepNext/>
              <w:widowControl w:val="0"/>
              <w:jc w:val="center"/>
              <w:rPr>
                <w:noProof/>
                <w:sz w:val="22"/>
                <w:szCs w:val="22"/>
              </w:rPr>
            </w:pPr>
            <w:r w:rsidRPr="00F37492">
              <w:rPr>
                <w:noProof/>
                <w:sz w:val="22"/>
                <w:szCs w:val="22"/>
              </w:rPr>
              <w:t>Veoma često</w:t>
            </w:r>
          </w:p>
        </w:tc>
        <w:tc>
          <w:tcPr>
            <w:tcW w:w="1038" w:type="pct"/>
          </w:tcPr>
          <w:p w14:paraId="10C94D03" w14:textId="3AC78B74"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r>
      <w:tr w:rsidR="00455700" w:rsidRPr="00F37492" w14:paraId="07B0EFD9" w14:textId="159C32AD"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4A8A5973" w14:textId="77777777" w:rsidR="00455700" w:rsidRPr="00F37492" w:rsidRDefault="00455700" w:rsidP="00455700">
            <w:pPr>
              <w:keepNext/>
              <w:widowControl w:val="0"/>
              <w:rPr>
                <w:noProof/>
                <w:sz w:val="22"/>
                <w:szCs w:val="22"/>
              </w:rPr>
            </w:pPr>
            <w:r w:rsidRPr="00F37492">
              <w:rPr>
                <w:noProof/>
                <w:sz w:val="22"/>
                <w:szCs w:val="22"/>
              </w:rPr>
              <w:t>Neutropenija</w:t>
            </w:r>
            <w:r w:rsidRPr="00F37492">
              <w:rPr>
                <w:noProof/>
                <w:sz w:val="22"/>
                <w:szCs w:val="22"/>
                <w:vertAlign w:val="superscript"/>
              </w:rPr>
              <w:t>1</w:t>
            </w:r>
          </w:p>
        </w:tc>
        <w:tc>
          <w:tcPr>
            <w:tcW w:w="700" w:type="pct"/>
            <w:tcBorders>
              <w:top w:val="single" w:sz="4" w:space="0" w:color="auto"/>
              <w:left w:val="single" w:sz="4" w:space="0" w:color="auto"/>
              <w:bottom w:val="single" w:sz="4" w:space="0" w:color="auto"/>
              <w:right w:val="single" w:sz="4" w:space="0" w:color="auto"/>
            </w:tcBorders>
            <w:hideMark/>
          </w:tcPr>
          <w:p w14:paraId="38967E8C"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tcPr>
          <w:p w14:paraId="79A04B64" w14:textId="726BB607"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00819EAC" w14:textId="6BB77F6C" w:rsidR="00455700" w:rsidRPr="00F37492" w:rsidRDefault="00455700" w:rsidP="00455700">
            <w:pPr>
              <w:keepNext/>
              <w:widowControl w:val="0"/>
              <w:jc w:val="center"/>
              <w:rPr>
                <w:noProof/>
                <w:sz w:val="22"/>
                <w:szCs w:val="22"/>
              </w:rPr>
            </w:pPr>
            <w:r w:rsidRPr="00F37492">
              <w:rPr>
                <w:noProof/>
                <w:sz w:val="22"/>
                <w:szCs w:val="22"/>
              </w:rPr>
              <w:t>Veoma često</w:t>
            </w:r>
          </w:p>
        </w:tc>
        <w:tc>
          <w:tcPr>
            <w:tcW w:w="1038" w:type="pct"/>
          </w:tcPr>
          <w:p w14:paraId="2450CE5F" w14:textId="143DC09A"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r>
      <w:tr w:rsidR="00455700" w:rsidRPr="00F37492" w14:paraId="3801F8FA" w14:textId="4B09DCD7"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29EE16A0" w14:textId="77777777" w:rsidR="00455700" w:rsidRPr="00F37492" w:rsidRDefault="00455700" w:rsidP="00455700">
            <w:pPr>
              <w:keepNext/>
              <w:widowControl w:val="0"/>
              <w:rPr>
                <w:noProof/>
                <w:sz w:val="22"/>
                <w:szCs w:val="22"/>
              </w:rPr>
            </w:pPr>
            <w:r w:rsidRPr="00F37492">
              <w:rPr>
                <w:noProof/>
                <w:sz w:val="22"/>
                <w:szCs w:val="22"/>
              </w:rPr>
              <w:tab/>
              <w:t>CTCAE stepen 3</w:t>
            </w:r>
          </w:p>
        </w:tc>
        <w:tc>
          <w:tcPr>
            <w:tcW w:w="700" w:type="pct"/>
            <w:tcBorders>
              <w:top w:val="single" w:sz="4" w:space="0" w:color="auto"/>
              <w:left w:val="single" w:sz="4" w:space="0" w:color="auto"/>
              <w:bottom w:val="single" w:sz="4" w:space="0" w:color="auto"/>
              <w:right w:val="single" w:sz="4" w:space="0" w:color="auto"/>
            </w:tcBorders>
            <w:hideMark/>
          </w:tcPr>
          <w:p w14:paraId="2DE6BF59"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tcPr>
          <w:p w14:paraId="6549F508" w14:textId="29330EB9"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0847728B" w14:textId="15793098"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tcPr>
          <w:p w14:paraId="546A0523" w14:textId="20129729"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r>
      <w:tr w:rsidR="00455700" w:rsidRPr="00F37492" w14:paraId="6A817E1D" w14:textId="0253F22D"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3EB9730A" w14:textId="77777777" w:rsidR="00455700" w:rsidRPr="00F37492" w:rsidRDefault="00455700" w:rsidP="00455700">
            <w:pPr>
              <w:keepNext/>
              <w:widowControl w:val="0"/>
              <w:rPr>
                <w:noProof/>
                <w:sz w:val="22"/>
                <w:szCs w:val="22"/>
              </w:rPr>
            </w:pPr>
            <w:r w:rsidRPr="00F37492">
              <w:rPr>
                <w:noProof/>
                <w:sz w:val="22"/>
                <w:szCs w:val="22"/>
              </w:rPr>
              <w:tab/>
              <w:t>CTCAE stepen 4</w:t>
            </w:r>
          </w:p>
        </w:tc>
        <w:tc>
          <w:tcPr>
            <w:tcW w:w="700" w:type="pct"/>
            <w:tcBorders>
              <w:top w:val="single" w:sz="4" w:space="0" w:color="auto"/>
              <w:left w:val="single" w:sz="4" w:space="0" w:color="auto"/>
              <w:bottom w:val="single" w:sz="4" w:space="0" w:color="auto"/>
              <w:right w:val="single" w:sz="4" w:space="0" w:color="auto"/>
            </w:tcBorders>
            <w:hideMark/>
          </w:tcPr>
          <w:p w14:paraId="6B7F0B1D"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tcPr>
          <w:p w14:paraId="75E6518A" w14:textId="26C8A381"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03DA587E" w14:textId="614A2E7D"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tcPr>
          <w:p w14:paraId="697E4F62" w14:textId="043DB0C0"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r>
      <w:tr w:rsidR="00455700" w:rsidRPr="00F37492" w14:paraId="41036F69" w14:textId="2DB854CC"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04CFFC0D" w14:textId="77777777" w:rsidR="00455700" w:rsidRPr="00F37492" w:rsidRDefault="00455700" w:rsidP="00455700">
            <w:pPr>
              <w:widowControl w:val="0"/>
              <w:rPr>
                <w:noProof/>
                <w:sz w:val="22"/>
                <w:szCs w:val="22"/>
              </w:rPr>
            </w:pPr>
            <w:r w:rsidRPr="00F37492">
              <w:rPr>
                <w:noProof/>
                <w:sz w:val="22"/>
                <w:szCs w:val="22"/>
              </w:rPr>
              <w:t>Pancitopenija</w:t>
            </w:r>
            <w:r w:rsidRPr="00F37492">
              <w:rPr>
                <w:noProof/>
                <w:sz w:val="22"/>
                <w:szCs w:val="22"/>
                <w:vertAlign w:val="superscript"/>
              </w:rPr>
              <w:t>1,2</w:t>
            </w:r>
          </w:p>
        </w:tc>
        <w:tc>
          <w:tcPr>
            <w:tcW w:w="700" w:type="pct"/>
            <w:tcBorders>
              <w:top w:val="single" w:sz="4" w:space="0" w:color="auto"/>
              <w:left w:val="single" w:sz="4" w:space="0" w:color="auto"/>
              <w:bottom w:val="single" w:sz="4" w:space="0" w:color="auto"/>
              <w:right w:val="single" w:sz="4" w:space="0" w:color="auto"/>
            </w:tcBorders>
            <w:hideMark/>
          </w:tcPr>
          <w:p w14:paraId="3A052636" w14:textId="77777777" w:rsidR="00455700" w:rsidRPr="00F37492" w:rsidRDefault="00455700" w:rsidP="00455700">
            <w:pPr>
              <w:widowControl w:val="0"/>
              <w:jc w:val="center"/>
              <w:rPr>
                <w:noProof/>
                <w:sz w:val="22"/>
                <w:szCs w:val="22"/>
              </w:rPr>
            </w:pPr>
            <w:r w:rsidRPr="00F37492">
              <w:rPr>
                <w:noProof/>
                <w:sz w:val="22"/>
                <w:szCs w:val="22"/>
              </w:rPr>
              <w:t>Veoma često</w:t>
            </w:r>
          </w:p>
        </w:tc>
        <w:tc>
          <w:tcPr>
            <w:tcW w:w="1039" w:type="pct"/>
          </w:tcPr>
          <w:p w14:paraId="010EA118" w14:textId="7A354C99" w:rsidR="00455700" w:rsidRPr="00455700" w:rsidRDefault="00455700" w:rsidP="00455700">
            <w:pPr>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7297B4E3" w14:textId="1FD31D10" w:rsidR="00455700" w:rsidRPr="00F37492" w:rsidRDefault="00455700" w:rsidP="00455700">
            <w:pPr>
              <w:widowControl w:val="0"/>
              <w:jc w:val="center"/>
              <w:rPr>
                <w:noProof/>
                <w:sz w:val="22"/>
                <w:szCs w:val="22"/>
              </w:rPr>
            </w:pPr>
            <w:r w:rsidRPr="00F37492">
              <w:rPr>
                <w:noProof/>
                <w:sz w:val="22"/>
                <w:szCs w:val="22"/>
              </w:rPr>
              <w:t>-</w:t>
            </w:r>
          </w:p>
        </w:tc>
        <w:tc>
          <w:tcPr>
            <w:tcW w:w="1038" w:type="pct"/>
          </w:tcPr>
          <w:p w14:paraId="1399D9B3" w14:textId="4DB279B6" w:rsidR="00455700" w:rsidRPr="00455700" w:rsidRDefault="00455700" w:rsidP="00455700">
            <w:pPr>
              <w:widowControl w:val="0"/>
              <w:jc w:val="center"/>
              <w:rPr>
                <w:noProof/>
                <w:sz w:val="22"/>
                <w:szCs w:val="22"/>
              </w:rPr>
            </w:pPr>
            <w:r w:rsidRPr="00F91F2E">
              <w:rPr>
                <w:rFonts w:eastAsia="SimSun"/>
                <w:sz w:val="22"/>
                <w:szCs w:val="22"/>
                <w:lang w:val="hr-HR"/>
              </w:rPr>
              <w:t>-</w:t>
            </w:r>
            <w:r w:rsidRPr="00F91F2E">
              <w:rPr>
                <w:rFonts w:eastAsia="SimSun"/>
                <w:sz w:val="22"/>
                <w:szCs w:val="22"/>
                <w:vertAlign w:val="superscript"/>
                <w:lang w:val="hr-HR"/>
              </w:rPr>
              <w:t>6</w:t>
            </w:r>
          </w:p>
        </w:tc>
      </w:tr>
      <w:tr w:rsidR="00455700" w:rsidRPr="00F37492" w14:paraId="1921142B" w14:textId="1041555D" w:rsidTr="00F91F2E">
        <w:trPr>
          <w:cantSplit/>
        </w:trPr>
        <w:tc>
          <w:tcPr>
            <w:tcW w:w="1045" w:type="pct"/>
            <w:tcBorders>
              <w:top w:val="single" w:sz="4" w:space="0" w:color="auto"/>
              <w:left w:val="single" w:sz="4" w:space="0" w:color="auto"/>
              <w:bottom w:val="single" w:sz="4" w:space="0" w:color="auto"/>
              <w:right w:val="single" w:sz="4" w:space="0" w:color="auto"/>
            </w:tcBorders>
          </w:tcPr>
          <w:p w14:paraId="1AF1FCBB" w14:textId="77777777" w:rsidR="00455700" w:rsidRPr="00F37492" w:rsidRDefault="00455700" w:rsidP="000A557B">
            <w:pPr>
              <w:keepNext/>
              <w:widowControl w:val="0"/>
              <w:rPr>
                <w:b/>
                <w:sz w:val="22"/>
                <w:szCs w:val="22"/>
                <w:lang w:val="hr-HR"/>
              </w:rPr>
            </w:pPr>
          </w:p>
        </w:tc>
        <w:tc>
          <w:tcPr>
            <w:tcW w:w="2917" w:type="pct"/>
            <w:gridSpan w:val="4"/>
            <w:tcBorders>
              <w:top w:val="single" w:sz="4" w:space="0" w:color="auto"/>
              <w:left w:val="single" w:sz="4" w:space="0" w:color="auto"/>
              <w:bottom w:val="single" w:sz="4" w:space="0" w:color="auto"/>
              <w:right w:val="single" w:sz="4" w:space="0" w:color="auto"/>
            </w:tcBorders>
            <w:vAlign w:val="center"/>
            <w:hideMark/>
          </w:tcPr>
          <w:p w14:paraId="3BD5EE3B" w14:textId="2946C4A0" w:rsidR="00455700" w:rsidRPr="00F37492" w:rsidRDefault="00455700" w:rsidP="000A557B">
            <w:pPr>
              <w:keepNext/>
              <w:widowControl w:val="0"/>
              <w:rPr>
                <w:b/>
                <w:noProof/>
                <w:sz w:val="22"/>
                <w:szCs w:val="22"/>
              </w:rPr>
            </w:pPr>
            <w:r w:rsidRPr="00F37492">
              <w:rPr>
                <w:b/>
                <w:sz w:val="22"/>
                <w:szCs w:val="22"/>
                <w:lang w:val="hr-HR"/>
              </w:rPr>
              <w:t>Poremećaji metabolizma i ishrane</w:t>
            </w:r>
          </w:p>
        </w:tc>
        <w:tc>
          <w:tcPr>
            <w:tcW w:w="1038" w:type="pct"/>
            <w:tcBorders>
              <w:top w:val="single" w:sz="4" w:space="0" w:color="auto"/>
              <w:left w:val="single" w:sz="4" w:space="0" w:color="auto"/>
              <w:bottom w:val="single" w:sz="4" w:space="0" w:color="auto"/>
              <w:right w:val="single" w:sz="4" w:space="0" w:color="auto"/>
            </w:tcBorders>
          </w:tcPr>
          <w:p w14:paraId="35748024" w14:textId="77777777" w:rsidR="00455700" w:rsidRPr="00F37492" w:rsidRDefault="00455700" w:rsidP="000A557B">
            <w:pPr>
              <w:keepNext/>
              <w:widowControl w:val="0"/>
              <w:rPr>
                <w:b/>
                <w:sz w:val="22"/>
                <w:szCs w:val="22"/>
                <w:lang w:val="hr-HR"/>
              </w:rPr>
            </w:pPr>
          </w:p>
        </w:tc>
      </w:tr>
      <w:tr w:rsidR="00455700" w:rsidRPr="00F37492" w14:paraId="7CBC01C0" w14:textId="5164B720"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250F7B15" w14:textId="77777777" w:rsidR="00455700" w:rsidRPr="00F37492" w:rsidRDefault="00455700" w:rsidP="00455700">
            <w:pPr>
              <w:keepNext/>
              <w:widowControl w:val="0"/>
              <w:rPr>
                <w:noProof/>
                <w:sz w:val="22"/>
                <w:szCs w:val="22"/>
              </w:rPr>
            </w:pPr>
            <w:r w:rsidRPr="00F37492">
              <w:rPr>
                <w:noProof/>
                <w:sz w:val="22"/>
                <w:szCs w:val="22"/>
              </w:rPr>
              <w:t>Hiperholesterolemija</w:t>
            </w:r>
            <w:r w:rsidRPr="00F37492">
              <w:rPr>
                <w:noProof/>
                <w:sz w:val="22"/>
                <w:szCs w:val="22"/>
                <w:vertAlign w:val="superscript"/>
              </w:rPr>
              <w:t>1</w:t>
            </w:r>
          </w:p>
        </w:tc>
        <w:tc>
          <w:tcPr>
            <w:tcW w:w="700" w:type="pct"/>
            <w:tcBorders>
              <w:top w:val="single" w:sz="4" w:space="0" w:color="auto"/>
              <w:left w:val="single" w:sz="4" w:space="0" w:color="auto"/>
              <w:bottom w:val="single" w:sz="4" w:space="0" w:color="auto"/>
              <w:right w:val="single" w:sz="4" w:space="0" w:color="auto"/>
            </w:tcBorders>
            <w:hideMark/>
          </w:tcPr>
          <w:p w14:paraId="5DF196B7"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tcPr>
          <w:p w14:paraId="567E595B" w14:textId="25AEB231"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182FCC44" w14:textId="50793F4D" w:rsidR="00455700" w:rsidRPr="00F37492" w:rsidRDefault="00455700" w:rsidP="00455700">
            <w:pPr>
              <w:keepNext/>
              <w:widowControl w:val="0"/>
              <w:jc w:val="center"/>
              <w:rPr>
                <w:noProof/>
                <w:sz w:val="22"/>
                <w:szCs w:val="22"/>
              </w:rPr>
            </w:pPr>
            <w:r w:rsidRPr="00F37492">
              <w:rPr>
                <w:noProof/>
                <w:sz w:val="22"/>
                <w:szCs w:val="22"/>
              </w:rPr>
              <w:t>Veoma često</w:t>
            </w:r>
          </w:p>
        </w:tc>
        <w:tc>
          <w:tcPr>
            <w:tcW w:w="1038" w:type="pct"/>
          </w:tcPr>
          <w:p w14:paraId="1FD21C7F" w14:textId="6C83352B"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r>
      <w:tr w:rsidR="00455700" w:rsidRPr="00F37492" w14:paraId="001B0AE5" w14:textId="5A9BEDC1"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539C13AB" w14:textId="77777777" w:rsidR="00455700" w:rsidRPr="00F37492" w:rsidRDefault="00455700" w:rsidP="00455700">
            <w:pPr>
              <w:keepNext/>
              <w:widowControl w:val="0"/>
              <w:rPr>
                <w:noProof/>
                <w:sz w:val="22"/>
                <w:szCs w:val="22"/>
              </w:rPr>
            </w:pPr>
            <w:r w:rsidRPr="00F37492">
              <w:rPr>
                <w:noProof/>
                <w:sz w:val="22"/>
                <w:szCs w:val="22"/>
              </w:rPr>
              <w:tab/>
              <w:t>CTCAE stepen 3</w:t>
            </w:r>
          </w:p>
        </w:tc>
        <w:tc>
          <w:tcPr>
            <w:tcW w:w="700" w:type="pct"/>
            <w:tcBorders>
              <w:top w:val="single" w:sz="4" w:space="0" w:color="auto"/>
              <w:left w:val="single" w:sz="4" w:space="0" w:color="auto"/>
              <w:bottom w:val="single" w:sz="4" w:space="0" w:color="auto"/>
              <w:right w:val="single" w:sz="4" w:space="0" w:color="auto"/>
            </w:tcBorders>
            <w:hideMark/>
          </w:tcPr>
          <w:p w14:paraId="25AB56C6" w14:textId="77777777" w:rsidR="00455700" w:rsidRPr="00F37492" w:rsidRDefault="00455700" w:rsidP="00455700">
            <w:pPr>
              <w:keepNext/>
              <w:widowControl w:val="0"/>
              <w:jc w:val="center"/>
              <w:rPr>
                <w:noProof/>
                <w:sz w:val="22"/>
                <w:szCs w:val="22"/>
              </w:rPr>
            </w:pPr>
            <w:r w:rsidRPr="00F37492">
              <w:rPr>
                <w:noProof/>
                <w:sz w:val="22"/>
                <w:szCs w:val="22"/>
              </w:rPr>
              <w:t>Često</w:t>
            </w:r>
          </w:p>
        </w:tc>
        <w:tc>
          <w:tcPr>
            <w:tcW w:w="1039" w:type="pct"/>
          </w:tcPr>
          <w:p w14:paraId="7B86860F" w14:textId="39F6C0BE" w:rsidR="00455700" w:rsidRPr="00455700" w:rsidRDefault="00455700" w:rsidP="00455700">
            <w:pPr>
              <w:keepNext/>
              <w:widowControl w:val="0"/>
              <w:jc w:val="center"/>
              <w:rPr>
                <w:noProof/>
                <w:sz w:val="22"/>
                <w:szCs w:val="22"/>
              </w:rPr>
            </w:pPr>
            <w:r w:rsidRPr="00F91F2E">
              <w:rPr>
                <w:rFonts w:eastAsia="SimSun"/>
                <w:bCs/>
                <w:sz w:val="22"/>
                <w:szCs w:val="22"/>
                <w:lang w:val="hr-HR"/>
              </w:rPr>
              <w:t>N/P</w:t>
            </w:r>
            <w:r w:rsidRPr="00F91F2E">
              <w:rPr>
                <w:rFonts w:eastAsia="SimSun"/>
                <w:bCs/>
                <w:sz w:val="22"/>
                <w:szCs w:val="22"/>
                <w:vertAlign w:val="superscript"/>
                <w:lang w:val="hr-HR"/>
              </w:rPr>
              <w:t>5</w:t>
            </w:r>
          </w:p>
        </w:tc>
        <w:tc>
          <w:tcPr>
            <w:tcW w:w="1039" w:type="pct"/>
            <w:tcBorders>
              <w:top w:val="single" w:sz="4" w:space="0" w:color="auto"/>
              <w:left w:val="single" w:sz="4" w:space="0" w:color="auto"/>
              <w:bottom w:val="single" w:sz="4" w:space="0" w:color="auto"/>
              <w:right w:val="single" w:sz="4" w:space="0" w:color="auto"/>
            </w:tcBorders>
            <w:hideMark/>
          </w:tcPr>
          <w:p w14:paraId="392CA0A1" w14:textId="4836DB43"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tcPr>
          <w:p w14:paraId="2AFCF91B" w14:textId="009BA916"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r>
      <w:tr w:rsidR="00455700" w:rsidRPr="00F37492" w14:paraId="1F473296" w14:textId="45ED3B2D"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287DB4D5" w14:textId="77777777" w:rsidR="00455700" w:rsidRPr="00F37492" w:rsidRDefault="00455700" w:rsidP="00455700">
            <w:pPr>
              <w:keepNext/>
              <w:widowControl w:val="0"/>
              <w:rPr>
                <w:noProof/>
                <w:sz w:val="22"/>
                <w:szCs w:val="22"/>
              </w:rPr>
            </w:pPr>
            <w:r w:rsidRPr="00F37492">
              <w:rPr>
                <w:noProof/>
                <w:sz w:val="22"/>
                <w:szCs w:val="22"/>
              </w:rPr>
              <w:tab/>
              <w:t>CTCAE stepen 4</w:t>
            </w:r>
          </w:p>
        </w:tc>
        <w:tc>
          <w:tcPr>
            <w:tcW w:w="700" w:type="pct"/>
            <w:tcBorders>
              <w:top w:val="single" w:sz="4" w:space="0" w:color="auto"/>
              <w:left w:val="single" w:sz="4" w:space="0" w:color="auto"/>
              <w:bottom w:val="single" w:sz="4" w:space="0" w:color="auto"/>
              <w:right w:val="single" w:sz="4" w:space="0" w:color="auto"/>
            </w:tcBorders>
            <w:hideMark/>
          </w:tcPr>
          <w:p w14:paraId="798F0759" w14:textId="77777777" w:rsidR="00455700" w:rsidRPr="00F37492" w:rsidRDefault="00455700" w:rsidP="00455700">
            <w:pPr>
              <w:keepNext/>
              <w:widowControl w:val="0"/>
              <w:jc w:val="center"/>
              <w:rPr>
                <w:noProof/>
                <w:sz w:val="22"/>
                <w:szCs w:val="22"/>
              </w:rPr>
            </w:pPr>
            <w:r w:rsidRPr="00F37492">
              <w:rPr>
                <w:noProof/>
                <w:sz w:val="22"/>
                <w:szCs w:val="22"/>
              </w:rPr>
              <w:t>Često</w:t>
            </w:r>
          </w:p>
        </w:tc>
        <w:tc>
          <w:tcPr>
            <w:tcW w:w="1039" w:type="pct"/>
          </w:tcPr>
          <w:p w14:paraId="78102E96" w14:textId="4A4D02AD" w:rsidR="00455700" w:rsidRPr="00455700" w:rsidRDefault="00455700" w:rsidP="00455700">
            <w:pPr>
              <w:keepNext/>
              <w:widowControl w:val="0"/>
              <w:jc w:val="center"/>
              <w:rPr>
                <w:noProof/>
                <w:sz w:val="22"/>
                <w:szCs w:val="22"/>
              </w:rPr>
            </w:pPr>
            <w:r w:rsidRPr="00F91F2E">
              <w:rPr>
                <w:rFonts w:eastAsia="SimSun"/>
                <w:bCs/>
                <w:sz w:val="22"/>
                <w:szCs w:val="22"/>
                <w:lang w:val="hr-HR"/>
              </w:rPr>
              <w:t>N/P</w:t>
            </w:r>
            <w:r w:rsidRPr="00F91F2E">
              <w:rPr>
                <w:rFonts w:eastAsia="SimSun"/>
                <w:bCs/>
                <w:sz w:val="22"/>
                <w:szCs w:val="22"/>
                <w:vertAlign w:val="superscript"/>
                <w:lang w:val="hr-HR"/>
              </w:rPr>
              <w:t>5</w:t>
            </w:r>
          </w:p>
        </w:tc>
        <w:tc>
          <w:tcPr>
            <w:tcW w:w="1039" w:type="pct"/>
            <w:tcBorders>
              <w:top w:val="single" w:sz="4" w:space="0" w:color="auto"/>
              <w:left w:val="single" w:sz="4" w:space="0" w:color="auto"/>
              <w:bottom w:val="single" w:sz="4" w:space="0" w:color="auto"/>
              <w:right w:val="single" w:sz="4" w:space="0" w:color="auto"/>
            </w:tcBorders>
            <w:hideMark/>
          </w:tcPr>
          <w:p w14:paraId="7F19E3DB" w14:textId="72D1DCCA" w:rsidR="00455700" w:rsidRPr="00F37492" w:rsidRDefault="00455700" w:rsidP="00455700">
            <w:pPr>
              <w:keepNext/>
              <w:widowControl w:val="0"/>
              <w:jc w:val="center"/>
              <w:rPr>
                <w:noProof/>
                <w:sz w:val="22"/>
                <w:szCs w:val="22"/>
              </w:rPr>
            </w:pPr>
            <w:r w:rsidRPr="00F37492">
              <w:rPr>
                <w:noProof/>
                <w:sz w:val="22"/>
                <w:szCs w:val="22"/>
              </w:rPr>
              <w:t>Povremeno</w:t>
            </w:r>
          </w:p>
        </w:tc>
        <w:tc>
          <w:tcPr>
            <w:tcW w:w="1038" w:type="pct"/>
          </w:tcPr>
          <w:p w14:paraId="39041A4B" w14:textId="6EB26B35"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r>
      <w:tr w:rsidR="00455700" w:rsidRPr="00F37492" w14:paraId="730075E0" w14:textId="6D718D21"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096C58DF" w14:textId="18A54776" w:rsidR="00455700" w:rsidRPr="00F37492" w:rsidRDefault="00455700" w:rsidP="00455700">
            <w:pPr>
              <w:keepNext/>
              <w:widowControl w:val="0"/>
              <w:rPr>
                <w:noProof/>
                <w:sz w:val="22"/>
                <w:szCs w:val="22"/>
              </w:rPr>
            </w:pPr>
            <w:r w:rsidRPr="00F37492">
              <w:rPr>
                <w:sz w:val="22"/>
                <w:szCs w:val="22"/>
                <w:lang w:val="hr-HR"/>
              </w:rPr>
              <w:t xml:space="preserve">Porast tjelesne </w:t>
            </w:r>
            <w:r>
              <w:rPr>
                <w:sz w:val="22"/>
                <w:szCs w:val="22"/>
                <w:lang w:val="hr-HR"/>
              </w:rPr>
              <w:t>mase</w:t>
            </w:r>
          </w:p>
        </w:tc>
        <w:tc>
          <w:tcPr>
            <w:tcW w:w="700" w:type="pct"/>
            <w:tcBorders>
              <w:top w:val="single" w:sz="4" w:space="0" w:color="auto"/>
              <w:left w:val="single" w:sz="4" w:space="0" w:color="auto"/>
              <w:bottom w:val="single" w:sz="4" w:space="0" w:color="auto"/>
              <w:right w:val="single" w:sz="4" w:space="0" w:color="auto"/>
            </w:tcBorders>
            <w:hideMark/>
          </w:tcPr>
          <w:p w14:paraId="1C9A1537" w14:textId="77777777" w:rsidR="00455700" w:rsidRPr="00F37492" w:rsidRDefault="00455700" w:rsidP="00455700">
            <w:pPr>
              <w:keepNext/>
              <w:widowControl w:val="0"/>
              <w:jc w:val="center"/>
              <w:rPr>
                <w:noProof/>
                <w:sz w:val="22"/>
                <w:szCs w:val="22"/>
              </w:rPr>
            </w:pPr>
            <w:r w:rsidRPr="00F37492">
              <w:rPr>
                <w:noProof/>
                <w:sz w:val="22"/>
                <w:szCs w:val="22"/>
              </w:rPr>
              <w:t>-</w:t>
            </w:r>
          </w:p>
        </w:tc>
        <w:tc>
          <w:tcPr>
            <w:tcW w:w="1039" w:type="pct"/>
          </w:tcPr>
          <w:p w14:paraId="41138DF7" w14:textId="076C95E5" w:rsidR="00455700" w:rsidRPr="00455700" w:rsidRDefault="00455700" w:rsidP="00455700">
            <w:pPr>
              <w:keepNext/>
              <w:widowControl w:val="0"/>
              <w:jc w:val="center"/>
              <w:rPr>
                <w:noProof/>
                <w:sz w:val="22"/>
                <w:szCs w:val="22"/>
              </w:rPr>
            </w:pPr>
            <w:r w:rsidRPr="00F91F2E">
              <w:rPr>
                <w:rFonts w:eastAsia="SimSun"/>
                <w:sz w:val="22"/>
                <w:szCs w:val="22"/>
                <w:lang w:val="hr-HR"/>
              </w:rPr>
              <w:t>-</w:t>
            </w:r>
            <w:r w:rsidRPr="00F91F2E">
              <w:rPr>
                <w:rFonts w:eastAsia="SimSun"/>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5E2CAD47" w14:textId="1FD81E6A"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tcPr>
          <w:p w14:paraId="38401BAE" w14:textId="4DC7D5A0"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r>
      <w:tr w:rsidR="00455700" w:rsidRPr="00F37492" w14:paraId="35FE5197" w14:textId="0E72C33F"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73B70097" w14:textId="77777777" w:rsidR="00455700" w:rsidRPr="00F37492" w:rsidRDefault="00455700" w:rsidP="00455700">
            <w:pPr>
              <w:widowControl w:val="0"/>
              <w:rPr>
                <w:noProof/>
                <w:sz w:val="22"/>
                <w:szCs w:val="22"/>
              </w:rPr>
            </w:pPr>
            <w:r w:rsidRPr="00F37492">
              <w:rPr>
                <w:noProof/>
                <w:sz w:val="22"/>
                <w:szCs w:val="22"/>
              </w:rPr>
              <w:tab/>
              <w:t xml:space="preserve">CTCAE stepen </w:t>
            </w:r>
            <w:r w:rsidRPr="00F37492">
              <w:rPr>
                <w:bCs/>
                <w:noProof/>
                <w:sz w:val="22"/>
                <w:szCs w:val="22"/>
              </w:rPr>
              <w:t>≥</w:t>
            </w:r>
            <w:r w:rsidRPr="00F37492">
              <w:rPr>
                <w:noProof/>
                <w:sz w:val="22"/>
                <w:szCs w:val="22"/>
              </w:rPr>
              <w:t>3</w:t>
            </w:r>
          </w:p>
        </w:tc>
        <w:tc>
          <w:tcPr>
            <w:tcW w:w="700" w:type="pct"/>
            <w:tcBorders>
              <w:top w:val="single" w:sz="4" w:space="0" w:color="auto"/>
              <w:left w:val="single" w:sz="4" w:space="0" w:color="auto"/>
              <w:bottom w:val="single" w:sz="4" w:space="0" w:color="auto"/>
              <w:right w:val="single" w:sz="4" w:space="0" w:color="auto"/>
            </w:tcBorders>
            <w:hideMark/>
          </w:tcPr>
          <w:p w14:paraId="4E9EA88D" w14:textId="77777777" w:rsidR="00455700" w:rsidRPr="00F37492" w:rsidRDefault="00455700" w:rsidP="00455700">
            <w:pPr>
              <w:widowControl w:val="0"/>
              <w:jc w:val="center"/>
              <w:rPr>
                <w:noProof/>
                <w:sz w:val="22"/>
                <w:szCs w:val="22"/>
              </w:rPr>
            </w:pPr>
            <w:r w:rsidRPr="00F37492">
              <w:rPr>
                <w:noProof/>
                <w:sz w:val="22"/>
                <w:szCs w:val="22"/>
              </w:rPr>
              <w:t>-</w:t>
            </w:r>
          </w:p>
        </w:tc>
        <w:tc>
          <w:tcPr>
            <w:tcW w:w="1039" w:type="pct"/>
          </w:tcPr>
          <w:p w14:paraId="1FB1377F" w14:textId="6BBF2D02" w:rsidR="00455700" w:rsidRPr="00455700" w:rsidRDefault="00455700" w:rsidP="00455700">
            <w:pPr>
              <w:widowControl w:val="0"/>
              <w:jc w:val="center"/>
              <w:rPr>
                <w:bCs/>
                <w:noProof/>
                <w:sz w:val="22"/>
                <w:szCs w:val="22"/>
              </w:rPr>
            </w:pPr>
            <w:r w:rsidRPr="00F91F2E">
              <w:rPr>
                <w:rFonts w:eastAsia="SimSun"/>
                <w:sz w:val="22"/>
                <w:szCs w:val="22"/>
                <w:lang w:val="hr-HR"/>
              </w:rPr>
              <w:t>-</w:t>
            </w:r>
            <w:r w:rsidRPr="00F91F2E">
              <w:rPr>
                <w:rFonts w:eastAsia="SimSun"/>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37B50144" w14:textId="263A252F" w:rsidR="00455700" w:rsidRPr="00F37492" w:rsidRDefault="00455700" w:rsidP="00455700">
            <w:pPr>
              <w:widowControl w:val="0"/>
              <w:jc w:val="center"/>
              <w:rPr>
                <w:bCs/>
                <w:noProof/>
                <w:sz w:val="22"/>
                <w:szCs w:val="22"/>
              </w:rPr>
            </w:pPr>
            <w:r>
              <w:rPr>
                <w:bCs/>
                <w:noProof/>
                <w:sz w:val="22"/>
                <w:szCs w:val="22"/>
              </w:rPr>
              <w:t>NP</w:t>
            </w:r>
            <w:r w:rsidRPr="00F37492">
              <w:rPr>
                <w:bCs/>
                <w:noProof/>
                <w:sz w:val="22"/>
                <w:szCs w:val="22"/>
                <w:vertAlign w:val="superscript"/>
              </w:rPr>
              <w:t>5</w:t>
            </w:r>
          </w:p>
        </w:tc>
        <w:tc>
          <w:tcPr>
            <w:tcW w:w="1038" w:type="pct"/>
          </w:tcPr>
          <w:p w14:paraId="63B903FA" w14:textId="065B4CCC" w:rsidR="00455700" w:rsidRPr="00455700" w:rsidRDefault="00455700" w:rsidP="00455700">
            <w:pPr>
              <w:widowControl w:val="0"/>
              <w:jc w:val="center"/>
              <w:rPr>
                <w:bCs/>
                <w:noProof/>
                <w:sz w:val="22"/>
                <w:szCs w:val="22"/>
              </w:rPr>
            </w:pPr>
            <w:r w:rsidRPr="00F91F2E">
              <w:rPr>
                <w:rFonts w:eastAsia="SimSun"/>
                <w:sz w:val="22"/>
                <w:szCs w:val="22"/>
                <w:lang w:val="hr-HR"/>
              </w:rPr>
              <w:t>Često</w:t>
            </w:r>
          </w:p>
        </w:tc>
      </w:tr>
      <w:tr w:rsidR="00455700" w:rsidRPr="00F37492" w14:paraId="4E23460C" w14:textId="4BDA8196" w:rsidTr="00F91F2E">
        <w:trPr>
          <w:cantSplit/>
        </w:trPr>
        <w:tc>
          <w:tcPr>
            <w:tcW w:w="1045" w:type="pct"/>
            <w:tcBorders>
              <w:top w:val="single" w:sz="4" w:space="0" w:color="auto"/>
              <w:left w:val="single" w:sz="4" w:space="0" w:color="auto"/>
              <w:bottom w:val="single" w:sz="4" w:space="0" w:color="auto"/>
              <w:right w:val="single" w:sz="4" w:space="0" w:color="auto"/>
            </w:tcBorders>
          </w:tcPr>
          <w:p w14:paraId="6C68D3FD" w14:textId="77777777" w:rsidR="00455700" w:rsidRPr="00F37492" w:rsidRDefault="00455700" w:rsidP="000A557B">
            <w:pPr>
              <w:keepNext/>
              <w:widowControl w:val="0"/>
              <w:rPr>
                <w:b/>
                <w:sz w:val="22"/>
                <w:szCs w:val="22"/>
                <w:lang w:eastAsia="sr-Latn-CS"/>
              </w:rPr>
            </w:pPr>
          </w:p>
        </w:tc>
        <w:tc>
          <w:tcPr>
            <w:tcW w:w="2917" w:type="pct"/>
            <w:gridSpan w:val="4"/>
            <w:tcBorders>
              <w:top w:val="single" w:sz="4" w:space="0" w:color="auto"/>
              <w:left w:val="single" w:sz="4" w:space="0" w:color="auto"/>
              <w:bottom w:val="single" w:sz="4" w:space="0" w:color="auto"/>
              <w:right w:val="single" w:sz="4" w:space="0" w:color="auto"/>
            </w:tcBorders>
            <w:vAlign w:val="center"/>
            <w:hideMark/>
          </w:tcPr>
          <w:p w14:paraId="788CD70F" w14:textId="6CAAB82F" w:rsidR="00455700" w:rsidRPr="00F37492" w:rsidRDefault="00455700" w:rsidP="000A557B">
            <w:pPr>
              <w:keepNext/>
              <w:widowControl w:val="0"/>
              <w:rPr>
                <w:b/>
                <w:noProof/>
                <w:sz w:val="22"/>
                <w:szCs w:val="22"/>
              </w:rPr>
            </w:pPr>
            <w:r w:rsidRPr="00F37492">
              <w:rPr>
                <w:b/>
                <w:sz w:val="22"/>
                <w:szCs w:val="22"/>
                <w:lang w:eastAsia="sr-Latn-CS"/>
              </w:rPr>
              <w:t>Poremećaji nervnog sistema</w:t>
            </w:r>
          </w:p>
        </w:tc>
        <w:tc>
          <w:tcPr>
            <w:tcW w:w="1038" w:type="pct"/>
            <w:tcBorders>
              <w:top w:val="single" w:sz="4" w:space="0" w:color="auto"/>
              <w:left w:val="single" w:sz="4" w:space="0" w:color="auto"/>
              <w:bottom w:val="single" w:sz="4" w:space="0" w:color="auto"/>
              <w:right w:val="single" w:sz="4" w:space="0" w:color="auto"/>
            </w:tcBorders>
          </w:tcPr>
          <w:p w14:paraId="18AA2353" w14:textId="77777777" w:rsidR="00455700" w:rsidRPr="00F37492" w:rsidRDefault="00455700" w:rsidP="000A557B">
            <w:pPr>
              <w:keepNext/>
              <w:widowControl w:val="0"/>
              <w:rPr>
                <w:b/>
                <w:sz w:val="22"/>
                <w:szCs w:val="22"/>
                <w:lang w:eastAsia="sr-Latn-CS"/>
              </w:rPr>
            </w:pPr>
          </w:p>
        </w:tc>
      </w:tr>
      <w:tr w:rsidR="00455700" w:rsidRPr="00F37492" w14:paraId="56432790" w14:textId="5219D3BC"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3A430DE8" w14:textId="77777777" w:rsidR="00455700" w:rsidRPr="00F37492" w:rsidRDefault="00455700" w:rsidP="00455700">
            <w:pPr>
              <w:keepNext/>
              <w:widowControl w:val="0"/>
              <w:rPr>
                <w:noProof/>
                <w:sz w:val="22"/>
                <w:szCs w:val="22"/>
              </w:rPr>
            </w:pPr>
            <w:r w:rsidRPr="00F37492">
              <w:rPr>
                <w:sz w:val="22"/>
                <w:szCs w:val="22"/>
                <w:lang w:val="hr-HR"/>
              </w:rPr>
              <w:t>Glavobolja</w:t>
            </w:r>
          </w:p>
        </w:tc>
        <w:tc>
          <w:tcPr>
            <w:tcW w:w="700" w:type="pct"/>
            <w:tcBorders>
              <w:top w:val="single" w:sz="4" w:space="0" w:color="auto"/>
              <w:left w:val="single" w:sz="4" w:space="0" w:color="auto"/>
              <w:bottom w:val="single" w:sz="4" w:space="0" w:color="auto"/>
              <w:right w:val="single" w:sz="4" w:space="0" w:color="auto"/>
            </w:tcBorders>
            <w:hideMark/>
          </w:tcPr>
          <w:p w14:paraId="39794510" w14:textId="77777777" w:rsidR="00455700" w:rsidRPr="00F37492" w:rsidRDefault="00455700" w:rsidP="00455700">
            <w:pPr>
              <w:keepNext/>
              <w:widowControl w:val="0"/>
              <w:jc w:val="center"/>
              <w:rPr>
                <w:noProof/>
                <w:sz w:val="22"/>
                <w:szCs w:val="22"/>
              </w:rPr>
            </w:pPr>
            <w:r w:rsidRPr="00F37492">
              <w:rPr>
                <w:noProof/>
                <w:sz w:val="22"/>
                <w:szCs w:val="22"/>
              </w:rPr>
              <w:t>Često</w:t>
            </w:r>
          </w:p>
        </w:tc>
        <w:tc>
          <w:tcPr>
            <w:tcW w:w="1039" w:type="pct"/>
          </w:tcPr>
          <w:p w14:paraId="78D9E8DE" w14:textId="40C821BF"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c>
          <w:tcPr>
            <w:tcW w:w="1039" w:type="pct"/>
            <w:tcBorders>
              <w:top w:val="single" w:sz="4" w:space="0" w:color="auto"/>
              <w:left w:val="single" w:sz="4" w:space="0" w:color="auto"/>
              <w:bottom w:val="single" w:sz="4" w:space="0" w:color="auto"/>
              <w:right w:val="single" w:sz="4" w:space="0" w:color="auto"/>
            </w:tcBorders>
            <w:hideMark/>
          </w:tcPr>
          <w:p w14:paraId="7C5B5119" w14:textId="0C9986ED" w:rsidR="00455700" w:rsidRPr="00F37492" w:rsidRDefault="00455700" w:rsidP="00455700">
            <w:pPr>
              <w:keepNext/>
              <w:widowControl w:val="0"/>
              <w:jc w:val="center"/>
              <w:rPr>
                <w:noProof/>
                <w:sz w:val="22"/>
                <w:szCs w:val="22"/>
              </w:rPr>
            </w:pPr>
            <w:r w:rsidRPr="00F37492">
              <w:rPr>
                <w:noProof/>
                <w:sz w:val="22"/>
                <w:szCs w:val="22"/>
              </w:rPr>
              <w:t>Veoma često</w:t>
            </w:r>
          </w:p>
        </w:tc>
        <w:tc>
          <w:tcPr>
            <w:tcW w:w="1038" w:type="pct"/>
          </w:tcPr>
          <w:p w14:paraId="43DCB00F" w14:textId="3994772F" w:rsidR="00455700" w:rsidRPr="00455700" w:rsidRDefault="00455700" w:rsidP="00455700">
            <w:pPr>
              <w:keepNext/>
              <w:widowControl w:val="0"/>
              <w:jc w:val="center"/>
              <w:rPr>
                <w:noProof/>
                <w:sz w:val="22"/>
                <w:szCs w:val="22"/>
              </w:rPr>
            </w:pPr>
            <w:r w:rsidRPr="00F91F2E">
              <w:rPr>
                <w:rFonts w:eastAsia="SimSun"/>
                <w:sz w:val="22"/>
                <w:szCs w:val="22"/>
              </w:rPr>
              <w:t>Veoma</w:t>
            </w:r>
            <w:r w:rsidRPr="00F91F2E">
              <w:rPr>
                <w:rFonts w:eastAsia="SimSun"/>
                <w:sz w:val="22"/>
                <w:szCs w:val="22"/>
                <w:lang w:val="hr-HR"/>
              </w:rPr>
              <w:t xml:space="preserve"> često</w:t>
            </w:r>
          </w:p>
        </w:tc>
      </w:tr>
      <w:tr w:rsidR="00455700" w:rsidRPr="00F37492" w14:paraId="7807D51F" w14:textId="045B0459"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6951A656" w14:textId="20973D20" w:rsidR="00455700" w:rsidRPr="00F37492" w:rsidRDefault="00455700" w:rsidP="00455700">
            <w:pPr>
              <w:widowControl w:val="0"/>
              <w:rPr>
                <w:noProof/>
                <w:sz w:val="22"/>
                <w:szCs w:val="22"/>
              </w:rPr>
            </w:pPr>
            <w:r w:rsidRPr="00F37492">
              <w:rPr>
                <w:noProof/>
                <w:sz w:val="22"/>
                <w:szCs w:val="22"/>
              </w:rPr>
              <w:tab/>
              <w:t xml:space="preserve">CTCAE stepen </w:t>
            </w:r>
            <w:r w:rsidRPr="00F37492">
              <w:rPr>
                <w:bCs/>
                <w:noProof/>
                <w:sz w:val="22"/>
                <w:szCs w:val="22"/>
              </w:rPr>
              <w:t>≥</w:t>
            </w:r>
            <w:r>
              <w:rPr>
                <w:bCs/>
                <w:noProof/>
                <w:sz w:val="22"/>
                <w:szCs w:val="22"/>
              </w:rPr>
              <w:t xml:space="preserve"> </w:t>
            </w:r>
            <w:r w:rsidRPr="00F37492">
              <w:rPr>
                <w:noProof/>
                <w:sz w:val="22"/>
                <w:szCs w:val="22"/>
              </w:rPr>
              <w:t>3</w:t>
            </w:r>
          </w:p>
        </w:tc>
        <w:tc>
          <w:tcPr>
            <w:tcW w:w="700" w:type="pct"/>
            <w:tcBorders>
              <w:top w:val="single" w:sz="4" w:space="0" w:color="auto"/>
              <w:left w:val="single" w:sz="4" w:space="0" w:color="auto"/>
              <w:bottom w:val="single" w:sz="4" w:space="0" w:color="auto"/>
              <w:right w:val="single" w:sz="4" w:space="0" w:color="auto"/>
            </w:tcBorders>
            <w:hideMark/>
          </w:tcPr>
          <w:p w14:paraId="7C672813" w14:textId="77777777" w:rsidR="00455700" w:rsidRPr="00F37492" w:rsidRDefault="00455700" w:rsidP="00455700">
            <w:pPr>
              <w:widowControl w:val="0"/>
              <w:jc w:val="center"/>
              <w:rPr>
                <w:noProof/>
                <w:sz w:val="22"/>
                <w:szCs w:val="22"/>
              </w:rPr>
            </w:pPr>
            <w:r w:rsidRPr="00F37492">
              <w:rPr>
                <w:noProof/>
                <w:sz w:val="22"/>
                <w:szCs w:val="22"/>
              </w:rPr>
              <w:t>Povremeno</w:t>
            </w:r>
          </w:p>
        </w:tc>
        <w:tc>
          <w:tcPr>
            <w:tcW w:w="1039" w:type="pct"/>
          </w:tcPr>
          <w:p w14:paraId="332E87A2" w14:textId="58C378EC" w:rsidR="00455700" w:rsidRPr="00455700" w:rsidRDefault="00455700" w:rsidP="00455700">
            <w:pPr>
              <w:widowControl w:val="0"/>
              <w:jc w:val="center"/>
              <w:rPr>
                <w:noProof/>
                <w:sz w:val="22"/>
                <w:szCs w:val="22"/>
              </w:rPr>
            </w:pPr>
            <w:r w:rsidRPr="00F91F2E">
              <w:rPr>
                <w:rFonts w:eastAsia="SimSun"/>
                <w:bCs/>
                <w:sz w:val="22"/>
                <w:szCs w:val="22"/>
                <w:lang w:val="hr-HR"/>
              </w:rPr>
              <w:t>N/P</w:t>
            </w:r>
            <w:r w:rsidRPr="00F91F2E">
              <w:rPr>
                <w:rFonts w:eastAsia="SimSun"/>
                <w:bCs/>
                <w:sz w:val="22"/>
                <w:szCs w:val="22"/>
                <w:vertAlign w:val="superscript"/>
                <w:lang w:val="hr-HR"/>
              </w:rPr>
              <w:t>5</w:t>
            </w:r>
          </w:p>
        </w:tc>
        <w:tc>
          <w:tcPr>
            <w:tcW w:w="1039" w:type="pct"/>
            <w:tcBorders>
              <w:top w:val="single" w:sz="4" w:space="0" w:color="auto"/>
              <w:left w:val="single" w:sz="4" w:space="0" w:color="auto"/>
              <w:bottom w:val="single" w:sz="4" w:space="0" w:color="auto"/>
              <w:right w:val="single" w:sz="4" w:space="0" w:color="auto"/>
            </w:tcBorders>
            <w:hideMark/>
          </w:tcPr>
          <w:p w14:paraId="1C796441" w14:textId="5AC78462" w:rsidR="00455700" w:rsidRPr="00F37492" w:rsidRDefault="00455700" w:rsidP="00455700">
            <w:pPr>
              <w:widowControl w:val="0"/>
              <w:jc w:val="center"/>
              <w:rPr>
                <w:noProof/>
                <w:sz w:val="22"/>
                <w:szCs w:val="22"/>
              </w:rPr>
            </w:pPr>
            <w:r w:rsidRPr="00F37492">
              <w:rPr>
                <w:noProof/>
                <w:sz w:val="22"/>
                <w:szCs w:val="22"/>
              </w:rPr>
              <w:t>Često</w:t>
            </w:r>
          </w:p>
        </w:tc>
        <w:tc>
          <w:tcPr>
            <w:tcW w:w="1038" w:type="pct"/>
          </w:tcPr>
          <w:p w14:paraId="32C27617" w14:textId="0FAD2037" w:rsidR="00455700" w:rsidRPr="00455700" w:rsidRDefault="00455700" w:rsidP="00455700">
            <w:pPr>
              <w:widowControl w:val="0"/>
              <w:jc w:val="center"/>
              <w:rPr>
                <w:noProof/>
                <w:sz w:val="22"/>
                <w:szCs w:val="22"/>
              </w:rPr>
            </w:pPr>
            <w:r w:rsidRPr="00F91F2E">
              <w:rPr>
                <w:rFonts w:eastAsia="SimSun"/>
                <w:sz w:val="22"/>
                <w:szCs w:val="22"/>
                <w:lang w:val="hr-HR"/>
              </w:rPr>
              <w:t>Često</w:t>
            </w:r>
          </w:p>
        </w:tc>
      </w:tr>
      <w:tr w:rsidR="00455700" w:rsidRPr="00F37492" w14:paraId="7E75CB88" w14:textId="69392D30" w:rsidTr="00F91F2E">
        <w:trPr>
          <w:cantSplit/>
        </w:trPr>
        <w:tc>
          <w:tcPr>
            <w:tcW w:w="1045" w:type="pct"/>
            <w:tcBorders>
              <w:top w:val="single" w:sz="4" w:space="0" w:color="auto"/>
              <w:left w:val="single" w:sz="4" w:space="0" w:color="auto"/>
              <w:bottom w:val="single" w:sz="4" w:space="0" w:color="auto"/>
              <w:right w:val="single" w:sz="4" w:space="0" w:color="auto"/>
            </w:tcBorders>
          </w:tcPr>
          <w:p w14:paraId="39A8B8BA" w14:textId="77777777" w:rsidR="00455700" w:rsidRPr="00F37492" w:rsidRDefault="00455700" w:rsidP="000A557B">
            <w:pPr>
              <w:keepNext/>
              <w:widowControl w:val="0"/>
              <w:rPr>
                <w:b/>
                <w:sz w:val="22"/>
                <w:szCs w:val="22"/>
                <w:lang w:val="hr-HR"/>
              </w:rPr>
            </w:pPr>
          </w:p>
        </w:tc>
        <w:tc>
          <w:tcPr>
            <w:tcW w:w="2917" w:type="pct"/>
            <w:gridSpan w:val="4"/>
            <w:tcBorders>
              <w:top w:val="single" w:sz="4" w:space="0" w:color="auto"/>
              <w:left w:val="single" w:sz="4" w:space="0" w:color="auto"/>
              <w:bottom w:val="single" w:sz="4" w:space="0" w:color="auto"/>
              <w:right w:val="single" w:sz="4" w:space="0" w:color="auto"/>
            </w:tcBorders>
            <w:vAlign w:val="center"/>
            <w:hideMark/>
          </w:tcPr>
          <w:p w14:paraId="5F87F95A" w14:textId="1B161823" w:rsidR="00455700" w:rsidRPr="00F37492" w:rsidRDefault="00455700" w:rsidP="000A557B">
            <w:pPr>
              <w:keepNext/>
              <w:widowControl w:val="0"/>
              <w:rPr>
                <w:b/>
                <w:noProof/>
                <w:sz w:val="22"/>
                <w:szCs w:val="22"/>
              </w:rPr>
            </w:pPr>
            <w:r w:rsidRPr="00F37492">
              <w:rPr>
                <w:b/>
                <w:sz w:val="22"/>
                <w:szCs w:val="22"/>
                <w:lang w:val="hr-HR"/>
              </w:rPr>
              <w:t>Vaskularni poremećaji</w:t>
            </w:r>
          </w:p>
        </w:tc>
        <w:tc>
          <w:tcPr>
            <w:tcW w:w="1038" w:type="pct"/>
            <w:tcBorders>
              <w:top w:val="single" w:sz="4" w:space="0" w:color="auto"/>
              <w:left w:val="single" w:sz="4" w:space="0" w:color="auto"/>
              <w:bottom w:val="single" w:sz="4" w:space="0" w:color="auto"/>
              <w:right w:val="single" w:sz="4" w:space="0" w:color="auto"/>
            </w:tcBorders>
          </w:tcPr>
          <w:p w14:paraId="51878CAA" w14:textId="77777777" w:rsidR="00455700" w:rsidRPr="00F37492" w:rsidRDefault="00455700" w:rsidP="000A557B">
            <w:pPr>
              <w:keepNext/>
              <w:widowControl w:val="0"/>
              <w:rPr>
                <w:b/>
                <w:sz w:val="22"/>
                <w:szCs w:val="22"/>
                <w:lang w:val="hr-HR"/>
              </w:rPr>
            </w:pPr>
          </w:p>
        </w:tc>
      </w:tr>
      <w:tr w:rsidR="00455700" w:rsidRPr="00F37492" w14:paraId="2D906C54" w14:textId="582C23C2"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080E1872" w14:textId="77777777" w:rsidR="00455700" w:rsidRPr="00F37492" w:rsidRDefault="00455700" w:rsidP="00455700">
            <w:pPr>
              <w:keepNext/>
              <w:widowControl w:val="0"/>
              <w:rPr>
                <w:noProof/>
                <w:sz w:val="22"/>
                <w:szCs w:val="22"/>
              </w:rPr>
            </w:pPr>
            <w:r w:rsidRPr="00F37492">
              <w:rPr>
                <w:noProof/>
                <w:sz w:val="22"/>
                <w:szCs w:val="22"/>
              </w:rPr>
              <w:t>Hipertenzija</w:t>
            </w:r>
          </w:p>
        </w:tc>
        <w:tc>
          <w:tcPr>
            <w:tcW w:w="700" w:type="pct"/>
            <w:tcBorders>
              <w:top w:val="single" w:sz="4" w:space="0" w:color="auto"/>
              <w:left w:val="single" w:sz="4" w:space="0" w:color="auto"/>
              <w:bottom w:val="single" w:sz="4" w:space="0" w:color="auto"/>
              <w:right w:val="single" w:sz="4" w:space="0" w:color="auto"/>
            </w:tcBorders>
            <w:hideMark/>
          </w:tcPr>
          <w:p w14:paraId="1FCC8098"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tcPr>
          <w:p w14:paraId="21D39923" w14:textId="62CADEA5" w:rsidR="00455700" w:rsidRPr="00455700" w:rsidRDefault="00455700" w:rsidP="00455700">
            <w:pPr>
              <w:keepNext/>
              <w:widowControl w:val="0"/>
              <w:jc w:val="center"/>
              <w:rPr>
                <w:noProof/>
                <w:sz w:val="22"/>
                <w:szCs w:val="22"/>
              </w:rPr>
            </w:pPr>
            <w:r w:rsidRPr="00F91F2E">
              <w:rPr>
                <w:noProof/>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036DFD05" w14:textId="18C39263" w:rsidR="00455700" w:rsidRPr="00F37492" w:rsidRDefault="00455700" w:rsidP="00455700">
            <w:pPr>
              <w:keepNext/>
              <w:widowControl w:val="0"/>
              <w:jc w:val="center"/>
              <w:rPr>
                <w:noProof/>
                <w:sz w:val="22"/>
                <w:szCs w:val="22"/>
              </w:rPr>
            </w:pPr>
            <w:r w:rsidRPr="00F37492">
              <w:rPr>
                <w:noProof/>
                <w:sz w:val="22"/>
                <w:szCs w:val="22"/>
              </w:rPr>
              <w:t>Veoma često</w:t>
            </w:r>
          </w:p>
        </w:tc>
        <w:tc>
          <w:tcPr>
            <w:tcW w:w="1038" w:type="pct"/>
          </w:tcPr>
          <w:p w14:paraId="3064A6B0" w14:textId="1C1EF5AF" w:rsidR="00455700" w:rsidRPr="00455700" w:rsidRDefault="00455700" w:rsidP="00455700">
            <w:pPr>
              <w:keepNext/>
              <w:widowControl w:val="0"/>
              <w:jc w:val="center"/>
              <w:rPr>
                <w:noProof/>
                <w:sz w:val="22"/>
                <w:szCs w:val="22"/>
              </w:rPr>
            </w:pPr>
            <w:r w:rsidRPr="00F91F2E">
              <w:rPr>
                <w:noProof/>
                <w:sz w:val="22"/>
                <w:szCs w:val="22"/>
              </w:rPr>
              <w:t>Veoma</w:t>
            </w:r>
            <w:r w:rsidRPr="00F91F2E">
              <w:rPr>
                <w:rFonts w:eastAsia="SimSun"/>
                <w:sz w:val="22"/>
                <w:szCs w:val="22"/>
                <w:lang w:val="hr-HR"/>
              </w:rPr>
              <w:t xml:space="preserve"> često</w:t>
            </w:r>
          </w:p>
        </w:tc>
      </w:tr>
      <w:tr w:rsidR="00455700" w:rsidRPr="00F37492" w14:paraId="29A5DDE5" w14:textId="205B8648"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18989F3F" w14:textId="7CC99B85" w:rsidR="00455700" w:rsidRPr="00F37492" w:rsidRDefault="00455700" w:rsidP="00455700">
            <w:pPr>
              <w:widowControl w:val="0"/>
              <w:rPr>
                <w:noProof/>
                <w:sz w:val="22"/>
                <w:szCs w:val="22"/>
              </w:rPr>
            </w:pPr>
            <w:r w:rsidRPr="00F37492">
              <w:rPr>
                <w:noProof/>
                <w:sz w:val="22"/>
                <w:szCs w:val="22"/>
              </w:rPr>
              <w:tab/>
              <w:t xml:space="preserve">CTCAE stepen </w:t>
            </w:r>
            <w:r w:rsidRPr="00F37492">
              <w:rPr>
                <w:bCs/>
                <w:noProof/>
                <w:sz w:val="22"/>
                <w:szCs w:val="22"/>
              </w:rPr>
              <w:t>≥</w:t>
            </w:r>
            <w:r>
              <w:rPr>
                <w:bCs/>
                <w:noProof/>
                <w:sz w:val="22"/>
                <w:szCs w:val="22"/>
              </w:rPr>
              <w:t xml:space="preserve"> </w:t>
            </w:r>
            <w:r w:rsidRPr="00F37492">
              <w:rPr>
                <w:noProof/>
                <w:sz w:val="22"/>
                <w:szCs w:val="22"/>
              </w:rPr>
              <w:t>3</w:t>
            </w:r>
          </w:p>
        </w:tc>
        <w:tc>
          <w:tcPr>
            <w:tcW w:w="700" w:type="pct"/>
            <w:tcBorders>
              <w:top w:val="single" w:sz="4" w:space="0" w:color="auto"/>
              <w:left w:val="single" w:sz="4" w:space="0" w:color="auto"/>
              <w:bottom w:val="single" w:sz="4" w:space="0" w:color="auto"/>
              <w:right w:val="single" w:sz="4" w:space="0" w:color="auto"/>
            </w:tcBorders>
            <w:hideMark/>
          </w:tcPr>
          <w:p w14:paraId="3221E75D" w14:textId="77777777" w:rsidR="00455700" w:rsidRPr="00F37492" w:rsidRDefault="00455700" w:rsidP="00455700">
            <w:pPr>
              <w:widowControl w:val="0"/>
              <w:jc w:val="center"/>
              <w:rPr>
                <w:noProof/>
                <w:sz w:val="22"/>
                <w:szCs w:val="22"/>
              </w:rPr>
            </w:pPr>
            <w:r w:rsidRPr="00F37492">
              <w:rPr>
                <w:noProof/>
                <w:sz w:val="22"/>
                <w:szCs w:val="22"/>
              </w:rPr>
              <w:t>Često</w:t>
            </w:r>
          </w:p>
        </w:tc>
        <w:tc>
          <w:tcPr>
            <w:tcW w:w="1039" w:type="pct"/>
          </w:tcPr>
          <w:p w14:paraId="0C042D4A" w14:textId="1BCC4A31" w:rsidR="00455700" w:rsidRPr="00455700" w:rsidRDefault="00455700" w:rsidP="00455700">
            <w:pPr>
              <w:widowControl w:val="0"/>
              <w:jc w:val="center"/>
              <w:rPr>
                <w:noProof/>
                <w:sz w:val="22"/>
                <w:szCs w:val="22"/>
              </w:rPr>
            </w:pPr>
            <w:r w:rsidRPr="00F91F2E">
              <w:rPr>
                <w:noProof/>
                <w:sz w:val="22"/>
                <w:szCs w:val="22"/>
              </w:rPr>
              <w:t>Veoma</w:t>
            </w:r>
            <w:r w:rsidRPr="00F91F2E">
              <w:rPr>
                <w:rFonts w:eastAsia="SimSun"/>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59B5AC75" w14:textId="4DA69DE5" w:rsidR="00455700" w:rsidRPr="00F37492" w:rsidRDefault="00455700" w:rsidP="00455700">
            <w:pPr>
              <w:widowControl w:val="0"/>
              <w:jc w:val="center"/>
              <w:rPr>
                <w:noProof/>
                <w:sz w:val="22"/>
                <w:szCs w:val="22"/>
              </w:rPr>
            </w:pPr>
            <w:r w:rsidRPr="00F37492">
              <w:rPr>
                <w:noProof/>
                <w:sz w:val="22"/>
                <w:szCs w:val="22"/>
              </w:rPr>
              <w:t>Često</w:t>
            </w:r>
          </w:p>
        </w:tc>
        <w:tc>
          <w:tcPr>
            <w:tcW w:w="1038" w:type="pct"/>
          </w:tcPr>
          <w:p w14:paraId="723B318C" w14:textId="6AC3F876" w:rsidR="00455700" w:rsidRPr="00455700" w:rsidRDefault="00455700" w:rsidP="00455700">
            <w:pPr>
              <w:widowControl w:val="0"/>
              <w:jc w:val="center"/>
              <w:rPr>
                <w:noProof/>
                <w:sz w:val="22"/>
                <w:szCs w:val="22"/>
              </w:rPr>
            </w:pPr>
            <w:r w:rsidRPr="00F91F2E">
              <w:rPr>
                <w:rFonts w:eastAsia="SimSun"/>
                <w:sz w:val="22"/>
                <w:szCs w:val="22"/>
                <w:lang w:val="hr-HR"/>
              </w:rPr>
              <w:t>Često</w:t>
            </w:r>
          </w:p>
        </w:tc>
      </w:tr>
      <w:tr w:rsidR="00455700" w:rsidRPr="00F37492" w14:paraId="04389CA1" w14:textId="63E8CD4E" w:rsidTr="00F91F2E">
        <w:trPr>
          <w:cantSplit/>
        </w:trPr>
        <w:tc>
          <w:tcPr>
            <w:tcW w:w="1045" w:type="pct"/>
            <w:tcBorders>
              <w:top w:val="single" w:sz="4" w:space="0" w:color="auto"/>
              <w:left w:val="single" w:sz="4" w:space="0" w:color="auto"/>
              <w:bottom w:val="single" w:sz="4" w:space="0" w:color="auto"/>
              <w:right w:val="single" w:sz="4" w:space="0" w:color="auto"/>
            </w:tcBorders>
          </w:tcPr>
          <w:p w14:paraId="14C21500" w14:textId="77777777" w:rsidR="00455700" w:rsidRPr="00F37492" w:rsidRDefault="00455700" w:rsidP="000A557B">
            <w:pPr>
              <w:keepNext/>
              <w:widowControl w:val="0"/>
              <w:rPr>
                <w:b/>
                <w:noProof/>
                <w:sz w:val="22"/>
                <w:szCs w:val="22"/>
              </w:rPr>
            </w:pPr>
          </w:p>
        </w:tc>
        <w:tc>
          <w:tcPr>
            <w:tcW w:w="2917" w:type="pct"/>
            <w:gridSpan w:val="4"/>
            <w:tcBorders>
              <w:top w:val="single" w:sz="4" w:space="0" w:color="auto"/>
              <w:left w:val="single" w:sz="4" w:space="0" w:color="auto"/>
              <w:bottom w:val="single" w:sz="4" w:space="0" w:color="auto"/>
              <w:right w:val="single" w:sz="4" w:space="0" w:color="auto"/>
            </w:tcBorders>
            <w:vAlign w:val="center"/>
            <w:hideMark/>
          </w:tcPr>
          <w:p w14:paraId="5B3E686A" w14:textId="174A3438" w:rsidR="00455700" w:rsidRPr="00F37492" w:rsidRDefault="00455700" w:rsidP="000A557B">
            <w:pPr>
              <w:keepNext/>
              <w:widowControl w:val="0"/>
              <w:rPr>
                <w:b/>
                <w:noProof/>
                <w:sz w:val="22"/>
                <w:szCs w:val="22"/>
              </w:rPr>
            </w:pPr>
            <w:r w:rsidRPr="00F37492">
              <w:rPr>
                <w:b/>
                <w:noProof/>
                <w:sz w:val="22"/>
                <w:szCs w:val="22"/>
              </w:rPr>
              <w:t>Gastrointestinal disorders</w:t>
            </w:r>
          </w:p>
        </w:tc>
        <w:tc>
          <w:tcPr>
            <w:tcW w:w="1038" w:type="pct"/>
            <w:tcBorders>
              <w:top w:val="single" w:sz="4" w:space="0" w:color="auto"/>
              <w:left w:val="single" w:sz="4" w:space="0" w:color="auto"/>
              <w:bottom w:val="single" w:sz="4" w:space="0" w:color="auto"/>
              <w:right w:val="single" w:sz="4" w:space="0" w:color="auto"/>
            </w:tcBorders>
          </w:tcPr>
          <w:p w14:paraId="75191681" w14:textId="77777777" w:rsidR="00455700" w:rsidRPr="00F37492" w:rsidRDefault="00455700" w:rsidP="000A557B">
            <w:pPr>
              <w:keepNext/>
              <w:widowControl w:val="0"/>
              <w:rPr>
                <w:b/>
                <w:noProof/>
                <w:sz w:val="22"/>
                <w:szCs w:val="22"/>
              </w:rPr>
            </w:pPr>
          </w:p>
        </w:tc>
      </w:tr>
      <w:tr w:rsidR="00455700" w:rsidRPr="00F37492" w14:paraId="42E8BDEA" w14:textId="5E8145A7"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0ADD721B" w14:textId="77777777" w:rsidR="00455700" w:rsidRPr="00F37492" w:rsidRDefault="00455700" w:rsidP="00455700">
            <w:pPr>
              <w:keepNext/>
              <w:widowControl w:val="0"/>
              <w:rPr>
                <w:noProof/>
                <w:sz w:val="22"/>
                <w:szCs w:val="22"/>
              </w:rPr>
            </w:pPr>
            <w:r w:rsidRPr="00F37492">
              <w:rPr>
                <w:noProof/>
                <w:sz w:val="22"/>
                <w:szCs w:val="22"/>
              </w:rPr>
              <w:t>Povišena lipaza</w:t>
            </w:r>
            <w:r w:rsidRPr="00F37492">
              <w:rPr>
                <w:noProof/>
                <w:sz w:val="22"/>
                <w:szCs w:val="22"/>
                <w:vertAlign w:val="superscript"/>
              </w:rPr>
              <w:t>1</w:t>
            </w:r>
          </w:p>
        </w:tc>
        <w:tc>
          <w:tcPr>
            <w:tcW w:w="700" w:type="pct"/>
            <w:hideMark/>
          </w:tcPr>
          <w:p w14:paraId="6C6F3053" w14:textId="6A82D490"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Pr>
          <w:p w14:paraId="11264A06" w14:textId="6A62D8A3"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009DDB0A" w14:textId="74AC4D81" w:rsidR="00455700" w:rsidRPr="00F37492" w:rsidRDefault="00455700" w:rsidP="00455700">
            <w:pPr>
              <w:keepNext/>
              <w:widowControl w:val="0"/>
              <w:jc w:val="center"/>
              <w:rPr>
                <w:noProof/>
                <w:sz w:val="22"/>
                <w:szCs w:val="22"/>
              </w:rPr>
            </w:pPr>
            <w:r w:rsidRPr="00F37492">
              <w:rPr>
                <w:noProof/>
                <w:sz w:val="22"/>
                <w:szCs w:val="22"/>
              </w:rPr>
              <w:t>Veoma često</w:t>
            </w:r>
          </w:p>
        </w:tc>
        <w:tc>
          <w:tcPr>
            <w:tcW w:w="1038" w:type="pct"/>
          </w:tcPr>
          <w:p w14:paraId="2059FC00" w14:textId="67B81687" w:rsidR="00455700" w:rsidRPr="00455700" w:rsidRDefault="00455700" w:rsidP="00455700">
            <w:pPr>
              <w:keepNext/>
              <w:widowControl w:val="0"/>
              <w:jc w:val="center"/>
              <w:rPr>
                <w:noProof/>
                <w:sz w:val="22"/>
                <w:szCs w:val="22"/>
              </w:rPr>
            </w:pPr>
            <w:r w:rsidRPr="00F91F2E">
              <w:rPr>
                <w:noProof/>
                <w:sz w:val="22"/>
                <w:szCs w:val="22"/>
              </w:rPr>
              <w:t>Veoma</w:t>
            </w:r>
            <w:r w:rsidRPr="00F91F2E">
              <w:rPr>
                <w:rFonts w:eastAsia="SimSun"/>
                <w:sz w:val="22"/>
                <w:szCs w:val="22"/>
                <w:lang w:val="hr-HR"/>
              </w:rPr>
              <w:t xml:space="preserve"> često</w:t>
            </w:r>
          </w:p>
        </w:tc>
      </w:tr>
      <w:tr w:rsidR="00455700" w:rsidRPr="00F37492" w14:paraId="4CDFF7FB" w14:textId="372547CB"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75CA8516" w14:textId="77777777" w:rsidR="00455700" w:rsidRPr="00F37492" w:rsidRDefault="00455700" w:rsidP="00455700">
            <w:pPr>
              <w:keepNext/>
              <w:widowControl w:val="0"/>
              <w:rPr>
                <w:noProof/>
                <w:sz w:val="22"/>
                <w:szCs w:val="22"/>
              </w:rPr>
            </w:pPr>
            <w:r w:rsidRPr="00F37492">
              <w:rPr>
                <w:noProof/>
                <w:sz w:val="22"/>
                <w:szCs w:val="22"/>
              </w:rPr>
              <w:tab/>
              <w:t>CTCAE stepen 3</w:t>
            </w:r>
          </w:p>
        </w:tc>
        <w:tc>
          <w:tcPr>
            <w:tcW w:w="700" w:type="pct"/>
            <w:hideMark/>
          </w:tcPr>
          <w:p w14:paraId="75608271" w14:textId="38217573"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Pr>
          <w:p w14:paraId="6561EEFF" w14:textId="6D1DD23C"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12792729" w14:textId="04F27AE9"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tcPr>
          <w:p w14:paraId="2C400EA3" w14:textId="1C451A61"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r>
      <w:tr w:rsidR="00455700" w:rsidRPr="00F37492" w14:paraId="1872682C" w14:textId="307E5F87"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473938D7" w14:textId="77777777" w:rsidR="00455700" w:rsidRPr="00F37492" w:rsidRDefault="00455700" w:rsidP="00455700">
            <w:pPr>
              <w:keepNext/>
              <w:widowControl w:val="0"/>
              <w:rPr>
                <w:noProof/>
                <w:sz w:val="22"/>
                <w:szCs w:val="22"/>
              </w:rPr>
            </w:pPr>
            <w:r w:rsidRPr="00F37492">
              <w:rPr>
                <w:noProof/>
                <w:sz w:val="22"/>
                <w:szCs w:val="22"/>
              </w:rPr>
              <w:tab/>
              <w:t>CTCAE stepen 4</w:t>
            </w:r>
          </w:p>
        </w:tc>
        <w:tc>
          <w:tcPr>
            <w:tcW w:w="700" w:type="pct"/>
            <w:hideMark/>
          </w:tcPr>
          <w:p w14:paraId="79467614" w14:textId="76A38E25"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Pr>
          <w:p w14:paraId="0A01C3DB" w14:textId="2C172CA7"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1F2CE5A3" w14:textId="791A88DF" w:rsidR="00455700" w:rsidRPr="00F37492" w:rsidRDefault="00455700" w:rsidP="00455700">
            <w:pPr>
              <w:keepNext/>
              <w:widowControl w:val="0"/>
              <w:jc w:val="center"/>
              <w:rPr>
                <w:noProof/>
                <w:sz w:val="22"/>
                <w:szCs w:val="22"/>
              </w:rPr>
            </w:pPr>
            <w:r w:rsidRPr="00F37492">
              <w:rPr>
                <w:noProof/>
                <w:sz w:val="22"/>
                <w:szCs w:val="22"/>
              </w:rPr>
              <w:t>Povremeno</w:t>
            </w:r>
          </w:p>
        </w:tc>
        <w:tc>
          <w:tcPr>
            <w:tcW w:w="1038" w:type="pct"/>
          </w:tcPr>
          <w:p w14:paraId="7B238F7D" w14:textId="2211ACD8"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r>
      <w:tr w:rsidR="00455700" w:rsidRPr="00F37492" w14:paraId="7FA679C4" w14:textId="1E449943"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78131E2C" w14:textId="77777777" w:rsidR="00455700" w:rsidRPr="00F37492" w:rsidRDefault="00455700" w:rsidP="00455700">
            <w:pPr>
              <w:keepNext/>
              <w:widowControl w:val="0"/>
              <w:rPr>
                <w:noProof/>
                <w:sz w:val="22"/>
                <w:szCs w:val="22"/>
              </w:rPr>
            </w:pPr>
            <w:r w:rsidRPr="00F37492">
              <w:rPr>
                <w:noProof/>
                <w:sz w:val="22"/>
                <w:szCs w:val="22"/>
              </w:rPr>
              <w:t>Povišena amilaza</w:t>
            </w:r>
            <w:r w:rsidRPr="00F37492">
              <w:rPr>
                <w:noProof/>
                <w:sz w:val="22"/>
                <w:szCs w:val="22"/>
                <w:vertAlign w:val="superscript"/>
              </w:rPr>
              <w:t>1</w:t>
            </w:r>
          </w:p>
        </w:tc>
        <w:tc>
          <w:tcPr>
            <w:tcW w:w="700" w:type="pct"/>
            <w:hideMark/>
          </w:tcPr>
          <w:p w14:paraId="1079750C" w14:textId="7B912BAE"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Pr>
          <w:p w14:paraId="64DEF236" w14:textId="1018C907"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1E8C18F7" w14:textId="00C37151" w:rsidR="00455700" w:rsidRPr="00F37492" w:rsidRDefault="00455700" w:rsidP="00455700">
            <w:pPr>
              <w:keepNext/>
              <w:widowControl w:val="0"/>
              <w:jc w:val="center"/>
              <w:rPr>
                <w:noProof/>
                <w:sz w:val="22"/>
                <w:szCs w:val="22"/>
              </w:rPr>
            </w:pPr>
            <w:r w:rsidRPr="00F37492">
              <w:rPr>
                <w:noProof/>
                <w:sz w:val="22"/>
                <w:szCs w:val="22"/>
              </w:rPr>
              <w:t>Veoma često</w:t>
            </w:r>
          </w:p>
        </w:tc>
        <w:tc>
          <w:tcPr>
            <w:tcW w:w="1038" w:type="pct"/>
          </w:tcPr>
          <w:p w14:paraId="48B853B7" w14:textId="1B209763" w:rsidR="00455700" w:rsidRPr="00455700" w:rsidRDefault="00455700" w:rsidP="00455700">
            <w:pPr>
              <w:keepNext/>
              <w:widowControl w:val="0"/>
              <w:jc w:val="center"/>
              <w:rPr>
                <w:noProof/>
                <w:sz w:val="22"/>
                <w:szCs w:val="22"/>
              </w:rPr>
            </w:pPr>
            <w:r w:rsidRPr="00F91F2E">
              <w:rPr>
                <w:noProof/>
                <w:sz w:val="22"/>
                <w:szCs w:val="22"/>
              </w:rPr>
              <w:t>Veoma</w:t>
            </w:r>
            <w:r w:rsidRPr="00F91F2E">
              <w:rPr>
                <w:rFonts w:eastAsia="SimSun"/>
                <w:sz w:val="22"/>
                <w:szCs w:val="22"/>
                <w:lang w:val="hr-HR"/>
              </w:rPr>
              <w:t xml:space="preserve"> često</w:t>
            </w:r>
          </w:p>
        </w:tc>
      </w:tr>
      <w:tr w:rsidR="00455700" w:rsidRPr="00F37492" w14:paraId="5BF074E3" w14:textId="62706C0B"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309A63B1" w14:textId="77777777" w:rsidR="00455700" w:rsidRPr="00F37492" w:rsidRDefault="00455700" w:rsidP="00455700">
            <w:pPr>
              <w:keepNext/>
              <w:widowControl w:val="0"/>
              <w:rPr>
                <w:noProof/>
                <w:sz w:val="22"/>
                <w:szCs w:val="22"/>
              </w:rPr>
            </w:pPr>
            <w:r w:rsidRPr="00F37492">
              <w:rPr>
                <w:noProof/>
                <w:sz w:val="22"/>
                <w:szCs w:val="22"/>
              </w:rPr>
              <w:tab/>
              <w:t>CTCAE stepen 3</w:t>
            </w:r>
          </w:p>
        </w:tc>
        <w:tc>
          <w:tcPr>
            <w:tcW w:w="700" w:type="pct"/>
            <w:hideMark/>
          </w:tcPr>
          <w:p w14:paraId="2DEF5126" w14:textId="0B45B75D"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Pr>
          <w:p w14:paraId="69F914D3" w14:textId="21E4DA86"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5108DC18" w14:textId="57FEEDE3"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tcPr>
          <w:p w14:paraId="0DEDD6AA" w14:textId="4C5C7E4A"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r>
      <w:tr w:rsidR="00455700" w:rsidRPr="00F37492" w14:paraId="1E37BE68" w14:textId="7850E41D"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32C0FF15" w14:textId="77777777" w:rsidR="00455700" w:rsidRPr="00F37492" w:rsidRDefault="00455700" w:rsidP="00455700">
            <w:pPr>
              <w:keepNext/>
              <w:widowControl w:val="0"/>
              <w:rPr>
                <w:noProof/>
                <w:sz w:val="22"/>
                <w:szCs w:val="22"/>
              </w:rPr>
            </w:pPr>
            <w:r w:rsidRPr="00F37492">
              <w:rPr>
                <w:noProof/>
                <w:sz w:val="22"/>
                <w:szCs w:val="22"/>
              </w:rPr>
              <w:tab/>
              <w:t>CTCAE stepen 4</w:t>
            </w:r>
          </w:p>
        </w:tc>
        <w:tc>
          <w:tcPr>
            <w:tcW w:w="700" w:type="pct"/>
            <w:hideMark/>
          </w:tcPr>
          <w:p w14:paraId="3106A192" w14:textId="0C9815B9"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Pr>
          <w:p w14:paraId="1A74480A" w14:textId="63A01D5F"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667128D1" w14:textId="13A0CA0E"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tcPr>
          <w:p w14:paraId="524C1AC1" w14:textId="1365C81C" w:rsidR="00455700" w:rsidRPr="00455700" w:rsidRDefault="00455700" w:rsidP="00455700">
            <w:pPr>
              <w:keepNext/>
              <w:widowControl w:val="0"/>
              <w:jc w:val="center"/>
              <w:rPr>
                <w:noProof/>
                <w:sz w:val="22"/>
                <w:szCs w:val="22"/>
              </w:rPr>
            </w:pPr>
            <w:r w:rsidRPr="00F91F2E">
              <w:rPr>
                <w:rFonts w:eastAsia="SimSun"/>
                <w:bCs/>
                <w:sz w:val="22"/>
                <w:szCs w:val="22"/>
                <w:lang w:val="hr-HR"/>
              </w:rPr>
              <w:t>N/P</w:t>
            </w:r>
            <w:r w:rsidRPr="00F91F2E">
              <w:rPr>
                <w:rFonts w:eastAsia="SimSun"/>
                <w:bCs/>
                <w:sz w:val="22"/>
                <w:szCs w:val="22"/>
                <w:vertAlign w:val="superscript"/>
                <w:lang w:val="hr-HR"/>
              </w:rPr>
              <w:t>5</w:t>
            </w:r>
          </w:p>
        </w:tc>
      </w:tr>
      <w:tr w:rsidR="00455700" w:rsidRPr="00F37492" w14:paraId="1CD9641D" w14:textId="4CAB3F72"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5B906582" w14:textId="77777777" w:rsidR="00455700" w:rsidRPr="00F37492" w:rsidRDefault="00455700" w:rsidP="00455700">
            <w:pPr>
              <w:keepNext/>
              <w:widowControl w:val="0"/>
              <w:rPr>
                <w:noProof/>
                <w:sz w:val="22"/>
                <w:szCs w:val="22"/>
              </w:rPr>
            </w:pPr>
            <w:r w:rsidRPr="00F37492">
              <w:rPr>
                <w:noProof/>
                <w:sz w:val="22"/>
                <w:szCs w:val="22"/>
              </w:rPr>
              <w:t>Mučnina</w:t>
            </w:r>
          </w:p>
        </w:tc>
        <w:tc>
          <w:tcPr>
            <w:tcW w:w="700" w:type="pct"/>
            <w:tcBorders>
              <w:top w:val="single" w:sz="4" w:space="0" w:color="auto"/>
              <w:left w:val="single" w:sz="4" w:space="0" w:color="auto"/>
              <w:bottom w:val="single" w:sz="4" w:space="0" w:color="auto"/>
              <w:right w:val="single" w:sz="4" w:space="0" w:color="auto"/>
            </w:tcBorders>
            <w:hideMark/>
          </w:tcPr>
          <w:p w14:paraId="4D93223D" w14:textId="77777777" w:rsidR="00455700" w:rsidRPr="00F37492" w:rsidRDefault="00455700" w:rsidP="00455700">
            <w:pPr>
              <w:keepNext/>
              <w:widowControl w:val="0"/>
              <w:jc w:val="center"/>
              <w:rPr>
                <w:noProof/>
                <w:sz w:val="22"/>
                <w:szCs w:val="22"/>
              </w:rPr>
            </w:pPr>
            <w:r w:rsidRPr="00F37492">
              <w:rPr>
                <w:noProof/>
                <w:sz w:val="22"/>
                <w:szCs w:val="22"/>
              </w:rPr>
              <w:t>Veoma često</w:t>
            </w:r>
          </w:p>
        </w:tc>
        <w:tc>
          <w:tcPr>
            <w:tcW w:w="1039" w:type="pct"/>
          </w:tcPr>
          <w:p w14:paraId="64620EC3" w14:textId="1093A56C"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c>
          <w:tcPr>
            <w:tcW w:w="1039" w:type="pct"/>
            <w:tcBorders>
              <w:top w:val="single" w:sz="4" w:space="0" w:color="auto"/>
              <w:left w:val="single" w:sz="4" w:space="0" w:color="auto"/>
              <w:bottom w:val="single" w:sz="4" w:space="0" w:color="auto"/>
              <w:right w:val="single" w:sz="4" w:space="0" w:color="auto"/>
            </w:tcBorders>
            <w:hideMark/>
          </w:tcPr>
          <w:p w14:paraId="20955B39" w14:textId="79FC7003" w:rsidR="00455700" w:rsidRPr="00F37492" w:rsidRDefault="00455700" w:rsidP="00455700">
            <w:pPr>
              <w:keepNext/>
              <w:widowControl w:val="0"/>
              <w:jc w:val="center"/>
              <w:rPr>
                <w:noProof/>
                <w:sz w:val="22"/>
                <w:szCs w:val="22"/>
              </w:rPr>
            </w:pPr>
            <w:r w:rsidRPr="00F37492">
              <w:rPr>
                <w:noProof/>
                <w:sz w:val="22"/>
                <w:szCs w:val="22"/>
              </w:rPr>
              <w:t>-</w:t>
            </w:r>
          </w:p>
        </w:tc>
        <w:tc>
          <w:tcPr>
            <w:tcW w:w="1038" w:type="pct"/>
          </w:tcPr>
          <w:p w14:paraId="60ADD061" w14:textId="42BA8AE0"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r>
      <w:tr w:rsidR="00455700" w:rsidRPr="00F37492" w14:paraId="2D6BA9FC" w14:textId="071FFC86"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5AE26E2C" w14:textId="77777777" w:rsidR="00455700" w:rsidRPr="00F37492" w:rsidRDefault="00455700" w:rsidP="00455700">
            <w:pPr>
              <w:keepNext/>
              <w:widowControl w:val="0"/>
              <w:rPr>
                <w:noProof/>
                <w:sz w:val="22"/>
                <w:szCs w:val="22"/>
              </w:rPr>
            </w:pPr>
            <w:r w:rsidRPr="00F37492">
              <w:rPr>
                <w:noProof/>
                <w:sz w:val="22"/>
                <w:szCs w:val="22"/>
              </w:rPr>
              <w:tab/>
              <w:t xml:space="preserve">CTCAE stepen </w:t>
            </w:r>
            <w:r w:rsidRPr="00F37492">
              <w:rPr>
                <w:bCs/>
                <w:noProof/>
                <w:sz w:val="22"/>
                <w:szCs w:val="22"/>
              </w:rPr>
              <w:t>≥</w:t>
            </w:r>
            <w:r w:rsidRPr="00F37492">
              <w:rPr>
                <w:noProof/>
                <w:sz w:val="22"/>
                <w:szCs w:val="22"/>
              </w:rPr>
              <w:t>3</w:t>
            </w:r>
          </w:p>
        </w:tc>
        <w:tc>
          <w:tcPr>
            <w:tcW w:w="700" w:type="pct"/>
            <w:tcBorders>
              <w:top w:val="single" w:sz="4" w:space="0" w:color="auto"/>
              <w:left w:val="single" w:sz="4" w:space="0" w:color="auto"/>
              <w:bottom w:val="single" w:sz="4" w:space="0" w:color="auto"/>
              <w:right w:val="single" w:sz="4" w:space="0" w:color="auto"/>
            </w:tcBorders>
            <w:hideMark/>
          </w:tcPr>
          <w:p w14:paraId="3BA96C52" w14:textId="77777777" w:rsidR="00455700" w:rsidRPr="00F37492" w:rsidRDefault="00455700" w:rsidP="00455700">
            <w:pPr>
              <w:keepNext/>
              <w:widowControl w:val="0"/>
              <w:jc w:val="center"/>
              <w:rPr>
                <w:noProof/>
                <w:sz w:val="22"/>
                <w:szCs w:val="22"/>
              </w:rPr>
            </w:pPr>
            <w:r w:rsidRPr="00F37492">
              <w:rPr>
                <w:noProof/>
                <w:sz w:val="22"/>
                <w:szCs w:val="22"/>
              </w:rPr>
              <w:t>Povremeno</w:t>
            </w:r>
          </w:p>
        </w:tc>
        <w:tc>
          <w:tcPr>
            <w:tcW w:w="1039" w:type="pct"/>
          </w:tcPr>
          <w:p w14:paraId="5F8B2B97" w14:textId="0B3DE6E5" w:rsidR="00455700" w:rsidRPr="00455700" w:rsidRDefault="00455700" w:rsidP="00455700">
            <w:pPr>
              <w:keepNext/>
              <w:widowControl w:val="0"/>
              <w:jc w:val="center"/>
              <w:rPr>
                <w:noProof/>
                <w:sz w:val="22"/>
                <w:szCs w:val="22"/>
              </w:rPr>
            </w:pPr>
            <w:r w:rsidRPr="00F91F2E">
              <w:rPr>
                <w:rFonts w:eastAsia="SimSun"/>
                <w:bCs/>
                <w:sz w:val="22"/>
                <w:szCs w:val="22"/>
                <w:lang w:val="hr-HR"/>
              </w:rPr>
              <w:t>N/P</w:t>
            </w:r>
            <w:r w:rsidRPr="00F91F2E">
              <w:rPr>
                <w:rFonts w:eastAsia="SimSun"/>
                <w:bCs/>
                <w:sz w:val="22"/>
                <w:szCs w:val="22"/>
                <w:vertAlign w:val="superscript"/>
                <w:lang w:val="hr-HR"/>
              </w:rPr>
              <w:t>5</w:t>
            </w:r>
          </w:p>
        </w:tc>
        <w:tc>
          <w:tcPr>
            <w:tcW w:w="1039" w:type="pct"/>
            <w:tcBorders>
              <w:top w:val="single" w:sz="4" w:space="0" w:color="auto"/>
              <w:left w:val="single" w:sz="4" w:space="0" w:color="auto"/>
              <w:bottom w:val="single" w:sz="4" w:space="0" w:color="auto"/>
              <w:right w:val="single" w:sz="4" w:space="0" w:color="auto"/>
            </w:tcBorders>
            <w:hideMark/>
          </w:tcPr>
          <w:p w14:paraId="6DAD5390" w14:textId="20DD296E" w:rsidR="00455700" w:rsidRPr="00F37492" w:rsidRDefault="00455700" w:rsidP="00455700">
            <w:pPr>
              <w:keepNext/>
              <w:widowControl w:val="0"/>
              <w:jc w:val="center"/>
              <w:rPr>
                <w:noProof/>
                <w:sz w:val="22"/>
                <w:szCs w:val="22"/>
              </w:rPr>
            </w:pPr>
            <w:r w:rsidRPr="00F37492">
              <w:rPr>
                <w:noProof/>
                <w:sz w:val="22"/>
                <w:szCs w:val="22"/>
              </w:rPr>
              <w:t>-</w:t>
            </w:r>
          </w:p>
        </w:tc>
        <w:tc>
          <w:tcPr>
            <w:tcW w:w="1038" w:type="pct"/>
          </w:tcPr>
          <w:p w14:paraId="712747A4" w14:textId="096E8FC4"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r>
      <w:tr w:rsidR="00455700" w:rsidRPr="00F37492" w14:paraId="1481F553" w14:textId="0AF449CE"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1664E6F7" w14:textId="77777777" w:rsidR="00455700" w:rsidRPr="00F37492" w:rsidRDefault="00455700" w:rsidP="00455700">
            <w:pPr>
              <w:keepNext/>
              <w:widowControl w:val="0"/>
              <w:rPr>
                <w:noProof/>
                <w:sz w:val="22"/>
                <w:szCs w:val="22"/>
              </w:rPr>
            </w:pPr>
            <w:r w:rsidRPr="00F37492">
              <w:rPr>
                <w:noProof/>
                <w:sz w:val="22"/>
                <w:szCs w:val="22"/>
              </w:rPr>
              <w:t xml:space="preserve">Konstipacija </w:t>
            </w:r>
          </w:p>
        </w:tc>
        <w:tc>
          <w:tcPr>
            <w:tcW w:w="700" w:type="pct"/>
            <w:hideMark/>
          </w:tcPr>
          <w:p w14:paraId="37FD50F9" w14:textId="418610C1"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Pr>
          <w:p w14:paraId="12AC1908" w14:textId="60CF9DAE" w:rsidR="00455700" w:rsidRPr="00455700" w:rsidRDefault="00455700" w:rsidP="00455700">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0C181FA0" w14:textId="79141665" w:rsidR="00455700" w:rsidRPr="00F37492" w:rsidRDefault="00455700" w:rsidP="00455700">
            <w:pPr>
              <w:keepNext/>
              <w:widowControl w:val="0"/>
              <w:jc w:val="center"/>
              <w:rPr>
                <w:noProof/>
                <w:sz w:val="22"/>
                <w:szCs w:val="22"/>
              </w:rPr>
            </w:pPr>
            <w:r w:rsidRPr="00F37492">
              <w:rPr>
                <w:noProof/>
                <w:sz w:val="22"/>
                <w:szCs w:val="22"/>
              </w:rPr>
              <w:t>Često</w:t>
            </w:r>
          </w:p>
        </w:tc>
        <w:tc>
          <w:tcPr>
            <w:tcW w:w="1038" w:type="pct"/>
          </w:tcPr>
          <w:p w14:paraId="58C0149D" w14:textId="718E0441" w:rsidR="00455700" w:rsidRPr="00455700" w:rsidRDefault="00455700" w:rsidP="00455700">
            <w:pPr>
              <w:keepNext/>
              <w:widowControl w:val="0"/>
              <w:jc w:val="center"/>
              <w:rPr>
                <w:noProof/>
                <w:sz w:val="22"/>
                <w:szCs w:val="22"/>
              </w:rPr>
            </w:pPr>
            <w:r w:rsidRPr="00F91F2E">
              <w:rPr>
                <w:rFonts w:eastAsia="SimSun"/>
                <w:sz w:val="22"/>
                <w:szCs w:val="22"/>
                <w:lang w:val="hr-HR"/>
              </w:rPr>
              <w:t>Često</w:t>
            </w:r>
          </w:p>
        </w:tc>
      </w:tr>
      <w:tr w:rsidR="00455700" w:rsidRPr="00F37492" w14:paraId="180CB2AD" w14:textId="5BE3AE64"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58AD2D78" w14:textId="77777777" w:rsidR="00455700" w:rsidRPr="00F37492" w:rsidRDefault="00455700" w:rsidP="00455700">
            <w:pPr>
              <w:widowControl w:val="0"/>
              <w:rPr>
                <w:noProof/>
                <w:sz w:val="22"/>
                <w:szCs w:val="22"/>
              </w:rPr>
            </w:pPr>
            <w:r w:rsidRPr="00F37492">
              <w:rPr>
                <w:noProof/>
                <w:sz w:val="22"/>
                <w:szCs w:val="22"/>
              </w:rPr>
              <w:tab/>
              <w:t xml:space="preserve">CTCAE stepen </w:t>
            </w:r>
            <w:r w:rsidRPr="00F37492">
              <w:rPr>
                <w:bCs/>
                <w:noProof/>
                <w:sz w:val="22"/>
                <w:szCs w:val="22"/>
              </w:rPr>
              <w:t>≥</w:t>
            </w:r>
            <w:r w:rsidRPr="00F37492">
              <w:rPr>
                <w:noProof/>
                <w:sz w:val="22"/>
                <w:szCs w:val="22"/>
              </w:rPr>
              <w:t>3</w:t>
            </w:r>
          </w:p>
        </w:tc>
        <w:tc>
          <w:tcPr>
            <w:tcW w:w="700" w:type="pct"/>
            <w:hideMark/>
          </w:tcPr>
          <w:p w14:paraId="06B636E7" w14:textId="4F3D9EF1" w:rsidR="00455700" w:rsidRPr="00455700" w:rsidRDefault="00455700" w:rsidP="00455700">
            <w:pPr>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Pr>
          <w:p w14:paraId="5C42C2E5" w14:textId="17E108C9" w:rsidR="00455700" w:rsidRPr="00455700" w:rsidRDefault="00455700" w:rsidP="00455700">
            <w:pPr>
              <w:widowControl w:val="0"/>
              <w:jc w:val="center"/>
              <w:rPr>
                <w:bCs/>
                <w:noProof/>
                <w:sz w:val="22"/>
                <w:szCs w:val="22"/>
              </w:rPr>
            </w:pPr>
            <w:r w:rsidRPr="00F91F2E">
              <w:rPr>
                <w:sz w:val="22"/>
                <w:szCs w:val="22"/>
                <w:lang w:val="hr-HR"/>
              </w:rPr>
              <w:t>-</w:t>
            </w:r>
            <w:r w:rsidRPr="00F91F2E">
              <w:rPr>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1764FB63" w14:textId="6F48F097" w:rsidR="00455700" w:rsidRPr="00F37492" w:rsidRDefault="00455700" w:rsidP="00455700">
            <w:pPr>
              <w:widowControl w:val="0"/>
              <w:jc w:val="center"/>
              <w:rPr>
                <w:bCs/>
                <w:noProof/>
                <w:sz w:val="22"/>
                <w:szCs w:val="22"/>
              </w:rPr>
            </w:pPr>
            <w:r>
              <w:rPr>
                <w:bCs/>
                <w:noProof/>
                <w:sz w:val="22"/>
                <w:szCs w:val="22"/>
              </w:rPr>
              <w:t>NP</w:t>
            </w:r>
            <w:r w:rsidRPr="00F37492">
              <w:rPr>
                <w:bCs/>
                <w:noProof/>
                <w:sz w:val="22"/>
                <w:szCs w:val="22"/>
                <w:vertAlign w:val="superscript"/>
              </w:rPr>
              <w:t>5</w:t>
            </w:r>
          </w:p>
        </w:tc>
        <w:tc>
          <w:tcPr>
            <w:tcW w:w="1038" w:type="pct"/>
          </w:tcPr>
          <w:p w14:paraId="48A6069F" w14:textId="70461856" w:rsidR="00455700" w:rsidRPr="00455700" w:rsidRDefault="00455700" w:rsidP="00455700">
            <w:pPr>
              <w:widowControl w:val="0"/>
              <w:jc w:val="center"/>
              <w:rPr>
                <w:bCs/>
                <w:noProof/>
                <w:sz w:val="22"/>
                <w:szCs w:val="22"/>
              </w:rPr>
            </w:pPr>
            <w:r w:rsidRPr="00F91F2E">
              <w:rPr>
                <w:rFonts w:eastAsia="SimSun"/>
                <w:bCs/>
                <w:sz w:val="22"/>
                <w:szCs w:val="22"/>
                <w:lang w:val="hr-HR"/>
              </w:rPr>
              <w:t>N/P</w:t>
            </w:r>
            <w:r w:rsidRPr="00F91F2E">
              <w:rPr>
                <w:rFonts w:eastAsia="SimSun"/>
                <w:bCs/>
                <w:sz w:val="22"/>
                <w:szCs w:val="22"/>
                <w:vertAlign w:val="superscript"/>
                <w:lang w:val="hr-HR"/>
              </w:rPr>
              <w:t>5</w:t>
            </w:r>
          </w:p>
        </w:tc>
      </w:tr>
      <w:tr w:rsidR="00455700" w:rsidRPr="00F37492" w14:paraId="421DF104" w14:textId="2458E8DD" w:rsidTr="00F91F2E">
        <w:trPr>
          <w:cantSplit/>
        </w:trPr>
        <w:tc>
          <w:tcPr>
            <w:tcW w:w="1045" w:type="pct"/>
            <w:tcBorders>
              <w:top w:val="single" w:sz="4" w:space="0" w:color="auto"/>
              <w:left w:val="single" w:sz="4" w:space="0" w:color="auto"/>
              <w:bottom w:val="single" w:sz="4" w:space="0" w:color="auto"/>
              <w:right w:val="single" w:sz="4" w:space="0" w:color="auto"/>
            </w:tcBorders>
          </w:tcPr>
          <w:p w14:paraId="75DD570E" w14:textId="77777777" w:rsidR="00455700" w:rsidRPr="00F37492" w:rsidRDefault="00455700" w:rsidP="000A557B">
            <w:pPr>
              <w:keepNext/>
              <w:widowControl w:val="0"/>
              <w:rPr>
                <w:b/>
                <w:sz w:val="22"/>
                <w:szCs w:val="22"/>
                <w:lang w:val="hr-HR"/>
              </w:rPr>
            </w:pPr>
          </w:p>
        </w:tc>
        <w:tc>
          <w:tcPr>
            <w:tcW w:w="2917" w:type="pct"/>
            <w:gridSpan w:val="4"/>
            <w:tcBorders>
              <w:top w:val="single" w:sz="4" w:space="0" w:color="auto"/>
              <w:left w:val="single" w:sz="4" w:space="0" w:color="auto"/>
              <w:bottom w:val="single" w:sz="4" w:space="0" w:color="auto"/>
              <w:right w:val="single" w:sz="4" w:space="0" w:color="auto"/>
            </w:tcBorders>
            <w:vAlign w:val="center"/>
            <w:hideMark/>
          </w:tcPr>
          <w:p w14:paraId="3A2F42AE" w14:textId="083BB6B8" w:rsidR="00455700" w:rsidRPr="00F37492" w:rsidRDefault="00455700" w:rsidP="000A557B">
            <w:pPr>
              <w:keepNext/>
              <w:widowControl w:val="0"/>
              <w:rPr>
                <w:b/>
                <w:noProof/>
                <w:sz w:val="22"/>
                <w:szCs w:val="22"/>
              </w:rPr>
            </w:pPr>
            <w:r w:rsidRPr="00F37492">
              <w:rPr>
                <w:b/>
                <w:sz w:val="22"/>
                <w:szCs w:val="22"/>
                <w:lang w:val="hr-HR"/>
              </w:rPr>
              <w:t>Hepatobilijarni poremećaji</w:t>
            </w:r>
          </w:p>
        </w:tc>
        <w:tc>
          <w:tcPr>
            <w:tcW w:w="1038" w:type="pct"/>
            <w:tcBorders>
              <w:top w:val="single" w:sz="4" w:space="0" w:color="auto"/>
              <w:left w:val="single" w:sz="4" w:space="0" w:color="auto"/>
              <w:bottom w:val="single" w:sz="4" w:space="0" w:color="auto"/>
              <w:right w:val="single" w:sz="4" w:space="0" w:color="auto"/>
            </w:tcBorders>
          </w:tcPr>
          <w:p w14:paraId="01EA3DBB" w14:textId="77777777" w:rsidR="00455700" w:rsidRPr="00F37492" w:rsidRDefault="00455700" w:rsidP="000A557B">
            <w:pPr>
              <w:keepNext/>
              <w:widowControl w:val="0"/>
              <w:rPr>
                <w:b/>
                <w:sz w:val="22"/>
                <w:szCs w:val="22"/>
                <w:lang w:val="hr-HR"/>
              </w:rPr>
            </w:pPr>
          </w:p>
        </w:tc>
      </w:tr>
      <w:tr w:rsidR="00A80A2D" w:rsidRPr="00F37492" w14:paraId="34640F63" w14:textId="124EE170"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11B3FE33" w14:textId="77777777" w:rsidR="00A80A2D" w:rsidRPr="00F37492" w:rsidRDefault="00A80A2D" w:rsidP="00A80A2D">
            <w:pPr>
              <w:keepNext/>
              <w:widowControl w:val="0"/>
              <w:rPr>
                <w:noProof/>
                <w:sz w:val="22"/>
                <w:szCs w:val="22"/>
              </w:rPr>
            </w:pPr>
            <w:r w:rsidRPr="00F37492">
              <w:rPr>
                <w:sz w:val="22"/>
                <w:szCs w:val="22"/>
                <w:lang w:val="hr-HR"/>
              </w:rPr>
              <w:t>Povišena alanin aminotransferaza</w:t>
            </w:r>
            <w:r w:rsidRPr="00F37492">
              <w:rPr>
                <w:noProof/>
                <w:sz w:val="22"/>
                <w:szCs w:val="22"/>
                <w:vertAlign w:val="superscript"/>
              </w:rPr>
              <w:t>1</w:t>
            </w:r>
          </w:p>
        </w:tc>
        <w:tc>
          <w:tcPr>
            <w:tcW w:w="700" w:type="pct"/>
            <w:tcBorders>
              <w:top w:val="single" w:sz="4" w:space="0" w:color="auto"/>
              <w:left w:val="single" w:sz="4" w:space="0" w:color="auto"/>
              <w:bottom w:val="single" w:sz="4" w:space="0" w:color="auto"/>
              <w:right w:val="single" w:sz="4" w:space="0" w:color="auto"/>
            </w:tcBorders>
            <w:hideMark/>
          </w:tcPr>
          <w:p w14:paraId="412B928A" w14:textId="77777777" w:rsidR="00A80A2D" w:rsidRPr="00F37492" w:rsidRDefault="00A80A2D" w:rsidP="00A80A2D">
            <w:pPr>
              <w:keepNext/>
              <w:widowControl w:val="0"/>
              <w:jc w:val="center"/>
              <w:rPr>
                <w:noProof/>
                <w:sz w:val="22"/>
                <w:szCs w:val="22"/>
              </w:rPr>
            </w:pPr>
            <w:r w:rsidRPr="00F37492">
              <w:rPr>
                <w:noProof/>
                <w:sz w:val="22"/>
                <w:szCs w:val="22"/>
              </w:rPr>
              <w:t>Veoma često</w:t>
            </w:r>
          </w:p>
        </w:tc>
        <w:tc>
          <w:tcPr>
            <w:tcW w:w="1039" w:type="pct"/>
          </w:tcPr>
          <w:p w14:paraId="0837A4B0" w14:textId="4313032C" w:rsidR="00A80A2D" w:rsidRPr="00A80A2D" w:rsidRDefault="00A80A2D" w:rsidP="00A80A2D">
            <w:pPr>
              <w:keepNext/>
              <w:widowControl w:val="0"/>
              <w:jc w:val="center"/>
              <w:rPr>
                <w:noProof/>
                <w:sz w:val="22"/>
                <w:szCs w:val="22"/>
              </w:rPr>
            </w:pPr>
            <w:r w:rsidRPr="00F91F2E">
              <w:rPr>
                <w:noProof/>
                <w:sz w:val="22"/>
                <w:szCs w:val="22"/>
              </w:rPr>
              <w:t>Veoma</w:t>
            </w:r>
            <w:r w:rsidRPr="00F91F2E">
              <w:rPr>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3FA191D3" w14:textId="4761A65A" w:rsidR="00A80A2D" w:rsidRPr="00F37492" w:rsidRDefault="00A80A2D" w:rsidP="00A80A2D">
            <w:pPr>
              <w:keepNext/>
              <w:widowControl w:val="0"/>
              <w:jc w:val="center"/>
              <w:rPr>
                <w:noProof/>
                <w:sz w:val="22"/>
                <w:szCs w:val="22"/>
              </w:rPr>
            </w:pPr>
            <w:r w:rsidRPr="00F37492">
              <w:rPr>
                <w:noProof/>
                <w:sz w:val="22"/>
                <w:szCs w:val="22"/>
              </w:rPr>
              <w:t>Veoma često</w:t>
            </w:r>
          </w:p>
        </w:tc>
        <w:tc>
          <w:tcPr>
            <w:tcW w:w="1038" w:type="pct"/>
          </w:tcPr>
          <w:p w14:paraId="772B497F" w14:textId="12D50818" w:rsidR="00A80A2D" w:rsidRPr="00A80A2D" w:rsidRDefault="00A80A2D" w:rsidP="00A80A2D">
            <w:pPr>
              <w:keepNext/>
              <w:widowControl w:val="0"/>
              <w:jc w:val="center"/>
              <w:rPr>
                <w:noProof/>
                <w:sz w:val="22"/>
                <w:szCs w:val="22"/>
              </w:rPr>
            </w:pPr>
            <w:r w:rsidRPr="00F91F2E">
              <w:rPr>
                <w:noProof/>
                <w:sz w:val="22"/>
                <w:szCs w:val="22"/>
              </w:rPr>
              <w:t>Veoma</w:t>
            </w:r>
            <w:r w:rsidRPr="00F91F2E">
              <w:rPr>
                <w:sz w:val="22"/>
                <w:szCs w:val="22"/>
                <w:lang w:val="hr-HR"/>
              </w:rPr>
              <w:t xml:space="preserve"> često</w:t>
            </w:r>
          </w:p>
        </w:tc>
      </w:tr>
      <w:tr w:rsidR="00A80A2D" w:rsidRPr="00F37492" w14:paraId="4C9A2E74" w14:textId="52AF8CBD"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7DAF2A98" w14:textId="77777777" w:rsidR="00A80A2D" w:rsidRPr="00F37492" w:rsidRDefault="00A80A2D" w:rsidP="00A80A2D">
            <w:pPr>
              <w:keepNext/>
              <w:widowControl w:val="0"/>
              <w:rPr>
                <w:noProof/>
                <w:sz w:val="22"/>
                <w:szCs w:val="22"/>
              </w:rPr>
            </w:pPr>
            <w:r w:rsidRPr="00F37492">
              <w:rPr>
                <w:noProof/>
                <w:sz w:val="22"/>
                <w:szCs w:val="22"/>
              </w:rPr>
              <w:tab/>
              <w:t>CTCAE stepen 3</w:t>
            </w:r>
          </w:p>
        </w:tc>
        <w:tc>
          <w:tcPr>
            <w:tcW w:w="700" w:type="pct"/>
            <w:tcBorders>
              <w:top w:val="single" w:sz="4" w:space="0" w:color="auto"/>
              <w:left w:val="single" w:sz="4" w:space="0" w:color="auto"/>
              <w:bottom w:val="single" w:sz="4" w:space="0" w:color="auto"/>
              <w:right w:val="single" w:sz="4" w:space="0" w:color="auto"/>
            </w:tcBorders>
            <w:hideMark/>
          </w:tcPr>
          <w:p w14:paraId="4401FD0F" w14:textId="77777777" w:rsidR="00A80A2D" w:rsidRPr="00F37492" w:rsidRDefault="00A80A2D" w:rsidP="00A80A2D">
            <w:pPr>
              <w:keepNext/>
              <w:widowControl w:val="0"/>
              <w:jc w:val="center"/>
              <w:rPr>
                <w:noProof/>
                <w:sz w:val="22"/>
                <w:szCs w:val="22"/>
              </w:rPr>
            </w:pPr>
            <w:r w:rsidRPr="00F37492">
              <w:rPr>
                <w:noProof/>
                <w:sz w:val="22"/>
                <w:szCs w:val="22"/>
              </w:rPr>
              <w:t>Veoma često</w:t>
            </w:r>
          </w:p>
        </w:tc>
        <w:tc>
          <w:tcPr>
            <w:tcW w:w="1039" w:type="pct"/>
          </w:tcPr>
          <w:p w14:paraId="29C1B539" w14:textId="4B6D8F1E" w:rsidR="00A80A2D" w:rsidRPr="00A80A2D" w:rsidRDefault="00A80A2D" w:rsidP="00A80A2D">
            <w:pPr>
              <w:keepNext/>
              <w:widowControl w:val="0"/>
              <w:jc w:val="center"/>
              <w:rPr>
                <w:noProof/>
                <w:sz w:val="22"/>
                <w:szCs w:val="22"/>
              </w:rPr>
            </w:pPr>
            <w:r w:rsidRPr="00F91F2E">
              <w:rPr>
                <w:noProof/>
                <w:sz w:val="22"/>
                <w:szCs w:val="22"/>
              </w:rPr>
              <w:t>Veoma</w:t>
            </w:r>
            <w:r w:rsidRPr="00F91F2E">
              <w:rPr>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1B55FB66" w14:textId="59B5AD2E" w:rsidR="00A80A2D" w:rsidRPr="00F37492" w:rsidRDefault="00A80A2D" w:rsidP="00A80A2D">
            <w:pPr>
              <w:keepNext/>
              <w:widowControl w:val="0"/>
              <w:jc w:val="center"/>
              <w:rPr>
                <w:noProof/>
                <w:sz w:val="22"/>
                <w:szCs w:val="22"/>
              </w:rPr>
            </w:pPr>
            <w:r w:rsidRPr="00F37492">
              <w:rPr>
                <w:noProof/>
                <w:sz w:val="22"/>
                <w:szCs w:val="22"/>
              </w:rPr>
              <w:t>Često</w:t>
            </w:r>
          </w:p>
        </w:tc>
        <w:tc>
          <w:tcPr>
            <w:tcW w:w="1038" w:type="pct"/>
          </w:tcPr>
          <w:p w14:paraId="33B71563" w14:textId="11A4292F" w:rsidR="00A80A2D" w:rsidRPr="00A80A2D" w:rsidRDefault="00A80A2D" w:rsidP="00A80A2D">
            <w:pPr>
              <w:keepNext/>
              <w:widowControl w:val="0"/>
              <w:jc w:val="center"/>
              <w:rPr>
                <w:noProof/>
                <w:sz w:val="22"/>
                <w:szCs w:val="22"/>
              </w:rPr>
            </w:pPr>
            <w:r w:rsidRPr="00F91F2E">
              <w:rPr>
                <w:noProof/>
                <w:sz w:val="22"/>
                <w:szCs w:val="22"/>
              </w:rPr>
              <w:t>Veoma</w:t>
            </w:r>
            <w:r w:rsidRPr="00F91F2E">
              <w:rPr>
                <w:sz w:val="22"/>
                <w:szCs w:val="22"/>
                <w:lang w:val="hr-HR"/>
              </w:rPr>
              <w:t xml:space="preserve"> često</w:t>
            </w:r>
          </w:p>
        </w:tc>
      </w:tr>
      <w:tr w:rsidR="00A80A2D" w:rsidRPr="00F37492" w14:paraId="2936601F" w14:textId="11BC51EE"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51F4ED09" w14:textId="77777777" w:rsidR="00A80A2D" w:rsidRPr="00F37492" w:rsidRDefault="00A80A2D" w:rsidP="00A80A2D">
            <w:pPr>
              <w:keepNext/>
              <w:widowControl w:val="0"/>
              <w:rPr>
                <w:noProof/>
                <w:sz w:val="22"/>
                <w:szCs w:val="22"/>
              </w:rPr>
            </w:pPr>
            <w:r w:rsidRPr="00F37492">
              <w:rPr>
                <w:noProof/>
                <w:sz w:val="22"/>
                <w:szCs w:val="22"/>
              </w:rPr>
              <w:tab/>
              <w:t>CTCAE stepen 4</w:t>
            </w:r>
          </w:p>
        </w:tc>
        <w:tc>
          <w:tcPr>
            <w:tcW w:w="700" w:type="pct"/>
            <w:tcBorders>
              <w:top w:val="single" w:sz="4" w:space="0" w:color="auto"/>
              <w:left w:val="single" w:sz="4" w:space="0" w:color="auto"/>
              <w:bottom w:val="single" w:sz="4" w:space="0" w:color="auto"/>
              <w:right w:val="single" w:sz="4" w:space="0" w:color="auto"/>
            </w:tcBorders>
            <w:hideMark/>
          </w:tcPr>
          <w:p w14:paraId="3C364464" w14:textId="77777777" w:rsidR="00A80A2D" w:rsidRPr="00F37492" w:rsidRDefault="00A80A2D" w:rsidP="00A80A2D">
            <w:pPr>
              <w:keepNext/>
              <w:widowControl w:val="0"/>
              <w:jc w:val="center"/>
              <w:rPr>
                <w:noProof/>
                <w:sz w:val="22"/>
                <w:szCs w:val="22"/>
              </w:rPr>
            </w:pPr>
            <w:r w:rsidRPr="00F37492">
              <w:rPr>
                <w:noProof/>
                <w:sz w:val="22"/>
                <w:szCs w:val="22"/>
              </w:rPr>
              <w:t>Često</w:t>
            </w:r>
          </w:p>
        </w:tc>
        <w:tc>
          <w:tcPr>
            <w:tcW w:w="1039" w:type="pct"/>
          </w:tcPr>
          <w:p w14:paraId="73D67048" w14:textId="45184D76" w:rsidR="00A80A2D" w:rsidRPr="00A80A2D" w:rsidRDefault="00A80A2D" w:rsidP="00A80A2D">
            <w:pPr>
              <w:keepNext/>
              <w:widowControl w:val="0"/>
              <w:jc w:val="center"/>
              <w:rPr>
                <w:noProof/>
                <w:sz w:val="22"/>
                <w:szCs w:val="22"/>
              </w:rPr>
            </w:pPr>
            <w:r w:rsidRPr="00F91F2E">
              <w:rPr>
                <w:sz w:val="22"/>
                <w:szCs w:val="22"/>
                <w:lang w:val="hr-HR"/>
              </w:rPr>
              <w:t>N/P</w:t>
            </w:r>
            <w:r w:rsidRPr="00F91F2E">
              <w:rPr>
                <w:sz w:val="22"/>
                <w:szCs w:val="22"/>
                <w:vertAlign w:val="superscript"/>
                <w:lang w:val="hr-HR"/>
              </w:rPr>
              <w:t>5</w:t>
            </w:r>
          </w:p>
        </w:tc>
        <w:tc>
          <w:tcPr>
            <w:tcW w:w="1039" w:type="pct"/>
            <w:tcBorders>
              <w:top w:val="single" w:sz="4" w:space="0" w:color="auto"/>
              <w:left w:val="single" w:sz="4" w:space="0" w:color="auto"/>
              <w:bottom w:val="single" w:sz="4" w:space="0" w:color="auto"/>
              <w:right w:val="single" w:sz="4" w:space="0" w:color="auto"/>
            </w:tcBorders>
            <w:hideMark/>
          </w:tcPr>
          <w:p w14:paraId="08EA8D2B" w14:textId="07521AAF" w:rsidR="00A80A2D" w:rsidRPr="00F37492" w:rsidRDefault="00A80A2D" w:rsidP="00A80A2D">
            <w:pPr>
              <w:keepNext/>
              <w:widowControl w:val="0"/>
              <w:jc w:val="center"/>
              <w:rPr>
                <w:noProof/>
                <w:sz w:val="22"/>
                <w:szCs w:val="22"/>
              </w:rPr>
            </w:pPr>
            <w:r w:rsidRPr="00F37492">
              <w:rPr>
                <w:noProof/>
                <w:sz w:val="22"/>
                <w:szCs w:val="22"/>
              </w:rPr>
              <w:t>Povremeno</w:t>
            </w:r>
          </w:p>
        </w:tc>
        <w:tc>
          <w:tcPr>
            <w:tcW w:w="1038" w:type="pct"/>
          </w:tcPr>
          <w:p w14:paraId="009FDE92" w14:textId="61CCA6D8" w:rsidR="00A80A2D" w:rsidRPr="00A80A2D" w:rsidRDefault="00A80A2D" w:rsidP="00A80A2D">
            <w:pPr>
              <w:keepNext/>
              <w:widowControl w:val="0"/>
              <w:jc w:val="center"/>
              <w:rPr>
                <w:noProof/>
                <w:sz w:val="22"/>
                <w:szCs w:val="22"/>
              </w:rPr>
            </w:pPr>
            <w:r w:rsidRPr="00F91F2E">
              <w:rPr>
                <w:sz w:val="22"/>
                <w:szCs w:val="22"/>
                <w:lang w:val="hr-HR"/>
              </w:rPr>
              <w:t>Često</w:t>
            </w:r>
          </w:p>
        </w:tc>
      </w:tr>
      <w:tr w:rsidR="00A80A2D" w:rsidRPr="00F37492" w14:paraId="0029E713" w14:textId="102A48FB"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26125344" w14:textId="77777777" w:rsidR="00A80A2D" w:rsidRPr="00F37492" w:rsidRDefault="00A80A2D" w:rsidP="00A80A2D">
            <w:pPr>
              <w:keepNext/>
              <w:widowControl w:val="0"/>
              <w:rPr>
                <w:noProof/>
                <w:sz w:val="22"/>
                <w:szCs w:val="22"/>
              </w:rPr>
            </w:pPr>
            <w:r w:rsidRPr="00F37492">
              <w:rPr>
                <w:sz w:val="22"/>
                <w:szCs w:val="22"/>
                <w:lang w:val="hr-HR"/>
              </w:rPr>
              <w:t>Povišena aspartat aminotransferaza</w:t>
            </w:r>
            <w:r w:rsidRPr="00F37492">
              <w:rPr>
                <w:noProof/>
                <w:sz w:val="22"/>
                <w:szCs w:val="22"/>
                <w:vertAlign w:val="superscript"/>
                <w:lang w:val="hr-HR"/>
              </w:rPr>
              <w:t xml:space="preserve"> </w:t>
            </w:r>
            <w:r w:rsidRPr="00F37492">
              <w:rPr>
                <w:noProof/>
                <w:sz w:val="22"/>
                <w:szCs w:val="22"/>
                <w:vertAlign w:val="superscript"/>
              </w:rPr>
              <w:t>1</w:t>
            </w:r>
          </w:p>
        </w:tc>
        <w:tc>
          <w:tcPr>
            <w:tcW w:w="700" w:type="pct"/>
            <w:tcBorders>
              <w:top w:val="single" w:sz="4" w:space="0" w:color="auto"/>
              <w:left w:val="single" w:sz="4" w:space="0" w:color="auto"/>
              <w:bottom w:val="single" w:sz="4" w:space="0" w:color="auto"/>
              <w:right w:val="single" w:sz="4" w:space="0" w:color="auto"/>
            </w:tcBorders>
            <w:hideMark/>
          </w:tcPr>
          <w:p w14:paraId="28110E8D" w14:textId="77777777" w:rsidR="00A80A2D" w:rsidRPr="00F37492" w:rsidRDefault="00A80A2D" w:rsidP="00A80A2D">
            <w:pPr>
              <w:keepNext/>
              <w:widowControl w:val="0"/>
              <w:jc w:val="center"/>
              <w:rPr>
                <w:noProof/>
                <w:sz w:val="22"/>
                <w:szCs w:val="22"/>
              </w:rPr>
            </w:pPr>
            <w:r w:rsidRPr="00F37492">
              <w:rPr>
                <w:noProof/>
                <w:sz w:val="22"/>
                <w:szCs w:val="22"/>
              </w:rPr>
              <w:t>Veoma često</w:t>
            </w:r>
          </w:p>
        </w:tc>
        <w:tc>
          <w:tcPr>
            <w:tcW w:w="1039" w:type="pct"/>
          </w:tcPr>
          <w:p w14:paraId="4C47E9EF" w14:textId="5060805B" w:rsidR="00A80A2D" w:rsidRPr="00A80A2D" w:rsidRDefault="00A80A2D" w:rsidP="00A80A2D">
            <w:pPr>
              <w:keepNext/>
              <w:widowControl w:val="0"/>
              <w:jc w:val="center"/>
              <w:rPr>
                <w:noProof/>
                <w:sz w:val="22"/>
                <w:szCs w:val="22"/>
              </w:rPr>
            </w:pPr>
            <w:r w:rsidRPr="00F91F2E">
              <w:rPr>
                <w:noProof/>
                <w:sz w:val="22"/>
                <w:szCs w:val="22"/>
              </w:rPr>
              <w:t>Veoma</w:t>
            </w:r>
            <w:r w:rsidRPr="00F91F2E">
              <w:rPr>
                <w:sz w:val="22"/>
                <w:szCs w:val="22"/>
                <w:lang w:val="hr-HR"/>
              </w:rPr>
              <w:t xml:space="preserve"> često</w:t>
            </w:r>
          </w:p>
        </w:tc>
        <w:tc>
          <w:tcPr>
            <w:tcW w:w="1039" w:type="pct"/>
            <w:tcBorders>
              <w:top w:val="single" w:sz="4" w:space="0" w:color="auto"/>
              <w:left w:val="single" w:sz="4" w:space="0" w:color="auto"/>
              <w:bottom w:val="single" w:sz="4" w:space="0" w:color="auto"/>
              <w:right w:val="single" w:sz="4" w:space="0" w:color="auto"/>
            </w:tcBorders>
            <w:hideMark/>
          </w:tcPr>
          <w:p w14:paraId="31680F90" w14:textId="049E69A7" w:rsidR="00A80A2D" w:rsidRPr="00F37492" w:rsidRDefault="00A80A2D" w:rsidP="00A80A2D">
            <w:pPr>
              <w:keepNext/>
              <w:widowControl w:val="0"/>
              <w:jc w:val="center"/>
              <w:rPr>
                <w:noProof/>
                <w:sz w:val="22"/>
                <w:szCs w:val="22"/>
              </w:rPr>
            </w:pPr>
            <w:r w:rsidRPr="00F37492">
              <w:rPr>
                <w:noProof/>
                <w:sz w:val="22"/>
                <w:szCs w:val="22"/>
              </w:rPr>
              <w:t>Veoma često</w:t>
            </w:r>
          </w:p>
        </w:tc>
        <w:tc>
          <w:tcPr>
            <w:tcW w:w="1038" w:type="pct"/>
          </w:tcPr>
          <w:p w14:paraId="413E72AB" w14:textId="0329A435" w:rsidR="00A80A2D" w:rsidRPr="00A80A2D" w:rsidRDefault="00A80A2D" w:rsidP="00A80A2D">
            <w:pPr>
              <w:keepNext/>
              <w:widowControl w:val="0"/>
              <w:jc w:val="center"/>
              <w:rPr>
                <w:noProof/>
                <w:sz w:val="22"/>
                <w:szCs w:val="22"/>
              </w:rPr>
            </w:pPr>
            <w:r w:rsidRPr="00F91F2E">
              <w:rPr>
                <w:sz w:val="22"/>
                <w:szCs w:val="22"/>
              </w:rPr>
              <w:t>Veoma</w:t>
            </w:r>
            <w:r w:rsidRPr="00F91F2E">
              <w:rPr>
                <w:sz w:val="22"/>
                <w:szCs w:val="22"/>
                <w:lang w:val="hr-HR"/>
              </w:rPr>
              <w:t xml:space="preserve"> često</w:t>
            </w:r>
          </w:p>
        </w:tc>
      </w:tr>
      <w:tr w:rsidR="00A80A2D" w:rsidRPr="00F37492" w14:paraId="0A462DDD" w14:textId="13C1D2EB"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62927C9F" w14:textId="77777777" w:rsidR="00A80A2D" w:rsidRPr="00F37492" w:rsidRDefault="00A80A2D" w:rsidP="00A80A2D">
            <w:pPr>
              <w:keepNext/>
              <w:widowControl w:val="0"/>
              <w:rPr>
                <w:noProof/>
                <w:sz w:val="22"/>
                <w:szCs w:val="22"/>
              </w:rPr>
            </w:pPr>
            <w:r w:rsidRPr="00F37492">
              <w:rPr>
                <w:noProof/>
                <w:sz w:val="22"/>
                <w:szCs w:val="22"/>
              </w:rPr>
              <w:tab/>
              <w:t>CTCAE stepen 3</w:t>
            </w:r>
          </w:p>
        </w:tc>
        <w:tc>
          <w:tcPr>
            <w:tcW w:w="700" w:type="pct"/>
            <w:tcBorders>
              <w:top w:val="single" w:sz="4" w:space="0" w:color="auto"/>
              <w:left w:val="single" w:sz="4" w:space="0" w:color="auto"/>
              <w:bottom w:val="single" w:sz="4" w:space="0" w:color="auto"/>
              <w:right w:val="single" w:sz="4" w:space="0" w:color="auto"/>
            </w:tcBorders>
            <w:hideMark/>
          </w:tcPr>
          <w:p w14:paraId="28C3CCDC" w14:textId="77777777" w:rsidR="00A80A2D" w:rsidRPr="00F37492" w:rsidRDefault="00A80A2D" w:rsidP="00A80A2D">
            <w:pPr>
              <w:keepNext/>
              <w:widowControl w:val="0"/>
              <w:jc w:val="center"/>
              <w:rPr>
                <w:noProof/>
                <w:sz w:val="22"/>
                <w:szCs w:val="22"/>
              </w:rPr>
            </w:pPr>
            <w:r w:rsidRPr="00F37492">
              <w:rPr>
                <w:noProof/>
                <w:sz w:val="22"/>
                <w:szCs w:val="22"/>
              </w:rPr>
              <w:t>Često</w:t>
            </w:r>
          </w:p>
        </w:tc>
        <w:tc>
          <w:tcPr>
            <w:tcW w:w="1039" w:type="pct"/>
          </w:tcPr>
          <w:p w14:paraId="0737A22F" w14:textId="212910C1" w:rsidR="00A80A2D" w:rsidRPr="00A80A2D" w:rsidRDefault="00A80A2D" w:rsidP="00A80A2D">
            <w:pPr>
              <w:keepNext/>
              <w:widowControl w:val="0"/>
              <w:jc w:val="center"/>
              <w:rPr>
                <w:noProof/>
                <w:sz w:val="22"/>
                <w:szCs w:val="22"/>
              </w:rPr>
            </w:pPr>
            <w:r w:rsidRPr="00F91F2E">
              <w:rPr>
                <w:sz w:val="22"/>
                <w:szCs w:val="22"/>
                <w:lang w:val="hr-HR"/>
              </w:rPr>
              <w:t>Često</w:t>
            </w:r>
          </w:p>
        </w:tc>
        <w:tc>
          <w:tcPr>
            <w:tcW w:w="1039" w:type="pct"/>
            <w:tcBorders>
              <w:top w:val="single" w:sz="4" w:space="0" w:color="auto"/>
              <w:left w:val="single" w:sz="4" w:space="0" w:color="auto"/>
              <w:bottom w:val="single" w:sz="4" w:space="0" w:color="auto"/>
              <w:right w:val="single" w:sz="4" w:space="0" w:color="auto"/>
            </w:tcBorders>
            <w:hideMark/>
          </w:tcPr>
          <w:p w14:paraId="7A96E7C3" w14:textId="7DE64D7D" w:rsidR="00A80A2D" w:rsidRPr="00F37492" w:rsidRDefault="00A80A2D" w:rsidP="00A80A2D">
            <w:pPr>
              <w:keepNext/>
              <w:widowControl w:val="0"/>
              <w:jc w:val="center"/>
              <w:rPr>
                <w:noProof/>
                <w:sz w:val="22"/>
                <w:szCs w:val="22"/>
              </w:rPr>
            </w:pPr>
            <w:r w:rsidRPr="00F37492">
              <w:rPr>
                <w:noProof/>
                <w:sz w:val="22"/>
                <w:szCs w:val="22"/>
              </w:rPr>
              <w:t>Često</w:t>
            </w:r>
          </w:p>
        </w:tc>
        <w:tc>
          <w:tcPr>
            <w:tcW w:w="1038" w:type="pct"/>
          </w:tcPr>
          <w:p w14:paraId="0DC5336D" w14:textId="6F8D42C4" w:rsidR="00A80A2D" w:rsidRPr="00A80A2D" w:rsidRDefault="00A80A2D" w:rsidP="00A80A2D">
            <w:pPr>
              <w:keepNext/>
              <w:widowControl w:val="0"/>
              <w:jc w:val="center"/>
              <w:rPr>
                <w:noProof/>
                <w:sz w:val="22"/>
                <w:szCs w:val="22"/>
              </w:rPr>
            </w:pPr>
            <w:r w:rsidRPr="00F91F2E">
              <w:rPr>
                <w:noProof/>
                <w:sz w:val="22"/>
                <w:szCs w:val="22"/>
              </w:rPr>
              <w:t>Veoma</w:t>
            </w:r>
            <w:r w:rsidRPr="00F91F2E">
              <w:rPr>
                <w:sz w:val="22"/>
                <w:szCs w:val="22"/>
                <w:lang w:val="hr-HR"/>
              </w:rPr>
              <w:t xml:space="preserve"> često</w:t>
            </w:r>
          </w:p>
        </w:tc>
      </w:tr>
      <w:tr w:rsidR="00A80A2D" w:rsidRPr="00F37492" w14:paraId="35DEFE6C" w14:textId="61529CF6"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415A1AE0" w14:textId="77777777" w:rsidR="00A80A2D" w:rsidRPr="00F37492" w:rsidRDefault="00A80A2D" w:rsidP="00A80A2D">
            <w:pPr>
              <w:widowControl w:val="0"/>
              <w:rPr>
                <w:noProof/>
                <w:sz w:val="22"/>
                <w:szCs w:val="22"/>
              </w:rPr>
            </w:pPr>
            <w:r w:rsidRPr="00F37492">
              <w:rPr>
                <w:noProof/>
                <w:sz w:val="22"/>
                <w:szCs w:val="22"/>
              </w:rPr>
              <w:tab/>
              <w:t>CTCAE stepen 4</w:t>
            </w:r>
          </w:p>
        </w:tc>
        <w:tc>
          <w:tcPr>
            <w:tcW w:w="700" w:type="pct"/>
            <w:tcBorders>
              <w:top w:val="single" w:sz="4" w:space="0" w:color="auto"/>
              <w:left w:val="single" w:sz="4" w:space="0" w:color="auto"/>
              <w:bottom w:val="single" w:sz="4" w:space="0" w:color="auto"/>
              <w:right w:val="single" w:sz="4" w:space="0" w:color="auto"/>
            </w:tcBorders>
            <w:hideMark/>
          </w:tcPr>
          <w:p w14:paraId="38C5E7EE" w14:textId="77777777" w:rsidR="00A80A2D" w:rsidRPr="00F37492" w:rsidRDefault="00A80A2D" w:rsidP="00A80A2D">
            <w:pPr>
              <w:widowControl w:val="0"/>
              <w:jc w:val="center"/>
              <w:rPr>
                <w:noProof/>
                <w:sz w:val="22"/>
                <w:szCs w:val="22"/>
              </w:rPr>
            </w:pPr>
            <w:r w:rsidRPr="00F37492">
              <w:rPr>
                <w:noProof/>
                <w:sz w:val="22"/>
                <w:szCs w:val="22"/>
              </w:rPr>
              <w:t>NP</w:t>
            </w:r>
            <w:r w:rsidRPr="00F37492">
              <w:rPr>
                <w:noProof/>
                <w:sz w:val="22"/>
                <w:szCs w:val="22"/>
                <w:vertAlign w:val="superscript"/>
              </w:rPr>
              <w:t>5</w:t>
            </w:r>
          </w:p>
        </w:tc>
        <w:tc>
          <w:tcPr>
            <w:tcW w:w="1039" w:type="pct"/>
          </w:tcPr>
          <w:p w14:paraId="7B6563E8" w14:textId="3F7492F5" w:rsidR="00A80A2D" w:rsidRPr="00A80A2D" w:rsidRDefault="00A80A2D" w:rsidP="00A80A2D">
            <w:pPr>
              <w:widowControl w:val="0"/>
              <w:jc w:val="center"/>
              <w:rPr>
                <w:noProof/>
                <w:sz w:val="22"/>
                <w:szCs w:val="22"/>
              </w:rPr>
            </w:pPr>
            <w:r w:rsidRPr="00F91F2E">
              <w:rPr>
                <w:sz w:val="22"/>
                <w:szCs w:val="22"/>
                <w:lang w:val="hr-HR"/>
              </w:rPr>
              <w:t>N/P</w:t>
            </w:r>
            <w:r w:rsidRPr="00F91F2E">
              <w:rPr>
                <w:sz w:val="22"/>
                <w:szCs w:val="22"/>
                <w:vertAlign w:val="superscript"/>
                <w:lang w:val="hr-HR"/>
              </w:rPr>
              <w:t>5</w:t>
            </w:r>
          </w:p>
        </w:tc>
        <w:tc>
          <w:tcPr>
            <w:tcW w:w="1039" w:type="pct"/>
            <w:tcBorders>
              <w:top w:val="single" w:sz="4" w:space="0" w:color="auto"/>
              <w:left w:val="single" w:sz="4" w:space="0" w:color="auto"/>
              <w:bottom w:val="single" w:sz="4" w:space="0" w:color="auto"/>
              <w:right w:val="single" w:sz="4" w:space="0" w:color="auto"/>
            </w:tcBorders>
            <w:hideMark/>
          </w:tcPr>
          <w:p w14:paraId="1B5F6629" w14:textId="7C559C98" w:rsidR="00A80A2D" w:rsidRPr="00F37492" w:rsidRDefault="00A80A2D" w:rsidP="00A80A2D">
            <w:pPr>
              <w:widowControl w:val="0"/>
              <w:jc w:val="center"/>
              <w:rPr>
                <w:noProof/>
                <w:sz w:val="22"/>
                <w:szCs w:val="22"/>
              </w:rPr>
            </w:pPr>
            <w:r w:rsidRPr="00F37492">
              <w:rPr>
                <w:noProof/>
                <w:sz w:val="22"/>
                <w:szCs w:val="22"/>
              </w:rPr>
              <w:t>Povremeno</w:t>
            </w:r>
          </w:p>
        </w:tc>
        <w:tc>
          <w:tcPr>
            <w:tcW w:w="1038" w:type="pct"/>
          </w:tcPr>
          <w:p w14:paraId="395C6455" w14:textId="19475E48" w:rsidR="00A80A2D" w:rsidRPr="00A80A2D" w:rsidRDefault="00A80A2D" w:rsidP="00A80A2D">
            <w:pPr>
              <w:widowControl w:val="0"/>
              <w:jc w:val="center"/>
              <w:rPr>
                <w:noProof/>
                <w:sz w:val="22"/>
                <w:szCs w:val="22"/>
              </w:rPr>
            </w:pPr>
            <w:r w:rsidRPr="00F91F2E">
              <w:rPr>
                <w:bCs/>
                <w:sz w:val="22"/>
                <w:szCs w:val="22"/>
                <w:lang w:val="hr-HR"/>
              </w:rPr>
              <w:t>N/P</w:t>
            </w:r>
            <w:r w:rsidRPr="00F91F2E">
              <w:rPr>
                <w:bCs/>
                <w:sz w:val="22"/>
                <w:szCs w:val="22"/>
                <w:vertAlign w:val="superscript"/>
                <w:lang w:val="hr-HR"/>
              </w:rPr>
              <w:t>5</w:t>
            </w:r>
          </w:p>
        </w:tc>
      </w:tr>
      <w:tr w:rsidR="00455700" w:rsidRPr="00F37492" w14:paraId="3417575E" w14:textId="2881D7FD" w:rsidTr="00F91F2E">
        <w:trPr>
          <w:cantSplit/>
        </w:trPr>
        <w:tc>
          <w:tcPr>
            <w:tcW w:w="1045" w:type="pct"/>
            <w:tcBorders>
              <w:top w:val="single" w:sz="4" w:space="0" w:color="auto"/>
              <w:left w:val="single" w:sz="4" w:space="0" w:color="auto"/>
              <w:bottom w:val="single" w:sz="4" w:space="0" w:color="auto"/>
              <w:right w:val="single" w:sz="4" w:space="0" w:color="auto"/>
            </w:tcBorders>
          </w:tcPr>
          <w:p w14:paraId="2D574961" w14:textId="77777777" w:rsidR="00455700" w:rsidRPr="00F37492" w:rsidRDefault="00455700" w:rsidP="000A557B">
            <w:pPr>
              <w:keepNext/>
              <w:widowControl w:val="0"/>
              <w:rPr>
                <w:b/>
                <w:noProof/>
                <w:sz w:val="22"/>
                <w:szCs w:val="22"/>
              </w:rPr>
            </w:pPr>
          </w:p>
        </w:tc>
        <w:tc>
          <w:tcPr>
            <w:tcW w:w="2917" w:type="pct"/>
            <w:gridSpan w:val="4"/>
            <w:tcBorders>
              <w:top w:val="single" w:sz="4" w:space="0" w:color="auto"/>
              <w:left w:val="single" w:sz="4" w:space="0" w:color="auto"/>
              <w:bottom w:val="single" w:sz="4" w:space="0" w:color="auto"/>
              <w:right w:val="single" w:sz="4" w:space="0" w:color="auto"/>
            </w:tcBorders>
            <w:vAlign w:val="center"/>
            <w:hideMark/>
          </w:tcPr>
          <w:p w14:paraId="46D352AB" w14:textId="7BB6C2AC" w:rsidR="00455700" w:rsidRPr="00F37492" w:rsidRDefault="00455700" w:rsidP="000A557B">
            <w:pPr>
              <w:keepNext/>
              <w:widowControl w:val="0"/>
              <w:rPr>
                <w:b/>
                <w:noProof/>
                <w:sz w:val="22"/>
                <w:szCs w:val="22"/>
              </w:rPr>
            </w:pPr>
            <w:r w:rsidRPr="00F37492">
              <w:rPr>
                <w:b/>
                <w:noProof/>
                <w:sz w:val="22"/>
                <w:szCs w:val="22"/>
              </w:rPr>
              <w:t>Poremećaji mišićno-ko</w:t>
            </w:r>
            <w:r>
              <w:rPr>
                <w:b/>
                <w:noProof/>
                <w:sz w:val="22"/>
                <w:szCs w:val="22"/>
              </w:rPr>
              <w:t>st</w:t>
            </w:r>
            <w:r w:rsidRPr="00F37492">
              <w:rPr>
                <w:b/>
                <w:noProof/>
                <w:sz w:val="22"/>
                <w:szCs w:val="22"/>
              </w:rPr>
              <w:t>nog sistema i vezivnog tkiva</w:t>
            </w:r>
          </w:p>
        </w:tc>
        <w:tc>
          <w:tcPr>
            <w:tcW w:w="1038" w:type="pct"/>
            <w:tcBorders>
              <w:top w:val="single" w:sz="4" w:space="0" w:color="auto"/>
              <w:left w:val="single" w:sz="4" w:space="0" w:color="auto"/>
              <w:bottom w:val="single" w:sz="4" w:space="0" w:color="auto"/>
              <w:right w:val="single" w:sz="4" w:space="0" w:color="auto"/>
            </w:tcBorders>
          </w:tcPr>
          <w:p w14:paraId="1847C6DA" w14:textId="77777777" w:rsidR="00455700" w:rsidRPr="00F37492" w:rsidRDefault="00455700" w:rsidP="000A557B">
            <w:pPr>
              <w:keepNext/>
              <w:widowControl w:val="0"/>
              <w:rPr>
                <w:b/>
                <w:noProof/>
                <w:sz w:val="22"/>
                <w:szCs w:val="22"/>
              </w:rPr>
            </w:pPr>
          </w:p>
        </w:tc>
      </w:tr>
      <w:tr w:rsidR="00A80A2D" w:rsidRPr="00F37492" w14:paraId="4224A92E" w14:textId="14A446AE"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7E7F848A" w14:textId="77777777" w:rsidR="00A80A2D" w:rsidRPr="00F37492" w:rsidRDefault="00A80A2D" w:rsidP="00A80A2D">
            <w:pPr>
              <w:keepNext/>
              <w:widowControl w:val="0"/>
              <w:rPr>
                <w:noProof/>
                <w:sz w:val="22"/>
                <w:szCs w:val="22"/>
              </w:rPr>
            </w:pPr>
            <w:r w:rsidRPr="00F37492">
              <w:rPr>
                <w:noProof/>
                <w:sz w:val="22"/>
                <w:szCs w:val="22"/>
              </w:rPr>
              <w:t>Povišena kreatinin fosfokinaze u krvi</w:t>
            </w:r>
            <w:r w:rsidRPr="00F37492">
              <w:rPr>
                <w:noProof/>
                <w:sz w:val="22"/>
                <w:szCs w:val="22"/>
                <w:vertAlign w:val="superscript"/>
              </w:rPr>
              <w:t>1</w:t>
            </w:r>
          </w:p>
        </w:tc>
        <w:tc>
          <w:tcPr>
            <w:tcW w:w="700" w:type="pct"/>
            <w:hideMark/>
          </w:tcPr>
          <w:p w14:paraId="7D0CA8B3" w14:textId="0A0773CC" w:rsidR="00A80A2D" w:rsidRPr="00A80A2D" w:rsidRDefault="00A80A2D" w:rsidP="00A80A2D">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Pr>
          <w:p w14:paraId="05532241" w14:textId="35F4DA73" w:rsidR="00A80A2D" w:rsidRPr="00A80A2D" w:rsidRDefault="00A80A2D" w:rsidP="00A80A2D">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69B0E3EB" w14:textId="08A6E2B0" w:rsidR="00A80A2D" w:rsidRPr="00F37492" w:rsidRDefault="00A80A2D" w:rsidP="00A80A2D">
            <w:pPr>
              <w:keepNext/>
              <w:widowControl w:val="0"/>
              <w:jc w:val="center"/>
              <w:rPr>
                <w:noProof/>
                <w:sz w:val="22"/>
                <w:szCs w:val="22"/>
              </w:rPr>
            </w:pPr>
            <w:r w:rsidRPr="00F37492">
              <w:rPr>
                <w:noProof/>
                <w:sz w:val="22"/>
                <w:szCs w:val="22"/>
              </w:rPr>
              <w:t>Veoma često</w:t>
            </w:r>
          </w:p>
        </w:tc>
        <w:tc>
          <w:tcPr>
            <w:tcW w:w="1038" w:type="pct"/>
          </w:tcPr>
          <w:p w14:paraId="7D383E80" w14:textId="4DAEF651" w:rsidR="00A80A2D" w:rsidRPr="00A80A2D" w:rsidRDefault="00A80A2D" w:rsidP="00A80A2D">
            <w:pPr>
              <w:keepNext/>
              <w:widowControl w:val="0"/>
              <w:jc w:val="center"/>
              <w:rPr>
                <w:noProof/>
                <w:sz w:val="22"/>
                <w:szCs w:val="22"/>
              </w:rPr>
            </w:pPr>
            <w:r w:rsidRPr="00F91F2E">
              <w:rPr>
                <w:noProof/>
                <w:sz w:val="22"/>
                <w:szCs w:val="22"/>
              </w:rPr>
              <w:t>Veoma</w:t>
            </w:r>
            <w:r w:rsidRPr="00F91F2E">
              <w:rPr>
                <w:sz w:val="22"/>
                <w:szCs w:val="22"/>
                <w:lang w:val="hr-HR"/>
              </w:rPr>
              <w:t xml:space="preserve"> često</w:t>
            </w:r>
          </w:p>
        </w:tc>
      </w:tr>
      <w:tr w:rsidR="00A80A2D" w:rsidRPr="00F37492" w14:paraId="69276724" w14:textId="71C2A4AA"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137B1864" w14:textId="77777777" w:rsidR="00A80A2D" w:rsidRPr="00F37492" w:rsidRDefault="00A80A2D" w:rsidP="00A80A2D">
            <w:pPr>
              <w:keepNext/>
              <w:widowControl w:val="0"/>
              <w:rPr>
                <w:noProof/>
                <w:sz w:val="22"/>
                <w:szCs w:val="22"/>
              </w:rPr>
            </w:pPr>
            <w:r w:rsidRPr="00F37492">
              <w:rPr>
                <w:noProof/>
                <w:sz w:val="22"/>
                <w:szCs w:val="22"/>
              </w:rPr>
              <w:tab/>
              <w:t>CTCAE stepen 3</w:t>
            </w:r>
          </w:p>
        </w:tc>
        <w:tc>
          <w:tcPr>
            <w:tcW w:w="700" w:type="pct"/>
            <w:hideMark/>
          </w:tcPr>
          <w:p w14:paraId="74635D29" w14:textId="5AF21055" w:rsidR="00A80A2D" w:rsidRPr="00A80A2D" w:rsidRDefault="00A80A2D" w:rsidP="00A80A2D">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Pr>
          <w:p w14:paraId="31C4D565" w14:textId="0D6D4872" w:rsidR="00A80A2D" w:rsidRPr="00A80A2D" w:rsidRDefault="00A80A2D" w:rsidP="00A80A2D">
            <w:pPr>
              <w:keepNext/>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22F9EDE0" w14:textId="6155C073" w:rsidR="00A80A2D" w:rsidRPr="00F37492" w:rsidRDefault="00A80A2D" w:rsidP="00A80A2D">
            <w:pPr>
              <w:keepNext/>
              <w:widowControl w:val="0"/>
              <w:jc w:val="center"/>
              <w:rPr>
                <w:noProof/>
                <w:sz w:val="22"/>
                <w:szCs w:val="22"/>
              </w:rPr>
            </w:pPr>
            <w:r w:rsidRPr="00F37492">
              <w:rPr>
                <w:noProof/>
                <w:sz w:val="22"/>
                <w:szCs w:val="22"/>
              </w:rPr>
              <w:t>Često</w:t>
            </w:r>
          </w:p>
        </w:tc>
        <w:tc>
          <w:tcPr>
            <w:tcW w:w="1038" w:type="pct"/>
          </w:tcPr>
          <w:p w14:paraId="53340AD0" w14:textId="4C2C5E56" w:rsidR="00A80A2D" w:rsidRPr="00A80A2D" w:rsidRDefault="00A80A2D" w:rsidP="00A80A2D">
            <w:pPr>
              <w:keepNext/>
              <w:widowControl w:val="0"/>
              <w:jc w:val="center"/>
              <w:rPr>
                <w:noProof/>
                <w:sz w:val="22"/>
                <w:szCs w:val="22"/>
              </w:rPr>
            </w:pPr>
            <w:r w:rsidRPr="00F91F2E">
              <w:rPr>
                <w:bCs/>
                <w:sz w:val="22"/>
                <w:szCs w:val="22"/>
                <w:lang w:val="hr-HR"/>
              </w:rPr>
              <w:t>N/P</w:t>
            </w:r>
            <w:r w:rsidRPr="00F91F2E">
              <w:rPr>
                <w:bCs/>
                <w:sz w:val="22"/>
                <w:szCs w:val="22"/>
                <w:vertAlign w:val="superscript"/>
                <w:lang w:val="hr-HR"/>
              </w:rPr>
              <w:t>5</w:t>
            </w:r>
          </w:p>
        </w:tc>
      </w:tr>
      <w:tr w:rsidR="00A80A2D" w:rsidRPr="00F37492" w14:paraId="1E62F56F" w14:textId="0E8FAD8D"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27ACB5D5" w14:textId="77777777" w:rsidR="00A80A2D" w:rsidRPr="00F37492" w:rsidRDefault="00A80A2D" w:rsidP="00A80A2D">
            <w:pPr>
              <w:widowControl w:val="0"/>
              <w:rPr>
                <w:noProof/>
                <w:sz w:val="22"/>
                <w:szCs w:val="22"/>
              </w:rPr>
            </w:pPr>
            <w:r w:rsidRPr="00F37492">
              <w:rPr>
                <w:noProof/>
                <w:sz w:val="22"/>
                <w:szCs w:val="22"/>
              </w:rPr>
              <w:tab/>
              <w:t>CTCAE stepen 4</w:t>
            </w:r>
          </w:p>
        </w:tc>
        <w:tc>
          <w:tcPr>
            <w:tcW w:w="700" w:type="pct"/>
            <w:hideMark/>
          </w:tcPr>
          <w:p w14:paraId="27C8797B" w14:textId="136961B3" w:rsidR="00A80A2D" w:rsidRPr="00A80A2D" w:rsidRDefault="00A80A2D" w:rsidP="00A80A2D">
            <w:pPr>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Pr>
          <w:p w14:paraId="6724AE41" w14:textId="3480E8A6" w:rsidR="00A80A2D" w:rsidRPr="00A80A2D" w:rsidRDefault="00A80A2D" w:rsidP="00A80A2D">
            <w:pPr>
              <w:widowControl w:val="0"/>
              <w:jc w:val="center"/>
              <w:rPr>
                <w:noProof/>
                <w:sz w:val="22"/>
                <w:szCs w:val="22"/>
              </w:rPr>
            </w:pPr>
            <w:r w:rsidRPr="00F91F2E">
              <w:rPr>
                <w:sz w:val="22"/>
                <w:szCs w:val="22"/>
                <w:lang w:val="hr-HR"/>
              </w:rPr>
              <w:t>-</w:t>
            </w:r>
            <w:r w:rsidRPr="00F91F2E">
              <w:rPr>
                <w:sz w:val="22"/>
                <w:szCs w:val="22"/>
                <w:vertAlign w:val="superscript"/>
                <w:lang w:val="hr-HR"/>
              </w:rPr>
              <w:t>6</w:t>
            </w:r>
          </w:p>
        </w:tc>
        <w:tc>
          <w:tcPr>
            <w:tcW w:w="1039" w:type="pct"/>
            <w:tcBorders>
              <w:top w:val="single" w:sz="4" w:space="0" w:color="auto"/>
              <w:left w:val="single" w:sz="4" w:space="0" w:color="auto"/>
              <w:bottom w:val="single" w:sz="4" w:space="0" w:color="auto"/>
              <w:right w:val="single" w:sz="4" w:space="0" w:color="auto"/>
            </w:tcBorders>
            <w:hideMark/>
          </w:tcPr>
          <w:p w14:paraId="50E93A00" w14:textId="673B4075" w:rsidR="00A80A2D" w:rsidRPr="00F37492" w:rsidRDefault="00A80A2D" w:rsidP="00A80A2D">
            <w:pPr>
              <w:widowControl w:val="0"/>
              <w:jc w:val="center"/>
              <w:rPr>
                <w:noProof/>
                <w:sz w:val="22"/>
                <w:szCs w:val="22"/>
              </w:rPr>
            </w:pPr>
            <w:r w:rsidRPr="00F37492">
              <w:rPr>
                <w:noProof/>
                <w:sz w:val="22"/>
                <w:szCs w:val="22"/>
              </w:rPr>
              <w:t>Često</w:t>
            </w:r>
          </w:p>
        </w:tc>
        <w:tc>
          <w:tcPr>
            <w:tcW w:w="1038" w:type="pct"/>
          </w:tcPr>
          <w:p w14:paraId="3901A17C" w14:textId="5D2BEC12" w:rsidR="00A80A2D" w:rsidRPr="00A80A2D" w:rsidRDefault="00A80A2D" w:rsidP="00A80A2D">
            <w:pPr>
              <w:widowControl w:val="0"/>
              <w:jc w:val="center"/>
              <w:rPr>
                <w:noProof/>
                <w:sz w:val="22"/>
                <w:szCs w:val="22"/>
              </w:rPr>
            </w:pPr>
            <w:r w:rsidRPr="00F91F2E">
              <w:rPr>
                <w:bCs/>
                <w:sz w:val="22"/>
                <w:szCs w:val="22"/>
                <w:lang w:val="hr-HR"/>
              </w:rPr>
              <w:t>N/P</w:t>
            </w:r>
            <w:r w:rsidRPr="00F91F2E">
              <w:rPr>
                <w:bCs/>
                <w:sz w:val="22"/>
                <w:szCs w:val="22"/>
                <w:vertAlign w:val="superscript"/>
                <w:lang w:val="hr-HR"/>
              </w:rPr>
              <w:t>5</w:t>
            </w:r>
          </w:p>
        </w:tc>
      </w:tr>
      <w:tr w:rsidR="00455700" w:rsidRPr="00F37492" w14:paraId="053B65B1" w14:textId="0E9CF2C8" w:rsidTr="00F91F2E">
        <w:trPr>
          <w:cantSplit/>
        </w:trPr>
        <w:tc>
          <w:tcPr>
            <w:tcW w:w="1045" w:type="pct"/>
            <w:tcBorders>
              <w:top w:val="single" w:sz="4" w:space="0" w:color="auto"/>
              <w:left w:val="single" w:sz="4" w:space="0" w:color="auto"/>
              <w:bottom w:val="single" w:sz="4" w:space="0" w:color="auto"/>
              <w:right w:val="single" w:sz="4" w:space="0" w:color="auto"/>
            </w:tcBorders>
          </w:tcPr>
          <w:p w14:paraId="32D6C096" w14:textId="77777777" w:rsidR="00455700" w:rsidRPr="00F37492" w:rsidRDefault="00455700" w:rsidP="000A557B">
            <w:pPr>
              <w:keepNext/>
              <w:widowControl w:val="0"/>
              <w:rPr>
                <w:b/>
                <w:noProof/>
                <w:sz w:val="22"/>
                <w:szCs w:val="22"/>
              </w:rPr>
            </w:pPr>
          </w:p>
        </w:tc>
        <w:tc>
          <w:tcPr>
            <w:tcW w:w="2917" w:type="pct"/>
            <w:gridSpan w:val="4"/>
            <w:tcBorders>
              <w:top w:val="single" w:sz="4" w:space="0" w:color="auto"/>
              <w:left w:val="single" w:sz="4" w:space="0" w:color="auto"/>
              <w:bottom w:val="single" w:sz="4" w:space="0" w:color="auto"/>
              <w:right w:val="single" w:sz="4" w:space="0" w:color="auto"/>
            </w:tcBorders>
            <w:vAlign w:val="center"/>
            <w:hideMark/>
          </w:tcPr>
          <w:p w14:paraId="556E5839" w14:textId="053DE715" w:rsidR="00455700" w:rsidRPr="00F37492" w:rsidRDefault="00455700" w:rsidP="000A557B">
            <w:pPr>
              <w:keepNext/>
              <w:widowControl w:val="0"/>
              <w:rPr>
                <w:b/>
                <w:noProof/>
                <w:sz w:val="22"/>
                <w:szCs w:val="22"/>
              </w:rPr>
            </w:pPr>
            <w:r w:rsidRPr="00F37492">
              <w:rPr>
                <w:b/>
                <w:noProof/>
                <w:sz w:val="22"/>
                <w:szCs w:val="22"/>
              </w:rPr>
              <w:t>Poremećaji bubrega i urinarnog sistema</w:t>
            </w:r>
          </w:p>
        </w:tc>
        <w:tc>
          <w:tcPr>
            <w:tcW w:w="1038" w:type="pct"/>
            <w:tcBorders>
              <w:top w:val="single" w:sz="4" w:space="0" w:color="auto"/>
              <w:left w:val="single" w:sz="4" w:space="0" w:color="auto"/>
              <w:bottom w:val="single" w:sz="4" w:space="0" w:color="auto"/>
              <w:right w:val="single" w:sz="4" w:space="0" w:color="auto"/>
            </w:tcBorders>
          </w:tcPr>
          <w:p w14:paraId="361AA93D" w14:textId="77777777" w:rsidR="00455700" w:rsidRPr="00F37492" w:rsidRDefault="00455700" w:rsidP="000A557B">
            <w:pPr>
              <w:keepNext/>
              <w:widowControl w:val="0"/>
              <w:rPr>
                <w:b/>
                <w:noProof/>
                <w:sz w:val="22"/>
                <w:szCs w:val="22"/>
              </w:rPr>
            </w:pPr>
          </w:p>
        </w:tc>
      </w:tr>
      <w:tr w:rsidR="00455700" w:rsidRPr="00F37492" w14:paraId="682DD403" w14:textId="37DB670C"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52B8E8C1" w14:textId="77777777" w:rsidR="00455700" w:rsidRPr="00F37492" w:rsidRDefault="00455700" w:rsidP="000A557B">
            <w:pPr>
              <w:keepNext/>
              <w:widowControl w:val="0"/>
              <w:rPr>
                <w:noProof/>
                <w:sz w:val="22"/>
                <w:szCs w:val="22"/>
              </w:rPr>
            </w:pPr>
            <w:r w:rsidRPr="00F37492">
              <w:rPr>
                <w:noProof/>
                <w:sz w:val="22"/>
                <w:szCs w:val="22"/>
              </w:rPr>
              <w:t>Povišen kreatinin u krvi</w:t>
            </w:r>
            <w:r w:rsidRPr="00F37492">
              <w:rPr>
                <w:noProof/>
                <w:sz w:val="22"/>
                <w:szCs w:val="22"/>
                <w:vertAlign w:val="superscript"/>
              </w:rPr>
              <w:t>1</w:t>
            </w:r>
          </w:p>
        </w:tc>
        <w:tc>
          <w:tcPr>
            <w:tcW w:w="700" w:type="pct"/>
            <w:tcBorders>
              <w:top w:val="single" w:sz="4" w:space="0" w:color="auto"/>
              <w:left w:val="single" w:sz="4" w:space="0" w:color="auto"/>
              <w:bottom w:val="single" w:sz="4" w:space="0" w:color="auto"/>
              <w:right w:val="single" w:sz="4" w:space="0" w:color="auto"/>
            </w:tcBorders>
            <w:hideMark/>
          </w:tcPr>
          <w:p w14:paraId="1AC60976" w14:textId="77777777" w:rsidR="00455700" w:rsidRPr="00F37492" w:rsidRDefault="00455700" w:rsidP="000A557B">
            <w:pPr>
              <w:keepNext/>
              <w:widowControl w:val="0"/>
              <w:jc w:val="center"/>
              <w:rPr>
                <w:noProof/>
                <w:sz w:val="22"/>
                <w:szCs w:val="22"/>
              </w:rPr>
            </w:pPr>
            <w:r w:rsidRPr="00F37492">
              <w:rPr>
                <w:noProof/>
                <w:sz w:val="22"/>
                <w:szCs w:val="22"/>
              </w:rPr>
              <w:t>-</w:t>
            </w:r>
          </w:p>
        </w:tc>
        <w:tc>
          <w:tcPr>
            <w:tcW w:w="1039" w:type="pct"/>
            <w:tcBorders>
              <w:top w:val="single" w:sz="4" w:space="0" w:color="auto"/>
              <w:left w:val="single" w:sz="4" w:space="0" w:color="auto"/>
              <w:bottom w:val="single" w:sz="4" w:space="0" w:color="auto"/>
              <w:right w:val="single" w:sz="4" w:space="0" w:color="auto"/>
            </w:tcBorders>
          </w:tcPr>
          <w:p w14:paraId="67740436" w14:textId="77777777" w:rsidR="00455700" w:rsidRPr="00F37492" w:rsidRDefault="00455700" w:rsidP="000A557B">
            <w:pPr>
              <w:keepNext/>
              <w:widowControl w:val="0"/>
              <w:jc w:val="center"/>
              <w:rPr>
                <w:noProof/>
                <w:sz w:val="22"/>
                <w:szCs w:val="22"/>
              </w:rPr>
            </w:pPr>
          </w:p>
        </w:tc>
        <w:tc>
          <w:tcPr>
            <w:tcW w:w="1039" w:type="pct"/>
            <w:tcBorders>
              <w:top w:val="single" w:sz="4" w:space="0" w:color="auto"/>
              <w:left w:val="single" w:sz="4" w:space="0" w:color="auto"/>
              <w:bottom w:val="single" w:sz="4" w:space="0" w:color="auto"/>
              <w:right w:val="single" w:sz="4" w:space="0" w:color="auto"/>
            </w:tcBorders>
            <w:hideMark/>
          </w:tcPr>
          <w:p w14:paraId="3A65A313" w14:textId="73A6F78E" w:rsidR="00455700" w:rsidRPr="00F37492" w:rsidRDefault="00455700" w:rsidP="000A557B">
            <w:pPr>
              <w:keepNext/>
              <w:widowControl w:val="0"/>
              <w:jc w:val="center"/>
              <w:rPr>
                <w:noProof/>
                <w:sz w:val="22"/>
                <w:szCs w:val="22"/>
              </w:rPr>
            </w:pPr>
            <w:r w:rsidRPr="00F37492">
              <w:rPr>
                <w:noProof/>
                <w:sz w:val="22"/>
                <w:szCs w:val="22"/>
              </w:rPr>
              <w:t>Veoma često</w:t>
            </w:r>
          </w:p>
        </w:tc>
        <w:tc>
          <w:tcPr>
            <w:tcW w:w="1038" w:type="pct"/>
            <w:tcBorders>
              <w:top w:val="single" w:sz="4" w:space="0" w:color="auto"/>
              <w:left w:val="single" w:sz="4" w:space="0" w:color="auto"/>
              <w:bottom w:val="single" w:sz="4" w:space="0" w:color="auto"/>
              <w:right w:val="single" w:sz="4" w:space="0" w:color="auto"/>
            </w:tcBorders>
          </w:tcPr>
          <w:p w14:paraId="770D01AF" w14:textId="77777777" w:rsidR="00455700" w:rsidRPr="00F37492" w:rsidRDefault="00455700" w:rsidP="000A557B">
            <w:pPr>
              <w:keepNext/>
              <w:widowControl w:val="0"/>
              <w:jc w:val="center"/>
              <w:rPr>
                <w:noProof/>
                <w:sz w:val="22"/>
                <w:szCs w:val="22"/>
              </w:rPr>
            </w:pPr>
          </w:p>
        </w:tc>
      </w:tr>
      <w:tr w:rsidR="00455700" w:rsidRPr="00F37492" w14:paraId="0B679BCF" w14:textId="49069DF8"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412B5533" w14:textId="77777777" w:rsidR="00455700" w:rsidRPr="00F37492" w:rsidRDefault="00455700" w:rsidP="000A557B">
            <w:pPr>
              <w:keepNext/>
              <w:widowControl w:val="0"/>
              <w:rPr>
                <w:noProof/>
                <w:sz w:val="22"/>
                <w:szCs w:val="22"/>
              </w:rPr>
            </w:pPr>
            <w:r w:rsidRPr="00F37492">
              <w:rPr>
                <w:noProof/>
                <w:sz w:val="22"/>
                <w:szCs w:val="22"/>
              </w:rPr>
              <w:tab/>
              <w:t>CTCAE stepen 3</w:t>
            </w:r>
          </w:p>
        </w:tc>
        <w:tc>
          <w:tcPr>
            <w:tcW w:w="700" w:type="pct"/>
            <w:tcBorders>
              <w:top w:val="single" w:sz="4" w:space="0" w:color="auto"/>
              <w:left w:val="single" w:sz="4" w:space="0" w:color="auto"/>
              <w:bottom w:val="single" w:sz="4" w:space="0" w:color="auto"/>
              <w:right w:val="single" w:sz="4" w:space="0" w:color="auto"/>
            </w:tcBorders>
            <w:hideMark/>
          </w:tcPr>
          <w:p w14:paraId="367064C3" w14:textId="77777777" w:rsidR="00455700" w:rsidRPr="00F37492" w:rsidRDefault="00455700" w:rsidP="000A557B">
            <w:pPr>
              <w:keepNext/>
              <w:widowControl w:val="0"/>
              <w:jc w:val="center"/>
              <w:rPr>
                <w:noProof/>
                <w:sz w:val="22"/>
                <w:szCs w:val="22"/>
              </w:rPr>
            </w:pPr>
            <w:r w:rsidRPr="00F37492">
              <w:rPr>
                <w:noProof/>
                <w:sz w:val="22"/>
                <w:szCs w:val="22"/>
              </w:rPr>
              <w:t>-</w:t>
            </w:r>
          </w:p>
        </w:tc>
        <w:tc>
          <w:tcPr>
            <w:tcW w:w="1039" w:type="pct"/>
            <w:tcBorders>
              <w:top w:val="single" w:sz="4" w:space="0" w:color="auto"/>
              <w:left w:val="single" w:sz="4" w:space="0" w:color="auto"/>
              <w:bottom w:val="single" w:sz="4" w:space="0" w:color="auto"/>
              <w:right w:val="single" w:sz="4" w:space="0" w:color="auto"/>
            </w:tcBorders>
          </w:tcPr>
          <w:p w14:paraId="6BEF7B23" w14:textId="77777777" w:rsidR="00455700" w:rsidRPr="00F37492" w:rsidRDefault="00455700" w:rsidP="000A557B">
            <w:pPr>
              <w:keepNext/>
              <w:widowControl w:val="0"/>
              <w:jc w:val="center"/>
              <w:rPr>
                <w:noProof/>
                <w:sz w:val="22"/>
                <w:szCs w:val="22"/>
              </w:rPr>
            </w:pPr>
          </w:p>
        </w:tc>
        <w:tc>
          <w:tcPr>
            <w:tcW w:w="1039" w:type="pct"/>
            <w:tcBorders>
              <w:top w:val="single" w:sz="4" w:space="0" w:color="auto"/>
              <w:left w:val="single" w:sz="4" w:space="0" w:color="auto"/>
              <w:bottom w:val="single" w:sz="4" w:space="0" w:color="auto"/>
              <w:right w:val="single" w:sz="4" w:space="0" w:color="auto"/>
            </w:tcBorders>
            <w:hideMark/>
          </w:tcPr>
          <w:p w14:paraId="10D66183" w14:textId="68D26EBF" w:rsidR="00455700" w:rsidRPr="00F37492" w:rsidRDefault="00455700" w:rsidP="000A557B">
            <w:pPr>
              <w:keepNext/>
              <w:widowControl w:val="0"/>
              <w:jc w:val="center"/>
              <w:rPr>
                <w:noProof/>
                <w:sz w:val="22"/>
                <w:szCs w:val="22"/>
              </w:rPr>
            </w:pPr>
            <w:r w:rsidRPr="00F37492">
              <w:rPr>
                <w:noProof/>
                <w:sz w:val="22"/>
                <w:szCs w:val="22"/>
              </w:rPr>
              <w:t>Često</w:t>
            </w:r>
          </w:p>
        </w:tc>
        <w:tc>
          <w:tcPr>
            <w:tcW w:w="1038" w:type="pct"/>
            <w:tcBorders>
              <w:top w:val="single" w:sz="4" w:space="0" w:color="auto"/>
              <w:left w:val="single" w:sz="4" w:space="0" w:color="auto"/>
              <w:bottom w:val="single" w:sz="4" w:space="0" w:color="auto"/>
              <w:right w:val="single" w:sz="4" w:space="0" w:color="auto"/>
            </w:tcBorders>
          </w:tcPr>
          <w:p w14:paraId="1DE715A0" w14:textId="77777777" w:rsidR="00455700" w:rsidRPr="00F37492" w:rsidRDefault="00455700" w:rsidP="000A557B">
            <w:pPr>
              <w:keepNext/>
              <w:widowControl w:val="0"/>
              <w:jc w:val="center"/>
              <w:rPr>
                <w:noProof/>
                <w:sz w:val="22"/>
                <w:szCs w:val="22"/>
              </w:rPr>
            </w:pPr>
          </w:p>
        </w:tc>
      </w:tr>
      <w:tr w:rsidR="00455700" w:rsidRPr="00F37492" w14:paraId="5BF4C38B" w14:textId="45356F7F" w:rsidTr="00F91F2E">
        <w:trPr>
          <w:cantSplit/>
        </w:trPr>
        <w:tc>
          <w:tcPr>
            <w:tcW w:w="1184" w:type="pct"/>
            <w:gridSpan w:val="2"/>
            <w:tcBorders>
              <w:top w:val="single" w:sz="4" w:space="0" w:color="auto"/>
              <w:left w:val="single" w:sz="4" w:space="0" w:color="auto"/>
              <w:bottom w:val="single" w:sz="4" w:space="0" w:color="auto"/>
              <w:right w:val="single" w:sz="4" w:space="0" w:color="auto"/>
            </w:tcBorders>
            <w:hideMark/>
          </w:tcPr>
          <w:p w14:paraId="20D1170A" w14:textId="77777777" w:rsidR="00455700" w:rsidRPr="00F37492" w:rsidRDefault="00455700" w:rsidP="000A557B">
            <w:pPr>
              <w:keepNext/>
              <w:widowControl w:val="0"/>
              <w:rPr>
                <w:noProof/>
                <w:sz w:val="22"/>
                <w:szCs w:val="22"/>
              </w:rPr>
            </w:pPr>
            <w:r w:rsidRPr="00F37492">
              <w:rPr>
                <w:noProof/>
                <w:sz w:val="22"/>
                <w:szCs w:val="22"/>
              </w:rPr>
              <w:tab/>
              <w:t>CTCAE stepen 4</w:t>
            </w:r>
          </w:p>
        </w:tc>
        <w:tc>
          <w:tcPr>
            <w:tcW w:w="700" w:type="pct"/>
            <w:tcBorders>
              <w:top w:val="single" w:sz="4" w:space="0" w:color="auto"/>
              <w:left w:val="single" w:sz="4" w:space="0" w:color="auto"/>
              <w:bottom w:val="single" w:sz="4" w:space="0" w:color="auto"/>
              <w:right w:val="single" w:sz="4" w:space="0" w:color="auto"/>
            </w:tcBorders>
            <w:hideMark/>
          </w:tcPr>
          <w:p w14:paraId="106D8F03" w14:textId="77777777" w:rsidR="00455700" w:rsidRPr="00F37492" w:rsidRDefault="00455700" w:rsidP="000A557B">
            <w:pPr>
              <w:keepNext/>
              <w:widowControl w:val="0"/>
              <w:jc w:val="center"/>
              <w:rPr>
                <w:noProof/>
                <w:sz w:val="22"/>
                <w:szCs w:val="22"/>
              </w:rPr>
            </w:pPr>
            <w:r w:rsidRPr="00F37492">
              <w:rPr>
                <w:noProof/>
                <w:sz w:val="22"/>
                <w:szCs w:val="22"/>
              </w:rPr>
              <w:t>-</w:t>
            </w:r>
          </w:p>
        </w:tc>
        <w:tc>
          <w:tcPr>
            <w:tcW w:w="1039" w:type="pct"/>
            <w:tcBorders>
              <w:top w:val="single" w:sz="4" w:space="0" w:color="auto"/>
              <w:left w:val="single" w:sz="4" w:space="0" w:color="auto"/>
              <w:bottom w:val="single" w:sz="4" w:space="0" w:color="auto"/>
              <w:right w:val="single" w:sz="4" w:space="0" w:color="auto"/>
            </w:tcBorders>
          </w:tcPr>
          <w:p w14:paraId="75F2781A" w14:textId="77777777" w:rsidR="00455700" w:rsidRDefault="00455700" w:rsidP="000A557B">
            <w:pPr>
              <w:keepNext/>
              <w:widowControl w:val="0"/>
              <w:jc w:val="center"/>
              <w:rPr>
                <w:noProof/>
                <w:sz w:val="22"/>
                <w:szCs w:val="22"/>
              </w:rPr>
            </w:pPr>
          </w:p>
        </w:tc>
        <w:tc>
          <w:tcPr>
            <w:tcW w:w="1039" w:type="pct"/>
            <w:tcBorders>
              <w:top w:val="single" w:sz="4" w:space="0" w:color="auto"/>
              <w:left w:val="single" w:sz="4" w:space="0" w:color="auto"/>
              <w:bottom w:val="single" w:sz="4" w:space="0" w:color="auto"/>
              <w:right w:val="single" w:sz="4" w:space="0" w:color="auto"/>
            </w:tcBorders>
            <w:hideMark/>
          </w:tcPr>
          <w:p w14:paraId="5614184A" w14:textId="5D53E12E" w:rsidR="00455700" w:rsidRPr="00F37492" w:rsidRDefault="00455700" w:rsidP="000A557B">
            <w:pPr>
              <w:keepNext/>
              <w:widowControl w:val="0"/>
              <w:jc w:val="center"/>
              <w:rPr>
                <w:noProof/>
                <w:sz w:val="22"/>
                <w:szCs w:val="22"/>
              </w:rPr>
            </w:pPr>
            <w:r>
              <w:rPr>
                <w:noProof/>
                <w:sz w:val="22"/>
                <w:szCs w:val="22"/>
              </w:rPr>
              <w:t>NP</w:t>
            </w:r>
            <w:r w:rsidRPr="00F37492">
              <w:rPr>
                <w:noProof/>
                <w:sz w:val="22"/>
                <w:szCs w:val="22"/>
                <w:vertAlign w:val="superscript"/>
              </w:rPr>
              <w:t>5</w:t>
            </w:r>
          </w:p>
        </w:tc>
        <w:tc>
          <w:tcPr>
            <w:tcW w:w="1038" w:type="pct"/>
            <w:tcBorders>
              <w:top w:val="single" w:sz="4" w:space="0" w:color="auto"/>
              <w:left w:val="single" w:sz="4" w:space="0" w:color="auto"/>
              <w:bottom w:val="single" w:sz="4" w:space="0" w:color="auto"/>
              <w:right w:val="single" w:sz="4" w:space="0" w:color="auto"/>
            </w:tcBorders>
          </w:tcPr>
          <w:p w14:paraId="2E0322D8" w14:textId="77777777" w:rsidR="00455700" w:rsidRDefault="00455700" w:rsidP="000A557B">
            <w:pPr>
              <w:keepNext/>
              <w:widowControl w:val="0"/>
              <w:jc w:val="center"/>
              <w:rPr>
                <w:noProof/>
                <w:sz w:val="22"/>
                <w:szCs w:val="22"/>
              </w:rPr>
            </w:pPr>
          </w:p>
        </w:tc>
      </w:tr>
      <w:tr w:rsidR="00455700" w:rsidRPr="00F37492" w14:paraId="22EF899C" w14:textId="495C8BCA" w:rsidTr="00F91F2E">
        <w:trPr>
          <w:cantSplit/>
        </w:trPr>
        <w:tc>
          <w:tcPr>
            <w:tcW w:w="1045" w:type="pct"/>
            <w:tcBorders>
              <w:top w:val="single" w:sz="4" w:space="0" w:color="auto"/>
              <w:left w:val="single" w:sz="4" w:space="0" w:color="auto"/>
              <w:bottom w:val="single" w:sz="4" w:space="0" w:color="auto"/>
              <w:right w:val="single" w:sz="4" w:space="0" w:color="auto"/>
            </w:tcBorders>
          </w:tcPr>
          <w:p w14:paraId="14FAA09D" w14:textId="77777777" w:rsidR="00455700" w:rsidRPr="00F37492" w:rsidRDefault="00455700" w:rsidP="000A557B">
            <w:pPr>
              <w:widowControl w:val="0"/>
              <w:jc w:val="both"/>
              <w:rPr>
                <w:noProof/>
                <w:sz w:val="22"/>
                <w:szCs w:val="22"/>
                <w:vertAlign w:val="superscript"/>
              </w:rPr>
            </w:pPr>
          </w:p>
        </w:tc>
        <w:tc>
          <w:tcPr>
            <w:tcW w:w="2917" w:type="pct"/>
            <w:gridSpan w:val="4"/>
            <w:tcBorders>
              <w:top w:val="single" w:sz="4" w:space="0" w:color="auto"/>
              <w:left w:val="single" w:sz="4" w:space="0" w:color="auto"/>
              <w:bottom w:val="single" w:sz="4" w:space="0" w:color="auto"/>
              <w:right w:val="single" w:sz="4" w:space="0" w:color="auto"/>
            </w:tcBorders>
            <w:hideMark/>
          </w:tcPr>
          <w:p w14:paraId="57FEA494" w14:textId="71F667D7" w:rsidR="00455700" w:rsidRPr="00F37492" w:rsidRDefault="00455700" w:rsidP="000A557B">
            <w:pPr>
              <w:widowControl w:val="0"/>
              <w:jc w:val="both"/>
              <w:rPr>
                <w:noProof/>
                <w:sz w:val="22"/>
                <w:szCs w:val="22"/>
              </w:rPr>
            </w:pPr>
            <w:r w:rsidRPr="00F37492">
              <w:rPr>
                <w:noProof/>
                <w:sz w:val="22"/>
                <w:szCs w:val="22"/>
                <w:vertAlign w:val="superscript"/>
              </w:rPr>
              <w:t>1</w:t>
            </w:r>
            <w:r w:rsidRPr="00F37492">
              <w:rPr>
                <w:noProof/>
                <w:sz w:val="22"/>
                <w:szCs w:val="22"/>
              </w:rPr>
              <w:tab/>
              <w:t>Učestalost se zasniva na novim ili pogoršanim laboratorijskim vrijednostima u poređenju sa početnim nivoom.</w:t>
            </w:r>
          </w:p>
          <w:p w14:paraId="5EFCAFFC" w14:textId="6D75AC31" w:rsidR="00455700" w:rsidRPr="00F37492" w:rsidRDefault="00455700" w:rsidP="000A557B">
            <w:pPr>
              <w:widowControl w:val="0"/>
              <w:jc w:val="both"/>
              <w:rPr>
                <w:noProof/>
                <w:sz w:val="22"/>
                <w:szCs w:val="22"/>
              </w:rPr>
            </w:pPr>
            <w:r>
              <w:rPr>
                <w:noProof/>
                <w:sz w:val="22"/>
                <w:szCs w:val="22"/>
                <w:vertAlign w:val="superscript"/>
              </w:rPr>
              <w:t xml:space="preserve">  </w:t>
            </w:r>
            <w:r w:rsidRPr="00F37492">
              <w:rPr>
                <w:noProof/>
                <w:sz w:val="22"/>
                <w:szCs w:val="22"/>
                <w:vertAlign w:val="superscript"/>
              </w:rPr>
              <w:t>2</w:t>
            </w:r>
            <w:r w:rsidRPr="00F37492">
              <w:rPr>
                <w:noProof/>
                <w:sz w:val="22"/>
                <w:szCs w:val="22"/>
                <w:vertAlign w:val="superscript"/>
              </w:rPr>
              <w:tab/>
            </w:r>
            <w:r w:rsidRPr="00F37492">
              <w:rPr>
                <w:noProof/>
                <w:sz w:val="22"/>
                <w:szCs w:val="22"/>
              </w:rPr>
              <w:t>Pancitopenija je definisana nivoom hemoglobina &lt;</w:t>
            </w:r>
            <w:r>
              <w:rPr>
                <w:noProof/>
                <w:sz w:val="22"/>
                <w:szCs w:val="22"/>
              </w:rPr>
              <w:t xml:space="preserve"> </w:t>
            </w:r>
            <w:r w:rsidRPr="00F37492">
              <w:rPr>
                <w:noProof/>
                <w:sz w:val="22"/>
                <w:szCs w:val="22"/>
              </w:rPr>
              <w:t>100 g/l, brojem trombocita &lt;</w:t>
            </w:r>
            <w:r>
              <w:rPr>
                <w:noProof/>
                <w:sz w:val="22"/>
                <w:szCs w:val="22"/>
              </w:rPr>
              <w:t xml:space="preserve"> </w:t>
            </w:r>
            <w:r w:rsidRPr="00F37492">
              <w:rPr>
                <w:noProof/>
                <w:sz w:val="22"/>
                <w:szCs w:val="22"/>
              </w:rPr>
              <w:t>100x10</w:t>
            </w:r>
            <w:r w:rsidRPr="00703819">
              <w:rPr>
                <w:noProof/>
                <w:sz w:val="22"/>
                <w:szCs w:val="22"/>
                <w:vertAlign w:val="superscript"/>
              </w:rPr>
              <w:t>9</w:t>
            </w:r>
            <w:r w:rsidRPr="00F37492">
              <w:rPr>
                <w:noProof/>
                <w:sz w:val="22"/>
                <w:szCs w:val="22"/>
              </w:rPr>
              <w:t xml:space="preserve">/l i </w:t>
            </w:r>
            <w:r>
              <w:rPr>
                <w:noProof/>
                <w:sz w:val="22"/>
                <w:szCs w:val="22"/>
              </w:rPr>
              <w:t xml:space="preserve"> </w:t>
            </w:r>
            <w:r w:rsidRPr="00F37492">
              <w:rPr>
                <w:noProof/>
                <w:sz w:val="22"/>
                <w:szCs w:val="22"/>
              </w:rPr>
              <w:t>brojem neutrofila &lt;</w:t>
            </w:r>
            <w:r>
              <w:rPr>
                <w:noProof/>
                <w:sz w:val="22"/>
                <w:szCs w:val="22"/>
              </w:rPr>
              <w:t xml:space="preserve"> </w:t>
            </w:r>
            <w:r w:rsidRPr="00F37492">
              <w:rPr>
                <w:noProof/>
                <w:sz w:val="22"/>
                <w:szCs w:val="22"/>
              </w:rPr>
              <w:t>1</w:t>
            </w:r>
            <w:r>
              <w:rPr>
                <w:noProof/>
                <w:sz w:val="22"/>
                <w:szCs w:val="22"/>
              </w:rPr>
              <w:t>,</w:t>
            </w:r>
            <w:r w:rsidRPr="00F37492">
              <w:rPr>
                <w:noProof/>
                <w:sz w:val="22"/>
                <w:szCs w:val="22"/>
              </w:rPr>
              <w:t>5x10</w:t>
            </w:r>
            <w:r w:rsidRPr="00703819">
              <w:rPr>
                <w:noProof/>
                <w:sz w:val="22"/>
                <w:szCs w:val="22"/>
                <w:vertAlign w:val="superscript"/>
              </w:rPr>
              <w:t>9</w:t>
            </w:r>
            <w:r w:rsidRPr="00F37492">
              <w:rPr>
                <w:noProof/>
                <w:sz w:val="22"/>
                <w:szCs w:val="22"/>
              </w:rPr>
              <w:t>/l (ili niskim brojem leukocita stepena 2 ako nedostaje broj neutrofila) istovremeno u procjeni laboratorijskih podataka.</w:t>
            </w:r>
          </w:p>
          <w:p w14:paraId="1EF837CE" w14:textId="77777777" w:rsidR="00455700" w:rsidRPr="00F37492" w:rsidRDefault="00455700" w:rsidP="000A557B">
            <w:pPr>
              <w:widowControl w:val="0"/>
              <w:jc w:val="both"/>
              <w:rPr>
                <w:noProof/>
                <w:sz w:val="22"/>
                <w:szCs w:val="22"/>
              </w:rPr>
            </w:pPr>
            <w:r w:rsidRPr="00F37492">
              <w:rPr>
                <w:noProof/>
                <w:sz w:val="22"/>
                <w:szCs w:val="22"/>
                <w:vertAlign w:val="superscript"/>
              </w:rPr>
              <w:t>3</w:t>
            </w:r>
            <w:r w:rsidRPr="00F37492">
              <w:rPr>
                <w:noProof/>
                <w:sz w:val="22"/>
                <w:szCs w:val="22"/>
                <w:vertAlign w:val="superscript"/>
              </w:rPr>
              <w:tab/>
            </w:r>
            <w:r w:rsidRPr="00F37492">
              <w:rPr>
                <w:noProof/>
                <w:sz w:val="22"/>
                <w:szCs w:val="22"/>
              </w:rPr>
              <w:t>CTCAE Verzija 4.03.</w:t>
            </w:r>
          </w:p>
          <w:p w14:paraId="3381AAD6" w14:textId="4B0189C6" w:rsidR="00455700" w:rsidRPr="00F37492" w:rsidRDefault="00455700" w:rsidP="000A557B">
            <w:pPr>
              <w:widowControl w:val="0"/>
              <w:jc w:val="both"/>
              <w:rPr>
                <w:noProof/>
                <w:sz w:val="22"/>
                <w:szCs w:val="22"/>
              </w:rPr>
            </w:pPr>
            <w:r w:rsidRPr="00F37492">
              <w:rPr>
                <w:noProof/>
                <w:sz w:val="22"/>
                <w:szCs w:val="22"/>
                <w:vertAlign w:val="superscript"/>
              </w:rPr>
              <w:t>4</w:t>
            </w:r>
            <w:r w:rsidRPr="00F37492">
              <w:rPr>
                <w:noProof/>
                <w:sz w:val="22"/>
                <w:szCs w:val="22"/>
                <w:vertAlign w:val="superscript"/>
              </w:rPr>
              <w:tab/>
            </w:r>
            <w:r w:rsidRPr="00F37492">
              <w:rPr>
                <w:noProof/>
                <w:sz w:val="22"/>
                <w:szCs w:val="22"/>
              </w:rPr>
              <w:t>Stepen </w:t>
            </w:r>
            <w:r w:rsidRPr="00F37492">
              <w:rPr>
                <w:sz w:val="22"/>
                <w:szCs w:val="22"/>
              </w:rPr>
              <w:t>≥</w:t>
            </w:r>
            <w:r>
              <w:rPr>
                <w:sz w:val="22"/>
                <w:szCs w:val="22"/>
              </w:rPr>
              <w:t xml:space="preserve"> </w:t>
            </w:r>
            <w:r w:rsidRPr="00F37492">
              <w:rPr>
                <w:noProof/>
                <w:sz w:val="22"/>
                <w:szCs w:val="22"/>
              </w:rPr>
              <w:t>3 sepsa uključuje 20 (10%) događaja stepena 5</w:t>
            </w:r>
            <w:r w:rsidR="00A80A2D" w:rsidRPr="00A80A2D">
              <w:rPr>
                <w:noProof/>
                <w:sz w:val="22"/>
                <w:szCs w:val="22"/>
                <w:lang w:val="hr-HR"/>
              </w:rPr>
              <w:t xml:space="preserve"> u ispitivanju REACH2. Nije bilo događaja stepena 5 u objedinjenoj grupi pedijatrijskih pacijenata</w:t>
            </w:r>
            <w:r w:rsidRPr="00F37492">
              <w:rPr>
                <w:noProof/>
                <w:sz w:val="22"/>
                <w:szCs w:val="22"/>
              </w:rPr>
              <w:t>.</w:t>
            </w:r>
          </w:p>
          <w:p w14:paraId="2F096D13" w14:textId="77777777" w:rsidR="00455700" w:rsidRDefault="00455700" w:rsidP="000A557B">
            <w:pPr>
              <w:widowControl w:val="0"/>
              <w:jc w:val="both"/>
              <w:rPr>
                <w:bCs/>
                <w:noProof/>
                <w:sz w:val="22"/>
                <w:szCs w:val="22"/>
              </w:rPr>
            </w:pPr>
            <w:r w:rsidRPr="00F37492">
              <w:rPr>
                <w:bCs/>
                <w:noProof/>
                <w:sz w:val="22"/>
                <w:szCs w:val="22"/>
                <w:vertAlign w:val="superscript"/>
              </w:rPr>
              <w:t>5</w:t>
            </w:r>
            <w:r w:rsidRPr="00F37492">
              <w:rPr>
                <w:bCs/>
                <w:noProof/>
                <w:sz w:val="22"/>
                <w:szCs w:val="22"/>
              </w:rPr>
              <w:tab/>
              <w:t>Nije primjenljivo: nema prijavljenih slučajeva</w:t>
            </w:r>
          </w:p>
          <w:p w14:paraId="108394C8" w14:textId="4CD5DB2E" w:rsidR="00A80A2D" w:rsidRPr="00F91F2E" w:rsidRDefault="00A80A2D" w:rsidP="000A557B">
            <w:pPr>
              <w:widowControl w:val="0"/>
              <w:jc w:val="both"/>
              <w:rPr>
                <w:bCs/>
                <w:noProof/>
                <w:sz w:val="22"/>
                <w:szCs w:val="22"/>
              </w:rPr>
            </w:pPr>
            <w:r w:rsidRPr="00F91F2E">
              <w:rPr>
                <w:bCs/>
                <w:noProof/>
                <w:sz w:val="22"/>
                <w:szCs w:val="22"/>
                <w:vertAlign w:val="superscript"/>
                <w:lang w:val="hr-HR"/>
              </w:rPr>
              <w:t>6</w:t>
            </w:r>
            <w:r w:rsidRPr="00F91F2E">
              <w:rPr>
                <w:bCs/>
                <w:noProof/>
                <w:sz w:val="22"/>
                <w:szCs w:val="22"/>
                <w:lang w:val="hr-HR"/>
              </w:rPr>
              <w:tab/>
              <w:t>„-“: nije identifikovano kao neželj</w:t>
            </w:r>
            <w:r w:rsidR="00DD0118">
              <w:rPr>
                <w:bCs/>
                <w:noProof/>
                <w:sz w:val="22"/>
                <w:szCs w:val="22"/>
                <w:lang w:val="hr-HR"/>
              </w:rPr>
              <w:t>e</w:t>
            </w:r>
            <w:r w:rsidRPr="00F91F2E">
              <w:rPr>
                <w:bCs/>
                <w:noProof/>
                <w:sz w:val="22"/>
                <w:szCs w:val="22"/>
                <w:lang w:val="hr-HR"/>
              </w:rPr>
              <w:t>na reakcija na l</w:t>
            </w:r>
            <w:r w:rsidR="00DD0118">
              <w:rPr>
                <w:bCs/>
                <w:noProof/>
                <w:sz w:val="22"/>
                <w:szCs w:val="22"/>
                <w:lang w:val="hr-HR"/>
              </w:rPr>
              <w:t>ij</w:t>
            </w:r>
            <w:r w:rsidRPr="00F91F2E">
              <w:rPr>
                <w:bCs/>
                <w:noProof/>
                <w:sz w:val="22"/>
                <w:szCs w:val="22"/>
                <w:lang w:val="hr-HR"/>
              </w:rPr>
              <w:t>ek u ovoj indikaciji</w:t>
            </w:r>
          </w:p>
        </w:tc>
        <w:tc>
          <w:tcPr>
            <w:tcW w:w="1038" w:type="pct"/>
            <w:tcBorders>
              <w:top w:val="single" w:sz="4" w:space="0" w:color="auto"/>
              <w:left w:val="single" w:sz="4" w:space="0" w:color="auto"/>
              <w:bottom w:val="single" w:sz="4" w:space="0" w:color="auto"/>
              <w:right w:val="single" w:sz="4" w:space="0" w:color="auto"/>
            </w:tcBorders>
          </w:tcPr>
          <w:p w14:paraId="7E6B9D9E" w14:textId="77777777" w:rsidR="00455700" w:rsidRPr="00F37492" w:rsidRDefault="00455700" w:rsidP="000A557B">
            <w:pPr>
              <w:widowControl w:val="0"/>
              <w:jc w:val="both"/>
              <w:rPr>
                <w:noProof/>
                <w:sz w:val="22"/>
                <w:szCs w:val="22"/>
                <w:vertAlign w:val="superscript"/>
              </w:rPr>
            </w:pPr>
          </w:p>
        </w:tc>
      </w:tr>
    </w:tbl>
    <w:p w14:paraId="5A7EEE0D" w14:textId="77777777" w:rsidR="00F37492" w:rsidRPr="00F37492" w:rsidRDefault="00F37492" w:rsidP="000A557B">
      <w:pPr>
        <w:shd w:val="clear" w:color="auto" w:fill="FFFFFF"/>
        <w:rPr>
          <w:color w:val="000000"/>
          <w:sz w:val="22"/>
          <w:szCs w:val="22"/>
          <w:lang w:val="sr-Latn-CS"/>
        </w:rPr>
      </w:pPr>
    </w:p>
    <w:p w14:paraId="527F5465" w14:textId="77777777" w:rsidR="00F37492" w:rsidRPr="00F37492" w:rsidRDefault="00F37492" w:rsidP="000A557B">
      <w:pPr>
        <w:shd w:val="clear" w:color="auto" w:fill="FFFFFF"/>
        <w:jc w:val="both"/>
        <w:rPr>
          <w:color w:val="000000"/>
          <w:sz w:val="22"/>
          <w:szCs w:val="22"/>
          <w:u w:val="single"/>
          <w:lang w:val="sr-Latn-CS"/>
        </w:rPr>
      </w:pPr>
      <w:r w:rsidRPr="00F37492">
        <w:rPr>
          <w:color w:val="000000"/>
          <w:sz w:val="22"/>
          <w:szCs w:val="22"/>
          <w:u w:val="single"/>
          <w:lang w:val="sr-Latn-CS"/>
        </w:rPr>
        <w:t xml:space="preserve">Opis odabranih neželjenih reakcija na lijek </w:t>
      </w:r>
    </w:p>
    <w:p w14:paraId="79D58134" w14:textId="77777777" w:rsidR="00F37492" w:rsidRPr="00F37492" w:rsidRDefault="00F37492" w:rsidP="000A557B">
      <w:pPr>
        <w:shd w:val="clear" w:color="auto" w:fill="FFFFFF"/>
        <w:jc w:val="both"/>
        <w:rPr>
          <w:color w:val="000000"/>
          <w:sz w:val="22"/>
          <w:szCs w:val="22"/>
          <w:u w:val="single"/>
          <w:lang w:val="sr-Latn-CS"/>
        </w:rPr>
      </w:pPr>
    </w:p>
    <w:p w14:paraId="0ECA91EB" w14:textId="77777777" w:rsidR="00F37492" w:rsidRPr="00703819" w:rsidRDefault="00F37492" w:rsidP="000A557B">
      <w:pPr>
        <w:shd w:val="clear" w:color="auto" w:fill="FFFFFF"/>
        <w:jc w:val="both"/>
        <w:rPr>
          <w:i/>
          <w:color w:val="000000"/>
          <w:sz w:val="22"/>
          <w:szCs w:val="22"/>
          <w:u w:val="single"/>
          <w:lang w:val="sr-Latn-CS"/>
        </w:rPr>
      </w:pPr>
      <w:r w:rsidRPr="00703819">
        <w:rPr>
          <w:i/>
          <w:color w:val="000000"/>
          <w:sz w:val="22"/>
          <w:szCs w:val="22"/>
          <w:u w:val="single"/>
          <w:lang w:val="sr-Latn-CS"/>
        </w:rPr>
        <w:t>Anemija</w:t>
      </w:r>
    </w:p>
    <w:p w14:paraId="0C4C98C0" w14:textId="77777777"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U kliničkim studijama MF faze 3, medijana vremena do početka prve CTCAE stepena 2 ili više, anemije iznosilo je 1,5 mjesec. Jedan pacijent (0,3%) je prekinuo terapiju zbog anemije.</w:t>
      </w:r>
    </w:p>
    <w:p w14:paraId="718CAFF3" w14:textId="77777777" w:rsidR="00F37492" w:rsidRPr="00F37492" w:rsidRDefault="00F37492" w:rsidP="000A557B">
      <w:pPr>
        <w:shd w:val="clear" w:color="auto" w:fill="FFFFFF"/>
        <w:jc w:val="both"/>
        <w:rPr>
          <w:color w:val="000000"/>
          <w:sz w:val="22"/>
          <w:szCs w:val="22"/>
          <w:lang w:val="sr-Latn-CS"/>
        </w:rPr>
      </w:pPr>
    </w:p>
    <w:p w14:paraId="3D46F1F1" w14:textId="4851D92D"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 xml:space="preserve">Kod pacijenata koji primaju ruksolitinib srednje smanjenje nivoa hemoglobina je dostiglo najniži nivo od približno 10 g/l ispod početne vrijednosti poslije 8 do 12 nedjelja terapije, a potom se postepeno oporavljao i dostigao </w:t>
      </w:r>
      <w:r w:rsidR="002C1314">
        <w:rPr>
          <w:color w:val="000000"/>
          <w:sz w:val="22"/>
          <w:szCs w:val="22"/>
          <w:lang w:val="sr-Latn-CS"/>
        </w:rPr>
        <w:t>novo stanje dinamičke ravnoteže</w:t>
      </w:r>
      <w:r w:rsidRPr="00F37492">
        <w:rPr>
          <w:color w:val="000000"/>
          <w:sz w:val="22"/>
          <w:szCs w:val="22"/>
          <w:lang w:val="sr-Latn-CS"/>
        </w:rPr>
        <w:t xml:space="preserve"> koji je bio otprilike 5 g/l ispod početne vrijednosti. Ovaj obrazac je zabilježen kod pacijenata nezavisno od toga da li su tokom terapije primali transfuziju.</w:t>
      </w:r>
    </w:p>
    <w:p w14:paraId="65BC7D58" w14:textId="77777777" w:rsidR="00F37492" w:rsidRPr="00F37492" w:rsidRDefault="00F37492" w:rsidP="000A557B">
      <w:pPr>
        <w:shd w:val="clear" w:color="auto" w:fill="FFFFFF"/>
        <w:jc w:val="both"/>
        <w:rPr>
          <w:color w:val="000000"/>
          <w:sz w:val="22"/>
          <w:szCs w:val="22"/>
          <w:lang w:val="sr-Latn-CS"/>
        </w:rPr>
      </w:pPr>
    </w:p>
    <w:p w14:paraId="0B218E29" w14:textId="77777777"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U randomizovanom, placebom kontrolisanom kliničkom ispitivanju COMFORT-I 60,6% pacijenata s MF koji su liječeni lijekom Jakavi i 37,7% pacijenata sa MF koji su primali placebo, primili su transfuziju eritrocita tokom randomizovane terapije. U studiji COMFORT-II stopa primljenih transfuzija koncentrovanih eritrocita je bila 53,4% u grupi pacijenata sa lijekom Jakavi i 41,1 % kod pacijenata koji su dobijali najbolju raspoloživu terapiju.</w:t>
      </w:r>
    </w:p>
    <w:p w14:paraId="215771AB" w14:textId="77777777" w:rsidR="00F37492" w:rsidRPr="00F37492" w:rsidRDefault="00F37492" w:rsidP="000A557B">
      <w:pPr>
        <w:shd w:val="clear" w:color="auto" w:fill="FFFFFF"/>
        <w:jc w:val="both"/>
        <w:rPr>
          <w:i/>
          <w:color w:val="000000"/>
          <w:sz w:val="22"/>
          <w:szCs w:val="22"/>
          <w:lang w:val="sr-Latn-CS"/>
        </w:rPr>
      </w:pPr>
    </w:p>
    <w:p w14:paraId="32B07E7F" w14:textId="77777777" w:rsidR="00F37492" w:rsidRPr="00F37492" w:rsidRDefault="00F37492" w:rsidP="000A557B">
      <w:pPr>
        <w:widowControl w:val="0"/>
        <w:jc w:val="both"/>
        <w:rPr>
          <w:rFonts w:eastAsia="MS Mincho"/>
          <w:sz w:val="22"/>
          <w:szCs w:val="22"/>
          <w:lang w:val="hr-HR"/>
        </w:rPr>
      </w:pPr>
      <w:r w:rsidRPr="00F37492">
        <w:rPr>
          <w:rFonts w:eastAsia="MS Mincho"/>
          <w:sz w:val="22"/>
          <w:szCs w:val="22"/>
          <w:lang w:val="hr-HR"/>
        </w:rPr>
        <w:t>U randomizovanom periodu ključnih kliničkih ispitivanja, anemija je bila manje učestala kod pacijenata sa PV nego kod pacijenata sa MF (40,8% u odnosu na 82,4%). U populaciji sa PV, događaji stepena 3 i 4 prema CTCAE</w:t>
      </w:r>
      <w:r w:rsidRPr="00F37492">
        <w:rPr>
          <w:rFonts w:eastAsia="MS Mincho"/>
          <w:sz w:val="22"/>
          <w:szCs w:val="22"/>
          <w:lang w:val="hr-HR"/>
        </w:rPr>
        <w:noBreakHyphen/>
        <w:t>u bili su prijavljeni kod 2,7%, dok je kod pacijenata sa MF učestalost bila 42,56%.</w:t>
      </w:r>
    </w:p>
    <w:p w14:paraId="37F18BA7" w14:textId="77777777" w:rsidR="00F37492" w:rsidRPr="00F37492" w:rsidRDefault="00F37492" w:rsidP="000A557B">
      <w:pPr>
        <w:shd w:val="clear" w:color="auto" w:fill="FFFFFF"/>
        <w:jc w:val="both"/>
        <w:rPr>
          <w:color w:val="000000"/>
          <w:sz w:val="22"/>
          <w:lang w:val="sr-Latn-CS"/>
        </w:rPr>
      </w:pPr>
    </w:p>
    <w:p w14:paraId="48876461" w14:textId="40F81977" w:rsidR="00F37492" w:rsidRPr="00F91F2E" w:rsidRDefault="00F37492" w:rsidP="000A557B">
      <w:pPr>
        <w:shd w:val="clear" w:color="auto" w:fill="FFFFFF"/>
        <w:jc w:val="both"/>
        <w:rPr>
          <w:color w:val="000000"/>
          <w:sz w:val="22"/>
          <w:szCs w:val="22"/>
          <w:lang w:val="hr-HR"/>
        </w:rPr>
      </w:pPr>
      <w:r w:rsidRPr="00F37492">
        <w:rPr>
          <w:color w:val="000000"/>
          <w:sz w:val="22"/>
          <w:szCs w:val="22"/>
          <w:lang w:val="sr-Latn-CS"/>
        </w:rPr>
        <w:t xml:space="preserve">U studijama faze 3 akutne </w:t>
      </w:r>
      <w:r w:rsidR="00A8394C" w:rsidRPr="00A8394C">
        <w:rPr>
          <w:color w:val="000000"/>
          <w:sz w:val="22"/>
          <w:szCs w:val="22"/>
          <w:lang w:val="hr-HR"/>
        </w:rPr>
        <w:t>(REACH2)</w:t>
      </w:r>
      <w:r w:rsidR="00A8394C">
        <w:rPr>
          <w:color w:val="000000"/>
          <w:sz w:val="22"/>
          <w:szCs w:val="22"/>
          <w:lang w:val="hr-HR"/>
        </w:rPr>
        <w:t xml:space="preserve"> </w:t>
      </w:r>
      <w:r w:rsidRPr="00F37492">
        <w:rPr>
          <w:color w:val="000000"/>
          <w:sz w:val="22"/>
          <w:szCs w:val="22"/>
          <w:lang w:val="sr-Latn-CS"/>
        </w:rPr>
        <w:t xml:space="preserve">i hronične </w:t>
      </w:r>
      <w:r w:rsidR="00A8394C" w:rsidRPr="00A8394C">
        <w:rPr>
          <w:color w:val="000000"/>
          <w:sz w:val="22"/>
          <w:szCs w:val="22"/>
          <w:lang w:val="hr-HR"/>
        </w:rPr>
        <w:t xml:space="preserve">(REACH3) </w:t>
      </w:r>
      <w:r w:rsidRPr="00F37492">
        <w:rPr>
          <w:color w:val="000000"/>
          <w:sz w:val="22"/>
          <w:szCs w:val="22"/>
          <w:lang w:val="sr-Latn-CS"/>
        </w:rPr>
        <w:t xml:space="preserve">GvHD, anemija </w:t>
      </w:r>
      <w:r w:rsidR="00A8394C" w:rsidRPr="00A8394C">
        <w:rPr>
          <w:color w:val="000000"/>
          <w:sz w:val="22"/>
          <w:szCs w:val="22"/>
          <w:lang w:val="hr-HR"/>
        </w:rPr>
        <w:t>(svih stepena) je bila  prijavljena kod 75,0%, odnosno 68,6% pacijenata, dok je anemija</w:t>
      </w:r>
      <w:r w:rsidR="00A8394C" w:rsidRPr="00A8394C">
        <w:rPr>
          <w:color w:val="000000"/>
          <w:sz w:val="22"/>
          <w:szCs w:val="22"/>
          <w:lang w:val="sr-Latn-CS"/>
        </w:rPr>
        <w:t xml:space="preserve"> </w:t>
      </w:r>
      <w:r w:rsidRPr="00F37492">
        <w:rPr>
          <w:color w:val="000000"/>
          <w:sz w:val="22"/>
          <w:szCs w:val="22"/>
          <w:lang w:val="sr-Latn-CS"/>
        </w:rPr>
        <w:t>CTCAE stepena 3 prijavljena je kod 47,7% tj. 14,8% pacijenata.</w:t>
      </w:r>
      <w:r w:rsidR="00A8394C">
        <w:rPr>
          <w:color w:val="000000"/>
          <w:sz w:val="22"/>
          <w:szCs w:val="22"/>
          <w:lang w:val="sr-Latn-CS"/>
        </w:rPr>
        <w:t xml:space="preserve"> </w:t>
      </w:r>
      <w:r w:rsidR="00A8394C" w:rsidRPr="00A8394C">
        <w:rPr>
          <w:color w:val="000000"/>
          <w:sz w:val="22"/>
          <w:szCs w:val="22"/>
          <w:lang w:val="hr-HR"/>
        </w:rPr>
        <w:t>Kod pedijatrijskih pacijenata sa akutnim i hroničnim GvHD, anemija (svih stepenova) je bila prijavljena kod 70,8%, odnosno 49,1% pacijenata, dok je anemija CTCAE stepena</w:t>
      </w:r>
      <w:r w:rsidR="002D36D5">
        <w:rPr>
          <w:color w:val="000000"/>
          <w:sz w:val="22"/>
          <w:szCs w:val="22"/>
          <w:lang w:val="hr-HR"/>
        </w:rPr>
        <w:t xml:space="preserve"> </w:t>
      </w:r>
      <w:r w:rsidR="00A8394C" w:rsidRPr="00A8394C">
        <w:rPr>
          <w:color w:val="000000"/>
          <w:sz w:val="22"/>
          <w:szCs w:val="22"/>
          <w:lang w:val="hr-HR"/>
        </w:rPr>
        <w:t>3 bila prijavljena kod 45,8%, odnosno 17,0% pacijenata.</w:t>
      </w:r>
    </w:p>
    <w:p w14:paraId="0D22A77F" w14:textId="77777777" w:rsidR="00F37492" w:rsidRPr="00F37492" w:rsidRDefault="00F37492" w:rsidP="000A557B">
      <w:pPr>
        <w:shd w:val="clear" w:color="auto" w:fill="FFFFFF"/>
        <w:jc w:val="both"/>
        <w:rPr>
          <w:i/>
          <w:color w:val="000000"/>
          <w:sz w:val="22"/>
          <w:szCs w:val="22"/>
          <w:lang w:val="hr-HR"/>
        </w:rPr>
      </w:pPr>
    </w:p>
    <w:p w14:paraId="058066D7" w14:textId="77777777" w:rsidR="00F37492" w:rsidRPr="00F37492" w:rsidRDefault="00F37492" w:rsidP="000A557B">
      <w:pPr>
        <w:shd w:val="clear" w:color="auto" w:fill="FFFFFF"/>
        <w:jc w:val="both"/>
        <w:rPr>
          <w:i/>
          <w:color w:val="000000"/>
          <w:sz w:val="22"/>
          <w:szCs w:val="22"/>
          <w:u w:val="single"/>
          <w:lang w:val="sr-Latn-CS"/>
        </w:rPr>
      </w:pPr>
      <w:r w:rsidRPr="00F37492">
        <w:rPr>
          <w:i/>
          <w:color w:val="000000"/>
          <w:sz w:val="22"/>
          <w:szCs w:val="22"/>
          <w:u w:val="single"/>
          <w:lang w:val="sr-Latn-CS"/>
        </w:rPr>
        <w:t>Trombocitopenija</w:t>
      </w:r>
    </w:p>
    <w:p w14:paraId="29F60652" w14:textId="07057B0D"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 xml:space="preserve">U kliničkim studijama MF faze 3 kod pacijenata koji su razvili trombocitopeniju stepena 3 ili 4, </w:t>
      </w:r>
      <w:r w:rsidR="002C1314">
        <w:rPr>
          <w:color w:val="000000"/>
          <w:sz w:val="22"/>
          <w:szCs w:val="22"/>
          <w:lang w:val="sr-Latn-CS"/>
        </w:rPr>
        <w:t>medijana vr</w:t>
      </w:r>
      <w:r w:rsidR="00F61AA5">
        <w:rPr>
          <w:color w:val="000000"/>
          <w:sz w:val="22"/>
          <w:szCs w:val="22"/>
          <w:lang w:val="sr-Latn-CS"/>
        </w:rPr>
        <w:t>ij</w:t>
      </w:r>
      <w:r w:rsidR="002C1314">
        <w:rPr>
          <w:color w:val="000000"/>
          <w:sz w:val="22"/>
          <w:szCs w:val="22"/>
          <w:lang w:val="sr-Latn-CS"/>
        </w:rPr>
        <w:t xml:space="preserve">emena </w:t>
      </w:r>
      <w:r w:rsidRPr="00F37492">
        <w:rPr>
          <w:color w:val="000000"/>
          <w:sz w:val="22"/>
          <w:szCs w:val="22"/>
          <w:lang w:val="sr-Latn-CS"/>
        </w:rPr>
        <w:t>do njene pojave bilo je oko 8 nedjelja. Trombocitopenija je po pravilu bila reverzibilna nakon smanjenja doze ili potpune obustave terapije. Medijana vremena do oporavka broja trombocita na vrijednosti preko 50</w:t>
      </w:r>
      <w:r w:rsidR="002C1314">
        <w:rPr>
          <w:color w:val="000000"/>
          <w:sz w:val="22"/>
          <w:szCs w:val="22"/>
          <w:lang w:val="sr-Latn-CS"/>
        </w:rPr>
        <w:t xml:space="preserve"> </w:t>
      </w:r>
      <w:r w:rsidRPr="00F37492">
        <w:rPr>
          <w:color w:val="000000"/>
          <w:sz w:val="22"/>
          <w:szCs w:val="22"/>
          <w:lang w:val="sr-Latn-CS"/>
        </w:rPr>
        <w:t>000/mm</w:t>
      </w:r>
      <w:r w:rsidRPr="00F37492">
        <w:rPr>
          <w:color w:val="000000"/>
          <w:sz w:val="22"/>
          <w:szCs w:val="22"/>
          <w:vertAlign w:val="superscript"/>
          <w:lang w:val="sr-Latn-CS"/>
        </w:rPr>
        <w:t>3</w:t>
      </w:r>
      <w:r w:rsidRPr="00F37492">
        <w:rPr>
          <w:color w:val="000000"/>
          <w:sz w:val="22"/>
          <w:szCs w:val="22"/>
          <w:lang w:val="sr-Latn-CS"/>
        </w:rPr>
        <w:t xml:space="preserve"> iznosilo je 14 dana. Tokom perioda randomizacije transfuzije trombocita primijenjene su kod 4,7% pacijenata koji su primali ruksolitinib i kod 4,0% pacijenata koji su primali </w:t>
      </w:r>
      <w:r w:rsidRPr="00F37492">
        <w:rPr>
          <w:color w:val="000000"/>
          <w:sz w:val="22"/>
          <w:szCs w:val="22"/>
          <w:lang w:val="sr-Latn-CS"/>
        </w:rPr>
        <w:lastRenderedPageBreak/>
        <w:t>kontrolne terapije. Do obustave terapije zbog trombocitopenije došlo je kod 0,7% pacijenata koji su primali ruksolitinib i 0,9% pacijenata koji su primali kontrolne terapije. Pacijenti kojima je broj trombocita prije započinjanja terapije lijekom ruksolitinib bio od 100</w:t>
      </w:r>
      <w:r w:rsidR="002C1314">
        <w:rPr>
          <w:color w:val="000000"/>
          <w:sz w:val="22"/>
          <w:szCs w:val="22"/>
          <w:lang w:val="sr-Latn-CS"/>
        </w:rPr>
        <w:t xml:space="preserve"> </w:t>
      </w:r>
      <w:r w:rsidRPr="00F37492">
        <w:rPr>
          <w:color w:val="000000"/>
          <w:sz w:val="22"/>
          <w:szCs w:val="22"/>
          <w:lang w:val="sr-Latn-CS"/>
        </w:rPr>
        <w:t>000/mm</w:t>
      </w:r>
      <w:r w:rsidRPr="00F37492">
        <w:rPr>
          <w:color w:val="000000"/>
          <w:sz w:val="22"/>
          <w:szCs w:val="22"/>
          <w:vertAlign w:val="superscript"/>
          <w:lang w:val="sr-Latn-CS"/>
        </w:rPr>
        <w:t>3</w:t>
      </w:r>
      <w:r w:rsidRPr="00F37492">
        <w:rPr>
          <w:color w:val="000000"/>
          <w:sz w:val="22"/>
          <w:szCs w:val="22"/>
          <w:lang w:val="sr-Latn-CS"/>
        </w:rPr>
        <w:t xml:space="preserve"> do 200</w:t>
      </w:r>
      <w:r w:rsidR="002C1314">
        <w:rPr>
          <w:color w:val="000000"/>
          <w:sz w:val="22"/>
          <w:szCs w:val="22"/>
          <w:lang w:val="sr-Latn-CS"/>
        </w:rPr>
        <w:t xml:space="preserve"> </w:t>
      </w:r>
      <w:r w:rsidRPr="00F37492">
        <w:rPr>
          <w:color w:val="000000"/>
          <w:sz w:val="22"/>
          <w:szCs w:val="22"/>
          <w:lang w:val="sr-Latn-CS"/>
        </w:rPr>
        <w:t>000/mm</w:t>
      </w:r>
      <w:r w:rsidRPr="00F37492">
        <w:rPr>
          <w:color w:val="000000"/>
          <w:sz w:val="22"/>
          <w:szCs w:val="22"/>
          <w:vertAlign w:val="superscript"/>
          <w:lang w:val="sr-Latn-CS"/>
        </w:rPr>
        <w:t>3</w:t>
      </w:r>
      <w:r w:rsidRPr="00F37492">
        <w:rPr>
          <w:color w:val="000000"/>
          <w:sz w:val="22"/>
          <w:szCs w:val="22"/>
          <w:lang w:val="sr-Latn-CS"/>
        </w:rPr>
        <w:t xml:space="preserve"> imali su veću učestalost trombocitopenije stepena 3 ili 4 u poređenju sa pacijentima koji imaju &gt;200</w:t>
      </w:r>
      <w:r w:rsidR="002C1314">
        <w:rPr>
          <w:color w:val="000000"/>
          <w:sz w:val="22"/>
          <w:szCs w:val="22"/>
          <w:lang w:val="sr-Latn-CS"/>
        </w:rPr>
        <w:t xml:space="preserve"> </w:t>
      </w:r>
      <w:r w:rsidRPr="00F37492">
        <w:rPr>
          <w:color w:val="000000"/>
          <w:sz w:val="22"/>
          <w:szCs w:val="22"/>
          <w:lang w:val="sr-Latn-CS"/>
        </w:rPr>
        <w:t>000/mm</w:t>
      </w:r>
      <w:r w:rsidRPr="00F37492">
        <w:rPr>
          <w:color w:val="000000"/>
          <w:sz w:val="22"/>
          <w:szCs w:val="22"/>
          <w:vertAlign w:val="superscript"/>
          <w:lang w:val="sr-Latn-CS"/>
        </w:rPr>
        <w:t>3</w:t>
      </w:r>
      <w:r w:rsidRPr="00F37492">
        <w:rPr>
          <w:color w:val="000000"/>
          <w:sz w:val="22"/>
          <w:szCs w:val="22"/>
          <w:lang w:val="sr-Latn-CS"/>
        </w:rPr>
        <w:t xml:space="preserve"> trombocita (64,2% prema 38,5%).</w:t>
      </w:r>
    </w:p>
    <w:p w14:paraId="5E5D44D0" w14:textId="77777777" w:rsidR="00F37492" w:rsidRPr="00F37492" w:rsidRDefault="00F37492" w:rsidP="000A557B">
      <w:pPr>
        <w:shd w:val="clear" w:color="auto" w:fill="FFFFFF"/>
        <w:jc w:val="both"/>
        <w:rPr>
          <w:color w:val="000000"/>
          <w:sz w:val="22"/>
          <w:szCs w:val="22"/>
          <w:lang w:val="sr-Latn-CS"/>
        </w:rPr>
      </w:pPr>
    </w:p>
    <w:p w14:paraId="3B25D547" w14:textId="784E642E" w:rsidR="00F37492" w:rsidRPr="00F37492" w:rsidRDefault="00F37492" w:rsidP="000A557B">
      <w:pPr>
        <w:widowControl w:val="0"/>
        <w:jc w:val="both"/>
        <w:rPr>
          <w:rFonts w:eastAsia="MS Mincho"/>
          <w:sz w:val="22"/>
          <w:szCs w:val="22"/>
          <w:lang w:val="hr-HR"/>
        </w:rPr>
      </w:pPr>
      <w:r w:rsidRPr="00F37492">
        <w:rPr>
          <w:rFonts w:eastAsia="MS Mincho"/>
          <w:sz w:val="22"/>
          <w:szCs w:val="22"/>
          <w:lang w:val="hr-HR"/>
        </w:rPr>
        <w:t>U periodu</w:t>
      </w:r>
      <w:r w:rsidR="002C1314">
        <w:rPr>
          <w:rFonts w:eastAsia="MS Mincho"/>
          <w:sz w:val="22"/>
          <w:szCs w:val="22"/>
          <w:lang w:val="hr-HR"/>
        </w:rPr>
        <w:t xml:space="preserve"> randomizacije</w:t>
      </w:r>
      <w:r w:rsidRPr="00F37492">
        <w:rPr>
          <w:rFonts w:eastAsia="MS Mincho"/>
          <w:sz w:val="22"/>
          <w:szCs w:val="22"/>
          <w:lang w:val="hr-HR"/>
        </w:rPr>
        <w:t xml:space="preserve"> ključnih ispitivanja, stopa pacijenata kod kojih se pojavila trombocitopenija bila je niža kod pacijenata sa PV (16,8%) u poređenju sa pacijentima sa MF (69,8%). Učestalost teške (tj. stepena 3 i 4 prema CTCAE</w:t>
      </w:r>
      <w:r w:rsidRPr="00F37492">
        <w:rPr>
          <w:rFonts w:eastAsia="MS Mincho"/>
          <w:sz w:val="22"/>
          <w:szCs w:val="22"/>
          <w:lang w:val="hr-HR"/>
        </w:rPr>
        <w:noBreakHyphen/>
        <w:t>u) trombocitopenije bila je niža kod pacijenata sa PV (2,7%) nego kod onih sa MF (11,6%).</w:t>
      </w:r>
    </w:p>
    <w:p w14:paraId="3573C5FB" w14:textId="77777777" w:rsidR="00F37492" w:rsidRPr="00F37492" w:rsidRDefault="00F37492" w:rsidP="000A557B">
      <w:pPr>
        <w:shd w:val="clear" w:color="auto" w:fill="FFFFFF"/>
        <w:jc w:val="both"/>
        <w:rPr>
          <w:i/>
          <w:color w:val="000000"/>
          <w:sz w:val="22"/>
          <w:lang w:val="hr-HR"/>
        </w:rPr>
      </w:pPr>
    </w:p>
    <w:p w14:paraId="357F0913" w14:textId="22BCC749"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U sudiji faze 3 akutnog GvHD</w:t>
      </w:r>
      <w:r w:rsidR="00A8394C">
        <w:rPr>
          <w:color w:val="000000"/>
          <w:sz w:val="22"/>
          <w:szCs w:val="22"/>
          <w:lang w:val="sr-Latn-CS"/>
        </w:rPr>
        <w:t xml:space="preserve"> </w:t>
      </w:r>
      <w:r w:rsidR="00A8394C" w:rsidRPr="00A8394C">
        <w:rPr>
          <w:color w:val="000000"/>
          <w:sz w:val="22"/>
          <w:szCs w:val="22"/>
          <w:lang w:val="hr-HR"/>
        </w:rPr>
        <w:t>(REACH2)</w:t>
      </w:r>
      <w:r w:rsidRPr="00F37492">
        <w:rPr>
          <w:color w:val="000000"/>
          <w:sz w:val="22"/>
          <w:szCs w:val="22"/>
          <w:lang w:val="sr-Latn-CS"/>
        </w:rPr>
        <w:t>, tromboctopenija stepena 3 i 4 primijećena je kod 31,3% tj. 47,7% pacijenata. U sudiji faze 3 hroničnog GvHD</w:t>
      </w:r>
      <w:r w:rsidR="00A8394C">
        <w:rPr>
          <w:color w:val="000000"/>
          <w:sz w:val="22"/>
          <w:szCs w:val="22"/>
          <w:lang w:val="sr-Latn-CS"/>
        </w:rPr>
        <w:t xml:space="preserve"> </w:t>
      </w:r>
      <w:r w:rsidR="00A8394C" w:rsidRPr="00A8394C">
        <w:rPr>
          <w:color w:val="000000"/>
          <w:sz w:val="22"/>
          <w:szCs w:val="22"/>
          <w:lang w:val="hr-HR"/>
        </w:rPr>
        <w:t>(REACH3)</w:t>
      </w:r>
      <w:r w:rsidRPr="00F37492">
        <w:rPr>
          <w:color w:val="000000"/>
          <w:sz w:val="22"/>
          <w:szCs w:val="22"/>
          <w:lang w:val="sr-Latn-CS"/>
        </w:rPr>
        <w:t>, tromboctopenija stepena 3 i 4 bila je niža (5,9% i 10,7%) nego kod akutnog GvHD.</w:t>
      </w:r>
      <w:r w:rsidR="00A8394C">
        <w:rPr>
          <w:color w:val="000000"/>
          <w:sz w:val="22"/>
          <w:szCs w:val="22"/>
          <w:lang w:val="sr-Latn-CS"/>
        </w:rPr>
        <w:t xml:space="preserve"> </w:t>
      </w:r>
      <w:r w:rsidR="00A8394C" w:rsidRPr="00A8394C">
        <w:rPr>
          <w:color w:val="000000"/>
          <w:sz w:val="22"/>
          <w:szCs w:val="22"/>
          <w:lang w:val="hr-HR"/>
        </w:rPr>
        <w:t>Učestalost trombocitopenije stepena 3 (14,6%) i 4 (22,4%) kod pedijatrijskih pacijenata sa akutnim GvHD  je bila niža nego u ispitivanju REACH2. Kod pedijatrijskih pacijenata sa hroničnim GvHD, trombocitopenija stepena 3 i 4 je bila niža (7,7%, odnosno 11,1%) nego kod pedijatrijskih pacijenata sa akutnim GvHD.</w:t>
      </w:r>
    </w:p>
    <w:p w14:paraId="658BDE0A" w14:textId="77777777" w:rsidR="00F37492" w:rsidRPr="00F37492" w:rsidRDefault="00F37492" w:rsidP="000A557B">
      <w:pPr>
        <w:shd w:val="clear" w:color="auto" w:fill="FFFFFF"/>
        <w:jc w:val="both"/>
        <w:rPr>
          <w:i/>
          <w:color w:val="000000"/>
          <w:sz w:val="22"/>
          <w:szCs w:val="22"/>
          <w:lang w:val="hr-HR"/>
        </w:rPr>
      </w:pPr>
    </w:p>
    <w:p w14:paraId="41D2120E" w14:textId="77777777" w:rsidR="00F37492" w:rsidRPr="00F37492" w:rsidRDefault="00F37492" w:rsidP="000A557B">
      <w:pPr>
        <w:shd w:val="clear" w:color="auto" w:fill="FFFFFF"/>
        <w:jc w:val="both"/>
        <w:rPr>
          <w:i/>
          <w:color w:val="000000"/>
          <w:sz w:val="22"/>
          <w:szCs w:val="22"/>
          <w:u w:val="single"/>
          <w:lang w:val="sr-Latn-CS"/>
        </w:rPr>
      </w:pPr>
      <w:r w:rsidRPr="00F37492">
        <w:rPr>
          <w:i/>
          <w:color w:val="000000"/>
          <w:sz w:val="22"/>
          <w:szCs w:val="22"/>
          <w:u w:val="single"/>
          <w:lang w:val="sr-Latn-CS"/>
        </w:rPr>
        <w:t>Neutropenija</w:t>
      </w:r>
    </w:p>
    <w:p w14:paraId="330B768F" w14:textId="72663D55"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 xml:space="preserve">U kliničkim studijama MF faze 3 kod pacijenata koji su razvili neutropeniju stepena 3 ili 4, </w:t>
      </w:r>
      <w:r w:rsidR="002C1314">
        <w:rPr>
          <w:color w:val="000000"/>
          <w:sz w:val="22"/>
          <w:szCs w:val="22"/>
          <w:lang w:val="sr-Latn-CS"/>
        </w:rPr>
        <w:t>medijana vr</w:t>
      </w:r>
      <w:r w:rsidR="00F61AA5">
        <w:rPr>
          <w:color w:val="000000"/>
          <w:sz w:val="22"/>
          <w:szCs w:val="22"/>
          <w:lang w:val="sr-Latn-CS"/>
        </w:rPr>
        <w:t>ij</w:t>
      </w:r>
      <w:r w:rsidR="002C1314">
        <w:rPr>
          <w:color w:val="000000"/>
          <w:sz w:val="22"/>
          <w:szCs w:val="22"/>
          <w:lang w:val="sr-Latn-CS"/>
        </w:rPr>
        <w:t>emena</w:t>
      </w:r>
      <w:r w:rsidRPr="00F37492">
        <w:rPr>
          <w:color w:val="000000"/>
          <w:sz w:val="22"/>
          <w:szCs w:val="22"/>
          <w:lang w:val="sr-Latn-CS"/>
        </w:rPr>
        <w:t xml:space="preserve"> do njenog početka bilo je oko 12 nedjelja. Tokom perioda randomizacije odlaganje ili smanjenje doze zbog neutropenije prijavljeno je kod 1,0% pacijenata, a kod 0,3% pacijenata terapija je prekinuta zbog neutropenije.</w:t>
      </w:r>
    </w:p>
    <w:p w14:paraId="59D00CC3" w14:textId="77777777" w:rsidR="00F37492" w:rsidRPr="00F37492" w:rsidRDefault="00F37492" w:rsidP="000A557B">
      <w:pPr>
        <w:shd w:val="clear" w:color="auto" w:fill="FFFFFF"/>
        <w:jc w:val="both"/>
        <w:rPr>
          <w:color w:val="000000"/>
          <w:sz w:val="22"/>
          <w:szCs w:val="22"/>
          <w:lang w:val="sr-Latn-CS"/>
        </w:rPr>
      </w:pPr>
    </w:p>
    <w:p w14:paraId="1D867340" w14:textId="12F225F8" w:rsidR="00F37492" w:rsidRPr="00F37492" w:rsidRDefault="00F37492" w:rsidP="000A557B">
      <w:pPr>
        <w:widowControl w:val="0"/>
        <w:jc w:val="both"/>
        <w:rPr>
          <w:rFonts w:eastAsia="MS Mincho"/>
          <w:sz w:val="22"/>
          <w:szCs w:val="22"/>
          <w:lang w:val="hr-HR"/>
        </w:rPr>
      </w:pPr>
      <w:r w:rsidRPr="00F37492">
        <w:rPr>
          <w:rFonts w:eastAsia="MS Mincho"/>
          <w:sz w:val="22"/>
          <w:szCs w:val="22"/>
          <w:lang w:val="hr-HR"/>
        </w:rPr>
        <w:t xml:space="preserve">U periodu </w:t>
      </w:r>
      <w:r w:rsidR="002C1314">
        <w:rPr>
          <w:rFonts w:eastAsia="MS Mincho"/>
          <w:sz w:val="22"/>
          <w:szCs w:val="22"/>
          <w:lang w:val="hr-HR"/>
        </w:rPr>
        <w:t xml:space="preserve">randomizacije </w:t>
      </w:r>
      <w:r w:rsidRPr="00F37492">
        <w:rPr>
          <w:rFonts w:eastAsia="MS Mincho"/>
          <w:sz w:val="22"/>
          <w:szCs w:val="22"/>
          <w:lang w:val="hr-HR"/>
        </w:rPr>
        <w:t>kliničkih ispitivanja faze 3 kod pacijenata sa PV, neutropenija je bila prijavljena kod 1,6%</w:t>
      </w:r>
      <w:r w:rsidRPr="00F37492">
        <w:rPr>
          <w:rFonts w:eastAsia="MS Mincho"/>
          <w:color w:val="000000"/>
          <w:szCs w:val="22"/>
          <w:lang w:val="sr-Latn-CS"/>
        </w:rPr>
        <w:t xml:space="preserve"> </w:t>
      </w:r>
      <w:r w:rsidRPr="00F37492">
        <w:rPr>
          <w:rFonts w:eastAsia="MS Mincho"/>
          <w:color w:val="000000"/>
          <w:sz w:val="22"/>
          <w:szCs w:val="22"/>
          <w:lang w:val="sr-Latn-CS"/>
        </w:rPr>
        <w:t>pacijenata koji su primali ruksolitinib u poređenju sa 7% u grupi koja je primala referentne terapije. U grupi koja je primala ruksolitinib,</w:t>
      </w:r>
      <w:r w:rsidRPr="00F37492">
        <w:rPr>
          <w:rFonts w:eastAsia="MS Mincho"/>
          <w:sz w:val="22"/>
          <w:szCs w:val="22"/>
          <w:lang w:val="hr-HR"/>
        </w:rPr>
        <w:t xml:space="preserve"> kod jednog pacijenta se razvila neutropenija stepena 4 prema CTCAE</w:t>
      </w:r>
      <w:r w:rsidRPr="00F37492">
        <w:rPr>
          <w:rFonts w:eastAsia="MS Mincho"/>
          <w:sz w:val="22"/>
          <w:szCs w:val="22"/>
          <w:lang w:val="hr-HR"/>
        </w:rPr>
        <w:noBreakHyphen/>
        <w:t>u.</w:t>
      </w:r>
      <w:r w:rsidRPr="00F37492">
        <w:rPr>
          <w:rFonts w:eastAsia="MS Mincho"/>
          <w:szCs w:val="20"/>
        </w:rPr>
        <w:t xml:space="preserve"> </w:t>
      </w:r>
      <w:r w:rsidRPr="00F37492">
        <w:rPr>
          <w:rFonts w:eastAsia="MS Mincho"/>
          <w:sz w:val="22"/>
          <w:szCs w:val="22"/>
          <w:lang w:val="hr-HR"/>
        </w:rPr>
        <w:t>Produženo praćenje pacijenata koji su primali ruksolitinib pokazalo je da se kod 2 pacijenta razvila neutropenija stepena 4 prema CTCAE-u.</w:t>
      </w:r>
    </w:p>
    <w:p w14:paraId="4A0032FE" w14:textId="77777777" w:rsidR="00F37492" w:rsidRPr="00F37492" w:rsidRDefault="00F37492" w:rsidP="000A557B">
      <w:pPr>
        <w:jc w:val="both"/>
        <w:rPr>
          <w:rFonts w:eastAsia="MS Mincho"/>
          <w:sz w:val="22"/>
          <w:szCs w:val="22"/>
          <w:lang w:val="hr-HR"/>
        </w:rPr>
      </w:pPr>
    </w:p>
    <w:p w14:paraId="04B124D3" w14:textId="3159B629" w:rsidR="00F37492" w:rsidRPr="00F37492" w:rsidRDefault="00F37492" w:rsidP="000A557B">
      <w:pPr>
        <w:jc w:val="both"/>
        <w:rPr>
          <w:rFonts w:eastAsia="MS Mincho"/>
          <w:sz w:val="22"/>
          <w:szCs w:val="22"/>
          <w:lang w:val="hr-HR"/>
        </w:rPr>
      </w:pPr>
      <w:r w:rsidRPr="00F37492">
        <w:rPr>
          <w:rFonts w:eastAsia="MS Mincho"/>
          <w:sz w:val="22"/>
          <w:szCs w:val="22"/>
          <w:lang w:val="hr-HR"/>
        </w:rPr>
        <w:t>U sudiji faze 3 akutnog GvHD</w:t>
      </w:r>
      <w:r w:rsidR="00A8394C">
        <w:rPr>
          <w:rFonts w:eastAsia="MS Mincho"/>
          <w:sz w:val="22"/>
          <w:szCs w:val="22"/>
          <w:lang w:val="hr-HR"/>
        </w:rPr>
        <w:t xml:space="preserve"> </w:t>
      </w:r>
      <w:r w:rsidR="00A8394C" w:rsidRPr="00A8394C">
        <w:rPr>
          <w:rFonts w:eastAsia="MS Mincho"/>
          <w:sz w:val="22"/>
          <w:szCs w:val="22"/>
          <w:lang w:val="hr-HR"/>
        </w:rPr>
        <w:t>(REACH2)</w:t>
      </w:r>
      <w:r w:rsidRPr="00F37492">
        <w:rPr>
          <w:rFonts w:eastAsia="MS Mincho"/>
          <w:sz w:val="22"/>
          <w:szCs w:val="22"/>
          <w:lang w:val="hr-HR"/>
        </w:rPr>
        <w:t xml:space="preserve">, neutropenija stepena 3 i 4 primijećena je kod 17,9% tj. 20,6%  pacijenata. U sudiji faze 3 hroničnog GvHD </w:t>
      </w:r>
      <w:r w:rsidR="00A8394C" w:rsidRPr="00A8394C">
        <w:rPr>
          <w:rFonts w:eastAsia="MS Mincho"/>
          <w:sz w:val="22"/>
          <w:szCs w:val="22"/>
          <w:lang w:val="hr-HR"/>
        </w:rPr>
        <w:t xml:space="preserve">(REACH3) </w:t>
      </w:r>
      <w:r w:rsidRPr="00F37492">
        <w:rPr>
          <w:rFonts w:eastAsia="MS Mincho"/>
          <w:sz w:val="22"/>
          <w:szCs w:val="22"/>
          <w:lang w:val="hr-HR"/>
        </w:rPr>
        <w:t>neutropenija stepena 3 i 4 bila je niža (9,5% i 6,7%) nego kod akutnog GvHD.</w:t>
      </w:r>
      <w:r w:rsidR="00A8394C">
        <w:rPr>
          <w:rFonts w:eastAsia="MS Mincho"/>
          <w:sz w:val="22"/>
          <w:szCs w:val="22"/>
          <w:lang w:val="hr-HR"/>
        </w:rPr>
        <w:t xml:space="preserve"> </w:t>
      </w:r>
      <w:r w:rsidR="00A8394C" w:rsidRPr="00A8394C">
        <w:rPr>
          <w:rFonts w:eastAsia="MS Mincho"/>
          <w:sz w:val="22"/>
          <w:szCs w:val="22"/>
          <w:lang w:val="hr-HR"/>
        </w:rPr>
        <w:t>Kod pedijatrijskih pacijenata učestalost neutropenije stepena 3 i 4 je bila 32,0%, odnosno 22,0% kod akutnog GvHD i 17,3%, odnosno 11,1% kod hroničnog GvHD.</w:t>
      </w:r>
    </w:p>
    <w:p w14:paraId="1ADE715F" w14:textId="77777777" w:rsidR="00F37492" w:rsidRPr="00F37492" w:rsidRDefault="00F37492" w:rsidP="000A557B">
      <w:pPr>
        <w:widowControl w:val="0"/>
        <w:jc w:val="both"/>
        <w:rPr>
          <w:rFonts w:eastAsia="MS Mincho"/>
          <w:sz w:val="22"/>
          <w:szCs w:val="22"/>
          <w:lang w:val="hr-HR"/>
        </w:rPr>
      </w:pPr>
    </w:p>
    <w:p w14:paraId="62AFFE42" w14:textId="77777777" w:rsidR="00F37492" w:rsidRPr="00F37492" w:rsidRDefault="00F37492" w:rsidP="000A557B">
      <w:pPr>
        <w:shd w:val="clear" w:color="auto" w:fill="FFFFFF"/>
        <w:jc w:val="both"/>
        <w:rPr>
          <w:i/>
          <w:color w:val="000000"/>
          <w:sz w:val="22"/>
          <w:szCs w:val="22"/>
          <w:u w:val="single"/>
          <w:lang w:val="sr-Latn-CS"/>
        </w:rPr>
      </w:pPr>
      <w:r w:rsidRPr="00F37492">
        <w:rPr>
          <w:i/>
          <w:color w:val="000000"/>
          <w:sz w:val="22"/>
          <w:szCs w:val="22"/>
          <w:u w:val="single"/>
          <w:lang w:val="sr-Latn-CS"/>
        </w:rPr>
        <w:t>Krvarenje</w:t>
      </w:r>
    </w:p>
    <w:p w14:paraId="14BA2563" w14:textId="77777777"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U fazi 3 pivotalnih studija MF pojava krvarenja (uključujući intrakranijalno i gastrointestinalno, pojavu modrica i ostale događaje krvarenja) prijavljeni su kod 32,6% pacijenata izloženih ruksolitinibu i 23,2% pacijenata izloženih referentnim terapijama (placebo ili najbolja raspoloživa terapija). Učestalost događaja stepena 3-4 bila je slična kod pacijenata koji su primjenjivali ruksolitinib ili referentnu terapiju (4,7% prema 3,1%). Kod najviše pacijenata sa događajima krvarenja tokom terapije, prijavljivana je pojava modrica (65,3%). Događaj pojave modrica je češće prijavljivan kod pacijenata koji su uzimali ruksolitinib nego kod onih koji su primali referentnu terapiju (21,3% prema 11,6%). Intrakranijalno krvarenje prijavljeno je kod 1% pacijenata izloženih ruksolitinibu i 0,9% pacijenata izloženih referentnim terapijama. Gastrointestinalno krvarenje prijavljeno je kod 5,0% pacijenata izloženih ruksolitinibu u poređenju sa 3,1% pacijenata izloženih referentnim terapijama. Ostali događaji krvarenja (uključujući događaje kao što su epistaksa, post-proceduralna hemoragija i hematurija) prijavljeni su kod 13,3% pacijenata na terapiji ruksolitinibom i 10,3% pacijenata izloženih referentnim terapijama.</w:t>
      </w:r>
    </w:p>
    <w:p w14:paraId="443900A9" w14:textId="77777777" w:rsidR="00F37492" w:rsidRPr="00F37492" w:rsidRDefault="00F37492" w:rsidP="000A557B">
      <w:pPr>
        <w:shd w:val="clear" w:color="auto" w:fill="FFFFFF"/>
        <w:jc w:val="both"/>
        <w:rPr>
          <w:color w:val="000000"/>
          <w:sz w:val="22"/>
          <w:szCs w:val="22"/>
          <w:lang w:val="sr-Latn-CS"/>
        </w:rPr>
      </w:pPr>
    </w:p>
    <w:p w14:paraId="59DB27FD" w14:textId="77777777"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Tokom dugotrajnog praćenja kliničkih studija faze 3 MF, kumulativna učestalost događaja krvarenja proporcionalno se povećala sa produženjem vremena praćenja. Modrice su bile najučestaliji događaj prijavljen u okviru događaja krvarenja (33,3%). Intrakranijalna i gastrointestinalna krvarenja bila su prijavljena kod 1,3% i 10,1% pacijenata.</w:t>
      </w:r>
    </w:p>
    <w:p w14:paraId="4799F185" w14:textId="77777777" w:rsidR="00F37492" w:rsidRPr="00F37492" w:rsidRDefault="00F37492" w:rsidP="000A557B">
      <w:pPr>
        <w:widowControl w:val="0"/>
        <w:jc w:val="both"/>
        <w:rPr>
          <w:rFonts w:eastAsia="MS Mincho"/>
          <w:sz w:val="22"/>
          <w:szCs w:val="22"/>
          <w:lang w:val="hr-HR"/>
        </w:rPr>
      </w:pPr>
    </w:p>
    <w:p w14:paraId="77D368A2" w14:textId="4559823A" w:rsidR="00F37492" w:rsidRPr="00F37492" w:rsidRDefault="00F37492" w:rsidP="000A557B">
      <w:pPr>
        <w:widowControl w:val="0"/>
        <w:jc w:val="both"/>
        <w:rPr>
          <w:sz w:val="22"/>
          <w:lang w:val="hr-HR"/>
        </w:rPr>
      </w:pPr>
      <w:r w:rsidRPr="00F37492">
        <w:rPr>
          <w:rFonts w:eastAsia="MS Mincho"/>
          <w:sz w:val="22"/>
          <w:szCs w:val="22"/>
          <w:lang w:val="hr-HR"/>
        </w:rPr>
        <w:t xml:space="preserve">U komparativnom periodu faze 3 kliničkih ispitivanja kod pacijenata sa PV, događaji krvarenja (uključujući intrakranijalno i gastrointestinalno, stvaranje modrica i druge događaje krvarenja) bili su zabilježeni kod 16,8% pacijenata liječenih </w:t>
      </w:r>
      <w:r w:rsidRPr="00F37492">
        <w:rPr>
          <w:color w:val="000000"/>
          <w:sz w:val="22"/>
          <w:szCs w:val="22"/>
          <w:lang w:val="sr-Latn-CS"/>
        </w:rPr>
        <w:t xml:space="preserve">ruksolitinibom </w:t>
      </w:r>
      <w:r w:rsidRPr="00F37492">
        <w:rPr>
          <w:rFonts w:eastAsia="MS Mincho"/>
          <w:sz w:val="22"/>
          <w:szCs w:val="22"/>
          <w:lang w:val="hr-HR"/>
        </w:rPr>
        <w:t xml:space="preserve">i kod 15,3% pacijenata koji su primali </w:t>
      </w:r>
      <w:r w:rsidRPr="00F37492">
        <w:rPr>
          <w:rFonts w:eastAsia="MS Mincho"/>
          <w:sz w:val="22"/>
          <w:szCs w:val="22"/>
          <w:lang w:val="hr-HR"/>
        </w:rPr>
        <w:lastRenderedPageBreak/>
        <w:t>najbolju dostupnu terapiju u studiji RESPONSE i kod 12,0% pacijenata koji su primali najbolju dostupnu terapiju u studiji RESPONSE 2. Stvaranje modrica bilo je zabilježeno kod 10,3% pacijenata liječenih ruksolitinibom, kod 8,1% pacijenata koji su primali najbolju dostupnu terapiju u studiji RESPONSE i kod 2,7% pacijenata koji su primali najbolju dostupnu terapiju u studiji RESPONSE 2. Ni</w:t>
      </w:r>
      <w:r w:rsidR="00CE171D">
        <w:rPr>
          <w:rFonts w:eastAsia="MS Mincho"/>
          <w:sz w:val="22"/>
          <w:szCs w:val="22"/>
          <w:lang w:val="hr-HR"/>
        </w:rPr>
        <w:t>je</w:t>
      </w:r>
      <w:r w:rsidRPr="00F37492">
        <w:rPr>
          <w:rFonts w:eastAsia="MS Mincho"/>
          <w:sz w:val="22"/>
          <w:szCs w:val="22"/>
          <w:lang w:val="hr-HR"/>
        </w:rPr>
        <w:t>su bili zabilježeni događaji intrakranijalnog krvarenja ili gastrointestinalnog krvarenja kod pacijenata koji su primali ruksolitinib. Kod jednog pacijenata liječenog ruksolitinibom došlo je do događaja krvarenja stepena 3 (postproceduralno krvarenje); nije zabiljeleženo nijedno krvarenje stepena 4. Drugi događaji krvarenja (uključujući događaje kao što su epistaksa, postproceduralno krvarenje, gingivalno krvarenje) bili su zabilježeni kod 8,7% pacijenata liječenih ruksolitinibom i kod 6,3% pacijenata liječenih najboljom dostupnom terapijom u studiji RESPONSE i kod 6,7% pacijenata liječenih najboljom dostupnom terapijom u studiji RESPONSE 2.</w:t>
      </w:r>
      <w:r w:rsidRPr="00F37492">
        <w:t xml:space="preserve"> </w:t>
      </w:r>
    </w:p>
    <w:p w14:paraId="04620F95" w14:textId="77777777" w:rsidR="00F37492" w:rsidRPr="00F37492" w:rsidRDefault="00F37492" w:rsidP="000A557B">
      <w:pPr>
        <w:widowControl w:val="0"/>
        <w:jc w:val="both"/>
      </w:pPr>
    </w:p>
    <w:p w14:paraId="40FC7D01" w14:textId="77777777" w:rsidR="00F37492" w:rsidRPr="00F37492" w:rsidRDefault="00F37492" w:rsidP="000A557B">
      <w:pPr>
        <w:widowControl w:val="0"/>
        <w:jc w:val="both"/>
        <w:rPr>
          <w:rFonts w:eastAsia="MS Mincho"/>
          <w:sz w:val="22"/>
          <w:szCs w:val="22"/>
          <w:lang w:val="hr-HR"/>
        </w:rPr>
      </w:pPr>
      <w:r w:rsidRPr="00F37492">
        <w:rPr>
          <w:rFonts w:eastAsia="MS Mincho"/>
          <w:sz w:val="22"/>
          <w:szCs w:val="22"/>
          <w:lang w:val="hr-HR"/>
        </w:rPr>
        <w:t>Tokom dugotrajnog praćenja kliničkih studija faze 3 PV, kumulativna učestalost događaja krvarenja proporcionalno se povećala sa produženjem vremena praćenja. Modrice su bile najučestaliji događaj prijavljen u okviru događaja krvarenja (17,4%). Intrakranijalna i gastrointestinalna krvarenja bila su prijavljena kod 0,3% i 3,5% pacijenata.</w:t>
      </w:r>
    </w:p>
    <w:p w14:paraId="315459D8" w14:textId="77777777" w:rsidR="00F37492" w:rsidRPr="00F37492" w:rsidRDefault="00F37492" w:rsidP="000A557B">
      <w:pPr>
        <w:widowControl w:val="0"/>
        <w:jc w:val="both"/>
        <w:rPr>
          <w:rFonts w:eastAsia="MS Mincho"/>
          <w:sz w:val="22"/>
          <w:szCs w:val="22"/>
          <w:lang w:val="hr-HR"/>
        </w:rPr>
      </w:pPr>
    </w:p>
    <w:p w14:paraId="0C077C14" w14:textId="405E85AC" w:rsidR="00F37492" w:rsidRPr="00F91F2E" w:rsidRDefault="00F37492" w:rsidP="000A557B">
      <w:pPr>
        <w:widowControl w:val="0"/>
        <w:jc w:val="both"/>
        <w:rPr>
          <w:rFonts w:eastAsia="MS Mincho"/>
          <w:sz w:val="22"/>
          <w:szCs w:val="22"/>
          <w:lang w:val="hr-HR"/>
        </w:rPr>
      </w:pPr>
      <w:r w:rsidRPr="00F37492">
        <w:rPr>
          <w:rFonts w:eastAsia="MS Mincho"/>
          <w:sz w:val="22"/>
          <w:szCs w:val="22"/>
        </w:rPr>
        <w:t>U komparativnom periodu faze 3 kliničkih ispitivanja kod pacijenata sa akutnim GvHD</w:t>
      </w:r>
      <w:r w:rsidR="00A8394C">
        <w:rPr>
          <w:rFonts w:eastAsia="MS Mincho"/>
          <w:sz w:val="22"/>
          <w:szCs w:val="22"/>
        </w:rPr>
        <w:t xml:space="preserve"> </w:t>
      </w:r>
      <w:r w:rsidR="00A8394C" w:rsidRPr="00A8394C">
        <w:rPr>
          <w:rFonts w:eastAsia="MS Mincho"/>
          <w:sz w:val="22"/>
          <w:szCs w:val="22"/>
          <w:lang w:val="hr-HR"/>
        </w:rPr>
        <w:t>(REACH2)</w:t>
      </w:r>
      <w:r w:rsidRPr="00F37492">
        <w:rPr>
          <w:rFonts w:eastAsia="MS Mincho"/>
          <w:sz w:val="22"/>
          <w:szCs w:val="22"/>
        </w:rPr>
        <w:t xml:space="preserve">, događaji krvarenja bili su zabilježeni kod 25,0% pacijenata liječenih </w:t>
      </w:r>
      <w:r w:rsidRPr="00F37492">
        <w:rPr>
          <w:rFonts w:eastAsia="MS Mincho"/>
          <w:sz w:val="22"/>
          <w:szCs w:val="22"/>
          <w:lang w:val="hr-HR"/>
        </w:rPr>
        <w:t>ruksolitinibom i kod</w:t>
      </w:r>
      <w:r w:rsidRPr="00F37492">
        <w:rPr>
          <w:rFonts w:eastAsia="MS Mincho"/>
          <w:sz w:val="22"/>
          <w:szCs w:val="22"/>
        </w:rPr>
        <w:t xml:space="preserve"> 22,0% </w:t>
      </w:r>
      <w:r w:rsidRPr="00F37492">
        <w:rPr>
          <w:rFonts w:eastAsia="MS Mincho"/>
          <w:sz w:val="22"/>
          <w:szCs w:val="22"/>
          <w:lang w:val="hr-HR"/>
        </w:rPr>
        <w:t>pacijenata koji su primali najbolju dostupnu terapiju u</w:t>
      </w:r>
      <w:r w:rsidRPr="00F37492">
        <w:rPr>
          <w:rFonts w:eastAsia="MS Mincho"/>
          <w:sz w:val="22"/>
          <w:szCs w:val="22"/>
        </w:rPr>
        <w:t xml:space="preserve"> </w:t>
      </w:r>
      <w:r w:rsidR="0010057E">
        <w:rPr>
          <w:rFonts w:eastAsia="MS Mincho"/>
          <w:sz w:val="22"/>
          <w:szCs w:val="22"/>
        </w:rPr>
        <w:t>NDT</w:t>
      </w:r>
      <w:r w:rsidRPr="00F37492">
        <w:rPr>
          <w:rFonts w:eastAsia="MS Mincho"/>
          <w:sz w:val="22"/>
          <w:szCs w:val="22"/>
        </w:rPr>
        <w:t xml:space="preserve"> grupi. U podgrupi </w:t>
      </w:r>
      <w:r w:rsidRPr="00F37492">
        <w:rPr>
          <w:rFonts w:eastAsia="MS Mincho"/>
          <w:sz w:val="22"/>
          <w:szCs w:val="22"/>
          <w:lang w:val="hr-HR"/>
        </w:rPr>
        <w:t xml:space="preserve">događaja krvarenja, događaji su bili slični između grupa: </w:t>
      </w:r>
      <w:r w:rsidRPr="00F37492">
        <w:rPr>
          <w:rFonts w:eastAsia="MS Mincho"/>
          <w:sz w:val="22"/>
          <w:szCs w:val="22"/>
        </w:rPr>
        <w:t xml:space="preserve">modrice (5,9% u grupi ruksolitiniba naspram 6,7% u </w:t>
      </w:r>
      <w:r w:rsidR="0010057E">
        <w:rPr>
          <w:rFonts w:eastAsia="MS Mincho"/>
          <w:sz w:val="22"/>
          <w:szCs w:val="22"/>
        </w:rPr>
        <w:t>NDT</w:t>
      </w:r>
      <w:r w:rsidRPr="00F37492">
        <w:rPr>
          <w:rFonts w:eastAsia="MS Mincho"/>
          <w:sz w:val="22"/>
          <w:szCs w:val="22"/>
        </w:rPr>
        <w:t xml:space="preserve"> grupi), gastrointestinalni događaji (9,2% naspram 6,7%) i drugi hemoragijski događaji (13,2% naspram 10,7%). Intrakranijalno krvarenje je zabilježeno kod 0,7% pacijenata u </w:t>
      </w:r>
      <w:r w:rsidR="0010057E">
        <w:rPr>
          <w:rFonts w:eastAsia="MS Mincho"/>
          <w:sz w:val="22"/>
          <w:szCs w:val="22"/>
        </w:rPr>
        <w:t>NDT</w:t>
      </w:r>
      <w:r w:rsidRPr="00F37492">
        <w:rPr>
          <w:rFonts w:eastAsia="MS Mincho"/>
          <w:sz w:val="22"/>
          <w:szCs w:val="22"/>
        </w:rPr>
        <w:t xml:space="preserve"> grupi, a ni kod jednog pacijenta u grupi sa ruksolitinibom.</w:t>
      </w:r>
      <w:r w:rsidR="00A8394C" w:rsidRPr="00A8394C">
        <w:rPr>
          <w:rFonts w:eastAsia="MS Mincho"/>
          <w:sz w:val="22"/>
          <w:szCs w:val="22"/>
          <w:lang w:val="hr-HR"/>
        </w:rPr>
        <w:t xml:space="preserve"> Kod pedijatrijskih pacijenata učestalost događaja krvarenja je bila 23,5%. Događaji prijavljeni kod ≥ 5% pacijenata su bili hemoragijski cistitis i epistaksa (5,9% svaki). Događaji intrakranijalnog krvarenja nisu bili prijavljeni kod pedijatrijskih pacijenata.</w:t>
      </w:r>
    </w:p>
    <w:p w14:paraId="162FBF1E" w14:textId="77777777" w:rsidR="00F37492" w:rsidRPr="00F37492" w:rsidRDefault="00F37492" w:rsidP="000A557B">
      <w:pPr>
        <w:widowControl w:val="0"/>
        <w:jc w:val="both"/>
        <w:rPr>
          <w:rFonts w:eastAsia="MS Mincho"/>
          <w:sz w:val="22"/>
          <w:szCs w:val="22"/>
        </w:rPr>
      </w:pPr>
    </w:p>
    <w:p w14:paraId="40C3B00D" w14:textId="053AEB2F" w:rsidR="00F37492" w:rsidRPr="00F37492" w:rsidRDefault="00F37492" w:rsidP="000A557B">
      <w:pPr>
        <w:widowControl w:val="0"/>
        <w:jc w:val="both"/>
        <w:rPr>
          <w:rFonts w:eastAsia="MS Mincho"/>
          <w:sz w:val="22"/>
          <w:szCs w:val="22"/>
        </w:rPr>
      </w:pPr>
      <w:r w:rsidRPr="00F37492">
        <w:rPr>
          <w:rFonts w:eastAsia="MS Mincho"/>
          <w:sz w:val="22"/>
          <w:szCs w:val="22"/>
        </w:rPr>
        <w:t>U komparativnom periodu faze 3 kliničkih ispitivanja kod pacijenata sa hroničnim GvHD</w:t>
      </w:r>
      <w:r w:rsidR="00A8394C">
        <w:rPr>
          <w:rFonts w:eastAsia="MS Mincho"/>
          <w:sz w:val="22"/>
          <w:szCs w:val="22"/>
        </w:rPr>
        <w:t xml:space="preserve"> </w:t>
      </w:r>
      <w:r w:rsidR="00A8394C" w:rsidRPr="00A8394C">
        <w:rPr>
          <w:rFonts w:eastAsia="MS Mincho"/>
          <w:sz w:val="22"/>
          <w:szCs w:val="22"/>
          <w:lang w:val="hr-HR"/>
        </w:rPr>
        <w:t>(REACH3)</w:t>
      </w:r>
      <w:r w:rsidRPr="00F37492">
        <w:rPr>
          <w:rFonts w:eastAsia="MS Mincho"/>
          <w:sz w:val="22"/>
          <w:szCs w:val="22"/>
        </w:rPr>
        <w:t xml:space="preserve">, događaji krvarenja bili su zabilježeni kod 11,5% pacijenata liječenih ruksolitinibom i kod 14,6% </w:t>
      </w:r>
      <w:r w:rsidRPr="00F37492">
        <w:rPr>
          <w:rFonts w:eastAsia="MS Mincho"/>
          <w:sz w:val="22"/>
          <w:szCs w:val="22"/>
          <w:lang w:val="hr-HR"/>
        </w:rPr>
        <w:t>pacijenata koji su primali najbolju dostupnu terapiju u</w:t>
      </w:r>
      <w:r w:rsidRPr="00F37492">
        <w:rPr>
          <w:rFonts w:eastAsia="MS Mincho"/>
          <w:sz w:val="22"/>
          <w:szCs w:val="22"/>
        </w:rPr>
        <w:t xml:space="preserve"> </w:t>
      </w:r>
      <w:r w:rsidR="0010057E">
        <w:rPr>
          <w:rFonts w:eastAsia="MS Mincho"/>
          <w:sz w:val="22"/>
          <w:szCs w:val="22"/>
        </w:rPr>
        <w:t>NDT</w:t>
      </w:r>
      <w:r w:rsidRPr="00F37492">
        <w:rPr>
          <w:rFonts w:eastAsia="MS Mincho"/>
          <w:sz w:val="22"/>
          <w:szCs w:val="22"/>
        </w:rPr>
        <w:t xml:space="preserve"> grupi. U podgrupi </w:t>
      </w:r>
      <w:r w:rsidRPr="00F37492">
        <w:rPr>
          <w:rFonts w:eastAsia="MS Mincho"/>
          <w:sz w:val="22"/>
          <w:szCs w:val="22"/>
          <w:lang w:val="hr-HR"/>
        </w:rPr>
        <w:t xml:space="preserve">događaja krvarenja, događaji su bili slični između grupa: </w:t>
      </w:r>
      <w:r w:rsidRPr="00F37492">
        <w:rPr>
          <w:rFonts w:eastAsia="MS Mincho"/>
          <w:sz w:val="22"/>
          <w:szCs w:val="22"/>
        </w:rPr>
        <w:t xml:space="preserve">modrice (4,2% i u grupi ruksolitiniba naspram 2,5% u </w:t>
      </w:r>
      <w:r w:rsidR="0010057E">
        <w:rPr>
          <w:rFonts w:eastAsia="MS Mincho"/>
          <w:sz w:val="22"/>
          <w:szCs w:val="22"/>
        </w:rPr>
        <w:t>NDT</w:t>
      </w:r>
      <w:r w:rsidRPr="00F37492">
        <w:rPr>
          <w:rFonts w:eastAsia="MS Mincho"/>
          <w:sz w:val="22"/>
          <w:szCs w:val="22"/>
        </w:rPr>
        <w:t xml:space="preserve"> grupi), gastrointestinalni događaji (1,2% naspram 3,2%) i drugi hemoragijski događaji (6,7% naspram 10,1%).</w:t>
      </w:r>
      <w:r w:rsidR="00A8394C">
        <w:rPr>
          <w:rFonts w:eastAsia="MS Mincho"/>
          <w:sz w:val="22"/>
          <w:szCs w:val="22"/>
        </w:rPr>
        <w:t xml:space="preserve"> </w:t>
      </w:r>
      <w:r w:rsidR="00A8394C" w:rsidRPr="00A8394C">
        <w:rPr>
          <w:rFonts w:eastAsia="MS Mincho"/>
          <w:sz w:val="22"/>
          <w:szCs w:val="22"/>
          <w:lang w:val="hr-HR"/>
        </w:rPr>
        <w:t xml:space="preserve">Kod pedijatrijskih pacijenata učestalost događaja krvarenja je bila 9,1%. Prijavljeni događaji su bili su epistaksa, hematohezija, hematom, postproceduralno krvarenje i krvarenje kože (1,8 % svaki). </w:t>
      </w:r>
      <w:r w:rsidRPr="00F37492">
        <w:rPr>
          <w:rFonts w:eastAsia="MS Mincho"/>
          <w:sz w:val="22"/>
          <w:szCs w:val="22"/>
        </w:rPr>
        <w:t xml:space="preserve"> Intrakranijalno krvarenje nije zabilježeno </w:t>
      </w:r>
      <w:r w:rsidR="00A8394C" w:rsidRPr="00A8394C">
        <w:rPr>
          <w:rFonts w:eastAsia="MS Mincho"/>
          <w:sz w:val="22"/>
          <w:szCs w:val="22"/>
          <w:lang w:val="hr-HR"/>
        </w:rPr>
        <w:t>kod pacijenata sa hroničnim GvHD</w:t>
      </w:r>
      <w:r w:rsidRPr="00F37492">
        <w:rPr>
          <w:rFonts w:eastAsia="MS Mincho"/>
          <w:sz w:val="22"/>
          <w:szCs w:val="22"/>
        </w:rPr>
        <w:t>.</w:t>
      </w:r>
    </w:p>
    <w:p w14:paraId="2E45A782" w14:textId="77777777" w:rsidR="00F37492" w:rsidRPr="00F37492" w:rsidRDefault="00F37492" w:rsidP="000A557B">
      <w:pPr>
        <w:shd w:val="clear" w:color="auto" w:fill="FFFFFF"/>
        <w:jc w:val="both"/>
        <w:rPr>
          <w:i/>
          <w:color w:val="000000"/>
          <w:sz w:val="22"/>
          <w:szCs w:val="22"/>
          <w:lang w:val="hr-HR"/>
        </w:rPr>
      </w:pPr>
    </w:p>
    <w:p w14:paraId="4137F653" w14:textId="77777777" w:rsidR="00F37492" w:rsidRPr="00F37492" w:rsidRDefault="00F37492" w:rsidP="000A557B">
      <w:pPr>
        <w:shd w:val="clear" w:color="auto" w:fill="FFFFFF"/>
        <w:jc w:val="both"/>
        <w:rPr>
          <w:i/>
          <w:color w:val="000000"/>
          <w:sz w:val="22"/>
          <w:szCs w:val="22"/>
          <w:u w:val="single"/>
          <w:lang w:val="sr-Latn-CS"/>
        </w:rPr>
      </w:pPr>
      <w:r w:rsidRPr="00F37492">
        <w:rPr>
          <w:i/>
          <w:color w:val="000000"/>
          <w:sz w:val="22"/>
          <w:szCs w:val="22"/>
          <w:u w:val="single"/>
          <w:lang w:val="sr-Latn-CS"/>
        </w:rPr>
        <w:t>Infekcije</w:t>
      </w:r>
    </w:p>
    <w:p w14:paraId="1AF1AEAA" w14:textId="719D5FDC"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U fazi 3 pivotalnih kliničkih studija MF, infekcije urinarnog trakta stepena 3 ili 4 prijavljene su kod 1,0% pacijenata, herpes zoster kod 4,3% i tuberkuloza kod 1,0%.</w:t>
      </w:r>
      <w:r w:rsidRPr="00F37492">
        <w:rPr>
          <w:lang w:val="sr-Latn-CS"/>
        </w:rPr>
        <w:t xml:space="preserve"> </w:t>
      </w:r>
      <w:r w:rsidRPr="00F37492">
        <w:rPr>
          <w:color w:val="000000"/>
          <w:sz w:val="22"/>
          <w:szCs w:val="22"/>
          <w:lang w:val="sr-Latn-CS"/>
        </w:rPr>
        <w:t>U klini</w:t>
      </w:r>
      <w:r w:rsidRPr="00F37492">
        <w:rPr>
          <w:rFonts w:hint="eastAsia"/>
          <w:color w:val="000000"/>
          <w:sz w:val="22"/>
          <w:szCs w:val="22"/>
          <w:lang w:val="sr-Latn-CS"/>
        </w:rPr>
        <w:t>č</w:t>
      </w:r>
      <w:r w:rsidRPr="00F37492">
        <w:rPr>
          <w:color w:val="000000"/>
          <w:sz w:val="22"/>
          <w:szCs w:val="22"/>
          <w:lang w:val="sr-Latn-CS"/>
        </w:rPr>
        <w:t>kim ispitivanjima faze 3 prijavljena je sepsa kod 3,0% pacijenata. Produ</w:t>
      </w:r>
      <w:r w:rsidRPr="00F37492">
        <w:rPr>
          <w:rFonts w:hint="eastAsia"/>
          <w:color w:val="000000"/>
          <w:sz w:val="22"/>
          <w:szCs w:val="22"/>
          <w:lang w:val="sr-Latn-CS"/>
        </w:rPr>
        <w:t>ž</w:t>
      </w:r>
      <w:r w:rsidRPr="00F37492">
        <w:rPr>
          <w:color w:val="000000"/>
          <w:sz w:val="22"/>
          <w:szCs w:val="22"/>
          <w:lang w:val="sr-Latn-CS"/>
        </w:rPr>
        <w:t>eno pra</w:t>
      </w:r>
      <w:r w:rsidRPr="00F37492">
        <w:rPr>
          <w:rFonts w:hint="eastAsia"/>
          <w:color w:val="000000"/>
          <w:sz w:val="22"/>
          <w:szCs w:val="22"/>
          <w:lang w:val="sr-Latn-CS"/>
        </w:rPr>
        <w:t>ć</w:t>
      </w:r>
      <w:r w:rsidRPr="00F37492">
        <w:rPr>
          <w:color w:val="000000"/>
          <w:sz w:val="22"/>
          <w:szCs w:val="22"/>
          <w:lang w:val="sr-Latn-CS"/>
        </w:rPr>
        <w:t>enje pacijenata lije</w:t>
      </w:r>
      <w:r w:rsidRPr="00F37492">
        <w:rPr>
          <w:rFonts w:hint="eastAsia"/>
          <w:color w:val="000000"/>
          <w:sz w:val="22"/>
          <w:szCs w:val="22"/>
          <w:lang w:val="sr-Latn-CS"/>
        </w:rPr>
        <w:t>č</w:t>
      </w:r>
      <w:r w:rsidRPr="00F37492">
        <w:rPr>
          <w:color w:val="000000"/>
          <w:sz w:val="22"/>
          <w:szCs w:val="22"/>
          <w:lang w:val="sr-Latn-CS"/>
        </w:rPr>
        <w:t>enih ruksolitinibom nije pokazalo tendenciju pove</w:t>
      </w:r>
      <w:r w:rsidRPr="00F37492">
        <w:rPr>
          <w:rFonts w:hint="eastAsia"/>
          <w:color w:val="000000"/>
          <w:sz w:val="22"/>
          <w:szCs w:val="22"/>
          <w:lang w:val="sr-Latn-CS"/>
        </w:rPr>
        <w:t>ć</w:t>
      </w:r>
      <w:r w:rsidRPr="00F37492">
        <w:rPr>
          <w:color w:val="000000"/>
          <w:sz w:val="22"/>
          <w:szCs w:val="22"/>
          <w:lang w:val="sr-Latn-CS"/>
        </w:rPr>
        <w:t>anja u</w:t>
      </w:r>
      <w:r w:rsidRPr="00F37492">
        <w:rPr>
          <w:rFonts w:hint="eastAsia"/>
          <w:color w:val="000000"/>
          <w:sz w:val="22"/>
          <w:szCs w:val="22"/>
          <w:lang w:val="sr-Latn-CS"/>
        </w:rPr>
        <w:t>č</w:t>
      </w:r>
      <w:r w:rsidRPr="00F37492">
        <w:rPr>
          <w:color w:val="000000"/>
          <w:sz w:val="22"/>
          <w:szCs w:val="22"/>
          <w:lang w:val="sr-Latn-CS"/>
        </w:rPr>
        <w:t>estalosti sepse tokom vremena.</w:t>
      </w:r>
    </w:p>
    <w:p w14:paraId="44C6616F" w14:textId="77777777" w:rsidR="00F37492" w:rsidRPr="00F37492" w:rsidRDefault="00F37492" w:rsidP="000A557B">
      <w:pPr>
        <w:shd w:val="clear" w:color="auto" w:fill="FFFFFF"/>
        <w:jc w:val="both"/>
        <w:rPr>
          <w:color w:val="000000"/>
          <w:sz w:val="22"/>
          <w:szCs w:val="22"/>
          <w:lang w:val="sr-Latn-CS"/>
        </w:rPr>
      </w:pPr>
    </w:p>
    <w:p w14:paraId="0994C994" w14:textId="3D737EDF" w:rsidR="00F37492" w:rsidRDefault="00F37492" w:rsidP="000A557B">
      <w:pPr>
        <w:jc w:val="both"/>
        <w:rPr>
          <w:sz w:val="22"/>
          <w:szCs w:val="22"/>
          <w:lang w:val="hr-HR"/>
        </w:rPr>
      </w:pPr>
      <w:r w:rsidRPr="00F37492">
        <w:rPr>
          <w:sz w:val="22"/>
          <w:szCs w:val="22"/>
          <w:lang w:val="hr-HR"/>
        </w:rPr>
        <w:t xml:space="preserve">U periodu </w:t>
      </w:r>
      <w:r w:rsidR="00CE171D">
        <w:rPr>
          <w:sz w:val="22"/>
          <w:szCs w:val="22"/>
          <w:lang w:val="hr-HR"/>
        </w:rPr>
        <w:t xml:space="preserve">randomizacije </w:t>
      </w:r>
      <w:r w:rsidRPr="00F37492">
        <w:rPr>
          <w:sz w:val="22"/>
          <w:szCs w:val="22"/>
          <w:lang w:val="hr-HR"/>
        </w:rPr>
        <w:t>kliničkog ispitivanja faze 3 kod pacijenata sa PV prijavljena je jedna (0,5%) infekcija urinarnog trakta stepena 3 i nijedna stepena 4 prema CTCAE</w:t>
      </w:r>
      <w:r w:rsidRPr="00F37492">
        <w:rPr>
          <w:sz w:val="22"/>
          <w:szCs w:val="22"/>
          <w:lang w:val="hr-HR"/>
        </w:rPr>
        <w:noBreakHyphen/>
        <w:t>u. Stopa herpes zostera bila je slična kod pacijenata sa PV (4,3%) i kod pacijenata sa MF (4,0%). Prijavljen je jedan slučaj postherpesne neuralgije stepena 3 prema CTCAE</w:t>
      </w:r>
      <w:r w:rsidRPr="00F37492">
        <w:rPr>
          <w:sz w:val="22"/>
          <w:szCs w:val="22"/>
          <w:lang w:val="hr-HR"/>
        </w:rPr>
        <w:noBreakHyphen/>
        <w:t>u kod pacijenata sa PV.</w:t>
      </w:r>
      <w:r w:rsidRPr="00F37492">
        <w:t xml:space="preserve"> </w:t>
      </w:r>
      <w:r w:rsidRPr="00F37492">
        <w:rPr>
          <w:sz w:val="22"/>
          <w:szCs w:val="22"/>
          <w:lang w:val="hr-HR"/>
        </w:rPr>
        <w:t>Pneumonija je prijavljena kod 0,5% pacijenata koji su primali ruksolitinib u poređenju sa 1,6% kod pacijenata koji su primali referentnu terapiju. Ni jedan pacijent iz grupe koja je primala ruksolitinib nije prijavio sepsu i tuberkulozu.</w:t>
      </w:r>
    </w:p>
    <w:p w14:paraId="6FC7C51D" w14:textId="77777777" w:rsidR="00AF0FDA" w:rsidRPr="00F37492" w:rsidRDefault="00AF0FDA" w:rsidP="000A557B">
      <w:pPr>
        <w:jc w:val="both"/>
        <w:rPr>
          <w:sz w:val="22"/>
          <w:lang w:val="hr-HR"/>
        </w:rPr>
      </w:pPr>
    </w:p>
    <w:p w14:paraId="2C05D59C" w14:textId="77777777" w:rsidR="00F37492" w:rsidRPr="00F37492" w:rsidRDefault="00F37492" w:rsidP="000A557B">
      <w:pPr>
        <w:jc w:val="both"/>
        <w:rPr>
          <w:color w:val="000000"/>
          <w:sz w:val="22"/>
          <w:szCs w:val="22"/>
          <w:lang w:val="sr-Latn-CS"/>
        </w:rPr>
      </w:pPr>
      <w:r w:rsidRPr="00F37492">
        <w:rPr>
          <w:color w:val="000000"/>
          <w:sz w:val="22"/>
          <w:szCs w:val="22"/>
          <w:lang w:val="sr-Latn-CS"/>
        </w:rPr>
        <w:t>Tokom dugotrajnog praćenja kliničkih studija faze 3 PV, infekcije koje su bile učestalo prijavljene su infekcije urinarnog trakta (11,8%), herpes zoster (14,7%) i pneumonija (7,1%). Sepsa je prijavljena kod 0,6% pacijenata. Ni za jednog pacijenta nije prijavljena tuberkuloza tokom dugotrajnog praćenja.</w:t>
      </w:r>
    </w:p>
    <w:p w14:paraId="76E086E7" w14:textId="77777777" w:rsidR="00F37492" w:rsidRPr="00F37492" w:rsidRDefault="00F37492" w:rsidP="000A557B">
      <w:pPr>
        <w:jc w:val="both"/>
        <w:rPr>
          <w:color w:val="000000"/>
          <w:sz w:val="22"/>
          <w:szCs w:val="22"/>
          <w:lang w:val="sr-Latn-CS"/>
        </w:rPr>
      </w:pPr>
    </w:p>
    <w:p w14:paraId="1EA445D4" w14:textId="0D6AEA74" w:rsidR="00F37492" w:rsidRPr="00F91F2E" w:rsidRDefault="00F37492" w:rsidP="000A557B">
      <w:pPr>
        <w:widowControl w:val="0"/>
        <w:jc w:val="both"/>
        <w:rPr>
          <w:rFonts w:eastAsia="MS Mincho"/>
          <w:sz w:val="22"/>
          <w:szCs w:val="22"/>
          <w:lang w:val="hr-HR"/>
        </w:rPr>
      </w:pPr>
      <w:r w:rsidRPr="00F37492">
        <w:rPr>
          <w:rFonts w:eastAsia="MS Mincho"/>
          <w:bCs/>
          <w:sz w:val="22"/>
          <w:szCs w:val="22"/>
        </w:rPr>
        <w:t xml:space="preserve">U fazi 3 kliničkih ispitivanja akutnog GvHD </w:t>
      </w:r>
      <w:r w:rsidR="00A8394C" w:rsidRPr="00A8394C">
        <w:rPr>
          <w:rFonts w:eastAsia="MS Mincho"/>
          <w:bCs/>
          <w:sz w:val="22"/>
          <w:szCs w:val="22"/>
          <w:lang w:val="hr-HR"/>
        </w:rPr>
        <w:t>(REACH2)</w:t>
      </w:r>
      <w:r w:rsidR="00A8394C">
        <w:rPr>
          <w:rFonts w:eastAsia="MS Mincho"/>
          <w:bCs/>
          <w:sz w:val="22"/>
          <w:szCs w:val="22"/>
          <w:lang w:val="hr-HR"/>
        </w:rPr>
        <w:t xml:space="preserve"> </w:t>
      </w:r>
      <w:r w:rsidRPr="00F37492">
        <w:rPr>
          <w:rFonts w:eastAsia="MS Mincho"/>
          <w:bCs/>
          <w:sz w:val="22"/>
          <w:szCs w:val="22"/>
        </w:rPr>
        <w:t xml:space="preserve">tokom </w:t>
      </w:r>
      <w:r w:rsidRPr="00F37492">
        <w:rPr>
          <w:rFonts w:eastAsia="MS Mincho"/>
          <w:bCs/>
          <w:i/>
          <w:sz w:val="22"/>
          <w:szCs w:val="22"/>
        </w:rPr>
        <w:t>uporednog perioda</w:t>
      </w:r>
      <w:r w:rsidRPr="00F37492">
        <w:rPr>
          <w:rFonts w:eastAsia="MS Mincho"/>
          <w:bCs/>
          <w:sz w:val="22"/>
          <w:szCs w:val="22"/>
        </w:rPr>
        <w:t xml:space="preserve"> zabilježene su infekcije urinarnog trakta kod 9,9</w:t>
      </w:r>
      <w:r w:rsidR="00CE171D">
        <w:rPr>
          <w:rFonts w:eastAsia="MS Mincho"/>
          <w:bCs/>
          <w:sz w:val="22"/>
          <w:szCs w:val="22"/>
        </w:rPr>
        <w:t xml:space="preserve"> </w:t>
      </w:r>
      <w:r w:rsidRPr="00F37492">
        <w:rPr>
          <w:rFonts w:eastAsia="MS Mincho"/>
          <w:bCs/>
          <w:sz w:val="22"/>
          <w:szCs w:val="22"/>
        </w:rPr>
        <w:t>%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3,3%) pacijenata </w:t>
      </w:r>
      <w:r w:rsidRPr="00F37492">
        <w:rPr>
          <w:rFonts w:eastAsia="MS Mincho"/>
          <w:sz w:val="22"/>
          <w:szCs w:val="22"/>
        </w:rPr>
        <w:t>u grupi sa ruksolitinibom</w:t>
      </w:r>
      <w:r w:rsidRPr="00F37492">
        <w:rPr>
          <w:rFonts w:eastAsia="MS Mincho"/>
          <w:bCs/>
          <w:sz w:val="22"/>
          <w:szCs w:val="22"/>
        </w:rPr>
        <w:t xml:space="preserve"> u poređenju sa 10,7%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6,0%) </w:t>
      </w:r>
      <w:r w:rsidRPr="00F37492">
        <w:rPr>
          <w:rFonts w:eastAsia="MS Mincho"/>
          <w:sz w:val="22"/>
          <w:szCs w:val="22"/>
        </w:rPr>
        <w:t xml:space="preserve">u </w:t>
      </w:r>
      <w:r w:rsidR="0010057E">
        <w:rPr>
          <w:rFonts w:eastAsia="MS Mincho"/>
          <w:sz w:val="22"/>
          <w:szCs w:val="22"/>
        </w:rPr>
        <w:t>NDT</w:t>
      </w:r>
      <w:r w:rsidRPr="00F37492">
        <w:rPr>
          <w:rFonts w:eastAsia="MS Mincho"/>
          <w:sz w:val="22"/>
          <w:szCs w:val="22"/>
        </w:rPr>
        <w:t xml:space="preserve"> grupi</w:t>
      </w:r>
      <w:r w:rsidRPr="00F37492">
        <w:rPr>
          <w:rFonts w:eastAsia="MS Mincho"/>
          <w:bCs/>
          <w:sz w:val="22"/>
          <w:szCs w:val="22"/>
        </w:rPr>
        <w:t>. CMV infekcije su zabilježene kod 28,3%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9,3%) pacijenata </w:t>
      </w:r>
      <w:r w:rsidRPr="00F37492">
        <w:rPr>
          <w:rFonts w:eastAsia="MS Mincho"/>
          <w:sz w:val="22"/>
          <w:szCs w:val="22"/>
        </w:rPr>
        <w:t>u grupi sa ruksolitinibom</w:t>
      </w:r>
      <w:r w:rsidRPr="00F37492">
        <w:rPr>
          <w:rFonts w:eastAsia="MS Mincho"/>
          <w:bCs/>
          <w:sz w:val="22"/>
          <w:szCs w:val="22"/>
        </w:rPr>
        <w:t xml:space="preserve"> u poređenju sa 24,0%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10,0%) </w:t>
      </w:r>
      <w:r w:rsidRPr="00F37492">
        <w:rPr>
          <w:rFonts w:eastAsia="MS Mincho"/>
          <w:sz w:val="22"/>
          <w:szCs w:val="22"/>
        </w:rPr>
        <w:t xml:space="preserve">u </w:t>
      </w:r>
      <w:r w:rsidR="0010057E">
        <w:rPr>
          <w:rFonts w:eastAsia="MS Mincho"/>
          <w:sz w:val="22"/>
          <w:szCs w:val="22"/>
        </w:rPr>
        <w:t>NDT</w:t>
      </w:r>
      <w:r w:rsidRPr="00F37492">
        <w:rPr>
          <w:rFonts w:eastAsia="MS Mincho"/>
          <w:sz w:val="22"/>
          <w:szCs w:val="22"/>
        </w:rPr>
        <w:t xml:space="preserve"> grupi</w:t>
      </w:r>
      <w:r w:rsidRPr="00F37492">
        <w:rPr>
          <w:rFonts w:eastAsia="MS Mincho"/>
          <w:bCs/>
          <w:sz w:val="22"/>
          <w:szCs w:val="22"/>
        </w:rPr>
        <w:t xml:space="preserve">. Sepsa je </w:t>
      </w:r>
      <w:r w:rsidRPr="00F37492">
        <w:rPr>
          <w:rFonts w:eastAsia="MS Mincho"/>
          <w:bCs/>
          <w:sz w:val="22"/>
          <w:szCs w:val="22"/>
        </w:rPr>
        <w:lastRenderedPageBreak/>
        <w:t>zabilježena kod 12,5%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11,1%) pacijenata </w:t>
      </w:r>
      <w:r w:rsidRPr="00F37492">
        <w:rPr>
          <w:rFonts w:eastAsia="MS Mincho"/>
          <w:sz w:val="22"/>
          <w:szCs w:val="22"/>
        </w:rPr>
        <w:t>u grupi sa ruksolitinibom</w:t>
      </w:r>
      <w:r w:rsidRPr="00F37492">
        <w:rPr>
          <w:rFonts w:eastAsia="MS Mincho"/>
          <w:bCs/>
          <w:sz w:val="22"/>
          <w:szCs w:val="22"/>
        </w:rPr>
        <w:t xml:space="preserve"> u poređenju sa 8,7%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6,0%) </w:t>
      </w:r>
      <w:r w:rsidRPr="00F37492">
        <w:rPr>
          <w:rFonts w:eastAsia="MS Mincho"/>
          <w:sz w:val="22"/>
          <w:szCs w:val="22"/>
        </w:rPr>
        <w:t xml:space="preserve">u </w:t>
      </w:r>
      <w:r w:rsidR="0010057E">
        <w:rPr>
          <w:rFonts w:eastAsia="MS Mincho"/>
          <w:sz w:val="22"/>
          <w:szCs w:val="22"/>
        </w:rPr>
        <w:t>NDT</w:t>
      </w:r>
      <w:r w:rsidRPr="00F37492">
        <w:rPr>
          <w:rFonts w:eastAsia="MS Mincho"/>
          <w:sz w:val="22"/>
          <w:szCs w:val="22"/>
        </w:rPr>
        <w:t xml:space="preserve"> grupi</w:t>
      </w:r>
      <w:r w:rsidRPr="00F37492">
        <w:rPr>
          <w:rFonts w:eastAsia="MS Mincho"/>
          <w:bCs/>
          <w:sz w:val="22"/>
          <w:szCs w:val="22"/>
        </w:rPr>
        <w:t>. Infekcije BK virusom su zabilježene samo kod 3 pacijenta u grupi sa ruksolitinibom sa jednim događajem stepena 3. Tokom</w:t>
      </w:r>
      <w:r w:rsidRPr="00F37492">
        <w:rPr>
          <w:rFonts w:eastAsia="MS Mincho"/>
          <w:sz w:val="22"/>
          <w:szCs w:val="22"/>
        </w:rPr>
        <w:t xml:space="preserve"> </w:t>
      </w:r>
      <w:r w:rsidRPr="00F37492">
        <w:rPr>
          <w:rFonts w:eastAsia="MS Mincho"/>
          <w:i/>
          <w:sz w:val="22"/>
          <w:szCs w:val="22"/>
        </w:rPr>
        <w:t>produženog praćenja</w:t>
      </w:r>
      <w:r w:rsidRPr="00F37492">
        <w:rPr>
          <w:rFonts w:eastAsia="MS Mincho"/>
          <w:sz w:val="22"/>
          <w:szCs w:val="22"/>
        </w:rPr>
        <w:t xml:space="preserve"> pacijenata u grupi sa ruksolitinibom zabilježene su infekcije urinarnog trakta kod 17,9% (</w:t>
      </w:r>
      <w:bookmarkStart w:id="2" w:name="_Hlk83052207"/>
      <w:r w:rsidRPr="00F37492">
        <w:rPr>
          <w:rFonts w:eastAsia="MS Mincho"/>
          <w:sz w:val="22"/>
          <w:szCs w:val="22"/>
        </w:rPr>
        <w:t>stepen ≥3</w:t>
      </w:r>
      <w:r w:rsidR="00923C69">
        <w:rPr>
          <w:rFonts w:eastAsia="MS Mincho"/>
          <w:sz w:val="22"/>
          <w:szCs w:val="22"/>
        </w:rPr>
        <w:t>;</w:t>
      </w:r>
      <w:r w:rsidRPr="00F37492">
        <w:rPr>
          <w:rFonts w:eastAsia="MS Mincho"/>
          <w:sz w:val="22"/>
          <w:szCs w:val="22"/>
        </w:rPr>
        <w:t xml:space="preserve"> 6,5%)</w:t>
      </w:r>
      <w:bookmarkEnd w:id="2"/>
      <w:r w:rsidRPr="00F37492">
        <w:rPr>
          <w:rFonts w:eastAsia="MS Mincho"/>
          <w:sz w:val="22"/>
          <w:szCs w:val="22"/>
        </w:rPr>
        <w:t xml:space="preserve"> pacijenata i CMV infekcije koje su zailježene kod 32,3% (stepen ≥</w:t>
      </w:r>
      <w:r w:rsidR="00CE171D">
        <w:rPr>
          <w:rFonts w:eastAsia="MS Mincho"/>
          <w:sz w:val="22"/>
          <w:szCs w:val="22"/>
        </w:rPr>
        <w:t xml:space="preserve"> </w:t>
      </w:r>
      <w:r w:rsidRPr="00F37492">
        <w:rPr>
          <w:rFonts w:eastAsia="MS Mincho"/>
          <w:sz w:val="22"/>
          <w:szCs w:val="22"/>
        </w:rPr>
        <w:t>3</w:t>
      </w:r>
      <w:r w:rsidR="00923C69">
        <w:rPr>
          <w:rFonts w:eastAsia="MS Mincho"/>
          <w:sz w:val="22"/>
          <w:szCs w:val="22"/>
        </w:rPr>
        <w:t>;</w:t>
      </w:r>
      <w:r w:rsidRPr="00F37492">
        <w:rPr>
          <w:rFonts w:eastAsia="MS Mincho"/>
          <w:sz w:val="22"/>
          <w:szCs w:val="22"/>
        </w:rPr>
        <w:t xml:space="preserve"> 11,4%) pacijenata. CMV infekcije kod kojih su zahvaćeni organi zabilježene su kod nekoliko pacijenata; CMV kolitis, CMV enteritis i CMV gastrointestinalna infekcija bilo kog stepena zabilježene su kod četiri, dva tj. jednog pacijenta. Sepsa, uključujući septički šok, bilo kog stepena, zabilježena je kod 25,4% (stepen ≥</w:t>
      </w:r>
      <w:r w:rsidR="00CE171D">
        <w:rPr>
          <w:rFonts w:eastAsia="MS Mincho"/>
          <w:sz w:val="22"/>
          <w:szCs w:val="22"/>
        </w:rPr>
        <w:t xml:space="preserve"> </w:t>
      </w:r>
      <w:r w:rsidRPr="00F37492">
        <w:rPr>
          <w:rFonts w:eastAsia="MS Mincho"/>
          <w:sz w:val="22"/>
          <w:szCs w:val="22"/>
        </w:rPr>
        <w:t>3</w:t>
      </w:r>
      <w:r w:rsidR="00923C69">
        <w:rPr>
          <w:rFonts w:eastAsia="MS Mincho"/>
          <w:sz w:val="22"/>
          <w:szCs w:val="22"/>
        </w:rPr>
        <w:t>;</w:t>
      </w:r>
      <w:r w:rsidRPr="00F37492">
        <w:rPr>
          <w:rFonts w:eastAsia="MS Mincho"/>
          <w:sz w:val="22"/>
          <w:szCs w:val="22"/>
        </w:rPr>
        <w:t xml:space="preserve"> 21,9%) pacijenata.</w:t>
      </w:r>
      <w:r w:rsidR="00A8394C">
        <w:rPr>
          <w:rFonts w:eastAsia="MS Mincho"/>
          <w:sz w:val="22"/>
          <w:szCs w:val="22"/>
        </w:rPr>
        <w:t xml:space="preserve"> </w:t>
      </w:r>
      <w:r w:rsidR="00A8394C" w:rsidRPr="00A8394C">
        <w:rPr>
          <w:rFonts w:eastAsia="MS Mincho"/>
          <w:sz w:val="22"/>
          <w:szCs w:val="22"/>
          <w:lang w:val="hr-HR"/>
        </w:rPr>
        <w:t>Događaji infekcije urinarnog sistema i sepse su bili prijavljeni sa manjom učestalošću kod pedijatrijskih pacijenata sa akutnim GvHD (9,8% svaki) u poređenju sa odraslim i adolescentnim pacijentima. CMV infekcije su bile prijavljene kod 31,4% pedijatrijskih pacijenata (stepen 3; 5,9%).</w:t>
      </w:r>
    </w:p>
    <w:p w14:paraId="1F179DE0" w14:textId="77777777" w:rsidR="00F37492" w:rsidRPr="00F37492" w:rsidRDefault="00F37492" w:rsidP="000A557B">
      <w:pPr>
        <w:widowControl w:val="0"/>
        <w:jc w:val="both"/>
        <w:rPr>
          <w:rFonts w:eastAsia="MS Mincho"/>
          <w:sz w:val="22"/>
          <w:szCs w:val="22"/>
        </w:rPr>
      </w:pPr>
    </w:p>
    <w:p w14:paraId="68105544" w14:textId="1CA055AC" w:rsidR="00F37492" w:rsidRPr="00F91F2E" w:rsidRDefault="00F37492" w:rsidP="000A557B">
      <w:pPr>
        <w:widowControl w:val="0"/>
        <w:jc w:val="both"/>
        <w:rPr>
          <w:rFonts w:eastAsia="MS Mincho"/>
          <w:sz w:val="22"/>
          <w:szCs w:val="22"/>
          <w:lang w:val="hr-HR"/>
        </w:rPr>
      </w:pPr>
      <w:r w:rsidRPr="00F37492">
        <w:rPr>
          <w:rFonts w:eastAsia="MS Mincho"/>
          <w:bCs/>
          <w:sz w:val="22"/>
          <w:szCs w:val="22"/>
        </w:rPr>
        <w:t xml:space="preserve">U fazi 3 kliničkih ispitivanja hroničnog GvHD </w:t>
      </w:r>
      <w:r w:rsidR="00A8394C" w:rsidRPr="00A8394C">
        <w:rPr>
          <w:rFonts w:eastAsia="MS Mincho"/>
          <w:bCs/>
          <w:sz w:val="22"/>
          <w:szCs w:val="22"/>
          <w:lang w:val="hr-HR"/>
        </w:rPr>
        <w:t xml:space="preserve">(REACH3) </w:t>
      </w:r>
      <w:r w:rsidRPr="00F37492">
        <w:rPr>
          <w:rFonts w:eastAsia="MS Mincho"/>
          <w:bCs/>
          <w:sz w:val="22"/>
          <w:szCs w:val="22"/>
        </w:rPr>
        <w:t xml:space="preserve">tokom </w:t>
      </w:r>
      <w:r w:rsidRPr="00F37492">
        <w:rPr>
          <w:rFonts w:eastAsia="MS Mincho"/>
          <w:bCs/>
          <w:i/>
          <w:sz w:val="22"/>
          <w:szCs w:val="22"/>
        </w:rPr>
        <w:t>uporednog perioda</w:t>
      </w:r>
      <w:r w:rsidRPr="00F37492">
        <w:rPr>
          <w:rFonts w:eastAsia="MS Mincho"/>
          <w:bCs/>
          <w:sz w:val="22"/>
          <w:szCs w:val="22"/>
        </w:rPr>
        <w:t xml:space="preserve"> zabilježene su infekcije urinarnog trakta kod 8,5%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1,2%) pacijenata u grupi sa ruksolitinibom u poređenju sa 6,3%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1,3%) u </w:t>
      </w:r>
      <w:r w:rsidR="0010057E">
        <w:rPr>
          <w:rFonts w:eastAsia="MS Mincho"/>
          <w:bCs/>
          <w:sz w:val="22"/>
          <w:szCs w:val="22"/>
        </w:rPr>
        <w:t>NDT</w:t>
      </w:r>
      <w:r w:rsidRPr="00F37492">
        <w:rPr>
          <w:rFonts w:eastAsia="MS Mincho"/>
          <w:bCs/>
          <w:sz w:val="22"/>
          <w:szCs w:val="22"/>
        </w:rPr>
        <w:t xml:space="preserve"> grupi. nfekcije BK virusom su zabilježene kod 5,5%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0,6%) pacijenata </w:t>
      </w:r>
      <w:r w:rsidRPr="00F37492">
        <w:rPr>
          <w:rFonts w:eastAsia="MS Mincho"/>
          <w:sz w:val="22"/>
          <w:szCs w:val="22"/>
        </w:rPr>
        <w:t>u grupi sa ruksolitinibom</w:t>
      </w:r>
      <w:r w:rsidRPr="00F37492">
        <w:rPr>
          <w:rFonts w:eastAsia="MS Mincho"/>
          <w:bCs/>
          <w:sz w:val="22"/>
          <w:szCs w:val="22"/>
        </w:rPr>
        <w:t xml:space="preserve"> u poređenju sa 1,3% </w:t>
      </w:r>
      <w:r w:rsidRPr="00F37492">
        <w:rPr>
          <w:rFonts w:eastAsia="MS Mincho"/>
          <w:sz w:val="22"/>
          <w:szCs w:val="22"/>
        </w:rPr>
        <w:t xml:space="preserve">u </w:t>
      </w:r>
      <w:r w:rsidR="0010057E">
        <w:rPr>
          <w:rFonts w:eastAsia="MS Mincho"/>
          <w:sz w:val="22"/>
          <w:szCs w:val="22"/>
        </w:rPr>
        <w:t>NDT</w:t>
      </w:r>
      <w:r w:rsidRPr="00F37492">
        <w:rPr>
          <w:rFonts w:eastAsia="MS Mincho"/>
          <w:sz w:val="22"/>
          <w:szCs w:val="22"/>
        </w:rPr>
        <w:t xml:space="preserve"> grupi</w:t>
      </w:r>
      <w:r w:rsidRPr="00F37492">
        <w:rPr>
          <w:rFonts w:eastAsia="MS Mincho"/>
          <w:bCs/>
          <w:sz w:val="22"/>
          <w:szCs w:val="22"/>
        </w:rPr>
        <w:t xml:space="preserve">. </w:t>
      </w:r>
      <w:r w:rsidRPr="00F37492">
        <w:rPr>
          <w:rFonts w:eastAsia="MS Mincho"/>
          <w:sz w:val="22"/>
          <w:szCs w:val="22"/>
        </w:rPr>
        <w:t>CMV infekcije koje su zabilježene kod</w:t>
      </w:r>
      <w:r w:rsidRPr="00F37492">
        <w:rPr>
          <w:rFonts w:eastAsia="MS Mincho"/>
          <w:bCs/>
          <w:sz w:val="22"/>
          <w:szCs w:val="22"/>
        </w:rPr>
        <w:t xml:space="preserve"> 9,1%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1,8%) pacijenata </w:t>
      </w:r>
      <w:r w:rsidRPr="00F37492">
        <w:rPr>
          <w:rFonts w:eastAsia="MS Mincho"/>
          <w:sz w:val="22"/>
          <w:szCs w:val="22"/>
        </w:rPr>
        <w:t>u grupi sa ruksolitinibom</w:t>
      </w:r>
      <w:r w:rsidRPr="00F37492">
        <w:rPr>
          <w:rFonts w:eastAsia="MS Mincho"/>
          <w:bCs/>
          <w:sz w:val="22"/>
          <w:szCs w:val="22"/>
        </w:rPr>
        <w:t xml:space="preserve"> u poređenju sa 10,8%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1,9%) </w:t>
      </w:r>
      <w:r w:rsidRPr="00F37492">
        <w:rPr>
          <w:rFonts w:eastAsia="MS Mincho"/>
          <w:sz w:val="22"/>
          <w:szCs w:val="22"/>
        </w:rPr>
        <w:t xml:space="preserve">u </w:t>
      </w:r>
      <w:r w:rsidR="0010057E">
        <w:rPr>
          <w:rFonts w:eastAsia="MS Mincho"/>
          <w:sz w:val="22"/>
          <w:szCs w:val="22"/>
        </w:rPr>
        <w:t>NDT</w:t>
      </w:r>
      <w:r w:rsidRPr="00F37492">
        <w:rPr>
          <w:rFonts w:eastAsia="MS Mincho"/>
          <w:sz w:val="22"/>
          <w:szCs w:val="22"/>
        </w:rPr>
        <w:t xml:space="preserve"> grupi</w:t>
      </w:r>
      <w:r w:rsidRPr="00F37492">
        <w:rPr>
          <w:rFonts w:eastAsia="MS Mincho"/>
          <w:bCs/>
          <w:sz w:val="22"/>
          <w:szCs w:val="22"/>
        </w:rPr>
        <w:t xml:space="preserve">. </w:t>
      </w:r>
      <w:r w:rsidRPr="00F37492">
        <w:rPr>
          <w:rFonts w:eastAsia="MS Mincho"/>
          <w:sz w:val="22"/>
          <w:szCs w:val="22"/>
        </w:rPr>
        <w:t>Sepsa je zabilježena kod</w:t>
      </w:r>
      <w:r w:rsidRPr="00F37492">
        <w:rPr>
          <w:rFonts w:eastAsia="MS Mincho"/>
          <w:bCs/>
          <w:sz w:val="22"/>
          <w:szCs w:val="22"/>
        </w:rPr>
        <w:t xml:space="preserve"> 2,4%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2,4%) pacijenata </w:t>
      </w:r>
      <w:r w:rsidRPr="00F37492">
        <w:rPr>
          <w:rFonts w:eastAsia="MS Mincho"/>
          <w:sz w:val="22"/>
          <w:szCs w:val="22"/>
        </w:rPr>
        <w:t>u grupi sa ruksolitinibom</w:t>
      </w:r>
      <w:r w:rsidRPr="00F37492">
        <w:rPr>
          <w:rFonts w:eastAsia="MS Mincho"/>
          <w:bCs/>
          <w:sz w:val="22"/>
          <w:szCs w:val="22"/>
        </w:rPr>
        <w:t xml:space="preserve"> u poređenju sa 6,3% (stepen ≥</w:t>
      </w:r>
      <w:r w:rsidR="00CE171D">
        <w:rPr>
          <w:rFonts w:eastAsia="MS Mincho"/>
          <w:bCs/>
          <w:sz w:val="22"/>
          <w:szCs w:val="22"/>
        </w:rPr>
        <w:t xml:space="preserve"> </w:t>
      </w:r>
      <w:r w:rsidRPr="00F37492">
        <w:rPr>
          <w:rFonts w:eastAsia="MS Mincho"/>
          <w:bCs/>
          <w:sz w:val="22"/>
          <w:szCs w:val="22"/>
        </w:rPr>
        <w:t>3</w:t>
      </w:r>
      <w:r w:rsidR="00923C69">
        <w:rPr>
          <w:rFonts w:eastAsia="MS Mincho"/>
          <w:bCs/>
          <w:sz w:val="22"/>
          <w:szCs w:val="22"/>
        </w:rPr>
        <w:t>;</w:t>
      </w:r>
      <w:r w:rsidRPr="00F37492">
        <w:rPr>
          <w:rFonts w:eastAsia="MS Mincho"/>
          <w:bCs/>
          <w:sz w:val="22"/>
          <w:szCs w:val="22"/>
        </w:rPr>
        <w:t xml:space="preserve"> 5,7%) </w:t>
      </w:r>
      <w:r w:rsidRPr="00F37492">
        <w:rPr>
          <w:rFonts w:eastAsia="MS Mincho"/>
          <w:sz w:val="22"/>
          <w:szCs w:val="22"/>
        </w:rPr>
        <w:t xml:space="preserve">u </w:t>
      </w:r>
      <w:r w:rsidR="0010057E">
        <w:rPr>
          <w:rFonts w:eastAsia="MS Mincho"/>
          <w:sz w:val="22"/>
          <w:szCs w:val="22"/>
        </w:rPr>
        <w:t>NDT</w:t>
      </w:r>
      <w:r w:rsidRPr="00F37492">
        <w:rPr>
          <w:rFonts w:eastAsia="MS Mincho"/>
          <w:sz w:val="22"/>
          <w:szCs w:val="22"/>
        </w:rPr>
        <w:t xml:space="preserve"> grupi</w:t>
      </w:r>
      <w:r w:rsidRPr="00F37492">
        <w:rPr>
          <w:rFonts w:eastAsia="MS Mincho"/>
          <w:bCs/>
          <w:sz w:val="22"/>
          <w:szCs w:val="22"/>
        </w:rPr>
        <w:t>.</w:t>
      </w:r>
      <w:r w:rsidRPr="00F37492">
        <w:rPr>
          <w:rFonts w:eastAsia="MS Mincho"/>
          <w:sz w:val="22"/>
          <w:szCs w:val="22"/>
        </w:rPr>
        <w:t xml:space="preserve"> Tokom </w:t>
      </w:r>
      <w:r w:rsidRPr="00F37492">
        <w:rPr>
          <w:rFonts w:eastAsia="MS Mincho"/>
          <w:i/>
          <w:sz w:val="22"/>
          <w:szCs w:val="22"/>
        </w:rPr>
        <w:t>produženog praćenja</w:t>
      </w:r>
      <w:r w:rsidRPr="00F37492">
        <w:rPr>
          <w:rFonts w:eastAsia="MS Mincho"/>
          <w:sz w:val="22"/>
          <w:szCs w:val="22"/>
        </w:rPr>
        <w:t xml:space="preserve"> pacijenata u grupi sa ruksolitinibom zabilježene su infekcije urinarnog trakta kod 9,3% (stepen ≥</w:t>
      </w:r>
      <w:r w:rsidR="00CE171D">
        <w:rPr>
          <w:rFonts w:eastAsia="MS Mincho"/>
          <w:sz w:val="22"/>
          <w:szCs w:val="22"/>
        </w:rPr>
        <w:t xml:space="preserve"> </w:t>
      </w:r>
      <w:r w:rsidRPr="00F37492">
        <w:rPr>
          <w:rFonts w:eastAsia="MS Mincho"/>
          <w:sz w:val="22"/>
          <w:szCs w:val="22"/>
        </w:rPr>
        <w:t>3</w:t>
      </w:r>
      <w:r w:rsidR="00923C69">
        <w:rPr>
          <w:rFonts w:eastAsia="MS Mincho"/>
          <w:sz w:val="22"/>
          <w:szCs w:val="22"/>
        </w:rPr>
        <w:t>;</w:t>
      </w:r>
      <w:r w:rsidRPr="00F37492">
        <w:rPr>
          <w:rFonts w:eastAsia="MS Mincho"/>
          <w:sz w:val="22"/>
          <w:szCs w:val="22"/>
        </w:rPr>
        <w:t xml:space="preserve"> 1,3%) pacijenata i infekcije BK virusom kod 4,9% (stepen ≥</w:t>
      </w:r>
      <w:r w:rsidR="00CE171D">
        <w:rPr>
          <w:rFonts w:eastAsia="MS Mincho"/>
          <w:sz w:val="22"/>
          <w:szCs w:val="22"/>
        </w:rPr>
        <w:t xml:space="preserve"> </w:t>
      </w:r>
      <w:r w:rsidRPr="00F37492">
        <w:rPr>
          <w:rFonts w:eastAsia="MS Mincho"/>
          <w:sz w:val="22"/>
          <w:szCs w:val="22"/>
        </w:rPr>
        <w:t>3</w:t>
      </w:r>
      <w:r w:rsidR="00923C69">
        <w:rPr>
          <w:rFonts w:eastAsia="MS Mincho"/>
          <w:sz w:val="22"/>
          <w:szCs w:val="22"/>
        </w:rPr>
        <w:t>;</w:t>
      </w:r>
      <w:r w:rsidRPr="00F37492">
        <w:rPr>
          <w:rFonts w:eastAsia="MS Mincho"/>
          <w:sz w:val="22"/>
          <w:szCs w:val="22"/>
        </w:rPr>
        <w:t xml:space="preserve"> 0,4%) pacijenata. CMV infekcije su zabilježene kod 8,8% (stepen ≥</w:t>
      </w:r>
      <w:r w:rsidR="00CE171D">
        <w:rPr>
          <w:rFonts w:eastAsia="MS Mincho"/>
          <w:sz w:val="22"/>
          <w:szCs w:val="22"/>
        </w:rPr>
        <w:t xml:space="preserve"> </w:t>
      </w:r>
      <w:r w:rsidRPr="00F37492">
        <w:rPr>
          <w:rFonts w:eastAsia="MS Mincho"/>
          <w:sz w:val="22"/>
          <w:szCs w:val="22"/>
        </w:rPr>
        <w:t>3</w:t>
      </w:r>
      <w:r w:rsidR="00923C69">
        <w:rPr>
          <w:rFonts w:eastAsia="MS Mincho"/>
          <w:sz w:val="22"/>
          <w:szCs w:val="22"/>
        </w:rPr>
        <w:t>;</w:t>
      </w:r>
      <w:r w:rsidRPr="00F37492">
        <w:rPr>
          <w:rFonts w:eastAsia="MS Mincho"/>
          <w:sz w:val="22"/>
          <w:szCs w:val="22"/>
        </w:rPr>
        <w:t xml:space="preserve"> 1,3%) pacijenata i sepsa kod 3,5% (stepen ≥</w:t>
      </w:r>
      <w:r w:rsidR="00CE171D">
        <w:rPr>
          <w:rFonts w:eastAsia="MS Mincho"/>
          <w:sz w:val="22"/>
          <w:szCs w:val="22"/>
        </w:rPr>
        <w:t xml:space="preserve"> </w:t>
      </w:r>
      <w:r w:rsidRPr="00F37492">
        <w:rPr>
          <w:rFonts w:eastAsia="MS Mincho"/>
          <w:sz w:val="22"/>
          <w:szCs w:val="22"/>
        </w:rPr>
        <w:t>3</w:t>
      </w:r>
      <w:r w:rsidR="00923C69">
        <w:rPr>
          <w:rFonts w:eastAsia="MS Mincho"/>
          <w:sz w:val="22"/>
          <w:szCs w:val="22"/>
        </w:rPr>
        <w:t>;</w:t>
      </w:r>
      <w:r w:rsidRPr="00F37492">
        <w:rPr>
          <w:rFonts w:eastAsia="MS Mincho"/>
          <w:sz w:val="22"/>
          <w:szCs w:val="22"/>
        </w:rPr>
        <w:t xml:space="preserve"> 3,5%) pacijenata.</w:t>
      </w:r>
      <w:r w:rsidR="00A8394C">
        <w:rPr>
          <w:rFonts w:eastAsia="MS Mincho"/>
          <w:sz w:val="22"/>
          <w:szCs w:val="22"/>
        </w:rPr>
        <w:t xml:space="preserve"> </w:t>
      </w:r>
      <w:r w:rsidR="00A8394C" w:rsidRPr="00A8394C">
        <w:rPr>
          <w:rFonts w:eastAsia="MS Mincho"/>
          <w:sz w:val="22"/>
          <w:szCs w:val="22"/>
          <w:lang w:val="hr-HR"/>
        </w:rPr>
        <w:t>Kod pedijatrijskih pacijenata sa hroničnim GvHD, infekcije urinarnog sistema su bile prijavljene kod 5,5% (stepen 3; 1,8%) pacijenata, a infekcija BK virusom je bila  prijavljena kod 1,8 % (nijedna stepena ≥ 3) pacijenata. CMV infekcije su se javile kod 7,3% (nijedna stepena ≥ 3) pacijenata.</w:t>
      </w:r>
    </w:p>
    <w:p w14:paraId="55A40910" w14:textId="77777777" w:rsidR="00F37492" w:rsidRPr="00F37492" w:rsidRDefault="00F37492" w:rsidP="000A557B">
      <w:pPr>
        <w:jc w:val="both"/>
        <w:rPr>
          <w:color w:val="000000"/>
          <w:sz w:val="22"/>
          <w:szCs w:val="22"/>
          <w:lang w:val="sr-Latn-CS"/>
        </w:rPr>
      </w:pPr>
    </w:p>
    <w:p w14:paraId="10FC9237" w14:textId="77777777" w:rsidR="00F37492" w:rsidRPr="00205B79" w:rsidRDefault="00F37492" w:rsidP="000A557B">
      <w:pPr>
        <w:shd w:val="clear" w:color="auto" w:fill="FFFFFF"/>
        <w:jc w:val="both"/>
        <w:rPr>
          <w:i/>
          <w:color w:val="000000"/>
          <w:sz w:val="22"/>
          <w:szCs w:val="22"/>
          <w:u w:val="single"/>
          <w:lang w:val="sr-Latn-CS"/>
        </w:rPr>
      </w:pPr>
      <w:r w:rsidRPr="00205B79">
        <w:rPr>
          <w:i/>
          <w:color w:val="000000"/>
          <w:sz w:val="22"/>
          <w:szCs w:val="22"/>
          <w:u w:val="single"/>
          <w:lang w:val="sr-Latn-CS"/>
        </w:rPr>
        <w:t>Povišene lipaze</w:t>
      </w:r>
    </w:p>
    <w:p w14:paraId="448214EF" w14:textId="7A0416FE"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 xml:space="preserve">U periodu </w:t>
      </w:r>
      <w:r w:rsidR="00CE171D">
        <w:rPr>
          <w:color w:val="000000"/>
          <w:sz w:val="22"/>
          <w:szCs w:val="22"/>
          <w:lang w:val="sr-Latn-CS"/>
        </w:rPr>
        <w:t xml:space="preserve">randomizacije </w:t>
      </w:r>
      <w:r w:rsidRPr="00F37492">
        <w:rPr>
          <w:color w:val="000000"/>
          <w:sz w:val="22"/>
          <w:szCs w:val="22"/>
          <w:lang w:val="sr-Latn-CS"/>
        </w:rPr>
        <w:t>studije RESPONSE, pogoršanje vr</w:t>
      </w:r>
      <w:r w:rsidR="00CE171D">
        <w:rPr>
          <w:color w:val="000000"/>
          <w:sz w:val="22"/>
          <w:szCs w:val="22"/>
          <w:lang w:val="sr-Latn-CS"/>
        </w:rPr>
        <w:t>ij</w:t>
      </w:r>
      <w:r w:rsidRPr="00F37492">
        <w:rPr>
          <w:color w:val="000000"/>
          <w:sz w:val="22"/>
          <w:szCs w:val="22"/>
          <w:lang w:val="sr-Latn-CS"/>
        </w:rPr>
        <w:t>ednosti lipaza bilo je veće u grupi koja je primala ruksolitinib u poređenju sa kontrolnom grupom, uglavnom zbog razlika u porastima u okviru stepena 1 (18,2% prema 8,1%). Povećanja u stepenima ≥</w:t>
      </w:r>
      <w:r w:rsidR="00CE171D">
        <w:rPr>
          <w:color w:val="000000"/>
          <w:sz w:val="22"/>
          <w:szCs w:val="22"/>
          <w:lang w:val="sr-Latn-CS"/>
        </w:rPr>
        <w:t xml:space="preserve"> </w:t>
      </w:r>
      <w:r w:rsidRPr="00F37492">
        <w:rPr>
          <w:color w:val="000000"/>
          <w:sz w:val="22"/>
          <w:szCs w:val="22"/>
          <w:lang w:val="sr-Latn-CS"/>
        </w:rPr>
        <w:t>2 bila su slična između grupa. U studiji RESPONSE 2,  učestalost je bila uporediva između grupe koja je primala ruksolitinib i kontrolne grupe (10,8% prema 8%). Tokom dugotrajnog praćenja kliničkih studija faze 3 PV, 7,4% i 0,9% pacijenata prijavilo je povišene vrijednosti lipaze stepena 3 i stepena 4. Ni</w:t>
      </w:r>
      <w:r w:rsidR="00CE171D">
        <w:rPr>
          <w:color w:val="000000"/>
          <w:sz w:val="22"/>
          <w:szCs w:val="22"/>
          <w:lang w:val="sr-Latn-CS"/>
        </w:rPr>
        <w:t>je</w:t>
      </w:r>
      <w:r w:rsidRPr="00F37492">
        <w:rPr>
          <w:color w:val="000000"/>
          <w:sz w:val="22"/>
          <w:szCs w:val="22"/>
          <w:lang w:val="sr-Latn-CS"/>
        </w:rPr>
        <w:t>su prijavljeni istovremeni znaci i simptomi pankreatitisa sa povišenim vrijednostima lipaza kod ovih pacijenata.</w:t>
      </w:r>
    </w:p>
    <w:p w14:paraId="4D69DD34" w14:textId="77777777" w:rsidR="00F37492" w:rsidRPr="00F37492" w:rsidRDefault="00F37492" w:rsidP="000A557B">
      <w:pPr>
        <w:shd w:val="clear" w:color="auto" w:fill="FFFFFF"/>
        <w:jc w:val="both"/>
        <w:rPr>
          <w:color w:val="000000"/>
          <w:sz w:val="22"/>
          <w:szCs w:val="22"/>
          <w:lang w:val="sr-Latn-CS"/>
        </w:rPr>
      </w:pPr>
    </w:p>
    <w:p w14:paraId="7157FF8F" w14:textId="014635D1" w:rsidR="00F37492" w:rsidRPr="00F37492" w:rsidRDefault="00F37492" w:rsidP="000A557B">
      <w:pPr>
        <w:shd w:val="clear" w:color="auto" w:fill="FFFFFF"/>
        <w:jc w:val="both"/>
        <w:rPr>
          <w:color w:val="000000"/>
          <w:sz w:val="22"/>
          <w:szCs w:val="22"/>
          <w:lang w:val="sr-Latn-CS"/>
        </w:rPr>
      </w:pPr>
      <w:r w:rsidRPr="00F37492">
        <w:rPr>
          <w:color w:val="000000"/>
          <w:sz w:val="22"/>
          <w:szCs w:val="22"/>
          <w:lang w:val="sr-Latn-CS"/>
        </w:rPr>
        <w:t>U studijama faze 3 MF COMFORT I i COMFORT II, visoke vrijednosti lipaze prijavljene su kod 18,7% i 19,3% pacijenata u grupi koja je primala ruksolitinib u poređenju sa 16,6% i 14,0% kod pacijenata u kontrolnoj grupi. Kod pacijenata sa povišenim vrijednostima lipaza, ni</w:t>
      </w:r>
      <w:r w:rsidR="00CE171D">
        <w:rPr>
          <w:color w:val="000000"/>
          <w:sz w:val="22"/>
          <w:szCs w:val="22"/>
          <w:lang w:val="sr-Latn-CS"/>
        </w:rPr>
        <w:t>je</w:t>
      </w:r>
      <w:r w:rsidRPr="00F37492">
        <w:rPr>
          <w:color w:val="000000"/>
          <w:sz w:val="22"/>
          <w:szCs w:val="22"/>
          <w:lang w:val="sr-Latn-CS"/>
        </w:rPr>
        <w:t>su prijavljeni istovremeni znaci i simptomi pankreatitisa.</w:t>
      </w:r>
    </w:p>
    <w:p w14:paraId="57F411D3" w14:textId="77777777" w:rsidR="00F37492" w:rsidRPr="00F37492" w:rsidRDefault="00F37492" w:rsidP="000A557B">
      <w:pPr>
        <w:shd w:val="clear" w:color="auto" w:fill="FFFFFF"/>
        <w:jc w:val="both"/>
        <w:rPr>
          <w:color w:val="000000"/>
          <w:szCs w:val="22"/>
          <w:lang w:val="sr-Latn-CS"/>
        </w:rPr>
      </w:pPr>
    </w:p>
    <w:p w14:paraId="495CB5AD" w14:textId="04B79850" w:rsidR="00F37492" w:rsidRPr="00F91F2E" w:rsidRDefault="00F37492" w:rsidP="000A557B">
      <w:pPr>
        <w:widowControl w:val="0"/>
        <w:jc w:val="both"/>
        <w:rPr>
          <w:rFonts w:eastAsia="MS Mincho"/>
          <w:sz w:val="22"/>
          <w:szCs w:val="22"/>
          <w:lang w:val="hr-HR"/>
        </w:rPr>
      </w:pPr>
      <w:r w:rsidRPr="00F37492">
        <w:rPr>
          <w:rFonts w:eastAsia="MS Mincho"/>
          <w:bCs/>
          <w:sz w:val="22"/>
          <w:szCs w:val="22"/>
        </w:rPr>
        <w:t xml:space="preserve">U fazi 3 kliničkih ispitivanja akutnog GvHD </w:t>
      </w:r>
      <w:r w:rsidR="00A8394C" w:rsidRPr="00A8394C">
        <w:rPr>
          <w:rFonts w:eastAsia="MS Mincho"/>
          <w:bCs/>
          <w:sz w:val="22"/>
          <w:szCs w:val="22"/>
          <w:lang w:val="hr-HR"/>
        </w:rPr>
        <w:t xml:space="preserve">(REACH2) </w:t>
      </w:r>
      <w:r w:rsidRPr="00F37492">
        <w:rPr>
          <w:rFonts w:eastAsia="MS Mincho"/>
          <w:bCs/>
          <w:sz w:val="22"/>
          <w:szCs w:val="22"/>
        </w:rPr>
        <w:t xml:space="preserve">tokom </w:t>
      </w:r>
      <w:r w:rsidRPr="00F37492">
        <w:rPr>
          <w:rFonts w:eastAsia="MS Mincho"/>
          <w:bCs/>
          <w:i/>
          <w:sz w:val="22"/>
          <w:szCs w:val="22"/>
        </w:rPr>
        <w:t>uporednog perioda</w:t>
      </w:r>
      <w:r w:rsidRPr="00F37492">
        <w:rPr>
          <w:rFonts w:eastAsia="MS Mincho"/>
          <w:sz w:val="22"/>
          <w:szCs w:val="22"/>
          <w:lang w:val="en-GB"/>
        </w:rPr>
        <w:t xml:space="preserve">, nove ili pogoršane vrijednosti lipaze zabilježene su kod 19,7% </w:t>
      </w:r>
      <w:r w:rsidRPr="00F37492">
        <w:rPr>
          <w:rFonts w:eastAsia="MS Mincho"/>
          <w:bCs/>
          <w:sz w:val="22"/>
          <w:szCs w:val="22"/>
        </w:rPr>
        <w:t xml:space="preserve">pacijenata </w:t>
      </w:r>
      <w:r w:rsidRPr="00F37492">
        <w:rPr>
          <w:rFonts w:eastAsia="MS Mincho"/>
          <w:sz w:val="22"/>
          <w:szCs w:val="22"/>
        </w:rPr>
        <w:t>u grupi sa ruksolitinibom</w:t>
      </w:r>
      <w:r w:rsidRPr="00F37492">
        <w:rPr>
          <w:rFonts w:eastAsia="MS Mincho"/>
          <w:bCs/>
          <w:sz w:val="22"/>
          <w:szCs w:val="22"/>
        </w:rPr>
        <w:t xml:space="preserve"> u poređenju sa</w:t>
      </w:r>
      <w:r w:rsidRPr="00F37492">
        <w:rPr>
          <w:rFonts w:eastAsia="MS Mincho"/>
          <w:sz w:val="22"/>
          <w:szCs w:val="22"/>
          <w:lang w:val="en-GB"/>
        </w:rPr>
        <w:t xml:space="preserve"> 12,5% </w:t>
      </w:r>
      <w:r w:rsidRPr="00F37492">
        <w:rPr>
          <w:rFonts w:eastAsia="MS Mincho"/>
          <w:sz w:val="22"/>
          <w:szCs w:val="22"/>
        </w:rPr>
        <w:t xml:space="preserve">u </w:t>
      </w:r>
      <w:r w:rsidR="0010057E">
        <w:rPr>
          <w:rFonts w:eastAsia="MS Mincho"/>
          <w:sz w:val="22"/>
          <w:szCs w:val="22"/>
        </w:rPr>
        <w:t>NDT</w:t>
      </w:r>
      <w:r w:rsidRPr="00F37492">
        <w:rPr>
          <w:rFonts w:eastAsia="MS Mincho"/>
          <w:sz w:val="22"/>
          <w:szCs w:val="22"/>
        </w:rPr>
        <w:t xml:space="preserve"> grupi</w:t>
      </w:r>
      <w:r w:rsidRPr="00F37492">
        <w:rPr>
          <w:rFonts w:eastAsia="MS Mincho"/>
          <w:sz w:val="22"/>
          <w:szCs w:val="22"/>
          <w:lang w:val="en-GB"/>
        </w:rPr>
        <w:t xml:space="preserve">; odgovarajući porasti stepena 3 (3,1% naspram 5,1%) i stepena 4 (0% naspram 0,8%) bili su slični. </w:t>
      </w:r>
      <w:r w:rsidRPr="00F37492">
        <w:rPr>
          <w:rFonts w:eastAsia="MS Mincho"/>
          <w:sz w:val="22"/>
          <w:szCs w:val="22"/>
        </w:rPr>
        <w:t xml:space="preserve">Tokom </w:t>
      </w:r>
      <w:r w:rsidRPr="00F37492">
        <w:rPr>
          <w:rFonts w:eastAsia="MS Mincho"/>
          <w:i/>
          <w:sz w:val="22"/>
          <w:szCs w:val="22"/>
        </w:rPr>
        <w:t>produženog praćenja</w:t>
      </w:r>
      <w:r w:rsidRPr="00F37492">
        <w:rPr>
          <w:rFonts w:eastAsia="MS Mincho"/>
          <w:sz w:val="22"/>
          <w:szCs w:val="22"/>
        </w:rPr>
        <w:t xml:space="preserve"> pacijenata u grupi sa ruksolitinibom zabilježene su povišene vrijednosti lipaze </w:t>
      </w:r>
      <w:r w:rsidRPr="00F37492">
        <w:rPr>
          <w:rFonts w:eastAsia="MS Mincho"/>
          <w:sz w:val="22"/>
          <w:szCs w:val="22"/>
          <w:lang w:val="en-GB"/>
        </w:rPr>
        <w:t>kod 32,2% pacijenata; stepen 3 zabilježen je kod 8,7% i stepen 4 kod 2,2% pacijenata.</w:t>
      </w:r>
      <w:r w:rsidR="00A8394C">
        <w:rPr>
          <w:rFonts w:eastAsia="MS Mincho"/>
          <w:sz w:val="22"/>
          <w:szCs w:val="22"/>
          <w:lang w:val="en-GB"/>
        </w:rPr>
        <w:t xml:space="preserve"> </w:t>
      </w:r>
      <w:r w:rsidR="00A8394C" w:rsidRPr="00A8394C">
        <w:rPr>
          <w:rFonts w:eastAsia="MS Mincho"/>
          <w:sz w:val="22"/>
          <w:szCs w:val="22"/>
          <w:lang w:val="hr-HR"/>
        </w:rPr>
        <w:t>Povišena lipaza je bila prijavljena kod 20,4% pedijatrijskih pacijenata (stepen 3 i 4: 8,5%, odnosno 4,1%).</w:t>
      </w:r>
    </w:p>
    <w:p w14:paraId="04B28884" w14:textId="77777777" w:rsidR="00F37492" w:rsidRPr="00F37492" w:rsidRDefault="00F37492" w:rsidP="000A557B">
      <w:pPr>
        <w:widowControl w:val="0"/>
        <w:jc w:val="both"/>
        <w:rPr>
          <w:rFonts w:eastAsia="MS Mincho"/>
          <w:sz w:val="22"/>
          <w:szCs w:val="22"/>
          <w:lang w:val="en-GB"/>
        </w:rPr>
      </w:pPr>
    </w:p>
    <w:p w14:paraId="502BDB30" w14:textId="344AB37F" w:rsidR="00F37492" w:rsidRPr="00F37492" w:rsidRDefault="00F37492" w:rsidP="000A557B">
      <w:pPr>
        <w:widowControl w:val="0"/>
        <w:jc w:val="both"/>
        <w:rPr>
          <w:rFonts w:eastAsia="MS Mincho"/>
          <w:sz w:val="22"/>
          <w:szCs w:val="22"/>
          <w:lang w:val="en-GB"/>
        </w:rPr>
      </w:pPr>
      <w:r w:rsidRPr="00F37492">
        <w:rPr>
          <w:rFonts w:eastAsia="MS Mincho"/>
          <w:bCs/>
          <w:sz w:val="22"/>
          <w:szCs w:val="22"/>
        </w:rPr>
        <w:t xml:space="preserve">U fazi 3 kliničkih ispitivanja hroničnog GvHD </w:t>
      </w:r>
      <w:r w:rsidR="00A8394C" w:rsidRPr="00A8394C">
        <w:rPr>
          <w:rFonts w:eastAsia="MS Mincho"/>
          <w:bCs/>
          <w:sz w:val="22"/>
          <w:szCs w:val="22"/>
          <w:lang w:val="hr-HR"/>
        </w:rPr>
        <w:t>(REACH3)</w:t>
      </w:r>
      <w:r w:rsidR="00A8394C">
        <w:rPr>
          <w:rFonts w:eastAsia="MS Mincho"/>
          <w:bCs/>
          <w:sz w:val="22"/>
          <w:szCs w:val="22"/>
          <w:lang w:val="hr-HR"/>
        </w:rPr>
        <w:t xml:space="preserve"> </w:t>
      </w:r>
      <w:r w:rsidRPr="00F37492">
        <w:rPr>
          <w:rFonts w:eastAsia="MS Mincho"/>
          <w:bCs/>
          <w:sz w:val="22"/>
          <w:szCs w:val="22"/>
        </w:rPr>
        <w:t xml:space="preserve">tokom </w:t>
      </w:r>
      <w:r w:rsidRPr="00F37492">
        <w:rPr>
          <w:rFonts w:eastAsia="MS Mincho"/>
          <w:bCs/>
          <w:i/>
          <w:sz w:val="22"/>
          <w:szCs w:val="22"/>
        </w:rPr>
        <w:t>uporednog perioda</w:t>
      </w:r>
      <w:r w:rsidRPr="00F37492">
        <w:rPr>
          <w:rFonts w:eastAsia="MS Mincho"/>
          <w:sz w:val="22"/>
          <w:szCs w:val="22"/>
          <w:lang w:val="en-GB"/>
        </w:rPr>
        <w:t xml:space="preserve">, nove ili pogoršane vrijednosti lipaze zabilježene su kod 32,1% </w:t>
      </w:r>
      <w:r w:rsidRPr="00F37492">
        <w:rPr>
          <w:rFonts w:eastAsia="MS Mincho"/>
          <w:bCs/>
          <w:sz w:val="22"/>
          <w:szCs w:val="22"/>
        </w:rPr>
        <w:t xml:space="preserve">pacijenata </w:t>
      </w:r>
      <w:r w:rsidRPr="00F37492">
        <w:rPr>
          <w:rFonts w:eastAsia="MS Mincho"/>
          <w:sz w:val="22"/>
          <w:szCs w:val="22"/>
        </w:rPr>
        <w:t>u grupi sa ruksolitinibom</w:t>
      </w:r>
      <w:r w:rsidRPr="00F37492">
        <w:rPr>
          <w:rFonts w:eastAsia="MS Mincho"/>
          <w:bCs/>
          <w:sz w:val="22"/>
          <w:szCs w:val="22"/>
        </w:rPr>
        <w:t xml:space="preserve"> u poređenju sa</w:t>
      </w:r>
      <w:r w:rsidRPr="00F37492">
        <w:rPr>
          <w:rFonts w:eastAsia="MS Mincho"/>
          <w:sz w:val="22"/>
          <w:szCs w:val="22"/>
          <w:lang w:val="en-GB"/>
        </w:rPr>
        <w:t xml:space="preserve"> 23,5% </w:t>
      </w:r>
      <w:r w:rsidRPr="00F37492">
        <w:rPr>
          <w:rFonts w:eastAsia="MS Mincho"/>
          <w:sz w:val="22"/>
          <w:szCs w:val="22"/>
        </w:rPr>
        <w:t xml:space="preserve">u </w:t>
      </w:r>
      <w:r w:rsidR="0010057E">
        <w:rPr>
          <w:rFonts w:eastAsia="MS Mincho"/>
          <w:sz w:val="22"/>
          <w:szCs w:val="22"/>
        </w:rPr>
        <w:t>NDT</w:t>
      </w:r>
      <w:r w:rsidRPr="00F37492">
        <w:rPr>
          <w:rFonts w:eastAsia="MS Mincho"/>
          <w:sz w:val="22"/>
          <w:szCs w:val="22"/>
        </w:rPr>
        <w:t xml:space="preserve"> grupi</w:t>
      </w:r>
      <w:r w:rsidRPr="00F37492">
        <w:rPr>
          <w:rFonts w:eastAsia="MS Mincho"/>
          <w:sz w:val="22"/>
          <w:szCs w:val="22"/>
          <w:lang w:val="en-GB"/>
        </w:rPr>
        <w:t xml:space="preserve">; odgovarajući porasti stepena 3 (10,6% naspram 6,2%) i stepena 4 (0,6% naspram 0%) bili su slični. </w:t>
      </w:r>
      <w:r w:rsidRPr="00F37492">
        <w:rPr>
          <w:rFonts w:eastAsia="MS Mincho"/>
          <w:sz w:val="22"/>
          <w:szCs w:val="22"/>
        </w:rPr>
        <w:t xml:space="preserve">Tokom </w:t>
      </w:r>
      <w:r w:rsidRPr="00F37492">
        <w:rPr>
          <w:rFonts w:eastAsia="MS Mincho"/>
          <w:i/>
          <w:sz w:val="22"/>
          <w:szCs w:val="22"/>
        </w:rPr>
        <w:t>produženog praćenja</w:t>
      </w:r>
      <w:r w:rsidRPr="00F37492">
        <w:rPr>
          <w:rFonts w:eastAsia="MS Mincho"/>
          <w:sz w:val="22"/>
          <w:szCs w:val="22"/>
        </w:rPr>
        <w:t xml:space="preserve"> pacijenata u grupi sa ruksolitinibom zabilježene su povišene vrijednosti lipaze </w:t>
      </w:r>
      <w:r w:rsidRPr="00F37492">
        <w:rPr>
          <w:rFonts w:eastAsia="MS Mincho"/>
          <w:sz w:val="22"/>
          <w:szCs w:val="22"/>
          <w:lang w:val="en-GB"/>
        </w:rPr>
        <w:t>kod 35,9% pacijenata; stepen 3 zabilježen je kod 9,5% i stepen 4 kod 0,4% pacijenata.</w:t>
      </w:r>
      <w:r w:rsidR="00A8394C">
        <w:rPr>
          <w:rFonts w:eastAsia="MS Mincho"/>
          <w:sz w:val="22"/>
          <w:szCs w:val="22"/>
          <w:lang w:val="en-GB"/>
        </w:rPr>
        <w:t xml:space="preserve"> </w:t>
      </w:r>
      <w:r w:rsidR="00A8394C" w:rsidRPr="00A8394C">
        <w:rPr>
          <w:rFonts w:eastAsia="MS Mincho"/>
          <w:sz w:val="22"/>
          <w:szCs w:val="22"/>
          <w:lang w:val="hr-HR"/>
        </w:rPr>
        <w:t>Povišena lipaza je bila prijavljena sa manjom učestalošću (20,4%, stepen 3 i 4: 3,8%, odnosno 1,9%) kod pedijatrijskih pacijenata.</w:t>
      </w:r>
    </w:p>
    <w:p w14:paraId="3D8492DC" w14:textId="77777777" w:rsidR="00F37492" w:rsidRPr="00F37492" w:rsidRDefault="00F37492" w:rsidP="000A557B">
      <w:pPr>
        <w:widowControl w:val="0"/>
        <w:jc w:val="both"/>
        <w:rPr>
          <w:rFonts w:eastAsia="MS Mincho"/>
          <w:i/>
          <w:color w:val="000000"/>
          <w:sz w:val="22"/>
          <w:szCs w:val="22"/>
          <w:lang w:val="hr-HR"/>
        </w:rPr>
      </w:pPr>
    </w:p>
    <w:p w14:paraId="2202D445" w14:textId="77777777" w:rsidR="00F37492" w:rsidRPr="00F37492" w:rsidRDefault="00F37492" w:rsidP="000A557B">
      <w:pPr>
        <w:shd w:val="clear" w:color="auto" w:fill="FFFFFF"/>
        <w:jc w:val="both"/>
        <w:rPr>
          <w:i/>
          <w:color w:val="000000"/>
          <w:sz w:val="22"/>
          <w:szCs w:val="22"/>
          <w:u w:val="single"/>
          <w:lang w:val="sr-Latn-CS"/>
        </w:rPr>
      </w:pPr>
      <w:r w:rsidRPr="00F37492">
        <w:rPr>
          <w:i/>
          <w:color w:val="000000"/>
          <w:sz w:val="22"/>
          <w:szCs w:val="22"/>
          <w:u w:val="single"/>
          <w:lang w:val="sr-Latn-CS"/>
        </w:rPr>
        <w:t>Povišeni sistolni krvni pritisak</w:t>
      </w:r>
    </w:p>
    <w:p w14:paraId="61962671" w14:textId="53ABAA9E" w:rsidR="00F37492" w:rsidRPr="00F37492" w:rsidRDefault="00F37492" w:rsidP="000A557B">
      <w:pPr>
        <w:jc w:val="both"/>
        <w:rPr>
          <w:sz w:val="22"/>
          <w:szCs w:val="22"/>
          <w:lang w:val="sr-Latn-CS" w:eastAsia="sr-Latn-CS"/>
        </w:rPr>
      </w:pPr>
      <w:r w:rsidRPr="00F37492">
        <w:rPr>
          <w:color w:val="000000"/>
          <w:sz w:val="22"/>
          <w:szCs w:val="22"/>
          <w:lang w:val="sr-Latn-CS" w:eastAsia="sr-Latn-ME"/>
        </w:rPr>
        <w:lastRenderedPageBreak/>
        <w:t>U fazi 3 ključnih kliničkih studija sa MF povećanje sistolnog krvnog pritiska od 20 mmHg ili više u poređenju sa početnim vrijednostima zabilježeno je kod 31,5% pacijenata prilikom bar jedne posjete u poređenju sa 19,5% pacijenata iz kontrolne grupe. U studiji COMFORT-I (pacijenata sa MF) srednje povećanje sistolnog krvnog pritiska u odnosu na početnu vrijednost iznosilo je 0</w:t>
      </w:r>
      <w:r w:rsidR="00A8394C">
        <w:rPr>
          <w:color w:val="000000"/>
          <w:sz w:val="22"/>
          <w:szCs w:val="22"/>
          <w:lang w:val="sr-Latn-CS" w:eastAsia="sr-Latn-ME"/>
        </w:rPr>
        <w:t xml:space="preserve"> do </w:t>
      </w:r>
      <w:r w:rsidRPr="00F37492">
        <w:rPr>
          <w:color w:val="000000"/>
          <w:sz w:val="22"/>
          <w:szCs w:val="22"/>
          <w:lang w:val="sr-Latn-CS" w:eastAsia="sr-Latn-ME"/>
        </w:rPr>
        <w:t>2 mmHg kod onih koji su primali ruksolitinib u poređenju sa smanjenjem od 2</w:t>
      </w:r>
      <w:r w:rsidR="00A8394C">
        <w:rPr>
          <w:color w:val="000000"/>
          <w:sz w:val="22"/>
          <w:szCs w:val="22"/>
          <w:lang w:val="sr-Latn-CS" w:eastAsia="sr-Latn-ME"/>
        </w:rPr>
        <w:t xml:space="preserve">od </w:t>
      </w:r>
      <w:r w:rsidRPr="00F37492">
        <w:rPr>
          <w:color w:val="000000"/>
          <w:sz w:val="22"/>
          <w:szCs w:val="22"/>
          <w:lang w:val="sr-Latn-CS" w:eastAsia="sr-Latn-ME"/>
        </w:rPr>
        <w:t>5 mmHg u grupi koja je primala placebo. U studiji COMFORT-II srednje vrijednosti su se malo razlikovale između pacijenata sa MF koji su primali ruksolitinib i onih</w:t>
      </w:r>
      <w:r w:rsidRPr="00F37492">
        <w:rPr>
          <w:sz w:val="22"/>
          <w:szCs w:val="22"/>
          <w:lang w:val="sr-Latn-CS" w:eastAsia="sr-Latn-CS"/>
        </w:rPr>
        <w:t xml:space="preserve"> u kontrolnoj grupi.</w:t>
      </w:r>
    </w:p>
    <w:p w14:paraId="584DB2E9" w14:textId="77777777" w:rsidR="00F37492" w:rsidRPr="00F37492" w:rsidRDefault="00F37492" w:rsidP="000A557B">
      <w:pPr>
        <w:jc w:val="both"/>
        <w:rPr>
          <w:sz w:val="22"/>
          <w:szCs w:val="22"/>
          <w:lang w:val="sr-Latn-CS" w:eastAsia="sr-Latn-CS"/>
        </w:rPr>
      </w:pPr>
    </w:p>
    <w:p w14:paraId="37D58A22" w14:textId="3491BCCA" w:rsidR="00F37492" w:rsidRPr="00F37492" w:rsidRDefault="00F37492" w:rsidP="000A557B">
      <w:pPr>
        <w:widowControl w:val="0"/>
        <w:tabs>
          <w:tab w:val="left" w:pos="567"/>
        </w:tabs>
        <w:autoSpaceDE w:val="0"/>
        <w:autoSpaceDN w:val="0"/>
        <w:adjustRightInd w:val="0"/>
        <w:spacing w:line="260" w:lineRule="exact"/>
        <w:jc w:val="both"/>
        <w:rPr>
          <w:sz w:val="22"/>
          <w:szCs w:val="22"/>
          <w:u w:val="single"/>
          <w:lang w:val="hr-HR"/>
        </w:rPr>
      </w:pPr>
      <w:r w:rsidRPr="00F37492">
        <w:rPr>
          <w:sz w:val="22"/>
          <w:szCs w:val="22"/>
          <w:lang w:val="hr-HR"/>
        </w:rPr>
        <w:t xml:space="preserve">U periodu </w:t>
      </w:r>
      <w:r w:rsidR="00CE171D">
        <w:rPr>
          <w:sz w:val="22"/>
          <w:szCs w:val="22"/>
          <w:lang w:val="hr-HR"/>
        </w:rPr>
        <w:t xml:space="preserve">randomizacije </w:t>
      </w:r>
      <w:r w:rsidRPr="00F37492">
        <w:rPr>
          <w:sz w:val="22"/>
          <w:szCs w:val="22"/>
          <w:lang w:val="hr-HR"/>
        </w:rPr>
        <w:t>ključnog kliničkog ispitivanja pacijenata sa PV, srednji sistolni krvni pritisak povećao se za 0,65 mmHg u grupi koja je primala ruksolitinib u odnosu na smanjenje od 2 mmHg u grupi koja je primala najbolju dostupnu terapiju.</w:t>
      </w:r>
    </w:p>
    <w:p w14:paraId="16210D00" w14:textId="77777777" w:rsidR="00F37492" w:rsidRDefault="00F37492" w:rsidP="000A557B">
      <w:pPr>
        <w:keepNext/>
        <w:keepLines/>
        <w:jc w:val="both"/>
        <w:rPr>
          <w:rFonts w:eastAsia="MS Mincho"/>
          <w:i/>
          <w:sz w:val="22"/>
          <w:szCs w:val="20"/>
        </w:rPr>
      </w:pPr>
    </w:p>
    <w:p w14:paraId="527E864E" w14:textId="77777777" w:rsidR="00A8394C" w:rsidRPr="00F91F2E" w:rsidRDefault="00A8394C" w:rsidP="00A8394C">
      <w:pPr>
        <w:keepNext/>
        <w:keepLines/>
        <w:jc w:val="both"/>
        <w:rPr>
          <w:rFonts w:eastAsia="MS Mincho"/>
          <w:iCs/>
          <w:sz w:val="22"/>
          <w:szCs w:val="20"/>
          <w:u w:val="single"/>
          <w:lang w:val="hr-HR"/>
        </w:rPr>
      </w:pPr>
      <w:r w:rsidRPr="00F91F2E">
        <w:rPr>
          <w:rFonts w:eastAsia="MS Mincho"/>
          <w:iCs/>
          <w:sz w:val="22"/>
          <w:szCs w:val="20"/>
          <w:u w:val="single"/>
          <w:lang w:val="hr-HR"/>
        </w:rPr>
        <w:t>Posebne populacije</w:t>
      </w:r>
    </w:p>
    <w:p w14:paraId="3CE7C0F5" w14:textId="77777777" w:rsidR="00A8394C" w:rsidRPr="00F37492" w:rsidRDefault="00A8394C" w:rsidP="000A557B">
      <w:pPr>
        <w:keepNext/>
        <w:keepLines/>
        <w:jc w:val="both"/>
        <w:rPr>
          <w:rFonts w:eastAsia="MS Mincho"/>
          <w:i/>
          <w:sz w:val="22"/>
          <w:szCs w:val="20"/>
        </w:rPr>
      </w:pPr>
    </w:p>
    <w:p w14:paraId="0CFC79E4" w14:textId="77777777" w:rsidR="00F37492" w:rsidRPr="00205B79" w:rsidRDefault="00F37492" w:rsidP="000A557B">
      <w:pPr>
        <w:keepNext/>
        <w:keepLines/>
        <w:jc w:val="both"/>
        <w:rPr>
          <w:rFonts w:eastAsia="MS Mincho"/>
          <w:i/>
          <w:sz w:val="22"/>
          <w:szCs w:val="22"/>
          <w:u w:val="single"/>
        </w:rPr>
      </w:pPr>
      <w:r w:rsidRPr="00205B79">
        <w:rPr>
          <w:rFonts w:eastAsia="MS Mincho"/>
          <w:i/>
          <w:sz w:val="22"/>
          <w:szCs w:val="22"/>
          <w:u w:val="single"/>
        </w:rPr>
        <w:t>Pedijatrijski pacijenti</w:t>
      </w:r>
    </w:p>
    <w:p w14:paraId="4CDCDED8" w14:textId="63003360" w:rsidR="00F37492" w:rsidRPr="00F37492" w:rsidRDefault="00F37492" w:rsidP="000A557B">
      <w:pPr>
        <w:jc w:val="both"/>
        <w:rPr>
          <w:rFonts w:eastAsia="MS Mincho"/>
          <w:bCs/>
          <w:sz w:val="22"/>
          <w:szCs w:val="22"/>
        </w:rPr>
      </w:pPr>
      <w:r w:rsidRPr="00F37492">
        <w:rPr>
          <w:rFonts w:eastAsia="MS Mincho"/>
          <w:bCs/>
          <w:sz w:val="22"/>
          <w:szCs w:val="22"/>
        </w:rPr>
        <w:t xml:space="preserve">Kod ukupno </w:t>
      </w:r>
      <w:r w:rsidR="00A8394C">
        <w:rPr>
          <w:rFonts w:eastAsia="MS Mincho"/>
          <w:bCs/>
          <w:sz w:val="22"/>
          <w:szCs w:val="22"/>
        </w:rPr>
        <w:t>106</w:t>
      </w:r>
      <w:r w:rsidR="00A8394C" w:rsidRPr="00F37492">
        <w:rPr>
          <w:rFonts w:eastAsia="MS Mincho"/>
          <w:bCs/>
          <w:sz w:val="22"/>
          <w:szCs w:val="22"/>
        </w:rPr>
        <w:t> </w:t>
      </w:r>
      <w:r w:rsidRPr="00F37492">
        <w:rPr>
          <w:rFonts w:eastAsia="MS Mincho"/>
          <w:bCs/>
          <w:sz w:val="22"/>
          <w:szCs w:val="22"/>
        </w:rPr>
        <w:t>pacijenata uzrasta od 2 do &lt;</w:t>
      </w:r>
      <w:r w:rsidR="00CE171D">
        <w:rPr>
          <w:rFonts w:eastAsia="MS Mincho"/>
          <w:bCs/>
          <w:sz w:val="22"/>
          <w:szCs w:val="22"/>
        </w:rPr>
        <w:t xml:space="preserve"> </w:t>
      </w:r>
      <w:r w:rsidRPr="00F37492">
        <w:rPr>
          <w:rFonts w:eastAsia="MS Mincho"/>
          <w:bCs/>
          <w:sz w:val="22"/>
          <w:szCs w:val="22"/>
        </w:rPr>
        <w:t xml:space="preserve">18 godina sa GvHD analizirana je bezbjednost: </w:t>
      </w:r>
      <w:r w:rsidR="00A8394C">
        <w:rPr>
          <w:rFonts w:eastAsia="MS Mincho"/>
          <w:bCs/>
          <w:sz w:val="22"/>
          <w:szCs w:val="22"/>
        </w:rPr>
        <w:t>51</w:t>
      </w:r>
      <w:r w:rsidRPr="00F37492">
        <w:rPr>
          <w:rFonts w:eastAsia="MS Mincho"/>
          <w:bCs/>
          <w:sz w:val="22"/>
          <w:szCs w:val="22"/>
        </w:rPr>
        <w:t xml:space="preserve"> pacijenata </w:t>
      </w:r>
      <w:r w:rsidR="00A8394C" w:rsidRPr="00A8394C">
        <w:rPr>
          <w:rFonts w:eastAsia="MS Mincho"/>
          <w:bCs/>
          <w:sz w:val="22"/>
          <w:szCs w:val="22"/>
          <w:lang w:val="hr-HR"/>
        </w:rPr>
        <w:t>(45 pacijenata u ispitivanju REACH4 i 6 pacijenata u REACH2) u ispitivanjima akutnog GvHD-a i 55 pacijenata (45 pacijenata u ispitivanju REACH5 i 10 pacijenata u REACH3) u ispitivanjima hroničnog GvHD. Bezb</w:t>
      </w:r>
      <w:r w:rsidR="00DD0118">
        <w:rPr>
          <w:rFonts w:eastAsia="MS Mincho"/>
          <w:bCs/>
          <w:sz w:val="22"/>
          <w:szCs w:val="22"/>
          <w:lang w:val="hr-HR"/>
        </w:rPr>
        <w:t>j</w:t>
      </w:r>
      <w:r w:rsidR="00A8394C" w:rsidRPr="00A8394C">
        <w:rPr>
          <w:rFonts w:eastAsia="MS Mincho"/>
          <w:bCs/>
          <w:sz w:val="22"/>
          <w:szCs w:val="22"/>
          <w:lang w:val="hr-HR"/>
        </w:rPr>
        <w:t>ednosni profil prim</w:t>
      </w:r>
      <w:r w:rsidR="00DD0118">
        <w:rPr>
          <w:rFonts w:eastAsia="MS Mincho"/>
          <w:bCs/>
          <w:sz w:val="22"/>
          <w:szCs w:val="22"/>
          <w:lang w:val="hr-HR"/>
        </w:rPr>
        <w:t>ij</w:t>
      </w:r>
      <w:r w:rsidR="00A8394C" w:rsidRPr="00A8394C">
        <w:rPr>
          <w:rFonts w:eastAsia="MS Mincho"/>
          <w:bCs/>
          <w:sz w:val="22"/>
          <w:szCs w:val="22"/>
          <w:lang w:val="hr-HR"/>
        </w:rPr>
        <w:t>ećen kod pedijatrijskih pacijenata koji su primali l</w:t>
      </w:r>
      <w:r w:rsidR="00DD0118">
        <w:rPr>
          <w:rFonts w:eastAsia="MS Mincho"/>
          <w:bCs/>
          <w:sz w:val="22"/>
          <w:szCs w:val="22"/>
          <w:lang w:val="hr-HR"/>
        </w:rPr>
        <w:t>ij</w:t>
      </w:r>
      <w:r w:rsidR="00A8394C" w:rsidRPr="00A8394C">
        <w:rPr>
          <w:rFonts w:eastAsia="MS Mincho"/>
          <w:bCs/>
          <w:sz w:val="22"/>
          <w:szCs w:val="22"/>
          <w:lang w:val="hr-HR"/>
        </w:rPr>
        <w:t>ečenje ruksolitinibom je bio sličan prim</w:t>
      </w:r>
      <w:r w:rsidR="00DD0118">
        <w:rPr>
          <w:rFonts w:eastAsia="MS Mincho"/>
          <w:bCs/>
          <w:sz w:val="22"/>
          <w:szCs w:val="22"/>
          <w:lang w:val="hr-HR"/>
        </w:rPr>
        <w:t>ij</w:t>
      </w:r>
      <w:r w:rsidR="00A8394C" w:rsidRPr="00A8394C">
        <w:rPr>
          <w:rFonts w:eastAsia="MS Mincho"/>
          <w:bCs/>
          <w:sz w:val="22"/>
          <w:szCs w:val="22"/>
          <w:lang w:val="hr-HR"/>
        </w:rPr>
        <w:t>ećenom kod odraslih pacijenata.</w:t>
      </w:r>
      <w:r w:rsidR="00A8394C" w:rsidRPr="00A8394C">
        <w:rPr>
          <w:rFonts w:eastAsia="MS Mincho"/>
          <w:bCs/>
          <w:sz w:val="22"/>
          <w:szCs w:val="22"/>
        </w:rPr>
        <w:t xml:space="preserve"> </w:t>
      </w:r>
    </w:p>
    <w:p w14:paraId="505DD517" w14:textId="77777777" w:rsidR="00F37492" w:rsidRPr="00F37492" w:rsidRDefault="00F37492" w:rsidP="000A557B">
      <w:pPr>
        <w:jc w:val="both"/>
        <w:rPr>
          <w:rFonts w:eastAsia="MS Mincho"/>
          <w:i/>
          <w:color w:val="000000" w:themeColor="text1"/>
          <w:sz w:val="22"/>
          <w:szCs w:val="22"/>
          <w:shd w:val="clear" w:color="auto" w:fill="E6E6E6"/>
          <w:lang w:val="sr-Latn-RS"/>
        </w:rPr>
      </w:pPr>
    </w:p>
    <w:p w14:paraId="3AC4BE47" w14:textId="77777777" w:rsidR="00F37492" w:rsidRPr="00205B79" w:rsidRDefault="00F37492" w:rsidP="000A557B">
      <w:pPr>
        <w:widowControl w:val="0"/>
        <w:autoSpaceDE w:val="0"/>
        <w:autoSpaceDN w:val="0"/>
        <w:adjustRightInd w:val="0"/>
        <w:jc w:val="both"/>
        <w:rPr>
          <w:i/>
          <w:color w:val="000000" w:themeColor="text1"/>
          <w:sz w:val="22"/>
          <w:szCs w:val="22"/>
          <w:u w:val="single"/>
        </w:rPr>
      </w:pPr>
      <w:r w:rsidRPr="00205B79">
        <w:rPr>
          <w:i/>
          <w:color w:val="000000" w:themeColor="text1"/>
          <w:sz w:val="22"/>
          <w:szCs w:val="22"/>
          <w:u w:val="single"/>
        </w:rPr>
        <w:t xml:space="preserve">Stariji pacijenti </w:t>
      </w:r>
    </w:p>
    <w:p w14:paraId="2576F2C4" w14:textId="579020CC" w:rsidR="00FE59C9" w:rsidRDefault="00F37492" w:rsidP="00214D6C">
      <w:pPr>
        <w:widowControl w:val="0"/>
        <w:autoSpaceDE w:val="0"/>
        <w:autoSpaceDN w:val="0"/>
        <w:adjustRightInd w:val="0"/>
        <w:jc w:val="both"/>
        <w:rPr>
          <w:sz w:val="22"/>
          <w:szCs w:val="22"/>
        </w:rPr>
      </w:pPr>
      <w:r w:rsidRPr="00F37492">
        <w:rPr>
          <w:sz w:val="22"/>
          <w:szCs w:val="22"/>
        </w:rPr>
        <w:t>Kod ukupno 29 pacijenata u studiji REACH2 i 25 pacijenata u studiji REACH3 starih &gt;</w:t>
      </w:r>
      <w:r w:rsidR="00560871">
        <w:rPr>
          <w:sz w:val="22"/>
          <w:szCs w:val="22"/>
        </w:rPr>
        <w:t xml:space="preserve"> </w:t>
      </w:r>
      <w:r w:rsidRPr="00F37492">
        <w:rPr>
          <w:sz w:val="22"/>
          <w:szCs w:val="22"/>
        </w:rPr>
        <w:t>65 godina liječenih ruksolitinibom analizirana je bezbjednost. Sveukupno, ni</w:t>
      </w:r>
      <w:r w:rsidR="00560871">
        <w:rPr>
          <w:sz w:val="22"/>
          <w:szCs w:val="22"/>
        </w:rPr>
        <w:t>je</w:t>
      </w:r>
      <w:r w:rsidRPr="00F37492">
        <w:rPr>
          <w:sz w:val="22"/>
          <w:szCs w:val="22"/>
        </w:rPr>
        <w:t>su identifikovani bezbjednosni problemi i bezbjednosni profil pacijenata starih &gt;</w:t>
      </w:r>
      <w:r w:rsidR="00560871">
        <w:rPr>
          <w:sz w:val="22"/>
          <w:szCs w:val="22"/>
        </w:rPr>
        <w:t xml:space="preserve"> </w:t>
      </w:r>
      <w:r w:rsidRPr="00F37492">
        <w:rPr>
          <w:sz w:val="22"/>
          <w:szCs w:val="22"/>
        </w:rPr>
        <w:t xml:space="preserve">65 godina je uopšteno konzistentan </w:t>
      </w:r>
      <w:proofErr w:type="gramStart"/>
      <w:r w:rsidRPr="00F37492">
        <w:rPr>
          <w:sz w:val="22"/>
          <w:szCs w:val="22"/>
        </w:rPr>
        <w:t>sa</w:t>
      </w:r>
      <w:proofErr w:type="gramEnd"/>
      <w:r w:rsidRPr="00F37492">
        <w:rPr>
          <w:sz w:val="22"/>
          <w:szCs w:val="22"/>
        </w:rPr>
        <w:t xml:space="preserve"> profilom pacijenata starosti </w:t>
      </w:r>
      <w:r w:rsidR="00A8394C">
        <w:rPr>
          <w:sz w:val="22"/>
          <w:szCs w:val="22"/>
        </w:rPr>
        <w:t xml:space="preserve">od </w:t>
      </w:r>
      <w:r w:rsidRPr="00F37492">
        <w:rPr>
          <w:sz w:val="22"/>
          <w:szCs w:val="22"/>
        </w:rPr>
        <w:t>18</w:t>
      </w:r>
      <w:r w:rsidR="00A8394C">
        <w:rPr>
          <w:sz w:val="22"/>
          <w:szCs w:val="22"/>
        </w:rPr>
        <w:t xml:space="preserve"> do </w:t>
      </w:r>
      <w:r w:rsidRPr="00F37492">
        <w:rPr>
          <w:sz w:val="22"/>
          <w:szCs w:val="22"/>
        </w:rPr>
        <w:t>65 godina.</w:t>
      </w:r>
    </w:p>
    <w:p w14:paraId="4F470C8C" w14:textId="77777777" w:rsidR="00214D6C" w:rsidRDefault="00214D6C" w:rsidP="00214D6C">
      <w:pPr>
        <w:widowControl w:val="0"/>
        <w:autoSpaceDE w:val="0"/>
        <w:autoSpaceDN w:val="0"/>
        <w:adjustRightInd w:val="0"/>
        <w:jc w:val="both"/>
        <w:rPr>
          <w:rFonts w:eastAsia="Calibri"/>
          <w:sz w:val="22"/>
          <w:szCs w:val="22"/>
          <w:u w:val="single"/>
          <w:lang w:val="sr-Latn-RS"/>
        </w:rPr>
      </w:pPr>
    </w:p>
    <w:p w14:paraId="63D969C5" w14:textId="51402923" w:rsidR="005A23D2" w:rsidRPr="00786071" w:rsidRDefault="005A23D2" w:rsidP="000A557B">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26BB93EB" w14:textId="77777777" w:rsidR="005A23D2" w:rsidRPr="00786071" w:rsidRDefault="005A23D2" w:rsidP="000A557B">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052660B0" w14:textId="77777777" w:rsidR="005A23D2" w:rsidRPr="00786071" w:rsidRDefault="004E70AD" w:rsidP="000A557B">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2C57E9E6" w14:textId="77777777" w:rsidR="005A23D2" w:rsidRPr="00786071" w:rsidRDefault="005A23D2" w:rsidP="000A557B">
      <w:pPr>
        <w:pStyle w:val="NoSpacing"/>
        <w:jc w:val="both"/>
        <w:rPr>
          <w:rFonts w:eastAsia="Calibri"/>
          <w:sz w:val="22"/>
          <w:szCs w:val="22"/>
          <w:lang w:val="sr-Latn-RS"/>
        </w:rPr>
      </w:pPr>
      <w:r w:rsidRPr="00786071">
        <w:rPr>
          <w:rFonts w:eastAsia="Calibri"/>
          <w:sz w:val="22"/>
          <w:szCs w:val="22"/>
          <w:lang w:val="sr-Latn-RS"/>
        </w:rPr>
        <w:t>Odjeljenje za farmakovigilancu</w:t>
      </w:r>
    </w:p>
    <w:p w14:paraId="43B4EB9B" w14:textId="77777777" w:rsidR="00EA5765" w:rsidRPr="00786071" w:rsidRDefault="005A23D2" w:rsidP="000A557B">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0EBF64FD" w14:textId="77777777" w:rsidR="00EA5765" w:rsidRPr="00786071" w:rsidRDefault="00EA5765" w:rsidP="000A557B">
      <w:pPr>
        <w:pStyle w:val="NoSpacing"/>
        <w:jc w:val="both"/>
        <w:rPr>
          <w:rFonts w:eastAsia="Calibri"/>
          <w:sz w:val="22"/>
          <w:szCs w:val="22"/>
          <w:lang w:val="sr-Latn-RS"/>
        </w:rPr>
      </w:pPr>
    </w:p>
    <w:p w14:paraId="5F9202EB" w14:textId="77777777" w:rsidR="005A23D2" w:rsidRPr="00786071" w:rsidRDefault="005A23D2" w:rsidP="000A557B">
      <w:pPr>
        <w:pStyle w:val="NoSpacing"/>
        <w:jc w:val="both"/>
        <w:rPr>
          <w:rFonts w:eastAsia="Calibri"/>
          <w:sz w:val="22"/>
          <w:szCs w:val="22"/>
          <w:lang w:val="sr-Latn-RS"/>
        </w:rPr>
      </w:pPr>
      <w:r w:rsidRPr="00786071">
        <w:rPr>
          <w:rFonts w:eastAsia="Calibri"/>
          <w:sz w:val="22"/>
          <w:szCs w:val="22"/>
          <w:lang w:val="sr-Latn-RS"/>
        </w:rPr>
        <w:t>tel: +382 (0) 20 310 280</w:t>
      </w:r>
    </w:p>
    <w:p w14:paraId="7F86D65F" w14:textId="77777777" w:rsidR="00EA5765" w:rsidRPr="00786071" w:rsidRDefault="005A23D2" w:rsidP="000A557B">
      <w:pPr>
        <w:pStyle w:val="NoSpacing"/>
        <w:tabs>
          <w:tab w:val="left" w:pos="6720"/>
        </w:tabs>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r w:rsidR="00FF3EDF">
        <w:rPr>
          <w:rFonts w:eastAsia="Calibri"/>
          <w:sz w:val="22"/>
          <w:szCs w:val="22"/>
          <w:lang w:val="sr-Latn-RS"/>
        </w:rPr>
        <w:tab/>
      </w:r>
    </w:p>
    <w:p w14:paraId="72DAF504" w14:textId="77777777" w:rsidR="005A23D2" w:rsidRPr="00786071" w:rsidRDefault="004F2FA3" w:rsidP="000A557B">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54F69A0E" w14:textId="77777777" w:rsidR="00EA5765" w:rsidRPr="00786071" w:rsidRDefault="004F2FA3" w:rsidP="000A557B">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1380F1D1" w14:textId="77777777" w:rsidR="005A23D2" w:rsidRDefault="005A23D2" w:rsidP="000A557B">
      <w:pPr>
        <w:pStyle w:val="NoSpacing"/>
        <w:jc w:val="both"/>
        <w:rPr>
          <w:rFonts w:eastAsia="Calibri"/>
          <w:sz w:val="22"/>
          <w:szCs w:val="22"/>
          <w:lang w:val="sr-Latn-RS"/>
        </w:rPr>
      </w:pPr>
      <w:r w:rsidRPr="00786071">
        <w:rPr>
          <w:rFonts w:eastAsia="Calibri"/>
          <w:sz w:val="22"/>
          <w:szCs w:val="22"/>
          <w:lang w:val="sr-Latn-RS"/>
        </w:rPr>
        <w:t>putem IS zdravstvene zaštite</w:t>
      </w:r>
    </w:p>
    <w:p w14:paraId="54C99386" w14:textId="77777777" w:rsidR="007E31E9" w:rsidRDefault="007E31E9" w:rsidP="000A557B">
      <w:pPr>
        <w:pStyle w:val="NoSpacing"/>
        <w:jc w:val="both"/>
        <w:rPr>
          <w:rFonts w:eastAsia="Calibri"/>
          <w:sz w:val="22"/>
          <w:szCs w:val="22"/>
          <w:lang w:val="sr-Latn-RS"/>
        </w:rPr>
      </w:pPr>
      <w:r>
        <w:rPr>
          <w:rFonts w:eastAsia="Calibri"/>
          <w:sz w:val="22"/>
          <w:szCs w:val="22"/>
          <w:lang w:val="sr-Latn-RS"/>
        </w:rPr>
        <w:t>QR kod za online prijavu</w:t>
      </w:r>
      <w:r w:rsidR="00D74CD2">
        <w:rPr>
          <w:rFonts w:eastAsia="Calibri"/>
          <w:sz w:val="22"/>
          <w:szCs w:val="22"/>
          <w:lang w:val="sr-Latn-RS"/>
        </w:rPr>
        <w:t xml:space="preserve"> sumnje na neželjeno dejstvo lijeka</w:t>
      </w:r>
      <w:r>
        <w:rPr>
          <w:rFonts w:eastAsia="Calibri"/>
          <w:sz w:val="22"/>
          <w:szCs w:val="22"/>
          <w:lang w:val="sr-Latn-RS"/>
        </w:rPr>
        <w:t>:</w:t>
      </w:r>
    </w:p>
    <w:p w14:paraId="542D6926" w14:textId="77777777" w:rsidR="007E31E9" w:rsidRDefault="007E31E9" w:rsidP="000A557B">
      <w:pPr>
        <w:pStyle w:val="NoSpacing"/>
        <w:jc w:val="both"/>
        <w:rPr>
          <w:rFonts w:eastAsia="Calibri"/>
          <w:sz w:val="22"/>
          <w:szCs w:val="22"/>
          <w:lang w:val="sr-Latn-RS"/>
        </w:rPr>
      </w:pPr>
    </w:p>
    <w:p w14:paraId="775C3C4B" w14:textId="77777777" w:rsidR="00FE59C9" w:rsidRDefault="00FE59C9" w:rsidP="000A557B">
      <w:pPr>
        <w:tabs>
          <w:tab w:val="left" w:pos="540"/>
          <w:tab w:val="left" w:pos="569"/>
        </w:tabs>
        <w:rPr>
          <w:noProof/>
        </w:rPr>
      </w:pPr>
      <w:r w:rsidRPr="007F661E">
        <w:rPr>
          <w:b/>
          <w:bCs/>
          <w:noProof/>
          <w:sz w:val="22"/>
          <w:szCs w:val="22"/>
        </w:rPr>
        <w:drawing>
          <wp:inline distT="0" distB="0" distL="0" distR="0" wp14:anchorId="25A4C865" wp14:editId="5B2D4DA6">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8DB42A8" w14:textId="77777777" w:rsidR="00836B35" w:rsidRPr="00786071" w:rsidRDefault="00836B35" w:rsidP="000A557B">
      <w:pPr>
        <w:tabs>
          <w:tab w:val="left" w:pos="540"/>
          <w:tab w:val="left" w:pos="569"/>
        </w:tabs>
        <w:rPr>
          <w:b/>
          <w:bCs/>
          <w:sz w:val="22"/>
          <w:szCs w:val="22"/>
        </w:rPr>
      </w:pPr>
    </w:p>
    <w:p w14:paraId="7E98E465" w14:textId="77777777" w:rsidR="00CD6F02" w:rsidRPr="00786071" w:rsidRDefault="0072020E" w:rsidP="000A557B">
      <w:pPr>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4A7EEDD4" w14:textId="77777777" w:rsidR="00CD6F02" w:rsidRDefault="00CD6F02" w:rsidP="000A557B">
      <w:pPr>
        <w:tabs>
          <w:tab w:val="left" w:pos="540"/>
          <w:tab w:val="left" w:pos="569"/>
        </w:tabs>
        <w:jc w:val="both"/>
        <w:rPr>
          <w:b/>
          <w:bCs/>
          <w:sz w:val="22"/>
          <w:szCs w:val="22"/>
        </w:rPr>
      </w:pPr>
    </w:p>
    <w:p w14:paraId="0A2B3E79" w14:textId="77777777" w:rsidR="00F37492" w:rsidRPr="00F37492" w:rsidRDefault="00F37492" w:rsidP="000A557B">
      <w:pPr>
        <w:keepNext/>
        <w:keepLines/>
        <w:jc w:val="both"/>
        <w:outlineLvl w:val="0"/>
        <w:rPr>
          <w:rFonts w:cs="Arial Unicode MS"/>
          <w:bCs/>
          <w:sz w:val="22"/>
          <w:szCs w:val="22"/>
          <w:lang w:val="it-IT" w:eastAsia="sr-Latn-ME"/>
        </w:rPr>
      </w:pPr>
      <w:r w:rsidRPr="00F37492">
        <w:rPr>
          <w:bCs/>
          <w:sz w:val="22"/>
          <w:szCs w:val="22"/>
          <w:lang w:val="it-IT" w:eastAsia="sr-Latn-ME"/>
        </w:rPr>
        <w:lastRenderedPageBreak/>
        <w:t>Nema poznatog antidota za predoziranje lijekom Jakavi. Pojedinačne doze od maksimalno 200 mg primijenjene akutno su prihvatljivo podnošene. Ponavljano davanje doza većih od preporučenih povezuje se sa pojačanom mijelosupresijom, uključujući leukopeniju, anemiju i trombocitopeniju. Treba primijeniti odgovarajuću suportivnu terapiju.</w:t>
      </w:r>
    </w:p>
    <w:p w14:paraId="38086519" w14:textId="77777777" w:rsidR="00F37492" w:rsidRPr="00F37492" w:rsidRDefault="00F37492" w:rsidP="000A557B">
      <w:pPr>
        <w:jc w:val="both"/>
        <w:rPr>
          <w:sz w:val="22"/>
          <w:szCs w:val="22"/>
          <w:lang w:val="it-IT" w:eastAsia="sr-Latn-CS"/>
        </w:rPr>
      </w:pPr>
    </w:p>
    <w:p w14:paraId="351B5250" w14:textId="77777777" w:rsidR="00F37492" w:rsidRPr="00F37492" w:rsidRDefault="00F37492" w:rsidP="000A557B">
      <w:pPr>
        <w:jc w:val="both"/>
        <w:rPr>
          <w:rFonts w:cs="Arial Unicode MS"/>
          <w:sz w:val="22"/>
          <w:szCs w:val="22"/>
          <w:lang w:val="it-IT" w:eastAsia="sr-Latn-ME"/>
        </w:rPr>
      </w:pPr>
      <w:r w:rsidRPr="00F37492">
        <w:rPr>
          <w:sz w:val="22"/>
          <w:szCs w:val="22"/>
          <w:lang w:val="it-IT" w:eastAsia="sr-Latn-CS"/>
        </w:rPr>
        <w:t>Ne očekuje se da hemodijaliza ubrza eliminaciju ruksolitiniba.</w:t>
      </w:r>
    </w:p>
    <w:p w14:paraId="7431A5EB" w14:textId="77777777" w:rsidR="00F37492" w:rsidRPr="00F37492" w:rsidRDefault="00F37492" w:rsidP="000A557B">
      <w:pPr>
        <w:tabs>
          <w:tab w:val="left" w:pos="540"/>
          <w:tab w:val="left" w:pos="569"/>
        </w:tabs>
        <w:jc w:val="both"/>
        <w:rPr>
          <w:b/>
          <w:bCs/>
          <w:sz w:val="22"/>
          <w:szCs w:val="22"/>
        </w:rPr>
      </w:pPr>
    </w:p>
    <w:p w14:paraId="0276B0AA" w14:textId="77777777" w:rsidR="00227BDB" w:rsidRPr="00786071" w:rsidRDefault="00227BDB" w:rsidP="000A557B">
      <w:pPr>
        <w:tabs>
          <w:tab w:val="left" w:pos="540"/>
          <w:tab w:val="left" w:pos="569"/>
        </w:tabs>
        <w:jc w:val="both"/>
        <w:rPr>
          <w:b/>
          <w:bCs/>
          <w:sz w:val="22"/>
          <w:szCs w:val="22"/>
        </w:rPr>
      </w:pPr>
    </w:p>
    <w:p w14:paraId="1E642AA6" w14:textId="77777777" w:rsidR="0072020E" w:rsidRPr="00786071" w:rsidRDefault="0072020E" w:rsidP="000A557B">
      <w:pPr>
        <w:tabs>
          <w:tab w:val="left" w:pos="540"/>
          <w:tab w:val="left" w:pos="569"/>
        </w:tabs>
        <w:jc w:val="both"/>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03C4E153" w14:textId="77777777" w:rsidR="0072020E" w:rsidRPr="00786071" w:rsidRDefault="0072020E" w:rsidP="000A557B">
      <w:pPr>
        <w:tabs>
          <w:tab w:val="left" w:pos="540"/>
          <w:tab w:val="left" w:pos="569"/>
        </w:tabs>
        <w:jc w:val="both"/>
        <w:rPr>
          <w:b/>
          <w:bCs/>
          <w:sz w:val="22"/>
          <w:szCs w:val="22"/>
        </w:rPr>
      </w:pPr>
    </w:p>
    <w:p w14:paraId="3304EE6A" w14:textId="77777777" w:rsidR="0072020E" w:rsidRDefault="0072020E" w:rsidP="000A557B">
      <w:pPr>
        <w:tabs>
          <w:tab w:val="left" w:pos="540"/>
          <w:tab w:val="left" w:pos="569"/>
        </w:tabs>
        <w:jc w:val="both"/>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23BFCCB3" w14:textId="77777777" w:rsidR="00F37492" w:rsidRDefault="00F37492" w:rsidP="000A557B">
      <w:pPr>
        <w:tabs>
          <w:tab w:val="left" w:pos="540"/>
          <w:tab w:val="left" w:pos="569"/>
        </w:tabs>
        <w:jc w:val="both"/>
        <w:rPr>
          <w:b/>
          <w:bCs/>
          <w:sz w:val="22"/>
          <w:szCs w:val="22"/>
        </w:rPr>
      </w:pPr>
    </w:p>
    <w:p w14:paraId="684C2CBB" w14:textId="078D3B35" w:rsidR="00F37492" w:rsidRPr="00F37492" w:rsidRDefault="00F37492" w:rsidP="000A557B">
      <w:pPr>
        <w:tabs>
          <w:tab w:val="left" w:pos="540"/>
          <w:tab w:val="left" w:pos="569"/>
        </w:tabs>
        <w:jc w:val="both"/>
        <w:rPr>
          <w:bCs/>
          <w:sz w:val="22"/>
          <w:szCs w:val="22"/>
        </w:rPr>
      </w:pPr>
      <w:r w:rsidRPr="00F37492">
        <w:rPr>
          <w:bCs/>
          <w:sz w:val="22"/>
          <w:szCs w:val="22"/>
        </w:rPr>
        <w:t>Farmakoterapijska grupa:</w:t>
      </w:r>
      <w:r w:rsidRPr="00F37492">
        <w:rPr>
          <w:sz w:val="22"/>
          <w:szCs w:val="22"/>
          <w:lang w:val="it-IT"/>
        </w:rPr>
        <w:t xml:space="preserve"> Antioneoplasti</w:t>
      </w:r>
      <w:r w:rsidR="00B16D8F">
        <w:rPr>
          <w:sz w:val="22"/>
          <w:szCs w:val="22"/>
          <w:lang w:val="it-IT"/>
        </w:rPr>
        <w:t>ci</w:t>
      </w:r>
      <w:r w:rsidRPr="00F37492">
        <w:rPr>
          <w:sz w:val="22"/>
          <w:szCs w:val="22"/>
          <w:lang w:val="it-IT"/>
        </w:rPr>
        <w:t>, inhibitori protein kinaze</w:t>
      </w:r>
    </w:p>
    <w:p w14:paraId="4D5CE716" w14:textId="77777777" w:rsidR="00F37492" w:rsidRPr="00F37492" w:rsidRDefault="00F37492" w:rsidP="000A557B">
      <w:pPr>
        <w:tabs>
          <w:tab w:val="left" w:pos="540"/>
          <w:tab w:val="left" w:pos="569"/>
        </w:tabs>
        <w:jc w:val="both"/>
        <w:rPr>
          <w:bCs/>
          <w:sz w:val="22"/>
          <w:szCs w:val="22"/>
        </w:rPr>
      </w:pPr>
    </w:p>
    <w:p w14:paraId="001A1914" w14:textId="77777777" w:rsidR="00F37492" w:rsidRPr="00F37492" w:rsidRDefault="00F37492" w:rsidP="000A557B">
      <w:pPr>
        <w:tabs>
          <w:tab w:val="left" w:pos="540"/>
          <w:tab w:val="left" w:pos="569"/>
        </w:tabs>
        <w:jc w:val="both"/>
        <w:rPr>
          <w:sz w:val="22"/>
          <w:szCs w:val="22"/>
        </w:rPr>
      </w:pPr>
      <w:r w:rsidRPr="00703819">
        <w:rPr>
          <w:b/>
          <w:bCs/>
          <w:sz w:val="22"/>
          <w:szCs w:val="22"/>
        </w:rPr>
        <w:t>ATC kod:</w:t>
      </w:r>
      <w:r w:rsidRPr="00F37492">
        <w:rPr>
          <w:sz w:val="22"/>
        </w:rPr>
        <w:t xml:space="preserve"> </w:t>
      </w:r>
      <w:r w:rsidRPr="00F37492">
        <w:rPr>
          <w:sz w:val="22"/>
          <w:szCs w:val="22"/>
        </w:rPr>
        <w:t>L01EJ01</w:t>
      </w:r>
    </w:p>
    <w:p w14:paraId="0440BED4" w14:textId="77777777" w:rsidR="00F37492" w:rsidRPr="00F37492" w:rsidRDefault="00F37492" w:rsidP="000A557B">
      <w:pPr>
        <w:tabs>
          <w:tab w:val="left" w:pos="540"/>
          <w:tab w:val="left" w:pos="569"/>
        </w:tabs>
        <w:jc w:val="both"/>
        <w:rPr>
          <w:bCs/>
          <w:sz w:val="22"/>
          <w:szCs w:val="22"/>
        </w:rPr>
      </w:pPr>
    </w:p>
    <w:p w14:paraId="42E58516" w14:textId="77777777" w:rsidR="00F37492" w:rsidRPr="00F37492" w:rsidRDefault="00F37492" w:rsidP="000A557B">
      <w:pPr>
        <w:jc w:val="both"/>
        <w:rPr>
          <w:rFonts w:cs="Arial Unicode MS"/>
          <w:sz w:val="22"/>
          <w:szCs w:val="22"/>
          <w:lang w:val="sr-Latn-ME" w:eastAsia="sr-Latn-ME"/>
        </w:rPr>
      </w:pPr>
      <w:r w:rsidRPr="00F37492">
        <w:rPr>
          <w:rFonts w:eastAsia="MS Mincho"/>
          <w:sz w:val="22"/>
          <w:szCs w:val="22"/>
          <w:u w:val="single"/>
          <w:shd w:val="clear" w:color="auto" w:fill="FFFFFF"/>
          <w:lang w:val="sr-Latn-ME" w:eastAsia="sr-Latn-CS"/>
        </w:rPr>
        <w:t>Mehanizam dejstva</w:t>
      </w:r>
    </w:p>
    <w:p w14:paraId="7A2F7C6F" w14:textId="5025233D" w:rsidR="00F37492" w:rsidRPr="00F37492" w:rsidRDefault="00F37492" w:rsidP="000A557B">
      <w:pPr>
        <w:jc w:val="both"/>
        <w:rPr>
          <w:sz w:val="22"/>
          <w:szCs w:val="22"/>
          <w:lang w:val="sr-Latn-ME" w:eastAsia="sr-Latn-CS"/>
        </w:rPr>
      </w:pPr>
      <w:r w:rsidRPr="00F37492">
        <w:rPr>
          <w:sz w:val="22"/>
          <w:szCs w:val="22"/>
          <w:lang w:val="sr-Latn-ME" w:eastAsia="sr-Latn-CS"/>
        </w:rPr>
        <w:t xml:space="preserve">Ruksolitinib je selektivni inhibitor Janus vezane kinaze (JAKs – </w:t>
      </w:r>
      <w:r w:rsidRPr="00F37492">
        <w:rPr>
          <w:i/>
          <w:sz w:val="22"/>
          <w:szCs w:val="22"/>
          <w:lang w:val="sr-Latn-ME" w:eastAsia="sr-Latn-CS"/>
        </w:rPr>
        <w:t>Janus Associated Kinases</w:t>
      </w:r>
      <w:r w:rsidRPr="00F37492">
        <w:rPr>
          <w:sz w:val="22"/>
          <w:szCs w:val="22"/>
          <w:lang w:val="sr-Latn-ME" w:eastAsia="sr-Latn-CS"/>
        </w:rPr>
        <w:t>) JAKl i JAK2 (IC</w:t>
      </w:r>
      <w:r w:rsidRPr="00F37492">
        <w:rPr>
          <w:sz w:val="22"/>
          <w:szCs w:val="22"/>
          <w:vertAlign w:val="subscript"/>
          <w:lang w:val="sr-Latn-ME" w:eastAsia="sr-Latn-CS"/>
        </w:rPr>
        <w:t xml:space="preserve">50 </w:t>
      </w:r>
      <w:r w:rsidRPr="00F37492">
        <w:rPr>
          <w:sz w:val="22"/>
          <w:szCs w:val="22"/>
          <w:lang w:val="sr-Latn-ME" w:eastAsia="sr-Latn-CS"/>
        </w:rPr>
        <w:t>vrijednosti od 3,3 nM za JAKl i 2,8 nM za JAK2 enzime). Oni su posrednici u signalizaciji brojnih citokina i faktora rasta koji su važni za hematopoezu i imun</w:t>
      </w:r>
      <w:r w:rsidR="00B16D8F">
        <w:rPr>
          <w:sz w:val="22"/>
          <w:szCs w:val="22"/>
          <w:lang w:val="sr-Latn-ME" w:eastAsia="sr-Latn-CS"/>
        </w:rPr>
        <w:t>ološku</w:t>
      </w:r>
      <w:r w:rsidRPr="00F37492">
        <w:rPr>
          <w:sz w:val="22"/>
          <w:szCs w:val="22"/>
          <w:lang w:val="sr-Latn-ME" w:eastAsia="sr-Latn-CS"/>
        </w:rPr>
        <w:t xml:space="preserve"> funkciju. </w:t>
      </w:r>
    </w:p>
    <w:p w14:paraId="0AC5A769" w14:textId="77777777" w:rsidR="00F37492" w:rsidRPr="00F37492" w:rsidRDefault="00F37492" w:rsidP="000A557B">
      <w:pPr>
        <w:jc w:val="both"/>
        <w:rPr>
          <w:sz w:val="22"/>
          <w:szCs w:val="22"/>
          <w:lang w:val="sr-Latn-ME" w:eastAsia="sr-Latn-CS"/>
        </w:rPr>
      </w:pPr>
    </w:p>
    <w:p w14:paraId="49804F15" w14:textId="2CF6B911" w:rsidR="00B16D8F" w:rsidRDefault="00F37492" w:rsidP="000A557B">
      <w:pPr>
        <w:jc w:val="both"/>
        <w:rPr>
          <w:sz w:val="22"/>
          <w:szCs w:val="22"/>
          <w:lang w:val="sr-Latn-ME" w:eastAsia="sr-Latn-CS"/>
        </w:rPr>
      </w:pPr>
      <w:r w:rsidRPr="00F37492">
        <w:rPr>
          <w:sz w:val="22"/>
          <w:szCs w:val="22"/>
          <w:lang w:val="sr-Latn-ME" w:eastAsia="sr-Latn-CS"/>
        </w:rPr>
        <w:t>MF i PV su mijeloproliferativne neoplazme za koje se zna da su povezan</w:t>
      </w:r>
      <w:r w:rsidR="00B16D8F">
        <w:rPr>
          <w:sz w:val="22"/>
          <w:szCs w:val="22"/>
          <w:lang w:val="sr-Latn-ME" w:eastAsia="sr-Latn-CS"/>
        </w:rPr>
        <w:t>e</w:t>
      </w:r>
      <w:r w:rsidRPr="00F37492">
        <w:rPr>
          <w:sz w:val="22"/>
          <w:szCs w:val="22"/>
          <w:lang w:val="sr-Latn-ME" w:eastAsia="sr-Latn-CS"/>
        </w:rPr>
        <w:t xml:space="preserve"> sa poremećenom signalizacijom JAKl i JAK2. Smatra se da osnova ovog poremećaja uključuje visoke nivoe citokina u cirkulaciji koji aktiviraju metabolički put JAK-STAT, mutacij</w:t>
      </w:r>
      <w:r w:rsidR="00B16D8F">
        <w:rPr>
          <w:sz w:val="22"/>
          <w:szCs w:val="22"/>
          <w:lang w:val="sr-Latn-ME" w:eastAsia="sr-Latn-CS"/>
        </w:rPr>
        <w:t>e</w:t>
      </w:r>
      <w:r w:rsidRPr="00F37492">
        <w:rPr>
          <w:sz w:val="22"/>
          <w:szCs w:val="22"/>
          <w:lang w:val="sr-Latn-ME" w:eastAsia="sr-Latn-CS"/>
        </w:rPr>
        <w:t xml:space="preserve"> za dobijanje </w:t>
      </w:r>
      <w:r w:rsidR="00B16D8F">
        <w:rPr>
          <w:sz w:val="22"/>
          <w:szCs w:val="22"/>
          <w:lang w:val="sr-Latn-ME" w:eastAsia="sr-Latn-CS"/>
        </w:rPr>
        <w:t xml:space="preserve">nove </w:t>
      </w:r>
      <w:r w:rsidRPr="00F37492">
        <w:rPr>
          <w:sz w:val="22"/>
          <w:szCs w:val="22"/>
          <w:lang w:val="sr-Latn-ME" w:eastAsia="sr-Latn-CS"/>
        </w:rPr>
        <w:t xml:space="preserve">funkcije </w:t>
      </w:r>
      <w:r w:rsidR="00B16D8F" w:rsidRPr="00B16D8F">
        <w:rPr>
          <w:sz w:val="22"/>
          <w:szCs w:val="22"/>
          <w:lang w:val="sr-Latn-ME" w:eastAsia="sr-Latn-CS"/>
        </w:rPr>
        <w:t>(engl.</w:t>
      </w:r>
      <w:r w:rsidR="00B16D8F">
        <w:rPr>
          <w:sz w:val="22"/>
          <w:szCs w:val="22"/>
          <w:lang w:val="sr-Latn-ME" w:eastAsia="sr-Latn-CS"/>
        </w:rPr>
        <w:t xml:space="preserve"> </w:t>
      </w:r>
      <w:r w:rsidR="00B16D8F" w:rsidRPr="00703819">
        <w:rPr>
          <w:i/>
          <w:sz w:val="22"/>
          <w:szCs w:val="22"/>
          <w:lang w:val="sr-Latn-ME" w:eastAsia="sr-Latn-CS"/>
        </w:rPr>
        <w:t>gain-of-function</w:t>
      </w:r>
      <w:r w:rsidR="00B16D8F" w:rsidRPr="00B16D8F">
        <w:rPr>
          <w:sz w:val="22"/>
          <w:szCs w:val="22"/>
          <w:lang w:val="sr-Latn-ME" w:eastAsia="sr-Latn-CS"/>
        </w:rPr>
        <w:t>)</w:t>
      </w:r>
      <w:r w:rsidR="00B16D8F" w:rsidRPr="00703819">
        <w:rPr>
          <w:sz w:val="22"/>
          <w:szCs w:val="22"/>
          <w:u w:val="single"/>
          <w:lang w:val="sr-Latn-ME" w:eastAsia="sr-Latn-CS"/>
        </w:rPr>
        <w:t xml:space="preserve"> </w:t>
      </w:r>
      <w:r w:rsidRPr="00F37492">
        <w:rPr>
          <w:sz w:val="22"/>
          <w:szCs w:val="22"/>
          <w:lang w:val="sr-Latn-ME" w:eastAsia="sr-Latn-CS"/>
        </w:rPr>
        <w:t xml:space="preserve">kao što je JAK2V617F i stišavanje negativnih regulatornih mehanizama. </w:t>
      </w:r>
    </w:p>
    <w:p w14:paraId="5BB42F00" w14:textId="0AB90D49" w:rsidR="00F37492" w:rsidRPr="00703819" w:rsidRDefault="00F37492" w:rsidP="000A557B">
      <w:pPr>
        <w:jc w:val="both"/>
        <w:rPr>
          <w:sz w:val="22"/>
          <w:szCs w:val="22"/>
          <w:lang w:val="sr-Latn-ME" w:eastAsia="sr-Latn-CS"/>
        </w:rPr>
      </w:pPr>
      <w:r w:rsidRPr="00F37492">
        <w:rPr>
          <w:sz w:val="22"/>
          <w:szCs w:val="22"/>
          <w:lang w:val="sr-Latn-ME" w:eastAsia="sr-Latn-CS"/>
        </w:rPr>
        <w:t xml:space="preserve">Pacijenti sa MF ispoljavaju poremećenu signalizaciju JAK nezavisno od statusa mutacije JAK2V617F. </w:t>
      </w:r>
      <w:r w:rsidRPr="00F37492">
        <w:rPr>
          <w:sz w:val="22"/>
          <w:szCs w:val="22"/>
          <w:lang w:val="it-IT" w:eastAsia="sr-Latn-CS"/>
        </w:rPr>
        <w:t>Aktivirajuće mutacije u JAK2 (V617F ili ekson 12) nalaze se kod &gt;</w:t>
      </w:r>
      <w:r w:rsidR="00B16D8F">
        <w:rPr>
          <w:sz w:val="22"/>
          <w:szCs w:val="22"/>
          <w:lang w:val="it-IT" w:eastAsia="sr-Latn-CS"/>
        </w:rPr>
        <w:t xml:space="preserve"> </w:t>
      </w:r>
      <w:r w:rsidRPr="00F37492">
        <w:rPr>
          <w:sz w:val="22"/>
          <w:szCs w:val="22"/>
          <w:lang w:val="it-IT" w:eastAsia="sr-Latn-CS"/>
        </w:rPr>
        <w:t>95% pacijenata sa PV.</w:t>
      </w:r>
    </w:p>
    <w:p w14:paraId="2A7BF442" w14:textId="77777777" w:rsidR="00F37492" w:rsidRPr="00F37492" w:rsidRDefault="00F37492" w:rsidP="000A557B">
      <w:pPr>
        <w:jc w:val="both"/>
        <w:rPr>
          <w:sz w:val="22"/>
          <w:szCs w:val="22"/>
          <w:lang w:val="it-IT" w:eastAsia="sr-Latn-CS"/>
        </w:rPr>
      </w:pPr>
    </w:p>
    <w:p w14:paraId="705658F9" w14:textId="6E76219F" w:rsidR="00F37492" w:rsidRPr="00F37492" w:rsidRDefault="00F37492" w:rsidP="000A557B">
      <w:pPr>
        <w:jc w:val="both"/>
        <w:rPr>
          <w:rFonts w:cs="Arial Unicode MS"/>
          <w:sz w:val="22"/>
          <w:szCs w:val="22"/>
          <w:lang w:val="it-IT" w:eastAsia="sr-Latn-ME"/>
        </w:rPr>
      </w:pPr>
      <w:r w:rsidRPr="00F37492">
        <w:rPr>
          <w:sz w:val="22"/>
          <w:szCs w:val="22"/>
          <w:lang w:val="it-IT" w:eastAsia="sr-Latn-CS"/>
        </w:rPr>
        <w:t>Ruksolitinib inhibira signalizaciju JAK-STAT i ćelijsku proliferaciju celularnih modela hematoloških maligniteta zavisnih od citokina, kao i Ba/F3 ćelija koje postaju nezavisne od citokina sa ekspresijom JAK2V617F mutiranog proteina, a IC</w:t>
      </w:r>
      <w:r w:rsidRPr="00F37492">
        <w:rPr>
          <w:sz w:val="22"/>
          <w:szCs w:val="22"/>
          <w:vertAlign w:val="subscript"/>
          <w:lang w:val="it-IT" w:eastAsia="sr-Latn-CS"/>
        </w:rPr>
        <w:t>50</w:t>
      </w:r>
      <w:r w:rsidRPr="00F37492">
        <w:rPr>
          <w:sz w:val="22"/>
          <w:szCs w:val="22"/>
          <w:lang w:val="it-IT" w:eastAsia="sr-Latn-CS"/>
        </w:rPr>
        <w:t xml:space="preserve"> se kreće u rasponu od 80</w:t>
      </w:r>
      <w:r w:rsidR="00A8394C">
        <w:rPr>
          <w:sz w:val="22"/>
          <w:szCs w:val="22"/>
          <w:lang w:val="it-IT" w:eastAsia="sr-Latn-CS"/>
        </w:rPr>
        <w:t xml:space="preserve"> do </w:t>
      </w:r>
      <w:r w:rsidRPr="00F37492">
        <w:rPr>
          <w:sz w:val="22"/>
          <w:szCs w:val="22"/>
          <w:lang w:val="it-IT" w:eastAsia="sr-Latn-CS"/>
        </w:rPr>
        <w:t>320 nM.</w:t>
      </w:r>
    </w:p>
    <w:p w14:paraId="3BA02FDC" w14:textId="77777777" w:rsidR="00F37492" w:rsidRPr="00F37492" w:rsidRDefault="00F37492" w:rsidP="000A557B">
      <w:pPr>
        <w:widowControl w:val="0"/>
        <w:numPr>
          <w:ilvl w:val="12"/>
          <w:numId w:val="0"/>
        </w:numPr>
        <w:jc w:val="both"/>
        <w:rPr>
          <w:iCs/>
          <w:noProof/>
          <w:sz w:val="22"/>
          <w:szCs w:val="22"/>
        </w:rPr>
      </w:pPr>
    </w:p>
    <w:p w14:paraId="0B58D7E0" w14:textId="77777777" w:rsidR="00F37492" w:rsidRPr="00F37492" w:rsidRDefault="00F37492" w:rsidP="000A557B">
      <w:pPr>
        <w:widowControl w:val="0"/>
        <w:numPr>
          <w:ilvl w:val="12"/>
          <w:numId w:val="0"/>
        </w:numPr>
        <w:jc w:val="both"/>
        <w:rPr>
          <w:iCs/>
          <w:noProof/>
          <w:sz w:val="22"/>
          <w:szCs w:val="22"/>
        </w:rPr>
      </w:pPr>
      <w:r w:rsidRPr="00F37492">
        <w:rPr>
          <w:iCs/>
          <w:noProof/>
          <w:sz w:val="22"/>
          <w:szCs w:val="22"/>
        </w:rPr>
        <w:t>JAK-STAT signalni putevi imaju ulogu u regulisanju razvoja, proliferacije i aktivacije nekoliko tipova ćelija imunskog sistema važnih za GvHD patogenezu.</w:t>
      </w:r>
    </w:p>
    <w:p w14:paraId="6A5E74C1" w14:textId="77777777" w:rsidR="00F37492" w:rsidRPr="00F37492" w:rsidRDefault="00F37492" w:rsidP="000A557B">
      <w:pPr>
        <w:jc w:val="both"/>
        <w:rPr>
          <w:sz w:val="22"/>
          <w:szCs w:val="22"/>
          <w:lang w:val="it-IT" w:eastAsia="sr-Latn-CS"/>
        </w:rPr>
      </w:pPr>
    </w:p>
    <w:p w14:paraId="44B1FBC9" w14:textId="016F39B7" w:rsidR="00F37492" w:rsidRDefault="00F37492" w:rsidP="000A557B">
      <w:pPr>
        <w:jc w:val="both"/>
        <w:rPr>
          <w:sz w:val="22"/>
          <w:szCs w:val="22"/>
          <w:u w:val="single"/>
          <w:lang w:val="it-IT" w:eastAsia="sr-Latn-CS"/>
        </w:rPr>
      </w:pPr>
      <w:r w:rsidRPr="00F37492">
        <w:rPr>
          <w:sz w:val="22"/>
          <w:szCs w:val="22"/>
          <w:u w:val="single"/>
          <w:lang w:val="it-IT" w:eastAsia="sr-Latn-CS"/>
        </w:rPr>
        <w:t>Farmakodinamska dejstva</w:t>
      </w:r>
    </w:p>
    <w:p w14:paraId="2305C573" w14:textId="77777777" w:rsidR="00B16D8F" w:rsidRPr="00F37492" w:rsidRDefault="00B16D8F" w:rsidP="000A557B">
      <w:pPr>
        <w:jc w:val="both"/>
        <w:rPr>
          <w:rFonts w:cs="Arial Unicode MS"/>
          <w:sz w:val="22"/>
          <w:szCs w:val="22"/>
          <w:u w:val="single"/>
          <w:lang w:val="it-IT" w:eastAsia="sr-Latn-ME"/>
        </w:rPr>
      </w:pPr>
    </w:p>
    <w:p w14:paraId="7B152888" w14:textId="77777777" w:rsidR="00F37492" w:rsidRPr="00F37492" w:rsidRDefault="00F37492" w:rsidP="000A557B">
      <w:pPr>
        <w:jc w:val="both"/>
        <w:rPr>
          <w:sz w:val="22"/>
          <w:szCs w:val="22"/>
          <w:lang w:val="it-IT" w:eastAsia="sr-Latn-CS"/>
        </w:rPr>
      </w:pPr>
      <w:r w:rsidRPr="00F37492">
        <w:rPr>
          <w:sz w:val="22"/>
          <w:szCs w:val="22"/>
          <w:lang w:val="it-IT" w:eastAsia="sr-Latn-CS"/>
        </w:rPr>
        <w:t xml:space="preserve">Ruksolitinib inhibira citokinom indukovanu STAT3 fosforilaciju u punoj krvi zdravih ispitanika, pacijenata sa MF i pacijenata sa PV. Ruksolitinib dovodi do maksimalne inhibicije STAT3 fosforilacije 2 sata poslije doziranja, a ona se vraća na vrijednosti blizu početnih nakon isteka 8 h i kod zdravih ispitanika i kod pacijenata sa MF, što govori da ne postoji akumulacija ni osnovnog jedinjenja, ni aktivnih metabolita. </w:t>
      </w:r>
    </w:p>
    <w:p w14:paraId="75C0D36D" w14:textId="77777777" w:rsidR="00F37492" w:rsidRPr="00F37492" w:rsidRDefault="00F37492" w:rsidP="000A557B">
      <w:pPr>
        <w:jc w:val="both"/>
        <w:rPr>
          <w:sz w:val="22"/>
          <w:szCs w:val="22"/>
          <w:lang w:val="it-IT" w:eastAsia="sr-Latn-CS"/>
        </w:rPr>
      </w:pPr>
    </w:p>
    <w:p w14:paraId="017BFDB4" w14:textId="32CFD12F" w:rsidR="00F37492" w:rsidRPr="00F37492" w:rsidRDefault="00F37492" w:rsidP="000A557B">
      <w:pPr>
        <w:jc w:val="both"/>
        <w:rPr>
          <w:sz w:val="22"/>
          <w:szCs w:val="22"/>
          <w:lang w:val="it-IT" w:eastAsia="sr-Latn-CS"/>
        </w:rPr>
      </w:pPr>
      <w:r w:rsidRPr="00F37492">
        <w:rPr>
          <w:sz w:val="22"/>
          <w:szCs w:val="22"/>
          <w:lang w:val="it-IT" w:eastAsia="sr-Latn-CS"/>
        </w:rPr>
        <w:t>Početna povećanja markera inflamacije, kao što su TNFa, IL-6 i CRP, povezanih sa konstitucionalnim simptomima, kod ispitanika sa MF smanjeni su u toku terapije ruksolitinibom. Tokom vremena pacijenti sa MF ni</w:t>
      </w:r>
      <w:r w:rsidR="00635A09">
        <w:rPr>
          <w:sz w:val="22"/>
          <w:szCs w:val="22"/>
          <w:lang w:val="it-IT" w:eastAsia="sr-Latn-CS"/>
        </w:rPr>
        <w:t>je</w:t>
      </w:r>
      <w:r w:rsidRPr="00F37492">
        <w:rPr>
          <w:sz w:val="22"/>
          <w:szCs w:val="22"/>
          <w:lang w:val="it-IT" w:eastAsia="sr-Latn-CS"/>
        </w:rPr>
        <w:t>su postali refraktorni na farmakodinamska dejstva terapije ruksolitinibom. Slično tome, pacijenti sa PV su takođe imali početna povećanja markera inflamacije i koji su smanjeni u toku terapije ruksolitinibom.</w:t>
      </w:r>
    </w:p>
    <w:p w14:paraId="0CC094AC" w14:textId="77777777" w:rsidR="00F37492" w:rsidRPr="00F37492" w:rsidRDefault="00F37492" w:rsidP="000A557B">
      <w:pPr>
        <w:jc w:val="both"/>
        <w:rPr>
          <w:rFonts w:cs="Arial Unicode MS"/>
          <w:sz w:val="22"/>
          <w:szCs w:val="22"/>
          <w:lang w:val="it-IT" w:eastAsia="sr-Latn-ME"/>
        </w:rPr>
      </w:pPr>
    </w:p>
    <w:p w14:paraId="53143964" w14:textId="1026903A" w:rsidR="00F37492" w:rsidRPr="00F37492" w:rsidRDefault="00F37492" w:rsidP="000A557B">
      <w:pPr>
        <w:jc w:val="both"/>
        <w:rPr>
          <w:rFonts w:cs="Arial Unicode MS"/>
          <w:sz w:val="22"/>
          <w:szCs w:val="22"/>
          <w:lang w:val="it-IT" w:eastAsia="sr-Latn-ME"/>
        </w:rPr>
      </w:pPr>
      <w:r w:rsidRPr="00F37492">
        <w:rPr>
          <w:sz w:val="22"/>
          <w:szCs w:val="22"/>
          <w:lang w:val="it-IT" w:eastAsia="sr-Latn-CS"/>
        </w:rPr>
        <w:t xml:space="preserve">U </w:t>
      </w:r>
      <w:r w:rsidR="00635A09">
        <w:rPr>
          <w:sz w:val="22"/>
          <w:szCs w:val="22"/>
          <w:lang w:val="it-IT" w:eastAsia="sr-Latn-CS"/>
        </w:rPr>
        <w:t xml:space="preserve">pivotalnoj </w:t>
      </w:r>
      <w:r w:rsidRPr="00F37492">
        <w:rPr>
          <w:sz w:val="22"/>
          <w:szCs w:val="22"/>
          <w:lang w:val="it-IT" w:eastAsia="sr-Latn-CS"/>
        </w:rPr>
        <w:t>studiji QT intervala kod zdravih ispitanika, nije bilo naznaka dejstva ruksolitiniba na produžavanje QT/QTc kada su davane pojedinačne doze veće od terapijskih (200 mg), što govori da ruksolitinib ne djeluje na repolarizaciju srca.</w:t>
      </w:r>
    </w:p>
    <w:p w14:paraId="49EA8B6E" w14:textId="77777777" w:rsidR="00F37492" w:rsidRPr="00F37492" w:rsidRDefault="00F37492" w:rsidP="000A557B">
      <w:pPr>
        <w:jc w:val="both"/>
        <w:rPr>
          <w:rFonts w:eastAsia="MS Mincho"/>
          <w:sz w:val="22"/>
          <w:szCs w:val="22"/>
          <w:u w:val="single"/>
          <w:shd w:val="clear" w:color="auto" w:fill="FFFFFF"/>
          <w:lang w:val="it-IT" w:eastAsia="sr-Latn-CS"/>
        </w:rPr>
      </w:pPr>
    </w:p>
    <w:p w14:paraId="45F3D1E1" w14:textId="77777777" w:rsidR="00F37492" w:rsidRPr="00F37492" w:rsidRDefault="00F37492" w:rsidP="000A557B">
      <w:pPr>
        <w:jc w:val="both"/>
        <w:rPr>
          <w:rFonts w:eastAsia="MS Mincho"/>
          <w:sz w:val="22"/>
          <w:szCs w:val="22"/>
          <w:u w:val="single"/>
          <w:shd w:val="clear" w:color="auto" w:fill="FFFFFF"/>
          <w:lang w:val="it-IT" w:eastAsia="sr-Latn-CS"/>
        </w:rPr>
      </w:pPr>
      <w:r w:rsidRPr="00F37492">
        <w:rPr>
          <w:rFonts w:eastAsia="MS Mincho"/>
          <w:sz w:val="22"/>
          <w:szCs w:val="22"/>
          <w:u w:val="single"/>
          <w:shd w:val="clear" w:color="auto" w:fill="FFFFFF"/>
          <w:lang w:val="it-IT" w:eastAsia="sr-Latn-CS"/>
        </w:rPr>
        <w:t>Klinička efikasnost i bezbjednost</w:t>
      </w:r>
    </w:p>
    <w:p w14:paraId="35C77330" w14:textId="77777777" w:rsidR="00F37492" w:rsidRPr="00F37492" w:rsidRDefault="00F37492" w:rsidP="000A557B">
      <w:pPr>
        <w:jc w:val="both"/>
        <w:rPr>
          <w:rFonts w:cs="Arial Unicode MS"/>
          <w:sz w:val="22"/>
          <w:szCs w:val="22"/>
          <w:lang w:val="it-IT" w:eastAsia="sr-Latn-ME"/>
        </w:rPr>
      </w:pPr>
    </w:p>
    <w:p w14:paraId="3F9AD918" w14:textId="77777777" w:rsidR="00F37492" w:rsidRPr="00F37492" w:rsidRDefault="00F37492" w:rsidP="000A557B">
      <w:pPr>
        <w:jc w:val="both"/>
        <w:rPr>
          <w:rFonts w:cs="Arial Unicode MS"/>
          <w:i/>
          <w:sz w:val="22"/>
          <w:szCs w:val="22"/>
          <w:lang w:val="it-IT" w:eastAsia="sr-Latn-ME"/>
        </w:rPr>
      </w:pPr>
      <w:r w:rsidRPr="00F37492">
        <w:rPr>
          <w:rFonts w:eastAsia="MS Mincho"/>
          <w:i/>
          <w:sz w:val="22"/>
          <w:szCs w:val="22"/>
          <w:u w:val="single"/>
          <w:shd w:val="clear" w:color="auto" w:fill="FFFFFF"/>
          <w:lang w:val="it-IT" w:eastAsia="sr-Latn-CS"/>
        </w:rPr>
        <w:t>Mijelofibroza</w:t>
      </w:r>
    </w:p>
    <w:p w14:paraId="328753B3" w14:textId="38F6A6C2" w:rsidR="00F37492" w:rsidRPr="00F37492" w:rsidRDefault="00F37492" w:rsidP="000A557B">
      <w:pPr>
        <w:jc w:val="both"/>
        <w:rPr>
          <w:rFonts w:cs="Arial Unicode MS"/>
          <w:sz w:val="22"/>
          <w:szCs w:val="22"/>
          <w:lang w:val="it-IT" w:eastAsia="sr-Latn-ME"/>
        </w:rPr>
      </w:pPr>
      <w:r w:rsidRPr="00F37492">
        <w:rPr>
          <w:sz w:val="22"/>
          <w:szCs w:val="22"/>
          <w:lang w:val="it-IT" w:eastAsia="sr-Latn-CS"/>
        </w:rPr>
        <w:lastRenderedPageBreak/>
        <w:t>Sprovedene su dvije randomizovane kliničke studije faze 3 (COMFORT-I i COMFORT-II) kod pacijenata sa MF (primarna MF, MF poslije policitemije vere ili MF poslije esencijalne trombocitemije). U obje ove studije, pacijenti su imali palpabilnu splenomegaliju najmanje 5 cm ispod rebarnog luka i  pripadali su srednjoj-2 ili kategoriji visokog rizika na osnovu usaglašenih kriterijuma međunarodne radne grupe (</w:t>
      </w:r>
      <w:r w:rsidR="00635A09">
        <w:rPr>
          <w:sz w:val="22"/>
          <w:szCs w:val="22"/>
          <w:lang w:val="it-IT" w:eastAsia="sr-Latn-CS"/>
        </w:rPr>
        <w:t xml:space="preserve">engl. </w:t>
      </w:r>
      <w:r w:rsidRPr="00F37492">
        <w:rPr>
          <w:i/>
          <w:sz w:val="22"/>
          <w:szCs w:val="22"/>
          <w:lang w:val="it-IT" w:eastAsia="sr-Latn-CS"/>
        </w:rPr>
        <w:t>International Working Group Consensus Criteria</w:t>
      </w:r>
      <w:r w:rsidRPr="00F37492">
        <w:rPr>
          <w:sz w:val="22"/>
          <w:szCs w:val="22"/>
          <w:lang w:val="it-IT" w:eastAsia="sr-Latn-CS"/>
        </w:rPr>
        <w:t xml:space="preserve">). Početna doza lijeka Jakavi bazirala se na broju trombocita. </w:t>
      </w:r>
      <w:r w:rsidRPr="00F37492">
        <w:rPr>
          <w:sz w:val="22"/>
          <w:szCs w:val="22"/>
          <w:lang w:val="sr-Latn-ME" w:eastAsia="sr-Latn-CS"/>
        </w:rPr>
        <w:t xml:space="preserve">Pacijenti sa brojem trombocita </w:t>
      </w:r>
      <w:r w:rsidRPr="00F37492">
        <w:rPr>
          <w:sz w:val="22"/>
          <w:szCs w:val="22"/>
          <w:lang w:val="sr-Latn-ME" w:eastAsia="sr-Latn-ME"/>
        </w:rPr>
        <w:t>≤</w:t>
      </w:r>
      <w:r w:rsidR="00635A09">
        <w:rPr>
          <w:sz w:val="22"/>
          <w:szCs w:val="22"/>
          <w:lang w:val="sr-Latn-ME" w:eastAsia="sr-Latn-ME"/>
        </w:rPr>
        <w:t xml:space="preserve"> </w:t>
      </w:r>
      <w:r w:rsidRPr="00F37492">
        <w:rPr>
          <w:sz w:val="22"/>
          <w:szCs w:val="22"/>
          <w:lang w:val="sr-Latn-ME" w:eastAsia="sr-Latn-ME"/>
        </w:rPr>
        <w:t>100,000/mm</w:t>
      </w:r>
      <w:r w:rsidRPr="00F37492">
        <w:rPr>
          <w:sz w:val="22"/>
          <w:szCs w:val="22"/>
          <w:vertAlign w:val="superscript"/>
          <w:lang w:val="sr-Latn-ME" w:eastAsia="sr-Latn-ME"/>
        </w:rPr>
        <w:t>3</w:t>
      </w:r>
      <w:r w:rsidRPr="00F37492">
        <w:rPr>
          <w:sz w:val="22"/>
          <w:szCs w:val="22"/>
          <w:lang w:val="sr-Latn-ME" w:eastAsia="sr-Latn-ME"/>
        </w:rPr>
        <w:t xml:space="preserve"> ni</w:t>
      </w:r>
      <w:r w:rsidR="00635A09">
        <w:rPr>
          <w:sz w:val="22"/>
          <w:szCs w:val="22"/>
          <w:lang w:val="sr-Latn-ME" w:eastAsia="sr-Latn-ME"/>
        </w:rPr>
        <w:t>je</w:t>
      </w:r>
      <w:r w:rsidRPr="00F37492">
        <w:rPr>
          <w:sz w:val="22"/>
          <w:szCs w:val="22"/>
          <w:lang w:val="sr-Latn-ME" w:eastAsia="sr-Latn-ME"/>
        </w:rPr>
        <w:t>su bili podobni za uključivanje u COMFORT studiju, ali je 69 pacijenata bilo uključeno u EXPAND studiju, faze Ib, otvorenu studiju određivanja doze koda pacijenata sa MF (primarna MF, MF nakon policitemije vere ili MF nakon esencijalne trombocitemije) i početnim brojem trombocita između ≥</w:t>
      </w:r>
      <w:r w:rsidR="00635A09">
        <w:rPr>
          <w:sz w:val="22"/>
          <w:szCs w:val="22"/>
          <w:lang w:val="sr-Latn-ME" w:eastAsia="sr-Latn-ME"/>
        </w:rPr>
        <w:t xml:space="preserve"> </w:t>
      </w:r>
      <w:r w:rsidRPr="00F37492">
        <w:rPr>
          <w:sz w:val="22"/>
          <w:szCs w:val="22"/>
          <w:lang w:val="sr-Latn-ME" w:eastAsia="sr-Latn-ME"/>
        </w:rPr>
        <w:t>50,000 i &lt;</w:t>
      </w:r>
      <w:r w:rsidR="00635A09">
        <w:rPr>
          <w:sz w:val="22"/>
          <w:szCs w:val="22"/>
          <w:lang w:val="sr-Latn-ME" w:eastAsia="sr-Latn-ME"/>
        </w:rPr>
        <w:t xml:space="preserve"> </w:t>
      </w:r>
      <w:r w:rsidRPr="00F37492">
        <w:rPr>
          <w:sz w:val="22"/>
          <w:szCs w:val="22"/>
          <w:lang w:val="sr-Latn-ME" w:eastAsia="sr-Latn-ME"/>
        </w:rPr>
        <w:t>100</w:t>
      </w:r>
      <w:r w:rsidR="00635A09">
        <w:rPr>
          <w:sz w:val="22"/>
          <w:szCs w:val="22"/>
          <w:lang w:val="sr-Latn-ME" w:eastAsia="sr-Latn-ME"/>
        </w:rPr>
        <w:t xml:space="preserve"> </w:t>
      </w:r>
      <w:r w:rsidRPr="00F37492">
        <w:rPr>
          <w:sz w:val="22"/>
          <w:szCs w:val="22"/>
          <w:lang w:val="sr-Latn-ME" w:eastAsia="sr-Latn-ME"/>
        </w:rPr>
        <w:t>000/mm</w:t>
      </w:r>
      <w:r w:rsidRPr="00F37492">
        <w:rPr>
          <w:sz w:val="22"/>
          <w:szCs w:val="22"/>
          <w:vertAlign w:val="superscript"/>
          <w:lang w:val="sr-Latn-ME" w:eastAsia="sr-Latn-ME"/>
        </w:rPr>
        <w:t>3</w:t>
      </w:r>
      <w:r w:rsidRPr="00F37492">
        <w:rPr>
          <w:sz w:val="22"/>
          <w:szCs w:val="22"/>
          <w:lang w:val="sr-Latn-ME" w:eastAsia="sr-Latn-ME"/>
        </w:rPr>
        <w:t>.</w:t>
      </w:r>
    </w:p>
    <w:p w14:paraId="0CA2B5AC" w14:textId="77777777" w:rsidR="00F37492" w:rsidRPr="00F37492" w:rsidRDefault="00F37492" w:rsidP="000A557B">
      <w:pPr>
        <w:jc w:val="both"/>
        <w:rPr>
          <w:sz w:val="22"/>
          <w:szCs w:val="22"/>
          <w:lang w:val="it-IT" w:eastAsia="sr-Latn-CS"/>
        </w:rPr>
      </w:pPr>
    </w:p>
    <w:p w14:paraId="59205170" w14:textId="18AB23F3" w:rsidR="00F37492" w:rsidRPr="00F37492" w:rsidRDefault="00F37492" w:rsidP="000A557B">
      <w:pPr>
        <w:jc w:val="both"/>
        <w:rPr>
          <w:rFonts w:cs="Arial Unicode MS"/>
          <w:sz w:val="22"/>
          <w:szCs w:val="22"/>
          <w:lang w:val="it-IT" w:eastAsia="sr-Latn-ME"/>
        </w:rPr>
      </w:pPr>
      <w:r w:rsidRPr="00F37492">
        <w:rPr>
          <w:sz w:val="22"/>
          <w:szCs w:val="22"/>
          <w:lang w:val="it-IT" w:eastAsia="sr-Latn-CS"/>
        </w:rPr>
        <w:t>COMFORT-I je bila dvostruko slijepa, randomizovana, placebo</w:t>
      </w:r>
      <w:r w:rsidR="00635A09">
        <w:rPr>
          <w:sz w:val="22"/>
          <w:szCs w:val="22"/>
          <w:lang w:val="it-IT" w:eastAsia="sr-Latn-CS"/>
        </w:rPr>
        <w:t>m</w:t>
      </w:r>
      <w:r w:rsidRPr="00F37492">
        <w:rPr>
          <w:sz w:val="22"/>
          <w:szCs w:val="22"/>
          <w:lang w:val="it-IT" w:eastAsia="sr-Latn-CS"/>
        </w:rPr>
        <w:t xml:space="preserve"> kontrolisana studija sa 309 pacijenata koji su bili refraktorni na raspoloživu terapiju, ili ni</w:t>
      </w:r>
      <w:r w:rsidR="00635A09">
        <w:rPr>
          <w:sz w:val="22"/>
          <w:szCs w:val="22"/>
          <w:lang w:val="it-IT" w:eastAsia="sr-Latn-CS"/>
        </w:rPr>
        <w:t>je</w:t>
      </w:r>
      <w:r w:rsidRPr="00F37492">
        <w:rPr>
          <w:sz w:val="22"/>
          <w:szCs w:val="22"/>
          <w:lang w:val="it-IT" w:eastAsia="sr-Latn-CS"/>
        </w:rPr>
        <w:t>su bili kandidati za raspoloživu terapiju. Primarni parametar efikasnosti bila je proporcija ispitanika koji su u 24. nedjelji dostigli za ≥</w:t>
      </w:r>
      <w:r w:rsidR="00635A09">
        <w:rPr>
          <w:sz w:val="22"/>
          <w:szCs w:val="22"/>
          <w:lang w:val="it-IT" w:eastAsia="sr-Latn-CS"/>
        </w:rPr>
        <w:t xml:space="preserve"> </w:t>
      </w:r>
      <w:r w:rsidRPr="00F37492">
        <w:rPr>
          <w:sz w:val="22"/>
          <w:szCs w:val="22"/>
          <w:lang w:val="it-IT" w:eastAsia="sr-Latn-CS"/>
        </w:rPr>
        <w:t>35% smanjenje zapremine slezine od početne veličine, mjereno magnetnom rezonancom (MRI) ili kompjuterizovanom tomografijom (CT).</w:t>
      </w:r>
    </w:p>
    <w:p w14:paraId="47E11A3E" w14:textId="77777777" w:rsidR="00F37492" w:rsidRPr="00F37492" w:rsidRDefault="00F37492" w:rsidP="000A557B">
      <w:pPr>
        <w:jc w:val="both"/>
        <w:rPr>
          <w:sz w:val="22"/>
          <w:szCs w:val="22"/>
          <w:lang w:val="it-IT" w:eastAsia="sr-Latn-CS"/>
        </w:rPr>
      </w:pPr>
    </w:p>
    <w:p w14:paraId="21B88D39" w14:textId="6968457A" w:rsidR="00F37492" w:rsidRPr="00F37492" w:rsidRDefault="00F37492" w:rsidP="000A557B">
      <w:pPr>
        <w:jc w:val="both"/>
        <w:rPr>
          <w:rFonts w:cs="Arial Unicode MS"/>
          <w:sz w:val="22"/>
          <w:szCs w:val="22"/>
          <w:lang w:val="it-IT" w:eastAsia="sr-Latn-ME"/>
        </w:rPr>
      </w:pPr>
      <w:r w:rsidRPr="00F37492">
        <w:rPr>
          <w:sz w:val="22"/>
          <w:szCs w:val="22"/>
          <w:lang w:val="it-IT" w:eastAsia="sr-Latn-CS"/>
        </w:rPr>
        <w:t>Sekundarni parametari uključivali su dužinu održavanja smanjenja zapremine slezine u odnosu na početnu vrijednost za ≥</w:t>
      </w:r>
      <w:r w:rsidR="00635A09">
        <w:rPr>
          <w:sz w:val="22"/>
          <w:szCs w:val="22"/>
          <w:lang w:val="it-IT" w:eastAsia="sr-Latn-CS"/>
        </w:rPr>
        <w:t xml:space="preserve"> </w:t>
      </w:r>
      <w:r w:rsidRPr="00F37492">
        <w:rPr>
          <w:sz w:val="22"/>
          <w:szCs w:val="22"/>
          <w:lang w:val="it-IT" w:eastAsia="sr-Latn-CS"/>
        </w:rPr>
        <w:t>35%, procenat pacijenata koji su postigli smanjenje ukupnog skora simptoma za ≥</w:t>
      </w:r>
      <w:r w:rsidR="00635A09">
        <w:rPr>
          <w:sz w:val="22"/>
          <w:szCs w:val="22"/>
          <w:lang w:val="it-IT" w:eastAsia="sr-Latn-CS"/>
        </w:rPr>
        <w:t xml:space="preserve"> </w:t>
      </w:r>
      <w:r w:rsidRPr="00F37492">
        <w:rPr>
          <w:sz w:val="22"/>
          <w:szCs w:val="22"/>
          <w:lang w:val="it-IT" w:eastAsia="sr-Latn-CS"/>
        </w:rPr>
        <w:t>50%, prom</w:t>
      </w:r>
      <w:r w:rsidR="00635A09">
        <w:rPr>
          <w:sz w:val="22"/>
          <w:szCs w:val="22"/>
          <w:lang w:val="it-IT" w:eastAsia="sr-Latn-CS"/>
        </w:rPr>
        <w:t>j</w:t>
      </w:r>
      <w:r w:rsidRPr="00F37492">
        <w:rPr>
          <w:sz w:val="22"/>
          <w:szCs w:val="22"/>
          <w:lang w:val="it-IT" w:eastAsia="sr-Latn-CS"/>
        </w:rPr>
        <w:t xml:space="preserve">enu u ukupnom skoru simptoma u odnosu na početne simptome do 24. nedjelje mjereno modifikovanim dnevnikom za procjenu simptoma mijelofibroze (MFSAF- </w:t>
      </w:r>
      <w:r w:rsidRPr="00F37492">
        <w:rPr>
          <w:i/>
          <w:sz w:val="22"/>
          <w:szCs w:val="22"/>
          <w:lang w:val="it-IT" w:eastAsia="sr-Latn-CS"/>
        </w:rPr>
        <w:t>Myelofibrosis Symptom Assesment Form</w:t>
      </w:r>
      <w:r w:rsidRPr="00F37492">
        <w:rPr>
          <w:sz w:val="22"/>
          <w:szCs w:val="22"/>
          <w:lang w:val="it-IT" w:eastAsia="sr-Latn-CS"/>
        </w:rPr>
        <w:t>) v2.0, i sveukupno preživljavanje.</w:t>
      </w:r>
    </w:p>
    <w:p w14:paraId="400E8F3C" w14:textId="77777777" w:rsidR="00F37492" w:rsidRPr="00F37492" w:rsidRDefault="00F37492" w:rsidP="000A557B">
      <w:pPr>
        <w:jc w:val="both"/>
        <w:rPr>
          <w:sz w:val="22"/>
          <w:szCs w:val="22"/>
          <w:lang w:val="it-IT" w:eastAsia="sr-Latn-CS"/>
        </w:rPr>
      </w:pPr>
    </w:p>
    <w:p w14:paraId="0999CE3C" w14:textId="37BB421B" w:rsidR="00F37492" w:rsidRPr="00F37492" w:rsidRDefault="00F37492" w:rsidP="000A557B">
      <w:pPr>
        <w:jc w:val="both"/>
        <w:rPr>
          <w:rFonts w:cs="Arial Unicode MS"/>
          <w:sz w:val="22"/>
          <w:szCs w:val="22"/>
          <w:lang w:val="it-IT" w:eastAsia="sr-Latn-ME"/>
        </w:rPr>
      </w:pPr>
      <w:r w:rsidRPr="00F37492">
        <w:rPr>
          <w:sz w:val="22"/>
          <w:szCs w:val="22"/>
          <w:lang w:val="it-IT" w:eastAsia="sr-Latn-CS"/>
        </w:rPr>
        <w:t xml:space="preserve">COMFORT-II je bila otvorena randomizovana studija sa 219 pacijenata. Pacijenti su bili randomizovani </w:t>
      </w:r>
      <w:r w:rsidR="00FA4DDD">
        <w:rPr>
          <w:sz w:val="22"/>
          <w:szCs w:val="22"/>
          <w:lang w:val="it-IT" w:eastAsia="sr-Latn-CS"/>
        </w:rPr>
        <w:t xml:space="preserve">u odnosu </w:t>
      </w:r>
      <w:r w:rsidRPr="00F37492">
        <w:rPr>
          <w:sz w:val="22"/>
          <w:szCs w:val="22"/>
          <w:lang w:val="it-IT" w:eastAsia="sr-Latn-CS"/>
        </w:rPr>
        <w:t>2:1, grupa sa ruksolitinibom u odnosu na najbolju dostupnu terapiju. U grupi koja je primala najbolju raspoloživu terapiju, 47% pacijenata primalo je hidroksiureu i 16% pacijenata je primalo glukokortikoide. Primarni parametar efikasnosti bio je procenat pacijenata koji su postigli smanjenje zapremine slezine za ≥</w:t>
      </w:r>
      <w:r w:rsidR="00FA4DDD">
        <w:rPr>
          <w:sz w:val="22"/>
          <w:szCs w:val="22"/>
          <w:lang w:val="it-IT" w:eastAsia="sr-Latn-CS"/>
        </w:rPr>
        <w:t xml:space="preserve"> </w:t>
      </w:r>
      <w:r w:rsidRPr="00F37492">
        <w:rPr>
          <w:sz w:val="22"/>
          <w:szCs w:val="22"/>
          <w:lang w:val="it-IT" w:eastAsia="sr-Latn-CS"/>
        </w:rPr>
        <w:t>35% od početne veličine u 48. nedjelji, mjereno pomoću MRI ili CT.</w:t>
      </w:r>
    </w:p>
    <w:p w14:paraId="6C899AAD" w14:textId="77777777" w:rsidR="00F37492" w:rsidRPr="00F37492" w:rsidRDefault="00F37492" w:rsidP="000A557B">
      <w:pPr>
        <w:jc w:val="both"/>
        <w:rPr>
          <w:sz w:val="22"/>
          <w:szCs w:val="22"/>
          <w:lang w:val="it-IT" w:eastAsia="sr-Latn-CS"/>
        </w:rPr>
      </w:pPr>
    </w:p>
    <w:p w14:paraId="75FFD89A" w14:textId="7C64B897" w:rsidR="00F37492" w:rsidRPr="00F37492" w:rsidRDefault="00F37492" w:rsidP="000A557B">
      <w:pPr>
        <w:jc w:val="both"/>
        <w:rPr>
          <w:sz w:val="22"/>
          <w:szCs w:val="22"/>
          <w:lang w:val="it-IT" w:eastAsia="sr-Latn-CS"/>
        </w:rPr>
      </w:pPr>
      <w:r w:rsidRPr="00F37492">
        <w:rPr>
          <w:sz w:val="22"/>
          <w:szCs w:val="22"/>
          <w:lang w:val="it-IT" w:eastAsia="sr-Latn-CS"/>
        </w:rPr>
        <w:t>Sekundarni parametri su uključivali procenat pacijenata koji su postigli ≥</w:t>
      </w:r>
      <w:r w:rsidR="00FA4DDD">
        <w:rPr>
          <w:sz w:val="22"/>
          <w:szCs w:val="22"/>
          <w:lang w:val="it-IT" w:eastAsia="sr-Latn-CS"/>
        </w:rPr>
        <w:t xml:space="preserve"> </w:t>
      </w:r>
      <w:r w:rsidRPr="00F37492">
        <w:rPr>
          <w:sz w:val="22"/>
          <w:szCs w:val="22"/>
          <w:lang w:val="it-IT" w:eastAsia="sr-Latn-CS"/>
        </w:rPr>
        <w:t>35% smanjenje zapremine slezine od početne veličine do 24. nedjelje i trajanje održavanja ovog smanjenja za ≥</w:t>
      </w:r>
      <w:r w:rsidR="00FA4DDD">
        <w:rPr>
          <w:sz w:val="22"/>
          <w:szCs w:val="22"/>
          <w:lang w:val="it-IT" w:eastAsia="sr-Latn-CS"/>
        </w:rPr>
        <w:t xml:space="preserve"> </w:t>
      </w:r>
      <w:r w:rsidRPr="00F37492">
        <w:rPr>
          <w:sz w:val="22"/>
          <w:szCs w:val="22"/>
          <w:lang w:val="it-IT" w:eastAsia="sr-Latn-CS"/>
        </w:rPr>
        <w:t>35% u odnosu na početnu veličinu zapremine slezine.</w:t>
      </w:r>
    </w:p>
    <w:p w14:paraId="73259297" w14:textId="77777777" w:rsidR="00F37492" w:rsidRPr="00F37492" w:rsidRDefault="00F37492" w:rsidP="000A557B">
      <w:pPr>
        <w:jc w:val="both"/>
        <w:rPr>
          <w:sz w:val="22"/>
          <w:szCs w:val="22"/>
          <w:lang w:val="it-IT" w:eastAsia="sr-Latn-CS"/>
        </w:rPr>
      </w:pPr>
    </w:p>
    <w:p w14:paraId="0375946F" w14:textId="77777777" w:rsidR="00F37492" w:rsidRPr="00F37492" w:rsidRDefault="00F37492" w:rsidP="000A557B">
      <w:pPr>
        <w:jc w:val="both"/>
        <w:rPr>
          <w:sz w:val="22"/>
          <w:szCs w:val="22"/>
          <w:lang w:val="it-IT" w:eastAsia="sr-Latn-CS"/>
        </w:rPr>
      </w:pPr>
      <w:r w:rsidRPr="00F37492">
        <w:rPr>
          <w:sz w:val="22"/>
          <w:szCs w:val="22"/>
          <w:lang w:val="it-IT" w:eastAsia="sr-Latn-CS"/>
        </w:rPr>
        <w:t>U studijama COMFORT-I i COMFORT-II, demografske karakteristike i karakteristike bolesti bile su uporedive u svim terapijskim grupama.</w:t>
      </w:r>
    </w:p>
    <w:p w14:paraId="50CC1740" w14:textId="77777777" w:rsidR="00F37492" w:rsidRPr="00F37492" w:rsidRDefault="00F37492" w:rsidP="000A557B">
      <w:pPr>
        <w:jc w:val="both"/>
        <w:rPr>
          <w:sz w:val="22"/>
          <w:szCs w:val="22"/>
          <w:lang w:val="it-IT" w:eastAsia="sr-Latn-CS"/>
        </w:rPr>
      </w:pPr>
    </w:p>
    <w:p w14:paraId="40A4E38B" w14:textId="31A4109E" w:rsidR="00F37492" w:rsidRPr="00F37492" w:rsidRDefault="00F37492" w:rsidP="000A557B">
      <w:pPr>
        <w:jc w:val="center"/>
        <w:rPr>
          <w:rFonts w:cs="Arial Unicode MS"/>
          <w:b/>
          <w:bCs/>
          <w:sz w:val="22"/>
          <w:szCs w:val="22"/>
          <w:lang w:val="it-IT" w:eastAsia="sr-Latn-ME"/>
        </w:rPr>
      </w:pPr>
      <w:r w:rsidRPr="00F37492">
        <w:rPr>
          <w:b/>
          <w:bCs/>
          <w:sz w:val="22"/>
          <w:szCs w:val="22"/>
          <w:lang w:val="it-IT" w:eastAsia="sr-Latn-CS"/>
        </w:rPr>
        <w:t xml:space="preserve">Tabela </w:t>
      </w:r>
      <w:r w:rsidR="00A8394C">
        <w:rPr>
          <w:b/>
          <w:bCs/>
          <w:sz w:val="22"/>
          <w:szCs w:val="22"/>
          <w:lang w:val="it-IT" w:eastAsia="sr-Latn-CS"/>
        </w:rPr>
        <w:t>8</w:t>
      </w:r>
      <w:r w:rsidR="00FA4DDD">
        <w:rPr>
          <w:b/>
          <w:bCs/>
          <w:sz w:val="22"/>
          <w:szCs w:val="22"/>
          <w:lang w:val="it-IT" w:eastAsia="sr-Latn-CS"/>
        </w:rPr>
        <w:t xml:space="preserve"> </w:t>
      </w:r>
      <w:r w:rsidRPr="00F37492">
        <w:rPr>
          <w:b/>
          <w:bCs/>
          <w:sz w:val="22"/>
          <w:szCs w:val="22"/>
          <w:lang w:val="it-IT" w:eastAsia="sr-Latn-CS"/>
        </w:rPr>
        <w:t xml:space="preserve"> Procenat pacijenata </w:t>
      </w:r>
      <w:r w:rsidRPr="00F37492">
        <w:rPr>
          <w:rFonts w:cs="Arial Unicode MS"/>
          <w:b/>
          <w:bCs/>
          <w:sz w:val="22"/>
          <w:szCs w:val="22"/>
          <w:lang w:val="it-IT" w:eastAsia="sr-Latn-ME"/>
        </w:rPr>
        <w:t xml:space="preserve">sa smanjenjem zapremine slezine </w:t>
      </w:r>
      <w:r w:rsidRPr="00F37492">
        <w:rPr>
          <w:b/>
          <w:bCs/>
          <w:sz w:val="22"/>
          <w:szCs w:val="22"/>
          <w:lang w:val="it-IT" w:eastAsia="sr-Latn-CS"/>
        </w:rPr>
        <w:t>za ≥</w:t>
      </w:r>
      <w:r w:rsidR="00FA4DDD">
        <w:rPr>
          <w:b/>
          <w:bCs/>
          <w:sz w:val="22"/>
          <w:szCs w:val="22"/>
          <w:lang w:val="it-IT" w:eastAsia="sr-Latn-CS"/>
        </w:rPr>
        <w:t xml:space="preserve"> </w:t>
      </w:r>
      <w:r w:rsidRPr="00F37492">
        <w:rPr>
          <w:b/>
          <w:bCs/>
          <w:sz w:val="22"/>
          <w:szCs w:val="22"/>
          <w:lang w:val="it-IT" w:eastAsia="sr-Latn-CS"/>
        </w:rPr>
        <w:t xml:space="preserve">35% od početne veličine u </w:t>
      </w:r>
      <w:r w:rsidR="00074F3B">
        <w:rPr>
          <w:b/>
          <w:bCs/>
          <w:sz w:val="22"/>
          <w:szCs w:val="22"/>
          <w:lang w:val="it-IT" w:eastAsia="sr-Latn-CS"/>
        </w:rPr>
        <w:t xml:space="preserve">  </w:t>
      </w:r>
      <w:r w:rsidRPr="00F37492">
        <w:rPr>
          <w:b/>
          <w:bCs/>
          <w:sz w:val="22"/>
          <w:szCs w:val="22"/>
          <w:lang w:val="it-IT" w:eastAsia="sr-Latn-CS"/>
        </w:rPr>
        <w:t>24. nedjelji u studiji COMFORT-I i u 48. nedjelji u studiji COMFORT-II (ITT)</w:t>
      </w:r>
    </w:p>
    <w:p w14:paraId="10BA178D" w14:textId="77777777" w:rsidR="00F37492" w:rsidRPr="00F37492" w:rsidRDefault="00F37492" w:rsidP="000A557B">
      <w:pPr>
        <w:jc w:val="both"/>
        <w:rPr>
          <w:sz w:val="22"/>
          <w:szCs w:val="22"/>
          <w:lang w:val="it-IT" w:eastAsia="sr-Latn-CS"/>
        </w:rPr>
      </w:pPr>
    </w:p>
    <w:tbl>
      <w:tblPr>
        <w:tblW w:w="9067" w:type="dxa"/>
        <w:tblLayout w:type="fixed"/>
        <w:tblCellMar>
          <w:left w:w="0" w:type="dxa"/>
          <w:right w:w="0" w:type="dxa"/>
        </w:tblCellMar>
        <w:tblLook w:val="0000" w:firstRow="0" w:lastRow="0" w:firstColumn="0" w:lastColumn="0" w:noHBand="0" w:noVBand="0"/>
      </w:tblPr>
      <w:tblGrid>
        <w:gridCol w:w="2693"/>
        <w:gridCol w:w="1656"/>
        <w:gridCol w:w="1660"/>
        <w:gridCol w:w="1656"/>
        <w:gridCol w:w="1402"/>
      </w:tblGrid>
      <w:tr w:rsidR="00F37492" w:rsidRPr="00F37492" w14:paraId="4F779803" w14:textId="77777777" w:rsidTr="00205B79">
        <w:trPr>
          <w:trHeight w:val="281"/>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63DB6" w14:textId="77777777" w:rsidR="00F37492" w:rsidRPr="00F37492" w:rsidRDefault="00F37492" w:rsidP="000A557B">
            <w:pPr>
              <w:rPr>
                <w:sz w:val="22"/>
                <w:szCs w:val="22"/>
                <w:lang w:val="it-IT" w:eastAsia="zh-CN"/>
              </w:rPr>
            </w:pPr>
          </w:p>
        </w:tc>
        <w:tc>
          <w:tcPr>
            <w:tcW w:w="33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A3F84"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COMFORT-I</w:t>
            </w:r>
          </w:p>
        </w:tc>
        <w:tc>
          <w:tcPr>
            <w:tcW w:w="30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380FA"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COMFORT-II</w:t>
            </w:r>
          </w:p>
        </w:tc>
      </w:tr>
      <w:tr w:rsidR="00F37492" w:rsidRPr="00F37492" w14:paraId="046225CE" w14:textId="77777777" w:rsidTr="00205B79">
        <w:trPr>
          <w:trHeight w:val="770"/>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96D6" w14:textId="77777777" w:rsidR="00F37492" w:rsidRPr="00F37492" w:rsidRDefault="00F37492" w:rsidP="000A557B">
            <w:pPr>
              <w:rPr>
                <w:sz w:val="22"/>
                <w:szCs w:val="22"/>
                <w:lang w:eastAsia="zh-CN"/>
              </w:rPr>
            </w:pP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A713A" w14:textId="77777777" w:rsidR="00F37492" w:rsidRPr="00F37492" w:rsidRDefault="00F37492" w:rsidP="000A557B">
            <w:pPr>
              <w:jc w:val="center"/>
              <w:rPr>
                <w:sz w:val="22"/>
                <w:szCs w:val="22"/>
                <w:lang w:val="sr-Latn-ME" w:eastAsia="sr-Latn-CS"/>
              </w:rPr>
            </w:pPr>
            <w:r w:rsidRPr="00F37492">
              <w:rPr>
                <w:sz w:val="22"/>
                <w:szCs w:val="22"/>
                <w:lang w:val="sr-Latn-ME" w:eastAsia="sr-Latn-CS"/>
              </w:rPr>
              <w:t>Jakavi</w:t>
            </w:r>
          </w:p>
          <w:p w14:paraId="28767D9C"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(N=l55)</w:t>
            </w:r>
          </w:p>
        </w:tc>
        <w:tc>
          <w:tcPr>
            <w:tcW w:w="1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DA4B6"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Placebo (N=153)</w:t>
            </w: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4BF32" w14:textId="77777777" w:rsidR="00F37492" w:rsidRPr="00F37492" w:rsidRDefault="00F37492" w:rsidP="000A557B">
            <w:pPr>
              <w:jc w:val="center"/>
              <w:rPr>
                <w:sz w:val="22"/>
                <w:szCs w:val="22"/>
                <w:lang w:val="sr-Latn-ME" w:eastAsia="sr-Latn-CS"/>
              </w:rPr>
            </w:pPr>
            <w:r w:rsidRPr="00F37492">
              <w:rPr>
                <w:sz w:val="22"/>
                <w:szCs w:val="22"/>
                <w:lang w:val="sr-Latn-ME" w:eastAsia="sr-Latn-CS"/>
              </w:rPr>
              <w:t>Jakavi</w:t>
            </w:r>
          </w:p>
          <w:p w14:paraId="6607BC46"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(N=144)</w:t>
            </w:r>
          </w:p>
        </w:tc>
        <w:tc>
          <w:tcPr>
            <w:tcW w:w="1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EC4D6"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Najbolja raspoloživa terapija (N=72)</w:t>
            </w:r>
          </w:p>
        </w:tc>
      </w:tr>
      <w:tr w:rsidR="00F37492" w:rsidRPr="00F37492" w14:paraId="0A6ADE0C" w14:textId="77777777" w:rsidTr="00703819">
        <w:trPr>
          <w:trHeight w:val="266"/>
        </w:trPr>
        <w:tc>
          <w:tcPr>
            <w:tcW w:w="2693" w:type="dxa"/>
            <w:tcBorders>
              <w:top w:val="single" w:sz="4" w:space="0" w:color="auto"/>
              <w:left w:val="single" w:sz="4" w:space="0" w:color="auto"/>
              <w:bottom w:val="single" w:sz="4" w:space="0" w:color="auto"/>
              <w:right w:val="single" w:sz="4" w:space="0" w:color="auto"/>
            </w:tcBorders>
            <w:shd w:val="clear" w:color="auto" w:fill="FFFFFF"/>
          </w:tcPr>
          <w:p w14:paraId="4450FE11" w14:textId="77777777" w:rsidR="00F37492" w:rsidRPr="00F37492" w:rsidRDefault="00F37492" w:rsidP="000A557B">
            <w:pPr>
              <w:jc w:val="both"/>
              <w:rPr>
                <w:rFonts w:cs="Arial Unicode MS"/>
                <w:sz w:val="22"/>
                <w:szCs w:val="22"/>
                <w:lang w:val="sr-Latn-ME" w:eastAsia="sr-Latn-ME"/>
              </w:rPr>
            </w:pPr>
            <w:r w:rsidRPr="00F37492">
              <w:rPr>
                <w:sz w:val="22"/>
                <w:szCs w:val="22"/>
                <w:lang w:val="sr-Latn-ME" w:eastAsia="sr-Latn-CS"/>
              </w:rPr>
              <w:t>Vremenski parametar</w:t>
            </w:r>
          </w:p>
        </w:tc>
        <w:tc>
          <w:tcPr>
            <w:tcW w:w="3316" w:type="dxa"/>
            <w:gridSpan w:val="2"/>
            <w:tcBorders>
              <w:top w:val="single" w:sz="4" w:space="0" w:color="auto"/>
              <w:left w:val="single" w:sz="4" w:space="0" w:color="auto"/>
              <w:bottom w:val="single" w:sz="4" w:space="0" w:color="auto"/>
              <w:right w:val="single" w:sz="4" w:space="0" w:color="auto"/>
            </w:tcBorders>
            <w:shd w:val="clear" w:color="auto" w:fill="FFFFFF"/>
          </w:tcPr>
          <w:p w14:paraId="722FAEC9"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24. nedjelja</w:t>
            </w:r>
          </w:p>
        </w:tc>
        <w:tc>
          <w:tcPr>
            <w:tcW w:w="3058" w:type="dxa"/>
            <w:gridSpan w:val="2"/>
            <w:tcBorders>
              <w:top w:val="single" w:sz="4" w:space="0" w:color="auto"/>
              <w:left w:val="single" w:sz="4" w:space="0" w:color="auto"/>
              <w:bottom w:val="single" w:sz="4" w:space="0" w:color="auto"/>
              <w:right w:val="single" w:sz="4" w:space="0" w:color="auto"/>
            </w:tcBorders>
            <w:shd w:val="clear" w:color="auto" w:fill="FFFFFF"/>
          </w:tcPr>
          <w:p w14:paraId="2A514257"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48. nedjelja</w:t>
            </w:r>
          </w:p>
        </w:tc>
      </w:tr>
      <w:tr w:rsidR="00F37492" w:rsidRPr="00F37492" w14:paraId="4112298F" w14:textId="77777777" w:rsidTr="00703819">
        <w:trPr>
          <w:trHeight w:val="774"/>
        </w:trPr>
        <w:tc>
          <w:tcPr>
            <w:tcW w:w="2693" w:type="dxa"/>
            <w:tcBorders>
              <w:top w:val="single" w:sz="4" w:space="0" w:color="auto"/>
              <w:left w:val="single" w:sz="4" w:space="0" w:color="auto"/>
              <w:bottom w:val="single" w:sz="4" w:space="0" w:color="auto"/>
              <w:right w:val="single" w:sz="4" w:space="0" w:color="auto"/>
            </w:tcBorders>
            <w:shd w:val="clear" w:color="auto" w:fill="FFFFFF"/>
          </w:tcPr>
          <w:p w14:paraId="40D52F0D" w14:textId="43880755" w:rsidR="00F37492" w:rsidRPr="00F37492" w:rsidRDefault="00F37492" w:rsidP="000A557B">
            <w:pPr>
              <w:jc w:val="both"/>
              <w:rPr>
                <w:rFonts w:cs="Arial Unicode MS"/>
                <w:sz w:val="22"/>
                <w:szCs w:val="22"/>
                <w:lang w:val="sr-Latn-ME" w:eastAsia="sr-Latn-ME"/>
              </w:rPr>
            </w:pPr>
            <w:r w:rsidRPr="00F37492">
              <w:rPr>
                <w:sz w:val="22"/>
                <w:szCs w:val="22"/>
                <w:lang w:val="sr-Latn-ME" w:eastAsia="sr-Latn-CS"/>
              </w:rPr>
              <w:t>Broj (%) ispitanika kod kojih je zapremina slezine smanjena za ≥</w:t>
            </w:r>
            <w:r w:rsidR="00FA4DDD">
              <w:rPr>
                <w:sz w:val="22"/>
                <w:szCs w:val="22"/>
                <w:lang w:val="sr-Latn-ME" w:eastAsia="sr-Latn-CS"/>
              </w:rPr>
              <w:t xml:space="preserve"> </w:t>
            </w:r>
            <w:r w:rsidRPr="00F37492">
              <w:rPr>
                <w:sz w:val="22"/>
                <w:szCs w:val="22"/>
                <w:lang w:val="sr-Latn-ME" w:eastAsia="sr-Latn-CS"/>
              </w:rPr>
              <w:t>35%</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4D7AE482" w14:textId="24A5FE63"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65</w:t>
            </w:r>
            <w:r w:rsidR="00FA4DDD">
              <w:rPr>
                <w:sz w:val="22"/>
                <w:szCs w:val="22"/>
                <w:lang w:val="sr-Latn-ME" w:eastAsia="sr-Latn-CS"/>
              </w:rPr>
              <w:t xml:space="preserve"> </w:t>
            </w:r>
            <w:r w:rsidRPr="00F37492">
              <w:rPr>
                <w:sz w:val="22"/>
                <w:szCs w:val="22"/>
                <w:lang w:val="sr-Latn-ME" w:eastAsia="sr-Latn-CS"/>
              </w:rPr>
              <w:t>(41,9)</w:t>
            </w:r>
          </w:p>
        </w:tc>
        <w:tc>
          <w:tcPr>
            <w:tcW w:w="1660" w:type="dxa"/>
            <w:tcBorders>
              <w:top w:val="single" w:sz="4" w:space="0" w:color="auto"/>
              <w:left w:val="single" w:sz="4" w:space="0" w:color="auto"/>
              <w:bottom w:val="single" w:sz="4" w:space="0" w:color="auto"/>
              <w:right w:val="single" w:sz="4" w:space="0" w:color="auto"/>
            </w:tcBorders>
            <w:shd w:val="clear" w:color="auto" w:fill="FFFFFF"/>
          </w:tcPr>
          <w:p w14:paraId="7E9D2072"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1 (0,7)</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6CF2B1B8"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41 (28,5)</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3598C6DF"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0</w:t>
            </w:r>
          </w:p>
        </w:tc>
      </w:tr>
      <w:tr w:rsidR="00F37492" w:rsidRPr="00F37492" w14:paraId="586C5C95" w14:textId="77777777" w:rsidTr="00703819">
        <w:trPr>
          <w:trHeight w:val="266"/>
        </w:trPr>
        <w:tc>
          <w:tcPr>
            <w:tcW w:w="2693" w:type="dxa"/>
            <w:tcBorders>
              <w:top w:val="single" w:sz="4" w:space="0" w:color="auto"/>
              <w:left w:val="single" w:sz="4" w:space="0" w:color="auto"/>
              <w:bottom w:val="single" w:sz="4" w:space="0" w:color="auto"/>
              <w:right w:val="single" w:sz="4" w:space="0" w:color="auto"/>
            </w:tcBorders>
            <w:shd w:val="clear" w:color="auto" w:fill="FFFFFF"/>
          </w:tcPr>
          <w:p w14:paraId="70D136E7" w14:textId="77777777" w:rsidR="00F37492" w:rsidRPr="00F37492" w:rsidRDefault="00F37492" w:rsidP="000A557B">
            <w:pPr>
              <w:jc w:val="both"/>
              <w:rPr>
                <w:rFonts w:cs="Arial Unicode MS"/>
                <w:sz w:val="22"/>
                <w:szCs w:val="22"/>
                <w:lang w:val="sr-Latn-ME" w:eastAsia="sr-Latn-ME"/>
              </w:rPr>
            </w:pPr>
            <w:r w:rsidRPr="00F37492">
              <w:rPr>
                <w:sz w:val="22"/>
                <w:szCs w:val="22"/>
                <w:lang w:val="sr-Latn-ME" w:eastAsia="sr-Latn-CS"/>
              </w:rPr>
              <w:t>95% intervali pouzdanosti</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25342199"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34,1; 50,1</w:t>
            </w:r>
          </w:p>
        </w:tc>
        <w:tc>
          <w:tcPr>
            <w:tcW w:w="1660" w:type="dxa"/>
            <w:tcBorders>
              <w:top w:val="single" w:sz="4" w:space="0" w:color="auto"/>
              <w:left w:val="single" w:sz="4" w:space="0" w:color="auto"/>
              <w:bottom w:val="single" w:sz="4" w:space="0" w:color="auto"/>
              <w:right w:val="single" w:sz="4" w:space="0" w:color="auto"/>
            </w:tcBorders>
            <w:shd w:val="clear" w:color="auto" w:fill="FFFFFF"/>
          </w:tcPr>
          <w:p w14:paraId="5BF9B0CA" w14:textId="603E53D4"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0</w:t>
            </w:r>
            <w:r w:rsidR="00FA4DDD">
              <w:rPr>
                <w:sz w:val="22"/>
                <w:szCs w:val="22"/>
                <w:lang w:val="sr-Latn-ME" w:eastAsia="sr-Latn-CS"/>
              </w:rPr>
              <w:t>;</w:t>
            </w:r>
            <w:r w:rsidRPr="00F37492">
              <w:rPr>
                <w:sz w:val="22"/>
                <w:szCs w:val="22"/>
                <w:lang w:val="sr-Latn-ME" w:eastAsia="sr-Latn-CS"/>
              </w:rPr>
              <w:t xml:space="preserve"> 3,6</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150016CB"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21,3; 36,6</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3F772251"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0,0; 5,0</w:t>
            </w:r>
          </w:p>
        </w:tc>
      </w:tr>
      <w:tr w:rsidR="00F37492" w:rsidRPr="00F37492" w14:paraId="28FFA46A" w14:textId="77777777" w:rsidTr="00703819">
        <w:trPr>
          <w:trHeight w:val="284"/>
        </w:trPr>
        <w:tc>
          <w:tcPr>
            <w:tcW w:w="2693" w:type="dxa"/>
            <w:tcBorders>
              <w:top w:val="single" w:sz="4" w:space="0" w:color="auto"/>
              <w:left w:val="single" w:sz="4" w:space="0" w:color="auto"/>
              <w:bottom w:val="single" w:sz="4" w:space="0" w:color="auto"/>
              <w:right w:val="single" w:sz="4" w:space="0" w:color="auto"/>
            </w:tcBorders>
            <w:shd w:val="clear" w:color="auto" w:fill="FFFFFF"/>
          </w:tcPr>
          <w:p w14:paraId="5028B431" w14:textId="77777777" w:rsidR="00F37492" w:rsidRPr="00F37492" w:rsidRDefault="00F37492" w:rsidP="000A557B">
            <w:pPr>
              <w:jc w:val="both"/>
              <w:rPr>
                <w:rFonts w:cs="Arial Unicode MS"/>
                <w:sz w:val="22"/>
                <w:szCs w:val="22"/>
                <w:lang w:val="sr-Latn-ME" w:eastAsia="sr-Latn-ME"/>
              </w:rPr>
            </w:pPr>
            <w:r w:rsidRPr="00F37492">
              <w:rPr>
                <w:sz w:val="22"/>
                <w:szCs w:val="22"/>
                <w:lang w:val="sr-Latn-ME" w:eastAsia="sr-Latn-CS"/>
              </w:rPr>
              <w:t>p-vrijednost</w:t>
            </w:r>
          </w:p>
        </w:tc>
        <w:tc>
          <w:tcPr>
            <w:tcW w:w="3316" w:type="dxa"/>
            <w:gridSpan w:val="2"/>
            <w:tcBorders>
              <w:top w:val="single" w:sz="4" w:space="0" w:color="auto"/>
              <w:left w:val="single" w:sz="4" w:space="0" w:color="auto"/>
              <w:bottom w:val="single" w:sz="4" w:space="0" w:color="auto"/>
              <w:right w:val="single" w:sz="4" w:space="0" w:color="auto"/>
            </w:tcBorders>
            <w:shd w:val="clear" w:color="auto" w:fill="FFFFFF"/>
          </w:tcPr>
          <w:p w14:paraId="4495A380" w14:textId="1A680740"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&lt;</w:t>
            </w:r>
            <w:r w:rsidR="00FA4DDD">
              <w:rPr>
                <w:sz w:val="22"/>
                <w:szCs w:val="22"/>
                <w:lang w:val="sr-Latn-ME" w:eastAsia="sr-Latn-CS"/>
              </w:rPr>
              <w:t xml:space="preserve"> </w:t>
            </w:r>
            <w:r w:rsidRPr="00F37492">
              <w:rPr>
                <w:sz w:val="22"/>
                <w:szCs w:val="22"/>
                <w:lang w:val="sr-Latn-ME" w:eastAsia="sr-Latn-CS"/>
              </w:rPr>
              <w:t>0,0001</w:t>
            </w:r>
          </w:p>
        </w:tc>
        <w:tc>
          <w:tcPr>
            <w:tcW w:w="3058" w:type="dxa"/>
            <w:gridSpan w:val="2"/>
            <w:tcBorders>
              <w:top w:val="single" w:sz="4" w:space="0" w:color="auto"/>
              <w:left w:val="single" w:sz="4" w:space="0" w:color="auto"/>
              <w:bottom w:val="single" w:sz="4" w:space="0" w:color="auto"/>
              <w:right w:val="single" w:sz="4" w:space="0" w:color="auto"/>
            </w:tcBorders>
            <w:shd w:val="clear" w:color="auto" w:fill="FFFFFF"/>
          </w:tcPr>
          <w:p w14:paraId="3BAE4E53" w14:textId="4BE82B24"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&lt;</w:t>
            </w:r>
            <w:r w:rsidR="00FA4DDD">
              <w:rPr>
                <w:sz w:val="22"/>
                <w:szCs w:val="22"/>
                <w:lang w:val="sr-Latn-ME" w:eastAsia="sr-Latn-CS"/>
              </w:rPr>
              <w:t xml:space="preserve"> </w:t>
            </w:r>
            <w:r w:rsidRPr="00F37492">
              <w:rPr>
                <w:sz w:val="22"/>
                <w:szCs w:val="22"/>
                <w:lang w:val="sr-Latn-ME" w:eastAsia="sr-Latn-CS"/>
              </w:rPr>
              <w:t>0,0001</w:t>
            </w:r>
          </w:p>
        </w:tc>
      </w:tr>
    </w:tbl>
    <w:p w14:paraId="72533D50" w14:textId="77777777" w:rsidR="00F37492" w:rsidRPr="00F37492" w:rsidRDefault="00F37492" w:rsidP="000A557B">
      <w:pPr>
        <w:jc w:val="both"/>
        <w:rPr>
          <w:sz w:val="22"/>
          <w:szCs w:val="22"/>
          <w:lang w:val="sr-Latn-ME" w:eastAsia="sr-Latn-CS"/>
        </w:rPr>
      </w:pPr>
    </w:p>
    <w:p w14:paraId="7E6418D9" w14:textId="30E0C0D2" w:rsidR="00F37492" w:rsidRPr="00F37492" w:rsidRDefault="00F37492" w:rsidP="000A557B">
      <w:pPr>
        <w:jc w:val="both"/>
        <w:rPr>
          <w:sz w:val="22"/>
          <w:szCs w:val="22"/>
          <w:lang w:val="sr-Latn-ME" w:eastAsia="sr-Latn-CS"/>
        </w:rPr>
      </w:pPr>
      <w:r w:rsidRPr="00F37492">
        <w:rPr>
          <w:sz w:val="22"/>
          <w:szCs w:val="22"/>
          <w:lang w:val="sr-Latn-ME" w:eastAsia="sr-Latn-CS"/>
        </w:rPr>
        <w:t>Značajno veći procenat pacijenata u grupi koja je uzimala lijek Jakavi postigao je smanjenje zapremine slezine za ≥</w:t>
      </w:r>
      <w:r w:rsidR="00FA4DDD">
        <w:rPr>
          <w:sz w:val="22"/>
          <w:szCs w:val="22"/>
          <w:lang w:val="sr-Latn-ME" w:eastAsia="sr-Latn-CS"/>
        </w:rPr>
        <w:t xml:space="preserve"> </w:t>
      </w:r>
      <w:r w:rsidRPr="00F37492">
        <w:rPr>
          <w:sz w:val="22"/>
          <w:szCs w:val="22"/>
          <w:lang w:val="sr-Latn-ME" w:eastAsia="sr-Latn-CS"/>
        </w:rPr>
        <w:t xml:space="preserve">35% u odnosu na početnu veličinu (Tabela </w:t>
      </w:r>
      <w:r w:rsidR="00A8394C">
        <w:rPr>
          <w:sz w:val="22"/>
          <w:szCs w:val="22"/>
          <w:lang w:val="sr-Latn-ME" w:eastAsia="sr-Latn-CS"/>
        </w:rPr>
        <w:t>8</w:t>
      </w:r>
      <w:r w:rsidRPr="00F37492">
        <w:rPr>
          <w:sz w:val="22"/>
          <w:szCs w:val="22"/>
          <w:lang w:val="sr-Latn-ME" w:eastAsia="sr-Latn-CS"/>
        </w:rPr>
        <w:t xml:space="preserve">) nezavisno od prisustva ili odsustva mutacije JAK2V617F (Tabela </w:t>
      </w:r>
      <w:r w:rsidR="00A8394C">
        <w:rPr>
          <w:sz w:val="22"/>
          <w:szCs w:val="22"/>
          <w:lang w:val="sr-Latn-ME" w:eastAsia="sr-Latn-CS"/>
        </w:rPr>
        <w:t>9</w:t>
      </w:r>
      <w:r w:rsidRPr="00F37492">
        <w:rPr>
          <w:sz w:val="22"/>
          <w:szCs w:val="22"/>
          <w:lang w:val="sr-Latn-ME" w:eastAsia="sr-Latn-CS"/>
        </w:rPr>
        <w:t>) ili podtipa bolesti (primarna MF, MF poslije policitemije vere, MF poslije esencijalne trombocitemije).</w:t>
      </w:r>
    </w:p>
    <w:p w14:paraId="611A4786" w14:textId="77777777" w:rsidR="00F37492" w:rsidRPr="00F37492" w:rsidRDefault="00F37492" w:rsidP="000A557B">
      <w:pPr>
        <w:jc w:val="both"/>
        <w:rPr>
          <w:rFonts w:cs="Arial Unicode MS"/>
          <w:sz w:val="22"/>
          <w:szCs w:val="22"/>
          <w:lang w:val="sr-Latn-ME" w:eastAsia="sr-Latn-ME"/>
        </w:rPr>
      </w:pPr>
    </w:p>
    <w:p w14:paraId="4836C1E9" w14:textId="39520072" w:rsidR="00F37492" w:rsidRDefault="00F37492" w:rsidP="000A557B">
      <w:pPr>
        <w:keepNext/>
        <w:keepLines/>
        <w:jc w:val="center"/>
        <w:outlineLvl w:val="0"/>
        <w:rPr>
          <w:b/>
          <w:bCs/>
          <w:sz w:val="22"/>
          <w:szCs w:val="22"/>
          <w:lang w:val="sr-Latn-ME" w:eastAsia="sr-Latn-CS"/>
        </w:rPr>
      </w:pPr>
      <w:bookmarkStart w:id="3" w:name="bookmark19"/>
      <w:r w:rsidRPr="00F37492">
        <w:rPr>
          <w:b/>
          <w:bCs/>
          <w:sz w:val="22"/>
          <w:szCs w:val="22"/>
          <w:lang w:val="sr-Latn-ME" w:eastAsia="sr-Latn-CS"/>
        </w:rPr>
        <w:lastRenderedPageBreak/>
        <w:t xml:space="preserve">Tabela </w:t>
      </w:r>
      <w:r w:rsidR="00A8394C">
        <w:rPr>
          <w:b/>
          <w:bCs/>
          <w:sz w:val="22"/>
          <w:szCs w:val="22"/>
          <w:lang w:val="sr-Latn-ME" w:eastAsia="sr-Latn-CS"/>
        </w:rPr>
        <w:t>9</w:t>
      </w:r>
      <w:r w:rsidRPr="00F37492">
        <w:rPr>
          <w:b/>
          <w:bCs/>
          <w:sz w:val="22"/>
          <w:szCs w:val="22"/>
          <w:lang w:val="sr-Latn-ME" w:eastAsia="sr-Latn-CS"/>
        </w:rPr>
        <w:t xml:space="preserve"> Procenat pacijenata </w:t>
      </w:r>
      <w:r w:rsidRPr="00F37492">
        <w:rPr>
          <w:rFonts w:cs="Arial Unicode MS"/>
          <w:b/>
          <w:bCs/>
          <w:sz w:val="22"/>
          <w:szCs w:val="22"/>
          <w:lang w:val="sr-Latn-ME" w:eastAsia="sr-Latn-ME"/>
        </w:rPr>
        <w:t>sa smanjenjem zapremine slezine</w:t>
      </w:r>
      <w:r w:rsidRPr="00F37492">
        <w:rPr>
          <w:b/>
          <w:bCs/>
          <w:sz w:val="22"/>
          <w:szCs w:val="22"/>
          <w:lang w:val="sr-Latn-ME" w:eastAsia="sr-Latn-ME"/>
        </w:rPr>
        <w:t xml:space="preserve"> za ≥</w:t>
      </w:r>
      <w:r w:rsidRPr="00F37492">
        <w:rPr>
          <w:b/>
          <w:bCs/>
          <w:sz w:val="22"/>
          <w:szCs w:val="22"/>
          <w:lang w:val="sr-Latn-ME" w:eastAsia="sr-Latn-CS"/>
        </w:rPr>
        <w:t>35% od početne veličine po statusu JAK mutacije (bezbjednosna grupa)</w:t>
      </w:r>
      <w:bookmarkEnd w:id="3"/>
    </w:p>
    <w:p w14:paraId="422EC0C2" w14:textId="77777777" w:rsidR="00EA16C8" w:rsidRPr="00F37492" w:rsidRDefault="00EA16C8" w:rsidP="000A557B">
      <w:pPr>
        <w:keepNext/>
        <w:keepLines/>
        <w:jc w:val="center"/>
        <w:outlineLvl w:val="0"/>
        <w:rPr>
          <w:rFonts w:cs="Arial Unicode MS"/>
          <w:b/>
          <w:bCs/>
          <w:sz w:val="22"/>
          <w:szCs w:val="22"/>
          <w:lang w:val="sr-Latn-ME" w:eastAsia="sr-Latn-ME"/>
        </w:rPr>
      </w:pPr>
    </w:p>
    <w:tbl>
      <w:tblPr>
        <w:tblW w:w="9209" w:type="dxa"/>
        <w:jc w:val="center"/>
        <w:tblLayout w:type="fixed"/>
        <w:tblCellMar>
          <w:left w:w="0" w:type="dxa"/>
          <w:right w:w="0" w:type="dxa"/>
        </w:tblCellMar>
        <w:tblLook w:val="0000" w:firstRow="0" w:lastRow="0" w:firstColumn="0" w:lastColumn="0" w:noHBand="0" w:noVBand="0"/>
      </w:tblPr>
      <w:tblGrid>
        <w:gridCol w:w="1271"/>
        <w:gridCol w:w="992"/>
        <w:gridCol w:w="993"/>
        <w:gridCol w:w="992"/>
        <w:gridCol w:w="992"/>
        <w:gridCol w:w="992"/>
        <w:gridCol w:w="993"/>
        <w:gridCol w:w="992"/>
        <w:gridCol w:w="992"/>
      </w:tblGrid>
      <w:tr w:rsidR="00F37492" w:rsidRPr="00F37492" w14:paraId="6B27607A" w14:textId="77777777" w:rsidTr="00703819">
        <w:trPr>
          <w:trHeight w:val="274"/>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cPr>
          <w:p w14:paraId="77B9E680" w14:textId="77777777" w:rsidR="00F37492" w:rsidRPr="00F37492" w:rsidRDefault="00F37492" w:rsidP="000A557B">
            <w:pPr>
              <w:rPr>
                <w:sz w:val="22"/>
                <w:szCs w:val="22"/>
                <w:lang w:eastAsia="zh-CN"/>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FFFFFF"/>
          </w:tcPr>
          <w:p w14:paraId="31CCBB0E"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COMFORT-I</w:t>
            </w:r>
          </w:p>
        </w:tc>
        <w:tc>
          <w:tcPr>
            <w:tcW w:w="3969" w:type="dxa"/>
            <w:gridSpan w:val="4"/>
            <w:tcBorders>
              <w:top w:val="single" w:sz="4" w:space="0" w:color="auto"/>
              <w:left w:val="single" w:sz="4" w:space="0" w:color="auto"/>
              <w:bottom w:val="single" w:sz="4" w:space="0" w:color="auto"/>
              <w:right w:val="single" w:sz="4" w:space="0" w:color="auto"/>
            </w:tcBorders>
            <w:shd w:val="clear" w:color="auto" w:fill="FFFFFF"/>
          </w:tcPr>
          <w:p w14:paraId="1630D9FC"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COMFORT-II</w:t>
            </w:r>
          </w:p>
        </w:tc>
      </w:tr>
      <w:tr w:rsidR="00F37492" w:rsidRPr="00F37492" w14:paraId="1F4E165F" w14:textId="77777777" w:rsidTr="00703819">
        <w:trPr>
          <w:trHeight w:val="796"/>
          <w:jc w:val="center"/>
        </w:trPr>
        <w:tc>
          <w:tcPr>
            <w:tcW w:w="1271" w:type="dxa"/>
            <w:tcBorders>
              <w:top w:val="single" w:sz="4" w:space="0" w:color="auto"/>
              <w:left w:val="single" w:sz="4" w:space="0" w:color="auto"/>
              <w:right w:val="single" w:sz="4" w:space="0" w:color="auto"/>
            </w:tcBorders>
            <w:shd w:val="clear" w:color="auto" w:fill="FFFFFF"/>
          </w:tcPr>
          <w:p w14:paraId="60AD108B" w14:textId="77777777" w:rsidR="00F37492" w:rsidRPr="00F37492" w:rsidRDefault="00F37492" w:rsidP="000A557B">
            <w:pPr>
              <w:rPr>
                <w:sz w:val="22"/>
                <w:szCs w:val="22"/>
                <w:lang w:eastAsia="zh-CN"/>
              </w:rPr>
            </w:pPr>
          </w:p>
        </w:tc>
        <w:tc>
          <w:tcPr>
            <w:tcW w:w="1985" w:type="dxa"/>
            <w:gridSpan w:val="2"/>
            <w:tcBorders>
              <w:top w:val="single" w:sz="4" w:space="0" w:color="auto"/>
              <w:left w:val="single" w:sz="4" w:space="0" w:color="auto"/>
              <w:right w:val="single" w:sz="4" w:space="0" w:color="auto"/>
            </w:tcBorders>
            <w:shd w:val="clear" w:color="auto" w:fill="FFFFFF"/>
          </w:tcPr>
          <w:p w14:paraId="6A6097CF"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Jakavi</w:t>
            </w:r>
          </w:p>
        </w:tc>
        <w:tc>
          <w:tcPr>
            <w:tcW w:w="1984" w:type="dxa"/>
            <w:gridSpan w:val="2"/>
            <w:tcBorders>
              <w:top w:val="single" w:sz="4" w:space="0" w:color="auto"/>
              <w:left w:val="single" w:sz="4" w:space="0" w:color="auto"/>
              <w:right w:val="single" w:sz="4" w:space="0" w:color="auto"/>
            </w:tcBorders>
            <w:shd w:val="clear" w:color="auto" w:fill="FFFFFF"/>
          </w:tcPr>
          <w:p w14:paraId="16ACCEF2"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Placebo</w:t>
            </w:r>
          </w:p>
        </w:tc>
        <w:tc>
          <w:tcPr>
            <w:tcW w:w="1985" w:type="dxa"/>
            <w:gridSpan w:val="2"/>
            <w:tcBorders>
              <w:top w:val="single" w:sz="4" w:space="0" w:color="auto"/>
              <w:left w:val="single" w:sz="4" w:space="0" w:color="auto"/>
              <w:right w:val="single" w:sz="4" w:space="0" w:color="auto"/>
            </w:tcBorders>
            <w:shd w:val="clear" w:color="auto" w:fill="FFFFFF"/>
          </w:tcPr>
          <w:p w14:paraId="7E8BDF38"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Jakavi</w:t>
            </w:r>
          </w:p>
        </w:tc>
        <w:tc>
          <w:tcPr>
            <w:tcW w:w="1984" w:type="dxa"/>
            <w:gridSpan w:val="2"/>
            <w:tcBorders>
              <w:top w:val="single" w:sz="4" w:space="0" w:color="auto"/>
              <w:left w:val="single" w:sz="4" w:space="0" w:color="auto"/>
              <w:right w:val="single" w:sz="4" w:space="0" w:color="auto"/>
            </w:tcBorders>
            <w:shd w:val="clear" w:color="auto" w:fill="FFFFFF"/>
          </w:tcPr>
          <w:p w14:paraId="56FF6838" w14:textId="77777777" w:rsidR="00F37492" w:rsidRPr="00F37492" w:rsidRDefault="00F37492" w:rsidP="000A557B">
            <w:pPr>
              <w:shd w:val="clear" w:color="auto" w:fill="FFFFFF"/>
              <w:jc w:val="center"/>
              <w:rPr>
                <w:rFonts w:cs="Arial Unicode MS"/>
                <w:sz w:val="22"/>
                <w:szCs w:val="22"/>
                <w:lang w:val="sr-Latn-ME" w:eastAsia="sr-Latn-ME"/>
              </w:rPr>
            </w:pPr>
            <w:r w:rsidRPr="00F37492">
              <w:rPr>
                <w:sz w:val="22"/>
                <w:szCs w:val="22"/>
                <w:lang w:val="sr-Latn-ME" w:eastAsia="sr-Latn-CS"/>
              </w:rPr>
              <w:t>Najbolja raspoloživa terapija</w:t>
            </w:r>
          </w:p>
        </w:tc>
      </w:tr>
      <w:tr w:rsidR="00F37492" w:rsidRPr="00F37492" w14:paraId="69C56703" w14:textId="77777777" w:rsidTr="00703819">
        <w:trPr>
          <w:trHeight w:val="770"/>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cPr>
          <w:p w14:paraId="11BCEED1" w14:textId="77777777" w:rsidR="00F37492" w:rsidRPr="00F37492" w:rsidRDefault="00F37492" w:rsidP="000A557B">
            <w:pPr>
              <w:rPr>
                <w:rFonts w:cs="Arial Unicode MS"/>
                <w:sz w:val="22"/>
                <w:szCs w:val="22"/>
                <w:lang w:val="sr-Latn-ME" w:eastAsia="sr-Latn-ME"/>
              </w:rPr>
            </w:pPr>
            <w:r w:rsidRPr="00F37492">
              <w:rPr>
                <w:sz w:val="22"/>
                <w:szCs w:val="22"/>
                <w:lang w:val="sr-Latn-ME" w:eastAsia="sr-Latn-CS"/>
              </w:rPr>
              <w:t>Status JAK</w:t>
            </w:r>
          </w:p>
          <w:p w14:paraId="1822732A" w14:textId="77777777" w:rsidR="00F37492" w:rsidRPr="00F37492" w:rsidRDefault="00F37492" w:rsidP="000A557B">
            <w:pPr>
              <w:rPr>
                <w:rFonts w:cs="Arial Unicode MS"/>
                <w:sz w:val="22"/>
                <w:szCs w:val="22"/>
                <w:lang w:val="sr-Latn-ME" w:eastAsia="sr-Latn-ME"/>
              </w:rPr>
            </w:pPr>
            <w:r w:rsidRPr="00F37492">
              <w:rPr>
                <w:sz w:val="22"/>
                <w:szCs w:val="22"/>
                <w:lang w:val="sr-Latn-ME" w:eastAsia="sr-Latn-CS"/>
              </w:rPr>
              <w:t>mutacije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A8BE50" w14:textId="77777777" w:rsidR="00F37492" w:rsidRPr="00F37492" w:rsidRDefault="00F37492" w:rsidP="000A557B">
            <w:pPr>
              <w:jc w:val="center"/>
              <w:rPr>
                <w:sz w:val="22"/>
                <w:szCs w:val="22"/>
                <w:lang w:val="sr-Latn-ME" w:eastAsia="sr-Latn-CS"/>
              </w:rPr>
            </w:pPr>
            <w:r w:rsidRPr="00F37492">
              <w:rPr>
                <w:sz w:val="22"/>
                <w:szCs w:val="22"/>
                <w:lang w:val="sr-Latn-ME" w:eastAsia="sr-Latn-CS"/>
              </w:rPr>
              <w:t>Pozitivan (N=113)</w:t>
            </w:r>
          </w:p>
          <w:p w14:paraId="7099FBC5"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n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E5CA662" w14:textId="77777777" w:rsidR="00F37492" w:rsidRPr="00F37492" w:rsidRDefault="00F37492" w:rsidP="000A557B">
            <w:pPr>
              <w:jc w:val="center"/>
              <w:rPr>
                <w:sz w:val="22"/>
                <w:szCs w:val="22"/>
                <w:lang w:val="sr-Latn-ME" w:eastAsia="sr-Latn-CS"/>
              </w:rPr>
            </w:pPr>
            <w:r w:rsidRPr="00F37492">
              <w:rPr>
                <w:sz w:val="22"/>
                <w:szCs w:val="22"/>
                <w:lang w:val="sr-Latn-ME" w:eastAsia="sr-Latn-CS"/>
              </w:rPr>
              <w:t>Negativan (N=40)</w:t>
            </w:r>
          </w:p>
          <w:p w14:paraId="2367D425"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n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426169" w14:textId="77777777" w:rsidR="00F37492" w:rsidRPr="00F37492" w:rsidRDefault="00F37492" w:rsidP="000A557B">
            <w:pPr>
              <w:jc w:val="center"/>
              <w:rPr>
                <w:sz w:val="22"/>
                <w:szCs w:val="22"/>
                <w:lang w:val="sr-Latn-ME" w:eastAsia="sr-Latn-CS"/>
              </w:rPr>
            </w:pPr>
            <w:r w:rsidRPr="00F37492">
              <w:rPr>
                <w:sz w:val="22"/>
                <w:szCs w:val="22"/>
                <w:lang w:val="sr-Latn-ME" w:eastAsia="sr-Latn-CS"/>
              </w:rPr>
              <w:t>Pozitivan (N=121)</w:t>
            </w:r>
          </w:p>
          <w:p w14:paraId="4A9FEE68"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n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9EFE2" w14:textId="77777777" w:rsidR="00F37492" w:rsidRPr="00F37492" w:rsidRDefault="00F37492" w:rsidP="000A557B">
            <w:pPr>
              <w:jc w:val="center"/>
              <w:rPr>
                <w:sz w:val="22"/>
                <w:szCs w:val="22"/>
                <w:lang w:val="sr-Latn-ME" w:eastAsia="sr-Latn-CS"/>
              </w:rPr>
            </w:pPr>
            <w:r w:rsidRPr="00F37492">
              <w:rPr>
                <w:sz w:val="22"/>
                <w:szCs w:val="22"/>
                <w:lang w:val="sr-Latn-ME" w:eastAsia="sr-Latn-CS"/>
              </w:rPr>
              <w:t>Negativan (N=27)</w:t>
            </w:r>
          </w:p>
          <w:p w14:paraId="6AC4A4B7"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n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EFE4D0" w14:textId="77777777" w:rsidR="00F37492" w:rsidRPr="00F37492" w:rsidRDefault="00F37492" w:rsidP="000A557B">
            <w:pPr>
              <w:jc w:val="center"/>
              <w:rPr>
                <w:sz w:val="22"/>
                <w:szCs w:val="22"/>
                <w:lang w:val="sr-Latn-ME" w:eastAsia="sr-Latn-CS"/>
              </w:rPr>
            </w:pPr>
            <w:r w:rsidRPr="00F37492">
              <w:rPr>
                <w:sz w:val="22"/>
                <w:szCs w:val="22"/>
                <w:lang w:val="sr-Latn-ME" w:eastAsia="sr-Latn-CS"/>
              </w:rPr>
              <w:t>Pozitivan (N=110)</w:t>
            </w:r>
          </w:p>
          <w:p w14:paraId="5229BB6E"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n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60849D2" w14:textId="77777777" w:rsidR="00F37492" w:rsidRPr="00F37492" w:rsidRDefault="00F37492" w:rsidP="000A557B">
            <w:pPr>
              <w:jc w:val="center"/>
              <w:rPr>
                <w:sz w:val="22"/>
                <w:szCs w:val="22"/>
                <w:lang w:val="sr-Latn-ME" w:eastAsia="sr-Latn-CS"/>
              </w:rPr>
            </w:pPr>
            <w:r w:rsidRPr="00F37492">
              <w:rPr>
                <w:sz w:val="22"/>
                <w:szCs w:val="22"/>
                <w:lang w:val="sr-Latn-ME" w:eastAsia="sr-Latn-CS"/>
              </w:rPr>
              <w:t>Negativan (N=35)</w:t>
            </w:r>
          </w:p>
          <w:p w14:paraId="2704D57B"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n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7EA180" w14:textId="77777777" w:rsidR="00F37492" w:rsidRPr="00F37492" w:rsidRDefault="00F37492" w:rsidP="000A557B">
            <w:pPr>
              <w:jc w:val="center"/>
              <w:rPr>
                <w:sz w:val="22"/>
                <w:szCs w:val="22"/>
                <w:lang w:val="sr-Latn-ME" w:eastAsia="sr-Latn-CS"/>
              </w:rPr>
            </w:pPr>
            <w:r w:rsidRPr="00F37492">
              <w:rPr>
                <w:sz w:val="22"/>
                <w:szCs w:val="22"/>
                <w:lang w:val="sr-Latn-ME" w:eastAsia="sr-Latn-CS"/>
              </w:rPr>
              <w:t>Pozitivan (N=49)</w:t>
            </w:r>
          </w:p>
          <w:p w14:paraId="3806B931"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n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FB52DB"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Negativan</w:t>
            </w:r>
          </w:p>
          <w:p w14:paraId="68A69564" w14:textId="77777777" w:rsidR="00F37492" w:rsidRPr="00F37492" w:rsidRDefault="00F37492" w:rsidP="000A557B">
            <w:pPr>
              <w:jc w:val="center"/>
              <w:rPr>
                <w:sz w:val="22"/>
                <w:szCs w:val="22"/>
                <w:lang w:val="sr-Latn-ME" w:eastAsia="sr-Latn-CS"/>
              </w:rPr>
            </w:pPr>
            <w:r w:rsidRPr="00F37492">
              <w:rPr>
                <w:sz w:val="22"/>
                <w:szCs w:val="22"/>
                <w:lang w:val="sr-Latn-ME" w:eastAsia="sr-Latn-CS"/>
              </w:rPr>
              <w:t>(N=20)</w:t>
            </w:r>
          </w:p>
          <w:p w14:paraId="59BE04A7"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n (%)</w:t>
            </w:r>
          </w:p>
        </w:tc>
      </w:tr>
      <w:tr w:rsidR="00F37492" w:rsidRPr="00F37492" w14:paraId="4B0FA38B" w14:textId="77777777" w:rsidTr="00703819">
        <w:trPr>
          <w:trHeight w:val="256"/>
          <w:jc w:val="center"/>
        </w:trPr>
        <w:tc>
          <w:tcPr>
            <w:tcW w:w="1271" w:type="dxa"/>
            <w:vMerge w:val="restart"/>
            <w:tcBorders>
              <w:top w:val="single" w:sz="4" w:space="0" w:color="auto"/>
              <w:left w:val="single" w:sz="4" w:space="0" w:color="auto"/>
              <w:right w:val="single" w:sz="4" w:space="0" w:color="auto"/>
            </w:tcBorders>
            <w:shd w:val="clear" w:color="auto" w:fill="FFFFFF"/>
          </w:tcPr>
          <w:p w14:paraId="550DD0F4" w14:textId="12EED4E4" w:rsidR="00F37492" w:rsidRPr="00F37492" w:rsidRDefault="00F37492" w:rsidP="000A557B">
            <w:pPr>
              <w:shd w:val="clear" w:color="auto" w:fill="FFFFFF"/>
              <w:rPr>
                <w:rFonts w:cs="Arial Unicode MS"/>
                <w:sz w:val="22"/>
                <w:szCs w:val="22"/>
                <w:lang w:val="sr-Latn-ME" w:eastAsia="sr-Latn-ME"/>
              </w:rPr>
            </w:pPr>
            <w:r w:rsidRPr="00F37492">
              <w:rPr>
                <w:sz w:val="22"/>
                <w:szCs w:val="22"/>
                <w:lang w:val="sr-Latn-ME" w:eastAsia="sr-Latn-CS"/>
              </w:rPr>
              <w:t>Broj (%) ispitanika sa zapreminom slezine smanjenom za ≥</w:t>
            </w:r>
            <w:r w:rsidR="00726254">
              <w:rPr>
                <w:sz w:val="22"/>
                <w:szCs w:val="22"/>
                <w:lang w:val="sr-Latn-ME" w:eastAsia="sr-Latn-CS"/>
              </w:rPr>
              <w:t xml:space="preserve"> </w:t>
            </w:r>
            <w:r w:rsidRPr="00F37492">
              <w:rPr>
                <w:sz w:val="22"/>
                <w:szCs w:val="22"/>
                <w:lang w:val="sr-Latn-ME" w:eastAsia="sr-Latn-CS"/>
              </w:rPr>
              <w:t>35%</w:t>
            </w:r>
          </w:p>
        </w:tc>
        <w:tc>
          <w:tcPr>
            <w:tcW w:w="992" w:type="dxa"/>
            <w:tcBorders>
              <w:top w:val="single" w:sz="4" w:space="0" w:color="auto"/>
              <w:left w:val="single" w:sz="4" w:space="0" w:color="auto"/>
              <w:bottom w:val="nil"/>
              <w:right w:val="single" w:sz="4" w:space="0" w:color="auto"/>
            </w:tcBorders>
            <w:shd w:val="clear" w:color="auto" w:fill="FFFFFF"/>
          </w:tcPr>
          <w:p w14:paraId="0E160BF1" w14:textId="77777777" w:rsidR="00F37492" w:rsidRPr="00F37492" w:rsidRDefault="00F37492" w:rsidP="000A557B">
            <w:pPr>
              <w:jc w:val="center"/>
              <w:rPr>
                <w:sz w:val="22"/>
                <w:szCs w:val="22"/>
                <w:lang w:val="sr-Latn-ME" w:eastAsia="sr-Latn-CS"/>
              </w:rPr>
            </w:pPr>
          </w:p>
          <w:p w14:paraId="7ED4D438"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54</w:t>
            </w:r>
          </w:p>
        </w:tc>
        <w:tc>
          <w:tcPr>
            <w:tcW w:w="993" w:type="dxa"/>
            <w:tcBorders>
              <w:top w:val="single" w:sz="4" w:space="0" w:color="auto"/>
              <w:left w:val="single" w:sz="4" w:space="0" w:color="auto"/>
              <w:bottom w:val="nil"/>
              <w:right w:val="single" w:sz="4" w:space="0" w:color="auto"/>
            </w:tcBorders>
            <w:shd w:val="clear" w:color="auto" w:fill="FFFFFF"/>
          </w:tcPr>
          <w:p w14:paraId="45DE66F9" w14:textId="77777777" w:rsidR="00F37492" w:rsidRPr="00F37492" w:rsidRDefault="00F37492" w:rsidP="000A557B">
            <w:pPr>
              <w:jc w:val="center"/>
              <w:rPr>
                <w:sz w:val="22"/>
                <w:szCs w:val="22"/>
                <w:lang w:val="sr-Latn-ME" w:eastAsia="sr-Latn-CS"/>
              </w:rPr>
            </w:pPr>
          </w:p>
          <w:p w14:paraId="00213767"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11</w:t>
            </w:r>
          </w:p>
        </w:tc>
        <w:tc>
          <w:tcPr>
            <w:tcW w:w="992" w:type="dxa"/>
            <w:tcBorders>
              <w:top w:val="single" w:sz="4" w:space="0" w:color="auto"/>
              <w:left w:val="single" w:sz="4" w:space="0" w:color="auto"/>
              <w:bottom w:val="nil"/>
              <w:right w:val="single" w:sz="4" w:space="0" w:color="auto"/>
            </w:tcBorders>
            <w:shd w:val="clear" w:color="auto" w:fill="FFFFFF"/>
          </w:tcPr>
          <w:p w14:paraId="15570ED6" w14:textId="77777777" w:rsidR="00F37492" w:rsidRPr="00F37492" w:rsidRDefault="00F37492" w:rsidP="000A557B">
            <w:pPr>
              <w:jc w:val="center"/>
              <w:rPr>
                <w:sz w:val="22"/>
                <w:szCs w:val="22"/>
                <w:lang w:val="sr-Latn-ME" w:eastAsia="sr-Latn-CS"/>
              </w:rPr>
            </w:pPr>
          </w:p>
          <w:p w14:paraId="47E0E5DC"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1</w:t>
            </w:r>
          </w:p>
        </w:tc>
        <w:tc>
          <w:tcPr>
            <w:tcW w:w="992" w:type="dxa"/>
            <w:tcBorders>
              <w:top w:val="single" w:sz="4" w:space="0" w:color="auto"/>
              <w:left w:val="single" w:sz="4" w:space="0" w:color="auto"/>
              <w:bottom w:val="nil"/>
              <w:right w:val="single" w:sz="4" w:space="0" w:color="auto"/>
            </w:tcBorders>
            <w:shd w:val="clear" w:color="auto" w:fill="FFFFFF"/>
          </w:tcPr>
          <w:p w14:paraId="19DF0105" w14:textId="77777777" w:rsidR="00F37492" w:rsidRPr="00F37492" w:rsidRDefault="00F37492" w:rsidP="000A557B">
            <w:pPr>
              <w:jc w:val="center"/>
              <w:rPr>
                <w:sz w:val="22"/>
                <w:szCs w:val="22"/>
                <w:lang w:val="sr-Latn-ME" w:eastAsia="sr-Latn-CS"/>
              </w:rPr>
            </w:pPr>
          </w:p>
          <w:p w14:paraId="1B36EF8A"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0</w:t>
            </w:r>
          </w:p>
        </w:tc>
        <w:tc>
          <w:tcPr>
            <w:tcW w:w="992" w:type="dxa"/>
            <w:tcBorders>
              <w:top w:val="single" w:sz="4" w:space="0" w:color="auto"/>
              <w:left w:val="single" w:sz="4" w:space="0" w:color="auto"/>
              <w:bottom w:val="nil"/>
              <w:right w:val="single" w:sz="4" w:space="0" w:color="auto"/>
            </w:tcBorders>
            <w:shd w:val="clear" w:color="auto" w:fill="FFFFFF"/>
          </w:tcPr>
          <w:p w14:paraId="259048FE" w14:textId="77777777" w:rsidR="00F37492" w:rsidRPr="00F37492" w:rsidRDefault="00F37492" w:rsidP="000A557B">
            <w:pPr>
              <w:jc w:val="center"/>
              <w:rPr>
                <w:sz w:val="22"/>
                <w:szCs w:val="22"/>
                <w:lang w:val="sr-Latn-ME" w:eastAsia="sr-Latn-CS"/>
              </w:rPr>
            </w:pPr>
          </w:p>
          <w:p w14:paraId="2B4CF32B"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36</w:t>
            </w:r>
          </w:p>
        </w:tc>
        <w:tc>
          <w:tcPr>
            <w:tcW w:w="993" w:type="dxa"/>
            <w:tcBorders>
              <w:top w:val="single" w:sz="4" w:space="0" w:color="auto"/>
              <w:left w:val="single" w:sz="4" w:space="0" w:color="auto"/>
              <w:bottom w:val="nil"/>
              <w:right w:val="single" w:sz="4" w:space="0" w:color="auto"/>
            </w:tcBorders>
            <w:shd w:val="clear" w:color="auto" w:fill="FFFFFF"/>
          </w:tcPr>
          <w:p w14:paraId="4219899E" w14:textId="77777777" w:rsidR="00F37492" w:rsidRPr="00F37492" w:rsidRDefault="00F37492" w:rsidP="000A557B">
            <w:pPr>
              <w:jc w:val="center"/>
              <w:rPr>
                <w:sz w:val="22"/>
                <w:szCs w:val="22"/>
                <w:lang w:val="sr-Latn-ME" w:eastAsia="sr-Latn-CS"/>
              </w:rPr>
            </w:pPr>
          </w:p>
          <w:p w14:paraId="68C159CC"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5</w:t>
            </w:r>
          </w:p>
        </w:tc>
        <w:tc>
          <w:tcPr>
            <w:tcW w:w="992" w:type="dxa"/>
            <w:tcBorders>
              <w:top w:val="single" w:sz="4" w:space="0" w:color="auto"/>
              <w:left w:val="single" w:sz="4" w:space="0" w:color="auto"/>
              <w:bottom w:val="nil"/>
              <w:right w:val="single" w:sz="4" w:space="0" w:color="auto"/>
            </w:tcBorders>
            <w:shd w:val="clear" w:color="auto" w:fill="FFFFFF"/>
          </w:tcPr>
          <w:p w14:paraId="5C9EDA6C" w14:textId="77777777" w:rsidR="00F37492" w:rsidRPr="00F37492" w:rsidRDefault="00F37492" w:rsidP="000A557B">
            <w:pPr>
              <w:jc w:val="center"/>
              <w:rPr>
                <w:sz w:val="22"/>
                <w:szCs w:val="22"/>
                <w:lang w:val="sr-Latn-ME" w:eastAsia="sr-Latn-CS"/>
              </w:rPr>
            </w:pPr>
          </w:p>
          <w:p w14:paraId="552E4FFA"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0</w:t>
            </w:r>
          </w:p>
        </w:tc>
        <w:tc>
          <w:tcPr>
            <w:tcW w:w="992" w:type="dxa"/>
            <w:tcBorders>
              <w:top w:val="single" w:sz="4" w:space="0" w:color="auto"/>
              <w:left w:val="single" w:sz="4" w:space="0" w:color="auto"/>
              <w:bottom w:val="nil"/>
              <w:right w:val="single" w:sz="4" w:space="0" w:color="auto"/>
            </w:tcBorders>
            <w:shd w:val="clear" w:color="auto" w:fill="FFFFFF"/>
          </w:tcPr>
          <w:p w14:paraId="6CBF157D" w14:textId="77777777" w:rsidR="00F37492" w:rsidRPr="00F37492" w:rsidRDefault="00F37492" w:rsidP="000A557B">
            <w:pPr>
              <w:jc w:val="center"/>
              <w:rPr>
                <w:sz w:val="22"/>
                <w:szCs w:val="22"/>
                <w:lang w:val="sr-Latn-ME" w:eastAsia="sr-Latn-CS"/>
              </w:rPr>
            </w:pPr>
          </w:p>
          <w:p w14:paraId="79A85D49"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0</w:t>
            </w:r>
          </w:p>
        </w:tc>
      </w:tr>
      <w:tr w:rsidR="00F37492" w:rsidRPr="00F37492" w14:paraId="649E3499" w14:textId="77777777" w:rsidTr="00703819">
        <w:trPr>
          <w:trHeight w:val="1223"/>
          <w:jc w:val="center"/>
        </w:trPr>
        <w:tc>
          <w:tcPr>
            <w:tcW w:w="1271" w:type="dxa"/>
            <w:vMerge/>
            <w:tcBorders>
              <w:left w:val="single" w:sz="4" w:space="0" w:color="auto"/>
              <w:right w:val="single" w:sz="4" w:space="0" w:color="auto"/>
            </w:tcBorders>
            <w:shd w:val="clear" w:color="auto" w:fill="FFFFFF"/>
          </w:tcPr>
          <w:p w14:paraId="3201E63C" w14:textId="77777777" w:rsidR="00F37492" w:rsidRPr="00F37492" w:rsidRDefault="00F37492" w:rsidP="000A557B">
            <w:pPr>
              <w:shd w:val="clear" w:color="auto" w:fill="FFFFFF"/>
              <w:rPr>
                <w:rFonts w:cs="Arial Unicode MS"/>
                <w:sz w:val="22"/>
                <w:szCs w:val="22"/>
                <w:lang w:val="sr-Latn-ME" w:eastAsia="sr-Latn-ME"/>
              </w:rPr>
            </w:pPr>
          </w:p>
        </w:tc>
        <w:tc>
          <w:tcPr>
            <w:tcW w:w="992" w:type="dxa"/>
            <w:tcBorders>
              <w:top w:val="nil"/>
              <w:left w:val="single" w:sz="4" w:space="0" w:color="auto"/>
              <w:right w:val="single" w:sz="4" w:space="0" w:color="auto"/>
            </w:tcBorders>
            <w:shd w:val="clear" w:color="auto" w:fill="FFFFFF"/>
          </w:tcPr>
          <w:p w14:paraId="0DEA645E"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(47,8)</w:t>
            </w:r>
          </w:p>
        </w:tc>
        <w:tc>
          <w:tcPr>
            <w:tcW w:w="993" w:type="dxa"/>
            <w:tcBorders>
              <w:top w:val="nil"/>
              <w:left w:val="single" w:sz="4" w:space="0" w:color="auto"/>
              <w:right w:val="single" w:sz="4" w:space="0" w:color="auto"/>
            </w:tcBorders>
            <w:shd w:val="clear" w:color="auto" w:fill="FFFFFF"/>
          </w:tcPr>
          <w:p w14:paraId="74191215"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(27,5)</w:t>
            </w:r>
          </w:p>
        </w:tc>
        <w:tc>
          <w:tcPr>
            <w:tcW w:w="992" w:type="dxa"/>
            <w:tcBorders>
              <w:top w:val="nil"/>
              <w:left w:val="single" w:sz="4" w:space="0" w:color="auto"/>
              <w:right w:val="single" w:sz="4" w:space="0" w:color="auto"/>
            </w:tcBorders>
            <w:shd w:val="clear" w:color="auto" w:fill="FFFFFF"/>
          </w:tcPr>
          <w:p w14:paraId="00D7A8B8"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(0,8)</w:t>
            </w:r>
          </w:p>
        </w:tc>
        <w:tc>
          <w:tcPr>
            <w:tcW w:w="992" w:type="dxa"/>
            <w:tcBorders>
              <w:top w:val="nil"/>
              <w:left w:val="single" w:sz="4" w:space="0" w:color="auto"/>
              <w:right w:val="single" w:sz="4" w:space="0" w:color="auto"/>
            </w:tcBorders>
            <w:shd w:val="clear" w:color="auto" w:fill="FFFFFF"/>
          </w:tcPr>
          <w:p w14:paraId="6C703C56" w14:textId="77777777" w:rsidR="00F37492" w:rsidRPr="00F37492" w:rsidRDefault="00F37492" w:rsidP="000A557B">
            <w:pPr>
              <w:jc w:val="center"/>
              <w:rPr>
                <w:sz w:val="22"/>
                <w:szCs w:val="22"/>
                <w:lang w:eastAsia="zh-CN"/>
              </w:rPr>
            </w:pPr>
          </w:p>
        </w:tc>
        <w:tc>
          <w:tcPr>
            <w:tcW w:w="992" w:type="dxa"/>
            <w:tcBorders>
              <w:top w:val="nil"/>
              <w:left w:val="single" w:sz="4" w:space="0" w:color="auto"/>
              <w:right w:val="single" w:sz="4" w:space="0" w:color="auto"/>
            </w:tcBorders>
            <w:shd w:val="clear" w:color="auto" w:fill="FFFFFF"/>
          </w:tcPr>
          <w:p w14:paraId="28C79081"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(32,7)</w:t>
            </w:r>
          </w:p>
        </w:tc>
        <w:tc>
          <w:tcPr>
            <w:tcW w:w="993" w:type="dxa"/>
            <w:tcBorders>
              <w:top w:val="nil"/>
              <w:left w:val="single" w:sz="4" w:space="0" w:color="auto"/>
              <w:right w:val="single" w:sz="4" w:space="0" w:color="auto"/>
            </w:tcBorders>
            <w:shd w:val="clear" w:color="auto" w:fill="FFFFFF"/>
          </w:tcPr>
          <w:p w14:paraId="0AFF5B0A"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(14,3)</w:t>
            </w:r>
          </w:p>
        </w:tc>
        <w:tc>
          <w:tcPr>
            <w:tcW w:w="992" w:type="dxa"/>
            <w:tcBorders>
              <w:top w:val="nil"/>
              <w:left w:val="single" w:sz="4" w:space="0" w:color="auto"/>
              <w:right w:val="single" w:sz="4" w:space="0" w:color="auto"/>
            </w:tcBorders>
            <w:shd w:val="clear" w:color="auto" w:fill="FFFFFF"/>
          </w:tcPr>
          <w:p w14:paraId="01544EA0" w14:textId="77777777" w:rsidR="00F37492" w:rsidRPr="00F37492" w:rsidRDefault="00F37492" w:rsidP="000A557B">
            <w:pPr>
              <w:jc w:val="center"/>
              <w:rPr>
                <w:sz w:val="22"/>
                <w:szCs w:val="22"/>
                <w:lang w:eastAsia="zh-CN"/>
              </w:rPr>
            </w:pPr>
          </w:p>
        </w:tc>
        <w:tc>
          <w:tcPr>
            <w:tcW w:w="992" w:type="dxa"/>
            <w:tcBorders>
              <w:top w:val="nil"/>
              <w:left w:val="single" w:sz="4" w:space="0" w:color="auto"/>
              <w:right w:val="single" w:sz="4" w:space="0" w:color="auto"/>
            </w:tcBorders>
            <w:shd w:val="clear" w:color="auto" w:fill="FFFFFF"/>
          </w:tcPr>
          <w:p w14:paraId="1A590840" w14:textId="77777777" w:rsidR="00F37492" w:rsidRPr="00F37492" w:rsidRDefault="00F37492" w:rsidP="000A557B">
            <w:pPr>
              <w:jc w:val="center"/>
              <w:rPr>
                <w:sz w:val="22"/>
                <w:szCs w:val="22"/>
                <w:lang w:eastAsia="zh-CN"/>
              </w:rPr>
            </w:pPr>
          </w:p>
        </w:tc>
      </w:tr>
      <w:tr w:rsidR="00F37492" w:rsidRPr="00F37492" w14:paraId="273EE2D9" w14:textId="77777777" w:rsidTr="00703819">
        <w:trPr>
          <w:trHeight w:val="27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cPr>
          <w:p w14:paraId="2454C383" w14:textId="77777777" w:rsidR="00F37492" w:rsidRPr="00F37492" w:rsidRDefault="00F37492" w:rsidP="000A557B">
            <w:pPr>
              <w:rPr>
                <w:rFonts w:cs="Arial Unicode MS"/>
                <w:sz w:val="22"/>
                <w:szCs w:val="22"/>
                <w:lang w:val="sr-Latn-ME" w:eastAsia="sr-Latn-ME"/>
              </w:rPr>
            </w:pPr>
            <w:r w:rsidRPr="00F37492">
              <w:rPr>
                <w:sz w:val="22"/>
                <w:szCs w:val="22"/>
                <w:lang w:val="sr-Latn-ME" w:eastAsia="sr-Latn-CS"/>
              </w:rPr>
              <w:t>Vremenski parametar</w:t>
            </w:r>
          </w:p>
        </w:tc>
        <w:tc>
          <w:tcPr>
            <w:tcW w:w="3969" w:type="dxa"/>
            <w:gridSpan w:val="4"/>
            <w:tcBorders>
              <w:top w:val="single" w:sz="4" w:space="0" w:color="auto"/>
              <w:left w:val="single" w:sz="4" w:space="0" w:color="auto"/>
              <w:bottom w:val="single" w:sz="4" w:space="0" w:color="auto"/>
              <w:right w:val="single" w:sz="4" w:space="0" w:color="auto"/>
            </w:tcBorders>
            <w:shd w:val="clear" w:color="auto" w:fill="FFFFFF"/>
          </w:tcPr>
          <w:p w14:paraId="62DD465D"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Poslije 24 nedjelje</w:t>
            </w:r>
          </w:p>
        </w:tc>
        <w:tc>
          <w:tcPr>
            <w:tcW w:w="3969" w:type="dxa"/>
            <w:gridSpan w:val="4"/>
            <w:tcBorders>
              <w:top w:val="single" w:sz="4" w:space="0" w:color="auto"/>
              <w:left w:val="single" w:sz="4" w:space="0" w:color="auto"/>
              <w:bottom w:val="single" w:sz="4" w:space="0" w:color="auto"/>
              <w:right w:val="single" w:sz="4" w:space="0" w:color="auto"/>
            </w:tcBorders>
            <w:shd w:val="clear" w:color="auto" w:fill="FFFFFF"/>
          </w:tcPr>
          <w:p w14:paraId="5DE14C74" w14:textId="77777777" w:rsidR="00F37492" w:rsidRPr="00F37492" w:rsidRDefault="00F37492" w:rsidP="000A557B">
            <w:pPr>
              <w:jc w:val="center"/>
              <w:rPr>
                <w:rFonts w:cs="Arial Unicode MS"/>
                <w:sz w:val="22"/>
                <w:szCs w:val="22"/>
                <w:lang w:val="sr-Latn-ME" w:eastAsia="sr-Latn-ME"/>
              </w:rPr>
            </w:pPr>
            <w:r w:rsidRPr="00F37492">
              <w:rPr>
                <w:sz w:val="22"/>
                <w:szCs w:val="22"/>
                <w:lang w:val="sr-Latn-ME" w:eastAsia="sr-Latn-CS"/>
              </w:rPr>
              <w:t>Poslije 48 nedjelja</w:t>
            </w:r>
          </w:p>
        </w:tc>
      </w:tr>
    </w:tbl>
    <w:p w14:paraId="3291571B" w14:textId="77777777" w:rsidR="00F37492" w:rsidRPr="00F37492" w:rsidRDefault="00F37492" w:rsidP="000A557B">
      <w:pPr>
        <w:keepNext/>
        <w:keepLines/>
        <w:jc w:val="both"/>
        <w:outlineLvl w:val="0"/>
        <w:rPr>
          <w:rFonts w:cs="Arial Unicode MS"/>
          <w:b/>
          <w:bCs/>
          <w:sz w:val="22"/>
          <w:szCs w:val="22"/>
          <w:lang w:val="sr-Latn-ME" w:eastAsia="sr-Latn-ME"/>
        </w:rPr>
      </w:pPr>
    </w:p>
    <w:p w14:paraId="0CC76A19" w14:textId="0F916AF5" w:rsidR="00F37492" w:rsidRPr="00F37492" w:rsidRDefault="00F37492" w:rsidP="000A557B">
      <w:pPr>
        <w:widowControl w:val="0"/>
        <w:numPr>
          <w:ilvl w:val="12"/>
          <w:numId w:val="0"/>
        </w:numPr>
        <w:tabs>
          <w:tab w:val="left" w:pos="720"/>
        </w:tabs>
        <w:jc w:val="both"/>
        <w:rPr>
          <w:iCs/>
          <w:sz w:val="22"/>
          <w:szCs w:val="22"/>
          <w:lang w:val="hr-HR"/>
        </w:rPr>
      </w:pPr>
      <w:r w:rsidRPr="00F37492">
        <w:rPr>
          <w:iCs/>
          <w:sz w:val="22"/>
          <w:szCs w:val="22"/>
          <w:lang w:val="hr-HR"/>
        </w:rPr>
        <w:t>Vjerovatnoća održavanja odgovora slezine (smanjenje ≥</w:t>
      </w:r>
      <w:r w:rsidR="00726254">
        <w:rPr>
          <w:iCs/>
          <w:sz w:val="22"/>
          <w:szCs w:val="22"/>
          <w:lang w:val="hr-HR"/>
        </w:rPr>
        <w:t xml:space="preserve"> </w:t>
      </w:r>
      <w:r w:rsidRPr="00F37492">
        <w:rPr>
          <w:iCs/>
          <w:sz w:val="22"/>
          <w:szCs w:val="22"/>
          <w:lang w:val="hr-HR"/>
        </w:rPr>
        <w:t>35%) uz lijek Jakavi tokom najmanje 24 nedjelje bila je 89% u COMFORT-I i 87% u COMFORT-II; 52% je održalo odgovore slezine tokom najmanje 48 nedjelja u COMFORT-II ispitivanju.</w:t>
      </w:r>
    </w:p>
    <w:p w14:paraId="593DF8E7" w14:textId="77777777" w:rsidR="00F37492" w:rsidRPr="00F37492" w:rsidRDefault="00F37492" w:rsidP="000A557B">
      <w:pPr>
        <w:widowControl w:val="0"/>
        <w:numPr>
          <w:ilvl w:val="12"/>
          <w:numId w:val="0"/>
        </w:numPr>
        <w:tabs>
          <w:tab w:val="left" w:pos="720"/>
        </w:tabs>
        <w:jc w:val="both"/>
        <w:rPr>
          <w:iCs/>
          <w:sz w:val="22"/>
          <w:szCs w:val="22"/>
          <w:lang w:val="hr-HR"/>
        </w:rPr>
      </w:pPr>
    </w:p>
    <w:p w14:paraId="39829C1F" w14:textId="26D62FEB" w:rsidR="00F37492" w:rsidRPr="00F37492" w:rsidRDefault="00F37492" w:rsidP="000A557B">
      <w:pPr>
        <w:tabs>
          <w:tab w:val="left" w:pos="567"/>
        </w:tabs>
        <w:spacing w:line="260" w:lineRule="exact"/>
        <w:jc w:val="both"/>
        <w:rPr>
          <w:sz w:val="22"/>
          <w:szCs w:val="20"/>
          <w:lang w:val="hr-HR"/>
        </w:rPr>
      </w:pPr>
      <w:r w:rsidRPr="00F37492">
        <w:rPr>
          <w:sz w:val="22"/>
          <w:szCs w:val="20"/>
          <w:lang w:val="hr-HR"/>
        </w:rPr>
        <w:t>U ispitivanju COMFORT-I, 45,9% ispitanika u grupi koja je primala lijek Jakavi postiglo je poboljšanje ≥</w:t>
      </w:r>
      <w:r w:rsidR="00726254">
        <w:rPr>
          <w:sz w:val="22"/>
          <w:szCs w:val="20"/>
          <w:lang w:val="hr-HR"/>
        </w:rPr>
        <w:t xml:space="preserve"> </w:t>
      </w:r>
      <w:r w:rsidRPr="00F37492">
        <w:rPr>
          <w:sz w:val="22"/>
          <w:szCs w:val="20"/>
          <w:lang w:val="hr-HR"/>
        </w:rPr>
        <w:t>50% u odnosu na početnu vrijednost u ukupnom skoru simptoma u 24. nedjelji (mjereno pomoću dnevnika MFSAF v2.0), u poređenju sa 5,3% u placebo grupi (p&lt;</w:t>
      </w:r>
      <w:r w:rsidR="00726254">
        <w:rPr>
          <w:sz w:val="22"/>
          <w:szCs w:val="20"/>
          <w:lang w:val="hr-HR"/>
        </w:rPr>
        <w:t xml:space="preserve"> </w:t>
      </w:r>
      <w:r w:rsidRPr="00F37492">
        <w:rPr>
          <w:sz w:val="22"/>
          <w:szCs w:val="20"/>
          <w:lang w:val="hr-HR"/>
        </w:rPr>
        <w:t xml:space="preserve">0,0001 koristeći hi-kvadrat test). Srednja </w:t>
      </w:r>
      <w:r w:rsidR="00726254">
        <w:rPr>
          <w:sz w:val="22"/>
          <w:szCs w:val="20"/>
          <w:lang w:val="hr-HR"/>
        </w:rPr>
        <w:t xml:space="preserve">vrijednost </w:t>
      </w:r>
      <w:r w:rsidRPr="00F37492">
        <w:rPr>
          <w:sz w:val="22"/>
          <w:szCs w:val="20"/>
          <w:lang w:val="hr-HR"/>
        </w:rPr>
        <w:t>promjena u opštem zdravstvenom statusu u 24. nedjelji, mjereno pomoću EORTC QLQ C30, bila je +12,3 za lijek Jakavi i -3,4 za placebo (p&lt;</w:t>
      </w:r>
      <w:r w:rsidR="00726254">
        <w:rPr>
          <w:sz w:val="22"/>
          <w:szCs w:val="20"/>
          <w:lang w:val="hr-HR"/>
        </w:rPr>
        <w:t xml:space="preserve"> </w:t>
      </w:r>
      <w:r w:rsidRPr="00F37492">
        <w:rPr>
          <w:sz w:val="22"/>
          <w:szCs w:val="20"/>
          <w:lang w:val="hr-HR"/>
        </w:rPr>
        <w:t>0,0001).</w:t>
      </w:r>
    </w:p>
    <w:p w14:paraId="62AC21CF" w14:textId="77777777" w:rsidR="00F37492" w:rsidRPr="00F37492" w:rsidRDefault="00F37492" w:rsidP="000A557B">
      <w:pPr>
        <w:tabs>
          <w:tab w:val="left" w:pos="567"/>
        </w:tabs>
        <w:spacing w:line="260" w:lineRule="exact"/>
        <w:jc w:val="both"/>
        <w:rPr>
          <w:sz w:val="22"/>
          <w:szCs w:val="20"/>
          <w:lang w:val="hr-HR"/>
        </w:rPr>
      </w:pPr>
    </w:p>
    <w:p w14:paraId="0099E628" w14:textId="77777777" w:rsidR="00F37492" w:rsidRPr="00F37492" w:rsidRDefault="00F37492" w:rsidP="000A557B">
      <w:pPr>
        <w:widowControl w:val="0"/>
        <w:numPr>
          <w:ilvl w:val="12"/>
          <w:numId w:val="0"/>
        </w:numPr>
        <w:tabs>
          <w:tab w:val="left" w:pos="720"/>
        </w:tabs>
        <w:jc w:val="both"/>
        <w:rPr>
          <w:sz w:val="22"/>
          <w:szCs w:val="20"/>
          <w:lang w:val="hr-HR"/>
        </w:rPr>
      </w:pPr>
      <w:r w:rsidRPr="00F37492">
        <w:rPr>
          <w:sz w:val="22"/>
          <w:szCs w:val="20"/>
          <w:lang w:val="hr-HR"/>
        </w:rPr>
        <w:t>U ispitivanju COMFORT-I, nakon srednjeg vremena praćenja od 34,3 mjeseca, stopa smrtnosti kod pacijenata randomizovanih na ruksolitinib bila je 27,1% u odnosu na 35,1% kod pacijenata randomizovanih na placebo; HR 0,687; 95% CI 0,459</w:t>
      </w:r>
      <w:r w:rsidRPr="00F37492">
        <w:rPr>
          <w:sz w:val="22"/>
          <w:szCs w:val="20"/>
          <w:lang w:val="hr-HR"/>
        </w:rPr>
        <w:noBreakHyphen/>
        <w:t>1,029; p=0,0668.</w:t>
      </w:r>
    </w:p>
    <w:p w14:paraId="2B1F4BD9" w14:textId="77777777" w:rsidR="00F37492" w:rsidRPr="00F37492" w:rsidRDefault="00F37492" w:rsidP="000A557B">
      <w:pPr>
        <w:widowControl w:val="0"/>
        <w:numPr>
          <w:ilvl w:val="12"/>
          <w:numId w:val="0"/>
        </w:numPr>
        <w:tabs>
          <w:tab w:val="left" w:pos="720"/>
        </w:tabs>
        <w:jc w:val="both"/>
        <w:rPr>
          <w:iCs/>
          <w:sz w:val="22"/>
          <w:szCs w:val="22"/>
          <w:lang w:val="hr-HR"/>
        </w:rPr>
      </w:pPr>
    </w:p>
    <w:p w14:paraId="6AAD89F7" w14:textId="77777777" w:rsidR="00F37492" w:rsidRPr="00F37492" w:rsidRDefault="00F37492" w:rsidP="000A557B">
      <w:pPr>
        <w:widowControl w:val="0"/>
        <w:numPr>
          <w:ilvl w:val="12"/>
          <w:numId w:val="0"/>
        </w:numPr>
        <w:jc w:val="both"/>
        <w:rPr>
          <w:iCs/>
          <w:sz w:val="22"/>
          <w:szCs w:val="22"/>
          <w:lang w:val="hr-HR"/>
        </w:rPr>
      </w:pPr>
      <w:r w:rsidRPr="00F37492">
        <w:rPr>
          <w:sz w:val="22"/>
          <w:szCs w:val="20"/>
          <w:lang w:val="hr-HR"/>
        </w:rPr>
        <w:t>U ispitivanju COMFORT-I, nakon medijane pra</w:t>
      </w:r>
      <w:r w:rsidRPr="00F37492">
        <w:rPr>
          <w:sz w:val="22"/>
          <w:szCs w:val="20"/>
          <w:lang w:val="sr-Latn-RS"/>
        </w:rPr>
        <w:t>ćenja</w:t>
      </w:r>
      <w:r w:rsidRPr="00F37492">
        <w:rPr>
          <w:sz w:val="22"/>
          <w:szCs w:val="20"/>
          <w:lang w:val="hr-HR"/>
        </w:rPr>
        <w:t xml:space="preserve"> od 61,7 mjeseci, stopa smrtnosti kod pacijenata randomizovanih u grupu koje je primala ruksolitinib bila je 44,5% (69 od 155 pacijenata) u odnosu na 53,2% (82 od 154) kod pacijenata randomizovanih na placebo; Zabilježeno je smanjenje rizika od smrti za 31% u grupi na ruksolitinibu u poređenju sa grupom na placebu (HR 0,69; 95% CI 0,50</w:t>
      </w:r>
      <w:r w:rsidRPr="00F37492">
        <w:rPr>
          <w:sz w:val="22"/>
          <w:szCs w:val="20"/>
          <w:lang w:val="hr-HR"/>
        </w:rPr>
        <w:noBreakHyphen/>
        <w:t>0,96; p=0,025).</w:t>
      </w:r>
    </w:p>
    <w:p w14:paraId="1E92AEAC" w14:textId="77777777" w:rsidR="00F37492" w:rsidRPr="00F37492" w:rsidRDefault="00F37492" w:rsidP="000A557B">
      <w:pPr>
        <w:widowControl w:val="0"/>
        <w:numPr>
          <w:ilvl w:val="12"/>
          <w:numId w:val="0"/>
        </w:numPr>
        <w:tabs>
          <w:tab w:val="left" w:pos="720"/>
        </w:tabs>
        <w:jc w:val="both"/>
        <w:rPr>
          <w:iCs/>
          <w:sz w:val="22"/>
          <w:szCs w:val="22"/>
          <w:lang w:val="hr-HR"/>
        </w:rPr>
      </w:pPr>
    </w:p>
    <w:p w14:paraId="7C43C7DC" w14:textId="77777777" w:rsidR="00F37492" w:rsidRPr="00F37492" w:rsidRDefault="00F37492" w:rsidP="000A557B">
      <w:pPr>
        <w:widowControl w:val="0"/>
        <w:numPr>
          <w:ilvl w:val="12"/>
          <w:numId w:val="0"/>
        </w:numPr>
        <w:tabs>
          <w:tab w:val="left" w:pos="720"/>
        </w:tabs>
        <w:jc w:val="both"/>
        <w:rPr>
          <w:sz w:val="22"/>
          <w:szCs w:val="20"/>
          <w:lang w:val="hr-HR"/>
        </w:rPr>
      </w:pPr>
      <w:r w:rsidRPr="00F37492">
        <w:rPr>
          <w:sz w:val="22"/>
          <w:szCs w:val="20"/>
          <w:lang w:val="hr-HR"/>
        </w:rPr>
        <w:t>U ispitivanju COMFORT-II, nakon srednjeg vremena praćenja od 34,7 mjeseci, stopa smrtnosti kod pacijenata randomizovanih na ruksolitinib bila je 19,9% u odnosu na 30,1% kod pacijenata randomizovanih na najbolju dostupnu terapiju (NDT); HR 0,48; 95% CI 0,28</w:t>
      </w:r>
      <w:r w:rsidRPr="00F37492">
        <w:rPr>
          <w:sz w:val="22"/>
          <w:szCs w:val="20"/>
          <w:lang w:val="hr-HR"/>
        </w:rPr>
        <w:noBreakHyphen/>
        <w:t>0,85; p=0,009. U oba ispitivanja niže stope smrtnosti zabilježene u ruksolitinib grupi bile su uglavnom uzrokovane rezultatima dobijenim u podgrupama sa mijelofibrozom nakon policitemije vere i mijelofibrozom nakon esencijalne trombocitemije.</w:t>
      </w:r>
    </w:p>
    <w:p w14:paraId="4F5738C9" w14:textId="77777777" w:rsidR="00F37492" w:rsidRPr="00F37492" w:rsidRDefault="00F37492" w:rsidP="000A557B">
      <w:pPr>
        <w:widowControl w:val="0"/>
        <w:numPr>
          <w:ilvl w:val="12"/>
          <w:numId w:val="0"/>
        </w:numPr>
        <w:tabs>
          <w:tab w:val="left" w:pos="720"/>
        </w:tabs>
        <w:jc w:val="both"/>
        <w:rPr>
          <w:sz w:val="22"/>
          <w:szCs w:val="20"/>
          <w:lang w:val="hr-HR"/>
        </w:rPr>
      </w:pPr>
    </w:p>
    <w:p w14:paraId="602A4638" w14:textId="77777777" w:rsidR="00F37492" w:rsidRPr="00F37492" w:rsidRDefault="00F37492" w:rsidP="000A557B">
      <w:pPr>
        <w:widowControl w:val="0"/>
        <w:numPr>
          <w:ilvl w:val="12"/>
          <w:numId w:val="0"/>
        </w:numPr>
        <w:jc w:val="both"/>
        <w:rPr>
          <w:iCs/>
          <w:sz w:val="22"/>
          <w:szCs w:val="22"/>
          <w:lang w:val="hr-HR"/>
        </w:rPr>
      </w:pPr>
      <w:r w:rsidRPr="00F37492">
        <w:rPr>
          <w:sz w:val="22"/>
          <w:szCs w:val="20"/>
          <w:lang w:val="hr-HR"/>
        </w:rPr>
        <w:t>U ispitivanju COMFORT-II, nakon medijane praćenja od 55,9 meseci, stopa smrtnosti kod pacijenata randomizovanih na ruksolitinib bila je 40,4% (59 od 146 pacijenata) u odnosu na 47,9% (35 od 73) kod pacijenata randomizovanih na najbolju dostupnu terapiju. Zabilježeno je smanjenje rizika od smrti za 33% u grupi na ruksolitinibu u poređenju sa grupom na najboljoj dostupnoj terapiji (HR 0,67; 95% CI 0,44</w:t>
      </w:r>
      <w:r w:rsidRPr="00F37492">
        <w:rPr>
          <w:sz w:val="22"/>
          <w:szCs w:val="20"/>
          <w:lang w:val="hr-HR"/>
        </w:rPr>
        <w:noBreakHyphen/>
        <w:t>1,02; p=0,062).</w:t>
      </w:r>
    </w:p>
    <w:p w14:paraId="50D4ABF5" w14:textId="77777777" w:rsidR="00F37492" w:rsidRPr="00F37492" w:rsidRDefault="00F37492" w:rsidP="000A557B">
      <w:pPr>
        <w:widowControl w:val="0"/>
        <w:numPr>
          <w:ilvl w:val="12"/>
          <w:numId w:val="0"/>
        </w:numPr>
        <w:tabs>
          <w:tab w:val="left" w:pos="720"/>
        </w:tabs>
        <w:jc w:val="both"/>
        <w:rPr>
          <w:iCs/>
          <w:sz w:val="22"/>
          <w:szCs w:val="22"/>
          <w:lang w:val="hr-HR"/>
        </w:rPr>
      </w:pPr>
    </w:p>
    <w:p w14:paraId="09D5B923" w14:textId="77777777" w:rsidR="00F37492" w:rsidRPr="00F37492" w:rsidRDefault="00F37492" w:rsidP="000A557B">
      <w:pPr>
        <w:keepNext/>
        <w:widowControl w:val="0"/>
        <w:numPr>
          <w:ilvl w:val="12"/>
          <w:numId w:val="0"/>
        </w:numPr>
        <w:tabs>
          <w:tab w:val="left" w:pos="720"/>
        </w:tabs>
        <w:jc w:val="both"/>
        <w:rPr>
          <w:i/>
          <w:iCs/>
          <w:sz w:val="22"/>
          <w:szCs w:val="22"/>
          <w:u w:val="single"/>
          <w:lang w:val="hr-HR"/>
        </w:rPr>
      </w:pPr>
      <w:r w:rsidRPr="00F37492">
        <w:rPr>
          <w:i/>
          <w:iCs/>
          <w:sz w:val="22"/>
          <w:szCs w:val="22"/>
          <w:u w:val="single"/>
          <w:lang w:val="hr-HR"/>
        </w:rPr>
        <w:t>Policitemija vera</w:t>
      </w:r>
    </w:p>
    <w:p w14:paraId="672C331A" w14:textId="5222C52E" w:rsidR="00F37492" w:rsidRPr="00F37492" w:rsidRDefault="00F37492" w:rsidP="000A557B">
      <w:pPr>
        <w:widowControl w:val="0"/>
        <w:numPr>
          <w:ilvl w:val="12"/>
          <w:numId w:val="0"/>
        </w:numPr>
        <w:tabs>
          <w:tab w:val="left" w:pos="720"/>
        </w:tabs>
        <w:jc w:val="both"/>
        <w:rPr>
          <w:sz w:val="22"/>
          <w:szCs w:val="22"/>
          <w:lang w:val="hr-HR"/>
        </w:rPr>
      </w:pPr>
      <w:bookmarkStart w:id="4" w:name="_12273282Figure_44519Patients_achi"/>
      <w:bookmarkStart w:id="5" w:name="_12273318Figure_44519Patients_achi"/>
      <w:bookmarkEnd w:id="4"/>
      <w:bookmarkEnd w:id="5"/>
      <w:r w:rsidRPr="00F37492">
        <w:rPr>
          <w:sz w:val="22"/>
          <w:szCs w:val="22"/>
          <w:lang w:val="hr-HR"/>
        </w:rPr>
        <w:t xml:space="preserve">Randomizovano, otvoreno, aktivno kontrolisano ispitivanje faze 3 (RESPONSE) bilo je sprovedeno na 222 pacijenta sa PV koji su imali rezistenciju na hidroksiureu ili su bili netolerantni, definisano na osnovu objavljenih kriterijuma međunarodne radne grupe Evropske mreže za leukemiju (ELN). 110 </w:t>
      </w:r>
      <w:r w:rsidRPr="00F37492">
        <w:rPr>
          <w:sz w:val="22"/>
          <w:szCs w:val="22"/>
          <w:lang w:val="hr-HR"/>
        </w:rPr>
        <w:lastRenderedPageBreak/>
        <w:t>pacijenata je bilo randomizovano u grupu koja je primala ruksolitinib, a 112 pacijenata u grupu koja je primala NDT. Početna doza lijeka Jakavi je bila 10 mg dva puta na dan. Doze su zatim bile prilagođene kod individualnih pacijenata na osnovu podnošljivosti i efikasnosti uz najveću dozu od 25 mg dva puta na dan. NDT je odabrao istraživač za svakog pacijenta posebno, a uključivao je hidroksiureu (59,5%),</w:t>
      </w:r>
      <w:r w:rsidR="00726254">
        <w:rPr>
          <w:sz w:val="22"/>
          <w:szCs w:val="22"/>
          <w:lang w:val="hr-HR"/>
        </w:rPr>
        <w:t xml:space="preserve"> </w:t>
      </w:r>
      <w:r w:rsidRPr="00F37492">
        <w:rPr>
          <w:sz w:val="22"/>
          <w:szCs w:val="22"/>
          <w:lang w:val="hr-HR"/>
        </w:rPr>
        <w:t>interferon/pegilirani interferon (11,7%), anagrelid (7,2%), pipobroman (1,8%) i posmatranje (15,3%).</w:t>
      </w:r>
    </w:p>
    <w:p w14:paraId="25B15FE9" w14:textId="77777777" w:rsidR="00F37492" w:rsidRPr="00F37492" w:rsidRDefault="00F37492" w:rsidP="000A557B">
      <w:pPr>
        <w:widowControl w:val="0"/>
        <w:numPr>
          <w:ilvl w:val="12"/>
          <w:numId w:val="0"/>
        </w:numPr>
        <w:tabs>
          <w:tab w:val="left" w:pos="720"/>
        </w:tabs>
        <w:jc w:val="both"/>
        <w:rPr>
          <w:sz w:val="22"/>
          <w:szCs w:val="22"/>
          <w:lang w:val="hr-HR"/>
        </w:rPr>
      </w:pPr>
    </w:p>
    <w:p w14:paraId="20B943F7" w14:textId="69C1C172" w:rsidR="00F37492" w:rsidRPr="00F37492" w:rsidRDefault="00F37492" w:rsidP="000A557B">
      <w:pPr>
        <w:widowControl w:val="0"/>
        <w:numPr>
          <w:ilvl w:val="12"/>
          <w:numId w:val="0"/>
        </w:numPr>
        <w:tabs>
          <w:tab w:val="left" w:pos="720"/>
        </w:tabs>
        <w:jc w:val="both"/>
        <w:rPr>
          <w:sz w:val="22"/>
          <w:szCs w:val="22"/>
          <w:lang w:val="hr-HR"/>
        </w:rPr>
      </w:pPr>
      <w:r w:rsidRPr="00F37492">
        <w:rPr>
          <w:sz w:val="22"/>
          <w:szCs w:val="22"/>
          <w:lang w:val="hr-HR"/>
        </w:rPr>
        <w:t>Početne demografske karakteristike i karakteristike bolesti bile su uporedive između dvije terapijske grupe. Medijana starosne dobi je bila 60 godina (raspon od 33 do 90 godina). Pacijenti u grupi koja je primala ruksolitinib imali su dijagnozu PV tokom srednjeg vremena od 8,2 godine i prethodno su primali hidroksiureu tokom medijane vremena od otprilike 3 godine. Većina pacijenata (&gt;</w:t>
      </w:r>
      <w:r w:rsidR="000231A6">
        <w:rPr>
          <w:sz w:val="22"/>
          <w:szCs w:val="22"/>
          <w:lang w:val="hr-HR"/>
        </w:rPr>
        <w:t xml:space="preserve"> </w:t>
      </w:r>
      <w:r w:rsidRPr="00F37492">
        <w:rPr>
          <w:sz w:val="22"/>
          <w:szCs w:val="22"/>
          <w:lang w:val="hr-HR"/>
        </w:rPr>
        <w:t>80%) primila je najmanje dvije flebotomije u posljednje 24 nedjelje prije odabira. Ne postoje komparativni podaci o dugoročnom preživljenju i incidenci komplikacija bolesti.</w:t>
      </w:r>
    </w:p>
    <w:p w14:paraId="7E7117CB" w14:textId="77777777" w:rsidR="00F37492" w:rsidRPr="00F37492" w:rsidRDefault="00F37492" w:rsidP="000A557B">
      <w:pPr>
        <w:widowControl w:val="0"/>
        <w:numPr>
          <w:ilvl w:val="12"/>
          <w:numId w:val="0"/>
        </w:numPr>
        <w:tabs>
          <w:tab w:val="left" w:pos="720"/>
        </w:tabs>
        <w:jc w:val="both"/>
        <w:rPr>
          <w:sz w:val="22"/>
          <w:szCs w:val="22"/>
          <w:lang w:val="hr-HR"/>
        </w:rPr>
      </w:pPr>
    </w:p>
    <w:p w14:paraId="53AAC85F" w14:textId="31D90826" w:rsidR="00F37492" w:rsidRPr="00F37492" w:rsidRDefault="00F37492" w:rsidP="000A557B">
      <w:pPr>
        <w:widowControl w:val="0"/>
        <w:numPr>
          <w:ilvl w:val="12"/>
          <w:numId w:val="0"/>
        </w:numPr>
        <w:tabs>
          <w:tab w:val="left" w:pos="720"/>
        </w:tabs>
        <w:jc w:val="both"/>
        <w:rPr>
          <w:sz w:val="22"/>
          <w:szCs w:val="22"/>
          <w:lang w:val="hr-HR"/>
        </w:rPr>
      </w:pPr>
      <w:r w:rsidRPr="00F37492">
        <w:rPr>
          <w:sz w:val="22"/>
          <w:szCs w:val="22"/>
          <w:lang w:val="hr-HR"/>
        </w:rPr>
        <w:t>Primarni kompozitni ishod bio je procenat pacijenata koji su postigli i odustnost mogućnosti za flebotomiju (kontrola hematokrita) i smanjenje ≥</w:t>
      </w:r>
      <w:r w:rsidR="000231A6">
        <w:rPr>
          <w:sz w:val="22"/>
          <w:szCs w:val="22"/>
          <w:lang w:val="hr-HR"/>
        </w:rPr>
        <w:t xml:space="preserve"> </w:t>
      </w:r>
      <w:r w:rsidRPr="00F37492">
        <w:rPr>
          <w:sz w:val="22"/>
          <w:szCs w:val="22"/>
          <w:lang w:val="hr-HR"/>
        </w:rPr>
        <w:t>35% u volumenu slezene u 32. nedjelji u odnosu na početnu vrijednost. Mogućnost za flebotomiju bila je definisana kao potvrđeni hematokrit &gt;</w:t>
      </w:r>
      <w:r w:rsidR="000231A6">
        <w:rPr>
          <w:sz w:val="22"/>
          <w:szCs w:val="22"/>
          <w:lang w:val="hr-HR"/>
        </w:rPr>
        <w:t xml:space="preserve"> </w:t>
      </w:r>
      <w:r w:rsidRPr="00F37492">
        <w:rPr>
          <w:sz w:val="22"/>
          <w:szCs w:val="22"/>
          <w:lang w:val="hr-HR"/>
        </w:rPr>
        <w:t>45%, tj. najmanje 3 % boda viši od hematokrita dobijenog na početku ili potvrđeni hematokrit &gt;</w:t>
      </w:r>
      <w:r w:rsidR="000231A6">
        <w:rPr>
          <w:sz w:val="22"/>
          <w:szCs w:val="22"/>
          <w:lang w:val="hr-HR"/>
        </w:rPr>
        <w:t xml:space="preserve"> </w:t>
      </w:r>
      <w:r w:rsidRPr="00F37492">
        <w:rPr>
          <w:sz w:val="22"/>
          <w:szCs w:val="22"/>
          <w:lang w:val="hr-HR"/>
        </w:rPr>
        <w:t>48%, u zavisnosti od toga koji je bio niži. Ključni sekundarni ishodi uključivali su procenat pacijenata koji su postigli primarni ishod i ni</w:t>
      </w:r>
      <w:r w:rsidR="000231A6">
        <w:rPr>
          <w:sz w:val="22"/>
          <w:szCs w:val="22"/>
          <w:lang w:val="hr-HR"/>
        </w:rPr>
        <w:t>je</w:t>
      </w:r>
      <w:r w:rsidRPr="00F37492">
        <w:rPr>
          <w:sz w:val="22"/>
          <w:szCs w:val="22"/>
          <w:lang w:val="hr-HR"/>
        </w:rPr>
        <w:t>su imali progresiju do 48. nedjelje, kao i procenat pacijenata koji su postigli potpunu hematološku remisiju do 32. nedjelje.</w:t>
      </w:r>
    </w:p>
    <w:p w14:paraId="59D5C7A4" w14:textId="77777777" w:rsidR="00F37492" w:rsidRPr="00F37492" w:rsidRDefault="00F37492" w:rsidP="000A557B">
      <w:pPr>
        <w:widowControl w:val="0"/>
        <w:numPr>
          <w:ilvl w:val="12"/>
          <w:numId w:val="0"/>
        </w:numPr>
        <w:tabs>
          <w:tab w:val="left" w:pos="720"/>
        </w:tabs>
        <w:jc w:val="both"/>
        <w:rPr>
          <w:sz w:val="22"/>
          <w:szCs w:val="22"/>
          <w:lang w:val="hr-HR"/>
        </w:rPr>
      </w:pPr>
    </w:p>
    <w:p w14:paraId="7958C454" w14:textId="1AF35566" w:rsidR="00F37492" w:rsidRPr="00F37492" w:rsidRDefault="00F37492" w:rsidP="000A557B">
      <w:pPr>
        <w:widowControl w:val="0"/>
        <w:numPr>
          <w:ilvl w:val="12"/>
          <w:numId w:val="0"/>
        </w:numPr>
        <w:tabs>
          <w:tab w:val="left" w:pos="720"/>
        </w:tabs>
        <w:jc w:val="both"/>
        <w:rPr>
          <w:sz w:val="22"/>
          <w:szCs w:val="22"/>
          <w:lang w:val="hr-HR"/>
        </w:rPr>
      </w:pPr>
      <w:r w:rsidRPr="00F37492">
        <w:rPr>
          <w:sz w:val="22"/>
          <w:szCs w:val="22"/>
          <w:lang w:val="hr-HR"/>
        </w:rPr>
        <w:t>Ispitivanje je ispunilo svoj primarni cilj i veći procenat pacijenata u grupi koja je primala lijek Jakavi postigao je primarni kompozitni ishod i svaku od njegovih pojedinačnih komponenti. Značajno više pacijenata liječenih lijekom Jakavi (23%) postiglo je primarni odgovor (p&lt;0,0001) u poređenju sa NDT</w:t>
      </w:r>
      <w:r w:rsidRPr="00F37492">
        <w:rPr>
          <w:sz w:val="22"/>
          <w:szCs w:val="22"/>
          <w:lang w:val="hr-HR"/>
        </w:rPr>
        <w:noBreakHyphen/>
        <w:t>om (0,9%). Kontrola hematokrita bila je postignuta kod 60% pacijenata u Jakavi grupi u poređenju sa 18,8% u NDT grupi, a smanjenje ≥</w:t>
      </w:r>
      <w:r w:rsidR="000231A6">
        <w:rPr>
          <w:sz w:val="22"/>
          <w:szCs w:val="22"/>
          <w:lang w:val="hr-HR"/>
        </w:rPr>
        <w:t xml:space="preserve"> </w:t>
      </w:r>
      <w:r w:rsidRPr="00F37492">
        <w:rPr>
          <w:sz w:val="22"/>
          <w:szCs w:val="22"/>
          <w:lang w:val="hr-HR"/>
        </w:rPr>
        <w:t>35% u volumenu slezine postignuto je kod 40%</w:t>
      </w:r>
      <w:r w:rsidR="000231A6">
        <w:rPr>
          <w:sz w:val="22"/>
          <w:szCs w:val="22"/>
          <w:lang w:val="hr-HR"/>
        </w:rPr>
        <w:t xml:space="preserve"> pacijenata</w:t>
      </w:r>
      <w:r w:rsidRPr="00F37492">
        <w:rPr>
          <w:sz w:val="22"/>
          <w:szCs w:val="22"/>
          <w:lang w:val="hr-HR"/>
        </w:rPr>
        <w:t xml:space="preserve"> u Jakavi grupi u poređenju sa 0,9% u NDT grupi (Slika 1). </w:t>
      </w:r>
    </w:p>
    <w:p w14:paraId="5D70BDFB" w14:textId="77777777" w:rsidR="00F37492" w:rsidRPr="00F37492" w:rsidRDefault="00F37492" w:rsidP="000A557B">
      <w:pPr>
        <w:widowControl w:val="0"/>
        <w:numPr>
          <w:ilvl w:val="12"/>
          <w:numId w:val="0"/>
        </w:numPr>
        <w:tabs>
          <w:tab w:val="left" w:pos="720"/>
        </w:tabs>
        <w:jc w:val="both"/>
        <w:rPr>
          <w:sz w:val="22"/>
          <w:szCs w:val="22"/>
          <w:lang w:val="hr-HR"/>
        </w:rPr>
      </w:pPr>
    </w:p>
    <w:p w14:paraId="49351C93" w14:textId="57ED7113" w:rsidR="00F37492" w:rsidRPr="00F37492" w:rsidRDefault="00F37492" w:rsidP="000A557B">
      <w:pPr>
        <w:widowControl w:val="0"/>
        <w:numPr>
          <w:ilvl w:val="12"/>
          <w:numId w:val="0"/>
        </w:numPr>
        <w:tabs>
          <w:tab w:val="left" w:pos="720"/>
        </w:tabs>
        <w:jc w:val="both"/>
        <w:rPr>
          <w:sz w:val="22"/>
          <w:szCs w:val="22"/>
          <w:lang w:val="hr-HR"/>
        </w:rPr>
      </w:pPr>
      <w:r w:rsidRPr="00F37492">
        <w:rPr>
          <w:sz w:val="22"/>
          <w:szCs w:val="22"/>
          <w:lang w:val="hr-HR"/>
        </w:rPr>
        <w:t>Oba ključna sekundarna ishoda takođe su ispunjena. Procenat pacijenata koji su postigli kompletnu hematološku remisiju bio je 23,6% na lijeku Jakavi u poređenju sa 8,0% na NDT</w:t>
      </w:r>
      <w:r w:rsidRPr="00F37492">
        <w:rPr>
          <w:sz w:val="22"/>
          <w:szCs w:val="22"/>
          <w:lang w:val="hr-HR"/>
        </w:rPr>
        <w:noBreakHyphen/>
        <w:t>u (p=0,0013), a procenat pacijenata koji su postigli trajan primarni odgovor u 48. nedjelji bio je 20% na lijeku Jakavi i 0,9% na NDT</w:t>
      </w:r>
      <w:r w:rsidRPr="00F37492">
        <w:rPr>
          <w:sz w:val="22"/>
          <w:szCs w:val="22"/>
          <w:lang w:val="hr-HR"/>
        </w:rPr>
        <w:noBreakHyphen/>
        <w:t>u (p&lt;</w:t>
      </w:r>
      <w:r w:rsidR="000231A6">
        <w:rPr>
          <w:sz w:val="22"/>
          <w:szCs w:val="22"/>
          <w:lang w:val="hr-HR"/>
        </w:rPr>
        <w:t xml:space="preserve"> </w:t>
      </w:r>
      <w:r w:rsidRPr="00F37492">
        <w:rPr>
          <w:sz w:val="22"/>
          <w:szCs w:val="22"/>
          <w:lang w:val="hr-HR"/>
        </w:rPr>
        <w:t>0,0001).</w:t>
      </w:r>
    </w:p>
    <w:p w14:paraId="15961DCE" w14:textId="77777777" w:rsidR="00F37492" w:rsidRPr="00F37492" w:rsidRDefault="00F37492" w:rsidP="000A557B">
      <w:pPr>
        <w:tabs>
          <w:tab w:val="left" w:pos="567"/>
        </w:tabs>
        <w:spacing w:line="260" w:lineRule="exact"/>
        <w:rPr>
          <w:sz w:val="22"/>
          <w:szCs w:val="20"/>
          <w:lang w:val="hr-HR"/>
        </w:rPr>
      </w:pPr>
    </w:p>
    <w:p w14:paraId="3B02189D" w14:textId="77777777" w:rsidR="00F37492" w:rsidRPr="00F37492" w:rsidRDefault="00F37492" w:rsidP="000A557B">
      <w:pPr>
        <w:keepNext/>
        <w:widowControl w:val="0"/>
        <w:numPr>
          <w:ilvl w:val="12"/>
          <w:numId w:val="0"/>
        </w:numPr>
        <w:tabs>
          <w:tab w:val="left" w:pos="720"/>
        </w:tabs>
        <w:jc w:val="center"/>
        <w:rPr>
          <w:b/>
          <w:sz w:val="22"/>
          <w:szCs w:val="22"/>
          <w:lang w:val="hr-HR"/>
        </w:rPr>
      </w:pPr>
      <w:r w:rsidRPr="00F37492">
        <w:rPr>
          <w:b/>
          <w:sz w:val="22"/>
          <w:szCs w:val="22"/>
          <w:lang w:val="hr-HR"/>
        </w:rPr>
        <w:t>Slika 1</w:t>
      </w:r>
      <w:r w:rsidRPr="00F37492">
        <w:rPr>
          <w:b/>
          <w:sz w:val="22"/>
          <w:szCs w:val="22"/>
          <w:lang w:val="hr-HR"/>
        </w:rPr>
        <w:tab/>
        <w:t>Pacijenti koji su postigli primarni ishod i komponente primarnog ishoda u 32. nedjelji</w:t>
      </w:r>
    </w:p>
    <w:p w14:paraId="5A772264" w14:textId="41F9D78E" w:rsidR="00F37492" w:rsidRPr="00F37492" w:rsidRDefault="00F37492" w:rsidP="000A557B">
      <w:pPr>
        <w:keepNext/>
        <w:widowControl w:val="0"/>
        <w:numPr>
          <w:ilvl w:val="12"/>
          <w:numId w:val="0"/>
        </w:numPr>
        <w:tabs>
          <w:tab w:val="left" w:pos="720"/>
        </w:tabs>
        <w:jc w:val="center"/>
        <w:rPr>
          <w:b/>
          <w:sz w:val="22"/>
          <w:szCs w:val="22"/>
          <w:lang w:val="hr-HR"/>
        </w:rPr>
      </w:pPr>
    </w:p>
    <w:p w14:paraId="276F2AA0" w14:textId="77777777" w:rsidR="00F37492" w:rsidRDefault="00F37492" w:rsidP="000A557B">
      <w:pPr>
        <w:widowControl w:val="0"/>
        <w:numPr>
          <w:ilvl w:val="12"/>
          <w:numId w:val="0"/>
        </w:numPr>
        <w:tabs>
          <w:tab w:val="left" w:pos="720"/>
        </w:tabs>
        <w:jc w:val="center"/>
        <w:rPr>
          <w:sz w:val="22"/>
          <w:szCs w:val="22"/>
          <w:lang w:val="hr-HR"/>
        </w:rPr>
      </w:pPr>
    </w:p>
    <w:p w14:paraId="7B54790F" w14:textId="77777777" w:rsidR="00A8394C" w:rsidRDefault="00A8394C" w:rsidP="000A557B">
      <w:pPr>
        <w:widowControl w:val="0"/>
        <w:numPr>
          <w:ilvl w:val="12"/>
          <w:numId w:val="0"/>
        </w:numPr>
        <w:tabs>
          <w:tab w:val="left" w:pos="720"/>
        </w:tabs>
        <w:jc w:val="center"/>
        <w:rPr>
          <w:sz w:val="22"/>
          <w:szCs w:val="22"/>
          <w:lang w:val="hr-HR"/>
        </w:rPr>
      </w:pPr>
    </w:p>
    <w:p w14:paraId="3F2095C0" w14:textId="77777777" w:rsidR="00A8394C" w:rsidRPr="00DE40C5" w:rsidRDefault="00A8394C" w:rsidP="00A8394C">
      <w:pPr>
        <w:widowControl w:val="0"/>
        <w:numPr>
          <w:ilvl w:val="12"/>
          <w:numId w:val="0"/>
        </w:numPr>
        <w:ind w:right="-2"/>
        <w:jc w:val="center"/>
        <w:rPr>
          <w:szCs w:val="22"/>
          <w:lang w:val="hr-HR"/>
        </w:rPr>
      </w:pPr>
      <w:r>
        <w:rPr>
          <w:sz w:val="22"/>
          <w:szCs w:val="22"/>
          <w:lang w:val="hr-HR"/>
        </w:rPr>
        <w:tab/>
      </w:r>
      <w:r>
        <w:rPr>
          <w:sz w:val="22"/>
          <w:szCs w:val="22"/>
          <w:lang w:val="hr-HR"/>
        </w:rPr>
        <w:tab/>
      </w:r>
    </w:p>
    <w:p w14:paraId="601DC9F4" w14:textId="77777777" w:rsidR="00A8394C" w:rsidRDefault="00A8394C" w:rsidP="00A8394C">
      <w:pPr>
        <w:widowControl w:val="0"/>
        <w:numPr>
          <w:ilvl w:val="12"/>
          <w:numId w:val="0"/>
        </w:numPr>
        <w:ind w:right="-2"/>
        <w:rPr>
          <w:szCs w:val="22"/>
          <w:lang w:val="hr-HR"/>
        </w:rPr>
      </w:pPr>
      <w:r>
        <w:rPr>
          <w:szCs w:val="22"/>
          <w:lang w:val="hr-HR"/>
        </w:rPr>
        <w:t xml:space="preserve">                   </w:t>
      </w:r>
      <w:r w:rsidRPr="00881029">
        <w:rPr>
          <w:noProof/>
          <w:color w:val="2B579A"/>
          <w:szCs w:val="22"/>
          <w:shd w:val="clear" w:color="auto" w:fill="E6E6E6"/>
        </w:rPr>
        <w:drawing>
          <wp:inline distT="0" distB="0" distL="0" distR="0" wp14:anchorId="61F0200B" wp14:editId="34A3DEDE">
            <wp:extent cx="4667250" cy="2941955"/>
            <wp:effectExtent l="0" t="0" r="0" b="0"/>
            <wp:docPr id="995218146"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D9825C" w14:textId="77777777" w:rsidR="00A8394C" w:rsidRDefault="00A8394C" w:rsidP="00A8394C">
      <w:pPr>
        <w:widowControl w:val="0"/>
        <w:numPr>
          <w:ilvl w:val="12"/>
          <w:numId w:val="0"/>
        </w:numPr>
        <w:ind w:right="-2"/>
        <w:rPr>
          <w:szCs w:val="22"/>
          <w:lang w:val="hr-HR"/>
        </w:rPr>
      </w:pPr>
    </w:p>
    <w:p w14:paraId="6EE52C90" w14:textId="406AF2C4" w:rsidR="00A8394C" w:rsidRPr="00F37492" w:rsidRDefault="00A8394C" w:rsidP="00F91F2E">
      <w:pPr>
        <w:widowControl w:val="0"/>
        <w:numPr>
          <w:ilvl w:val="12"/>
          <w:numId w:val="0"/>
        </w:numPr>
        <w:tabs>
          <w:tab w:val="left" w:pos="720"/>
          <w:tab w:val="left" w:pos="883"/>
        </w:tabs>
        <w:rPr>
          <w:sz w:val="22"/>
          <w:szCs w:val="22"/>
          <w:lang w:val="hr-HR"/>
        </w:rPr>
      </w:pPr>
    </w:p>
    <w:p w14:paraId="6EC2FCDC" w14:textId="77777777" w:rsidR="00F37492" w:rsidRPr="00F37492" w:rsidRDefault="00F37492" w:rsidP="000A557B">
      <w:pPr>
        <w:widowControl w:val="0"/>
        <w:numPr>
          <w:ilvl w:val="12"/>
          <w:numId w:val="0"/>
        </w:numPr>
        <w:tabs>
          <w:tab w:val="left" w:pos="720"/>
        </w:tabs>
        <w:rPr>
          <w:sz w:val="22"/>
          <w:szCs w:val="22"/>
          <w:lang w:val="hr-HR"/>
        </w:rPr>
      </w:pPr>
    </w:p>
    <w:p w14:paraId="496B81BA" w14:textId="2F830412" w:rsidR="00F37492" w:rsidRPr="00F37492" w:rsidRDefault="00F37492" w:rsidP="000A557B">
      <w:pPr>
        <w:widowControl w:val="0"/>
        <w:numPr>
          <w:ilvl w:val="12"/>
          <w:numId w:val="0"/>
        </w:numPr>
        <w:tabs>
          <w:tab w:val="left" w:pos="720"/>
        </w:tabs>
        <w:jc w:val="both"/>
        <w:rPr>
          <w:sz w:val="22"/>
          <w:szCs w:val="22"/>
          <w:lang w:val="hr-HR"/>
        </w:rPr>
      </w:pPr>
      <w:r w:rsidRPr="00F37492">
        <w:rPr>
          <w:sz w:val="22"/>
          <w:szCs w:val="22"/>
          <w:lang w:val="hr-HR"/>
        </w:rPr>
        <w:t>Opterećenje simptomima bilo je procijenjeno pomoću ukupnog broja simptoma (UBS) u elektronskom dnevniku za pacijente MPN</w:t>
      </w:r>
      <w:r w:rsidRPr="00F37492">
        <w:rPr>
          <w:sz w:val="22"/>
          <w:szCs w:val="22"/>
          <w:lang w:val="hr-HR"/>
        </w:rPr>
        <w:noBreakHyphen/>
        <w:t>SAF koji se sastojao od 14 pitanja. U 32. nedjelji 49% odnosno 64% pacijenata liječenih ruksolitinibom postiglo je smanjenje ≥</w:t>
      </w:r>
      <w:r w:rsidR="000231A6">
        <w:rPr>
          <w:sz w:val="22"/>
          <w:szCs w:val="22"/>
          <w:lang w:val="hr-HR"/>
        </w:rPr>
        <w:t xml:space="preserve"> </w:t>
      </w:r>
      <w:r w:rsidRPr="00F37492">
        <w:rPr>
          <w:sz w:val="22"/>
          <w:szCs w:val="22"/>
          <w:lang w:val="hr-HR"/>
        </w:rPr>
        <w:t>50% u UBS</w:t>
      </w:r>
      <w:r w:rsidRPr="00F37492">
        <w:rPr>
          <w:sz w:val="22"/>
          <w:szCs w:val="22"/>
          <w:lang w:val="hr-HR"/>
        </w:rPr>
        <w:noBreakHyphen/>
        <w:t>14 odnosno UBS</w:t>
      </w:r>
      <w:r w:rsidRPr="00F37492">
        <w:rPr>
          <w:sz w:val="22"/>
          <w:szCs w:val="22"/>
          <w:lang w:val="hr-HR"/>
        </w:rPr>
        <w:noBreakHyphen/>
        <w:t>5, u poređenju sa samo 5% odnosno 11% pacijenata na NDT</w:t>
      </w:r>
      <w:r w:rsidRPr="00F37492">
        <w:rPr>
          <w:sz w:val="22"/>
          <w:szCs w:val="22"/>
          <w:lang w:val="hr-HR"/>
        </w:rPr>
        <w:noBreakHyphen/>
        <w:t>u.</w:t>
      </w:r>
    </w:p>
    <w:p w14:paraId="3C5C9583" w14:textId="77777777" w:rsidR="00F37492" w:rsidRPr="00F37492" w:rsidRDefault="00F37492" w:rsidP="000A557B">
      <w:pPr>
        <w:widowControl w:val="0"/>
        <w:numPr>
          <w:ilvl w:val="12"/>
          <w:numId w:val="0"/>
        </w:numPr>
        <w:tabs>
          <w:tab w:val="left" w:pos="720"/>
        </w:tabs>
        <w:jc w:val="both"/>
        <w:rPr>
          <w:sz w:val="22"/>
          <w:szCs w:val="22"/>
          <w:lang w:val="hr-HR"/>
        </w:rPr>
      </w:pPr>
    </w:p>
    <w:p w14:paraId="46E08D5E" w14:textId="77777777" w:rsidR="00F37492" w:rsidRPr="00F37492" w:rsidRDefault="00F37492" w:rsidP="000A557B">
      <w:pPr>
        <w:widowControl w:val="0"/>
        <w:numPr>
          <w:ilvl w:val="12"/>
          <w:numId w:val="0"/>
        </w:numPr>
        <w:tabs>
          <w:tab w:val="left" w:pos="720"/>
        </w:tabs>
        <w:jc w:val="both"/>
        <w:rPr>
          <w:iCs/>
          <w:sz w:val="22"/>
          <w:szCs w:val="22"/>
          <w:lang w:val="hr-HR"/>
        </w:rPr>
      </w:pPr>
      <w:r w:rsidRPr="00F37492">
        <w:rPr>
          <w:sz w:val="22"/>
          <w:szCs w:val="22"/>
          <w:lang w:val="hr-HR"/>
        </w:rPr>
        <w:t xml:space="preserve">Percepcija koristi liječenja mjerena je upitnikom o opštem utisku pacijenta o promjeni (eng. </w:t>
      </w:r>
      <w:r w:rsidRPr="00F37492">
        <w:rPr>
          <w:i/>
          <w:sz w:val="22"/>
          <w:szCs w:val="22"/>
          <w:lang w:val="hr-HR"/>
        </w:rPr>
        <w:t>Patient Global Impression of Change</w:t>
      </w:r>
      <w:r w:rsidRPr="00F37492">
        <w:rPr>
          <w:sz w:val="22"/>
          <w:szCs w:val="22"/>
          <w:lang w:val="hr-HR"/>
        </w:rPr>
        <w:t>, PGIC). 66% pacijenata liječenih ruksolitinibom u poređenju sa 19% liječenih NDT</w:t>
      </w:r>
      <w:r w:rsidRPr="00F37492">
        <w:rPr>
          <w:sz w:val="22"/>
          <w:szCs w:val="22"/>
          <w:lang w:val="hr-HR"/>
        </w:rPr>
        <w:noBreakHyphen/>
        <w:t>om prijavilo je poboljšanje već četiri nedjelje nakon početka liječenja. Poboljšanje u percepciji koristi liječenja takođe je bilo veće kod pacijenata liječenih ruksolitinibom u 32. nedjelji (78% u odnosu na 33%).</w:t>
      </w:r>
    </w:p>
    <w:p w14:paraId="2F9C33A1" w14:textId="77777777" w:rsidR="00F37492" w:rsidRPr="00F37492" w:rsidRDefault="00F37492" w:rsidP="000A557B">
      <w:pPr>
        <w:jc w:val="both"/>
        <w:rPr>
          <w:sz w:val="22"/>
          <w:szCs w:val="22"/>
          <w:u w:val="single"/>
          <w:shd w:val="clear" w:color="auto" w:fill="FFFFFF"/>
          <w:lang w:val="hr-HR" w:eastAsia="sr-Latn-CS"/>
        </w:rPr>
      </w:pPr>
    </w:p>
    <w:p w14:paraId="16757138" w14:textId="633DDE3E" w:rsidR="00F37492" w:rsidRPr="00F37492" w:rsidRDefault="00F37492" w:rsidP="000A557B">
      <w:pPr>
        <w:jc w:val="both"/>
        <w:rPr>
          <w:rFonts w:eastAsia="MS Mincho"/>
          <w:sz w:val="22"/>
          <w:szCs w:val="22"/>
          <w:lang w:val="hr-HR"/>
        </w:rPr>
      </w:pPr>
      <w:r w:rsidRPr="00F37492">
        <w:rPr>
          <w:rFonts w:eastAsia="MS Mincho"/>
          <w:sz w:val="22"/>
          <w:szCs w:val="22"/>
          <w:lang w:val="hr-HR"/>
        </w:rPr>
        <w:t xml:space="preserve">Kako bi se procijenila trajnost odgovora, sprovedene su dodatne analize iz studije RESPONSE u 80. nedjelji i 256. nedjelji nakon randomizacije. Od 25 pacijenata koji su postigli primarni odgovor u 32. nedjelji, 3 pacijenta su imala progresiju do 80. nedjelje, a 6 pacijenata do 256. nedjelje. Vjerovatnoća da se održi odgovor od 32. do 80. nedjelje tj. do 256. nedjelje bila je 92% tj. 74% (vidjeti </w:t>
      </w:r>
      <w:r w:rsidR="00EA16C8">
        <w:rPr>
          <w:rFonts w:eastAsia="MS Mincho"/>
          <w:sz w:val="22"/>
          <w:szCs w:val="22"/>
          <w:lang w:val="hr-HR"/>
        </w:rPr>
        <w:t>T</w:t>
      </w:r>
      <w:r w:rsidRPr="00F37492">
        <w:rPr>
          <w:rFonts w:eastAsia="MS Mincho"/>
          <w:sz w:val="22"/>
          <w:szCs w:val="22"/>
          <w:lang w:val="hr-HR"/>
        </w:rPr>
        <w:t xml:space="preserve">abelu </w:t>
      </w:r>
      <w:r w:rsidR="00A8394C">
        <w:rPr>
          <w:rFonts w:eastAsia="MS Mincho"/>
          <w:sz w:val="22"/>
          <w:szCs w:val="22"/>
          <w:lang w:val="hr-HR"/>
        </w:rPr>
        <w:t>10</w:t>
      </w:r>
      <w:r w:rsidRPr="00F37492">
        <w:rPr>
          <w:rFonts w:eastAsia="MS Mincho"/>
          <w:sz w:val="22"/>
          <w:szCs w:val="22"/>
          <w:lang w:val="hr-HR"/>
        </w:rPr>
        <w:t>).</w:t>
      </w:r>
    </w:p>
    <w:p w14:paraId="328540FE" w14:textId="77777777" w:rsidR="00F37492" w:rsidRPr="00F37492" w:rsidRDefault="00F37492" w:rsidP="000A557B">
      <w:pPr>
        <w:keepNext/>
        <w:widowControl w:val="0"/>
        <w:jc w:val="both"/>
        <w:rPr>
          <w:rFonts w:eastAsia="MS Mincho"/>
          <w:b/>
          <w:sz w:val="22"/>
          <w:szCs w:val="20"/>
        </w:rPr>
      </w:pPr>
    </w:p>
    <w:p w14:paraId="3D1B2D56" w14:textId="5783E4BC" w:rsidR="00F37492" w:rsidRPr="00F37492" w:rsidRDefault="00F37492" w:rsidP="002B621F">
      <w:pPr>
        <w:keepNext/>
        <w:widowControl w:val="0"/>
        <w:rPr>
          <w:rFonts w:eastAsia="MS Mincho"/>
          <w:b/>
          <w:sz w:val="22"/>
          <w:szCs w:val="22"/>
          <w:lang w:val="sr-Latn-RS"/>
        </w:rPr>
      </w:pPr>
      <w:r w:rsidRPr="00F37492">
        <w:rPr>
          <w:rFonts w:eastAsia="MS Mincho"/>
          <w:b/>
          <w:sz w:val="22"/>
          <w:szCs w:val="22"/>
        </w:rPr>
        <w:t>Tabela </w:t>
      </w:r>
      <w:r w:rsidR="00A8394C">
        <w:rPr>
          <w:rFonts w:eastAsia="MS Mincho"/>
          <w:b/>
          <w:sz w:val="22"/>
          <w:szCs w:val="22"/>
        </w:rPr>
        <w:t>10</w:t>
      </w:r>
      <w:r w:rsidRPr="00F37492">
        <w:rPr>
          <w:rFonts w:eastAsia="MS Mincho"/>
          <w:b/>
          <w:sz w:val="22"/>
          <w:szCs w:val="22"/>
        </w:rPr>
        <w:tab/>
        <w:t>Održivost primarnog odgovora u studiji RESPONSE</w:t>
      </w:r>
    </w:p>
    <w:p w14:paraId="56A706A5" w14:textId="77777777" w:rsidR="00F37492" w:rsidRPr="00F37492" w:rsidRDefault="00F37492" w:rsidP="000A557B">
      <w:pPr>
        <w:keepNext/>
      </w:pPr>
    </w:p>
    <w:tbl>
      <w:tblPr>
        <w:tblStyle w:val="TableGrid1"/>
        <w:tblW w:w="0" w:type="auto"/>
        <w:tblLook w:val="04A0" w:firstRow="1" w:lastRow="0" w:firstColumn="1" w:lastColumn="0" w:noHBand="0" w:noVBand="1"/>
      </w:tblPr>
      <w:tblGrid>
        <w:gridCol w:w="2972"/>
        <w:gridCol w:w="1843"/>
        <w:gridCol w:w="1984"/>
        <w:gridCol w:w="2127"/>
      </w:tblGrid>
      <w:tr w:rsidR="00F37492" w:rsidRPr="00F37492" w14:paraId="5F3EFBB8" w14:textId="77777777" w:rsidTr="00703819">
        <w:trPr>
          <w:cantSplit/>
        </w:trPr>
        <w:tc>
          <w:tcPr>
            <w:tcW w:w="2972" w:type="dxa"/>
          </w:tcPr>
          <w:p w14:paraId="60B6CFF1" w14:textId="77777777" w:rsidR="00F37492" w:rsidRPr="00F37492" w:rsidRDefault="00F37492" w:rsidP="000A557B">
            <w:pPr>
              <w:keepNext/>
              <w:rPr>
                <w:sz w:val="22"/>
                <w:szCs w:val="22"/>
              </w:rPr>
            </w:pPr>
          </w:p>
        </w:tc>
        <w:tc>
          <w:tcPr>
            <w:tcW w:w="1843" w:type="dxa"/>
          </w:tcPr>
          <w:p w14:paraId="60542EE2" w14:textId="77777777" w:rsidR="00F37492" w:rsidRPr="00F37492" w:rsidRDefault="00F37492" w:rsidP="000A557B">
            <w:pPr>
              <w:keepNext/>
              <w:jc w:val="center"/>
              <w:rPr>
                <w:sz w:val="22"/>
                <w:szCs w:val="22"/>
              </w:rPr>
            </w:pPr>
            <w:r w:rsidRPr="00F37492">
              <w:rPr>
                <w:sz w:val="22"/>
                <w:szCs w:val="22"/>
              </w:rPr>
              <w:t>32. nedjelja</w:t>
            </w:r>
          </w:p>
        </w:tc>
        <w:tc>
          <w:tcPr>
            <w:tcW w:w="1984" w:type="dxa"/>
          </w:tcPr>
          <w:p w14:paraId="1897883E" w14:textId="77777777" w:rsidR="00F37492" w:rsidRPr="00F37492" w:rsidRDefault="00F37492" w:rsidP="000A557B">
            <w:pPr>
              <w:keepNext/>
              <w:jc w:val="center"/>
              <w:rPr>
                <w:sz w:val="22"/>
                <w:szCs w:val="22"/>
              </w:rPr>
            </w:pPr>
            <w:r w:rsidRPr="00F37492">
              <w:rPr>
                <w:sz w:val="22"/>
                <w:szCs w:val="22"/>
              </w:rPr>
              <w:t>80. nedjelja</w:t>
            </w:r>
          </w:p>
        </w:tc>
        <w:tc>
          <w:tcPr>
            <w:tcW w:w="2127" w:type="dxa"/>
          </w:tcPr>
          <w:p w14:paraId="08527AD5" w14:textId="77777777" w:rsidR="00F37492" w:rsidRPr="00F37492" w:rsidRDefault="00F37492" w:rsidP="000A557B">
            <w:pPr>
              <w:keepNext/>
              <w:jc w:val="center"/>
              <w:rPr>
                <w:sz w:val="22"/>
                <w:szCs w:val="22"/>
              </w:rPr>
            </w:pPr>
            <w:r w:rsidRPr="00F37492">
              <w:rPr>
                <w:sz w:val="22"/>
                <w:szCs w:val="22"/>
              </w:rPr>
              <w:t>256. nedjelja</w:t>
            </w:r>
          </w:p>
        </w:tc>
      </w:tr>
      <w:tr w:rsidR="00F37492" w:rsidRPr="00F37492" w14:paraId="79325407" w14:textId="77777777" w:rsidTr="00703819">
        <w:trPr>
          <w:cantSplit/>
        </w:trPr>
        <w:tc>
          <w:tcPr>
            <w:tcW w:w="2972" w:type="dxa"/>
          </w:tcPr>
          <w:p w14:paraId="0E4BA07B" w14:textId="77777777" w:rsidR="00F37492" w:rsidRPr="00F37492" w:rsidRDefault="00F37492" w:rsidP="000A557B">
            <w:pPr>
              <w:keepNext/>
              <w:rPr>
                <w:sz w:val="22"/>
                <w:szCs w:val="22"/>
              </w:rPr>
            </w:pPr>
            <w:r w:rsidRPr="00F37492">
              <w:rPr>
                <w:sz w:val="22"/>
                <w:szCs w:val="22"/>
              </w:rPr>
              <w:t>Primarni odgovor postignut u 32. nedjelji*</w:t>
            </w:r>
          </w:p>
          <w:p w14:paraId="065851F9" w14:textId="77777777" w:rsidR="00F37492" w:rsidRPr="00F37492" w:rsidRDefault="00F37492" w:rsidP="000A557B">
            <w:pPr>
              <w:keepNext/>
              <w:rPr>
                <w:sz w:val="22"/>
                <w:szCs w:val="22"/>
              </w:rPr>
            </w:pPr>
            <w:r w:rsidRPr="00F37492">
              <w:rPr>
                <w:sz w:val="22"/>
                <w:szCs w:val="22"/>
              </w:rPr>
              <w:t>n/N (%)</w:t>
            </w:r>
          </w:p>
        </w:tc>
        <w:tc>
          <w:tcPr>
            <w:tcW w:w="1843" w:type="dxa"/>
          </w:tcPr>
          <w:p w14:paraId="054D7548" w14:textId="77777777" w:rsidR="00F37492" w:rsidRPr="00F37492" w:rsidRDefault="00F37492" w:rsidP="000A557B">
            <w:pPr>
              <w:keepNext/>
              <w:jc w:val="center"/>
              <w:rPr>
                <w:sz w:val="22"/>
                <w:szCs w:val="22"/>
              </w:rPr>
            </w:pPr>
            <w:r w:rsidRPr="00F37492">
              <w:rPr>
                <w:sz w:val="22"/>
                <w:szCs w:val="22"/>
              </w:rPr>
              <w:t>25/110 (23%)</w:t>
            </w:r>
          </w:p>
        </w:tc>
        <w:tc>
          <w:tcPr>
            <w:tcW w:w="1984" w:type="dxa"/>
          </w:tcPr>
          <w:p w14:paraId="07990B00" w14:textId="77777777" w:rsidR="00F37492" w:rsidRPr="00F37492" w:rsidRDefault="00F37492" w:rsidP="000A557B">
            <w:pPr>
              <w:keepNext/>
              <w:jc w:val="center"/>
              <w:rPr>
                <w:sz w:val="22"/>
                <w:szCs w:val="22"/>
              </w:rPr>
            </w:pPr>
            <w:r w:rsidRPr="00F37492">
              <w:rPr>
                <w:sz w:val="22"/>
                <w:szCs w:val="22"/>
              </w:rPr>
              <w:t>n/p</w:t>
            </w:r>
          </w:p>
        </w:tc>
        <w:tc>
          <w:tcPr>
            <w:tcW w:w="2127" w:type="dxa"/>
          </w:tcPr>
          <w:p w14:paraId="1547A930" w14:textId="77777777" w:rsidR="00F37492" w:rsidRPr="00F37492" w:rsidRDefault="00F37492" w:rsidP="000A557B">
            <w:pPr>
              <w:keepNext/>
              <w:jc w:val="center"/>
              <w:rPr>
                <w:sz w:val="22"/>
                <w:szCs w:val="22"/>
              </w:rPr>
            </w:pPr>
            <w:r w:rsidRPr="00F37492">
              <w:rPr>
                <w:sz w:val="22"/>
                <w:szCs w:val="22"/>
              </w:rPr>
              <w:t>n/p</w:t>
            </w:r>
          </w:p>
        </w:tc>
      </w:tr>
      <w:tr w:rsidR="00F37492" w:rsidRPr="00F37492" w14:paraId="5777D335" w14:textId="77777777" w:rsidTr="00703819">
        <w:trPr>
          <w:cantSplit/>
        </w:trPr>
        <w:tc>
          <w:tcPr>
            <w:tcW w:w="2972" w:type="dxa"/>
          </w:tcPr>
          <w:p w14:paraId="1ACE7639" w14:textId="77777777" w:rsidR="00F37492" w:rsidRPr="00F37492" w:rsidRDefault="00F37492" w:rsidP="000A557B">
            <w:pPr>
              <w:keepNext/>
              <w:rPr>
                <w:sz w:val="22"/>
                <w:szCs w:val="22"/>
              </w:rPr>
            </w:pPr>
            <w:r w:rsidRPr="00F37492">
              <w:rPr>
                <w:sz w:val="22"/>
                <w:szCs w:val="22"/>
              </w:rPr>
              <w:t>Pacijenti koji održavaju primarni odgovor</w:t>
            </w:r>
          </w:p>
        </w:tc>
        <w:tc>
          <w:tcPr>
            <w:tcW w:w="1843" w:type="dxa"/>
          </w:tcPr>
          <w:p w14:paraId="7D9A2EE9" w14:textId="77777777" w:rsidR="00F37492" w:rsidRPr="00F37492" w:rsidRDefault="00F37492" w:rsidP="000A557B">
            <w:pPr>
              <w:keepNext/>
              <w:jc w:val="center"/>
              <w:rPr>
                <w:sz w:val="22"/>
                <w:szCs w:val="22"/>
              </w:rPr>
            </w:pPr>
            <w:r w:rsidRPr="00F37492">
              <w:rPr>
                <w:sz w:val="22"/>
                <w:szCs w:val="22"/>
              </w:rPr>
              <w:t>n/p</w:t>
            </w:r>
          </w:p>
        </w:tc>
        <w:tc>
          <w:tcPr>
            <w:tcW w:w="1984" w:type="dxa"/>
          </w:tcPr>
          <w:p w14:paraId="1F06A86B" w14:textId="77777777" w:rsidR="00F37492" w:rsidRPr="00F37492" w:rsidRDefault="00F37492" w:rsidP="000A557B">
            <w:pPr>
              <w:keepNext/>
              <w:jc w:val="center"/>
              <w:rPr>
                <w:sz w:val="22"/>
                <w:szCs w:val="22"/>
              </w:rPr>
            </w:pPr>
            <w:r w:rsidRPr="00F37492">
              <w:rPr>
                <w:sz w:val="22"/>
                <w:szCs w:val="22"/>
              </w:rPr>
              <w:t>22/25</w:t>
            </w:r>
          </w:p>
        </w:tc>
        <w:tc>
          <w:tcPr>
            <w:tcW w:w="2127" w:type="dxa"/>
          </w:tcPr>
          <w:p w14:paraId="5D77C971" w14:textId="77777777" w:rsidR="00F37492" w:rsidRPr="00F37492" w:rsidRDefault="00F37492" w:rsidP="000A557B">
            <w:pPr>
              <w:keepNext/>
              <w:jc w:val="center"/>
              <w:rPr>
                <w:sz w:val="22"/>
                <w:szCs w:val="22"/>
              </w:rPr>
            </w:pPr>
            <w:r w:rsidRPr="00F37492">
              <w:rPr>
                <w:sz w:val="22"/>
                <w:szCs w:val="22"/>
              </w:rPr>
              <w:t>19/25</w:t>
            </w:r>
          </w:p>
        </w:tc>
      </w:tr>
      <w:tr w:rsidR="00F37492" w:rsidRPr="00F37492" w14:paraId="3BCD8F97" w14:textId="77777777" w:rsidTr="00703819">
        <w:trPr>
          <w:cantSplit/>
        </w:trPr>
        <w:tc>
          <w:tcPr>
            <w:tcW w:w="2972" w:type="dxa"/>
          </w:tcPr>
          <w:p w14:paraId="2AEE8C52" w14:textId="77777777" w:rsidR="00F37492" w:rsidRPr="00F37492" w:rsidRDefault="00F37492" w:rsidP="000A557B">
            <w:pPr>
              <w:keepNext/>
              <w:rPr>
                <w:sz w:val="22"/>
                <w:szCs w:val="22"/>
              </w:rPr>
            </w:pPr>
            <w:r w:rsidRPr="00F37492">
              <w:rPr>
                <w:sz w:val="22"/>
                <w:szCs w:val="22"/>
              </w:rPr>
              <w:t>Vjerovatnoća održavanja primarnog odgovora</w:t>
            </w:r>
          </w:p>
        </w:tc>
        <w:tc>
          <w:tcPr>
            <w:tcW w:w="1843" w:type="dxa"/>
          </w:tcPr>
          <w:p w14:paraId="1C89E721" w14:textId="77777777" w:rsidR="00F37492" w:rsidRPr="00F37492" w:rsidRDefault="00F37492" w:rsidP="000A557B">
            <w:pPr>
              <w:keepNext/>
              <w:jc w:val="center"/>
              <w:rPr>
                <w:sz w:val="22"/>
                <w:szCs w:val="22"/>
              </w:rPr>
            </w:pPr>
            <w:r w:rsidRPr="00F37492">
              <w:rPr>
                <w:sz w:val="22"/>
                <w:szCs w:val="22"/>
              </w:rPr>
              <w:t>n/p</w:t>
            </w:r>
          </w:p>
        </w:tc>
        <w:tc>
          <w:tcPr>
            <w:tcW w:w="1984" w:type="dxa"/>
          </w:tcPr>
          <w:p w14:paraId="71749F72" w14:textId="77777777" w:rsidR="00F37492" w:rsidRPr="00F37492" w:rsidRDefault="00F37492" w:rsidP="000A557B">
            <w:pPr>
              <w:keepNext/>
              <w:jc w:val="center"/>
              <w:rPr>
                <w:sz w:val="22"/>
                <w:szCs w:val="22"/>
              </w:rPr>
            </w:pPr>
            <w:r w:rsidRPr="00F37492">
              <w:rPr>
                <w:sz w:val="22"/>
                <w:szCs w:val="22"/>
              </w:rPr>
              <w:t>92%</w:t>
            </w:r>
          </w:p>
        </w:tc>
        <w:tc>
          <w:tcPr>
            <w:tcW w:w="2127" w:type="dxa"/>
          </w:tcPr>
          <w:p w14:paraId="2215DD0A" w14:textId="77777777" w:rsidR="00F37492" w:rsidRPr="00F37492" w:rsidRDefault="00F37492" w:rsidP="000A557B">
            <w:pPr>
              <w:keepNext/>
              <w:jc w:val="center"/>
              <w:rPr>
                <w:sz w:val="22"/>
                <w:szCs w:val="22"/>
              </w:rPr>
            </w:pPr>
            <w:r w:rsidRPr="00F37492">
              <w:rPr>
                <w:sz w:val="22"/>
                <w:szCs w:val="22"/>
              </w:rPr>
              <w:t>74%</w:t>
            </w:r>
          </w:p>
        </w:tc>
      </w:tr>
      <w:tr w:rsidR="00F37492" w:rsidRPr="00F37492" w14:paraId="7EBBFCDD" w14:textId="77777777" w:rsidTr="00703819">
        <w:trPr>
          <w:cantSplit/>
        </w:trPr>
        <w:tc>
          <w:tcPr>
            <w:tcW w:w="8926" w:type="dxa"/>
            <w:gridSpan w:val="4"/>
          </w:tcPr>
          <w:p w14:paraId="580A6E38" w14:textId="18F953BC" w:rsidR="00F37492" w:rsidRPr="00F37492" w:rsidRDefault="00F37492" w:rsidP="000A557B">
            <w:pPr>
              <w:jc w:val="both"/>
              <w:rPr>
                <w:sz w:val="22"/>
                <w:szCs w:val="22"/>
              </w:rPr>
            </w:pPr>
            <w:r w:rsidRPr="00F37492">
              <w:rPr>
                <w:sz w:val="22"/>
                <w:szCs w:val="22"/>
              </w:rPr>
              <w:t xml:space="preserve">* Prema kriterijumu </w:t>
            </w:r>
            <w:r w:rsidRPr="00F37492">
              <w:rPr>
                <w:sz w:val="22"/>
                <w:szCs w:val="22"/>
                <w:lang w:val="hr-HR"/>
              </w:rPr>
              <w:t xml:space="preserve">kompozitnog ishoda </w:t>
            </w:r>
            <w:r w:rsidRPr="00F37492">
              <w:rPr>
                <w:sz w:val="22"/>
                <w:szCs w:val="22"/>
              </w:rPr>
              <w:t>primarnog odgovora: odsustvo mogućnosti za flebotomiju (kontrola hematokrita) i smanjenje ≥</w:t>
            </w:r>
            <w:r w:rsidR="000231A6">
              <w:rPr>
                <w:sz w:val="22"/>
                <w:szCs w:val="22"/>
              </w:rPr>
              <w:t xml:space="preserve"> </w:t>
            </w:r>
            <w:r w:rsidRPr="00F37492">
              <w:rPr>
                <w:sz w:val="22"/>
                <w:szCs w:val="22"/>
              </w:rPr>
              <w:t>35% u volumenu slezine u odnosu na početne vrijednosti.</w:t>
            </w:r>
          </w:p>
          <w:p w14:paraId="2333366F" w14:textId="77777777" w:rsidR="00F37492" w:rsidRPr="00F37492" w:rsidRDefault="00F37492" w:rsidP="000A557B">
            <w:pPr>
              <w:jc w:val="both"/>
              <w:rPr>
                <w:sz w:val="22"/>
                <w:szCs w:val="22"/>
              </w:rPr>
            </w:pPr>
            <w:r w:rsidRPr="00F37492">
              <w:rPr>
                <w:sz w:val="22"/>
                <w:szCs w:val="22"/>
              </w:rPr>
              <w:t>n/p: nije primjenljivo</w:t>
            </w:r>
          </w:p>
        </w:tc>
      </w:tr>
    </w:tbl>
    <w:p w14:paraId="0CE0A180" w14:textId="77777777" w:rsidR="00F37492" w:rsidRPr="00F37492" w:rsidRDefault="00F37492" w:rsidP="000A557B">
      <w:pPr>
        <w:rPr>
          <w:rFonts w:eastAsia="MS Mincho"/>
          <w:sz w:val="22"/>
          <w:szCs w:val="22"/>
          <w:lang w:val="hr-HR"/>
        </w:rPr>
      </w:pPr>
    </w:p>
    <w:p w14:paraId="20A05EAE" w14:textId="77777777" w:rsidR="00F37492" w:rsidRPr="00F37492" w:rsidRDefault="00F37492" w:rsidP="000A557B">
      <w:pPr>
        <w:jc w:val="both"/>
        <w:rPr>
          <w:rFonts w:eastAsia="MS Mincho"/>
          <w:sz w:val="22"/>
          <w:szCs w:val="22"/>
          <w:lang w:val="hr-HR"/>
        </w:rPr>
      </w:pPr>
      <w:r w:rsidRPr="00F37492">
        <w:rPr>
          <w:rFonts w:eastAsia="MS Mincho"/>
          <w:sz w:val="22"/>
          <w:szCs w:val="22"/>
          <w:lang w:val="hr-HR"/>
        </w:rPr>
        <w:t>Kod 149 pacijenata sa PV koji su bili rezistentni ili intolerantni na hidroksiureu ali bez opipljive splenomegalije sprovedena je druga randomizovana, otvorena, aktivno-kontrolisana studija faze 3b (RESPONSE 2). Postignut je primarni ishod koji je definisan kao procenat pacijenata koji su postigli kontrolu hematokrita (odsustvo mogućnosti za flebotomiju) u 28. nedjelji (62,2% u grupi liječenoj lijekom Jakavi u odnosu na 18,7% pacijenata u grupi koja je primala NDT). Takođe je postignut i sekundarni ključni ishod koji je definisan kao procenat pacijenata koji su postigli kompletnu hematološku remisiju u 28. nedjelji (23,0% pacijenata u grupi liječenoj lijekom Jakavi u odnosu na 5,3% pacijenata u grupi koja je primala NDT).</w:t>
      </w:r>
    </w:p>
    <w:p w14:paraId="435CEF02" w14:textId="77777777" w:rsidR="00F37492" w:rsidRPr="00F37492" w:rsidRDefault="00F37492" w:rsidP="000A557B">
      <w:pPr>
        <w:keepNext/>
        <w:jc w:val="both"/>
        <w:rPr>
          <w:rFonts w:eastAsia="MS Mincho"/>
          <w:i/>
          <w:sz w:val="22"/>
          <w:szCs w:val="22"/>
          <w:u w:val="single"/>
        </w:rPr>
      </w:pPr>
    </w:p>
    <w:p w14:paraId="5F4A0999" w14:textId="77777777" w:rsidR="00F37492" w:rsidRPr="00F37492" w:rsidRDefault="00F37492" w:rsidP="000A557B">
      <w:pPr>
        <w:keepNext/>
        <w:jc w:val="both"/>
        <w:rPr>
          <w:rFonts w:eastAsia="MS Mincho"/>
          <w:i/>
          <w:sz w:val="22"/>
          <w:szCs w:val="22"/>
          <w:u w:val="single"/>
          <w:lang w:eastAsia="zh-CN"/>
        </w:rPr>
      </w:pPr>
      <w:r w:rsidRPr="00F37492">
        <w:rPr>
          <w:rFonts w:eastAsia="MS Mincho"/>
          <w:i/>
          <w:sz w:val="22"/>
          <w:szCs w:val="22"/>
          <w:u w:val="single"/>
          <w:lang w:eastAsia="zh-CN"/>
        </w:rPr>
        <w:t>Bolest kalema protiv domaćina</w:t>
      </w:r>
    </w:p>
    <w:p w14:paraId="365F25AC" w14:textId="77777777" w:rsidR="00F37492" w:rsidRPr="00F37492" w:rsidRDefault="00F37492" w:rsidP="000A557B">
      <w:pPr>
        <w:jc w:val="both"/>
        <w:rPr>
          <w:rFonts w:eastAsia="MS Mincho"/>
          <w:sz w:val="22"/>
          <w:szCs w:val="22"/>
          <w:lang w:eastAsia="zh-CN"/>
        </w:rPr>
      </w:pPr>
      <w:r w:rsidRPr="00F37492">
        <w:rPr>
          <w:rFonts w:eastAsia="MS Mincho"/>
          <w:sz w:val="22"/>
          <w:szCs w:val="22"/>
          <w:lang w:eastAsia="zh-CN"/>
        </w:rPr>
        <w:t>Dva randomizovana otvorena, multicentrična klinička ispitivanja faze 3, ispitivala su lijek Jakavi kod pacijenata uzrasta 12 godina i starijih sa akutnim GvHD (REACH2) i hroničnim GvHD (REACH3)</w:t>
      </w:r>
      <w:r w:rsidRPr="00F37492">
        <w:rPr>
          <w:rFonts w:eastAsia="MS Mincho"/>
          <w:color w:val="0000FF"/>
          <w:sz w:val="22"/>
          <w:szCs w:val="22"/>
          <w:lang w:eastAsia="zh-CN"/>
        </w:rPr>
        <w:t xml:space="preserve"> </w:t>
      </w:r>
      <w:r w:rsidRPr="00F37492">
        <w:rPr>
          <w:rFonts w:eastAsia="MS Mincho"/>
          <w:sz w:val="22"/>
          <w:szCs w:val="22"/>
          <w:lang w:eastAsia="zh-CN"/>
        </w:rPr>
        <w:t>nakon alogene transplantacije hematopoetskih matičnih ćelija (alloSCT) i nedovoljnim odgovorom na kortikosteroide i/ili druge sistemske terapije. Početna doza lijeka Jakavi bila je 10 mg dva puta na dan.</w:t>
      </w:r>
    </w:p>
    <w:p w14:paraId="7B351152" w14:textId="77777777" w:rsidR="00F37492" w:rsidRPr="00F37492" w:rsidRDefault="00F37492" w:rsidP="000A557B">
      <w:pPr>
        <w:jc w:val="both"/>
        <w:rPr>
          <w:rFonts w:eastAsia="MS Mincho"/>
          <w:sz w:val="22"/>
          <w:szCs w:val="22"/>
          <w:lang w:eastAsia="zh-CN"/>
        </w:rPr>
      </w:pPr>
    </w:p>
    <w:p w14:paraId="3DE66ED3" w14:textId="77777777" w:rsidR="00F37492" w:rsidRPr="00703819" w:rsidRDefault="00F37492" w:rsidP="000A557B">
      <w:pPr>
        <w:keepNext/>
        <w:jc w:val="both"/>
        <w:rPr>
          <w:rFonts w:eastAsia="MS Mincho"/>
          <w:i/>
          <w:sz w:val="22"/>
          <w:szCs w:val="22"/>
          <w:lang w:eastAsia="zh-CN"/>
        </w:rPr>
      </w:pPr>
      <w:r w:rsidRPr="00703819">
        <w:rPr>
          <w:rFonts w:eastAsia="MS Mincho"/>
          <w:i/>
          <w:sz w:val="22"/>
          <w:szCs w:val="22"/>
          <w:lang w:eastAsia="zh-CN"/>
        </w:rPr>
        <w:t>Akutna bolest kalema protiv domaćina</w:t>
      </w:r>
    </w:p>
    <w:p w14:paraId="4C366E31" w14:textId="55405F0D"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U studiji REACH2, 309 pacijenata sa akutnim GvHD refraktornim na kortikosteroide, stepena II do IV randomizovani su u odnosu 1:1 na lijek Jakavi ili </w:t>
      </w:r>
      <w:r w:rsidR="00853015">
        <w:rPr>
          <w:rFonts w:eastAsia="MS Mincho"/>
          <w:sz w:val="22"/>
          <w:szCs w:val="22"/>
          <w:lang w:eastAsia="zh-CN"/>
        </w:rPr>
        <w:t>NDT</w:t>
      </w:r>
      <w:r w:rsidRPr="00F37492">
        <w:rPr>
          <w:rFonts w:eastAsia="MS Mincho"/>
          <w:sz w:val="22"/>
          <w:szCs w:val="22"/>
          <w:lang w:eastAsia="zh-CN"/>
        </w:rPr>
        <w:t xml:space="preserve">. Pacijenti su stratifikovani po težini akutnog GvHD u vrijeme randomizacije. Refraktornost na kortikosteroide je određena kada su pacijenti imali progresiju nakon najmanje 3 dana, kad nije dostignut odgovor nakon 7 dana ili nakon neuspješnog postepenog smanjenja doze kortikosteroida. </w:t>
      </w:r>
    </w:p>
    <w:p w14:paraId="5F2E29F6" w14:textId="77777777" w:rsidR="00F37492" w:rsidRPr="00F37492" w:rsidRDefault="00F37492" w:rsidP="000A557B">
      <w:pPr>
        <w:jc w:val="both"/>
        <w:rPr>
          <w:rFonts w:eastAsia="MS Mincho"/>
          <w:sz w:val="22"/>
          <w:szCs w:val="22"/>
          <w:lang w:eastAsia="zh-CN"/>
        </w:rPr>
      </w:pPr>
    </w:p>
    <w:p w14:paraId="090CAC3F" w14:textId="218B612C"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Istraživač je odabrao </w:t>
      </w:r>
      <w:r w:rsidR="00853015">
        <w:rPr>
          <w:rFonts w:eastAsia="MS Mincho"/>
          <w:sz w:val="22"/>
          <w:szCs w:val="22"/>
          <w:lang w:eastAsia="zh-CN"/>
        </w:rPr>
        <w:t xml:space="preserve">NDT </w:t>
      </w:r>
      <w:r w:rsidRPr="00F37492">
        <w:rPr>
          <w:rFonts w:eastAsia="MS Mincho"/>
          <w:sz w:val="22"/>
          <w:szCs w:val="22"/>
          <w:lang w:eastAsia="zh-CN"/>
        </w:rPr>
        <w:t>za svakog pacijenta ponaosob i uključivao je antitimocitni globulin (ATG), vantjelesnu fotoferezu (</w:t>
      </w:r>
      <w:r w:rsidRPr="00F37492">
        <w:rPr>
          <w:rFonts w:eastAsia="MS Mincho"/>
          <w:sz w:val="22"/>
          <w:szCs w:val="22"/>
          <w:lang w:val="hr-HR" w:eastAsia="zh-CN"/>
        </w:rPr>
        <w:t xml:space="preserve">engl. </w:t>
      </w:r>
      <w:r w:rsidRPr="00F37492">
        <w:rPr>
          <w:rFonts w:eastAsia="MS Mincho"/>
          <w:i/>
          <w:sz w:val="22"/>
          <w:szCs w:val="22"/>
          <w:lang w:val="hr-HR" w:eastAsia="zh-CN"/>
        </w:rPr>
        <w:t>extracorporeal photopheresis</w:t>
      </w:r>
      <w:r w:rsidRPr="00F37492">
        <w:rPr>
          <w:rFonts w:eastAsia="MS Mincho"/>
          <w:sz w:val="22"/>
          <w:szCs w:val="22"/>
          <w:lang w:val="hr-HR" w:eastAsia="zh-CN"/>
        </w:rPr>
        <w:t xml:space="preserve">, </w:t>
      </w:r>
      <w:r w:rsidRPr="00F37492">
        <w:rPr>
          <w:rFonts w:eastAsia="MS Mincho"/>
          <w:sz w:val="22"/>
          <w:szCs w:val="22"/>
          <w:lang w:eastAsia="zh-CN"/>
        </w:rPr>
        <w:t>ECP), mezenhimske stromalne ćelije (</w:t>
      </w:r>
      <w:r w:rsidRPr="00F37492">
        <w:rPr>
          <w:rFonts w:eastAsia="MS Mincho"/>
          <w:sz w:val="22"/>
          <w:szCs w:val="22"/>
          <w:lang w:val="hr-HR" w:eastAsia="zh-CN"/>
        </w:rPr>
        <w:t xml:space="preserve">engl. </w:t>
      </w:r>
      <w:r w:rsidRPr="00F37492">
        <w:rPr>
          <w:rFonts w:eastAsia="MS Mincho"/>
          <w:i/>
          <w:sz w:val="22"/>
          <w:szCs w:val="22"/>
          <w:lang w:val="hr-HR" w:eastAsia="zh-CN"/>
        </w:rPr>
        <w:lastRenderedPageBreak/>
        <w:t>mesenchymal stromal cells,</w:t>
      </w:r>
      <w:r w:rsidRPr="00F37492">
        <w:rPr>
          <w:rFonts w:eastAsia="MS Mincho"/>
          <w:sz w:val="22"/>
          <w:szCs w:val="22"/>
          <w:lang w:val="hr-HR" w:eastAsia="zh-CN"/>
        </w:rPr>
        <w:t xml:space="preserve"> </w:t>
      </w:r>
      <w:r w:rsidRPr="00F37492">
        <w:rPr>
          <w:rFonts w:eastAsia="MS Mincho"/>
          <w:sz w:val="22"/>
          <w:szCs w:val="22"/>
          <w:lang w:eastAsia="zh-CN"/>
        </w:rPr>
        <w:t>MSC), niske doze metotreksata (</w:t>
      </w:r>
      <w:r w:rsidRPr="00F37492">
        <w:rPr>
          <w:rFonts w:eastAsia="MS Mincho"/>
          <w:sz w:val="22"/>
          <w:szCs w:val="22"/>
          <w:lang w:val="hr-HR" w:eastAsia="zh-CN"/>
        </w:rPr>
        <w:t xml:space="preserve">engl. </w:t>
      </w:r>
      <w:r w:rsidRPr="00F37492">
        <w:rPr>
          <w:rFonts w:eastAsia="MS Mincho"/>
          <w:i/>
          <w:sz w:val="22"/>
          <w:szCs w:val="22"/>
          <w:lang w:val="hr-HR" w:eastAsia="zh-CN"/>
        </w:rPr>
        <w:t>methotrexate</w:t>
      </w:r>
      <w:r w:rsidRPr="00F37492">
        <w:rPr>
          <w:rFonts w:eastAsia="MS Mincho"/>
          <w:sz w:val="22"/>
          <w:szCs w:val="22"/>
          <w:lang w:val="hr-HR" w:eastAsia="zh-CN"/>
        </w:rPr>
        <w:t xml:space="preserve">, </w:t>
      </w:r>
      <w:r w:rsidRPr="00F37492">
        <w:rPr>
          <w:rFonts w:eastAsia="MS Mincho"/>
          <w:sz w:val="22"/>
          <w:szCs w:val="22"/>
          <w:lang w:eastAsia="zh-CN"/>
        </w:rPr>
        <w:t>MTX), mofetil mikofenolat (MMF), mTOR inhibitore (everolimus ili sirolimus), etanercept ili infliksimab.</w:t>
      </w:r>
    </w:p>
    <w:p w14:paraId="46389340" w14:textId="77777777" w:rsidR="00F37492" w:rsidRPr="00F37492" w:rsidRDefault="00F37492" w:rsidP="000A557B">
      <w:pPr>
        <w:jc w:val="both"/>
        <w:rPr>
          <w:rFonts w:eastAsia="MS Mincho"/>
          <w:sz w:val="22"/>
          <w:szCs w:val="22"/>
          <w:lang w:eastAsia="zh-CN"/>
        </w:rPr>
      </w:pPr>
    </w:p>
    <w:p w14:paraId="0375D818" w14:textId="6D06893D" w:rsidR="00F37492" w:rsidRPr="00F37492" w:rsidRDefault="00F37492" w:rsidP="000A557B">
      <w:pPr>
        <w:jc w:val="both"/>
        <w:rPr>
          <w:sz w:val="22"/>
          <w:szCs w:val="22"/>
          <w:lang w:eastAsia="zh-CN"/>
        </w:rPr>
      </w:pPr>
      <w:r w:rsidRPr="00F37492">
        <w:rPr>
          <w:sz w:val="22"/>
          <w:szCs w:val="22"/>
          <w:lang w:eastAsia="zh-CN"/>
        </w:rPr>
        <w:t xml:space="preserve">Pored lijeka Jakavi ili </w:t>
      </w:r>
      <w:r w:rsidR="00853015">
        <w:rPr>
          <w:sz w:val="22"/>
          <w:szCs w:val="22"/>
          <w:lang w:eastAsia="zh-CN"/>
        </w:rPr>
        <w:t>NDT</w:t>
      </w:r>
      <w:r w:rsidRPr="00F37492">
        <w:rPr>
          <w:sz w:val="22"/>
          <w:szCs w:val="22"/>
          <w:lang w:eastAsia="zh-CN"/>
        </w:rPr>
        <w:t>, pacijenti su mogli primiti potpornu terapiju standardnu za transplantaciju alogenih matičnih ćelija uključujući antiinfektivne ljekove i transfuziju. Ruksolitinib je dodat kontinuiranoj primjeni kortikosteroida i/ili inhibitora kalcineurina (CNIs) kao što su ciklosporin ili takrolimus i/ili terapije topikalnim ili inhalacionim kortikosteroidima prema smjernicama ustanove.</w:t>
      </w:r>
    </w:p>
    <w:p w14:paraId="5AEFBC07" w14:textId="77777777" w:rsidR="00F37492" w:rsidRPr="00F37492" w:rsidRDefault="00F37492" w:rsidP="000A557B">
      <w:pPr>
        <w:jc w:val="both"/>
        <w:rPr>
          <w:rFonts w:eastAsia="MS Mincho"/>
          <w:sz w:val="22"/>
          <w:szCs w:val="22"/>
          <w:lang w:eastAsia="zh-CN"/>
        </w:rPr>
      </w:pPr>
    </w:p>
    <w:p w14:paraId="3A0D31EF" w14:textId="27FAC43D" w:rsidR="00F37492" w:rsidRPr="00F37492" w:rsidRDefault="00F37492" w:rsidP="000A557B">
      <w:pPr>
        <w:jc w:val="both"/>
        <w:rPr>
          <w:bCs/>
          <w:sz w:val="22"/>
          <w:szCs w:val="22"/>
          <w:lang w:eastAsia="zh-CN"/>
        </w:rPr>
      </w:pPr>
      <w:r w:rsidRPr="00F37492">
        <w:rPr>
          <w:rFonts w:eastAsia="MS Mincho"/>
          <w:sz w:val="22"/>
          <w:szCs w:val="22"/>
          <w:lang w:eastAsia="zh-CN"/>
        </w:rPr>
        <w:t>Pacijenti koji su primili jednu raniju sistemsku terapiju osim kortikosteroida i</w:t>
      </w:r>
      <w:r w:rsidR="00853015">
        <w:rPr>
          <w:rFonts w:eastAsia="MS Mincho"/>
          <w:sz w:val="22"/>
          <w:szCs w:val="22"/>
          <w:lang w:eastAsia="zh-CN"/>
        </w:rPr>
        <w:t>li</w:t>
      </w:r>
      <w:r w:rsidRPr="00F37492">
        <w:rPr>
          <w:rFonts w:eastAsia="MS Mincho"/>
          <w:sz w:val="22"/>
          <w:szCs w:val="22"/>
          <w:lang w:eastAsia="zh-CN"/>
        </w:rPr>
        <w:t xml:space="preserve"> CNI za akutni GvHD, bili su podobni za uključivanje u studiju. Pored kortikosteroida i CNI, </w:t>
      </w:r>
      <w:r w:rsidRPr="00F37492">
        <w:rPr>
          <w:bCs/>
          <w:sz w:val="22"/>
          <w:szCs w:val="22"/>
          <w:lang w:eastAsia="zh-CN"/>
        </w:rPr>
        <w:t xml:space="preserve">prethodno korišćen sistemski lijek za </w:t>
      </w:r>
      <w:r w:rsidRPr="00F37492">
        <w:rPr>
          <w:rFonts w:eastAsia="MS Mincho"/>
          <w:sz w:val="22"/>
          <w:szCs w:val="22"/>
          <w:lang w:eastAsia="zh-CN"/>
        </w:rPr>
        <w:t xml:space="preserve">akutni GvHD </w:t>
      </w:r>
      <w:r w:rsidRPr="00F37492">
        <w:rPr>
          <w:bCs/>
          <w:sz w:val="22"/>
          <w:szCs w:val="22"/>
          <w:lang w:eastAsia="zh-CN"/>
        </w:rPr>
        <w:t>je smio da se nastavi samo ako se koristi za profilaksu</w:t>
      </w:r>
      <w:r w:rsidRPr="00F37492">
        <w:rPr>
          <w:rFonts w:eastAsia="MS Mincho"/>
          <w:sz w:val="22"/>
          <w:szCs w:val="22"/>
          <w:lang w:eastAsia="zh-CN"/>
        </w:rPr>
        <w:t xml:space="preserve"> akutnog GvHD (tj. započet prije dijagnoze akutnog GvHD) </w:t>
      </w:r>
      <w:r w:rsidRPr="00F37492">
        <w:rPr>
          <w:bCs/>
          <w:sz w:val="22"/>
          <w:szCs w:val="22"/>
          <w:lang w:eastAsia="zh-CN"/>
        </w:rPr>
        <w:t>u skladu sa uobičajenom medicinskom praksom.</w:t>
      </w:r>
    </w:p>
    <w:p w14:paraId="27416C0D" w14:textId="77777777" w:rsidR="00F37492" w:rsidRPr="00F37492" w:rsidRDefault="00F37492" w:rsidP="000A557B">
      <w:pPr>
        <w:jc w:val="both"/>
        <w:rPr>
          <w:rFonts w:eastAsia="MS Mincho"/>
          <w:bCs/>
          <w:sz w:val="22"/>
          <w:szCs w:val="22"/>
          <w:lang w:eastAsia="zh-CN"/>
        </w:rPr>
      </w:pPr>
    </w:p>
    <w:p w14:paraId="13DAFA7A" w14:textId="2ECBE910" w:rsidR="00F37492" w:rsidRPr="00F37492" w:rsidRDefault="00F37492" w:rsidP="000A557B">
      <w:pPr>
        <w:jc w:val="both"/>
        <w:rPr>
          <w:rFonts w:eastAsia="MS Mincho"/>
          <w:bCs/>
          <w:sz w:val="22"/>
          <w:szCs w:val="22"/>
          <w:lang w:eastAsia="zh-CN"/>
        </w:rPr>
      </w:pPr>
      <w:r w:rsidRPr="00F37492">
        <w:rPr>
          <w:rFonts w:eastAsia="MS Mincho"/>
          <w:bCs/>
          <w:sz w:val="22"/>
          <w:szCs w:val="22"/>
          <w:lang w:eastAsia="zh-CN"/>
        </w:rPr>
        <w:t xml:space="preserve">Pacijenti na </w:t>
      </w:r>
      <w:r w:rsidR="00853015">
        <w:rPr>
          <w:rFonts w:eastAsia="MS Mincho"/>
          <w:bCs/>
          <w:sz w:val="22"/>
          <w:szCs w:val="22"/>
          <w:lang w:eastAsia="zh-CN"/>
        </w:rPr>
        <w:t>NDT</w:t>
      </w:r>
      <w:r w:rsidRPr="00F37492">
        <w:rPr>
          <w:rFonts w:eastAsia="MS Mincho"/>
          <w:bCs/>
          <w:sz w:val="22"/>
          <w:szCs w:val="22"/>
          <w:lang w:eastAsia="zh-CN"/>
        </w:rPr>
        <w:t xml:space="preserve"> mogli su da pređu na ruksolitinib nakon 28</w:t>
      </w:r>
      <w:r w:rsidR="00853015">
        <w:rPr>
          <w:rFonts w:eastAsia="MS Mincho"/>
          <w:bCs/>
          <w:sz w:val="22"/>
          <w:szCs w:val="22"/>
          <w:lang w:eastAsia="zh-CN"/>
        </w:rPr>
        <w:t>.</w:t>
      </w:r>
      <w:r w:rsidRPr="00F37492">
        <w:rPr>
          <w:rFonts w:eastAsia="MS Mincho"/>
          <w:bCs/>
          <w:sz w:val="22"/>
          <w:szCs w:val="22"/>
          <w:lang w:eastAsia="zh-CN"/>
        </w:rPr>
        <w:t xml:space="preserve"> dana ako su ispunjavali sljedeće kriterijume:</w:t>
      </w:r>
    </w:p>
    <w:p w14:paraId="52C7E64C" w14:textId="52727268" w:rsidR="00F37492" w:rsidRPr="00F37492" w:rsidRDefault="00F37492" w:rsidP="000A557B">
      <w:pPr>
        <w:numPr>
          <w:ilvl w:val="0"/>
          <w:numId w:val="13"/>
        </w:numPr>
        <w:ind w:left="0" w:firstLine="0"/>
        <w:jc w:val="both"/>
        <w:rPr>
          <w:rFonts w:eastAsia="MS Mincho"/>
          <w:bCs/>
          <w:sz w:val="22"/>
          <w:szCs w:val="22"/>
          <w:lang w:eastAsia="zh-CN"/>
        </w:rPr>
      </w:pPr>
      <w:r w:rsidRPr="00F37492">
        <w:rPr>
          <w:rFonts w:eastAsia="MS Mincho"/>
          <w:bCs/>
          <w:sz w:val="22"/>
          <w:szCs w:val="22"/>
          <w:lang w:eastAsia="zh-CN"/>
        </w:rPr>
        <w:t>Nije postignut odgovor prema definiciji primarnog ishoda (potpun odgovor – engl.</w:t>
      </w:r>
      <w:r w:rsidR="005F2377">
        <w:rPr>
          <w:rFonts w:eastAsia="MS Mincho"/>
          <w:bCs/>
          <w:sz w:val="22"/>
          <w:szCs w:val="22"/>
          <w:lang w:eastAsia="zh-CN"/>
        </w:rPr>
        <w:t xml:space="preserve"> </w:t>
      </w:r>
      <w:r w:rsidRPr="00F37492">
        <w:rPr>
          <w:rFonts w:eastAsia="MS Mincho"/>
          <w:bCs/>
          <w:i/>
          <w:sz w:val="22"/>
          <w:szCs w:val="22"/>
          <w:lang w:eastAsia="zh-CN"/>
        </w:rPr>
        <w:t>complete response</w:t>
      </w:r>
      <w:r w:rsidRPr="00F37492">
        <w:rPr>
          <w:rFonts w:eastAsia="MS Mincho"/>
          <w:bCs/>
          <w:sz w:val="22"/>
          <w:szCs w:val="22"/>
          <w:lang w:eastAsia="zh-CN"/>
        </w:rPr>
        <w:t xml:space="preserve"> [CR] ili djelimičan odgovor - engl. </w:t>
      </w:r>
      <w:r w:rsidRPr="00F37492">
        <w:rPr>
          <w:rFonts w:eastAsia="MS Mincho"/>
          <w:bCs/>
          <w:i/>
          <w:sz w:val="22"/>
          <w:szCs w:val="22"/>
          <w:lang w:eastAsia="zh-CN"/>
        </w:rPr>
        <w:t>partial response</w:t>
      </w:r>
      <w:r w:rsidRPr="00F37492">
        <w:rPr>
          <w:rFonts w:eastAsia="MS Mincho"/>
          <w:bCs/>
          <w:sz w:val="22"/>
          <w:szCs w:val="22"/>
          <w:lang w:eastAsia="zh-CN"/>
        </w:rPr>
        <w:t xml:space="preserve"> [PR]) na 28 dan; ILI</w:t>
      </w:r>
    </w:p>
    <w:p w14:paraId="59DAD27E" w14:textId="5FB8E70C" w:rsidR="00F37492" w:rsidRPr="00F37492" w:rsidRDefault="00F37492" w:rsidP="000A557B">
      <w:pPr>
        <w:numPr>
          <w:ilvl w:val="0"/>
          <w:numId w:val="13"/>
        </w:numPr>
        <w:ind w:left="0" w:firstLine="0"/>
        <w:jc w:val="both"/>
        <w:rPr>
          <w:rFonts w:eastAsia="MS Mincho"/>
          <w:bCs/>
          <w:sz w:val="22"/>
          <w:szCs w:val="22"/>
          <w:lang w:eastAsia="zh-CN"/>
        </w:rPr>
      </w:pPr>
      <w:r w:rsidRPr="00F37492">
        <w:rPr>
          <w:rFonts w:eastAsia="MS Mincho"/>
          <w:bCs/>
          <w:sz w:val="22"/>
          <w:szCs w:val="22"/>
          <w:lang w:eastAsia="zh-CN"/>
        </w:rPr>
        <w:t>Gubitak odgovora nakon toga i ispunjavaju kriterijum za progresiju, mješoviti odgovor ili izostanak odgovora, zahtjevajući nove dodatne sistemske imunosupresivne terapije za akutni GvHD, I</w:t>
      </w:r>
    </w:p>
    <w:p w14:paraId="3ACA004B" w14:textId="5384A833" w:rsidR="00F37492" w:rsidRPr="00F37492" w:rsidRDefault="00F37492" w:rsidP="000A557B">
      <w:pPr>
        <w:numPr>
          <w:ilvl w:val="0"/>
          <w:numId w:val="13"/>
        </w:numPr>
        <w:ind w:left="0" w:firstLine="0"/>
        <w:jc w:val="both"/>
        <w:rPr>
          <w:rFonts w:eastAsia="MS Mincho"/>
          <w:bCs/>
          <w:sz w:val="22"/>
          <w:szCs w:val="22"/>
          <w:lang w:eastAsia="zh-CN"/>
        </w:rPr>
      </w:pPr>
      <w:r w:rsidRPr="00F37492">
        <w:rPr>
          <w:rFonts w:eastAsia="MS Mincho"/>
          <w:bCs/>
          <w:sz w:val="22"/>
          <w:szCs w:val="22"/>
          <w:lang w:eastAsia="zh-CN"/>
        </w:rPr>
        <w:t>Ni</w:t>
      </w:r>
      <w:r w:rsidR="00853015">
        <w:rPr>
          <w:rFonts w:eastAsia="MS Mincho"/>
          <w:bCs/>
          <w:sz w:val="22"/>
          <w:szCs w:val="22"/>
          <w:lang w:eastAsia="zh-CN"/>
        </w:rPr>
        <w:t>je</w:t>
      </w:r>
      <w:r w:rsidRPr="00F37492">
        <w:rPr>
          <w:rFonts w:eastAsia="MS Mincho"/>
          <w:bCs/>
          <w:sz w:val="22"/>
          <w:szCs w:val="22"/>
          <w:lang w:eastAsia="zh-CN"/>
        </w:rPr>
        <w:t>su imali znake/simptome hroničnog GvHD.</w:t>
      </w:r>
    </w:p>
    <w:p w14:paraId="727A12E3" w14:textId="77777777" w:rsidR="00F37492" w:rsidRPr="00F37492" w:rsidRDefault="00F37492" w:rsidP="000A557B">
      <w:pPr>
        <w:jc w:val="both"/>
        <w:rPr>
          <w:rFonts w:eastAsia="MS Mincho"/>
          <w:sz w:val="22"/>
          <w:szCs w:val="22"/>
          <w:lang w:eastAsia="zh-CN"/>
        </w:rPr>
      </w:pPr>
    </w:p>
    <w:p w14:paraId="50337FE8" w14:textId="25A7D57F" w:rsidR="00F37492" w:rsidRPr="00F37492" w:rsidRDefault="00F37492" w:rsidP="000A557B">
      <w:pPr>
        <w:jc w:val="both"/>
        <w:rPr>
          <w:rFonts w:eastAsia="MS Mincho"/>
          <w:sz w:val="22"/>
          <w:szCs w:val="22"/>
          <w:lang w:eastAsia="zh-CN"/>
        </w:rPr>
      </w:pPr>
      <w:r w:rsidRPr="00F37492">
        <w:rPr>
          <w:rFonts w:eastAsia="MS Mincho"/>
          <w:sz w:val="22"/>
          <w:szCs w:val="22"/>
          <w:lang w:eastAsia="zh-CN"/>
        </w:rPr>
        <w:t>Postepeno smanjenje doze lijeka Jakavi bilo je dozvoljeno nakon 56</w:t>
      </w:r>
      <w:r w:rsidR="00853015">
        <w:rPr>
          <w:rFonts w:eastAsia="MS Mincho"/>
          <w:sz w:val="22"/>
          <w:szCs w:val="22"/>
          <w:lang w:eastAsia="zh-CN"/>
        </w:rPr>
        <w:t>.</w:t>
      </w:r>
      <w:r w:rsidRPr="00F37492">
        <w:rPr>
          <w:rFonts w:eastAsia="MS Mincho"/>
          <w:sz w:val="22"/>
          <w:szCs w:val="22"/>
          <w:lang w:eastAsia="zh-CN"/>
        </w:rPr>
        <w:t xml:space="preserve"> dana za pacijente sa terapijskim odgovorom</w:t>
      </w:r>
      <w:r w:rsidR="00853015">
        <w:rPr>
          <w:rFonts w:eastAsia="MS Mincho"/>
          <w:sz w:val="22"/>
          <w:szCs w:val="22"/>
          <w:lang w:eastAsia="zh-CN"/>
        </w:rPr>
        <w:t xml:space="preserve"> na liječenje</w:t>
      </w:r>
      <w:r w:rsidRPr="00F37492">
        <w:rPr>
          <w:rFonts w:eastAsia="MS Mincho"/>
          <w:sz w:val="22"/>
          <w:szCs w:val="22"/>
          <w:lang w:eastAsia="zh-CN"/>
        </w:rPr>
        <w:t>.</w:t>
      </w:r>
    </w:p>
    <w:p w14:paraId="62BEC16B" w14:textId="77777777" w:rsidR="00F37492" w:rsidRPr="00F37492" w:rsidRDefault="00F37492" w:rsidP="000A557B">
      <w:pPr>
        <w:jc w:val="both"/>
        <w:rPr>
          <w:rFonts w:eastAsia="MS Mincho"/>
          <w:sz w:val="22"/>
          <w:szCs w:val="22"/>
          <w:lang w:eastAsia="zh-CN"/>
        </w:rPr>
      </w:pPr>
    </w:p>
    <w:p w14:paraId="4B0F136A" w14:textId="77777777" w:rsidR="00F37492" w:rsidRPr="00F37492" w:rsidRDefault="00F37492" w:rsidP="000A557B">
      <w:pPr>
        <w:jc w:val="both"/>
        <w:rPr>
          <w:rFonts w:eastAsia="MS Mincho"/>
          <w:sz w:val="22"/>
          <w:szCs w:val="22"/>
          <w:lang w:eastAsia="zh-CN"/>
        </w:rPr>
      </w:pPr>
      <w:r w:rsidRPr="00F37492">
        <w:rPr>
          <w:rFonts w:eastAsia="MS Mincho"/>
          <w:sz w:val="22"/>
          <w:szCs w:val="22"/>
          <w:lang w:eastAsia="zh-CN"/>
        </w:rPr>
        <w:t>Osnovne demografske karakteristike i karakteristike bolesti bile su izbalansirane između dvije grupe pacijenata. Medijana starosti je bila 54 godine (raspon od 12 do 73 godine). Studija je obuhvatila 2,9% adolescenata, 59,2% muškaraca i 68,9% bijelaca. Većina uključenih pacijenata je imala malignu osnovnu bolest.</w:t>
      </w:r>
    </w:p>
    <w:p w14:paraId="1C68B8C7" w14:textId="77777777" w:rsidR="00F37492" w:rsidRPr="00F37492" w:rsidRDefault="00F37492" w:rsidP="000A557B">
      <w:pPr>
        <w:jc w:val="both"/>
        <w:rPr>
          <w:sz w:val="22"/>
          <w:szCs w:val="22"/>
          <w:lang w:eastAsia="zh-CN"/>
        </w:rPr>
      </w:pPr>
    </w:p>
    <w:p w14:paraId="78857A03" w14:textId="23359B80" w:rsidR="00F37492" w:rsidRPr="00F37492" w:rsidRDefault="00F37492" w:rsidP="000A557B">
      <w:pPr>
        <w:jc w:val="both"/>
        <w:rPr>
          <w:sz w:val="22"/>
          <w:szCs w:val="22"/>
          <w:lang w:eastAsia="zh-CN"/>
        </w:rPr>
      </w:pPr>
      <w:r w:rsidRPr="00F37492">
        <w:rPr>
          <w:rFonts w:eastAsia="MS Mincho"/>
          <w:sz w:val="22"/>
          <w:szCs w:val="22"/>
          <w:lang w:eastAsia="zh-CN"/>
        </w:rPr>
        <w:t xml:space="preserve">Težina akutnog GvHD bila je stepena II kod 34%, stepena III kod 46% i stepena IV kod 20% pacijenata u Jakavi grupi i stepena II kod 34%, stepena III kod 47% i stepena IV kod 19% pacijenata </w:t>
      </w:r>
      <w:r w:rsidR="00853015">
        <w:rPr>
          <w:rFonts w:eastAsia="MS Mincho"/>
          <w:sz w:val="22"/>
          <w:szCs w:val="22"/>
          <w:lang w:eastAsia="zh-CN"/>
        </w:rPr>
        <w:t>NDT</w:t>
      </w:r>
      <w:r w:rsidRPr="00F37492">
        <w:rPr>
          <w:rFonts w:eastAsia="MS Mincho"/>
          <w:sz w:val="22"/>
          <w:szCs w:val="22"/>
          <w:lang w:eastAsia="zh-CN"/>
        </w:rPr>
        <w:t xml:space="preserve"> grupe.</w:t>
      </w:r>
    </w:p>
    <w:p w14:paraId="33A6CF7C" w14:textId="77777777" w:rsidR="00F37492" w:rsidRPr="00F37492" w:rsidRDefault="00F37492" w:rsidP="000A557B">
      <w:pPr>
        <w:jc w:val="both"/>
        <w:rPr>
          <w:sz w:val="22"/>
          <w:szCs w:val="22"/>
          <w:lang w:eastAsia="zh-CN"/>
        </w:rPr>
      </w:pPr>
    </w:p>
    <w:p w14:paraId="21728E68" w14:textId="5A9B3159"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Razlozi nedovoljnog odgovora pacijenata na kortikosteroide u grupama Jakavi i </w:t>
      </w:r>
      <w:r w:rsidR="00853015">
        <w:rPr>
          <w:rFonts w:eastAsia="MS Mincho"/>
          <w:sz w:val="22"/>
          <w:szCs w:val="22"/>
          <w:lang w:eastAsia="zh-CN"/>
        </w:rPr>
        <w:t>NDT</w:t>
      </w:r>
      <w:r w:rsidRPr="00F37492">
        <w:rPr>
          <w:rFonts w:eastAsia="MS Mincho"/>
          <w:sz w:val="22"/>
          <w:szCs w:val="22"/>
          <w:lang w:eastAsia="zh-CN"/>
        </w:rPr>
        <w:t xml:space="preserve"> su i) neuspjeh u postizanju odgovora nakon 7 dana terapije kortikosteroidima (46,8% tj. 40,6%), ii) neuspjeh postepenog smanjivanja kortikosteroida (30,5% tj. 31,6%) ili iii) progresija bolesti poslije 3 dana liječenja (22,7% tj. 27,7%).</w:t>
      </w:r>
    </w:p>
    <w:p w14:paraId="42CDF4C3" w14:textId="77777777" w:rsidR="00F37492" w:rsidRPr="00F37492" w:rsidRDefault="00F37492" w:rsidP="000A557B">
      <w:pPr>
        <w:jc w:val="both"/>
        <w:rPr>
          <w:rFonts w:eastAsia="MS Mincho"/>
          <w:sz w:val="22"/>
          <w:szCs w:val="22"/>
          <w:lang w:eastAsia="zh-CN"/>
        </w:rPr>
      </w:pPr>
    </w:p>
    <w:p w14:paraId="7233B387" w14:textId="0EC117D9"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Među svim pacijentima, organi najčešći zahvaćeni akutnim GvHD bili su koža (54,0%) i donji dio gastrointestinalnog trakta (68,3%). Više pacijenata u Jakavi grupi imalo je akutni GvHD koji uključuje kožu (60,4%) i jetru (23,4%), u poređenju sa </w:t>
      </w:r>
      <w:r w:rsidR="00853015">
        <w:rPr>
          <w:rFonts w:eastAsia="MS Mincho"/>
          <w:sz w:val="22"/>
          <w:szCs w:val="22"/>
          <w:lang w:eastAsia="zh-CN"/>
        </w:rPr>
        <w:t>ND</w:t>
      </w:r>
      <w:r w:rsidRPr="00F37492">
        <w:rPr>
          <w:rFonts w:eastAsia="MS Mincho"/>
          <w:sz w:val="22"/>
          <w:szCs w:val="22"/>
          <w:lang w:eastAsia="zh-CN"/>
        </w:rPr>
        <w:t>T grupom (koža: 47,7% i jetra: 16,1%).</w:t>
      </w:r>
    </w:p>
    <w:p w14:paraId="447B4851" w14:textId="77777777" w:rsidR="00F37492" w:rsidRPr="00F37492" w:rsidRDefault="00F37492" w:rsidP="000A557B">
      <w:pPr>
        <w:jc w:val="both"/>
        <w:rPr>
          <w:rFonts w:eastAsia="MS Mincho"/>
          <w:sz w:val="22"/>
          <w:szCs w:val="22"/>
          <w:lang w:eastAsia="zh-CN"/>
        </w:rPr>
      </w:pPr>
    </w:p>
    <w:p w14:paraId="48921215" w14:textId="20BCA49E"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Najčešće korišćene ranije sistemske terapije za akutni GvHD bile su kortikosteroidi + CNI (49,4% u Jakavi grupi i 49,0% u </w:t>
      </w:r>
      <w:r w:rsidR="00853015">
        <w:rPr>
          <w:rFonts w:eastAsia="MS Mincho"/>
          <w:sz w:val="22"/>
          <w:szCs w:val="22"/>
          <w:lang w:eastAsia="zh-CN"/>
        </w:rPr>
        <w:t>ND</w:t>
      </w:r>
      <w:r w:rsidRPr="00F37492">
        <w:rPr>
          <w:rFonts w:eastAsia="MS Mincho"/>
          <w:sz w:val="22"/>
          <w:szCs w:val="22"/>
          <w:lang w:eastAsia="zh-CN"/>
        </w:rPr>
        <w:t xml:space="preserve">T grupi). </w:t>
      </w:r>
    </w:p>
    <w:p w14:paraId="26CC947C" w14:textId="77777777" w:rsidR="00F37492" w:rsidRPr="00F37492" w:rsidRDefault="00F37492" w:rsidP="000A557B">
      <w:pPr>
        <w:jc w:val="both"/>
        <w:rPr>
          <w:sz w:val="22"/>
          <w:szCs w:val="22"/>
          <w:lang w:eastAsia="zh-CN"/>
        </w:rPr>
      </w:pPr>
    </w:p>
    <w:p w14:paraId="11691F42" w14:textId="45D402BF" w:rsidR="00F37492" w:rsidRPr="00F37492" w:rsidRDefault="00F37492" w:rsidP="000A557B">
      <w:pPr>
        <w:jc w:val="both"/>
        <w:rPr>
          <w:rFonts w:eastAsia="MS Mincho"/>
          <w:sz w:val="22"/>
          <w:szCs w:val="22"/>
          <w:lang w:eastAsia="zh-CN"/>
        </w:rPr>
      </w:pPr>
      <w:r w:rsidRPr="00F37492">
        <w:rPr>
          <w:rFonts w:eastAsia="MS Mincho"/>
          <w:sz w:val="22"/>
          <w:szCs w:val="22"/>
          <w:lang w:eastAsia="zh-CN"/>
        </w:rPr>
        <w:t>Primarni ishod je bila je ukupna stopa odgovora (</w:t>
      </w:r>
      <w:r w:rsidR="00853015" w:rsidRPr="00853015">
        <w:rPr>
          <w:rFonts w:eastAsia="MS Mincho"/>
          <w:sz w:val="22"/>
          <w:szCs w:val="22"/>
          <w:lang w:eastAsia="zh-CN"/>
        </w:rPr>
        <w:t xml:space="preserve">(engl. </w:t>
      </w:r>
      <w:r w:rsidR="00853015" w:rsidRPr="00703819">
        <w:rPr>
          <w:rFonts w:eastAsia="MS Mincho"/>
          <w:i/>
          <w:sz w:val="22"/>
          <w:szCs w:val="22"/>
          <w:lang w:eastAsia="zh-CN"/>
        </w:rPr>
        <w:t>overall response rate</w:t>
      </w:r>
      <w:r w:rsidR="00853015" w:rsidRPr="00853015">
        <w:rPr>
          <w:rFonts w:eastAsia="MS Mincho"/>
          <w:sz w:val="22"/>
          <w:szCs w:val="22"/>
          <w:lang w:eastAsia="zh-CN"/>
        </w:rPr>
        <w:t>,</w:t>
      </w:r>
      <w:r w:rsidR="00853015">
        <w:rPr>
          <w:rFonts w:eastAsia="MS Mincho"/>
          <w:sz w:val="22"/>
          <w:szCs w:val="22"/>
          <w:lang w:eastAsia="zh-CN"/>
        </w:rPr>
        <w:t xml:space="preserve"> </w:t>
      </w:r>
      <w:r w:rsidRPr="00F37492">
        <w:rPr>
          <w:rFonts w:eastAsia="MS Mincho"/>
          <w:sz w:val="22"/>
          <w:szCs w:val="22"/>
          <w:lang w:eastAsia="zh-CN"/>
        </w:rPr>
        <w:t>ORR) 28. dana, definisana kao odnos pacijenata u svakoj grupi sa potpunim odgovorom (CR) ili djelimičnim odgovorom (PR) bez potrebe za dodatnim sistemskim terapijama za raniju progresiju, mješoviti odgovor ili izostanak odgovora na osnovu procjene istraživača prema kriterijumima Harrisa et al. (2016).</w:t>
      </w:r>
    </w:p>
    <w:p w14:paraId="08E0E206" w14:textId="77777777" w:rsidR="00F37492" w:rsidRPr="00F37492" w:rsidRDefault="00F37492" w:rsidP="000A557B">
      <w:pPr>
        <w:jc w:val="both"/>
        <w:rPr>
          <w:rFonts w:eastAsia="MS Mincho"/>
          <w:sz w:val="22"/>
          <w:szCs w:val="22"/>
          <w:lang w:eastAsia="zh-CN"/>
        </w:rPr>
      </w:pPr>
    </w:p>
    <w:p w14:paraId="364BB8C0" w14:textId="77777777" w:rsidR="00F37492" w:rsidRPr="00F37492" w:rsidRDefault="00F37492" w:rsidP="000A557B">
      <w:pPr>
        <w:jc w:val="both"/>
        <w:rPr>
          <w:rFonts w:eastAsia="MS Mincho"/>
          <w:sz w:val="22"/>
          <w:szCs w:val="22"/>
          <w:lang w:eastAsia="zh-CN"/>
        </w:rPr>
      </w:pPr>
      <w:r w:rsidRPr="00F37492">
        <w:rPr>
          <w:rFonts w:eastAsia="MS Mincho"/>
          <w:sz w:val="22"/>
          <w:szCs w:val="22"/>
          <w:lang w:eastAsia="zh-CN"/>
        </w:rPr>
        <w:t>Ključni sekundarni ishod bio je odnos pacijenata koji su postigli CR ili PR 28. dana i zadržali CR ili PR do 56. dana.</w:t>
      </w:r>
    </w:p>
    <w:p w14:paraId="11FB7CE9" w14:textId="77777777" w:rsidR="00F37492" w:rsidRPr="00F37492" w:rsidRDefault="00F37492" w:rsidP="000A557B">
      <w:pPr>
        <w:jc w:val="both"/>
        <w:rPr>
          <w:rFonts w:eastAsia="MS Mincho"/>
          <w:sz w:val="22"/>
          <w:szCs w:val="22"/>
          <w:lang w:eastAsia="zh-CN"/>
        </w:rPr>
      </w:pPr>
    </w:p>
    <w:p w14:paraId="77F3C458" w14:textId="00041180" w:rsidR="00F37492" w:rsidRDefault="00F37492" w:rsidP="000A557B">
      <w:pPr>
        <w:jc w:val="both"/>
        <w:rPr>
          <w:rFonts w:eastAsia="MS Mincho"/>
          <w:sz w:val="22"/>
          <w:szCs w:val="22"/>
          <w:lang w:eastAsia="zh-CN"/>
        </w:rPr>
      </w:pPr>
      <w:r w:rsidRPr="00F37492">
        <w:rPr>
          <w:rFonts w:eastAsia="MS Mincho"/>
          <w:sz w:val="22"/>
          <w:szCs w:val="22"/>
          <w:lang w:eastAsia="zh-CN"/>
        </w:rPr>
        <w:t xml:space="preserve">REACH2 je ispunio svoj primarni ishod. ORR 28. dana liječenja bio je veći u Jakavi grupi (62,3%) u poređenju sa </w:t>
      </w:r>
      <w:r w:rsidR="00AA3DD2">
        <w:rPr>
          <w:rFonts w:eastAsia="MS Mincho"/>
          <w:sz w:val="22"/>
          <w:szCs w:val="22"/>
          <w:lang w:eastAsia="zh-CN"/>
        </w:rPr>
        <w:t>ND</w:t>
      </w:r>
      <w:r w:rsidRPr="00F37492">
        <w:rPr>
          <w:rFonts w:eastAsia="MS Mincho"/>
          <w:sz w:val="22"/>
          <w:szCs w:val="22"/>
          <w:lang w:eastAsia="zh-CN"/>
        </w:rPr>
        <w:t>T grupom (39,4%). Postojala je statistički značajna razlika između grupa (stratifikovani Cochrane-Mantel-Haenszel test p&lt;</w:t>
      </w:r>
      <w:r w:rsidR="00FD5576">
        <w:rPr>
          <w:rFonts w:eastAsia="MS Mincho"/>
          <w:sz w:val="22"/>
          <w:szCs w:val="22"/>
          <w:lang w:eastAsia="zh-CN"/>
        </w:rPr>
        <w:t xml:space="preserve"> </w:t>
      </w:r>
      <w:r w:rsidRPr="00F37492">
        <w:rPr>
          <w:rFonts w:eastAsia="MS Mincho"/>
          <w:sz w:val="22"/>
          <w:szCs w:val="22"/>
          <w:lang w:eastAsia="zh-CN"/>
        </w:rPr>
        <w:t>0,0001, dvostrani, OR: 2,64; 95% CI: 1,65, 4,22).</w:t>
      </w:r>
    </w:p>
    <w:p w14:paraId="6A41C716" w14:textId="77777777" w:rsidR="00D11DD7" w:rsidRPr="00F37492" w:rsidRDefault="00D11DD7" w:rsidP="000A557B">
      <w:pPr>
        <w:jc w:val="both"/>
        <w:rPr>
          <w:rFonts w:eastAsia="MS Mincho"/>
          <w:sz w:val="22"/>
          <w:szCs w:val="22"/>
          <w:lang w:eastAsia="zh-CN"/>
        </w:rPr>
      </w:pPr>
    </w:p>
    <w:p w14:paraId="249B1CB0" w14:textId="2FA24008" w:rsidR="00AA3DD2" w:rsidRPr="00AA3DD2" w:rsidRDefault="00AA3DD2" w:rsidP="000A557B">
      <w:pPr>
        <w:jc w:val="both"/>
        <w:rPr>
          <w:rFonts w:eastAsia="MS Mincho"/>
          <w:sz w:val="22"/>
          <w:szCs w:val="22"/>
          <w:lang w:eastAsia="zh-CN"/>
        </w:rPr>
      </w:pPr>
      <w:r w:rsidRPr="00AA3DD2">
        <w:rPr>
          <w:rFonts w:eastAsia="MS Mincho"/>
          <w:sz w:val="22"/>
          <w:szCs w:val="22"/>
          <w:lang w:eastAsia="zh-CN"/>
        </w:rPr>
        <w:t>Ujedno je bio i veći udio</w:t>
      </w:r>
      <w:r>
        <w:rPr>
          <w:rFonts w:eastAsia="MS Mincho"/>
          <w:sz w:val="22"/>
          <w:szCs w:val="22"/>
          <w:lang w:eastAsia="zh-CN"/>
        </w:rPr>
        <w:t xml:space="preserve"> pacijenata</w:t>
      </w:r>
      <w:r w:rsidRPr="00AA3DD2">
        <w:rPr>
          <w:rFonts w:eastAsia="MS Mincho"/>
          <w:sz w:val="22"/>
          <w:szCs w:val="22"/>
          <w:lang w:eastAsia="zh-CN"/>
        </w:rPr>
        <w:t xml:space="preserve"> s</w:t>
      </w:r>
      <w:r>
        <w:rPr>
          <w:rFonts w:eastAsia="MS Mincho"/>
          <w:sz w:val="22"/>
          <w:szCs w:val="22"/>
          <w:lang w:eastAsia="zh-CN"/>
        </w:rPr>
        <w:t>a</w:t>
      </w:r>
      <w:r w:rsidRPr="00AA3DD2">
        <w:rPr>
          <w:rFonts w:eastAsia="MS Mincho"/>
          <w:sz w:val="22"/>
          <w:szCs w:val="22"/>
          <w:lang w:eastAsia="zh-CN"/>
        </w:rPr>
        <w:t xml:space="preserve"> potpunim odgovorom u </w:t>
      </w:r>
      <w:r>
        <w:rPr>
          <w:rFonts w:eastAsia="MS Mincho"/>
          <w:sz w:val="22"/>
          <w:szCs w:val="22"/>
          <w:lang w:eastAsia="zh-CN"/>
        </w:rPr>
        <w:t>grupi</w:t>
      </w:r>
      <w:r w:rsidRPr="00AA3DD2">
        <w:rPr>
          <w:rFonts w:eastAsia="MS Mincho"/>
          <w:sz w:val="22"/>
          <w:szCs w:val="22"/>
          <w:lang w:eastAsia="zh-CN"/>
        </w:rPr>
        <w:t xml:space="preserve"> koja je primala Jakavi (34,4%) u</w:t>
      </w:r>
    </w:p>
    <w:p w14:paraId="3659C3EB" w14:textId="77777777" w:rsidR="00AA3DD2" w:rsidRDefault="00AA3DD2" w:rsidP="000A557B">
      <w:pPr>
        <w:jc w:val="both"/>
        <w:rPr>
          <w:rFonts w:eastAsia="MS Mincho"/>
          <w:sz w:val="22"/>
          <w:szCs w:val="22"/>
          <w:lang w:eastAsia="zh-CN"/>
        </w:rPr>
      </w:pPr>
      <w:r>
        <w:rPr>
          <w:rFonts w:eastAsia="MS Mincho"/>
          <w:sz w:val="22"/>
          <w:szCs w:val="22"/>
          <w:lang w:eastAsia="zh-CN"/>
        </w:rPr>
        <w:lastRenderedPageBreak/>
        <w:t>poređenju</w:t>
      </w:r>
      <w:r w:rsidRPr="00AA3DD2">
        <w:rPr>
          <w:rFonts w:eastAsia="MS Mincho"/>
          <w:sz w:val="22"/>
          <w:szCs w:val="22"/>
          <w:lang w:eastAsia="zh-CN"/>
        </w:rPr>
        <w:t xml:space="preserve"> sa </w:t>
      </w:r>
      <w:r>
        <w:rPr>
          <w:rFonts w:eastAsia="MS Mincho"/>
          <w:sz w:val="22"/>
          <w:szCs w:val="22"/>
          <w:lang w:eastAsia="zh-CN"/>
        </w:rPr>
        <w:t>grupom</w:t>
      </w:r>
      <w:r w:rsidRPr="00AA3DD2">
        <w:rPr>
          <w:rFonts w:eastAsia="MS Mincho"/>
          <w:sz w:val="22"/>
          <w:szCs w:val="22"/>
          <w:lang w:eastAsia="zh-CN"/>
        </w:rPr>
        <w:t xml:space="preserve"> koja je primala NDT (19,4%).</w:t>
      </w:r>
    </w:p>
    <w:p w14:paraId="3523C7F2" w14:textId="77777777" w:rsidR="00F37492" w:rsidRPr="00F37492" w:rsidRDefault="00F37492" w:rsidP="000A557B">
      <w:pPr>
        <w:jc w:val="both"/>
        <w:rPr>
          <w:rFonts w:eastAsia="MS Mincho"/>
          <w:sz w:val="22"/>
          <w:szCs w:val="22"/>
          <w:lang w:eastAsia="zh-CN"/>
        </w:rPr>
      </w:pPr>
    </w:p>
    <w:p w14:paraId="38BA6D2D" w14:textId="64EB32FB"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ORR 28. dana bila je 76% za stepen II GvHD, 56% za stepen III GvHD i 53% za stepen IV GvHD u Jakavi grupi, i 51% za stepen II GvHD, 38% za stepen III GvHD i 23% za stepen IV GvHD u </w:t>
      </w:r>
      <w:r w:rsidR="00AA3DD2">
        <w:rPr>
          <w:rFonts w:eastAsia="MS Mincho"/>
          <w:sz w:val="22"/>
          <w:szCs w:val="22"/>
          <w:lang w:eastAsia="zh-CN"/>
        </w:rPr>
        <w:t>ND</w:t>
      </w:r>
      <w:r w:rsidRPr="00F37492">
        <w:rPr>
          <w:rFonts w:eastAsia="MS Mincho"/>
          <w:sz w:val="22"/>
          <w:szCs w:val="22"/>
          <w:lang w:eastAsia="zh-CN"/>
        </w:rPr>
        <w:t>T grupi.</w:t>
      </w:r>
    </w:p>
    <w:p w14:paraId="62FB1E27" w14:textId="77777777" w:rsidR="00F37492" w:rsidRPr="00F37492" w:rsidRDefault="00F37492" w:rsidP="000A557B">
      <w:pPr>
        <w:jc w:val="both"/>
        <w:rPr>
          <w:rFonts w:eastAsia="MS Mincho"/>
          <w:sz w:val="22"/>
          <w:szCs w:val="22"/>
          <w:lang w:eastAsia="zh-CN"/>
        </w:rPr>
      </w:pPr>
    </w:p>
    <w:p w14:paraId="56C0B0F5" w14:textId="2E0FBF4C"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Među pacijentima bez odgovora do 28. dana, progresiju bolesti imalo je 2,6% pacijenata u Jakavi grupi i 8,4% pacijenata u </w:t>
      </w:r>
      <w:r w:rsidR="00AA3DD2">
        <w:rPr>
          <w:rFonts w:eastAsia="MS Mincho"/>
          <w:sz w:val="22"/>
          <w:szCs w:val="22"/>
          <w:lang w:eastAsia="zh-CN"/>
        </w:rPr>
        <w:t>NDT</w:t>
      </w:r>
      <w:r w:rsidRPr="00F37492">
        <w:rPr>
          <w:rFonts w:eastAsia="MS Mincho"/>
          <w:sz w:val="22"/>
          <w:szCs w:val="22"/>
          <w:lang w:eastAsia="zh-CN"/>
        </w:rPr>
        <w:t xml:space="preserve"> grupi.</w:t>
      </w:r>
    </w:p>
    <w:p w14:paraId="39518B55" w14:textId="77777777" w:rsidR="00F37492" w:rsidRPr="00F37492" w:rsidRDefault="00F37492" w:rsidP="000A557B">
      <w:pPr>
        <w:jc w:val="both"/>
        <w:rPr>
          <w:rFonts w:eastAsia="MS Mincho"/>
          <w:sz w:val="22"/>
          <w:szCs w:val="22"/>
          <w:lang w:eastAsia="zh-CN"/>
        </w:rPr>
      </w:pPr>
    </w:p>
    <w:p w14:paraId="085B1E0A" w14:textId="79EAF5EE"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Ukupni rezultati su predstavljeni u </w:t>
      </w:r>
      <w:r w:rsidR="00EA16C8">
        <w:rPr>
          <w:rFonts w:eastAsia="MS Mincho"/>
          <w:sz w:val="22"/>
          <w:szCs w:val="22"/>
          <w:lang w:eastAsia="zh-CN"/>
        </w:rPr>
        <w:t>T</w:t>
      </w:r>
      <w:r w:rsidRPr="00F37492">
        <w:rPr>
          <w:rFonts w:eastAsia="MS Mincho"/>
          <w:sz w:val="22"/>
          <w:szCs w:val="22"/>
          <w:lang w:eastAsia="zh-CN"/>
        </w:rPr>
        <w:t xml:space="preserve">abeli </w:t>
      </w:r>
      <w:r w:rsidR="00A8394C">
        <w:rPr>
          <w:rFonts w:eastAsia="MS Mincho"/>
          <w:sz w:val="22"/>
          <w:szCs w:val="22"/>
          <w:lang w:eastAsia="zh-CN"/>
        </w:rPr>
        <w:t>11</w:t>
      </w:r>
      <w:r w:rsidRPr="00F37492">
        <w:rPr>
          <w:rFonts w:eastAsia="MS Mincho"/>
          <w:sz w:val="22"/>
          <w:szCs w:val="22"/>
          <w:lang w:eastAsia="zh-CN"/>
        </w:rPr>
        <w:t>.</w:t>
      </w:r>
    </w:p>
    <w:p w14:paraId="2A9C1729" w14:textId="77777777" w:rsidR="00F37492" w:rsidRPr="00F37492" w:rsidRDefault="00F37492" w:rsidP="000A557B">
      <w:pPr>
        <w:jc w:val="both"/>
        <w:rPr>
          <w:rFonts w:eastAsia="MS Mincho"/>
          <w:sz w:val="22"/>
          <w:szCs w:val="22"/>
          <w:lang w:eastAsia="zh-CN"/>
        </w:rPr>
      </w:pPr>
    </w:p>
    <w:p w14:paraId="41315C35" w14:textId="45E9B268" w:rsidR="00F37492" w:rsidRPr="00F37492" w:rsidRDefault="00F37492" w:rsidP="002B621F">
      <w:pPr>
        <w:keepNext/>
        <w:outlineLvl w:val="5"/>
        <w:rPr>
          <w:rFonts w:eastAsia="MS Gothic"/>
          <w:b/>
          <w:sz w:val="22"/>
          <w:szCs w:val="22"/>
          <w:lang w:eastAsia="zh-CN"/>
        </w:rPr>
      </w:pPr>
      <w:bookmarkStart w:id="6" w:name="_Toc56781765"/>
      <w:bookmarkStart w:id="7" w:name="_Toc56781934"/>
      <w:bookmarkStart w:id="8" w:name="_Toc59188505"/>
      <w:r w:rsidRPr="00F37492">
        <w:rPr>
          <w:rFonts w:eastAsia="MS Gothic"/>
          <w:b/>
          <w:sz w:val="22"/>
          <w:szCs w:val="22"/>
          <w:lang w:eastAsia="zh-CN"/>
        </w:rPr>
        <w:t>Tabela </w:t>
      </w:r>
      <w:r w:rsidR="00A8394C">
        <w:rPr>
          <w:rFonts w:eastAsia="MS Gothic"/>
          <w:b/>
          <w:sz w:val="22"/>
          <w:szCs w:val="22"/>
          <w:lang w:eastAsia="zh-CN"/>
        </w:rPr>
        <w:t>11</w:t>
      </w:r>
      <w:r w:rsidRPr="00F37492">
        <w:rPr>
          <w:rFonts w:eastAsia="MS Gothic"/>
          <w:b/>
          <w:sz w:val="22"/>
          <w:szCs w:val="22"/>
          <w:lang w:eastAsia="zh-CN"/>
        </w:rPr>
        <w:tab/>
      </w:r>
      <w:bookmarkEnd w:id="6"/>
      <w:bookmarkEnd w:id="7"/>
      <w:r w:rsidRPr="00F37492">
        <w:rPr>
          <w:rFonts w:eastAsia="MS Gothic"/>
          <w:b/>
          <w:sz w:val="22"/>
          <w:szCs w:val="22"/>
          <w:lang w:eastAsia="zh-CN"/>
        </w:rPr>
        <w:t>Ukupna stopa odgovora 28. dana u studiji REACH2</w:t>
      </w:r>
      <w:bookmarkEnd w:id="8"/>
    </w:p>
    <w:p w14:paraId="1DAB2EB4" w14:textId="77777777" w:rsidR="00F37492" w:rsidRPr="00F37492" w:rsidRDefault="00F37492" w:rsidP="000A557B">
      <w:pPr>
        <w:keepNext/>
        <w:outlineLvl w:val="5"/>
        <w:rPr>
          <w:rFonts w:eastAsia="MS Gothic"/>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4"/>
        <w:gridCol w:w="1559"/>
        <w:gridCol w:w="1985"/>
        <w:gridCol w:w="1847"/>
      </w:tblGrid>
      <w:tr w:rsidR="00F37492" w:rsidRPr="00F37492" w14:paraId="14B2D84B" w14:textId="77777777" w:rsidTr="00BB6F20">
        <w:trPr>
          <w:cantSplit/>
        </w:trPr>
        <w:tc>
          <w:tcPr>
            <w:tcW w:w="2127" w:type="dxa"/>
            <w:tcBorders>
              <w:top w:val="single" w:sz="4" w:space="0" w:color="auto"/>
              <w:left w:val="single" w:sz="4" w:space="0" w:color="auto"/>
              <w:bottom w:val="single" w:sz="4" w:space="0" w:color="auto"/>
              <w:right w:val="single" w:sz="4" w:space="0" w:color="auto"/>
            </w:tcBorders>
          </w:tcPr>
          <w:p w14:paraId="4B2B73E0" w14:textId="77777777" w:rsidR="00F37492" w:rsidRPr="00F37492" w:rsidRDefault="00F37492" w:rsidP="000A557B">
            <w:pPr>
              <w:keepNext/>
              <w:rPr>
                <w:rFonts w:eastAsia="MS Mincho"/>
                <w:sz w:val="22"/>
                <w:szCs w:val="22"/>
                <w:lang w:eastAsia="zh-CN"/>
              </w:rPr>
            </w:pPr>
          </w:p>
        </w:tc>
        <w:tc>
          <w:tcPr>
            <w:tcW w:w="3113" w:type="dxa"/>
            <w:gridSpan w:val="2"/>
            <w:tcBorders>
              <w:top w:val="single" w:sz="4" w:space="0" w:color="auto"/>
              <w:left w:val="single" w:sz="4" w:space="0" w:color="auto"/>
              <w:bottom w:val="single" w:sz="4" w:space="0" w:color="auto"/>
              <w:right w:val="single" w:sz="4" w:space="0" w:color="auto"/>
            </w:tcBorders>
            <w:hideMark/>
          </w:tcPr>
          <w:p w14:paraId="5D0932F6"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Jakavi</w:t>
            </w:r>
          </w:p>
          <w:p w14:paraId="44F4F85C"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N=154</w:t>
            </w:r>
          </w:p>
        </w:tc>
        <w:tc>
          <w:tcPr>
            <w:tcW w:w="3832" w:type="dxa"/>
            <w:gridSpan w:val="2"/>
            <w:tcBorders>
              <w:top w:val="single" w:sz="4" w:space="0" w:color="auto"/>
              <w:left w:val="single" w:sz="4" w:space="0" w:color="auto"/>
              <w:bottom w:val="single" w:sz="4" w:space="0" w:color="auto"/>
              <w:right w:val="single" w:sz="4" w:space="0" w:color="auto"/>
            </w:tcBorders>
            <w:hideMark/>
          </w:tcPr>
          <w:p w14:paraId="04E8B7F8" w14:textId="358A05C3" w:rsidR="00F37492" w:rsidRPr="00F37492" w:rsidRDefault="00AA3DD2" w:rsidP="000A557B">
            <w:pPr>
              <w:keepNext/>
              <w:jc w:val="center"/>
              <w:rPr>
                <w:rFonts w:eastAsia="MS Mincho"/>
                <w:b/>
                <w:sz w:val="22"/>
                <w:szCs w:val="22"/>
                <w:lang w:eastAsia="zh-CN"/>
              </w:rPr>
            </w:pPr>
            <w:r>
              <w:rPr>
                <w:rFonts w:eastAsia="MS Mincho"/>
                <w:b/>
                <w:sz w:val="22"/>
                <w:szCs w:val="22"/>
                <w:lang w:eastAsia="zh-CN"/>
              </w:rPr>
              <w:t>NDT</w:t>
            </w:r>
          </w:p>
          <w:p w14:paraId="6EE650B3"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N=155</w:t>
            </w:r>
          </w:p>
        </w:tc>
      </w:tr>
      <w:tr w:rsidR="00F37492" w:rsidRPr="00F37492" w14:paraId="20693F42" w14:textId="77777777" w:rsidTr="00BB6F20">
        <w:trPr>
          <w:cantSplit/>
        </w:trPr>
        <w:tc>
          <w:tcPr>
            <w:tcW w:w="2127" w:type="dxa"/>
            <w:tcBorders>
              <w:top w:val="single" w:sz="4" w:space="0" w:color="auto"/>
              <w:left w:val="single" w:sz="4" w:space="0" w:color="auto"/>
              <w:bottom w:val="single" w:sz="4" w:space="0" w:color="auto"/>
              <w:right w:val="single" w:sz="4" w:space="0" w:color="auto"/>
            </w:tcBorders>
          </w:tcPr>
          <w:p w14:paraId="2C207310" w14:textId="77777777" w:rsidR="00F37492" w:rsidRPr="00F37492" w:rsidRDefault="00F37492" w:rsidP="000A557B">
            <w:pPr>
              <w:keepNext/>
              <w:rPr>
                <w:rFonts w:eastAsia="MS Mincho"/>
                <w:sz w:val="22"/>
                <w:szCs w:val="22"/>
                <w:lang w:eastAsia="zh-CN"/>
              </w:rPr>
            </w:pPr>
          </w:p>
        </w:tc>
        <w:tc>
          <w:tcPr>
            <w:tcW w:w="1554" w:type="dxa"/>
            <w:tcBorders>
              <w:top w:val="single" w:sz="4" w:space="0" w:color="auto"/>
              <w:left w:val="single" w:sz="4" w:space="0" w:color="auto"/>
              <w:bottom w:val="single" w:sz="4" w:space="0" w:color="auto"/>
              <w:right w:val="single" w:sz="4" w:space="0" w:color="auto"/>
            </w:tcBorders>
            <w:hideMark/>
          </w:tcPr>
          <w:p w14:paraId="73EB0107"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n (%)</w:t>
            </w:r>
          </w:p>
        </w:tc>
        <w:tc>
          <w:tcPr>
            <w:tcW w:w="1559" w:type="dxa"/>
            <w:tcBorders>
              <w:top w:val="single" w:sz="4" w:space="0" w:color="auto"/>
              <w:left w:val="single" w:sz="4" w:space="0" w:color="auto"/>
              <w:bottom w:val="single" w:sz="4" w:space="0" w:color="auto"/>
              <w:right w:val="single" w:sz="4" w:space="0" w:color="auto"/>
            </w:tcBorders>
            <w:hideMark/>
          </w:tcPr>
          <w:p w14:paraId="1993700B"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95% CI</w:t>
            </w:r>
          </w:p>
        </w:tc>
        <w:tc>
          <w:tcPr>
            <w:tcW w:w="1985" w:type="dxa"/>
            <w:tcBorders>
              <w:top w:val="single" w:sz="4" w:space="0" w:color="auto"/>
              <w:left w:val="single" w:sz="4" w:space="0" w:color="auto"/>
              <w:bottom w:val="single" w:sz="4" w:space="0" w:color="auto"/>
              <w:right w:val="single" w:sz="4" w:space="0" w:color="auto"/>
            </w:tcBorders>
            <w:hideMark/>
          </w:tcPr>
          <w:p w14:paraId="483E0B45"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n (%)</w:t>
            </w:r>
          </w:p>
        </w:tc>
        <w:tc>
          <w:tcPr>
            <w:tcW w:w="1847" w:type="dxa"/>
            <w:tcBorders>
              <w:top w:val="single" w:sz="4" w:space="0" w:color="auto"/>
              <w:left w:val="single" w:sz="4" w:space="0" w:color="auto"/>
              <w:bottom w:val="single" w:sz="4" w:space="0" w:color="auto"/>
              <w:right w:val="single" w:sz="4" w:space="0" w:color="auto"/>
            </w:tcBorders>
            <w:hideMark/>
          </w:tcPr>
          <w:p w14:paraId="0F433587"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95% CI</w:t>
            </w:r>
          </w:p>
        </w:tc>
      </w:tr>
      <w:tr w:rsidR="00F37492" w:rsidRPr="00F37492" w14:paraId="462F0FD5" w14:textId="77777777" w:rsidTr="00BB6F20">
        <w:trPr>
          <w:cantSplit/>
        </w:trPr>
        <w:tc>
          <w:tcPr>
            <w:tcW w:w="2127" w:type="dxa"/>
            <w:tcBorders>
              <w:top w:val="single" w:sz="4" w:space="0" w:color="auto"/>
              <w:left w:val="single" w:sz="4" w:space="0" w:color="auto"/>
              <w:bottom w:val="single" w:sz="4" w:space="0" w:color="auto"/>
              <w:right w:val="single" w:sz="4" w:space="0" w:color="auto"/>
            </w:tcBorders>
            <w:hideMark/>
          </w:tcPr>
          <w:p w14:paraId="00AC77D6" w14:textId="77777777" w:rsidR="00F37492" w:rsidRPr="00F37492" w:rsidRDefault="00F37492" w:rsidP="000A557B">
            <w:pPr>
              <w:keepNext/>
              <w:rPr>
                <w:rFonts w:eastAsia="MS Mincho"/>
                <w:sz w:val="22"/>
                <w:szCs w:val="22"/>
                <w:lang w:eastAsia="zh-CN"/>
              </w:rPr>
            </w:pPr>
            <w:r w:rsidRPr="00F37492">
              <w:rPr>
                <w:rFonts w:eastAsia="MS Mincho"/>
                <w:sz w:val="22"/>
                <w:szCs w:val="22"/>
                <w:lang w:eastAsia="zh-CN"/>
              </w:rPr>
              <w:t>Ukupni odgovor</w:t>
            </w:r>
          </w:p>
        </w:tc>
        <w:tc>
          <w:tcPr>
            <w:tcW w:w="1554" w:type="dxa"/>
            <w:tcBorders>
              <w:top w:val="single" w:sz="4" w:space="0" w:color="auto"/>
              <w:left w:val="single" w:sz="4" w:space="0" w:color="auto"/>
              <w:bottom w:val="single" w:sz="4" w:space="0" w:color="auto"/>
              <w:right w:val="single" w:sz="4" w:space="0" w:color="auto"/>
            </w:tcBorders>
            <w:hideMark/>
          </w:tcPr>
          <w:p w14:paraId="737DEA56"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96 (62,3)</w:t>
            </w:r>
          </w:p>
        </w:tc>
        <w:tc>
          <w:tcPr>
            <w:tcW w:w="1559" w:type="dxa"/>
            <w:tcBorders>
              <w:top w:val="single" w:sz="4" w:space="0" w:color="auto"/>
              <w:left w:val="single" w:sz="4" w:space="0" w:color="auto"/>
              <w:bottom w:val="single" w:sz="4" w:space="0" w:color="auto"/>
              <w:right w:val="single" w:sz="4" w:space="0" w:color="auto"/>
            </w:tcBorders>
            <w:hideMark/>
          </w:tcPr>
          <w:p w14:paraId="4093DBC8"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54,2; 70,0</w:t>
            </w:r>
          </w:p>
        </w:tc>
        <w:tc>
          <w:tcPr>
            <w:tcW w:w="1985" w:type="dxa"/>
            <w:tcBorders>
              <w:top w:val="single" w:sz="4" w:space="0" w:color="auto"/>
              <w:left w:val="single" w:sz="4" w:space="0" w:color="auto"/>
              <w:bottom w:val="single" w:sz="4" w:space="0" w:color="auto"/>
              <w:right w:val="single" w:sz="4" w:space="0" w:color="auto"/>
            </w:tcBorders>
            <w:hideMark/>
          </w:tcPr>
          <w:p w14:paraId="03635450"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61 (39,4)</w:t>
            </w:r>
          </w:p>
        </w:tc>
        <w:tc>
          <w:tcPr>
            <w:tcW w:w="1847" w:type="dxa"/>
            <w:tcBorders>
              <w:top w:val="single" w:sz="4" w:space="0" w:color="auto"/>
              <w:left w:val="single" w:sz="4" w:space="0" w:color="auto"/>
              <w:bottom w:val="single" w:sz="4" w:space="0" w:color="auto"/>
              <w:right w:val="single" w:sz="4" w:space="0" w:color="auto"/>
            </w:tcBorders>
            <w:hideMark/>
          </w:tcPr>
          <w:p w14:paraId="14A62D93"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31,6; 47,5</w:t>
            </w:r>
          </w:p>
        </w:tc>
      </w:tr>
      <w:tr w:rsidR="00F37492" w:rsidRPr="00F37492" w14:paraId="38FA7C0C" w14:textId="77777777" w:rsidTr="00BB6F20">
        <w:trPr>
          <w:cantSplit/>
        </w:trPr>
        <w:tc>
          <w:tcPr>
            <w:tcW w:w="2127" w:type="dxa"/>
            <w:tcBorders>
              <w:top w:val="single" w:sz="4" w:space="0" w:color="auto"/>
              <w:left w:val="single" w:sz="4" w:space="0" w:color="auto"/>
              <w:bottom w:val="single" w:sz="4" w:space="0" w:color="auto"/>
              <w:right w:val="single" w:sz="4" w:space="0" w:color="auto"/>
            </w:tcBorders>
            <w:hideMark/>
          </w:tcPr>
          <w:p w14:paraId="167F3766" w14:textId="77777777" w:rsidR="00F37492" w:rsidRPr="00F37492" w:rsidRDefault="00F37492" w:rsidP="000A557B">
            <w:pPr>
              <w:keepNext/>
              <w:tabs>
                <w:tab w:val="left" w:pos="720"/>
              </w:tabs>
              <w:rPr>
                <w:rFonts w:eastAsia="MS Mincho"/>
                <w:sz w:val="22"/>
                <w:szCs w:val="22"/>
                <w:lang w:eastAsia="zh-CN"/>
              </w:rPr>
            </w:pPr>
            <w:r w:rsidRPr="00F37492">
              <w:rPr>
                <w:rFonts w:eastAsia="MS Mincho"/>
                <w:sz w:val="22"/>
                <w:szCs w:val="22"/>
                <w:lang w:eastAsia="zh-CN"/>
              </w:rPr>
              <w:t>OR (95% CI)</w:t>
            </w:r>
          </w:p>
        </w:tc>
        <w:tc>
          <w:tcPr>
            <w:tcW w:w="6945" w:type="dxa"/>
            <w:gridSpan w:val="4"/>
            <w:tcBorders>
              <w:top w:val="single" w:sz="4" w:space="0" w:color="auto"/>
              <w:left w:val="single" w:sz="4" w:space="0" w:color="auto"/>
              <w:bottom w:val="single" w:sz="4" w:space="0" w:color="auto"/>
              <w:right w:val="single" w:sz="4" w:space="0" w:color="auto"/>
            </w:tcBorders>
            <w:hideMark/>
          </w:tcPr>
          <w:p w14:paraId="297CEF71"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2,64 (1,65; 4,22)</w:t>
            </w:r>
          </w:p>
        </w:tc>
      </w:tr>
      <w:tr w:rsidR="00F37492" w:rsidRPr="00F37492" w14:paraId="701740E0" w14:textId="77777777" w:rsidTr="00BB6F20">
        <w:trPr>
          <w:cantSplit/>
        </w:trPr>
        <w:tc>
          <w:tcPr>
            <w:tcW w:w="2127" w:type="dxa"/>
            <w:tcBorders>
              <w:top w:val="single" w:sz="4" w:space="0" w:color="auto"/>
              <w:left w:val="single" w:sz="4" w:space="0" w:color="auto"/>
              <w:bottom w:val="single" w:sz="4" w:space="0" w:color="auto"/>
              <w:right w:val="single" w:sz="4" w:space="0" w:color="auto"/>
            </w:tcBorders>
            <w:hideMark/>
          </w:tcPr>
          <w:p w14:paraId="7C75A276" w14:textId="77777777" w:rsidR="00F37492" w:rsidRPr="00F37492" w:rsidRDefault="00F37492" w:rsidP="000A557B">
            <w:pPr>
              <w:keepNext/>
              <w:tabs>
                <w:tab w:val="left" w:pos="720"/>
              </w:tabs>
              <w:rPr>
                <w:rFonts w:eastAsia="MS Mincho"/>
                <w:sz w:val="22"/>
                <w:szCs w:val="22"/>
                <w:lang w:eastAsia="zh-CN"/>
              </w:rPr>
            </w:pPr>
            <w:r w:rsidRPr="00F37492">
              <w:rPr>
                <w:rFonts w:eastAsia="MS Mincho"/>
                <w:sz w:val="22"/>
                <w:szCs w:val="22"/>
                <w:lang w:eastAsia="zh-CN"/>
              </w:rPr>
              <w:t>p-vrijednost (2-strana)</w:t>
            </w:r>
          </w:p>
        </w:tc>
        <w:tc>
          <w:tcPr>
            <w:tcW w:w="6945" w:type="dxa"/>
            <w:gridSpan w:val="4"/>
            <w:tcBorders>
              <w:top w:val="single" w:sz="4" w:space="0" w:color="auto"/>
              <w:left w:val="single" w:sz="4" w:space="0" w:color="auto"/>
              <w:bottom w:val="single" w:sz="4" w:space="0" w:color="auto"/>
              <w:right w:val="single" w:sz="4" w:space="0" w:color="auto"/>
            </w:tcBorders>
            <w:hideMark/>
          </w:tcPr>
          <w:p w14:paraId="47E67B5C" w14:textId="0707DD62"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p &lt;</w:t>
            </w:r>
            <w:r w:rsidR="00AA3DD2">
              <w:rPr>
                <w:rFonts w:eastAsia="MS Mincho"/>
                <w:sz w:val="22"/>
                <w:szCs w:val="22"/>
                <w:lang w:eastAsia="zh-CN"/>
              </w:rPr>
              <w:t xml:space="preserve"> </w:t>
            </w:r>
            <w:r w:rsidRPr="00F37492">
              <w:rPr>
                <w:rFonts w:eastAsia="MS Mincho"/>
                <w:sz w:val="22"/>
                <w:szCs w:val="22"/>
                <w:lang w:eastAsia="zh-CN"/>
              </w:rPr>
              <w:t>0,0001</w:t>
            </w:r>
          </w:p>
        </w:tc>
      </w:tr>
      <w:tr w:rsidR="00F37492" w:rsidRPr="00F37492" w14:paraId="12211293" w14:textId="77777777" w:rsidTr="00BB6F20">
        <w:trPr>
          <w:cantSplit/>
        </w:trPr>
        <w:tc>
          <w:tcPr>
            <w:tcW w:w="2127" w:type="dxa"/>
            <w:tcBorders>
              <w:top w:val="single" w:sz="4" w:space="0" w:color="auto"/>
              <w:left w:val="single" w:sz="4" w:space="0" w:color="auto"/>
              <w:bottom w:val="single" w:sz="4" w:space="0" w:color="auto"/>
              <w:right w:val="single" w:sz="4" w:space="0" w:color="auto"/>
            </w:tcBorders>
            <w:hideMark/>
          </w:tcPr>
          <w:p w14:paraId="4720C404" w14:textId="77777777" w:rsidR="00F37492" w:rsidRPr="00F37492" w:rsidRDefault="00F37492" w:rsidP="000A557B">
            <w:pPr>
              <w:keepNext/>
              <w:rPr>
                <w:rFonts w:eastAsia="MS Mincho"/>
                <w:sz w:val="22"/>
                <w:szCs w:val="22"/>
                <w:lang w:eastAsia="zh-CN"/>
              </w:rPr>
            </w:pPr>
            <w:r w:rsidRPr="00F37492">
              <w:rPr>
                <w:rFonts w:eastAsia="MS Mincho"/>
                <w:sz w:val="22"/>
                <w:szCs w:val="22"/>
                <w:lang w:eastAsia="zh-CN"/>
              </w:rPr>
              <w:t>Potpuni odgovor</w:t>
            </w:r>
          </w:p>
        </w:tc>
        <w:tc>
          <w:tcPr>
            <w:tcW w:w="3113" w:type="dxa"/>
            <w:gridSpan w:val="2"/>
            <w:tcBorders>
              <w:top w:val="single" w:sz="4" w:space="0" w:color="auto"/>
              <w:left w:val="single" w:sz="4" w:space="0" w:color="auto"/>
              <w:bottom w:val="single" w:sz="4" w:space="0" w:color="auto"/>
              <w:right w:val="single" w:sz="4" w:space="0" w:color="auto"/>
            </w:tcBorders>
            <w:hideMark/>
          </w:tcPr>
          <w:p w14:paraId="4F0CA3FF"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53 (34,4)</w:t>
            </w:r>
          </w:p>
        </w:tc>
        <w:tc>
          <w:tcPr>
            <w:tcW w:w="3832" w:type="dxa"/>
            <w:gridSpan w:val="2"/>
            <w:tcBorders>
              <w:top w:val="single" w:sz="4" w:space="0" w:color="auto"/>
              <w:left w:val="single" w:sz="4" w:space="0" w:color="auto"/>
              <w:bottom w:val="single" w:sz="4" w:space="0" w:color="auto"/>
              <w:right w:val="single" w:sz="4" w:space="0" w:color="auto"/>
            </w:tcBorders>
            <w:hideMark/>
          </w:tcPr>
          <w:p w14:paraId="32FC3F9C"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30 (19,4)</w:t>
            </w:r>
          </w:p>
        </w:tc>
      </w:tr>
      <w:tr w:rsidR="00F37492" w:rsidRPr="00F37492" w14:paraId="326247C6" w14:textId="77777777" w:rsidTr="00BB6F20">
        <w:trPr>
          <w:cantSplit/>
        </w:trPr>
        <w:tc>
          <w:tcPr>
            <w:tcW w:w="2127" w:type="dxa"/>
            <w:tcBorders>
              <w:top w:val="single" w:sz="4" w:space="0" w:color="auto"/>
              <w:left w:val="single" w:sz="4" w:space="0" w:color="auto"/>
              <w:bottom w:val="single" w:sz="4" w:space="0" w:color="auto"/>
              <w:right w:val="single" w:sz="4" w:space="0" w:color="auto"/>
            </w:tcBorders>
            <w:hideMark/>
          </w:tcPr>
          <w:p w14:paraId="19D24F25" w14:textId="77777777" w:rsidR="00F37492" w:rsidRPr="00F37492" w:rsidRDefault="00F37492" w:rsidP="000A557B">
            <w:pPr>
              <w:rPr>
                <w:rFonts w:eastAsia="MS Mincho"/>
                <w:sz w:val="22"/>
                <w:szCs w:val="22"/>
                <w:lang w:eastAsia="zh-CN"/>
              </w:rPr>
            </w:pPr>
            <w:r w:rsidRPr="00F37492">
              <w:rPr>
                <w:rFonts w:eastAsia="MS Mincho"/>
                <w:sz w:val="22"/>
                <w:szCs w:val="22"/>
                <w:lang w:eastAsia="zh-CN"/>
              </w:rPr>
              <w:t>Djelimični odgovor</w:t>
            </w:r>
          </w:p>
        </w:tc>
        <w:tc>
          <w:tcPr>
            <w:tcW w:w="3113" w:type="dxa"/>
            <w:gridSpan w:val="2"/>
            <w:tcBorders>
              <w:top w:val="single" w:sz="4" w:space="0" w:color="auto"/>
              <w:left w:val="single" w:sz="4" w:space="0" w:color="auto"/>
              <w:bottom w:val="single" w:sz="4" w:space="0" w:color="auto"/>
              <w:right w:val="single" w:sz="4" w:space="0" w:color="auto"/>
            </w:tcBorders>
            <w:hideMark/>
          </w:tcPr>
          <w:p w14:paraId="34330BB2" w14:textId="77777777" w:rsidR="00F37492" w:rsidRPr="00F37492" w:rsidRDefault="00F37492" w:rsidP="000A557B">
            <w:pPr>
              <w:jc w:val="center"/>
              <w:rPr>
                <w:rFonts w:eastAsia="MS Mincho"/>
                <w:sz w:val="22"/>
                <w:szCs w:val="22"/>
                <w:lang w:eastAsia="zh-CN"/>
              </w:rPr>
            </w:pPr>
            <w:r w:rsidRPr="00F37492">
              <w:rPr>
                <w:rFonts w:eastAsia="MS Mincho"/>
                <w:sz w:val="22"/>
                <w:szCs w:val="22"/>
                <w:lang w:eastAsia="zh-CN"/>
              </w:rPr>
              <w:t>43 (27,9)</w:t>
            </w:r>
          </w:p>
        </w:tc>
        <w:tc>
          <w:tcPr>
            <w:tcW w:w="3832" w:type="dxa"/>
            <w:gridSpan w:val="2"/>
            <w:tcBorders>
              <w:top w:val="single" w:sz="4" w:space="0" w:color="auto"/>
              <w:left w:val="single" w:sz="4" w:space="0" w:color="auto"/>
              <w:bottom w:val="single" w:sz="4" w:space="0" w:color="auto"/>
              <w:right w:val="single" w:sz="4" w:space="0" w:color="auto"/>
            </w:tcBorders>
            <w:hideMark/>
          </w:tcPr>
          <w:p w14:paraId="2554698F" w14:textId="77777777" w:rsidR="00F37492" w:rsidRPr="00F37492" w:rsidRDefault="00F37492" w:rsidP="000A557B">
            <w:pPr>
              <w:jc w:val="center"/>
              <w:rPr>
                <w:rFonts w:eastAsia="MS Mincho"/>
                <w:sz w:val="22"/>
                <w:szCs w:val="22"/>
                <w:lang w:eastAsia="zh-CN"/>
              </w:rPr>
            </w:pPr>
            <w:r w:rsidRPr="00F37492">
              <w:rPr>
                <w:rFonts w:eastAsia="MS Mincho"/>
                <w:sz w:val="22"/>
                <w:szCs w:val="22"/>
                <w:lang w:eastAsia="zh-CN"/>
              </w:rPr>
              <w:t>31 (20,0)</w:t>
            </w:r>
          </w:p>
        </w:tc>
      </w:tr>
    </w:tbl>
    <w:p w14:paraId="7F6852F0" w14:textId="77777777" w:rsidR="00F37492" w:rsidRPr="00F37492" w:rsidRDefault="00F37492" w:rsidP="000A557B">
      <w:pPr>
        <w:rPr>
          <w:rFonts w:eastAsia="MS Mincho"/>
          <w:sz w:val="22"/>
          <w:szCs w:val="22"/>
          <w:lang w:eastAsia="zh-CN"/>
        </w:rPr>
      </w:pPr>
    </w:p>
    <w:p w14:paraId="6042C37C" w14:textId="1398BCE9" w:rsidR="00F37492" w:rsidRPr="00F37492" w:rsidRDefault="00F37492" w:rsidP="000A557B">
      <w:pPr>
        <w:jc w:val="both"/>
        <w:rPr>
          <w:rFonts w:eastAsia="MS Mincho"/>
          <w:sz w:val="22"/>
          <w:szCs w:val="22"/>
          <w:lang w:eastAsia="zh-CN"/>
        </w:rPr>
      </w:pPr>
      <w:r w:rsidRPr="00F37492">
        <w:rPr>
          <w:rFonts w:eastAsia="MS Mincho"/>
          <w:sz w:val="22"/>
          <w:szCs w:val="22"/>
          <w:lang w:eastAsia="zh-CN"/>
        </w:rPr>
        <w:t>Studija je ispunila svoj ključni sekundarni ishod na osnovu primarne analize podataka. Trajni ORR do 56. dana bio je 39,6% (95% CI: 31,8</w:t>
      </w:r>
      <w:r w:rsidR="00D11DD7">
        <w:rPr>
          <w:rFonts w:eastAsia="MS Mincho"/>
          <w:sz w:val="22"/>
          <w:szCs w:val="22"/>
          <w:lang w:eastAsia="zh-CN"/>
        </w:rPr>
        <w:t>;</w:t>
      </w:r>
      <w:r w:rsidRPr="00F37492">
        <w:rPr>
          <w:rFonts w:eastAsia="MS Mincho"/>
          <w:sz w:val="22"/>
          <w:szCs w:val="22"/>
          <w:lang w:eastAsia="zh-CN"/>
        </w:rPr>
        <w:t xml:space="preserve"> 47,8) u Jakavi grupi i 21,9% (95% CI: 15,7</w:t>
      </w:r>
      <w:r w:rsidR="006917F0">
        <w:rPr>
          <w:rFonts w:eastAsia="MS Mincho"/>
          <w:sz w:val="22"/>
          <w:szCs w:val="22"/>
          <w:lang w:eastAsia="zh-CN"/>
        </w:rPr>
        <w:t>;</w:t>
      </w:r>
      <w:r w:rsidRPr="00F37492">
        <w:rPr>
          <w:rFonts w:eastAsia="MS Mincho"/>
          <w:sz w:val="22"/>
          <w:szCs w:val="22"/>
          <w:lang w:eastAsia="zh-CN"/>
        </w:rPr>
        <w:t xml:space="preserve"> 29,3) u </w:t>
      </w:r>
      <w:r w:rsidR="00AA3DD2">
        <w:rPr>
          <w:rFonts w:eastAsia="MS Mincho"/>
          <w:sz w:val="22"/>
          <w:szCs w:val="22"/>
          <w:lang w:eastAsia="zh-CN"/>
        </w:rPr>
        <w:t>ND</w:t>
      </w:r>
      <w:r w:rsidRPr="00F37492">
        <w:rPr>
          <w:rFonts w:eastAsia="MS Mincho"/>
          <w:sz w:val="22"/>
          <w:szCs w:val="22"/>
          <w:lang w:eastAsia="zh-CN"/>
        </w:rPr>
        <w:t>T grupi. Postojala je statistički značajna razlika između dvije grupe liječenja (OR: 2,38; 95% CI: 1,43</w:t>
      </w:r>
      <w:r w:rsidR="006917F0">
        <w:rPr>
          <w:rFonts w:eastAsia="MS Mincho"/>
          <w:sz w:val="22"/>
          <w:szCs w:val="22"/>
          <w:lang w:eastAsia="zh-CN"/>
        </w:rPr>
        <w:t>;</w:t>
      </w:r>
      <w:r w:rsidRPr="00F37492">
        <w:rPr>
          <w:rFonts w:eastAsia="MS Mincho"/>
          <w:sz w:val="22"/>
          <w:szCs w:val="22"/>
          <w:lang w:eastAsia="zh-CN"/>
        </w:rPr>
        <w:t xml:space="preserve"> 3,94; p=0,0007). Udio pacijenata sa CR je bio 26</w:t>
      </w:r>
      <w:proofErr w:type="gramStart"/>
      <w:r w:rsidRPr="00F37492">
        <w:rPr>
          <w:rFonts w:eastAsia="MS Mincho"/>
          <w:sz w:val="22"/>
          <w:szCs w:val="22"/>
          <w:lang w:eastAsia="zh-CN"/>
        </w:rPr>
        <w:t>,6</w:t>
      </w:r>
      <w:proofErr w:type="gramEnd"/>
      <w:r w:rsidRPr="00F37492">
        <w:rPr>
          <w:rFonts w:eastAsia="MS Mincho"/>
          <w:sz w:val="22"/>
          <w:szCs w:val="22"/>
          <w:lang w:eastAsia="zh-CN"/>
        </w:rPr>
        <w:t xml:space="preserve">% u Jakavi grupi naspram 16,1% u </w:t>
      </w:r>
      <w:r w:rsidR="00AA3DD2">
        <w:rPr>
          <w:rFonts w:eastAsia="MS Mincho"/>
          <w:sz w:val="22"/>
          <w:szCs w:val="22"/>
          <w:lang w:eastAsia="zh-CN"/>
        </w:rPr>
        <w:t>ND</w:t>
      </w:r>
      <w:r w:rsidRPr="00F37492">
        <w:rPr>
          <w:rFonts w:eastAsia="MS Mincho"/>
          <w:sz w:val="22"/>
          <w:szCs w:val="22"/>
          <w:lang w:eastAsia="zh-CN"/>
        </w:rPr>
        <w:t xml:space="preserve">T grupi. Sveukupno je 49 pacijenata (31,6%) prvobitno randomizovanih u </w:t>
      </w:r>
      <w:r w:rsidR="00AA3DD2">
        <w:rPr>
          <w:rFonts w:eastAsia="MS Mincho"/>
          <w:sz w:val="22"/>
          <w:szCs w:val="22"/>
          <w:lang w:eastAsia="zh-CN"/>
        </w:rPr>
        <w:t>NDT</w:t>
      </w:r>
      <w:r w:rsidRPr="00F37492">
        <w:rPr>
          <w:rFonts w:eastAsia="MS Mincho"/>
          <w:sz w:val="22"/>
          <w:szCs w:val="22"/>
          <w:lang w:eastAsia="zh-CN"/>
        </w:rPr>
        <w:t xml:space="preserve"> grupu prešlo je u Jakavi grupu.</w:t>
      </w:r>
    </w:p>
    <w:p w14:paraId="7C526773" w14:textId="77777777" w:rsidR="00F37492" w:rsidRPr="00F37492" w:rsidRDefault="00F37492" w:rsidP="000A557B">
      <w:pPr>
        <w:jc w:val="both"/>
        <w:rPr>
          <w:rFonts w:eastAsia="MS Mincho"/>
          <w:sz w:val="22"/>
          <w:szCs w:val="22"/>
          <w:lang w:eastAsia="zh-CN"/>
        </w:rPr>
      </w:pPr>
    </w:p>
    <w:p w14:paraId="0057AD34" w14:textId="77777777" w:rsidR="00F37492" w:rsidRPr="00F37492" w:rsidRDefault="00F37492" w:rsidP="000A557B">
      <w:pPr>
        <w:jc w:val="both"/>
        <w:rPr>
          <w:rFonts w:eastAsia="MS Mincho"/>
          <w:i/>
          <w:sz w:val="22"/>
          <w:szCs w:val="22"/>
          <w:lang w:eastAsia="zh-CN"/>
        </w:rPr>
      </w:pPr>
      <w:r w:rsidRPr="00F37492">
        <w:rPr>
          <w:rFonts w:eastAsia="MS Mincho"/>
          <w:i/>
          <w:sz w:val="22"/>
          <w:szCs w:val="22"/>
          <w:lang w:eastAsia="zh-CN"/>
        </w:rPr>
        <w:t>Hronična bolest kalema protiv domaćina</w:t>
      </w:r>
    </w:p>
    <w:p w14:paraId="3E9C5246" w14:textId="3E757F65"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U studiji REACH3, 329 pacijenata sa umjerenim ili teškim hroničnim GvHD refraktornim na kortikosteroide randomizovano je u odnosu 1:1 u Jakavi ili </w:t>
      </w:r>
      <w:r w:rsidR="00AA3DD2">
        <w:rPr>
          <w:rFonts w:eastAsia="MS Mincho"/>
          <w:sz w:val="22"/>
          <w:szCs w:val="22"/>
          <w:lang w:eastAsia="zh-CN"/>
        </w:rPr>
        <w:t>NDT</w:t>
      </w:r>
      <w:r w:rsidRPr="00F37492">
        <w:rPr>
          <w:rFonts w:eastAsia="MS Mincho"/>
          <w:sz w:val="22"/>
          <w:szCs w:val="22"/>
          <w:lang w:eastAsia="zh-CN"/>
        </w:rPr>
        <w:t>. Pacijenti su stratifikovani prema težini hroničnog GvHD u vrijeme randomizacije. Refraktornost kortikosteroida je određena kada su pacijenti imali nedostatak odgovora ili progresiju bolesti nakon 7 dana, ili su imali perzistenciju bolesti tokom 4 nedjelje ili dva puta neuspješno postepeno smanjenje doze kortikosteroida.</w:t>
      </w:r>
    </w:p>
    <w:p w14:paraId="0E0D0B9F" w14:textId="77777777" w:rsidR="00F37492" w:rsidRPr="00F37492" w:rsidRDefault="00F37492" w:rsidP="000A557B">
      <w:pPr>
        <w:jc w:val="both"/>
        <w:rPr>
          <w:bCs/>
          <w:sz w:val="22"/>
          <w:szCs w:val="22"/>
          <w:lang w:eastAsia="zh-CN"/>
        </w:rPr>
      </w:pPr>
    </w:p>
    <w:p w14:paraId="25837980" w14:textId="3CA51D22" w:rsidR="00F37492" w:rsidRPr="00F37492" w:rsidRDefault="00AA3DD2" w:rsidP="000A557B">
      <w:pPr>
        <w:jc w:val="both"/>
        <w:rPr>
          <w:bCs/>
          <w:sz w:val="22"/>
          <w:szCs w:val="22"/>
          <w:lang w:eastAsia="zh-CN"/>
        </w:rPr>
      </w:pPr>
      <w:r>
        <w:rPr>
          <w:bCs/>
          <w:sz w:val="22"/>
          <w:szCs w:val="22"/>
          <w:lang w:eastAsia="zh-CN"/>
        </w:rPr>
        <w:t>ND</w:t>
      </w:r>
      <w:r w:rsidR="00F37492" w:rsidRPr="00F37492">
        <w:rPr>
          <w:bCs/>
          <w:sz w:val="22"/>
          <w:szCs w:val="22"/>
          <w:lang w:eastAsia="zh-CN"/>
        </w:rPr>
        <w:t>T je odabrao istraživač posebno za svakog pacijenta i uključivao je vantjelesnu fotoferezu (ECP), niske doze metotreksata (MTKS), mofetil mikofenolat (MMF), mTOR inhibitore (everolimus ili sirolimus), infliksimab, rituksimab, pentostatin, imatinib ili ibrutinib.</w:t>
      </w:r>
    </w:p>
    <w:p w14:paraId="3FD8F9D1" w14:textId="77777777" w:rsidR="00F37492" w:rsidRPr="00F37492" w:rsidRDefault="00F37492" w:rsidP="000A557B">
      <w:pPr>
        <w:jc w:val="both"/>
        <w:rPr>
          <w:bCs/>
          <w:sz w:val="22"/>
          <w:szCs w:val="22"/>
          <w:lang w:eastAsia="zh-CN"/>
        </w:rPr>
      </w:pPr>
    </w:p>
    <w:p w14:paraId="01F4AA5C" w14:textId="416C7A27" w:rsidR="00F37492" w:rsidRPr="00F37492" w:rsidRDefault="00F37492" w:rsidP="000A557B">
      <w:pPr>
        <w:jc w:val="both"/>
        <w:rPr>
          <w:sz w:val="22"/>
          <w:szCs w:val="22"/>
          <w:lang w:eastAsia="zh-CN"/>
        </w:rPr>
      </w:pPr>
      <w:r w:rsidRPr="00F37492">
        <w:rPr>
          <w:sz w:val="22"/>
          <w:szCs w:val="22"/>
          <w:lang w:eastAsia="zh-CN"/>
        </w:rPr>
        <w:t xml:space="preserve">Pored lijeka Jakavi ili </w:t>
      </w:r>
      <w:r w:rsidR="00AA3DD2">
        <w:rPr>
          <w:sz w:val="22"/>
          <w:szCs w:val="22"/>
          <w:lang w:eastAsia="zh-CN"/>
        </w:rPr>
        <w:t>ND</w:t>
      </w:r>
      <w:r w:rsidRPr="00F37492">
        <w:rPr>
          <w:sz w:val="22"/>
          <w:szCs w:val="22"/>
          <w:lang w:eastAsia="zh-CN"/>
        </w:rPr>
        <w:t xml:space="preserve">T, pacijenti su mogli primiti potpornu terapiju standardnu za transplantaciju alogenih matičnih ćelija uključujući antiinfektivne ljekove i transfuziju. </w:t>
      </w:r>
      <w:r w:rsidRPr="00F37492">
        <w:rPr>
          <w:bCs/>
          <w:sz w:val="22"/>
          <w:szCs w:val="22"/>
          <w:lang w:eastAsia="zh-CN"/>
        </w:rPr>
        <w:t>Kontinuirana primjena kortikosteroida i CNI-a kao što su ciklosporin ili takrolimus i lokalne ili inhalacione terapije kortikosteroidima bile su dozvoljene prema institucionalnim smjernicama ustanove.</w:t>
      </w:r>
    </w:p>
    <w:p w14:paraId="22384053" w14:textId="77777777" w:rsidR="00F37492" w:rsidRPr="00F37492" w:rsidRDefault="00F37492" w:rsidP="000A557B">
      <w:pPr>
        <w:jc w:val="both"/>
        <w:rPr>
          <w:bCs/>
          <w:sz w:val="22"/>
          <w:szCs w:val="22"/>
          <w:lang w:eastAsia="zh-CN"/>
        </w:rPr>
      </w:pPr>
    </w:p>
    <w:p w14:paraId="63086CC5" w14:textId="77777777" w:rsidR="00F37492" w:rsidRPr="00F37492" w:rsidRDefault="00F37492" w:rsidP="000A557B">
      <w:pPr>
        <w:jc w:val="both"/>
        <w:rPr>
          <w:bCs/>
          <w:sz w:val="22"/>
          <w:szCs w:val="22"/>
          <w:lang w:eastAsia="zh-CN"/>
        </w:rPr>
      </w:pPr>
      <w:r w:rsidRPr="00F37492">
        <w:rPr>
          <w:rFonts w:eastAsia="MS Mincho"/>
          <w:sz w:val="22"/>
          <w:szCs w:val="22"/>
          <w:lang w:eastAsia="zh-CN"/>
        </w:rPr>
        <w:t>Pacijenti koji su primili jednu raniju sistemsku terapiju</w:t>
      </w:r>
      <w:r w:rsidRPr="00F37492">
        <w:rPr>
          <w:bCs/>
          <w:sz w:val="22"/>
          <w:szCs w:val="22"/>
          <w:lang w:eastAsia="zh-CN"/>
        </w:rPr>
        <w:t xml:space="preserve"> osim kortikosteroida i/ili CNI za hroničnu GvHD, bili su podobni za uključivanje u studiju. Pored kortikosteroida i CNI, prethodno korišćen sistemski lijek za hronični GvHD je smio da se nastavi samo ako se koristi za profilaksu hroničnog GvHD (tj. započet prije dijagnoze hroničnog GvHD) u skladu sa uobičajenom medicinskom praksom.</w:t>
      </w:r>
    </w:p>
    <w:p w14:paraId="5541B062" w14:textId="77777777" w:rsidR="00F37492" w:rsidRPr="00F37492" w:rsidRDefault="00F37492" w:rsidP="000A557B">
      <w:pPr>
        <w:jc w:val="both"/>
        <w:rPr>
          <w:sz w:val="22"/>
          <w:szCs w:val="22"/>
          <w:lang w:eastAsia="zh-CN"/>
        </w:rPr>
      </w:pPr>
    </w:p>
    <w:p w14:paraId="5418923E" w14:textId="02E11657" w:rsidR="00F37492" w:rsidRPr="00F37492" w:rsidRDefault="00F37492" w:rsidP="000A557B">
      <w:pPr>
        <w:jc w:val="both"/>
        <w:rPr>
          <w:sz w:val="22"/>
          <w:szCs w:val="22"/>
          <w:lang w:eastAsia="zh-CN"/>
        </w:rPr>
      </w:pPr>
      <w:r w:rsidRPr="00F37492">
        <w:rPr>
          <w:sz w:val="22"/>
          <w:szCs w:val="22"/>
          <w:lang w:eastAsia="zh-CN"/>
        </w:rPr>
        <w:t xml:space="preserve">Pacijenti na </w:t>
      </w:r>
      <w:r w:rsidR="00AA3DD2">
        <w:rPr>
          <w:sz w:val="22"/>
          <w:szCs w:val="22"/>
          <w:lang w:eastAsia="zh-CN"/>
        </w:rPr>
        <w:t>NDT</w:t>
      </w:r>
      <w:r w:rsidRPr="00F37492">
        <w:rPr>
          <w:sz w:val="22"/>
          <w:szCs w:val="22"/>
          <w:lang w:eastAsia="zh-CN"/>
        </w:rPr>
        <w:t xml:space="preserve"> mogli su da pređu na ruksolitinib </w:t>
      </w:r>
      <w:r w:rsidR="00A8394C" w:rsidRPr="00A8394C">
        <w:rPr>
          <w:bCs/>
          <w:iCs/>
          <w:sz w:val="22"/>
          <w:szCs w:val="22"/>
          <w:lang w:val="hr-HR" w:eastAsia="zh-CN"/>
        </w:rPr>
        <w:t xml:space="preserve">u 169. danu </w:t>
      </w:r>
      <w:r w:rsidRPr="00F37492">
        <w:rPr>
          <w:sz w:val="22"/>
          <w:szCs w:val="22"/>
          <w:lang w:eastAsia="zh-CN"/>
        </w:rPr>
        <w:t xml:space="preserve">i nakon toga zbog progresije bolesti, mješovitog odgovora ili nepromijenjenog odgovora, zbog toksičnosti na </w:t>
      </w:r>
      <w:r w:rsidR="00AA3DD2">
        <w:rPr>
          <w:sz w:val="22"/>
          <w:szCs w:val="22"/>
          <w:lang w:eastAsia="zh-CN"/>
        </w:rPr>
        <w:t>ND</w:t>
      </w:r>
      <w:r w:rsidRPr="00F37492">
        <w:rPr>
          <w:sz w:val="22"/>
          <w:szCs w:val="22"/>
          <w:lang w:eastAsia="zh-CN"/>
        </w:rPr>
        <w:t xml:space="preserve">T, ili zbog pojačavanja hroničnog GvHD-a </w:t>
      </w:r>
      <w:r w:rsidRPr="00F37492">
        <w:rPr>
          <w:rFonts w:eastAsia="SimSun"/>
          <w:bCs/>
          <w:iCs/>
          <w:sz w:val="22"/>
          <w:szCs w:val="22"/>
          <w:lang w:val="hr-HR" w:eastAsia="zh-CN"/>
        </w:rPr>
        <w:t>(engl.</w:t>
      </w:r>
      <w:r w:rsidRPr="00F37492">
        <w:rPr>
          <w:bCs/>
          <w:sz w:val="22"/>
          <w:szCs w:val="22"/>
          <w:lang w:val="hr-HR" w:eastAsia="zh-CN"/>
        </w:rPr>
        <w:t xml:space="preserve"> </w:t>
      </w:r>
      <w:r w:rsidRPr="00F37492">
        <w:rPr>
          <w:bCs/>
          <w:i/>
          <w:iCs/>
          <w:sz w:val="22"/>
          <w:szCs w:val="22"/>
          <w:lang w:val="hr-HR" w:eastAsia="zh-CN"/>
        </w:rPr>
        <w:t>chronic GvHD flare</w:t>
      </w:r>
      <w:r w:rsidRPr="00F37492">
        <w:rPr>
          <w:rFonts w:eastAsia="SimSun"/>
          <w:bCs/>
          <w:iCs/>
          <w:sz w:val="22"/>
          <w:szCs w:val="22"/>
          <w:lang w:val="hr-HR" w:eastAsia="zh-CN"/>
        </w:rPr>
        <w:t>)</w:t>
      </w:r>
      <w:r w:rsidRPr="00F37492">
        <w:rPr>
          <w:rFonts w:eastAsia="SimSun"/>
          <w:bCs/>
          <w:sz w:val="22"/>
          <w:szCs w:val="22"/>
          <w:lang w:val="hr-HR" w:eastAsia="zh-CN"/>
        </w:rPr>
        <w:t>.</w:t>
      </w:r>
    </w:p>
    <w:p w14:paraId="4DAF2AEA" w14:textId="77777777" w:rsidR="00F37492" w:rsidRPr="00F37492" w:rsidRDefault="00F37492" w:rsidP="000A557B">
      <w:pPr>
        <w:jc w:val="both"/>
        <w:rPr>
          <w:sz w:val="22"/>
          <w:szCs w:val="22"/>
          <w:lang w:eastAsia="zh-CN"/>
        </w:rPr>
      </w:pPr>
    </w:p>
    <w:p w14:paraId="540E3D68" w14:textId="3B987E18" w:rsidR="00F37492" w:rsidRPr="00F37492" w:rsidRDefault="00F37492" w:rsidP="000A557B">
      <w:pPr>
        <w:jc w:val="both"/>
        <w:rPr>
          <w:sz w:val="22"/>
          <w:szCs w:val="22"/>
          <w:lang w:eastAsia="zh-CN"/>
        </w:rPr>
      </w:pPr>
      <w:r w:rsidRPr="00F37492">
        <w:rPr>
          <w:sz w:val="22"/>
          <w:szCs w:val="22"/>
          <w:lang w:eastAsia="zh-CN"/>
        </w:rPr>
        <w:t xml:space="preserve">Efikasnost kod pacijenata koji prelaze sa aktivnog akutnog GvHD na hronični GvHD bez postepenog smanjenja doze kortikosteroida i bilo koje sistemske terapije nije poznata. Efikasnost kod akutne ili </w:t>
      </w:r>
      <w:r w:rsidRPr="00F37492">
        <w:rPr>
          <w:sz w:val="22"/>
          <w:szCs w:val="22"/>
          <w:lang w:eastAsia="zh-CN"/>
        </w:rPr>
        <w:lastRenderedPageBreak/>
        <w:t>hronične GvHD nakon infuzije limfocita donora (DLI) i kod pacijenata koji ni</w:t>
      </w:r>
      <w:r w:rsidR="00AA3DD2">
        <w:rPr>
          <w:sz w:val="22"/>
          <w:szCs w:val="22"/>
          <w:lang w:eastAsia="zh-CN"/>
        </w:rPr>
        <w:t>je</w:t>
      </w:r>
      <w:r w:rsidRPr="00F37492">
        <w:rPr>
          <w:sz w:val="22"/>
          <w:szCs w:val="22"/>
          <w:lang w:eastAsia="zh-CN"/>
        </w:rPr>
        <w:t>su tolerisali liječenje steroidima nije poznata.</w:t>
      </w:r>
    </w:p>
    <w:p w14:paraId="415695EC" w14:textId="77777777" w:rsidR="00F37492" w:rsidRPr="00F37492" w:rsidRDefault="00F37492" w:rsidP="000A557B">
      <w:pPr>
        <w:jc w:val="both"/>
        <w:rPr>
          <w:sz w:val="22"/>
          <w:szCs w:val="22"/>
          <w:lang w:eastAsia="zh-CN"/>
        </w:rPr>
      </w:pPr>
    </w:p>
    <w:p w14:paraId="31C26217" w14:textId="6F9C374A" w:rsidR="00F37492" w:rsidRPr="00F37492" w:rsidRDefault="00F37492" w:rsidP="000A557B">
      <w:pPr>
        <w:jc w:val="both"/>
        <w:rPr>
          <w:sz w:val="22"/>
          <w:szCs w:val="22"/>
          <w:lang w:eastAsia="zh-CN"/>
        </w:rPr>
      </w:pPr>
      <w:r w:rsidRPr="00F37492">
        <w:rPr>
          <w:sz w:val="22"/>
          <w:szCs w:val="22"/>
          <w:lang w:eastAsia="zh-CN"/>
        </w:rPr>
        <w:t xml:space="preserve">Postepeno smanjenje doze lijeka Jakavi bilo je dozvoljeno nakon kontrole </w:t>
      </w:r>
      <w:r w:rsidR="00A8394C" w:rsidRPr="00A8394C">
        <w:rPr>
          <w:sz w:val="22"/>
          <w:szCs w:val="22"/>
          <w:lang w:val="hr-HR" w:eastAsia="zh-CN"/>
        </w:rPr>
        <w:t>169. dana</w:t>
      </w:r>
      <w:r w:rsidRPr="00F37492">
        <w:rPr>
          <w:sz w:val="22"/>
          <w:szCs w:val="22"/>
          <w:lang w:eastAsia="zh-CN"/>
        </w:rPr>
        <w:t>.</w:t>
      </w:r>
    </w:p>
    <w:p w14:paraId="0939E0A7" w14:textId="77777777" w:rsidR="00F37492" w:rsidRPr="00F37492" w:rsidRDefault="00F37492" w:rsidP="000A557B">
      <w:pPr>
        <w:jc w:val="both"/>
        <w:rPr>
          <w:sz w:val="22"/>
          <w:szCs w:val="22"/>
          <w:lang w:eastAsia="zh-CN"/>
        </w:rPr>
      </w:pPr>
    </w:p>
    <w:p w14:paraId="0C6C2769" w14:textId="77777777" w:rsidR="00F37492" w:rsidRPr="00F37492" w:rsidRDefault="00F37492" w:rsidP="000A557B">
      <w:pPr>
        <w:jc w:val="both"/>
        <w:rPr>
          <w:sz w:val="22"/>
          <w:szCs w:val="22"/>
          <w:lang w:eastAsia="zh-CN"/>
        </w:rPr>
      </w:pPr>
      <w:r w:rsidRPr="00F37492">
        <w:rPr>
          <w:sz w:val="22"/>
          <w:szCs w:val="22"/>
          <w:lang w:eastAsia="zh-CN"/>
        </w:rPr>
        <w:t>Osnovne demografske karakteristike i karakteristike bolesti bile su izbalansirane između dvije grupe pacijenata. Medijana starosti je bila 49 godina (raspon od 12 do 76 godina). Studija je obuhvatila 3,6% adolescenata, 61,1% muškaraca i 75,4% bijelaca. Većina upisanih pacijenata je imala malignu osnovnu bolest.</w:t>
      </w:r>
    </w:p>
    <w:p w14:paraId="2C309839" w14:textId="77777777" w:rsidR="00F37492" w:rsidRPr="00F37492" w:rsidRDefault="00F37492" w:rsidP="000A557B">
      <w:pPr>
        <w:jc w:val="both"/>
        <w:rPr>
          <w:sz w:val="22"/>
          <w:szCs w:val="22"/>
          <w:lang w:eastAsia="zh-CN"/>
        </w:rPr>
      </w:pPr>
    </w:p>
    <w:p w14:paraId="5F4C9B92" w14:textId="076E23B5" w:rsidR="00F37492" w:rsidRPr="00F37492" w:rsidRDefault="00F37492" w:rsidP="000A557B">
      <w:pPr>
        <w:jc w:val="both"/>
        <w:rPr>
          <w:rFonts w:eastAsia="MS Mincho"/>
          <w:sz w:val="22"/>
          <w:szCs w:val="22"/>
          <w:lang w:eastAsia="zh-CN"/>
        </w:rPr>
      </w:pPr>
      <w:r w:rsidRPr="00F37492">
        <w:rPr>
          <w:rFonts w:eastAsia="MS Mincho"/>
          <w:sz w:val="22"/>
          <w:szCs w:val="22"/>
          <w:lang w:eastAsia="zh-CN"/>
        </w:rPr>
        <w:t>Težina pri postavljanju dijagnoze hroničnog GvHD refraktornog na kortikosteroide bila je uravnotežena između dvije grupe liječenja, pri čemu je 41% bilo umjereno i 5</w:t>
      </w:r>
      <w:r w:rsidR="00D11DD7">
        <w:rPr>
          <w:rFonts w:eastAsia="MS Mincho"/>
          <w:sz w:val="22"/>
          <w:szCs w:val="22"/>
          <w:lang w:eastAsia="zh-CN"/>
        </w:rPr>
        <w:t>9</w:t>
      </w:r>
      <w:r w:rsidRPr="00F37492">
        <w:rPr>
          <w:rFonts w:eastAsia="MS Mincho"/>
          <w:sz w:val="22"/>
          <w:szCs w:val="22"/>
          <w:lang w:eastAsia="zh-CN"/>
        </w:rPr>
        <w:t>% teško u Jakavi grupi, a 45% je bilo umjereno i 5</w:t>
      </w:r>
      <w:r w:rsidR="00D11DD7">
        <w:rPr>
          <w:rFonts w:eastAsia="MS Mincho"/>
          <w:sz w:val="22"/>
          <w:szCs w:val="22"/>
          <w:lang w:eastAsia="zh-CN"/>
        </w:rPr>
        <w:t>5</w:t>
      </w:r>
      <w:r w:rsidRPr="00F37492">
        <w:rPr>
          <w:rFonts w:eastAsia="MS Mincho"/>
          <w:sz w:val="22"/>
          <w:szCs w:val="22"/>
          <w:lang w:eastAsia="zh-CN"/>
        </w:rPr>
        <w:t xml:space="preserve">% teško u </w:t>
      </w:r>
      <w:r w:rsidR="00AA3DD2">
        <w:rPr>
          <w:rFonts w:eastAsia="MS Mincho"/>
          <w:sz w:val="22"/>
          <w:szCs w:val="22"/>
          <w:lang w:eastAsia="zh-CN"/>
        </w:rPr>
        <w:t>ND</w:t>
      </w:r>
      <w:r w:rsidRPr="00F37492">
        <w:rPr>
          <w:rFonts w:eastAsia="MS Mincho"/>
          <w:sz w:val="22"/>
          <w:szCs w:val="22"/>
          <w:lang w:eastAsia="zh-CN"/>
        </w:rPr>
        <w:t>T grupi.</w:t>
      </w:r>
    </w:p>
    <w:p w14:paraId="18F91A37" w14:textId="77777777" w:rsidR="00F37492" w:rsidRPr="00F37492" w:rsidRDefault="00F37492" w:rsidP="000A557B">
      <w:pPr>
        <w:jc w:val="both"/>
        <w:rPr>
          <w:rFonts w:eastAsia="MS Mincho"/>
          <w:sz w:val="22"/>
          <w:szCs w:val="22"/>
          <w:lang w:eastAsia="zh-CN"/>
        </w:rPr>
      </w:pPr>
    </w:p>
    <w:p w14:paraId="276F7238" w14:textId="4C067454"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Nedovoljan odgovor pacijenata na kortikosteroide u grupama Jakavi i </w:t>
      </w:r>
      <w:r w:rsidR="00AA3DD2">
        <w:rPr>
          <w:rFonts w:eastAsia="MS Mincho"/>
          <w:sz w:val="22"/>
          <w:szCs w:val="22"/>
          <w:lang w:eastAsia="zh-CN"/>
        </w:rPr>
        <w:t>ND</w:t>
      </w:r>
      <w:r w:rsidRPr="00F37492">
        <w:rPr>
          <w:rFonts w:eastAsia="MS Mincho"/>
          <w:sz w:val="22"/>
          <w:szCs w:val="22"/>
          <w:lang w:eastAsia="zh-CN"/>
        </w:rPr>
        <w:t xml:space="preserve">T okarakterisan je i </w:t>
      </w:r>
      <w:r w:rsidR="00AA3DD2">
        <w:rPr>
          <w:rFonts w:eastAsia="MS Mincho"/>
          <w:sz w:val="22"/>
          <w:szCs w:val="22"/>
          <w:lang w:eastAsia="zh-CN"/>
        </w:rPr>
        <w:t>izo</w:t>
      </w:r>
      <w:r w:rsidRPr="00F37492">
        <w:rPr>
          <w:rFonts w:eastAsia="MS Mincho"/>
          <w:sz w:val="22"/>
          <w:szCs w:val="22"/>
          <w:lang w:eastAsia="zh-CN"/>
        </w:rPr>
        <w:t>sta</w:t>
      </w:r>
      <w:r w:rsidR="00AA3DD2">
        <w:rPr>
          <w:rFonts w:eastAsia="MS Mincho"/>
          <w:sz w:val="22"/>
          <w:szCs w:val="22"/>
          <w:lang w:eastAsia="zh-CN"/>
        </w:rPr>
        <w:t>nk</w:t>
      </w:r>
      <w:r w:rsidRPr="00F37492">
        <w:rPr>
          <w:rFonts w:eastAsia="MS Mincho"/>
          <w:sz w:val="22"/>
          <w:szCs w:val="22"/>
          <w:lang w:eastAsia="zh-CN"/>
        </w:rPr>
        <w:t>om odgovora ili progresijom bolesti nakon terapije kortikosteroidima tokom najmanje 7 dana u dozi od 1 mg/kg/dan ekvivalenata prednizona (37,6% tj. 44,5%), ii) perzistentnost bolesti nakon 4 nedjelje u dozi od 0,5 mg/kg/dan (35,2% tj.25,6%), ili iii) zavisnošću od kortikosteroida (27,3% tj. 29,9%).</w:t>
      </w:r>
    </w:p>
    <w:p w14:paraId="797D97B2" w14:textId="77777777" w:rsidR="00F37492" w:rsidRPr="00F37492" w:rsidRDefault="00F37492" w:rsidP="000A557B">
      <w:pPr>
        <w:jc w:val="both"/>
        <w:rPr>
          <w:rFonts w:eastAsia="MS Mincho"/>
          <w:sz w:val="22"/>
          <w:szCs w:val="22"/>
          <w:lang w:eastAsia="zh-CN"/>
        </w:rPr>
      </w:pPr>
    </w:p>
    <w:p w14:paraId="62318132" w14:textId="2EA99003"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Među svim pacijentima, 73% i 45% imalo je zahvaćenu kožu i pluća u Jakavi grupi, u poređenju sa 69% i 41% u </w:t>
      </w:r>
      <w:r w:rsidR="00A85548">
        <w:rPr>
          <w:rFonts w:eastAsia="MS Mincho"/>
          <w:sz w:val="22"/>
          <w:szCs w:val="22"/>
          <w:lang w:eastAsia="zh-CN"/>
        </w:rPr>
        <w:t>ND</w:t>
      </w:r>
      <w:r w:rsidRPr="00F37492">
        <w:rPr>
          <w:rFonts w:eastAsia="MS Mincho"/>
          <w:sz w:val="22"/>
          <w:szCs w:val="22"/>
          <w:lang w:eastAsia="zh-CN"/>
        </w:rPr>
        <w:t>T grupi.</w:t>
      </w:r>
    </w:p>
    <w:p w14:paraId="20364CFB" w14:textId="77777777" w:rsidR="00F37492" w:rsidRPr="00F37492" w:rsidRDefault="00F37492" w:rsidP="000A557B">
      <w:pPr>
        <w:jc w:val="both"/>
        <w:rPr>
          <w:rFonts w:eastAsia="MS Mincho"/>
          <w:sz w:val="22"/>
          <w:szCs w:val="22"/>
          <w:lang w:eastAsia="zh-CN"/>
        </w:rPr>
      </w:pPr>
    </w:p>
    <w:p w14:paraId="5E340FA6" w14:textId="267239AB"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Najčešće korišćene ranije sistemske terapije hronične GvHD bile su samo kortikosteroidi (43% u Jakavi grupi i 49% u </w:t>
      </w:r>
      <w:r w:rsidR="00A85548">
        <w:rPr>
          <w:rFonts w:eastAsia="MS Mincho"/>
          <w:sz w:val="22"/>
          <w:szCs w:val="22"/>
          <w:lang w:eastAsia="zh-CN"/>
        </w:rPr>
        <w:t>ND</w:t>
      </w:r>
      <w:r w:rsidRPr="00F37492">
        <w:rPr>
          <w:rFonts w:eastAsia="MS Mincho"/>
          <w:sz w:val="22"/>
          <w:szCs w:val="22"/>
          <w:lang w:eastAsia="zh-CN"/>
        </w:rPr>
        <w:t xml:space="preserve">T grupi) i kortikosteroidi + CNI (41% pacijenata u Jakavi grupi i 42% u </w:t>
      </w:r>
      <w:r w:rsidR="00A85548">
        <w:rPr>
          <w:rFonts w:eastAsia="MS Mincho"/>
          <w:sz w:val="22"/>
          <w:szCs w:val="22"/>
          <w:lang w:eastAsia="zh-CN"/>
        </w:rPr>
        <w:t>ND</w:t>
      </w:r>
      <w:r w:rsidRPr="00F37492">
        <w:rPr>
          <w:rFonts w:eastAsia="MS Mincho"/>
          <w:sz w:val="22"/>
          <w:szCs w:val="22"/>
          <w:lang w:eastAsia="zh-CN"/>
        </w:rPr>
        <w:t>T grupi).</w:t>
      </w:r>
    </w:p>
    <w:p w14:paraId="0E4944AD" w14:textId="77777777" w:rsidR="00F37492" w:rsidRPr="00F37492" w:rsidRDefault="00F37492" w:rsidP="000A557B">
      <w:pPr>
        <w:jc w:val="both"/>
        <w:rPr>
          <w:rFonts w:eastAsia="MS Mincho"/>
          <w:sz w:val="22"/>
          <w:szCs w:val="22"/>
          <w:lang w:eastAsia="zh-CN"/>
        </w:rPr>
      </w:pPr>
    </w:p>
    <w:p w14:paraId="2BDC4D82" w14:textId="40075791"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Primarni ishod bila je ORR </w:t>
      </w:r>
      <w:r w:rsidR="00A8394C" w:rsidRPr="00A8394C">
        <w:rPr>
          <w:rFonts w:eastAsia="MS Mincho"/>
          <w:sz w:val="22"/>
          <w:szCs w:val="22"/>
          <w:lang w:val="hr-HR" w:eastAsia="zh-CN"/>
        </w:rPr>
        <w:t>u 169. danu</w:t>
      </w:r>
      <w:r w:rsidR="00A8394C" w:rsidRPr="00A8394C" w:rsidDel="00A8394C">
        <w:rPr>
          <w:rFonts w:eastAsia="MS Mincho"/>
          <w:sz w:val="22"/>
          <w:szCs w:val="22"/>
          <w:lang w:eastAsia="zh-CN"/>
        </w:rPr>
        <w:t xml:space="preserve"> </w:t>
      </w:r>
      <w:r w:rsidRPr="00F37492">
        <w:rPr>
          <w:rFonts w:eastAsia="MS Mincho"/>
          <w:sz w:val="22"/>
          <w:szCs w:val="22"/>
          <w:lang w:eastAsia="zh-CN"/>
        </w:rPr>
        <w:t>definisana kao udio pacijenata u svakoj grupi sa CR ili PR bez potrebe za dodatnim sistemskim terapijama zbog rane progresije, mješoviti odgovor ili izostanak odgovora na osnovu procjene istraživača prema kriterijumima Nacionalnog instituta za zdravlje (</w:t>
      </w:r>
      <w:r w:rsidR="00A85548" w:rsidRPr="00A85548">
        <w:rPr>
          <w:rFonts w:eastAsia="MS Mincho"/>
          <w:sz w:val="22"/>
          <w:szCs w:val="22"/>
          <w:lang w:eastAsia="zh-CN"/>
        </w:rPr>
        <w:t xml:space="preserve">engl. </w:t>
      </w:r>
      <w:r w:rsidR="00A85548" w:rsidRPr="00703819">
        <w:rPr>
          <w:rFonts w:eastAsia="MS Mincho"/>
          <w:i/>
          <w:sz w:val="22"/>
          <w:szCs w:val="22"/>
          <w:lang w:eastAsia="zh-CN"/>
        </w:rPr>
        <w:t>National Institutes of Health,</w:t>
      </w:r>
      <w:r w:rsidR="00A85548" w:rsidRPr="00A85548">
        <w:rPr>
          <w:rFonts w:eastAsia="MS Mincho"/>
          <w:sz w:val="22"/>
          <w:szCs w:val="22"/>
          <w:lang w:eastAsia="zh-CN"/>
        </w:rPr>
        <w:t xml:space="preserve"> </w:t>
      </w:r>
      <w:r w:rsidRPr="00F37492">
        <w:rPr>
          <w:rFonts w:eastAsia="MS Mincho"/>
          <w:sz w:val="22"/>
          <w:szCs w:val="22"/>
          <w:lang w:eastAsia="zh-CN"/>
        </w:rPr>
        <w:t>NIH).</w:t>
      </w:r>
    </w:p>
    <w:p w14:paraId="3D963198" w14:textId="77777777" w:rsidR="00F37492" w:rsidRPr="00F37492" w:rsidRDefault="00F37492" w:rsidP="000A557B">
      <w:pPr>
        <w:jc w:val="both"/>
        <w:rPr>
          <w:rFonts w:eastAsia="MS Mincho"/>
          <w:sz w:val="22"/>
          <w:szCs w:val="22"/>
          <w:lang w:eastAsia="zh-CN"/>
        </w:rPr>
      </w:pPr>
    </w:p>
    <w:p w14:paraId="45F964FE" w14:textId="77777777" w:rsidR="00F37492" w:rsidRPr="00F37492" w:rsidRDefault="00F37492" w:rsidP="000A557B">
      <w:pPr>
        <w:jc w:val="both"/>
        <w:rPr>
          <w:rFonts w:eastAsia="MS Mincho"/>
          <w:sz w:val="22"/>
          <w:szCs w:val="22"/>
          <w:lang w:eastAsia="zh-CN"/>
        </w:rPr>
      </w:pPr>
      <w:r w:rsidRPr="00F37492">
        <w:rPr>
          <w:rFonts w:eastAsia="MS Mincho"/>
          <w:sz w:val="22"/>
          <w:szCs w:val="22"/>
          <w:lang w:eastAsia="zh-CN"/>
        </w:rPr>
        <w:t xml:space="preserve">Ključni sekundarni ishod bila je preživljavanje bez neuspeha (engl. </w:t>
      </w:r>
      <w:r w:rsidRPr="00F37492">
        <w:rPr>
          <w:rFonts w:eastAsia="MS Mincho"/>
          <w:i/>
          <w:iCs/>
          <w:sz w:val="22"/>
          <w:szCs w:val="22"/>
          <w:lang w:val="hr-HR" w:eastAsia="zh-CN"/>
        </w:rPr>
        <w:t>failure free survival,</w:t>
      </w:r>
      <w:r w:rsidRPr="00F37492">
        <w:rPr>
          <w:rFonts w:eastAsia="MS Mincho"/>
          <w:sz w:val="22"/>
          <w:szCs w:val="22"/>
          <w:lang w:val="hr-HR" w:eastAsia="zh-CN"/>
        </w:rPr>
        <w:t xml:space="preserve"> FFS</w:t>
      </w:r>
      <w:r w:rsidRPr="00F37492">
        <w:rPr>
          <w:rFonts w:eastAsia="MS Mincho"/>
          <w:sz w:val="22"/>
          <w:szCs w:val="22"/>
          <w:lang w:eastAsia="zh-CN"/>
        </w:rPr>
        <w:t>), kompo</w:t>
      </w:r>
      <w:r w:rsidRPr="00F37492">
        <w:rPr>
          <w:rFonts w:eastAsia="MS Mincho"/>
          <w:sz w:val="22"/>
          <w:szCs w:val="22"/>
          <w:lang w:val="sr-Latn-RS" w:eastAsia="zh-CN"/>
        </w:rPr>
        <w:t xml:space="preserve">zitno </w:t>
      </w:r>
      <w:r w:rsidRPr="00F37492">
        <w:rPr>
          <w:rFonts w:eastAsia="MS Mincho"/>
          <w:sz w:val="22"/>
          <w:szCs w:val="22"/>
          <w:lang w:eastAsia="zh-CN"/>
        </w:rPr>
        <w:t>vrijeme do krajnje tačke događaja, uključujući najraniji od sljedećih događaja: i) relaps ili povratak osnovne bolesti ili smrt zbog osnovne bolesti, ii) smrtnost bez relapsa, ili iii) dodavanje ili uvođenje druge sistemske terapije za hroničnu GvHD.</w:t>
      </w:r>
    </w:p>
    <w:p w14:paraId="0BA436C6" w14:textId="77777777" w:rsidR="00F37492" w:rsidRPr="00F37492" w:rsidRDefault="00F37492" w:rsidP="000A557B">
      <w:pPr>
        <w:rPr>
          <w:rFonts w:eastAsia="MS Mincho"/>
          <w:sz w:val="22"/>
          <w:szCs w:val="22"/>
          <w:lang w:eastAsia="zh-CN"/>
        </w:rPr>
      </w:pPr>
    </w:p>
    <w:p w14:paraId="35D5FCE2" w14:textId="74B72506" w:rsidR="00F37492" w:rsidRPr="00F37492" w:rsidRDefault="00F37492" w:rsidP="000A557B">
      <w:pPr>
        <w:jc w:val="both"/>
        <w:rPr>
          <w:rFonts w:eastAsia="MS Mincho"/>
          <w:sz w:val="22"/>
          <w:szCs w:val="22"/>
          <w:lang w:eastAsia="zh-CN"/>
        </w:rPr>
      </w:pPr>
      <w:r w:rsidRPr="00F37492">
        <w:rPr>
          <w:rFonts w:eastAsia="MS Mincho"/>
          <w:sz w:val="22"/>
          <w:szCs w:val="22"/>
          <w:lang w:eastAsia="zh-CN"/>
        </w:rPr>
        <w:t>Studija REACH3 je ispunila svoj primarni cilj. U vr</w:t>
      </w:r>
      <w:r w:rsidR="00856D01">
        <w:rPr>
          <w:rFonts w:eastAsia="MS Mincho"/>
          <w:sz w:val="22"/>
          <w:szCs w:val="22"/>
          <w:lang w:eastAsia="zh-CN"/>
        </w:rPr>
        <w:t>ij</w:t>
      </w:r>
      <w:r w:rsidRPr="00F37492">
        <w:rPr>
          <w:rFonts w:eastAsia="MS Mincho"/>
          <w:sz w:val="22"/>
          <w:szCs w:val="22"/>
          <w:lang w:eastAsia="zh-CN"/>
        </w:rPr>
        <w:t xml:space="preserve">eme primarne analize (datum presjeka podataka: 8. maj 2020.), ORR u 24. nedjelji je bio veći u Jakavi grupi (49,7%) u poređenju sa </w:t>
      </w:r>
      <w:r w:rsidR="00856D01">
        <w:rPr>
          <w:rFonts w:eastAsia="MS Mincho"/>
          <w:sz w:val="22"/>
          <w:szCs w:val="22"/>
          <w:lang w:eastAsia="zh-CN"/>
        </w:rPr>
        <w:t>ND</w:t>
      </w:r>
      <w:r w:rsidRPr="00F37492">
        <w:rPr>
          <w:rFonts w:eastAsia="MS Mincho"/>
          <w:sz w:val="22"/>
          <w:szCs w:val="22"/>
          <w:lang w:eastAsia="zh-CN"/>
        </w:rPr>
        <w:t>T grupom (25,6%). Postojala je statistički značajna razlika između terapijskih grupa (stratifikovani Cochrane-Mantel-Haenszel test p&lt;</w:t>
      </w:r>
      <w:r w:rsidR="00856D01">
        <w:rPr>
          <w:rFonts w:eastAsia="MS Mincho"/>
          <w:sz w:val="22"/>
          <w:szCs w:val="22"/>
          <w:lang w:eastAsia="zh-CN"/>
        </w:rPr>
        <w:t xml:space="preserve"> </w:t>
      </w:r>
      <w:r w:rsidRPr="00F37492">
        <w:rPr>
          <w:rFonts w:eastAsia="MS Mincho"/>
          <w:sz w:val="22"/>
          <w:szCs w:val="22"/>
          <w:lang w:eastAsia="zh-CN"/>
        </w:rPr>
        <w:t>0,0001, dvostrani, OR: 2,99; 95% CI: 1,86</w:t>
      </w:r>
      <w:r w:rsidR="00D11DD7">
        <w:rPr>
          <w:rFonts w:eastAsia="MS Mincho"/>
          <w:sz w:val="22"/>
          <w:szCs w:val="22"/>
          <w:lang w:eastAsia="zh-CN"/>
        </w:rPr>
        <w:t>;</w:t>
      </w:r>
      <w:r w:rsidRPr="00F37492">
        <w:rPr>
          <w:rFonts w:eastAsia="MS Mincho"/>
          <w:sz w:val="22"/>
          <w:szCs w:val="22"/>
          <w:lang w:eastAsia="zh-CN"/>
        </w:rPr>
        <w:t xml:space="preserve"> 4,80). Rezultati su predstavljeni u tabeli 1</w:t>
      </w:r>
      <w:r w:rsidR="00A8394C">
        <w:rPr>
          <w:rFonts w:eastAsia="MS Mincho"/>
          <w:sz w:val="22"/>
          <w:szCs w:val="22"/>
          <w:lang w:eastAsia="zh-CN"/>
        </w:rPr>
        <w:t>2</w:t>
      </w:r>
      <w:r w:rsidRPr="00F37492">
        <w:rPr>
          <w:rFonts w:eastAsia="MS Mincho"/>
          <w:sz w:val="22"/>
          <w:szCs w:val="22"/>
          <w:lang w:eastAsia="zh-CN"/>
        </w:rPr>
        <w:t>.</w:t>
      </w:r>
    </w:p>
    <w:p w14:paraId="6D53315B" w14:textId="77777777" w:rsidR="00F37492" w:rsidRPr="00F37492" w:rsidRDefault="00F37492" w:rsidP="000A557B">
      <w:pPr>
        <w:jc w:val="both"/>
        <w:rPr>
          <w:rFonts w:eastAsia="MS Mincho"/>
          <w:sz w:val="22"/>
          <w:szCs w:val="22"/>
          <w:lang w:eastAsia="zh-CN"/>
        </w:rPr>
      </w:pPr>
    </w:p>
    <w:p w14:paraId="2B99664C" w14:textId="31143EBB" w:rsidR="00F37492" w:rsidRPr="00F37492" w:rsidRDefault="00F37492" w:rsidP="000A557B">
      <w:pPr>
        <w:jc w:val="both"/>
        <w:rPr>
          <w:rFonts w:eastAsia="MS Mincho"/>
          <w:sz w:val="22"/>
          <w:szCs w:val="22"/>
          <w:lang w:eastAsia="zh-CN"/>
        </w:rPr>
      </w:pPr>
      <w:r w:rsidRPr="00F37492">
        <w:rPr>
          <w:rFonts w:eastAsia="MS Mincho"/>
          <w:sz w:val="22"/>
          <w:szCs w:val="22"/>
          <w:lang w:eastAsia="zh-CN"/>
        </w:rPr>
        <w:t>Među pacijentima koji ni</w:t>
      </w:r>
      <w:r w:rsidR="00856D01">
        <w:rPr>
          <w:rFonts w:eastAsia="MS Mincho"/>
          <w:sz w:val="22"/>
          <w:szCs w:val="22"/>
          <w:lang w:eastAsia="zh-CN"/>
        </w:rPr>
        <w:t>je</w:t>
      </w:r>
      <w:r w:rsidRPr="00F37492">
        <w:rPr>
          <w:rFonts w:eastAsia="MS Mincho"/>
          <w:sz w:val="22"/>
          <w:szCs w:val="22"/>
          <w:lang w:eastAsia="zh-CN"/>
        </w:rPr>
        <w:t xml:space="preserve">su imali odgovor </w:t>
      </w:r>
      <w:r w:rsidR="00A8394C" w:rsidRPr="00A8394C">
        <w:rPr>
          <w:rFonts w:eastAsia="MS Mincho"/>
          <w:sz w:val="22"/>
          <w:szCs w:val="22"/>
          <w:lang w:val="hr-HR" w:eastAsia="zh-CN"/>
        </w:rPr>
        <w:t xml:space="preserve">u 169. danu </w:t>
      </w:r>
      <w:r w:rsidRPr="00F37492">
        <w:rPr>
          <w:rFonts w:eastAsia="MS Mincho"/>
          <w:sz w:val="22"/>
          <w:szCs w:val="22"/>
          <w:lang w:eastAsia="zh-CN"/>
        </w:rPr>
        <w:t xml:space="preserve">u Jakavi grupi 2,4% i u </w:t>
      </w:r>
      <w:r w:rsidR="00856D01">
        <w:rPr>
          <w:rFonts w:eastAsia="MS Mincho"/>
          <w:sz w:val="22"/>
          <w:szCs w:val="22"/>
          <w:lang w:eastAsia="zh-CN"/>
        </w:rPr>
        <w:t>ND</w:t>
      </w:r>
      <w:r w:rsidRPr="00F37492">
        <w:rPr>
          <w:rFonts w:eastAsia="MS Mincho"/>
          <w:sz w:val="22"/>
          <w:szCs w:val="22"/>
          <w:lang w:eastAsia="zh-CN"/>
        </w:rPr>
        <w:t>T grupi je 12,8% imalo progresiju bolesti.</w:t>
      </w:r>
    </w:p>
    <w:p w14:paraId="36F63D5D" w14:textId="77777777" w:rsidR="00F37492" w:rsidRPr="00F37492" w:rsidRDefault="00F37492" w:rsidP="000A557B">
      <w:pPr>
        <w:jc w:val="both"/>
        <w:rPr>
          <w:rFonts w:eastAsia="MS Mincho"/>
          <w:sz w:val="22"/>
          <w:szCs w:val="22"/>
          <w:lang w:eastAsia="zh-CN"/>
        </w:rPr>
      </w:pPr>
    </w:p>
    <w:p w14:paraId="1F9CE4C4" w14:textId="46F62C88" w:rsidR="00F37492" w:rsidRPr="00F37492" w:rsidRDefault="00F37492" w:rsidP="002B621F">
      <w:pPr>
        <w:keepNext/>
        <w:keepLines/>
        <w:outlineLvl w:val="5"/>
        <w:rPr>
          <w:rFonts w:eastAsia="MS Gothic"/>
          <w:b/>
          <w:sz w:val="22"/>
          <w:szCs w:val="22"/>
          <w:lang w:eastAsia="zh-CN"/>
        </w:rPr>
      </w:pPr>
      <w:bookmarkStart w:id="9" w:name="_Toc59188506"/>
      <w:bookmarkStart w:id="10" w:name="_Toc56781766"/>
      <w:bookmarkStart w:id="11" w:name="_Toc56781935"/>
      <w:r w:rsidRPr="00F37492">
        <w:rPr>
          <w:rFonts w:eastAsia="MS Gothic"/>
          <w:b/>
          <w:sz w:val="22"/>
          <w:szCs w:val="22"/>
          <w:lang w:eastAsia="zh-CN"/>
        </w:rPr>
        <w:t>Tabala 1</w:t>
      </w:r>
      <w:r w:rsidR="00A8394C">
        <w:rPr>
          <w:rFonts w:eastAsia="MS Gothic"/>
          <w:b/>
          <w:sz w:val="22"/>
          <w:szCs w:val="22"/>
          <w:lang w:eastAsia="zh-CN"/>
        </w:rPr>
        <w:t>2</w:t>
      </w:r>
      <w:r w:rsidRPr="00F37492">
        <w:rPr>
          <w:rFonts w:eastAsia="MS Gothic"/>
          <w:b/>
          <w:sz w:val="22"/>
          <w:szCs w:val="22"/>
          <w:lang w:eastAsia="zh-CN"/>
        </w:rPr>
        <w:tab/>
        <w:t xml:space="preserve">Ukupna stopa odgovora </w:t>
      </w:r>
      <w:r w:rsidR="00A8394C" w:rsidRPr="00A8394C">
        <w:rPr>
          <w:rFonts w:eastAsia="MS Gothic"/>
          <w:b/>
          <w:sz w:val="22"/>
          <w:szCs w:val="22"/>
          <w:lang w:val="hr-HR" w:eastAsia="zh-CN"/>
        </w:rPr>
        <w:t xml:space="preserve">u 169. danu </w:t>
      </w:r>
      <w:r w:rsidRPr="00F37492">
        <w:rPr>
          <w:rFonts w:eastAsia="MS Gothic"/>
          <w:b/>
          <w:sz w:val="22"/>
          <w:szCs w:val="22"/>
          <w:lang w:eastAsia="zh-CN"/>
        </w:rPr>
        <w:t>u studiji REACH3</w:t>
      </w:r>
      <w:bookmarkEnd w:id="9"/>
    </w:p>
    <w:p w14:paraId="6100EDB8" w14:textId="77777777" w:rsidR="00F37492" w:rsidRPr="00F37492" w:rsidRDefault="00F37492" w:rsidP="000A557B">
      <w:pPr>
        <w:keepNext/>
        <w:keepLines/>
        <w:outlineLvl w:val="5"/>
        <w:rPr>
          <w:rFonts w:eastAsia="MS Gothic"/>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4"/>
        <w:gridCol w:w="1559"/>
        <w:gridCol w:w="1985"/>
        <w:gridCol w:w="1847"/>
      </w:tblGrid>
      <w:tr w:rsidR="00F37492" w:rsidRPr="00F37492" w14:paraId="15AD8DB4" w14:textId="77777777" w:rsidTr="00BB6F20">
        <w:trPr>
          <w:tblHeader/>
        </w:trPr>
        <w:tc>
          <w:tcPr>
            <w:tcW w:w="2127" w:type="dxa"/>
            <w:tcBorders>
              <w:top w:val="single" w:sz="4" w:space="0" w:color="auto"/>
              <w:left w:val="single" w:sz="4" w:space="0" w:color="auto"/>
              <w:bottom w:val="single" w:sz="4" w:space="0" w:color="auto"/>
              <w:right w:val="single" w:sz="4" w:space="0" w:color="auto"/>
            </w:tcBorders>
          </w:tcPr>
          <w:p w14:paraId="7BACA6B9" w14:textId="77777777" w:rsidR="00F37492" w:rsidRPr="00F37492" w:rsidRDefault="00F37492" w:rsidP="000A557B">
            <w:pPr>
              <w:keepNext/>
              <w:rPr>
                <w:rFonts w:eastAsia="MS Mincho"/>
                <w:b/>
                <w:sz w:val="22"/>
                <w:szCs w:val="22"/>
                <w:lang w:eastAsia="zh-CN"/>
              </w:rPr>
            </w:pPr>
          </w:p>
        </w:tc>
        <w:tc>
          <w:tcPr>
            <w:tcW w:w="3113" w:type="dxa"/>
            <w:gridSpan w:val="2"/>
            <w:tcBorders>
              <w:top w:val="single" w:sz="4" w:space="0" w:color="auto"/>
              <w:left w:val="single" w:sz="4" w:space="0" w:color="auto"/>
              <w:bottom w:val="single" w:sz="4" w:space="0" w:color="auto"/>
              <w:right w:val="single" w:sz="4" w:space="0" w:color="auto"/>
            </w:tcBorders>
            <w:hideMark/>
          </w:tcPr>
          <w:p w14:paraId="29850337"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Jakavi</w:t>
            </w:r>
          </w:p>
          <w:p w14:paraId="6ED92022"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N=165</w:t>
            </w:r>
          </w:p>
        </w:tc>
        <w:tc>
          <w:tcPr>
            <w:tcW w:w="3832" w:type="dxa"/>
            <w:gridSpan w:val="2"/>
            <w:tcBorders>
              <w:top w:val="single" w:sz="4" w:space="0" w:color="auto"/>
              <w:left w:val="single" w:sz="4" w:space="0" w:color="auto"/>
              <w:bottom w:val="single" w:sz="4" w:space="0" w:color="auto"/>
              <w:right w:val="single" w:sz="4" w:space="0" w:color="auto"/>
            </w:tcBorders>
            <w:hideMark/>
          </w:tcPr>
          <w:p w14:paraId="1AB29950" w14:textId="22FBF8AE" w:rsidR="00F37492" w:rsidRPr="00F37492" w:rsidRDefault="0010057E" w:rsidP="000A557B">
            <w:pPr>
              <w:keepNext/>
              <w:jc w:val="center"/>
              <w:rPr>
                <w:rFonts w:eastAsia="MS Mincho"/>
                <w:b/>
                <w:sz w:val="22"/>
                <w:szCs w:val="22"/>
                <w:lang w:eastAsia="zh-CN"/>
              </w:rPr>
            </w:pPr>
            <w:r>
              <w:rPr>
                <w:rFonts w:eastAsia="MS Mincho"/>
                <w:b/>
                <w:sz w:val="22"/>
                <w:szCs w:val="22"/>
                <w:lang w:eastAsia="zh-CN"/>
              </w:rPr>
              <w:t>NDT</w:t>
            </w:r>
          </w:p>
          <w:p w14:paraId="50B04756"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N=164</w:t>
            </w:r>
          </w:p>
        </w:tc>
      </w:tr>
      <w:tr w:rsidR="00F37492" w:rsidRPr="00F37492" w14:paraId="46596D9F" w14:textId="77777777" w:rsidTr="00BB6F20">
        <w:trPr>
          <w:tblHeader/>
        </w:trPr>
        <w:tc>
          <w:tcPr>
            <w:tcW w:w="2127" w:type="dxa"/>
            <w:tcBorders>
              <w:top w:val="single" w:sz="4" w:space="0" w:color="auto"/>
              <w:left w:val="single" w:sz="4" w:space="0" w:color="auto"/>
              <w:bottom w:val="single" w:sz="4" w:space="0" w:color="auto"/>
              <w:right w:val="single" w:sz="4" w:space="0" w:color="auto"/>
            </w:tcBorders>
          </w:tcPr>
          <w:p w14:paraId="3E21F59A" w14:textId="77777777" w:rsidR="00F37492" w:rsidRPr="00F37492" w:rsidRDefault="00F37492" w:rsidP="000A557B">
            <w:pPr>
              <w:keepNext/>
              <w:rPr>
                <w:rFonts w:eastAsia="MS Mincho"/>
                <w:b/>
                <w:sz w:val="22"/>
                <w:szCs w:val="22"/>
                <w:lang w:eastAsia="zh-CN"/>
              </w:rPr>
            </w:pPr>
          </w:p>
        </w:tc>
        <w:tc>
          <w:tcPr>
            <w:tcW w:w="1554" w:type="dxa"/>
            <w:tcBorders>
              <w:top w:val="single" w:sz="4" w:space="0" w:color="auto"/>
              <w:left w:val="single" w:sz="4" w:space="0" w:color="auto"/>
              <w:bottom w:val="single" w:sz="4" w:space="0" w:color="auto"/>
              <w:right w:val="single" w:sz="4" w:space="0" w:color="auto"/>
            </w:tcBorders>
            <w:hideMark/>
          </w:tcPr>
          <w:p w14:paraId="37D7EC2A"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n (%)</w:t>
            </w:r>
          </w:p>
        </w:tc>
        <w:tc>
          <w:tcPr>
            <w:tcW w:w="1559" w:type="dxa"/>
            <w:tcBorders>
              <w:top w:val="single" w:sz="4" w:space="0" w:color="auto"/>
              <w:left w:val="single" w:sz="4" w:space="0" w:color="auto"/>
              <w:bottom w:val="single" w:sz="4" w:space="0" w:color="auto"/>
              <w:right w:val="single" w:sz="4" w:space="0" w:color="auto"/>
            </w:tcBorders>
            <w:hideMark/>
          </w:tcPr>
          <w:p w14:paraId="718BCB37"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95% CI</w:t>
            </w:r>
          </w:p>
        </w:tc>
        <w:tc>
          <w:tcPr>
            <w:tcW w:w="1985" w:type="dxa"/>
            <w:tcBorders>
              <w:top w:val="single" w:sz="4" w:space="0" w:color="auto"/>
              <w:left w:val="single" w:sz="4" w:space="0" w:color="auto"/>
              <w:bottom w:val="single" w:sz="4" w:space="0" w:color="auto"/>
              <w:right w:val="single" w:sz="4" w:space="0" w:color="auto"/>
            </w:tcBorders>
            <w:hideMark/>
          </w:tcPr>
          <w:p w14:paraId="1AFFF385"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n (%)</w:t>
            </w:r>
          </w:p>
        </w:tc>
        <w:tc>
          <w:tcPr>
            <w:tcW w:w="1847" w:type="dxa"/>
            <w:tcBorders>
              <w:top w:val="single" w:sz="4" w:space="0" w:color="auto"/>
              <w:left w:val="single" w:sz="4" w:space="0" w:color="auto"/>
              <w:bottom w:val="single" w:sz="4" w:space="0" w:color="auto"/>
              <w:right w:val="single" w:sz="4" w:space="0" w:color="auto"/>
            </w:tcBorders>
            <w:hideMark/>
          </w:tcPr>
          <w:p w14:paraId="682DF694" w14:textId="77777777" w:rsidR="00F37492" w:rsidRPr="00F37492" w:rsidRDefault="00F37492" w:rsidP="000A557B">
            <w:pPr>
              <w:keepNext/>
              <w:jc w:val="center"/>
              <w:rPr>
                <w:rFonts w:eastAsia="MS Mincho"/>
                <w:b/>
                <w:sz w:val="22"/>
                <w:szCs w:val="22"/>
                <w:lang w:eastAsia="zh-CN"/>
              </w:rPr>
            </w:pPr>
            <w:r w:rsidRPr="00F37492">
              <w:rPr>
                <w:rFonts w:eastAsia="MS Mincho"/>
                <w:b/>
                <w:sz w:val="22"/>
                <w:szCs w:val="22"/>
                <w:lang w:eastAsia="zh-CN"/>
              </w:rPr>
              <w:t>95% CI</w:t>
            </w:r>
          </w:p>
        </w:tc>
      </w:tr>
      <w:tr w:rsidR="00F37492" w:rsidRPr="00F37492" w14:paraId="5A987EAB" w14:textId="77777777" w:rsidTr="00BB6F20">
        <w:tc>
          <w:tcPr>
            <w:tcW w:w="2127" w:type="dxa"/>
            <w:tcBorders>
              <w:top w:val="single" w:sz="4" w:space="0" w:color="auto"/>
              <w:left w:val="single" w:sz="4" w:space="0" w:color="auto"/>
              <w:bottom w:val="single" w:sz="4" w:space="0" w:color="auto"/>
              <w:right w:val="single" w:sz="4" w:space="0" w:color="auto"/>
            </w:tcBorders>
            <w:hideMark/>
          </w:tcPr>
          <w:p w14:paraId="6FCF4F24" w14:textId="77777777" w:rsidR="00F37492" w:rsidRPr="00F37492" w:rsidRDefault="00F37492" w:rsidP="000A557B">
            <w:pPr>
              <w:keepNext/>
              <w:rPr>
                <w:rFonts w:eastAsia="MS Mincho"/>
                <w:sz w:val="22"/>
                <w:szCs w:val="22"/>
                <w:lang w:eastAsia="zh-CN"/>
              </w:rPr>
            </w:pPr>
            <w:r w:rsidRPr="00F37492">
              <w:rPr>
                <w:rFonts w:eastAsia="MS Mincho"/>
                <w:sz w:val="22"/>
                <w:szCs w:val="22"/>
                <w:lang w:eastAsia="zh-CN"/>
              </w:rPr>
              <w:t>Ukupni odgovor</w:t>
            </w:r>
          </w:p>
        </w:tc>
        <w:tc>
          <w:tcPr>
            <w:tcW w:w="1554" w:type="dxa"/>
            <w:tcBorders>
              <w:top w:val="single" w:sz="4" w:space="0" w:color="auto"/>
              <w:left w:val="single" w:sz="4" w:space="0" w:color="auto"/>
              <w:bottom w:val="single" w:sz="4" w:space="0" w:color="auto"/>
              <w:right w:val="single" w:sz="4" w:space="0" w:color="auto"/>
            </w:tcBorders>
            <w:hideMark/>
          </w:tcPr>
          <w:p w14:paraId="7F1C04DF"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82 (49,7)</w:t>
            </w:r>
          </w:p>
        </w:tc>
        <w:tc>
          <w:tcPr>
            <w:tcW w:w="1559" w:type="dxa"/>
            <w:tcBorders>
              <w:top w:val="single" w:sz="4" w:space="0" w:color="auto"/>
              <w:left w:val="single" w:sz="4" w:space="0" w:color="auto"/>
              <w:bottom w:val="single" w:sz="4" w:space="0" w:color="auto"/>
              <w:right w:val="single" w:sz="4" w:space="0" w:color="auto"/>
            </w:tcBorders>
            <w:hideMark/>
          </w:tcPr>
          <w:p w14:paraId="70F3D552"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41,8; 57,6</w:t>
            </w:r>
          </w:p>
        </w:tc>
        <w:tc>
          <w:tcPr>
            <w:tcW w:w="1985" w:type="dxa"/>
            <w:tcBorders>
              <w:top w:val="single" w:sz="4" w:space="0" w:color="auto"/>
              <w:left w:val="single" w:sz="4" w:space="0" w:color="auto"/>
              <w:bottom w:val="single" w:sz="4" w:space="0" w:color="auto"/>
              <w:right w:val="single" w:sz="4" w:space="0" w:color="auto"/>
            </w:tcBorders>
            <w:hideMark/>
          </w:tcPr>
          <w:p w14:paraId="554BA3CC"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42 (25,6)</w:t>
            </w:r>
          </w:p>
        </w:tc>
        <w:tc>
          <w:tcPr>
            <w:tcW w:w="1847" w:type="dxa"/>
            <w:tcBorders>
              <w:top w:val="single" w:sz="4" w:space="0" w:color="auto"/>
              <w:left w:val="single" w:sz="4" w:space="0" w:color="auto"/>
              <w:bottom w:val="single" w:sz="4" w:space="0" w:color="auto"/>
              <w:right w:val="single" w:sz="4" w:space="0" w:color="auto"/>
            </w:tcBorders>
            <w:hideMark/>
          </w:tcPr>
          <w:p w14:paraId="51D7B06F"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19,1; 33,0</w:t>
            </w:r>
          </w:p>
        </w:tc>
      </w:tr>
      <w:tr w:rsidR="00F37492" w:rsidRPr="00F37492" w14:paraId="7CE78A80" w14:textId="77777777" w:rsidTr="00BB6F20">
        <w:tc>
          <w:tcPr>
            <w:tcW w:w="2127" w:type="dxa"/>
            <w:tcBorders>
              <w:top w:val="single" w:sz="4" w:space="0" w:color="auto"/>
              <w:left w:val="single" w:sz="4" w:space="0" w:color="auto"/>
              <w:bottom w:val="single" w:sz="4" w:space="0" w:color="auto"/>
              <w:right w:val="single" w:sz="4" w:space="0" w:color="auto"/>
            </w:tcBorders>
            <w:hideMark/>
          </w:tcPr>
          <w:p w14:paraId="274058FD" w14:textId="77777777" w:rsidR="00F37492" w:rsidRPr="00F37492" w:rsidRDefault="00F37492" w:rsidP="000A557B">
            <w:pPr>
              <w:keepNext/>
              <w:tabs>
                <w:tab w:val="left" w:pos="720"/>
              </w:tabs>
              <w:rPr>
                <w:rFonts w:eastAsia="MS Mincho"/>
                <w:sz w:val="22"/>
                <w:szCs w:val="22"/>
                <w:lang w:eastAsia="zh-CN"/>
              </w:rPr>
            </w:pPr>
            <w:r w:rsidRPr="00F37492">
              <w:rPr>
                <w:rFonts w:eastAsia="MS Mincho"/>
                <w:sz w:val="22"/>
                <w:szCs w:val="22"/>
                <w:lang w:eastAsia="zh-CN"/>
              </w:rPr>
              <w:t>OR (95% CI)</w:t>
            </w:r>
          </w:p>
        </w:tc>
        <w:tc>
          <w:tcPr>
            <w:tcW w:w="6945" w:type="dxa"/>
            <w:gridSpan w:val="4"/>
            <w:tcBorders>
              <w:top w:val="single" w:sz="4" w:space="0" w:color="auto"/>
              <w:left w:val="single" w:sz="4" w:space="0" w:color="auto"/>
              <w:bottom w:val="single" w:sz="4" w:space="0" w:color="auto"/>
              <w:right w:val="single" w:sz="4" w:space="0" w:color="auto"/>
            </w:tcBorders>
            <w:hideMark/>
          </w:tcPr>
          <w:p w14:paraId="6AA2A6D8"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2,99 (1,86; 4,80)</w:t>
            </w:r>
          </w:p>
        </w:tc>
      </w:tr>
      <w:tr w:rsidR="00F37492" w:rsidRPr="00F37492" w14:paraId="4774DE3D" w14:textId="77777777" w:rsidTr="00BB6F20">
        <w:tc>
          <w:tcPr>
            <w:tcW w:w="2127" w:type="dxa"/>
            <w:tcBorders>
              <w:top w:val="single" w:sz="4" w:space="0" w:color="auto"/>
              <w:left w:val="single" w:sz="4" w:space="0" w:color="auto"/>
              <w:bottom w:val="single" w:sz="4" w:space="0" w:color="auto"/>
              <w:right w:val="single" w:sz="4" w:space="0" w:color="auto"/>
            </w:tcBorders>
            <w:hideMark/>
          </w:tcPr>
          <w:p w14:paraId="59B94F21" w14:textId="6C19ECB6" w:rsidR="00F37492" w:rsidRPr="00F37492" w:rsidRDefault="00F37492" w:rsidP="000A557B">
            <w:pPr>
              <w:keepNext/>
              <w:tabs>
                <w:tab w:val="left" w:pos="720"/>
              </w:tabs>
              <w:rPr>
                <w:rFonts w:eastAsia="MS Mincho"/>
                <w:sz w:val="22"/>
                <w:szCs w:val="22"/>
                <w:lang w:eastAsia="zh-CN"/>
              </w:rPr>
            </w:pPr>
            <w:r w:rsidRPr="00F37492">
              <w:rPr>
                <w:rFonts w:eastAsia="MS Mincho"/>
                <w:sz w:val="22"/>
                <w:szCs w:val="22"/>
                <w:lang w:eastAsia="zh-CN"/>
              </w:rPr>
              <w:t>p-vr</w:t>
            </w:r>
            <w:r w:rsidR="00856D01">
              <w:rPr>
                <w:rFonts w:eastAsia="MS Mincho"/>
                <w:sz w:val="22"/>
                <w:szCs w:val="22"/>
                <w:lang w:eastAsia="zh-CN"/>
              </w:rPr>
              <w:t>ij</w:t>
            </w:r>
            <w:r w:rsidRPr="00F37492">
              <w:rPr>
                <w:rFonts w:eastAsia="MS Mincho"/>
                <w:sz w:val="22"/>
                <w:szCs w:val="22"/>
                <w:lang w:eastAsia="zh-CN"/>
              </w:rPr>
              <w:t>ednost (2-strana)</w:t>
            </w:r>
          </w:p>
        </w:tc>
        <w:tc>
          <w:tcPr>
            <w:tcW w:w="6945" w:type="dxa"/>
            <w:gridSpan w:val="4"/>
            <w:tcBorders>
              <w:top w:val="single" w:sz="4" w:space="0" w:color="auto"/>
              <w:left w:val="single" w:sz="4" w:space="0" w:color="auto"/>
              <w:bottom w:val="single" w:sz="4" w:space="0" w:color="auto"/>
              <w:right w:val="single" w:sz="4" w:space="0" w:color="auto"/>
            </w:tcBorders>
            <w:hideMark/>
          </w:tcPr>
          <w:p w14:paraId="351D7DEE" w14:textId="78228471"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p&lt;</w:t>
            </w:r>
            <w:r w:rsidR="00856D01">
              <w:rPr>
                <w:rFonts w:eastAsia="MS Mincho"/>
                <w:sz w:val="22"/>
                <w:szCs w:val="22"/>
                <w:lang w:eastAsia="zh-CN"/>
              </w:rPr>
              <w:t xml:space="preserve"> </w:t>
            </w:r>
            <w:r w:rsidRPr="00F37492">
              <w:rPr>
                <w:rFonts w:eastAsia="MS Mincho"/>
                <w:sz w:val="22"/>
                <w:szCs w:val="22"/>
                <w:lang w:eastAsia="zh-CN"/>
              </w:rPr>
              <w:t>0,0001</w:t>
            </w:r>
          </w:p>
        </w:tc>
      </w:tr>
      <w:tr w:rsidR="00F37492" w:rsidRPr="00F37492" w14:paraId="561AEC64" w14:textId="77777777" w:rsidTr="00BB6F20">
        <w:tc>
          <w:tcPr>
            <w:tcW w:w="2127" w:type="dxa"/>
            <w:tcBorders>
              <w:top w:val="single" w:sz="4" w:space="0" w:color="auto"/>
              <w:left w:val="single" w:sz="4" w:space="0" w:color="auto"/>
              <w:bottom w:val="single" w:sz="4" w:space="0" w:color="auto"/>
              <w:right w:val="single" w:sz="4" w:space="0" w:color="auto"/>
            </w:tcBorders>
            <w:hideMark/>
          </w:tcPr>
          <w:p w14:paraId="697EAEA3" w14:textId="77777777" w:rsidR="00F37492" w:rsidRPr="00F37492" w:rsidRDefault="00F37492" w:rsidP="000A557B">
            <w:pPr>
              <w:keepNext/>
              <w:rPr>
                <w:rFonts w:eastAsia="MS Mincho"/>
                <w:sz w:val="22"/>
                <w:szCs w:val="22"/>
                <w:lang w:eastAsia="zh-CN"/>
              </w:rPr>
            </w:pPr>
            <w:r w:rsidRPr="00F37492">
              <w:rPr>
                <w:rFonts w:eastAsia="MS Mincho"/>
                <w:sz w:val="22"/>
                <w:szCs w:val="22"/>
                <w:lang w:eastAsia="zh-CN"/>
              </w:rPr>
              <w:t>Potpuni odgovor</w:t>
            </w:r>
          </w:p>
        </w:tc>
        <w:tc>
          <w:tcPr>
            <w:tcW w:w="3113" w:type="dxa"/>
            <w:gridSpan w:val="2"/>
            <w:tcBorders>
              <w:top w:val="single" w:sz="4" w:space="0" w:color="auto"/>
              <w:left w:val="single" w:sz="4" w:space="0" w:color="auto"/>
              <w:bottom w:val="single" w:sz="4" w:space="0" w:color="auto"/>
              <w:right w:val="single" w:sz="4" w:space="0" w:color="auto"/>
            </w:tcBorders>
            <w:hideMark/>
          </w:tcPr>
          <w:p w14:paraId="3BFE934F"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11 (6,7)</w:t>
            </w:r>
          </w:p>
        </w:tc>
        <w:tc>
          <w:tcPr>
            <w:tcW w:w="3832" w:type="dxa"/>
            <w:gridSpan w:val="2"/>
            <w:tcBorders>
              <w:top w:val="single" w:sz="4" w:space="0" w:color="auto"/>
              <w:left w:val="single" w:sz="4" w:space="0" w:color="auto"/>
              <w:bottom w:val="single" w:sz="4" w:space="0" w:color="auto"/>
              <w:right w:val="single" w:sz="4" w:space="0" w:color="auto"/>
            </w:tcBorders>
            <w:hideMark/>
          </w:tcPr>
          <w:p w14:paraId="30660D59" w14:textId="77777777" w:rsidR="00F37492" w:rsidRPr="00F37492" w:rsidRDefault="00F37492" w:rsidP="000A557B">
            <w:pPr>
              <w:keepNext/>
              <w:jc w:val="center"/>
              <w:rPr>
                <w:rFonts w:eastAsia="MS Mincho"/>
                <w:sz w:val="22"/>
                <w:szCs w:val="22"/>
                <w:lang w:eastAsia="zh-CN"/>
              </w:rPr>
            </w:pPr>
            <w:r w:rsidRPr="00F37492">
              <w:rPr>
                <w:rFonts w:eastAsia="MS Mincho"/>
                <w:sz w:val="22"/>
                <w:szCs w:val="22"/>
                <w:lang w:eastAsia="zh-CN"/>
              </w:rPr>
              <w:t>5 (3,0)</w:t>
            </w:r>
          </w:p>
        </w:tc>
      </w:tr>
      <w:tr w:rsidR="00F37492" w:rsidRPr="00F37492" w14:paraId="38A18C7D" w14:textId="77777777" w:rsidTr="00BB6F20">
        <w:tc>
          <w:tcPr>
            <w:tcW w:w="2127" w:type="dxa"/>
            <w:tcBorders>
              <w:top w:val="single" w:sz="4" w:space="0" w:color="auto"/>
              <w:left w:val="single" w:sz="4" w:space="0" w:color="auto"/>
              <w:bottom w:val="single" w:sz="4" w:space="0" w:color="auto"/>
              <w:right w:val="single" w:sz="4" w:space="0" w:color="auto"/>
            </w:tcBorders>
            <w:hideMark/>
          </w:tcPr>
          <w:p w14:paraId="61EBA918" w14:textId="6BE3429B" w:rsidR="00F37492" w:rsidRPr="00F37492" w:rsidRDefault="00F37492" w:rsidP="000A557B">
            <w:pPr>
              <w:rPr>
                <w:rFonts w:eastAsia="MS Mincho"/>
                <w:sz w:val="22"/>
                <w:szCs w:val="22"/>
                <w:lang w:eastAsia="zh-CN"/>
              </w:rPr>
            </w:pPr>
            <w:r w:rsidRPr="00F37492">
              <w:rPr>
                <w:rFonts w:eastAsia="MS Mincho"/>
                <w:sz w:val="22"/>
                <w:szCs w:val="22"/>
                <w:lang w:eastAsia="zh-CN"/>
              </w:rPr>
              <w:t>D</w:t>
            </w:r>
            <w:r w:rsidR="00856D01">
              <w:rPr>
                <w:rFonts w:eastAsia="MS Mincho"/>
                <w:sz w:val="22"/>
                <w:szCs w:val="22"/>
                <w:lang w:eastAsia="zh-CN"/>
              </w:rPr>
              <w:t>j</w:t>
            </w:r>
            <w:r w:rsidRPr="00F37492">
              <w:rPr>
                <w:rFonts w:eastAsia="MS Mincho"/>
                <w:sz w:val="22"/>
                <w:szCs w:val="22"/>
                <w:lang w:eastAsia="zh-CN"/>
              </w:rPr>
              <w:t>elimični odgovor</w:t>
            </w:r>
          </w:p>
        </w:tc>
        <w:tc>
          <w:tcPr>
            <w:tcW w:w="3113" w:type="dxa"/>
            <w:gridSpan w:val="2"/>
            <w:tcBorders>
              <w:top w:val="single" w:sz="4" w:space="0" w:color="auto"/>
              <w:left w:val="single" w:sz="4" w:space="0" w:color="auto"/>
              <w:bottom w:val="single" w:sz="4" w:space="0" w:color="auto"/>
              <w:right w:val="single" w:sz="4" w:space="0" w:color="auto"/>
            </w:tcBorders>
            <w:hideMark/>
          </w:tcPr>
          <w:p w14:paraId="28C2E5B9" w14:textId="77777777" w:rsidR="00F37492" w:rsidRPr="00F37492" w:rsidRDefault="00F37492" w:rsidP="000A557B">
            <w:pPr>
              <w:jc w:val="center"/>
              <w:rPr>
                <w:rFonts w:eastAsia="MS Mincho"/>
                <w:sz w:val="22"/>
                <w:szCs w:val="22"/>
                <w:lang w:eastAsia="zh-CN"/>
              </w:rPr>
            </w:pPr>
            <w:r w:rsidRPr="00F37492">
              <w:rPr>
                <w:rFonts w:eastAsia="MS Mincho"/>
                <w:sz w:val="22"/>
                <w:szCs w:val="22"/>
                <w:lang w:eastAsia="zh-CN"/>
              </w:rPr>
              <w:t>71 (43,0)</w:t>
            </w:r>
          </w:p>
        </w:tc>
        <w:tc>
          <w:tcPr>
            <w:tcW w:w="3832" w:type="dxa"/>
            <w:gridSpan w:val="2"/>
            <w:tcBorders>
              <w:top w:val="single" w:sz="4" w:space="0" w:color="auto"/>
              <w:left w:val="single" w:sz="4" w:space="0" w:color="auto"/>
              <w:bottom w:val="single" w:sz="4" w:space="0" w:color="auto"/>
              <w:right w:val="single" w:sz="4" w:space="0" w:color="auto"/>
            </w:tcBorders>
            <w:hideMark/>
          </w:tcPr>
          <w:p w14:paraId="57F3A22D" w14:textId="77777777" w:rsidR="00F37492" w:rsidRPr="00F37492" w:rsidRDefault="00F37492" w:rsidP="000A557B">
            <w:pPr>
              <w:jc w:val="center"/>
              <w:rPr>
                <w:rFonts w:eastAsia="MS Mincho"/>
                <w:sz w:val="22"/>
                <w:szCs w:val="22"/>
                <w:lang w:eastAsia="zh-CN"/>
              </w:rPr>
            </w:pPr>
            <w:r w:rsidRPr="00F37492">
              <w:rPr>
                <w:rFonts w:eastAsia="MS Mincho"/>
                <w:sz w:val="22"/>
                <w:szCs w:val="22"/>
                <w:lang w:eastAsia="zh-CN"/>
              </w:rPr>
              <w:t>37 (22,6)</w:t>
            </w:r>
          </w:p>
        </w:tc>
      </w:tr>
      <w:bookmarkEnd w:id="10"/>
      <w:bookmarkEnd w:id="11"/>
    </w:tbl>
    <w:p w14:paraId="28975FB8" w14:textId="77777777" w:rsidR="00F37492" w:rsidRPr="00F37492" w:rsidRDefault="00F37492" w:rsidP="000A557B">
      <w:pPr>
        <w:jc w:val="both"/>
        <w:rPr>
          <w:rFonts w:eastAsia="MS Mincho"/>
          <w:sz w:val="22"/>
          <w:szCs w:val="22"/>
          <w:u w:val="single"/>
          <w:shd w:val="clear" w:color="auto" w:fill="FFFFFF"/>
          <w:lang w:val="hr-HR" w:eastAsia="sr-Latn-CS"/>
        </w:rPr>
      </w:pPr>
    </w:p>
    <w:p w14:paraId="523FD42F" w14:textId="76933B76" w:rsidR="00F37492" w:rsidRPr="00F37492" w:rsidRDefault="00F37492" w:rsidP="000A557B">
      <w:pPr>
        <w:jc w:val="both"/>
        <w:rPr>
          <w:sz w:val="22"/>
          <w:szCs w:val="22"/>
          <w:lang w:val="hr-HR" w:eastAsia="sr-Latn-CS"/>
        </w:rPr>
      </w:pPr>
      <w:r w:rsidRPr="00F37492">
        <w:rPr>
          <w:sz w:val="22"/>
          <w:szCs w:val="22"/>
          <w:shd w:val="clear" w:color="auto" w:fill="FFFFFF"/>
          <w:lang w:val="hr-HR" w:eastAsia="sr-Latn-CS"/>
        </w:rPr>
        <w:lastRenderedPageBreak/>
        <w:t xml:space="preserve">Ključni sekundarni ishod FFS, pokazao je statistički značajno smanjenje rizika od 63% za lijek Jakavi u odnosu na </w:t>
      </w:r>
      <w:r w:rsidR="00856D01">
        <w:rPr>
          <w:sz w:val="22"/>
          <w:szCs w:val="22"/>
          <w:shd w:val="clear" w:color="auto" w:fill="FFFFFF"/>
          <w:lang w:val="hr-HR" w:eastAsia="sr-Latn-CS"/>
        </w:rPr>
        <w:t>ND</w:t>
      </w:r>
      <w:r w:rsidRPr="00F37492">
        <w:rPr>
          <w:sz w:val="22"/>
          <w:szCs w:val="22"/>
          <w:shd w:val="clear" w:color="auto" w:fill="FFFFFF"/>
          <w:lang w:val="hr-HR" w:eastAsia="sr-Latn-CS"/>
        </w:rPr>
        <w:t>T (HR: 0,370; 95% CI: 0,268</w:t>
      </w:r>
      <w:r w:rsidR="00D11DD7">
        <w:rPr>
          <w:sz w:val="22"/>
          <w:szCs w:val="22"/>
          <w:shd w:val="clear" w:color="auto" w:fill="FFFFFF"/>
          <w:lang w:val="hr-HR" w:eastAsia="sr-Latn-CS"/>
        </w:rPr>
        <w:t>;</w:t>
      </w:r>
      <w:r w:rsidRPr="00F37492">
        <w:rPr>
          <w:sz w:val="22"/>
          <w:szCs w:val="22"/>
          <w:shd w:val="clear" w:color="auto" w:fill="FFFFFF"/>
          <w:lang w:val="hr-HR" w:eastAsia="sr-Latn-CS"/>
        </w:rPr>
        <w:t xml:space="preserve"> 0,510</w:t>
      </w:r>
      <w:r w:rsidR="00D11DD7">
        <w:rPr>
          <w:sz w:val="22"/>
          <w:szCs w:val="22"/>
          <w:shd w:val="clear" w:color="auto" w:fill="FFFFFF"/>
          <w:lang w:val="hr-HR" w:eastAsia="sr-Latn-CS"/>
        </w:rPr>
        <w:t>;</w:t>
      </w:r>
      <w:r w:rsidRPr="00F37492">
        <w:rPr>
          <w:sz w:val="22"/>
          <w:szCs w:val="22"/>
          <w:shd w:val="clear" w:color="auto" w:fill="FFFFFF"/>
          <w:lang w:val="hr-HR" w:eastAsia="sr-Latn-CS"/>
        </w:rPr>
        <w:t xml:space="preserve"> p&lt;</w:t>
      </w:r>
      <w:r w:rsidR="00856D01">
        <w:rPr>
          <w:sz w:val="22"/>
          <w:szCs w:val="22"/>
          <w:shd w:val="clear" w:color="auto" w:fill="FFFFFF"/>
          <w:lang w:val="hr-HR" w:eastAsia="sr-Latn-CS"/>
        </w:rPr>
        <w:t xml:space="preserve"> </w:t>
      </w:r>
      <w:r w:rsidRPr="00F37492">
        <w:rPr>
          <w:sz w:val="22"/>
          <w:szCs w:val="22"/>
          <w:shd w:val="clear" w:color="auto" w:fill="FFFFFF"/>
          <w:lang w:val="hr-HR" w:eastAsia="sr-Latn-CS"/>
        </w:rPr>
        <w:t xml:space="preserve">0,0001). Nakon 6 mjeseci, većina FFS događaja bila je „dodavanje ili uvođenje druge sistemske terapije za hronični GvHD“ (vjerovatnoća tog događaja bila je 13,4% za Jakavi grupu u odnosu na 48,5% za </w:t>
      </w:r>
      <w:r w:rsidR="00856D01">
        <w:rPr>
          <w:sz w:val="22"/>
          <w:szCs w:val="22"/>
          <w:shd w:val="clear" w:color="auto" w:fill="FFFFFF"/>
          <w:lang w:val="hr-HR" w:eastAsia="sr-Latn-CS"/>
        </w:rPr>
        <w:t>ND</w:t>
      </w:r>
      <w:r w:rsidRPr="00F37492">
        <w:rPr>
          <w:sz w:val="22"/>
          <w:szCs w:val="22"/>
          <w:shd w:val="clear" w:color="auto" w:fill="FFFFFF"/>
          <w:lang w:val="hr-HR" w:eastAsia="sr-Latn-CS"/>
        </w:rPr>
        <w:t xml:space="preserve">T grupu). Rezultati za „relaps osnovne bolesti“ i mortalitet bez relapsa (NRM) bili su 2,46% naspram 2,57% i 9,19% naspram 4,46%, u Jakavi grupi odnosno </w:t>
      </w:r>
      <w:r w:rsidR="00856D01">
        <w:rPr>
          <w:sz w:val="22"/>
          <w:szCs w:val="22"/>
          <w:shd w:val="clear" w:color="auto" w:fill="FFFFFF"/>
          <w:lang w:val="hr-HR" w:eastAsia="sr-Latn-CS"/>
        </w:rPr>
        <w:t>ND</w:t>
      </w:r>
      <w:r w:rsidRPr="00F37492">
        <w:rPr>
          <w:sz w:val="22"/>
          <w:szCs w:val="22"/>
          <w:shd w:val="clear" w:color="auto" w:fill="FFFFFF"/>
          <w:lang w:val="hr-HR" w:eastAsia="sr-Latn-CS"/>
        </w:rPr>
        <w:t>T grupi.</w:t>
      </w:r>
      <w:r w:rsidRPr="00F37492">
        <w:rPr>
          <w:sz w:val="22"/>
          <w:szCs w:val="22"/>
          <w:lang w:val="sr-Latn-ME" w:eastAsia="sr-Latn-ME"/>
        </w:rPr>
        <w:t xml:space="preserve"> </w:t>
      </w:r>
      <w:r w:rsidRPr="00F37492">
        <w:rPr>
          <w:sz w:val="22"/>
          <w:szCs w:val="22"/>
          <w:shd w:val="clear" w:color="auto" w:fill="FFFFFF"/>
          <w:lang w:val="hr-HR" w:eastAsia="sr-Latn-CS"/>
        </w:rPr>
        <w:t>Gledajući samo NRM nije primijećena razlika u kumulativnim incidencama između terapijskih grupa.</w:t>
      </w:r>
    </w:p>
    <w:p w14:paraId="75BBEDB5" w14:textId="77777777" w:rsidR="00F37492" w:rsidRPr="00F37492" w:rsidRDefault="00F37492" w:rsidP="000A557B">
      <w:pPr>
        <w:jc w:val="both"/>
        <w:rPr>
          <w:sz w:val="22"/>
          <w:szCs w:val="22"/>
          <w:u w:val="single"/>
          <w:lang w:val="hr-HR" w:eastAsia="sr-Latn-CS"/>
        </w:rPr>
      </w:pPr>
    </w:p>
    <w:p w14:paraId="459B2267" w14:textId="77777777" w:rsidR="00F37492" w:rsidRPr="00F37492" w:rsidRDefault="00F37492" w:rsidP="000A557B">
      <w:pPr>
        <w:jc w:val="both"/>
        <w:rPr>
          <w:rFonts w:cs="Arial Unicode MS"/>
          <w:sz w:val="22"/>
          <w:szCs w:val="22"/>
          <w:lang w:val="hr-HR" w:eastAsia="sr-Latn-ME"/>
        </w:rPr>
      </w:pPr>
      <w:r w:rsidRPr="00F37492">
        <w:rPr>
          <w:sz w:val="22"/>
          <w:szCs w:val="22"/>
          <w:u w:val="single"/>
          <w:lang w:val="hr-HR" w:eastAsia="sr-Latn-CS"/>
        </w:rPr>
        <w:t>Pedijatrijska populacija</w:t>
      </w:r>
    </w:p>
    <w:p w14:paraId="13602D51" w14:textId="12C395A4" w:rsidR="00374BED" w:rsidRPr="00374BED" w:rsidRDefault="00F37492" w:rsidP="00374BED">
      <w:pPr>
        <w:jc w:val="both"/>
        <w:rPr>
          <w:sz w:val="22"/>
          <w:szCs w:val="22"/>
          <w:lang w:val="hr-HR" w:eastAsia="sr-Latn-CS"/>
        </w:rPr>
      </w:pPr>
      <w:r w:rsidRPr="00F37492">
        <w:rPr>
          <w:sz w:val="22"/>
          <w:szCs w:val="22"/>
          <w:lang w:val="hr-HR" w:eastAsia="sr-Latn-CS"/>
        </w:rPr>
        <w:t>Evropska agencija za ljekove se odriče obaveze podnošenja rezultata ispitivanja sa lijekom Jakavi u svim podgrupama pedijatrijske populacije za liječenje MF i PV.</w:t>
      </w:r>
      <w:r w:rsidRPr="00F37492">
        <w:rPr>
          <w:sz w:val="22"/>
          <w:szCs w:val="22"/>
        </w:rPr>
        <w:t xml:space="preserve"> Kod pedijatrijskih pacijenata sa GvHD</w:t>
      </w:r>
      <w:r w:rsidR="00374BED" w:rsidRPr="00374BED">
        <w:rPr>
          <w:iCs/>
          <w:sz w:val="22"/>
          <w:szCs w:val="22"/>
          <w:lang w:val="hr-HR"/>
        </w:rPr>
        <w:t xml:space="preserve"> starijih od 2 godine</w:t>
      </w:r>
      <w:r w:rsidRPr="00F37492">
        <w:rPr>
          <w:sz w:val="22"/>
          <w:szCs w:val="22"/>
        </w:rPr>
        <w:t>, bezbjednost i efikasnost lijeka Jakavi podržani su dokazima iz randomizovanih studija faze 3 REACH2 i REACH3</w:t>
      </w:r>
      <w:r w:rsidRPr="00F37492">
        <w:rPr>
          <w:sz w:val="22"/>
          <w:szCs w:val="22"/>
          <w:lang w:val="hr-HR" w:eastAsia="sr-Latn-CS"/>
        </w:rPr>
        <w:t xml:space="preserve"> </w:t>
      </w:r>
      <w:r w:rsidR="00374BED" w:rsidRPr="00374BED">
        <w:rPr>
          <w:iCs/>
          <w:sz w:val="22"/>
          <w:szCs w:val="22"/>
          <w:lang w:val="hr-HR" w:eastAsia="sr-Latn-CS"/>
        </w:rPr>
        <w:t>i iz otvorenih ispitivanja faze 2 sa jednom grupom, REACH4 i REACH5</w:t>
      </w:r>
      <w:r w:rsidR="00374BED" w:rsidRPr="00374BED">
        <w:rPr>
          <w:sz w:val="22"/>
          <w:szCs w:val="22"/>
          <w:lang w:val="hr-HR" w:eastAsia="sr-Latn-CS"/>
        </w:rPr>
        <w:t xml:space="preserve"> </w:t>
      </w:r>
      <w:r w:rsidRPr="00F37492">
        <w:rPr>
          <w:sz w:val="22"/>
          <w:szCs w:val="22"/>
          <w:lang w:val="hr-HR" w:eastAsia="sr-Latn-CS"/>
        </w:rPr>
        <w:t xml:space="preserve">(vidjeti </w:t>
      </w:r>
      <w:r w:rsidR="00856D01">
        <w:rPr>
          <w:sz w:val="22"/>
          <w:szCs w:val="22"/>
          <w:lang w:val="hr-HR" w:eastAsia="sr-Latn-CS"/>
        </w:rPr>
        <w:t xml:space="preserve">dio </w:t>
      </w:r>
      <w:r w:rsidRPr="00F37492">
        <w:rPr>
          <w:sz w:val="22"/>
          <w:szCs w:val="22"/>
          <w:lang w:val="hr-HR" w:eastAsia="sr-Latn-CS"/>
        </w:rPr>
        <w:t>4.2 za informacije o upotrebi u pedijatriji).</w:t>
      </w:r>
      <w:r w:rsidR="00374BED" w:rsidRPr="00374BED">
        <w:rPr>
          <w:iCs/>
          <w:sz w:val="22"/>
          <w:szCs w:val="22"/>
          <w:lang w:val="hr-HR"/>
        </w:rPr>
        <w:t xml:space="preserve"> </w:t>
      </w:r>
      <w:r w:rsidR="00374BED" w:rsidRPr="00374BED">
        <w:rPr>
          <w:iCs/>
          <w:sz w:val="22"/>
          <w:szCs w:val="22"/>
          <w:lang w:val="hr-HR" w:eastAsia="sr-Latn-CS"/>
        </w:rPr>
        <w:t>Dizajn sa jednom grupom ne izdvaja doprinos ruksolitiniba ukupnoj efikasnosti.</w:t>
      </w:r>
    </w:p>
    <w:p w14:paraId="6B83A7C0" w14:textId="6BB728C8" w:rsidR="00F37492" w:rsidRPr="00F37492" w:rsidRDefault="00F37492" w:rsidP="000A557B">
      <w:pPr>
        <w:tabs>
          <w:tab w:val="left" w:pos="284"/>
          <w:tab w:val="center" w:pos="4320"/>
          <w:tab w:val="right" w:pos="8640"/>
        </w:tabs>
        <w:jc w:val="both"/>
        <w:rPr>
          <w:sz w:val="22"/>
          <w:szCs w:val="22"/>
          <w:lang w:val="hr-HR" w:eastAsia="sr-Latn-CS"/>
        </w:rPr>
      </w:pPr>
    </w:p>
    <w:p w14:paraId="2F32EAF1" w14:textId="77777777" w:rsidR="00374BED" w:rsidRPr="00374BED" w:rsidRDefault="00374BED" w:rsidP="00374BED">
      <w:pPr>
        <w:keepNext/>
        <w:tabs>
          <w:tab w:val="left" w:pos="284"/>
        </w:tabs>
        <w:jc w:val="both"/>
        <w:rPr>
          <w:color w:val="000000"/>
          <w:sz w:val="22"/>
          <w:szCs w:val="22"/>
          <w:u w:val="single"/>
          <w:lang w:val="hr-HR"/>
        </w:rPr>
      </w:pPr>
      <w:r w:rsidRPr="00374BED">
        <w:rPr>
          <w:i/>
          <w:iCs/>
          <w:color w:val="000000"/>
          <w:sz w:val="22"/>
          <w:szCs w:val="22"/>
          <w:u w:val="single"/>
          <w:lang w:val="hr-HR"/>
        </w:rPr>
        <w:t>Akutna bolest kalema protiv domaćina</w:t>
      </w:r>
    </w:p>
    <w:p w14:paraId="4F6BEBC1" w14:textId="3D9EF446" w:rsidR="00374BED" w:rsidRPr="00374BED" w:rsidRDefault="00374BED" w:rsidP="00374BED">
      <w:pPr>
        <w:tabs>
          <w:tab w:val="left" w:pos="284"/>
          <w:tab w:val="left" w:pos="708"/>
        </w:tabs>
        <w:jc w:val="both"/>
        <w:rPr>
          <w:color w:val="000000"/>
          <w:sz w:val="22"/>
          <w:szCs w:val="22"/>
          <w:lang w:val="hr-HR"/>
        </w:rPr>
      </w:pPr>
      <w:r w:rsidRPr="00374BED">
        <w:rPr>
          <w:color w:val="000000"/>
          <w:sz w:val="22"/>
          <w:szCs w:val="22"/>
          <w:lang w:val="hr-HR"/>
        </w:rPr>
        <w:t>U ispitivanju REACH4, 45 pedijatrijskih pacijenata sa akutnim GvHD stepena II do IV je l</w:t>
      </w:r>
      <w:r w:rsidR="00DD0118">
        <w:rPr>
          <w:color w:val="000000"/>
          <w:sz w:val="22"/>
          <w:szCs w:val="22"/>
          <w:lang w:val="hr-HR"/>
        </w:rPr>
        <w:t>ij</w:t>
      </w:r>
      <w:r w:rsidRPr="00374BED">
        <w:rPr>
          <w:color w:val="000000"/>
          <w:sz w:val="22"/>
          <w:szCs w:val="22"/>
          <w:lang w:val="hr-HR"/>
        </w:rPr>
        <w:t>ečeno l</w:t>
      </w:r>
      <w:r w:rsidR="00DD0118">
        <w:rPr>
          <w:color w:val="000000"/>
          <w:sz w:val="22"/>
          <w:szCs w:val="22"/>
          <w:lang w:val="hr-HR"/>
        </w:rPr>
        <w:t>ij</w:t>
      </w:r>
      <w:r w:rsidRPr="00374BED">
        <w:rPr>
          <w:color w:val="000000"/>
          <w:sz w:val="22"/>
          <w:szCs w:val="22"/>
          <w:lang w:val="hr-HR"/>
        </w:rPr>
        <w:t>ekom Jakavi i kortikosteroidima +/- CNI da bi se proc</w:t>
      </w:r>
      <w:r w:rsidR="00DD0118">
        <w:rPr>
          <w:color w:val="000000"/>
          <w:sz w:val="22"/>
          <w:szCs w:val="22"/>
          <w:lang w:val="hr-HR"/>
        </w:rPr>
        <w:t>ij</w:t>
      </w:r>
      <w:r w:rsidRPr="00374BED">
        <w:rPr>
          <w:color w:val="000000"/>
          <w:sz w:val="22"/>
          <w:szCs w:val="22"/>
          <w:lang w:val="hr-HR"/>
        </w:rPr>
        <w:t>enile bezb</w:t>
      </w:r>
      <w:r w:rsidR="00DD0118">
        <w:rPr>
          <w:color w:val="000000"/>
          <w:sz w:val="22"/>
          <w:szCs w:val="22"/>
          <w:lang w:val="hr-HR"/>
        </w:rPr>
        <w:t>j</w:t>
      </w:r>
      <w:r w:rsidRPr="00374BED">
        <w:rPr>
          <w:color w:val="000000"/>
          <w:sz w:val="22"/>
          <w:szCs w:val="22"/>
          <w:lang w:val="hr-HR"/>
        </w:rPr>
        <w:t>ednost, efikasnost i farmakokinetika l</w:t>
      </w:r>
      <w:r w:rsidR="00DD0118">
        <w:rPr>
          <w:color w:val="000000"/>
          <w:sz w:val="22"/>
          <w:szCs w:val="22"/>
          <w:lang w:val="hr-HR"/>
        </w:rPr>
        <w:t>ij</w:t>
      </w:r>
      <w:r w:rsidRPr="00374BED">
        <w:rPr>
          <w:color w:val="000000"/>
          <w:sz w:val="22"/>
          <w:szCs w:val="22"/>
          <w:lang w:val="hr-HR"/>
        </w:rPr>
        <w:t>eka Jakavi. Pacijenti su bili uključeni u 4 grupe na osnovu uzrasta (grupa 1 [≥ 12 godina do &lt; 18 godina, N</w:t>
      </w:r>
      <w:r w:rsidRPr="00374BED">
        <w:rPr>
          <w:sz w:val="22"/>
          <w:szCs w:val="22"/>
          <w:lang w:val="hr-HR"/>
        </w:rPr>
        <w:t> </w:t>
      </w:r>
      <w:r w:rsidRPr="00374BED">
        <w:rPr>
          <w:color w:val="000000"/>
          <w:sz w:val="22"/>
          <w:szCs w:val="22"/>
          <w:lang w:val="hr-HR"/>
        </w:rPr>
        <w:t>=</w:t>
      </w:r>
      <w:r w:rsidRPr="00374BED">
        <w:rPr>
          <w:sz w:val="22"/>
          <w:szCs w:val="22"/>
          <w:lang w:val="hr-HR"/>
        </w:rPr>
        <w:t> </w:t>
      </w:r>
      <w:r w:rsidRPr="00374BED">
        <w:rPr>
          <w:color w:val="000000"/>
          <w:sz w:val="22"/>
          <w:szCs w:val="22"/>
          <w:lang w:val="hr-HR"/>
        </w:rPr>
        <w:t>18], grupa 2 [≥ 6 godina do &lt; 12 godina, N = 12], grupa 3 [≥ 2 godine do &lt; 6 godina, N = 15] i grupa 4 [≥ 28 dana do &lt; 2 godine, N = 0]). Ispitivane doze su bile 10 mg dva puta na dan za grupu 1, 5 mg dva puta na dan za grupu 2 i 4 mg/m</w:t>
      </w:r>
      <w:r w:rsidRPr="00374BED">
        <w:rPr>
          <w:color w:val="000000"/>
          <w:sz w:val="22"/>
          <w:szCs w:val="22"/>
          <w:vertAlign w:val="superscript"/>
          <w:lang w:val="hr-HR"/>
        </w:rPr>
        <w:t>2</w:t>
      </w:r>
      <w:r w:rsidRPr="00374BED">
        <w:rPr>
          <w:color w:val="000000"/>
          <w:sz w:val="22"/>
          <w:szCs w:val="22"/>
          <w:lang w:val="hr-HR"/>
        </w:rPr>
        <w:t xml:space="preserve"> dva puta na dan za grupu 3, a pacijenti su l</w:t>
      </w:r>
      <w:r w:rsidR="00DD0118">
        <w:rPr>
          <w:color w:val="000000"/>
          <w:sz w:val="22"/>
          <w:szCs w:val="22"/>
          <w:lang w:val="hr-HR"/>
        </w:rPr>
        <w:t>ij</w:t>
      </w:r>
      <w:r w:rsidRPr="00374BED">
        <w:rPr>
          <w:color w:val="000000"/>
          <w:sz w:val="22"/>
          <w:szCs w:val="22"/>
          <w:lang w:val="hr-HR"/>
        </w:rPr>
        <w:t>ečeni 24 ned</w:t>
      </w:r>
      <w:r w:rsidR="00DD0118">
        <w:rPr>
          <w:color w:val="000000"/>
          <w:sz w:val="22"/>
          <w:szCs w:val="22"/>
          <w:lang w:val="hr-HR"/>
        </w:rPr>
        <w:t>j</w:t>
      </w:r>
      <w:r w:rsidRPr="00374BED">
        <w:rPr>
          <w:color w:val="000000"/>
          <w:sz w:val="22"/>
          <w:szCs w:val="22"/>
          <w:lang w:val="hr-HR"/>
        </w:rPr>
        <w:t>elje ili do obustave l</w:t>
      </w:r>
      <w:r w:rsidR="00DD0118">
        <w:rPr>
          <w:color w:val="000000"/>
          <w:sz w:val="22"/>
          <w:szCs w:val="22"/>
          <w:lang w:val="hr-HR"/>
        </w:rPr>
        <w:t>ij</w:t>
      </w:r>
      <w:r w:rsidRPr="00374BED">
        <w:rPr>
          <w:color w:val="000000"/>
          <w:sz w:val="22"/>
          <w:szCs w:val="22"/>
          <w:lang w:val="hr-HR"/>
        </w:rPr>
        <w:t>ečenja. L</w:t>
      </w:r>
      <w:r w:rsidR="00DD0118">
        <w:rPr>
          <w:color w:val="000000"/>
          <w:sz w:val="22"/>
          <w:szCs w:val="22"/>
          <w:lang w:val="hr-HR"/>
        </w:rPr>
        <w:t>ij</w:t>
      </w:r>
      <w:r w:rsidRPr="00374BED">
        <w:rPr>
          <w:color w:val="000000"/>
          <w:sz w:val="22"/>
          <w:szCs w:val="22"/>
          <w:lang w:val="hr-HR"/>
        </w:rPr>
        <w:t>ek Jakavi se prim</w:t>
      </w:r>
      <w:r w:rsidR="00DD0118">
        <w:rPr>
          <w:color w:val="000000"/>
          <w:sz w:val="22"/>
          <w:szCs w:val="22"/>
          <w:lang w:val="hr-HR"/>
        </w:rPr>
        <w:t>j</w:t>
      </w:r>
      <w:r w:rsidRPr="00374BED">
        <w:rPr>
          <w:color w:val="000000"/>
          <w:sz w:val="22"/>
          <w:szCs w:val="22"/>
          <w:lang w:val="hr-HR"/>
        </w:rPr>
        <w:t>enjivao kao tableta od 5 mg ili kao kapsula/oralna suspenzija za pedijatrijske pacijente uzrasta &lt; 12 godina.</w:t>
      </w:r>
    </w:p>
    <w:p w14:paraId="7A401A89" w14:textId="77777777" w:rsidR="00374BED" w:rsidRPr="00374BED" w:rsidRDefault="00374BED" w:rsidP="00374BED">
      <w:pPr>
        <w:tabs>
          <w:tab w:val="left" w:pos="284"/>
          <w:tab w:val="left" w:pos="708"/>
        </w:tabs>
        <w:jc w:val="both"/>
        <w:rPr>
          <w:color w:val="000000"/>
          <w:sz w:val="22"/>
          <w:szCs w:val="22"/>
          <w:lang w:val="hr-HR"/>
        </w:rPr>
      </w:pPr>
    </w:p>
    <w:p w14:paraId="0846E84B" w14:textId="57EB3E69" w:rsidR="00374BED" w:rsidRPr="00374BED" w:rsidRDefault="00374BED" w:rsidP="00374BED">
      <w:pPr>
        <w:tabs>
          <w:tab w:val="left" w:pos="284"/>
          <w:tab w:val="left" w:pos="708"/>
        </w:tabs>
        <w:jc w:val="both"/>
        <w:rPr>
          <w:color w:val="000000"/>
          <w:sz w:val="22"/>
          <w:lang w:val="hr-HR"/>
        </w:rPr>
      </w:pPr>
      <w:r w:rsidRPr="00374BED">
        <w:rPr>
          <w:color w:val="000000"/>
          <w:sz w:val="22"/>
          <w:lang w:val="hr-HR" w:eastAsia="de-CH"/>
        </w:rPr>
        <w:t>Pacijenti su bili uključeni sa statusom bolesti refraktorne na steroide ili prethodno neliječene bolesti. Pacije</w:t>
      </w:r>
      <w:r w:rsidR="00222666">
        <w:rPr>
          <w:color w:val="000000"/>
          <w:sz w:val="22"/>
          <w:lang w:val="hr-HR" w:eastAsia="de-CH"/>
        </w:rPr>
        <w:t>n</w:t>
      </w:r>
      <w:r w:rsidRPr="00374BED">
        <w:rPr>
          <w:color w:val="000000"/>
          <w:sz w:val="22"/>
          <w:lang w:val="hr-HR" w:eastAsia="de-CH"/>
        </w:rPr>
        <w:t>ti su se smatrali refraktornim na steroide prema institucionalnim kriteri</w:t>
      </w:r>
      <w:r w:rsidR="00222666">
        <w:rPr>
          <w:color w:val="000000"/>
          <w:sz w:val="22"/>
          <w:lang w:val="hr-HR" w:eastAsia="de-CH"/>
        </w:rPr>
        <w:t>u</w:t>
      </w:r>
      <w:r w:rsidRPr="00374BED">
        <w:rPr>
          <w:color w:val="000000"/>
          <w:sz w:val="22"/>
          <w:lang w:val="hr-HR" w:eastAsia="de-CH"/>
        </w:rPr>
        <w:t>im</w:t>
      </w:r>
      <w:r w:rsidR="00222666">
        <w:rPr>
          <w:color w:val="000000"/>
          <w:sz w:val="22"/>
          <w:lang w:val="hr-HR" w:eastAsia="de-CH"/>
        </w:rPr>
        <w:t>im</w:t>
      </w:r>
      <w:r w:rsidRPr="00374BED">
        <w:rPr>
          <w:color w:val="000000"/>
          <w:sz w:val="22"/>
          <w:lang w:val="hr-HR" w:eastAsia="de-CH"/>
        </w:rPr>
        <w:t>a ili prema odluci l</w:t>
      </w:r>
      <w:r w:rsidR="00DD0118">
        <w:rPr>
          <w:color w:val="000000"/>
          <w:sz w:val="22"/>
          <w:lang w:val="hr-HR" w:eastAsia="de-CH"/>
        </w:rPr>
        <w:t>j</w:t>
      </w:r>
      <w:r w:rsidRPr="00374BED">
        <w:rPr>
          <w:color w:val="000000"/>
          <w:sz w:val="22"/>
          <w:lang w:val="hr-HR" w:eastAsia="de-CH"/>
        </w:rPr>
        <w:t>ekara u slučaju da institucionalni kriterijumi ni</w:t>
      </w:r>
      <w:r w:rsidR="00222666">
        <w:rPr>
          <w:color w:val="000000"/>
          <w:sz w:val="22"/>
          <w:lang w:val="hr-HR" w:eastAsia="de-CH"/>
        </w:rPr>
        <w:t>je</w:t>
      </w:r>
      <w:r w:rsidRPr="00374BED">
        <w:rPr>
          <w:color w:val="000000"/>
          <w:sz w:val="22"/>
          <w:lang w:val="hr-HR" w:eastAsia="de-CH"/>
        </w:rPr>
        <w:t xml:space="preserve">su bili dostupni </w:t>
      </w:r>
      <w:r w:rsidRPr="00374BED">
        <w:rPr>
          <w:color w:val="000000"/>
          <w:sz w:val="22"/>
          <w:szCs w:val="22"/>
          <w:lang w:val="hr-HR" w:eastAsia="de-CH"/>
        </w:rPr>
        <w:t xml:space="preserve">te im je bilo dopušteno </w:t>
      </w:r>
      <w:r w:rsidRPr="00374BED">
        <w:rPr>
          <w:color w:val="000000"/>
          <w:sz w:val="22"/>
          <w:lang w:val="hr-HR" w:eastAsia="de-CH"/>
        </w:rPr>
        <w:t>najviše jedno dodatno prethodno sistemsko l</w:t>
      </w:r>
      <w:r w:rsidR="00DD0118">
        <w:rPr>
          <w:color w:val="000000"/>
          <w:sz w:val="22"/>
          <w:lang w:val="hr-HR" w:eastAsia="de-CH"/>
        </w:rPr>
        <w:t>ij</w:t>
      </w:r>
      <w:r w:rsidRPr="00374BED">
        <w:rPr>
          <w:color w:val="000000"/>
          <w:sz w:val="22"/>
          <w:lang w:val="hr-HR" w:eastAsia="de-CH"/>
        </w:rPr>
        <w:t>ečenje akutnog GvHD uz kortikosteroide. Smatralo se da pacije</w:t>
      </w:r>
      <w:r w:rsidR="00222666">
        <w:rPr>
          <w:color w:val="000000"/>
          <w:sz w:val="22"/>
          <w:lang w:val="hr-HR" w:eastAsia="de-CH"/>
        </w:rPr>
        <w:t>n</w:t>
      </w:r>
      <w:r w:rsidRPr="00374BED">
        <w:rPr>
          <w:color w:val="000000"/>
          <w:sz w:val="22"/>
          <w:lang w:val="hr-HR" w:eastAsia="de-CH"/>
        </w:rPr>
        <w:t>ti prethodno ni</w:t>
      </w:r>
      <w:r w:rsidR="00222666">
        <w:rPr>
          <w:color w:val="000000"/>
          <w:sz w:val="22"/>
          <w:lang w:val="hr-HR" w:eastAsia="de-CH"/>
        </w:rPr>
        <w:t>je</w:t>
      </w:r>
      <w:r w:rsidRPr="00374BED">
        <w:rPr>
          <w:color w:val="000000"/>
          <w:sz w:val="22"/>
          <w:lang w:val="hr-HR" w:eastAsia="de-CH"/>
        </w:rPr>
        <w:t>su bili l</w:t>
      </w:r>
      <w:r w:rsidR="00DD0118">
        <w:rPr>
          <w:color w:val="000000"/>
          <w:sz w:val="22"/>
          <w:lang w:val="hr-HR" w:eastAsia="de-CH"/>
        </w:rPr>
        <w:t>ij</w:t>
      </w:r>
      <w:r w:rsidRPr="00374BED">
        <w:rPr>
          <w:color w:val="000000"/>
          <w:sz w:val="22"/>
          <w:lang w:val="hr-HR" w:eastAsia="de-CH"/>
        </w:rPr>
        <w:t>ečeni ako prije toga ni</w:t>
      </w:r>
      <w:r w:rsidR="00222666">
        <w:rPr>
          <w:color w:val="000000"/>
          <w:sz w:val="22"/>
          <w:lang w:val="hr-HR" w:eastAsia="de-CH"/>
        </w:rPr>
        <w:t>je</w:t>
      </w:r>
      <w:r w:rsidRPr="00374BED">
        <w:rPr>
          <w:color w:val="000000"/>
          <w:sz w:val="22"/>
          <w:lang w:val="hr-HR" w:eastAsia="de-CH"/>
        </w:rPr>
        <w:t xml:space="preserve">su primili nikakvu sistemsku terapiju za akutni GvHD (osim prethodne sistemske kortikosteroidne terapije metilprednizolonom ili ekvivalentom </w:t>
      </w:r>
      <w:r w:rsidRPr="00374BED">
        <w:rPr>
          <w:color w:val="000000"/>
          <w:sz w:val="22"/>
          <w:szCs w:val="22"/>
          <w:lang w:val="hr-HR" w:eastAsia="de-CH"/>
        </w:rPr>
        <w:t xml:space="preserve">tokom najviše 72 sata </w:t>
      </w:r>
      <w:r w:rsidRPr="00374BED">
        <w:rPr>
          <w:color w:val="000000"/>
          <w:sz w:val="22"/>
          <w:lang w:val="hr-HR" w:eastAsia="de-CH"/>
        </w:rPr>
        <w:t>nakon pojave akutnog GvHD).</w:t>
      </w:r>
      <w:r w:rsidRPr="00374BED">
        <w:rPr>
          <w:color w:val="000000"/>
          <w:sz w:val="22"/>
          <w:lang w:val="hr-HR"/>
        </w:rPr>
        <w:t xml:space="preserve"> Uz l</w:t>
      </w:r>
      <w:r w:rsidR="00DD0118">
        <w:rPr>
          <w:color w:val="000000"/>
          <w:sz w:val="22"/>
          <w:lang w:val="hr-HR"/>
        </w:rPr>
        <w:t>ij</w:t>
      </w:r>
      <w:r w:rsidRPr="00374BED">
        <w:rPr>
          <w:color w:val="000000"/>
          <w:sz w:val="22"/>
          <w:lang w:val="hr-HR"/>
        </w:rPr>
        <w:t>ek Jakavi, pacije</w:t>
      </w:r>
      <w:r w:rsidR="00222666">
        <w:rPr>
          <w:color w:val="000000"/>
          <w:sz w:val="22"/>
          <w:lang w:val="hr-HR"/>
        </w:rPr>
        <w:t>n</w:t>
      </w:r>
      <w:r w:rsidRPr="00374BED">
        <w:rPr>
          <w:color w:val="000000"/>
          <w:sz w:val="22"/>
          <w:lang w:val="hr-HR"/>
        </w:rPr>
        <w:t>ti su bili l</w:t>
      </w:r>
      <w:r w:rsidR="00DD0118">
        <w:rPr>
          <w:color w:val="000000"/>
          <w:sz w:val="22"/>
          <w:lang w:val="hr-HR"/>
        </w:rPr>
        <w:t>ij</w:t>
      </w:r>
      <w:r w:rsidRPr="00374BED">
        <w:rPr>
          <w:color w:val="000000"/>
          <w:sz w:val="22"/>
          <w:lang w:val="hr-HR"/>
        </w:rPr>
        <w:t>ečeni sistemskim kortikosteroidima i/ili CNI (ciklosporinom ili takrolimusom), a terapije topikalnim kortikosteroidima su takođe bile dopuštene prema institucionalnim sm</w:t>
      </w:r>
      <w:r w:rsidR="00DD0118">
        <w:rPr>
          <w:color w:val="000000"/>
          <w:sz w:val="22"/>
          <w:lang w:val="hr-HR"/>
        </w:rPr>
        <w:t>j</w:t>
      </w:r>
      <w:r w:rsidRPr="00374BED">
        <w:rPr>
          <w:color w:val="000000"/>
          <w:sz w:val="22"/>
          <w:lang w:val="hr-HR"/>
        </w:rPr>
        <w:t>ernicama. U ispitivanju REACH4, 40 pacijenata (88,9%) istovremeno su primala CNI. Pacije</w:t>
      </w:r>
      <w:r w:rsidR="00DD0118">
        <w:rPr>
          <w:color w:val="000000"/>
          <w:sz w:val="22"/>
          <w:lang w:val="hr-HR"/>
        </w:rPr>
        <w:t>n</w:t>
      </w:r>
      <w:r w:rsidRPr="00374BED">
        <w:rPr>
          <w:color w:val="000000"/>
          <w:sz w:val="22"/>
          <w:lang w:val="hr-HR"/>
        </w:rPr>
        <w:t>ti su takođe mogli da primaju standardnu palijativnu n</w:t>
      </w:r>
      <w:r w:rsidR="00DD0118">
        <w:rPr>
          <w:color w:val="000000"/>
          <w:sz w:val="22"/>
          <w:lang w:val="hr-HR"/>
        </w:rPr>
        <w:t>j</w:t>
      </w:r>
      <w:r w:rsidRPr="00374BED">
        <w:rPr>
          <w:color w:val="000000"/>
          <w:sz w:val="22"/>
          <w:lang w:val="hr-HR"/>
        </w:rPr>
        <w:t>egu za alogenu transplantaciju matičnih ćelija, uključujući antiinfektivne l</w:t>
      </w:r>
      <w:r w:rsidR="00DD0118">
        <w:rPr>
          <w:color w:val="000000"/>
          <w:sz w:val="22"/>
          <w:lang w:val="hr-HR"/>
        </w:rPr>
        <w:t>j</w:t>
      </w:r>
      <w:r w:rsidRPr="00374BED">
        <w:rPr>
          <w:color w:val="000000"/>
          <w:sz w:val="22"/>
          <w:lang w:val="hr-HR"/>
        </w:rPr>
        <w:t>ekove i transfuziju. Prim</w:t>
      </w:r>
      <w:r w:rsidR="00DD0118">
        <w:rPr>
          <w:color w:val="000000"/>
          <w:sz w:val="22"/>
          <w:lang w:val="hr-HR"/>
        </w:rPr>
        <w:t>j</w:t>
      </w:r>
      <w:r w:rsidRPr="00374BED">
        <w:rPr>
          <w:color w:val="000000"/>
          <w:sz w:val="22"/>
          <w:lang w:val="hr-HR"/>
        </w:rPr>
        <w:t>enu l</w:t>
      </w:r>
      <w:r w:rsidR="00DD0118">
        <w:rPr>
          <w:color w:val="000000"/>
          <w:sz w:val="22"/>
          <w:lang w:val="hr-HR"/>
        </w:rPr>
        <w:t>ij</w:t>
      </w:r>
      <w:r w:rsidRPr="00374BED">
        <w:rPr>
          <w:color w:val="000000"/>
          <w:sz w:val="22"/>
          <w:lang w:val="hr-HR"/>
        </w:rPr>
        <w:t>eka Jakavi je trebalo prekinuti u slučaju izostanka odgovora na l</w:t>
      </w:r>
      <w:r w:rsidR="00DD0118">
        <w:rPr>
          <w:color w:val="000000"/>
          <w:sz w:val="22"/>
          <w:lang w:val="hr-HR"/>
        </w:rPr>
        <w:t>ij</w:t>
      </w:r>
      <w:r w:rsidRPr="00374BED">
        <w:rPr>
          <w:color w:val="000000"/>
          <w:sz w:val="22"/>
          <w:lang w:val="hr-HR"/>
        </w:rPr>
        <w:t>ečenje akutnog GvHD do 28. dana.</w:t>
      </w:r>
    </w:p>
    <w:p w14:paraId="234A35BA" w14:textId="77777777" w:rsidR="00374BED" w:rsidRPr="00374BED" w:rsidRDefault="00374BED" w:rsidP="00374BED">
      <w:pPr>
        <w:tabs>
          <w:tab w:val="left" w:pos="284"/>
          <w:tab w:val="left" w:pos="708"/>
        </w:tabs>
        <w:jc w:val="both"/>
        <w:rPr>
          <w:color w:val="000000"/>
          <w:sz w:val="22"/>
          <w:szCs w:val="22"/>
          <w:lang w:val="hr-HR"/>
        </w:rPr>
      </w:pPr>
    </w:p>
    <w:p w14:paraId="70FBE80D" w14:textId="37A870BC" w:rsidR="00374BED" w:rsidRPr="00374BED" w:rsidRDefault="00374BED" w:rsidP="00374BED">
      <w:pPr>
        <w:tabs>
          <w:tab w:val="left" w:pos="284"/>
          <w:tab w:val="left" w:pos="708"/>
        </w:tabs>
        <w:jc w:val="both"/>
        <w:rPr>
          <w:color w:val="000000"/>
          <w:sz w:val="22"/>
          <w:szCs w:val="22"/>
          <w:lang w:val="hr-HR"/>
        </w:rPr>
      </w:pPr>
      <w:r w:rsidRPr="00374BED">
        <w:rPr>
          <w:sz w:val="22"/>
          <w:lang w:val="hr-HR"/>
        </w:rPr>
        <w:t>Postupno smanjivanje doze l</w:t>
      </w:r>
      <w:r w:rsidR="00DD0118">
        <w:rPr>
          <w:sz w:val="22"/>
          <w:lang w:val="hr-HR"/>
        </w:rPr>
        <w:t>ij</w:t>
      </w:r>
      <w:r w:rsidRPr="00374BED">
        <w:rPr>
          <w:sz w:val="22"/>
          <w:lang w:val="hr-HR"/>
        </w:rPr>
        <w:t>eka Jakavi je bilo dopušteno nakon pos</w:t>
      </w:r>
      <w:r w:rsidR="00DD0118">
        <w:rPr>
          <w:sz w:val="22"/>
          <w:lang w:val="hr-HR"/>
        </w:rPr>
        <w:t>j</w:t>
      </w:r>
      <w:r w:rsidRPr="00374BED">
        <w:rPr>
          <w:sz w:val="22"/>
          <w:lang w:val="hr-HR"/>
        </w:rPr>
        <w:t>eta 56. dana.</w:t>
      </w:r>
    </w:p>
    <w:p w14:paraId="0B021F81" w14:textId="77777777" w:rsidR="00374BED" w:rsidRPr="00374BED" w:rsidRDefault="00374BED" w:rsidP="00374BED">
      <w:pPr>
        <w:tabs>
          <w:tab w:val="left" w:pos="284"/>
          <w:tab w:val="left" w:pos="708"/>
        </w:tabs>
        <w:jc w:val="both"/>
        <w:rPr>
          <w:color w:val="000000"/>
          <w:sz w:val="22"/>
          <w:szCs w:val="22"/>
          <w:lang w:val="hr-HR"/>
        </w:rPr>
      </w:pPr>
    </w:p>
    <w:p w14:paraId="6B7F572D" w14:textId="1A8CF9AE" w:rsidR="00374BED" w:rsidRPr="00374BED" w:rsidRDefault="00374BED" w:rsidP="00374BED">
      <w:pPr>
        <w:tabs>
          <w:tab w:val="left" w:pos="284"/>
          <w:tab w:val="left" w:pos="708"/>
        </w:tabs>
        <w:jc w:val="both"/>
        <w:rPr>
          <w:color w:val="000000"/>
          <w:sz w:val="22"/>
          <w:szCs w:val="22"/>
          <w:lang w:val="hr-HR"/>
        </w:rPr>
      </w:pPr>
      <w:r w:rsidRPr="00374BED">
        <w:rPr>
          <w:color w:val="000000"/>
          <w:sz w:val="22"/>
          <w:shd w:val="clear" w:color="auto" w:fill="FFFFFF"/>
          <w:lang w:val="hr-HR"/>
        </w:rPr>
        <w:t>Muški pacije</w:t>
      </w:r>
      <w:r w:rsidR="00DD0118">
        <w:rPr>
          <w:color w:val="000000"/>
          <w:sz w:val="22"/>
          <w:shd w:val="clear" w:color="auto" w:fill="FFFFFF"/>
          <w:lang w:val="hr-HR"/>
        </w:rPr>
        <w:t>n</w:t>
      </w:r>
      <w:r w:rsidRPr="00374BED">
        <w:rPr>
          <w:color w:val="000000"/>
          <w:sz w:val="22"/>
          <w:shd w:val="clear" w:color="auto" w:fill="FFFFFF"/>
          <w:lang w:val="hr-HR"/>
        </w:rPr>
        <w:t xml:space="preserve">ti su činili 62,2% (n = 28), a ženski 37,8% (n = 17) pacijenata. Ukupno je 27 pacijenata (60%) je imalo malignu bolest, najčešće leukemiju </w:t>
      </w:r>
      <w:r w:rsidRPr="00374BED">
        <w:rPr>
          <w:color w:val="000000"/>
          <w:sz w:val="22"/>
          <w:szCs w:val="22"/>
          <w:lang w:val="hr-HR"/>
        </w:rPr>
        <w:t>(26 pacijenata, 57,8%). Među 45 pedijatrijskih pacijenata uključenih u REACH4, 13 (28,9%) je imalo prethodno nel</w:t>
      </w:r>
      <w:r w:rsidR="00DD0118">
        <w:rPr>
          <w:color w:val="000000"/>
          <w:sz w:val="22"/>
          <w:szCs w:val="22"/>
          <w:lang w:val="hr-HR"/>
        </w:rPr>
        <w:t>ij</w:t>
      </w:r>
      <w:r w:rsidRPr="00374BED">
        <w:rPr>
          <w:color w:val="000000"/>
          <w:sz w:val="22"/>
          <w:szCs w:val="22"/>
          <w:lang w:val="hr-HR"/>
        </w:rPr>
        <w:t>ečeni akutni GvHD, a 32 (71,1%) je imalo akutni GvHD refraktoran na steroide. Na početku je 64,4% pacijenata imalo akutni GvHD stepena II, 26,7% stepena III, a 8,9% stepena IV.</w:t>
      </w:r>
    </w:p>
    <w:p w14:paraId="0F4045D9" w14:textId="77777777" w:rsidR="00374BED" w:rsidRPr="00374BED" w:rsidRDefault="00374BED" w:rsidP="00374BED">
      <w:pPr>
        <w:tabs>
          <w:tab w:val="left" w:pos="284"/>
          <w:tab w:val="left" w:pos="708"/>
        </w:tabs>
        <w:jc w:val="both"/>
        <w:rPr>
          <w:color w:val="000000"/>
          <w:sz w:val="22"/>
          <w:szCs w:val="22"/>
          <w:lang w:val="hr-HR"/>
        </w:rPr>
      </w:pPr>
    </w:p>
    <w:p w14:paraId="2FC449E9" w14:textId="0268183F" w:rsidR="00374BED" w:rsidRPr="00374BED" w:rsidRDefault="00374BED" w:rsidP="00374BED">
      <w:pPr>
        <w:tabs>
          <w:tab w:val="left" w:pos="284"/>
          <w:tab w:val="left" w:pos="708"/>
        </w:tabs>
        <w:jc w:val="both"/>
        <w:rPr>
          <w:color w:val="000000"/>
          <w:sz w:val="22"/>
          <w:szCs w:val="22"/>
          <w:lang w:val="hr-HR"/>
        </w:rPr>
      </w:pPr>
      <w:r w:rsidRPr="00374BED">
        <w:rPr>
          <w:color w:val="000000"/>
          <w:sz w:val="22"/>
          <w:szCs w:val="22"/>
          <w:lang w:val="hr-HR"/>
        </w:rPr>
        <w:t>Ukupan procenat odgovora (ORR) u 28. danu (m</w:t>
      </w:r>
      <w:r w:rsidR="00DD0118">
        <w:rPr>
          <w:color w:val="000000"/>
          <w:sz w:val="22"/>
          <w:szCs w:val="22"/>
          <w:lang w:val="hr-HR"/>
        </w:rPr>
        <w:t>j</w:t>
      </w:r>
      <w:r w:rsidRPr="00374BED">
        <w:rPr>
          <w:color w:val="000000"/>
          <w:sz w:val="22"/>
          <w:szCs w:val="22"/>
          <w:lang w:val="hr-HR"/>
        </w:rPr>
        <w:t>era primarnog ishoda u pogledu efikasnosti) u ispitivanju REACH4 bila je 84,4% (90% CI: 72,8; 92,5) kod svih pacijenata, uz CR u 48,9% pacijenata i PR u 35,6% pacijenata. Što se tiče statusa pr</w:t>
      </w:r>
      <w:r w:rsidR="00DD0118">
        <w:rPr>
          <w:color w:val="000000"/>
          <w:sz w:val="22"/>
          <w:szCs w:val="22"/>
          <w:lang w:val="hr-HR"/>
        </w:rPr>
        <w:t>ij</w:t>
      </w:r>
      <w:r w:rsidRPr="00374BED">
        <w:rPr>
          <w:color w:val="000000"/>
          <w:sz w:val="22"/>
          <w:szCs w:val="22"/>
          <w:lang w:val="hr-HR"/>
        </w:rPr>
        <w:t xml:space="preserve">e </w:t>
      </w:r>
      <w:r w:rsidR="00775325">
        <w:rPr>
          <w:color w:val="000000"/>
          <w:sz w:val="22"/>
          <w:szCs w:val="22"/>
          <w:lang w:val="hr-HR"/>
        </w:rPr>
        <w:t>liječ</w:t>
      </w:r>
      <w:r w:rsidRPr="00374BED">
        <w:rPr>
          <w:color w:val="000000"/>
          <w:sz w:val="22"/>
          <w:szCs w:val="22"/>
          <w:lang w:val="hr-HR"/>
        </w:rPr>
        <w:t>enja, ORR u 28. danu je bio 90,6% kod pacijenata refraktornih na steroide (SR).</w:t>
      </w:r>
    </w:p>
    <w:p w14:paraId="18542C57" w14:textId="77777777" w:rsidR="00374BED" w:rsidRPr="00374BED" w:rsidRDefault="00374BED" w:rsidP="00374BED">
      <w:pPr>
        <w:tabs>
          <w:tab w:val="left" w:pos="284"/>
          <w:tab w:val="left" w:pos="708"/>
        </w:tabs>
        <w:jc w:val="both"/>
        <w:rPr>
          <w:color w:val="000000"/>
          <w:sz w:val="22"/>
          <w:szCs w:val="22"/>
          <w:lang w:val="hr-HR"/>
        </w:rPr>
      </w:pPr>
    </w:p>
    <w:p w14:paraId="7035BE06" w14:textId="614129D6" w:rsidR="00374BED" w:rsidRPr="00374BED" w:rsidRDefault="00374BED" w:rsidP="00374BED">
      <w:pPr>
        <w:tabs>
          <w:tab w:val="left" w:pos="284"/>
          <w:tab w:val="left" w:pos="708"/>
        </w:tabs>
        <w:jc w:val="both"/>
        <w:rPr>
          <w:color w:val="000000"/>
          <w:sz w:val="22"/>
          <w:szCs w:val="22"/>
          <w:lang w:val="hr-HR"/>
        </w:rPr>
      </w:pPr>
      <w:r w:rsidRPr="00374BED">
        <w:rPr>
          <w:color w:val="000000"/>
          <w:sz w:val="22"/>
          <w:szCs w:val="22"/>
          <w:lang w:val="hr-HR"/>
        </w:rPr>
        <w:t>Procenat dugotrajnog ORR-a u 56. danu (ključna m</w:t>
      </w:r>
      <w:r w:rsidR="00DD0118">
        <w:rPr>
          <w:color w:val="000000"/>
          <w:sz w:val="22"/>
          <w:szCs w:val="22"/>
          <w:lang w:val="hr-HR"/>
        </w:rPr>
        <w:t>j</w:t>
      </w:r>
      <w:r w:rsidRPr="00374BED">
        <w:rPr>
          <w:color w:val="000000"/>
          <w:sz w:val="22"/>
          <w:szCs w:val="22"/>
          <w:lang w:val="hr-HR"/>
        </w:rPr>
        <w:t>era sekundarnog ishoda) m</w:t>
      </w:r>
      <w:r w:rsidR="00DD0118">
        <w:rPr>
          <w:color w:val="000000"/>
          <w:sz w:val="22"/>
          <w:szCs w:val="22"/>
          <w:lang w:val="hr-HR"/>
        </w:rPr>
        <w:t>j</w:t>
      </w:r>
      <w:r w:rsidRPr="00374BED">
        <w:rPr>
          <w:color w:val="000000"/>
          <w:sz w:val="22"/>
          <w:szCs w:val="22"/>
          <w:lang w:val="hr-HR"/>
        </w:rPr>
        <w:t>erena ud</w:t>
      </w:r>
      <w:r w:rsidR="00D83E5E">
        <w:rPr>
          <w:color w:val="000000"/>
          <w:sz w:val="22"/>
          <w:szCs w:val="22"/>
          <w:lang w:val="hr-HR"/>
        </w:rPr>
        <w:t>j</w:t>
      </w:r>
      <w:r w:rsidRPr="00374BED">
        <w:rPr>
          <w:color w:val="000000"/>
          <w:sz w:val="22"/>
          <w:szCs w:val="22"/>
          <w:lang w:val="hr-HR"/>
        </w:rPr>
        <w:t>elom pacijenata koji su postigli CR ili PR u 28. danu i održali CR ili PR u 56. danu je bio 66,7% kod svih pacijenata u ispitivanju REACH4 i 68,8% kod SR pacijenata.</w:t>
      </w:r>
    </w:p>
    <w:p w14:paraId="58C7E3C4" w14:textId="77777777" w:rsidR="00374BED" w:rsidRPr="00374BED" w:rsidRDefault="00374BED" w:rsidP="00374BED">
      <w:pPr>
        <w:tabs>
          <w:tab w:val="left" w:pos="284"/>
        </w:tabs>
        <w:ind w:right="-2"/>
        <w:jc w:val="both"/>
        <w:rPr>
          <w:color w:val="000000"/>
          <w:sz w:val="22"/>
          <w:szCs w:val="22"/>
          <w:lang w:val="hr-HR"/>
        </w:rPr>
      </w:pPr>
    </w:p>
    <w:p w14:paraId="0779AC26" w14:textId="77777777" w:rsidR="00374BED" w:rsidRPr="00374BED" w:rsidRDefault="00374BED" w:rsidP="00374BED">
      <w:pPr>
        <w:keepNext/>
        <w:tabs>
          <w:tab w:val="left" w:pos="284"/>
        </w:tabs>
        <w:jc w:val="both"/>
        <w:rPr>
          <w:color w:val="000000"/>
          <w:sz w:val="22"/>
          <w:szCs w:val="22"/>
          <w:u w:val="single"/>
          <w:lang w:val="hr-HR"/>
        </w:rPr>
      </w:pPr>
      <w:r w:rsidRPr="00374BED">
        <w:rPr>
          <w:i/>
          <w:iCs/>
          <w:color w:val="000000"/>
          <w:sz w:val="22"/>
          <w:szCs w:val="22"/>
          <w:u w:val="single"/>
          <w:lang w:val="hr-HR"/>
        </w:rPr>
        <w:lastRenderedPageBreak/>
        <w:t>Hronična bolest kalema protiv domaćina</w:t>
      </w:r>
    </w:p>
    <w:p w14:paraId="61CDEE64" w14:textId="310C595A" w:rsidR="00374BED" w:rsidRPr="00374BED" w:rsidRDefault="00374BED" w:rsidP="00374BED">
      <w:pPr>
        <w:tabs>
          <w:tab w:val="left" w:pos="284"/>
        </w:tabs>
        <w:ind w:right="-15"/>
        <w:jc w:val="both"/>
        <w:textAlignment w:val="baseline"/>
        <w:rPr>
          <w:color w:val="000000"/>
          <w:sz w:val="22"/>
          <w:szCs w:val="22"/>
          <w:lang w:val="hr-HR" w:eastAsia="de-CH"/>
        </w:rPr>
      </w:pPr>
      <w:r w:rsidRPr="00374BED">
        <w:rPr>
          <w:color w:val="000000"/>
          <w:sz w:val="22"/>
          <w:szCs w:val="22"/>
          <w:lang w:val="hr-HR" w:eastAsia="de-CH"/>
        </w:rPr>
        <w:t>U ispitivanju REACH5, 45 pedijatrijskih pacijenata sa um</w:t>
      </w:r>
      <w:r w:rsidR="00DD0118">
        <w:rPr>
          <w:color w:val="000000"/>
          <w:sz w:val="22"/>
          <w:szCs w:val="22"/>
          <w:lang w:val="hr-HR" w:eastAsia="de-CH"/>
        </w:rPr>
        <w:t>j</w:t>
      </w:r>
      <w:r w:rsidRPr="00374BED">
        <w:rPr>
          <w:color w:val="000000"/>
          <w:sz w:val="22"/>
          <w:szCs w:val="22"/>
          <w:lang w:val="hr-HR" w:eastAsia="de-CH"/>
        </w:rPr>
        <w:t>erenim ili teškim hroničnim GvHD l</w:t>
      </w:r>
      <w:r w:rsidR="00DD0118">
        <w:rPr>
          <w:color w:val="000000"/>
          <w:sz w:val="22"/>
          <w:szCs w:val="22"/>
          <w:lang w:val="hr-HR" w:eastAsia="de-CH"/>
        </w:rPr>
        <w:t>ij</w:t>
      </w:r>
      <w:r w:rsidRPr="00374BED">
        <w:rPr>
          <w:color w:val="000000"/>
          <w:sz w:val="22"/>
          <w:szCs w:val="22"/>
          <w:lang w:val="hr-HR" w:eastAsia="de-CH"/>
        </w:rPr>
        <w:t>ečeno je l</w:t>
      </w:r>
      <w:r w:rsidR="00DD0118">
        <w:rPr>
          <w:color w:val="000000"/>
          <w:sz w:val="22"/>
          <w:szCs w:val="22"/>
          <w:lang w:val="hr-HR" w:eastAsia="de-CH"/>
        </w:rPr>
        <w:t>ij</w:t>
      </w:r>
      <w:r w:rsidRPr="00374BED">
        <w:rPr>
          <w:color w:val="000000"/>
          <w:sz w:val="22"/>
          <w:szCs w:val="22"/>
          <w:lang w:val="hr-HR" w:eastAsia="de-CH"/>
        </w:rPr>
        <w:t>ekom Jakavi i kortikosteroidima +/- CNI da bi se proc</w:t>
      </w:r>
      <w:r w:rsidR="00DD0118">
        <w:rPr>
          <w:color w:val="000000"/>
          <w:sz w:val="22"/>
          <w:szCs w:val="22"/>
          <w:lang w:val="hr-HR" w:eastAsia="de-CH"/>
        </w:rPr>
        <w:t>ij</w:t>
      </w:r>
      <w:r w:rsidRPr="00374BED">
        <w:rPr>
          <w:color w:val="000000"/>
          <w:sz w:val="22"/>
          <w:szCs w:val="22"/>
          <w:lang w:val="hr-HR" w:eastAsia="de-CH"/>
        </w:rPr>
        <w:t>enile bezb</w:t>
      </w:r>
      <w:r w:rsidR="00DD0118">
        <w:rPr>
          <w:color w:val="000000"/>
          <w:sz w:val="22"/>
          <w:szCs w:val="22"/>
          <w:lang w:val="hr-HR" w:eastAsia="de-CH"/>
        </w:rPr>
        <w:t>j</w:t>
      </w:r>
      <w:r w:rsidRPr="00374BED">
        <w:rPr>
          <w:color w:val="000000"/>
          <w:sz w:val="22"/>
          <w:szCs w:val="22"/>
          <w:lang w:val="hr-HR" w:eastAsia="de-CH"/>
        </w:rPr>
        <w:t>ednost, efikasnost i farmakokinetika l</w:t>
      </w:r>
      <w:r w:rsidR="00DD0118">
        <w:rPr>
          <w:color w:val="000000"/>
          <w:sz w:val="22"/>
          <w:szCs w:val="22"/>
          <w:lang w:val="hr-HR" w:eastAsia="de-CH"/>
        </w:rPr>
        <w:t>ij</w:t>
      </w:r>
      <w:r w:rsidRPr="00374BED">
        <w:rPr>
          <w:color w:val="000000"/>
          <w:sz w:val="22"/>
          <w:szCs w:val="22"/>
          <w:lang w:val="hr-HR" w:eastAsia="de-CH"/>
        </w:rPr>
        <w:t xml:space="preserve">eka Jakavi. Pacijeti su bili uključeni u 4 grupe na osnovu uzrasta (grupa 1 [≥ 12 godina do &lt; 18 godina, N = 22], grupa 2 [≥ 6 godina do &lt; 12 godina, N = 16], grupa 3 [≥ 2 godine do &lt; 6 godina, N = 7] i grupa 4 [≥ 28 dana do &lt; 2 godine, N = 0]). Ispitivane doze </w:t>
      </w:r>
      <w:r w:rsidRPr="00374BED">
        <w:rPr>
          <w:color w:val="000000"/>
          <w:sz w:val="22"/>
          <w:szCs w:val="22"/>
          <w:lang w:val="hr-HR"/>
        </w:rPr>
        <w:t>bile su 10 mg dva puta na dan za grupu 1, 5 mg dva puta na dan za grupu 2 i 4 mg/m</w:t>
      </w:r>
      <w:r w:rsidRPr="00374BED">
        <w:rPr>
          <w:color w:val="000000"/>
          <w:sz w:val="22"/>
          <w:szCs w:val="22"/>
          <w:vertAlign w:val="superscript"/>
          <w:lang w:val="hr-HR"/>
        </w:rPr>
        <w:t>2</w:t>
      </w:r>
      <w:r w:rsidRPr="00374BED">
        <w:rPr>
          <w:color w:val="000000"/>
          <w:sz w:val="22"/>
          <w:szCs w:val="22"/>
          <w:lang w:val="hr-HR"/>
        </w:rPr>
        <w:t xml:space="preserve"> dva puta na dan za grupu 3, a pacije</w:t>
      </w:r>
      <w:r w:rsidR="00DD0118">
        <w:rPr>
          <w:color w:val="000000"/>
          <w:sz w:val="22"/>
          <w:szCs w:val="22"/>
          <w:lang w:val="hr-HR"/>
        </w:rPr>
        <w:t>n</w:t>
      </w:r>
      <w:r w:rsidRPr="00374BED">
        <w:rPr>
          <w:color w:val="000000"/>
          <w:sz w:val="22"/>
          <w:szCs w:val="22"/>
          <w:lang w:val="hr-HR"/>
        </w:rPr>
        <w:t>ti su l</w:t>
      </w:r>
      <w:r w:rsidR="00DD0118">
        <w:rPr>
          <w:color w:val="000000"/>
          <w:sz w:val="22"/>
          <w:szCs w:val="22"/>
          <w:lang w:val="hr-HR"/>
        </w:rPr>
        <w:t>ij</w:t>
      </w:r>
      <w:r w:rsidRPr="00374BED">
        <w:rPr>
          <w:color w:val="000000"/>
          <w:sz w:val="22"/>
          <w:szCs w:val="22"/>
          <w:lang w:val="hr-HR"/>
        </w:rPr>
        <w:t>ečeni 39 ciklusa/156 ned</w:t>
      </w:r>
      <w:r w:rsidR="00DD0118">
        <w:rPr>
          <w:color w:val="000000"/>
          <w:sz w:val="22"/>
          <w:szCs w:val="22"/>
          <w:lang w:val="hr-HR"/>
        </w:rPr>
        <w:t>j</w:t>
      </w:r>
      <w:r w:rsidRPr="00374BED">
        <w:rPr>
          <w:color w:val="000000"/>
          <w:sz w:val="22"/>
          <w:szCs w:val="22"/>
          <w:lang w:val="hr-HR"/>
        </w:rPr>
        <w:t>elja ili do obustave l</w:t>
      </w:r>
      <w:r w:rsidR="00DD0118">
        <w:rPr>
          <w:color w:val="000000"/>
          <w:sz w:val="22"/>
          <w:szCs w:val="22"/>
          <w:lang w:val="hr-HR"/>
        </w:rPr>
        <w:t>ij</w:t>
      </w:r>
      <w:r w:rsidRPr="00374BED">
        <w:rPr>
          <w:color w:val="000000"/>
          <w:sz w:val="22"/>
          <w:szCs w:val="22"/>
          <w:lang w:val="hr-HR"/>
        </w:rPr>
        <w:t>ečenja. L</w:t>
      </w:r>
      <w:r w:rsidR="00DD0118">
        <w:rPr>
          <w:color w:val="000000"/>
          <w:sz w:val="22"/>
          <w:szCs w:val="22"/>
          <w:lang w:val="hr-HR"/>
        </w:rPr>
        <w:t>ij</w:t>
      </w:r>
      <w:r w:rsidRPr="00374BED">
        <w:rPr>
          <w:color w:val="000000"/>
          <w:sz w:val="22"/>
          <w:szCs w:val="22"/>
          <w:lang w:val="hr-HR"/>
        </w:rPr>
        <w:t>ek Jakavi se prim</w:t>
      </w:r>
      <w:r w:rsidR="00DD0118">
        <w:rPr>
          <w:color w:val="000000"/>
          <w:sz w:val="22"/>
          <w:szCs w:val="22"/>
          <w:lang w:val="hr-HR"/>
        </w:rPr>
        <w:t>j</w:t>
      </w:r>
      <w:r w:rsidRPr="00374BED">
        <w:rPr>
          <w:color w:val="000000"/>
          <w:sz w:val="22"/>
          <w:szCs w:val="22"/>
          <w:lang w:val="hr-HR"/>
        </w:rPr>
        <w:t>enjivao kao tableta od 5 mg ili kao oralni rastvor za pedijatrijske pacijente uzrasta &lt; 12 godina.</w:t>
      </w:r>
    </w:p>
    <w:p w14:paraId="343F6232" w14:textId="77777777" w:rsidR="00374BED" w:rsidRPr="00374BED" w:rsidRDefault="00374BED" w:rsidP="00374BED">
      <w:pPr>
        <w:tabs>
          <w:tab w:val="left" w:pos="284"/>
        </w:tabs>
        <w:ind w:right="-15"/>
        <w:jc w:val="both"/>
        <w:textAlignment w:val="baseline"/>
        <w:rPr>
          <w:color w:val="000000"/>
          <w:sz w:val="22"/>
          <w:szCs w:val="22"/>
          <w:lang w:val="hr-HR" w:eastAsia="de-CH"/>
        </w:rPr>
      </w:pPr>
    </w:p>
    <w:p w14:paraId="7EA6F945" w14:textId="371D4F43" w:rsidR="00374BED" w:rsidRPr="00374BED" w:rsidRDefault="00374BED" w:rsidP="00374BED">
      <w:pPr>
        <w:tabs>
          <w:tab w:val="left" w:pos="284"/>
        </w:tabs>
        <w:ind w:right="-15"/>
        <w:jc w:val="both"/>
        <w:textAlignment w:val="baseline"/>
        <w:rPr>
          <w:color w:val="000000"/>
          <w:sz w:val="22"/>
          <w:szCs w:val="22"/>
          <w:lang w:val="hr-HR"/>
        </w:rPr>
      </w:pPr>
      <w:r w:rsidRPr="00374BED">
        <w:rPr>
          <w:color w:val="000000"/>
          <w:sz w:val="22"/>
          <w:szCs w:val="22"/>
          <w:lang w:val="hr-HR" w:eastAsia="de-CH"/>
        </w:rPr>
        <w:t>Pacijenti su bili uključeni sa statusom bolesti refraktorne na steroide ili prethodno nel</w:t>
      </w:r>
      <w:r w:rsidR="00DD0118">
        <w:rPr>
          <w:color w:val="000000"/>
          <w:sz w:val="22"/>
          <w:szCs w:val="22"/>
          <w:lang w:val="hr-HR" w:eastAsia="de-CH"/>
        </w:rPr>
        <w:t>ij</w:t>
      </w:r>
      <w:r w:rsidRPr="00374BED">
        <w:rPr>
          <w:color w:val="000000"/>
          <w:sz w:val="22"/>
          <w:szCs w:val="22"/>
          <w:lang w:val="hr-HR" w:eastAsia="de-CH"/>
        </w:rPr>
        <w:t>ečene bolesti. Pacije</w:t>
      </w:r>
      <w:r w:rsidR="00DD0118">
        <w:rPr>
          <w:color w:val="000000"/>
          <w:sz w:val="22"/>
          <w:szCs w:val="22"/>
          <w:lang w:val="hr-HR" w:eastAsia="de-CH"/>
        </w:rPr>
        <w:t>n</w:t>
      </w:r>
      <w:r w:rsidRPr="00374BED">
        <w:rPr>
          <w:color w:val="000000"/>
          <w:sz w:val="22"/>
          <w:szCs w:val="22"/>
          <w:lang w:val="hr-HR" w:eastAsia="de-CH"/>
        </w:rPr>
        <w:t>ti su se smatrali refraktornim na steroide prema institucionalnim kriterijumima ili prema odluci l</w:t>
      </w:r>
      <w:r w:rsidR="00DD0118">
        <w:rPr>
          <w:color w:val="000000"/>
          <w:sz w:val="22"/>
          <w:szCs w:val="22"/>
          <w:lang w:val="hr-HR" w:eastAsia="de-CH"/>
        </w:rPr>
        <w:t>j</w:t>
      </w:r>
      <w:r w:rsidRPr="00374BED">
        <w:rPr>
          <w:color w:val="000000"/>
          <w:sz w:val="22"/>
          <w:szCs w:val="22"/>
          <w:lang w:val="hr-HR" w:eastAsia="de-CH"/>
        </w:rPr>
        <w:t>ekara u slučaju da institucionalni kriterijumi ni</w:t>
      </w:r>
      <w:r w:rsidR="00D83E5E">
        <w:rPr>
          <w:color w:val="000000"/>
          <w:sz w:val="22"/>
          <w:szCs w:val="22"/>
          <w:lang w:val="hr-HR" w:eastAsia="de-CH"/>
        </w:rPr>
        <w:t>je</w:t>
      </w:r>
      <w:r w:rsidRPr="00374BED">
        <w:rPr>
          <w:color w:val="000000"/>
          <w:sz w:val="22"/>
          <w:szCs w:val="22"/>
          <w:lang w:val="hr-HR" w:eastAsia="de-CH"/>
        </w:rPr>
        <w:t>su bili dostupni te im je bilo dopušteno dodatno prethodno sistemsko l</w:t>
      </w:r>
      <w:r w:rsidR="00DD0118">
        <w:rPr>
          <w:color w:val="000000"/>
          <w:sz w:val="22"/>
          <w:szCs w:val="22"/>
          <w:lang w:val="hr-HR" w:eastAsia="de-CH"/>
        </w:rPr>
        <w:t>ij</w:t>
      </w:r>
      <w:r w:rsidRPr="00374BED">
        <w:rPr>
          <w:color w:val="000000"/>
          <w:sz w:val="22"/>
          <w:szCs w:val="22"/>
          <w:lang w:val="hr-HR" w:eastAsia="de-CH"/>
        </w:rPr>
        <w:t>ečenje hroničnog GvHD uz kortikosteroide. Smatralo se da pacije</w:t>
      </w:r>
      <w:r w:rsidR="00DD0118">
        <w:rPr>
          <w:color w:val="000000"/>
          <w:sz w:val="22"/>
          <w:szCs w:val="22"/>
          <w:lang w:val="hr-HR" w:eastAsia="de-CH"/>
        </w:rPr>
        <w:t>n</w:t>
      </w:r>
      <w:r w:rsidRPr="00374BED">
        <w:rPr>
          <w:color w:val="000000"/>
          <w:sz w:val="22"/>
          <w:szCs w:val="22"/>
          <w:lang w:val="hr-HR" w:eastAsia="de-CH"/>
        </w:rPr>
        <w:t>ti prethodno ni</w:t>
      </w:r>
      <w:r w:rsidR="00D83E5E">
        <w:rPr>
          <w:color w:val="000000"/>
          <w:sz w:val="22"/>
          <w:szCs w:val="22"/>
          <w:lang w:val="hr-HR" w:eastAsia="de-CH"/>
        </w:rPr>
        <w:t>je</w:t>
      </w:r>
      <w:r w:rsidRPr="00374BED">
        <w:rPr>
          <w:color w:val="000000"/>
          <w:sz w:val="22"/>
          <w:szCs w:val="22"/>
          <w:lang w:val="hr-HR" w:eastAsia="de-CH"/>
        </w:rPr>
        <w:t>su bili l</w:t>
      </w:r>
      <w:r w:rsidR="00DD0118">
        <w:rPr>
          <w:color w:val="000000"/>
          <w:sz w:val="22"/>
          <w:szCs w:val="22"/>
          <w:lang w:val="hr-HR" w:eastAsia="de-CH"/>
        </w:rPr>
        <w:t>ij</w:t>
      </w:r>
      <w:r w:rsidRPr="00374BED">
        <w:rPr>
          <w:color w:val="000000"/>
          <w:sz w:val="22"/>
          <w:szCs w:val="22"/>
          <w:lang w:val="hr-HR" w:eastAsia="de-CH"/>
        </w:rPr>
        <w:t xml:space="preserve">ečeni ako </w:t>
      </w:r>
      <w:r w:rsidRPr="00374BED">
        <w:rPr>
          <w:color w:val="000000"/>
          <w:sz w:val="22"/>
          <w:lang w:val="hr-HR" w:eastAsia="de-CH"/>
        </w:rPr>
        <w:t>pr</w:t>
      </w:r>
      <w:r w:rsidR="00DD0118">
        <w:rPr>
          <w:color w:val="000000"/>
          <w:sz w:val="22"/>
          <w:lang w:val="hr-HR" w:eastAsia="de-CH"/>
        </w:rPr>
        <w:t>ij</w:t>
      </w:r>
      <w:r w:rsidRPr="00374BED">
        <w:rPr>
          <w:color w:val="000000"/>
          <w:sz w:val="22"/>
          <w:lang w:val="hr-HR" w:eastAsia="de-CH"/>
        </w:rPr>
        <w:t xml:space="preserve">e toga </w:t>
      </w:r>
      <w:r w:rsidRPr="00374BED">
        <w:rPr>
          <w:color w:val="000000"/>
          <w:sz w:val="22"/>
          <w:szCs w:val="22"/>
          <w:lang w:val="hr-HR" w:eastAsia="de-CH"/>
        </w:rPr>
        <w:t>nisu primili nikakvo sistemsko l</w:t>
      </w:r>
      <w:r w:rsidR="00DD0118">
        <w:rPr>
          <w:color w:val="000000"/>
          <w:sz w:val="22"/>
          <w:szCs w:val="22"/>
          <w:lang w:val="hr-HR" w:eastAsia="de-CH"/>
        </w:rPr>
        <w:t>ij</w:t>
      </w:r>
      <w:r w:rsidRPr="00374BED">
        <w:rPr>
          <w:color w:val="000000"/>
          <w:sz w:val="22"/>
          <w:szCs w:val="22"/>
          <w:lang w:val="hr-HR" w:eastAsia="de-CH"/>
        </w:rPr>
        <w:t xml:space="preserve">ečenje za hronični GvHD (osim prethodne sistemske </w:t>
      </w:r>
      <w:r w:rsidRPr="00374BED">
        <w:rPr>
          <w:color w:val="000000"/>
          <w:sz w:val="22"/>
          <w:lang w:val="hr-HR" w:eastAsia="de-CH"/>
        </w:rPr>
        <w:t xml:space="preserve">kortikosteroidne </w:t>
      </w:r>
      <w:r w:rsidRPr="00374BED">
        <w:rPr>
          <w:color w:val="000000"/>
          <w:sz w:val="22"/>
          <w:szCs w:val="22"/>
          <w:lang w:val="hr-HR" w:eastAsia="de-CH"/>
        </w:rPr>
        <w:t>terapije metilprednizolonom ili ekvivalentom tokom najviše 72 sata nakon pojave hroničnog GvHD). Uz l</w:t>
      </w:r>
      <w:r w:rsidR="00DD0118">
        <w:rPr>
          <w:color w:val="000000"/>
          <w:sz w:val="22"/>
          <w:szCs w:val="22"/>
          <w:lang w:val="hr-HR" w:eastAsia="de-CH"/>
        </w:rPr>
        <w:t>ij</w:t>
      </w:r>
      <w:r w:rsidRPr="00374BED">
        <w:rPr>
          <w:color w:val="000000"/>
          <w:sz w:val="22"/>
          <w:szCs w:val="22"/>
          <w:lang w:val="hr-HR" w:eastAsia="de-CH"/>
        </w:rPr>
        <w:t>ek Jakavi, pacije</w:t>
      </w:r>
      <w:r w:rsidR="00D83E5E">
        <w:rPr>
          <w:color w:val="000000"/>
          <w:sz w:val="22"/>
          <w:szCs w:val="22"/>
          <w:lang w:val="hr-HR" w:eastAsia="de-CH"/>
        </w:rPr>
        <w:t>n</w:t>
      </w:r>
      <w:r w:rsidRPr="00374BED">
        <w:rPr>
          <w:color w:val="000000"/>
          <w:sz w:val="22"/>
          <w:szCs w:val="22"/>
          <w:lang w:val="hr-HR" w:eastAsia="de-CH"/>
        </w:rPr>
        <w:t>ti su nastavili da uzimaju sistemske kortikosteroide i/ili CNI (ciklosporin ili takrolimus) i topikalnu terapiju kortikosteroidima prema institucionalnim sm</w:t>
      </w:r>
      <w:r w:rsidR="00D83E5E">
        <w:rPr>
          <w:color w:val="000000"/>
          <w:sz w:val="22"/>
          <w:szCs w:val="22"/>
          <w:lang w:val="hr-HR" w:eastAsia="de-CH"/>
        </w:rPr>
        <w:t>j</w:t>
      </w:r>
      <w:r w:rsidRPr="00374BED">
        <w:rPr>
          <w:color w:val="000000"/>
          <w:sz w:val="22"/>
          <w:szCs w:val="22"/>
          <w:lang w:val="hr-HR" w:eastAsia="de-CH"/>
        </w:rPr>
        <w:t>ernicama. U ispitivanju REACH5, 23 pacijenata (51,1%) je istovremeno primalo CNI. Pacijenti su takođe mogli da primaju standardnu palijativnu n</w:t>
      </w:r>
      <w:r w:rsidR="00DD0118">
        <w:rPr>
          <w:color w:val="000000"/>
          <w:sz w:val="22"/>
          <w:szCs w:val="22"/>
          <w:lang w:val="hr-HR" w:eastAsia="de-CH"/>
        </w:rPr>
        <w:t>j</w:t>
      </w:r>
      <w:r w:rsidRPr="00374BED">
        <w:rPr>
          <w:color w:val="000000"/>
          <w:sz w:val="22"/>
          <w:szCs w:val="22"/>
          <w:lang w:val="hr-HR" w:eastAsia="de-CH"/>
        </w:rPr>
        <w:t>egu za alogenu transplantaciju matičnih ćelija, uključujući antiinfektivne l</w:t>
      </w:r>
      <w:r w:rsidR="00DD0118">
        <w:rPr>
          <w:color w:val="000000"/>
          <w:sz w:val="22"/>
          <w:szCs w:val="22"/>
          <w:lang w:val="hr-HR" w:eastAsia="de-CH"/>
        </w:rPr>
        <w:t>j</w:t>
      </w:r>
      <w:r w:rsidRPr="00374BED">
        <w:rPr>
          <w:color w:val="000000"/>
          <w:sz w:val="22"/>
          <w:szCs w:val="22"/>
          <w:lang w:val="hr-HR" w:eastAsia="de-CH"/>
        </w:rPr>
        <w:t>ekove i transfuziju. L</w:t>
      </w:r>
      <w:r w:rsidR="00DD0118">
        <w:rPr>
          <w:color w:val="000000"/>
          <w:sz w:val="22"/>
          <w:szCs w:val="22"/>
          <w:lang w:val="hr-HR" w:eastAsia="de-CH"/>
        </w:rPr>
        <w:t>ij</w:t>
      </w:r>
      <w:r w:rsidRPr="00374BED">
        <w:rPr>
          <w:color w:val="000000"/>
          <w:sz w:val="22"/>
          <w:szCs w:val="22"/>
          <w:lang w:val="hr-HR" w:eastAsia="de-CH"/>
        </w:rPr>
        <w:t>ečenje l</w:t>
      </w:r>
      <w:r w:rsidR="00DD0118">
        <w:rPr>
          <w:color w:val="000000"/>
          <w:sz w:val="22"/>
          <w:szCs w:val="22"/>
          <w:lang w:val="hr-HR" w:eastAsia="de-CH"/>
        </w:rPr>
        <w:t>ij</w:t>
      </w:r>
      <w:r w:rsidRPr="00374BED">
        <w:rPr>
          <w:color w:val="000000"/>
          <w:sz w:val="22"/>
          <w:szCs w:val="22"/>
          <w:lang w:val="hr-HR" w:eastAsia="de-CH"/>
        </w:rPr>
        <w:t>ekom Jakavi je trebalo prekinuti u slučaju izostanka odgovora na hronično l</w:t>
      </w:r>
      <w:r w:rsidR="00DD0118">
        <w:rPr>
          <w:color w:val="000000"/>
          <w:sz w:val="22"/>
          <w:szCs w:val="22"/>
          <w:lang w:val="hr-HR" w:eastAsia="de-CH"/>
        </w:rPr>
        <w:t>ij</w:t>
      </w:r>
      <w:r w:rsidRPr="00374BED">
        <w:rPr>
          <w:color w:val="000000"/>
          <w:sz w:val="22"/>
          <w:szCs w:val="22"/>
          <w:lang w:val="hr-HR" w:eastAsia="de-CH"/>
        </w:rPr>
        <w:t>ečenje GvHD 169. dana.</w:t>
      </w:r>
    </w:p>
    <w:p w14:paraId="66B5B57D" w14:textId="77777777" w:rsidR="00374BED" w:rsidRPr="00374BED" w:rsidRDefault="00374BED" w:rsidP="00374BED">
      <w:pPr>
        <w:tabs>
          <w:tab w:val="left" w:pos="284"/>
        </w:tabs>
        <w:ind w:right="-15"/>
        <w:jc w:val="both"/>
        <w:textAlignment w:val="baseline"/>
        <w:rPr>
          <w:color w:val="000000"/>
          <w:sz w:val="22"/>
          <w:szCs w:val="22"/>
          <w:lang w:val="hr-HR"/>
        </w:rPr>
      </w:pPr>
    </w:p>
    <w:p w14:paraId="64006C20" w14:textId="32013989" w:rsidR="00374BED" w:rsidRPr="00374BED" w:rsidRDefault="00374BED" w:rsidP="00374BED">
      <w:pPr>
        <w:tabs>
          <w:tab w:val="left" w:pos="284"/>
        </w:tabs>
        <w:ind w:right="-15"/>
        <w:jc w:val="both"/>
        <w:textAlignment w:val="baseline"/>
        <w:rPr>
          <w:color w:val="000000"/>
          <w:sz w:val="22"/>
          <w:szCs w:val="22"/>
          <w:lang w:val="hr-HR"/>
        </w:rPr>
      </w:pPr>
      <w:r w:rsidRPr="00374BED">
        <w:rPr>
          <w:color w:val="000000"/>
          <w:sz w:val="22"/>
          <w:szCs w:val="22"/>
          <w:lang w:val="hr-HR"/>
        </w:rPr>
        <w:t>Postupno smanjivanje doze l</w:t>
      </w:r>
      <w:r w:rsidR="00DD0118">
        <w:rPr>
          <w:color w:val="000000"/>
          <w:sz w:val="22"/>
          <w:szCs w:val="22"/>
          <w:lang w:val="hr-HR"/>
        </w:rPr>
        <w:t>ij</w:t>
      </w:r>
      <w:r w:rsidRPr="00374BED">
        <w:rPr>
          <w:color w:val="000000"/>
          <w:sz w:val="22"/>
          <w:szCs w:val="22"/>
          <w:lang w:val="hr-HR"/>
        </w:rPr>
        <w:t>eka Jakavi je bilo je dopušteno nakon pos</w:t>
      </w:r>
      <w:r w:rsidR="00DD0118">
        <w:rPr>
          <w:color w:val="000000"/>
          <w:sz w:val="22"/>
          <w:szCs w:val="22"/>
          <w:lang w:val="hr-HR"/>
        </w:rPr>
        <w:t>j</w:t>
      </w:r>
      <w:r w:rsidRPr="00374BED">
        <w:rPr>
          <w:color w:val="000000"/>
          <w:sz w:val="22"/>
          <w:szCs w:val="22"/>
          <w:lang w:val="hr-HR"/>
        </w:rPr>
        <w:t>ete 169. dana.</w:t>
      </w:r>
    </w:p>
    <w:p w14:paraId="7F410128" w14:textId="77777777" w:rsidR="00374BED" w:rsidRPr="00374BED" w:rsidRDefault="00374BED" w:rsidP="00374BED">
      <w:pPr>
        <w:tabs>
          <w:tab w:val="left" w:pos="284"/>
        </w:tabs>
        <w:ind w:right="-15"/>
        <w:jc w:val="both"/>
        <w:textAlignment w:val="baseline"/>
        <w:rPr>
          <w:color w:val="000000"/>
          <w:sz w:val="22"/>
          <w:szCs w:val="22"/>
          <w:lang w:val="hr-HR"/>
        </w:rPr>
      </w:pPr>
    </w:p>
    <w:p w14:paraId="7BD64D32" w14:textId="7BF61CCE" w:rsidR="00374BED" w:rsidRPr="00374BED" w:rsidRDefault="00374BED" w:rsidP="00374BED">
      <w:pPr>
        <w:tabs>
          <w:tab w:val="left" w:pos="284"/>
        </w:tabs>
        <w:ind w:right="-15"/>
        <w:jc w:val="both"/>
        <w:textAlignment w:val="baseline"/>
        <w:rPr>
          <w:color w:val="000000"/>
          <w:sz w:val="22"/>
          <w:szCs w:val="22"/>
          <w:lang w:val="hr-HR"/>
        </w:rPr>
      </w:pPr>
      <w:r w:rsidRPr="00374BED">
        <w:rPr>
          <w:color w:val="000000"/>
          <w:sz w:val="22"/>
          <w:szCs w:val="22"/>
          <w:lang w:val="hr-HR"/>
        </w:rPr>
        <w:t>Muški pacijeti su činili 64,4% (n = 29), a ženski 35,6% (n = 16) pacijenata, pri čemu je 30 pacijenata (66,7%) pr</w:t>
      </w:r>
      <w:r w:rsidR="00DD0118">
        <w:rPr>
          <w:color w:val="000000"/>
          <w:sz w:val="22"/>
          <w:szCs w:val="22"/>
          <w:lang w:val="hr-HR"/>
        </w:rPr>
        <w:t>ij</w:t>
      </w:r>
      <w:r w:rsidRPr="00374BED">
        <w:rPr>
          <w:color w:val="000000"/>
          <w:sz w:val="22"/>
          <w:szCs w:val="22"/>
          <w:lang w:val="hr-HR"/>
        </w:rPr>
        <w:t>e transplantacije imalo malignu bolest u anamnezi, najčešće leukemiju (27 pacijenata, 60%).</w:t>
      </w:r>
    </w:p>
    <w:p w14:paraId="675C6621" w14:textId="77777777" w:rsidR="00374BED" w:rsidRPr="00374BED" w:rsidRDefault="00374BED" w:rsidP="00374BED">
      <w:pPr>
        <w:tabs>
          <w:tab w:val="left" w:pos="284"/>
        </w:tabs>
        <w:ind w:right="-15"/>
        <w:jc w:val="both"/>
        <w:textAlignment w:val="baseline"/>
        <w:rPr>
          <w:color w:val="000000"/>
          <w:sz w:val="22"/>
          <w:szCs w:val="22"/>
          <w:lang w:val="hr-HR"/>
        </w:rPr>
      </w:pPr>
    </w:p>
    <w:p w14:paraId="5EC700A3" w14:textId="5F1922F8" w:rsidR="00374BED" w:rsidRPr="00374BED" w:rsidRDefault="00374BED" w:rsidP="00374BED">
      <w:pPr>
        <w:tabs>
          <w:tab w:val="left" w:pos="284"/>
        </w:tabs>
        <w:ind w:right="-15"/>
        <w:jc w:val="both"/>
        <w:textAlignment w:val="baseline"/>
        <w:rPr>
          <w:color w:val="000000"/>
          <w:sz w:val="22"/>
          <w:szCs w:val="22"/>
          <w:lang w:val="hr-HR"/>
        </w:rPr>
      </w:pPr>
      <w:r w:rsidRPr="00374BED">
        <w:rPr>
          <w:color w:val="000000"/>
          <w:sz w:val="22"/>
          <w:szCs w:val="22"/>
          <w:lang w:val="hr-HR"/>
        </w:rPr>
        <w:t>Među 45 pedijatrijskih pacijenata uključenih u ispitivanje REACH5, 17 (37,8%) su bili pacije</w:t>
      </w:r>
      <w:r w:rsidR="00DD0118">
        <w:rPr>
          <w:color w:val="000000"/>
          <w:sz w:val="22"/>
          <w:szCs w:val="22"/>
          <w:lang w:val="hr-HR"/>
        </w:rPr>
        <w:t>n</w:t>
      </w:r>
      <w:r w:rsidRPr="00374BED">
        <w:rPr>
          <w:color w:val="000000"/>
          <w:sz w:val="22"/>
          <w:szCs w:val="22"/>
          <w:lang w:val="hr-HR"/>
        </w:rPr>
        <w:t>ti sa hroničnim GvHD koji prethodno ni</w:t>
      </w:r>
      <w:r w:rsidR="00D83E5E">
        <w:rPr>
          <w:color w:val="000000"/>
          <w:sz w:val="22"/>
          <w:szCs w:val="22"/>
          <w:lang w:val="hr-HR"/>
        </w:rPr>
        <w:t>je</w:t>
      </w:r>
      <w:r w:rsidRPr="00374BED">
        <w:rPr>
          <w:color w:val="000000"/>
          <w:sz w:val="22"/>
          <w:szCs w:val="22"/>
          <w:lang w:val="hr-HR"/>
        </w:rPr>
        <w:t>su bili l</w:t>
      </w:r>
      <w:r w:rsidR="00DD0118">
        <w:rPr>
          <w:color w:val="000000"/>
          <w:sz w:val="22"/>
          <w:szCs w:val="22"/>
          <w:lang w:val="hr-HR"/>
        </w:rPr>
        <w:t>ij</w:t>
      </w:r>
      <w:r w:rsidRPr="00374BED">
        <w:rPr>
          <w:color w:val="000000"/>
          <w:sz w:val="22"/>
          <w:szCs w:val="22"/>
          <w:lang w:val="hr-HR"/>
        </w:rPr>
        <w:t>ečeni, a 28 (62,2%) su bili pacije</w:t>
      </w:r>
      <w:r w:rsidR="00DD0118">
        <w:rPr>
          <w:color w:val="000000"/>
          <w:sz w:val="22"/>
          <w:szCs w:val="22"/>
          <w:lang w:val="hr-HR"/>
        </w:rPr>
        <w:t>n</w:t>
      </w:r>
      <w:r w:rsidRPr="00374BED">
        <w:rPr>
          <w:color w:val="000000"/>
          <w:sz w:val="22"/>
          <w:szCs w:val="22"/>
          <w:lang w:val="hr-HR"/>
        </w:rPr>
        <w:t>ti sa SR hroničnim GvHD. Bolest je bila teška kod 62,2% pacijenata, a um</w:t>
      </w:r>
      <w:r w:rsidR="00DD0118">
        <w:rPr>
          <w:color w:val="000000"/>
          <w:sz w:val="22"/>
          <w:szCs w:val="22"/>
          <w:lang w:val="hr-HR"/>
        </w:rPr>
        <w:t>j</w:t>
      </w:r>
      <w:r w:rsidRPr="00374BED">
        <w:rPr>
          <w:color w:val="000000"/>
          <w:sz w:val="22"/>
          <w:szCs w:val="22"/>
          <w:lang w:val="hr-HR"/>
        </w:rPr>
        <w:t>erena kod 37,8% pacijenata. Kod 31 pacijenata (68,9%) je bila zahvaćena koža, kod 18 (4%) su bila zahvaćena usta, a kod 14 (31,1%) su bila zahvaćena pluća.</w:t>
      </w:r>
    </w:p>
    <w:p w14:paraId="137068B3" w14:textId="77777777" w:rsidR="00374BED" w:rsidRPr="00374BED" w:rsidRDefault="00374BED" w:rsidP="00374BED">
      <w:pPr>
        <w:tabs>
          <w:tab w:val="left" w:pos="284"/>
        </w:tabs>
        <w:ind w:right="-15"/>
        <w:jc w:val="both"/>
        <w:textAlignment w:val="baseline"/>
        <w:rPr>
          <w:color w:val="000000"/>
          <w:sz w:val="22"/>
          <w:szCs w:val="22"/>
          <w:lang w:val="hr-HR"/>
        </w:rPr>
      </w:pPr>
    </w:p>
    <w:p w14:paraId="5A6D5BB0" w14:textId="0E2BE5C7" w:rsidR="00374BED" w:rsidRPr="00374BED" w:rsidRDefault="00374BED" w:rsidP="00374BED">
      <w:pPr>
        <w:tabs>
          <w:tab w:val="left" w:pos="284"/>
        </w:tabs>
        <w:ind w:right="-15"/>
        <w:jc w:val="both"/>
        <w:textAlignment w:val="baseline"/>
        <w:rPr>
          <w:color w:val="000000"/>
          <w:sz w:val="22"/>
          <w:szCs w:val="22"/>
          <w:lang w:val="hr-HR"/>
        </w:rPr>
      </w:pPr>
      <w:r w:rsidRPr="00374BED">
        <w:rPr>
          <w:color w:val="000000"/>
          <w:sz w:val="22"/>
          <w:szCs w:val="22"/>
          <w:lang w:val="hr-HR"/>
        </w:rPr>
        <w:t>ORR u 169. danu (m</w:t>
      </w:r>
      <w:r w:rsidR="00DD0118">
        <w:rPr>
          <w:color w:val="000000"/>
          <w:sz w:val="22"/>
          <w:szCs w:val="22"/>
          <w:lang w:val="hr-HR"/>
        </w:rPr>
        <w:t>j</w:t>
      </w:r>
      <w:r w:rsidRPr="00374BED">
        <w:rPr>
          <w:color w:val="000000"/>
          <w:sz w:val="22"/>
          <w:szCs w:val="22"/>
          <w:lang w:val="hr-HR"/>
        </w:rPr>
        <w:t>era primarnog ishoda u pogledu efikasnosti) je iznosio 40% (90% CI: 27,7; 53,3) kod svih pedijatrijskih pacijenata u ispitivanju REACH5 i 39,3% kod SR pacijenata.</w:t>
      </w:r>
    </w:p>
    <w:p w14:paraId="45C43CD7" w14:textId="77777777" w:rsidR="002E37A5" w:rsidRPr="00786071" w:rsidRDefault="002E37A5" w:rsidP="000A557B">
      <w:pPr>
        <w:tabs>
          <w:tab w:val="left" w:pos="540"/>
          <w:tab w:val="left" w:pos="569"/>
        </w:tabs>
        <w:jc w:val="both"/>
        <w:rPr>
          <w:b/>
          <w:bCs/>
          <w:sz w:val="22"/>
          <w:szCs w:val="22"/>
        </w:rPr>
      </w:pPr>
    </w:p>
    <w:p w14:paraId="145EE48B" w14:textId="77777777" w:rsidR="0072020E" w:rsidRDefault="0072020E" w:rsidP="000A557B">
      <w:pPr>
        <w:tabs>
          <w:tab w:val="left" w:pos="540"/>
          <w:tab w:val="left" w:pos="569"/>
        </w:tabs>
        <w:jc w:val="both"/>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610C99FB" w14:textId="77777777" w:rsidR="00F37492" w:rsidRDefault="00F37492" w:rsidP="000A557B">
      <w:pPr>
        <w:tabs>
          <w:tab w:val="left" w:pos="540"/>
          <w:tab w:val="left" w:pos="569"/>
        </w:tabs>
        <w:jc w:val="both"/>
        <w:rPr>
          <w:b/>
          <w:bCs/>
          <w:sz w:val="22"/>
          <w:szCs w:val="22"/>
        </w:rPr>
      </w:pPr>
    </w:p>
    <w:p w14:paraId="1DA9B4DC" w14:textId="3BF30662" w:rsidR="00F37492" w:rsidRDefault="00F37492" w:rsidP="000A557B">
      <w:pPr>
        <w:jc w:val="both"/>
        <w:rPr>
          <w:sz w:val="22"/>
          <w:szCs w:val="22"/>
          <w:u w:val="single"/>
          <w:lang w:val="sr-Latn-CS" w:eastAsia="sr-Latn-CS"/>
        </w:rPr>
      </w:pPr>
      <w:r w:rsidRPr="00F37492">
        <w:rPr>
          <w:sz w:val="22"/>
          <w:szCs w:val="22"/>
          <w:u w:val="single"/>
          <w:lang w:val="sr-Latn-CS" w:eastAsia="sr-Latn-CS"/>
        </w:rPr>
        <w:t>Resorpcija</w:t>
      </w:r>
    </w:p>
    <w:p w14:paraId="7548BD95" w14:textId="77777777" w:rsidR="00D83E5E" w:rsidRPr="00F37492" w:rsidRDefault="00D83E5E" w:rsidP="000A557B">
      <w:pPr>
        <w:jc w:val="both"/>
        <w:rPr>
          <w:rFonts w:cs="Arial Unicode MS"/>
          <w:sz w:val="22"/>
          <w:szCs w:val="22"/>
          <w:lang w:val="sr-Latn-CS" w:eastAsia="sr-Latn-ME"/>
        </w:rPr>
      </w:pPr>
    </w:p>
    <w:p w14:paraId="128C16BE" w14:textId="67BE30D1" w:rsidR="00F37492" w:rsidRPr="00F37492" w:rsidRDefault="00F37492" w:rsidP="000A557B">
      <w:pPr>
        <w:jc w:val="both"/>
        <w:rPr>
          <w:rFonts w:cs="Arial Unicode MS"/>
          <w:sz w:val="22"/>
          <w:szCs w:val="22"/>
          <w:lang w:val="sr-Latn-CS" w:eastAsia="sr-Latn-ME"/>
        </w:rPr>
      </w:pPr>
      <w:r w:rsidRPr="00F37492">
        <w:rPr>
          <w:sz w:val="22"/>
          <w:szCs w:val="22"/>
          <w:lang w:val="sr-Latn-CS" w:eastAsia="sr-Latn-CS"/>
        </w:rPr>
        <w:t xml:space="preserve">Ruksolitinib je jedinjenje klase 1 u Klasifikacionom sistemu bioloških ljekova (BCS – </w:t>
      </w:r>
      <w:r w:rsidRPr="00F37492">
        <w:rPr>
          <w:i/>
          <w:sz w:val="22"/>
          <w:szCs w:val="22"/>
          <w:lang w:val="sr-Latn-CS" w:eastAsia="sr-Latn-CS"/>
        </w:rPr>
        <w:t>Biopharmaceutical Classification System</w:t>
      </w:r>
      <w:r w:rsidRPr="00F37492">
        <w:rPr>
          <w:sz w:val="22"/>
          <w:szCs w:val="22"/>
          <w:lang w:val="sr-Latn-CS" w:eastAsia="sr-Latn-CS"/>
        </w:rPr>
        <w:t>) i odlikuje se visokom permeabilnošću, visokom solubilnošću i brzim rastvaranjem. U kliničkim studijama ruksolitinib se poslije oralne primjene brzo resorbuje i dostiže maksimalne koncentracije u plazmi (C</w:t>
      </w:r>
      <w:r w:rsidRPr="00F37492">
        <w:rPr>
          <w:sz w:val="22"/>
          <w:szCs w:val="22"/>
          <w:vertAlign w:val="subscript"/>
          <w:lang w:val="sr-Latn-CS" w:eastAsia="sr-Latn-CS"/>
        </w:rPr>
        <w:t>max</w:t>
      </w:r>
      <w:r w:rsidRPr="00F37492">
        <w:rPr>
          <w:sz w:val="22"/>
          <w:szCs w:val="22"/>
          <w:lang w:val="sr-Latn-CS" w:eastAsia="sr-Latn-CS"/>
        </w:rPr>
        <w:t>) otprilike 1 h nakon uzimanja doze. Na osnovu ispitivanja balansa tjelesne mase, oralna resorpcija ruksolitiniba, u obliku samog ruksolitiniba ili metabolita koji se formiraju poslije prvog prolaza</w:t>
      </w:r>
      <w:r w:rsidR="00CF613C">
        <w:rPr>
          <w:sz w:val="22"/>
          <w:szCs w:val="22"/>
          <w:lang w:val="sr-Latn-CS" w:eastAsia="sr-Latn-CS"/>
        </w:rPr>
        <w:t xml:space="preserve"> kroz jetru</w:t>
      </w:r>
      <w:r w:rsidRPr="00F37492">
        <w:rPr>
          <w:sz w:val="22"/>
          <w:szCs w:val="22"/>
          <w:lang w:val="sr-Latn-CS" w:eastAsia="sr-Latn-CS"/>
        </w:rPr>
        <w:t>, iznosi 95% ili više. Srednja vrijednost C</w:t>
      </w:r>
      <w:r w:rsidRPr="00F37492">
        <w:rPr>
          <w:sz w:val="22"/>
          <w:szCs w:val="22"/>
          <w:vertAlign w:val="subscript"/>
          <w:lang w:val="sr-Latn-CS" w:eastAsia="sr-Latn-CS"/>
        </w:rPr>
        <w:t>max</w:t>
      </w:r>
      <w:r w:rsidRPr="00F37492">
        <w:rPr>
          <w:sz w:val="22"/>
          <w:szCs w:val="22"/>
          <w:lang w:val="sr-Latn-CS" w:eastAsia="sr-Latn-CS"/>
        </w:rPr>
        <w:t xml:space="preserve"> ruksolitiniba i ukupna izloženost (PIK) povećavaju se proporcionalno sa opsegom pojedinačne doze od 5</w:t>
      </w:r>
      <w:r w:rsidR="00CF613C">
        <w:rPr>
          <w:sz w:val="22"/>
          <w:szCs w:val="22"/>
          <w:lang w:val="sr-Latn-CS" w:eastAsia="sr-Latn-CS"/>
        </w:rPr>
        <w:t xml:space="preserve"> </w:t>
      </w:r>
      <w:r w:rsidRPr="00F37492">
        <w:rPr>
          <w:sz w:val="22"/>
          <w:szCs w:val="22"/>
          <w:lang w:val="sr-Latn-CS" w:eastAsia="sr-Latn-CS"/>
        </w:rPr>
        <w:t>-</w:t>
      </w:r>
      <w:r w:rsidR="00CF613C">
        <w:rPr>
          <w:sz w:val="22"/>
          <w:szCs w:val="22"/>
          <w:lang w:val="sr-Latn-CS" w:eastAsia="sr-Latn-CS"/>
        </w:rPr>
        <w:t xml:space="preserve"> </w:t>
      </w:r>
      <w:r w:rsidRPr="00F37492">
        <w:rPr>
          <w:sz w:val="22"/>
          <w:szCs w:val="22"/>
          <w:lang w:val="sr-Latn-CS" w:eastAsia="sr-Latn-CS"/>
        </w:rPr>
        <w:t>200 mg. Nije bilo klinički relevantne promjene u farmakokinetici ruksolitiniba poslije davanja lijeka sa obrokom bogatim mastima. Srednja vrijednost C</w:t>
      </w:r>
      <w:r w:rsidRPr="00F37492">
        <w:rPr>
          <w:sz w:val="22"/>
          <w:szCs w:val="22"/>
          <w:vertAlign w:val="subscript"/>
          <w:lang w:val="sr-Latn-CS" w:eastAsia="sr-Latn-CS"/>
        </w:rPr>
        <w:t>max</w:t>
      </w:r>
      <w:r w:rsidRPr="00F37492">
        <w:rPr>
          <w:sz w:val="22"/>
          <w:szCs w:val="22"/>
          <w:lang w:val="sr-Latn-CS" w:eastAsia="sr-Latn-CS"/>
        </w:rPr>
        <w:t xml:space="preserve"> bila je umjereno snižena (24%) dok je srednja PIK bila praktično nepromijenjena (povećanje od 4% ) kada je lijek uzet uz obrok bogat mastima.</w:t>
      </w:r>
    </w:p>
    <w:p w14:paraId="1E437D52" w14:textId="77777777" w:rsidR="008E5CA5" w:rsidRDefault="008E5CA5" w:rsidP="000A557B">
      <w:pPr>
        <w:jc w:val="both"/>
        <w:rPr>
          <w:noProof/>
          <w:sz w:val="22"/>
          <w:szCs w:val="22"/>
          <w:u w:val="single"/>
          <w:lang w:val="sr-Latn-CS" w:eastAsia="sr-Latn-CS"/>
        </w:rPr>
      </w:pPr>
    </w:p>
    <w:p w14:paraId="7F397B3E" w14:textId="2FE278DD" w:rsidR="00F37492" w:rsidRDefault="00F37492" w:rsidP="000A557B">
      <w:pPr>
        <w:jc w:val="both"/>
        <w:rPr>
          <w:sz w:val="22"/>
          <w:szCs w:val="22"/>
          <w:u w:val="single"/>
          <w:lang w:val="sr-Latn-CS" w:eastAsia="sr-Latn-CS"/>
        </w:rPr>
      </w:pPr>
      <w:r w:rsidRPr="00F37492">
        <w:rPr>
          <w:sz w:val="22"/>
          <w:szCs w:val="22"/>
          <w:u w:val="single"/>
          <w:lang w:val="sr-Latn-CS" w:eastAsia="sr-Latn-CS"/>
        </w:rPr>
        <w:t xml:space="preserve">Distribucija </w:t>
      </w:r>
    </w:p>
    <w:p w14:paraId="5AFA6D7E" w14:textId="77777777" w:rsidR="00CF613C" w:rsidRPr="00F37492" w:rsidRDefault="00CF613C" w:rsidP="000A557B">
      <w:pPr>
        <w:jc w:val="both"/>
        <w:rPr>
          <w:rFonts w:cs="Arial Unicode MS"/>
          <w:sz w:val="22"/>
          <w:szCs w:val="22"/>
          <w:lang w:val="sr-Latn-CS" w:eastAsia="sr-Latn-ME"/>
        </w:rPr>
      </w:pPr>
    </w:p>
    <w:p w14:paraId="5B39EC76" w14:textId="451ABF9C" w:rsidR="00F37492" w:rsidRPr="00F37492" w:rsidRDefault="00F37492" w:rsidP="000A557B">
      <w:pPr>
        <w:jc w:val="both"/>
        <w:rPr>
          <w:sz w:val="22"/>
          <w:szCs w:val="22"/>
          <w:lang w:val="sr-Latn-CS" w:eastAsia="sr-Latn-CS"/>
        </w:rPr>
      </w:pPr>
      <w:r w:rsidRPr="00F37492">
        <w:rPr>
          <w:sz w:val="22"/>
          <w:szCs w:val="22"/>
          <w:lang w:val="hr-HR" w:eastAsia="sr-Latn-ME"/>
        </w:rPr>
        <w:t xml:space="preserve">Srednji volumen distribucije u stanju </w:t>
      </w:r>
      <w:r w:rsidR="00CF613C">
        <w:rPr>
          <w:sz w:val="22"/>
          <w:szCs w:val="22"/>
          <w:lang w:val="hr-HR" w:eastAsia="sr-Latn-ME"/>
        </w:rPr>
        <w:t xml:space="preserve">dinamičke </w:t>
      </w:r>
      <w:r w:rsidRPr="00F37492">
        <w:rPr>
          <w:sz w:val="22"/>
          <w:szCs w:val="22"/>
          <w:lang w:val="hr-HR" w:eastAsia="sr-Latn-ME"/>
        </w:rPr>
        <w:t>ravnoteže je približno 75 litara kod pacijenata sa MF i PV</w:t>
      </w:r>
      <w:r w:rsidR="00374BED">
        <w:rPr>
          <w:sz w:val="22"/>
          <w:szCs w:val="22"/>
          <w:lang w:val="hr-HR" w:eastAsia="sr-Latn-ME"/>
        </w:rPr>
        <w:t xml:space="preserve">, </w:t>
      </w:r>
      <w:r w:rsidR="00374BED" w:rsidRPr="00374BED">
        <w:rPr>
          <w:sz w:val="22"/>
          <w:szCs w:val="22"/>
          <w:lang w:val="hr-HR" w:eastAsia="sr-Latn-ME"/>
        </w:rPr>
        <w:t>67,5 litara kod adolescentnih i odraslih pacijenata sa akutnim GvHD i 60,9 litara kod adolescentnih i odraslih pacijenata sa hroničnim GvHD. Srednja vr</w:t>
      </w:r>
      <w:r w:rsidR="00DD0118">
        <w:rPr>
          <w:sz w:val="22"/>
          <w:szCs w:val="22"/>
          <w:lang w:val="hr-HR" w:eastAsia="sr-Latn-ME"/>
        </w:rPr>
        <w:t>ij</w:t>
      </w:r>
      <w:r w:rsidR="00374BED" w:rsidRPr="00374BED">
        <w:rPr>
          <w:sz w:val="22"/>
          <w:szCs w:val="22"/>
          <w:lang w:val="hr-HR" w:eastAsia="sr-Latn-ME"/>
        </w:rPr>
        <w:t xml:space="preserve">ednost volumena distribucije u stanju dinamičke </w:t>
      </w:r>
      <w:r w:rsidR="00374BED" w:rsidRPr="00374BED">
        <w:rPr>
          <w:sz w:val="22"/>
          <w:szCs w:val="22"/>
          <w:lang w:val="hr-HR" w:eastAsia="sr-Latn-ME"/>
        </w:rPr>
        <w:lastRenderedPageBreak/>
        <w:t>ravnoteže je približno 30 litara kod pedijatrijskih pacijenata sa akutnim ili hroničnim GvHD i površinom t</w:t>
      </w:r>
      <w:r w:rsidR="00DD0118">
        <w:rPr>
          <w:sz w:val="22"/>
          <w:szCs w:val="22"/>
          <w:lang w:val="hr-HR" w:eastAsia="sr-Latn-ME"/>
        </w:rPr>
        <w:t>ij</w:t>
      </w:r>
      <w:r w:rsidR="00374BED" w:rsidRPr="00374BED">
        <w:rPr>
          <w:sz w:val="22"/>
          <w:szCs w:val="22"/>
          <w:lang w:val="hr-HR" w:eastAsia="sr-Latn-ME"/>
        </w:rPr>
        <w:t xml:space="preserve">ela (engl. </w:t>
      </w:r>
      <w:r w:rsidR="00374BED" w:rsidRPr="00374BED">
        <w:rPr>
          <w:i/>
          <w:sz w:val="22"/>
          <w:szCs w:val="22"/>
          <w:lang w:val="hr-HR" w:eastAsia="sr-Latn-ME"/>
        </w:rPr>
        <w:t>body surface area</w:t>
      </w:r>
      <w:r w:rsidR="00374BED" w:rsidRPr="00374BED">
        <w:rPr>
          <w:sz w:val="22"/>
          <w:szCs w:val="22"/>
          <w:lang w:val="hr-HR" w:eastAsia="sr-Latn-ME"/>
        </w:rPr>
        <w:t>, BSA) manjom od 1 m</w:t>
      </w:r>
      <w:r w:rsidR="00374BED" w:rsidRPr="00374BED">
        <w:rPr>
          <w:sz w:val="22"/>
          <w:szCs w:val="22"/>
          <w:vertAlign w:val="superscript"/>
          <w:lang w:val="hr-HR" w:eastAsia="sr-Latn-ME"/>
        </w:rPr>
        <w:t>2</w:t>
      </w:r>
      <w:r w:rsidR="00374BED" w:rsidRPr="00374BED">
        <w:rPr>
          <w:sz w:val="22"/>
          <w:szCs w:val="22"/>
          <w:lang w:val="sr-Latn-CS" w:eastAsia="sr-Latn-ME"/>
        </w:rPr>
        <w:t>.</w:t>
      </w:r>
      <w:r w:rsidR="00D83E5E">
        <w:rPr>
          <w:sz w:val="22"/>
          <w:szCs w:val="22"/>
          <w:lang w:val="sr-Latn-CS" w:eastAsia="sr-Latn-ME"/>
        </w:rPr>
        <w:t xml:space="preserve"> </w:t>
      </w:r>
      <w:r w:rsidRPr="00F37492">
        <w:rPr>
          <w:sz w:val="22"/>
          <w:szCs w:val="22"/>
          <w:lang w:val="sr-Latn-CS" w:eastAsia="sr-Latn-CS"/>
        </w:rPr>
        <w:t>U klinički relevantnim koncentracijama ruksolitiniba, vezivanje za proteine plazme</w:t>
      </w:r>
      <w:r w:rsidRPr="00F37492">
        <w:rPr>
          <w:i/>
          <w:iCs/>
          <w:sz w:val="22"/>
          <w:szCs w:val="22"/>
          <w:shd w:val="clear" w:color="auto" w:fill="FFFFFF"/>
          <w:lang w:val="sr-Latn-CS" w:eastAsia="sr-Latn-CS"/>
        </w:rPr>
        <w:t xml:space="preserve"> in vitro</w:t>
      </w:r>
      <w:r w:rsidRPr="00F37492">
        <w:rPr>
          <w:sz w:val="22"/>
          <w:szCs w:val="22"/>
          <w:lang w:val="sr-Latn-CS" w:eastAsia="sr-Latn-CS"/>
        </w:rPr>
        <w:t xml:space="preserve"> približno je 97% i to uglavnom za albumin. Ispitivanje autoradiografije cijelog tijela rađeno na pacovima pokazalo je da ruksolitinib ne prolazi kroz krvno-moždanu barijeru.</w:t>
      </w:r>
    </w:p>
    <w:p w14:paraId="58315D48" w14:textId="77777777" w:rsidR="00F37492" w:rsidRPr="00F37492" w:rsidRDefault="00F37492" w:rsidP="000A557B">
      <w:pPr>
        <w:jc w:val="both"/>
        <w:rPr>
          <w:rFonts w:cs="Arial Unicode MS"/>
          <w:sz w:val="22"/>
          <w:szCs w:val="22"/>
          <w:lang w:val="sr-Latn-CS" w:eastAsia="sr-Latn-ME"/>
        </w:rPr>
      </w:pPr>
    </w:p>
    <w:p w14:paraId="78D47B01" w14:textId="56417B66" w:rsidR="00F37492" w:rsidRDefault="00F37492" w:rsidP="000A557B">
      <w:pPr>
        <w:jc w:val="both"/>
        <w:rPr>
          <w:sz w:val="22"/>
          <w:szCs w:val="22"/>
          <w:u w:val="single"/>
          <w:lang w:val="sr-Latn-CS" w:eastAsia="sr-Latn-CS"/>
        </w:rPr>
      </w:pPr>
      <w:r w:rsidRPr="00F37492">
        <w:rPr>
          <w:sz w:val="22"/>
          <w:szCs w:val="22"/>
          <w:u w:val="single"/>
          <w:lang w:val="sr-Latn-CS" w:eastAsia="sr-Latn-CS"/>
        </w:rPr>
        <w:t>Biotransformacija</w:t>
      </w:r>
    </w:p>
    <w:p w14:paraId="2927D544" w14:textId="77777777" w:rsidR="00CF613C" w:rsidRPr="00F37492" w:rsidRDefault="00CF613C" w:rsidP="000A557B">
      <w:pPr>
        <w:jc w:val="both"/>
        <w:rPr>
          <w:rFonts w:cs="Arial Unicode MS"/>
          <w:sz w:val="22"/>
          <w:szCs w:val="22"/>
          <w:lang w:val="sr-Latn-CS" w:eastAsia="sr-Latn-ME"/>
        </w:rPr>
      </w:pPr>
    </w:p>
    <w:p w14:paraId="0A7FCC21" w14:textId="5D3BA5C5" w:rsidR="00F37492" w:rsidRPr="00F37492" w:rsidRDefault="00F37492" w:rsidP="000A557B">
      <w:pPr>
        <w:jc w:val="both"/>
        <w:rPr>
          <w:rFonts w:cs="Arial Unicode MS"/>
          <w:sz w:val="22"/>
          <w:szCs w:val="22"/>
          <w:lang w:val="it-IT" w:eastAsia="sr-Latn-ME"/>
        </w:rPr>
      </w:pPr>
      <w:r w:rsidRPr="00F37492">
        <w:rPr>
          <w:sz w:val="22"/>
          <w:szCs w:val="22"/>
          <w:lang w:val="sr-Latn-CS" w:eastAsia="sr-Latn-CS"/>
        </w:rPr>
        <w:t>Ruksolitinib se uglavnom metaboliše pomoću CYP3A4 (&gt;</w:t>
      </w:r>
      <w:r w:rsidR="00CF613C">
        <w:rPr>
          <w:sz w:val="22"/>
          <w:szCs w:val="22"/>
          <w:lang w:val="sr-Latn-CS" w:eastAsia="sr-Latn-CS"/>
        </w:rPr>
        <w:t xml:space="preserve"> </w:t>
      </w:r>
      <w:r w:rsidRPr="00F37492">
        <w:rPr>
          <w:sz w:val="22"/>
          <w:szCs w:val="22"/>
          <w:lang w:val="sr-Latn-CS" w:eastAsia="sr-Latn-CS"/>
        </w:rPr>
        <w:t>50%), uz dodatno učešće CYP2C9. Osnovno jedinjenje preovlađuje u humanoj plazmi i na njega odlazi približno 60% jedinjenja povezanih sa lijekom u cirkulaciji. Dva glavna i aktivna metabolita su prisutna u plazmi i na njih odlazi 25% i 11% PIK osnovnog jedinjenja. Ovi metaboliti imaju od polovine do petine farmakološke aktivnosti osnovnog lijeka povezanog sa JAK. Ukupni zbir svih aktivnih metabolita učestvuje sa 18% u ukupnoj farmakodinamici ruksolitiniba. U klinički relevantnim koncentracijama, na osnovu</w:t>
      </w:r>
      <w:r w:rsidRPr="00F37492">
        <w:rPr>
          <w:i/>
          <w:iCs/>
          <w:sz w:val="22"/>
          <w:szCs w:val="22"/>
          <w:shd w:val="clear" w:color="auto" w:fill="FFFFFF"/>
          <w:lang w:val="sr-Latn-CS" w:eastAsia="sr-Latn-CS"/>
        </w:rPr>
        <w:t xml:space="preserve"> in vitro</w:t>
      </w:r>
      <w:r w:rsidRPr="00F37492">
        <w:rPr>
          <w:sz w:val="22"/>
          <w:szCs w:val="22"/>
          <w:lang w:val="sr-Latn-CS" w:eastAsia="sr-Latn-CS"/>
        </w:rPr>
        <w:t xml:space="preserve"> studija, ruksolitinib ne inhibira CYP1A2, CYP2B6, CYP2C8, CYP2C9, CYP2C19, CYP2D6 ili CYP3A4 i nije snažni induktor CYP1A2, CYP2B6 ili CYP3A4.</w:t>
      </w:r>
      <w:r w:rsidR="00CF613C">
        <w:rPr>
          <w:sz w:val="22"/>
          <w:szCs w:val="22"/>
          <w:lang w:val="sr-Latn-CS" w:eastAsia="sr-Latn-CS"/>
        </w:rPr>
        <w:t xml:space="preserve"> </w:t>
      </w:r>
      <w:r w:rsidRPr="00F37492">
        <w:rPr>
          <w:i/>
          <w:iCs/>
          <w:sz w:val="22"/>
          <w:szCs w:val="22"/>
          <w:shd w:val="clear" w:color="auto" w:fill="FFFFFF"/>
          <w:lang w:val="sr-Latn-CS" w:eastAsia="sr-Latn-CS"/>
        </w:rPr>
        <w:t xml:space="preserve"> </w:t>
      </w:r>
      <w:r w:rsidRPr="00F37492">
        <w:rPr>
          <w:i/>
          <w:iCs/>
          <w:sz w:val="22"/>
          <w:szCs w:val="22"/>
          <w:shd w:val="clear" w:color="auto" w:fill="FFFFFF"/>
          <w:lang w:val="it-IT" w:eastAsia="sr-Latn-CS"/>
        </w:rPr>
        <w:t>In vitro</w:t>
      </w:r>
      <w:r w:rsidRPr="00F37492">
        <w:rPr>
          <w:sz w:val="22"/>
          <w:szCs w:val="22"/>
          <w:lang w:val="it-IT" w:eastAsia="sr-Latn-CS"/>
        </w:rPr>
        <w:t xml:space="preserve"> podaci ukazuju da ruksolitinib može da inhibira P-gp i BCRP.</w:t>
      </w:r>
    </w:p>
    <w:p w14:paraId="63C6BDB7" w14:textId="77777777" w:rsidR="00F37492" w:rsidRPr="00F37492" w:rsidRDefault="00F37492" w:rsidP="000A557B">
      <w:pPr>
        <w:jc w:val="both"/>
        <w:rPr>
          <w:sz w:val="22"/>
          <w:szCs w:val="22"/>
          <w:u w:val="single"/>
          <w:lang w:val="it-IT" w:eastAsia="sr-Latn-CS"/>
        </w:rPr>
      </w:pPr>
    </w:p>
    <w:p w14:paraId="5A690A5E" w14:textId="77777777" w:rsidR="00F37492" w:rsidRDefault="00F37492" w:rsidP="000A557B">
      <w:pPr>
        <w:jc w:val="both"/>
        <w:rPr>
          <w:sz w:val="22"/>
          <w:szCs w:val="22"/>
          <w:u w:val="single"/>
          <w:lang w:val="it-IT" w:eastAsia="sr-Latn-CS"/>
        </w:rPr>
      </w:pPr>
      <w:r w:rsidRPr="00F37492">
        <w:rPr>
          <w:sz w:val="22"/>
          <w:szCs w:val="22"/>
          <w:u w:val="single"/>
          <w:lang w:val="it-IT" w:eastAsia="sr-Latn-CS"/>
        </w:rPr>
        <w:t>Eliminacija</w:t>
      </w:r>
    </w:p>
    <w:p w14:paraId="17E28723" w14:textId="77777777" w:rsidR="00C36A2C" w:rsidRPr="00F37492" w:rsidRDefault="00C36A2C" w:rsidP="000A557B">
      <w:pPr>
        <w:jc w:val="both"/>
        <w:rPr>
          <w:rFonts w:cs="Arial Unicode MS"/>
          <w:sz w:val="22"/>
          <w:szCs w:val="22"/>
          <w:lang w:val="it-IT" w:eastAsia="sr-Latn-ME"/>
        </w:rPr>
      </w:pPr>
    </w:p>
    <w:p w14:paraId="0ABF9FC7" w14:textId="77777777" w:rsidR="00F37492" w:rsidRPr="00F37492" w:rsidRDefault="00F37492" w:rsidP="000A557B">
      <w:pPr>
        <w:jc w:val="both"/>
        <w:rPr>
          <w:rFonts w:cs="Arial Unicode MS"/>
          <w:sz w:val="22"/>
          <w:szCs w:val="22"/>
          <w:lang w:val="it-IT" w:eastAsia="sr-Latn-ME"/>
        </w:rPr>
      </w:pPr>
      <w:r w:rsidRPr="00F37492">
        <w:rPr>
          <w:sz w:val="22"/>
          <w:szCs w:val="22"/>
          <w:lang w:val="it-IT" w:eastAsia="sr-Latn-CS"/>
        </w:rPr>
        <w:t>Ruksolitinib se uglavnom izlučuje metaboličkim putem. Srednje poluvrijeme eliminacije ruksolitiniba je približno 3 sata. Nakon pojedinačne oralne doze [</w:t>
      </w:r>
      <w:r w:rsidRPr="00F37492">
        <w:rPr>
          <w:sz w:val="22"/>
          <w:szCs w:val="22"/>
          <w:vertAlign w:val="superscript"/>
          <w:lang w:val="it-IT" w:eastAsia="sr-Latn-CS"/>
        </w:rPr>
        <w:t>14</w:t>
      </w:r>
      <w:r w:rsidRPr="00F37492">
        <w:rPr>
          <w:sz w:val="22"/>
          <w:szCs w:val="22"/>
          <w:lang w:val="it-IT" w:eastAsia="sr-Latn-CS"/>
        </w:rPr>
        <w:t>C]-obilježenog ruksolitiniba zdravim odraslim ispitanicima, izlučivanje se uglavnom odvijalo metaboličkim putem, pri čemu je 74% radioaktivnosti izlučeno urinom, a 22% fecesom. Na neizmijenjeno osnovno jedinjenje odlazi manje od 1% ukupno izlučene radioaktivnosti.</w:t>
      </w:r>
    </w:p>
    <w:p w14:paraId="746150C8" w14:textId="77777777" w:rsidR="00F37492" w:rsidRPr="00F37492" w:rsidRDefault="00F37492" w:rsidP="000A557B">
      <w:pPr>
        <w:jc w:val="both"/>
        <w:rPr>
          <w:sz w:val="22"/>
          <w:szCs w:val="22"/>
          <w:u w:val="single"/>
          <w:lang w:val="it-IT" w:eastAsia="sr-Latn-CS"/>
        </w:rPr>
      </w:pPr>
    </w:p>
    <w:p w14:paraId="54651166" w14:textId="71C2F1A0" w:rsidR="00F37492" w:rsidRDefault="00F37492" w:rsidP="000A557B">
      <w:pPr>
        <w:jc w:val="both"/>
        <w:rPr>
          <w:sz w:val="22"/>
          <w:szCs w:val="22"/>
          <w:u w:val="single"/>
          <w:lang w:val="it-IT" w:eastAsia="sr-Latn-CS"/>
        </w:rPr>
      </w:pPr>
      <w:r w:rsidRPr="00F37492">
        <w:rPr>
          <w:sz w:val="22"/>
          <w:szCs w:val="22"/>
          <w:u w:val="single"/>
          <w:lang w:val="it-IT" w:eastAsia="sr-Latn-CS"/>
        </w:rPr>
        <w:t>Linearnost/ne-linearnost</w:t>
      </w:r>
    </w:p>
    <w:p w14:paraId="5EBC800F" w14:textId="77777777" w:rsidR="00CF613C" w:rsidRPr="00F37492" w:rsidRDefault="00CF613C" w:rsidP="000A557B">
      <w:pPr>
        <w:jc w:val="both"/>
        <w:rPr>
          <w:rFonts w:cs="Arial Unicode MS"/>
          <w:sz w:val="22"/>
          <w:szCs w:val="22"/>
          <w:lang w:val="it-IT" w:eastAsia="sr-Latn-ME"/>
        </w:rPr>
      </w:pPr>
    </w:p>
    <w:p w14:paraId="445962ED" w14:textId="77777777" w:rsidR="00F37492" w:rsidRPr="00F37492" w:rsidRDefault="00F37492" w:rsidP="000A557B">
      <w:pPr>
        <w:jc w:val="both"/>
        <w:rPr>
          <w:rFonts w:cs="Arial Unicode MS"/>
          <w:sz w:val="22"/>
          <w:szCs w:val="22"/>
          <w:lang w:val="it-IT" w:eastAsia="sr-Latn-ME"/>
        </w:rPr>
      </w:pPr>
      <w:r w:rsidRPr="00F37492">
        <w:rPr>
          <w:sz w:val="22"/>
          <w:szCs w:val="22"/>
          <w:lang w:val="it-IT" w:eastAsia="sr-Latn-CS"/>
        </w:rPr>
        <w:t>Proporcionalnost sa dozom pokazana je i u studijama pojedinačne i ponavljanih doza.</w:t>
      </w:r>
    </w:p>
    <w:p w14:paraId="3434F504" w14:textId="77777777" w:rsidR="00F37492" w:rsidRPr="00F37492" w:rsidRDefault="00F37492" w:rsidP="000A557B">
      <w:pPr>
        <w:jc w:val="both"/>
        <w:rPr>
          <w:sz w:val="22"/>
          <w:szCs w:val="22"/>
          <w:u w:val="single"/>
          <w:lang w:val="it-IT" w:eastAsia="sr-Latn-CS"/>
        </w:rPr>
      </w:pPr>
    </w:p>
    <w:p w14:paraId="6EA868E7" w14:textId="77777777" w:rsidR="00F37492" w:rsidRPr="00F37492" w:rsidRDefault="00F37492" w:rsidP="000A557B">
      <w:pPr>
        <w:jc w:val="both"/>
        <w:rPr>
          <w:sz w:val="22"/>
          <w:szCs w:val="22"/>
          <w:u w:val="single"/>
          <w:lang w:val="it-IT" w:eastAsia="sr-Latn-CS"/>
        </w:rPr>
      </w:pPr>
      <w:r w:rsidRPr="00F37492">
        <w:rPr>
          <w:sz w:val="22"/>
          <w:szCs w:val="22"/>
          <w:u w:val="single"/>
          <w:lang w:val="it-IT" w:eastAsia="sr-Latn-CS"/>
        </w:rPr>
        <w:t>Posebne populacije</w:t>
      </w:r>
    </w:p>
    <w:p w14:paraId="4DCD4693" w14:textId="77777777" w:rsidR="00F37492" w:rsidRPr="00F37492" w:rsidRDefault="00F37492" w:rsidP="000A557B">
      <w:pPr>
        <w:jc w:val="both"/>
        <w:rPr>
          <w:rFonts w:cs="Arial Unicode MS"/>
          <w:sz w:val="22"/>
          <w:szCs w:val="22"/>
          <w:lang w:val="it-IT" w:eastAsia="sr-Latn-ME"/>
        </w:rPr>
      </w:pPr>
    </w:p>
    <w:p w14:paraId="6DD43105" w14:textId="55FDE599" w:rsidR="00CF613C" w:rsidRPr="00F37492" w:rsidRDefault="00374BED" w:rsidP="000A557B">
      <w:pPr>
        <w:jc w:val="both"/>
        <w:rPr>
          <w:rFonts w:cs="Arial Unicode MS"/>
          <w:i/>
          <w:iCs/>
          <w:sz w:val="22"/>
          <w:szCs w:val="22"/>
          <w:u w:val="single"/>
          <w:lang w:val="it-IT" w:eastAsia="sr-Latn-ME"/>
        </w:rPr>
      </w:pPr>
      <w:r>
        <w:rPr>
          <w:i/>
          <w:iCs/>
          <w:sz w:val="22"/>
          <w:szCs w:val="22"/>
          <w:u w:val="single"/>
          <w:lang w:val="it-IT" w:eastAsia="sr-Latn-CS"/>
        </w:rPr>
        <w:t>Uticaj</w:t>
      </w:r>
      <w:r w:rsidR="00F37492" w:rsidRPr="00F37492">
        <w:rPr>
          <w:i/>
          <w:iCs/>
          <w:sz w:val="22"/>
          <w:szCs w:val="22"/>
          <w:u w:val="single"/>
          <w:lang w:val="it-IT" w:eastAsia="sr-Latn-CS"/>
        </w:rPr>
        <w:t xml:space="preserve"> </w:t>
      </w:r>
      <w:r w:rsidR="00D83E5E">
        <w:rPr>
          <w:i/>
          <w:iCs/>
          <w:sz w:val="22"/>
          <w:szCs w:val="22"/>
          <w:u w:val="single"/>
          <w:lang w:val="it-IT" w:eastAsia="sr-Latn-CS"/>
        </w:rPr>
        <w:t xml:space="preserve">doba, </w:t>
      </w:r>
      <w:r w:rsidR="00F37492" w:rsidRPr="00F37492">
        <w:rPr>
          <w:i/>
          <w:iCs/>
          <w:sz w:val="22"/>
          <w:szCs w:val="22"/>
          <w:u w:val="single"/>
          <w:lang w:val="it-IT" w:eastAsia="sr-Latn-CS"/>
        </w:rPr>
        <w:t>pola i rase</w:t>
      </w:r>
      <w:r w:rsidR="00CF613C">
        <w:rPr>
          <w:rFonts w:eastAsia="MS Mincho"/>
          <w:szCs w:val="20"/>
          <w:lang w:val="it-IT" w:eastAsia="sr-Latn-CS"/>
        </w:rPr>
        <w:t xml:space="preserve"> </w:t>
      </w:r>
    </w:p>
    <w:p w14:paraId="46B9AE7F" w14:textId="77777777" w:rsidR="00891761" w:rsidRPr="00891761" w:rsidRDefault="00F37492" w:rsidP="000A557B">
      <w:pPr>
        <w:jc w:val="both"/>
        <w:rPr>
          <w:rFonts w:eastAsia="MS Mincho"/>
          <w:sz w:val="22"/>
          <w:szCs w:val="22"/>
          <w:lang w:val="it-IT" w:eastAsia="sr-Latn-CS"/>
        </w:rPr>
      </w:pPr>
      <w:r w:rsidRPr="00891761">
        <w:rPr>
          <w:rFonts w:eastAsia="MS Mincho"/>
          <w:sz w:val="22"/>
          <w:szCs w:val="22"/>
          <w:lang w:val="it-IT" w:eastAsia="sr-Latn-CS"/>
        </w:rPr>
        <w:t>Na osnovu ispitivanja kod zdravih ispitanika, ni</w:t>
      </w:r>
      <w:r w:rsidR="00CF613C" w:rsidRPr="00891761">
        <w:rPr>
          <w:rFonts w:eastAsia="MS Mincho"/>
          <w:sz w:val="22"/>
          <w:szCs w:val="22"/>
          <w:lang w:val="it-IT" w:eastAsia="sr-Latn-CS"/>
        </w:rPr>
        <w:t>je</w:t>
      </w:r>
      <w:r w:rsidRPr="00891761">
        <w:rPr>
          <w:rFonts w:eastAsia="MS Mincho"/>
          <w:sz w:val="22"/>
          <w:szCs w:val="22"/>
          <w:lang w:val="it-IT" w:eastAsia="sr-Latn-CS"/>
        </w:rPr>
        <w:t xml:space="preserve">su zabilježene značajne razlike u farmakokinetici ruksolitiniba u pogledu pola i rase. </w:t>
      </w:r>
    </w:p>
    <w:p w14:paraId="4755EE57" w14:textId="77777777" w:rsidR="00891761" w:rsidRPr="00891761" w:rsidRDefault="00891761" w:rsidP="000A557B">
      <w:pPr>
        <w:jc w:val="both"/>
        <w:rPr>
          <w:rFonts w:eastAsia="MS Mincho"/>
          <w:sz w:val="22"/>
          <w:szCs w:val="22"/>
          <w:lang w:val="it-IT" w:eastAsia="sr-Latn-CS"/>
        </w:rPr>
      </w:pPr>
    </w:p>
    <w:p w14:paraId="53176CE7" w14:textId="13F4BB62" w:rsidR="00891761" w:rsidRPr="00F91F2E" w:rsidRDefault="00891761" w:rsidP="000A557B">
      <w:pPr>
        <w:jc w:val="both"/>
        <w:rPr>
          <w:rFonts w:eastAsia="MS Mincho"/>
          <w:i/>
          <w:sz w:val="22"/>
          <w:szCs w:val="22"/>
          <w:u w:val="single"/>
          <w:lang w:val="hr-HR" w:eastAsia="sr-Latn-CS"/>
        </w:rPr>
      </w:pPr>
      <w:r w:rsidRPr="00891761">
        <w:rPr>
          <w:rFonts w:eastAsia="MS Mincho"/>
          <w:i/>
          <w:sz w:val="22"/>
          <w:szCs w:val="22"/>
          <w:u w:val="single"/>
          <w:lang w:val="hr-HR" w:eastAsia="sr-Latn-CS"/>
        </w:rPr>
        <w:t>Populaciona farmakokinetika</w:t>
      </w:r>
    </w:p>
    <w:p w14:paraId="6292609F" w14:textId="42F41E85" w:rsidR="00F37492" w:rsidRPr="00F37492" w:rsidRDefault="00F37492" w:rsidP="000A557B">
      <w:pPr>
        <w:jc w:val="both"/>
        <w:rPr>
          <w:rFonts w:cs="Arial Unicode MS"/>
          <w:sz w:val="22"/>
          <w:szCs w:val="22"/>
          <w:lang w:val="it-IT" w:eastAsia="sr-Latn-ME"/>
        </w:rPr>
      </w:pPr>
      <w:r w:rsidRPr="00891761">
        <w:rPr>
          <w:rFonts w:eastAsia="MS Mincho"/>
          <w:sz w:val="22"/>
          <w:szCs w:val="22"/>
          <w:lang w:val="it-IT" w:eastAsia="sr-Latn-CS"/>
        </w:rPr>
        <w:t xml:space="preserve">U populacionim farmakokinetičkim procjenama kod pacijenata sa MF, nije utvrđen jasan odnos između oralnog klirensa i starosti pacijenta ili njegove rase. Predviđeni oralni klirens iznosio je 17,7 </w:t>
      </w:r>
      <w:r w:rsidR="00CF613C" w:rsidRPr="00891761">
        <w:rPr>
          <w:rFonts w:eastAsia="MS Mincho"/>
          <w:sz w:val="22"/>
          <w:szCs w:val="22"/>
          <w:lang w:val="it-IT" w:eastAsia="sr-Latn-CS"/>
        </w:rPr>
        <w:t>l</w:t>
      </w:r>
      <w:r w:rsidRPr="00891761">
        <w:rPr>
          <w:rFonts w:eastAsia="MS Mincho"/>
          <w:sz w:val="22"/>
          <w:szCs w:val="22"/>
          <w:lang w:val="it-IT" w:eastAsia="sr-Latn-CS"/>
        </w:rPr>
        <w:t xml:space="preserve">/h kod žena i 22,1 </w:t>
      </w:r>
      <w:r w:rsidR="00CF613C" w:rsidRPr="00891761">
        <w:rPr>
          <w:rFonts w:eastAsia="MS Mincho"/>
          <w:sz w:val="22"/>
          <w:szCs w:val="22"/>
          <w:lang w:val="it-IT" w:eastAsia="sr-Latn-CS"/>
        </w:rPr>
        <w:t>l</w:t>
      </w:r>
      <w:r w:rsidRPr="00891761">
        <w:rPr>
          <w:rFonts w:eastAsia="MS Mincho"/>
          <w:sz w:val="22"/>
          <w:szCs w:val="22"/>
          <w:lang w:val="it-IT" w:eastAsia="sr-Latn-CS"/>
        </w:rPr>
        <w:t>/h kod muškaraca, gdje je individualna varijabilnost ispitanika bila 39% kod pacijenata sa MF.</w:t>
      </w:r>
      <w:r w:rsidRPr="00891761">
        <w:rPr>
          <w:rFonts w:eastAsia="MS Mincho"/>
          <w:sz w:val="22"/>
          <w:szCs w:val="22"/>
          <w:lang w:val="it-IT"/>
        </w:rPr>
        <w:t xml:space="preserve"> </w:t>
      </w:r>
      <w:r w:rsidRPr="00891761">
        <w:rPr>
          <w:rFonts w:eastAsia="MS Mincho"/>
          <w:sz w:val="22"/>
          <w:szCs w:val="22"/>
          <w:lang w:val="it-IT" w:eastAsia="sr-Latn-CS"/>
        </w:rPr>
        <w:t>Klirens je iznosio 12,7 l/h kod pacijenata sa PV, uz varijabilnost između ispitanika od 42% i nije bilo povezanosti između oralnog klirensa i pola, starosne dobi pacijenta ili rase, bazirano na procjeni populacijske farmakokinetike kod pacijenata sa PV.</w:t>
      </w:r>
      <w:r w:rsidRPr="00891761">
        <w:rPr>
          <w:rFonts w:eastAsia="MS Mincho"/>
          <w:sz w:val="22"/>
          <w:szCs w:val="22"/>
        </w:rPr>
        <w:t xml:space="preserve"> Klirens je bio 10,4 l/h kod </w:t>
      </w:r>
      <w:r w:rsidR="00891761" w:rsidRPr="00891761">
        <w:rPr>
          <w:rFonts w:eastAsia="MS Mincho"/>
          <w:sz w:val="22"/>
          <w:szCs w:val="22"/>
          <w:lang w:val="hr-HR"/>
        </w:rPr>
        <w:t xml:space="preserve">adolescentnih i odraslih </w:t>
      </w:r>
      <w:r w:rsidRPr="00891761">
        <w:rPr>
          <w:rFonts w:eastAsia="MS Mincho"/>
          <w:sz w:val="22"/>
          <w:szCs w:val="22"/>
        </w:rPr>
        <w:t xml:space="preserve">pacijenata sa akutnim GvHD i 7,8 l/h kod </w:t>
      </w:r>
      <w:r w:rsidR="00891761" w:rsidRPr="00891761">
        <w:rPr>
          <w:rFonts w:eastAsia="MS Mincho"/>
          <w:sz w:val="22"/>
          <w:szCs w:val="22"/>
          <w:lang w:val="hr-HR"/>
        </w:rPr>
        <w:t xml:space="preserve">adolescentnih i odraslih </w:t>
      </w:r>
      <w:r w:rsidRPr="00891761">
        <w:rPr>
          <w:rFonts w:eastAsia="MS Mincho"/>
          <w:sz w:val="22"/>
          <w:szCs w:val="22"/>
        </w:rPr>
        <w:t>pacijenata sa hroničnim GvHD, sa</w:t>
      </w:r>
      <w:r w:rsidRPr="00F37492">
        <w:rPr>
          <w:rFonts w:eastAsia="MS Mincho"/>
          <w:sz w:val="22"/>
          <w:szCs w:val="22"/>
        </w:rPr>
        <w:t xml:space="preserve"> 49% varijabilnosti među subjektima. </w:t>
      </w:r>
      <w:r w:rsidR="00891761" w:rsidRPr="00891761">
        <w:rPr>
          <w:rFonts w:eastAsia="MS Mincho"/>
          <w:sz w:val="22"/>
          <w:szCs w:val="22"/>
          <w:lang w:val="hr-HR"/>
        </w:rPr>
        <w:t>Kod pedijatrijskih pacijenata sa akutnim ili hroničnim GvHD i BSA  manjim od 1 m</w:t>
      </w:r>
      <w:r w:rsidR="00891761" w:rsidRPr="00891761">
        <w:rPr>
          <w:rFonts w:eastAsia="MS Mincho"/>
          <w:sz w:val="22"/>
          <w:szCs w:val="22"/>
          <w:vertAlign w:val="superscript"/>
          <w:lang w:val="hr-HR"/>
        </w:rPr>
        <w:t>2</w:t>
      </w:r>
      <w:r w:rsidR="00891761" w:rsidRPr="00891761">
        <w:rPr>
          <w:rFonts w:eastAsia="MS Mincho"/>
          <w:sz w:val="22"/>
          <w:szCs w:val="22"/>
          <w:lang w:val="hr-HR"/>
        </w:rPr>
        <w:t>, klirens je bio između 6,5 i 7 l/h.</w:t>
      </w:r>
      <w:r w:rsidR="00891761">
        <w:rPr>
          <w:rFonts w:eastAsia="MS Mincho"/>
          <w:sz w:val="22"/>
          <w:szCs w:val="22"/>
          <w:lang w:val="hr-HR"/>
        </w:rPr>
        <w:t xml:space="preserve"> </w:t>
      </w:r>
      <w:r w:rsidRPr="00F37492">
        <w:rPr>
          <w:rFonts w:eastAsia="MS Mincho"/>
          <w:sz w:val="22"/>
          <w:szCs w:val="22"/>
        </w:rPr>
        <w:t>Nije bila očigledna veza između oralnog klirensa i pola, starosti ili rase pacijenta, na osnovu farmakokinetičke proc</w:t>
      </w:r>
      <w:r w:rsidR="00CF613C">
        <w:rPr>
          <w:rFonts w:eastAsia="MS Mincho"/>
          <w:sz w:val="22"/>
          <w:szCs w:val="22"/>
        </w:rPr>
        <w:t>j</w:t>
      </w:r>
      <w:r w:rsidRPr="00F37492">
        <w:rPr>
          <w:rFonts w:eastAsia="MS Mincho"/>
          <w:sz w:val="22"/>
          <w:szCs w:val="22"/>
        </w:rPr>
        <w:t xml:space="preserve">ene populacije kod pacijenata sa GvHD. </w:t>
      </w:r>
      <w:r w:rsidR="00891761" w:rsidRPr="00891761">
        <w:rPr>
          <w:rFonts w:eastAsia="MS Mincho"/>
          <w:sz w:val="22"/>
          <w:szCs w:val="22"/>
          <w:lang w:val="hr-HR"/>
        </w:rPr>
        <w:t>Pri dozi od 10 mg dva puta na dan</w:t>
      </w:r>
      <w:r w:rsidR="00891761" w:rsidRPr="00891761">
        <w:rPr>
          <w:rFonts w:eastAsia="MS Mincho"/>
          <w:sz w:val="22"/>
          <w:szCs w:val="22"/>
        </w:rPr>
        <w:t xml:space="preserve"> </w:t>
      </w:r>
      <w:r w:rsidR="00891761">
        <w:rPr>
          <w:rFonts w:eastAsia="MS Mincho"/>
          <w:sz w:val="22"/>
          <w:szCs w:val="22"/>
        </w:rPr>
        <w:t>i</w:t>
      </w:r>
      <w:r w:rsidRPr="00F37492">
        <w:rPr>
          <w:rFonts w:eastAsia="MS Mincho"/>
          <w:sz w:val="22"/>
          <w:szCs w:val="22"/>
        </w:rPr>
        <w:t>zloženost je povećana kod pacijenata sa GvHD sa malom površinom tijela (BSA). Kod subjekata sa BSA od 1 m</w:t>
      </w:r>
      <w:r w:rsidRPr="00F37492">
        <w:rPr>
          <w:rFonts w:eastAsia="MS Mincho"/>
          <w:sz w:val="22"/>
          <w:szCs w:val="22"/>
          <w:vertAlign w:val="superscript"/>
        </w:rPr>
        <w:t>2</w:t>
      </w:r>
      <w:r w:rsidRPr="00F37492">
        <w:rPr>
          <w:rFonts w:eastAsia="MS Mincho"/>
          <w:sz w:val="22"/>
          <w:szCs w:val="22"/>
        </w:rPr>
        <w:t>, 1,25 m</w:t>
      </w:r>
      <w:r w:rsidRPr="00F37492">
        <w:rPr>
          <w:rFonts w:eastAsia="MS Mincho"/>
          <w:sz w:val="22"/>
          <w:szCs w:val="22"/>
          <w:vertAlign w:val="superscript"/>
        </w:rPr>
        <w:t>2</w:t>
      </w:r>
      <w:r w:rsidRPr="00F37492">
        <w:rPr>
          <w:rFonts w:eastAsia="MS Mincho"/>
          <w:sz w:val="22"/>
          <w:szCs w:val="22"/>
        </w:rPr>
        <w:t xml:space="preserve"> i 1,5 m</w:t>
      </w:r>
      <w:r w:rsidRPr="00F37492">
        <w:rPr>
          <w:rFonts w:eastAsia="MS Mincho"/>
          <w:sz w:val="22"/>
          <w:szCs w:val="22"/>
          <w:vertAlign w:val="superscript"/>
        </w:rPr>
        <w:t>2</w:t>
      </w:r>
      <w:r w:rsidRPr="00F37492">
        <w:rPr>
          <w:rFonts w:eastAsia="MS Mincho"/>
          <w:sz w:val="22"/>
          <w:szCs w:val="22"/>
        </w:rPr>
        <w:t>, predviđena srednja izloženost (</w:t>
      </w:r>
      <w:r w:rsidR="00BF1F73">
        <w:rPr>
          <w:rFonts w:eastAsia="MS Mincho"/>
          <w:sz w:val="22"/>
          <w:szCs w:val="22"/>
        </w:rPr>
        <w:t>PIK</w:t>
      </w:r>
      <w:r w:rsidRPr="00F37492">
        <w:rPr>
          <w:rFonts w:eastAsia="MS Mincho"/>
          <w:sz w:val="22"/>
          <w:szCs w:val="22"/>
        </w:rPr>
        <w:t>) je bila 31%, 22% i 12% veća od prosječne odrasle osobe (1,79 m</w:t>
      </w:r>
      <w:r w:rsidRPr="00F37492">
        <w:rPr>
          <w:rFonts w:eastAsia="MS Mincho"/>
          <w:sz w:val="22"/>
          <w:szCs w:val="22"/>
          <w:vertAlign w:val="superscript"/>
        </w:rPr>
        <w:t>2</w:t>
      </w:r>
      <w:r w:rsidRPr="00F37492">
        <w:rPr>
          <w:rFonts w:eastAsia="MS Mincho"/>
          <w:sz w:val="22"/>
          <w:szCs w:val="22"/>
        </w:rPr>
        <w:t>).</w:t>
      </w:r>
    </w:p>
    <w:p w14:paraId="24919912" w14:textId="77777777" w:rsidR="00F37492" w:rsidRPr="00F37492" w:rsidRDefault="00F37492" w:rsidP="000A557B">
      <w:pPr>
        <w:jc w:val="both"/>
        <w:rPr>
          <w:i/>
          <w:iCs/>
          <w:sz w:val="22"/>
          <w:szCs w:val="22"/>
          <w:lang w:val="it-IT" w:eastAsia="sr-Latn-CS"/>
        </w:rPr>
      </w:pPr>
    </w:p>
    <w:p w14:paraId="00AA01D6" w14:textId="77777777" w:rsidR="00F37492" w:rsidRPr="00F37492" w:rsidRDefault="00F37492" w:rsidP="000A557B">
      <w:pPr>
        <w:jc w:val="both"/>
        <w:rPr>
          <w:rFonts w:cs="Arial Unicode MS"/>
          <w:i/>
          <w:iCs/>
          <w:sz w:val="22"/>
          <w:szCs w:val="22"/>
          <w:u w:val="single"/>
          <w:lang w:val="it-IT" w:eastAsia="sr-Latn-ME"/>
        </w:rPr>
      </w:pPr>
      <w:r w:rsidRPr="00F37492">
        <w:rPr>
          <w:i/>
          <w:iCs/>
          <w:sz w:val="22"/>
          <w:szCs w:val="22"/>
          <w:u w:val="single"/>
          <w:lang w:val="it-IT" w:eastAsia="sr-Latn-CS"/>
        </w:rPr>
        <w:t>Pedijatrijska populacija</w:t>
      </w:r>
    </w:p>
    <w:p w14:paraId="0B3B4343" w14:textId="77777777" w:rsidR="00891761" w:rsidRDefault="00F37492" w:rsidP="000A557B">
      <w:pPr>
        <w:widowControl w:val="0"/>
        <w:jc w:val="both"/>
        <w:rPr>
          <w:sz w:val="22"/>
          <w:szCs w:val="22"/>
          <w:lang w:val="it-IT"/>
        </w:rPr>
      </w:pPr>
      <w:r w:rsidRPr="00F37492">
        <w:rPr>
          <w:sz w:val="22"/>
          <w:szCs w:val="22"/>
          <w:lang w:val="it-IT"/>
        </w:rPr>
        <w:t xml:space="preserve">Farmakokinetika lijeka Jakavi kod pedijatrijske populacije uzrasta </w:t>
      </w:r>
      <w:r w:rsidRPr="00F37492">
        <w:rPr>
          <w:sz w:val="22"/>
          <w:szCs w:val="22"/>
        </w:rPr>
        <w:t>&lt;18 godina sa MF i PV</w:t>
      </w:r>
      <w:r w:rsidRPr="00F37492">
        <w:rPr>
          <w:sz w:val="22"/>
          <w:szCs w:val="22"/>
          <w:lang w:val="it-IT"/>
        </w:rPr>
        <w:t xml:space="preserve"> nije utvrđena.</w:t>
      </w:r>
    </w:p>
    <w:p w14:paraId="0AD213D8" w14:textId="77777777" w:rsidR="00891761" w:rsidRDefault="00891761" w:rsidP="000A557B">
      <w:pPr>
        <w:widowControl w:val="0"/>
        <w:jc w:val="both"/>
        <w:rPr>
          <w:sz w:val="22"/>
          <w:szCs w:val="22"/>
          <w:lang w:val="it-IT"/>
        </w:rPr>
      </w:pPr>
    </w:p>
    <w:p w14:paraId="35F944A3" w14:textId="2A43B56D" w:rsidR="00891761" w:rsidRPr="00891761" w:rsidRDefault="00891761" w:rsidP="00891761">
      <w:pPr>
        <w:widowControl w:val="0"/>
        <w:jc w:val="both"/>
        <w:rPr>
          <w:sz w:val="22"/>
          <w:szCs w:val="22"/>
          <w:lang w:val="hr-HR"/>
        </w:rPr>
      </w:pPr>
      <w:r w:rsidRPr="00891761">
        <w:rPr>
          <w:sz w:val="22"/>
          <w:szCs w:val="22"/>
          <w:lang w:val="hr-HR"/>
        </w:rPr>
        <w:t>Kao i kod odraslih pacijenata sa GvHD, ruksolitinib se brzo apsorbovao nakon peroralne prim</w:t>
      </w:r>
      <w:r w:rsidR="00DD0118">
        <w:rPr>
          <w:sz w:val="22"/>
          <w:szCs w:val="22"/>
          <w:lang w:val="hr-HR"/>
        </w:rPr>
        <w:t>j</w:t>
      </w:r>
      <w:r w:rsidRPr="00891761">
        <w:rPr>
          <w:sz w:val="22"/>
          <w:szCs w:val="22"/>
          <w:lang w:val="hr-HR"/>
        </w:rPr>
        <w:t>ene kod pedijatrijskih pacijenata sa GvHD. Doziranjem kod d</w:t>
      </w:r>
      <w:r w:rsidR="00DD0118">
        <w:rPr>
          <w:sz w:val="22"/>
          <w:szCs w:val="22"/>
          <w:lang w:val="hr-HR"/>
        </w:rPr>
        <w:t>j</w:t>
      </w:r>
      <w:r w:rsidRPr="00891761">
        <w:rPr>
          <w:sz w:val="22"/>
          <w:szCs w:val="22"/>
          <w:lang w:val="hr-HR"/>
        </w:rPr>
        <w:t xml:space="preserve">ece uzrasta od 6 do 11 godina u dozi od 5 mg dva puta na dan postignuta je izloženost uporediva dozi od 10 mg dva puta na dan kod adolescenata i odraslih </w:t>
      </w:r>
      <w:r w:rsidRPr="00891761">
        <w:rPr>
          <w:sz w:val="22"/>
          <w:szCs w:val="22"/>
          <w:lang w:val="hr-HR"/>
        </w:rPr>
        <w:lastRenderedPageBreak/>
        <w:t>sa akutnim i hroničnim GvHD, što potvrđuje pristup usklađivanja izloženosti prim</w:t>
      </w:r>
      <w:r w:rsidR="00DD0118">
        <w:rPr>
          <w:sz w:val="22"/>
          <w:szCs w:val="22"/>
          <w:lang w:val="hr-HR"/>
        </w:rPr>
        <w:t>ij</w:t>
      </w:r>
      <w:r w:rsidRPr="00891761">
        <w:rPr>
          <w:sz w:val="22"/>
          <w:szCs w:val="22"/>
          <w:lang w:val="hr-HR"/>
        </w:rPr>
        <w:t>enjen kao d</w:t>
      </w:r>
      <w:r w:rsidR="00DD0118">
        <w:rPr>
          <w:sz w:val="22"/>
          <w:szCs w:val="22"/>
          <w:lang w:val="hr-HR"/>
        </w:rPr>
        <w:t>i</w:t>
      </w:r>
      <w:r w:rsidRPr="00891761">
        <w:rPr>
          <w:sz w:val="22"/>
          <w:szCs w:val="22"/>
          <w:lang w:val="hr-HR"/>
        </w:rPr>
        <w:t>o pretpostavke ekstrapolacije. Kod d</w:t>
      </w:r>
      <w:r w:rsidR="00DD0118">
        <w:rPr>
          <w:sz w:val="22"/>
          <w:szCs w:val="22"/>
          <w:lang w:val="hr-HR"/>
        </w:rPr>
        <w:t>j</w:t>
      </w:r>
      <w:r w:rsidRPr="00891761">
        <w:rPr>
          <w:sz w:val="22"/>
          <w:szCs w:val="22"/>
          <w:lang w:val="hr-HR"/>
        </w:rPr>
        <w:t>ece uzrasta od 2 do 5 godina sa akutnim i hroničnim GvHD, pristup usklađivanja izloženosti je sugerisao dozu od 8 mg/m</w:t>
      </w:r>
      <w:r w:rsidRPr="00891761">
        <w:rPr>
          <w:sz w:val="22"/>
          <w:szCs w:val="22"/>
          <w:vertAlign w:val="superscript"/>
          <w:lang w:val="hr-HR"/>
        </w:rPr>
        <w:t>2</w:t>
      </w:r>
      <w:r w:rsidRPr="00891761">
        <w:rPr>
          <w:sz w:val="22"/>
          <w:szCs w:val="22"/>
          <w:lang w:val="hr-HR"/>
        </w:rPr>
        <w:t xml:space="preserve"> dva puta na dan.</w:t>
      </w:r>
    </w:p>
    <w:p w14:paraId="76ED06DF" w14:textId="77777777" w:rsidR="00891761" w:rsidRDefault="00891761" w:rsidP="000A557B">
      <w:pPr>
        <w:widowControl w:val="0"/>
        <w:jc w:val="both"/>
        <w:rPr>
          <w:sz w:val="22"/>
          <w:szCs w:val="22"/>
          <w:lang w:val="it-IT"/>
        </w:rPr>
      </w:pPr>
    </w:p>
    <w:p w14:paraId="22080C3E" w14:textId="77777777" w:rsidR="00D83E5E" w:rsidRDefault="00F37492" w:rsidP="000A557B">
      <w:pPr>
        <w:jc w:val="both"/>
        <w:rPr>
          <w:sz w:val="22"/>
          <w:szCs w:val="22"/>
        </w:rPr>
      </w:pPr>
      <w:r w:rsidRPr="00F37492">
        <w:rPr>
          <w:sz w:val="22"/>
          <w:szCs w:val="22"/>
        </w:rPr>
        <w:t>Ruksolitinib još nije procjenjivan kod pedijatrijskih pacijenata sa akutnim ili hroničnim GvHD mlađim od 2 godin</w:t>
      </w:r>
      <w:r w:rsidR="00891761">
        <w:rPr>
          <w:sz w:val="22"/>
          <w:szCs w:val="22"/>
        </w:rPr>
        <w:t>e</w:t>
      </w:r>
      <w:r w:rsidR="00891761" w:rsidRPr="00891761">
        <w:rPr>
          <w:sz w:val="22"/>
          <w:szCs w:val="22"/>
          <w:lang w:val="hr-HR"/>
        </w:rPr>
        <w:t>, zato se koristilo modelovanje koje uzima u obzir aspekte povezane sa uzrastom kod mlađih pacijenata da bi se predvid</w:t>
      </w:r>
      <w:r w:rsidR="00DD0118">
        <w:rPr>
          <w:sz w:val="22"/>
          <w:szCs w:val="22"/>
          <w:lang w:val="hr-HR"/>
        </w:rPr>
        <w:t>j</w:t>
      </w:r>
      <w:r w:rsidR="00891761" w:rsidRPr="00891761">
        <w:rPr>
          <w:sz w:val="22"/>
          <w:szCs w:val="22"/>
          <w:lang w:val="hr-HR"/>
        </w:rPr>
        <w:t>ela izloženost kod tih pacijenata, na osnovu podataka od odraslih pacijenata</w:t>
      </w:r>
      <w:r w:rsidR="00891761" w:rsidRPr="00891761">
        <w:rPr>
          <w:sz w:val="22"/>
          <w:szCs w:val="22"/>
        </w:rPr>
        <w:t>.</w:t>
      </w:r>
      <w:r w:rsidR="00DD0118">
        <w:rPr>
          <w:sz w:val="22"/>
          <w:szCs w:val="22"/>
        </w:rPr>
        <w:t xml:space="preserve"> </w:t>
      </w:r>
    </w:p>
    <w:p w14:paraId="6C65FCCE" w14:textId="77777777" w:rsidR="00D83E5E" w:rsidRDefault="00D83E5E" w:rsidP="000A557B">
      <w:pPr>
        <w:jc w:val="both"/>
        <w:rPr>
          <w:sz w:val="22"/>
          <w:szCs w:val="22"/>
          <w:lang w:val="hr-HR"/>
        </w:rPr>
      </w:pPr>
    </w:p>
    <w:p w14:paraId="2F6DE219" w14:textId="2E35A5FB" w:rsidR="008E5CA5" w:rsidRDefault="00891761" w:rsidP="000A557B">
      <w:pPr>
        <w:jc w:val="both"/>
        <w:rPr>
          <w:i/>
          <w:iCs/>
          <w:sz w:val="22"/>
          <w:szCs w:val="22"/>
          <w:u w:val="single"/>
          <w:lang w:val="it-IT" w:eastAsia="sr-Latn-CS"/>
        </w:rPr>
      </w:pPr>
      <w:r w:rsidRPr="00891761">
        <w:rPr>
          <w:sz w:val="22"/>
          <w:szCs w:val="22"/>
          <w:lang w:val="hr-HR"/>
        </w:rPr>
        <w:t xml:space="preserve">Na osnovu objedinjene analize populacione farmakokinetike </w:t>
      </w:r>
      <w:r w:rsidR="00D83E5E">
        <w:rPr>
          <w:sz w:val="22"/>
          <w:szCs w:val="22"/>
          <w:lang w:val="hr-HR"/>
        </w:rPr>
        <w:t>kod</w:t>
      </w:r>
      <w:r w:rsidRPr="00891761">
        <w:rPr>
          <w:sz w:val="22"/>
          <w:szCs w:val="22"/>
          <w:lang w:val="hr-HR"/>
        </w:rPr>
        <w:t xml:space="preserve"> pedijatrijskih pacijenata sa akutnim ili hroničnim GvHD, klirens ruksolitiniba se smanjio sa smanjenjem BSA. Nakon korigovanja za efekat BSA, drugi demografski faktori kao što su uzrast, tjelesna masa i indeks t</w:t>
      </w:r>
      <w:r w:rsidR="00DD0118">
        <w:rPr>
          <w:sz w:val="22"/>
          <w:szCs w:val="22"/>
          <w:lang w:val="hr-HR"/>
        </w:rPr>
        <w:t>j</w:t>
      </w:r>
      <w:r w:rsidRPr="00891761">
        <w:rPr>
          <w:sz w:val="22"/>
          <w:szCs w:val="22"/>
          <w:lang w:val="hr-HR"/>
        </w:rPr>
        <w:t>elesne mase ni</w:t>
      </w:r>
      <w:r w:rsidR="00D83E5E">
        <w:rPr>
          <w:sz w:val="22"/>
          <w:szCs w:val="22"/>
          <w:lang w:val="hr-HR"/>
        </w:rPr>
        <w:t>je</w:t>
      </w:r>
      <w:r w:rsidRPr="00891761">
        <w:rPr>
          <w:sz w:val="22"/>
          <w:szCs w:val="22"/>
          <w:lang w:val="hr-HR"/>
        </w:rPr>
        <w:t>su imali klinički značajne efekte na izloženost ruksolitinibu.</w:t>
      </w:r>
    </w:p>
    <w:p w14:paraId="08DE5B77" w14:textId="77777777" w:rsidR="008E5CA5" w:rsidRDefault="008E5CA5" w:rsidP="000A557B">
      <w:pPr>
        <w:jc w:val="both"/>
        <w:rPr>
          <w:i/>
          <w:iCs/>
          <w:sz w:val="22"/>
          <w:szCs w:val="22"/>
          <w:u w:val="single"/>
          <w:lang w:val="it-IT" w:eastAsia="sr-Latn-CS"/>
        </w:rPr>
      </w:pPr>
    </w:p>
    <w:p w14:paraId="284772EB" w14:textId="6EFECD09" w:rsidR="008E5CA5" w:rsidRPr="00F37492" w:rsidRDefault="00F37492" w:rsidP="000A557B">
      <w:pPr>
        <w:jc w:val="both"/>
        <w:rPr>
          <w:rFonts w:cs="Arial Unicode MS"/>
          <w:i/>
          <w:iCs/>
          <w:sz w:val="22"/>
          <w:szCs w:val="22"/>
          <w:u w:val="single"/>
          <w:lang w:val="it-IT" w:eastAsia="sr-Latn-ME"/>
        </w:rPr>
      </w:pPr>
      <w:r w:rsidRPr="00F37492">
        <w:rPr>
          <w:i/>
          <w:iCs/>
          <w:sz w:val="22"/>
          <w:szCs w:val="22"/>
          <w:u w:val="single"/>
          <w:lang w:val="it-IT" w:eastAsia="sr-Latn-CS"/>
        </w:rPr>
        <w:t>Poremećaj funkcije bubrega</w:t>
      </w:r>
    </w:p>
    <w:p w14:paraId="4B5BFE58" w14:textId="02561E90" w:rsidR="00F37492" w:rsidRPr="00F37492" w:rsidRDefault="00F37492" w:rsidP="000A557B">
      <w:pPr>
        <w:jc w:val="both"/>
        <w:rPr>
          <w:rFonts w:cs="Arial Unicode MS"/>
          <w:sz w:val="22"/>
          <w:szCs w:val="22"/>
          <w:lang w:val="it-IT" w:eastAsia="sr-Latn-ME"/>
        </w:rPr>
      </w:pPr>
      <w:r w:rsidRPr="00F37492">
        <w:rPr>
          <w:sz w:val="22"/>
          <w:szCs w:val="22"/>
          <w:lang w:val="it-IT" w:eastAsia="sr-Latn-CS"/>
        </w:rPr>
        <w:t xml:space="preserve">Bubrežna funkcija određena je korišćenjem </w:t>
      </w:r>
      <w:r w:rsidR="00BF1F73">
        <w:rPr>
          <w:sz w:val="22"/>
          <w:szCs w:val="22"/>
          <w:lang w:val="it-IT" w:eastAsia="sr-Latn-CS"/>
        </w:rPr>
        <w:t xml:space="preserve">formule za prilagođavanje hrane </w:t>
      </w:r>
      <w:r w:rsidRPr="00F37492">
        <w:rPr>
          <w:sz w:val="22"/>
          <w:szCs w:val="22"/>
          <w:lang w:val="it-IT" w:eastAsia="sr-Latn-CS"/>
        </w:rPr>
        <w:t xml:space="preserve">kod bubrežnih bolesti (MDRD – </w:t>
      </w:r>
      <w:r w:rsidRPr="00F37492">
        <w:rPr>
          <w:i/>
          <w:sz w:val="22"/>
          <w:szCs w:val="22"/>
          <w:lang w:val="it-IT" w:eastAsia="sr-Latn-CS"/>
        </w:rPr>
        <w:t>Modification of Diet in Renal Disease</w:t>
      </w:r>
      <w:r w:rsidRPr="00F37492">
        <w:rPr>
          <w:sz w:val="22"/>
          <w:szCs w:val="22"/>
          <w:lang w:val="it-IT" w:eastAsia="sr-Latn-CS"/>
        </w:rPr>
        <w:t xml:space="preserve">) i kreatinina u urinu. Poslije pojedinačne doze ruksolitiniba od 25 mg, izloženost ruksolitinibu bila je slična kod ispitanika sa različitim stepenima poremećaja bubrežne funkcije i kod onih sa normalnom funkcijom bubrega. Međutim, vrijednosti PIK metabolita ruksolitiniba u plazmi pokazale su tendenciju rasta sa porastom težine poremećaja bubrežne funkcije i najizraženije su bile povišene kod ispitanika sa teškim poremećajem bubrežne funkcije. Nije poznato da li povećano izlaganje metabolitima predstavlja bezbjednosni problem. Kod pacijenata sa teškim poremećajem bubrežne funkcije i u terminalnom stadijumu bubrežne bolesti preporučuje se korekcija doze (vidjeti </w:t>
      </w:r>
      <w:r w:rsidR="00BF1F73">
        <w:rPr>
          <w:sz w:val="22"/>
          <w:szCs w:val="22"/>
          <w:lang w:val="it-IT" w:eastAsia="sr-Latn-CS"/>
        </w:rPr>
        <w:t>dio</w:t>
      </w:r>
      <w:r w:rsidR="00BF1F73" w:rsidRPr="00F37492">
        <w:rPr>
          <w:sz w:val="22"/>
          <w:szCs w:val="22"/>
          <w:lang w:val="it-IT" w:eastAsia="sr-Latn-CS"/>
        </w:rPr>
        <w:t xml:space="preserve"> </w:t>
      </w:r>
      <w:r w:rsidRPr="00F37492">
        <w:rPr>
          <w:sz w:val="22"/>
          <w:szCs w:val="22"/>
          <w:lang w:val="it-IT" w:eastAsia="sr-Latn-CS"/>
        </w:rPr>
        <w:t xml:space="preserve">4.2). Davanje lijeka samo na dan dijalize smanjuje izloženost metabolitima, ali i farmakodinamsko dejstvo, a posebno u danima između dijalize.  </w:t>
      </w:r>
    </w:p>
    <w:p w14:paraId="233965C4" w14:textId="77777777" w:rsidR="00F37492" w:rsidRPr="00F37492" w:rsidRDefault="00F37492" w:rsidP="000A557B">
      <w:pPr>
        <w:jc w:val="both"/>
        <w:rPr>
          <w:i/>
          <w:iCs/>
          <w:sz w:val="22"/>
          <w:szCs w:val="22"/>
          <w:lang w:val="it-IT" w:eastAsia="sr-Latn-CS"/>
        </w:rPr>
      </w:pPr>
    </w:p>
    <w:p w14:paraId="175012D7" w14:textId="49D065EB" w:rsidR="008E5CA5" w:rsidRPr="00F37492" w:rsidRDefault="00F37492" w:rsidP="000A557B">
      <w:pPr>
        <w:jc w:val="both"/>
        <w:rPr>
          <w:rFonts w:cs="Arial Unicode MS"/>
          <w:i/>
          <w:iCs/>
          <w:sz w:val="22"/>
          <w:szCs w:val="22"/>
          <w:u w:val="single"/>
          <w:lang w:val="it-IT" w:eastAsia="sr-Latn-ME"/>
        </w:rPr>
      </w:pPr>
      <w:r w:rsidRPr="00F37492">
        <w:rPr>
          <w:i/>
          <w:iCs/>
          <w:sz w:val="22"/>
          <w:szCs w:val="22"/>
          <w:u w:val="single"/>
          <w:lang w:val="it-IT" w:eastAsia="sr-Latn-CS"/>
        </w:rPr>
        <w:t>Poremećaj funkcije jetre</w:t>
      </w:r>
    </w:p>
    <w:p w14:paraId="1AC83B5E" w14:textId="3CDF25EC" w:rsidR="00F37492" w:rsidRPr="00F37492" w:rsidRDefault="00F37492" w:rsidP="000A557B">
      <w:pPr>
        <w:jc w:val="both"/>
        <w:rPr>
          <w:rFonts w:cs="Arial Unicode MS"/>
          <w:sz w:val="22"/>
          <w:szCs w:val="22"/>
          <w:lang w:val="it-IT" w:eastAsia="sr-Latn-ME"/>
        </w:rPr>
      </w:pPr>
      <w:r w:rsidRPr="00F37492">
        <w:rPr>
          <w:sz w:val="22"/>
          <w:szCs w:val="22"/>
          <w:lang w:val="it-IT" w:eastAsia="sr-Latn-CS"/>
        </w:rPr>
        <w:t xml:space="preserve">Poslije uzimanja pojedinačne doze ruksolitiniba od 25 mg kod pacijenata sa različitim stepenima poremećaja funkcije jetre, srednja vrijednost PIK za ruksolitinib bila je povećana kod pacijenata sa blagim, umjerenim i teškim poremećajem funkcije jetre za 87%, 28%, odnosno 65%, u poređenju sa pacijentima sa normalnom funkcijom jetre. Nije bilo jasne veze između vrijednosti PIK i stepena oštećenja funkcije jetre po Child-Pugh skoru. Terminalno poluvrijeme eliminacije bilo je produženo kod pacijenata sa oštećenom funkcijom jetre u poređenju sa kontrolnim zdravim ispitanicima (4,1-5,0 h prema 2,8 h). Za pacijente sa MF i PV sa poremećenom funkcijom jetre preporučuje se smanjenje doze od približno 50% (vidjeti </w:t>
      </w:r>
      <w:r w:rsidR="00BF1F73">
        <w:rPr>
          <w:sz w:val="22"/>
          <w:szCs w:val="22"/>
          <w:lang w:val="it-IT" w:eastAsia="sr-Latn-CS"/>
        </w:rPr>
        <w:t xml:space="preserve">dio </w:t>
      </w:r>
      <w:r w:rsidRPr="00F37492">
        <w:rPr>
          <w:sz w:val="22"/>
          <w:szCs w:val="22"/>
          <w:lang w:val="it-IT" w:eastAsia="sr-Latn-CS"/>
        </w:rPr>
        <w:t>4.2).</w:t>
      </w:r>
    </w:p>
    <w:p w14:paraId="0E9A4E35" w14:textId="77777777" w:rsidR="00F37492" w:rsidRPr="00F37492" w:rsidRDefault="00F37492" w:rsidP="000A557B">
      <w:pPr>
        <w:tabs>
          <w:tab w:val="left" w:pos="540"/>
          <w:tab w:val="left" w:pos="569"/>
        </w:tabs>
        <w:jc w:val="both"/>
        <w:rPr>
          <w:bCs/>
          <w:sz w:val="22"/>
          <w:szCs w:val="22"/>
        </w:rPr>
      </w:pPr>
    </w:p>
    <w:p w14:paraId="50B6FE8D" w14:textId="77777777" w:rsidR="00F37492" w:rsidRPr="00F37492" w:rsidRDefault="00F37492" w:rsidP="000A557B">
      <w:pPr>
        <w:tabs>
          <w:tab w:val="left" w:pos="540"/>
          <w:tab w:val="left" w:pos="569"/>
        </w:tabs>
        <w:jc w:val="both"/>
        <w:rPr>
          <w:bCs/>
          <w:sz w:val="22"/>
          <w:szCs w:val="22"/>
        </w:rPr>
      </w:pPr>
      <w:r w:rsidRPr="00F37492">
        <w:rPr>
          <w:bCs/>
          <w:sz w:val="22"/>
          <w:szCs w:val="22"/>
        </w:rPr>
        <w:t>Kod pacijenata sa GvHD sa oštećenjem funkcije jetre koje nije povezano sa GvHD, početnu dozu ruksolitiniba treba smanjiti za 50%.</w:t>
      </w:r>
    </w:p>
    <w:p w14:paraId="17725335" w14:textId="77777777" w:rsidR="0072020E" w:rsidRPr="00786071" w:rsidRDefault="0072020E" w:rsidP="000A557B">
      <w:pPr>
        <w:tabs>
          <w:tab w:val="left" w:pos="540"/>
          <w:tab w:val="left" w:pos="569"/>
        </w:tabs>
        <w:jc w:val="both"/>
        <w:rPr>
          <w:bCs/>
          <w:sz w:val="22"/>
          <w:szCs w:val="22"/>
        </w:rPr>
      </w:pPr>
    </w:p>
    <w:p w14:paraId="17EEE043" w14:textId="77777777" w:rsidR="0072020E" w:rsidRPr="00786071" w:rsidRDefault="0072020E" w:rsidP="000A557B">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421E332C" w14:textId="77777777" w:rsidR="00836B35" w:rsidRPr="00786071" w:rsidRDefault="00836B35" w:rsidP="000A557B">
      <w:pPr>
        <w:tabs>
          <w:tab w:val="left" w:pos="540"/>
          <w:tab w:val="left" w:pos="569"/>
        </w:tabs>
        <w:jc w:val="both"/>
        <w:rPr>
          <w:bCs/>
          <w:sz w:val="22"/>
          <w:szCs w:val="22"/>
        </w:rPr>
      </w:pPr>
    </w:p>
    <w:p w14:paraId="5CAE70C9" w14:textId="020B2F1D" w:rsidR="00F37492" w:rsidRPr="00F37492" w:rsidRDefault="00F37492" w:rsidP="000A557B">
      <w:pPr>
        <w:jc w:val="both"/>
        <w:rPr>
          <w:rFonts w:cs="Arial Unicode MS"/>
          <w:sz w:val="22"/>
          <w:szCs w:val="22"/>
          <w:lang w:val="sr-Latn-CS" w:eastAsia="sr-Latn-ME"/>
        </w:rPr>
      </w:pPr>
      <w:r w:rsidRPr="00F37492">
        <w:rPr>
          <w:sz w:val="22"/>
          <w:szCs w:val="22"/>
          <w:lang w:val="sr-Latn-CS" w:eastAsia="sr-Latn-CS"/>
        </w:rPr>
        <w:t>Ruksolitinib je procjenjivan u studijama farmakološke bezbjednosti, toksičnosti ponavljanih doza, genotoksičnosti i reproduktivne toksičnosti i ispitivanjima kancerogenosti. Ciljni organi povezani sa farmakološkim dejstvom ruksolitiniba u ispitivanjima ponavljanih doza bili su ko</w:t>
      </w:r>
      <w:r w:rsidR="00022A41">
        <w:rPr>
          <w:sz w:val="22"/>
          <w:szCs w:val="22"/>
          <w:lang w:val="sr-Latn-CS" w:eastAsia="sr-Latn-CS"/>
        </w:rPr>
        <w:t>st</w:t>
      </w:r>
      <w:r w:rsidRPr="00F37492">
        <w:rPr>
          <w:sz w:val="22"/>
          <w:szCs w:val="22"/>
          <w:lang w:val="sr-Latn-CS" w:eastAsia="sr-Latn-CS"/>
        </w:rPr>
        <w:t>na srž, periferna krv i limfoidno tkivo. Kod pasa su uglavnom primijećene infekcije povezane sa imunosupresijom. Neželjeni pad krvnog pritiska uz ubrzani puls primijećen je kod pasa u telemetrijskoj studiji, a neželjeni pad minutnog volumena primijećen je u respiratornoj studiji kod pacova. Maksimaln</w:t>
      </w:r>
      <w:r w:rsidR="00BF1F73">
        <w:rPr>
          <w:sz w:val="22"/>
          <w:szCs w:val="22"/>
          <w:lang w:val="sr-Latn-CS" w:eastAsia="sr-Latn-CS"/>
        </w:rPr>
        <w:t>a</w:t>
      </w:r>
      <w:r w:rsidRPr="00F37492">
        <w:rPr>
          <w:sz w:val="22"/>
          <w:szCs w:val="22"/>
          <w:lang w:val="sr-Latn-CS" w:eastAsia="sr-Latn-CS"/>
        </w:rPr>
        <w:t xml:space="preserve"> izloženost (na osnovu nevezanog C</w:t>
      </w:r>
      <w:r w:rsidRPr="00F37492">
        <w:rPr>
          <w:sz w:val="22"/>
          <w:szCs w:val="22"/>
          <w:vertAlign w:val="subscript"/>
          <w:lang w:val="sr-Latn-CS" w:eastAsia="sr-Latn-CS"/>
        </w:rPr>
        <w:t>max</w:t>
      </w:r>
      <w:r w:rsidRPr="00F37492">
        <w:rPr>
          <w:sz w:val="22"/>
          <w:szCs w:val="22"/>
          <w:lang w:val="sr-Latn-CS" w:eastAsia="sr-Latn-CS"/>
        </w:rPr>
        <w:t xml:space="preserve">) pri nivoima </w:t>
      </w:r>
      <w:r w:rsidR="00825A42">
        <w:rPr>
          <w:sz w:val="22"/>
          <w:szCs w:val="22"/>
          <w:lang w:val="sr-Latn-CS" w:eastAsia="sr-Latn-CS"/>
        </w:rPr>
        <w:t xml:space="preserve">koji nijesu štetni </w:t>
      </w:r>
      <w:r w:rsidRPr="00F37492">
        <w:rPr>
          <w:sz w:val="22"/>
          <w:szCs w:val="22"/>
          <w:lang w:val="sr-Latn-CS" w:eastAsia="sr-Latn-CS"/>
        </w:rPr>
        <w:t xml:space="preserve">u ispitivanjima na psima i pacovima bila </w:t>
      </w:r>
      <w:r w:rsidR="00BF1F73">
        <w:rPr>
          <w:sz w:val="22"/>
          <w:szCs w:val="22"/>
          <w:lang w:val="sr-Latn-CS" w:eastAsia="sr-Latn-CS"/>
        </w:rPr>
        <w:t>je</w:t>
      </w:r>
      <w:r w:rsidRPr="00F37492">
        <w:rPr>
          <w:sz w:val="22"/>
          <w:szCs w:val="22"/>
          <w:lang w:val="sr-Latn-CS" w:eastAsia="sr-Latn-CS"/>
        </w:rPr>
        <w:t xml:space="preserve"> 15,7 puta i 10,4 puta veća nego nakon primjene maksimaln</w:t>
      </w:r>
      <w:r w:rsidR="00BF1F73">
        <w:rPr>
          <w:sz w:val="22"/>
          <w:szCs w:val="22"/>
          <w:lang w:val="sr-Latn-CS" w:eastAsia="sr-Latn-CS"/>
        </w:rPr>
        <w:t>o</w:t>
      </w:r>
      <w:r w:rsidRPr="00F37492">
        <w:rPr>
          <w:sz w:val="22"/>
          <w:szCs w:val="22"/>
          <w:lang w:val="sr-Latn-CS" w:eastAsia="sr-Latn-CS"/>
        </w:rPr>
        <w:t xml:space="preserve"> preporučene </w:t>
      </w:r>
      <w:r w:rsidR="00BF1F73">
        <w:rPr>
          <w:sz w:val="22"/>
          <w:szCs w:val="22"/>
          <w:lang w:val="sr-Latn-CS" w:eastAsia="sr-Latn-CS"/>
        </w:rPr>
        <w:t xml:space="preserve">humane </w:t>
      </w:r>
      <w:r w:rsidRPr="00F37492">
        <w:rPr>
          <w:sz w:val="22"/>
          <w:szCs w:val="22"/>
          <w:lang w:val="sr-Latn-CS" w:eastAsia="sr-Latn-CS"/>
        </w:rPr>
        <w:t>doze od 25 mg dva puta na dan. Ni</w:t>
      </w:r>
      <w:r w:rsidR="00227AD7">
        <w:rPr>
          <w:sz w:val="22"/>
          <w:szCs w:val="22"/>
          <w:lang w:val="sr-Latn-CS" w:eastAsia="sr-Latn-CS"/>
        </w:rPr>
        <w:t>je</w:t>
      </w:r>
      <w:r w:rsidRPr="00F37492">
        <w:rPr>
          <w:sz w:val="22"/>
          <w:szCs w:val="22"/>
          <w:lang w:val="sr-Latn-CS" w:eastAsia="sr-Latn-CS"/>
        </w:rPr>
        <w:t>su zabilježena nikakva dejstva pri ispitivanjima neurofarmakoloških dejstava ruksolitiniba.</w:t>
      </w:r>
    </w:p>
    <w:p w14:paraId="2B29A6C3" w14:textId="77777777" w:rsidR="00F37492" w:rsidRPr="00F37492" w:rsidRDefault="00F37492" w:rsidP="000A557B">
      <w:pPr>
        <w:jc w:val="both"/>
        <w:rPr>
          <w:sz w:val="22"/>
          <w:szCs w:val="22"/>
          <w:lang w:val="sr-Latn-CS" w:eastAsia="sr-Latn-CS"/>
        </w:rPr>
      </w:pPr>
    </w:p>
    <w:p w14:paraId="77EF5536" w14:textId="51A58953" w:rsidR="00F37492" w:rsidRPr="00F37492" w:rsidRDefault="00F37492" w:rsidP="000A557B">
      <w:pPr>
        <w:jc w:val="both"/>
        <w:rPr>
          <w:sz w:val="22"/>
          <w:szCs w:val="22"/>
          <w:lang w:val="sr-Latn-CS" w:eastAsia="sr-Latn-CS"/>
        </w:rPr>
      </w:pPr>
      <w:r w:rsidRPr="00F37492">
        <w:rPr>
          <w:sz w:val="22"/>
          <w:szCs w:val="22"/>
          <w:lang w:val="sr-Latn-CS" w:eastAsia="sr-Latn-CS"/>
        </w:rPr>
        <w:t>U studijama na mladim pacovima primjena ruksolitiniba dovodila je do efekata na rast i mjere kostiju. Smanjen rast kostiju primijećen je pri dozama ≥</w:t>
      </w:r>
      <w:r w:rsidR="00227AD7">
        <w:rPr>
          <w:sz w:val="22"/>
          <w:szCs w:val="22"/>
          <w:lang w:val="sr-Latn-CS" w:eastAsia="sr-Latn-CS"/>
        </w:rPr>
        <w:t xml:space="preserve"> </w:t>
      </w:r>
      <w:r w:rsidRPr="00F37492">
        <w:rPr>
          <w:sz w:val="22"/>
          <w:szCs w:val="22"/>
          <w:lang w:val="sr-Latn-CS" w:eastAsia="sr-Latn-CS"/>
        </w:rPr>
        <w:t xml:space="preserve">5 mg/kg/dan kada je tretman započinjan </w:t>
      </w:r>
      <w:r w:rsidR="00825A42">
        <w:rPr>
          <w:sz w:val="22"/>
          <w:szCs w:val="22"/>
          <w:lang w:val="sr-Latn-CS" w:eastAsia="sr-Latn-CS"/>
        </w:rPr>
        <w:t>7.</w:t>
      </w:r>
      <w:r w:rsidRPr="00F37492">
        <w:rPr>
          <w:sz w:val="22"/>
          <w:szCs w:val="22"/>
          <w:lang w:val="sr-Latn-CS" w:eastAsia="sr-Latn-CS"/>
        </w:rPr>
        <w:t xml:space="preserve"> postnataln</w:t>
      </w:r>
      <w:r w:rsidR="00825A42">
        <w:rPr>
          <w:sz w:val="22"/>
          <w:szCs w:val="22"/>
          <w:lang w:val="sr-Latn-CS" w:eastAsia="sr-Latn-CS"/>
        </w:rPr>
        <w:t>og</w:t>
      </w:r>
      <w:r w:rsidRPr="00F37492">
        <w:rPr>
          <w:sz w:val="22"/>
          <w:szCs w:val="22"/>
          <w:lang w:val="sr-Latn-CS" w:eastAsia="sr-Latn-CS"/>
        </w:rPr>
        <w:t xml:space="preserve"> dan</w:t>
      </w:r>
      <w:r w:rsidR="00825A42">
        <w:rPr>
          <w:sz w:val="22"/>
          <w:szCs w:val="22"/>
          <w:lang w:val="sr-Latn-CS" w:eastAsia="sr-Latn-CS"/>
        </w:rPr>
        <w:t xml:space="preserve">a </w:t>
      </w:r>
      <w:r w:rsidRPr="00F37492">
        <w:rPr>
          <w:sz w:val="22"/>
          <w:szCs w:val="22"/>
          <w:lang w:val="sr-Latn-CS" w:eastAsia="sr-Latn-CS"/>
        </w:rPr>
        <w:t>(u poređenju sa novorođenčadi) i pri ≥</w:t>
      </w:r>
      <w:r w:rsidR="00227AD7">
        <w:rPr>
          <w:sz w:val="22"/>
          <w:szCs w:val="22"/>
          <w:lang w:val="sr-Latn-CS" w:eastAsia="sr-Latn-CS"/>
        </w:rPr>
        <w:t xml:space="preserve"> </w:t>
      </w:r>
      <w:r w:rsidRPr="00F37492">
        <w:rPr>
          <w:sz w:val="22"/>
          <w:szCs w:val="22"/>
          <w:lang w:val="sr-Latn-CS" w:eastAsia="sr-Latn-CS"/>
        </w:rPr>
        <w:t>15 mg/kg/dan kada je tretman započinjan 14</w:t>
      </w:r>
      <w:r w:rsidR="00227AD7">
        <w:rPr>
          <w:sz w:val="22"/>
          <w:szCs w:val="22"/>
          <w:lang w:val="sr-Latn-CS" w:eastAsia="sr-Latn-CS"/>
        </w:rPr>
        <w:t>.</w:t>
      </w:r>
      <w:r w:rsidRPr="00F37492">
        <w:rPr>
          <w:sz w:val="22"/>
          <w:szCs w:val="22"/>
          <w:lang w:val="sr-Latn-CS" w:eastAsia="sr-Latn-CS"/>
        </w:rPr>
        <w:t xml:space="preserve"> ili 21</w:t>
      </w:r>
      <w:r w:rsidR="00227AD7">
        <w:rPr>
          <w:sz w:val="22"/>
          <w:szCs w:val="22"/>
          <w:lang w:val="sr-Latn-CS" w:eastAsia="sr-Latn-CS"/>
        </w:rPr>
        <w:t>.</w:t>
      </w:r>
      <w:r w:rsidRPr="00F37492">
        <w:rPr>
          <w:sz w:val="22"/>
          <w:szCs w:val="22"/>
          <w:lang w:val="sr-Latn-CS" w:eastAsia="sr-Latn-CS"/>
        </w:rPr>
        <w:t xml:space="preserve"> </w:t>
      </w:r>
      <w:r w:rsidR="00227AD7">
        <w:rPr>
          <w:sz w:val="22"/>
          <w:szCs w:val="22"/>
          <w:lang w:val="sr-Latn-CS" w:eastAsia="sr-Latn-CS"/>
        </w:rPr>
        <w:t xml:space="preserve">postnatalnog dana </w:t>
      </w:r>
      <w:r w:rsidRPr="00F37492">
        <w:rPr>
          <w:sz w:val="22"/>
          <w:szCs w:val="22"/>
          <w:lang w:val="sr-Latn-CS" w:eastAsia="sr-Latn-CS"/>
        </w:rPr>
        <w:t>(u poređenju sa djecom starom 1-3 godine). Frakture i rani prestanak rasta kod pacova je primijećen pri dozama ≥</w:t>
      </w:r>
      <w:r w:rsidR="00227AD7">
        <w:rPr>
          <w:sz w:val="22"/>
          <w:szCs w:val="22"/>
          <w:lang w:val="sr-Latn-CS" w:eastAsia="sr-Latn-CS"/>
        </w:rPr>
        <w:t xml:space="preserve"> </w:t>
      </w:r>
      <w:r w:rsidRPr="00F37492">
        <w:rPr>
          <w:sz w:val="22"/>
          <w:szCs w:val="22"/>
          <w:lang w:val="sr-Latn-CS" w:eastAsia="sr-Latn-CS"/>
        </w:rPr>
        <w:t>30 mg/kg/dan kada je tretman započinjan 7.</w:t>
      </w:r>
      <w:r w:rsidR="00227AD7">
        <w:rPr>
          <w:sz w:val="22"/>
          <w:szCs w:val="22"/>
          <w:lang w:val="sr-Latn-CS" w:eastAsia="sr-Latn-CS"/>
        </w:rPr>
        <w:t xml:space="preserve"> postnatalnog dana.</w:t>
      </w:r>
      <w:r w:rsidRPr="00F37492">
        <w:rPr>
          <w:sz w:val="22"/>
          <w:szCs w:val="22"/>
          <w:lang w:val="sr-Latn-CS" w:eastAsia="sr-Latn-CS"/>
        </w:rPr>
        <w:t xml:space="preserve"> Na osnovu PIK, izloženost bez primijećenih neželjenih efekata NOAEL (eng. </w:t>
      </w:r>
      <w:r w:rsidRPr="00F37492">
        <w:rPr>
          <w:i/>
          <w:sz w:val="22"/>
          <w:szCs w:val="22"/>
          <w:lang w:val="sr-Latn-CS" w:eastAsia="sr-Latn-CS"/>
        </w:rPr>
        <w:t>no observed adverse effect level nivo</w:t>
      </w:r>
      <w:r w:rsidRPr="00F37492">
        <w:rPr>
          <w:sz w:val="22"/>
          <w:szCs w:val="22"/>
          <w:lang w:val="sr-Latn-CS" w:eastAsia="sr-Latn-CS"/>
        </w:rPr>
        <w:t>) kod mladih pacova liječenih najranije 7</w:t>
      </w:r>
      <w:r w:rsidR="00227AD7">
        <w:rPr>
          <w:sz w:val="22"/>
          <w:szCs w:val="22"/>
          <w:lang w:val="sr-Latn-CS" w:eastAsia="sr-Latn-CS"/>
        </w:rPr>
        <w:t>. postnatalnog dana</w:t>
      </w:r>
      <w:r w:rsidRPr="00F37492">
        <w:rPr>
          <w:sz w:val="22"/>
          <w:szCs w:val="22"/>
          <w:lang w:val="sr-Latn-CS" w:eastAsia="sr-Latn-CS"/>
        </w:rPr>
        <w:t xml:space="preserve"> bila je 0</w:t>
      </w:r>
      <w:r w:rsidR="003C756E">
        <w:rPr>
          <w:sz w:val="22"/>
          <w:szCs w:val="22"/>
          <w:lang w:val="sr-Latn-CS" w:eastAsia="sr-Latn-CS"/>
        </w:rPr>
        <w:t>,</w:t>
      </w:r>
      <w:r w:rsidRPr="00F37492">
        <w:rPr>
          <w:sz w:val="22"/>
          <w:szCs w:val="22"/>
          <w:lang w:val="sr-Latn-CS" w:eastAsia="sr-Latn-CS"/>
        </w:rPr>
        <w:t xml:space="preserve">3 dio izloženosti kod odraslih </w:t>
      </w:r>
      <w:r w:rsidRPr="00F37492">
        <w:rPr>
          <w:sz w:val="22"/>
          <w:szCs w:val="22"/>
          <w:lang w:val="sr-Latn-CS" w:eastAsia="sr-Latn-CS"/>
        </w:rPr>
        <w:lastRenderedPageBreak/>
        <w:t>pacijenata koji uzimaju 25 mg dva puta na dan, dok su smanjeni rast kostiju i frakture nastajali pri izloženosti koja je 1</w:t>
      </w:r>
      <w:r w:rsidR="003C756E">
        <w:rPr>
          <w:sz w:val="22"/>
          <w:szCs w:val="22"/>
          <w:lang w:val="sr-Latn-CS" w:eastAsia="sr-Latn-CS"/>
        </w:rPr>
        <w:t>,5</w:t>
      </w:r>
      <w:r w:rsidRPr="00F37492">
        <w:rPr>
          <w:sz w:val="22"/>
          <w:szCs w:val="22"/>
          <w:lang w:val="sr-Latn-CS" w:eastAsia="sr-Latn-CS"/>
        </w:rPr>
        <w:t>5 i 13 puta veća od one kod odraslih pacijenata koji primaju 25 mg dva puta na dan. Efekti su uopšteno bili teži kada je primjena inicirana u ranijem postnatalnom periodu. Osim razvoja kostiju, efekti ruksolitiniba na mlade pacove bili su slični onima kod odraslih pacova. Mladi pacovi su bili osjetljiviji na toksičnost ruksolitiniba nego odrasli pacovi.</w:t>
      </w:r>
    </w:p>
    <w:p w14:paraId="33A4F8AC" w14:textId="77777777" w:rsidR="00F37492" w:rsidRPr="00F37492" w:rsidRDefault="00F37492" w:rsidP="000A557B">
      <w:pPr>
        <w:jc w:val="both"/>
        <w:rPr>
          <w:sz w:val="22"/>
          <w:szCs w:val="22"/>
          <w:lang w:val="sr-Latn-CS" w:eastAsia="sr-Latn-CS"/>
        </w:rPr>
      </w:pPr>
    </w:p>
    <w:p w14:paraId="5AE4A24B" w14:textId="3928EF31" w:rsidR="00F37492" w:rsidRPr="00F37492" w:rsidRDefault="00F37492" w:rsidP="000A557B">
      <w:pPr>
        <w:jc w:val="both"/>
        <w:rPr>
          <w:sz w:val="22"/>
          <w:szCs w:val="22"/>
          <w:lang w:val="sr-Latn-CS" w:eastAsia="sr-Latn-CS"/>
        </w:rPr>
      </w:pPr>
      <w:r w:rsidRPr="00F37492">
        <w:rPr>
          <w:sz w:val="22"/>
          <w:szCs w:val="22"/>
          <w:lang w:val="sr-Latn-CS" w:eastAsia="sr-Latn-CS"/>
        </w:rPr>
        <w:t xml:space="preserve">Ruksolitinib je izazvao smanjenje </w:t>
      </w:r>
      <w:r w:rsidR="002C1314">
        <w:rPr>
          <w:sz w:val="22"/>
          <w:szCs w:val="22"/>
          <w:lang w:val="sr-Latn-CS" w:eastAsia="sr-Latn-CS"/>
        </w:rPr>
        <w:t>mase</w:t>
      </w:r>
      <w:r w:rsidR="002C1314" w:rsidRPr="00F37492">
        <w:rPr>
          <w:sz w:val="22"/>
          <w:szCs w:val="22"/>
          <w:lang w:val="sr-Latn-CS" w:eastAsia="sr-Latn-CS"/>
        </w:rPr>
        <w:t xml:space="preserve"> </w:t>
      </w:r>
      <w:r w:rsidRPr="00F37492">
        <w:rPr>
          <w:sz w:val="22"/>
          <w:szCs w:val="22"/>
          <w:lang w:val="sr-Latn-CS" w:eastAsia="sr-Latn-CS"/>
        </w:rPr>
        <w:t>fetusa i povećavao postimplantacijski gubitak ploda u ispitivanjima na životinjama. Nije bilo dokaza o teratogenim dejstvima kod pacova i kunića. Međutim, maksimalna izlaganja su u poređenju sa najvećom kliničkom dozom bila niska, pa su stoga i rezultati slabo prihvatljivi za ljude. Nisu zabilježena nikakva dejstva na fertilitet. U studijama pr</w:t>
      </w:r>
      <w:r w:rsidR="00227AD7">
        <w:rPr>
          <w:sz w:val="22"/>
          <w:szCs w:val="22"/>
          <w:lang w:val="sr-Latn-CS" w:eastAsia="sr-Latn-CS"/>
        </w:rPr>
        <w:t>ij</w:t>
      </w:r>
      <w:r w:rsidRPr="00F37492">
        <w:rPr>
          <w:sz w:val="22"/>
          <w:szCs w:val="22"/>
          <w:lang w:val="sr-Latn-CS" w:eastAsia="sr-Latn-CS"/>
        </w:rPr>
        <w:t xml:space="preserve">e- i postnatalnog razvoja, zabilježeni su neznatno produženi period gestacije, smanjeni broj implantata i smanjeni broj rođenih mladunaca. Kod mladunaca zabilježeni su smanjena srednja inicijalna tjelesna masa i kraći period smanjenog srednjeg povećanja tjelesne mase. Kod ženki pacova u laktaciji, ruksolitinib i/ili njegovi metaboliti su izlučivani u mlijeku u koncentraciji koja je bila 13 puta veća nego u plazmi majke. Ruksolitinib nije imao ni mutagena, ni klastogena svojstva. Na modelu transgenog miša Tg.rasH2 ruksolitinib nije pokazao karcinogenost. </w:t>
      </w:r>
    </w:p>
    <w:p w14:paraId="1B9DE7BE" w14:textId="77777777" w:rsidR="00396DFD" w:rsidRDefault="00396DFD" w:rsidP="000A557B">
      <w:pPr>
        <w:tabs>
          <w:tab w:val="left" w:pos="540"/>
          <w:tab w:val="left" w:pos="569"/>
        </w:tabs>
        <w:rPr>
          <w:b/>
          <w:bCs/>
          <w:sz w:val="22"/>
          <w:szCs w:val="22"/>
        </w:rPr>
      </w:pPr>
    </w:p>
    <w:p w14:paraId="6CC1AA48" w14:textId="77777777" w:rsidR="00F37492" w:rsidRPr="00786071" w:rsidRDefault="00F37492" w:rsidP="000A557B">
      <w:pPr>
        <w:tabs>
          <w:tab w:val="left" w:pos="540"/>
          <w:tab w:val="left" w:pos="569"/>
        </w:tabs>
        <w:rPr>
          <w:b/>
          <w:bCs/>
          <w:sz w:val="22"/>
          <w:szCs w:val="22"/>
        </w:rPr>
      </w:pPr>
    </w:p>
    <w:p w14:paraId="13D025D0" w14:textId="77777777" w:rsidR="0072020E" w:rsidRPr="00786071" w:rsidRDefault="0072020E" w:rsidP="000A557B">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33476279" w14:textId="77777777" w:rsidR="00836B35" w:rsidRPr="00786071" w:rsidRDefault="00836B35" w:rsidP="000A557B">
      <w:pPr>
        <w:tabs>
          <w:tab w:val="left" w:pos="540"/>
          <w:tab w:val="left" w:pos="569"/>
        </w:tabs>
        <w:rPr>
          <w:bCs/>
          <w:sz w:val="22"/>
          <w:szCs w:val="22"/>
        </w:rPr>
      </w:pPr>
    </w:p>
    <w:p w14:paraId="5499817D" w14:textId="77777777" w:rsidR="0072020E" w:rsidRPr="00786071" w:rsidRDefault="0072020E" w:rsidP="000A557B">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200987D5" w14:textId="77777777" w:rsidR="0072020E" w:rsidRDefault="0072020E" w:rsidP="000A557B">
      <w:pPr>
        <w:tabs>
          <w:tab w:val="left" w:pos="540"/>
          <w:tab w:val="left" w:pos="569"/>
        </w:tabs>
        <w:rPr>
          <w:bCs/>
          <w:sz w:val="22"/>
          <w:szCs w:val="22"/>
        </w:rPr>
      </w:pPr>
    </w:p>
    <w:p w14:paraId="6BDCA418" w14:textId="3C0E1B2E" w:rsidR="00F37492" w:rsidRPr="009C6A2F" w:rsidRDefault="00F37492" w:rsidP="000A557B">
      <w:pPr>
        <w:pStyle w:val="Header"/>
        <w:tabs>
          <w:tab w:val="left" w:pos="284"/>
        </w:tabs>
        <w:jc w:val="both"/>
        <w:rPr>
          <w:sz w:val="22"/>
          <w:szCs w:val="22"/>
          <w:lang w:val="sr-Latn-CS"/>
        </w:rPr>
      </w:pPr>
      <w:r w:rsidRPr="009C6A2F">
        <w:rPr>
          <w:sz w:val="22"/>
          <w:szCs w:val="22"/>
          <w:lang w:val="sr-Latn-CS"/>
        </w:rPr>
        <w:t>Celuloza, mikrokristalna</w:t>
      </w:r>
    </w:p>
    <w:p w14:paraId="0A902A9A" w14:textId="1AA5B5D8" w:rsidR="00F37492" w:rsidRPr="009C6A2F" w:rsidRDefault="001A6F2E" w:rsidP="000A557B">
      <w:pPr>
        <w:pStyle w:val="Header"/>
        <w:tabs>
          <w:tab w:val="left" w:pos="284"/>
        </w:tabs>
        <w:jc w:val="both"/>
        <w:rPr>
          <w:sz w:val="22"/>
          <w:szCs w:val="22"/>
          <w:lang w:val="sr-Latn-CS"/>
        </w:rPr>
      </w:pPr>
      <w:r>
        <w:rPr>
          <w:sz w:val="22"/>
          <w:szCs w:val="22"/>
          <w:lang w:val="sr-Latn-CS"/>
        </w:rPr>
        <w:t>M</w:t>
      </w:r>
      <w:r w:rsidR="00F37492" w:rsidRPr="009C6A2F">
        <w:rPr>
          <w:sz w:val="22"/>
          <w:szCs w:val="22"/>
          <w:lang w:val="sr-Latn-CS"/>
        </w:rPr>
        <w:t>agnezijum stearat</w:t>
      </w:r>
    </w:p>
    <w:p w14:paraId="57BF0F6A" w14:textId="33C8114C" w:rsidR="00F37492" w:rsidRPr="009C6A2F" w:rsidRDefault="001A6F2E" w:rsidP="000A557B">
      <w:pPr>
        <w:pStyle w:val="Header"/>
        <w:tabs>
          <w:tab w:val="left" w:pos="284"/>
        </w:tabs>
        <w:jc w:val="both"/>
        <w:rPr>
          <w:sz w:val="22"/>
          <w:szCs w:val="22"/>
          <w:lang w:val="sr-Latn-CS"/>
        </w:rPr>
      </w:pPr>
      <w:r>
        <w:rPr>
          <w:sz w:val="22"/>
          <w:szCs w:val="22"/>
          <w:lang w:val="sr-Latn-CS"/>
        </w:rPr>
        <w:t>S</w:t>
      </w:r>
      <w:r w:rsidR="00F37492" w:rsidRPr="009C6A2F">
        <w:rPr>
          <w:sz w:val="22"/>
          <w:szCs w:val="22"/>
          <w:lang w:val="sr-Latn-CS"/>
        </w:rPr>
        <w:t>ilicijum dioksid, koloidni bezvodn</w:t>
      </w:r>
      <w:r>
        <w:rPr>
          <w:sz w:val="22"/>
          <w:szCs w:val="22"/>
          <w:lang w:val="sr-Latn-CS"/>
        </w:rPr>
        <w:t>i</w:t>
      </w:r>
    </w:p>
    <w:p w14:paraId="57BF3B8F" w14:textId="4B091755" w:rsidR="00F37492" w:rsidRPr="009C6A2F" w:rsidRDefault="001A6F2E" w:rsidP="000A557B">
      <w:pPr>
        <w:pStyle w:val="Header"/>
        <w:tabs>
          <w:tab w:val="left" w:pos="284"/>
        </w:tabs>
        <w:jc w:val="both"/>
        <w:rPr>
          <w:sz w:val="22"/>
          <w:szCs w:val="22"/>
          <w:lang w:val="sr-Latn-CS"/>
        </w:rPr>
      </w:pPr>
      <w:r>
        <w:rPr>
          <w:sz w:val="22"/>
          <w:szCs w:val="22"/>
          <w:lang w:val="sr-Latn-CS"/>
        </w:rPr>
        <w:t>N</w:t>
      </w:r>
      <w:r w:rsidR="00F37492" w:rsidRPr="009C6A2F">
        <w:rPr>
          <w:sz w:val="22"/>
          <w:szCs w:val="22"/>
          <w:lang w:val="sr-Latn-CS"/>
        </w:rPr>
        <w:t>atrijum skrob glikolat (tip A)</w:t>
      </w:r>
    </w:p>
    <w:p w14:paraId="5E5CC5EC" w14:textId="41B9ED29" w:rsidR="00F37492" w:rsidRPr="009C6A2F" w:rsidRDefault="001A6F2E" w:rsidP="000A557B">
      <w:pPr>
        <w:pStyle w:val="Header"/>
        <w:tabs>
          <w:tab w:val="left" w:pos="284"/>
        </w:tabs>
        <w:jc w:val="both"/>
        <w:rPr>
          <w:sz w:val="22"/>
          <w:szCs w:val="22"/>
          <w:lang w:val="sr-Latn-CS"/>
        </w:rPr>
      </w:pPr>
      <w:r>
        <w:rPr>
          <w:sz w:val="22"/>
          <w:szCs w:val="22"/>
          <w:lang w:val="sr-Latn-CS"/>
        </w:rPr>
        <w:t>P</w:t>
      </w:r>
      <w:r w:rsidR="00F37492" w:rsidRPr="009C6A2F">
        <w:rPr>
          <w:sz w:val="22"/>
          <w:szCs w:val="22"/>
          <w:lang w:val="sr-Latn-CS"/>
        </w:rPr>
        <w:t>ovidon</w:t>
      </w:r>
    </w:p>
    <w:p w14:paraId="2821DAEF" w14:textId="52ECD07D" w:rsidR="00F37492" w:rsidRPr="009C6A2F" w:rsidRDefault="001A6F2E" w:rsidP="000A557B">
      <w:pPr>
        <w:pStyle w:val="Header"/>
        <w:tabs>
          <w:tab w:val="left" w:pos="284"/>
        </w:tabs>
        <w:jc w:val="both"/>
        <w:rPr>
          <w:sz w:val="22"/>
          <w:szCs w:val="22"/>
          <w:lang w:val="sr-Latn-CS"/>
        </w:rPr>
      </w:pPr>
      <w:r>
        <w:rPr>
          <w:sz w:val="22"/>
          <w:szCs w:val="22"/>
          <w:lang w:val="sr-Latn-CS"/>
        </w:rPr>
        <w:t>H</w:t>
      </w:r>
      <w:r w:rsidR="00F37492" w:rsidRPr="009C6A2F">
        <w:rPr>
          <w:sz w:val="22"/>
          <w:szCs w:val="22"/>
          <w:lang w:val="sr-Latn-CS"/>
        </w:rPr>
        <w:t>idroksipropilceluloza</w:t>
      </w:r>
    </w:p>
    <w:p w14:paraId="35D8C164" w14:textId="5F6643F1" w:rsidR="00F37492" w:rsidRDefault="001A6F2E" w:rsidP="000A557B">
      <w:pPr>
        <w:tabs>
          <w:tab w:val="left" w:pos="540"/>
          <w:tab w:val="left" w:pos="569"/>
        </w:tabs>
        <w:jc w:val="both"/>
        <w:rPr>
          <w:sz w:val="22"/>
          <w:szCs w:val="22"/>
          <w:lang w:val="sr-Latn-CS"/>
        </w:rPr>
      </w:pPr>
      <w:r>
        <w:rPr>
          <w:sz w:val="22"/>
          <w:szCs w:val="22"/>
          <w:lang w:val="sr-Latn-CS"/>
        </w:rPr>
        <w:t>L</w:t>
      </w:r>
      <w:r w:rsidR="00F37492" w:rsidRPr="009C6A2F">
        <w:rPr>
          <w:sz w:val="22"/>
          <w:szCs w:val="22"/>
          <w:lang w:val="sr-Latn-CS"/>
        </w:rPr>
        <w:t>aktoza monohidrat</w:t>
      </w:r>
    </w:p>
    <w:p w14:paraId="1940F3FB" w14:textId="77777777" w:rsidR="00F37492" w:rsidRPr="00786071" w:rsidRDefault="00F37492" w:rsidP="000A557B">
      <w:pPr>
        <w:tabs>
          <w:tab w:val="left" w:pos="540"/>
          <w:tab w:val="left" w:pos="569"/>
        </w:tabs>
        <w:rPr>
          <w:bCs/>
          <w:sz w:val="22"/>
          <w:szCs w:val="22"/>
        </w:rPr>
      </w:pPr>
    </w:p>
    <w:p w14:paraId="28ACADAE" w14:textId="77777777" w:rsidR="0072020E" w:rsidRPr="00786071" w:rsidRDefault="0072020E" w:rsidP="000A557B">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038FA1A4" w14:textId="77777777" w:rsidR="0072020E" w:rsidRDefault="0072020E" w:rsidP="000A557B">
      <w:pPr>
        <w:tabs>
          <w:tab w:val="left" w:pos="540"/>
          <w:tab w:val="left" w:pos="569"/>
        </w:tabs>
        <w:rPr>
          <w:bCs/>
          <w:sz w:val="22"/>
          <w:szCs w:val="22"/>
        </w:rPr>
      </w:pPr>
    </w:p>
    <w:p w14:paraId="6C215D55" w14:textId="2300EF25" w:rsidR="00F37492" w:rsidRDefault="00F37492" w:rsidP="000A557B">
      <w:pPr>
        <w:pStyle w:val="Header"/>
        <w:tabs>
          <w:tab w:val="left" w:pos="284"/>
        </w:tabs>
        <w:jc w:val="both"/>
        <w:rPr>
          <w:color w:val="000000"/>
          <w:sz w:val="22"/>
          <w:szCs w:val="22"/>
          <w:lang w:val="sr-Latn-CS"/>
        </w:rPr>
      </w:pPr>
      <w:r w:rsidRPr="00E136F7">
        <w:rPr>
          <w:color w:val="000000"/>
          <w:sz w:val="22"/>
          <w:szCs w:val="22"/>
          <w:lang w:val="sr-Latn-CS"/>
        </w:rPr>
        <w:t xml:space="preserve">Nije </w:t>
      </w:r>
      <w:r>
        <w:rPr>
          <w:color w:val="000000"/>
          <w:sz w:val="22"/>
          <w:szCs w:val="22"/>
          <w:lang w:val="sr-Latn-CS"/>
        </w:rPr>
        <w:t>primjen</w:t>
      </w:r>
      <w:r w:rsidR="00601A1E">
        <w:rPr>
          <w:color w:val="000000"/>
          <w:sz w:val="22"/>
          <w:szCs w:val="22"/>
          <w:lang w:val="sr-Latn-CS"/>
        </w:rPr>
        <w:t>l</w:t>
      </w:r>
      <w:r w:rsidRPr="00E136F7">
        <w:rPr>
          <w:color w:val="000000"/>
          <w:sz w:val="22"/>
          <w:szCs w:val="22"/>
          <w:lang w:val="sr-Latn-CS"/>
        </w:rPr>
        <w:t>jivo.</w:t>
      </w:r>
    </w:p>
    <w:p w14:paraId="231B5F3D" w14:textId="77777777" w:rsidR="00F37492" w:rsidRPr="00786071" w:rsidRDefault="00F37492" w:rsidP="000A557B">
      <w:pPr>
        <w:tabs>
          <w:tab w:val="left" w:pos="540"/>
          <w:tab w:val="left" w:pos="569"/>
        </w:tabs>
        <w:rPr>
          <w:bCs/>
          <w:sz w:val="22"/>
          <w:szCs w:val="22"/>
        </w:rPr>
      </w:pPr>
    </w:p>
    <w:p w14:paraId="3838B13F" w14:textId="77777777" w:rsidR="0072020E" w:rsidRPr="00786071" w:rsidRDefault="0072020E" w:rsidP="000A557B">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71F49F37" w14:textId="77777777" w:rsidR="0072020E" w:rsidRDefault="0072020E" w:rsidP="000A557B">
      <w:pPr>
        <w:tabs>
          <w:tab w:val="left" w:pos="540"/>
          <w:tab w:val="left" w:pos="569"/>
        </w:tabs>
        <w:rPr>
          <w:bCs/>
          <w:sz w:val="22"/>
          <w:szCs w:val="22"/>
        </w:rPr>
      </w:pPr>
    </w:p>
    <w:p w14:paraId="22E1C289" w14:textId="66527E58" w:rsidR="00F37492" w:rsidRPr="00863C88" w:rsidRDefault="00F37492" w:rsidP="000A557B">
      <w:pPr>
        <w:shd w:val="clear" w:color="auto" w:fill="FFFFFF"/>
        <w:jc w:val="both"/>
        <w:rPr>
          <w:color w:val="000000"/>
          <w:sz w:val="22"/>
          <w:szCs w:val="22"/>
          <w:lang w:val="sr-Latn-CS"/>
        </w:rPr>
      </w:pPr>
      <w:r>
        <w:rPr>
          <w:color w:val="000000"/>
          <w:sz w:val="22"/>
          <w:szCs w:val="22"/>
          <w:lang w:val="sr-Latn-CS"/>
        </w:rPr>
        <w:t>3</w:t>
      </w:r>
      <w:r w:rsidRPr="00863C88">
        <w:rPr>
          <w:color w:val="000000"/>
          <w:sz w:val="22"/>
          <w:szCs w:val="22"/>
          <w:lang w:val="sr-Latn-CS"/>
        </w:rPr>
        <w:t xml:space="preserve"> godine</w:t>
      </w:r>
      <w:r w:rsidR="008E5CA5">
        <w:rPr>
          <w:color w:val="000000"/>
          <w:sz w:val="22"/>
          <w:szCs w:val="22"/>
          <w:lang w:val="sr-Latn-CS"/>
        </w:rPr>
        <w:t>.</w:t>
      </w:r>
    </w:p>
    <w:p w14:paraId="18702FAD" w14:textId="77777777" w:rsidR="00F37492" w:rsidRPr="00786071" w:rsidRDefault="00F37492" w:rsidP="000A557B">
      <w:pPr>
        <w:tabs>
          <w:tab w:val="left" w:pos="540"/>
          <w:tab w:val="left" w:pos="569"/>
        </w:tabs>
        <w:rPr>
          <w:bCs/>
          <w:sz w:val="22"/>
          <w:szCs w:val="22"/>
        </w:rPr>
      </w:pPr>
    </w:p>
    <w:p w14:paraId="508CFF4F" w14:textId="77777777" w:rsidR="0072020E" w:rsidRPr="00786071" w:rsidRDefault="0072020E" w:rsidP="000A557B">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4C2B5D21" w14:textId="77777777" w:rsidR="00EC2532" w:rsidRDefault="00EC2532" w:rsidP="000A557B">
      <w:pPr>
        <w:tabs>
          <w:tab w:val="left" w:pos="540"/>
          <w:tab w:val="left" w:pos="569"/>
        </w:tabs>
        <w:rPr>
          <w:bCs/>
          <w:sz w:val="22"/>
          <w:szCs w:val="22"/>
        </w:rPr>
      </w:pPr>
    </w:p>
    <w:p w14:paraId="73A4958A" w14:textId="77777777" w:rsidR="00F37492" w:rsidRDefault="00F37492" w:rsidP="000A557B">
      <w:pPr>
        <w:tabs>
          <w:tab w:val="left" w:pos="540"/>
          <w:tab w:val="left" w:pos="569"/>
        </w:tabs>
        <w:jc w:val="both"/>
        <w:rPr>
          <w:color w:val="000000"/>
          <w:sz w:val="22"/>
          <w:szCs w:val="22"/>
          <w:lang w:val="sr-Latn-CS"/>
        </w:rPr>
      </w:pPr>
      <w:r>
        <w:rPr>
          <w:color w:val="000000"/>
          <w:sz w:val="22"/>
          <w:szCs w:val="22"/>
          <w:lang w:val="sr-Latn-CS"/>
        </w:rPr>
        <w:t>Čuvati na temperaturi do 30</w:t>
      </w:r>
      <w:r>
        <w:rPr>
          <w:rFonts w:ascii="UPC/EAN" w:hAnsi="UPC/EAN"/>
          <w:color w:val="000000"/>
          <w:sz w:val="22"/>
          <w:szCs w:val="22"/>
          <w:lang w:val="sr-Latn-CS"/>
        </w:rPr>
        <w:t>°</w:t>
      </w:r>
      <w:r>
        <w:rPr>
          <w:color w:val="000000"/>
          <w:sz w:val="22"/>
          <w:szCs w:val="22"/>
          <w:lang w:val="sr-Latn-CS"/>
        </w:rPr>
        <w:t>C</w:t>
      </w:r>
      <w:r w:rsidRPr="00C20EA3">
        <w:rPr>
          <w:color w:val="000000"/>
          <w:sz w:val="22"/>
          <w:szCs w:val="22"/>
          <w:lang w:val="sr-Latn-CS"/>
        </w:rPr>
        <w:t>.</w:t>
      </w:r>
    </w:p>
    <w:p w14:paraId="40A9B873" w14:textId="77777777" w:rsidR="00F37492" w:rsidRPr="00786071" w:rsidRDefault="00F37492" w:rsidP="000A557B">
      <w:pPr>
        <w:tabs>
          <w:tab w:val="left" w:pos="540"/>
          <w:tab w:val="left" w:pos="569"/>
        </w:tabs>
        <w:rPr>
          <w:bCs/>
          <w:sz w:val="22"/>
          <w:szCs w:val="22"/>
        </w:rPr>
      </w:pPr>
    </w:p>
    <w:p w14:paraId="36A09640" w14:textId="77777777" w:rsidR="0072020E" w:rsidRPr="00786071" w:rsidRDefault="0072020E" w:rsidP="000A557B">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49B0F83B" w14:textId="77777777" w:rsidR="0072020E" w:rsidRDefault="0072020E" w:rsidP="000A557B">
      <w:pPr>
        <w:tabs>
          <w:tab w:val="left" w:pos="540"/>
          <w:tab w:val="left" w:pos="569"/>
        </w:tabs>
        <w:rPr>
          <w:bCs/>
          <w:sz w:val="22"/>
          <w:szCs w:val="22"/>
        </w:rPr>
      </w:pPr>
    </w:p>
    <w:p w14:paraId="0B224711" w14:textId="714953DB" w:rsidR="008E5CA5" w:rsidRDefault="008E5CA5" w:rsidP="000A557B">
      <w:pPr>
        <w:pStyle w:val="Header"/>
        <w:tabs>
          <w:tab w:val="left" w:pos="284"/>
        </w:tabs>
        <w:jc w:val="both"/>
        <w:rPr>
          <w:sz w:val="22"/>
          <w:szCs w:val="22"/>
          <w:lang w:val="sr-Latn-CS"/>
        </w:rPr>
      </w:pPr>
      <w:r>
        <w:rPr>
          <w:sz w:val="22"/>
          <w:szCs w:val="22"/>
          <w:lang w:val="sr-Latn-CS"/>
        </w:rPr>
        <w:t>Unutrašnje pakovanje je blister</w:t>
      </w:r>
      <w:r w:rsidR="00F37492">
        <w:rPr>
          <w:sz w:val="22"/>
          <w:szCs w:val="22"/>
          <w:lang w:val="sr-Latn-CS"/>
        </w:rPr>
        <w:t xml:space="preserve"> (PVC/PCTFE/Alu) </w:t>
      </w:r>
      <w:r>
        <w:rPr>
          <w:sz w:val="22"/>
          <w:szCs w:val="22"/>
          <w:lang w:val="sr-Latn-CS"/>
        </w:rPr>
        <w:t xml:space="preserve">koji sadrži 14 tableta. </w:t>
      </w:r>
    </w:p>
    <w:p w14:paraId="1383D61B" w14:textId="49F31F7C" w:rsidR="00F37492" w:rsidRDefault="008E5CA5" w:rsidP="000A557B">
      <w:pPr>
        <w:pStyle w:val="Header"/>
        <w:tabs>
          <w:tab w:val="left" w:pos="284"/>
        </w:tabs>
        <w:jc w:val="both"/>
        <w:rPr>
          <w:sz w:val="22"/>
          <w:szCs w:val="22"/>
          <w:lang w:val="sr-Latn-CS"/>
        </w:rPr>
      </w:pPr>
      <w:r>
        <w:rPr>
          <w:sz w:val="22"/>
          <w:szCs w:val="22"/>
          <w:lang w:val="sr-Latn-CS"/>
        </w:rPr>
        <w:t>Spoljašnje pakovanje je složiva kartonska kutija u kojoj se nalaze 4 blistera (ukupno</w:t>
      </w:r>
      <w:r w:rsidR="00F37492">
        <w:rPr>
          <w:sz w:val="22"/>
          <w:szCs w:val="22"/>
          <w:lang w:val="sr-Latn-CS"/>
        </w:rPr>
        <w:t xml:space="preserve"> 56 tableta</w:t>
      </w:r>
      <w:r>
        <w:rPr>
          <w:sz w:val="22"/>
          <w:szCs w:val="22"/>
          <w:lang w:val="sr-Latn-CS"/>
        </w:rPr>
        <w:t>) i Uputstvo za lijek.</w:t>
      </w:r>
    </w:p>
    <w:p w14:paraId="7F2D9A42" w14:textId="77777777" w:rsidR="00F37492" w:rsidRPr="00786071" w:rsidRDefault="00F37492" w:rsidP="000A557B">
      <w:pPr>
        <w:tabs>
          <w:tab w:val="left" w:pos="540"/>
          <w:tab w:val="left" w:pos="569"/>
        </w:tabs>
        <w:rPr>
          <w:bCs/>
          <w:sz w:val="22"/>
          <w:szCs w:val="22"/>
        </w:rPr>
      </w:pPr>
    </w:p>
    <w:p w14:paraId="252FC740" w14:textId="77777777" w:rsidR="002846DB" w:rsidRDefault="0072020E" w:rsidP="000A557B">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34FBB798" w14:textId="77777777" w:rsidR="00B66A70" w:rsidRDefault="00B66A70" w:rsidP="000A557B">
      <w:pPr>
        <w:tabs>
          <w:tab w:val="left" w:pos="540"/>
          <w:tab w:val="left" w:pos="569"/>
        </w:tabs>
        <w:rPr>
          <w:b/>
          <w:bCs/>
          <w:sz w:val="22"/>
          <w:szCs w:val="22"/>
        </w:rPr>
      </w:pPr>
    </w:p>
    <w:p w14:paraId="2F69AFFE" w14:textId="056D76E6" w:rsidR="00F37492" w:rsidRDefault="00F37492" w:rsidP="000A557B">
      <w:pPr>
        <w:tabs>
          <w:tab w:val="left" w:pos="540"/>
          <w:tab w:val="left" w:pos="569"/>
        </w:tabs>
        <w:jc w:val="both"/>
        <w:rPr>
          <w:b/>
          <w:bCs/>
          <w:sz w:val="22"/>
          <w:szCs w:val="22"/>
        </w:rPr>
      </w:pPr>
      <w:r w:rsidRPr="00001583">
        <w:rPr>
          <w:sz w:val="22"/>
          <w:lang w:val="pt-BR"/>
        </w:rPr>
        <w:t>Neupotr</w:t>
      </w:r>
      <w:r w:rsidR="00601A1E">
        <w:rPr>
          <w:sz w:val="22"/>
          <w:lang w:val="pt-BR"/>
        </w:rPr>
        <w:t>ij</w:t>
      </w:r>
      <w:r w:rsidRPr="00001583">
        <w:rPr>
          <w:sz w:val="22"/>
          <w:lang w:val="pt-BR"/>
        </w:rPr>
        <w:t xml:space="preserve">ebljeni </w:t>
      </w:r>
      <w:r>
        <w:rPr>
          <w:sz w:val="22"/>
          <w:lang w:val="pt-BR"/>
        </w:rPr>
        <w:t>lijek</w:t>
      </w:r>
      <w:r w:rsidRPr="00001583">
        <w:rPr>
          <w:sz w:val="22"/>
          <w:lang w:val="pt-BR"/>
        </w:rPr>
        <w:t xml:space="preserve"> se uništava u skladu sa važećim propisima.</w:t>
      </w:r>
    </w:p>
    <w:p w14:paraId="37BF17CA" w14:textId="4D95925C" w:rsidR="0072020E" w:rsidRDefault="0072020E" w:rsidP="000A557B">
      <w:pPr>
        <w:tabs>
          <w:tab w:val="left" w:pos="540"/>
          <w:tab w:val="left" w:pos="569"/>
        </w:tabs>
        <w:rPr>
          <w:bCs/>
          <w:sz w:val="22"/>
          <w:szCs w:val="22"/>
        </w:rPr>
      </w:pPr>
    </w:p>
    <w:p w14:paraId="7E1CA82A" w14:textId="77777777" w:rsidR="00BB6F20" w:rsidRPr="00786071" w:rsidRDefault="00BB6F20" w:rsidP="000A557B">
      <w:pPr>
        <w:tabs>
          <w:tab w:val="left" w:pos="540"/>
          <w:tab w:val="left" w:pos="569"/>
        </w:tabs>
        <w:rPr>
          <w:bCs/>
          <w:sz w:val="22"/>
          <w:szCs w:val="22"/>
        </w:rPr>
      </w:pPr>
    </w:p>
    <w:p w14:paraId="7A22D172" w14:textId="77777777" w:rsidR="00F37492" w:rsidRPr="00786071" w:rsidRDefault="00F37492" w:rsidP="000A557B">
      <w:pPr>
        <w:tabs>
          <w:tab w:val="left" w:pos="540"/>
          <w:tab w:val="left" w:pos="569"/>
        </w:tabs>
        <w:rPr>
          <w:b/>
          <w:bCs/>
          <w:sz w:val="22"/>
          <w:szCs w:val="22"/>
        </w:rPr>
      </w:pPr>
      <w:r w:rsidRPr="00786071">
        <w:rPr>
          <w:b/>
          <w:bCs/>
          <w:sz w:val="22"/>
          <w:szCs w:val="22"/>
        </w:rPr>
        <w:t xml:space="preserve">7. </w:t>
      </w:r>
      <w:r w:rsidRPr="00786071">
        <w:rPr>
          <w:b/>
          <w:bCs/>
          <w:sz w:val="22"/>
          <w:szCs w:val="22"/>
        </w:rPr>
        <w:tab/>
        <w:t xml:space="preserve">NOSILAC DOZVOLE </w:t>
      </w:r>
    </w:p>
    <w:p w14:paraId="6237043B" w14:textId="77777777" w:rsidR="00BB6F20" w:rsidRDefault="00BB6F20" w:rsidP="000A557B">
      <w:pPr>
        <w:pStyle w:val="Header"/>
        <w:rPr>
          <w:sz w:val="22"/>
          <w:szCs w:val="22"/>
        </w:rPr>
      </w:pPr>
    </w:p>
    <w:p w14:paraId="24C9E984" w14:textId="11EA3D1C" w:rsidR="00F37492" w:rsidRPr="00BF3A03" w:rsidRDefault="00F37492" w:rsidP="000A557B">
      <w:pPr>
        <w:pStyle w:val="Header"/>
        <w:jc w:val="both"/>
        <w:rPr>
          <w:sz w:val="22"/>
          <w:szCs w:val="22"/>
        </w:rPr>
      </w:pPr>
      <w:r w:rsidRPr="00BF3A03">
        <w:rPr>
          <w:sz w:val="22"/>
          <w:szCs w:val="22"/>
        </w:rPr>
        <w:t>“Novartis Pharma Services AG” dio stranog društva Podgorica</w:t>
      </w:r>
    </w:p>
    <w:p w14:paraId="71104464" w14:textId="4B4C27C8" w:rsidR="00F37492" w:rsidRDefault="00F37492" w:rsidP="000A557B">
      <w:pPr>
        <w:pStyle w:val="Header"/>
        <w:tabs>
          <w:tab w:val="left" w:pos="284"/>
        </w:tabs>
        <w:jc w:val="both"/>
        <w:rPr>
          <w:sz w:val="22"/>
          <w:szCs w:val="22"/>
          <w:lang w:val="hr-HR"/>
        </w:rPr>
      </w:pPr>
      <w:r w:rsidRPr="003765E1">
        <w:rPr>
          <w:sz w:val="22"/>
          <w:szCs w:val="22"/>
        </w:rPr>
        <w:lastRenderedPageBreak/>
        <w:t>Ul. Svetlane Kane Radević br 3, Podgorica</w:t>
      </w:r>
      <w:r w:rsidR="006A205A">
        <w:rPr>
          <w:sz w:val="22"/>
          <w:szCs w:val="22"/>
        </w:rPr>
        <w:t>, Crna Gora</w:t>
      </w:r>
      <w:r w:rsidRPr="00F41BB8">
        <w:rPr>
          <w:sz w:val="22"/>
          <w:szCs w:val="22"/>
          <w:lang w:val="hr-HR"/>
        </w:rPr>
        <w:t xml:space="preserve"> </w:t>
      </w:r>
    </w:p>
    <w:p w14:paraId="181CAF8F" w14:textId="1082ACE0" w:rsidR="00F37492" w:rsidRDefault="00F37492" w:rsidP="000A557B">
      <w:pPr>
        <w:tabs>
          <w:tab w:val="left" w:pos="540"/>
          <w:tab w:val="left" w:pos="569"/>
        </w:tabs>
        <w:rPr>
          <w:bCs/>
          <w:sz w:val="22"/>
          <w:szCs w:val="22"/>
        </w:rPr>
      </w:pPr>
    </w:p>
    <w:p w14:paraId="002ED2D6" w14:textId="77777777" w:rsidR="00BB6F20" w:rsidRPr="00786071" w:rsidRDefault="00BB6F20" w:rsidP="000A557B">
      <w:pPr>
        <w:tabs>
          <w:tab w:val="left" w:pos="540"/>
          <w:tab w:val="left" w:pos="569"/>
        </w:tabs>
        <w:rPr>
          <w:bCs/>
          <w:sz w:val="22"/>
          <w:szCs w:val="22"/>
        </w:rPr>
      </w:pPr>
    </w:p>
    <w:p w14:paraId="1F87C4E9" w14:textId="77777777" w:rsidR="00F37492" w:rsidRDefault="00F37492" w:rsidP="000A557B">
      <w:pPr>
        <w:tabs>
          <w:tab w:val="left" w:pos="540"/>
          <w:tab w:val="left" w:pos="569"/>
        </w:tabs>
        <w:rPr>
          <w:b/>
          <w:bCs/>
          <w:sz w:val="22"/>
          <w:szCs w:val="22"/>
        </w:rPr>
      </w:pPr>
      <w:r w:rsidRPr="00786071">
        <w:rPr>
          <w:b/>
          <w:bCs/>
          <w:sz w:val="22"/>
          <w:szCs w:val="22"/>
        </w:rPr>
        <w:t xml:space="preserve">8. </w:t>
      </w:r>
      <w:r w:rsidRPr="00786071">
        <w:rPr>
          <w:b/>
          <w:bCs/>
          <w:sz w:val="22"/>
          <w:szCs w:val="22"/>
        </w:rPr>
        <w:tab/>
        <w:t>BROJ DOZVOLE</w:t>
      </w:r>
      <w:r>
        <w:rPr>
          <w:b/>
          <w:bCs/>
          <w:sz w:val="22"/>
          <w:szCs w:val="22"/>
        </w:rPr>
        <w:t xml:space="preserve"> ZA STAVLJANJE LIJEKA U PROMET</w:t>
      </w:r>
    </w:p>
    <w:p w14:paraId="2824898F" w14:textId="77777777" w:rsidR="00F37492" w:rsidRPr="00786071" w:rsidRDefault="00F37492" w:rsidP="000A557B">
      <w:pPr>
        <w:tabs>
          <w:tab w:val="left" w:pos="540"/>
          <w:tab w:val="left" w:pos="569"/>
        </w:tabs>
        <w:rPr>
          <w:b/>
          <w:bCs/>
          <w:sz w:val="22"/>
          <w:szCs w:val="22"/>
        </w:rPr>
      </w:pPr>
    </w:p>
    <w:p w14:paraId="3699EED2" w14:textId="2F8D7C29" w:rsidR="00F37492" w:rsidRDefault="00F37492" w:rsidP="000A557B">
      <w:pPr>
        <w:widowControl w:val="0"/>
        <w:autoSpaceDE w:val="0"/>
        <w:autoSpaceDN w:val="0"/>
        <w:jc w:val="both"/>
        <w:rPr>
          <w:sz w:val="22"/>
          <w:szCs w:val="22"/>
          <w:lang w:val="sr-Latn-CS"/>
        </w:rPr>
      </w:pPr>
      <w:r>
        <w:rPr>
          <w:sz w:val="22"/>
          <w:szCs w:val="22"/>
          <w:lang w:val="sr-Latn-CS"/>
        </w:rPr>
        <w:t>Jakavi</w:t>
      </w:r>
      <w:r w:rsidR="00FE59C9">
        <w:rPr>
          <w:sz w:val="22"/>
          <w:szCs w:val="22"/>
          <w:lang w:val="sr-Latn-CS"/>
        </w:rPr>
        <w:t>,</w:t>
      </w:r>
      <w:r>
        <w:rPr>
          <w:sz w:val="22"/>
          <w:szCs w:val="22"/>
          <w:lang w:val="sr-Latn-CS"/>
        </w:rPr>
        <w:t xml:space="preserve"> tableta, 5</w:t>
      </w:r>
      <w:r w:rsidR="00601A1E">
        <w:rPr>
          <w:sz w:val="22"/>
          <w:szCs w:val="22"/>
          <w:lang w:val="sr-Latn-CS"/>
        </w:rPr>
        <w:t xml:space="preserve"> </w:t>
      </w:r>
      <w:r>
        <w:rPr>
          <w:sz w:val="22"/>
          <w:szCs w:val="22"/>
          <w:lang w:val="sr-Latn-CS"/>
        </w:rPr>
        <w:t>mg, blister,</w:t>
      </w:r>
      <w:r w:rsidR="00FE59C9">
        <w:rPr>
          <w:sz w:val="22"/>
          <w:szCs w:val="22"/>
          <w:lang w:val="sr-Latn-CS"/>
        </w:rPr>
        <w:t xml:space="preserve"> 56 (</w:t>
      </w:r>
      <w:r>
        <w:rPr>
          <w:sz w:val="22"/>
          <w:szCs w:val="22"/>
          <w:lang w:val="sr-Latn-CS"/>
        </w:rPr>
        <w:t>4x14</w:t>
      </w:r>
      <w:r w:rsidR="00FE59C9">
        <w:rPr>
          <w:sz w:val="22"/>
          <w:szCs w:val="22"/>
          <w:lang w:val="sr-Latn-CS"/>
        </w:rPr>
        <w:t>)</w:t>
      </w:r>
      <w:r>
        <w:rPr>
          <w:sz w:val="22"/>
          <w:szCs w:val="22"/>
          <w:lang w:val="sr-Latn-CS"/>
        </w:rPr>
        <w:t xml:space="preserve"> tableta: </w:t>
      </w:r>
      <w:r w:rsidR="00624D32">
        <w:rPr>
          <w:sz w:val="22"/>
          <w:szCs w:val="22"/>
          <w:lang w:val="sr-Latn-CS"/>
        </w:rPr>
        <w:t xml:space="preserve">2030/25/83-2918  </w:t>
      </w:r>
    </w:p>
    <w:p w14:paraId="4A6BAF67" w14:textId="61E0F90C" w:rsidR="00F37492" w:rsidRDefault="00F37492" w:rsidP="000A557B">
      <w:pPr>
        <w:widowControl w:val="0"/>
        <w:autoSpaceDE w:val="0"/>
        <w:autoSpaceDN w:val="0"/>
        <w:jc w:val="both"/>
        <w:rPr>
          <w:sz w:val="22"/>
          <w:szCs w:val="22"/>
          <w:lang w:val="sr-Latn-CS"/>
        </w:rPr>
      </w:pPr>
      <w:r>
        <w:rPr>
          <w:sz w:val="22"/>
          <w:szCs w:val="22"/>
          <w:lang w:val="sr-Latn-CS"/>
        </w:rPr>
        <w:t>Jakavi</w:t>
      </w:r>
      <w:r w:rsidR="00FE59C9">
        <w:rPr>
          <w:sz w:val="22"/>
          <w:szCs w:val="22"/>
          <w:lang w:val="sr-Latn-CS"/>
        </w:rPr>
        <w:t>,</w:t>
      </w:r>
      <w:r>
        <w:rPr>
          <w:sz w:val="22"/>
          <w:szCs w:val="22"/>
          <w:lang w:val="sr-Latn-CS"/>
        </w:rPr>
        <w:t xml:space="preserve"> tableta, 15</w:t>
      </w:r>
      <w:r w:rsidR="00601A1E">
        <w:rPr>
          <w:sz w:val="22"/>
          <w:szCs w:val="22"/>
          <w:lang w:val="sr-Latn-CS"/>
        </w:rPr>
        <w:t xml:space="preserve"> </w:t>
      </w:r>
      <w:r>
        <w:rPr>
          <w:sz w:val="22"/>
          <w:szCs w:val="22"/>
          <w:lang w:val="sr-Latn-CS"/>
        </w:rPr>
        <w:t xml:space="preserve">mg, blister, </w:t>
      </w:r>
      <w:r w:rsidR="00FE59C9">
        <w:rPr>
          <w:sz w:val="22"/>
          <w:szCs w:val="22"/>
          <w:lang w:val="sr-Latn-CS"/>
        </w:rPr>
        <w:t>56 (</w:t>
      </w:r>
      <w:r>
        <w:rPr>
          <w:sz w:val="22"/>
          <w:szCs w:val="22"/>
          <w:lang w:val="sr-Latn-CS"/>
        </w:rPr>
        <w:t>4x14</w:t>
      </w:r>
      <w:r w:rsidR="00FE59C9">
        <w:rPr>
          <w:sz w:val="22"/>
          <w:szCs w:val="22"/>
          <w:lang w:val="sr-Latn-CS"/>
        </w:rPr>
        <w:t>)</w:t>
      </w:r>
      <w:r>
        <w:rPr>
          <w:sz w:val="22"/>
          <w:szCs w:val="22"/>
          <w:lang w:val="sr-Latn-CS"/>
        </w:rPr>
        <w:t xml:space="preserve"> tableta: </w:t>
      </w:r>
      <w:r w:rsidR="00624D32">
        <w:rPr>
          <w:sz w:val="22"/>
          <w:szCs w:val="22"/>
          <w:lang w:val="sr-Latn-CS"/>
        </w:rPr>
        <w:t xml:space="preserve">2030/25/85-2919  </w:t>
      </w:r>
    </w:p>
    <w:p w14:paraId="2034D657" w14:textId="0EBF3E7E" w:rsidR="00F37492" w:rsidRDefault="00F37492" w:rsidP="000A557B">
      <w:pPr>
        <w:widowControl w:val="0"/>
        <w:autoSpaceDE w:val="0"/>
        <w:autoSpaceDN w:val="0"/>
        <w:jc w:val="both"/>
        <w:rPr>
          <w:sz w:val="22"/>
          <w:szCs w:val="22"/>
          <w:lang w:val="sr-Latn-CS"/>
        </w:rPr>
      </w:pPr>
      <w:r>
        <w:rPr>
          <w:sz w:val="22"/>
          <w:szCs w:val="22"/>
          <w:lang w:val="sr-Latn-CS"/>
        </w:rPr>
        <w:t>Jakavi</w:t>
      </w:r>
      <w:r w:rsidR="00FE59C9">
        <w:rPr>
          <w:sz w:val="22"/>
          <w:szCs w:val="22"/>
          <w:lang w:val="sr-Latn-CS"/>
        </w:rPr>
        <w:t>,</w:t>
      </w:r>
      <w:r>
        <w:rPr>
          <w:sz w:val="22"/>
          <w:szCs w:val="22"/>
          <w:lang w:val="sr-Latn-CS"/>
        </w:rPr>
        <w:t xml:space="preserve"> tableta, 20</w:t>
      </w:r>
      <w:r w:rsidR="00601A1E">
        <w:rPr>
          <w:sz w:val="22"/>
          <w:szCs w:val="22"/>
          <w:lang w:val="sr-Latn-CS"/>
        </w:rPr>
        <w:t xml:space="preserve"> </w:t>
      </w:r>
      <w:r>
        <w:rPr>
          <w:sz w:val="22"/>
          <w:szCs w:val="22"/>
          <w:lang w:val="sr-Latn-CS"/>
        </w:rPr>
        <w:t xml:space="preserve">mg, blister, </w:t>
      </w:r>
      <w:r w:rsidR="00FE59C9">
        <w:rPr>
          <w:sz w:val="22"/>
          <w:szCs w:val="22"/>
          <w:lang w:val="sr-Latn-CS"/>
        </w:rPr>
        <w:t>56 (</w:t>
      </w:r>
      <w:r>
        <w:rPr>
          <w:sz w:val="22"/>
          <w:szCs w:val="22"/>
          <w:lang w:val="sr-Latn-CS"/>
        </w:rPr>
        <w:t>4x14</w:t>
      </w:r>
      <w:r w:rsidR="00FE59C9">
        <w:rPr>
          <w:sz w:val="22"/>
          <w:szCs w:val="22"/>
          <w:lang w:val="sr-Latn-CS"/>
        </w:rPr>
        <w:t>)</w:t>
      </w:r>
      <w:r>
        <w:rPr>
          <w:sz w:val="22"/>
          <w:szCs w:val="22"/>
          <w:lang w:val="sr-Latn-CS"/>
        </w:rPr>
        <w:t xml:space="preserve"> tableta: </w:t>
      </w:r>
      <w:r w:rsidR="00624D32">
        <w:rPr>
          <w:sz w:val="22"/>
          <w:szCs w:val="22"/>
          <w:lang w:val="sr-Latn-CS"/>
        </w:rPr>
        <w:t xml:space="preserve">2030/25/86-2920  </w:t>
      </w:r>
    </w:p>
    <w:p w14:paraId="260F8BDE" w14:textId="5CE5649C" w:rsidR="00F37492" w:rsidRDefault="00F37492" w:rsidP="000A557B">
      <w:pPr>
        <w:widowControl w:val="0"/>
        <w:autoSpaceDE w:val="0"/>
        <w:autoSpaceDN w:val="0"/>
        <w:jc w:val="both"/>
        <w:rPr>
          <w:sz w:val="22"/>
          <w:szCs w:val="22"/>
          <w:lang w:val="sr-Latn-CS"/>
        </w:rPr>
      </w:pPr>
    </w:p>
    <w:p w14:paraId="67519088" w14:textId="77777777" w:rsidR="00BB6F20" w:rsidRDefault="00BB6F20" w:rsidP="000A557B">
      <w:pPr>
        <w:widowControl w:val="0"/>
        <w:autoSpaceDE w:val="0"/>
        <w:autoSpaceDN w:val="0"/>
        <w:rPr>
          <w:sz w:val="22"/>
          <w:szCs w:val="22"/>
          <w:lang w:val="sr-Latn-CS"/>
        </w:rPr>
      </w:pPr>
    </w:p>
    <w:p w14:paraId="3D758955" w14:textId="77777777" w:rsidR="00F37492" w:rsidRDefault="00F37492" w:rsidP="000A557B">
      <w:pPr>
        <w:tabs>
          <w:tab w:val="left" w:pos="540"/>
          <w:tab w:val="left" w:pos="569"/>
        </w:tabs>
        <w:rPr>
          <w:b/>
          <w:bCs/>
          <w:sz w:val="22"/>
          <w:szCs w:val="22"/>
        </w:rPr>
      </w:pPr>
      <w:r w:rsidRPr="00786071">
        <w:rPr>
          <w:b/>
          <w:bCs/>
          <w:sz w:val="22"/>
          <w:szCs w:val="22"/>
        </w:rPr>
        <w:t xml:space="preserve">9. </w:t>
      </w:r>
      <w:r w:rsidRPr="00786071">
        <w:rPr>
          <w:b/>
          <w:bCs/>
          <w:sz w:val="22"/>
          <w:szCs w:val="22"/>
        </w:rPr>
        <w:tab/>
        <w:t xml:space="preserve">DATUM </w:t>
      </w:r>
      <w:r>
        <w:rPr>
          <w:b/>
          <w:bCs/>
          <w:sz w:val="22"/>
          <w:szCs w:val="22"/>
        </w:rPr>
        <w:t xml:space="preserve">PRVE </w:t>
      </w:r>
      <w:r w:rsidRPr="00786071">
        <w:rPr>
          <w:b/>
          <w:bCs/>
          <w:sz w:val="22"/>
          <w:szCs w:val="22"/>
        </w:rPr>
        <w:t>DOZVOLE</w:t>
      </w:r>
      <w:r>
        <w:rPr>
          <w:b/>
          <w:bCs/>
          <w:sz w:val="22"/>
          <w:szCs w:val="22"/>
        </w:rPr>
        <w:t>/OBNOVE DOZVOLE ZA STAVLJANJE LIJEKA U PROMET</w:t>
      </w:r>
    </w:p>
    <w:p w14:paraId="40FABEB2" w14:textId="77777777" w:rsidR="00F37492" w:rsidRPr="00786071" w:rsidRDefault="00F37492" w:rsidP="000A557B">
      <w:pPr>
        <w:tabs>
          <w:tab w:val="left" w:pos="540"/>
          <w:tab w:val="left" w:pos="569"/>
        </w:tabs>
        <w:rPr>
          <w:b/>
          <w:bCs/>
          <w:sz w:val="22"/>
          <w:szCs w:val="22"/>
        </w:rPr>
      </w:pPr>
    </w:p>
    <w:p w14:paraId="1F59B080" w14:textId="777DF721" w:rsidR="00F37492" w:rsidRDefault="00FE59C9" w:rsidP="000A557B">
      <w:pPr>
        <w:widowControl w:val="0"/>
        <w:autoSpaceDE w:val="0"/>
        <w:autoSpaceDN w:val="0"/>
        <w:jc w:val="both"/>
        <w:rPr>
          <w:sz w:val="22"/>
          <w:szCs w:val="22"/>
          <w:lang w:val="sr-Latn-CS"/>
        </w:rPr>
      </w:pPr>
      <w:r>
        <w:rPr>
          <w:sz w:val="22"/>
          <w:szCs w:val="22"/>
          <w:lang w:val="sr-Latn-CS"/>
        </w:rPr>
        <w:t>Datum prve dozvole:</w:t>
      </w:r>
      <w:r w:rsidR="00601A1E">
        <w:rPr>
          <w:sz w:val="22"/>
          <w:szCs w:val="22"/>
          <w:lang w:val="sr-Latn-CS"/>
        </w:rPr>
        <w:t xml:space="preserve"> 28.10.2014. godine</w:t>
      </w:r>
    </w:p>
    <w:p w14:paraId="7A9847E3" w14:textId="670F4C89" w:rsidR="00FE59C9" w:rsidRDefault="00FE59C9" w:rsidP="000A557B">
      <w:pPr>
        <w:widowControl w:val="0"/>
        <w:autoSpaceDE w:val="0"/>
        <w:autoSpaceDN w:val="0"/>
        <w:jc w:val="both"/>
        <w:rPr>
          <w:sz w:val="22"/>
          <w:szCs w:val="22"/>
          <w:lang w:val="sr-Latn-CS"/>
        </w:rPr>
      </w:pPr>
      <w:r>
        <w:rPr>
          <w:sz w:val="22"/>
          <w:szCs w:val="22"/>
          <w:lang w:val="sr-Latn-CS"/>
        </w:rPr>
        <w:t>Datum poslednje obnove dozvole:</w:t>
      </w:r>
      <w:r w:rsidR="00624D32" w:rsidRPr="00624D32">
        <w:rPr>
          <w:sz w:val="22"/>
          <w:szCs w:val="22"/>
          <w:lang w:val="sr-Latn-CS"/>
        </w:rPr>
        <w:t xml:space="preserve"> 14.01.2025.</w:t>
      </w:r>
    </w:p>
    <w:p w14:paraId="4ED4DE90" w14:textId="77777777" w:rsidR="00F37492" w:rsidRPr="00786071" w:rsidRDefault="00F37492" w:rsidP="000A557B">
      <w:pPr>
        <w:tabs>
          <w:tab w:val="left" w:pos="540"/>
          <w:tab w:val="left" w:pos="569"/>
        </w:tabs>
        <w:rPr>
          <w:bCs/>
          <w:sz w:val="22"/>
          <w:szCs w:val="22"/>
        </w:rPr>
      </w:pPr>
    </w:p>
    <w:p w14:paraId="576B1FC4" w14:textId="77777777" w:rsidR="00F37492" w:rsidRPr="00786071" w:rsidRDefault="00F37492" w:rsidP="000A557B">
      <w:pPr>
        <w:tabs>
          <w:tab w:val="left" w:pos="540"/>
          <w:tab w:val="left" w:pos="569"/>
        </w:tabs>
        <w:rPr>
          <w:bCs/>
          <w:sz w:val="22"/>
          <w:szCs w:val="22"/>
        </w:rPr>
      </w:pPr>
    </w:p>
    <w:p w14:paraId="43AE79CB" w14:textId="1192E667" w:rsidR="00F37492" w:rsidRDefault="00F37492" w:rsidP="000A557B">
      <w:pPr>
        <w:tabs>
          <w:tab w:val="left" w:pos="540"/>
          <w:tab w:val="left" w:pos="569"/>
        </w:tabs>
        <w:rPr>
          <w:b/>
          <w:bCs/>
          <w:sz w:val="22"/>
          <w:szCs w:val="22"/>
        </w:rPr>
      </w:pPr>
      <w:r w:rsidRPr="00786071">
        <w:rPr>
          <w:b/>
          <w:bCs/>
          <w:sz w:val="22"/>
          <w:szCs w:val="22"/>
        </w:rPr>
        <w:t xml:space="preserve">10. </w:t>
      </w:r>
      <w:r w:rsidRPr="00786071">
        <w:rPr>
          <w:b/>
          <w:bCs/>
          <w:sz w:val="22"/>
          <w:szCs w:val="22"/>
        </w:rPr>
        <w:tab/>
        <w:t xml:space="preserve">DATUM REVIZIJE TEKSTA </w:t>
      </w:r>
    </w:p>
    <w:p w14:paraId="56E86438" w14:textId="425D360E" w:rsidR="00BB6F20" w:rsidRDefault="00BB6F20" w:rsidP="000A557B">
      <w:pPr>
        <w:tabs>
          <w:tab w:val="left" w:pos="540"/>
          <w:tab w:val="left" w:pos="569"/>
        </w:tabs>
        <w:jc w:val="both"/>
        <w:rPr>
          <w:bCs/>
          <w:sz w:val="22"/>
          <w:szCs w:val="22"/>
        </w:rPr>
      </w:pPr>
    </w:p>
    <w:p w14:paraId="0CEF7C53" w14:textId="1D187B70" w:rsidR="00DA7D1D" w:rsidRDefault="00DA7D1D" w:rsidP="000A557B">
      <w:pPr>
        <w:tabs>
          <w:tab w:val="left" w:pos="540"/>
          <w:tab w:val="left" w:pos="569"/>
        </w:tabs>
        <w:jc w:val="both"/>
        <w:rPr>
          <w:bCs/>
          <w:sz w:val="22"/>
          <w:szCs w:val="22"/>
        </w:rPr>
      </w:pPr>
      <w:r>
        <w:rPr>
          <w:bCs/>
          <w:sz w:val="22"/>
          <w:szCs w:val="22"/>
        </w:rPr>
        <w:t>Apri</w:t>
      </w:r>
      <w:bookmarkStart w:id="12" w:name="_GoBack"/>
      <w:bookmarkEnd w:id="12"/>
      <w:r>
        <w:rPr>
          <w:bCs/>
          <w:sz w:val="22"/>
          <w:szCs w:val="22"/>
        </w:rPr>
        <w:t>l, 2025. godine</w:t>
      </w:r>
    </w:p>
    <w:p w14:paraId="668B6A6A" w14:textId="77777777" w:rsidR="00FE59C9" w:rsidRDefault="00FE59C9" w:rsidP="000A557B">
      <w:pPr>
        <w:tabs>
          <w:tab w:val="left" w:pos="540"/>
          <w:tab w:val="left" w:pos="569"/>
        </w:tabs>
        <w:jc w:val="both"/>
        <w:rPr>
          <w:bCs/>
          <w:sz w:val="22"/>
          <w:szCs w:val="22"/>
        </w:rPr>
      </w:pPr>
    </w:p>
    <w:p w14:paraId="398B194C" w14:textId="77777777" w:rsidR="00F37492" w:rsidRPr="00786071" w:rsidRDefault="00F37492" w:rsidP="000A557B">
      <w:pPr>
        <w:tabs>
          <w:tab w:val="left" w:pos="540"/>
          <w:tab w:val="left" w:pos="569"/>
        </w:tabs>
        <w:rPr>
          <w:bCs/>
          <w:sz w:val="22"/>
          <w:szCs w:val="22"/>
        </w:rPr>
      </w:pPr>
    </w:p>
    <w:p w14:paraId="2BCB6206" w14:textId="5D6F5F22" w:rsidR="003F6A59" w:rsidRPr="00786071" w:rsidRDefault="003F6A59" w:rsidP="000A557B">
      <w:pPr>
        <w:rPr>
          <w:sz w:val="22"/>
          <w:szCs w:val="22"/>
          <w:lang w:val="pl-PL"/>
        </w:rPr>
      </w:pPr>
    </w:p>
    <w:sectPr w:rsidR="003F6A59" w:rsidRPr="00786071" w:rsidSect="000A557B">
      <w:footerReference w:type="default" r:id="rId13"/>
      <w:pgSz w:w="11909" w:h="16834" w:code="9"/>
      <w:pgMar w:top="1134" w:right="1418" w:bottom="1134" w:left="141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1818B" w14:textId="77777777" w:rsidR="004F2FA3" w:rsidRDefault="004F2FA3">
      <w:r>
        <w:separator/>
      </w:r>
    </w:p>
  </w:endnote>
  <w:endnote w:type="continuationSeparator" w:id="0">
    <w:p w14:paraId="7FAA1C00" w14:textId="77777777" w:rsidR="004F2FA3" w:rsidRDefault="004F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nstanti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UPC/EAN">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11C2" w14:textId="3BEE89DE" w:rsidR="00C55389" w:rsidRPr="00B23F69" w:rsidRDefault="00C5538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14D6C">
      <w:rPr>
        <w:noProof/>
        <w:sz w:val="22"/>
        <w:szCs w:val="22"/>
      </w:rPr>
      <w:t>32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14D6C">
      <w:rPr>
        <w:noProof/>
        <w:sz w:val="22"/>
        <w:szCs w:val="22"/>
      </w:rPr>
      <w:t>36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5425D" w14:textId="77777777" w:rsidR="004F2FA3" w:rsidRDefault="004F2FA3">
      <w:r>
        <w:separator/>
      </w:r>
    </w:p>
  </w:footnote>
  <w:footnote w:type="continuationSeparator" w:id="0">
    <w:p w14:paraId="261114C6" w14:textId="77777777" w:rsidR="004F2FA3" w:rsidRDefault="004F2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9pt;height:13.4pt;visibility:visible;mso-wrap-style:square" o:bullet="t">
        <v:imagedata r:id="rId1" o:title=""/>
      </v:shape>
    </w:pict>
  </w:numPicBullet>
  <w:abstractNum w:abstractNumId="0" w15:restartNumberingAfterBreak="0">
    <w:nsid w:val="09A40845"/>
    <w:multiLevelType w:val="hybridMultilevel"/>
    <w:tmpl w:val="BC6E6904"/>
    <w:lvl w:ilvl="0" w:tplc="960A7FE4">
      <w:start w:val="1"/>
      <w:numFmt w:val="bullet"/>
      <w:lvlText w:val=""/>
      <w:lvlJc w:val="left"/>
      <w:pPr>
        <w:ind w:left="720" w:hanging="360"/>
      </w:pPr>
      <w:rPr>
        <w:rFonts w:ascii="Symbol" w:hAnsi="Symbol" w:hint="default"/>
      </w:rPr>
    </w:lvl>
    <w:lvl w:ilvl="1" w:tplc="AE3EFC52">
      <w:start w:val="1"/>
      <w:numFmt w:val="bullet"/>
      <w:lvlText w:val="o"/>
      <w:lvlJc w:val="left"/>
      <w:pPr>
        <w:ind w:left="1440" w:hanging="360"/>
      </w:pPr>
      <w:rPr>
        <w:rFonts w:ascii="Courier New" w:hAnsi="Courier New" w:cs="Courier New" w:hint="default"/>
      </w:rPr>
    </w:lvl>
    <w:lvl w:ilvl="2" w:tplc="9FE6A4C0">
      <w:start w:val="1"/>
      <w:numFmt w:val="bullet"/>
      <w:lvlText w:val=""/>
      <w:lvlJc w:val="left"/>
      <w:pPr>
        <w:ind w:left="2160" w:hanging="360"/>
      </w:pPr>
      <w:rPr>
        <w:rFonts w:ascii="Wingdings" w:hAnsi="Wingdings" w:hint="default"/>
      </w:rPr>
    </w:lvl>
    <w:lvl w:ilvl="3" w:tplc="E31AF686">
      <w:start w:val="1"/>
      <w:numFmt w:val="bullet"/>
      <w:lvlText w:val=""/>
      <w:lvlJc w:val="left"/>
      <w:pPr>
        <w:ind w:left="2880" w:hanging="360"/>
      </w:pPr>
      <w:rPr>
        <w:rFonts w:ascii="Symbol" w:hAnsi="Symbol" w:hint="default"/>
      </w:rPr>
    </w:lvl>
    <w:lvl w:ilvl="4" w:tplc="0B306D3E">
      <w:start w:val="1"/>
      <w:numFmt w:val="bullet"/>
      <w:lvlText w:val="o"/>
      <w:lvlJc w:val="left"/>
      <w:pPr>
        <w:ind w:left="3600" w:hanging="360"/>
      </w:pPr>
      <w:rPr>
        <w:rFonts w:ascii="Courier New" w:hAnsi="Courier New" w:cs="Courier New" w:hint="default"/>
      </w:rPr>
    </w:lvl>
    <w:lvl w:ilvl="5" w:tplc="45C2A3B0">
      <w:start w:val="1"/>
      <w:numFmt w:val="bullet"/>
      <w:lvlText w:val=""/>
      <w:lvlJc w:val="left"/>
      <w:pPr>
        <w:ind w:left="4320" w:hanging="360"/>
      </w:pPr>
      <w:rPr>
        <w:rFonts w:ascii="Wingdings" w:hAnsi="Wingdings" w:hint="default"/>
      </w:rPr>
    </w:lvl>
    <w:lvl w:ilvl="6" w:tplc="00AE7BE8">
      <w:start w:val="1"/>
      <w:numFmt w:val="bullet"/>
      <w:lvlText w:val=""/>
      <w:lvlJc w:val="left"/>
      <w:pPr>
        <w:ind w:left="5040" w:hanging="360"/>
      </w:pPr>
      <w:rPr>
        <w:rFonts w:ascii="Symbol" w:hAnsi="Symbol" w:hint="default"/>
      </w:rPr>
    </w:lvl>
    <w:lvl w:ilvl="7" w:tplc="0ADCFFEA">
      <w:start w:val="1"/>
      <w:numFmt w:val="bullet"/>
      <w:lvlText w:val="o"/>
      <w:lvlJc w:val="left"/>
      <w:pPr>
        <w:ind w:left="5760" w:hanging="360"/>
      </w:pPr>
      <w:rPr>
        <w:rFonts w:ascii="Courier New" w:hAnsi="Courier New" w:cs="Courier New" w:hint="default"/>
      </w:rPr>
    </w:lvl>
    <w:lvl w:ilvl="8" w:tplc="6E4CCC26">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9E07866"/>
    <w:multiLevelType w:val="hybridMultilevel"/>
    <w:tmpl w:val="E5F80994"/>
    <w:lvl w:ilvl="0" w:tplc="8FFADCE4">
      <w:numFmt w:val="bullet"/>
      <w:lvlText w:val="-"/>
      <w:lvlJc w:val="left"/>
      <w:pPr>
        <w:ind w:left="720" w:hanging="360"/>
      </w:pPr>
      <w:rPr>
        <w:rFonts w:ascii="Sabon" w:eastAsia="Times New Roman" w:hAnsi="Sab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0"/>
  </w:num>
  <w:num w:numId="5">
    <w:abstractNumId w:val="5"/>
  </w:num>
  <w:num w:numId="6">
    <w:abstractNumId w:val="2"/>
  </w:num>
  <w:num w:numId="7">
    <w:abstractNumId w:val="9"/>
  </w:num>
  <w:num w:numId="8">
    <w:abstractNumId w:val="4"/>
  </w:num>
  <w:num w:numId="9">
    <w:abstractNumId w:val="7"/>
  </w:num>
  <w:num w:numId="10">
    <w:abstractNumId w:val="12"/>
  </w:num>
  <w:num w:numId="11">
    <w:abstractNumId w:val="6"/>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2A41"/>
    <w:rsid w:val="000231A6"/>
    <w:rsid w:val="00024522"/>
    <w:rsid w:val="00033469"/>
    <w:rsid w:val="00036FA0"/>
    <w:rsid w:val="0003793F"/>
    <w:rsid w:val="00045130"/>
    <w:rsid w:val="00057E35"/>
    <w:rsid w:val="00074F3B"/>
    <w:rsid w:val="00075E28"/>
    <w:rsid w:val="00076726"/>
    <w:rsid w:val="00080303"/>
    <w:rsid w:val="00083D02"/>
    <w:rsid w:val="000A3F58"/>
    <w:rsid w:val="000A557B"/>
    <w:rsid w:val="000B504C"/>
    <w:rsid w:val="000D2343"/>
    <w:rsid w:val="000D3449"/>
    <w:rsid w:val="000D425A"/>
    <w:rsid w:val="000D60CC"/>
    <w:rsid w:val="000E2084"/>
    <w:rsid w:val="000E6F55"/>
    <w:rsid w:val="000F77FA"/>
    <w:rsid w:val="0010057E"/>
    <w:rsid w:val="00107BF7"/>
    <w:rsid w:val="00126F53"/>
    <w:rsid w:val="0014766D"/>
    <w:rsid w:val="001536CC"/>
    <w:rsid w:val="0015535A"/>
    <w:rsid w:val="001617E3"/>
    <w:rsid w:val="00197407"/>
    <w:rsid w:val="001A3FBA"/>
    <w:rsid w:val="001A5518"/>
    <w:rsid w:val="001A6F2E"/>
    <w:rsid w:val="001B1C6A"/>
    <w:rsid w:val="001B40C5"/>
    <w:rsid w:val="001C1263"/>
    <w:rsid w:val="001C1417"/>
    <w:rsid w:val="001E390B"/>
    <w:rsid w:val="001F42FB"/>
    <w:rsid w:val="001F719A"/>
    <w:rsid w:val="002031B3"/>
    <w:rsid w:val="00205B79"/>
    <w:rsid w:val="00212583"/>
    <w:rsid w:val="00214D6C"/>
    <w:rsid w:val="00215931"/>
    <w:rsid w:val="00222666"/>
    <w:rsid w:val="002235CF"/>
    <w:rsid w:val="00224C91"/>
    <w:rsid w:val="00227AD7"/>
    <w:rsid w:val="00227BDB"/>
    <w:rsid w:val="00233435"/>
    <w:rsid w:val="00234CB1"/>
    <w:rsid w:val="002352F8"/>
    <w:rsid w:val="002510A5"/>
    <w:rsid w:val="00254A0A"/>
    <w:rsid w:val="00266046"/>
    <w:rsid w:val="002846DB"/>
    <w:rsid w:val="00284CCD"/>
    <w:rsid w:val="002B621F"/>
    <w:rsid w:val="002C1314"/>
    <w:rsid w:val="002C6637"/>
    <w:rsid w:val="002D36D5"/>
    <w:rsid w:val="002E0135"/>
    <w:rsid w:val="002E37A5"/>
    <w:rsid w:val="00310F03"/>
    <w:rsid w:val="00313F56"/>
    <w:rsid w:val="003247D2"/>
    <w:rsid w:val="003445C1"/>
    <w:rsid w:val="00355B61"/>
    <w:rsid w:val="00362686"/>
    <w:rsid w:val="003638C6"/>
    <w:rsid w:val="00371510"/>
    <w:rsid w:val="00374BED"/>
    <w:rsid w:val="00396DFD"/>
    <w:rsid w:val="003A374F"/>
    <w:rsid w:val="003A7059"/>
    <w:rsid w:val="003B7A36"/>
    <w:rsid w:val="003C17AB"/>
    <w:rsid w:val="003C6FF9"/>
    <w:rsid w:val="003C756E"/>
    <w:rsid w:val="003C7823"/>
    <w:rsid w:val="003D0BCF"/>
    <w:rsid w:val="003E1DCC"/>
    <w:rsid w:val="003F11A1"/>
    <w:rsid w:val="003F6923"/>
    <w:rsid w:val="003F6A59"/>
    <w:rsid w:val="004065C8"/>
    <w:rsid w:val="004109FA"/>
    <w:rsid w:val="00411B4B"/>
    <w:rsid w:val="00415BEE"/>
    <w:rsid w:val="004254E9"/>
    <w:rsid w:val="00427F85"/>
    <w:rsid w:val="00436F42"/>
    <w:rsid w:val="004378B4"/>
    <w:rsid w:val="00450083"/>
    <w:rsid w:val="00451314"/>
    <w:rsid w:val="00452E9D"/>
    <w:rsid w:val="004534C7"/>
    <w:rsid w:val="00455700"/>
    <w:rsid w:val="004671AA"/>
    <w:rsid w:val="00471DF8"/>
    <w:rsid w:val="0047661F"/>
    <w:rsid w:val="00480FB1"/>
    <w:rsid w:val="00483928"/>
    <w:rsid w:val="004B7573"/>
    <w:rsid w:val="004C331F"/>
    <w:rsid w:val="004D6103"/>
    <w:rsid w:val="004E3BCE"/>
    <w:rsid w:val="004E70AD"/>
    <w:rsid w:val="004F0E97"/>
    <w:rsid w:val="004F17E2"/>
    <w:rsid w:val="004F2FA3"/>
    <w:rsid w:val="00500A76"/>
    <w:rsid w:val="00501DD1"/>
    <w:rsid w:val="00515B65"/>
    <w:rsid w:val="00515C21"/>
    <w:rsid w:val="00530BD7"/>
    <w:rsid w:val="00545CD2"/>
    <w:rsid w:val="005476F3"/>
    <w:rsid w:val="00560871"/>
    <w:rsid w:val="0056390C"/>
    <w:rsid w:val="00572527"/>
    <w:rsid w:val="00573E40"/>
    <w:rsid w:val="00576348"/>
    <w:rsid w:val="005A0B2E"/>
    <w:rsid w:val="005A23D2"/>
    <w:rsid w:val="005A36CB"/>
    <w:rsid w:val="005B15CA"/>
    <w:rsid w:val="005B49B8"/>
    <w:rsid w:val="005C0741"/>
    <w:rsid w:val="005C5EF4"/>
    <w:rsid w:val="005E2E0B"/>
    <w:rsid w:val="005E67AD"/>
    <w:rsid w:val="005E7A7D"/>
    <w:rsid w:val="005F2377"/>
    <w:rsid w:val="00601A1E"/>
    <w:rsid w:val="00602457"/>
    <w:rsid w:val="006072C6"/>
    <w:rsid w:val="00624D32"/>
    <w:rsid w:val="00635A09"/>
    <w:rsid w:val="00644FC3"/>
    <w:rsid w:val="00646BD1"/>
    <w:rsid w:val="00654D61"/>
    <w:rsid w:val="006561C2"/>
    <w:rsid w:val="00671CB3"/>
    <w:rsid w:val="00674BAF"/>
    <w:rsid w:val="00682200"/>
    <w:rsid w:val="006917F0"/>
    <w:rsid w:val="00692BF6"/>
    <w:rsid w:val="00697918"/>
    <w:rsid w:val="006A1351"/>
    <w:rsid w:val="006A1497"/>
    <w:rsid w:val="006A205A"/>
    <w:rsid w:val="006B0BD1"/>
    <w:rsid w:val="006B5404"/>
    <w:rsid w:val="006D20A5"/>
    <w:rsid w:val="006D37BF"/>
    <w:rsid w:val="006E7C95"/>
    <w:rsid w:val="00702E22"/>
    <w:rsid w:val="00703819"/>
    <w:rsid w:val="00710F9A"/>
    <w:rsid w:val="0072020E"/>
    <w:rsid w:val="00726254"/>
    <w:rsid w:val="0073558F"/>
    <w:rsid w:val="00740062"/>
    <w:rsid w:val="00754902"/>
    <w:rsid w:val="00775325"/>
    <w:rsid w:val="00786071"/>
    <w:rsid w:val="00795AA1"/>
    <w:rsid w:val="007A3ECB"/>
    <w:rsid w:val="007D7BB3"/>
    <w:rsid w:val="007D7C6A"/>
    <w:rsid w:val="007E31E9"/>
    <w:rsid w:val="007F05E3"/>
    <w:rsid w:val="00801FC1"/>
    <w:rsid w:val="00824AB9"/>
    <w:rsid w:val="00825A42"/>
    <w:rsid w:val="0083471A"/>
    <w:rsid w:val="00836B35"/>
    <w:rsid w:val="00843119"/>
    <w:rsid w:val="00843BDE"/>
    <w:rsid w:val="00853015"/>
    <w:rsid w:val="00856D01"/>
    <w:rsid w:val="00864630"/>
    <w:rsid w:val="0087588C"/>
    <w:rsid w:val="00891761"/>
    <w:rsid w:val="00892456"/>
    <w:rsid w:val="0089705C"/>
    <w:rsid w:val="008A6D43"/>
    <w:rsid w:val="008B3642"/>
    <w:rsid w:val="008B491E"/>
    <w:rsid w:val="008C1A28"/>
    <w:rsid w:val="008C2E98"/>
    <w:rsid w:val="008D622E"/>
    <w:rsid w:val="008E1D16"/>
    <w:rsid w:val="008E49BD"/>
    <w:rsid w:val="008E53E9"/>
    <w:rsid w:val="008E5771"/>
    <w:rsid w:val="008E5CA5"/>
    <w:rsid w:val="008F4ACF"/>
    <w:rsid w:val="00904CB7"/>
    <w:rsid w:val="0092190D"/>
    <w:rsid w:val="00923C69"/>
    <w:rsid w:val="00924166"/>
    <w:rsid w:val="00940B9B"/>
    <w:rsid w:val="00951A37"/>
    <w:rsid w:val="00953573"/>
    <w:rsid w:val="0095676E"/>
    <w:rsid w:val="00956983"/>
    <w:rsid w:val="00963CF0"/>
    <w:rsid w:val="00964BB1"/>
    <w:rsid w:val="00965F68"/>
    <w:rsid w:val="00971A15"/>
    <w:rsid w:val="009775D9"/>
    <w:rsid w:val="009912EF"/>
    <w:rsid w:val="00997175"/>
    <w:rsid w:val="009A1847"/>
    <w:rsid w:val="009B062A"/>
    <w:rsid w:val="009B44F9"/>
    <w:rsid w:val="009D31B5"/>
    <w:rsid w:val="009D612C"/>
    <w:rsid w:val="009E28D9"/>
    <w:rsid w:val="009E7C6F"/>
    <w:rsid w:val="009F1793"/>
    <w:rsid w:val="009F2D23"/>
    <w:rsid w:val="00A01D69"/>
    <w:rsid w:val="00A02335"/>
    <w:rsid w:val="00A109AC"/>
    <w:rsid w:val="00A46C9A"/>
    <w:rsid w:val="00A619F3"/>
    <w:rsid w:val="00A62A73"/>
    <w:rsid w:val="00A6693E"/>
    <w:rsid w:val="00A750E2"/>
    <w:rsid w:val="00A75DB1"/>
    <w:rsid w:val="00A80A2D"/>
    <w:rsid w:val="00A8394C"/>
    <w:rsid w:val="00A85548"/>
    <w:rsid w:val="00A867F1"/>
    <w:rsid w:val="00A87FF6"/>
    <w:rsid w:val="00AA0A3B"/>
    <w:rsid w:val="00AA2763"/>
    <w:rsid w:val="00AA33B6"/>
    <w:rsid w:val="00AA3DD2"/>
    <w:rsid w:val="00AA436A"/>
    <w:rsid w:val="00AA56CA"/>
    <w:rsid w:val="00AB50CA"/>
    <w:rsid w:val="00AB6D64"/>
    <w:rsid w:val="00AC53CE"/>
    <w:rsid w:val="00AD2193"/>
    <w:rsid w:val="00AF0FDA"/>
    <w:rsid w:val="00AF19F4"/>
    <w:rsid w:val="00AF2AC7"/>
    <w:rsid w:val="00AF74CE"/>
    <w:rsid w:val="00AF79FE"/>
    <w:rsid w:val="00B16D8F"/>
    <w:rsid w:val="00B208DB"/>
    <w:rsid w:val="00B23F69"/>
    <w:rsid w:val="00B46775"/>
    <w:rsid w:val="00B60619"/>
    <w:rsid w:val="00B66A70"/>
    <w:rsid w:val="00B67366"/>
    <w:rsid w:val="00B74267"/>
    <w:rsid w:val="00B80EE1"/>
    <w:rsid w:val="00B84135"/>
    <w:rsid w:val="00BB6F20"/>
    <w:rsid w:val="00BC6DEA"/>
    <w:rsid w:val="00BD73AB"/>
    <w:rsid w:val="00BF1F73"/>
    <w:rsid w:val="00BF4EC6"/>
    <w:rsid w:val="00BF680B"/>
    <w:rsid w:val="00C04D34"/>
    <w:rsid w:val="00C05DF8"/>
    <w:rsid w:val="00C06864"/>
    <w:rsid w:val="00C10F54"/>
    <w:rsid w:val="00C23D8D"/>
    <w:rsid w:val="00C36A2C"/>
    <w:rsid w:val="00C37AA3"/>
    <w:rsid w:val="00C37FD7"/>
    <w:rsid w:val="00C43419"/>
    <w:rsid w:val="00C44168"/>
    <w:rsid w:val="00C44CF3"/>
    <w:rsid w:val="00C55389"/>
    <w:rsid w:val="00C61BE0"/>
    <w:rsid w:val="00C6707E"/>
    <w:rsid w:val="00C70B0E"/>
    <w:rsid w:val="00C773CA"/>
    <w:rsid w:val="00C83785"/>
    <w:rsid w:val="00C87FA8"/>
    <w:rsid w:val="00C94C0D"/>
    <w:rsid w:val="00CA1FEB"/>
    <w:rsid w:val="00CB2FF2"/>
    <w:rsid w:val="00CC6AC9"/>
    <w:rsid w:val="00CD4F85"/>
    <w:rsid w:val="00CD6F02"/>
    <w:rsid w:val="00CE171D"/>
    <w:rsid w:val="00CE246D"/>
    <w:rsid w:val="00CF07A0"/>
    <w:rsid w:val="00CF3E03"/>
    <w:rsid w:val="00CF44EB"/>
    <w:rsid w:val="00CF613C"/>
    <w:rsid w:val="00D0082A"/>
    <w:rsid w:val="00D07DF6"/>
    <w:rsid w:val="00D11996"/>
    <w:rsid w:val="00D11DD7"/>
    <w:rsid w:val="00D21455"/>
    <w:rsid w:val="00D32086"/>
    <w:rsid w:val="00D37887"/>
    <w:rsid w:val="00D47634"/>
    <w:rsid w:val="00D568A8"/>
    <w:rsid w:val="00D709B3"/>
    <w:rsid w:val="00D74CD2"/>
    <w:rsid w:val="00D83177"/>
    <w:rsid w:val="00D83E5E"/>
    <w:rsid w:val="00D9303F"/>
    <w:rsid w:val="00DA2ED6"/>
    <w:rsid w:val="00DA7D1D"/>
    <w:rsid w:val="00DB1D55"/>
    <w:rsid w:val="00DB76B8"/>
    <w:rsid w:val="00DC2EA1"/>
    <w:rsid w:val="00DD0118"/>
    <w:rsid w:val="00DD18B7"/>
    <w:rsid w:val="00DD6AAF"/>
    <w:rsid w:val="00DE3F5C"/>
    <w:rsid w:val="00DF1D20"/>
    <w:rsid w:val="00E07148"/>
    <w:rsid w:val="00E15B28"/>
    <w:rsid w:val="00E21324"/>
    <w:rsid w:val="00E246B9"/>
    <w:rsid w:val="00E31FEA"/>
    <w:rsid w:val="00E45169"/>
    <w:rsid w:val="00E47787"/>
    <w:rsid w:val="00E51C30"/>
    <w:rsid w:val="00E64180"/>
    <w:rsid w:val="00E7218B"/>
    <w:rsid w:val="00E7235D"/>
    <w:rsid w:val="00E74AEE"/>
    <w:rsid w:val="00E868E5"/>
    <w:rsid w:val="00E9237A"/>
    <w:rsid w:val="00E939FA"/>
    <w:rsid w:val="00E93C98"/>
    <w:rsid w:val="00EA16C8"/>
    <w:rsid w:val="00EA5765"/>
    <w:rsid w:val="00EB53EB"/>
    <w:rsid w:val="00EB60AE"/>
    <w:rsid w:val="00EC2532"/>
    <w:rsid w:val="00ED17F3"/>
    <w:rsid w:val="00ED7812"/>
    <w:rsid w:val="00EF3B86"/>
    <w:rsid w:val="00F07E9C"/>
    <w:rsid w:val="00F26103"/>
    <w:rsid w:val="00F2634B"/>
    <w:rsid w:val="00F317E9"/>
    <w:rsid w:val="00F33E03"/>
    <w:rsid w:val="00F34554"/>
    <w:rsid w:val="00F35B68"/>
    <w:rsid w:val="00F37492"/>
    <w:rsid w:val="00F42ADE"/>
    <w:rsid w:val="00F45F77"/>
    <w:rsid w:val="00F5167F"/>
    <w:rsid w:val="00F52258"/>
    <w:rsid w:val="00F61AA5"/>
    <w:rsid w:val="00F8570A"/>
    <w:rsid w:val="00F91C7B"/>
    <w:rsid w:val="00F91F2E"/>
    <w:rsid w:val="00FA4DDD"/>
    <w:rsid w:val="00FB011D"/>
    <w:rsid w:val="00FC4C4A"/>
    <w:rsid w:val="00FD5576"/>
    <w:rsid w:val="00FE59C9"/>
    <w:rsid w:val="00FE76B8"/>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05F8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Bodytext">
    <w:name w:val="Body text_"/>
    <w:link w:val="Bodytext1"/>
    <w:uiPriority w:val="99"/>
    <w:locked/>
    <w:rsid w:val="00F37492"/>
    <w:rPr>
      <w:sz w:val="22"/>
      <w:szCs w:val="22"/>
      <w:shd w:val="clear" w:color="auto" w:fill="FFFFFF"/>
    </w:rPr>
  </w:style>
  <w:style w:type="paragraph" w:customStyle="1" w:styleId="Bodytext1">
    <w:name w:val="Body text1"/>
    <w:basedOn w:val="Normal"/>
    <w:link w:val="Bodytext"/>
    <w:uiPriority w:val="99"/>
    <w:rsid w:val="00F37492"/>
    <w:pPr>
      <w:shd w:val="clear" w:color="auto" w:fill="FFFFFF"/>
      <w:spacing w:before="300" w:after="540" w:line="240" w:lineRule="atLeast"/>
    </w:pPr>
    <w:rPr>
      <w:sz w:val="22"/>
      <w:szCs w:val="22"/>
      <w:lang w:val="sr-Latn-ME" w:eastAsia="sr-Latn-ME"/>
    </w:rPr>
  </w:style>
  <w:style w:type="character" w:customStyle="1" w:styleId="HeaderChar">
    <w:name w:val="Header Char"/>
    <w:link w:val="Header"/>
    <w:uiPriority w:val="99"/>
    <w:rsid w:val="00F37492"/>
    <w:rPr>
      <w:sz w:val="24"/>
      <w:szCs w:val="24"/>
      <w:lang w:val="en-US" w:eastAsia="en-US"/>
    </w:rPr>
  </w:style>
  <w:style w:type="table" w:styleId="TableGrid">
    <w:name w:val="Table Grid"/>
    <w:basedOn w:val="TableNormal"/>
    <w:rsid w:val="00F3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uiPriority w:val="99"/>
    <w:locked/>
    <w:rsid w:val="00F37492"/>
    <w:rPr>
      <w:i/>
      <w:iCs/>
      <w:sz w:val="22"/>
      <w:szCs w:val="22"/>
      <w:shd w:val="clear" w:color="auto" w:fill="FFFFFF"/>
    </w:rPr>
  </w:style>
  <w:style w:type="character" w:customStyle="1" w:styleId="Bodytext2NotItalic2">
    <w:name w:val="Body text (2) + Not Italic2"/>
    <w:uiPriority w:val="99"/>
    <w:rsid w:val="00F37492"/>
    <w:rPr>
      <w:i/>
      <w:iCs/>
      <w:sz w:val="22"/>
      <w:szCs w:val="22"/>
      <w:shd w:val="clear" w:color="auto" w:fill="FFFFFF"/>
    </w:rPr>
  </w:style>
  <w:style w:type="paragraph" w:customStyle="1" w:styleId="Bodytext21">
    <w:name w:val="Body text (2)1"/>
    <w:basedOn w:val="Normal"/>
    <w:link w:val="Bodytext2"/>
    <w:uiPriority w:val="99"/>
    <w:rsid w:val="00F37492"/>
    <w:pPr>
      <w:shd w:val="clear" w:color="auto" w:fill="FFFFFF"/>
      <w:spacing w:before="180" w:line="252" w:lineRule="exact"/>
    </w:pPr>
    <w:rPr>
      <w:i/>
      <w:iCs/>
      <w:sz w:val="22"/>
      <w:szCs w:val="22"/>
      <w:lang w:val="sr-Latn-ME" w:eastAsia="sr-Latn-ME"/>
    </w:rPr>
  </w:style>
  <w:style w:type="character" w:customStyle="1" w:styleId="Bodytext26">
    <w:name w:val="Body text (2)6"/>
    <w:uiPriority w:val="99"/>
    <w:rsid w:val="00F37492"/>
    <w:rPr>
      <w:i/>
      <w:iCs/>
      <w:sz w:val="22"/>
      <w:szCs w:val="22"/>
      <w:u w:val="single"/>
      <w:shd w:val="clear" w:color="auto" w:fill="FFFFFF"/>
    </w:rPr>
  </w:style>
  <w:style w:type="character" w:customStyle="1" w:styleId="BodytextItalic">
    <w:name w:val="Body text + Italic"/>
    <w:uiPriority w:val="99"/>
    <w:rsid w:val="00F37492"/>
    <w:rPr>
      <w:rFonts w:ascii="Times New Roman" w:hAnsi="Times New Roman" w:cs="Times New Roman"/>
      <w:i/>
      <w:iCs/>
      <w:spacing w:val="0"/>
      <w:sz w:val="22"/>
      <w:szCs w:val="22"/>
      <w:u w:val="single"/>
      <w:shd w:val="clear" w:color="auto" w:fill="FFFFFF"/>
    </w:rPr>
  </w:style>
  <w:style w:type="character" w:customStyle="1" w:styleId="Bodytext25">
    <w:name w:val="Body text (2)5"/>
    <w:uiPriority w:val="99"/>
    <w:rsid w:val="00F37492"/>
    <w:rPr>
      <w:i/>
      <w:iCs/>
      <w:sz w:val="22"/>
      <w:szCs w:val="22"/>
      <w:u w:val="single"/>
      <w:shd w:val="clear" w:color="auto" w:fill="FFFFFF"/>
    </w:rPr>
  </w:style>
  <w:style w:type="character" w:customStyle="1" w:styleId="Bodytext24">
    <w:name w:val="Body text (2)4"/>
    <w:uiPriority w:val="99"/>
    <w:rsid w:val="00F37492"/>
    <w:rPr>
      <w:i/>
      <w:iCs/>
      <w:sz w:val="22"/>
      <w:szCs w:val="22"/>
      <w:u w:val="single"/>
      <w:shd w:val="clear" w:color="auto" w:fill="FFFFFF"/>
    </w:rPr>
  </w:style>
  <w:style w:type="character" w:customStyle="1" w:styleId="Bodytext11">
    <w:name w:val="Body text11"/>
    <w:uiPriority w:val="99"/>
    <w:rsid w:val="00F37492"/>
    <w:rPr>
      <w:rFonts w:ascii="Times New Roman" w:hAnsi="Times New Roman" w:cs="Times New Roman"/>
      <w:spacing w:val="0"/>
      <w:sz w:val="22"/>
      <w:szCs w:val="22"/>
      <w:u w:val="single"/>
      <w:shd w:val="clear" w:color="auto" w:fill="FFFFFF"/>
    </w:rPr>
  </w:style>
  <w:style w:type="character" w:customStyle="1" w:styleId="Bodytext10">
    <w:name w:val="Body text10"/>
    <w:uiPriority w:val="99"/>
    <w:rsid w:val="00F37492"/>
    <w:rPr>
      <w:rFonts w:ascii="Times New Roman" w:hAnsi="Times New Roman" w:cs="Times New Roman"/>
      <w:spacing w:val="0"/>
      <w:sz w:val="22"/>
      <w:szCs w:val="22"/>
      <w:u w:val="single"/>
      <w:shd w:val="clear" w:color="auto" w:fill="FFFFFF"/>
    </w:rPr>
  </w:style>
  <w:style w:type="character" w:customStyle="1" w:styleId="BodytextItalic5">
    <w:name w:val="Body text + Italic5"/>
    <w:uiPriority w:val="99"/>
    <w:rsid w:val="00F37492"/>
    <w:rPr>
      <w:rFonts w:ascii="Times New Roman" w:hAnsi="Times New Roman" w:cs="Times New Roman"/>
      <w:i/>
      <w:iCs/>
      <w:spacing w:val="0"/>
      <w:sz w:val="22"/>
      <w:szCs w:val="22"/>
      <w:shd w:val="clear" w:color="auto" w:fill="FFFFFF"/>
    </w:rPr>
  </w:style>
  <w:style w:type="character" w:customStyle="1" w:styleId="Heading1">
    <w:name w:val="Heading #1_"/>
    <w:link w:val="Heading10"/>
    <w:uiPriority w:val="99"/>
    <w:locked/>
    <w:rsid w:val="00F37492"/>
    <w:rPr>
      <w:b/>
      <w:bCs/>
      <w:sz w:val="22"/>
      <w:szCs w:val="22"/>
      <w:shd w:val="clear" w:color="auto" w:fill="FFFFFF"/>
    </w:rPr>
  </w:style>
  <w:style w:type="character" w:customStyle="1" w:styleId="Bodytext9">
    <w:name w:val="Body text9"/>
    <w:uiPriority w:val="99"/>
    <w:rsid w:val="00F37492"/>
    <w:rPr>
      <w:rFonts w:ascii="Times New Roman" w:hAnsi="Times New Roman" w:cs="Times New Roman"/>
      <w:spacing w:val="0"/>
      <w:sz w:val="22"/>
      <w:szCs w:val="22"/>
      <w:u w:val="single"/>
      <w:shd w:val="clear" w:color="auto" w:fill="FFFFFF"/>
    </w:rPr>
  </w:style>
  <w:style w:type="character" w:customStyle="1" w:styleId="BodytextItalic4">
    <w:name w:val="Body text + Italic4"/>
    <w:uiPriority w:val="99"/>
    <w:rsid w:val="00F37492"/>
    <w:rPr>
      <w:rFonts w:ascii="Times New Roman" w:hAnsi="Times New Roman" w:cs="Times New Roman"/>
      <w:i/>
      <w:iCs/>
      <w:spacing w:val="0"/>
      <w:sz w:val="22"/>
      <w:szCs w:val="22"/>
      <w:u w:val="single"/>
      <w:shd w:val="clear" w:color="auto" w:fill="FFFFFF"/>
    </w:rPr>
  </w:style>
  <w:style w:type="character" w:customStyle="1" w:styleId="Bodytext23">
    <w:name w:val="Body text (2)3"/>
    <w:uiPriority w:val="99"/>
    <w:rsid w:val="00F37492"/>
    <w:rPr>
      <w:rFonts w:ascii="Times New Roman" w:hAnsi="Times New Roman" w:cs="Times New Roman"/>
      <w:i w:val="0"/>
      <w:iCs w:val="0"/>
      <w:spacing w:val="0"/>
      <w:sz w:val="22"/>
      <w:szCs w:val="22"/>
      <w:u w:val="single"/>
      <w:shd w:val="clear" w:color="auto" w:fill="FFFFFF"/>
    </w:rPr>
  </w:style>
  <w:style w:type="character" w:customStyle="1" w:styleId="Bodytext2NotItalic1">
    <w:name w:val="Body text (2) + Not Italic1"/>
    <w:uiPriority w:val="99"/>
    <w:rsid w:val="00F37492"/>
    <w:rPr>
      <w:rFonts w:ascii="Times New Roman" w:hAnsi="Times New Roman" w:cs="Times New Roman"/>
      <w:i w:val="0"/>
      <w:iCs w:val="0"/>
      <w:spacing w:val="0"/>
      <w:sz w:val="22"/>
      <w:szCs w:val="22"/>
      <w:shd w:val="clear" w:color="auto" w:fill="FFFFFF"/>
    </w:rPr>
  </w:style>
  <w:style w:type="character" w:customStyle="1" w:styleId="Bodytext22">
    <w:name w:val="Body text (2)2"/>
    <w:uiPriority w:val="99"/>
    <w:rsid w:val="00F37492"/>
    <w:rPr>
      <w:rFonts w:ascii="Times New Roman" w:hAnsi="Times New Roman" w:cs="Times New Roman"/>
      <w:i w:val="0"/>
      <w:iCs w:val="0"/>
      <w:spacing w:val="0"/>
      <w:sz w:val="22"/>
      <w:szCs w:val="22"/>
      <w:u w:val="single"/>
      <w:shd w:val="clear" w:color="auto" w:fill="FFFFFF"/>
    </w:rPr>
  </w:style>
  <w:style w:type="paragraph" w:customStyle="1" w:styleId="Heading10">
    <w:name w:val="Heading #1"/>
    <w:basedOn w:val="Normal"/>
    <w:link w:val="Heading1"/>
    <w:uiPriority w:val="99"/>
    <w:rsid w:val="00F37492"/>
    <w:pPr>
      <w:shd w:val="clear" w:color="auto" w:fill="FFFFFF"/>
      <w:spacing w:after="300" w:line="240" w:lineRule="atLeast"/>
      <w:ind w:hanging="1140"/>
      <w:outlineLvl w:val="0"/>
    </w:pPr>
    <w:rPr>
      <w:b/>
      <w:bCs/>
      <w:sz w:val="22"/>
      <w:szCs w:val="22"/>
      <w:lang w:val="sr-Latn-ME" w:eastAsia="sr-Latn-ME"/>
    </w:rPr>
  </w:style>
  <w:style w:type="character" w:customStyle="1" w:styleId="Bodytext8">
    <w:name w:val="Body text8"/>
    <w:uiPriority w:val="99"/>
    <w:rsid w:val="00F37492"/>
    <w:rPr>
      <w:rFonts w:ascii="Times New Roman" w:hAnsi="Times New Roman" w:cs="Times New Roman"/>
      <w:spacing w:val="0"/>
      <w:sz w:val="22"/>
      <w:szCs w:val="22"/>
      <w:u w:val="single"/>
      <w:shd w:val="clear" w:color="auto" w:fill="FFFFFF"/>
    </w:rPr>
  </w:style>
  <w:style w:type="character" w:customStyle="1" w:styleId="Bodytext7">
    <w:name w:val="Body text7"/>
    <w:uiPriority w:val="99"/>
    <w:rsid w:val="00F37492"/>
    <w:rPr>
      <w:rFonts w:ascii="Times New Roman" w:hAnsi="Times New Roman" w:cs="Times New Roman"/>
      <w:spacing w:val="0"/>
      <w:sz w:val="22"/>
      <w:szCs w:val="22"/>
      <w:shd w:val="clear" w:color="auto" w:fill="FFFFFF"/>
    </w:rPr>
  </w:style>
  <w:style w:type="character" w:customStyle="1" w:styleId="Bodytext6">
    <w:name w:val="Body text6"/>
    <w:uiPriority w:val="99"/>
    <w:rsid w:val="00F37492"/>
    <w:rPr>
      <w:rFonts w:ascii="Times New Roman" w:hAnsi="Times New Roman" w:cs="Times New Roman"/>
      <w:spacing w:val="0"/>
      <w:sz w:val="22"/>
      <w:szCs w:val="22"/>
      <w:u w:val="single"/>
      <w:shd w:val="clear" w:color="auto" w:fill="FFFFFF"/>
    </w:rPr>
  </w:style>
  <w:style w:type="character" w:customStyle="1" w:styleId="Bodytext105pt">
    <w:name w:val="Body text + 10.5 pt"/>
    <w:uiPriority w:val="99"/>
    <w:rsid w:val="00F37492"/>
    <w:rPr>
      <w:rFonts w:ascii="Times New Roman" w:hAnsi="Times New Roman" w:cs="Times New Roman"/>
      <w:spacing w:val="0"/>
      <w:sz w:val="21"/>
      <w:szCs w:val="21"/>
      <w:shd w:val="clear" w:color="auto" w:fill="FFFFFF"/>
    </w:rPr>
  </w:style>
  <w:style w:type="paragraph" w:customStyle="1" w:styleId="Text">
    <w:name w:val="Text"/>
    <w:aliases w:val="Graphic,Graphic Char Char,Graphic Char Char Char Char Char,Graphic Char Char Char Char Char Char Char C,Graphic + Bold,Italic,JP Body Text,Text_10394,graphics,non tochic,notic,本文"/>
    <w:basedOn w:val="Normal"/>
    <w:link w:val="TextChar"/>
    <w:qFormat/>
    <w:rsid w:val="00F37492"/>
    <w:pPr>
      <w:spacing w:before="120"/>
      <w:jc w:val="both"/>
    </w:pPr>
    <w:rPr>
      <w:rFonts w:eastAsia="MS Mincho"/>
      <w:szCs w:val="20"/>
    </w:rPr>
  </w:style>
  <w:style w:type="character" w:customStyle="1" w:styleId="TextChar">
    <w:name w:val="Text Char"/>
    <w:aliases w:val="Graphic Char"/>
    <w:link w:val="Text"/>
    <w:rsid w:val="00F37492"/>
    <w:rPr>
      <w:rFonts w:eastAsia="MS Mincho"/>
      <w:sz w:val="24"/>
      <w:lang w:val="en-US" w:eastAsia="en-US"/>
    </w:rPr>
  </w:style>
  <w:style w:type="paragraph" w:customStyle="1" w:styleId="Table">
    <w:name w:val="Table"/>
    <w:aliases w:val="10 pt  Bold,9 pt,10 pt,table text 10 pt + Arial,Bold,Normal + (Latin) Arial,(Complex) Arial,9 pt Char Char,9pt,9,legendpt,Table pt,Normal + Courier New,Courier New,Not Bold,Text + Courier New,legendt,After:  1 pt,Line spacing:  Exactly 9 pt"/>
    <w:basedOn w:val="Normal"/>
    <w:link w:val="TableChar"/>
    <w:qFormat/>
    <w:rsid w:val="00F37492"/>
    <w:pPr>
      <w:keepLines/>
      <w:tabs>
        <w:tab w:val="left" w:pos="284"/>
      </w:tabs>
      <w:spacing w:before="40" w:after="20"/>
    </w:pPr>
    <w:rPr>
      <w:rFonts w:ascii="Arial" w:hAnsi="Arial"/>
      <w:sz w:val="20"/>
      <w:szCs w:val="20"/>
      <w:lang w:val="x-none" w:eastAsia="x-none"/>
    </w:rPr>
  </w:style>
  <w:style w:type="character" w:customStyle="1" w:styleId="TableChar">
    <w:name w:val="Table Char"/>
    <w:aliases w:val="10 pt Char,10 pt  Bold Char,9 pt Char,9pt Char,9 Char,legendpt Char,table text 10 pt + Arial Char,Bold Char,Normal + (Latin) Arial Char,(Complex) Arial Char,Table pt Char,Normal + Courier New Char,After:  1 pt Char"/>
    <w:link w:val="Table"/>
    <w:rsid w:val="00F37492"/>
    <w:rPr>
      <w:rFonts w:ascii="Arial" w:hAnsi="Arial"/>
      <w:lang w:val="x-none" w:eastAsia="x-none"/>
    </w:rPr>
  </w:style>
  <w:style w:type="character" w:customStyle="1" w:styleId="Tablecaption">
    <w:name w:val="Table caption_"/>
    <w:link w:val="Tablecaption0"/>
    <w:uiPriority w:val="99"/>
    <w:locked/>
    <w:rsid w:val="00F37492"/>
    <w:rPr>
      <w:b/>
      <w:bCs/>
      <w:sz w:val="22"/>
      <w:szCs w:val="22"/>
      <w:shd w:val="clear" w:color="auto" w:fill="FFFFFF"/>
    </w:rPr>
  </w:style>
  <w:style w:type="character" w:customStyle="1" w:styleId="Bodytext4">
    <w:name w:val="Body text4"/>
    <w:uiPriority w:val="99"/>
    <w:rsid w:val="00F37492"/>
    <w:rPr>
      <w:rFonts w:ascii="Times New Roman" w:hAnsi="Times New Roman" w:cs="Times New Roman"/>
      <w:spacing w:val="0"/>
      <w:sz w:val="22"/>
      <w:szCs w:val="22"/>
      <w:u w:val="single"/>
      <w:shd w:val="clear" w:color="auto" w:fill="FFFFFF"/>
    </w:rPr>
  </w:style>
  <w:style w:type="character" w:customStyle="1" w:styleId="Bodytext5">
    <w:name w:val="Body text (5)_"/>
    <w:link w:val="Bodytext50"/>
    <w:uiPriority w:val="99"/>
    <w:locked/>
    <w:rsid w:val="00F37492"/>
    <w:rPr>
      <w:sz w:val="22"/>
      <w:szCs w:val="22"/>
      <w:shd w:val="clear" w:color="auto" w:fill="FFFFFF"/>
    </w:rPr>
  </w:style>
  <w:style w:type="paragraph" w:customStyle="1" w:styleId="Tablecaption0">
    <w:name w:val="Table caption"/>
    <w:basedOn w:val="Normal"/>
    <w:link w:val="Tablecaption"/>
    <w:uiPriority w:val="99"/>
    <w:rsid w:val="00F37492"/>
    <w:pPr>
      <w:shd w:val="clear" w:color="auto" w:fill="FFFFFF"/>
      <w:spacing w:line="240" w:lineRule="atLeast"/>
    </w:pPr>
    <w:rPr>
      <w:b/>
      <w:bCs/>
      <w:sz w:val="22"/>
      <w:szCs w:val="22"/>
      <w:lang w:val="sr-Latn-ME" w:eastAsia="sr-Latn-ME"/>
    </w:rPr>
  </w:style>
  <w:style w:type="paragraph" w:customStyle="1" w:styleId="Bodytext50">
    <w:name w:val="Body text (5)"/>
    <w:basedOn w:val="Normal"/>
    <w:link w:val="Bodytext5"/>
    <w:uiPriority w:val="99"/>
    <w:rsid w:val="00F37492"/>
    <w:pPr>
      <w:shd w:val="clear" w:color="auto" w:fill="FFFFFF"/>
      <w:spacing w:before="180" w:after="180" w:line="252" w:lineRule="exact"/>
    </w:pPr>
    <w:rPr>
      <w:sz w:val="22"/>
      <w:szCs w:val="22"/>
      <w:lang w:val="sr-Latn-ME" w:eastAsia="sr-Latn-ME"/>
    </w:rPr>
  </w:style>
  <w:style w:type="character" w:customStyle="1" w:styleId="Bodytext3">
    <w:name w:val="Body text3"/>
    <w:uiPriority w:val="99"/>
    <w:rsid w:val="00F37492"/>
    <w:rPr>
      <w:rFonts w:ascii="Times New Roman" w:hAnsi="Times New Roman" w:cs="Times New Roman"/>
      <w:spacing w:val="0"/>
      <w:sz w:val="22"/>
      <w:szCs w:val="22"/>
      <w:u w:val="single"/>
      <w:shd w:val="clear" w:color="auto" w:fill="FFFFFF"/>
    </w:rPr>
  </w:style>
  <w:style w:type="character" w:customStyle="1" w:styleId="Bodytext20">
    <w:name w:val="Body text2"/>
    <w:uiPriority w:val="99"/>
    <w:rsid w:val="00F37492"/>
    <w:rPr>
      <w:rFonts w:ascii="Times New Roman" w:hAnsi="Times New Roman" w:cs="Times New Roman"/>
      <w:spacing w:val="0"/>
      <w:sz w:val="22"/>
      <w:szCs w:val="22"/>
      <w:u w:val="single"/>
      <w:shd w:val="clear" w:color="auto" w:fill="FFFFFF"/>
    </w:rPr>
  </w:style>
  <w:style w:type="character" w:customStyle="1" w:styleId="BodytextItalic1">
    <w:name w:val="Body text + Italic1"/>
    <w:uiPriority w:val="99"/>
    <w:rsid w:val="00F37492"/>
    <w:rPr>
      <w:rFonts w:ascii="Times New Roman" w:hAnsi="Times New Roman" w:cs="Times New Roman"/>
      <w:i/>
      <w:iCs/>
      <w:spacing w:val="0"/>
      <w:sz w:val="22"/>
      <w:szCs w:val="22"/>
      <w:shd w:val="clear" w:color="auto" w:fill="FFFFFF"/>
    </w:rPr>
  </w:style>
  <w:style w:type="table" w:customStyle="1" w:styleId="TableGrid1">
    <w:name w:val="Table Grid1"/>
    <w:basedOn w:val="TableNormal"/>
    <w:next w:val="TableGrid"/>
    <w:uiPriority w:val="59"/>
    <w:rsid w:val="00F37492"/>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37492"/>
    <w:pPr>
      <w:ind w:left="720"/>
    </w:pPr>
    <w:rPr>
      <w:rFonts w:ascii="Calibri" w:eastAsiaTheme="minorHAnsi" w:hAnsi="Calibri" w:cs="Calibri"/>
      <w:sz w:val="22"/>
      <w:szCs w:val="22"/>
    </w:rPr>
  </w:style>
  <w:style w:type="paragraph" w:styleId="Revision">
    <w:name w:val="Revision"/>
    <w:hidden/>
    <w:uiPriority w:val="99"/>
    <w:semiHidden/>
    <w:rsid w:val="003638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5634095634095639E-2"/>
          <c:y val="0.16778523489932887"/>
          <c:w val="0.8565488565488566"/>
          <c:h val="0.65771812080536918"/>
        </c:manualLayout>
      </c:layout>
      <c:barChart>
        <c:barDir val="col"/>
        <c:grouping val="clustered"/>
        <c:varyColors val="0"/>
        <c:ser>
          <c:idx val="0"/>
          <c:order val="0"/>
          <c:tx>
            <c:strRef>
              <c:f>Sheet1!$A$2</c:f>
              <c:strCache>
                <c:ptCount val="1"/>
                <c:pt idx="0">
                  <c:v>.RUX</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8" b="1" i="0" u="none" strike="noStrike" kern="1200"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Sheet1!$B$1:$D$1</c:f>
              <c:strCache>
                <c:ptCount val="3"/>
                <c:pt idx="0">
                  <c:v>Mjera primarnog kompozitnog ishoda u 32. tjednu</c:v>
                </c:pt>
                <c:pt idx="1">
                  <c:v>Smanjenje ≥ 35 % 
u volumenu slezene</c:v>
                </c:pt>
                <c:pt idx="2">
                  <c:v>Kontrola hematokrita bez flebotomije</c:v>
                </c:pt>
              </c:strCache>
            </c:strRef>
          </c:cat>
          <c:val>
            <c:numRef>
              <c:f>Sheet1!$B$2:$D$2</c:f>
              <c:numCache>
                <c:formatCode>General</c:formatCode>
                <c:ptCount val="3"/>
                <c:pt idx="0">
                  <c:v>23</c:v>
                </c:pt>
                <c:pt idx="1">
                  <c:v>40</c:v>
                </c:pt>
                <c:pt idx="2">
                  <c:v>60</c:v>
                </c:pt>
              </c:numCache>
            </c:numRef>
          </c:val>
          <c:extLst>
            <c:ext xmlns:c16="http://schemas.microsoft.com/office/drawing/2014/chart" uri="{C3380CC4-5D6E-409C-BE32-E72D297353CC}">
              <c16:uniqueId val="{00000000-3DDB-43D0-8DC3-6B0CAA1A14A7}"/>
            </c:ext>
          </c:extLst>
        </c:ser>
        <c:ser>
          <c:idx val="1"/>
          <c:order val="1"/>
          <c:tx>
            <c:strRef>
              <c:f>Sheet1!$A$3</c:f>
              <c:strCache>
                <c:ptCount val="1"/>
                <c:pt idx="0">
                  <c:v>.NDT</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8" b="1" i="0" u="none" strike="noStrike" kern="1200"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Sheet1!$B$1:$D$1</c:f>
              <c:strCache>
                <c:ptCount val="3"/>
                <c:pt idx="0">
                  <c:v>Mjera primarnog kompozitnog ishoda u 32. tjednu</c:v>
                </c:pt>
                <c:pt idx="1">
                  <c:v>Smanjenje ≥ 35 % 
u volumenu slezene</c:v>
                </c:pt>
                <c:pt idx="2">
                  <c:v>Kontrola hematokrita bez flebotomije</c:v>
                </c:pt>
              </c:strCache>
            </c:strRef>
          </c:cat>
          <c:val>
            <c:numRef>
              <c:f>Sheet1!$B$3:$D$3</c:f>
              <c:numCache>
                <c:formatCode>General</c:formatCode>
                <c:ptCount val="3"/>
                <c:pt idx="0">
                  <c:v>1</c:v>
                </c:pt>
                <c:pt idx="1">
                  <c:v>1</c:v>
                </c:pt>
                <c:pt idx="2">
                  <c:v>19</c:v>
                </c:pt>
              </c:numCache>
            </c:numRef>
          </c:val>
          <c:extLst>
            <c:ext xmlns:c16="http://schemas.microsoft.com/office/drawing/2014/chart" uri="{C3380CC4-5D6E-409C-BE32-E72D297353CC}">
              <c16:uniqueId val="{00000001-3DDB-43D0-8DC3-6B0CAA1A14A7}"/>
            </c:ext>
          </c:extLst>
        </c:ser>
        <c:dLbls>
          <c:dLblPos val="outEnd"/>
          <c:showLegendKey val="0"/>
          <c:showVal val="1"/>
          <c:showCatName val="0"/>
          <c:showSerName val="0"/>
          <c:showPercent val="0"/>
          <c:showBubbleSize val="0"/>
        </c:dLbls>
        <c:gapWidth val="150"/>
        <c:axId val="184720608"/>
        <c:axId val="1"/>
      </c:barChart>
      <c:catAx>
        <c:axId val="184720608"/>
        <c:scaling>
          <c:orientation val="minMax"/>
        </c:scaling>
        <c:delete val="0"/>
        <c:axPos val="b"/>
        <c:numFmt formatCode="General" sourceLinked="1"/>
        <c:majorTickMark val="out"/>
        <c:minorTickMark val="none"/>
        <c:tickLblPos val="nextTo"/>
        <c:spPr>
          <a:noFill/>
          <a:ln w="3169" cap="flat" cmpd="sng" algn="ctr">
            <a:solidFill>
              <a:srgbClr val="000000"/>
            </a:solidFill>
            <a:prstDash val="solid"/>
            <a:round/>
          </a:ln>
          <a:effectLst/>
        </c:spPr>
        <c:txPr>
          <a:bodyPr rot="0" spcFirstLastPara="1" vertOverflow="ellipsis" wrap="square" anchor="ctr" anchorCtr="1"/>
          <a:lstStyle/>
          <a:p>
            <a:pPr>
              <a:defRPr sz="798" b="0" i="0" u="none" strike="noStrike" kern="1200"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12674" cap="flat" cmpd="sng" algn="ctr">
              <a:solidFill>
                <a:srgbClr val="C0C0C0"/>
              </a:solidFill>
              <a:prstDash val="solid"/>
              <a:round/>
            </a:ln>
            <a:effectLst/>
          </c:spPr>
        </c:majorGridlines>
        <c:title>
          <c:tx>
            <c:rich>
              <a:bodyPr rot="-540000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hr-HR"/>
                  <a:t>Procenat</a:t>
                </a:r>
                <a:r>
                  <a:rPr lang="hr-HR" baseline="0"/>
                  <a:t> </a:t>
                </a:r>
                <a:r>
                  <a:rPr lang="hr-HR" sz="798" b="0" i="0" u="none" strike="noStrike" kern="1200" baseline="0">
                    <a:solidFill>
                      <a:srgbClr val="000000"/>
                    </a:solidFill>
                    <a:latin typeface="Calibri"/>
                    <a:cs typeface="Calibri"/>
                  </a:rPr>
                  <a:t>pacijenata</a:t>
                </a:r>
                <a:endParaRPr lang="en-GB"/>
              </a:p>
            </c:rich>
          </c:tx>
          <c:layout>
            <c:manualLayout>
              <c:xMode val="edge"/>
              <c:yMode val="edge"/>
              <c:x val="0"/>
              <c:y val="0.28859060402684567"/>
            </c:manualLayout>
          </c:layout>
          <c:overlay val="0"/>
          <c:spPr>
            <a:noFill/>
            <a:ln w="25348">
              <a:noFill/>
            </a:ln>
            <a:effectLst/>
          </c:spPr>
          <c:txPr>
            <a:bodyPr rot="-540000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en-US"/>
            </a:p>
          </c:txPr>
        </c:title>
        <c:numFmt formatCode="General" sourceLinked="1"/>
        <c:majorTickMark val="out"/>
        <c:minorTickMark val="none"/>
        <c:tickLblPos val="nextTo"/>
        <c:spPr>
          <a:noFill/>
          <a:ln w="3169" cap="flat" cmpd="sng" algn="ctr">
            <a:solidFill>
              <a:srgbClr val="000000"/>
            </a:solidFill>
            <a:prstDash val="solid"/>
            <a:round/>
          </a:ln>
          <a:effectLst/>
        </c:spPr>
        <c:txPr>
          <a:bodyPr rot="0" spcFirstLastPara="1" vertOverflow="ellipsis" wrap="square" anchor="ctr" anchorCtr="1"/>
          <a:lstStyle/>
          <a:p>
            <a:pPr>
              <a:defRPr sz="798" b="0" i="0" u="none" strike="noStrike" kern="1200" baseline="0">
                <a:solidFill>
                  <a:srgbClr val="000000"/>
                </a:solidFill>
                <a:latin typeface="Calibri"/>
                <a:ea typeface="Calibri"/>
                <a:cs typeface="Calibri"/>
              </a:defRPr>
            </a:pPr>
            <a:endParaRPr lang="en-US"/>
          </a:p>
        </c:txPr>
        <c:crossAx val="184720608"/>
        <c:crosses val="autoZero"/>
        <c:crossBetween val="between"/>
      </c:valAx>
      <c:spPr>
        <a:noFill/>
        <a:ln w="25348">
          <a:noFill/>
        </a:ln>
        <a:effectLst/>
      </c:spPr>
    </c:plotArea>
    <c:legend>
      <c:legendPos val="r"/>
      <c:layout>
        <c:manualLayout>
          <c:xMode val="edge"/>
          <c:yMode val="edge"/>
          <c:x val="0.9002079002079002"/>
          <c:y val="0.20469798657718122"/>
          <c:w val="9.9792099792099798E-2"/>
          <c:h val="0.10738255033557047"/>
        </c:manualLayout>
      </c:layout>
      <c:overlay val="0"/>
      <c:spPr>
        <a:noFill/>
        <a:ln w="25348">
          <a:noFill/>
        </a:ln>
        <a:effectLst/>
      </c:spPr>
      <c:txPr>
        <a:bodyPr rot="0" spcFirstLastPara="1" vertOverflow="ellipsis" vert="horz" wrap="square" anchor="ctr" anchorCtr="1"/>
        <a:lstStyle/>
        <a:p>
          <a:pPr>
            <a:defRPr sz="734" b="0" i="0" u="none" strike="noStrike" kern="1200" baseline="0">
              <a:solidFill>
                <a:srgbClr val="000000"/>
              </a:solidFill>
              <a:latin typeface="Calibri"/>
              <a:ea typeface="Calibri"/>
              <a:cs typeface="Calibri"/>
            </a:defRPr>
          </a:pPr>
          <a:endParaRPr lang="en-US"/>
        </a:p>
      </c:txPr>
    </c:legend>
    <c:plotVisOnly val="1"/>
    <c:dispBlanksAs val="gap"/>
    <c:showDLblsOverMax val="0"/>
  </c:chart>
  <c:spPr>
    <a:noFill/>
    <a:ln w="6350" cap="flat" cmpd="sng" algn="ctr">
      <a:noFill/>
      <a:prstDash val="solid"/>
      <a:round/>
    </a:ln>
    <a:effectLst/>
  </c:spPr>
  <c:txPr>
    <a:bodyPr/>
    <a:lstStyle/>
    <a:p>
      <a:pPr>
        <a:defRPr sz="1198" b="1" i="0" u="none" strike="noStrike" baseline="0">
          <a:solidFill>
            <a:srgbClr val="000000"/>
          </a:solidFill>
          <a:latin typeface="Calibri"/>
          <a:ea typeface="Calibri"/>
          <a:cs typeface="Calibri"/>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0.424</cdr:x>
      <cdr:y>0.105</cdr:y>
    </cdr:from>
    <cdr:to>
      <cdr:x>0.424</cdr:x>
      <cdr:y>0.72225</cdr:y>
    </cdr:to>
    <cdr:sp macro="" textlink="">
      <cdr:nvSpPr>
        <cdr:cNvPr id="1025" name="Line 1"/>
        <cdr:cNvSpPr>
          <a:spLocks xmlns:a="http://schemas.openxmlformats.org/drawingml/2006/main" noChangeShapeType="1"/>
        </cdr:cNvSpPr>
      </cdr:nvSpPr>
      <cdr:spPr bwMode="auto">
        <a:xfrm xmlns:a="http://schemas.openxmlformats.org/drawingml/2006/main" flipV="1">
          <a:off x="1942567" y="298037"/>
          <a:ext cx="0" cy="175203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prstDash val="dash"/>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0.0935</cdr:x>
      <cdr:y>0.08625</cdr:y>
    </cdr:from>
    <cdr:to>
      <cdr:x>0.40525</cdr:x>
      <cdr:y>0.301</cdr:y>
    </cdr:to>
    <cdr:sp macro="" textlink="">
      <cdr:nvSpPr>
        <cdr:cNvPr id="1026" name="Text Box 2"/>
        <cdr:cNvSpPr txBox="1">
          <a:spLocks xmlns:a="http://schemas.openxmlformats.org/drawingml/2006/main" noChangeArrowheads="1"/>
        </cdr:cNvSpPr>
      </cdr:nvSpPr>
      <cdr:spPr bwMode="auto">
        <a:xfrm xmlns:a="http://schemas.openxmlformats.org/drawingml/2006/main">
          <a:off x="428373" y="244816"/>
          <a:ext cx="1428290" cy="60955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en-GB" sz="825" b="0" i="0" u="none" strike="noStrike" baseline="0">
              <a:solidFill>
                <a:srgbClr val="000000"/>
              </a:solidFill>
              <a:latin typeface="+mn-lt"/>
              <a:cs typeface="Calibri"/>
            </a:rPr>
            <a:t>P-vr</a:t>
          </a:r>
          <a:r>
            <a:rPr lang="sr-Latn-RS" sz="825" b="0" i="0" u="none" strike="noStrike" baseline="0">
              <a:solidFill>
                <a:srgbClr val="000000"/>
              </a:solidFill>
              <a:latin typeface="+mn-lt"/>
              <a:cs typeface="Calibri"/>
            </a:rPr>
            <a:t>ij</a:t>
          </a:r>
          <a:r>
            <a:rPr lang="en-GB" sz="825" b="0" i="0" u="none" strike="noStrike" baseline="0">
              <a:solidFill>
                <a:srgbClr val="000000"/>
              </a:solidFill>
              <a:latin typeface="+mn-lt"/>
              <a:cs typeface="Calibri"/>
            </a:rPr>
            <a:t>ednost: &lt; 0,0001</a:t>
          </a:r>
        </a:p>
        <a:p xmlns:a="http://schemas.openxmlformats.org/drawingml/2006/main">
          <a:pPr algn="ctr" rtl="0">
            <a:defRPr sz="1000"/>
          </a:pPr>
          <a:r>
            <a:rPr lang="en-GB" sz="825" b="0" i="0" u="none" strike="noStrike" baseline="0">
              <a:solidFill>
                <a:srgbClr val="000000"/>
              </a:solidFill>
              <a:latin typeface="+mn-lt"/>
              <a:cs typeface="Calibri"/>
            </a:rPr>
            <a:t>O</a:t>
          </a:r>
          <a:r>
            <a:rPr lang="sr-Latn-RS" sz="825" b="0" i="0" u="none" strike="noStrike" baseline="0">
              <a:solidFill>
                <a:srgbClr val="000000"/>
              </a:solidFill>
              <a:latin typeface="+mn-lt"/>
              <a:cs typeface="Calibri"/>
            </a:rPr>
            <a:t>pseg</a:t>
          </a:r>
          <a:r>
            <a:rPr lang="en-GB" sz="825" b="0" i="0" u="none" strike="noStrike" baseline="0">
              <a:solidFill>
                <a:srgbClr val="000000"/>
              </a:solidFill>
              <a:latin typeface="+mn-lt"/>
              <a:cs typeface="Calibri"/>
            </a:rPr>
            <a:t> izgleda (ruksolitinib/NDT) </a:t>
          </a:r>
        </a:p>
        <a:p xmlns:a="http://schemas.openxmlformats.org/drawingml/2006/main">
          <a:pPr algn="ctr" rtl="0">
            <a:defRPr sz="1000"/>
          </a:pPr>
          <a:r>
            <a:rPr lang="en-GB" sz="825" b="0" i="0" u="none" strike="noStrike" baseline="0">
              <a:solidFill>
                <a:srgbClr val="000000"/>
              </a:solidFill>
              <a:latin typeface="+mn-lt"/>
              <a:cs typeface="Calibri"/>
            </a:rPr>
            <a:t>i 95</a:t>
          </a:r>
          <a:r>
            <a:rPr lang="hr-HR" sz="1000">
              <a:effectLst/>
              <a:latin typeface="+mn-lt"/>
              <a:ea typeface="+mn-ea"/>
              <a:cs typeface="+mn-cs"/>
            </a:rPr>
            <a:t> </a:t>
          </a:r>
          <a:r>
            <a:rPr lang="en-GB" sz="825" b="0" i="0" u="none" strike="noStrike" baseline="0">
              <a:solidFill>
                <a:srgbClr val="000000"/>
              </a:solidFill>
              <a:latin typeface="+mn-lt"/>
              <a:cs typeface="Calibri"/>
            </a:rPr>
            <a:t>% CI: </a:t>
          </a:r>
        </a:p>
        <a:p xmlns:a="http://schemas.openxmlformats.org/drawingml/2006/main">
          <a:pPr algn="ctr" rtl="0">
            <a:defRPr sz="1000"/>
          </a:pPr>
          <a:r>
            <a:rPr lang="en-GB" sz="825" b="0" i="0" u="none" strike="noStrike" baseline="0">
              <a:solidFill>
                <a:srgbClr val="000000"/>
              </a:solidFill>
              <a:latin typeface="+mn-lt"/>
              <a:cs typeface="Calibri"/>
            </a:rPr>
            <a:t>32,67 (5,04</a:t>
          </a:r>
          <a:r>
            <a:rPr lang="hr-HR" sz="825" b="0" i="0" u="none" strike="noStrike" baseline="0">
              <a:solidFill>
                <a:srgbClr val="000000"/>
              </a:solidFill>
              <a:latin typeface="+mn-lt"/>
              <a:cs typeface="Calibri"/>
            </a:rPr>
            <a:t>;</a:t>
          </a:r>
          <a:r>
            <a:rPr lang="en-GB" sz="825" b="0" i="0" u="none" strike="noStrike" baseline="0">
              <a:solidFill>
                <a:srgbClr val="000000"/>
              </a:solidFill>
              <a:latin typeface="+mn-lt"/>
              <a:cs typeface="Calibri"/>
            </a:rPr>
            <a:t> 1337)</a:t>
          </a:r>
        </a:p>
        <a:p xmlns:a="http://schemas.openxmlformats.org/drawingml/2006/main">
          <a:pPr algn="ctr" rtl="0">
            <a:defRPr sz="1000"/>
          </a:pPr>
          <a:endParaRPr lang="en-GB" sz="825" b="0" i="0" u="none" strike="noStrike" baseline="0">
            <a:solidFill>
              <a:srgbClr val="000000"/>
            </a:solidFill>
            <a:latin typeface="Calibri"/>
            <a:cs typeface="Calibri"/>
          </a:endParaRPr>
        </a:p>
      </cdr:txBody>
    </cdr:sp>
  </cdr:relSizeAnchor>
  <cdr:relSizeAnchor xmlns:cdr="http://schemas.openxmlformats.org/drawingml/2006/chartDrawing">
    <cdr:from>
      <cdr:x>0.44375</cdr:x>
      <cdr:y>0.08675</cdr:y>
    </cdr:from>
    <cdr:to>
      <cdr:x>0.9385</cdr:x>
      <cdr:y>0.1975</cdr:y>
    </cdr:to>
    <cdr:sp macro="" textlink="">
      <cdr:nvSpPr>
        <cdr:cNvPr id="1027" name="Text Box 3"/>
        <cdr:cNvSpPr txBox="1">
          <a:spLocks xmlns:a="http://schemas.openxmlformats.org/drawingml/2006/main" noChangeArrowheads="1"/>
        </cdr:cNvSpPr>
      </cdr:nvSpPr>
      <cdr:spPr bwMode="auto">
        <a:xfrm xmlns:a="http://schemas.openxmlformats.org/drawingml/2006/main">
          <a:off x="2033052" y="246236"/>
          <a:ext cx="2266709" cy="31435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en-GB" sz="800" b="0" i="0" u="none" strike="noStrike" baseline="0">
              <a:solidFill>
                <a:srgbClr val="000000"/>
              </a:solidFill>
              <a:latin typeface="+mn-lt"/>
              <a:cs typeface="Calibri"/>
            </a:rPr>
            <a:t>Pojedinačne komponente primarnog</a:t>
          </a:r>
        </a:p>
        <a:p xmlns:a="http://schemas.openxmlformats.org/drawingml/2006/main">
          <a:pPr algn="ctr" rtl="0">
            <a:defRPr sz="1000"/>
          </a:pPr>
          <a:r>
            <a:rPr lang="en-GB" sz="800" b="0" i="0" u="none" strike="noStrike" baseline="0">
              <a:solidFill>
                <a:srgbClr val="000000"/>
              </a:solidFill>
              <a:latin typeface="+mn-lt"/>
              <a:cs typeface="Calibri"/>
            </a:rPr>
            <a:t>odgovora u 32. </a:t>
          </a:r>
          <a:r>
            <a:rPr lang="sr-Latn-RS" sz="800" b="0" i="0" u="none" strike="noStrike" baseline="0">
              <a:solidFill>
                <a:srgbClr val="000000"/>
              </a:solidFill>
              <a:latin typeface="+mn-lt"/>
              <a:cs typeface="Calibri"/>
            </a:rPr>
            <a:t>nedjelji</a:t>
          </a:r>
          <a:endParaRPr lang="en-GB" sz="800" b="0" i="0" u="none" strike="noStrike" baseline="0">
            <a:solidFill>
              <a:srgbClr val="000000"/>
            </a:solidFill>
            <a:latin typeface="+mn-lt"/>
            <a:cs typeface="Calibri"/>
          </a:endParaRPr>
        </a:p>
        <a:p xmlns:a="http://schemas.openxmlformats.org/drawingml/2006/main">
          <a:pPr algn="ctr" rtl="0">
            <a:defRPr sz="1000"/>
          </a:pPr>
          <a:endParaRPr lang="en-GB" sz="800" b="0" i="0" u="none" strike="noStrike" baseline="0">
            <a:solidFill>
              <a:srgbClr val="000000"/>
            </a:solidFill>
            <a:latin typeface="Calibri"/>
            <a:cs typeface="Calibri"/>
          </a:endParaRPr>
        </a:p>
      </cdr:txBody>
    </cdr:sp>
  </cdr:relSizeAnchor>
  <cdr:relSizeAnchor xmlns:cdr="http://schemas.openxmlformats.org/drawingml/2006/chartDrawing">
    <cdr:from>
      <cdr:x>0.09494</cdr:x>
      <cdr:y>0.8392</cdr:y>
    </cdr:from>
    <cdr:to>
      <cdr:x>0.38732</cdr:x>
      <cdr:y>0.942</cdr:y>
    </cdr:to>
    <cdr:sp macro="" textlink="">
      <cdr:nvSpPr>
        <cdr:cNvPr id="2" name="Text Box 1"/>
        <cdr:cNvSpPr txBox="1"/>
      </cdr:nvSpPr>
      <cdr:spPr>
        <a:xfrm xmlns:a="http://schemas.openxmlformats.org/drawingml/2006/main">
          <a:off x="443132" y="2468880"/>
          <a:ext cx="1364566" cy="3024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sr-Latn-CS"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8F002-848B-4289-A182-07207B53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36</Pages>
  <Words>16884</Words>
  <Characters>96242</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112901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12</cp:revision>
  <cp:lastPrinted>2023-02-09T08:16:00Z</cp:lastPrinted>
  <dcterms:created xsi:type="dcterms:W3CDTF">2025-04-03T11:58:00Z</dcterms:created>
  <dcterms:modified xsi:type="dcterms:W3CDTF">2025-04-10T07:19:00Z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2024-06-07T13:32:59Z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498b48bf-bdf9-424c-8ec3-a1ecb74663a6</vt:lpwstr>
  </property>
  <property fmtid="{D5CDD505-2E9C-101B-9397-08002B2CF9AE}" pid="9" name="MSIP_Label_3c9bec58-8084-492e-8360-0e1cfe36408c_ContentBits">
    <vt:lpwstr>0</vt:lpwstr>
  </property>
</Properties>
</file>