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E009" w14:textId="77777777" w:rsidR="002510A5" w:rsidRPr="002510A5" w:rsidRDefault="002510A5" w:rsidP="00A47D04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3316FAF0" w14:textId="77777777" w:rsidR="003C17AB" w:rsidRPr="00CA1FEB" w:rsidRDefault="003C17AB" w:rsidP="00A47D04">
      <w:pPr>
        <w:rPr>
          <w:sz w:val="22"/>
          <w:szCs w:val="22"/>
          <w:lang w:val="sr-Latn-CS"/>
        </w:rPr>
      </w:pPr>
    </w:p>
    <w:p w14:paraId="47D526F2" w14:textId="77777777" w:rsidR="00C37FD7" w:rsidRPr="00F76E83" w:rsidRDefault="00C37FD7" w:rsidP="00A47D04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5743DB6B" w14:textId="77777777" w:rsidR="00411B4B" w:rsidRPr="00786071" w:rsidRDefault="00411B4B" w:rsidP="00A47D04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614578FA" w14:textId="77777777" w:rsidR="00EC2532" w:rsidRPr="00786071" w:rsidRDefault="00EC2532" w:rsidP="00A47D04">
      <w:pPr>
        <w:rPr>
          <w:sz w:val="22"/>
          <w:szCs w:val="22"/>
          <w:lang w:val="pl-PL"/>
        </w:rPr>
      </w:pPr>
    </w:p>
    <w:p w14:paraId="3C9FC320" w14:textId="77777777" w:rsidR="009A5235" w:rsidRPr="0093433A" w:rsidRDefault="009A5235" w:rsidP="00A47D04">
      <w:pPr>
        <w:tabs>
          <w:tab w:val="left" w:pos="284"/>
        </w:tabs>
        <w:rPr>
          <w:bCs/>
          <w:sz w:val="22"/>
          <w:szCs w:val="22"/>
          <w:lang w:val="sr-Latn-RS"/>
        </w:rPr>
      </w:pPr>
      <w:r w:rsidRPr="0093433A">
        <w:rPr>
          <w:bCs/>
          <w:sz w:val="22"/>
          <w:szCs w:val="22"/>
          <w:lang w:val="sr-Latn-RS"/>
        </w:rPr>
        <w:t>Plenvu,  prašak za oralni rastvor</w:t>
      </w:r>
    </w:p>
    <w:p w14:paraId="580D798A" w14:textId="77777777" w:rsidR="009A5235" w:rsidRPr="009A5235" w:rsidRDefault="009A5235" w:rsidP="00A47D04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17FC97F3" w14:textId="0066E2BB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 xml:space="preserve">INN: </w:t>
      </w:r>
      <w:r w:rsidR="008B3EDB">
        <w:rPr>
          <w:sz w:val="22"/>
          <w:szCs w:val="22"/>
          <w:lang w:val="sr-Latn-RS"/>
        </w:rPr>
        <w:t>m</w:t>
      </w:r>
      <w:r w:rsidRPr="009A5235">
        <w:rPr>
          <w:sz w:val="22"/>
          <w:szCs w:val="22"/>
          <w:lang w:val="sr-Latn-RS"/>
        </w:rPr>
        <w:t>akrogol</w:t>
      </w:r>
      <w:r w:rsidR="008B3EDB">
        <w:rPr>
          <w:sz w:val="22"/>
          <w:szCs w:val="22"/>
          <w:lang w:val="sr-Latn-RS"/>
        </w:rPr>
        <w:t xml:space="preserve">, </w:t>
      </w:r>
      <w:r w:rsidRPr="009A5235">
        <w:rPr>
          <w:sz w:val="22"/>
          <w:szCs w:val="22"/>
          <w:lang w:val="sr-Latn-RS"/>
        </w:rPr>
        <w:t>natrijum</w:t>
      </w:r>
      <w:r w:rsidR="008B3EDB">
        <w:rPr>
          <w:sz w:val="22"/>
          <w:szCs w:val="22"/>
          <w:lang w:val="sr-Latn-RS"/>
        </w:rPr>
        <w:t xml:space="preserve"> </w:t>
      </w:r>
      <w:r w:rsidRPr="009A5235">
        <w:rPr>
          <w:sz w:val="22"/>
          <w:szCs w:val="22"/>
          <w:lang w:val="sr-Latn-RS"/>
        </w:rPr>
        <w:t>sulfat, natrijum</w:t>
      </w:r>
      <w:r w:rsidR="008B3EDB">
        <w:rPr>
          <w:sz w:val="22"/>
          <w:szCs w:val="22"/>
          <w:lang w:val="sr-Latn-RS"/>
        </w:rPr>
        <w:t xml:space="preserve"> </w:t>
      </w:r>
      <w:r w:rsidRPr="009A5235">
        <w:rPr>
          <w:sz w:val="22"/>
          <w:szCs w:val="22"/>
          <w:lang w:val="sr-Latn-RS"/>
        </w:rPr>
        <w:t>hlorid</w:t>
      </w:r>
      <w:r w:rsidR="008B3EDB">
        <w:rPr>
          <w:sz w:val="22"/>
          <w:szCs w:val="22"/>
          <w:lang w:val="sr-Latn-RS"/>
        </w:rPr>
        <w:t xml:space="preserve">, </w:t>
      </w:r>
      <w:r w:rsidRPr="009A5235">
        <w:rPr>
          <w:sz w:val="22"/>
          <w:szCs w:val="22"/>
          <w:lang w:val="sr-Latn-RS"/>
        </w:rPr>
        <w:t>kalijum</w:t>
      </w:r>
      <w:r w:rsidR="008B3EDB">
        <w:rPr>
          <w:sz w:val="22"/>
          <w:szCs w:val="22"/>
          <w:lang w:val="sr-Latn-RS"/>
        </w:rPr>
        <w:t xml:space="preserve"> </w:t>
      </w:r>
      <w:r w:rsidRPr="009A5235">
        <w:rPr>
          <w:sz w:val="22"/>
          <w:szCs w:val="22"/>
          <w:lang w:val="sr-Latn-RS"/>
        </w:rPr>
        <w:t>hlorid</w:t>
      </w:r>
      <w:r w:rsidR="008B3EDB">
        <w:rPr>
          <w:sz w:val="22"/>
          <w:szCs w:val="22"/>
          <w:lang w:val="sr-Latn-RS"/>
        </w:rPr>
        <w:t>, natrijum askorbat, askorbinska kiselina</w:t>
      </w:r>
    </w:p>
    <w:p w14:paraId="589B3C6C" w14:textId="1B189865" w:rsidR="00530BD7" w:rsidRDefault="00530BD7" w:rsidP="00A47D04">
      <w:pPr>
        <w:rPr>
          <w:bCs/>
          <w:sz w:val="22"/>
          <w:szCs w:val="22"/>
          <w:lang w:val="sv-SE"/>
        </w:rPr>
      </w:pPr>
    </w:p>
    <w:p w14:paraId="199B11FE" w14:textId="77777777" w:rsidR="00336763" w:rsidRPr="00786071" w:rsidRDefault="00336763" w:rsidP="00A47D04">
      <w:pPr>
        <w:rPr>
          <w:bCs/>
          <w:sz w:val="22"/>
          <w:szCs w:val="22"/>
          <w:lang w:val="sv-SE"/>
        </w:rPr>
      </w:pPr>
    </w:p>
    <w:p w14:paraId="5669D200" w14:textId="77777777" w:rsidR="00411B4B" w:rsidRPr="0093433A" w:rsidRDefault="00411B4B" w:rsidP="00A47D04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93433A">
        <w:rPr>
          <w:b/>
          <w:bCs/>
          <w:sz w:val="22"/>
          <w:szCs w:val="22"/>
          <w:lang w:val="sv-SE"/>
        </w:rPr>
        <w:t xml:space="preserve">2. </w:t>
      </w:r>
      <w:r w:rsidR="00F5167F" w:rsidRPr="0093433A">
        <w:rPr>
          <w:b/>
          <w:bCs/>
          <w:sz w:val="22"/>
          <w:szCs w:val="22"/>
          <w:lang w:val="sv-SE"/>
        </w:rPr>
        <w:tab/>
      </w:r>
      <w:r w:rsidRPr="0093433A">
        <w:rPr>
          <w:b/>
          <w:bCs/>
          <w:sz w:val="22"/>
          <w:szCs w:val="22"/>
          <w:lang w:val="sv-SE"/>
        </w:rPr>
        <w:t>KVALITATIVNI I KVANTITATIVNI SASTAV</w:t>
      </w:r>
    </w:p>
    <w:p w14:paraId="34AA30E1" w14:textId="77777777" w:rsidR="005A0B2E" w:rsidRPr="00786071" w:rsidRDefault="005A0B2E" w:rsidP="00A47D04">
      <w:pPr>
        <w:rPr>
          <w:sz w:val="22"/>
          <w:szCs w:val="22"/>
          <w:lang w:val="sr-Latn-CS"/>
        </w:rPr>
      </w:pPr>
    </w:p>
    <w:p w14:paraId="334AA6D1" w14:textId="4372F926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Sastojci l</w:t>
      </w:r>
      <w:r w:rsidR="003902D8">
        <w:rPr>
          <w:sz w:val="22"/>
          <w:szCs w:val="22"/>
          <w:lang w:val="sr-Latn-RS"/>
        </w:rPr>
        <w:t>ij</w:t>
      </w:r>
      <w:r w:rsidRPr="009A5235">
        <w:rPr>
          <w:sz w:val="22"/>
          <w:szCs w:val="22"/>
          <w:lang w:val="sr-Latn-RS"/>
        </w:rPr>
        <w:t>eka Plenvu nalaze se u tri zasebne kesice. Prva doza se isporučuje u jednoj kesici, a druga doza u dv</w:t>
      </w:r>
      <w:r w:rsidR="003902D8">
        <w:rPr>
          <w:sz w:val="22"/>
          <w:szCs w:val="22"/>
          <w:lang w:val="sr-Latn-RS"/>
        </w:rPr>
        <w:t>ij</w:t>
      </w:r>
      <w:r w:rsidRPr="009A5235">
        <w:rPr>
          <w:sz w:val="22"/>
          <w:szCs w:val="22"/>
          <w:lang w:val="sr-Latn-RS"/>
        </w:rPr>
        <w:t>e kesice, A i B.</w:t>
      </w:r>
    </w:p>
    <w:p w14:paraId="51EE81B5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713"/>
        <w:gridCol w:w="4860"/>
      </w:tblGrid>
      <w:tr w:rsidR="009A5235" w:rsidRPr="0093433A" w14:paraId="105BB42E" w14:textId="77777777" w:rsidTr="00350DDF">
        <w:trPr>
          <w:trHeight w:val="157"/>
        </w:trPr>
        <w:tc>
          <w:tcPr>
            <w:tcW w:w="7573" w:type="dxa"/>
            <w:gridSpan w:val="2"/>
          </w:tcPr>
          <w:p w14:paraId="45F2D82B" w14:textId="174A7556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b/>
                <w:bCs/>
                <w:color w:val="000000"/>
                <w:sz w:val="22"/>
                <w:lang w:val="sr-Latn-RS"/>
              </w:rPr>
              <w:t xml:space="preserve">Kesica Doze 1 </w:t>
            </w:r>
            <w:r w:rsidRPr="009A5235">
              <w:rPr>
                <w:color w:val="000000"/>
                <w:sz w:val="22"/>
                <w:lang w:val="sr-Latn-RS"/>
              </w:rPr>
              <w:t>sadrži sl</w:t>
            </w:r>
            <w:r w:rsidR="003902D8">
              <w:rPr>
                <w:color w:val="000000"/>
                <w:sz w:val="22"/>
                <w:lang w:val="sr-Latn-RS"/>
              </w:rPr>
              <w:t>j</w:t>
            </w:r>
            <w:r w:rsidRPr="009A5235">
              <w:rPr>
                <w:color w:val="000000"/>
                <w:sz w:val="22"/>
                <w:lang w:val="sr-Latn-RS"/>
              </w:rPr>
              <w:t xml:space="preserve">edeće aktivne supstance: </w:t>
            </w:r>
          </w:p>
        </w:tc>
      </w:tr>
      <w:tr w:rsidR="009A5235" w:rsidRPr="009A5235" w14:paraId="5A1E538A" w14:textId="77777777" w:rsidTr="00350DDF">
        <w:trPr>
          <w:trHeight w:val="157"/>
        </w:trPr>
        <w:tc>
          <w:tcPr>
            <w:tcW w:w="2713" w:type="dxa"/>
          </w:tcPr>
          <w:p w14:paraId="291BF1EC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Makrogol 3350</w:t>
            </w:r>
          </w:p>
        </w:tc>
        <w:tc>
          <w:tcPr>
            <w:tcW w:w="4860" w:type="dxa"/>
          </w:tcPr>
          <w:p w14:paraId="301CC0D4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100 g </w:t>
            </w:r>
          </w:p>
        </w:tc>
      </w:tr>
      <w:tr w:rsidR="009A5235" w:rsidRPr="009A5235" w14:paraId="535DDF42" w14:textId="77777777" w:rsidTr="00350DDF">
        <w:trPr>
          <w:trHeight w:val="157"/>
        </w:trPr>
        <w:tc>
          <w:tcPr>
            <w:tcW w:w="2713" w:type="dxa"/>
          </w:tcPr>
          <w:p w14:paraId="5877BCC2" w14:textId="4D914C79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Natrijum sulfat</w:t>
            </w:r>
            <w:r w:rsidR="00336763">
              <w:rPr>
                <w:color w:val="000000"/>
                <w:sz w:val="22"/>
                <w:lang w:val="sr-Latn-RS"/>
              </w:rPr>
              <w:t>, bezvodni</w:t>
            </w:r>
            <w:r w:rsidRPr="009A5235">
              <w:rPr>
                <w:color w:val="000000"/>
                <w:sz w:val="22"/>
                <w:lang w:val="sr-Latn-RS"/>
              </w:rPr>
              <w:t xml:space="preserve"> </w:t>
            </w:r>
          </w:p>
        </w:tc>
        <w:tc>
          <w:tcPr>
            <w:tcW w:w="4860" w:type="dxa"/>
          </w:tcPr>
          <w:p w14:paraId="04914056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9 g </w:t>
            </w:r>
          </w:p>
        </w:tc>
      </w:tr>
      <w:tr w:rsidR="009A5235" w:rsidRPr="009A5235" w14:paraId="5865E44F" w14:textId="77777777" w:rsidTr="00350DDF">
        <w:trPr>
          <w:trHeight w:val="157"/>
        </w:trPr>
        <w:tc>
          <w:tcPr>
            <w:tcW w:w="2713" w:type="dxa"/>
          </w:tcPr>
          <w:p w14:paraId="534AD3C6" w14:textId="7B056622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Natrijum</w:t>
            </w:r>
            <w:r w:rsidR="00A55D4D">
              <w:rPr>
                <w:color w:val="000000"/>
                <w:sz w:val="22"/>
                <w:lang w:val="sr-Latn-RS"/>
              </w:rPr>
              <w:t xml:space="preserve"> </w:t>
            </w:r>
            <w:r w:rsidRPr="009A5235">
              <w:rPr>
                <w:color w:val="000000"/>
                <w:sz w:val="22"/>
                <w:lang w:val="sr-Latn-RS"/>
              </w:rPr>
              <w:t xml:space="preserve">hlorid </w:t>
            </w:r>
          </w:p>
        </w:tc>
        <w:tc>
          <w:tcPr>
            <w:tcW w:w="4860" w:type="dxa"/>
          </w:tcPr>
          <w:p w14:paraId="78AB22E0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2 g </w:t>
            </w:r>
          </w:p>
        </w:tc>
      </w:tr>
      <w:tr w:rsidR="009A5235" w:rsidRPr="009A5235" w14:paraId="67D4E59A" w14:textId="77777777" w:rsidTr="00350DDF">
        <w:trPr>
          <w:trHeight w:val="157"/>
        </w:trPr>
        <w:tc>
          <w:tcPr>
            <w:tcW w:w="2713" w:type="dxa"/>
          </w:tcPr>
          <w:p w14:paraId="57F48B21" w14:textId="192C2CC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Kalijum</w:t>
            </w:r>
            <w:r w:rsidR="00A55D4D">
              <w:rPr>
                <w:color w:val="000000"/>
                <w:sz w:val="22"/>
                <w:lang w:val="sr-Latn-RS"/>
              </w:rPr>
              <w:t xml:space="preserve"> </w:t>
            </w:r>
            <w:r w:rsidRPr="009A5235">
              <w:rPr>
                <w:color w:val="000000"/>
                <w:sz w:val="22"/>
                <w:lang w:val="sr-Latn-RS"/>
              </w:rPr>
              <w:t xml:space="preserve">hlorid </w:t>
            </w:r>
          </w:p>
        </w:tc>
        <w:tc>
          <w:tcPr>
            <w:tcW w:w="4860" w:type="dxa"/>
          </w:tcPr>
          <w:p w14:paraId="5B8A686C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 g </w:t>
            </w:r>
          </w:p>
        </w:tc>
      </w:tr>
    </w:tbl>
    <w:p w14:paraId="6D793423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DD211D5" w14:textId="1E842FC6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 xml:space="preserve">Koncentracija jona elektrolita kada se napravi prva doza </w:t>
      </w:r>
      <w:r w:rsidR="003410A9">
        <w:rPr>
          <w:sz w:val="22"/>
          <w:szCs w:val="22"/>
          <w:lang w:val="sr-Latn-RS"/>
        </w:rPr>
        <w:t>od</w:t>
      </w:r>
      <w:r w:rsidR="003410A9" w:rsidRPr="009A5235">
        <w:rPr>
          <w:sz w:val="22"/>
          <w:szCs w:val="22"/>
          <w:lang w:val="sr-Latn-RS"/>
        </w:rPr>
        <w:t xml:space="preserve"> </w:t>
      </w:r>
      <w:r w:rsidRPr="009A5235">
        <w:rPr>
          <w:sz w:val="22"/>
          <w:szCs w:val="22"/>
          <w:lang w:val="sr-Latn-RS"/>
        </w:rPr>
        <w:t>500 ml rastvora je sl</w:t>
      </w:r>
      <w:r w:rsidR="003902D8">
        <w:rPr>
          <w:sz w:val="22"/>
          <w:szCs w:val="22"/>
          <w:lang w:val="sr-Latn-RS"/>
        </w:rPr>
        <w:t>j</w:t>
      </w:r>
      <w:r w:rsidRPr="009A5235">
        <w:rPr>
          <w:sz w:val="22"/>
          <w:szCs w:val="22"/>
          <w:lang w:val="sr-Latn-RS"/>
        </w:rPr>
        <w:t>edeća:</w:t>
      </w:r>
    </w:p>
    <w:p w14:paraId="5F03009A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2852"/>
      </w:tblGrid>
      <w:tr w:rsidR="009A5235" w:rsidRPr="009A5235" w14:paraId="3BDBDDA0" w14:textId="77777777" w:rsidTr="00350DDF">
        <w:trPr>
          <w:trHeight w:val="157"/>
        </w:trPr>
        <w:tc>
          <w:tcPr>
            <w:tcW w:w="2852" w:type="dxa"/>
          </w:tcPr>
          <w:p w14:paraId="113B0730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Natrijum </w:t>
            </w:r>
          </w:p>
        </w:tc>
        <w:tc>
          <w:tcPr>
            <w:tcW w:w="2852" w:type="dxa"/>
          </w:tcPr>
          <w:p w14:paraId="208F7DDA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160.9 mmol/500 ml </w:t>
            </w:r>
          </w:p>
        </w:tc>
      </w:tr>
      <w:tr w:rsidR="009A5235" w:rsidRPr="009A5235" w14:paraId="6DCB1B97" w14:textId="77777777" w:rsidTr="00350DDF">
        <w:trPr>
          <w:trHeight w:val="416"/>
        </w:trPr>
        <w:tc>
          <w:tcPr>
            <w:tcW w:w="2852" w:type="dxa"/>
          </w:tcPr>
          <w:p w14:paraId="7CD21D43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Sulfat </w:t>
            </w:r>
          </w:p>
          <w:p w14:paraId="23B980E3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Hlorid</w:t>
            </w:r>
          </w:p>
          <w:p w14:paraId="1E924D86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Kalijum </w:t>
            </w:r>
          </w:p>
        </w:tc>
        <w:tc>
          <w:tcPr>
            <w:tcW w:w="2852" w:type="dxa"/>
          </w:tcPr>
          <w:p w14:paraId="6DB4C4F9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63.4 mmol/500 ml </w:t>
            </w:r>
          </w:p>
          <w:p w14:paraId="4AF5869B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47.6 mmol/500 ml </w:t>
            </w:r>
          </w:p>
          <w:p w14:paraId="4839D5C7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13.3 mmol/500 ml </w:t>
            </w:r>
          </w:p>
        </w:tc>
      </w:tr>
    </w:tbl>
    <w:p w14:paraId="23EE6A11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C67CB8C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Doza 1 takođe sadrži 0,79 g sukraloze (E955).</w:t>
      </w:r>
    </w:p>
    <w:p w14:paraId="6614868F" w14:textId="77777777" w:rsidR="003410A9" w:rsidRDefault="003410A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4F86446" w14:textId="74B5308D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Doza 2 (kesice A i B) sadrži sl</w:t>
      </w:r>
      <w:r w:rsidR="003902D8">
        <w:rPr>
          <w:sz w:val="22"/>
          <w:szCs w:val="22"/>
          <w:lang w:val="sr-Latn-RS"/>
        </w:rPr>
        <w:t>j</w:t>
      </w:r>
      <w:r w:rsidRPr="009A5235">
        <w:rPr>
          <w:sz w:val="22"/>
          <w:szCs w:val="22"/>
          <w:lang w:val="sr-Latn-RS"/>
        </w:rPr>
        <w:t>edeće aktivne supstance:</w:t>
      </w:r>
    </w:p>
    <w:p w14:paraId="482B7D90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77CD6A0" w14:textId="77777777" w:rsidR="009A5235" w:rsidRPr="009A5235" w:rsidRDefault="009A5235" w:rsidP="00A47D04">
      <w:pPr>
        <w:tabs>
          <w:tab w:val="left" w:pos="284"/>
        </w:tabs>
        <w:spacing w:line="276" w:lineRule="auto"/>
        <w:jc w:val="both"/>
        <w:rPr>
          <w:sz w:val="22"/>
          <w:lang w:val="sr-Latn-RS"/>
        </w:rPr>
      </w:pPr>
      <w:r w:rsidRPr="009A5235">
        <w:rPr>
          <w:b/>
          <w:bCs/>
          <w:sz w:val="22"/>
          <w:lang w:val="sr-Latn-RS"/>
        </w:rPr>
        <w:t>Kesica A</w:t>
      </w:r>
      <w:r w:rsidRPr="009A5235">
        <w:rPr>
          <w:sz w:val="22"/>
          <w:lang w:val="sr-Latn-RS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190"/>
      </w:tblGrid>
      <w:tr w:rsidR="009A5235" w:rsidRPr="009A5235" w14:paraId="55C2B5F1" w14:textId="77777777" w:rsidTr="00350DDF">
        <w:trPr>
          <w:trHeight w:val="157"/>
        </w:trPr>
        <w:tc>
          <w:tcPr>
            <w:tcW w:w="2190" w:type="dxa"/>
          </w:tcPr>
          <w:p w14:paraId="1B42A5BF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Makrogol 3350 </w:t>
            </w:r>
          </w:p>
        </w:tc>
        <w:tc>
          <w:tcPr>
            <w:tcW w:w="2190" w:type="dxa"/>
          </w:tcPr>
          <w:p w14:paraId="66DD6042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40 g </w:t>
            </w:r>
          </w:p>
        </w:tc>
      </w:tr>
      <w:tr w:rsidR="009A5235" w:rsidRPr="009A5235" w14:paraId="138579FA" w14:textId="77777777" w:rsidTr="00350DDF">
        <w:trPr>
          <w:trHeight w:val="157"/>
        </w:trPr>
        <w:tc>
          <w:tcPr>
            <w:tcW w:w="2190" w:type="dxa"/>
          </w:tcPr>
          <w:p w14:paraId="29CAC2F5" w14:textId="4EBE7CAC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Natrijum</w:t>
            </w:r>
            <w:r w:rsidR="00A55D4D">
              <w:rPr>
                <w:color w:val="000000"/>
                <w:sz w:val="22"/>
                <w:lang w:val="sr-Latn-RS"/>
              </w:rPr>
              <w:t xml:space="preserve"> </w:t>
            </w:r>
            <w:r w:rsidRPr="009A5235">
              <w:rPr>
                <w:color w:val="000000"/>
                <w:sz w:val="22"/>
                <w:lang w:val="sr-Latn-RS"/>
              </w:rPr>
              <w:t xml:space="preserve">hlorid </w:t>
            </w:r>
          </w:p>
        </w:tc>
        <w:tc>
          <w:tcPr>
            <w:tcW w:w="2190" w:type="dxa"/>
          </w:tcPr>
          <w:p w14:paraId="62A5F3C3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3.2 g </w:t>
            </w:r>
          </w:p>
        </w:tc>
      </w:tr>
      <w:tr w:rsidR="009A5235" w:rsidRPr="009A5235" w14:paraId="05BCF366" w14:textId="77777777" w:rsidTr="00350DDF">
        <w:trPr>
          <w:trHeight w:val="157"/>
        </w:trPr>
        <w:tc>
          <w:tcPr>
            <w:tcW w:w="2190" w:type="dxa"/>
          </w:tcPr>
          <w:p w14:paraId="02A52226" w14:textId="7CC1BD0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>Kalijum</w:t>
            </w:r>
            <w:r w:rsidR="00A55D4D">
              <w:rPr>
                <w:color w:val="000000"/>
                <w:sz w:val="22"/>
                <w:lang w:val="sr-Latn-RS"/>
              </w:rPr>
              <w:t xml:space="preserve"> </w:t>
            </w:r>
            <w:r w:rsidRPr="009A5235">
              <w:rPr>
                <w:color w:val="000000"/>
                <w:sz w:val="22"/>
                <w:lang w:val="sr-Latn-RS"/>
              </w:rPr>
              <w:t xml:space="preserve">hlorid </w:t>
            </w:r>
          </w:p>
        </w:tc>
        <w:tc>
          <w:tcPr>
            <w:tcW w:w="2190" w:type="dxa"/>
          </w:tcPr>
          <w:p w14:paraId="141BB35F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1.2 g </w:t>
            </w:r>
          </w:p>
        </w:tc>
      </w:tr>
      <w:tr w:rsidR="009A5235" w:rsidRPr="009A5235" w14:paraId="2D1A8645" w14:textId="77777777" w:rsidTr="00350DDF">
        <w:trPr>
          <w:trHeight w:val="157"/>
        </w:trPr>
        <w:tc>
          <w:tcPr>
            <w:tcW w:w="2190" w:type="dxa"/>
            <w:tcBorders>
              <w:left w:val="nil"/>
            </w:tcBorders>
          </w:tcPr>
          <w:p w14:paraId="3CD236CB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</w:p>
          <w:p w14:paraId="678CE010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b/>
                <w:bCs/>
                <w:sz w:val="22"/>
                <w:lang w:val="sr-Latn-RS"/>
              </w:rPr>
              <w:t xml:space="preserve">Kesica </w:t>
            </w:r>
            <w:r w:rsidRPr="009A5235">
              <w:rPr>
                <w:b/>
                <w:bCs/>
                <w:color w:val="000000"/>
                <w:sz w:val="22"/>
                <w:lang w:val="sr-Latn-RS"/>
              </w:rPr>
              <w:t>B</w:t>
            </w:r>
            <w:r w:rsidRPr="009A5235">
              <w:rPr>
                <w:color w:val="000000"/>
                <w:sz w:val="22"/>
                <w:lang w:val="sr-Latn-RS"/>
              </w:rPr>
              <w:t xml:space="preserve">: </w:t>
            </w:r>
          </w:p>
          <w:p w14:paraId="227CA93F" w14:textId="2F7DC0FC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Natrijum askorbat </w:t>
            </w:r>
          </w:p>
        </w:tc>
        <w:tc>
          <w:tcPr>
            <w:tcW w:w="2190" w:type="dxa"/>
            <w:tcBorders>
              <w:right w:val="nil"/>
            </w:tcBorders>
          </w:tcPr>
          <w:p w14:paraId="23758ACA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</w:p>
          <w:p w14:paraId="6F5A23FF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</w:p>
          <w:p w14:paraId="7023EBD0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48.11 g </w:t>
            </w:r>
          </w:p>
        </w:tc>
      </w:tr>
      <w:tr w:rsidR="009A5235" w:rsidRPr="009A5235" w14:paraId="2C0AAF4E" w14:textId="77777777" w:rsidTr="00350DDF">
        <w:trPr>
          <w:trHeight w:val="157"/>
        </w:trPr>
        <w:tc>
          <w:tcPr>
            <w:tcW w:w="2190" w:type="dxa"/>
            <w:tcBorders>
              <w:left w:val="nil"/>
              <w:bottom w:val="nil"/>
            </w:tcBorders>
          </w:tcPr>
          <w:p w14:paraId="6D9DDAB5" w14:textId="7DD2E25B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Askorbinska </w:t>
            </w:r>
            <w:r w:rsidR="00A47D04">
              <w:rPr>
                <w:color w:val="000000"/>
                <w:sz w:val="22"/>
                <w:lang w:val="sr-Latn-RS"/>
              </w:rPr>
              <w:t>kiselina</w:t>
            </w:r>
            <w:r w:rsidRPr="009A5235">
              <w:rPr>
                <w:color w:val="000000"/>
                <w:sz w:val="22"/>
                <w:lang w:val="sr-Latn-RS"/>
              </w:rPr>
              <w:t xml:space="preserve"> </w:t>
            </w:r>
          </w:p>
        </w:tc>
        <w:tc>
          <w:tcPr>
            <w:tcW w:w="2190" w:type="dxa"/>
            <w:tcBorders>
              <w:bottom w:val="nil"/>
              <w:right w:val="nil"/>
            </w:tcBorders>
          </w:tcPr>
          <w:p w14:paraId="5BDC4332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7.54 g </w:t>
            </w:r>
          </w:p>
        </w:tc>
      </w:tr>
    </w:tbl>
    <w:p w14:paraId="30F40A85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D445939" w14:textId="50297600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 xml:space="preserve">Koncentracija jona elektrolita kada se pripremi druga doza (kesice A i B) </w:t>
      </w:r>
      <w:r w:rsidR="007F60B7">
        <w:rPr>
          <w:sz w:val="22"/>
          <w:szCs w:val="22"/>
          <w:lang w:val="sr-Latn-RS"/>
        </w:rPr>
        <w:t>od</w:t>
      </w:r>
      <w:r w:rsidR="007F60B7" w:rsidRPr="009A5235">
        <w:rPr>
          <w:sz w:val="22"/>
          <w:szCs w:val="22"/>
          <w:lang w:val="sr-Latn-RS"/>
        </w:rPr>
        <w:t xml:space="preserve"> </w:t>
      </w:r>
      <w:r w:rsidRPr="009A5235">
        <w:rPr>
          <w:sz w:val="22"/>
          <w:szCs w:val="22"/>
          <w:lang w:val="sr-Latn-RS"/>
        </w:rPr>
        <w:t>500 ml rastvora je sl</w:t>
      </w:r>
      <w:r w:rsidR="003902D8">
        <w:rPr>
          <w:sz w:val="22"/>
          <w:szCs w:val="22"/>
          <w:lang w:val="sr-Latn-RS"/>
        </w:rPr>
        <w:t>j</w:t>
      </w:r>
      <w:r w:rsidRPr="009A5235">
        <w:rPr>
          <w:sz w:val="22"/>
          <w:szCs w:val="22"/>
          <w:lang w:val="sr-Latn-RS"/>
        </w:rPr>
        <w:t>edeća:</w:t>
      </w:r>
    </w:p>
    <w:p w14:paraId="621FAF6E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2749"/>
      </w:tblGrid>
      <w:tr w:rsidR="009A5235" w:rsidRPr="009A5235" w14:paraId="4AE6F01C" w14:textId="77777777" w:rsidTr="00350DDF">
        <w:trPr>
          <w:trHeight w:val="157"/>
        </w:trPr>
        <w:tc>
          <w:tcPr>
            <w:tcW w:w="2749" w:type="dxa"/>
          </w:tcPr>
          <w:p w14:paraId="7499F2FD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Natrijum </w:t>
            </w:r>
          </w:p>
        </w:tc>
        <w:tc>
          <w:tcPr>
            <w:tcW w:w="2749" w:type="dxa"/>
          </w:tcPr>
          <w:p w14:paraId="510BC08E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297.6 mmol/500 ml </w:t>
            </w:r>
          </w:p>
        </w:tc>
      </w:tr>
      <w:tr w:rsidR="009A5235" w:rsidRPr="009A5235" w14:paraId="1607EC94" w14:textId="77777777" w:rsidTr="00350DDF">
        <w:trPr>
          <w:trHeight w:val="289"/>
        </w:trPr>
        <w:tc>
          <w:tcPr>
            <w:tcW w:w="2749" w:type="dxa"/>
          </w:tcPr>
          <w:p w14:paraId="18964AED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Askorbat </w:t>
            </w:r>
          </w:p>
          <w:p w14:paraId="58C51706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Hlorid </w:t>
            </w:r>
          </w:p>
        </w:tc>
        <w:tc>
          <w:tcPr>
            <w:tcW w:w="2749" w:type="dxa"/>
          </w:tcPr>
          <w:p w14:paraId="1C113279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285.7 mmol/500 ml </w:t>
            </w:r>
          </w:p>
          <w:p w14:paraId="5ACA1802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70.9 mmol/500 ml </w:t>
            </w:r>
          </w:p>
        </w:tc>
      </w:tr>
      <w:tr w:rsidR="009A5235" w:rsidRPr="009A5235" w14:paraId="1077725A" w14:textId="77777777" w:rsidTr="00350DDF">
        <w:trPr>
          <w:trHeight w:val="157"/>
        </w:trPr>
        <w:tc>
          <w:tcPr>
            <w:tcW w:w="2749" w:type="dxa"/>
          </w:tcPr>
          <w:p w14:paraId="490BBA2A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Kalijum </w:t>
            </w:r>
          </w:p>
        </w:tc>
        <w:tc>
          <w:tcPr>
            <w:tcW w:w="2749" w:type="dxa"/>
          </w:tcPr>
          <w:p w14:paraId="61F1B346" w14:textId="77777777" w:rsidR="009A5235" w:rsidRPr="009A5235" w:rsidRDefault="009A5235" w:rsidP="00A47D0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lang w:val="sr-Latn-RS"/>
              </w:rPr>
            </w:pPr>
            <w:r w:rsidRPr="009A5235">
              <w:rPr>
                <w:color w:val="000000"/>
                <w:sz w:val="22"/>
                <w:lang w:val="sr-Latn-RS"/>
              </w:rPr>
              <w:t xml:space="preserve">16.1 mmol/500 ml </w:t>
            </w:r>
          </w:p>
        </w:tc>
      </w:tr>
    </w:tbl>
    <w:p w14:paraId="516AAC14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4585CC0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9A5235">
        <w:rPr>
          <w:sz w:val="22"/>
          <w:szCs w:val="22"/>
          <w:u w:val="single"/>
          <w:lang w:val="sr-Latn-RS"/>
        </w:rPr>
        <w:t>Pomoćne supstance sa poznatim dejstvom</w:t>
      </w:r>
    </w:p>
    <w:p w14:paraId="4CEAF14A" w14:textId="77777777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Doza 2 (kesica A) takođe sadrži 0,88 g aspartama (E951).</w:t>
      </w:r>
    </w:p>
    <w:p w14:paraId="5332CB50" w14:textId="77777777" w:rsidR="009A5235" w:rsidRDefault="009A5235" w:rsidP="00A47D04">
      <w:pPr>
        <w:rPr>
          <w:sz w:val="22"/>
          <w:szCs w:val="22"/>
          <w:lang w:val="sr-Latn-CS"/>
        </w:rPr>
      </w:pPr>
    </w:p>
    <w:p w14:paraId="0021EA47" w14:textId="49A17C85" w:rsidR="0003793F" w:rsidRPr="00786071" w:rsidRDefault="0003793F" w:rsidP="00A47D04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302564A9" w14:textId="77777777" w:rsidR="0003793F" w:rsidRDefault="0003793F" w:rsidP="00A47D04">
      <w:pPr>
        <w:rPr>
          <w:sz w:val="22"/>
          <w:szCs w:val="22"/>
          <w:lang w:val="sr-Latn-CS"/>
        </w:rPr>
      </w:pPr>
    </w:p>
    <w:p w14:paraId="25936A16" w14:textId="77777777" w:rsidR="00C37FD7" w:rsidRPr="00786071" w:rsidRDefault="00C37FD7" w:rsidP="00A47D04">
      <w:pPr>
        <w:rPr>
          <w:sz w:val="22"/>
          <w:szCs w:val="22"/>
          <w:lang w:val="sr-Latn-CS"/>
        </w:rPr>
      </w:pPr>
    </w:p>
    <w:p w14:paraId="235982D2" w14:textId="28EE25B0" w:rsidR="00411B4B" w:rsidRPr="0093433A" w:rsidRDefault="00411B4B" w:rsidP="00A47D0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93433A">
        <w:rPr>
          <w:b/>
          <w:bCs/>
          <w:sz w:val="22"/>
          <w:szCs w:val="22"/>
          <w:lang w:val="sr-Latn-CS"/>
        </w:rPr>
        <w:lastRenderedPageBreak/>
        <w:t xml:space="preserve">3. </w:t>
      </w:r>
      <w:r w:rsidR="00F5167F" w:rsidRPr="0093433A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FARMACEUTSKI</w:t>
      </w:r>
      <w:r w:rsidRPr="0093433A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OBLIK</w:t>
      </w:r>
      <w:r w:rsidR="009F2D23" w:rsidRPr="0093433A">
        <w:rPr>
          <w:b/>
          <w:bCs/>
          <w:sz w:val="22"/>
          <w:szCs w:val="22"/>
          <w:lang w:val="sr-Latn-CS"/>
        </w:rPr>
        <w:t xml:space="preserve"> </w:t>
      </w:r>
    </w:p>
    <w:p w14:paraId="53289532" w14:textId="1B8ECF18" w:rsidR="009A5235" w:rsidRPr="0093433A" w:rsidRDefault="009A5235" w:rsidP="00A47D0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7593D403" w14:textId="77777777" w:rsidR="007F60B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 xml:space="preserve">Prašak za oralni rastvor. </w:t>
      </w:r>
    </w:p>
    <w:p w14:paraId="2B983932" w14:textId="22D7F07F" w:rsidR="009A5235" w:rsidRP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B</w:t>
      </w:r>
      <w:r w:rsidR="007F60B7">
        <w:rPr>
          <w:sz w:val="22"/>
          <w:szCs w:val="22"/>
          <w:lang w:val="sr-Latn-RS"/>
        </w:rPr>
        <w:t>i</w:t>
      </w:r>
      <w:r w:rsidR="003902D8">
        <w:rPr>
          <w:sz w:val="22"/>
          <w:szCs w:val="22"/>
          <w:lang w:val="sr-Latn-RS"/>
        </w:rPr>
        <w:t>j</w:t>
      </w:r>
      <w:r w:rsidRPr="009A5235">
        <w:rPr>
          <w:sz w:val="22"/>
          <w:szCs w:val="22"/>
          <w:lang w:val="sr-Latn-RS"/>
        </w:rPr>
        <w:t>eli do žuti prašak.</w:t>
      </w:r>
    </w:p>
    <w:p w14:paraId="5D2C3E20" w14:textId="0820DB94" w:rsidR="00EC2532" w:rsidRDefault="00EC2532" w:rsidP="00A47D04">
      <w:pPr>
        <w:rPr>
          <w:bCs/>
          <w:sz w:val="22"/>
          <w:szCs w:val="22"/>
          <w:lang w:val="sr-Latn-CS"/>
        </w:rPr>
      </w:pPr>
    </w:p>
    <w:p w14:paraId="6F9474E2" w14:textId="77777777" w:rsidR="007F60B7" w:rsidRPr="00786071" w:rsidRDefault="007F60B7" w:rsidP="00A47D04">
      <w:pPr>
        <w:rPr>
          <w:bCs/>
          <w:sz w:val="22"/>
          <w:szCs w:val="22"/>
          <w:lang w:val="sr-Latn-CS"/>
        </w:rPr>
      </w:pPr>
    </w:p>
    <w:p w14:paraId="05582699" w14:textId="77777777" w:rsidR="00411B4B" w:rsidRPr="0093433A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4.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KLINIČKI PODACI</w:t>
      </w:r>
    </w:p>
    <w:p w14:paraId="21CD6E50" w14:textId="77777777" w:rsidR="00CD6F02" w:rsidRPr="0093433A" w:rsidRDefault="00CD6F0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10DA56A" w14:textId="16AE3B14" w:rsidR="00411B4B" w:rsidRPr="0093433A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4.1.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Terapijske indikacije</w:t>
      </w:r>
    </w:p>
    <w:p w14:paraId="351D1DEC" w14:textId="3911AE4B" w:rsidR="009A5235" w:rsidRPr="0093433A" w:rsidRDefault="009A5235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5838A0" w14:textId="1264C15E" w:rsidR="009A5235" w:rsidRPr="00817EE7" w:rsidRDefault="00031E0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9A5235" w:rsidRPr="00817EE7">
        <w:rPr>
          <w:sz w:val="22"/>
          <w:szCs w:val="22"/>
          <w:lang w:val="sr-Latn-RS"/>
        </w:rPr>
        <w:t>Plenvu je indikovan kod odraslih osoba za čišćenje cr</w:t>
      </w:r>
      <w:r w:rsidR="003902D8" w:rsidRPr="00817EE7">
        <w:rPr>
          <w:sz w:val="22"/>
          <w:szCs w:val="22"/>
          <w:lang w:val="sr-Latn-RS"/>
        </w:rPr>
        <w:t>ij</w:t>
      </w:r>
      <w:r w:rsidR="009A5235" w:rsidRPr="00817EE7">
        <w:rPr>
          <w:sz w:val="22"/>
          <w:szCs w:val="22"/>
          <w:lang w:val="sr-Latn-RS"/>
        </w:rPr>
        <w:t>eva pr</w:t>
      </w:r>
      <w:r w:rsidR="003902D8" w:rsidRPr="00817EE7">
        <w:rPr>
          <w:sz w:val="22"/>
          <w:szCs w:val="22"/>
          <w:lang w:val="sr-Latn-RS"/>
        </w:rPr>
        <w:t>ij</w:t>
      </w:r>
      <w:r w:rsidR="009A5235" w:rsidRPr="00817EE7">
        <w:rPr>
          <w:sz w:val="22"/>
          <w:szCs w:val="22"/>
          <w:lang w:val="sr-Latn-RS"/>
        </w:rPr>
        <w:t>e bilo koje procedure koj</w:t>
      </w:r>
      <w:r>
        <w:rPr>
          <w:sz w:val="22"/>
          <w:szCs w:val="22"/>
          <w:lang w:val="sr-Latn-RS"/>
        </w:rPr>
        <w:t>a</w:t>
      </w:r>
      <w:r w:rsidR="009A5235" w:rsidRPr="00817EE7">
        <w:rPr>
          <w:sz w:val="22"/>
          <w:szCs w:val="22"/>
          <w:lang w:val="sr-Latn-RS"/>
        </w:rPr>
        <w:t xml:space="preserve"> zaht</w:t>
      </w:r>
      <w:r w:rsidR="003902D8" w:rsidRPr="00817EE7">
        <w:rPr>
          <w:sz w:val="22"/>
          <w:szCs w:val="22"/>
          <w:lang w:val="sr-Latn-RS"/>
        </w:rPr>
        <w:t>ij</w:t>
      </w:r>
      <w:r w:rsidR="009A5235" w:rsidRPr="00817EE7">
        <w:rPr>
          <w:sz w:val="22"/>
          <w:szCs w:val="22"/>
          <w:lang w:val="sr-Latn-RS"/>
        </w:rPr>
        <w:t>eva čist</w:t>
      </w:r>
      <w:r w:rsidR="009F02BF">
        <w:rPr>
          <w:sz w:val="22"/>
          <w:szCs w:val="22"/>
          <w:lang w:val="sr-Latn-RS"/>
        </w:rPr>
        <w:t>a</w:t>
      </w:r>
      <w:r w:rsidR="009A5235" w:rsidRPr="00817EE7">
        <w:rPr>
          <w:sz w:val="22"/>
          <w:szCs w:val="22"/>
          <w:lang w:val="sr-Latn-RS"/>
        </w:rPr>
        <w:t xml:space="preserve"> cr</w:t>
      </w:r>
      <w:r w:rsidR="003902D8" w:rsidRPr="00817EE7">
        <w:rPr>
          <w:sz w:val="22"/>
          <w:szCs w:val="22"/>
          <w:lang w:val="sr-Latn-RS"/>
        </w:rPr>
        <w:t>ij</w:t>
      </w:r>
      <w:r w:rsidR="009A5235" w:rsidRPr="00817EE7">
        <w:rPr>
          <w:sz w:val="22"/>
          <w:szCs w:val="22"/>
          <w:lang w:val="sr-Latn-RS"/>
        </w:rPr>
        <w:t>ev</w:t>
      </w:r>
      <w:r w:rsidR="009F02BF">
        <w:rPr>
          <w:sz w:val="22"/>
          <w:szCs w:val="22"/>
          <w:lang w:val="sr-Latn-RS"/>
        </w:rPr>
        <w:t>a</w:t>
      </w:r>
      <w:r w:rsidR="009A5235" w:rsidRPr="00817EE7">
        <w:rPr>
          <w:sz w:val="22"/>
          <w:szCs w:val="22"/>
          <w:lang w:val="sr-Latn-RS"/>
        </w:rPr>
        <w:t>.</w:t>
      </w:r>
    </w:p>
    <w:p w14:paraId="638FAFBE" w14:textId="77777777" w:rsidR="00411B4B" w:rsidRPr="0093433A" w:rsidRDefault="00411B4B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A55FCDE" w14:textId="77777777" w:rsidR="00411B4B" w:rsidRPr="0093433A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4.2.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Doziranje i način primjene</w:t>
      </w:r>
    </w:p>
    <w:p w14:paraId="6FD29940" w14:textId="77777777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D4E2CD3" w14:textId="564C20D7" w:rsidR="00452E9D" w:rsidRPr="0093433A" w:rsidRDefault="00452E9D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93433A">
        <w:rPr>
          <w:bCs/>
          <w:sz w:val="22"/>
          <w:szCs w:val="22"/>
          <w:u w:val="single"/>
          <w:lang w:val="sr-Latn-RS"/>
        </w:rPr>
        <w:t>Doziranje</w:t>
      </w:r>
    </w:p>
    <w:p w14:paraId="4194B4DE" w14:textId="00EB7D8C" w:rsidR="009A5235" w:rsidRPr="0093433A" w:rsidRDefault="009A5235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4C2FFD3C" w14:textId="77777777" w:rsidR="009A5235" w:rsidRPr="00817EE7" w:rsidRDefault="009A5235" w:rsidP="00A47D0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RS"/>
        </w:rPr>
      </w:pPr>
      <w:r w:rsidRPr="00817EE7">
        <w:rPr>
          <w:b/>
          <w:bCs/>
          <w:i/>
          <w:iCs/>
          <w:sz w:val="22"/>
          <w:szCs w:val="22"/>
          <w:lang w:val="sr-Latn-RS"/>
        </w:rPr>
        <w:t>Odrasli i stariji</w:t>
      </w:r>
    </w:p>
    <w:p w14:paraId="6812CE1F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47A679C" w14:textId="10BFBBD2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Ciklus terapije sastoji se od dv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odvojene različite doze od 500 ml l</w:t>
      </w:r>
      <w:r w:rsidR="00031E05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Plenvu. Uz svaku dozu mora se uzeti najmanje 500 ml dodatne bistre tečnosti, u vidu vode, bistre supe, voćnog soka bez pulpe, bezalkoholn</w:t>
      </w:r>
      <w:r w:rsidR="004C6441">
        <w:rPr>
          <w:sz w:val="22"/>
          <w:szCs w:val="22"/>
          <w:lang w:val="sr-Latn-RS"/>
        </w:rPr>
        <w:t>og</w:t>
      </w:r>
      <w:r w:rsidRPr="00817EE7">
        <w:rPr>
          <w:sz w:val="22"/>
          <w:szCs w:val="22"/>
          <w:lang w:val="sr-Latn-RS"/>
        </w:rPr>
        <w:t xml:space="preserve"> pića, čaja i/ili kafe bez ml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eka.</w:t>
      </w:r>
    </w:p>
    <w:p w14:paraId="56E5982C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10BBB48" w14:textId="07F74848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Ovaj ciklus terapije može se sprovesti u skladu sa dvodnevnim ili jednodnevni</w:t>
      </w:r>
      <w:r w:rsidR="00F10367">
        <w:rPr>
          <w:sz w:val="22"/>
          <w:szCs w:val="22"/>
          <w:lang w:val="sr-Latn-RS"/>
        </w:rPr>
        <w:t>m rasporedom</w:t>
      </w:r>
      <w:r w:rsidRPr="00817EE7">
        <w:rPr>
          <w:sz w:val="22"/>
          <w:szCs w:val="22"/>
          <w:lang w:val="sr-Latn-RS"/>
        </w:rPr>
        <w:t xml:space="preserve"> doziranja kako je naveden u nastavku:</w:t>
      </w:r>
    </w:p>
    <w:p w14:paraId="7A1C9730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5E10B11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Dvodnevni raspored doziranja:</w:t>
      </w:r>
    </w:p>
    <w:p w14:paraId="1572641E" w14:textId="4B1CF71F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Prva doza se </w:t>
      </w:r>
      <w:r w:rsidR="00BB771D">
        <w:rPr>
          <w:sz w:val="22"/>
          <w:szCs w:val="22"/>
          <w:lang w:val="sr-Latn-RS"/>
        </w:rPr>
        <w:t>primjenjuje</w:t>
      </w:r>
      <w:r w:rsidRPr="00817EE7">
        <w:rPr>
          <w:sz w:val="22"/>
          <w:szCs w:val="22"/>
          <w:lang w:val="sr-Latn-RS"/>
        </w:rPr>
        <w:t xml:space="preserve"> veče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 kliničke procedure i druga doza ujutro na dan kliničke procedure </w:t>
      </w:r>
      <w:r w:rsidR="003362D4">
        <w:rPr>
          <w:sz w:val="22"/>
          <w:szCs w:val="22"/>
          <w:lang w:val="sr-Latn-RS"/>
        </w:rPr>
        <w:t>približno 12 sati nakon početka primjene prve doze</w:t>
      </w:r>
      <w:r w:rsidR="00C7356F" w:rsidRPr="00817EE7">
        <w:rPr>
          <w:sz w:val="22"/>
          <w:szCs w:val="22"/>
          <w:lang w:val="sr-Latn-RS"/>
        </w:rPr>
        <w:t>.</w:t>
      </w:r>
    </w:p>
    <w:p w14:paraId="60779DAD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E8DA53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Jednodnevni rasporedi doziranja:</w:t>
      </w:r>
    </w:p>
    <w:p w14:paraId="5D4D70BD" w14:textId="50358232" w:rsidR="00BB771D" w:rsidRPr="003362D4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Jutarnji raspored doziranja kod kog</w:t>
      </w:r>
      <w:r w:rsidR="00E41304">
        <w:rPr>
          <w:sz w:val="22"/>
          <w:szCs w:val="22"/>
          <w:lang w:val="sr-Latn-RS"/>
        </w:rPr>
        <w:t>a</w:t>
      </w:r>
      <w:r w:rsidRPr="00817EE7">
        <w:rPr>
          <w:sz w:val="22"/>
          <w:szCs w:val="22"/>
          <w:lang w:val="sr-Latn-RS"/>
        </w:rPr>
        <w:t xml:space="preserve"> se ob</w:t>
      </w:r>
      <w:r w:rsidR="00E41304">
        <w:rPr>
          <w:sz w:val="22"/>
          <w:szCs w:val="22"/>
          <w:lang w:val="sr-Latn-RS"/>
        </w:rPr>
        <w:t>i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 doze uzimaju ujutru na dan kliničke procedure</w:t>
      </w:r>
      <w:r w:rsidR="00865550">
        <w:rPr>
          <w:sz w:val="22"/>
          <w:szCs w:val="22"/>
          <w:lang w:val="sr-Latn-RS"/>
        </w:rPr>
        <w:t>;</w:t>
      </w:r>
      <w:r w:rsidR="003362D4">
        <w:rPr>
          <w:sz w:val="22"/>
          <w:szCs w:val="22"/>
          <w:lang w:val="sr-Latn-RS"/>
        </w:rPr>
        <w:t xml:space="preserve"> </w:t>
      </w:r>
      <w:r w:rsidR="003362D4" w:rsidRPr="003362D4">
        <w:rPr>
          <w:sz w:val="22"/>
          <w:szCs w:val="22"/>
          <w:lang w:val="sr-Latn-RS"/>
        </w:rPr>
        <w:t>drugu dozu treba</w:t>
      </w:r>
      <w:r w:rsidR="003362D4">
        <w:rPr>
          <w:sz w:val="22"/>
          <w:szCs w:val="22"/>
          <w:lang w:val="sr-Latn-RS"/>
        </w:rPr>
        <w:t xml:space="preserve"> primijeniti</w:t>
      </w:r>
      <w:r w:rsidR="003362D4" w:rsidRPr="003362D4">
        <w:rPr>
          <w:sz w:val="22"/>
          <w:szCs w:val="22"/>
          <w:lang w:val="sr-Latn-RS"/>
        </w:rPr>
        <w:t xml:space="preserve"> najmanje 2 sata nakon početka </w:t>
      </w:r>
      <w:r w:rsidR="00BB771D">
        <w:rPr>
          <w:sz w:val="22"/>
          <w:szCs w:val="22"/>
          <w:lang w:val="sr-Latn-RS"/>
        </w:rPr>
        <w:t>primjene prve doze</w:t>
      </w:r>
      <w:r w:rsidR="00093D40">
        <w:rPr>
          <w:sz w:val="22"/>
          <w:szCs w:val="22"/>
          <w:lang w:val="sr-Latn-RS"/>
        </w:rPr>
        <w:t>, ili</w:t>
      </w:r>
    </w:p>
    <w:p w14:paraId="528FBD8B" w14:textId="43BEAB6C" w:rsidR="00093D40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BB771D">
        <w:rPr>
          <w:sz w:val="22"/>
          <w:szCs w:val="22"/>
          <w:lang w:val="sr-Latn-RS"/>
        </w:rPr>
        <w:t>Raspored doziranja dan pr</w:t>
      </w:r>
      <w:r w:rsidR="003902D8" w:rsidRPr="00BB771D">
        <w:rPr>
          <w:sz w:val="22"/>
          <w:szCs w:val="22"/>
          <w:lang w:val="sr-Latn-RS"/>
        </w:rPr>
        <w:t>ij</w:t>
      </w:r>
      <w:r w:rsidRPr="00BB771D">
        <w:rPr>
          <w:sz w:val="22"/>
          <w:szCs w:val="22"/>
          <w:lang w:val="sr-Latn-RS"/>
        </w:rPr>
        <w:t xml:space="preserve">e procedure </w:t>
      </w:r>
      <w:r w:rsidR="00BB771D" w:rsidRPr="00BB771D">
        <w:rPr>
          <w:sz w:val="22"/>
          <w:szCs w:val="22"/>
          <w:lang w:val="sr-Latn-RS"/>
        </w:rPr>
        <w:t>prema kojem</w:t>
      </w:r>
      <w:r w:rsidRPr="00BB771D">
        <w:rPr>
          <w:sz w:val="22"/>
          <w:szCs w:val="22"/>
          <w:lang w:val="sr-Latn-RS"/>
        </w:rPr>
        <w:t xml:space="preserve"> se ob</w:t>
      </w:r>
      <w:r w:rsidR="00E41304">
        <w:rPr>
          <w:sz w:val="22"/>
          <w:szCs w:val="22"/>
          <w:lang w:val="sr-Latn-RS"/>
        </w:rPr>
        <w:t>i</w:t>
      </w:r>
      <w:r w:rsidR="003902D8" w:rsidRPr="00BB771D">
        <w:rPr>
          <w:sz w:val="22"/>
          <w:szCs w:val="22"/>
          <w:lang w:val="sr-Latn-RS"/>
        </w:rPr>
        <w:t>j</w:t>
      </w:r>
      <w:r w:rsidRPr="00BB771D">
        <w:rPr>
          <w:sz w:val="22"/>
          <w:szCs w:val="22"/>
          <w:lang w:val="sr-Latn-RS"/>
        </w:rPr>
        <w:t xml:space="preserve">e doze </w:t>
      </w:r>
      <w:r w:rsidR="00BB771D" w:rsidRPr="00BB771D">
        <w:rPr>
          <w:sz w:val="22"/>
          <w:szCs w:val="22"/>
          <w:lang w:val="sr-Latn-RS"/>
        </w:rPr>
        <w:t>primjenjuju</w:t>
      </w:r>
      <w:r w:rsidRPr="00BB771D">
        <w:rPr>
          <w:sz w:val="22"/>
          <w:szCs w:val="22"/>
          <w:lang w:val="sr-Latn-RS"/>
        </w:rPr>
        <w:t xml:space="preserve"> veče pr</w:t>
      </w:r>
      <w:r w:rsidR="003902D8" w:rsidRPr="00BB771D">
        <w:rPr>
          <w:sz w:val="22"/>
          <w:szCs w:val="22"/>
          <w:lang w:val="sr-Latn-RS"/>
        </w:rPr>
        <w:t>ij</w:t>
      </w:r>
      <w:r w:rsidRPr="00BB771D">
        <w:rPr>
          <w:sz w:val="22"/>
          <w:szCs w:val="22"/>
          <w:lang w:val="sr-Latn-RS"/>
        </w:rPr>
        <w:t>e kliničke procedure</w:t>
      </w:r>
      <w:r w:rsidR="00E41304">
        <w:rPr>
          <w:sz w:val="22"/>
          <w:szCs w:val="22"/>
          <w:lang w:val="sr-Latn-RS"/>
        </w:rPr>
        <w:t>,</w:t>
      </w:r>
      <w:r w:rsidRPr="00BB771D">
        <w:rPr>
          <w:sz w:val="22"/>
          <w:szCs w:val="22"/>
          <w:lang w:val="sr-Latn-RS"/>
        </w:rPr>
        <w:t xml:space="preserve"> </w:t>
      </w:r>
      <w:r w:rsidR="00BB771D" w:rsidRPr="00BB771D">
        <w:rPr>
          <w:sz w:val="22"/>
          <w:szCs w:val="22"/>
          <w:lang w:val="sr-Latn-RS"/>
        </w:rPr>
        <w:t>drugu dozu treba uzeti najmanje 2 sata nakon početka uzimanja prve doze.</w:t>
      </w:r>
    </w:p>
    <w:p w14:paraId="272E8BE6" w14:textId="77777777" w:rsidR="00093D40" w:rsidRPr="00093D40" w:rsidRDefault="00093D40" w:rsidP="00A47D04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</w:p>
    <w:p w14:paraId="65A86582" w14:textId="1A1B50DA" w:rsidR="00093D40" w:rsidRDefault="00093D40" w:rsidP="00A47D04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093D40">
        <w:rPr>
          <w:sz w:val="22"/>
          <w:szCs w:val="22"/>
          <w:lang w:val="sr-Latn-RS"/>
        </w:rPr>
        <w:t>Odgovarajući raspored doziranja treba odabrati pr</w:t>
      </w:r>
      <w:r w:rsidR="00F10367">
        <w:rPr>
          <w:sz w:val="22"/>
          <w:szCs w:val="22"/>
          <w:lang w:val="sr-Latn-RS"/>
        </w:rPr>
        <w:t>ema rasporedu kliničke procedure.</w:t>
      </w:r>
    </w:p>
    <w:p w14:paraId="0AD25B61" w14:textId="77777777" w:rsidR="00A55D4D" w:rsidRPr="00817EE7" w:rsidRDefault="00A55D4D" w:rsidP="00A47D04">
      <w:pPr>
        <w:tabs>
          <w:tab w:val="left" w:pos="284"/>
        </w:tabs>
        <w:ind w:left="720"/>
        <w:contextualSpacing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1C3003A8" w14:textId="2EE10D92" w:rsidR="009A5235" w:rsidRPr="00817EE7" w:rsidRDefault="009A5235" w:rsidP="00A47D0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RS"/>
        </w:rPr>
      </w:pPr>
      <w:r w:rsidRPr="00817EE7">
        <w:rPr>
          <w:b/>
          <w:bCs/>
          <w:i/>
          <w:iCs/>
          <w:sz w:val="22"/>
          <w:szCs w:val="22"/>
          <w:lang w:val="sr-Latn-RS"/>
        </w:rPr>
        <w:t>Pedijatrijska populacija</w:t>
      </w:r>
    </w:p>
    <w:p w14:paraId="7909018C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98D4D92" w14:textId="6598A104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Bezb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ednost i efikasnost kod d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ece mlađe od 18 godina još uv</w:t>
      </w:r>
      <w:r w:rsidR="00F1036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 ni</w:t>
      </w:r>
      <w:r w:rsidR="003902D8" w:rsidRPr="00817EE7">
        <w:rPr>
          <w:sz w:val="22"/>
          <w:szCs w:val="22"/>
          <w:lang w:val="sr-Latn-RS"/>
        </w:rPr>
        <w:t>je</w:t>
      </w:r>
      <w:r w:rsidRPr="00817EE7">
        <w:rPr>
          <w:sz w:val="22"/>
          <w:szCs w:val="22"/>
          <w:lang w:val="sr-Latn-RS"/>
        </w:rPr>
        <w:t>su utvrđene. Stoga se l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 Plenvu ne preporučuje za upotrebu u ovoj populaciji.</w:t>
      </w:r>
    </w:p>
    <w:p w14:paraId="6CE5C1AA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543789D" w14:textId="77777777" w:rsidR="009A5235" w:rsidRPr="00817EE7" w:rsidRDefault="009A5235" w:rsidP="00A47D0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RS"/>
        </w:rPr>
      </w:pPr>
      <w:r w:rsidRPr="00817EE7">
        <w:rPr>
          <w:b/>
          <w:bCs/>
          <w:i/>
          <w:iCs/>
          <w:sz w:val="22"/>
          <w:szCs w:val="22"/>
          <w:lang w:val="sr-Latn-RS"/>
        </w:rPr>
        <w:t>Pacijenti sa oslabljenom funkcijom bubrega</w:t>
      </w:r>
    </w:p>
    <w:p w14:paraId="48770191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883EC0C" w14:textId="44747C5E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Nije potrebno posebno prilagođavanje doze kod pacijenata sa blag</w:t>
      </w:r>
      <w:r w:rsidR="00BB771D">
        <w:rPr>
          <w:sz w:val="22"/>
          <w:szCs w:val="22"/>
          <w:lang w:val="sr-Latn-RS"/>
        </w:rPr>
        <w:t xml:space="preserve">o </w:t>
      </w:r>
      <w:r w:rsidRPr="00817EE7">
        <w:rPr>
          <w:sz w:val="22"/>
          <w:szCs w:val="22"/>
          <w:lang w:val="sr-Latn-RS"/>
        </w:rPr>
        <w:t>do um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eren</w:t>
      </w:r>
      <w:r w:rsidR="00BB771D">
        <w:rPr>
          <w:sz w:val="22"/>
          <w:szCs w:val="22"/>
          <w:lang w:val="sr-Latn-RS"/>
        </w:rPr>
        <w:t>o</w:t>
      </w:r>
      <w:r w:rsidRPr="00817EE7">
        <w:rPr>
          <w:sz w:val="22"/>
          <w:szCs w:val="22"/>
          <w:lang w:val="sr-Latn-RS"/>
        </w:rPr>
        <w:t xml:space="preserve"> </w:t>
      </w:r>
      <w:r w:rsidR="00BB771D">
        <w:rPr>
          <w:sz w:val="22"/>
          <w:szCs w:val="22"/>
          <w:lang w:val="sr-Latn-RS"/>
        </w:rPr>
        <w:t>oslabljenom funkcijom</w:t>
      </w:r>
      <w:r w:rsidRPr="00817EE7">
        <w:rPr>
          <w:sz w:val="22"/>
          <w:szCs w:val="22"/>
          <w:lang w:val="sr-Latn-RS"/>
        </w:rPr>
        <w:t xml:space="preserve"> bubrega. Pacijenti sa blag</w:t>
      </w:r>
      <w:r w:rsidR="00BB771D">
        <w:rPr>
          <w:sz w:val="22"/>
          <w:szCs w:val="22"/>
          <w:lang w:val="sr-Latn-RS"/>
        </w:rPr>
        <w:t>o</w:t>
      </w:r>
      <w:r w:rsidRPr="00817EE7">
        <w:rPr>
          <w:sz w:val="22"/>
          <w:szCs w:val="22"/>
          <w:lang w:val="sr-Latn-RS"/>
        </w:rPr>
        <w:t xml:space="preserve"> do um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eren</w:t>
      </w:r>
      <w:r w:rsidR="00BB771D">
        <w:rPr>
          <w:sz w:val="22"/>
          <w:szCs w:val="22"/>
          <w:lang w:val="sr-Latn-RS"/>
        </w:rPr>
        <w:t xml:space="preserve">o oslabljenom funkcijom </w:t>
      </w:r>
      <w:r w:rsidRPr="00817EE7">
        <w:rPr>
          <w:sz w:val="22"/>
          <w:szCs w:val="22"/>
          <w:lang w:val="sr-Latn-RS"/>
        </w:rPr>
        <w:t>bubrega bili su uključeni u kliničke studije.</w:t>
      </w:r>
    </w:p>
    <w:p w14:paraId="18035012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2236F7F" w14:textId="77777777" w:rsidR="009A5235" w:rsidRPr="00817EE7" w:rsidRDefault="009A5235" w:rsidP="00A47D0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RS"/>
        </w:rPr>
      </w:pPr>
      <w:r w:rsidRPr="00817EE7">
        <w:rPr>
          <w:b/>
          <w:bCs/>
          <w:i/>
          <w:iCs/>
          <w:sz w:val="22"/>
          <w:szCs w:val="22"/>
          <w:lang w:val="sr-Latn-RS"/>
        </w:rPr>
        <w:t>Pacijenti sa oslabljenom funkcijom jetre</w:t>
      </w:r>
    </w:p>
    <w:p w14:paraId="34793461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8DB2D87" w14:textId="35CD523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Nije potrebno posebno prilagođavanje doze kod pacijenata sa blag</w:t>
      </w:r>
      <w:r w:rsidR="00BB771D">
        <w:rPr>
          <w:sz w:val="22"/>
          <w:szCs w:val="22"/>
          <w:lang w:val="sr-Latn-RS"/>
        </w:rPr>
        <w:t>o</w:t>
      </w:r>
      <w:r w:rsidRPr="00817EE7">
        <w:rPr>
          <w:sz w:val="22"/>
          <w:szCs w:val="22"/>
          <w:lang w:val="sr-Latn-RS"/>
        </w:rPr>
        <w:t xml:space="preserve"> do um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eren</w:t>
      </w:r>
      <w:r w:rsidR="00BB771D">
        <w:rPr>
          <w:sz w:val="22"/>
          <w:szCs w:val="22"/>
          <w:lang w:val="sr-Latn-RS"/>
        </w:rPr>
        <w:t>o oslabljenom funkcijom jetre</w:t>
      </w:r>
      <w:r w:rsidRPr="00817EE7">
        <w:rPr>
          <w:sz w:val="22"/>
          <w:szCs w:val="22"/>
          <w:lang w:val="sr-Latn-RS"/>
        </w:rPr>
        <w:t>. Pacijenti sa povišenim rezultatima testova funkcije jetre bili su uključeni u kliničke studije.</w:t>
      </w:r>
    </w:p>
    <w:p w14:paraId="04F3297C" w14:textId="77777777" w:rsidR="00452E9D" w:rsidRPr="00A47D04" w:rsidRDefault="00452E9D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  <w:r w:rsidRPr="00A47D04">
        <w:rPr>
          <w:bCs/>
          <w:sz w:val="22"/>
          <w:szCs w:val="22"/>
          <w:u w:val="single"/>
          <w:lang w:val="de-DE"/>
        </w:rPr>
        <w:t>Način primjene</w:t>
      </w:r>
    </w:p>
    <w:p w14:paraId="1364761E" w14:textId="6BFFFF68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Za oralnu upotrebu.</w:t>
      </w:r>
    </w:p>
    <w:p w14:paraId="10141F5D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F03EAAE" w14:textId="290E9EC0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b/>
          <w:bCs/>
          <w:sz w:val="22"/>
          <w:szCs w:val="22"/>
          <w:lang w:val="sr-Latn-RS"/>
        </w:rPr>
        <w:lastRenderedPageBreak/>
        <w:t>Doza 1</w:t>
      </w:r>
      <w:r w:rsidRPr="00817EE7">
        <w:rPr>
          <w:sz w:val="22"/>
          <w:szCs w:val="22"/>
          <w:lang w:val="sr-Latn-RS"/>
        </w:rPr>
        <w:t xml:space="preserve">: Sadržaj pojedinačne kesice za </w:t>
      </w:r>
      <w:r w:rsidR="0041254C">
        <w:rPr>
          <w:sz w:val="22"/>
          <w:szCs w:val="22"/>
          <w:lang w:val="sr-Latn-RS"/>
        </w:rPr>
        <w:t>d</w:t>
      </w:r>
      <w:r w:rsidRPr="00817EE7">
        <w:rPr>
          <w:sz w:val="22"/>
          <w:szCs w:val="22"/>
          <w:lang w:val="sr-Latn-RS"/>
        </w:rPr>
        <w:t xml:space="preserve">ozu 1 treba dopuniti vodom do 500 ml. Rekonstituisani rastvor </w:t>
      </w:r>
      <w:r w:rsidR="00350DDF">
        <w:rPr>
          <w:sz w:val="22"/>
          <w:szCs w:val="22"/>
          <w:lang w:val="sr-Latn-RS"/>
        </w:rPr>
        <w:t xml:space="preserve"> uz</w:t>
      </w:r>
      <w:r w:rsidR="00BB771D">
        <w:rPr>
          <w:sz w:val="22"/>
          <w:szCs w:val="22"/>
          <w:lang w:val="sr-Latn-RS"/>
        </w:rPr>
        <w:t xml:space="preserve"> dodatnih 500 </w:t>
      </w:r>
      <w:r w:rsidR="00350DDF">
        <w:rPr>
          <w:sz w:val="22"/>
          <w:szCs w:val="22"/>
          <w:lang w:val="sr-Latn-RS"/>
        </w:rPr>
        <w:t>ml bistre tečnosti treba popiti u roku od</w:t>
      </w:r>
      <w:r w:rsidR="00BB771D">
        <w:rPr>
          <w:sz w:val="22"/>
          <w:szCs w:val="22"/>
          <w:lang w:val="sr-Latn-RS"/>
        </w:rPr>
        <w:t xml:space="preserve"> 60 minuta</w:t>
      </w:r>
      <w:r w:rsidR="00350DDF">
        <w:rPr>
          <w:sz w:val="22"/>
          <w:szCs w:val="22"/>
          <w:lang w:val="sr-Latn-RS"/>
        </w:rPr>
        <w:t xml:space="preserve">. Naizmjenična primjena rekonstituisanog rastvora i bistre tečnosti je prihvatljiva. </w:t>
      </w:r>
    </w:p>
    <w:p w14:paraId="044F0263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3500C15" w14:textId="0BFCF192" w:rsidR="00350DDF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b/>
          <w:bCs/>
          <w:sz w:val="22"/>
          <w:szCs w:val="22"/>
          <w:lang w:val="sr-Latn-RS"/>
        </w:rPr>
        <w:t>Doza 2</w:t>
      </w:r>
      <w:r w:rsidRPr="00817EE7">
        <w:rPr>
          <w:sz w:val="22"/>
          <w:szCs w:val="22"/>
          <w:lang w:val="sr-Latn-RS"/>
        </w:rPr>
        <w:t>: Sadržaj dv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 kesice (kesice A i B zajedno) za </w:t>
      </w:r>
      <w:r w:rsidR="0041254C">
        <w:rPr>
          <w:sz w:val="22"/>
          <w:szCs w:val="22"/>
          <w:lang w:val="sr-Latn-RS"/>
        </w:rPr>
        <w:t>d</w:t>
      </w:r>
      <w:r w:rsidRPr="00817EE7">
        <w:rPr>
          <w:sz w:val="22"/>
          <w:szCs w:val="22"/>
          <w:lang w:val="sr-Latn-RS"/>
        </w:rPr>
        <w:t>ozu 2 treba dopuniti vodom do 500 ml.</w:t>
      </w:r>
      <w:r w:rsidR="00350DDF">
        <w:rPr>
          <w:sz w:val="22"/>
          <w:szCs w:val="22"/>
          <w:lang w:val="sr-Latn-RS"/>
        </w:rPr>
        <w:t xml:space="preserve"> Rekonstituisani rastvor</w:t>
      </w:r>
      <w:r w:rsidR="00350DDF" w:rsidRPr="00350DDF">
        <w:rPr>
          <w:sz w:val="22"/>
          <w:szCs w:val="22"/>
          <w:lang w:val="sr-Latn-RS"/>
        </w:rPr>
        <w:t xml:space="preserve"> uz dodatnih 500 ml bistre tečnosti treba popiti u roku od 60 minuta. Naizmjenična primjena rekonstituisanog rastvora i bistre tečnosti je prihvatljiva.</w:t>
      </w:r>
    </w:p>
    <w:p w14:paraId="40FBB378" w14:textId="77777777" w:rsidR="00350DDF" w:rsidRDefault="00350DDF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61B361A" w14:textId="01CC2A5C" w:rsidR="009A5235" w:rsidRPr="00817EE7" w:rsidRDefault="00350DDF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50DDF">
        <w:rPr>
          <w:sz w:val="22"/>
          <w:szCs w:val="22"/>
          <w:lang w:val="sr-Latn-RS"/>
        </w:rPr>
        <w:t>U nekim s</w:t>
      </w:r>
      <w:r>
        <w:rPr>
          <w:sz w:val="22"/>
          <w:szCs w:val="22"/>
          <w:lang w:val="sr-Latn-RS"/>
        </w:rPr>
        <w:t>lučajevima, unos rekonstituiranog rastvora</w:t>
      </w:r>
      <w:r w:rsidRPr="00350DDF">
        <w:rPr>
          <w:sz w:val="22"/>
          <w:szCs w:val="22"/>
          <w:lang w:val="sr-Latn-RS"/>
        </w:rPr>
        <w:t xml:space="preserve"> može se usporiti ili privremeno obustaviti</w:t>
      </w:r>
      <w:r>
        <w:rPr>
          <w:sz w:val="22"/>
          <w:szCs w:val="22"/>
          <w:lang w:val="sr-Latn-RS"/>
        </w:rPr>
        <w:t xml:space="preserve"> </w:t>
      </w:r>
      <w:r w:rsidRPr="00350DDF">
        <w:rPr>
          <w:sz w:val="22"/>
          <w:szCs w:val="22"/>
          <w:lang w:val="sr-Latn-RS"/>
        </w:rPr>
        <w:t>(vidjeti dio 4.4).</w:t>
      </w:r>
    </w:p>
    <w:p w14:paraId="3CF76EBE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B604D0E" w14:textId="5DCA209D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Pored tečnosti koja se uzima kao d</w:t>
      </w:r>
      <w:r w:rsidR="003902D8" w:rsidRPr="00817EE7">
        <w:rPr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>o terapije, može se uzimati i bilo koja količina dodatne bistre tečnosti (npr. voda, bistra supa, voćni sok bez pulpe, bezalkoholna pića, čaj i/ili kafa bez ml</w:t>
      </w:r>
      <w:r w:rsidR="009A4889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eka)</w:t>
      </w:r>
      <w:r w:rsidR="00350DDF">
        <w:rPr>
          <w:sz w:val="22"/>
          <w:szCs w:val="22"/>
          <w:lang w:val="sr-Latn-RS"/>
        </w:rPr>
        <w:t xml:space="preserve"> kao dio procesa pripreme crijeva</w:t>
      </w:r>
      <w:r w:rsidRPr="00817EE7">
        <w:rPr>
          <w:sz w:val="22"/>
          <w:szCs w:val="22"/>
          <w:lang w:val="sr-Latn-RS"/>
        </w:rPr>
        <w:t>. Napomena: Izb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egavajte tečnost obojenu crvenom ili ljubičastom bojom (npr. sok od crne ribizle) jer može da ostavi mrlje na cr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evima.</w:t>
      </w:r>
    </w:p>
    <w:p w14:paraId="387910B7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783156C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Unos svih tečnosti treba zaustaviti najkasnije:</w:t>
      </w:r>
    </w:p>
    <w:p w14:paraId="1AD99B04" w14:textId="2117DB55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dva sata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kliničke procedure u opštoj anesteziji, ili</w:t>
      </w:r>
    </w:p>
    <w:p w14:paraId="291CA692" w14:textId="38FA455E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jedan sat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kliničke procedure bez opšte anestezije.</w:t>
      </w:r>
    </w:p>
    <w:p w14:paraId="4B2EF8C5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40A6D37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817EE7">
        <w:rPr>
          <w:sz w:val="22"/>
          <w:szCs w:val="22"/>
          <w:u w:val="single"/>
          <w:lang w:val="sr-Latn-RS"/>
        </w:rPr>
        <w:t>Informacije o obrocima</w:t>
      </w:r>
    </w:p>
    <w:p w14:paraId="7F0CB40A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563D467" w14:textId="2E52121C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 sm</w:t>
      </w:r>
      <w:r w:rsidR="003902D8" w:rsidRPr="00817EE7">
        <w:rPr>
          <w:sz w:val="22"/>
          <w:szCs w:val="22"/>
          <w:lang w:val="sr-Latn-RS"/>
        </w:rPr>
        <w:t>ij</w:t>
      </w:r>
      <w:r w:rsidR="00350DDF">
        <w:rPr>
          <w:sz w:val="22"/>
          <w:szCs w:val="22"/>
          <w:lang w:val="sr-Latn-RS"/>
        </w:rPr>
        <w:t>e</w:t>
      </w:r>
      <w:r w:rsidRPr="00817EE7">
        <w:rPr>
          <w:sz w:val="22"/>
          <w:szCs w:val="22"/>
          <w:lang w:val="sr-Latn-RS"/>
        </w:rPr>
        <w:t xml:space="preserve"> se uzimati nikakva čvrsta hrana od početka l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ečenja do završetka kliničke procedure.</w:t>
      </w:r>
    </w:p>
    <w:p w14:paraId="01D83522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E7B184A" w14:textId="028404C8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Pacijentima treba sav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etovati da odvoje dovoljno vremena nakon smirivanja cr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eva za odlazak do klinike.</w:t>
      </w:r>
    </w:p>
    <w:p w14:paraId="335FBEE7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B2B8399" w14:textId="3D28D2A1" w:rsid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Dvodnevni raspored doziranja</w:t>
      </w:r>
      <w:r w:rsidRPr="009A4889">
        <w:rPr>
          <w:sz w:val="22"/>
          <w:szCs w:val="22"/>
          <w:lang w:val="sr-Latn-RS"/>
        </w:rPr>
        <w:t xml:space="preserve"> </w:t>
      </w:r>
      <w:r w:rsidRPr="004C4A0A">
        <w:rPr>
          <w:bCs/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 xml:space="preserve"> raspored doziranja dan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kliničke procedure:</w:t>
      </w:r>
    </w:p>
    <w:p w14:paraId="62254C91" w14:textId="77777777" w:rsidR="00350DDF" w:rsidRPr="00817EE7" w:rsidRDefault="00350DDF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F64830F" w14:textId="6801D7A6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Dan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kliničke procedure, pacijenti mogu da uzmu lagani doručak, a nakon toga i lagani ručak koji mora biti završen najmanje 3 sata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početka uzimanja prve doze.</w:t>
      </w:r>
    </w:p>
    <w:p w14:paraId="5E04C7AA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6CB034" w14:textId="4C9405F0" w:rsidR="009A5235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Jutarnji raspored doziranja:</w:t>
      </w:r>
    </w:p>
    <w:p w14:paraId="65B498F5" w14:textId="77777777" w:rsidR="007D5CDE" w:rsidRPr="00817EE7" w:rsidRDefault="007D5CDE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CB0A6DC" w14:textId="593FBF9A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Dan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kliničkog postupka, pacijenti mogu da doručkuju lagano, nakon čega sl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edi lagani ručak i bistra supa i/ili obični jogurt za večeru, koja bi trebalo da bude završena do približno 20 h.</w:t>
      </w:r>
    </w:p>
    <w:p w14:paraId="1FFE3C63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75F5C2E" w14:textId="7C0B60EF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Za uputstva o rekonstituciji l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pr</w:t>
      </w:r>
      <w:r w:rsidR="003902D8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prim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ene, vid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eti </w:t>
      </w:r>
      <w:r w:rsidR="009A4889">
        <w:rPr>
          <w:sz w:val="22"/>
          <w:szCs w:val="22"/>
          <w:lang w:val="sr-Latn-RS"/>
        </w:rPr>
        <w:t>dio</w:t>
      </w:r>
      <w:r w:rsidRPr="00817EE7">
        <w:rPr>
          <w:sz w:val="22"/>
          <w:szCs w:val="22"/>
          <w:lang w:val="sr-Latn-RS"/>
        </w:rPr>
        <w:t xml:space="preserve"> 6.6.</w:t>
      </w:r>
    </w:p>
    <w:p w14:paraId="7F8B2ABF" w14:textId="77777777" w:rsidR="00452E9D" w:rsidRPr="00817EE7" w:rsidRDefault="00452E9D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8F3E424" w14:textId="3DEC7931" w:rsidR="00411B4B" w:rsidRPr="0093433A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4.3.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Kontraindikacije</w:t>
      </w:r>
    </w:p>
    <w:p w14:paraId="33F228AA" w14:textId="6C0ECFC1" w:rsidR="009A5235" w:rsidRPr="0093433A" w:rsidRDefault="009A5235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D5AB56" w14:textId="6D4D357F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 prim</w:t>
      </w:r>
      <w:r w:rsidR="003902D8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enjivati kod pacijenata sa navedenim stanjima ili sumnjom na navedena stanja:</w:t>
      </w:r>
    </w:p>
    <w:p w14:paraId="631AD855" w14:textId="77777777" w:rsidR="009A5235" w:rsidRPr="00817EE7" w:rsidRDefault="009A523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7EA29C5" w14:textId="3DFB08DC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preos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etljivost na aktivne supstance ili bilo koju pomoćnu supstancu navedenu u </w:t>
      </w:r>
      <w:r w:rsidR="009A4889">
        <w:rPr>
          <w:sz w:val="22"/>
          <w:szCs w:val="22"/>
          <w:lang w:val="sr-Latn-RS"/>
        </w:rPr>
        <w:t>dijelu</w:t>
      </w:r>
      <w:r w:rsidRPr="00817EE7">
        <w:rPr>
          <w:sz w:val="22"/>
          <w:szCs w:val="22"/>
          <w:lang w:val="sr-Latn-RS"/>
        </w:rPr>
        <w:t xml:space="preserve"> 6.1</w:t>
      </w:r>
      <w:r w:rsidR="00E62A11">
        <w:rPr>
          <w:sz w:val="22"/>
          <w:szCs w:val="22"/>
          <w:lang w:val="sr-Latn-RS"/>
        </w:rPr>
        <w:t>,</w:t>
      </w:r>
    </w:p>
    <w:p w14:paraId="0D512BD5" w14:textId="62B2BBB0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gastrointestinalna opstrukcija ili perforacija</w:t>
      </w:r>
      <w:r w:rsidR="00E62A11">
        <w:rPr>
          <w:sz w:val="22"/>
          <w:szCs w:val="22"/>
          <w:lang w:val="sr-Latn-RS"/>
        </w:rPr>
        <w:t>,</w:t>
      </w:r>
    </w:p>
    <w:p w14:paraId="7E0B45DE" w14:textId="639142D9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ileus</w:t>
      </w:r>
      <w:r w:rsidR="00E62A11">
        <w:rPr>
          <w:sz w:val="22"/>
          <w:szCs w:val="22"/>
          <w:lang w:val="sr-Latn-RS"/>
        </w:rPr>
        <w:t>,</w:t>
      </w:r>
    </w:p>
    <w:p w14:paraId="11845E65" w14:textId="651652E2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poremećaji pražnjenja želuca (npr. gastropareza, retencija sadržaja želuca, itd.)</w:t>
      </w:r>
      <w:r w:rsidR="00E62A11">
        <w:rPr>
          <w:sz w:val="22"/>
          <w:szCs w:val="22"/>
          <w:lang w:val="sr-Latn-RS"/>
        </w:rPr>
        <w:t>,</w:t>
      </w:r>
    </w:p>
    <w:p w14:paraId="1E260F34" w14:textId="59129BFF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fenilketonurija (zbog prisustva aspartama)</w:t>
      </w:r>
      <w:r w:rsidR="00E62A11">
        <w:rPr>
          <w:sz w:val="22"/>
          <w:szCs w:val="22"/>
          <w:lang w:val="sr-Latn-RS"/>
        </w:rPr>
        <w:t>,</w:t>
      </w:r>
    </w:p>
    <w:p w14:paraId="3521EE72" w14:textId="20E7A48B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nedostatak glukoza-6-fosfat dehidrogenaze (zbog prisustva askorbata)</w:t>
      </w:r>
      <w:r w:rsidR="00E62A11">
        <w:rPr>
          <w:sz w:val="22"/>
          <w:szCs w:val="22"/>
          <w:lang w:val="sr-Latn-RS"/>
        </w:rPr>
        <w:t>,</w:t>
      </w:r>
    </w:p>
    <w:p w14:paraId="0F4522B1" w14:textId="250F36EA" w:rsidR="009A5235" w:rsidRPr="00817EE7" w:rsidRDefault="009A5235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toksični megakolon</w:t>
      </w:r>
      <w:r w:rsidR="00E62A11">
        <w:rPr>
          <w:sz w:val="22"/>
          <w:szCs w:val="22"/>
          <w:lang w:val="sr-Latn-RS"/>
        </w:rPr>
        <w:t>.</w:t>
      </w:r>
    </w:p>
    <w:p w14:paraId="3F60A8BD" w14:textId="77777777" w:rsidR="003C001B" w:rsidRPr="00817EE7" w:rsidRDefault="003C001B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2E31795" w14:textId="77777777" w:rsidR="00411B4B" w:rsidRPr="00817EE7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4.4. </w:t>
      </w:r>
      <w:r w:rsidR="00480FB1" w:rsidRPr="00817EE7">
        <w:rPr>
          <w:b/>
          <w:bCs/>
          <w:sz w:val="22"/>
          <w:szCs w:val="22"/>
        </w:rPr>
        <w:tab/>
      </w:r>
      <w:proofErr w:type="spellStart"/>
      <w:r w:rsidRPr="00817EE7">
        <w:rPr>
          <w:b/>
          <w:bCs/>
          <w:sz w:val="22"/>
          <w:szCs w:val="22"/>
        </w:rPr>
        <w:t>Posebna</w:t>
      </w:r>
      <w:proofErr w:type="spellEnd"/>
      <w:r w:rsidRPr="00817EE7">
        <w:rPr>
          <w:b/>
          <w:bCs/>
          <w:sz w:val="22"/>
          <w:szCs w:val="22"/>
        </w:rPr>
        <w:t xml:space="preserve"> </w:t>
      </w:r>
      <w:proofErr w:type="spellStart"/>
      <w:r w:rsidRPr="00817EE7">
        <w:rPr>
          <w:b/>
          <w:bCs/>
          <w:sz w:val="22"/>
          <w:szCs w:val="22"/>
        </w:rPr>
        <w:t>upozorenja</w:t>
      </w:r>
      <w:proofErr w:type="spellEnd"/>
      <w:r w:rsidRPr="00817EE7">
        <w:rPr>
          <w:b/>
          <w:bCs/>
          <w:sz w:val="22"/>
          <w:szCs w:val="22"/>
        </w:rPr>
        <w:t xml:space="preserve"> i </w:t>
      </w:r>
      <w:proofErr w:type="spellStart"/>
      <w:r w:rsidRPr="00817EE7">
        <w:rPr>
          <w:b/>
          <w:bCs/>
          <w:sz w:val="22"/>
          <w:szCs w:val="22"/>
        </w:rPr>
        <w:t>mjere</w:t>
      </w:r>
      <w:proofErr w:type="spellEnd"/>
      <w:r w:rsidRPr="00817EE7">
        <w:rPr>
          <w:b/>
          <w:bCs/>
          <w:sz w:val="22"/>
          <w:szCs w:val="22"/>
        </w:rPr>
        <w:t xml:space="preserve"> </w:t>
      </w:r>
      <w:proofErr w:type="spellStart"/>
      <w:r w:rsidRPr="00817EE7">
        <w:rPr>
          <w:b/>
          <w:bCs/>
          <w:sz w:val="22"/>
          <w:szCs w:val="22"/>
        </w:rPr>
        <w:t>opreza</w:t>
      </w:r>
      <w:proofErr w:type="spellEnd"/>
      <w:r w:rsidRPr="00817EE7">
        <w:rPr>
          <w:b/>
          <w:bCs/>
          <w:sz w:val="22"/>
          <w:szCs w:val="22"/>
        </w:rPr>
        <w:t xml:space="preserve"> </w:t>
      </w:r>
      <w:proofErr w:type="spellStart"/>
      <w:r w:rsidRPr="00817EE7">
        <w:rPr>
          <w:b/>
          <w:bCs/>
          <w:sz w:val="22"/>
          <w:szCs w:val="22"/>
        </w:rPr>
        <w:t>pri</w:t>
      </w:r>
      <w:proofErr w:type="spellEnd"/>
      <w:r w:rsidRPr="00817EE7">
        <w:rPr>
          <w:b/>
          <w:bCs/>
          <w:sz w:val="22"/>
          <w:szCs w:val="22"/>
        </w:rPr>
        <w:t xml:space="preserve"> </w:t>
      </w:r>
      <w:proofErr w:type="spellStart"/>
      <w:r w:rsidRPr="00817EE7">
        <w:rPr>
          <w:b/>
          <w:bCs/>
          <w:sz w:val="22"/>
          <w:szCs w:val="22"/>
        </w:rPr>
        <w:t>upotrebi</w:t>
      </w:r>
      <w:proofErr w:type="spellEnd"/>
      <w:r w:rsidRPr="00817EE7">
        <w:rPr>
          <w:b/>
          <w:bCs/>
          <w:sz w:val="22"/>
          <w:szCs w:val="22"/>
        </w:rPr>
        <w:t xml:space="preserve"> lijeka</w:t>
      </w:r>
    </w:p>
    <w:p w14:paraId="3D0CAC56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4BC2245" w14:textId="0C2B7988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Sadržaj tečnosti u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eku Plenvu nakon rekonstitucije sa vodom ne zam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enjuje redovan unos tečnosti i neophodno je održavati dovoljan unos tečnosti.</w:t>
      </w:r>
    </w:p>
    <w:p w14:paraId="007B8A29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E6FF940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lastRenderedPageBreak/>
        <w:t>Kao i kod ostalih proizvoda koji sadrže makrogol, moguće su alergijske reakcije uključujući osip, urtikariju, pruritus, angioedem i anafilaksu.</w:t>
      </w:r>
    </w:p>
    <w:p w14:paraId="48B9C220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F3437AA" w14:textId="3C441421" w:rsidR="00540453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Potreban je oprez pri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eni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kod slabih pacijenata</w:t>
      </w:r>
      <w:r w:rsidR="00A0258D">
        <w:rPr>
          <w:sz w:val="22"/>
          <w:szCs w:val="22"/>
          <w:lang w:val="sr-Latn-RS"/>
        </w:rPr>
        <w:t xml:space="preserve"> ili pacijenata lošijeg zdravstevnog stanja</w:t>
      </w:r>
      <w:r w:rsidRPr="00817EE7">
        <w:rPr>
          <w:sz w:val="22"/>
          <w:szCs w:val="22"/>
          <w:lang w:val="sr-Latn-RS"/>
        </w:rPr>
        <w:t xml:space="preserve">. </w:t>
      </w:r>
    </w:p>
    <w:p w14:paraId="01BEBD58" w14:textId="77777777" w:rsidR="00EA7A34" w:rsidRPr="00817EE7" w:rsidRDefault="00EA7A34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9591B9C" w14:textId="427984E7" w:rsidR="00885966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885966" w:rsidRPr="00817EE7">
        <w:rPr>
          <w:sz w:val="22"/>
          <w:szCs w:val="22"/>
          <w:lang w:val="sr-Latn-RS"/>
        </w:rPr>
        <w:t>Plenvu takođe treba koristiti sa oprezom kod pacijenata sa:</w:t>
      </w:r>
    </w:p>
    <w:p w14:paraId="0A84E087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6A65F01" w14:textId="3649D111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oštećenim geg refleksom, sa mogućnošću regurgitacije ili aspiracije, ili sa smanjenim nivoom sv</w:t>
      </w:r>
      <w:r w:rsidR="003C001B">
        <w:rPr>
          <w:sz w:val="22"/>
          <w:szCs w:val="22"/>
          <w:lang w:val="sr-Latn-RS"/>
        </w:rPr>
        <w:t>i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esti. Takve pacijente treba pažljivo nadgledati tokom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ene, naročito ako se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enjuje nazogastričnim putem</w:t>
      </w:r>
      <w:r w:rsidR="00E62A11">
        <w:rPr>
          <w:sz w:val="22"/>
          <w:szCs w:val="22"/>
          <w:lang w:val="sr-Latn-RS"/>
        </w:rPr>
        <w:t>,</w:t>
      </w:r>
    </w:p>
    <w:p w14:paraId="57977989" w14:textId="322BF532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ozbiljnim oštećenjem </w:t>
      </w:r>
      <w:r w:rsidR="0041254C">
        <w:rPr>
          <w:sz w:val="22"/>
          <w:szCs w:val="22"/>
          <w:lang w:val="sr-Latn-RS"/>
        </w:rPr>
        <w:t xml:space="preserve">funkcije </w:t>
      </w:r>
      <w:r w:rsidRPr="00817EE7">
        <w:rPr>
          <w:sz w:val="22"/>
          <w:szCs w:val="22"/>
          <w:lang w:val="sr-Latn-RS"/>
        </w:rPr>
        <w:t>bubrega (klirens kreatinina manji od 30 ml/min/1,73 m</w:t>
      </w:r>
      <w:r w:rsidRPr="00817EE7">
        <w:rPr>
          <w:sz w:val="22"/>
          <w:szCs w:val="22"/>
          <w:vertAlign w:val="superscript"/>
          <w:lang w:val="sr-Latn-RS"/>
        </w:rPr>
        <w:t>2</w:t>
      </w:r>
      <w:r w:rsidRPr="00817EE7">
        <w:rPr>
          <w:sz w:val="22"/>
          <w:szCs w:val="22"/>
          <w:lang w:val="sr-Latn-RS"/>
        </w:rPr>
        <w:t>)</w:t>
      </w:r>
      <w:r w:rsidR="00E62A11">
        <w:rPr>
          <w:sz w:val="22"/>
          <w:szCs w:val="22"/>
          <w:lang w:val="sr-Latn-RS"/>
        </w:rPr>
        <w:t>,</w:t>
      </w:r>
    </w:p>
    <w:p w14:paraId="691E643E" w14:textId="5B6A576E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srčanom insuficijencijom (III ili IV stepen N</w:t>
      </w:r>
      <w:r w:rsidR="009A4889">
        <w:rPr>
          <w:sz w:val="22"/>
          <w:szCs w:val="22"/>
          <w:lang w:val="sr-Latn-RS"/>
        </w:rPr>
        <w:t>Y</w:t>
      </w:r>
      <w:r w:rsidRPr="00817EE7">
        <w:rPr>
          <w:sz w:val="22"/>
          <w:szCs w:val="22"/>
          <w:lang w:val="sr-Latn-RS"/>
        </w:rPr>
        <w:t>HA)</w:t>
      </w:r>
      <w:r w:rsidR="00E62A11">
        <w:rPr>
          <w:sz w:val="22"/>
          <w:szCs w:val="22"/>
          <w:lang w:val="sr-Latn-RS"/>
        </w:rPr>
        <w:t>,</w:t>
      </w:r>
    </w:p>
    <w:p w14:paraId="4DF898CE" w14:textId="19A8EFC1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rizikom od aritmije, na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er pacijenti </w:t>
      </w:r>
      <w:r w:rsidR="00E62A11">
        <w:rPr>
          <w:sz w:val="22"/>
          <w:szCs w:val="22"/>
          <w:lang w:val="sr-Latn-RS"/>
        </w:rPr>
        <w:t xml:space="preserve">koji </w:t>
      </w:r>
      <w:r w:rsidRPr="00817EE7">
        <w:rPr>
          <w:sz w:val="22"/>
          <w:szCs w:val="22"/>
          <w:lang w:val="sr-Latn-RS"/>
        </w:rPr>
        <w:t>primaju terapiju za kardiovaskularne bolesti, bole</w:t>
      </w:r>
      <w:r w:rsidR="00EA7A34">
        <w:rPr>
          <w:sz w:val="22"/>
          <w:szCs w:val="22"/>
          <w:lang w:val="sr-Latn-RS"/>
        </w:rPr>
        <w:t>šću</w:t>
      </w:r>
      <w:r w:rsidRPr="00817EE7">
        <w:rPr>
          <w:sz w:val="22"/>
          <w:szCs w:val="22"/>
          <w:lang w:val="sr-Latn-RS"/>
        </w:rPr>
        <w:t xml:space="preserve"> štitne žl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ezde ili poremećaj</w:t>
      </w:r>
      <w:r w:rsidR="00EA7A34">
        <w:rPr>
          <w:sz w:val="22"/>
          <w:szCs w:val="22"/>
          <w:lang w:val="sr-Latn-RS"/>
        </w:rPr>
        <w:t>em</w:t>
      </w:r>
      <w:r w:rsidRPr="00817EE7">
        <w:rPr>
          <w:sz w:val="22"/>
          <w:szCs w:val="22"/>
          <w:lang w:val="sr-Latn-RS"/>
        </w:rPr>
        <w:t xml:space="preserve"> ravnoteže elektrolita</w:t>
      </w:r>
      <w:r w:rsidR="00E62A11">
        <w:rPr>
          <w:sz w:val="22"/>
          <w:szCs w:val="22"/>
          <w:lang w:val="sr-Latn-RS"/>
        </w:rPr>
        <w:t>,</w:t>
      </w:r>
    </w:p>
    <w:p w14:paraId="550B0175" w14:textId="1DB4BA21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dehidratacijom</w:t>
      </w:r>
      <w:r w:rsidR="00E62A11">
        <w:rPr>
          <w:sz w:val="22"/>
          <w:szCs w:val="22"/>
          <w:lang w:val="sr-Latn-RS"/>
        </w:rPr>
        <w:t>,</w:t>
      </w:r>
    </w:p>
    <w:p w14:paraId="2243D18D" w14:textId="0C47BD56" w:rsidR="00885966" w:rsidRPr="00817EE7" w:rsidRDefault="00885966" w:rsidP="00A47D04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teškom akutnom zapaljenskom bolešću cr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eva.</w:t>
      </w:r>
    </w:p>
    <w:p w14:paraId="1ECAE537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8C84466" w14:textId="740F924F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Kod</w:t>
      </w:r>
      <w:r w:rsidR="00182D03">
        <w:rPr>
          <w:sz w:val="22"/>
          <w:szCs w:val="22"/>
          <w:lang w:val="sr-Latn-RS"/>
        </w:rPr>
        <w:t xml:space="preserve"> </w:t>
      </w:r>
      <w:r w:rsidR="00182D03" w:rsidRPr="00182D03">
        <w:rPr>
          <w:sz w:val="22"/>
          <w:szCs w:val="22"/>
          <w:lang w:val="sr-Latn-RS"/>
        </w:rPr>
        <w:t>slabih pacijenata ili pacijenata lošijeg zdravstevnog stanja</w:t>
      </w:r>
      <w:r w:rsidRPr="00817EE7">
        <w:rPr>
          <w:sz w:val="22"/>
          <w:szCs w:val="22"/>
          <w:lang w:val="sr-Latn-RS"/>
        </w:rPr>
        <w:t xml:space="preserve">, onih sa klinički značajnim oštećenjem </w:t>
      </w:r>
      <w:r w:rsidR="00EA7A34">
        <w:rPr>
          <w:sz w:val="22"/>
          <w:szCs w:val="22"/>
          <w:lang w:val="sr-Latn-RS"/>
        </w:rPr>
        <w:t xml:space="preserve">funkcije </w:t>
      </w:r>
      <w:r w:rsidRPr="00817EE7">
        <w:rPr>
          <w:sz w:val="22"/>
          <w:szCs w:val="22"/>
          <w:lang w:val="sr-Latn-RS"/>
        </w:rPr>
        <w:t>bubrega, aritmijom i onih kod kojih postoji rizik od poremećaja ravnoteže elektrolita, l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ekar treba da razmotri</w:t>
      </w:r>
      <w:r w:rsidR="00182D03">
        <w:rPr>
          <w:sz w:val="22"/>
          <w:szCs w:val="22"/>
          <w:lang w:val="sr-Latn-RS"/>
        </w:rPr>
        <w:t xml:space="preserve"> da li je potrbeno</w:t>
      </w:r>
      <w:r w:rsidRPr="00817EE7">
        <w:rPr>
          <w:sz w:val="22"/>
          <w:szCs w:val="22"/>
          <w:lang w:val="sr-Latn-RS"/>
        </w:rPr>
        <w:t xml:space="preserve"> </w:t>
      </w:r>
      <w:r w:rsidR="00182D03">
        <w:rPr>
          <w:sz w:val="22"/>
          <w:szCs w:val="22"/>
          <w:lang w:val="sr-Latn-RS"/>
        </w:rPr>
        <w:t xml:space="preserve">određivanje </w:t>
      </w:r>
      <w:r w:rsidRPr="00817EE7">
        <w:rPr>
          <w:sz w:val="22"/>
          <w:szCs w:val="22"/>
          <w:lang w:val="sr-Latn-RS"/>
        </w:rPr>
        <w:t>nivoa elektrolita, bubrežne funkcije i EKG</w:t>
      </w:r>
      <w:r w:rsidR="00084EFC">
        <w:rPr>
          <w:sz w:val="22"/>
          <w:szCs w:val="22"/>
          <w:lang w:val="sr-Latn-RS"/>
        </w:rPr>
        <w:t>-a</w:t>
      </w:r>
      <w:r w:rsidRPr="00817EE7">
        <w:rPr>
          <w:sz w:val="22"/>
          <w:szCs w:val="22"/>
          <w:lang w:val="sr-Latn-RS"/>
        </w:rPr>
        <w:t xml:space="preserve"> pr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i nakon terapije. Svaku sumnju na dehidrataciju treba korigovati pr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ene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Plenvu.</w:t>
      </w:r>
    </w:p>
    <w:p w14:paraId="65F4D997" w14:textId="77777777" w:rsidR="00885966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A43BF9C" w14:textId="7F20ED49" w:rsidR="00EF50D9" w:rsidRDefault="00EF50D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F50D9">
        <w:rPr>
          <w:sz w:val="22"/>
          <w:szCs w:val="22"/>
          <w:lang w:val="sr-Latn-RS"/>
        </w:rPr>
        <w:t>Prim</w:t>
      </w:r>
      <w:r>
        <w:rPr>
          <w:sz w:val="22"/>
          <w:szCs w:val="22"/>
          <w:lang w:val="sr-Latn-RS"/>
        </w:rPr>
        <w:t>j</w:t>
      </w:r>
      <w:r w:rsidRPr="00EF50D9">
        <w:rPr>
          <w:sz w:val="22"/>
          <w:szCs w:val="22"/>
          <w:lang w:val="sr-Latn-RS"/>
        </w:rPr>
        <w:t>ećeni su slučajevi</w:t>
      </w:r>
      <w:r w:rsidR="009C1680">
        <w:rPr>
          <w:sz w:val="22"/>
          <w:szCs w:val="22"/>
          <w:lang w:val="sr-Latn-RS"/>
        </w:rPr>
        <w:t xml:space="preserve"> epi</w:t>
      </w:r>
      <w:r w:rsidRPr="00EF50D9">
        <w:rPr>
          <w:sz w:val="22"/>
          <w:szCs w:val="22"/>
          <w:lang w:val="sr-Latn-RS"/>
        </w:rPr>
        <w:t xml:space="preserve"> napada, povezanih sa upotrebom makrogola 3350 sa elektrolitima, za pripremu cr</w:t>
      </w:r>
      <w:r>
        <w:rPr>
          <w:sz w:val="22"/>
          <w:szCs w:val="22"/>
          <w:lang w:val="sr-Latn-RS"/>
        </w:rPr>
        <w:t>ij</w:t>
      </w:r>
      <w:r w:rsidRPr="00EF50D9">
        <w:rPr>
          <w:sz w:val="22"/>
          <w:szCs w:val="22"/>
          <w:lang w:val="sr-Latn-RS"/>
        </w:rPr>
        <w:t>eva, kod pacijenata sa ili bez prethodne istorije napada. Ovi slučajevi su uglavnom bili povezani sa poremećajima elektrolita, kao što je teška hiponatremija, (vid</w:t>
      </w:r>
      <w:r>
        <w:rPr>
          <w:sz w:val="22"/>
          <w:szCs w:val="22"/>
          <w:lang w:val="sr-Latn-RS"/>
        </w:rPr>
        <w:t>j</w:t>
      </w:r>
      <w:r w:rsidRPr="00EF50D9">
        <w:rPr>
          <w:sz w:val="22"/>
          <w:szCs w:val="22"/>
          <w:lang w:val="sr-Latn-RS"/>
        </w:rPr>
        <w:t xml:space="preserve">eti </w:t>
      </w:r>
      <w:r w:rsidR="00402450">
        <w:rPr>
          <w:sz w:val="22"/>
          <w:szCs w:val="22"/>
          <w:lang w:val="sr-Latn-RS"/>
        </w:rPr>
        <w:t>dio</w:t>
      </w:r>
      <w:r w:rsidRPr="00EF50D9">
        <w:rPr>
          <w:sz w:val="22"/>
          <w:szCs w:val="22"/>
          <w:lang w:val="sr-Latn-RS"/>
        </w:rPr>
        <w:t xml:space="preserve"> 4.8). Potreban je oprez kod propisivanja makrogola 3350 sa elektrolitima kod pacijenata sa istorijom napada, sa povećanim rizikom od napada ili rizikom od poremećaja elektrolita. U slučaju neuroloških simptoma, potrebno je korigovati poremećaje tečnosti i elektrolita.</w:t>
      </w:r>
    </w:p>
    <w:p w14:paraId="76A9C2D8" w14:textId="77777777" w:rsidR="00EF50D9" w:rsidRPr="00817EE7" w:rsidRDefault="00EF50D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D4C5C34" w14:textId="038D1AC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R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etki su izv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eštaji o ozbiljnim aritmijama, uključujući atrijalnu fibrilaciju povezanu sa upotrebom jonskih osmotskih laksativa za pripremu cr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eva. Oni se javljaju pretežno kod pacijenata sa osnovnim faktorima srčanog rizika i poremećajima elektrolita.</w:t>
      </w:r>
    </w:p>
    <w:p w14:paraId="757A3BBC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D529D72" w14:textId="47C853A3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Ako se kod pacijenata pojave simptomi koji ukazuju na aritmiju ili prom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ene tečnosti/elektrolita tokom ili nakon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ečenja (npr. edem, otežano disanje, pojačan umor, srčana insuficijencija), treba izm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eriti </w:t>
      </w:r>
      <w:r w:rsidR="00182D03">
        <w:rPr>
          <w:sz w:val="22"/>
          <w:szCs w:val="22"/>
          <w:lang w:val="sr-Latn-RS"/>
        </w:rPr>
        <w:t xml:space="preserve">nivo </w:t>
      </w:r>
      <w:r w:rsidRPr="00817EE7">
        <w:rPr>
          <w:sz w:val="22"/>
          <w:szCs w:val="22"/>
          <w:lang w:val="sr-Latn-RS"/>
        </w:rPr>
        <w:t>elektrolit</w:t>
      </w:r>
      <w:r w:rsidR="00EA7A34">
        <w:rPr>
          <w:sz w:val="22"/>
          <w:szCs w:val="22"/>
          <w:lang w:val="sr-Latn-RS"/>
        </w:rPr>
        <w:t>a</w:t>
      </w:r>
      <w:r w:rsidRPr="00817EE7">
        <w:rPr>
          <w:sz w:val="22"/>
          <w:szCs w:val="22"/>
          <w:lang w:val="sr-Latn-RS"/>
        </w:rPr>
        <w:t xml:space="preserve"> u plazmi, pratiti EKG i sve poremećaje tretirati na odgovarajući način.</w:t>
      </w:r>
    </w:p>
    <w:p w14:paraId="156F0BE3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027C57A" w14:textId="2DFD649D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Ako se kod pacijenata javi teško nadimanje, rastezanje stomaka ili bol u stomaku, prim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enu treba usporiti ili privremeno prekinuti dok se simptomi ne smire.</w:t>
      </w:r>
    </w:p>
    <w:p w14:paraId="70CFB421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B3E5BE2" w14:textId="6AE073E6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Kod ljudi koji imaju problema sa gutanjem, kojima je potrebno dodati sredstvo za zgušnjavanje u rastvor da bi se podstakao odgovarajući unos, treba razmotriti interakcije, vid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eti </w:t>
      </w:r>
      <w:r w:rsidR="009A4889">
        <w:rPr>
          <w:sz w:val="22"/>
          <w:szCs w:val="22"/>
          <w:lang w:val="sr-Latn-RS"/>
        </w:rPr>
        <w:t>dio</w:t>
      </w:r>
      <w:r w:rsidRPr="00817EE7">
        <w:rPr>
          <w:sz w:val="22"/>
          <w:szCs w:val="22"/>
          <w:lang w:val="sr-Latn-RS"/>
        </w:rPr>
        <w:t xml:space="preserve"> 4.5.</w:t>
      </w:r>
    </w:p>
    <w:p w14:paraId="5257DDB8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FE1B5FC" w14:textId="77777777" w:rsidR="00885966" w:rsidRPr="004C4A0A" w:rsidRDefault="00885966" w:rsidP="00A47D04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4C4A0A">
        <w:rPr>
          <w:sz w:val="22"/>
          <w:szCs w:val="22"/>
          <w:u w:val="single"/>
          <w:lang w:val="sr-Latn-RS"/>
        </w:rPr>
        <w:t>Ishemijski kolitis</w:t>
      </w:r>
    </w:p>
    <w:p w14:paraId="610F4BBA" w14:textId="54C635A2" w:rsidR="00885966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</w:t>
      </w:r>
      <w:r w:rsidR="00EA7A34">
        <w:rPr>
          <w:sz w:val="22"/>
          <w:szCs w:val="22"/>
          <w:lang w:val="sr-Latn-RS"/>
        </w:rPr>
        <w:t>od pacijenata kod kojih je makrogol primijenjen</w:t>
      </w:r>
      <w:r w:rsidRPr="00817EE7">
        <w:rPr>
          <w:sz w:val="22"/>
          <w:szCs w:val="22"/>
          <w:lang w:val="sr-Latn-RS"/>
        </w:rPr>
        <w:t xml:space="preserve"> za pripremu crijeva </w:t>
      </w:r>
      <w:r>
        <w:rPr>
          <w:sz w:val="22"/>
          <w:szCs w:val="22"/>
          <w:lang w:val="sr-Latn-RS"/>
        </w:rPr>
        <w:t>z</w:t>
      </w:r>
      <w:r w:rsidR="00885966" w:rsidRPr="00817EE7">
        <w:rPr>
          <w:sz w:val="22"/>
          <w:szCs w:val="22"/>
          <w:lang w:val="sr-Latn-RS"/>
        </w:rPr>
        <w:t>ab</w:t>
      </w:r>
      <w:r w:rsidR="00AE7137" w:rsidRPr="00817EE7">
        <w:rPr>
          <w:sz w:val="22"/>
          <w:szCs w:val="22"/>
          <w:lang w:val="sr-Latn-RS"/>
        </w:rPr>
        <w:t>ilj</w:t>
      </w:r>
      <w:r w:rsidR="00885966" w:rsidRPr="00817EE7">
        <w:rPr>
          <w:sz w:val="22"/>
          <w:szCs w:val="22"/>
          <w:lang w:val="sr-Latn-RS"/>
        </w:rPr>
        <w:t>eženi su postmarketinški slučajevi ishemijskog kolitisa, uključujući i ozbiljne. Makrogol treba koristiti sa oprezom kod pacijenata sa poznatim faktorima rizika za ishemijski kolitis ili u slučaju istovremene upotrebe stimulativnih laksativa (kao što su bisakodil ili natrijum pikosulfat). Pacijente sa iznenadnim bolovima u stomaku, rektalnim krvarenjem ili drugim simptomima ishemijskog kolitisa treba hitno pregledati.</w:t>
      </w:r>
    </w:p>
    <w:p w14:paraId="22D90DD7" w14:textId="77777777" w:rsidR="00885966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F04A855" w14:textId="3EEF16D2" w:rsidR="00FF0C5E" w:rsidRDefault="00FF0C5E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FF0C5E">
        <w:rPr>
          <w:sz w:val="22"/>
          <w:szCs w:val="22"/>
          <w:lang w:val="sr-Latn-RS"/>
        </w:rPr>
        <w:t>U postmarketinškom periodu zab</w:t>
      </w:r>
      <w:r>
        <w:rPr>
          <w:sz w:val="22"/>
          <w:szCs w:val="22"/>
          <w:lang w:val="sr-Latn-RS"/>
        </w:rPr>
        <w:t>i</w:t>
      </w:r>
      <w:r w:rsidRPr="00FF0C5E">
        <w:rPr>
          <w:sz w:val="22"/>
          <w:szCs w:val="22"/>
          <w:lang w:val="sr-Latn-RS"/>
        </w:rPr>
        <w:t>l</w:t>
      </w:r>
      <w:r>
        <w:rPr>
          <w:sz w:val="22"/>
          <w:szCs w:val="22"/>
          <w:lang w:val="sr-Latn-RS"/>
        </w:rPr>
        <w:t>j</w:t>
      </w:r>
      <w:r w:rsidRPr="00FF0C5E">
        <w:rPr>
          <w:sz w:val="22"/>
          <w:szCs w:val="22"/>
          <w:lang w:val="sr-Latn-RS"/>
        </w:rPr>
        <w:t>eženi su slučajevi rupture jednjaka (Boerhaave sindrom) koji su povezani sa prekom</w:t>
      </w:r>
      <w:r w:rsidR="0058169A">
        <w:rPr>
          <w:sz w:val="22"/>
          <w:szCs w:val="22"/>
          <w:lang w:val="sr-Latn-RS"/>
        </w:rPr>
        <w:t>j</w:t>
      </w:r>
      <w:r w:rsidRPr="00FF0C5E">
        <w:rPr>
          <w:sz w:val="22"/>
          <w:szCs w:val="22"/>
          <w:lang w:val="sr-Latn-RS"/>
        </w:rPr>
        <w:t>ernim povraćanjem nakon uzimanja makrogola 3350 sa elektrolitima za pripremu cr</w:t>
      </w:r>
      <w:r>
        <w:rPr>
          <w:sz w:val="22"/>
          <w:szCs w:val="22"/>
          <w:lang w:val="sr-Latn-RS"/>
        </w:rPr>
        <w:t>ij</w:t>
      </w:r>
      <w:r w:rsidRPr="00FF0C5E">
        <w:rPr>
          <w:sz w:val="22"/>
          <w:szCs w:val="22"/>
          <w:lang w:val="sr-Latn-RS"/>
        </w:rPr>
        <w:t>eva, (vid</w:t>
      </w:r>
      <w:r>
        <w:rPr>
          <w:sz w:val="22"/>
          <w:szCs w:val="22"/>
          <w:lang w:val="sr-Latn-RS"/>
        </w:rPr>
        <w:t>j</w:t>
      </w:r>
      <w:r w:rsidRPr="00FF0C5E">
        <w:rPr>
          <w:sz w:val="22"/>
          <w:szCs w:val="22"/>
          <w:lang w:val="sr-Latn-RS"/>
        </w:rPr>
        <w:t>eti</w:t>
      </w:r>
      <w:r w:rsidR="00402450">
        <w:rPr>
          <w:sz w:val="22"/>
          <w:szCs w:val="22"/>
          <w:lang w:val="sr-Latn-RS"/>
        </w:rPr>
        <w:t xml:space="preserve"> dio</w:t>
      </w:r>
      <w:r w:rsidRPr="00FF0C5E">
        <w:rPr>
          <w:sz w:val="22"/>
          <w:szCs w:val="22"/>
          <w:lang w:val="sr-Latn-RS"/>
        </w:rPr>
        <w:t xml:space="preserve"> 4.8), uglavnom kod starijih pacijenata. Sav</w:t>
      </w:r>
      <w:r w:rsidR="00402450">
        <w:rPr>
          <w:sz w:val="22"/>
          <w:szCs w:val="22"/>
          <w:lang w:val="sr-Latn-RS"/>
        </w:rPr>
        <w:t>j</w:t>
      </w:r>
      <w:r w:rsidRPr="00FF0C5E">
        <w:rPr>
          <w:sz w:val="22"/>
          <w:szCs w:val="22"/>
          <w:lang w:val="sr-Latn-RS"/>
        </w:rPr>
        <w:t>etovati pacijente, ukoliko os</w:t>
      </w:r>
      <w:r w:rsidR="00402450">
        <w:rPr>
          <w:sz w:val="22"/>
          <w:szCs w:val="22"/>
          <w:lang w:val="sr-Latn-RS"/>
        </w:rPr>
        <w:t>j</w:t>
      </w:r>
      <w:r w:rsidRPr="00FF0C5E">
        <w:rPr>
          <w:sz w:val="22"/>
          <w:szCs w:val="22"/>
          <w:lang w:val="sr-Latn-RS"/>
        </w:rPr>
        <w:t xml:space="preserve">ete, </w:t>
      </w:r>
      <w:r w:rsidR="001A5D4E">
        <w:rPr>
          <w:sz w:val="22"/>
          <w:szCs w:val="22"/>
          <w:lang w:val="sr-Latn-RS"/>
        </w:rPr>
        <w:t>nekontrolisano</w:t>
      </w:r>
      <w:r w:rsidRPr="00FF0C5E">
        <w:rPr>
          <w:sz w:val="22"/>
          <w:szCs w:val="22"/>
          <w:lang w:val="sr-Latn-RS"/>
        </w:rPr>
        <w:t xml:space="preserve"> povraćanje i naknadni bol u grudima, vratu i stomaku, disfagiju, hematemezu ili dispneju, da prekinu upotrebu i potraže hitnu medicinsku pomoć.</w:t>
      </w:r>
    </w:p>
    <w:p w14:paraId="6807DFFD" w14:textId="77777777" w:rsidR="00FF0C5E" w:rsidRPr="00817EE7" w:rsidRDefault="00FF0C5E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BF4C0D3" w14:textId="1C7771F1" w:rsidR="00885966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lastRenderedPageBreak/>
        <w:t xml:space="preserve">Lijek </w:t>
      </w:r>
      <w:r w:rsidR="00885966" w:rsidRPr="00817EE7">
        <w:rPr>
          <w:sz w:val="22"/>
          <w:szCs w:val="22"/>
          <w:lang w:val="sr-Latn-RS"/>
        </w:rPr>
        <w:t xml:space="preserve">Plenvu sadrži 458,5 mmol (10,5 g) natrijuma po ciklusu terapije. Ovo treba uzeti u obzir kod pacijenata na režimu ishrane sa kontrolisanim unosom natrijuma. </w:t>
      </w:r>
      <w:r w:rsidR="006964A9">
        <w:rPr>
          <w:sz w:val="22"/>
          <w:szCs w:val="22"/>
          <w:lang w:val="sr-Latn-RS"/>
        </w:rPr>
        <w:t>Re</w:t>
      </w:r>
      <w:r w:rsidR="00885966" w:rsidRPr="00817EE7">
        <w:rPr>
          <w:sz w:val="22"/>
          <w:szCs w:val="22"/>
          <w:lang w:val="sr-Latn-RS"/>
        </w:rPr>
        <w:t>sorbuje se samo d</w:t>
      </w:r>
      <w:r w:rsidR="00AE7137" w:rsidRPr="00817EE7">
        <w:rPr>
          <w:sz w:val="22"/>
          <w:szCs w:val="22"/>
          <w:lang w:val="sr-Latn-RS"/>
        </w:rPr>
        <w:t>i</w:t>
      </w:r>
      <w:r w:rsidR="00885966" w:rsidRPr="00817EE7">
        <w:rPr>
          <w:sz w:val="22"/>
          <w:szCs w:val="22"/>
          <w:lang w:val="sr-Latn-RS"/>
        </w:rPr>
        <w:t>o natrijuma, vid</w:t>
      </w:r>
      <w:r w:rsidR="00AE7137" w:rsidRPr="00817EE7">
        <w:rPr>
          <w:sz w:val="22"/>
          <w:szCs w:val="22"/>
          <w:lang w:val="sr-Latn-RS"/>
        </w:rPr>
        <w:t>j</w:t>
      </w:r>
      <w:r w:rsidR="00885966" w:rsidRPr="00817EE7">
        <w:rPr>
          <w:sz w:val="22"/>
          <w:szCs w:val="22"/>
          <w:lang w:val="sr-Latn-RS"/>
        </w:rPr>
        <w:t xml:space="preserve">eti </w:t>
      </w:r>
      <w:r>
        <w:rPr>
          <w:sz w:val="22"/>
          <w:szCs w:val="22"/>
          <w:lang w:val="sr-Latn-RS"/>
        </w:rPr>
        <w:t>dio</w:t>
      </w:r>
      <w:r w:rsidR="00885966" w:rsidRPr="00817EE7">
        <w:rPr>
          <w:sz w:val="22"/>
          <w:szCs w:val="22"/>
          <w:lang w:val="sr-Latn-RS"/>
        </w:rPr>
        <w:t xml:space="preserve"> 5.2.</w:t>
      </w:r>
    </w:p>
    <w:p w14:paraId="7796690B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048B7B7" w14:textId="5CD956DD" w:rsidR="00885966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885966" w:rsidRPr="00817EE7">
        <w:rPr>
          <w:sz w:val="22"/>
          <w:szCs w:val="22"/>
          <w:lang w:val="sr-Latn-RS"/>
        </w:rPr>
        <w:t>Plenvu sadrži 29,4 mmol (1,1 g) kalijuma po ciklusu terapije. Ovo treba uzeti u obzir kod pacijenata sa smanjenom funkcijom bubrega ili kod pacijenata na režimu ishrane sa kontrolisanim unosom kalijuma.</w:t>
      </w:r>
    </w:p>
    <w:p w14:paraId="60A66BFC" w14:textId="77777777" w:rsidR="00057E35" w:rsidRPr="00817EE7" w:rsidRDefault="00057E35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B898826" w14:textId="71DC6CF8" w:rsidR="00411B4B" w:rsidRPr="00A47D04" w:rsidRDefault="00411B4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A47D04">
        <w:rPr>
          <w:b/>
          <w:bCs/>
          <w:sz w:val="22"/>
          <w:szCs w:val="22"/>
          <w:lang w:val="de-DE"/>
        </w:rPr>
        <w:t>4.5.</w:t>
      </w:r>
      <w:r w:rsidR="000D60CC" w:rsidRPr="00A47D04">
        <w:rPr>
          <w:b/>
          <w:bCs/>
          <w:sz w:val="22"/>
          <w:szCs w:val="22"/>
          <w:lang w:val="de-DE"/>
        </w:rPr>
        <w:tab/>
      </w:r>
      <w:r w:rsidRPr="00A47D04">
        <w:rPr>
          <w:b/>
          <w:bCs/>
          <w:sz w:val="22"/>
          <w:szCs w:val="22"/>
          <w:lang w:val="de-DE"/>
        </w:rPr>
        <w:t>Interakcije sa drugim ljekovima i druge vrste interakcija</w:t>
      </w:r>
    </w:p>
    <w:p w14:paraId="304D4D32" w14:textId="20974E9C" w:rsidR="00885966" w:rsidRPr="00A47D04" w:rsidRDefault="00885966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</w:p>
    <w:p w14:paraId="7FE39AF3" w14:textId="2AD59E47" w:rsidR="00885966" w:rsidRPr="00817EE7" w:rsidRDefault="007C10B0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C10B0">
        <w:rPr>
          <w:bCs/>
          <w:sz w:val="22"/>
          <w:szCs w:val="22"/>
          <w:lang w:val="sr-Latn-RS"/>
        </w:rPr>
        <w:t>Interakcija l</w:t>
      </w:r>
      <w:r>
        <w:rPr>
          <w:bCs/>
          <w:sz w:val="22"/>
          <w:szCs w:val="22"/>
          <w:lang w:val="sr-Latn-RS"/>
        </w:rPr>
        <w:t>ij</w:t>
      </w:r>
      <w:r w:rsidRPr="007C10B0">
        <w:rPr>
          <w:bCs/>
          <w:sz w:val="22"/>
          <w:szCs w:val="22"/>
          <w:lang w:val="sr-Latn-RS"/>
        </w:rPr>
        <w:t xml:space="preserve">eka </w:t>
      </w:r>
      <w:r>
        <w:rPr>
          <w:bCs/>
          <w:sz w:val="22"/>
          <w:szCs w:val="22"/>
          <w:lang w:val="sr-Latn-RS"/>
        </w:rPr>
        <w:t>Plenvu</w:t>
      </w:r>
      <w:r w:rsidRPr="007C10B0">
        <w:rPr>
          <w:bCs/>
          <w:sz w:val="22"/>
          <w:szCs w:val="22"/>
          <w:lang w:val="sr-Latn-RS"/>
        </w:rPr>
        <w:t xml:space="preserve"> sa drugim l</w:t>
      </w:r>
      <w:r>
        <w:rPr>
          <w:bCs/>
          <w:sz w:val="22"/>
          <w:szCs w:val="22"/>
          <w:lang w:val="sr-Latn-RS"/>
        </w:rPr>
        <w:t>j</w:t>
      </w:r>
      <w:r w:rsidRPr="007C10B0">
        <w:rPr>
          <w:bCs/>
          <w:sz w:val="22"/>
          <w:szCs w:val="22"/>
          <w:lang w:val="sr-Latn-RS"/>
        </w:rPr>
        <w:t xml:space="preserve">ekovima nije proučavana. Teoretski </w:t>
      </w:r>
      <w:r>
        <w:rPr>
          <w:sz w:val="22"/>
          <w:szCs w:val="22"/>
          <w:lang w:val="sr-Latn-RS"/>
        </w:rPr>
        <w:t>l</w:t>
      </w:r>
      <w:r w:rsidR="00AE7137" w:rsidRPr="00817EE7">
        <w:rPr>
          <w:sz w:val="22"/>
          <w:szCs w:val="22"/>
          <w:lang w:val="sr-Latn-RS"/>
        </w:rPr>
        <w:t>j</w:t>
      </w:r>
      <w:r w:rsidR="00885966" w:rsidRPr="00817EE7">
        <w:rPr>
          <w:sz w:val="22"/>
          <w:szCs w:val="22"/>
          <w:lang w:val="sr-Latn-RS"/>
        </w:rPr>
        <w:t>ekovi koji se uzimaju oralno (npr. oraln</w:t>
      </w:r>
      <w:r w:rsidR="00E62A11">
        <w:rPr>
          <w:sz w:val="22"/>
          <w:szCs w:val="22"/>
          <w:lang w:val="sr-Latn-RS"/>
        </w:rPr>
        <w:t>e</w:t>
      </w:r>
      <w:r w:rsidR="00885966" w:rsidRPr="00817EE7">
        <w:rPr>
          <w:sz w:val="22"/>
          <w:szCs w:val="22"/>
          <w:lang w:val="sr-Latn-RS"/>
        </w:rPr>
        <w:t xml:space="preserve"> kontraceptivn</w:t>
      </w:r>
      <w:r w:rsidR="00E62A11">
        <w:rPr>
          <w:sz w:val="22"/>
          <w:szCs w:val="22"/>
          <w:lang w:val="sr-Latn-RS"/>
        </w:rPr>
        <w:t>e</w:t>
      </w:r>
      <w:r w:rsidR="00885966" w:rsidRPr="00817EE7">
        <w:rPr>
          <w:sz w:val="22"/>
          <w:szCs w:val="22"/>
          <w:lang w:val="sr-Latn-RS"/>
        </w:rPr>
        <w:t xml:space="preserve"> pilul</w:t>
      </w:r>
      <w:r w:rsidR="00E62A11">
        <w:rPr>
          <w:sz w:val="22"/>
          <w:szCs w:val="22"/>
          <w:lang w:val="sr-Latn-RS"/>
        </w:rPr>
        <w:t>e</w:t>
      </w:r>
      <w:r w:rsidR="00885966" w:rsidRPr="00817EE7">
        <w:rPr>
          <w:sz w:val="22"/>
          <w:szCs w:val="22"/>
          <w:lang w:val="sr-Latn-RS"/>
        </w:rPr>
        <w:t>) u roku od jednog sata</w:t>
      </w:r>
      <w:r w:rsidR="00AD4220">
        <w:rPr>
          <w:sz w:val="22"/>
          <w:szCs w:val="22"/>
          <w:lang w:val="sr-Latn-RS"/>
        </w:rPr>
        <w:t xml:space="preserve"> pr</w:t>
      </w:r>
      <w:r w:rsidR="000661B9">
        <w:rPr>
          <w:sz w:val="22"/>
          <w:szCs w:val="22"/>
          <w:lang w:val="sr-Latn-RS"/>
        </w:rPr>
        <w:t>ij</w:t>
      </w:r>
      <w:r w:rsidR="00AD4220">
        <w:rPr>
          <w:sz w:val="22"/>
          <w:szCs w:val="22"/>
          <w:lang w:val="sr-Latn-RS"/>
        </w:rPr>
        <w:t>e, tokom i u roku od jednog sata posle</w:t>
      </w:r>
      <w:r w:rsidR="00885966" w:rsidRPr="00817EE7">
        <w:rPr>
          <w:sz w:val="22"/>
          <w:szCs w:val="22"/>
          <w:lang w:val="sr-Latn-RS"/>
        </w:rPr>
        <w:t xml:space="preserve"> </w:t>
      </w:r>
      <w:r w:rsidR="00AD4220">
        <w:rPr>
          <w:sz w:val="22"/>
          <w:szCs w:val="22"/>
          <w:lang w:val="sr-Latn-RS"/>
        </w:rPr>
        <w:t xml:space="preserve">primjene </w:t>
      </w:r>
      <w:r w:rsidR="00885966" w:rsidRPr="00817EE7">
        <w:rPr>
          <w:sz w:val="22"/>
          <w:szCs w:val="22"/>
          <w:lang w:val="sr-Latn-RS"/>
        </w:rPr>
        <w:t>l</w:t>
      </w:r>
      <w:r w:rsidR="00AE7137" w:rsidRPr="00817EE7">
        <w:rPr>
          <w:sz w:val="22"/>
          <w:szCs w:val="22"/>
          <w:lang w:val="sr-Latn-RS"/>
        </w:rPr>
        <w:t>ij</w:t>
      </w:r>
      <w:r w:rsidR="00885966" w:rsidRPr="00817EE7">
        <w:rPr>
          <w:sz w:val="22"/>
          <w:szCs w:val="22"/>
          <w:lang w:val="sr-Latn-RS"/>
        </w:rPr>
        <w:t>ek</w:t>
      </w:r>
      <w:r w:rsidR="00AD4220">
        <w:rPr>
          <w:sz w:val="22"/>
          <w:szCs w:val="22"/>
          <w:lang w:val="sr-Latn-RS"/>
        </w:rPr>
        <w:t>a</w:t>
      </w:r>
      <w:r w:rsidR="00885966" w:rsidRPr="00817EE7">
        <w:rPr>
          <w:sz w:val="22"/>
          <w:szCs w:val="22"/>
          <w:lang w:val="sr-Latn-RS"/>
        </w:rPr>
        <w:t xml:space="preserve"> Plenvu mogu da se</w:t>
      </w:r>
      <w:r w:rsidR="00101462">
        <w:rPr>
          <w:sz w:val="22"/>
          <w:szCs w:val="22"/>
          <w:lang w:val="sr-Latn-RS"/>
        </w:rPr>
        <w:t xml:space="preserve"> isperu </w:t>
      </w:r>
      <w:r w:rsidR="00885966" w:rsidRPr="00817EE7">
        <w:rPr>
          <w:sz w:val="22"/>
          <w:szCs w:val="22"/>
          <w:lang w:val="sr-Latn-RS"/>
        </w:rPr>
        <w:t>iz gastrointestinalnog trakta</w:t>
      </w:r>
      <w:r w:rsidR="00101462">
        <w:rPr>
          <w:sz w:val="22"/>
          <w:szCs w:val="22"/>
          <w:lang w:val="sr-Latn-RS"/>
        </w:rPr>
        <w:t xml:space="preserve"> neresorbovani</w:t>
      </w:r>
      <w:r w:rsidR="00885966" w:rsidRPr="00817EE7">
        <w:rPr>
          <w:sz w:val="22"/>
          <w:szCs w:val="22"/>
          <w:lang w:val="sr-Latn-RS"/>
        </w:rPr>
        <w:t>. Terapijski efekat l</w:t>
      </w:r>
      <w:r w:rsidR="00AE7137" w:rsidRPr="00817EE7">
        <w:rPr>
          <w:sz w:val="22"/>
          <w:szCs w:val="22"/>
          <w:lang w:val="sr-Latn-RS"/>
        </w:rPr>
        <w:t>j</w:t>
      </w:r>
      <w:r w:rsidR="00885966" w:rsidRPr="00817EE7">
        <w:rPr>
          <w:sz w:val="22"/>
          <w:szCs w:val="22"/>
          <w:lang w:val="sr-Latn-RS"/>
        </w:rPr>
        <w:t xml:space="preserve">ekova sa uskim terapijskim indeksom ili kratkim poluvremenom eliminacije može biti posebno </w:t>
      </w:r>
      <w:r w:rsidR="0041254C">
        <w:rPr>
          <w:sz w:val="22"/>
          <w:szCs w:val="22"/>
          <w:lang w:val="sr-Latn-RS"/>
        </w:rPr>
        <w:t>pogođen</w:t>
      </w:r>
      <w:r w:rsidR="00885966" w:rsidRPr="00817EE7">
        <w:rPr>
          <w:sz w:val="22"/>
          <w:szCs w:val="22"/>
          <w:lang w:val="sr-Latn-RS"/>
        </w:rPr>
        <w:t>.</w:t>
      </w:r>
    </w:p>
    <w:p w14:paraId="59BC4CD2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7DBE789" w14:textId="2B4425DA" w:rsidR="00885966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885966" w:rsidRPr="00817EE7">
        <w:rPr>
          <w:sz w:val="22"/>
          <w:szCs w:val="22"/>
          <w:lang w:val="sr-Latn-RS"/>
        </w:rPr>
        <w:t xml:space="preserve">Plenvu može </w:t>
      </w:r>
      <w:r w:rsidR="00101462">
        <w:rPr>
          <w:sz w:val="22"/>
          <w:szCs w:val="22"/>
          <w:lang w:val="sr-Latn-RS"/>
        </w:rPr>
        <w:t>imati</w:t>
      </w:r>
      <w:r w:rsidR="00885966" w:rsidRPr="00817EE7">
        <w:rPr>
          <w:sz w:val="22"/>
          <w:szCs w:val="22"/>
          <w:lang w:val="sr-Latn-RS"/>
        </w:rPr>
        <w:t xml:space="preserve"> potencijaln</w:t>
      </w:r>
      <w:r w:rsidR="00101462">
        <w:rPr>
          <w:sz w:val="22"/>
          <w:szCs w:val="22"/>
          <w:lang w:val="sr-Latn-RS"/>
        </w:rPr>
        <w:t>i</w:t>
      </w:r>
      <w:r w:rsidR="00885966" w:rsidRPr="00817EE7">
        <w:rPr>
          <w:sz w:val="22"/>
          <w:szCs w:val="22"/>
          <w:lang w:val="sr-Latn-RS"/>
        </w:rPr>
        <w:t xml:space="preserve"> interaktivn</w:t>
      </w:r>
      <w:r w:rsidR="00101462">
        <w:rPr>
          <w:sz w:val="22"/>
          <w:szCs w:val="22"/>
          <w:lang w:val="sr-Latn-RS"/>
        </w:rPr>
        <w:t>i</w:t>
      </w:r>
      <w:r w:rsidR="00885966" w:rsidRPr="00817EE7">
        <w:rPr>
          <w:sz w:val="22"/>
          <w:szCs w:val="22"/>
          <w:lang w:val="sr-Latn-RS"/>
        </w:rPr>
        <w:t xml:space="preserve"> efek</w:t>
      </w:r>
      <w:r w:rsidR="00101462">
        <w:rPr>
          <w:sz w:val="22"/>
          <w:szCs w:val="22"/>
          <w:lang w:val="sr-Latn-RS"/>
        </w:rPr>
        <w:t>at</w:t>
      </w:r>
      <w:r w:rsidR="00885966" w:rsidRPr="00817EE7">
        <w:rPr>
          <w:sz w:val="22"/>
          <w:szCs w:val="22"/>
          <w:lang w:val="sr-Latn-RS"/>
        </w:rPr>
        <w:t xml:space="preserve"> ako se koristi sa sredstvima za zgušnjavanje hrane na bazi skroba. Makrogol</w:t>
      </w:r>
      <w:r w:rsidR="00E62A11">
        <w:rPr>
          <w:sz w:val="22"/>
          <w:szCs w:val="22"/>
          <w:lang w:val="sr-Latn-RS"/>
        </w:rPr>
        <w:t xml:space="preserve"> </w:t>
      </w:r>
      <w:r w:rsidR="00885966" w:rsidRPr="00817EE7">
        <w:rPr>
          <w:sz w:val="22"/>
          <w:szCs w:val="22"/>
          <w:lang w:val="sr-Latn-RS"/>
        </w:rPr>
        <w:t>suzbija efekat zgušnjavanja skroba, efikasno pretvarajući u tečnost preparate koji treba da ostanu gusti za ljude koji imaju problema sa gutanjem.</w:t>
      </w:r>
    </w:p>
    <w:p w14:paraId="1638FF56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3A83E84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93433A">
        <w:rPr>
          <w:b/>
          <w:bCs/>
          <w:sz w:val="22"/>
          <w:szCs w:val="22"/>
          <w:lang w:val="sr-Latn-RS"/>
        </w:rPr>
        <w:t xml:space="preserve">4.6.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="006D20A5" w:rsidRPr="00817EE7">
        <w:rPr>
          <w:b/>
          <w:sz w:val="22"/>
          <w:szCs w:val="22"/>
          <w:lang w:val="sr-Latn-CS"/>
        </w:rPr>
        <w:t>Plodnost, trudnoća i dojenje</w:t>
      </w:r>
    </w:p>
    <w:p w14:paraId="0873113E" w14:textId="77777777" w:rsidR="002031B3" w:rsidRPr="0093433A" w:rsidRDefault="002031B3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41692F58" w14:textId="1381E8F5" w:rsidR="002031B3" w:rsidRPr="0093433A" w:rsidRDefault="002031B3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93433A">
        <w:rPr>
          <w:sz w:val="22"/>
          <w:szCs w:val="22"/>
          <w:u w:val="single"/>
          <w:lang w:val="sr-Latn-RS"/>
        </w:rPr>
        <w:t>Plodnost</w:t>
      </w:r>
    </w:p>
    <w:p w14:paraId="79D2B0FA" w14:textId="56E165F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Nema podataka o efektima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eka Plenvu na plodnost kod ljudi. U studijama </w:t>
      </w:r>
      <w:r w:rsidR="00101462">
        <w:rPr>
          <w:sz w:val="22"/>
          <w:szCs w:val="22"/>
          <w:lang w:val="sr-Latn-RS"/>
        </w:rPr>
        <w:t xml:space="preserve">sprovedenim </w:t>
      </w:r>
      <w:r w:rsidRPr="00817EE7">
        <w:rPr>
          <w:sz w:val="22"/>
          <w:szCs w:val="22"/>
          <w:lang w:val="sr-Latn-RS"/>
        </w:rPr>
        <w:t>na mužjacima i ženkama pacova nije bilo efekata na plodnost (vid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eti </w:t>
      </w:r>
      <w:r w:rsidR="009A4889">
        <w:rPr>
          <w:sz w:val="22"/>
          <w:szCs w:val="22"/>
          <w:lang w:val="sr-Latn-RS"/>
        </w:rPr>
        <w:t>dio</w:t>
      </w:r>
      <w:r w:rsidRPr="00817EE7">
        <w:rPr>
          <w:sz w:val="22"/>
          <w:szCs w:val="22"/>
          <w:lang w:val="sr-Latn-RS"/>
        </w:rPr>
        <w:t xml:space="preserve"> 5.3).</w:t>
      </w:r>
    </w:p>
    <w:p w14:paraId="7B4A292B" w14:textId="77777777" w:rsidR="002031B3" w:rsidRPr="00A47D04" w:rsidRDefault="002031B3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671A4D88" w14:textId="1746CBD1" w:rsidR="007A3ECB" w:rsidRPr="00A47D04" w:rsidRDefault="007A3ECB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A47D04">
        <w:rPr>
          <w:sz w:val="22"/>
          <w:szCs w:val="22"/>
          <w:u w:val="single"/>
          <w:lang w:val="sr-Latn-RS"/>
        </w:rPr>
        <w:t>Trudnoća</w:t>
      </w:r>
    </w:p>
    <w:p w14:paraId="706CAED5" w14:textId="4486DD9E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Nema podataka ili su</w:t>
      </w:r>
      <w:r w:rsidR="006964A9">
        <w:rPr>
          <w:sz w:val="22"/>
          <w:szCs w:val="22"/>
          <w:lang w:val="sr-Latn-RS"/>
        </w:rPr>
        <w:t xml:space="preserve"> oni</w:t>
      </w:r>
      <w:r w:rsidRPr="00817EE7">
        <w:rPr>
          <w:sz w:val="22"/>
          <w:szCs w:val="22"/>
          <w:lang w:val="sr-Latn-RS"/>
        </w:rPr>
        <w:t xml:space="preserve"> ograničeni (manje od 300 ishoda trudnoće) o upotrebi aktivnih sastojaka </w:t>
      </w:r>
      <w:r w:rsidR="009A4889">
        <w:rPr>
          <w:sz w:val="22"/>
          <w:szCs w:val="22"/>
          <w:lang w:val="sr-Latn-RS"/>
        </w:rPr>
        <w:t xml:space="preserve">lijeka </w:t>
      </w:r>
      <w:r w:rsidRPr="00817EE7">
        <w:rPr>
          <w:sz w:val="22"/>
          <w:szCs w:val="22"/>
          <w:lang w:val="sr-Latn-RS"/>
        </w:rPr>
        <w:t>Plenvu kod trudnica. Studije na životinjama pokazale su indirektne štetne efekte na reproduktivnu toksičnost (vid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eti </w:t>
      </w:r>
      <w:r w:rsidR="009A4889">
        <w:rPr>
          <w:sz w:val="22"/>
          <w:szCs w:val="22"/>
          <w:lang w:val="sr-Latn-RS"/>
        </w:rPr>
        <w:t>dio</w:t>
      </w:r>
      <w:r w:rsidRPr="00817EE7">
        <w:rPr>
          <w:sz w:val="22"/>
          <w:szCs w:val="22"/>
          <w:lang w:val="sr-Latn-RS"/>
        </w:rPr>
        <w:t xml:space="preserve"> 5.3). Klinički se ne očekuju efekti tokom trudnoće, jer je sistemska izloženost makrogolu 3350 zanemarljiva.</w:t>
      </w:r>
    </w:p>
    <w:p w14:paraId="147C1EBD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B3E7C9" w14:textId="4069A2B6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Iz predostrožnosti je poželjno izb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egavati upotrebu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eka Plenvu tokom trudnoće. </w:t>
      </w:r>
    </w:p>
    <w:p w14:paraId="771D3E6F" w14:textId="77777777" w:rsidR="002031B3" w:rsidRPr="00817EE7" w:rsidRDefault="002031B3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37F114F9" w14:textId="768EBE29" w:rsidR="0072020E" w:rsidRPr="00A47D04" w:rsidRDefault="007A3ECB" w:rsidP="00A47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A47D04">
        <w:rPr>
          <w:sz w:val="22"/>
          <w:szCs w:val="22"/>
          <w:u w:val="single"/>
          <w:lang w:val="sr-Latn-RS"/>
        </w:rPr>
        <w:t xml:space="preserve">Dojenje </w:t>
      </w:r>
    </w:p>
    <w:p w14:paraId="2F7BE47D" w14:textId="0025D45A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Nije poznato da li se aktivni sastojci/metaboliti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izlučuju u majčino ml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eko. Nema dovoljno podataka o izlučivanju aktivnih sastojaka/</w:t>
      </w:r>
      <w:r w:rsidR="00101462">
        <w:rPr>
          <w:sz w:val="22"/>
          <w:szCs w:val="22"/>
          <w:lang w:val="sr-Latn-RS"/>
        </w:rPr>
        <w:t>m</w:t>
      </w:r>
      <w:r w:rsidRPr="00817EE7">
        <w:rPr>
          <w:sz w:val="22"/>
          <w:szCs w:val="22"/>
          <w:lang w:val="sr-Latn-RS"/>
        </w:rPr>
        <w:t>etabolita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u majčino ml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eko.</w:t>
      </w:r>
    </w:p>
    <w:p w14:paraId="3EF95ACA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F1CC6E1" w14:textId="0FC5B874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 može se isključiti rizik za novorođenčad/odojčad.</w:t>
      </w:r>
    </w:p>
    <w:p w14:paraId="0E069B3B" w14:textId="77777777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E7DD2B8" w14:textId="1FEBF4BB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Mora se don</w:t>
      </w:r>
      <w:r w:rsidR="003761F1" w:rsidRPr="00817EE7">
        <w:rPr>
          <w:sz w:val="22"/>
          <w:szCs w:val="22"/>
          <w:lang w:val="sr-Latn-RS"/>
        </w:rPr>
        <w:t>i</w:t>
      </w:r>
      <w:r w:rsidR="00AE7137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eti odluka da li se prekida sa dojenjem ili se odustaje od terapije l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ekom Plenvu uzimajući u obzir korist dojenja za d</w:t>
      </w:r>
      <w:r w:rsidR="00AE7137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ete i korist terapije za majku.</w:t>
      </w:r>
    </w:p>
    <w:p w14:paraId="36BE569F" w14:textId="77777777" w:rsidR="00227BDB" w:rsidRPr="00817EE7" w:rsidRDefault="00227BD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F0DD426" w14:textId="313B1B3D" w:rsidR="0072020E" w:rsidRPr="00A47D04" w:rsidRDefault="0072020E" w:rsidP="00A47D0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A47D04">
        <w:rPr>
          <w:b/>
          <w:bCs/>
          <w:sz w:val="22"/>
          <w:szCs w:val="22"/>
          <w:lang w:val="sr-Latn-RS"/>
        </w:rPr>
        <w:t xml:space="preserve">4.7. </w:t>
      </w:r>
      <w:r w:rsidR="00480FB1" w:rsidRPr="00A47D04">
        <w:rPr>
          <w:b/>
          <w:bCs/>
          <w:sz w:val="22"/>
          <w:szCs w:val="22"/>
          <w:lang w:val="sr-Latn-RS"/>
        </w:rPr>
        <w:tab/>
      </w:r>
      <w:r w:rsidRPr="00A47D04">
        <w:rPr>
          <w:b/>
          <w:bCs/>
          <w:sz w:val="22"/>
          <w:szCs w:val="22"/>
          <w:lang w:val="sr-Latn-RS"/>
        </w:rPr>
        <w:t xml:space="preserve">Uticaj na </w:t>
      </w:r>
      <w:r w:rsidR="002031B3" w:rsidRPr="00A47D04">
        <w:rPr>
          <w:b/>
          <w:bCs/>
          <w:sz w:val="22"/>
          <w:szCs w:val="22"/>
          <w:lang w:val="sr-Latn-RS"/>
        </w:rPr>
        <w:t xml:space="preserve">sposobnost </w:t>
      </w:r>
      <w:r w:rsidR="00F34554" w:rsidRPr="00A47D04">
        <w:rPr>
          <w:b/>
          <w:bCs/>
          <w:sz w:val="22"/>
          <w:szCs w:val="22"/>
          <w:lang w:val="sr-Latn-RS"/>
        </w:rPr>
        <w:t>upravljanja vozili</w:t>
      </w:r>
      <w:r w:rsidRPr="00A47D04">
        <w:rPr>
          <w:b/>
          <w:bCs/>
          <w:sz w:val="22"/>
          <w:szCs w:val="22"/>
          <w:lang w:val="sr-Latn-RS"/>
        </w:rPr>
        <w:t>m</w:t>
      </w:r>
      <w:r w:rsidR="00F34554" w:rsidRPr="00A47D04">
        <w:rPr>
          <w:b/>
          <w:bCs/>
          <w:sz w:val="22"/>
          <w:szCs w:val="22"/>
          <w:lang w:val="sr-Latn-RS"/>
        </w:rPr>
        <w:t>a</w:t>
      </w:r>
      <w:r w:rsidRPr="00A47D04">
        <w:rPr>
          <w:b/>
          <w:bCs/>
          <w:sz w:val="22"/>
          <w:szCs w:val="22"/>
          <w:lang w:val="sr-Latn-RS"/>
        </w:rPr>
        <w:t xml:space="preserve"> i </w:t>
      </w:r>
      <w:r w:rsidR="000D3449" w:rsidRPr="00A47D04">
        <w:rPr>
          <w:b/>
          <w:bCs/>
          <w:sz w:val="22"/>
          <w:szCs w:val="22"/>
          <w:lang w:val="sr-Latn-RS"/>
        </w:rPr>
        <w:t xml:space="preserve">rukovanje </w:t>
      </w:r>
      <w:r w:rsidRPr="00A47D04">
        <w:rPr>
          <w:b/>
          <w:bCs/>
          <w:sz w:val="22"/>
          <w:szCs w:val="22"/>
          <w:lang w:val="sr-Latn-RS"/>
        </w:rPr>
        <w:t>mašinama</w:t>
      </w:r>
    </w:p>
    <w:p w14:paraId="4390CFB2" w14:textId="257CC605" w:rsidR="00885966" w:rsidRPr="00A47D04" w:rsidRDefault="00885966" w:rsidP="00A47D0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3B7212CE" w14:textId="2F41E3E1" w:rsidR="00885966" w:rsidRPr="00817EE7" w:rsidRDefault="00885966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L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 Plenvu nema uticaj na sposobnost upravljanja vozilima i r</w:t>
      </w:r>
      <w:r w:rsidR="006516AE">
        <w:rPr>
          <w:sz w:val="22"/>
          <w:szCs w:val="22"/>
          <w:lang w:val="sr-Latn-RS"/>
        </w:rPr>
        <w:t>ukovanje</w:t>
      </w:r>
      <w:r w:rsidRPr="00817EE7">
        <w:rPr>
          <w:sz w:val="22"/>
          <w:szCs w:val="22"/>
          <w:lang w:val="sr-Latn-RS"/>
        </w:rPr>
        <w:t xml:space="preserve"> mašinama.</w:t>
      </w:r>
    </w:p>
    <w:p w14:paraId="10908D19" w14:textId="77777777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481C303" w14:textId="77777777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4.8.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Neželjena dejstva</w:t>
      </w:r>
    </w:p>
    <w:p w14:paraId="51231624" w14:textId="77777777" w:rsidR="004E70AD" w:rsidRPr="0093433A" w:rsidRDefault="004E70AD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E83C679" w14:textId="30D480DF" w:rsidR="00C40A88" w:rsidRPr="00817EE7" w:rsidRDefault="00101462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Dijareja</w:t>
      </w:r>
      <w:r w:rsidR="00C40A88" w:rsidRPr="00817EE7">
        <w:rPr>
          <w:noProof/>
          <w:sz w:val="22"/>
          <w:szCs w:val="22"/>
          <w:lang w:val="sr-Latn-RS"/>
        </w:rPr>
        <w:t xml:space="preserve"> je očekivani ishod </w:t>
      </w:r>
      <w:r w:rsidR="006516AE">
        <w:rPr>
          <w:noProof/>
          <w:sz w:val="22"/>
          <w:szCs w:val="22"/>
          <w:lang w:val="sr-Latn-RS"/>
        </w:rPr>
        <w:t xml:space="preserve">postupka </w:t>
      </w:r>
      <w:r w:rsidR="00C40A88" w:rsidRPr="006964A9">
        <w:rPr>
          <w:noProof/>
          <w:sz w:val="22"/>
          <w:szCs w:val="22"/>
          <w:lang w:val="sr-Latn-RS"/>
        </w:rPr>
        <w:t>pripreme</w:t>
      </w:r>
      <w:r w:rsidR="00C40A88" w:rsidRPr="00817EE7">
        <w:rPr>
          <w:noProof/>
          <w:sz w:val="22"/>
          <w:szCs w:val="22"/>
          <w:lang w:val="sr-Latn-RS"/>
        </w:rPr>
        <w:t xml:space="preserve"> cr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="00C40A88" w:rsidRPr="00817EE7">
        <w:rPr>
          <w:noProof/>
          <w:sz w:val="22"/>
          <w:szCs w:val="22"/>
          <w:lang w:val="sr-Latn-RS"/>
        </w:rPr>
        <w:t>eva. Zbog prirode intervencije, neželjena dejstva se javljaju kod većine pacijenata tokom procesa pripreme cr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="00C40A88" w:rsidRPr="00817EE7">
        <w:rPr>
          <w:noProof/>
          <w:sz w:val="22"/>
          <w:szCs w:val="22"/>
          <w:lang w:val="sr-Latn-RS"/>
        </w:rPr>
        <w:t>eva. Iako se ona razlikuju u zavisnosti od preparata, mučnina, povraćanje, nadimanje, bolovi u stomaku, iritacija anusa i poremećaj spavanja često se javljaju kod pacijenata koji se podvrgavaju pripremi cr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="00C40A88" w:rsidRPr="00817EE7">
        <w:rPr>
          <w:noProof/>
          <w:sz w:val="22"/>
          <w:szCs w:val="22"/>
          <w:lang w:val="sr-Latn-RS"/>
        </w:rPr>
        <w:t>eva. Dehidracija se može javiti kao rezultat dijareje i/ili povraćanja.</w:t>
      </w:r>
    </w:p>
    <w:p w14:paraId="2061FAE2" w14:textId="77777777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9E26B5E" w14:textId="3B63ECB0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Podaci iz kliničkih studija dostupni su u populaciji od preko hiljadu ispitanika l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ečenih l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ekom Plenvu kod kojih su aktivno skupljani podaci o neželjenim dejstvima.</w:t>
      </w:r>
    </w:p>
    <w:p w14:paraId="2E3DE8FD" w14:textId="77777777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82004B5" w14:textId="1672097F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Tabela u nastavku daje spisak neželjenih dejstava koja su se javila tokom l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ečenja</w:t>
      </w:r>
      <w:r w:rsidR="00636D6B">
        <w:rPr>
          <w:noProof/>
          <w:sz w:val="22"/>
          <w:szCs w:val="22"/>
          <w:lang w:val="sr-Latn-RS"/>
        </w:rPr>
        <w:t>,</w:t>
      </w:r>
      <w:r w:rsidRPr="00817EE7">
        <w:rPr>
          <w:noProof/>
          <w:sz w:val="22"/>
          <w:szCs w:val="22"/>
          <w:lang w:val="sr-Latn-RS"/>
        </w:rPr>
        <w:t xml:space="preserve"> a zab</w:t>
      </w:r>
      <w:r w:rsidR="003761F1" w:rsidRPr="00817EE7">
        <w:rPr>
          <w:noProof/>
          <w:sz w:val="22"/>
          <w:szCs w:val="22"/>
          <w:lang w:val="sr-Latn-RS"/>
        </w:rPr>
        <w:t>ilj</w:t>
      </w:r>
      <w:r w:rsidRPr="00817EE7">
        <w:rPr>
          <w:noProof/>
          <w:sz w:val="22"/>
          <w:szCs w:val="22"/>
          <w:lang w:val="sr-Latn-RS"/>
        </w:rPr>
        <w:t>ežena su u kliničkim studijama sa l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ekom Plenvu.</w:t>
      </w:r>
    </w:p>
    <w:p w14:paraId="1F616295" w14:textId="77777777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60FA4E6" w14:textId="5967D988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Učestalost neželjenih reakcija na l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ek Plenvu definisana je na osnovu sl</w:t>
      </w:r>
      <w:r w:rsidR="003761F1" w:rsidRPr="00817EE7">
        <w:rPr>
          <w:noProof/>
          <w:sz w:val="22"/>
          <w:szCs w:val="22"/>
          <w:lang w:val="sr-Latn-RS"/>
        </w:rPr>
        <w:t>j</w:t>
      </w:r>
      <w:r w:rsidRPr="00817EE7">
        <w:rPr>
          <w:noProof/>
          <w:sz w:val="22"/>
          <w:szCs w:val="22"/>
          <w:lang w:val="sr-Latn-RS"/>
        </w:rPr>
        <w:t xml:space="preserve">edeće konvencije: </w:t>
      </w:r>
    </w:p>
    <w:p w14:paraId="5136034A" w14:textId="116CDC61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Veoma često (≥1/10)</w:t>
      </w:r>
    </w:p>
    <w:p w14:paraId="202911EA" w14:textId="330181D0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Često (≥1/100 do &lt;1/10)</w:t>
      </w:r>
    </w:p>
    <w:p w14:paraId="62A1044A" w14:textId="69210826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 xml:space="preserve">Povremeno (≥1/1,000 do &lt;1/100) </w:t>
      </w:r>
    </w:p>
    <w:p w14:paraId="562E7342" w14:textId="10C504C8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R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etko (≥1/10</w:t>
      </w:r>
      <w:r w:rsidR="00101462">
        <w:rPr>
          <w:noProof/>
          <w:sz w:val="22"/>
          <w:szCs w:val="22"/>
          <w:lang w:val="sr-Latn-RS"/>
        </w:rPr>
        <w:t>,</w:t>
      </w:r>
      <w:r w:rsidRPr="00817EE7">
        <w:rPr>
          <w:noProof/>
          <w:sz w:val="22"/>
          <w:szCs w:val="22"/>
          <w:lang w:val="sr-Latn-RS"/>
        </w:rPr>
        <w:t xml:space="preserve">000 do &lt;1/1,000) </w:t>
      </w:r>
    </w:p>
    <w:p w14:paraId="4F0885CA" w14:textId="6C0BCF82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Veoma r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etko (&lt;1/10,000)</w:t>
      </w:r>
    </w:p>
    <w:p w14:paraId="150175EB" w14:textId="3395AA5D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17EE7">
        <w:rPr>
          <w:noProof/>
          <w:sz w:val="22"/>
          <w:szCs w:val="22"/>
          <w:lang w:val="sr-Latn-RS"/>
        </w:rPr>
        <w:t>Nepoznato (ne može se proc</w:t>
      </w:r>
      <w:r w:rsidR="003761F1" w:rsidRPr="00817EE7">
        <w:rPr>
          <w:noProof/>
          <w:sz w:val="22"/>
          <w:szCs w:val="22"/>
          <w:lang w:val="sr-Latn-RS"/>
        </w:rPr>
        <w:t>ij</w:t>
      </w:r>
      <w:r w:rsidRPr="00817EE7">
        <w:rPr>
          <w:noProof/>
          <w:sz w:val="22"/>
          <w:szCs w:val="22"/>
          <w:lang w:val="sr-Latn-RS"/>
        </w:rPr>
        <w:t>eniti na osnovu dostupnih podataka)</w:t>
      </w:r>
    </w:p>
    <w:p w14:paraId="41413EB8" w14:textId="77777777" w:rsidR="00C40A88" w:rsidRPr="00817EE7" w:rsidRDefault="00C40A88" w:rsidP="00A47D0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tbl>
      <w:tblPr>
        <w:tblW w:w="48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1392"/>
        <w:gridCol w:w="1380"/>
        <w:gridCol w:w="2282"/>
        <w:gridCol w:w="1418"/>
      </w:tblGrid>
      <w:tr w:rsidR="00436D65" w:rsidRPr="00A47D04" w14:paraId="065CC850" w14:textId="776B029B" w:rsidTr="00603751">
        <w:tc>
          <w:tcPr>
            <w:tcW w:w="2312" w:type="dxa"/>
          </w:tcPr>
          <w:p w14:paraId="7B59A618" w14:textId="77777777" w:rsidR="00436D65" w:rsidRPr="00A47D04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92" w:type="dxa"/>
          </w:tcPr>
          <w:p w14:paraId="3945E712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47" w:lineRule="auto"/>
              <w:ind w:left="107" w:right="372"/>
              <w:jc w:val="both"/>
              <w:rPr>
                <w:b/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 xml:space="preserve">Veoma često (≥1/10) </w:t>
            </w:r>
            <w:r w:rsidRPr="0093433A">
              <w:rPr>
                <w:b/>
                <w:sz w:val="22"/>
                <w:szCs w:val="22"/>
                <w:vertAlign w:val="superscript"/>
                <w:lang w:val="sr-Latn-RS" w:bidi="en-US"/>
              </w:rPr>
              <w:t>#</w:t>
            </w:r>
          </w:p>
        </w:tc>
        <w:tc>
          <w:tcPr>
            <w:tcW w:w="1380" w:type="dxa"/>
          </w:tcPr>
          <w:p w14:paraId="49BE7D39" w14:textId="77777777" w:rsidR="00436D65" w:rsidRPr="0093433A" w:rsidRDefault="00436D65" w:rsidP="00E71A83">
            <w:pPr>
              <w:widowControl w:val="0"/>
              <w:autoSpaceDE w:val="0"/>
              <w:autoSpaceDN w:val="0"/>
              <w:ind w:left="106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Često</w:t>
            </w:r>
          </w:p>
          <w:p w14:paraId="2BD6CBD3" w14:textId="797D8EF7" w:rsidR="00436D65" w:rsidRPr="0093433A" w:rsidRDefault="00436D65" w:rsidP="00E71A83">
            <w:pPr>
              <w:widowControl w:val="0"/>
              <w:autoSpaceDE w:val="0"/>
              <w:autoSpaceDN w:val="0"/>
              <w:ind w:left="106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(≥1/100 do &lt;1/10)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6A562881" w14:textId="60E29CC7" w:rsidR="00436D65" w:rsidRPr="0093433A" w:rsidRDefault="00436D65" w:rsidP="00603751">
            <w:pPr>
              <w:widowControl w:val="0"/>
              <w:autoSpaceDE w:val="0"/>
              <w:autoSpaceDN w:val="0"/>
              <w:spacing w:line="244" w:lineRule="auto"/>
              <w:ind w:left="106" w:right="811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Povremeno (≥1/1,000 do &lt;1/100)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4FE0BA" w14:textId="754B47BC" w:rsidR="00436D65" w:rsidRPr="00603751" w:rsidRDefault="00603751" w:rsidP="00A47D04">
            <w:pPr>
              <w:widowControl w:val="0"/>
              <w:autoSpaceDE w:val="0"/>
              <w:autoSpaceDN w:val="0"/>
              <w:spacing w:line="244" w:lineRule="auto"/>
              <w:ind w:left="106" w:right="811"/>
              <w:jc w:val="both"/>
              <w:rPr>
                <w:sz w:val="22"/>
                <w:szCs w:val="22"/>
                <w:lang w:val="sr-Latn-RS" w:bidi="en-US"/>
              </w:rPr>
            </w:pPr>
            <w:r w:rsidRPr="00603751">
              <w:rPr>
                <w:sz w:val="22"/>
                <w:szCs w:val="22"/>
                <w:lang w:val="sr-Latn-RS" w:bidi="en-US"/>
              </w:rPr>
              <w:t>Nep</w:t>
            </w:r>
            <w:r w:rsidR="00402450">
              <w:rPr>
                <w:sz w:val="22"/>
                <w:szCs w:val="22"/>
                <w:lang w:val="sr-Latn-RS" w:bidi="en-US"/>
              </w:rPr>
              <w:t>o</w:t>
            </w:r>
            <w:r w:rsidRPr="00603751">
              <w:rPr>
                <w:sz w:val="22"/>
                <w:szCs w:val="22"/>
                <w:lang w:val="sr-Latn-RS" w:bidi="en-US"/>
              </w:rPr>
              <w:t>znata učestalost</w:t>
            </w:r>
          </w:p>
        </w:tc>
      </w:tr>
      <w:tr w:rsidR="00436D65" w:rsidRPr="0093433A" w14:paraId="2F94B4CF" w14:textId="2AAA65D0" w:rsidTr="00603751">
        <w:tc>
          <w:tcPr>
            <w:tcW w:w="2312" w:type="dxa"/>
          </w:tcPr>
          <w:p w14:paraId="307D6AAC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7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Gastrointestinalni poremećaji</w:t>
            </w:r>
          </w:p>
        </w:tc>
        <w:tc>
          <w:tcPr>
            <w:tcW w:w="1392" w:type="dxa"/>
          </w:tcPr>
          <w:p w14:paraId="56721882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72230CC3" w14:textId="1C24AD3C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povraćanje, mučnina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45AD975D" w14:textId="461685C7" w:rsidR="00436D65" w:rsidRPr="0093433A" w:rsidRDefault="00436D65" w:rsidP="00E71A83">
            <w:pPr>
              <w:widowControl w:val="0"/>
              <w:autoSpaceDE w:val="0"/>
              <w:autoSpaceDN w:val="0"/>
              <w:spacing w:line="244" w:lineRule="auto"/>
              <w:ind w:left="106" w:right="135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napetost u stomaku, neprijatnost u analno-rektalnom dijelu, bol u abdomenu, bol u gornjem abdomenu, bol u donjem dijelu abdomena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109C79" w14:textId="4356D570" w:rsidR="00436D65" w:rsidRPr="0093433A" w:rsidRDefault="00603751" w:rsidP="00B40E5B">
            <w:pPr>
              <w:widowControl w:val="0"/>
              <w:autoSpaceDE w:val="0"/>
              <w:autoSpaceDN w:val="0"/>
              <w:spacing w:line="244" w:lineRule="auto"/>
              <w:ind w:left="106" w:right="135"/>
              <w:rPr>
                <w:sz w:val="22"/>
                <w:szCs w:val="22"/>
                <w:lang w:val="sr-Latn-RS" w:bidi="en-US"/>
              </w:rPr>
            </w:pPr>
            <w:r w:rsidRPr="00603751">
              <w:rPr>
                <w:sz w:val="22"/>
                <w:szCs w:val="22"/>
                <w:lang w:val="sr-Latn-RS" w:bidi="en-US"/>
              </w:rPr>
              <w:t>ruptur</w:t>
            </w:r>
            <w:r>
              <w:rPr>
                <w:sz w:val="22"/>
                <w:szCs w:val="22"/>
                <w:lang w:val="sr-Latn-RS" w:bidi="en-US"/>
              </w:rPr>
              <w:t>a</w:t>
            </w:r>
            <w:r w:rsidRPr="00603751">
              <w:rPr>
                <w:sz w:val="22"/>
                <w:szCs w:val="22"/>
                <w:lang w:val="sr-Latn-RS" w:bidi="en-US"/>
              </w:rPr>
              <w:t xml:space="preserve"> jednjaka (Boerhaave sindrom)</w:t>
            </w:r>
          </w:p>
        </w:tc>
      </w:tr>
      <w:tr w:rsidR="00436D65" w:rsidRPr="00A47D04" w14:paraId="1C2F9AAF" w14:textId="20E93577" w:rsidTr="00603751">
        <w:tc>
          <w:tcPr>
            <w:tcW w:w="2312" w:type="dxa"/>
          </w:tcPr>
          <w:p w14:paraId="76E943DC" w14:textId="77777777" w:rsidR="00436D65" w:rsidRPr="0093433A" w:rsidRDefault="00436D65" w:rsidP="00E71A83">
            <w:pPr>
              <w:widowControl w:val="0"/>
              <w:autoSpaceDE w:val="0"/>
              <w:autoSpaceDN w:val="0"/>
              <w:spacing w:line="225" w:lineRule="exact"/>
              <w:ind w:left="107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Poremećaji imunog sistema</w:t>
            </w:r>
          </w:p>
        </w:tc>
        <w:tc>
          <w:tcPr>
            <w:tcW w:w="1392" w:type="dxa"/>
          </w:tcPr>
          <w:p w14:paraId="6DDD46E1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5CF51E99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42A3ACF9" w14:textId="6916F8DC" w:rsidR="00436D65" w:rsidRPr="0093433A" w:rsidRDefault="00436D65" w:rsidP="00603751">
            <w:pPr>
              <w:widowControl w:val="0"/>
              <w:autoSpaceDE w:val="0"/>
              <w:autoSpaceDN w:val="0"/>
              <w:spacing w:line="225" w:lineRule="exact"/>
              <w:ind w:left="106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preosjetljivost na ljekove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B4CD28" w14:textId="77777777" w:rsidR="00436D65" w:rsidRPr="0093433A" w:rsidRDefault="00436D65" w:rsidP="00436D65">
            <w:pPr>
              <w:widowControl w:val="0"/>
              <w:autoSpaceDE w:val="0"/>
              <w:autoSpaceDN w:val="0"/>
              <w:spacing w:line="225" w:lineRule="exact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  <w:tr w:rsidR="00436D65" w:rsidRPr="00A47D04" w14:paraId="715916BC" w14:textId="3854A6B8" w:rsidTr="00603751">
        <w:tc>
          <w:tcPr>
            <w:tcW w:w="2312" w:type="dxa"/>
          </w:tcPr>
          <w:p w14:paraId="694DF753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7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Poremećaji metabolizma i ishrane</w:t>
            </w:r>
          </w:p>
        </w:tc>
        <w:tc>
          <w:tcPr>
            <w:tcW w:w="1392" w:type="dxa"/>
          </w:tcPr>
          <w:p w14:paraId="6F161D7E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3E764BA8" w14:textId="3155FA65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dehidratacija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5B4140A0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28CB8F6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  <w:tr w:rsidR="00436D65" w:rsidRPr="00A47D04" w14:paraId="602344E2" w14:textId="3D31D567" w:rsidTr="00603751">
        <w:tc>
          <w:tcPr>
            <w:tcW w:w="2312" w:type="dxa"/>
          </w:tcPr>
          <w:p w14:paraId="01CA179F" w14:textId="77777777" w:rsidR="00436D65" w:rsidRPr="0093433A" w:rsidRDefault="00436D65" w:rsidP="00E71A83">
            <w:pPr>
              <w:widowControl w:val="0"/>
              <w:autoSpaceDE w:val="0"/>
              <w:autoSpaceDN w:val="0"/>
              <w:spacing w:line="225" w:lineRule="exact"/>
              <w:ind w:left="107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Poremećaji nervnog sistema</w:t>
            </w:r>
          </w:p>
        </w:tc>
        <w:tc>
          <w:tcPr>
            <w:tcW w:w="1392" w:type="dxa"/>
          </w:tcPr>
          <w:p w14:paraId="40F8E2D6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27230ECD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06FB9DE7" w14:textId="4A73D2CD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glavobolja, migrena,</w:t>
            </w:r>
          </w:p>
          <w:p w14:paraId="7DE548B5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0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pospanost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FF5564" w14:textId="77777777" w:rsidR="00436D65" w:rsidRDefault="00436D65">
            <w:pPr>
              <w:rPr>
                <w:sz w:val="22"/>
                <w:szCs w:val="22"/>
                <w:lang w:val="sr-Latn-RS" w:bidi="en-US"/>
              </w:rPr>
            </w:pPr>
          </w:p>
          <w:p w14:paraId="3BD49906" w14:textId="7A657150" w:rsidR="00436D65" w:rsidRPr="0093433A" w:rsidRDefault="0020499F" w:rsidP="00A47D04">
            <w:pPr>
              <w:widowControl w:val="0"/>
              <w:autoSpaceDE w:val="0"/>
              <w:autoSpaceDN w:val="0"/>
              <w:spacing w:line="220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>
              <w:rPr>
                <w:sz w:val="22"/>
                <w:szCs w:val="22"/>
                <w:lang w:val="sr-Latn-RS" w:bidi="en-US"/>
              </w:rPr>
              <w:t>napadi</w:t>
            </w:r>
          </w:p>
        </w:tc>
      </w:tr>
      <w:tr w:rsidR="00436D65" w:rsidRPr="00A47D04" w14:paraId="59447665" w14:textId="49ED126E" w:rsidTr="00603751">
        <w:tc>
          <w:tcPr>
            <w:tcW w:w="2312" w:type="dxa"/>
          </w:tcPr>
          <w:p w14:paraId="44167921" w14:textId="1CAF10BD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7" w:right="57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Opšti poremećaji i poremećaji na mjestu primjene</w:t>
            </w:r>
          </w:p>
        </w:tc>
        <w:tc>
          <w:tcPr>
            <w:tcW w:w="1392" w:type="dxa"/>
          </w:tcPr>
          <w:p w14:paraId="2D31B776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675806DA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370BC2FF" w14:textId="586AE1B5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žeđ*, zamor, astenija, jeza**, bolovi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E8F18F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  <w:tr w:rsidR="00436D65" w:rsidRPr="00A47D04" w14:paraId="255FB507" w14:textId="211DE300" w:rsidTr="00603751">
        <w:tc>
          <w:tcPr>
            <w:tcW w:w="2312" w:type="dxa"/>
          </w:tcPr>
          <w:p w14:paraId="327EDEA7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7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Kardiološki poremećaji</w:t>
            </w:r>
          </w:p>
        </w:tc>
        <w:tc>
          <w:tcPr>
            <w:tcW w:w="1392" w:type="dxa"/>
          </w:tcPr>
          <w:p w14:paraId="48307DF7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075D49A5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20DEFB69" w14:textId="1761B16D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palpitacije, sinusna tahikardija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9A3A70" w14:textId="77777777" w:rsidR="00436D65" w:rsidRPr="0093433A" w:rsidRDefault="00436D65" w:rsidP="00436D65">
            <w:pPr>
              <w:widowControl w:val="0"/>
              <w:autoSpaceDE w:val="0"/>
              <w:autoSpaceDN w:val="0"/>
              <w:spacing w:line="225" w:lineRule="exact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  <w:tr w:rsidR="00436D65" w:rsidRPr="0093433A" w14:paraId="6DE0B73A" w14:textId="2EBC3009" w:rsidTr="00603751">
        <w:tc>
          <w:tcPr>
            <w:tcW w:w="2312" w:type="dxa"/>
          </w:tcPr>
          <w:p w14:paraId="63B084C3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7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Vaskularni poremećaji</w:t>
            </w:r>
          </w:p>
        </w:tc>
        <w:tc>
          <w:tcPr>
            <w:tcW w:w="1392" w:type="dxa"/>
          </w:tcPr>
          <w:p w14:paraId="05E22807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50263955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657252D6" w14:textId="4FC897C3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prolazni porast krvnog pritiska, naleti vrućine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8B9E2B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  <w:tr w:rsidR="00436D65" w:rsidRPr="0093433A" w14:paraId="14CD3BF7" w14:textId="07507527" w:rsidTr="00603751">
        <w:tc>
          <w:tcPr>
            <w:tcW w:w="2312" w:type="dxa"/>
          </w:tcPr>
          <w:p w14:paraId="60E223F4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25" w:lineRule="exact"/>
              <w:ind w:left="107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Laboratorijska ispitivanja</w:t>
            </w:r>
          </w:p>
        </w:tc>
        <w:tc>
          <w:tcPr>
            <w:tcW w:w="1392" w:type="dxa"/>
          </w:tcPr>
          <w:p w14:paraId="5E8A3975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1380" w:type="dxa"/>
          </w:tcPr>
          <w:p w14:paraId="77CB13F8" w14:textId="77777777" w:rsidR="00436D65" w:rsidRPr="0093433A" w:rsidRDefault="00436D65" w:rsidP="00A47D0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RS" w:bidi="en-US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14:paraId="098BC1FA" w14:textId="5D72EE94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prolazni porast nivoa enzima jetre</w:t>
            </w:r>
            <w:bookmarkStart w:id="0" w:name="4.9_Overdose"/>
            <w:bookmarkStart w:id="1" w:name="5._PHARMACOLOGICAL_PROPERTIES"/>
            <w:bookmarkStart w:id="2" w:name="5.1_Pharmacodynamic_properties"/>
            <w:bookmarkEnd w:id="0"/>
            <w:bookmarkEnd w:id="1"/>
            <w:bookmarkEnd w:id="2"/>
            <w:r w:rsidRPr="0093433A">
              <w:rPr>
                <w:sz w:val="22"/>
                <w:szCs w:val="22"/>
                <w:lang w:val="sr-Latn-RS" w:bidi="en-US"/>
              </w:rPr>
              <w:t>***</w:t>
            </w:r>
          </w:p>
          <w:p w14:paraId="44CA0276" w14:textId="2919926F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6" w:right="186"/>
              <w:jc w:val="both"/>
              <w:rPr>
                <w:sz w:val="22"/>
                <w:szCs w:val="22"/>
                <w:lang w:val="sr-Latn-RS" w:bidi="en-US"/>
              </w:rPr>
            </w:pPr>
            <w:r w:rsidRPr="0093433A">
              <w:rPr>
                <w:sz w:val="22"/>
                <w:szCs w:val="22"/>
                <w:lang w:val="sr-Latn-RS" w:bidi="en-US"/>
              </w:rPr>
              <w:t>hipernatremija, hiperkalcemija, hipofosfatemija, hipokalemija, snižen nivo bikarbonata, porast/smanjenje anjonskog gapa, hiperosmolarno stanje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AAFD49" w14:textId="77777777" w:rsidR="00436D65" w:rsidRPr="0093433A" w:rsidRDefault="00436D65" w:rsidP="00A47D04">
            <w:pPr>
              <w:widowControl w:val="0"/>
              <w:autoSpaceDE w:val="0"/>
              <w:autoSpaceDN w:val="0"/>
              <w:spacing w:line="244" w:lineRule="auto"/>
              <w:ind w:left="106" w:right="186"/>
              <w:jc w:val="both"/>
              <w:rPr>
                <w:sz w:val="22"/>
                <w:szCs w:val="22"/>
                <w:lang w:val="sr-Latn-RS" w:bidi="en-US"/>
              </w:rPr>
            </w:pPr>
          </w:p>
        </w:tc>
      </w:tr>
    </w:tbl>
    <w:p w14:paraId="77130E0F" w14:textId="5513742E" w:rsidR="00C40A88" w:rsidRPr="00817EE7" w:rsidRDefault="00C40A88" w:rsidP="00A47D04">
      <w:pPr>
        <w:tabs>
          <w:tab w:val="left" w:pos="284"/>
        </w:tabs>
        <w:jc w:val="both"/>
        <w:rPr>
          <w:noProof/>
          <w:sz w:val="18"/>
          <w:szCs w:val="18"/>
          <w:lang w:val="sr-Latn-RS"/>
        </w:rPr>
      </w:pPr>
      <w:r w:rsidRPr="00817EE7">
        <w:rPr>
          <w:noProof/>
          <w:sz w:val="18"/>
          <w:szCs w:val="18"/>
          <w:lang w:val="sr-Latn-RS"/>
        </w:rPr>
        <w:t>* Žeđ podrazum</w:t>
      </w:r>
      <w:r w:rsidR="003761F1" w:rsidRPr="00817EE7">
        <w:rPr>
          <w:noProof/>
          <w:sz w:val="18"/>
          <w:szCs w:val="18"/>
          <w:lang w:val="sr-Latn-RS"/>
        </w:rPr>
        <w:t>ij</w:t>
      </w:r>
      <w:r w:rsidRPr="00817EE7">
        <w:rPr>
          <w:noProof/>
          <w:sz w:val="18"/>
          <w:szCs w:val="18"/>
          <w:lang w:val="sr-Latn-RS"/>
        </w:rPr>
        <w:t>eva p</w:t>
      </w:r>
      <w:r w:rsidR="006964A9">
        <w:rPr>
          <w:noProof/>
          <w:sz w:val="18"/>
          <w:szCs w:val="18"/>
          <w:lang w:val="sr-Latn-RS"/>
        </w:rPr>
        <w:t>rioritetne</w:t>
      </w:r>
      <w:r w:rsidRPr="00817EE7">
        <w:rPr>
          <w:noProof/>
          <w:sz w:val="18"/>
          <w:szCs w:val="18"/>
          <w:lang w:val="sr-Latn-RS"/>
        </w:rPr>
        <w:t xml:space="preserve"> termine; žeđ, suva usta i suvo grlo</w:t>
      </w:r>
    </w:p>
    <w:p w14:paraId="310F50EF" w14:textId="665CE9F7" w:rsidR="00C40A88" w:rsidRPr="00817EE7" w:rsidRDefault="00C40A88" w:rsidP="00A47D04">
      <w:pPr>
        <w:tabs>
          <w:tab w:val="left" w:pos="284"/>
        </w:tabs>
        <w:jc w:val="both"/>
        <w:rPr>
          <w:noProof/>
          <w:sz w:val="18"/>
          <w:szCs w:val="18"/>
          <w:lang w:val="sr-Latn-RS"/>
        </w:rPr>
      </w:pPr>
      <w:r w:rsidRPr="00817EE7">
        <w:rPr>
          <w:noProof/>
          <w:sz w:val="18"/>
          <w:szCs w:val="18"/>
          <w:lang w:val="sr-Latn-RS"/>
        </w:rPr>
        <w:t>** Jeza podrazum</w:t>
      </w:r>
      <w:r w:rsidR="003761F1" w:rsidRPr="00817EE7">
        <w:rPr>
          <w:noProof/>
          <w:sz w:val="18"/>
          <w:szCs w:val="18"/>
          <w:lang w:val="sr-Latn-RS"/>
        </w:rPr>
        <w:t>ij</w:t>
      </w:r>
      <w:r w:rsidRPr="00817EE7">
        <w:rPr>
          <w:noProof/>
          <w:sz w:val="18"/>
          <w:szCs w:val="18"/>
          <w:lang w:val="sr-Latn-RS"/>
        </w:rPr>
        <w:t>eva p</w:t>
      </w:r>
      <w:r w:rsidR="006964A9">
        <w:rPr>
          <w:noProof/>
          <w:sz w:val="18"/>
          <w:szCs w:val="18"/>
          <w:lang w:val="sr-Latn-RS"/>
        </w:rPr>
        <w:t>rioritetne</w:t>
      </w:r>
      <w:r w:rsidRPr="00817EE7">
        <w:rPr>
          <w:noProof/>
          <w:sz w:val="18"/>
          <w:szCs w:val="18"/>
          <w:lang w:val="sr-Latn-RS"/>
        </w:rPr>
        <w:t xml:space="preserve"> termine; jeza, os</w:t>
      </w:r>
      <w:r w:rsidR="003761F1" w:rsidRPr="00817EE7">
        <w:rPr>
          <w:noProof/>
          <w:sz w:val="18"/>
          <w:szCs w:val="18"/>
          <w:lang w:val="sr-Latn-RS"/>
        </w:rPr>
        <w:t>j</w:t>
      </w:r>
      <w:r w:rsidRPr="00817EE7">
        <w:rPr>
          <w:noProof/>
          <w:sz w:val="18"/>
          <w:szCs w:val="18"/>
          <w:lang w:val="sr-Latn-RS"/>
        </w:rPr>
        <w:t>ećaj vrućine i os</w:t>
      </w:r>
      <w:r w:rsidR="003761F1" w:rsidRPr="00817EE7">
        <w:rPr>
          <w:noProof/>
          <w:sz w:val="18"/>
          <w:szCs w:val="18"/>
          <w:lang w:val="sr-Latn-RS"/>
        </w:rPr>
        <w:t>j</w:t>
      </w:r>
      <w:r w:rsidRPr="00817EE7">
        <w:rPr>
          <w:noProof/>
          <w:sz w:val="18"/>
          <w:szCs w:val="18"/>
          <w:lang w:val="sr-Latn-RS"/>
        </w:rPr>
        <w:t>ećaj hladnoće</w:t>
      </w:r>
    </w:p>
    <w:p w14:paraId="33A0A17D" w14:textId="1588A018" w:rsidR="00C40A88" w:rsidRPr="00817EE7" w:rsidRDefault="00C40A88" w:rsidP="00A47D04">
      <w:pPr>
        <w:tabs>
          <w:tab w:val="left" w:pos="284"/>
        </w:tabs>
        <w:jc w:val="both"/>
        <w:rPr>
          <w:noProof/>
          <w:sz w:val="18"/>
          <w:szCs w:val="18"/>
          <w:lang w:val="sr-Latn-RS"/>
        </w:rPr>
      </w:pPr>
      <w:r w:rsidRPr="00817EE7">
        <w:rPr>
          <w:noProof/>
          <w:sz w:val="18"/>
          <w:szCs w:val="18"/>
          <w:lang w:val="sr-Latn-RS"/>
        </w:rPr>
        <w:t>*** Prolazno povećanje enzima jetre podrazum</w:t>
      </w:r>
      <w:r w:rsidR="003761F1" w:rsidRPr="00817EE7">
        <w:rPr>
          <w:noProof/>
          <w:sz w:val="18"/>
          <w:szCs w:val="18"/>
          <w:lang w:val="sr-Latn-RS"/>
        </w:rPr>
        <w:t>ij</w:t>
      </w:r>
      <w:r w:rsidRPr="00817EE7">
        <w:rPr>
          <w:noProof/>
          <w:sz w:val="18"/>
          <w:szCs w:val="18"/>
          <w:lang w:val="sr-Latn-RS"/>
        </w:rPr>
        <w:t xml:space="preserve">eva </w:t>
      </w:r>
      <w:r w:rsidR="006964A9">
        <w:rPr>
          <w:noProof/>
          <w:sz w:val="18"/>
          <w:szCs w:val="18"/>
          <w:lang w:val="sr-Latn-RS"/>
        </w:rPr>
        <w:t>prioritet</w:t>
      </w:r>
      <w:r w:rsidRPr="00817EE7">
        <w:rPr>
          <w:noProof/>
          <w:sz w:val="18"/>
          <w:szCs w:val="18"/>
          <w:lang w:val="sr-Latn-RS"/>
        </w:rPr>
        <w:t>ne termine; porast ALT, porast AST, porast GGT, porast enzima jetre, porast transaminaza</w:t>
      </w:r>
    </w:p>
    <w:p w14:paraId="25B07BA2" w14:textId="146C7CEA" w:rsidR="00C40A88" w:rsidRPr="00817EE7" w:rsidRDefault="00C40A88" w:rsidP="00A47D04">
      <w:pPr>
        <w:tabs>
          <w:tab w:val="left" w:pos="284"/>
        </w:tabs>
        <w:jc w:val="both"/>
        <w:rPr>
          <w:noProof/>
          <w:sz w:val="18"/>
          <w:szCs w:val="18"/>
          <w:lang w:val="sr-Latn-RS"/>
        </w:rPr>
      </w:pPr>
      <w:r w:rsidRPr="00817EE7">
        <w:rPr>
          <w:noProof/>
          <w:sz w:val="18"/>
          <w:szCs w:val="18"/>
          <w:lang w:val="sr-Latn-RS"/>
        </w:rPr>
        <w:t># Tokom kliničkih ispitivanja ni</w:t>
      </w:r>
      <w:r w:rsidR="003761F1" w:rsidRPr="00817EE7">
        <w:rPr>
          <w:noProof/>
          <w:sz w:val="18"/>
          <w:szCs w:val="18"/>
          <w:lang w:val="sr-Latn-RS"/>
        </w:rPr>
        <w:t>je</w:t>
      </w:r>
      <w:r w:rsidRPr="00817EE7">
        <w:rPr>
          <w:noProof/>
          <w:sz w:val="18"/>
          <w:szCs w:val="18"/>
          <w:lang w:val="sr-Latn-RS"/>
        </w:rPr>
        <w:t>su zab</w:t>
      </w:r>
      <w:r w:rsidR="003761F1" w:rsidRPr="00817EE7">
        <w:rPr>
          <w:noProof/>
          <w:sz w:val="18"/>
          <w:szCs w:val="18"/>
          <w:lang w:val="sr-Latn-RS"/>
        </w:rPr>
        <w:t>ilj</w:t>
      </w:r>
      <w:r w:rsidRPr="00817EE7">
        <w:rPr>
          <w:noProof/>
          <w:sz w:val="18"/>
          <w:szCs w:val="18"/>
          <w:lang w:val="sr-Latn-RS"/>
        </w:rPr>
        <w:t>eženi neželjeni događaji sa učestalošću „veoma često“.</w:t>
      </w:r>
    </w:p>
    <w:p w14:paraId="7178CE7C" w14:textId="77777777" w:rsidR="00C40A88" w:rsidRPr="00817EE7" w:rsidRDefault="00C40A88" w:rsidP="00A47D04">
      <w:pPr>
        <w:tabs>
          <w:tab w:val="left" w:pos="284"/>
        </w:tabs>
        <w:jc w:val="both"/>
        <w:rPr>
          <w:noProof/>
          <w:sz w:val="18"/>
          <w:szCs w:val="18"/>
          <w:lang w:val="sr-Latn-RS"/>
        </w:rPr>
      </w:pPr>
    </w:p>
    <w:p w14:paraId="4A154AEE" w14:textId="0965E936" w:rsidR="005A23D2" w:rsidRPr="00817EE7" w:rsidRDefault="005A23D2" w:rsidP="00A47D04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817EE7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2DE85CDC" w14:textId="77777777" w:rsidR="005A23D2" w:rsidRPr="00817EE7" w:rsidRDefault="005A23D2" w:rsidP="00A47D04">
      <w:pPr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817EE7">
        <w:rPr>
          <w:rFonts w:eastAsia="Calibri"/>
          <w:sz w:val="22"/>
          <w:szCs w:val="22"/>
          <w:lang w:val="sr-Latn-RS"/>
        </w:rPr>
        <w:t>inuirano praćenje odnosa korist</w:t>
      </w:r>
      <w:r w:rsidRPr="00817EE7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817EE7">
        <w:rPr>
          <w:rFonts w:eastAsia="Calibri"/>
          <w:sz w:val="22"/>
          <w:szCs w:val="22"/>
          <w:lang w:val="sr-Latn-RS"/>
        </w:rPr>
        <w:t xml:space="preserve"> </w:t>
      </w:r>
      <w:r w:rsidRPr="00817EE7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817EE7">
        <w:rPr>
          <w:rFonts w:eastAsia="Calibri"/>
          <w:sz w:val="22"/>
          <w:szCs w:val="22"/>
          <w:lang w:val="sr-Latn-RS"/>
        </w:rPr>
        <w:t>Institutu</w:t>
      </w:r>
      <w:r w:rsidRPr="00817EE7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817EE7">
        <w:rPr>
          <w:rFonts w:eastAsia="Calibri"/>
          <w:sz w:val="22"/>
          <w:szCs w:val="22"/>
          <w:lang w:val="sr-Latn-RS"/>
        </w:rPr>
        <w:t xml:space="preserve"> </w:t>
      </w:r>
      <w:r w:rsidRPr="00817EE7">
        <w:rPr>
          <w:rFonts w:eastAsia="Calibri"/>
          <w:sz w:val="22"/>
          <w:szCs w:val="22"/>
          <w:lang w:val="sr-Latn-RS"/>
        </w:rPr>
        <w:t>(</w:t>
      </w:r>
      <w:r w:rsidR="004E70AD" w:rsidRPr="00817EE7">
        <w:rPr>
          <w:rFonts w:eastAsia="Calibri"/>
          <w:sz w:val="22"/>
          <w:szCs w:val="22"/>
          <w:lang w:val="sr-Latn-RS"/>
        </w:rPr>
        <w:t>CInMED</w:t>
      </w:r>
      <w:r w:rsidRPr="00817EE7">
        <w:rPr>
          <w:rFonts w:eastAsia="Calibri"/>
          <w:sz w:val="22"/>
          <w:szCs w:val="22"/>
          <w:lang w:val="sr-Latn-RS"/>
        </w:rPr>
        <w:t>):</w:t>
      </w:r>
    </w:p>
    <w:p w14:paraId="463F39F1" w14:textId="77777777" w:rsidR="005A23D2" w:rsidRPr="00817EE7" w:rsidRDefault="004E70AD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817EE7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029E9A1D" w14:textId="77777777" w:rsidR="005A23D2" w:rsidRPr="00817EE7" w:rsidRDefault="005A23D2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>Odjeljenje za farmakovigilancu</w:t>
      </w:r>
    </w:p>
    <w:p w14:paraId="198AE98F" w14:textId="77777777" w:rsidR="00EA5765" w:rsidRPr="00817EE7" w:rsidRDefault="005A23D2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lastRenderedPageBreak/>
        <w:t>Bulevar Ivana Crnojevića 64a, 81000 Podgorica</w:t>
      </w:r>
    </w:p>
    <w:p w14:paraId="012ECE13" w14:textId="77777777" w:rsidR="00EA5765" w:rsidRPr="00817EE7" w:rsidRDefault="00EA5765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BA45F14" w14:textId="77777777" w:rsidR="005A23D2" w:rsidRPr="00817EE7" w:rsidRDefault="005A23D2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>tel: +382 (0) 20 310 280</w:t>
      </w:r>
    </w:p>
    <w:p w14:paraId="6BE07A99" w14:textId="77777777" w:rsidR="00EA5765" w:rsidRPr="00817EE7" w:rsidRDefault="005A23D2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>fax:</w:t>
      </w:r>
      <w:r w:rsidR="00EA5765" w:rsidRPr="00817EE7">
        <w:rPr>
          <w:rFonts w:eastAsia="Calibri"/>
          <w:sz w:val="22"/>
          <w:szCs w:val="22"/>
          <w:lang w:val="sr-Latn-RS"/>
        </w:rPr>
        <w:t xml:space="preserve"> </w:t>
      </w:r>
      <w:r w:rsidRPr="00817EE7">
        <w:rPr>
          <w:rFonts w:eastAsia="Calibri"/>
          <w:sz w:val="22"/>
          <w:szCs w:val="22"/>
          <w:lang w:val="sr-Latn-RS"/>
        </w:rPr>
        <w:t>+382 (0) 20 310 581</w:t>
      </w:r>
    </w:p>
    <w:p w14:paraId="1DCC4063" w14:textId="77777777" w:rsidR="005A23D2" w:rsidRPr="00817EE7" w:rsidRDefault="00520CE7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4E70AD" w:rsidRPr="00817EE7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FCED2BB" w14:textId="77777777" w:rsidR="00EA5765" w:rsidRPr="00817EE7" w:rsidRDefault="00520CE7" w:rsidP="00A47D0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4E70AD" w:rsidRPr="00817EE7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8989D94" w14:textId="0970E391" w:rsidR="009A7536" w:rsidRDefault="005A23D2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17EE7">
        <w:rPr>
          <w:rFonts w:eastAsia="Calibri"/>
          <w:sz w:val="22"/>
          <w:szCs w:val="22"/>
          <w:lang w:val="sr-Latn-RS"/>
        </w:rPr>
        <w:t>putem IS zdravstvene zaštite</w:t>
      </w:r>
    </w:p>
    <w:p w14:paraId="6D42F2EE" w14:textId="10063129" w:rsidR="00A47D04" w:rsidRDefault="009A7536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A7536">
        <w:rPr>
          <w:rFonts w:eastAsia="Calibri"/>
          <w:sz w:val="22"/>
          <w:szCs w:val="22"/>
          <w:lang w:val="sr-Latn-RS"/>
        </w:rPr>
        <w:t>QR kod za prijavu sumnje na neželjeno dejstvo lijeka preko interneta:</w:t>
      </w:r>
    </w:p>
    <w:p w14:paraId="2C16DA86" w14:textId="56401520" w:rsidR="00A47D04" w:rsidRPr="00817EE7" w:rsidRDefault="003E23C1" w:rsidP="00A47D0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8A56FD7" wp14:editId="3DC05BF4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36E0B" w14:textId="77777777" w:rsidR="00836B35" w:rsidRPr="00817EE7" w:rsidRDefault="00836B35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FB14C07" w14:textId="4296688D" w:rsidR="00CD6F02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4.9. </w:t>
      </w:r>
      <w:r w:rsidR="00480FB1" w:rsidRPr="00817EE7">
        <w:rPr>
          <w:b/>
          <w:bCs/>
          <w:sz w:val="22"/>
          <w:szCs w:val="22"/>
        </w:rPr>
        <w:tab/>
      </w:r>
      <w:proofErr w:type="spellStart"/>
      <w:r w:rsidRPr="00817EE7">
        <w:rPr>
          <w:b/>
          <w:bCs/>
          <w:sz w:val="22"/>
          <w:szCs w:val="22"/>
        </w:rPr>
        <w:t>Predoziranje</w:t>
      </w:r>
      <w:proofErr w:type="spellEnd"/>
      <w:r w:rsidR="002846DB" w:rsidRPr="00817EE7">
        <w:rPr>
          <w:b/>
          <w:bCs/>
          <w:sz w:val="22"/>
          <w:szCs w:val="22"/>
        </w:rPr>
        <w:t xml:space="preserve"> </w:t>
      </w:r>
    </w:p>
    <w:p w14:paraId="1F35CCA8" w14:textId="6DF8FDEE" w:rsidR="00C40A88" w:rsidRPr="00817EE7" w:rsidRDefault="00C40A88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11F8469" w14:textId="357279C2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U</w:t>
      </w:r>
      <w:r w:rsidR="00101462">
        <w:rPr>
          <w:sz w:val="22"/>
          <w:szCs w:val="22"/>
          <w:lang w:val="sr-Latn-RS"/>
        </w:rPr>
        <w:t>koliko dođe do slučajnog</w:t>
      </w:r>
      <w:r w:rsidRPr="00817EE7">
        <w:rPr>
          <w:sz w:val="22"/>
          <w:szCs w:val="22"/>
          <w:lang w:val="sr-Latn-RS"/>
        </w:rPr>
        <w:t xml:space="preserve"> predoziranja, kada je dijareja teška, možda će biti potrebna nadoknada tečnosti i korekcija elektrolita.</w:t>
      </w:r>
    </w:p>
    <w:p w14:paraId="675840E8" w14:textId="43B88CAD" w:rsidR="00227BDB" w:rsidRDefault="00227BDB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9F994E7" w14:textId="77777777" w:rsidR="00A47D04" w:rsidRPr="00817EE7" w:rsidRDefault="00A47D04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FBEE7A3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5. </w:t>
      </w:r>
      <w:r w:rsidR="00480FB1" w:rsidRPr="00817EE7">
        <w:rPr>
          <w:b/>
          <w:bCs/>
          <w:sz w:val="22"/>
          <w:szCs w:val="22"/>
        </w:rPr>
        <w:tab/>
      </w:r>
      <w:r w:rsidRPr="00817EE7">
        <w:rPr>
          <w:b/>
          <w:bCs/>
          <w:sz w:val="22"/>
          <w:szCs w:val="22"/>
        </w:rPr>
        <w:t>FARMAKOLOŠK</w:t>
      </w:r>
      <w:r w:rsidR="000D425A" w:rsidRPr="00817EE7">
        <w:rPr>
          <w:b/>
          <w:bCs/>
          <w:sz w:val="22"/>
          <w:szCs w:val="22"/>
        </w:rPr>
        <w:t>I</w:t>
      </w:r>
      <w:r w:rsidRPr="00817EE7">
        <w:rPr>
          <w:b/>
          <w:bCs/>
          <w:sz w:val="22"/>
          <w:szCs w:val="22"/>
        </w:rPr>
        <w:t xml:space="preserve"> PODACI</w:t>
      </w:r>
    </w:p>
    <w:p w14:paraId="19C92C83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5BD5E54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5.1. </w:t>
      </w:r>
      <w:r w:rsidR="00480FB1" w:rsidRPr="00817EE7">
        <w:rPr>
          <w:b/>
          <w:bCs/>
          <w:sz w:val="22"/>
          <w:szCs w:val="22"/>
        </w:rPr>
        <w:tab/>
      </w:r>
      <w:proofErr w:type="spellStart"/>
      <w:r w:rsidRPr="00817EE7">
        <w:rPr>
          <w:b/>
          <w:bCs/>
          <w:sz w:val="22"/>
          <w:szCs w:val="22"/>
        </w:rPr>
        <w:t>Farmakodinamski</w:t>
      </w:r>
      <w:proofErr w:type="spellEnd"/>
      <w:r w:rsidRPr="00817EE7">
        <w:rPr>
          <w:b/>
          <w:bCs/>
          <w:sz w:val="22"/>
          <w:szCs w:val="22"/>
        </w:rPr>
        <w:t xml:space="preserve"> </w:t>
      </w:r>
      <w:proofErr w:type="spellStart"/>
      <w:r w:rsidRPr="00817EE7">
        <w:rPr>
          <w:b/>
          <w:bCs/>
          <w:sz w:val="22"/>
          <w:szCs w:val="22"/>
        </w:rPr>
        <w:t>podaci</w:t>
      </w:r>
      <w:proofErr w:type="spellEnd"/>
      <w:r w:rsidR="003A7059" w:rsidRPr="00817EE7">
        <w:rPr>
          <w:b/>
          <w:bCs/>
          <w:sz w:val="22"/>
          <w:szCs w:val="22"/>
        </w:rPr>
        <w:t xml:space="preserve"> </w:t>
      </w:r>
    </w:p>
    <w:p w14:paraId="5CD893F5" w14:textId="77777777" w:rsidR="00F45F77" w:rsidRPr="00817EE7" w:rsidRDefault="00F45F77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BB0F6DE" w14:textId="314C984B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817EE7">
        <w:rPr>
          <w:bCs/>
          <w:sz w:val="22"/>
          <w:szCs w:val="22"/>
        </w:rPr>
        <w:t>Farmakoterapijska</w:t>
      </w:r>
      <w:proofErr w:type="spellEnd"/>
      <w:r w:rsidRPr="00817EE7">
        <w:rPr>
          <w:bCs/>
          <w:sz w:val="22"/>
          <w:szCs w:val="22"/>
        </w:rPr>
        <w:t xml:space="preserve"> </w:t>
      </w:r>
      <w:proofErr w:type="spellStart"/>
      <w:r w:rsidRPr="00817EE7">
        <w:rPr>
          <w:bCs/>
          <w:sz w:val="22"/>
          <w:szCs w:val="22"/>
        </w:rPr>
        <w:t>grupa</w:t>
      </w:r>
      <w:proofErr w:type="spellEnd"/>
      <w:r w:rsidRPr="00817EE7">
        <w:rPr>
          <w:bCs/>
          <w:sz w:val="22"/>
          <w:szCs w:val="22"/>
        </w:rPr>
        <w:t>:</w:t>
      </w:r>
      <w:r w:rsidR="00A90B8C" w:rsidRPr="00817EE7">
        <w:rPr>
          <w:sz w:val="22"/>
          <w:szCs w:val="22"/>
          <w:lang w:val="sr-Latn-RS"/>
        </w:rPr>
        <w:t xml:space="preserve"> osmotski aktivni laksativi</w:t>
      </w:r>
    </w:p>
    <w:p w14:paraId="4EFB8CD2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3563CF7" w14:textId="03B5D46F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817EE7">
        <w:rPr>
          <w:bCs/>
          <w:sz w:val="22"/>
          <w:szCs w:val="22"/>
        </w:rPr>
        <w:t>ATC kod:</w:t>
      </w:r>
      <w:r w:rsidR="00A90B8C" w:rsidRPr="00817EE7">
        <w:rPr>
          <w:sz w:val="22"/>
          <w:szCs w:val="22"/>
          <w:lang w:val="sr-Latn-RS"/>
        </w:rPr>
        <w:t xml:space="preserve"> A06AD65</w:t>
      </w:r>
    </w:p>
    <w:p w14:paraId="30DCA55C" w14:textId="1BC07BFD" w:rsidR="00A90B8C" w:rsidRPr="00817EE7" w:rsidRDefault="00A90B8C" w:rsidP="00A47D04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283BAD7" w14:textId="4B3F0762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Oralna prim</w:t>
      </w:r>
      <w:r w:rsidR="003761F1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ena rastvora elektrolita na bazi makrogola izaziva um</w:t>
      </w:r>
      <w:r w:rsidR="003761F1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erenu dijareju i rezult</w:t>
      </w:r>
      <w:r w:rsidR="00636D6B">
        <w:rPr>
          <w:sz w:val="22"/>
          <w:szCs w:val="22"/>
          <w:lang w:val="sr-Latn-RS"/>
        </w:rPr>
        <w:t>ira</w:t>
      </w:r>
      <w:r w:rsidRPr="00817EE7">
        <w:rPr>
          <w:sz w:val="22"/>
          <w:szCs w:val="22"/>
          <w:lang w:val="sr-Latn-RS"/>
        </w:rPr>
        <w:t xml:space="preserve"> brzim pražnjenjem debelog cr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eva.</w:t>
      </w:r>
    </w:p>
    <w:p w14:paraId="22A3BD6C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EA6A09D" w14:textId="5DD47EF9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Makrogol 3350, natrijum-sulfat i visoke doze askorbinske kiseline </w:t>
      </w:r>
      <w:r w:rsidR="009A4889">
        <w:rPr>
          <w:sz w:val="22"/>
          <w:szCs w:val="22"/>
          <w:lang w:val="sr-Latn-RS"/>
        </w:rPr>
        <w:t>imaju</w:t>
      </w:r>
      <w:r w:rsidRPr="00817EE7">
        <w:rPr>
          <w:sz w:val="22"/>
          <w:szCs w:val="22"/>
          <w:lang w:val="sr-Latn-RS"/>
        </w:rPr>
        <w:t xml:space="preserve"> osmotsko dejstvo u cr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evima, što izaziva laksativni efekat.</w:t>
      </w:r>
    </w:p>
    <w:p w14:paraId="596C92B5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5450458" w14:textId="1357CF9E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Makrogol 3350 povećava zapreminu stolice, što pokreće </w:t>
      </w:r>
      <w:r w:rsidR="00086EA5">
        <w:rPr>
          <w:sz w:val="22"/>
          <w:szCs w:val="22"/>
          <w:lang w:val="sr-Latn-RS"/>
        </w:rPr>
        <w:t>motilitet</w:t>
      </w:r>
      <w:r w:rsidRPr="00817EE7">
        <w:rPr>
          <w:sz w:val="22"/>
          <w:szCs w:val="22"/>
          <w:lang w:val="sr-Latn-RS"/>
        </w:rPr>
        <w:t xml:space="preserve"> debelog cr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eva neuromišićn</w:t>
      </w:r>
      <w:r w:rsidR="00101462">
        <w:rPr>
          <w:sz w:val="22"/>
          <w:szCs w:val="22"/>
          <w:lang w:val="sr-Latn-RS"/>
        </w:rPr>
        <w:t>im</w:t>
      </w:r>
      <w:r w:rsidRPr="00817EE7">
        <w:rPr>
          <w:sz w:val="22"/>
          <w:szCs w:val="22"/>
          <w:lang w:val="sr-Latn-RS"/>
        </w:rPr>
        <w:t xml:space="preserve"> putev</w:t>
      </w:r>
      <w:r w:rsidR="00101462">
        <w:rPr>
          <w:sz w:val="22"/>
          <w:szCs w:val="22"/>
          <w:lang w:val="sr-Latn-RS"/>
        </w:rPr>
        <w:t>ima</w:t>
      </w:r>
      <w:r w:rsidRPr="00817EE7">
        <w:rPr>
          <w:sz w:val="22"/>
          <w:szCs w:val="22"/>
          <w:lang w:val="sr-Latn-RS"/>
        </w:rPr>
        <w:t>.</w:t>
      </w:r>
    </w:p>
    <w:p w14:paraId="33C46E99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1D3BA21" w14:textId="2AC48EEE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Fiziološka posl</w:t>
      </w:r>
      <w:r w:rsidR="003761F1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edica je propulzivni transport omekšane stolice </w:t>
      </w:r>
      <w:r w:rsidR="00086EA5">
        <w:rPr>
          <w:sz w:val="22"/>
          <w:szCs w:val="22"/>
          <w:lang w:val="sr-Latn-RS"/>
        </w:rPr>
        <w:t>kroz</w:t>
      </w:r>
      <w:r w:rsidRPr="00817EE7">
        <w:rPr>
          <w:sz w:val="22"/>
          <w:szCs w:val="22"/>
          <w:lang w:val="sr-Latn-RS"/>
        </w:rPr>
        <w:t xml:space="preserve"> debelo cr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evo.</w:t>
      </w:r>
    </w:p>
    <w:p w14:paraId="02982F9A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F67F735" w14:textId="7C3ABDE6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Elektroliti prisutni u formulaciji i dodatni unos bistre tečnosti su uključeni u terapiju kako bi se spr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ečile klinički značajne varijacije natrijuma, kalijuma ili vode i tako smanjio rizik od dehidratacije.</w:t>
      </w:r>
    </w:p>
    <w:p w14:paraId="3E6DA00E" w14:textId="77777777" w:rsidR="002E37A5" w:rsidRPr="00817EE7" w:rsidRDefault="002E37A5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EA20823" w14:textId="177FB566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5.2.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Farmakokinetički podaci</w:t>
      </w:r>
      <w:r w:rsidR="003A7059" w:rsidRPr="0093433A">
        <w:rPr>
          <w:b/>
          <w:bCs/>
          <w:sz w:val="22"/>
          <w:szCs w:val="22"/>
          <w:lang w:val="sr-Latn-RS"/>
        </w:rPr>
        <w:t xml:space="preserve"> </w:t>
      </w:r>
    </w:p>
    <w:p w14:paraId="195ECB18" w14:textId="64A224AB" w:rsidR="00A90B8C" w:rsidRPr="0093433A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9A2C1A8" w14:textId="7BA7D9DA" w:rsidR="00A90B8C" w:rsidRPr="00817EE7" w:rsidRDefault="00086EA5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V</w:t>
      </w:r>
      <w:r w:rsidR="00A90B8C" w:rsidRPr="00817EE7">
        <w:rPr>
          <w:sz w:val="22"/>
          <w:szCs w:val="22"/>
          <w:lang w:val="sr-Latn-RS"/>
        </w:rPr>
        <w:t>ećina (&gt;</w:t>
      </w:r>
      <w:r w:rsidR="00C9206E">
        <w:rPr>
          <w:sz w:val="22"/>
          <w:szCs w:val="22"/>
          <w:lang w:val="sr-Latn-RS"/>
        </w:rPr>
        <w:t xml:space="preserve"> </w:t>
      </w:r>
      <w:r w:rsidR="00A90B8C" w:rsidRPr="00817EE7">
        <w:rPr>
          <w:sz w:val="22"/>
          <w:szCs w:val="22"/>
          <w:lang w:val="sr-Latn-RS"/>
        </w:rPr>
        <w:t xml:space="preserve">99,7%) makrogola 3350 se ne </w:t>
      </w:r>
      <w:r w:rsidR="009A4889">
        <w:rPr>
          <w:sz w:val="22"/>
          <w:szCs w:val="22"/>
          <w:lang w:val="sr-Latn-RS"/>
        </w:rPr>
        <w:t>re</w:t>
      </w:r>
      <w:r w:rsidR="00A90B8C" w:rsidRPr="00817EE7">
        <w:rPr>
          <w:sz w:val="22"/>
          <w:szCs w:val="22"/>
          <w:lang w:val="sr-Latn-RS"/>
        </w:rPr>
        <w:t xml:space="preserve">sorbuje </w:t>
      </w:r>
      <w:r>
        <w:rPr>
          <w:sz w:val="22"/>
          <w:szCs w:val="22"/>
          <w:lang w:val="sr-Latn-RS"/>
        </w:rPr>
        <w:t>iz</w:t>
      </w:r>
      <w:r w:rsidR="00A90B8C" w:rsidRPr="00817EE7">
        <w:rPr>
          <w:sz w:val="22"/>
          <w:szCs w:val="22"/>
          <w:lang w:val="sr-Latn-RS"/>
        </w:rPr>
        <w:t xml:space="preserve"> gastrointestinaln</w:t>
      </w:r>
      <w:r>
        <w:rPr>
          <w:sz w:val="22"/>
          <w:szCs w:val="22"/>
          <w:lang w:val="sr-Latn-RS"/>
        </w:rPr>
        <w:t>og</w:t>
      </w:r>
      <w:r w:rsidR="00A90B8C" w:rsidRPr="00817EE7">
        <w:rPr>
          <w:sz w:val="22"/>
          <w:szCs w:val="22"/>
          <w:lang w:val="sr-Latn-RS"/>
        </w:rPr>
        <w:t xml:space="preserve"> trakt</w:t>
      </w:r>
      <w:r>
        <w:rPr>
          <w:sz w:val="22"/>
          <w:szCs w:val="22"/>
          <w:lang w:val="sr-Latn-RS"/>
        </w:rPr>
        <w:t>a</w:t>
      </w:r>
      <w:r w:rsidR="00A90B8C" w:rsidRPr="00817EE7">
        <w:rPr>
          <w:sz w:val="22"/>
          <w:szCs w:val="22"/>
          <w:lang w:val="sr-Latn-RS"/>
        </w:rPr>
        <w:t xml:space="preserve"> i izlučuje se putem fecesa. Podaci iz literature </w:t>
      </w:r>
      <w:r w:rsidR="008B0A02">
        <w:rPr>
          <w:sz w:val="22"/>
          <w:szCs w:val="22"/>
          <w:lang w:val="sr-Latn-RS"/>
        </w:rPr>
        <w:t>pokazuju</w:t>
      </w:r>
      <w:r w:rsidR="00A90B8C" w:rsidRPr="00817EE7">
        <w:rPr>
          <w:sz w:val="22"/>
          <w:szCs w:val="22"/>
          <w:lang w:val="sr-Latn-RS"/>
        </w:rPr>
        <w:t xml:space="preserve"> da se sav </w:t>
      </w:r>
      <w:r w:rsidR="009A4889">
        <w:rPr>
          <w:sz w:val="22"/>
          <w:szCs w:val="22"/>
          <w:lang w:val="sr-Latn-RS"/>
        </w:rPr>
        <w:t>re</w:t>
      </w:r>
      <w:r w:rsidR="00A90B8C" w:rsidRPr="00817EE7">
        <w:rPr>
          <w:sz w:val="22"/>
          <w:szCs w:val="22"/>
          <w:lang w:val="sr-Latn-RS"/>
        </w:rPr>
        <w:t>sorbovani makrogol 3350 izlučuje putem urina.</w:t>
      </w:r>
    </w:p>
    <w:p w14:paraId="53EC2239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4E9B688" w14:textId="7C6E2E74" w:rsidR="00A90B8C" w:rsidRPr="00817EE7" w:rsidRDefault="009A4889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Re</w:t>
      </w:r>
      <w:r w:rsidR="00A90B8C" w:rsidRPr="00817EE7">
        <w:rPr>
          <w:sz w:val="22"/>
          <w:szCs w:val="22"/>
          <w:lang w:val="sr-Latn-RS"/>
        </w:rPr>
        <w:t xml:space="preserve">sorpcija askorbata se dešava procesom natrijum zavisnog aktivnog transporta ograničenog kapaciteta; prijavljeno je da jedna oralna doza veća od 2 g zasićuje </w:t>
      </w:r>
      <w:r>
        <w:rPr>
          <w:sz w:val="22"/>
          <w:szCs w:val="22"/>
          <w:lang w:val="sr-Latn-RS"/>
        </w:rPr>
        <w:t>re</w:t>
      </w:r>
      <w:r w:rsidR="00A90B8C" w:rsidRPr="00817EE7">
        <w:rPr>
          <w:sz w:val="22"/>
          <w:szCs w:val="22"/>
          <w:lang w:val="sr-Latn-RS"/>
        </w:rPr>
        <w:t>sorpciju u jejunumu. Ne</w:t>
      </w:r>
      <w:r>
        <w:rPr>
          <w:sz w:val="22"/>
          <w:szCs w:val="22"/>
          <w:lang w:val="sr-Latn-RS"/>
        </w:rPr>
        <w:t>re</w:t>
      </w:r>
      <w:r w:rsidR="00A90B8C" w:rsidRPr="00817EE7">
        <w:rPr>
          <w:sz w:val="22"/>
          <w:szCs w:val="22"/>
          <w:lang w:val="sr-Latn-RS"/>
        </w:rPr>
        <w:t>sorbovani askorbat ostaje u lumenu cr</w:t>
      </w:r>
      <w:r w:rsidR="003761F1" w:rsidRPr="00817EE7">
        <w:rPr>
          <w:sz w:val="22"/>
          <w:szCs w:val="22"/>
          <w:lang w:val="sr-Latn-RS"/>
        </w:rPr>
        <w:t>ij</w:t>
      </w:r>
      <w:r w:rsidR="00A90B8C" w:rsidRPr="00817EE7">
        <w:rPr>
          <w:sz w:val="22"/>
          <w:szCs w:val="22"/>
          <w:lang w:val="sr-Latn-RS"/>
        </w:rPr>
        <w:t>eva, proc</w:t>
      </w:r>
      <w:r w:rsidR="003761F1" w:rsidRPr="00817EE7">
        <w:rPr>
          <w:sz w:val="22"/>
          <w:szCs w:val="22"/>
          <w:lang w:val="sr-Latn-RS"/>
        </w:rPr>
        <w:t>ij</w:t>
      </w:r>
      <w:r w:rsidR="00A90B8C" w:rsidRPr="00817EE7">
        <w:rPr>
          <w:sz w:val="22"/>
          <w:szCs w:val="22"/>
          <w:lang w:val="sr-Latn-RS"/>
        </w:rPr>
        <w:t>enjuje se da se približno 96% (48 g) komponente askorbata izlučuje fecesom. Askorbat je normalni sastojak krvi, međutim kada koncentracije u plazmi pređu približno 15 mg/ml, višak askorbinske kiseline se eliminiše, uglavnom neprom</w:t>
      </w:r>
      <w:r w:rsidR="003761F1" w:rsidRPr="00817EE7">
        <w:rPr>
          <w:sz w:val="22"/>
          <w:szCs w:val="22"/>
          <w:lang w:val="sr-Latn-RS"/>
        </w:rPr>
        <w:t>ij</w:t>
      </w:r>
      <w:r w:rsidR="00A90B8C" w:rsidRPr="00817EE7">
        <w:rPr>
          <w:sz w:val="22"/>
          <w:szCs w:val="22"/>
          <w:lang w:val="sr-Latn-RS"/>
        </w:rPr>
        <w:t>enjen, putem urina.</w:t>
      </w:r>
    </w:p>
    <w:p w14:paraId="350C405F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20E427F" w14:textId="3AFD1F94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Najveći d</w:t>
      </w:r>
      <w:r w:rsidR="003761F1" w:rsidRPr="00817EE7">
        <w:rPr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>o oralno</w:t>
      </w:r>
      <w:r w:rsidR="00086EA5">
        <w:rPr>
          <w:sz w:val="22"/>
          <w:szCs w:val="22"/>
          <w:lang w:val="sr-Latn-RS"/>
        </w:rPr>
        <w:t xml:space="preserve"> primijenjenog</w:t>
      </w:r>
      <w:r w:rsidRPr="00817EE7">
        <w:rPr>
          <w:sz w:val="22"/>
          <w:szCs w:val="22"/>
          <w:lang w:val="sr-Latn-RS"/>
        </w:rPr>
        <w:t xml:space="preserve"> sulfata se ne </w:t>
      </w:r>
      <w:r w:rsidR="009A4889">
        <w:rPr>
          <w:sz w:val="22"/>
          <w:szCs w:val="22"/>
          <w:lang w:val="sr-Latn-RS"/>
        </w:rPr>
        <w:t>re</w:t>
      </w:r>
      <w:r w:rsidRPr="00817EE7">
        <w:rPr>
          <w:sz w:val="22"/>
          <w:szCs w:val="22"/>
          <w:lang w:val="sr-Latn-RS"/>
        </w:rPr>
        <w:t>sorbuje i uspostavljanjem elektrohemijskog gradijenta spr</w:t>
      </w:r>
      <w:r w:rsidR="00636D6B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ečava </w:t>
      </w:r>
      <w:r w:rsidR="009A4889">
        <w:rPr>
          <w:sz w:val="22"/>
          <w:szCs w:val="22"/>
          <w:lang w:val="sr-Latn-RS"/>
        </w:rPr>
        <w:t>re</w:t>
      </w:r>
      <w:r w:rsidRPr="00817EE7">
        <w:rPr>
          <w:sz w:val="22"/>
          <w:szCs w:val="22"/>
          <w:lang w:val="sr-Latn-RS"/>
        </w:rPr>
        <w:t xml:space="preserve">sorpciju pratećih natrijumovih jona. Male količine sulfatnih jona </w:t>
      </w:r>
      <w:r w:rsidR="009A4889">
        <w:rPr>
          <w:sz w:val="22"/>
          <w:szCs w:val="22"/>
          <w:lang w:val="sr-Latn-RS"/>
        </w:rPr>
        <w:t>re</w:t>
      </w:r>
      <w:r w:rsidRPr="00817EE7">
        <w:rPr>
          <w:sz w:val="22"/>
          <w:szCs w:val="22"/>
          <w:lang w:val="sr-Latn-RS"/>
        </w:rPr>
        <w:t xml:space="preserve">sorbuju se kroz gastrointestinalni trakt, što predstavlja dodatak ukupnoj količini esencijalnih neorganskih sulfata </w:t>
      </w:r>
      <w:r w:rsidRPr="00817EE7">
        <w:rPr>
          <w:sz w:val="22"/>
          <w:szCs w:val="22"/>
          <w:lang w:val="sr-Latn-RS"/>
        </w:rPr>
        <w:lastRenderedPageBreak/>
        <w:t>nastalih raspadom aminokiselina koje sadrže sumpor. Najveći d</w:t>
      </w:r>
      <w:r w:rsidR="003761F1" w:rsidRPr="00817EE7">
        <w:rPr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>o apsorbovanog neorganskog sulfata eliminiše se u neprom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enjenom obliku gomerularnom filtracijom i podl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eže zasićenoj tubularnoj reapsorpciji.</w:t>
      </w:r>
    </w:p>
    <w:p w14:paraId="6819CEA3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1192E83" w14:textId="4E1B9FDB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Preparati za čišćenje cr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eva sa osmotskim </w:t>
      </w:r>
      <w:r w:rsidR="00086EA5">
        <w:rPr>
          <w:sz w:val="22"/>
          <w:szCs w:val="22"/>
          <w:lang w:val="sr-Latn-RS"/>
        </w:rPr>
        <w:t>efekt</w:t>
      </w:r>
      <w:r w:rsidRPr="00817EE7">
        <w:rPr>
          <w:sz w:val="22"/>
          <w:szCs w:val="22"/>
          <w:lang w:val="sr-Latn-RS"/>
        </w:rPr>
        <w:t xml:space="preserve">om dovode do obilne dijareje, što dovodi do </w:t>
      </w:r>
      <w:r w:rsidR="00086EA5">
        <w:rPr>
          <w:sz w:val="22"/>
          <w:szCs w:val="22"/>
          <w:lang w:val="sr-Latn-RS"/>
        </w:rPr>
        <w:t>eksenzivne</w:t>
      </w:r>
      <w:r w:rsidRPr="00817EE7">
        <w:rPr>
          <w:sz w:val="22"/>
          <w:szCs w:val="22"/>
          <w:lang w:val="sr-Latn-RS"/>
        </w:rPr>
        <w:t xml:space="preserve"> eliminacije većine proizvoda putem fecesa. Takođe mogu dovesti do prom</w:t>
      </w:r>
      <w:r w:rsidR="003761F1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ena u ravnoteži elektrolita u organizmu, često uz depleciju natrijuma i kalijuma. Dodatni natrijum i kalijum koji su uključeni u formulaciju l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pomažu u održavanju ravnoteže elektrolita. Dok se odvija određena apsorpcija natrijuma, očekuje se da se najveći d</w:t>
      </w:r>
      <w:r w:rsidR="003761F1" w:rsidRPr="00817EE7">
        <w:rPr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>o natrijuma izlučuje putem fecesa u obliku natrijumovih soli sulfata i askorbata, osmotski aktivnih sastojaka koji su uključeni u sastav l</w:t>
      </w:r>
      <w:r w:rsidR="003761F1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Plenvu.</w:t>
      </w:r>
    </w:p>
    <w:p w14:paraId="7E1A359F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B65A2DE" w14:textId="653F740A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</w:t>
      </w:r>
      <w:r w:rsidR="003761F1" w:rsidRPr="00817EE7">
        <w:rPr>
          <w:sz w:val="22"/>
          <w:szCs w:val="22"/>
          <w:lang w:val="sr-Latn-RS"/>
        </w:rPr>
        <w:t>je</w:t>
      </w:r>
      <w:r w:rsidRPr="00817EE7">
        <w:rPr>
          <w:sz w:val="22"/>
          <w:szCs w:val="22"/>
          <w:lang w:val="sr-Latn-RS"/>
        </w:rPr>
        <w:t>su sprovedene farmakokinetičke studije na pacijentima sa insuficijencijom bubrega ili jetre.</w:t>
      </w:r>
    </w:p>
    <w:p w14:paraId="791EF264" w14:textId="77777777" w:rsidR="0072020E" w:rsidRPr="00A47D04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345D1B4" w14:textId="31923EE5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5.3.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5283A50B" w14:textId="1F5F6646" w:rsidR="00A90B8C" w:rsidRPr="0093433A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9F43ACE" w14:textId="1B560EA9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Pretkliničke studije pružaju dokaze da makrogol 3350, askorbinska kiselina i natrijum</w:t>
      </w:r>
      <w:r w:rsidR="007603A1">
        <w:rPr>
          <w:sz w:val="22"/>
          <w:szCs w:val="22"/>
          <w:lang w:val="sr-Latn-RS"/>
        </w:rPr>
        <w:t xml:space="preserve"> </w:t>
      </w:r>
      <w:r w:rsidRPr="00817EE7">
        <w:rPr>
          <w:sz w:val="22"/>
          <w:szCs w:val="22"/>
          <w:lang w:val="sr-Latn-RS"/>
        </w:rPr>
        <w:t>sulfat nemaju značajan sistemski potencijal toksičnosti, na osnovu konvencionalnih farmakoloških studija, studija toksičnosti ponovljenih doza, genotoksičnosti i kancerogenosti.</w:t>
      </w:r>
    </w:p>
    <w:p w14:paraId="6980B984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A59DE24" w14:textId="19234751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</w:t>
      </w:r>
      <w:r w:rsidR="004A1930" w:rsidRPr="00817EE7">
        <w:rPr>
          <w:sz w:val="22"/>
          <w:szCs w:val="22"/>
          <w:lang w:val="sr-Latn-RS"/>
        </w:rPr>
        <w:t>je</w:t>
      </w:r>
      <w:r w:rsidRPr="00817EE7">
        <w:rPr>
          <w:sz w:val="22"/>
          <w:szCs w:val="22"/>
          <w:lang w:val="sr-Latn-RS"/>
        </w:rPr>
        <w:t>su sprovedene studije o genotoksičnosti, kancerogenosti ili toksičnom efektu na reprodukciju sa ovim proizvodom.</w:t>
      </w:r>
    </w:p>
    <w:p w14:paraId="34ABAEBF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832AF70" w14:textId="5478F5BF" w:rsidR="009238F9" w:rsidRPr="00A47D04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U studijama reproduktivne toksičnosti sa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ekom Movicol (proizvod makrogola 3350) nije bilo direktnih embriotoksičnih ili teratogenih efekata kod pacova čak ni na nivoima toks</w:t>
      </w:r>
      <w:r w:rsidR="00101462">
        <w:rPr>
          <w:sz w:val="22"/>
          <w:szCs w:val="22"/>
          <w:lang w:val="sr-Latn-RS"/>
        </w:rPr>
        <w:t>ičnim</w:t>
      </w:r>
      <w:r w:rsidRPr="00817EE7">
        <w:rPr>
          <w:sz w:val="22"/>
          <w:szCs w:val="22"/>
          <w:lang w:val="sr-Latn-RS"/>
        </w:rPr>
        <w:t xml:space="preserve"> za majku koji su dobijeni prim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enom doza koje predstavljaju višestruki umnožak 20 puta veće doze od maksimalne preporučene doze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kod ljudi. Indirektni embriofetalni efekti, uključujući smanjenje težine fetusa i placente, smanjenu sposobnost razvoja fetusa, povećanu hiperfleksiju udova i šapa i pobačaje, zab</w:t>
      </w:r>
      <w:r w:rsidR="007603A1">
        <w:rPr>
          <w:sz w:val="22"/>
          <w:szCs w:val="22"/>
          <w:lang w:val="sr-Latn-RS"/>
        </w:rPr>
        <w:t>i</w:t>
      </w:r>
      <w:r w:rsidRPr="00817EE7">
        <w:rPr>
          <w:sz w:val="22"/>
          <w:szCs w:val="22"/>
          <w:lang w:val="sr-Latn-RS"/>
        </w:rPr>
        <w:t>l</w:t>
      </w:r>
      <w:r w:rsidR="007603A1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 xml:space="preserve">eženi su kod </w:t>
      </w:r>
      <w:r w:rsidR="00101462">
        <w:rPr>
          <w:sz w:val="22"/>
          <w:szCs w:val="22"/>
          <w:lang w:val="sr-Latn-RS"/>
        </w:rPr>
        <w:t>kunića</w:t>
      </w:r>
      <w:r w:rsidRPr="00817EE7">
        <w:rPr>
          <w:sz w:val="22"/>
          <w:szCs w:val="22"/>
          <w:lang w:val="sr-Latn-RS"/>
        </w:rPr>
        <w:t xml:space="preserve"> u dozi </w:t>
      </w:r>
      <w:r w:rsidR="00101462">
        <w:rPr>
          <w:sz w:val="22"/>
          <w:szCs w:val="22"/>
          <w:lang w:val="sr-Latn-RS"/>
        </w:rPr>
        <w:t xml:space="preserve">koja je </w:t>
      </w:r>
      <w:r w:rsidRPr="00817EE7">
        <w:rPr>
          <w:sz w:val="22"/>
          <w:szCs w:val="22"/>
          <w:lang w:val="sr-Latn-RS"/>
        </w:rPr>
        <w:t>toksičn</w:t>
      </w:r>
      <w:r w:rsidR="00101462">
        <w:rPr>
          <w:sz w:val="22"/>
          <w:szCs w:val="22"/>
          <w:lang w:val="sr-Latn-RS"/>
        </w:rPr>
        <w:t>a</w:t>
      </w:r>
      <w:r w:rsidRPr="00817EE7">
        <w:rPr>
          <w:sz w:val="22"/>
          <w:szCs w:val="22"/>
          <w:lang w:val="sr-Latn-RS"/>
        </w:rPr>
        <w:t xml:space="preserve"> za majku </w:t>
      </w:r>
      <w:r w:rsidR="00101462">
        <w:rPr>
          <w:sz w:val="22"/>
          <w:szCs w:val="22"/>
          <w:lang w:val="sr-Latn-RS"/>
        </w:rPr>
        <w:t xml:space="preserve">i </w:t>
      </w:r>
      <w:r w:rsidRPr="00817EE7">
        <w:rPr>
          <w:sz w:val="22"/>
          <w:szCs w:val="22"/>
          <w:lang w:val="sr-Latn-RS"/>
        </w:rPr>
        <w:t>koja je jednaka maksimalnoj preporučenoj dozi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eka Plenvu kod ljudi. </w:t>
      </w:r>
      <w:r w:rsidR="00101462">
        <w:rPr>
          <w:sz w:val="22"/>
          <w:szCs w:val="22"/>
          <w:lang w:val="sr-Latn-RS"/>
        </w:rPr>
        <w:t>Kunići</w:t>
      </w:r>
      <w:r w:rsidRPr="00817EE7">
        <w:rPr>
          <w:sz w:val="22"/>
          <w:szCs w:val="22"/>
          <w:lang w:val="sr-Latn-RS"/>
        </w:rPr>
        <w:t xml:space="preserve"> su životinjska vrsta </w:t>
      </w:r>
      <w:r w:rsidR="0089150B" w:rsidRPr="00817EE7">
        <w:rPr>
          <w:sz w:val="22"/>
          <w:szCs w:val="22"/>
          <w:lang w:val="sr-Latn-RS"/>
        </w:rPr>
        <w:t xml:space="preserve">osjetljiva na efekte </w:t>
      </w:r>
      <w:r w:rsidR="0089150B">
        <w:rPr>
          <w:sz w:val="22"/>
          <w:szCs w:val="22"/>
          <w:lang w:val="sr-Latn-RS"/>
        </w:rPr>
        <w:t xml:space="preserve">ispitivanja </w:t>
      </w:r>
      <w:r w:rsidR="0089150B" w:rsidRPr="00817EE7">
        <w:rPr>
          <w:sz w:val="22"/>
          <w:szCs w:val="22"/>
          <w:lang w:val="sr-Latn-RS"/>
        </w:rPr>
        <w:t>supstanci koje djeluju na GI trakt</w:t>
      </w:r>
      <w:r w:rsidRPr="00817EE7">
        <w:rPr>
          <w:sz w:val="22"/>
          <w:szCs w:val="22"/>
          <w:lang w:val="sr-Latn-RS"/>
        </w:rPr>
        <w:t xml:space="preserve">, a studije su sprovedene u </w:t>
      </w:r>
      <w:r w:rsidR="00086EA5">
        <w:rPr>
          <w:sz w:val="22"/>
          <w:szCs w:val="22"/>
          <w:lang w:val="sr-Latn-RS"/>
        </w:rPr>
        <w:t>strogim</w:t>
      </w:r>
      <w:r w:rsidRPr="00817EE7">
        <w:rPr>
          <w:sz w:val="22"/>
          <w:szCs w:val="22"/>
          <w:lang w:val="sr-Latn-RS"/>
        </w:rPr>
        <w:t xml:space="preserve"> uslovima prim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enom visokih doza, koje ni</w:t>
      </w:r>
      <w:r w:rsidR="004A1930" w:rsidRPr="00817EE7">
        <w:rPr>
          <w:sz w:val="22"/>
          <w:szCs w:val="22"/>
          <w:lang w:val="sr-Latn-RS"/>
        </w:rPr>
        <w:t>je</w:t>
      </w:r>
      <w:r w:rsidRPr="00817EE7">
        <w:rPr>
          <w:sz w:val="22"/>
          <w:szCs w:val="22"/>
          <w:lang w:val="sr-Latn-RS"/>
        </w:rPr>
        <w:t xml:space="preserve">su klinički </w:t>
      </w:r>
      <w:r w:rsidR="00101462">
        <w:rPr>
          <w:sz w:val="22"/>
          <w:szCs w:val="22"/>
          <w:lang w:val="sr-Latn-RS"/>
        </w:rPr>
        <w:t>relevantne</w:t>
      </w:r>
      <w:r w:rsidRPr="00817EE7">
        <w:rPr>
          <w:sz w:val="22"/>
          <w:szCs w:val="22"/>
          <w:lang w:val="sr-Latn-RS"/>
        </w:rPr>
        <w:t>. Nalazi su možda bili posl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edica indirektnog dejstva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Movicol povezanog sa lošim stanjem majke nastalim usl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ed prekom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ernog farmakodinamičkog odgovora kod</w:t>
      </w:r>
      <w:r w:rsidR="00101462">
        <w:rPr>
          <w:sz w:val="22"/>
          <w:szCs w:val="22"/>
          <w:lang w:val="sr-Latn-RS"/>
        </w:rPr>
        <w:t xml:space="preserve"> kunića</w:t>
      </w:r>
      <w:r w:rsidRPr="00817EE7">
        <w:rPr>
          <w:sz w:val="22"/>
          <w:szCs w:val="22"/>
          <w:lang w:val="sr-Latn-RS"/>
        </w:rPr>
        <w:t>. Ništa nije ukazivalo na teratogeni efekat.</w:t>
      </w:r>
    </w:p>
    <w:p w14:paraId="41F8D0ED" w14:textId="77777777" w:rsidR="00FE3E57" w:rsidRPr="00A47D04" w:rsidRDefault="00FE3E57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9ECD7ED" w14:textId="77777777" w:rsidR="00396DFD" w:rsidRPr="00A47D04" w:rsidRDefault="00396DFD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E244DC8" w14:textId="77777777" w:rsidR="0072020E" w:rsidRPr="00A47D04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A47D04">
        <w:rPr>
          <w:b/>
          <w:bCs/>
          <w:sz w:val="22"/>
          <w:szCs w:val="22"/>
          <w:lang w:val="sr-Latn-RS"/>
        </w:rPr>
        <w:t xml:space="preserve">6. </w:t>
      </w:r>
      <w:r w:rsidR="00480FB1" w:rsidRPr="00A47D04">
        <w:rPr>
          <w:b/>
          <w:bCs/>
          <w:sz w:val="22"/>
          <w:szCs w:val="22"/>
          <w:lang w:val="sr-Latn-RS"/>
        </w:rPr>
        <w:tab/>
      </w:r>
      <w:r w:rsidRPr="00A47D04">
        <w:rPr>
          <w:b/>
          <w:bCs/>
          <w:sz w:val="22"/>
          <w:szCs w:val="22"/>
          <w:lang w:val="sr-Latn-RS"/>
        </w:rPr>
        <w:t>FARMACEUTSKI PODACI</w:t>
      </w:r>
    </w:p>
    <w:p w14:paraId="41C8AB5A" w14:textId="77777777" w:rsidR="00836B35" w:rsidRPr="00A47D04" w:rsidRDefault="00836B35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A62704A" w14:textId="72E9CF4E" w:rsidR="0072020E" w:rsidRPr="00A47D04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A47D04">
        <w:rPr>
          <w:b/>
          <w:bCs/>
          <w:sz w:val="22"/>
          <w:szCs w:val="22"/>
          <w:lang w:val="sr-Latn-RS"/>
        </w:rPr>
        <w:t xml:space="preserve">6.1. </w:t>
      </w:r>
      <w:r w:rsidR="00480FB1" w:rsidRPr="00A47D04">
        <w:rPr>
          <w:b/>
          <w:bCs/>
          <w:sz w:val="22"/>
          <w:szCs w:val="22"/>
          <w:lang w:val="sr-Latn-RS"/>
        </w:rPr>
        <w:tab/>
      </w:r>
      <w:r w:rsidRPr="00A47D04">
        <w:rPr>
          <w:b/>
          <w:bCs/>
          <w:sz w:val="22"/>
          <w:szCs w:val="22"/>
          <w:lang w:val="sr-Latn-RS"/>
        </w:rPr>
        <w:t>Lista pomoćnih supstanci</w:t>
      </w:r>
      <w:r w:rsidR="002E0135" w:rsidRPr="00A47D04">
        <w:rPr>
          <w:b/>
          <w:bCs/>
          <w:sz w:val="22"/>
          <w:szCs w:val="22"/>
          <w:lang w:val="sr-Latn-RS"/>
        </w:rPr>
        <w:t xml:space="preserve"> (ekscipijenasa)</w:t>
      </w:r>
    </w:p>
    <w:p w14:paraId="0EC2C678" w14:textId="6144A90E" w:rsidR="00A90B8C" w:rsidRPr="00A47D04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31A5883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Sukraloza (E955) </w:t>
      </w:r>
    </w:p>
    <w:p w14:paraId="34C27D65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Aspartam (E951)</w:t>
      </w:r>
    </w:p>
    <w:p w14:paraId="2451636F" w14:textId="37E0431B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Kapsulirana limunska </w:t>
      </w:r>
      <w:r w:rsidR="00A47D04">
        <w:rPr>
          <w:sz w:val="22"/>
          <w:szCs w:val="22"/>
          <w:lang w:val="sr-Latn-RS"/>
        </w:rPr>
        <w:t>kiselina</w:t>
      </w:r>
      <w:r w:rsidRPr="00817EE7">
        <w:rPr>
          <w:sz w:val="22"/>
          <w:szCs w:val="22"/>
          <w:lang w:val="sr-Latn-RS"/>
        </w:rPr>
        <w:t xml:space="preserve"> koja sadrži limunsku kiselinu (E330) i maltodekstrin (E1400)</w:t>
      </w:r>
    </w:p>
    <w:p w14:paraId="616067B3" w14:textId="0E99565B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Aroma manga koja sadrži glicerol (E422), arome, gumu akacije (E414), maltodekstrin (E1400) i prirodn</w:t>
      </w:r>
      <w:r w:rsidR="00D76AB6">
        <w:rPr>
          <w:sz w:val="22"/>
          <w:szCs w:val="22"/>
          <w:lang w:val="sr-Latn-RS"/>
        </w:rPr>
        <w:t>e</w:t>
      </w:r>
      <w:r w:rsidRPr="00817EE7">
        <w:rPr>
          <w:sz w:val="22"/>
          <w:szCs w:val="22"/>
          <w:lang w:val="sr-Latn-RS"/>
        </w:rPr>
        <w:t xml:space="preserve"> arome </w:t>
      </w:r>
    </w:p>
    <w:p w14:paraId="4A7717B7" w14:textId="6025D3D2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Aroma voćnog punča koja sadrži aromatične preparate, </w:t>
      </w:r>
      <w:r w:rsidR="00D76AB6">
        <w:rPr>
          <w:sz w:val="22"/>
          <w:szCs w:val="22"/>
          <w:lang w:val="sr-Latn-RS"/>
        </w:rPr>
        <w:t xml:space="preserve">gumu </w:t>
      </w:r>
      <w:r w:rsidRPr="00817EE7">
        <w:rPr>
          <w:sz w:val="22"/>
          <w:szCs w:val="22"/>
          <w:lang w:val="sr-Latn-RS"/>
        </w:rPr>
        <w:t>akacij</w:t>
      </w:r>
      <w:r w:rsidR="00D76AB6">
        <w:rPr>
          <w:sz w:val="22"/>
          <w:szCs w:val="22"/>
          <w:lang w:val="sr-Latn-RS"/>
        </w:rPr>
        <w:t xml:space="preserve">e </w:t>
      </w:r>
      <w:r w:rsidRPr="00817EE7">
        <w:rPr>
          <w:sz w:val="22"/>
          <w:szCs w:val="22"/>
          <w:lang w:val="sr-Latn-RS"/>
        </w:rPr>
        <w:t>(E414), maltodekstrin (E1400) i  arome</w:t>
      </w:r>
    </w:p>
    <w:p w14:paraId="3D7AA37F" w14:textId="77777777" w:rsidR="0072020E" w:rsidRPr="00A47D04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4DF0619" w14:textId="310C79B2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6.2.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Inkompatibilnost</w:t>
      </w:r>
      <w:r w:rsidR="002846DB" w:rsidRPr="0093433A">
        <w:rPr>
          <w:b/>
          <w:bCs/>
          <w:sz w:val="22"/>
          <w:szCs w:val="22"/>
          <w:lang w:val="sr-Latn-RS"/>
        </w:rPr>
        <w:t>i</w:t>
      </w:r>
    </w:p>
    <w:p w14:paraId="46A57968" w14:textId="552F5928" w:rsidR="00A90B8C" w:rsidRPr="0093433A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1277BAE" w14:textId="285BB13B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Nije prim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enljivo</w:t>
      </w:r>
      <w:r w:rsidR="00D76AB6">
        <w:rPr>
          <w:sz w:val="22"/>
          <w:szCs w:val="22"/>
          <w:lang w:val="sr-Latn-RS"/>
        </w:rPr>
        <w:t>.</w:t>
      </w:r>
    </w:p>
    <w:p w14:paraId="1AF9A116" w14:textId="77777777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5A57EB6" w14:textId="73C8CF04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>6.3.</w:t>
      </w:r>
      <w:r w:rsidR="00C05DF8" w:rsidRPr="0093433A">
        <w:rPr>
          <w:b/>
          <w:bCs/>
          <w:sz w:val="22"/>
          <w:szCs w:val="22"/>
          <w:lang w:val="sr-Latn-RS"/>
        </w:rPr>
        <w:t xml:space="preserve">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Rok upotrebe</w:t>
      </w:r>
    </w:p>
    <w:p w14:paraId="79BAAEE8" w14:textId="09D4EE33" w:rsidR="00A90B8C" w:rsidRPr="0093433A" w:rsidRDefault="00A90B8C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9BF09B2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Kesice: 2 godine</w:t>
      </w:r>
    </w:p>
    <w:p w14:paraId="40E3C463" w14:textId="77777777" w:rsidR="00A90B8C" w:rsidRPr="00817EE7" w:rsidRDefault="00A90B8C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Rekonstituisani rastvori: 24 sata</w:t>
      </w:r>
    </w:p>
    <w:p w14:paraId="68FB1562" w14:textId="77777777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37047D1" w14:textId="7F4494A4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6.4.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Pr="0093433A">
        <w:rPr>
          <w:b/>
          <w:bCs/>
          <w:sz w:val="22"/>
          <w:szCs w:val="22"/>
          <w:lang w:val="sr-Latn-RS"/>
        </w:rPr>
        <w:t>P</w:t>
      </w:r>
      <w:r w:rsidR="004F71E6" w:rsidRPr="0093433A">
        <w:rPr>
          <w:b/>
          <w:bCs/>
          <w:sz w:val="22"/>
          <w:szCs w:val="22"/>
          <w:lang w:val="sr-Latn-RS"/>
        </w:rPr>
        <w:t>o</w:t>
      </w:r>
      <w:r w:rsidRPr="0093433A">
        <w:rPr>
          <w:b/>
          <w:bCs/>
          <w:sz w:val="22"/>
          <w:szCs w:val="22"/>
          <w:lang w:val="sr-Latn-RS"/>
        </w:rPr>
        <w:t>sebne mjere upozorenja pri čuvanju</w:t>
      </w:r>
      <w:r w:rsidR="00F8570A" w:rsidRPr="0093433A">
        <w:rPr>
          <w:b/>
          <w:bCs/>
          <w:sz w:val="22"/>
          <w:szCs w:val="22"/>
          <w:lang w:val="sr-Latn-RS"/>
        </w:rPr>
        <w:t xml:space="preserve"> lijeka</w:t>
      </w:r>
    </w:p>
    <w:p w14:paraId="050755B0" w14:textId="056EE907" w:rsidR="001E7BC1" w:rsidRPr="0093433A" w:rsidRDefault="001E7BC1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E6595B" w14:textId="54C321C3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Kesice: Čuvati na temperaturi do 25°C</w:t>
      </w:r>
      <w:r w:rsidR="00D76AB6">
        <w:rPr>
          <w:sz w:val="22"/>
          <w:szCs w:val="22"/>
          <w:lang w:val="sr-Latn-RS"/>
        </w:rPr>
        <w:t>.</w:t>
      </w:r>
    </w:p>
    <w:p w14:paraId="38FEEF45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72E039C" w14:textId="5996AF6E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Rekonstituisani rastvori: Pripremljene rastvore čuvati na </w:t>
      </w:r>
      <w:r w:rsidR="00181A94" w:rsidRPr="00817EE7">
        <w:rPr>
          <w:sz w:val="22"/>
          <w:szCs w:val="22"/>
          <w:lang w:val="sr-Latn-RS"/>
        </w:rPr>
        <w:t>temperatur</w:t>
      </w:r>
      <w:r w:rsidR="00181A94">
        <w:rPr>
          <w:sz w:val="22"/>
          <w:szCs w:val="22"/>
          <w:lang w:val="sr-Latn-RS"/>
        </w:rPr>
        <w:t>i</w:t>
      </w:r>
      <w:r w:rsidR="00181A94" w:rsidRPr="00817EE7">
        <w:rPr>
          <w:sz w:val="22"/>
          <w:szCs w:val="22"/>
          <w:lang w:val="sr-Latn-RS"/>
        </w:rPr>
        <w:t xml:space="preserve"> </w:t>
      </w:r>
      <w:r w:rsidRPr="00817EE7">
        <w:rPr>
          <w:sz w:val="22"/>
          <w:szCs w:val="22"/>
          <w:lang w:val="sr-Latn-RS"/>
        </w:rPr>
        <w:t>do 25°C i popiti u roku od 24 sata. Rastvori se mogu čuvati u frižideru</w:t>
      </w:r>
      <w:r w:rsidR="00694B84">
        <w:rPr>
          <w:sz w:val="22"/>
          <w:szCs w:val="22"/>
          <w:lang w:val="sr-Latn-RS"/>
        </w:rPr>
        <w:t xml:space="preserve"> </w:t>
      </w:r>
      <w:r w:rsidR="00694B84" w:rsidRPr="00492376">
        <w:rPr>
          <w:sz w:val="22"/>
          <w:szCs w:val="22"/>
          <w:lang w:val="sr-Latn-RS"/>
        </w:rPr>
        <w:t>(2</w:t>
      </w:r>
      <w:r w:rsidR="00694B84">
        <w:rPr>
          <w:sz w:val="22"/>
          <w:szCs w:val="22"/>
          <w:lang w:val="sr-Latn-RS"/>
        </w:rPr>
        <w:t xml:space="preserve">°C </w:t>
      </w:r>
      <w:r w:rsidR="00694B84" w:rsidRPr="00492376">
        <w:rPr>
          <w:sz w:val="22"/>
          <w:szCs w:val="22"/>
          <w:lang w:val="sr-Latn-RS"/>
        </w:rPr>
        <w:t>-</w:t>
      </w:r>
      <w:r w:rsidR="00694B84">
        <w:rPr>
          <w:sz w:val="22"/>
          <w:szCs w:val="22"/>
          <w:lang w:val="sr-Latn-RS"/>
        </w:rPr>
        <w:t xml:space="preserve"> </w:t>
      </w:r>
      <w:r w:rsidR="00694B84" w:rsidRPr="00492376">
        <w:rPr>
          <w:sz w:val="22"/>
          <w:szCs w:val="22"/>
          <w:lang w:val="sr-Latn-RS"/>
        </w:rPr>
        <w:t>8</w:t>
      </w:r>
      <w:r w:rsidR="00694B84">
        <w:rPr>
          <w:sz w:val="22"/>
          <w:szCs w:val="22"/>
          <w:lang w:val="sr-Latn-RS"/>
        </w:rPr>
        <w:t>°</w:t>
      </w:r>
      <w:r w:rsidR="00694B84" w:rsidRPr="00492376">
        <w:rPr>
          <w:sz w:val="22"/>
          <w:szCs w:val="22"/>
          <w:lang w:val="sr-Latn-RS"/>
        </w:rPr>
        <w:t>C)</w:t>
      </w:r>
      <w:r w:rsidRPr="00817EE7">
        <w:rPr>
          <w:sz w:val="22"/>
          <w:szCs w:val="22"/>
          <w:lang w:val="sr-Latn-RS"/>
        </w:rPr>
        <w:t>. Rastvori moraju biti pokriveni.</w:t>
      </w:r>
    </w:p>
    <w:p w14:paraId="057FD008" w14:textId="77777777" w:rsidR="00EC2532" w:rsidRPr="00A47D04" w:rsidRDefault="00EC253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35C71BD" w14:textId="777B6223" w:rsidR="0072020E" w:rsidRPr="0093433A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433A">
        <w:rPr>
          <w:b/>
          <w:bCs/>
          <w:sz w:val="22"/>
          <w:szCs w:val="22"/>
          <w:lang w:val="sr-Latn-RS"/>
        </w:rPr>
        <w:t xml:space="preserve">6.5. </w:t>
      </w:r>
      <w:r w:rsidR="00480FB1" w:rsidRPr="0093433A">
        <w:rPr>
          <w:b/>
          <w:bCs/>
          <w:sz w:val="22"/>
          <w:szCs w:val="22"/>
          <w:lang w:val="sr-Latn-RS"/>
        </w:rPr>
        <w:tab/>
      </w:r>
      <w:r w:rsidR="002846DB" w:rsidRPr="0093433A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93433A">
        <w:rPr>
          <w:b/>
          <w:bCs/>
          <w:sz w:val="22"/>
          <w:szCs w:val="22"/>
          <w:lang w:val="sr-Latn-RS"/>
        </w:rPr>
        <w:t>pakovanja</w:t>
      </w:r>
      <w:r w:rsidR="00C06864" w:rsidRPr="0093433A">
        <w:rPr>
          <w:b/>
          <w:bCs/>
          <w:sz w:val="22"/>
          <w:szCs w:val="22"/>
          <w:lang w:val="sr-Latn-RS"/>
        </w:rPr>
        <w:t xml:space="preserve"> </w:t>
      </w:r>
    </w:p>
    <w:p w14:paraId="5370CB0E" w14:textId="292AB91F" w:rsidR="001E7BC1" w:rsidRPr="0093433A" w:rsidRDefault="001E7BC1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987267" w14:textId="360F22A5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Svaka kesica sadrži </w:t>
      </w:r>
      <w:r w:rsidR="009A0BD8">
        <w:rPr>
          <w:sz w:val="22"/>
          <w:szCs w:val="22"/>
          <w:lang w:val="sr-Latn-RS"/>
        </w:rPr>
        <w:t>sledeće slojeve</w:t>
      </w:r>
      <w:r w:rsidRPr="00817EE7">
        <w:rPr>
          <w:sz w:val="22"/>
          <w:szCs w:val="22"/>
          <w:lang w:val="sr-Latn-RS"/>
        </w:rPr>
        <w:t>:</w:t>
      </w:r>
      <w:r w:rsidR="006B4BEF">
        <w:rPr>
          <w:sz w:val="22"/>
          <w:szCs w:val="22"/>
          <w:lang w:val="sr-Latn-RS"/>
        </w:rPr>
        <w:t xml:space="preserve"> ili</w:t>
      </w:r>
      <w:r w:rsidRPr="00817EE7">
        <w:rPr>
          <w:sz w:val="22"/>
          <w:szCs w:val="22"/>
          <w:lang w:val="sr-Latn-RS"/>
        </w:rPr>
        <w:t xml:space="preserve"> polietilen tereftalat (PET), polietilen, aluminijum i smola za ekstrudiranje</w:t>
      </w:r>
      <w:r w:rsidR="00BD5AEB">
        <w:rPr>
          <w:sz w:val="22"/>
          <w:szCs w:val="22"/>
          <w:lang w:val="sr-Latn-RS"/>
        </w:rPr>
        <w:t xml:space="preserve"> ili papir, aluminijum i </w:t>
      </w:r>
      <w:r w:rsidR="00BD5AEB" w:rsidRPr="00CD2940">
        <w:rPr>
          <w:sz w:val="22"/>
          <w:szCs w:val="22"/>
          <w:lang w:val="sr-Latn-RS"/>
        </w:rPr>
        <w:t>smola za ekstrudiranje</w:t>
      </w:r>
      <w:r w:rsidRPr="00817EE7">
        <w:rPr>
          <w:sz w:val="22"/>
          <w:szCs w:val="22"/>
          <w:lang w:val="sr-Latn-RS"/>
        </w:rPr>
        <w:t>.</w:t>
      </w:r>
    </w:p>
    <w:p w14:paraId="5169DF8A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5B1905D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Doza 1 sadrži 115,96 g praška, doza 2 kesica A sadrži 46,26 g praška, a doza 2 kesica B sadrži 55,65 g praška.</w:t>
      </w:r>
    </w:p>
    <w:p w14:paraId="67FC3AD1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2694781" w14:textId="33EB98F6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Tri kesice nalaze se u providnom sekundarnom omotu u kartonskoj kutiji i čine jednu terapiju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eka Plenvu. </w:t>
      </w:r>
      <w:r w:rsidR="009A0BD8">
        <w:rPr>
          <w:sz w:val="22"/>
          <w:szCs w:val="22"/>
          <w:lang w:val="sr-Latn-RS"/>
        </w:rPr>
        <w:t xml:space="preserve">Pakovanje sadrži jednu dozu lijeka Plenvu. </w:t>
      </w:r>
      <w:r w:rsidRPr="00817EE7">
        <w:rPr>
          <w:sz w:val="22"/>
          <w:szCs w:val="22"/>
          <w:lang w:val="sr-Latn-RS"/>
        </w:rPr>
        <w:t xml:space="preserve">Kartonska kutija sadrži i Uputstvo za </w:t>
      </w:r>
      <w:r w:rsidR="009A0BD8">
        <w:rPr>
          <w:sz w:val="22"/>
          <w:szCs w:val="22"/>
          <w:lang w:val="sr-Latn-RS"/>
        </w:rPr>
        <w:t>lijek</w:t>
      </w:r>
      <w:r w:rsidRPr="00817EE7">
        <w:rPr>
          <w:sz w:val="22"/>
          <w:szCs w:val="22"/>
          <w:lang w:val="sr-Latn-RS"/>
        </w:rPr>
        <w:t>.</w:t>
      </w:r>
    </w:p>
    <w:p w14:paraId="5C84274A" w14:textId="77777777" w:rsidR="0072020E" w:rsidRPr="00A47D04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4E43499" w14:textId="77777777" w:rsidR="002846DB" w:rsidRPr="00A47D04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A47D04">
        <w:rPr>
          <w:b/>
          <w:bCs/>
          <w:sz w:val="22"/>
          <w:szCs w:val="22"/>
          <w:lang w:val="sr-Latn-RS"/>
        </w:rPr>
        <w:t xml:space="preserve">6.6. </w:t>
      </w:r>
      <w:r w:rsidR="00480FB1" w:rsidRPr="00A47D04">
        <w:rPr>
          <w:b/>
          <w:bCs/>
          <w:sz w:val="22"/>
          <w:szCs w:val="22"/>
          <w:lang w:val="sr-Latn-RS"/>
        </w:rPr>
        <w:tab/>
      </w:r>
      <w:r w:rsidRPr="00A47D04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A47D04">
        <w:rPr>
          <w:b/>
          <w:bCs/>
          <w:sz w:val="22"/>
          <w:szCs w:val="22"/>
          <w:lang w:val="sr-Latn-RS"/>
        </w:rPr>
        <w:t xml:space="preserve"> </w:t>
      </w:r>
      <w:r w:rsidR="00310F03" w:rsidRPr="00A47D04">
        <w:rPr>
          <w:b/>
          <w:bCs/>
          <w:sz w:val="22"/>
          <w:szCs w:val="22"/>
          <w:lang w:val="sr-Latn-RS"/>
        </w:rPr>
        <w:t>(i druga uputs</w:t>
      </w:r>
      <w:r w:rsidR="004109FA" w:rsidRPr="00A47D04">
        <w:rPr>
          <w:b/>
          <w:bCs/>
          <w:sz w:val="22"/>
          <w:szCs w:val="22"/>
          <w:lang w:val="sr-Latn-RS"/>
        </w:rPr>
        <w:t>t</w:t>
      </w:r>
      <w:r w:rsidR="00310F03" w:rsidRPr="00A47D04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51C2AEF1" w14:textId="77777777" w:rsidR="00B66A70" w:rsidRPr="00A47D04" w:rsidRDefault="00B66A70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FB4715E" w14:textId="7057E191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Rekonstitucija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u vodi može trajati oko 8 minuta i najbolje se izvodi sipanjem praška u posudu za m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 xml:space="preserve">ešanje, a zatim dodavanjem vode. Pacijent treba da sačeka dok se sav prašak ne </w:t>
      </w:r>
      <w:r w:rsidR="004C34C2">
        <w:rPr>
          <w:sz w:val="22"/>
          <w:szCs w:val="22"/>
          <w:lang w:val="sr-Latn-RS"/>
        </w:rPr>
        <w:t>rastvori</w:t>
      </w:r>
      <w:r w:rsidR="004C34C2" w:rsidRPr="00817EE7">
        <w:rPr>
          <w:sz w:val="22"/>
          <w:szCs w:val="22"/>
          <w:lang w:val="sr-Latn-RS"/>
        </w:rPr>
        <w:t xml:space="preserve"> </w:t>
      </w:r>
      <w:r w:rsidRPr="00817EE7">
        <w:rPr>
          <w:sz w:val="22"/>
          <w:szCs w:val="22"/>
          <w:lang w:val="sr-Latn-RS"/>
        </w:rPr>
        <w:t>pr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nego što popije rastvor.</w:t>
      </w:r>
    </w:p>
    <w:p w14:paraId="086E0216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 xml:space="preserve"> </w:t>
      </w:r>
    </w:p>
    <w:p w14:paraId="7F52BEC9" w14:textId="006AE3A9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Nakon rekonstitucije u vodi, unos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eka Plenvu može započeti odmah, ili ako je poželjno, može se ohladiti pr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 upotrebe.</w:t>
      </w:r>
    </w:p>
    <w:p w14:paraId="246E1916" w14:textId="77777777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EC52268" w14:textId="5BB01551" w:rsidR="001E7BC1" w:rsidRPr="00817EE7" w:rsidRDefault="001E7BC1" w:rsidP="00A47D0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17EE7">
        <w:rPr>
          <w:sz w:val="22"/>
          <w:szCs w:val="22"/>
          <w:lang w:val="sr-Latn-RS"/>
        </w:rPr>
        <w:t>Neiskorišćeni l</w:t>
      </w:r>
      <w:r w:rsidR="004A1930" w:rsidRPr="00817EE7">
        <w:rPr>
          <w:sz w:val="22"/>
          <w:szCs w:val="22"/>
          <w:lang w:val="sr-Latn-RS"/>
        </w:rPr>
        <w:t>ij</w:t>
      </w:r>
      <w:r w:rsidRPr="00817EE7">
        <w:rPr>
          <w:sz w:val="22"/>
          <w:szCs w:val="22"/>
          <w:lang w:val="sr-Latn-RS"/>
        </w:rPr>
        <w:t>ek ili otpadni materijal treba odložiti u skladu sa lokalnim zaht</w:t>
      </w:r>
      <w:r w:rsidR="004A1930" w:rsidRPr="00817EE7">
        <w:rPr>
          <w:sz w:val="22"/>
          <w:szCs w:val="22"/>
          <w:lang w:val="sr-Latn-RS"/>
        </w:rPr>
        <w:t>j</w:t>
      </w:r>
      <w:r w:rsidRPr="00817EE7">
        <w:rPr>
          <w:sz w:val="22"/>
          <w:szCs w:val="22"/>
          <w:lang w:val="sr-Latn-RS"/>
        </w:rPr>
        <w:t>evima.</w:t>
      </w:r>
    </w:p>
    <w:p w14:paraId="34BE39D4" w14:textId="6F82E83D" w:rsidR="0072020E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C147176" w14:textId="77777777" w:rsidR="004C34C2" w:rsidRPr="00817EE7" w:rsidRDefault="004C34C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0BD5189" w14:textId="65AA0474" w:rsidR="00F8570A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7. </w:t>
      </w:r>
      <w:r w:rsidR="00480FB1" w:rsidRPr="00817EE7">
        <w:rPr>
          <w:b/>
          <w:bCs/>
          <w:sz w:val="22"/>
          <w:szCs w:val="22"/>
        </w:rPr>
        <w:tab/>
      </w:r>
      <w:r w:rsidRPr="00817EE7">
        <w:rPr>
          <w:b/>
          <w:bCs/>
          <w:sz w:val="22"/>
          <w:szCs w:val="22"/>
        </w:rPr>
        <w:t>NOSILAC DOZVOLE</w:t>
      </w:r>
      <w:r w:rsidR="00483928" w:rsidRPr="00817EE7">
        <w:rPr>
          <w:b/>
          <w:bCs/>
          <w:sz w:val="22"/>
          <w:szCs w:val="22"/>
        </w:rPr>
        <w:t xml:space="preserve"> </w:t>
      </w:r>
    </w:p>
    <w:p w14:paraId="4E458F7F" w14:textId="77777777" w:rsidR="004C34C2" w:rsidRDefault="004C34C2" w:rsidP="00A47D0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679D4FF" w14:textId="1A6EBFD6" w:rsidR="007803E9" w:rsidRPr="00817EE7" w:rsidRDefault="007803E9" w:rsidP="00A47D0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817EE7">
        <w:rPr>
          <w:sz w:val="22"/>
          <w:szCs w:val="22"/>
        </w:rPr>
        <w:t xml:space="preserve">Amicus Pharma </w:t>
      </w:r>
      <w:proofErr w:type="spellStart"/>
      <w:r w:rsidRPr="00817EE7">
        <w:rPr>
          <w:sz w:val="22"/>
          <w:szCs w:val="22"/>
        </w:rPr>
        <w:t>d</w:t>
      </w:r>
      <w:r w:rsidR="00137CE3">
        <w:rPr>
          <w:sz w:val="22"/>
          <w:szCs w:val="22"/>
        </w:rPr>
        <w:t>.</w:t>
      </w:r>
      <w:r w:rsidRPr="00817EE7">
        <w:rPr>
          <w:sz w:val="22"/>
          <w:szCs w:val="22"/>
        </w:rPr>
        <w:t>o</w:t>
      </w:r>
      <w:r w:rsidR="00137CE3">
        <w:rPr>
          <w:sz w:val="22"/>
          <w:szCs w:val="22"/>
        </w:rPr>
        <w:t>.</w:t>
      </w:r>
      <w:r w:rsidRPr="00817EE7">
        <w:rPr>
          <w:sz w:val="22"/>
          <w:szCs w:val="22"/>
        </w:rPr>
        <w:t>o</w:t>
      </w:r>
      <w:proofErr w:type="spellEnd"/>
      <w:r w:rsidR="00CC049B">
        <w:rPr>
          <w:sz w:val="22"/>
          <w:szCs w:val="22"/>
        </w:rPr>
        <w:t>.</w:t>
      </w:r>
      <w:r w:rsidR="004A1930" w:rsidRPr="00817EE7">
        <w:rPr>
          <w:sz w:val="22"/>
          <w:szCs w:val="22"/>
        </w:rPr>
        <w:t xml:space="preserve"> Podgorica</w:t>
      </w:r>
    </w:p>
    <w:p w14:paraId="38335009" w14:textId="7C26AEAD" w:rsidR="007803E9" w:rsidRPr="00817EE7" w:rsidRDefault="004C34C2" w:rsidP="00A47D0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Bulevar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803E9" w:rsidRPr="00817EE7">
        <w:rPr>
          <w:sz w:val="22"/>
          <w:szCs w:val="22"/>
        </w:rPr>
        <w:t>Džordža</w:t>
      </w:r>
      <w:proofErr w:type="spellEnd"/>
      <w:r w:rsidR="007803E9" w:rsidRPr="00817EE7">
        <w:rPr>
          <w:sz w:val="22"/>
          <w:szCs w:val="22"/>
        </w:rPr>
        <w:t xml:space="preserve"> </w:t>
      </w:r>
      <w:proofErr w:type="spellStart"/>
      <w:r w:rsidR="007803E9" w:rsidRPr="00817EE7">
        <w:rPr>
          <w:sz w:val="22"/>
          <w:szCs w:val="22"/>
        </w:rPr>
        <w:t>Vašingtona</w:t>
      </w:r>
      <w:proofErr w:type="spellEnd"/>
      <w:r>
        <w:rPr>
          <w:sz w:val="22"/>
          <w:szCs w:val="22"/>
        </w:rPr>
        <w:t xml:space="preserve"> br.</w:t>
      </w:r>
      <w:r w:rsidR="007803E9" w:rsidRPr="00817EE7">
        <w:rPr>
          <w:sz w:val="22"/>
          <w:szCs w:val="22"/>
        </w:rPr>
        <w:t xml:space="preserve"> 51</w:t>
      </w:r>
    </w:p>
    <w:p w14:paraId="78C0DA0A" w14:textId="5A057545" w:rsidR="007803E9" w:rsidRPr="00817EE7" w:rsidRDefault="007803E9" w:rsidP="00A47D0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817EE7">
        <w:rPr>
          <w:sz w:val="22"/>
          <w:szCs w:val="22"/>
        </w:rPr>
        <w:t>81000 Podgorica</w:t>
      </w:r>
      <w:r w:rsidR="004C34C2">
        <w:rPr>
          <w:sz w:val="22"/>
          <w:szCs w:val="22"/>
        </w:rPr>
        <w:t xml:space="preserve">, </w:t>
      </w:r>
      <w:proofErr w:type="spellStart"/>
      <w:r w:rsidR="004C34C2">
        <w:rPr>
          <w:sz w:val="22"/>
          <w:szCs w:val="22"/>
        </w:rPr>
        <w:t>Crna</w:t>
      </w:r>
      <w:proofErr w:type="spellEnd"/>
      <w:r w:rsidR="004C34C2">
        <w:rPr>
          <w:sz w:val="22"/>
          <w:szCs w:val="22"/>
        </w:rPr>
        <w:t xml:space="preserve"> Gora</w:t>
      </w:r>
    </w:p>
    <w:p w14:paraId="2E424037" w14:textId="2172E771" w:rsidR="00C37FD7" w:rsidRDefault="00C37FD7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0259492" w14:textId="77777777" w:rsidR="00A47D04" w:rsidRPr="00817EE7" w:rsidRDefault="00A47D04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EA64C22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8. </w:t>
      </w:r>
      <w:r w:rsidR="00480FB1" w:rsidRPr="00817EE7">
        <w:rPr>
          <w:b/>
          <w:bCs/>
          <w:sz w:val="22"/>
          <w:szCs w:val="22"/>
        </w:rPr>
        <w:tab/>
      </w:r>
      <w:r w:rsidRPr="00817EE7">
        <w:rPr>
          <w:b/>
          <w:bCs/>
          <w:sz w:val="22"/>
          <w:szCs w:val="22"/>
        </w:rPr>
        <w:t>BROJ DOZVOLE</w:t>
      </w:r>
      <w:r w:rsidR="008A6D43" w:rsidRPr="00817EE7">
        <w:rPr>
          <w:b/>
          <w:bCs/>
          <w:sz w:val="22"/>
          <w:szCs w:val="22"/>
        </w:rPr>
        <w:t xml:space="preserve"> ZA STAVLJANJE LIJEKA U PROMET</w:t>
      </w:r>
    </w:p>
    <w:p w14:paraId="0CC37924" w14:textId="4B612FD6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75149C" w14:textId="137557AE" w:rsidR="004A2C18" w:rsidRPr="00817EE7" w:rsidRDefault="00B238C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2030/23/634 - 46</w:t>
      </w:r>
      <w:r w:rsidR="0011321C">
        <w:rPr>
          <w:bCs/>
          <w:sz w:val="22"/>
          <w:szCs w:val="22"/>
        </w:rPr>
        <w:t>94</w:t>
      </w:r>
    </w:p>
    <w:p w14:paraId="420B03D0" w14:textId="3D79C161" w:rsidR="00F45F77" w:rsidRDefault="00F45F77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2FC8E18" w14:textId="77777777" w:rsidR="00A47D04" w:rsidRPr="00817EE7" w:rsidRDefault="00A47D04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676EDE" w14:textId="77777777" w:rsidR="007803E9" w:rsidRPr="00817EE7" w:rsidRDefault="0072020E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9. </w:t>
      </w:r>
      <w:r w:rsidR="00480FB1" w:rsidRPr="00817EE7">
        <w:rPr>
          <w:b/>
          <w:bCs/>
          <w:sz w:val="22"/>
          <w:szCs w:val="22"/>
        </w:rPr>
        <w:tab/>
      </w:r>
      <w:r w:rsidRPr="00817EE7">
        <w:rPr>
          <w:b/>
          <w:bCs/>
          <w:sz w:val="22"/>
          <w:szCs w:val="22"/>
        </w:rPr>
        <w:t xml:space="preserve">DATUM </w:t>
      </w:r>
      <w:r w:rsidR="00C05DF8" w:rsidRPr="00817EE7">
        <w:rPr>
          <w:b/>
          <w:bCs/>
          <w:sz w:val="22"/>
          <w:szCs w:val="22"/>
        </w:rPr>
        <w:t xml:space="preserve">PRVE </w:t>
      </w:r>
      <w:r w:rsidR="008A6D43" w:rsidRPr="00817EE7">
        <w:rPr>
          <w:b/>
          <w:bCs/>
          <w:sz w:val="22"/>
          <w:szCs w:val="22"/>
        </w:rPr>
        <w:t>DOZVOLE</w:t>
      </w:r>
      <w:r w:rsidR="00C05DF8" w:rsidRPr="00817EE7">
        <w:rPr>
          <w:b/>
          <w:bCs/>
          <w:sz w:val="22"/>
          <w:szCs w:val="22"/>
        </w:rPr>
        <w:t>/OBNOVE DOZVOLE</w:t>
      </w:r>
      <w:r w:rsidR="008A6D43" w:rsidRPr="00817EE7">
        <w:rPr>
          <w:b/>
          <w:bCs/>
          <w:sz w:val="22"/>
          <w:szCs w:val="22"/>
        </w:rPr>
        <w:t xml:space="preserve"> ZA STAVLJANJE LIJEKA U </w:t>
      </w:r>
    </w:p>
    <w:p w14:paraId="3B9E2312" w14:textId="44FAD429" w:rsidR="0072020E" w:rsidRPr="00817EE7" w:rsidRDefault="007803E9" w:rsidP="00A47D0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          </w:t>
      </w:r>
      <w:r w:rsidR="008A6D43" w:rsidRPr="00817EE7">
        <w:rPr>
          <w:b/>
          <w:bCs/>
          <w:sz w:val="22"/>
          <w:szCs w:val="22"/>
        </w:rPr>
        <w:t>PROMET</w:t>
      </w:r>
    </w:p>
    <w:p w14:paraId="3CB44195" w14:textId="77777777" w:rsidR="0072020E" w:rsidRPr="00817EE7" w:rsidRDefault="0072020E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44B503" w14:textId="79F25B6A" w:rsidR="00836B35" w:rsidRDefault="00B238C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10.02.2023. </w:t>
      </w:r>
      <w:proofErr w:type="gramStart"/>
      <w:r>
        <w:rPr>
          <w:bCs/>
          <w:sz w:val="22"/>
          <w:szCs w:val="22"/>
        </w:rPr>
        <w:t>godine</w:t>
      </w:r>
      <w:proofErr w:type="gramEnd"/>
    </w:p>
    <w:p w14:paraId="0F0E159F" w14:textId="408C5D97" w:rsidR="00B238C2" w:rsidRDefault="00B238C2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3EF35AE" w14:textId="77777777" w:rsidR="00A47D04" w:rsidRPr="00817EE7" w:rsidRDefault="00A47D04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8E123A8" w14:textId="77777777" w:rsidR="003F6A59" w:rsidRPr="00817EE7" w:rsidRDefault="0072020E" w:rsidP="00A47D04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817EE7">
        <w:rPr>
          <w:b/>
          <w:bCs/>
          <w:sz w:val="22"/>
          <w:szCs w:val="22"/>
        </w:rPr>
        <w:t xml:space="preserve">10. </w:t>
      </w:r>
      <w:r w:rsidR="00480FB1" w:rsidRPr="00817EE7">
        <w:rPr>
          <w:b/>
          <w:bCs/>
          <w:sz w:val="22"/>
          <w:szCs w:val="22"/>
        </w:rPr>
        <w:tab/>
      </w:r>
      <w:r w:rsidR="002846DB" w:rsidRPr="00817EE7">
        <w:rPr>
          <w:b/>
          <w:bCs/>
          <w:sz w:val="22"/>
          <w:szCs w:val="22"/>
        </w:rPr>
        <w:t>D</w:t>
      </w:r>
      <w:r w:rsidR="00EC2532" w:rsidRPr="00817EE7">
        <w:rPr>
          <w:b/>
          <w:bCs/>
          <w:sz w:val="22"/>
          <w:szCs w:val="22"/>
        </w:rPr>
        <w:t xml:space="preserve">ATUM REVIZIJE TEKSTA </w:t>
      </w:r>
    </w:p>
    <w:p w14:paraId="2021CFA1" w14:textId="77777777" w:rsidR="003F6A59" w:rsidRPr="00817EE7" w:rsidRDefault="003F6A59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C272708" w14:textId="5D451A1D" w:rsidR="008A6D43" w:rsidRPr="00817EE7" w:rsidRDefault="0086220C" w:rsidP="00A47D0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April, 2025. godine</w:t>
      </w:r>
      <w:bookmarkStart w:id="3" w:name="_GoBack"/>
      <w:bookmarkEnd w:id="3"/>
    </w:p>
    <w:p w14:paraId="2CFF13C2" w14:textId="7FC09545" w:rsidR="003F6A59" w:rsidRPr="00817EE7" w:rsidRDefault="003F6A59" w:rsidP="00A47D04">
      <w:pPr>
        <w:jc w:val="both"/>
        <w:rPr>
          <w:sz w:val="22"/>
          <w:szCs w:val="22"/>
          <w:lang w:val="pl-PL"/>
        </w:rPr>
      </w:pPr>
    </w:p>
    <w:sectPr w:rsidR="003F6A59" w:rsidRPr="00817EE7" w:rsidSect="004C4A0A">
      <w:footerReference w:type="default" r:id="rId15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72D8" w14:textId="77777777" w:rsidR="00520CE7" w:rsidRDefault="00520CE7">
      <w:r>
        <w:separator/>
      </w:r>
    </w:p>
  </w:endnote>
  <w:endnote w:type="continuationSeparator" w:id="0">
    <w:p w14:paraId="63DE0F4D" w14:textId="77777777" w:rsidR="00520CE7" w:rsidRDefault="005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840C" w14:textId="176EFFE1" w:rsidR="00350DDF" w:rsidRPr="00B23F69" w:rsidRDefault="00350DD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6220C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6220C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AD10" w14:textId="77777777" w:rsidR="00520CE7" w:rsidRDefault="00520CE7">
      <w:r>
        <w:separator/>
      </w:r>
    </w:p>
  </w:footnote>
  <w:footnote w:type="continuationSeparator" w:id="0">
    <w:p w14:paraId="4BB7B69F" w14:textId="77777777" w:rsidR="00520CE7" w:rsidRDefault="0052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175CD6"/>
    <w:multiLevelType w:val="hybridMultilevel"/>
    <w:tmpl w:val="9C4A4F58"/>
    <w:lvl w:ilvl="0" w:tplc="8A8ED0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1E05"/>
    <w:rsid w:val="00036FA0"/>
    <w:rsid w:val="0003793F"/>
    <w:rsid w:val="00055EF6"/>
    <w:rsid w:val="00057E35"/>
    <w:rsid w:val="000661B9"/>
    <w:rsid w:val="000704D6"/>
    <w:rsid w:val="00073EF3"/>
    <w:rsid w:val="00076726"/>
    <w:rsid w:val="00080303"/>
    <w:rsid w:val="00084EFC"/>
    <w:rsid w:val="00086EA5"/>
    <w:rsid w:val="00093D40"/>
    <w:rsid w:val="000A0E49"/>
    <w:rsid w:val="000A3F58"/>
    <w:rsid w:val="000C65DE"/>
    <w:rsid w:val="000D2343"/>
    <w:rsid w:val="000D3449"/>
    <w:rsid w:val="000D425A"/>
    <w:rsid w:val="000D60CC"/>
    <w:rsid w:val="000E2084"/>
    <w:rsid w:val="000E6F55"/>
    <w:rsid w:val="000F5A94"/>
    <w:rsid w:val="000F77FA"/>
    <w:rsid w:val="00101462"/>
    <w:rsid w:val="00107BF7"/>
    <w:rsid w:val="0011321C"/>
    <w:rsid w:val="00126F53"/>
    <w:rsid w:val="00136E66"/>
    <w:rsid w:val="00137CE3"/>
    <w:rsid w:val="0014766D"/>
    <w:rsid w:val="001536CC"/>
    <w:rsid w:val="00161CCC"/>
    <w:rsid w:val="00181A94"/>
    <w:rsid w:val="00182D03"/>
    <w:rsid w:val="001A139B"/>
    <w:rsid w:val="001A3FBA"/>
    <w:rsid w:val="001A5518"/>
    <w:rsid w:val="001A5D4E"/>
    <w:rsid w:val="001B1C6A"/>
    <w:rsid w:val="001C1263"/>
    <w:rsid w:val="001C1417"/>
    <w:rsid w:val="001C1C29"/>
    <w:rsid w:val="001E390B"/>
    <w:rsid w:val="001E7BC1"/>
    <w:rsid w:val="001F42FB"/>
    <w:rsid w:val="001F719A"/>
    <w:rsid w:val="002031B3"/>
    <w:rsid w:val="0020499F"/>
    <w:rsid w:val="00215931"/>
    <w:rsid w:val="00224C91"/>
    <w:rsid w:val="00227BDB"/>
    <w:rsid w:val="00234163"/>
    <w:rsid w:val="00234CB1"/>
    <w:rsid w:val="002352F8"/>
    <w:rsid w:val="002422C4"/>
    <w:rsid w:val="002510A5"/>
    <w:rsid w:val="00254A0A"/>
    <w:rsid w:val="0026007B"/>
    <w:rsid w:val="00266046"/>
    <w:rsid w:val="00273E03"/>
    <w:rsid w:val="00277D55"/>
    <w:rsid w:val="002846DB"/>
    <w:rsid w:val="00284CCD"/>
    <w:rsid w:val="00291B4F"/>
    <w:rsid w:val="002C6637"/>
    <w:rsid w:val="002D450C"/>
    <w:rsid w:val="002E0135"/>
    <w:rsid w:val="002E37A5"/>
    <w:rsid w:val="00310F03"/>
    <w:rsid w:val="003247D2"/>
    <w:rsid w:val="00324A3E"/>
    <w:rsid w:val="00335447"/>
    <w:rsid w:val="003362D4"/>
    <w:rsid w:val="00336763"/>
    <w:rsid w:val="003410A9"/>
    <w:rsid w:val="003445C1"/>
    <w:rsid w:val="00350DDF"/>
    <w:rsid w:val="00355B61"/>
    <w:rsid w:val="00362686"/>
    <w:rsid w:val="003649A5"/>
    <w:rsid w:val="00371510"/>
    <w:rsid w:val="003761F1"/>
    <w:rsid w:val="003902D8"/>
    <w:rsid w:val="00396DFD"/>
    <w:rsid w:val="003A7059"/>
    <w:rsid w:val="003B7A36"/>
    <w:rsid w:val="003C001B"/>
    <w:rsid w:val="003C17AB"/>
    <w:rsid w:val="003C7823"/>
    <w:rsid w:val="003E1DCC"/>
    <w:rsid w:val="003E23C1"/>
    <w:rsid w:val="003F11A1"/>
    <w:rsid w:val="003F6A59"/>
    <w:rsid w:val="00402450"/>
    <w:rsid w:val="004065C8"/>
    <w:rsid w:val="004109FA"/>
    <w:rsid w:val="00411B4B"/>
    <w:rsid w:val="0041254C"/>
    <w:rsid w:val="00415BEE"/>
    <w:rsid w:val="00427F85"/>
    <w:rsid w:val="00436D65"/>
    <w:rsid w:val="00436F42"/>
    <w:rsid w:val="004378B4"/>
    <w:rsid w:val="00451314"/>
    <w:rsid w:val="00452E9D"/>
    <w:rsid w:val="004534C7"/>
    <w:rsid w:val="004671AA"/>
    <w:rsid w:val="00480FB1"/>
    <w:rsid w:val="00483928"/>
    <w:rsid w:val="004A1930"/>
    <w:rsid w:val="004A2C18"/>
    <w:rsid w:val="004C331F"/>
    <w:rsid w:val="004C34C2"/>
    <w:rsid w:val="004C4A0A"/>
    <w:rsid w:val="004C6441"/>
    <w:rsid w:val="004D3DD0"/>
    <w:rsid w:val="004D5864"/>
    <w:rsid w:val="004D6103"/>
    <w:rsid w:val="004E3BCE"/>
    <w:rsid w:val="004E70AD"/>
    <w:rsid w:val="004F0E97"/>
    <w:rsid w:val="004F71E6"/>
    <w:rsid w:val="00501DD1"/>
    <w:rsid w:val="00515C21"/>
    <w:rsid w:val="00520CE7"/>
    <w:rsid w:val="005277CC"/>
    <w:rsid w:val="00530BD7"/>
    <w:rsid w:val="00540453"/>
    <w:rsid w:val="00545CD2"/>
    <w:rsid w:val="005463A6"/>
    <w:rsid w:val="005476F3"/>
    <w:rsid w:val="00572527"/>
    <w:rsid w:val="00573E40"/>
    <w:rsid w:val="00576348"/>
    <w:rsid w:val="0058169A"/>
    <w:rsid w:val="005A0B2E"/>
    <w:rsid w:val="005A23D2"/>
    <w:rsid w:val="005A36CB"/>
    <w:rsid w:val="005B49B8"/>
    <w:rsid w:val="005C0741"/>
    <w:rsid w:val="005C5EF4"/>
    <w:rsid w:val="005E2E0B"/>
    <w:rsid w:val="005E57C6"/>
    <w:rsid w:val="005E7A7D"/>
    <w:rsid w:val="00602457"/>
    <w:rsid w:val="00603751"/>
    <w:rsid w:val="00620EC4"/>
    <w:rsid w:val="00636D6B"/>
    <w:rsid w:val="00644FC3"/>
    <w:rsid w:val="00646BD1"/>
    <w:rsid w:val="006516AE"/>
    <w:rsid w:val="006561C2"/>
    <w:rsid w:val="00671CB3"/>
    <w:rsid w:val="00674BAF"/>
    <w:rsid w:val="00682200"/>
    <w:rsid w:val="00690451"/>
    <w:rsid w:val="00690BC9"/>
    <w:rsid w:val="00692BF6"/>
    <w:rsid w:val="00694B84"/>
    <w:rsid w:val="006964A9"/>
    <w:rsid w:val="006A1497"/>
    <w:rsid w:val="006B0BD1"/>
    <w:rsid w:val="006B4BEF"/>
    <w:rsid w:val="006B5404"/>
    <w:rsid w:val="006D20A5"/>
    <w:rsid w:val="006D37BF"/>
    <w:rsid w:val="00702E22"/>
    <w:rsid w:val="007113E7"/>
    <w:rsid w:val="0072020E"/>
    <w:rsid w:val="007603A1"/>
    <w:rsid w:val="007803E9"/>
    <w:rsid w:val="0078274F"/>
    <w:rsid w:val="00786071"/>
    <w:rsid w:val="007A3ECB"/>
    <w:rsid w:val="007C10B0"/>
    <w:rsid w:val="007D5CDE"/>
    <w:rsid w:val="007D7BB3"/>
    <w:rsid w:val="007F60B7"/>
    <w:rsid w:val="008149B0"/>
    <w:rsid w:val="00817A33"/>
    <w:rsid w:val="00817EE7"/>
    <w:rsid w:val="00824AB9"/>
    <w:rsid w:val="00836B35"/>
    <w:rsid w:val="00843BDE"/>
    <w:rsid w:val="008510B7"/>
    <w:rsid w:val="0086220C"/>
    <w:rsid w:val="00865550"/>
    <w:rsid w:val="0087588C"/>
    <w:rsid w:val="00885966"/>
    <w:rsid w:val="0089150B"/>
    <w:rsid w:val="0089705C"/>
    <w:rsid w:val="008A6D43"/>
    <w:rsid w:val="008B0A02"/>
    <w:rsid w:val="008B3EDB"/>
    <w:rsid w:val="008B491E"/>
    <w:rsid w:val="008C1A28"/>
    <w:rsid w:val="008C2E98"/>
    <w:rsid w:val="008E49BD"/>
    <w:rsid w:val="008E53E9"/>
    <w:rsid w:val="008E5771"/>
    <w:rsid w:val="008F4ACF"/>
    <w:rsid w:val="009133E9"/>
    <w:rsid w:val="009238F9"/>
    <w:rsid w:val="00924166"/>
    <w:rsid w:val="00925E91"/>
    <w:rsid w:val="0093433A"/>
    <w:rsid w:val="00940B9B"/>
    <w:rsid w:val="009428F2"/>
    <w:rsid w:val="009477F6"/>
    <w:rsid w:val="0095676E"/>
    <w:rsid w:val="00956983"/>
    <w:rsid w:val="00963CF0"/>
    <w:rsid w:val="00964BB1"/>
    <w:rsid w:val="009775D9"/>
    <w:rsid w:val="00997175"/>
    <w:rsid w:val="009A0BD8"/>
    <w:rsid w:val="009A1847"/>
    <w:rsid w:val="009A4889"/>
    <w:rsid w:val="009A5235"/>
    <w:rsid w:val="009A7536"/>
    <w:rsid w:val="009B062A"/>
    <w:rsid w:val="009B7673"/>
    <w:rsid w:val="009C1680"/>
    <w:rsid w:val="009E7C6F"/>
    <w:rsid w:val="009F02BF"/>
    <w:rsid w:val="009F1793"/>
    <w:rsid w:val="009F2D23"/>
    <w:rsid w:val="00A01D69"/>
    <w:rsid w:val="00A02335"/>
    <w:rsid w:val="00A0258D"/>
    <w:rsid w:val="00A13E7B"/>
    <w:rsid w:val="00A4162C"/>
    <w:rsid w:val="00A46C9A"/>
    <w:rsid w:val="00A47D04"/>
    <w:rsid w:val="00A55D4D"/>
    <w:rsid w:val="00A619F3"/>
    <w:rsid w:val="00A62A73"/>
    <w:rsid w:val="00A87FF6"/>
    <w:rsid w:val="00A90B8C"/>
    <w:rsid w:val="00AA0A3B"/>
    <w:rsid w:val="00AA2763"/>
    <w:rsid w:val="00AA33B6"/>
    <w:rsid w:val="00AB50CA"/>
    <w:rsid w:val="00AB6D64"/>
    <w:rsid w:val="00AC53CE"/>
    <w:rsid w:val="00AD2193"/>
    <w:rsid w:val="00AD4220"/>
    <w:rsid w:val="00AE7137"/>
    <w:rsid w:val="00AF244A"/>
    <w:rsid w:val="00AF2AC7"/>
    <w:rsid w:val="00AF74CE"/>
    <w:rsid w:val="00B208DB"/>
    <w:rsid w:val="00B238C2"/>
    <w:rsid w:val="00B23F69"/>
    <w:rsid w:val="00B40E5B"/>
    <w:rsid w:val="00B60619"/>
    <w:rsid w:val="00B66A70"/>
    <w:rsid w:val="00B67366"/>
    <w:rsid w:val="00B7638F"/>
    <w:rsid w:val="00B80EE1"/>
    <w:rsid w:val="00B84135"/>
    <w:rsid w:val="00B94F6B"/>
    <w:rsid w:val="00BB771D"/>
    <w:rsid w:val="00BD5AEB"/>
    <w:rsid w:val="00C04D34"/>
    <w:rsid w:val="00C05DF8"/>
    <w:rsid w:val="00C06864"/>
    <w:rsid w:val="00C10F54"/>
    <w:rsid w:val="00C2221B"/>
    <w:rsid w:val="00C23D8D"/>
    <w:rsid w:val="00C37AA3"/>
    <w:rsid w:val="00C37FD7"/>
    <w:rsid w:val="00C40A88"/>
    <w:rsid w:val="00C41AFE"/>
    <w:rsid w:val="00C43419"/>
    <w:rsid w:val="00C44CF3"/>
    <w:rsid w:val="00C56C54"/>
    <w:rsid w:val="00C61BE0"/>
    <w:rsid w:val="00C6707E"/>
    <w:rsid w:val="00C70B0E"/>
    <w:rsid w:val="00C7356F"/>
    <w:rsid w:val="00C773CA"/>
    <w:rsid w:val="00C83785"/>
    <w:rsid w:val="00C9206E"/>
    <w:rsid w:val="00C94C0D"/>
    <w:rsid w:val="00CA1FEB"/>
    <w:rsid w:val="00CC049B"/>
    <w:rsid w:val="00CC4E1C"/>
    <w:rsid w:val="00CD4F85"/>
    <w:rsid w:val="00CD6F02"/>
    <w:rsid w:val="00CE246D"/>
    <w:rsid w:val="00CF07A0"/>
    <w:rsid w:val="00CF3E03"/>
    <w:rsid w:val="00D0082A"/>
    <w:rsid w:val="00D21455"/>
    <w:rsid w:val="00D25ED0"/>
    <w:rsid w:val="00D47634"/>
    <w:rsid w:val="00D54936"/>
    <w:rsid w:val="00D709B3"/>
    <w:rsid w:val="00D76AB6"/>
    <w:rsid w:val="00DA2A86"/>
    <w:rsid w:val="00DA2ED6"/>
    <w:rsid w:val="00DA79D8"/>
    <w:rsid w:val="00DB76B8"/>
    <w:rsid w:val="00DC2EA1"/>
    <w:rsid w:val="00DD6AAF"/>
    <w:rsid w:val="00DE3F5C"/>
    <w:rsid w:val="00DF1D20"/>
    <w:rsid w:val="00E21324"/>
    <w:rsid w:val="00E246B9"/>
    <w:rsid w:val="00E24BAC"/>
    <w:rsid w:val="00E31FEA"/>
    <w:rsid w:val="00E3229F"/>
    <w:rsid w:val="00E41304"/>
    <w:rsid w:val="00E45169"/>
    <w:rsid w:val="00E47787"/>
    <w:rsid w:val="00E51C30"/>
    <w:rsid w:val="00E62A11"/>
    <w:rsid w:val="00E63D6F"/>
    <w:rsid w:val="00E64180"/>
    <w:rsid w:val="00E6516A"/>
    <w:rsid w:val="00E71A83"/>
    <w:rsid w:val="00E74AEE"/>
    <w:rsid w:val="00E868E5"/>
    <w:rsid w:val="00E9237A"/>
    <w:rsid w:val="00E939FA"/>
    <w:rsid w:val="00EA5765"/>
    <w:rsid w:val="00EA7A34"/>
    <w:rsid w:val="00EC2532"/>
    <w:rsid w:val="00EC5377"/>
    <w:rsid w:val="00ED7812"/>
    <w:rsid w:val="00EF3B86"/>
    <w:rsid w:val="00EF50D9"/>
    <w:rsid w:val="00F10367"/>
    <w:rsid w:val="00F317E9"/>
    <w:rsid w:val="00F34554"/>
    <w:rsid w:val="00F45F77"/>
    <w:rsid w:val="00F5167F"/>
    <w:rsid w:val="00F52258"/>
    <w:rsid w:val="00F532CE"/>
    <w:rsid w:val="00F723C5"/>
    <w:rsid w:val="00F76E83"/>
    <w:rsid w:val="00F8570A"/>
    <w:rsid w:val="00F91C7B"/>
    <w:rsid w:val="00FE3E57"/>
    <w:rsid w:val="00FF0C57"/>
    <w:rsid w:val="00FF0C5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48C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B3ED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de6f4-5e47-4604-b52b-60738cd313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80CF339C74641AFDB768D5D433088" ma:contentTypeVersion="18" ma:contentTypeDescription="Create a new document." ma:contentTypeScope="" ma:versionID="b7144350d62476dc79222e906aa92558">
  <xsd:schema xmlns:xsd="http://www.w3.org/2001/XMLSchema" xmlns:xs="http://www.w3.org/2001/XMLSchema" xmlns:p="http://schemas.microsoft.com/office/2006/metadata/properties" xmlns:ns3="70ade6f4-5e47-4604-b52b-60738cd31330" xmlns:ns4="798a74e4-0b91-4f6c-99d4-57759e9a361c" targetNamespace="http://schemas.microsoft.com/office/2006/metadata/properties" ma:root="true" ma:fieldsID="91be3e0136e14dfb774270b08bdf3cf3" ns3:_="" ns4:_="">
    <xsd:import namespace="70ade6f4-5e47-4604-b52b-60738cd31330"/>
    <xsd:import namespace="798a74e4-0b91-4f6c-99d4-57759e9a36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e6f4-5e47-4604-b52b-60738cd31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74e4-0b91-4f6c-99d4-57759e9a3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9078-1417-4698-BD7C-5EA7E4AB0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2110A-D589-49B4-8434-2C1E4C2E86FD}">
  <ds:schemaRefs>
    <ds:schemaRef ds:uri="http://schemas.microsoft.com/office/2006/metadata/properties"/>
    <ds:schemaRef ds:uri="http://schemas.microsoft.com/office/infopath/2007/PartnerControls"/>
    <ds:schemaRef ds:uri="70ade6f4-5e47-4604-b52b-60738cd31330"/>
  </ds:schemaRefs>
</ds:datastoreItem>
</file>

<file path=customXml/itemProps3.xml><?xml version="1.0" encoding="utf-8"?>
<ds:datastoreItem xmlns:ds="http://schemas.openxmlformats.org/officeDocument/2006/customXml" ds:itemID="{CE35BE78-EAB7-46FC-B824-7D9A6DAA7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de6f4-5e47-4604-b52b-60738cd31330"/>
    <ds:schemaRef ds:uri="798a74e4-0b91-4f6c-99d4-57759e9a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A3417-C965-4DB4-88D4-650FF37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21859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Tamara Dedejić</cp:lastModifiedBy>
  <cp:revision>9</cp:revision>
  <dcterms:created xsi:type="dcterms:W3CDTF">2025-04-11T11:45:00Z</dcterms:created>
  <dcterms:modified xsi:type="dcterms:W3CDTF">2025-04-14T11:34:00Z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0x010100DC480CF339C74641AFDB768D5D433088</vt:lpwstr>
  </property>
</Properties>
</file>