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64BF3" w14:textId="77777777" w:rsidR="001A5518" w:rsidRDefault="001A5518" w:rsidP="001A5518">
      <w:pPr>
        <w:rPr>
          <w:b/>
          <w:bCs/>
          <w:i/>
          <w:iCs/>
          <w:sz w:val="22"/>
          <w:szCs w:val="22"/>
          <w:u w:val="single"/>
        </w:rPr>
      </w:pPr>
    </w:p>
    <w:p w14:paraId="22064BF4" w14:textId="77777777" w:rsidR="00F91C7B" w:rsidRPr="00786071" w:rsidRDefault="00F91C7B" w:rsidP="001A5518">
      <w:pPr>
        <w:rPr>
          <w:b/>
          <w:bCs/>
          <w:i/>
          <w:iCs/>
          <w:sz w:val="22"/>
          <w:szCs w:val="22"/>
          <w:u w:val="single"/>
        </w:rPr>
      </w:pPr>
    </w:p>
    <w:p w14:paraId="22064BF5" w14:textId="77777777" w:rsidR="002510A5" w:rsidRPr="00BC6BEF" w:rsidRDefault="002510A5" w:rsidP="002510A5">
      <w:pPr>
        <w:jc w:val="center"/>
        <w:rPr>
          <w:b/>
          <w:bCs/>
          <w:iCs/>
          <w:sz w:val="22"/>
          <w:szCs w:val="22"/>
          <w:u w:val="single"/>
        </w:rPr>
      </w:pPr>
      <w:r w:rsidRPr="00BC6BEF">
        <w:rPr>
          <w:b/>
          <w:bCs/>
          <w:iCs/>
          <w:sz w:val="22"/>
          <w:szCs w:val="22"/>
          <w:u w:val="single"/>
        </w:rPr>
        <w:t>SAŽETAK KARAKTERISTIKA LIJEKA</w:t>
      </w:r>
    </w:p>
    <w:p w14:paraId="22064BF6" w14:textId="77777777" w:rsidR="002510A5" w:rsidRPr="00BC6BEF" w:rsidRDefault="002510A5" w:rsidP="002510A5">
      <w:pPr>
        <w:rPr>
          <w:b/>
          <w:bCs/>
          <w:i/>
          <w:iCs/>
          <w:sz w:val="22"/>
          <w:szCs w:val="22"/>
          <w:u w:val="single"/>
        </w:rPr>
      </w:pPr>
    </w:p>
    <w:p w14:paraId="22064BF7" w14:textId="77777777" w:rsidR="00C37FD7" w:rsidRPr="00BC6BEF" w:rsidRDefault="00C37FD7" w:rsidP="00F5167F">
      <w:pPr>
        <w:tabs>
          <w:tab w:val="left" w:pos="540"/>
          <w:tab w:val="left" w:pos="569"/>
        </w:tabs>
        <w:rPr>
          <w:bCs/>
          <w:sz w:val="22"/>
          <w:szCs w:val="22"/>
        </w:rPr>
      </w:pPr>
    </w:p>
    <w:p w14:paraId="22064BF8" w14:textId="77777777" w:rsidR="00411B4B" w:rsidRPr="00BC6BEF" w:rsidRDefault="00411B4B" w:rsidP="00F5167F">
      <w:pPr>
        <w:tabs>
          <w:tab w:val="left" w:pos="540"/>
          <w:tab w:val="left" w:pos="569"/>
        </w:tabs>
        <w:rPr>
          <w:b/>
          <w:bCs/>
          <w:sz w:val="22"/>
          <w:szCs w:val="22"/>
        </w:rPr>
      </w:pPr>
      <w:r w:rsidRPr="00BC6BEF">
        <w:rPr>
          <w:b/>
          <w:bCs/>
          <w:sz w:val="22"/>
          <w:szCs w:val="22"/>
        </w:rPr>
        <w:t>1.</w:t>
      </w:r>
      <w:r w:rsidR="00F5167F" w:rsidRPr="00BC6BEF">
        <w:rPr>
          <w:b/>
          <w:bCs/>
          <w:sz w:val="22"/>
          <w:szCs w:val="22"/>
        </w:rPr>
        <w:tab/>
      </w:r>
      <w:r w:rsidR="002846DB" w:rsidRPr="00BC6BEF">
        <w:rPr>
          <w:b/>
          <w:bCs/>
          <w:sz w:val="22"/>
          <w:szCs w:val="22"/>
        </w:rPr>
        <w:t xml:space="preserve">NAZIV </w:t>
      </w:r>
      <w:r w:rsidRPr="00BC6BEF">
        <w:rPr>
          <w:b/>
          <w:bCs/>
          <w:sz w:val="22"/>
          <w:szCs w:val="22"/>
        </w:rPr>
        <w:t>LIJEKA</w:t>
      </w:r>
    </w:p>
    <w:p w14:paraId="22064BF9" w14:textId="77777777" w:rsidR="00EC2532" w:rsidRPr="00BC6BEF" w:rsidRDefault="00EC2532">
      <w:pPr>
        <w:rPr>
          <w:sz w:val="22"/>
          <w:szCs w:val="22"/>
        </w:rPr>
      </w:pPr>
    </w:p>
    <w:p w14:paraId="22064BFA" w14:textId="3E997BA7" w:rsidR="00814CAB" w:rsidRPr="00BC6BEF" w:rsidRDefault="00814CAB" w:rsidP="00BF78B0">
      <w:pPr>
        <w:pStyle w:val="Header"/>
        <w:tabs>
          <w:tab w:val="left" w:pos="284"/>
        </w:tabs>
        <w:jc w:val="both"/>
        <w:rPr>
          <w:szCs w:val="22"/>
        </w:rPr>
      </w:pPr>
      <w:r w:rsidRPr="00BC6BEF">
        <w:rPr>
          <w:sz w:val="22"/>
          <w:szCs w:val="22"/>
        </w:rPr>
        <w:t>LAMICTAL</w:t>
      </w:r>
      <w:r w:rsidRPr="00BC6BEF">
        <w:rPr>
          <w:szCs w:val="22"/>
        </w:rPr>
        <w:t>, 25</w:t>
      </w:r>
      <w:r w:rsidR="009143C1" w:rsidRPr="00BC6BEF">
        <w:rPr>
          <w:szCs w:val="22"/>
        </w:rPr>
        <w:t xml:space="preserve"> </w:t>
      </w:r>
      <w:r w:rsidRPr="00BC6BEF">
        <w:rPr>
          <w:szCs w:val="22"/>
        </w:rPr>
        <w:t>mg</w:t>
      </w:r>
      <w:r w:rsidR="008E1C51" w:rsidRPr="00BC6BEF">
        <w:rPr>
          <w:szCs w:val="22"/>
        </w:rPr>
        <w:t>, tableta</w:t>
      </w:r>
    </w:p>
    <w:p w14:paraId="22064BFB" w14:textId="21298E89" w:rsidR="00814CAB" w:rsidRDefault="00814CAB" w:rsidP="00BF78B0">
      <w:pPr>
        <w:pStyle w:val="Header"/>
        <w:tabs>
          <w:tab w:val="left" w:pos="284"/>
        </w:tabs>
        <w:jc w:val="both"/>
        <w:rPr>
          <w:szCs w:val="22"/>
        </w:rPr>
      </w:pPr>
      <w:r>
        <w:rPr>
          <w:sz w:val="22"/>
          <w:szCs w:val="22"/>
        </w:rPr>
        <w:t>LAMICTAL</w:t>
      </w:r>
      <w:r>
        <w:rPr>
          <w:szCs w:val="22"/>
        </w:rPr>
        <w:t>, 50</w:t>
      </w:r>
      <w:r w:rsidR="009143C1">
        <w:rPr>
          <w:szCs w:val="22"/>
        </w:rPr>
        <w:t xml:space="preserve"> </w:t>
      </w:r>
      <w:r>
        <w:rPr>
          <w:szCs w:val="22"/>
        </w:rPr>
        <w:t>mg</w:t>
      </w:r>
      <w:r w:rsidR="008E1C51">
        <w:rPr>
          <w:szCs w:val="22"/>
        </w:rPr>
        <w:t>,</w:t>
      </w:r>
      <w:r w:rsidR="008E1C51" w:rsidRPr="008E1C51">
        <w:rPr>
          <w:szCs w:val="22"/>
        </w:rPr>
        <w:t xml:space="preserve"> </w:t>
      </w:r>
      <w:r w:rsidR="008E1C51">
        <w:rPr>
          <w:szCs w:val="22"/>
        </w:rPr>
        <w:t>tableta</w:t>
      </w:r>
    </w:p>
    <w:p w14:paraId="22064BFC" w14:textId="524DE194" w:rsidR="00814CAB" w:rsidRDefault="00814CAB" w:rsidP="00BF78B0">
      <w:pPr>
        <w:pStyle w:val="Header"/>
        <w:tabs>
          <w:tab w:val="left" w:pos="284"/>
        </w:tabs>
        <w:jc w:val="both"/>
        <w:rPr>
          <w:szCs w:val="22"/>
        </w:rPr>
      </w:pPr>
      <w:r>
        <w:rPr>
          <w:sz w:val="22"/>
          <w:szCs w:val="22"/>
        </w:rPr>
        <w:t>LAMICTAL</w:t>
      </w:r>
      <w:r>
        <w:rPr>
          <w:szCs w:val="22"/>
        </w:rPr>
        <w:t>,</w:t>
      </w:r>
      <w:r w:rsidR="008E1C51">
        <w:rPr>
          <w:szCs w:val="22"/>
        </w:rPr>
        <w:t xml:space="preserve"> 100</w:t>
      </w:r>
      <w:r w:rsidR="009143C1">
        <w:rPr>
          <w:szCs w:val="22"/>
        </w:rPr>
        <w:t xml:space="preserve"> </w:t>
      </w:r>
      <w:r w:rsidR="008E1C51">
        <w:rPr>
          <w:szCs w:val="22"/>
        </w:rPr>
        <w:t>mg</w:t>
      </w:r>
      <w:r>
        <w:rPr>
          <w:szCs w:val="22"/>
        </w:rPr>
        <w:t xml:space="preserve">, </w:t>
      </w:r>
      <w:r w:rsidR="008E1C51">
        <w:rPr>
          <w:szCs w:val="22"/>
        </w:rPr>
        <w:t>tableta</w:t>
      </w:r>
    </w:p>
    <w:p w14:paraId="22064BFD" w14:textId="77777777" w:rsidR="000D425A" w:rsidRPr="00BC6BEF" w:rsidRDefault="000D425A" w:rsidP="00BF78B0">
      <w:pPr>
        <w:jc w:val="both"/>
        <w:rPr>
          <w:bCs/>
          <w:sz w:val="22"/>
          <w:szCs w:val="22"/>
        </w:rPr>
      </w:pPr>
    </w:p>
    <w:p w14:paraId="22064BFE" w14:textId="77777777" w:rsidR="00814CAB" w:rsidRDefault="00814CAB" w:rsidP="00BF78B0">
      <w:pPr>
        <w:jc w:val="both"/>
        <w:rPr>
          <w:sz w:val="22"/>
          <w:szCs w:val="22"/>
          <w:lang w:val="sr-Latn-CS"/>
        </w:rPr>
      </w:pPr>
      <w:r w:rsidRPr="00BC6BEF">
        <w:rPr>
          <w:sz w:val="22"/>
          <w:szCs w:val="22"/>
        </w:rPr>
        <w:t>INN: lamotrigin</w:t>
      </w:r>
    </w:p>
    <w:p w14:paraId="22064BFF" w14:textId="35AC3EF6" w:rsidR="00530BD7" w:rsidRPr="00BC6BEF" w:rsidRDefault="00530BD7">
      <w:pPr>
        <w:rPr>
          <w:bCs/>
          <w:sz w:val="22"/>
          <w:szCs w:val="22"/>
        </w:rPr>
      </w:pPr>
    </w:p>
    <w:p w14:paraId="2BF820BC" w14:textId="77777777" w:rsidR="00C10538" w:rsidRPr="00BC6BEF" w:rsidRDefault="00C10538">
      <w:pPr>
        <w:rPr>
          <w:bCs/>
          <w:sz w:val="22"/>
          <w:szCs w:val="22"/>
        </w:rPr>
      </w:pPr>
    </w:p>
    <w:p w14:paraId="22064C00"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22064C01" w14:textId="77777777" w:rsidR="005A0B2E" w:rsidRPr="00786071" w:rsidRDefault="005A0B2E">
      <w:pPr>
        <w:rPr>
          <w:sz w:val="22"/>
          <w:szCs w:val="22"/>
          <w:lang w:val="sr-Latn-CS"/>
        </w:rPr>
      </w:pPr>
    </w:p>
    <w:p w14:paraId="22064C02" w14:textId="16173C95" w:rsidR="00814CAB" w:rsidRDefault="00814CAB" w:rsidP="00565925">
      <w:pPr>
        <w:pStyle w:val="Header"/>
        <w:tabs>
          <w:tab w:val="left" w:pos="284"/>
        </w:tabs>
        <w:jc w:val="both"/>
        <w:rPr>
          <w:sz w:val="22"/>
          <w:szCs w:val="22"/>
          <w:lang w:val="sl-SI"/>
        </w:rPr>
      </w:pPr>
      <w:r>
        <w:rPr>
          <w:sz w:val="22"/>
          <w:szCs w:val="22"/>
        </w:rPr>
        <w:t>Svaka LAMICTAL 25</w:t>
      </w:r>
      <w:r w:rsidR="00C10538">
        <w:rPr>
          <w:sz w:val="22"/>
          <w:szCs w:val="22"/>
        </w:rPr>
        <w:t xml:space="preserve"> </w:t>
      </w:r>
      <w:r>
        <w:rPr>
          <w:sz w:val="22"/>
          <w:szCs w:val="22"/>
        </w:rPr>
        <w:t>mg</w:t>
      </w:r>
      <w:r>
        <w:rPr>
          <w:sz w:val="22"/>
          <w:szCs w:val="22"/>
          <w:lang w:val="sl-SI"/>
        </w:rPr>
        <w:t xml:space="preserve"> tableta sadrži 25</w:t>
      </w:r>
      <w:r w:rsidR="00C10538">
        <w:rPr>
          <w:sz w:val="22"/>
          <w:szCs w:val="22"/>
          <w:lang w:val="sl-SI"/>
        </w:rPr>
        <w:t xml:space="preserve"> </w:t>
      </w:r>
      <w:r>
        <w:rPr>
          <w:sz w:val="22"/>
          <w:szCs w:val="22"/>
          <w:lang w:val="sl-SI"/>
        </w:rPr>
        <w:t>mg lamotrigina.</w:t>
      </w:r>
    </w:p>
    <w:p w14:paraId="22064C03" w14:textId="6D5553B2" w:rsidR="00814CAB" w:rsidRDefault="00814CAB" w:rsidP="00565925">
      <w:pPr>
        <w:pStyle w:val="Header"/>
        <w:tabs>
          <w:tab w:val="left" w:pos="284"/>
        </w:tabs>
        <w:jc w:val="both"/>
        <w:rPr>
          <w:sz w:val="22"/>
          <w:szCs w:val="22"/>
          <w:lang w:val="sl-SI"/>
        </w:rPr>
      </w:pPr>
      <w:r>
        <w:rPr>
          <w:sz w:val="22"/>
          <w:szCs w:val="22"/>
          <w:lang w:val="sl-SI"/>
        </w:rPr>
        <w:t>Pomoćna supstanca: svaka tableta sadrži 23.5</w:t>
      </w:r>
      <w:r w:rsidR="00C10538">
        <w:rPr>
          <w:sz w:val="22"/>
          <w:szCs w:val="22"/>
          <w:lang w:val="sl-SI"/>
        </w:rPr>
        <w:t xml:space="preserve"> </w:t>
      </w:r>
      <w:r>
        <w:rPr>
          <w:sz w:val="22"/>
          <w:szCs w:val="22"/>
          <w:lang w:val="sl-SI"/>
        </w:rPr>
        <w:t>mg laktoze.</w:t>
      </w:r>
    </w:p>
    <w:p w14:paraId="22064C04" w14:textId="77777777" w:rsidR="00814CAB" w:rsidRDefault="00814CAB" w:rsidP="00565925">
      <w:pPr>
        <w:pStyle w:val="Header"/>
        <w:tabs>
          <w:tab w:val="left" w:pos="284"/>
        </w:tabs>
        <w:jc w:val="both"/>
        <w:rPr>
          <w:sz w:val="22"/>
          <w:szCs w:val="22"/>
          <w:lang w:val="sl-SI"/>
        </w:rPr>
      </w:pPr>
    </w:p>
    <w:p w14:paraId="22064C05" w14:textId="344A3F29" w:rsidR="00814CAB" w:rsidRDefault="00814CAB" w:rsidP="00565925">
      <w:pPr>
        <w:pStyle w:val="Header"/>
        <w:tabs>
          <w:tab w:val="left" w:pos="284"/>
        </w:tabs>
        <w:jc w:val="both"/>
        <w:rPr>
          <w:sz w:val="22"/>
          <w:szCs w:val="22"/>
          <w:lang w:val="sl-SI"/>
        </w:rPr>
      </w:pPr>
      <w:r w:rsidRPr="00BC6BEF">
        <w:rPr>
          <w:sz w:val="22"/>
          <w:szCs w:val="22"/>
          <w:lang w:val="sl-SI"/>
        </w:rPr>
        <w:t>Svaka LAMICTAL 50</w:t>
      </w:r>
      <w:r w:rsidR="00C10538" w:rsidRPr="00BC6BEF">
        <w:rPr>
          <w:sz w:val="22"/>
          <w:szCs w:val="22"/>
          <w:lang w:val="sl-SI"/>
        </w:rPr>
        <w:t xml:space="preserve"> </w:t>
      </w:r>
      <w:r w:rsidRPr="00BC6BEF">
        <w:rPr>
          <w:sz w:val="22"/>
          <w:szCs w:val="22"/>
          <w:lang w:val="sl-SI"/>
        </w:rPr>
        <w:t>mg</w:t>
      </w:r>
      <w:r>
        <w:rPr>
          <w:sz w:val="22"/>
          <w:szCs w:val="22"/>
          <w:lang w:val="sl-SI"/>
        </w:rPr>
        <w:t xml:space="preserve"> tableta sadrži 50</w:t>
      </w:r>
      <w:r w:rsidR="00C10538">
        <w:rPr>
          <w:sz w:val="22"/>
          <w:szCs w:val="22"/>
          <w:lang w:val="sl-SI"/>
        </w:rPr>
        <w:t xml:space="preserve"> </w:t>
      </w:r>
      <w:r>
        <w:rPr>
          <w:sz w:val="22"/>
          <w:szCs w:val="22"/>
          <w:lang w:val="sl-SI"/>
        </w:rPr>
        <w:t>mg lamotrigina.</w:t>
      </w:r>
    </w:p>
    <w:p w14:paraId="22064C06" w14:textId="391C934B" w:rsidR="00814CAB" w:rsidRDefault="00814CAB" w:rsidP="00565925">
      <w:pPr>
        <w:pStyle w:val="Header"/>
        <w:tabs>
          <w:tab w:val="left" w:pos="284"/>
        </w:tabs>
        <w:jc w:val="both"/>
        <w:rPr>
          <w:sz w:val="22"/>
          <w:szCs w:val="22"/>
          <w:lang w:val="sl-SI"/>
        </w:rPr>
      </w:pPr>
      <w:r>
        <w:rPr>
          <w:sz w:val="22"/>
          <w:szCs w:val="22"/>
          <w:lang w:val="sl-SI"/>
        </w:rPr>
        <w:t>Pomoćna supstanca: svaka tableta sadrži 46.9</w:t>
      </w:r>
      <w:r w:rsidR="00C10538">
        <w:rPr>
          <w:sz w:val="22"/>
          <w:szCs w:val="22"/>
          <w:lang w:val="sl-SI"/>
        </w:rPr>
        <w:t xml:space="preserve"> </w:t>
      </w:r>
      <w:r>
        <w:rPr>
          <w:sz w:val="22"/>
          <w:szCs w:val="22"/>
          <w:lang w:val="sl-SI"/>
        </w:rPr>
        <w:t>mg laktoze.</w:t>
      </w:r>
    </w:p>
    <w:p w14:paraId="22064C07" w14:textId="77777777" w:rsidR="00814CAB" w:rsidRDefault="00814CAB" w:rsidP="00565925">
      <w:pPr>
        <w:pStyle w:val="Header"/>
        <w:tabs>
          <w:tab w:val="left" w:pos="284"/>
        </w:tabs>
        <w:jc w:val="both"/>
        <w:rPr>
          <w:sz w:val="22"/>
          <w:szCs w:val="22"/>
          <w:lang w:val="sl-SI"/>
        </w:rPr>
      </w:pPr>
    </w:p>
    <w:p w14:paraId="22064C08" w14:textId="46145683" w:rsidR="00814CAB" w:rsidRDefault="00814CAB" w:rsidP="00565925">
      <w:pPr>
        <w:pStyle w:val="Header"/>
        <w:tabs>
          <w:tab w:val="left" w:pos="284"/>
        </w:tabs>
        <w:jc w:val="both"/>
        <w:rPr>
          <w:sz w:val="22"/>
          <w:szCs w:val="22"/>
          <w:lang w:val="sl-SI"/>
        </w:rPr>
      </w:pPr>
      <w:r w:rsidRPr="00BC6BEF">
        <w:rPr>
          <w:sz w:val="22"/>
          <w:szCs w:val="22"/>
          <w:lang w:val="sl-SI"/>
        </w:rPr>
        <w:t>Svaka LAMICTAL 100</w:t>
      </w:r>
      <w:r w:rsidR="00C10538" w:rsidRPr="00BC6BEF">
        <w:rPr>
          <w:sz w:val="22"/>
          <w:szCs w:val="22"/>
          <w:lang w:val="sl-SI"/>
        </w:rPr>
        <w:t xml:space="preserve"> </w:t>
      </w:r>
      <w:r w:rsidRPr="00BC6BEF">
        <w:rPr>
          <w:sz w:val="22"/>
          <w:szCs w:val="22"/>
          <w:lang w:val="sl-SI"/>
        </w:rPr>
        <w:t>mg</w:t>
      </w:r>
      <w:r>
        <w:rPr>
          <w:sz w:val="22"/>
          <w:szCs w:val="22"/>
          <w:lang w:val="sl-SI"/>
        </w:rPr>
        <w:t xml:space="preserve"> tableta sadrži 100</w:t>
      </w:r>
      <w:r w:rsidR="00C10538">
        <w:rPr>
          <w:sz w:val="22"/>
          <w:szCs w:val="22"/>
          <w:lang w:val="sl-SI"/>
        </w:rPr>
        <w:t xml:space="preserve"> </w:t>
      </w:r>
      <w:r>
        <w:rPr>
          <w:sz w:val="22"/>
          <w:szCs w:val="22"/>
          <w:lang w:val="sl-SI"/>
        </w:rPr>
        <w:t>mg lamotrigina.</w:t>
      </w:r>
    </w:p>
    <w:p w14:paraId="22064C09" w14:textId="74C458BF" w:rsidR="00814CAB" w:rsidRDefault="00814CAB" w:rsidP="00565925">
      <w:pPr>
        <w:pStyle w:val="Header"/>
        <w:tabs>
          <w:tab w:val="left" w:pos="284"/>
        </w:tabs>
        <w:jc w:val="both"/>
        <w:rPr>
          <w:sz w:val="22"/>
          <w:szCs w:val="22"/>
          <w:lang w:val="sl-SI"/>
        </w:rPr>
      </w:pPr>
      <w:r>
        <w:rPr>
          <w:sz w:val="22"/>
          <w:szCs w:val="22"/>
          <w:lang w:val="sl-SI"/>
        </w:rPr>
        <w:t>Pomoćna supstanca: svaka tableta sadrži 93.9</w:t>
      </w:r>
      <w:r w:rsidR="00C10538">
        <w:rPr>
          <w:sz w:val="22"/>
          <w:szCs w:val="22"/>
          <w:lang w:val="sl-SI"/>
        </w:rPr>
        <w:t xml:space="preserve"> </w:t>
      </w:r>
      <w:r>
        <w:rPr>
          <w:sz w:val="22"/>
          <w:szCs w:val="22"/>
          <w:lang w:val="sl-SI"/>
        </w:rPr>
        <w:t>mg laktoze.</w:t>
      </w:r>
    </w:p>
    <w:p w14:paraId="22064C0A" w14:textId="77777777" w:rsidR="00814CAB" w:rsidRDefault="00814CAB" w:rsidP="00565925">
      <w:pPr>
        <w:jc w:val="both"/>
        <w:rPr>
          <w:sz w:val="22"/>
          <w:szCs w:val="22"/>
          <w:lang w:val="sr-Latn-CS"/>
        </w:rPr>
      </w:pPr>
    </w:p>
    <w:p w14:paraId="22064C0B" w14:textId="77777777" w:rsidR="0003793F" w:rsidRPr="00786071" w:rsidRDefault="0003793F" w:rsidP="00565925">
      <w:pPr>
        <w:jc w:val="both"/>
        <w:rPr>
          <w:sz w:val="22"/>
          <w:szCs w:val="22"/>
          <w:lang w:val="sr-Latn-CS"/>
        </w:rPr>
      </w:pPr>
      <w:r w:rsidRPr="00786071">
        <w:rPr>
          <w:sz w:val="22"/>
          <w:szCs w:val="22"/>
          <w:lang w:val="sr-Latn-CS"/>
        </w:rPr>
        <w:t>Za spisak svih ekscipijenasa, pogledati dio 6.1.</w:t>
      </w:r>
    </w:p>
    <w:p w14:paraId="22064C0C" w14:textId="36541609" w:rsidR="00C37FD7" w:rsidRDefault="00C37FD7" w:rsidP="00565925">
      <w:pPr>
        <w:jc w:val="both"/>
        <w:rPr>
          <w:sz w:val="22"/>
          <w:szCs w:val="22"/>
          <w:lang w:val="sr-Latn-CS"/>
        </w:rPr>
      </w:pPr>
    </w:p>
    <w:p w14:paraId="52DE3621" w14:textId="77777777" w:rsidR="00C10538" w:rsidRPr="00786071" w:rsidRDefault="00C10538">
      <w:pPr>
        <w:rPr>
          <w:sz w:val="22"/>
          <w:szCs w:val="22"/>
          <w:lang w:val="sr-Latn-CS"/>
        </w:rPr>
      </w:pPr>
    </w:p>
    <w:p w14:paraId="22064C0D" w14:textId="77777777" w:rsidR="00411B4B" w:rsidRPr="00BC6BEF" w:rsidRDefault="00411B4B" w:rsidP="00F5167F">
      <w:pPr>
        <w:tabs>
          <w:tab w:val="left" w:pos="540"/>
          <w:tab w:val="left" w:pos="569"/>
        </w:tabs>
        <w:rPr>
          <w:b/>
          <w:bCs/>
          <w:sz w:val="22"/>
          <w:szCs w:val="22"/>
          <w:lang w:val="sr-Latn-CS"/>
        </w:rPr>
      </w:pPr>
      <w:r w:rsidRPr="00BC6BEF">
        <w:rPr>
          <w:b/>
          <w:bCs/>
          <w:sz w:val="22"/>
          <w:szCs w:val="22"/>
          <w:lang w:val="sr-Latn-CS"/>
        </w:rPr>
        <w:t xml:space="preserve">3. </w:t>
      </w:r>
      <w:r w:rsidR="00F5167F" w:rsidRPr="00BC6BEF">
        <w:rPr>
          <w:b/>
          <w:bCs/>
          <w:sz w:val="22"/>
          <w:szCs w:val="22"/>
          <w:lang w:val="sr-Latn-CS"/>
        </w:rPr>
        <w:tab/>
      </w:r>
      <w:r w:rsidRPr="00786071">
        <w:rPr>
          <w:b/>
          <w:bCs/>
          <w:sz w:val="22"/>
          <w:szCs w:val="22"/>
        </w:rPr>
        <w:t>FARMACEUTSKI</w:t>
      </w:r>
      <w:r w:rsidRPr="00BC6BEF">
        <w:rPr>
          <w:b/>
          <w:bCs/>
          <w:sz w:val="22"/>
          <w:szCs w:val="22"/>
          <w:lang w:val="sr-Latn-CS"/>
        </w:rPr>
        <w:t xml:space="preserve"> </w:t>
      </w:r>
      <w:r w:rsidRPr="00786071">
        <w:rPr>
          <w:b/>
          <w:bCs/>
          <w:sz w:val="22"/>
          <w:szCs w:val="22"/>
        </w:rPr>
        <w:t>OBLIK</w:t>
      </w:r>
      <w:r w:rsidR="009F2D23" w:rsidRPr="00BC6BEF">
        <w:rPr>
          <w:b/>
          <w:bCs/>
          <w:sz w:val="22"/>
          <w:szCs w:val="22"/>
          <w:lang w:val="sr-Latn-CS"/>
        </w:rPr>
        <w:t xml:space="preserve"> </w:t>
      </w:r>
    </w:p>
    <w:p w14:paraId="329FFBC5" w14:textId="77777777" w:rsidR="0075246A" w:rsidRDefault="0075246A" w:rsidP="006165F3">
      <w:pPr>
        <w:pStyle w:val="Header"/>
        <w:tabs>
          <w:tab w:val="left" w:pos="284"/>
        </w:tabs>
        <w:rPr>
          <w:sz w:val="22"/>
          <w:szCs w:val="22"/>
          <w:lang w:val="sl-SI"/>
        </w:rPr>
      </w:pPr>
    </w:p>
    <w:p w14:paraId="22064C0E" w14:textId="228A670C" w:rsidR="006165F3" w:rsidRDefault="006165F3" w:rsidP="00565925">
      <w:pPr>
        <w:pStyle w:val="Header"/>
        <w:tabs>
          <w:tab w:val="left" w:pos="284"/>
        </w:tabs>
        <w:jc w:val="both"/>
        <w:rPr>
          <w:sz w:val="22"/>
          <w:szCs w:val="22"/>
          <w:lang w:val="sl-SI"/>
        </w:rPr>
      </w:pPr>
      <w:r>
        <w:rPr>
          <w:sz w:val="22"/>
          <w:szCs w:val="22"/>
          <w:lang w:val="sl-SI"/>
        </w:rPr>
        <w:t>Tableta.</w:t>
      </w:r>
    </w:p>
    <w:p w14:paraId="22064C0F" w14:textId="77777777" w:rsidR="006165F3" w:rsidRDefault="006165F3" w:rsidP="00565925">
      <w:pPr>
        <w:pStyle w:val="Header"/>
        <w:tabs>
          <w:tab w:val="left" w:pos="284"/>
        </w:tabs>
        <w:jc w:val="both"/>
        <w:rPr>
          <w:sz w:val="22"/>
          <w:szCs w:val="22"/>
          <w:lang w:val="sl-SI"/>
        </w:rPr>
      </w:pPr>
    </w:p>
    <w:p w14:paraId="22064C10" w14:textId="5F20AD44" w:rsidR="006165F3" w:rsidRDefault="006165F3" w:rsidP="00565925">
      <w:pPr>
        <w:pStyle w:val="Header"/>
        <w:tabs>
          <w:tab w:val="left" w:pos="284"/>
        </w:tabs>
        <w:jc w:val="both"/>
        <w:rPr>
          <w:sz w:val="22"/>
          <w:szCs w:val="22"/>
          <w:lang w:val="sl-SI"/>
        </w:rPr>
      </w:pPr>
      <w:r>
        <w:rPr>
          <w:sz w:val="22"/>
          <w:szCs w:val="22"/>
          <w:lang w:val="sl-SI"/>
        </w:rPr>
        <w:t>LAMICTAL</w:t>
      </w:r>
      <w:r>
        <w:rPr>
          <w:b/>
          <w:sz w:val="22"/>
          <w:szCs w:val="22"/>
          <w:vertAlign w:val="superscript"/>
          <w:lang w:val="sl-SI"/>
        </w:rPr>
        <w:t xml:space="preserve"> </w:t>
      </w:r>
      <w:r>
        <w:rPr>
          <w:sz w:val="22"/>
          <w:szCs w:val="22"/>
          <w:lang w:val="sl-SI"/>
        </w:rPr>
        <w:t>25 mg</w:t>
      </w:r>
      <w:r w:rsidR="000E5355">
        <w:rPr>
          <w:sz w:val="22"/>
          <w:szCs w:val="22"/>
          <w:lang w:val="sl-SI"/>
        </w:rPr>
        <w:t xml:space="preserve"> tableta</w:t>
      </w:r>
      <w:r>
        <w:rPr>
          <w:sz w:val="22"/>
          <w:szCs w:val="22"/>
          <w:lang w:val="sl-SI"/>
        </w:rPr>
        <w:t>:</w:t>
      </w:r>
    </w:p>
    <w:p w14:paraId="22064C11" w14:textId="35CD163C" w:rsidR="006165F3" w:rsidRDefault="006165F3" w:rsidP="00565925">
      <w:pPr>
        <w:pStyle w:val="Header"/>
        <w:tabs>
          <w:tab w:val="left" w:pos="284"/>
        </w:tabs>
        <w:jc w:val="both"/>
        <w:rPr>
          <w:sz w:val="22"/>
          <w:szCs w:val="22"/>
          <w:lang w:val="sl-SI"/>
        </w:rPr>
      </w:pPr>
      <w:r>
        <w:rPr>
          <w:sz w:val="22"/>
          <w:szCs w:val="22"/>
          <w:lang w:val="sl-SI"/>
        </w:rPr>
        <w:t xml:space="preserve">blijedo žućkastosmeđa, </w:t>
      </w:r>
      <w:r w:rsidR="006C7F30">
        <w:rPr>
          <w:sz w:val="22"/>
          <w:szCs w:val="22"/>
          <w:lang w:val="sl-SI"/>
        </w:rPr>
        <w:t xml:space="preserve">oblika zaobljenog </w:t>
      </w:r>
      <w:r w:rsidR="006C7F30">
        <w:rPr>
          <w:sz w:val="22"/>
          <w:szCs w:val="22"/>
          <w:lang w:val="sr-Latn-ME"/>
        </w:rPr>
        <w:t xml:space="preserve">četvorougla sa više faseta, </w:t>
      </w:r>
      <w:r>
        <w:rPr>
          <w:sz w:val="22"/>
          <w:szCs w:val="22"/>
          <w:lang w:val="sl-SI"/>
        </w:rPr>
        <w:t>tableta od 6</w:t>
      </w:r>
      <w:r w:rsidR="00205428">
        <w:rPr>
          <w:sz w:val="22"/>
          <w:szCs w:val="22"/>
          <w:lang w:val="sl-SI"/>
        </w:rPr>
        <w:t xml:space="preserve">.0 </w:t>
      </w:r>
      <w:r>
        <w:rPr>
          <w:sz w:val="22"/>
          <w:szCs w:val="22"/>
          <w:lang w:val="sl-SI"/>
        </w:rPr>
        <w:t>mm; sa jedne strane je utisnuta oznaka ″GSEC7″, a sa druge ″25″.</w:t>
      </w:r>
    </w:p>
    <w:p w14:paraId="22064C12" w14:textId="77777777" w:rsidR="006165F3" w:rsidRDefault="006165F3" w:rsidP="00565925">
      <w:pPr>
        <w:pStyle w:val="Header"/>
        <w:tabs>
          <w:tab w:val="left" w:pos="284"/>
        </w:tabs>
        <w:jc w:val="both"/>
        <w:rPr>
          <w:sz w:val="22"/>
          <w:szCs w:val="22"/>
          <w:lang w:val="sl-SI"/>
        </w:rPr>
      </w:pPr>
    </w:p>
    <w:p w14:paraId="22064C13" w14:textId="42880FB8" w:rsidR="006165F3" w:rsidRDefault="006165F3" w:rsidP="00565925">
      <w:pPr>
        <w:pStyle w:val="Header"/>
        <w:tabs>
          <w:tab w:val="left" w:pos="284"/>
        </w:tabs>
        <w:jc w:val="both"/>
        <w:rPr>
          <w:sz w:val="22"/>
          <w:szCs w:val="22"/>
          <w:lang w:val="sl-SI"/>
        </w:rPr>
      </w:pPr>
      <w:r>
        <w:rPr>
          <w:sz w:val="22"/>
          <w:szCs w:val="22"/>
          <w:lang w:val="sl-SI"/>
        </w:rPr>
        <w:t>LAMICTAL</w:t>
      </w:r>
      <w:r>
        <w:rPr>
          <w:b/>
          <w:sz w:val="22"/>
          <w:szCs w:val="22"/>
          <w:vertAlign w:val="superscript"/>
          <w:lang w:val="sl-SI"/>
        </w:rPr>
        <w:t xml:space="preserve"> </w:t>
      </w:r>
      <w:r>
        <w:rPr>
          <w:sz w:val="22"/>
          <w:szCs w:val="22"/>
          <w:lang w:val="sl-SI"/>
        </w:rPr>
        <w:t>50 mg</w:t>
      </w:r>
      <w:r w:rsidR="000E5355">
        <w:rPr>
          <w:sz w:val="22"/>
          <w:szCs w:val="22"/>
          <w:lang w:val="sl-SI"/>
        </w:rPr>
        <w:t xml:space="preserve"> tableta</w:t>
      </w:r>
      <w:r>
        <w:rPr>
          <w:sz w:val="22"/>
          <w:szCs w:val="22"/>
          <w:lang w:val="sl-SI"/>
        </w:rPr>
        <w:t>:</w:t>
      </w:r>
    </w:p>
    <w:p w14:paraId="22064C14" w14:textId="3FD59050" w:rsidR="006165F3" w:rsidRDefault="006165F3" w:rsidP="00565925">
      <w:pPr>
        <w:pStyle w:val="Header"/>
        <w:tabs>
          <w:tab w:val="left" w:pos="284"/>
        </w:tabs>
        <w:jc w:val="both"/>
        <w:rPr>
          <w:sz w:val="22"/>
          <w:szCs w:val="22"/>
          <w:lang w:val="sl-SI"/>
        </w:rPr>
      </w:pPr>
      <w:r>
        <w:rPr>
          <w:sz w:val="22"/>
          <w:szCs w:val="22"/>
          <w:lang w:val="sl-SI"/>
        </w:rPr>
        <w:t xml:space="preserve">blijedo žućkastosmeđa, </w:t>
      </w:r>
      <w:r w:rsidR="006C7F30">
        <w:rPr>
          <w:sz w:val="22"/>
          <w:szCs w:val="22"/>
          <w:lang w:val="sl-SI"/>
        </w:rPr>
        <w:t xml:space="preserve">oblika zaobljenog </w:t>
      </w:r>
      <w:r w:rsidR="006C7F30">
        <w:rPr>
          <w:sz w:val="22"/>
          <w:szCs w:val="22"/>
          <w:lang w:val="sr-Latn-ME"/>
        </w:rPr>
        <w:t xml:space="preserve">četvorougla sa više faseta, tableta </w:t>
      </w:r>
      <w:r>
        <w:rPr>
          <w:sz w:val="22"/>
          <w:szCs w:val="22"/>
          <w:lang w:val="sl-SI"/>
        </w:rPr>
        <w:t>od 7.4</w:t>
      </w:r>
      <w:r w:rsidR="00205428">
        <w:rPr>
          <w:sz w:val="22"/>
          <w:szCs w:val="22"/>
          <w:lang w:val="sl-SI"/>
        </w:rPr>
        <w:t xml:space="preserve"> </w:t>
      </w:r>
      <w:r>
        <w:rPr>
          <w:sz w:val="22"/>
          <w:szCs w:val="22"/>
          <w:lang w:val="sl-SI"/>
        </w:rPr>
        <w:t>mm; sa jedne strane je utisnuta oznaka ″GSEE1″,</w:t>
      </w:r>
      <w:r>
        <w:rPr>
          <w:color w:val="FF0000"/>
          <w:sz w:val="22"/>
          <w:szCs w:val="22"/>
          <w:lang w:val="sl-SI"/>
        </w:rPr>
        <w:t xml:space="preserve"> </w:t>
      </w:r>
      <w:r>
        <w:rPr>
          <w:sz w:val="22"/>
          <w:szCs w:val="22"/>
          <w:lang w:val="sl-SI"/>
        </w:rPr>
        <w:t>a sa druge ″50″.</w:t>
      </w:r>
    </w:p>
    <w:p w14:paraId="22064C15" w14:textId="77777777" w:rsidR="006165F3" w:rsidRDefault="006165F3" w:rsidP="00565925">
      <w:pPr>
        <w:pStyle w:val="Header"/>
        <w:tabs>
          <w:tab w:val="left" w:pos="284"/>
        </w:tabs>
        <w:jc w:val="both"/>
        <w:rPr>
          <w:sz w:val="22"/>
          <w:szCs w:val="22"/>
          <w:lang w:val="sl-SI"/>
        </w:rPr>
      </w:pPr>
    </w:p>
    <w:p w14:paraId="22064C16" w14:textId="245C50A2" w:rsidR="006165F3" w:rsidRDefault="006165F3" w:rsidP="00565925">
      <w:pPr>
        <w:pStyle w:val="Header"/>
        <w:tabs>
          <w:tab w:val="left" w:pos="284"/>
        </w:tabs>
        <w:jc w:val="both"/>
        <w:rPr>
          <w:sz w:val="22"/>
          <w:szCs w:val="22"/>
          <w:lang w:val="sl-SI"/>
        </w:rPr>
      </w:pPr>
      <w:r>
        <w:rPr>
          <w:sz w:val="22"/>
          <w:szCs w:val="22"/>
          <w:lang w:val="sl-SI"/>
        </w:rPr>
        <w:t>LAMICTAL</w:t>
      </w:r>
      <w:r>
        <w:rPr>
          <w:b/>
          <w:sz w:val="22"/>
          <w:szCs w:val="22"/>
          <w:vertAlign w:val="superscript"/>
          <w:lang w:val="sl-SI"/>
        </w:rPr>
        <w:t xml:space="preserve"> </w:t>
      </w:r>
      <w:r>
        <w:rPr>
          <w:sz w:val="22"/>
          <w:szCs w:val="22"/>
          <w:lang w:val="sl-SI"/>
        </w:rPr>
        <w:t>100 mg</w:t>
      </w:r>
      <w:r w:rsidR="000E5355">
        <w:rPr>
          <w:sz w:val="22"/>
          <w:szCs w:val="22"/>
          <w:lang w:val="sl-SI"/>
        </w:rPr>
        <w:t xml:space="preserve"> tableta</w:t>
      </w:r>
      <w:r>
        <w:rPr>
          <w:sz w:val="22"/>
          <w:szCs w:val="22"/>
          <w:lang w:val="sl-SI"/>
        </w:rPr>
        <w:t>:</w:t>
      </w:r>
    </w:p>
    <w:p w14:paraId="22064C17" w14:textId="5AD7F608" w:rsidR="006165F3" w:rsidRDefault="006165F3" w:rsidP="00565925">
      <w:pPr>
        <w:pStyle w:val="Header"/>
        <w:tabs>
          <w:tab w:val="left" w:pos="284"/>
        </w:tabs>
        <w:jc w:val="both"/>
        <w:rPr>
          <w:sz w:val="22"/>
          <w:szCs w:val="22"/>
          <w:lang w:val="sl-SI"/>
        </w:rPr>
      </w:pPr>
      <w:r>
        <w:rPr>
          <w:sz w:val="22"/>
          <w:szCs w:val="22"/>
          <w:lang w:val="sl-SI"/>
        </w:rPr>
        <w:t xml:space="preserve">blijedo žućkastosmeđa, </w:t>
      </w:r>
      <w:r w:rsidR="006C7F30">
        <w:rPr>
          <w:sz w:val="22"/>
          <w:szCs w:val="22"/>
          <w:lang w:val="sl-SI"/>
        </w:rPr>
        <w:t xml:space="preserve"> oblika zaobljenog </w:t>
      </w:r>
      <w:r w:rsidR="006C7F30">
        <w:rPr>
          <w:sz w:val="22"/>
          <w:szCs w:val="22"/>
          <w:lang w:val="sr-Latn-ME"/>
        </w:rPr>
        <w:t xml:space="preserve">četvorougla sa više faseta, </w:t>
      </w:r>
      <w:r>
        <w:rPr>
          <w:sz w:val="22"/>
          <w:szCs w:val="22"/>
          <w:lang w:val="sl-SI"/>
        </w:rPr>
        <w:t>tableta od 9.4</w:t>
      </w:r>
      <w:r w:rsidR="00205428">
        <w:rPr>
          <w:sz w:val="22"/>
          <w:szCs w:val="22"/>
          <w:lang w:val="sl-SI"/>
        </w:rPr>
        <w:t xml:space="preserve"> </w:t>
      </w:r>
      <w:r>
        <w:rPr>
          <w:sz w:val="22"/>
          <w:szCs w:val="22"/>
          <w:lang w:val="sl-SI"/>
        </w:rPr>
        <w:t>mm; sa jedne strane je utisnuta oznaka ″GSEE5″,</w:t>
      </w:r>
      <w:r>
        <w:rPr>
          <w:color w:val="FF0000"/>
          <w:sz w:val="22"/>
          <w:szCs w:val="22"/>
          <w:lang w:val="sl-SI"/>
        </w:rPr>
        <w:t xml:space="preserve"> </w:t>
      </w:r>
      <w:r>
        <w:rPr>
          <w:sz w:val="22"/>
          <w:szCs w:val="22"/>
          <w:lang w:val="sl-SI"/>
        </w:rPr>
        <w:t>a sa druge ″100″.</w:t>
      </w:r>
    </w:p>
    <w:p w14:paraId="22064C18" w14:textId="77777777" w:rsidR="00411B4B" w:rsidRPr="00786071" w:rsidRDefault="00411B4B">
      <w:pPr>
        <w:rPr>
          <w:bCs/>
          <w:sz w:val="22"/>
          <w:szCs w:val="22"/>
          <w:lang w:val="sr-Latn-CS"/>
        </w:rPr>
      </w:pPr>
    </w:p>
    <w:p w14:paraId="22064C19" w14:textId="77777777" w:rsidR="00EC2532" w:rsidRPr="00786071" w:rsidRDefault="00EC2532">
      <w:pPr>
        <w:rPr>
          <w:bCs/>
          <w:sz w:val="22"/>
          <w:szCs w:val="22"/>
          <w:lang w:val="sr-Latn-CS"/>
        </w:rPr>
      </w:pPr>
    </w:p>
    <w:p w14:paraId="22064C1A" w14:textId="77777777" w:rsidR="00411B4B" w:rsidRPr="008E171B" w:rsidRDefault="00411B4B" w:rsidP="006B3996">
      <w:pPr>
        <w:tabs>
          <w:tab w:val="left" w:pos="540"/>
          <w:tab w:val="left" w:pos="569"/>
        </w:tabs>
        <w:jc w:val="both"/>
        <w:rPr>
          <w:b/>
          <w:bCs/>
          <w:sz w:val="22"/>
          <w:szCs w:val="22"/>
          <w:lang w:val="sr-Latn-CS"/>
        </w:rPr>
      </w:pPr>
      <w:r w:rsidRPr="008E171B">
        <w:rPr>
          <w:b/>
          <w:bCs/>
          <w:sz w:val="22"/>
          <w:szCs w:val="22"/>
          <w:lang w:val="sr-Latn-CS"/>
        </w:rPr>
        <w:t xml:space="preserve">4. </w:t>
      </w:r>
      <w:r w:rsidR="00480FB1" w:rsidRPr="008E171B">
        <w:rPr>
          <w:b/>
          <w:bCs/>
          <w:sz w:val="22"/>
          <w:szCs w:val="22"/>
          <w:lang w:val="sr-Latn-CS"/>
        </w:rPr>
        <w:tab/>
      </w:r>
      <w:r w:rsidRPr="00786071">
        <w:rPr>
          <w:b/>
          <w:bCs/>
          <w:sz w:val="22"/>
          <w:szCs w:val="22"/>
        </w:rPr>
        <w:t>KLINI</w:t>
      </w:r>
      <w:r w:rsidRPr="008E171B">
        <w:rPr>
          <w:b/>
          <w:bCs/>
          <w:sz w:val="22"/>
          <w:szCs w:val="22"/>
          <w:lang w:val="sr-Latn-CS"/>
        </w:rPr>
        <w:t>Č</w:t>
      </w:r>
      <w:r w:rsidRPr="00786071">
        <w:rPr>
          <w:b/>
          <w:bCs/>
          <w:sz w:val="22"/>
          <w:szCs w:val="22"/>
        </w:rPr>
        <w:t>KI</w:t>
      </w:r>
      <w:r w:rsidRPr="008E171B">
        <w:rPr>
          <w:b/>
          <w:bCs/>
          <w:sz w:val="22"/>
          <w:szCs w:val="22"/>
          <w:lang w:val="sr-Latn-CS"/>
        </w:rPr>
        <w:t xml:space="preserve"> </w:t>
      </w:r>
      <w:r w:rsidRPr="00786071">
        <w:rPr>
          <w:b/>
          <w:bCs/>
          <w:sz w:val="22"/>
          <w:szCs w:val="22"/>
        </w:rPr>
        <w:t>PODACI</w:t>
      </w:r>
    </w:p>
    <w:p w14:paraId="22064C1B" w14:textId="77777777" w:rsidR="00CD6F02" w:rsidRPr="008E171B" w:rsidRDefault="00CD6F02" w:rsidP="006B3996">
      <w:pPr>
        <w:tabs>
          <w:tab w:val="left" w:pos="540"/>
          <w:tab w:val="left" w:pos="569"/>
        </w:tabs>
        <w:jc w:val="both"/>
        <w:rPr>
          <w:bCs/>
          <w:sz w:val="22"/>
          <w:szCs w:val="22"/>
          <w:lang w:val="sr-Latn-CS"/>
        </w:rPr>
      </w:pPr>
    </w:p>
    <w:p w14:paraId="22064C1C" w14:textId="0DFD9F32" w:rsidR="00411B4B" w:rsidRPr="008E171B" w:rsidRDefault="00411B4B" w:rsidP="006B3996">
      <w:pPr>
        <w:tabs>
          <w:tab w:val="left" w:pos="540"/>
          <w:tab w:val="left" w:pos="569"/>
        </w:tabs>
        <w:jc w:val="both"/>
        <w:rPr>
          <w:b/>
          <w:bCs/>
          <w:sz w:val="22"/>
          <w:szCs w:val="22"/>
          <w:lang w:val="sr-Latn-CS"/>
        </w:rPr>
      </w:pPr>
      <w:r w:rsidRPr="008E171B">
        <w:rPr>
          <w:b/>
          <w:bCs/>
          <w:sz w:val="22"/>
          <w:szCs w:val="22"/>
          <w:lang w:val="sr-Latn-CS"/>
        </w:rPr>
        <w:t xml:space="preserve">4.1. </w:t>
      </w:r>
      <w:r w:rsidR="00480FB1" w:rsidRPr="008E171B">
        <w:rPr>
          <w:b/>
          <w:bCs/>
          <w:sz w:val="22"/>
          <w:szCs w:val="22"/>
          <w:lang w:val="sr-Latn-CS"/>
        </w:rPr>
        <w:tab/>
      </w:r>
      <w:r w:rsidRPr="00786071">
        <w:rPr>
          <w:b/>
          <w:bCs/>
          <w:sz w:val="22"/>
          <w:szCs w:val="22"/>
        </w:rPr>
        <w:t>Terapijske</w:t>
      </w:r>
      <w:r w:rsidRPr="008E171B">
        <w:rPr>
          <w:b/>
          <w:bCs/>
          <w:sz w:val="22"/>
          <w:szCs w:val="22"/>
          <w:lang w:val="sr-Latn-CS"/>
        </w:rPr>
        <w:t xml:space="preserve"> </w:t>
      </w:r>
      <w:r w:rsidRPr="00786071">
        <w:rPr>
          <w:b/>
          <w:bCs/>
          <w:sz w:val="22"/>
          <w:szCs w:val="22"/>
        </w:rPr>
        <w:t>indikacije</w:t>
      </w:r>
    </w:p>
    <w:p w14:paraId="55D10379" w14:textId="77777777" w:rsidR="008671F1" w:rsidRPr="008E171B" w:rsidRDefault="008671F1" w:rsidP="006B3996">
      <w:pPr>
        <w:tabs>
          <w:tab w:val="left" w:pos="540"/>
          <w:tab w:val="left" w:pos="569"/>
        </w:tabs>
        <w:jc w:val="both"/>
        <w:rPr>
          <w:b/>
          <w:bCs/>
          <w:sz w:val="22"/>
          <w:szCs w:val="22"/>
          <w:lang w:val="sr-Latn-CS"/>
        </w:rPr>
      </w:pPr>
    </w:p>
    <w:p w14:paraId="22064C1D" w14:textId="77777777" w:rsidR="00AC7152" w:rsidRDefault="00AC7152" w:rsidP="006B3996">
      <w:pPr>
        <w:pStyle w:val="Header"/>
        <w:tabs>
          <w:tab w:val="left" w:pos="284"/>
        </w:tabs>
        <w:jc w:val="both"/>
        <w:rPr>
          <w:sz w:val="22"/>
          <w:szCs w:val="22"/>
          <w:u w:val="single"/>
          <w:lang w:val="sl-SI"/>
        </w:rPr>
      </w:pPr>
      <w:r>
        <w:rPr>
          <w:sz w:val="22"/>
          <w:szCs w:val="22"/>
          <w:u w:val="single"/>
          <w:lang w:val="sl-SI"/>
        </w:rPr>
        <w:t>Epilepsija</w:t>
      </w:r>
    </w:p>
    <w:p w14:paraId="22064C1E" w14:textId="77777777" w:rsidR="00AC7152" w:rsidRDefault="00AC7152" w:rsidP="006B3996">
      <w:pPr>
        <w:pStyle w:val="Header"/>
        <w:tabs>
          <w:tab w:val="left" w:pos="284"/>
        </w:tabs>
        <w:jc w:val="both"/>
        <w:rPr>
          <w:sz w:val="22"/>
          <w:szCs w:val="22"/>
          <w:lang w:val="sl-SI"/>
        </w:rPr>
      </w:pPr>
    </w:p>
    <w:p w14:paraId="22064C1F" w14:textId="54E91FA9" w:rsidR="00AC7152" w:rsidRPr="008E171B" w:rsidRDefault="00AC7152" w:rsidP="006B3996">
      <w:pPr>
        <w:pStyle w:val="Header"/>
        <w:tabs>
          <w:tab w:val="left" w:pos="284"/>
        </w:tabs>
        <w:jc w:val="both"/>
        <w:rPr>
          <w:i/>
          <w:sz w:val="22"/>
          <w:szCs w:val="22"/>
          <w:lang w:val="sl-SI"/>
        </w:rPr>
      </w:pPr>
      <w:r w:rsidRPr="008E171B">
        <w:rPr>
          <w:i/>
          <w:sz w:val="22"/>
          <w:szCs w:val="22"/>
          <w:lang w:val="sl-SI"/>
        </w:rPr>
        <w:t xml:space="preserve">Odrasle osobe i adolescenti </w:t>
      </w:r>
      <w:r w:rsidR="008671F1" w:rsidRPr="008E171B">
        <w:rPr>
          <w:i/>
          <w:sz w:val="22"/>
          <w:szCs w:val="22"/>
          <w:lang w:val="sl-SI"/>
        </w:rPr>
        <w:t>uzrasta</w:t>
      </w:r>
      <w:r w:rsidRPr="008E171B">
        <w:rPr>
          <w:i/>
          <w:sz w:val="22"/>
          <w:szCs w:val="22"/>
          <w:lang w:val="sl-SI"/>
        </w:rPr>
        <w:t xml:space="preserve"> 13 godina života i </w:t>
      </w:r>
      <w:r w:rsidR="008671F1" w:rsidRPr="008E171B">
        <w:rPr>
          <w:i/>
          <w:sz w:val="22"/>
          <w:szCs w:val="22"/>
          <w:lang w:val="sl-SI"/>
        </w:rPr>
        <w:t>više</w:t>
      </w:r>
    </w:p>
    <w:p w14:paraId="22064C20" w14:textId="0E706B71" w:rsidR="00AC7152" w:rsidRDefault="00AC7152" w:rsidP="006B3996">
      <w:pPr>
        <w:pStyle w:val="Header"/>
        <w:tabs>
          <w:tab w:val="left" w:pos="284"/>
        </w:tabs>
        <w:jc w:val="both"/>
        <w:rPr>
          <w:sz w:val="22"/>
          <w:szCs w:val="22"/>
          <w:lang w:val="sl-SI"/>
        </w:rPr>
      </w:pPr>
      <w:r>
        <w:rPr>
          <w:sz w:val="22"/>
          <w:szCs w:val="22"/>
          <w:lang w:val="sl-SI"/>
        </w:rPr>
        <w:t xml:space="preserve">- Adjuvantna </w:t>
      </w:r>
      <w:r w:rsidR="00031EA3">
        <w:rPr>
          <w:sz w:val="22"/>
          <w:szCs w:val="22"/>
          <w:lang w:val="sl-SI"/>
        </w:rPr>
        <w:t xml:space="preserve">terapija </w:t>
      </w:r>
      <w:r>
        <w:rPr>
          <w:sz w:val="22"/>
          <w:szCs w:val="22"/>
          <w:lang w:val="sl-SI"/>
        </w:rPr>
        <w:t>ili monoterapija parcijalnih napada i generalizovanih napada, uključujući toničko-kloničke napade.</w:t>
      </w:r>
    </w:p>
    <w:p w14:paraId="22064C21" w14:textId="77777777" w:rsidR="00AC7152" w:rsidRDefault="00AC7152" w:rsidP="006B3996">
      <w:pPr>
        <w:pStyle w:val="Header"/>
        <w:tabs>
          <w:tab w:val="left" w:pos="284"/>
        </w:tabs>
        <w:jc w:val="both"/>
        <w:rPr>
          <w:sz w:val="22"/>
          <w:szCs w:val="22"/>
          <w:lang w:val="sl-SI"/>
        </w:rPr>
      </w:pPr>
      <w:r>
        <w:rPr>
          <w:sz w:val="22"/>
          <w:szCs w:val="22"/>
          <w:lang w:val="sl-SI"/>
        </w:rPr>
        <w:t xml:space="preserve">- Napadi povezani sa </w:t>
      </w:r>
      <w:r w:rsidRPr="004E30CF">
        <w:rPr>
          <w:i/>
          <w:sz w:val="22"/>
          <w:szCs w:val="22"/>
          <w:lang w:val="sl-SI"/>
        </w:rPr>
        <w:t>Lennox-Gastaut</w:t>
      </w:r>
      <w:r>
        <w:rPr>
          <w:sz w:val="22"/>
          <w:szCs w:val="22"/>
          <w:lang w:val="sl-SI"/>
        </w:rPr>
        <w:t xml:space="preserve"> sindromom. Lijek </w:t>
      </w:r>
      <w:r w:rsidRPr="008E171B">
        <w:rPr>
          <w:sz w:val="22"/>
          <w:szCs w:val="22"/>
          <w:lang w:val="sl-SI"/>
        </w:rPr>
        <w:t>LAMICTAL</w:t>
      </w:r>
      <w:r>
        <w:rPr>
          <w:sz w:val="22"/>
          <w:szCs w:val="22"/>
          <w:lang w:val="sl-SI"/>
        </w:rPr>
        <w:t xml:space="preserve"> se primjenjuje kao adjuvantna terapija, ali može biti primijenjen kao inicijalni antiepileptički lijek (AEL) u početnoj terapiji </w:t>
      </w:r>
      <w:r w:rsidRPr="004E30CF">
        <w:rPr>
          <w:i/>
          <w:sz w:val="22"/>
          <w:szCs w:val="22"/>
          <w:lang w:val="sl-SI"/>
        </w:rPr>
        <w:t>Lennox-Gastaut</w:t>
      </w:r>
      <w:r>
        <w:rPr>
          <w:sz w:val="22"/>
          <w:szCs w:val="22"/>
          <w:lang w:val="sl-SI"/>
        </w:rPr>
        <w:t xml:space="preserve"> sindroma.</w:t>
      </w:r>
    </w:p>
    <w:p w14:paraId="22064C22" w14:textId="77777777" w:rsidR="00AC7152" w:rsidRDefault="00AC7152" w:rsidP="006B3996">
      <w:pPr>
        <w:pStyle w:val="Header"/>
        <w:tabs>
          <w:tab w:val="left" w:pos="284"/>
        </w:tabs>
        <w:jc w:val="both"/>
        <w:rPr>
          <w:sz w:val="22"/>
          <w:szCs w:val="22"/>
          <w:lang w:val="sl-SI"/>
        </w:rPr>
      </w:pPr>
    </w:p>
    <w:p w14:paraId="22064C23" w14:textId="09D687C0" w:rsidR="00AC7152" w:rsidRPr="008E171B" w:rsidRDefault="00AC7152" w:rsidP="006B3996">
      <w:pPr>
        <w:pStyle w:val="Header"/>
        <w:tabs>
          <w:tab w:val="left" w:pos="284"/>
        </w:tabs>
        <w:jc w:val="both"/>
        <w:rPr>
          <w:sz w:val="22"/>
          <w:szCs w:val="22"/>
          <w:lang w:val="sl-SI"/>
        </w:rPr>
      </w:pPr>
      <w:r w:rsidRPr="008E171B">
        <w:rPr>
          <w:i/>
          <w:sz w:val="22"/>
          <w:szCs w:val="22"/>
          <w:lang w:val="sl-SI"/>
        </w:rPr>
        <w:t xml:space="preserve">Djeca i adolescenti </w:t>
      </w:r>
      <w:r w:rsidR="007B50AD" w:rsidRPr="008E171B">
        <w:rPr>
          <w:i/>
          <w:sz w:val="22"/>
          <w:szCs w:val="22"/>
          <w:lang w:val="sl-SI"/>
        </w:rPr>
        <w:t>uzrasta</w:t>
      </w:r>
      <w:r w:rsidRPr="008E171B">
        <w:rPr>
          <w:i/>
          <w:sz w:val="22"/>
          <w:szCs w:val="22"/>
          <w:lang w:val="sl-SI"/>
        </w:rPr>
        <w:t xml:space="preserve"> od  2. do 12. godine života</w:t>
      </w:r>
    </w:p>
    <w:p w14:paraId="22064C24" w14:textId="77777777" w:rsidR="00AC7152" w:rsidRDefault="00AC7152" w:rsidP="006B3996">
      <w:pPr>
        <w:pStyle w:val="Header"/>
        <w:tabs>
          <w:tab w:val="left" w:pos="284"/>
        </w:tabs>
        <w:jc w:val="both"/>
        <w:rPr>
          <w:sz w:val="22"/>
          <w:szCs w:val="22"/>
          <w:lang w:val="sl-SI"/>
        </w:rPr>
      </w:pPr>
      <w:r>
        <w:rPr>
          <w:sz w:val="22"/>
          <w:szCs w:val="22"/>
          <w:lang w:val="sl-SI"/>
        </w:rPr>
        <w:t xml:space="preserve">- Adjuvantna terapija parcijalnih napada i generalizovanih napada, uključujući kloničko-toničke napade i napade udružene sa </w:t>
      </w:r>
      <w:r w:rsidRPr="004E30CF">
        <w:rPr>
          <w:i/>
          <w:sz w:val="22"/>
          <w:szCs w:val="22"/>
          <w:lang w:val="sl-SI"/>
        </w:rPr>
        <w:t>Lennox-Gastaut</w:t>
      </w:r>
      <w:r>
        <w:rPr>
          <w:sz w:val="22"/>
          <w:szCs w:val="22"/>
          <w:lang w:val="sl-SI"/>
        </w:rPr>
        <w:t xml:space="preserve"> sindromom.</w:t>
      </w:r>
    </w:p>
    <w:p w14:paraId="22064C25" w14:textId="77777777" w:rsidR="00AC7152" w:rsidRDefault="00AC7152" w:rsidP="006B3996">
      <w:pPr>
        <w:pStyle w:val="Header"/>
        <w:tabs>
          <w:tab w:val="left" w:pos="284"/>
        </w:tabs>
        <w:jc w:val="both"/>
        <w:rPr>
          <w:sz w:val="22"/>
          <w:szCs w:val="22"/>
          <w:lang w:val="sl-SI"/>
        </w:rPr>
      </w:pPr>
      <w:r>
        <w:rPr>
          <w:sz w:val="22"/>
          <w:szCs w:val="22"/>
          <w:lang w:val="sl-SI"/>
        </w:rPr>
        <w:t>- Monoterapija tipičnih absans napada.</w:t>
      </w:r>
    </w:p>
    <w:p w14:paraId="22064C26" w14:textId="77777777" w:rsidR="00AC7152" w:rsidRDefault="00AC7152" w:rsidP="006B3996">
      <w:pPr>
        <w:pStyle w:val="Header"/>
        <w:tabs>
          <w:tab w:val="left" w:pos="284"/>
        </w:tabs>
        <w:jc w:val="both"/>
        <w:rPr>
          <w:sz w:val="22"/>
          <w:szCs w:val="22"/>
          <w:lang w:val="sl-SI"/>
        </w:rPr>
      </w:pPr>
    </w:p>
    <w:p w14:paraId="22064C27" w14:textId="77777777" w:rsidR="00AC7152" w:rsidRDefault="00AC7152" w:rsidP="006B3996">
      <w:pPr>
        <w:pStyle w:val="Header"/>
        <w:tabs>
          <w:tab w:val="left" w:pos="284"/>
        </w:tabs>
        <w:jc w:val="both"/>
        <w:rPr>
          <w:sz w:val="22"/>
          <w:szCs w:val="22"/>
          <w:u w:val="single"/>
          <w:lang w:val="sl-SI"/>
        </w:rPr>
      </w:pPr>
      <w:r>
        <w:rPr>
          <w:sz w:val="22"/>
          <w:szCs w:val="22"/>
          <w:u w:val="single"/>
          <w:lang w:val="sl-SI"/>
        </w:rPr>
        <w:t xml:space="preserve">Bipolarni poremećaj </w:t>
      </w:r>
    </w:p>
    <w:p w14:paraId="22064C28" w14:textId="77777777" w:rsidR="00AC7152" w:rsidRDefault="00AC7152" w:rsidP="006B3996">
      <w:pPr>
        <w:pStyle w:val="Header"/>
        <w:tabs>
          <w:tab w:val="left" w:pos="284"/>
        </w:tabs>
        <w:jc w:val="both"/>
        <w:rPr>
          <w:sz w:val="22"/>
          <w:szCs w:val="22"/>
          <w:u w:val="single"/>
          <w:lang w:val="sl-SI"/>
        </w:rPr>
      </w:pPr>
    </w:p>
    <w:p w14:paraId="22064C29" w14:textId="44923C11" w:rsidR="00AC7152" w:rsidRPr="008E171B" w:rsidRDefault="00AC7152" w:rsidP="006B3996">
      <w:pPr>
        <w:pStyle w:val="Header"/>
        <w:tabs>
          <w:tab w:val="left" w:pos="284"/>
        </w:tabs>
        <w:jc w:val="both"/>
        <w:rPr>
          <w:i/>
          <w:sz w:val="22"/>
          <w:szCs w:val="22"/>
          <w:lang w:val="sl-SI"/>
        </w:rPr>
      </w:pPr>
      <w:r w:rsidRPr="008E171B">
        <w:rPr>
          <w:i/>
          <w:sz w:val="22"/>
          <w:szCs w:val="22"/>
          <w:lang w:val="sl-SI"/>
        </w:rPr>
        <w:t xml:space="preserve">Odrasle osobe </w:t>
      </w:r>
      <w:r w:rsidR="007B50AD" w:rsidRPr="008E171B">
        <w:rPr>
          <w:i/>
          <w:sz w:val="22"/>
          <w:szCs w:val="22"/>
          <w:lang w:val="sl-SI"/>
        </w:rPr>
        <w:t>uzrasta</w:t>
      </w:r>
      <w:r w:rsidRPr="008E171B">
        <w:rPr>
          <w:i/>
          <w:sz w:val="22"/>
          <w:szCs w:val="22"/>
          <w:lang w:val="sl-SI"/>
        </w:rPr>
        <w:t xml:space="preserve"> 18 godina života i </w:t>
      </w:r>
      <w:r w:rsidR="007B50AD" w:rsidRPr="008E171B">
        <w:rPr>
          <w:i/>
          <w:sz w:val="22"/>
          <w:szCs w:val="22"/>
          <w:lang w:val="sl-SI"/>
        </w:rPr>
        <w:t>više</w:t>
      </w:r>
    </w:p>
    <w:p w14:paraId="22064C2A" w14:textId="29F18A08" w:rsidR="00AC7152" w:rsidRDefault="00AC7152" w:rsidP="006B3996">
      <w:pPr>
        <w:pStyle w:val="Header"/>
        <w:tabs>
          <w:tab w:val="left" w:pos="284"/>
        </w:tabs>
        <w:jc w:val="both"/>
        <w:rPr>
          <w:sz w:val="22"/>
          <w:szCs w:val="22"/>
          <w:lang w:val="sl-SI"/>
        </w:rPr>
      </w:pPr>
      <w:r>
        <w:rPr>
          <w:sz w:val="22"/>
          <w:szCs w:val="22"/>
          <w:lang w:val="sl-SI"/>
        </w:rPr>
        <w:t xml:space="preserve">- Prevencija pojave depresivnih epizoda kod pacijenata sa bipolarnim poremećajem tipa I kod kojih prevashodno dominira pojava depresivnih epizoda (vidjeti </w:t>
      </w:r>
      <w:r w:rsidR="00706D93">
        <w:rPr>
          <w:sz w:val="22"/>
          <w:szCs w:val="22"/>
          <w:lang w:val="sl-SI"/>
        </w:rPr>
        <w:t>dio</w:t>
      </w:r>
      <w:r>
        <w:rPr>
          <w:sz w:val="22"/>
          <w:szCs w:val="22"/>
          <w:lang w:val="sl-SI"/>
        </w:rPr>
        <w:t xml:space="preserve"> 5.1).</w:t>
      </w:r>
    </w:p>
    <w:p w14:paraId="22064C2B" w14:textId="77777777" w:rsidR="00AC7152" w:rsidRDefault="00AC7152" w:rsidP="006B3996">
      <w:pPr>
        <w:pStyle w:val="Header"/>
        <w:tabs>
          <w:tab w:val="left" w:pos="284"/>
        </w:tabs>
        <w:jc w:val="both"/>
        <w:rPr>
          <w:sz w:val="22"/>
          <w:szCs w:val="22"/>
          <w:lang w:val="sl-SI"/>
        </w:rPr>
      </w:pPr>
    </w:p>
    <w:p w14:paraId="22064C2C" w14:textId="2035F3B9" w:rsidR="00AC7152" w:rsidRDefault="00AC7152" w:rsidP="006B3996">
      <w:pPr>
        <w:pStyle w:val="Header"/>
        <w:tabs>
          <w:tab w:val="left" w:pos="284"/>
        </w:tabs>
        <w:jc w:val="both"/>
        <w:rPr>
          <w:sz w:val="22"/>
          <w:szCs w:val="22"/>
          <w:lang w:val="sl-SI"/>
        </w:rPr>
      </w:pPr>
      <w:r w:rsidRPr="008E171B">
        <w:rPr>
          <w:sz w:val="22"/>
          <w:szCs w:val="22"/>
          <w:lang w:val="sl-SI"/>
        </w:rPr>
        <w:t>Lijek LAMICTAL</w:t>
      </w:r>
      <w:r>
        <w:rPr>
          <w:sz w:val="22"/>
          <w:szCs w:val="22"/>
          <w:lang w:val="sl-SI"/>
        </w:rPr>
        <w:t xml:space="preserve"> nije indikovan za primjenu u terapiji akutnih maničnih ili depresivnih epizoda.</w:t>
      </w:r>
    </w:p>
    <w:p w14:paraId="22064C2D" w14:textId="77777777" w:rsidR="00411B4B" w:rsidRPr="008E171B" w:rsidRDefault="00411B4B" w:rsidP="006B3996">
      <w:pPr>
        <w:tabs>
          <w:tab w:val="left" w:pos="540"/>
          <w:tab w:val="left" w:pos="569"/>
        </w:tabs>
        <w:jc w:val="both"/>
        <w:rPr>
          <w:bCs/>
          <w:sz w:val="22"/>
          <w:szCs w:val="22"/>
          <w:lang w:val="sl-SI"/>
        </w:rPr>
      </w:pPr>
    </w:p>
    <w:p w14:paraId="22064C2E" w14:textId="77777777" w:rsidR="00411B4B" w:rsidRPr="008E171B" w:rsidRDefault="00411B4B" w:rsidP="006B3996">
      <w:pPr>
        <w:tabs>
          <w:tab w:val="left" w:pos="540"/>
          <w:tab w:val="left" w:pos="569"/>
        </w:tabs>
        <w:jc w:val="both"/>
        <w:rPr>
          <w:b/>
          <w:bCs/>
          <w:sz w:val="22"/>
          <w:szCs w:val="22"/>
          <w:lang w:val="sl-SI"/>
        </w:rPr>
      </w:pPr>
      <w:r w:rsidRPr="008E171B">
        <w:rPr>
          <w:b/>
          <w:bCs/>
          <w:sz w:val="22"/>
          <w:szCs w:val="22"/>
          <w:lang w:val="sl-SI"/>
        </w:rPr>
        <w:t xml:space="preserve">4.2. </w:t>
      </w:r>
      <w:r w:rsidR="00480FB1" w:rsidRPr="008E171B">
        <w:rPr>
          <w:b/>
          <w:bCs/>
          <w:sz w:val="22"/>
          <w:szCs w:val="22"/>
          <w:lang w:val="sl-SI"/>
        </w:rPr>
        <w:tab/>
      </w:r>
      <w:r w:rsidRPr="008E171B">
        <w:rPr>
          <w:b/>
          <w:bCs/>
          <w:sz w:val="22"/>
          <w:szCs w:val="22"/>
          <w:lang w:val="sl-SI"/>
        </w:rPr>
        <w:t>Doziranje i način primjene</w:t>
      </w:r>
    </w:p>
    <w:p w14:paraId="22064C2F" w14:textId="77777777" w:rsidR="0072020E" w:rsidRPr="008E171B" w:rsidRDefault="0072020E" w:rsidP="006B3996">
      <w:pPr>
        <w:tabs>
          <w:tab w:val="left" w:pos="540"/>
          <w:tab w:val="left" w:pos="569"/>
        </w:tabs>
        <w:jc w:val="both"/>
        <w:rPr>
          <w:bCs/>
          <w:sz w:val="22"/>
          <w:szCs w:val="22"/>
          <w:lang w:val="sl-SI"/>
        </w:rPr>
      </w:pPr>
    </w:p>
    <w:p w14:paraId="544515E5" w14:textId="77777777" w:rsidR="00865F17" w:rsidRPr="008E171B" w:rsidRDefault="00865F17" w:rsidP="006B3996">
      <w:pPr>
        <w:pStyle w:val="Header"/>
        <w:tabs>
          <w:tab w:val="left" w:pos="284"/>
        </w:tabs>
        <w:jc w:val="both"/>
        <w:rPr>
          <w:sz w:val="22"/>
          <w:szCs w:val="22"/>
          <w:u w:val="single"/>
          <w:lang w:val="sl-SI"/>
        </w:rPr>
      </w:pPr>
      <w:r w:rsidRPr="008E171B">
        <w:rPr>
          <w:sz w:val="22"/>
          <w:szCs w:val="22"/>
          <w:u w:val="single"/>
          <w:lang w:val="sl-SI"/>
        </w:rPr>
        <w:t>Doziranje</w:t>
      </w:r>
    </w:p>
    <w:p w14:paraId="7E93E22E" w14:textId="77777777" w:rsidR="00865F17" w:rsidRDefault="00865F17" w:rsidP="006B3996">
      <w:pPr>
        <w:pStyle w:val="Header"/>
        <w:tabs>
          <w:tab w:val="left" w:pos="284"/>
        </w:tabs>
        <w:jc w:val="both"/>
        <w:rPr>
          <w:sz w:val="22"/>
          <w:szCs w:val="22"/>
          <w:lang w:val="sl-SI"/>
        </w:rPr>
      </w:pPr>
      <w:r>
        <w:rPr>
          <w:sz w:val="22"/>
          <w:szCs w:val="22"/>
          <w:lang w:val="sl-SI"/>
        </w:rPr>
        <w:t xml:space="preserve"> </w:t>
      </w:r>
    </w:p>
    <w:p w14:paraId="22064C30" w14:textId="255E4527" w:rsidR="00AC7152" w:rsidRDefault="008A7AAB" w:rsidP="006B3996">
      <w:pPr>
        <w:pStyle w:val="Header"/>
        <w:tabs>
          <w:tab w:val="left" w:pos="284"/>
        </w:tabs>
        <w:jc w:val="both"/>
        <w:rPr>
          <w:sz w:val="22"/>
          <w:szCs w:val="22"/>
          <w:lang w:val="sl-SI"/>
        </w:rPr>
      </w:pPr>
      <w:r>
        <w:rPr>
          <w:sz w:val="22"/>
          <w:szCs w:val="22"/>
          <w:lang w:val="sl-SI"/>
        </w:rPr>
        <w:t xml:space="preserve">Lijek </w:t>
      </w:r>
      <w:r w:rsidR="00AC7152" w:rsidRPr="008E171B">
        <w:rPr>
          <w:sz w:val="22"/>
          <w:szCs w:val="22"/>
          <w:lang w:val="sl-SI"/>
        </w:rPr>
        <w:t>LAMICTAL</w:t>
      </w:r>
      <w:r w:rsidR="00AC7152">
        <w:rPr>
          <w:sz w:val="22"/>
          <w:szCs w:val="22"/>
          <w:lang w:val="sl-SI"/>
        </w:rPr>
        <w:t xml:space="preserve"> tablete je potrebno progutati cijele; tablete ne treba žvakati niti lomiti.</w:t>
      </w:r>
    </w:p>
    <w:p w14:paraId="22064C31" w14:textId="77777777" w:rsidR="00AC7152" w:rsidRDefault="00AC7152" w:rsidP="006B3996">
      <w:pPr>
        <w:pStyle w:val="Header"/>
        <w:tabs>
          <w:tab w:val="left" w:pos="284"/>
        </w:tabs>
        <w:jc w:val="both"/>
        <w:rPr>
          <w:sz w:val="22"/>
          <w:szCs w:val="22"/>
          <w:lang w:val="sl-SI"/>
        </w:rPr>
      </w:pPr>
    </w:p>
    <w:p w14:paraId="22064C32" w14:textId="77777777" w:rsidR="00AC7152" w:rsidRDefault="00AC7152" w:rsidP="006B3996">
      <w:pPr>
        <w:pStyle w:val="Header"/>
        <w:tabs>
          <w:tab w:val="left" w:pos="284"/>
        </w:tabs>
        <w:jc w:val="both"/>
        <w:rPr>
          <w:sz w:val="22"/>
          <w:szCs w:val="22"/>
          <w:lang w:val="sl-SI"/>
        </w:rPr>
      </w:pPr>
      <w:r>
        <w:rPr>
          <w:sz w:val="22"/>
          <w:szCs w:val="22"/>
          <w:lang w:val="sl-SI"/>
        </w:rPr>
        <w:t>Ukoliko izračunata doza lamotrigina (na primjer, za terapiju djece oboljele od epilepsije ili pacijenata sa oštećenjem jetre) ne odgovara cijelim tabletama, doza koju je potrebno primijeniti jednaka je manjem broju cijelih tableta.</w:t>
      </w:r>
    </w:p>
    <w:p w14:paraId="22064C33" w14:textId="77777777" w:rsidR="00AC7152" w:rsidRDefault="00AC7152" w:rsidP="006B3996">
      <w:pPr>
        <w:pStyle w:val="Header"/>
        <w:tabs>
          <w:tab w:val="left" w:pos="284"/>
        </w:tabs>
        <w:jc w:val="both"/>
        <w:rPr>
          <w:sz w:val="22"/>
          <w:szCs w:val="22"/>
          <w:lang w:val="sl-SI"/>
        </w:rPr>
      </w:pPr>
    </w:p>
    <w:p w14:paraId="22064C34" w14:textId="77777777" w:rsidR="00AC7152" w:rsidRPr="008E171B" w:rsidRDefault="00AC7152" w:rsidP="006B3996">
      <w:pPr>
        <w:pStyle w:val="Header"/>
        <w:tabs>
          <w:tab w:val="left" w:pos="284"/>
        </w:tabs>
        <w:jc w:val="both"/>
        <w:rPr>
          <w:i/>
          <w:iCs/>
          <w:sz w:val="22"/>
          <w:szCs w:val="22"/>
          <w:lang w:val="sl-SI"/>
        </w:rPr>
      </w:pPr>
      <w:r w:rsidRPr="008E171B">
        <w:rPr>
          <w:i/>
          <w:iCs/>
          <w:sz w:val="22"/>
          <w:szCs w:val="22"/>
          <w:lang w:val="sl-SI"/>
        </w:rPr>
        <w:t>Ponovno otpočinjanje terapije</w:t>
      </w:r>
    </w:p>
    <w:p w14:paraId="22064C35" w14:textId="77777777" w:rsidR="00AC7152" w:rsidRDefault="00AC7152" w:rsidP="006B3996">
      <w:pPr>
        <w:pStyle w:val="Header"/>
        <w:tabs>
          <w:tab w:val="left" w:pos="284"/>
        </w:tabs>
        <w:jc w:val="both"/>
        <w:rPr>
          <w:sz w:val="22"/>
          <w:szCs w:val="22"/>
          <w:u w:val="single"/>
          <w:lang w:val="sl-SI"/>
        </w:rPr>
      </w:pPr>
    </w:p>
    <w:p w14:paraId="22064C36" w14:textId="38D03316" w:rsidR="00AC7152" w:rsidRDefault="00AC7152" w:rsidP="006B3996">
      <w:pPr>
        <w:pStyle w:val="Header"/>
        <w:tabs>
          <w:tab w:val="left" w:pos="284"/>
        </w:tabs>
        <w:jc w:val="both"/>
        <w:rPr>
          <w:sz w:val="22"/>
          <w:szCs w:val="22"/>
          <w:lang w:val="sl-SI"/>
        </w:rPr>
      </w:pPr>
      <w:r>
        <w:rPr>
          <w:sz w:val="22"/>
          <w:szCs w:val="22"/>
          <w:lang w:val="sl-SI"/>
        </w:rPr>
        <w:t xml:space="preserve">Potrebno je da ljekari koji propisuju lijek procijene potrebu za povećanjem doze do doze održavanja prilikom ponovnog počinjanja terapije lijekom </w:t>
      </w:r>
      <w:r w:rsidRPr="008E171B">
        <w:rPr>
          <w:sz w:val="22"/>
          <w:szCs w:val="22"/>
          <w:lang w:val="sl-SI"/>
        </w:rPr>
        <w:t>LAMICTAL</w:t>
      </w:r>
      <w:r>
        <w:rPr>
          <w:sz w:val="22"/>
          <w:szCs w:val="22"/>
          <w:lang w:val="sl-SI"/>
        </w:rPr>
        <w:t xml:space="preserve"> kod pacijenata koji su prekinuli sa primjenom lijeka </w:t>
      </w:r>
      <w:r w:rsidRPr="008E171B">
        <w:rPr>
          <w:sz w:val="22"/>
          <w:szCs w:val="22"/>
          <w:lang w:val="sl-SI"/>
        </w:rPr>
        <w:t>LAMICTAL</w:t>
      </w:r>
      <w:r>
        <w:rPr>
          <w:sz w:val="22"/>
          <w:szCs w:val="22"/>
          <w:lang w:val="sl-SI"/>
        </w:rPr>
        <w:t xml:space="preserve"> iz bilo kog razloga, s obzirom na to da je rizik od pojave ozbiljnog osipa udružen sa primjenom visokih inicijalnih doza i prekoračenjem preporučenog postepenog povećavanja terapijskih doza lamotrigina (vidjeti </w:t>
      </w:r>
      <w:r w:rsidR="00706D93">
        <w:rPr>
          <w:sz w:val="22"/>
          <w:szCs w:val="22"/>
          <w:lang w:val="sl-SI"/>
        </w:rPr>
        <w:t>dio</w:t>
      </w:r>
      <w:r>
        <w:rPr>
          <w:sz w:val="22"/>
          <w:szCs w:val="22"/>
          <w:lang w:val="sl-SI"/>
        </w:rPr>
        <w:t xml:space="preserve"> 4.4). Što je protekao duži vremenski interval od primjene prethodne doze, potrebno je u većoj mjeri obratiti pažnju na povećanje doze do doze održavanja. Ukoliko vremenski interval od prekida primjene lamotrigina prevazilazi pet poluvremena eliminacije (vidjeti </w:t>
      </w:r>
      <w:r w:rsidR="00706D93">
        <w:rPr>
          <w:sz w:val="22"/>
          <w:szCs w:val="22"/>
          <w:lang w:val="sl-SI"/>
        </w:rPr>
        <w:t>dio</w:t>
      </w:r>
      <w:r>
        <w:rPr>
          <w:sz w:val="22"/>
          <w:szCs w:val="22"/>
          <w:lang w:val="sl-SI"/>
        </w:rPr>
        <w:t xml:space="preserve"> 5.2), dozu lijeka </w:t>
      </w:r>
      <w:r w:rsidRPr="008E171B">
        <w:rPr>
          <w:sz w:val="22"/>
          <w:szCs w:val="22"/>
          <w:lang w:val="sl-SI"/>
        </w:rPr>
        <w:t>LAMICTAL</w:t>
      </w:r>
      <w:r>
        <w:rPr>
          <w:sz w:val="22"/>
          <w:szCs w:val="22"/>
          <w:lang w:val="sl-SI"/>
        </w:rPr>
        <w:t xml:space="preserve"> bi generalno trebalo povećavati do doze održavanja u skladu sa odgovarajućom shemom doziranja.</w:t>
      </w:r>
    </w:p>
    <w:p w14:paraId="22064C37" w14:textId="77777777" w:rsidR="00AC7152" w:rsidRDefault="00AC7152" w:rsidP="006B3996">
      <w:pPr>
        <w:pStyle w:val="Header"/>
        <w:tabs>
          <w:tab w:val="left" w:pos="284"/>
        </w:tabs>
        <w:jc w:val="both"/>
        <w:rPr>
          <w:sz w:val="22"/>
          <w:szCs w:val="22"/>
          <w:lang w:val="sl-SI"/>
        </w:rPr>
      </w:pPr>
    </w:p>
    <w:p w14:paraId="22064C38" w14:textId="53032763" w:rsidR="00AC7152" w:rsidRDefault="00AC7152" w:rsidP="006B3996">
      <w:pPr>
        <w:pStyle w:val="Header"/>
        <w:tabs>
          <w:tab w:val="left" w:pos="284"/>
        </w:tabs>
        <w:jc w:val="both"/>
        <w:rPr>
          <w:sz w:val="22"/>
          <w:szCs w:val="22"/>
          <w:lang w:val="sl-SI"/>
        </w:rPr>
      </w:pPr>
      <w:r>
        <w:rPr>
          <w:sz w:val="22"/>
          <w:szCs w:val="22"/>
          <w:lang w:val="sl-SI"/>
        </w:rPr>
        <w:t xml:space="preserve">Kod pacijenata kod kojih je prethodno prekinuta terapija lamotriginom zbog pojave osipa ne preporučuje se ponovno otpočinjanje terapije lijekom </w:t>
      </w:r>
      <w:r w:rsidRPr="008E171B">
        <w:rPr>
          <w:sz w:val="22"/>
          <w:szCs w:val="22"/>
          <w:lang w:val="sl-SI"/>
        </w:rPr>
        <w:t>LAMICTAL</w:t>
      </w:r>
      <w:r>
        <w:rPr>
          <w:sz w:val="22"/>
          <w:szCs w:val="22"/>
          <w:lang w:val="sl-SI"/>
        </w:rPr>
        <w:t xml:space="preserve"> osim u slučaju kada potencijalna korist </w:t>
      </w:r>
      <w:r w:rsidR="00031EA3">
        <w:rPr>
          <w:sz w:val="22"/>
          <w:szCs w:val="22"/>
          <w:lang w:val="sl-SI"/>
        </w:rPr>
        <w:t xml:space="preserve">jasno </w:t>
      </w:r>
      <w:r>
        <w:rPr>
          <w:sz w:val="22"/>
          <w:szCs w:val="22"/>
          <w:lang w:val="sl-SI"/>
        </w:rPr>
        <w:t>prevazilazi moguće rizike primjene.</w:t>
      </w:r>
    </w:p>
    <w:p w14:paraId="22064C39" w14:textId="77777777" w:rsidR="00AC7152" w:rsidRDefault="00AC7152" w:rsidP="006B3996">
      <w:pPr>
        <w:pStyle w:val="Header"/>
        <w:tabs>
          <w:tab w:val="left" w:pos="284"/>
        </w:tabs>
        <w:jc w:val="both"/>
        <w:rPr>
          <w:sz w:val="22"/>
          <w:szCs w:val="22"/>
          <w:lang w:val="sl-SI"/>
        </w:rPr>
      </w:pPr>
    </w:p>
    <w:p w14:paraId="22064C3A" w14:textId="77777777" w:rsidR="00AC7152" w:rsidRPr="008E171B" w:rsidRDefault="00AC7152" w:rsidP="006B3996">
      <w:pPr>
        <w:pStyle w:val="Header"/>
        <w:tabs>
          <w:tab w:val="left" w:pos="284"/>
        </w:tabs>
        <w:jc w:val="both"/>
        <w:rPr>
          <w:i/>
          <w:iCs/>
          <w:sz w:val="22"/>
          <w:szCs w:val="22"/>
          <w:lang w:val="sl-SI"/>
        </w:rPr>
      </w:pPr>
      <w:r w:rsidRPr="008E171B">
        <w:rPr>
          <w:i/>
          <w:iCs/>
          <w:sz w:val="22"/>
          <w:szCs w:val="22"/>
          <w:lang w:val="sl-SI"/>
        </w:rPr>
        <w:t>Epilepsija</w:t>
      </w:r>
    </w:p>
    <w:p w14:paraId="22064C3B" w14:textId="77777777" w:rsidR="00AC7152" w:rsidRDefault="00AC7152" w:rsidP="006B3996">
      <w:pPr>
        <w:pStyle w:val="Header"/>
        <w:tabs>
          <w:tab w:val="left" w:pos="284"/>
        </w:tabs>
        <w:jc w:val="both"/>
        <w:rPr>
          <w:b/>
          <w:i/>
          <w:sz w:val="22"/>
          <w:szCs w:val="22"/>
          <w:lang w:val="sl-SI"/>
        </w:rPr>
      </w:pPr>
    </w:p>
    <w:p w14:paraId="22064C3C" w14:textId="68EA7AEA" w:rsidR="00AC7152" w:rsidRDefault="00AC7152" w:rsidP="006B3996">
      <w:pPr>
        <w:pStyle w:val="Header"/>
        <w:tabs>
          <w:tab w:val="left" w:pos="284"/>
        </w:tabs>
        <w:jc w:val="both"/>
        <w:rPr>
          <w:sz w:val="22"/>
          <w:szCs w:val="22"/>
          <w:lang w:val="sl-SI"/>
        </w:rPr>
      </w:pPr>
      <w:r>
        <w:rPr>
          <w:sz w:val="22"/>
          <w:szCs w:val="22"/>
          <w:lang w:val="sl-SI"/>
        </w:rPr>
        <w:t xml:space="preserve">Preporučeno povećanje doze i doze održavanja za odrasle osobe i adolescente </w:t>
      </w:r>
      <w:r w:rsidR="00031EA3">
        <w:rPr>
          <w:sz w:val="22"/>
          <w:szCs w:val="22"/>
          <w:lang w:val="sl-SI"/>
        </w:rPr>
        <w:t>uzrasta</w:t>
      </w:r>
      <w:r>
        <w:rPr>
          <w:sz w:val="22"/>
          <w:szCs w:val="22"/>
          <w:lang w:val="sl-SI"/>
        </w:rPr>
        <w:t xml:space="preserve"> 13 godina života i </w:t>
      </w:r>
      <w:r w:rsidR="00031EA3">
        <w:rPr>
          <w:sz w:val="22"/>
          <w:szCs w:val="22"/>
          <w:lang w:val="sl-SI"/>
        </w:rPr>
        <w:t>više</w:t>
      </w:r>
      <w:r>
        <w:rPr>
          <w:sz w:val="22"/>
          <w:szCs w:val="22"/>
          <w:lang w:val="sl-SI"/>
        </w:rPr>
        <w:t xml:space="preserve"> (vidjeti tabelu 1) i za djecu i adolescente </w:t>
      </w:r>
      <w:r w:rsidR="00031EA3">
        <w:rPr>
          <w:sz w:val="22"/>
          <w:szCs w:val="22"/>
          <w:lang w:val="sl-SI"/>
        </w:rPr>
        <w:t>uzrasta</w:t>
      </w:r>
      <w:r>
        <w:rPr>
          <w:sz w:val="22"/>
          <w:szCs w:val="22"/>
          <w:lang w:val="sl-SI"/>
        </w:rPr>
        <w:t xml:space="preserve"> od 2. do 12. godine života (vidjeti tabelu 2) navedene su u </w:t>
      </w:r>
      <w:r w:rsidR="00E120CC">
        <w:rPr>
          <w:sz w:val="22"/>
          <w:szCs w:val="22"/>
          <w:lang w:val="sl-SI"/>
        </w:rPr>
        <w:t>nastavku</w:t>
      </w:r>
      <w:r>
        <w:rPr>
          <w:sz w:val="22"/>
          <w:szCs w:val="22"/>
          <w:lang w:val="sl-SI"/>
        </w:rPr>
        <w:t xml:space="preserve">. Zbog rizika od pojave osipa ne savjetuje se prekoračenje inicijalne doze </w:t>
      </w:r>
      <w:r w:rsidR="00E120CC">
        <w:rPr>
          <w:sz w:val="22"/>
          <w:szCs w:val="22"/>
          <w:lang w:val="sl-SI"/>
        </w:rPr>
        <w:t>n</w:t>
      </w:r>
      <w:r>
        <w:rPr>
          <w:sz w:val="22"/>
          <w:szCs w:val="22"/>
          <w:lang w:val="sl-SI"/>
        </w:rPr>
        <w:t>i</w:t>
      </w:r>
      <w:r w:rsidR="00E120CC">
        <w:rPr>
          <w:sz w:val="22"/>
          <w:szCs w:val="22"/>
          <w:lang w:val="sl-SI"/>
        </w:rPr>
        <w:t>ti</w:t>
      </w:r>
      <w:r>
        <w:rPr>
          <w:sz w:val="22"/>
          <w:szCs w:val="22"/>
          <w:lang w:val="sl-SI"/>
        </w:rPr>
        <w:t xml:space="preserve"> preporuka za doziranje prilikom naknadnog povećanja doze (vidjeti </w:t>
      </w:r>
      <w:r w:rsidR="00706D93">
        <w:rPr>
          <w:sz w:val="22"/>
          <w:szCs w:val="22"/>
          <w:lang w:val="sl-SI"/>
        </w:rPr>
        <w:t>dio</w:t>
      </w:r>
      <w:r>
        <w:rPr>
          <w:sz w:val="22"/>
          <w:szCs w:val="22"/>
          <w:lang w:val="sl-SI"/>
        </w:rPr>
        <w:t xml:space="preserve"> 4.4).</w:t>
      </w:r>
    </w:p>
    <w:p w14:paraId="22064C3D" w14:textId="77777777" w:rsidR="00AC7152" w:rsidRDefault="00AC7152" w:rsidP="006B3996">
      <w:pPr>
        <w:pStyle w:val="Header"/>
        <w:tabs>
          <w:tab w:val="left" w:pos="284"/>
        </w:tabs>
        <w:jc w:val="both"/>
        <w:rPr>
          <w:sz w:val="22"/>
          <w:szCs w:val="22"/>
          <w:lang w:val="sl-SI"/>
        </w:rPr>
      </w:pPr>
      <w:r>
        <w:rPr>
          <w:sz w:val="22"/>
          <w:szCs w:val="22"/>
          <w:lang w:val="sl-SI"/>
        </w:rPr>
        <w:t xml:space="preserve"> </w:t>
      </w:r>
    </w:p>
    <w:p w14:paraId="22064C3E" w14:textId="067A49F7" w:rsidR="00AC7152" w:rsidRDefault="00AC7152" w:rsidP="006B3996">
      <w:pPr>
        <w:pStyle w:val="Header"/>
        <w:tabs>
          <w:tab w:val="left" w:pos="284"/>
        </w:tabs>
        <w:jc w:val="both"/>
        <w:rPr>
          <w:sz w:val="22"/>
          <w:szCs w:val="22"/>
          <w:lang w:val="sl-SI"/>
        </w:rPr>
      </w:pPr>
      <w:r>
        <w:rPr>
          <w:sz w:val="22"/>
          <w:szCs w:val="22"/>
          <w:lang w:val="sl-SI"/>
        </w:rPr>
        <w:t>Ukoliko se iz terapijske sheme koja obuhvata primjenu lamotrigina povuku AEL primijenjeni istovremeno ili se navedenoj shemi dodaju drugi AEL/</w:t>
      </w:r>
      <w:r w:rsidR="00E120CC">
        <w:rPr>
          <w:sz w:val="22"/>
          <w:szCs w:val="22"/>
          <w:lang w:val="sl-SI"/>
        </w:rPr>
        <w:t>ljekovi</w:t>
      </w:r>
      <w:r>
        <w:rPr>
          <w:sz w:val="22"/>
          <w:szCs w:val="22"/>
          <w:lang w:val="sl-SI"/>
        </w:rPr>
        <w:t xml:space="preserve">, potrebno je obratiti pažnju na uticaj koji navedeni ljekovi mogu imati na farmakokinetiku lamotrigina (vidjeti </w:t>
      </w:r>
      <w:r w:rsidR="00706D93">
        <w:rPr>
          <w:sz w:val="22"/>
          <w:szCs w:val="22"/>
          <w:lang w:val="sl-SI"/>
        </w:rPr>
        <w:t>dio</w:t>
      </w:r>
      <w:r>
        <w:rPr>
          <w:sz w:val="22"/>
          <w:szCs w:val="22"/>
          <w:lang w:val="sl-SI"/>
        </w:rPr>
        <w:t xml:space="preserve"> 4.5).</w:t>
      </w:r>
    </w:p>
    <w:p w14:paraId="22064C3F" w14:textId="77777777" w:rsidR="00AC7152" w:rsidRDefault="00AC7152" w:rsidP="006B3996">
      <w:pPr>
        <w:pStyle w:val="Header"/>
        <w:tabs>
          <w:tab w:val="left" w:pos="284"/>
        </w:tabs>
        <w:jc w:val="both"/>
        <w:rPr>
          <w:sz w:val="22"/>
          <w:szCs w:val="22"/>
          <w:lang w:val="sl-SI"/>
        </w:rPr>
      </w:pPr>
    </w:p>
    <w:p w14:paraId="22064C40" w14:textId="2FC3EB1F" w:rsidR="00AC7152" w:rsidRDefault="00AC7152" w:rsidP="006B3996">
      <w:pPr>
        <w:pStyle w:val="BodyText3"/>
        <w:ind w:right="-57"/>
        <w:jc w:val="both"/>
        <w:rPr>
          <w:b w:val="0"/>
          <w:i/>
          <w:sz w:val="22"/>
          <w:szCs w:val="22"/>
          <w:u w:val="single"/>
        </w:rPr>
      </w:pPr>
      <w:r>
        <w:rPr>
          <w:b w:val="0"/>
          <w:i/>
          <w:sz w:val="22"/>
          <w:szCs w:val="22"/>
          <w:u w:val="single"/>
        </w:rPr>
        <w:t xml:space="preserve">Tabela 1: Odrasle osobe i adolescenti </w:t>
      </w:r>
      <w:r w:rsidR="00E120CC">
        <w:rPr>
          <w:b w:val="0"/>
          <w:i/>
          <w:sz w:val="22"/>
          <w:szCs w:val="22"/>
          <w:u w:val="single"/>
        </w:rPr>
        <w:t>uzrasta</w:t>
      </w:r>
      <w:r>
        <w:rPr>
          <w:b w:val="0"/>
          <w:i/>
          <w:sz w:val="22"/>
          <w:szCs w:val="22"/>
          <w:u w:val="single"/>
        </w:rPr>
        <w:t xml:space="preserve"> 13 godina života i </w:t>
      </w:r>
      <w:r w:rsidR="00E120CC">
        <w:rPr>
          <w:b w:val="0"/>
          <w:i/>
          <w:sz w:val="22"/>
          <w:szCs w:val="22"/>
          <w:u w:val="single"/>
        </w:rPr>
        <w:t>više</w:t>
      </w:r>
      <w:r>
        <w:rPr>
          <w:b w:val="0"/>
          <w:i/>
          <w:sz w:val="22"/>
          <w:szCs w:val="22"/>
          <w:u w:val="single"/>
        </w:rPr>
        <w:t xml:space="preserve"> – preporučena terapijska shema za epilepsiju</w:t>
      </w:r>
    </w:p>
    <w:p w14:paraId="22064C41" w14:textId="77777777" w:rsidR="00AC7152" w:rsidRDefault="00AC7152" w:rsidP="00AC7152">
      <w:pPr>
        <w:pStyle w:val="BodyText3"/>
        <w:ind w:right="-57"/>
        <w:rPr>
          <w:b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1753"/>
        <w:gridCol w:w="1748"/>
        <w:gridCol w:w="2608"/>
      </w:tblGrid>
      <w:tr w:rsidR="00AC7152" w14:paraId="22064C49" w14:textId="77777777" w:rsidTr="00AC7152">
        <w:tc>
          <w:tcPr>
            <w:tcW w:w="3606" w:type="dxa"/>
            <w:tcBorders>
              <w:top w:val="single" w:sz="4" w:space="0" w:color="auto"/>
              <w:left w:val="single" w:sz="4" w:space="0" w:color="auto"/>
              <w:bottom w:val="single" w:sz="4" w:space="0" w:color="auto"/>
              <w:right w:val="single" w:sz="4" w:space="0" w:color="auto"/>
            </w:tcBorders>
          </w:tcPr>
          <w:p w14:paraId="22064C42" w14:textId="77777777" w:rsidR="00AC7152" w:rsidRDefault="00AC7152">
            <w:pPr>
              <w:pStyle w:val="BodyText3"/>
              <w:ind w:left="57" w:right="-57"/>
              <w:rPr>
                <w:b w:val="0"/>
                <w:sz w:val="22"/>
                <w:szCs w:val="22"/>
              </w:rPr>
            </w:pPr>
            <w:r>
              <w:rPr>
                <w:b w:val="0"/>
                <w:sz w:val="22"/>
                <w:szCs w:val="22"/>
              </w:rPr>
              <w:t>Terapijska shema</w:t>
            </w:r>
          </w:p>
          <w:p w14:paraId="22064C43" w14:textId="77777777" w:rsidR="00AC7152" w:rsidRDefault="00AC7152">
            <w:pPr>
              <w:pStyle w:val="BodyText3"/>
              <w:ind w:left="57" w:right="-57"/>
              <w:rPr>
                <w:b w:val="0"/>
                <w:sz w:val="22"/>
                <w:szCs w:val="22"/>
              </w:rPr>
            </w:pPr>
          </w:p>
        </w:tc>
        <w:tc>
          <w:tcPr>
            <w:tcW w:w="1753" w:type="dxa"/>
            <w:tcBorders>
              <w:top w:val="single" w:sz="4" w:space="0" w:color="auto"/>
              <w:left w:val="single" w:sz="4" w:space="0" w:color="auto"/>
              <w:bottom w:val="single" w:sz="4" w:space="0" w:color="auto"/>
              <w:right w:val="single" w:sz="4" w:space="0" w:color="auto"/>
            </w:tcBorders>
          </w:tcPr>
          <w:p w14:paraId="22064C44" w14:textId="77777777" w:rsidR="00AC7152" w:rsidRDefault="00AC7152">
            <w:pPr>
              <w:pStyle w:val="BodyText3"/>
              <w:ind w:left="57" w:right="-57"/>
              <w:rPr>
                <w:b w:val="0"/>
                <w:sz w:val="22"/>
                <w:szCs w:val="22"/>
              </w:rPr>
            </w:pPr>
            <w:r>
              <w:rPr>
                <w:b w:val="0"/>
                <w:sz w:val="22"/>
                <w:szCs w:val="22"/>
              </w:rPr>
              <w:t>1.+2. nedjelja</w:t>
            </w:r>
          </w:p>
          <w:p w14:paraId="22064C45" w14:textId="77777777" w:rsidR="00AC7152" w:rsidRDefault="00AC7152">
            <w:pPr>
              <w:pStyle w:val="BodyText3"/>
              <w:ind w:left="57" w:right="-57"/>
              <w:rPr>
                <w:b w:val="0"/>
                <w:sz w:val="22"/>
                <w:szCs w:val="22"/>
              </w:rPr>
            </w:pPr>
          </w:p>
        </w:tc>
        <w:tc>
          <w:tcPr>
            <w:tcW w:w="1748" w:type="dxa"/>
            <w:tcBorders>
              <w:top w:val="single" w:sz="4" w:space="0" w:color="auto"/>
              <w:left w:val="single" w:sz="4" w:space="0" w:color="auto"/>
              <w:bottom w:val="single" w:sz="4" w:space="0" w:color="auto"/>
              <w:right w:val="single" w:sz="4" w:space="0" w:color="auto"/>
            </w:tcBorders>
          </w:tcPr>
          <w:p w14:paraId="22064C46" w14:textId="77777777" w:rsidR="00AC7152" w:rsidRDefault="00AC7152">
            <w:pPr>
              <w:pStyle w:val="BodyText3"/>
              <w:ind w:left="57" w:right="-57"/>
              <w:rPr>
                <w:b w:val="0"/>
                <w:sz w:val="22"/>
                <w:szCs w:val="22"/>
              </w:rPr>
            </w:pPr>
            <w:r>
              <w:rPr>
                <w:b w:val="0"/>
                <w:sz w:val="22"/>
                <w:szCs w:val="22"/>
              </w:rPr>
              <w:t>3.+4. nedjelja</w:t>
            </w:r>
          </w:p>
          <w:p w14:paraId="22064C47" w14:textId="77777777" w:rsidR="00AC7152" w:rsidRDefault="00AC7152">
            <w:pPr>
              <w:pStyle w:val="BodyText3"/>
              <w:ind w:left="57" w:right="-57"/>
              <w:rPr>
                <w:b w:val="0"/>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14:paraId="22064C48" w14:textId="77777777" w:rsidR="00AC7152" w:rsidRDefault="00AC7152">
            <w:pPr>
              <w:pStyle w:val="BodyText3"/>
              <w:ind w:left="57" w:right="-57"/>
              <w:rPr>
                <w:b w:val="0"/>
                <w:sz w:val="22"/>
                <w:szCs w:val="22"/>
              </w:rPr>
            </w:pPr>
            <w:r>
              <w:rPr>
                <w:b w:val="0"/>
                <w:sz w:val="22"/>
                <w:szCs w:val="22"/>
              </w:rPr>
              <w:t>Uobičajena doza održavanja</w:t>
            </w:r>
          </w:p>
        </w:tc>
      </w:tr>
      <w:tr w:rsidR="00AC7152" w:rsidRPr="00BF78B0" w14:paraId="22064C5D" w14:textId="77777777" w:rsidTr="00AC7152">
        <w:tc>
          <w:tcPr>
            <w:tcW w:w="3606" w:type="dxa"/>
            <w:tcBorders>
              <w:top w:val="single" w:sz="4" w:space="0" w:color="auto"/>
              <w:left w:val="single" w:sz="4" w:space="0" w:color="auto"/>
              <w:bottom w:val="single" w:sz="4" w:space="0" w:color="auto"/>
              <w:right w:val="single" w:sz="4" w:space="0" w:color="auto"/>
            </w:tcBorders>
          </w:tcPr>
          <w:p w14:paraId="22064C4A" w14:textId="77777777" w:rsidR="00AC7152" w:rsidRDefault="00AC7152">
            <w:pPr>
              <w:pStyle w:val="BodyText3"/>
              <w:ind w:left="57" w:right="-57"/>
              <w:rPr>
                <w:sz w:val="22"/>
                <w:szCs w:val="22"/>
              </w:rPr>
            </w:pPr>
          </w:p>
          <w:p w14:paraId="22064C4B" w14:textId="77777777" w:rsidR="00AC7152" w:rsidRDefault="00AC7152">
            <w:pPr>
              <w:pStyle w:val="BodyText3"/>
              <w:ind w:left="57" w:right="-57"/>
              <w:rPr>
                <w:sz w:val="22"/>
                <w:szCs w:val="22"/>
              </w:rPr>
            </w:pPr>
            <w:r>
              <w:rPr>
                <w:sz w:val="22"/>
                <w:szCs w:val="22"/>
              </w:rPr>
              <w:lastRenderedPageBreak/>
              <w:t>Monoterapija:</w:t>
            </w:r>
          </w:p>
          <w:p w14:paraId="22064C4C" w14:textId="77777777" w:rsidR="00AC7152" w:rsidRDefault="00AC7152">
            <w:pPr>
              <w:pStyle w:val="BodyText3"/>
              <w:ind w:left="57" w:right="-57"/>
              <w:rPr>
                <w:b w:val="0"/>
                <w:sz w:val="22"/>
                <w:szCs w:val="22"/>
              </w:rPr>
            </w:pPr>
          </w:p>
        </w:tc>
        <w:tc>
          <w:tcPr>
            <w:tcW w:w="1753" w:type="dxa"/>
            <w:tcBorders>
              <w:top w:val="single" w:sz="4" w:space="0" w:color="auto"/>
              <w:left w:val="single" w:sz="4" w:space="0" w:color="auto"/>
              <w:bottom w:val="single" w:sz="4" w:space="0" w:color="auto"/>
              <w:right w:val="single" w:sz="4" w:space="0" w:color="auto"/>
            </w:tcBorders>
          </w:tcPr>
          <w:p w14:paraId="22064C4D" w14:textId="77777777" w:rsidR="00AC7152" w:rsidRDefault="00AC7152">
            <w:pPr>
              <w:pStyle w:val="BodyText3"/>
              <w:ind w:left="57" w:right="-57"/>
              <w:rPr>
                <w:b w:val="0"/>
                <w:sz w:val="22"/>
                <w:szCs w:val="22"/>
              </w:rPr>
            </w:pPr>
          </w:p>
          <w:p w14:paraId="22064C4E" w14:textId="77777777" w:rsidR="00AC7152" w:rsidRDefault="00AC7152">
            <w:pPr>
              <w:pStyle w:val="BodyText3"/>
              <w:ind w:left="57" w:right="-57"/>
              <w:rPr>
                <w:b w:val="0"/>
                <w:sz w:val="22"/>
                <w:szCs w:val="22"/>
              </w:rPr>
            </w:pPr>
            <w:r>
              <w:rPr>
                <w:b w:val="0"/>
                <w:sz w:val="22"/>
                <w:szCs w:val="22"/>
              </w:rPr>
              <w:lastRenderedPageBreak/>
              <w:t>25 mg/dnevno</w:t>
            </w:r>
          </w:p>
          <w:p w14:paraId="22064C4F" w14:textId="38141722" w:rsidR="00AC7152" w:rsidRDefault="00E120CC" w:rsidP="006B3996">
            <w:pPr>
              <w:pStyle w:val="BodyText3"/>
              <w:ind w:right="-57"/>
              <w:rPr>
                <w:b w:val="0"/>
                <w:sz w:val="22"/>
                <w:szCs w:val="22"/>
              </w:rPr>
            </w:pPr>
            <w:r>
              <w:rPr>
                <w:b w:val="0"/>
                <w:sz w:val="22"/>
                <w:szCs w:val="22"/>
              </w:rPr>
              <w:t xml:space="preserve"> </w:t>
            </w:r>
            <w:r w:rsidR="00AC7152">
              <w:rPr>
                <w:b w:val="0"/>
                <w:sz w:val="22"/>
                <w:szCs w:val="22"/>
              </w:rPr>
              <w:t>(jednom dnevno)</w:t>
            </w:r>
          </w:p>
          <w:p w14:paraId="22064C50" w14:textId="77777777" w:rsidR="00AC7152" w:rsidRDefault="00AC7152">
            <w:pPr>
              <w:pStyle w:val="BodyText3"/>
              <w:ind w:left="57" w:right="-57"/>
              <w:rPr>
                <w:b w:val="0"/>
                <w:sz w:val="22"/>
                <w:szCs w:val="22"/>
              </w:rPr>
            </w:pPr>
          </w:p>
        </w:tc>
        <w:tc>
          <w:tcPr>
            <w:tcW w:w="1748" w:type="dxa"/>
            <w:tcBorders>
              <w:top w:val="single" w:sz="4" w:space="0" w:color="auto"/>
              <w:left w:val="single" w:sz="4" w:space="0" w:color="auto"/>
              <w:bottom w:val="single" w:sz="4" w:space="0" w:color="auto"/>
              <w:right w:val="single" w:sz="4" w:space="0" w:color="auto"/>
            </w:tcBorders>
          </w:tcPr>
          <w:p w14:paraId="22064C51" w14:textId="77777777" w:rsidR="00AC7152" w:rsidRDefault="00AC7152">
            <w:pPr>
              <w:pStyle w:val="BodyText3"/>
              <w:ind w:left="57" w:right="-57"/>
              <w:rPr>
                <w:b w:val="0"/>
                <w:sz w:val="22"/>
                <w:szCs w:val="22"/>
              </w:rPr>
            </w:pPr>
          </w:p>
          <w:p w14:paraId="22064C52" w14:textId="77777777" w:rsidR="00AC7152" w:rsidRDefault="00AC7152">
            <w:pPr>
              <w:pStyle w:val="BodyText3"/>
              <w:ind w:left="57" w:right="-57"/>
              <w:rPr>
                <w:b w:val="0"/>
                <w:sz w:val="22"/>
                <w:szCs w:val="22"/>
              </w:rPr>
            </w:pPr>
            <w:r>
              <w:rPr>
                <w:b w:val="0"/>
                <w:sz w:val="22"/>
                <w:szCs w:val="22"/>
              </w:rPr>
              <w:lastRenderedPageBreak/>
              <w:t>50 mg/dnevno</w:t>
            </w:r>
          </w:p>
          <w:p w14:paraId="22064C53" w14:textId="77777777" w:rsidR="00AC7152" w:rsidRDefault="00AC7152">
            <w:pPr>
              <w:pStyle w:val="BodyText3"/>
              <w:ind w:left="57" w:right="-57"/>
              <w:rPr>
                <w:b w:val="0"/>
                <w:sz w:val="22"/>
                <w:szCs w:val="22"/>
              </w:rPr>
            </w:pPr>
            <w:r>
              <w:rPr>
                <w:b w:val="0"/>
                <w:sz w:val="22"/>
                <w:szCs w:val="22"/>
              </w:rPr>
              <w:t>(jednom dnevno)</w:t>
            </w:r>
          </w:p>
          <w:p w14:paraId="22064C54" w14:textId="77777777" w:rsidR="00AC7152" w:rsidRDefault="00AC7152">
            <w:pPr>
              <w:pStyle w:val="BodyText3"/>
              <w:ind w:left="57" w:right="-57"/>
              <w:rPr>
                <w:b w:val="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22064C55" w14:textId="77777777" w:rsidR="00AC7152" w:rsidRDefault="00AC7152">
            <w:pPr>
              <w:pStyle w:val="BodyText3"/>
              <w:ind w:left="57" w:right="-57"/>
              <w:rPr>
                <w:b w:val="0"/>
                <w:sz w:val="22"/>
                <w:szCs w:val="22"/>
              </w:rPr>
            </w:pPr>
          </w:p>
          <w:p w14:paraId="22064C56" w14:textId="77777777" w:rsidR="00AC7152" w:rsidRDefault="00AC7152">
            <w:pPr>
              <w:pStyle w:val="BodyText3"/>
              <w:ind w:left="57" w:right="-57"/>
              <w:rPr>
                <w:b w:val="0"/>
                <w:sz w:val="22"/>
                <w:szCs w:val="22"/>
              </w:rPr>
            </w:pPr>
            <w:r>
              <w:rPr>
                <w:b w:val="0"/>
                <w:sz w:val="22"/>
                <w:szCs w:val="22"/>
              </w:rPr>
              <w:lastRenderedPageBreak/>
              <w:t>100–200 mg/dnevno</w:t>
            </w:r>
          </w:p>
          <w:p w14:paraId="22064C57" w14:textId="77777777" w:rsidR="00AC7152" w:rsidRDefault="00AC7152">
            <w:pPr>
              <w:pStyle w:val="BodyText3"/>
              <w:ind w:left="57" w:right="-57"/>
              <w:rPr>
                <w:b w:val="0"/>
                <w:sz w:val="22"/>
                <w:szCs w:val="22"/>
              </w:rPr>
            </w:pPr>
            <w:r>
              <w:rPr>
                <w:b w:val="0"/>
                <w:sz w:val="22"/>
                <w:szCs w:val="22"/>
              </w:rPr>
              <w:t>(jednom dnevno ili podijeljeno u dvije doze)</w:t>
            </w:r>
          </w:p>
          <w:p w14:paraId="22064C58" w14:textId="77777777" w:rsidR="00AC7152" w:rsidRDefault="00AC7152">
            <w:pPr>
              <w:pStyle w:val="BodyText3"/>
              <w:ind w:left="57" w:right="-57"/>
              <w:rPr>
                <w:b w:val="0"/>
                <w:sz w:val="22"/>
                <w:szCs w:val="22"/>
              </w:rPr>
            </w:pPr>
          </w:p>
          <w:p w14:paraId="22064C59" w14:textId="77777777" w:rsidR="00AC7152" w:rsidRDefault="00AC7152">
            <w:pPr>
              <w:pStyle w:val="BodyText3"/>
              <w:ind w:left="57" w:right="-57"/>
              <w:rPr>
                <w:b w:val="0"/>
                <w:color w:val="FF0000"/>
                <w:sz w:val="22"/>
                <w:szCs w:val="22"/>
                <w:lang w:val="sr-Latn-CS"/>
              </w:rPr>
            </w:pPr>
            <w:r>
              <w:rPr>
                <w:b w:val="0"/>
                <w:sz w:val="22"/>
                <w:szCs w:val="22"/>
              </w:rPr>
              <w:t xml:space="preserve">Da bi se postiglo održanje efekta, doze se mogu povećavati za maksimalno 50-100mg svake do svake druge nedjelje do postizanja optimalnog terapijskog odgovora </w:t>
            </w:r>
          </w:p>
          <w:p w14:paraId="22064C5A" w14:textId="77777777" w:rsidR="00AC7152" w:rsidRDefault="00AC7152">
            <w:pPr>
              <w:pStyle w:val="BodyText3"/>
              <w:ind w:left="57" w:right="-57"/>
              <w:rPr>
                <w:b w:val="0"/>
                <w:sz w:val="22"/>
                <w:szCs w:val="22"/>
              </w:rPr>
            </w:pPr>
          </w:p>
          <w:p w14:paraId="22064C5B" w14:textId="77777777" w:rsidR="00AC7152" w:rsidRDefault="00AC7152">
            <w:pPr>
              <w:pStyle w:val="BodyText3"/>
              <w:ind w:left="57" w:right="-57"/>
              <w:rPr>
                <w:b w:val="0"/>
                <w:sz w:val="22"/>
                <w:szCs w:val="22"/>
              </w:rPr>
            </w:pPr>
            <w:r>
              <w:rPr>
                <w:b w:val="0"/>
                <w:sz w:val="22"/>
                <w:szCs w:val="22"/>
              </w:rPr>
              <w:t>Kod pojedinih pacijenata bila je potrebna primjena 500 mg/dnevno kako bi se postigao željeni terapijski odgovor</w:t>
            </w:r>
          </w:p>
          <w:p w14:paraId="22064C5C" w14:textId="77777777" w:rsidR="00AC7152" w:rsidRDefault="00AC7152">
            <w:pPr>
              <w:pStyle w:val="BodyText3"/>
              <w:ind w:left="57" w:right="-57"/>
              <w:rPr>
                <w:b w:val="0"/>
                <w:sz w:val="22"/>
                <w:szCs w:val="22"/>
              </w:rPr>
            </w:pPr>
          </w:p>
        </w:tc>
      </w:tr>
      <w:tr w:rsidR="00AC7152" w14:paraId="22064C5F" w14:textId="77777777" w:rsidTr="00AC7152">
        <w:tc>
          <w:tcPr>
            <w:tcW w:w="9715" w:type="dxa"/>
            <w:gridSpan w:val="4"/>
            <w:tcBorders>
              <w:top w:val="single" w:sz="4" w:space="0" w:color="auto"/>
              <w:left w:val="single" w:sz="4" w:space="0" w:color="auto"/>
              <w:bottom w:val="single" w:sz="4" w:space="0" w:color="auto"/>
              <w:right w:val="single" w:sz="4" w:space="0" w:color="auto"/>
            </w:tcBorders>
            <w:hideMark/>
          </w:tcPr>
          <w:p w14:paraId="22064C5E" w14:textId="586EE802" w:rsidR="00AC7152" w:rsidRDefault="00AC7152">
            <w:pPr>
              <w:pStyle w:val="BodyText3"/>
              <w:ind w:left="57" w:right="-57"/>
              <w:rPr>
                <w:b w:val="0"/>
                <w:sz w:val="22"/>
                <w:szCs w:val="22"/>
              </w:rPr>
            </w:pPr>
            <w:r>
              <w:rPr>
                <w:sz w:val="22"/>
                <w:szCs w:val="22"/>
              </w:rPr>
              <w:lastRenderedPageBreak/>
              <w:t>Adjuvantna terapija SA valproatom</w:t>
            </w:r>
            <w:r>
              <w:rPr>
                <w:b w:val="0"/>
                <w:sz w:val="22"/>
                <w:szCs w:val="22"/>
              </w:rPr>
              <w:t xml:space="preserve"> (inhibitor glukuronidacije lamotrigina – vidjeti </w:t>
            </w:r>
            <w:r w:rsidR="00706D93">
              <w:rPr>
                <w:b w:val="0"/>
                <w:sz w:val="22"/>
                <w:szCs w:val="22"/>
              </w:rPr>
              <w:t>dio</w:t>
            </w:r>
            <w:r>
              <w:rPr>
                <w:b w:val="0"/>
                <w:sz w:val="22"/>
                <w:szCs w:val="22"/>
              </w:rPr>
              <w:t xml:space="preserve"> 4.5):</w:t>
            </w:r>
          </w:p>
        </w:tc>
      </w:tr>
      <w:tr w:rsidR="00AC7152" w:rsidRPr="00BF78B0" w14:paraId="22064C71" w14:textId="77777777" w:rsidTr="00AC7152">
        <w:tc>
          <w:tcPr>
            <w:tcW w:w="3606" w:type="dxa"/>
            <w:tcBorders>
              <w:top w:val="single" w:sz="4" w:space="0" w:color="auto"/>
              <w:left w:val="single" w:sz="4" w:space="0" w:color="auto"/>
              <w:bottom w:val="single" w:sz="4" w:space="0" w:color="auto"/>
              <w:right w:val="single" w:sz="4" w:space="0" w:color="auto"/>
            </w:tcBorders>
          </w:tcPr>
          <w:p w14:paraId="22064C60" w14:textId="77777777" w:rsidR="00AC7152" w:rsidRDefault="00AC7152">
            <w:pPr>
              <w:pStyle w:val="BodyText3"/>
              <w:ind w:left="57" w:right="-57"/>
              <w:rPr>
                <w:b w:val="0"/>
                <w:sz w:val="22"/>
                <w:szCs w:val="22"/>
              </w:rPr>
            </w:pPr>
          </w:p>
          <w:p w14:paraId="22064C61" w14:textId="77777777" w:rsidR="00AC7152" w:rsidRDefault="00AC7152">
            <w:pPr>
              <w:pStyle w:val="BodyText3"/>
              <w:ind w:left="57" w:right="-57"/>
              <w:rPr>
                <w:b w:val="0"/>
                <w:sz w:val="22"/>
                <w:szCs w:val="22"/>
              </w:rPr>
            </w:pPr>
            <w:r>
              <w:rPr>
                <w:b w:val="0"/>
                <w:sz w:val="22"/>
                <w:szCs w:val="22"/>
              </w:rPr>
              <w:t>Navedena shema doziranja primjenjuje se sa valproatom bez obzira na konkomitantnu primjenu drugih ljekova</w:t>
            </w:r>
          </w:p>
          <w:p w14:paraId="22064C62" w14:textId="77777777" w:rsidR="00AC7152" w:rsidRDefault="00AC7152">
            <w:pPr>
              <w:pStyle w:val="BodyText3"/>
              <w:ind w:left="57" w:right="-57"/>
              <w:rPr>
                <w:b w:val="0"/>
                <w:sz w:val="22"/>
                <w:szCs w:val="22"/>
              </w:rPr>
            </w:pPr>
          </w:p>
        </w:tc>
        <w:tc>
          <w:tcPr>
            <w:tcW w:w="1753" w:type="dxa"/>
            <w:tcBorders>
              <w:top w:val="single" w:sz="4" w:space="0" w:color="auto"/>
              <w:left w:val="single" w:sz="4" w:space="0" w:color="auto"/>
              <w:bottom w:val="single" w:sz="4" w:space="0" w:color="auto"/>
              <w:right w:val="single" w:sz="4" w:space="0" w:color="auto"/>
            </w:tcBorders>
          </w:tcPr>
          <w:p w14:paraId="22064C63" w14:textId="77777777" w:rsidR="00AC7152" w:rsidRDefault="00AC7152">
            <w:pPr>
              <w:pStyle w:val="BodyText3"/>
              <w:ind w:left="57" w:right="-57"/>
              <w:rPr>
                <w:b w:val="0"/>
                <w:sz w:val="22"/>
                <w:szCs w:val="22"/>
              </w:rPr>
            </w:pPr>
          </w:p>
          <w:p w14:paraId="22064C64" w14:textId="77777777" w:rsidR="00AC7152" w:rsidRDefault="00AC7152">
            <w:pPr>
              <w:pStyle w:val="BodyText3"/>
              <w:ind w:left="57" w:right="-57"/>
              <w:rPr>
                <w:b w:val="0"/>
                <w:sz w:val="22"/>
                <w:szCs w:val="22"/>
              </w:rPr>
            </w:pPr>
            <w:r>
              <w:rPr>
                <w:b w:val="0"/>
                <w:sz w:val="22"/>
                <w:szCs w:val="22"/>
              </w:rPr>
              <w:t>12,5 mg/dnevno</w:t>
            </w:r>
          </w:p>
          <w:p w14:paraId="22064C65" w14:textId="77777777" w:rsidR="00AC7152" w:rsidRDefault="00AC7152">
            <w:pPr>
              <w:pStyle w:val="BodyText3"/>
              <w:ind w:left="57" w:right="-57"/>
              <w:rPr>
                <w:b w:val="0"/>
                <w:sz w:val="22"/>
                <w:szCs w:val="22"/>
              </w:rPr>
            </w:pPr>
            <w:r>
              <w:rPr>
                <w:b w:val="0"/>
                <w:sz w:val="22"/>
                <w:szCs w:val="22"/>
              </w:rPr>
              <w:t>(primijenjeno kao 25 mg svakog drugog dana)</w:t>
            </w:r>
          </w:p>
          <w:p w14:paraId="22064C66" w14:textId="77777777" w:rsidR="00AC7152" w:rsidRDefault="00AC7152">
            <w:pPr>
              <w:pStyle w:val="BodyText3"/>
              <w:ind w:left="57" w:right="-57"/>
              <w:rPr>
                <w:b w:val="0"/>
                <w:sz w:val="22"/>
                <w:szCs w:val="22"/>
              </w:rPr>
            </w:pPr>
          </w:p>
        </w:tc>
        <w:tc>
          <w:tcPr>
            <w:tcW w:w="1748" w:type="dxa"/>
            <w:tcBorders>
              <w:top w:val="single" w:sz="4" w:space="0" w:color="auto"/>
              <w:left w:val="single" w:sz="4" w:space="0" w:color="auto"/>
              <w:bottom w:val="single" w:sz="4" w:space="0" w:color="auto"/>
              <w:right w:val="single" w:sz="4" w:space="0" w:color="auto"/>
            </w:tcBorders>
          </w:tcPr>
          <w:p w14:paraId="22064C67" w14:textId="77777777" w:rsidR="00AC7152" w:rsidRDefault="00AC7152">
            <w:pPr>
              <w:pStyle w:val="BodyText3"/>
              <w:ind w:left="57" w:right="-57"/>
              <w:rPr>
                <w:b w:val="0"/>
                <w:sz w:val="22"/>
                <w:szCs w:val="22"/>
              </w:rPr>
            </w:pPr>
          </w:p>
          <w:p w14:paraId="22064C68" w14:textId="77777777" w:rsidR="00AC7152" w:rsidRDefault="00AC7152">
            <w:pPr>
              <w:pStyle w:val="BodyText3"/>
              <w:ind w:left="57" w:right="-57"/>
              <w:rPr>
                <w:b w:val="0"/>
                <w:sz w:val="22"/>
                <w:szCs w:val="22"/>
              </w:rPr>
            </w:pPr>
            <w:r>
              <w:rPr>
                <w:b w:val="0"/>
                <w:sz w:val="22"/>
                <w:szCs w:val="22"/>
              </w:rPr>
              <w:t>25 mg/dnevno</w:t>
            </w:r>
          </w:p>
          <w:p w14:paraId="22064C69" w14:textId="77777777" w:rsidR="00AC7152" w:rsidRDefault="00AC7152">
            <w:pPr>
              <w:pStyle w:val="BodyText3"/>
              <w:ind w:left="57" w:right="-57"/>
              <w:rPr>
                <w:b w:val="0"/>
                <w:sz w:val="22"/>
                <w:szCs w:val="22"/>
              </w:rPr>
            </w:pPr>
            <w:r>
              <w:rPr>
                <w:b w:val="0"/>
                <w:sz w:val="22"/>
                <w:szCs w:val="22"/>
              </w:rPr>
              <w:t>(jednom dnevno)</w:t>
            </w:r>
          </w:p>
          <w:p w14:paraId="22064C6A" w14:textId="77777777" w:rsidR="00AC7152" w:rsidRDefault="00AC7152">
            <w:pPr>
              <w:pStyle w:val="BodyText3"/>
              <w:ind w:left="57" w:right="-57"/>
              <w:rPr>
                <w:b w:val="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22064C6B" w14:textId="77777777" w:rsidR="00AC7152" w:rsidRDefault="00AC7152">
            <w:pPr>
              <w:pStyle w:val="BodyText3"/>
              <w:ind w:left="57" w:right="-57"/>
              <w:rPr>
                <w:b w:val="0"/>
                <w:sz w:val="22"/>
                <w:szCs w:val="22"/>
              </w:rPr>
            </w:pPr>
          </w:p>
          <w:p w14:paraId="22064C6C" w14:textId="77777777" w:rsidR="00AC7152" w:rsidRDefault="00AC7152">
            <w:pPr>
              <w:pStyle w:val="BodyText3"/>
              <w:ind w:left="57" w:right="-57"/>
              <w:rPr>
                <w:b w:val="0"/>
                <w:sz w:val="22"/>
                <w:szCs w:val="22"/>
              </w:rPr>
            </w:pPr>
            <w:r>
              <w:rPr>
                <w:b w:val="0"/>
                <w:sz w:val="22"/>
                <w:szCs w:val="22"/>
              </w:rPr>
              <w:t>100–200 mg/dnevno</w:t>
            </w:r>
          </w:p>
          <w:p w14:paraId="22064C6D" w14:textId="77777777" w:rsidR="00AC7152" w:rsidRDefault="00AC7152">
            <w:pPr>
              <w:pStyle w:val="BodyText3"/>
              <w:ind w:left="57" w:right="-57"/>
              <w:rPr>
                <w:b w:val="0"/>
                <w:sz w:val="22"/>
                <w:szCs w:val="22"/>
              </w:rPr>
            </w:pPr>
            <w:r>
              <w:rPr>
                <w:b w:val="0"/>
                <w:sz w:val="22"/>
                <w:szCs w:val="22"/>
              </w:rPr>
              <w:t>(jednom dnevno ili podijeljeno u dvije doze)</w:t>
            </w:r>
          </w:p>
          <w:p w14:paraId="22064C6E" w14:textId="77777777" w:rsidR="00AC7152" w:rsidRDefault="00AC7152">
            <w:pPr>
              <w:pStyle w:val="BodyText3"/>
              <w:ind w:left="57" w:right="-57"/>
              <w:rPr>
                <w:b w:val="0"/>
                <w:sz w:val="22"/>
                <w:szCs w:val="22"/>
              </w:rPr>
            </w:pPr>
          </w:p>
          <w:p w14:paraId="22064C6F" w14:textId="77777777" w:rsidR="00AC7152" w:rsidRDefault="00AC7152">
            <w:pPr>
              <w:pStyle w:val="BodyText3"/>
              <w:ind w:left="57" w:right="-57"/>
              <w:rPr>
                <w:b w:val="0"/>
                <w:sz w:val="22"/>
                <w:szCs w:val="22"/>
              </w:rPr>
            </w:pPr>
            <w:r>
              <w:rPr>
                <w:b w:val="0"/>
                <w:sz w:val="22"/>
                <w:szCs w:val="22"/>
              </w:rPr>
              <w:t>Da bi se postiglo održanje efekta, doze se mogu povećavati za maksimalno 25-50mg svake do svake druge nedjelje do postizanja optimalnog terapijskog odgovora</w:t>
            </w:r>
          </w:p>
          <w:p w14:paraId="22064C70" w14:textId="77777777" w:rsidR="00AC7152" w:rsidRDefault="00AC7152">
            <w:pPr>
              <w:pStyle w:val="BodyText3"/>
              <w:ind w:left="57" w:right="-57"/>
              <w:rPr>
                <w:b w:val="0"/>
                <w:sz w:val="22"/>
                <w:szCs w:val="22"/>
              </w:rPr>
            </w:pPr>
            <w:r>
              <w:rPr>
                <w:b w:val="0"/>
                <w:sz w:val="22"/>
                <w:szCs w:val="22"/>
              </w:rPr>
              <w:t xml:space="preserve"> </w:t>
            </w:r>
          </w:p>
        </w:tc>
      </w:tr>
      <w:tr w:rsidR="00AC7152" w:rsidRPr="00BF78B0" w14:paraId="22064C73" w14:textId="77777777" w:rsidTr="00AC7152">
        <w:tc>
          <w:tcPr>
            <w:tcW w:w="9715" w:type="dxa"/>
            <w:gridSpan w:val="4"/>
            <w:tcBorders>
              <w:top w:val="single" w:sz="4" w:space="0" w:color="auto"/>
              <w:left w:val="single" w:sz="4" w:space="0" w:color="auto"/>
              <w:bottom w:val="single" w:sz="4" w:space="0" w:color="auto"/>
              <w:right w:val="single" w:sz="4" w:space="0" w:color="auto"/>
            </w:tcBorders>
            <w:hideMark/>
          </w:tcPr>
          <w:p w14:paraId="22064C72" w14:textId="4C876FB9" w:rsidR="00AC7152" w:rsidRDefault="00AC7152">
            <w:pPr>
              <w:pStyle w:val="BodyText3"/>
              <w:ind w:left="57" w:right="-57"/>
              <w:rPr>
                <w:b w:val="0"/>
                <w:sz w:val="22"/>
                <w:szCs w:val="22"/>
              </w:rPr>
            </w:pPr>
            <w:r>
              <w:rPr>
                <w:sz w:val="22"/>
                <w:szCs w:val="22"/>
              </w:rPr>
              <w:t xml:space="preserve">Adjuvantna terapija </w:t>
            </w:r>
            <w:smartTag w:uri="urn:schemas-microsoft-com:office:smarttags" w:element="stockticker">
              <w:r>
                <w:rPr>
                  <w:sz w:val="22"/>
                  <w:szCs w:val="22"/>
                </w:rPr>
                <w:t>BEZ</w:t>
              </w:r>
            </w:smartTag>
            <w:r>
              <w:rPr>
                <w:sz w:val="22"/>
                <w:szCs w:val="22"/>
              </w:rPr>
              <w:t xml:space="preserve"> valproata i SA induktorima glukuronidacije lamotrigina</w:t>
            </w:r>
            <w:r>
              <w:rPr>
                <w:b w:val="0"/>
                <w:sz w:val="22"/>
                <w:szCs w:val="22"/>
              </w:rPr>
              <w:t xml:space="preserve"> (vidjeti </w:t>
            </w:r>
            <w:r w:rsidR="00706D93">
              <w:rPr>
                <w:b w:val="0"/>
                <w:sz w:val="22"/>
                <w:szCs w:val="22"/>
              </w:rPr>
              <w:t>dio</w:t>
            </w:r>
            <w:r>
              <w:rPr>
                <w:b w:val="0"/>
                <w:sz w:val="22"/>
                <w:szCs w:val="22"/>
              </w:rPr>
              <w:t xml:space="preserve"> 4.5):</w:t>
            </w:r>
          </w:p>
        </w:tc>
      </w:tr>
      <w:tr w:rsidR="00AC7152" w:rsidRPr="00BF78B0" w14:paraId="22064C8F" w14:textId="77777777" w:rsidTr="00AC7152">
        <w:tc>
          <w:tcPr>
            <w:tcW w:w="3606" w:type="dxa"/>
            <w:tcBorders>
              <w:top w:val="single" w:sz="4" w:space="0" w:color="auto"/>
              <w:left w:val="single" w:sz="4" w:space="0" w:color="auto"/>
              <w:bottom w:val="single" w:sz="4" w:space="0" w:color="auto"/>
              <w:right w:val="single" w:sz="4" w:space="0" w:color="auto"/>
            </w:tcBorders>
          </w:tcPr>
          <w:p w14:paraId="22064C74" w14:textId="77777777" w:rsidR="00AC7152" w:rsidRPr="00BC6BEF" w:rsidRDefault="00AC7152">
            <w:pPr>
              <w:pStyle w:val="BodyText3"/>
              <w:ind w:left="57" w:right="-57"/>
              <w:rPr>
                <w:b w:val="0"/>
                <w:sz w:val="22"/>
                <w:szCs w:val="22"/>
              </w:rPr>
            </w:pPr>
          </w:p>
          <w:p w14:paraId="22064C75" w14:textId="77777777" w:rsidR="00AC7152" w:rsidRPr="00BC6BEF" w:rsidRDefault="00AC7152">
            <w:pPr>
              <w:pStyle w:val="BodyText3"/>
              <w:ind w:left="57" w:right="-57"/>
              <w:rPr>
                <w:b w:val="0"/>
                <w:sz w:val="22"/>
                <w:szCs w:val="22"/>
                <w:lang w:val="pt-PT"/>
              </w:rPr>
            </w:pPr>
            <w:r w:rsidRPr="00BC6BEF">
              <w:rPr>
                <w:b w:val="0"/>
                <w:sz w:val="22"/>
                <w:szCs w:val="22"/>
                <w:lang w:val="pt-PT"/>
              </w:rPr>
              <w:t>Navedena shema doziranja primjenjuje se bez valproata ali uz:</w:t>
            </w:r>
          </w:p>
          <w:p w14:paraId="22064C76" w14:textId="77777777" w:rsidR="00AC7152" w:rsidRPr="00BC6BEF" w:rsidRDefault="00AC7152">
            <w:pPr>
              <w:pStyle w:val="BodyText3"/>
              <w:ind w:left="57" w:right="-57"/>
              <w:rPr>
                <w:b w:val="0"/>
                <w:sz w:val="22"/>
                <w:szCs w:val="22"/>
                <w:lang w:val="pt-PT"/>
              </w:rPr>
            </w:pPr>
          </w:p>
          <w:p w14:paraId="22064C77" w14:textId="77777777" w:rsidR="00AC7152" w:rsidRDefault="00AC7152">
            <w:pPr>
              <w:pStyle w:val="BodyText3"/>
              <w:ind w:left="57" w:right="-57"/>
              <w:rPr>
                <w:b w:val="0"/>
                <w:sz w:val="22"/>
                <w:szCs w:val="22"/>
                <w:lang w:val="fr-FR"/>
              </w:rPr>
            </w:pPr>
            <w:r>
              <w:rPr>
                <w:b w:val="0"/>
                <w:sz w:val="22"/>
                <w:szCs w:val="22"/>
                <w:lang w:val="fr-FR"/>
              </w:rPr>
              <w:t>fenitoin</w:t>
            </w:r>
          </w:p>
          <w:p w14:paraId="22064C78" w14:textId="77777777" w:rsidR="00AC7152" w:rsidRDefault="00AC7152">
            <w:pPr>
              <w:pStyle w:val="BodyText3"/>
              <w:ind w:left="57" w:right="-57"/>
              <w:rPr>
                <w:b w:val="0"/>
                <w:sz w:val="22"/>
                <w:szCs w:val="22"/>
                <w:lang w:val="fr-FR"/>
              </w:rPr>
            </w:pPr>
            <w:r>
              <w:rPr>
                <w:b w:val="0"/>
                <w:sz w:val="22"/>
                <w:szCs w:val="22"/>
                <w:lang w:val="fr-FR"/>
              </w:rPr>
              <w:t>karbamazepin</w:t>
            </w:r>
          </w:p>
          <w:p w14:paraId="22064C79" w14:textId="77777777" w:rsidR="00AC7152" w:rsidRDefault="00AC7152">
            <w:pPr>
              <w:pStyle w:val="BodyText3"/>
              <w:ind w:left="57" w:right="-57"/>
              <w:rPr>
                <w:b w:val="0"/>
                <w:sz w:val="22"/>
                <w:szCs w:val="22"/>
                <w:lang w:val="fr-FR"/>
              </w:rPr>
            </w:pPr>
            <w:r>
              <w:rPr>
                <w:b w:val="0"/>
                <w:sz w:val="22"/>
                <w:szCs w:val="22"/>
                <w:lang w:val="fr-FR"/>
              </w:rPr>
              <w:t>fenobarbiton</w:t>
            </w:r>
          </w:p>
          <w:p w14:paraId="22064C7A" w14:textId="77777777" w:rsidR="00AC7152" w:rsidRDefault="00AC7152">
            <w:pPr>
              <w:pStyle w:val="BodyText3"/>
              <w:ind w:left="57" w:right="-57"/>
              <w:rPr>
                <w:b w:val="0"/>
                <w:sz w:val="22"/>
                <w:szCs w:val="22"/>
                <w:lang w:val="fr-FR"/>
              </w:rPr>
            </w:pPr>
            <w:r>
              <w:rPr>
                <w:b w:val="0"/>
                <w:sz w:val="22"/>
                <w:szCs w:val="22"/>
                <w:lang w:val="fr-FR"/>
              </w:rPr>
              <w:t>primidon</w:t>
            </w:r>
          </w:p>
          <w:p w14:paraId="22064C7B" w14:textId="77777777" w:rsidR="00AC7152" w:rsidRDefault="00AC7152">
            <w:pPr>
              <w:pStyle w:val="BodyText3"/>
              <w:ind w:left="57" w:right="-57"/>
              <w:rPr>
                <w:b w:val="0"/>
                <w:sz w:val="22"/>
                <w:szCs w:val="22"/>
                <w:lang w:val="fr-FR"/>
              </w:rPr>
            </w:pPr>
            <w:r>
              <w:rPr>
                <w:b w:val="0"/>
                <w:sz w:val="22"/>
                <w:szCs w:val="22"/>
                <w:lang w:val="fr-FR"/>
              </w:rPr>
              <w:t>rifampicin</w:t>
            </w:r>
          </w:p>
          <w:p w14:paraId="22064C7C" w14:textId="77777777" w:rsidR="00AC7152" w:rsidRDefault="00AC7152">
            <w:pPr>
              <w:pStyle w:val="BodyText3"/>
              <w:ind w:left="57" w:right="-57"/>
              <w:rPr>
                <w:b w:val="0"/>
                <w:sz w:val="22"/>
                <w:szCs w:val="22"/>
                <w:lang w:val="fr-FR"/>
              </w:rPr>
            </w:pPr>
            <w:r>
              <w:rPr>
                <w:b w:val="0"/>
                <w:sz w:val="22"/>
                <w:szCs w:val="22"/>
                <w:lang w:val="fr-FR"/>
              </w:rPr>
              <w:t>lopinavir/ritonavir</w:t>
            </w:r>
          </w:p>
          <w:p w14:paraId="22064C7D" w14:textId="77777777" w:rsidR="00AC7152" w:rsidRDefault="00AC7152">
            <w:pPr>
              <w:pStyle w:val="BodyText3"/>
              <w:ind w:left="57" w:right="-57"/>
              <w:rPr>
                <w:b w:val="0"/>
                <w:sz w:val="22"/>
                <w:szCs w:val="22"/>
              </w:rPr>
            </w:pPr>
          </w:p>
        </w:tc>
        <w:tc>
          <w:tcPr>
            <w:tcW w:w="1753" w:type="dxa"/>
            <w:tcBorders>
              <w:top w:val="single" w:sz="4" w:space="0" w:color="auto"/>
              <w:left w:val="single" w:sz="4" w:space="0" w:color="auto"/>
              <w:bottom w:val="single" w:sz="4" w:space="0" w:color="auto"/>
              <w:right w:val="single" w:sz="4" w:space="0" w:color="auto"/>
            </w:tcBorders>
          </w:tcPr>
          <w:p w14:paraId="22064C7E" w14:textId="77777777" w:rsidR="00AC7152" w:rsidRDefault="00AC7152">
            <w:pPr>
              <w:pStyle w:val="BodyText3"/>
              <w:ind w:left="57" w:right="-57"/>
              <w:rPr>
                <w:b w:val="0"/>
                <w:sz w:val="22"/>
                <w:szCs w:val="22"/>
              </w:rPr>
            </w:pPr>
          </w:p>
          <w:p w14:paraId="22064C7F" w14:textId="77777777" w:rsidR="00AC7152" w:rsidRDefault="00AC7152">
            <w:pPr>
              <w:pStyle w:val="BodyText3"/>
              <w:ind w:left="57" w:right="-57"/>
              <w:rPr>
                <w:b w:val="0"/>
                <w:sz w:val="22"/>
                <w:szCs w:val="22"/>
              </w:rPr>
            </w:pPr>
            <w:r>
              <w:rPr>
                <w:b w:val="0"/>
                <w:sz w:val="22"/>
                <w:szCs w:val="22"/>
              </w:rPr>
              <w:t>50 mg/dnevno</w:t>
            </w:r>
          </w:p>
          <w:p w14:paraId="22064C80" w14:textId="77777777" w:rsidR="00AC7152" w:rsidRDefault="00AC7152">
            <w:pPr>
              <w:pStyle w:val="BodyText3"/>
              <w:ind w:left="57" w:right="-57"/>
              <w:rPr>
                <w:b w:val="0"/>
                <w:sz w:val="22"/>
                <w:szCs w:val="22"/>
              </w:rPr>
            </w:pPr>
            <w:r>
              <w:rPr>
                <w:b w:val="0"/>
                <w:sz w:val="22"/>
                <w:szCs w:val="22"/>
              </w:rPr>
              <w:t>(jednom dnevno)</w:t>
            </w:r>
          </w:p>
          <w:p w14:paraId="22064C81" w14:textId="77777777" w:rsidR="00AC7152" w:rsidRDefault="00AC7152">
            <w:pPr>
              <w:pStyle w:val="BodyText3"/>
              <w:ind w:left="57" w:right="-57"/>
              <w:rPr>
                <w:b w:val="0"/>
                <w:sz w:val="22"/>
                <w:szCs w:val="22"/>
              </w:rPr>
            </w:pPr>
          </w:p>
        </w:tc>
        <w:tc>
          <w:tcPr>
            <w:tcW w:w="1748" w:type="dxa"/>
            <w:tcBorders>
              <w:top w:val="single" w:sz="4" w:space="0" w:color="auto"/>
              <w:left w:val="single" w:sz="4" w:space="0" w:color="auto"/>
              <w:bottom w:val="single" w:sz="4" w:space="0" w:color="auto"/>
              <w:right w:val="single" w:sz="4" w:space="0" w:color="auto"/>
            </w:tcBorders>
          </w:tcPr>
          <w:p w14:paraId="22064C82" w14:textId="77777777" w:rsidR="00AC7152" w:rsidRDefault="00AC7152">
            <w:pPr>
              <w:pStyle w:val="BodyText3"/>
              <w:ind w:left="57" w:right="-57"/>
              <w:rPr>
                <w:b w:val="0"/>
                <w:sz w:val="22"/>
                <w:szCs w:val="22"/>
              </w:rPr>
            </w:pPr>
          </w:p>
          <w:p w14:paraId="22064C83" w14:textId="77777777" w:rsidR="00AC7152" w:rsidRDefault="00AC7152">
            <w:pPr>
              <w:pStyle w:val="BodyText3"/>
              <w:ind w:left="57" w:right="-57"/>
              <w:rPr>
                <w:b w:val="0"/>
                <w:sz w:val="22"/>
                <w:szCs w:val="22"/>
              </w:rPr>
            </w:pPr>
            <w:r>
              <w:rPr>
                <w:b w:val="0"/>
                <w:sz w:val="22"/>
                <w:szCs w:val="22"/>
              </w:rPr>
              <w:t>100 mg/dnevno</w:t>
            </w:r>
          </w:p>
          <w:p w14:paraId="22064C84" w14:textId="77777777" w:rsidR="00AC7152" w:rsidRDefault="00AC7152">
            <w:pPr>
              <w:pStyle w:val="BodyText3"/>
              <w:ind w:left="57" w:right="-57"/>
              <w:rPr>
                <w:b w:val="0"/>
                <w:sz w:val="22"/>
                <w:szCs w:val="22"/>
              </w:rPr>
            </w:pPr>
            <w:r>
              <w:rPr>
                <w:b w:val="0"/>
                <w:sz w:val="22"/>
                <w:szCs w:val="22"/>
              </w:rPr>
              <w:t>(podijeljeno u dvije doze)</w:t>
            </w:r>
          </w:p>
          <w:p w14:paraId="22064C85" w14:textId="77777777" w:rsidR="00AC7152" w:rsidRDefault="00AC7152">
            <w:pPr>
              <w:pStyle w:val="BodyText3"/>
              <w:ind w:left="57" w:right="-57"/>
              <w:rPr>
                <w:b w:val="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22064C86" w14:textId="77777777" w:rsidR="00AC7152" w:rsidRDefault="00AC7152">
            <w:pPr>
              <w:pStyle w:val="BodyText3"/>
              <w:ind w:left="57" w:right="-57"/>
              <w:rPr>
                <w:b w:val="0"/>
                <w:sz w:val="22"/>
                <w:szCs w:val="22"/>
              </w:rPr>
            </w:pPr>
          </w:p>
          <w:p w14:paraId="22064C87" w14:textId="77777777" w:rsidR="00AC7152" w:rsidRDefault="00AC7152">
            <w:pPr>
              <w:pStyle w:val="BodyText3"/>
              <w:tabs>
                <w:tab w:val="right" w:pos="2449"/>
              </w:tabs>
              <w:ind w:left="57" w:right="-57"/>
              <w:rPr>
                <w:b w:val="0"/>
                <w:sz w:val="22"/>
                <w:szCs w:val="22"/>
              </w:rPr>
            </w:pPr>
            <w:r>
              <w:rPr>
                <w:b w:val="0"/>
                <w:sz w:val="22"/>
                <w:szCs w:val="22"/>
              </w:rPr>
              <w:t>200–400 mg/dnevno</w:t>
            </w:r>
            <w:r>
              <w:rPr>
                <w:b w:val="0"/>
                <w:sz w:val="22"/>
                <w:szCs w:val="22"/>
              </w:rPr>
              <w:tab/>
            </w:r>
          </w:p>
          <w:p w14:paraId="22064C88" w14:textId="77777777" w:rsidR="00AC7152" w:rsidRDefault="00AC7152">
            <w:pPr>
              <w:pStyle w:val="BodyText3"/>
              <w:tabs>
                <w:tab w:val="right" w:pos="2449"/>
              </w:tabs>
              <w:ind w:left="57" w:right="-57"/>
              <w:rPr>
                <w:b w:val="0"/>
                <w:sz w:val="22"/>
                <w:szCs w:val="22"/>
              </w:rPr>
            </w:pPr>
          </w:p>
          <w:p w14:paraId="22064C89" w14:textId="77777777" w:rsidR="00AC7152" w:rsidRDefault="00AC7152">
            <w:pPr>
              <w:pStyle w:val="BodyText3"/>
              <w:ind w:left="57" w:right="-57"/>
              <w:rPr>
                <w:b w:val="0"/>
                <w:sz w:val="22"/>
                <w:szCs w:val="22"/>
              </w:rPr>
            </w:pPr>
            <w:r>
              <w:rPr>
                <w:b w:val="0"/>
                <w:sz w:val="22"/>
                <w:szCs w:val="22"/>
              </w:rPr>
              <w:t>(podijeljeno u dvije doze)</w:t>
            </w:r>
          </w:p>
          <w:p w14:paraId="22064C8A" w14:textId="77777777" w:rsidR="00AC7152" w:rsidRDefault="00AC7152">
            <w:pPr>
              <w:pStyle w:val="BodyText3"/>
              <w:ind w:left="57" w:right="-57"/>
              <w:rPr>
                <w:b w:val="0"/>
                <w:sz w:val="22"/>
                <w:szCs w:val="22"/>
              </w:rPr>
            </w:pPr>
          </w:p>
          <w:p w14:paraId="22064C8B" w14:textId="77777777" w:rsidR="00AC7152" w:rsidRDefault="00AC7152">
            <w:pPr>
              <w:pStyle w:val="BodyText3"/>
              <w:ind w:left="57" w:right="-57"/>
              <w:rPr>
                <w:b w:val="0"/>
                <w:sz w:val="22"/>
                <w:szCs w:val="22"/>
              </w:rPr>
            </w:pPr>
            <w:r>
              <w:rPr>
                <w:b w:val="0"/>
                <w:sz w:val="22"/>
                <w:szCs w:val="22"/>
              </w:rPr>
              <w:t>Da bi se postiglo održanje efekta, doze se mogu povećavati za maksimalno 100mg svake do svake druge nedjelje do postizanja optimalnog terapijskog odgovora</w:t>
            </w:r>
          </w:p>
          <w:p w14:paraId="22064C8C" w14:textId="77777777" w:rsidR="00AC7152" w:rsidRDefault="00AC7152">
            <w:pPr>
              <w:pStyle w:val="BodyText3"/>
              <w:ind w:left="57" w:right="-57"/>
              <w:rPr>
                <w:b w:val="0"/>
                <w:sz w:val="22"/>
                <w:szCs w:val="22"/>
              </w:rPr>
            </w:pPr>
          </w:p>
          <w:p w14:paraId="22064C8D" w14:textId="77777777" w:rsidR="00AC7152" w:rsidRDefault="00AC7152">
            <w:pPr>
              <w:pStyle w:val="BodyText3"/>
              <w:ind w:left="57" w:right="-57"/>
              <w:rPr>
                <w:b w:val="0"/>
                <w:sz w:val="22"/>
                <w:szCs w:val="22"/>
              </w:rPr>
            </w:pPr>
            <w:r>
              <w:rPr>
                <w:b w:val="0"/>
                <w:sz w:val="22"/>
                <w:szCs w:val="22"/>
              </w:rPr>
              <w:t>Kod pojedinih pacijenata bila je potrebna primjena 700 mg/dnevno kako bi se postigao željeni terapijski odgovor</w:t>
            </w:r>
          </w:p>
          <w:p w14:paraId="22064C8E" w14:textId="77777777" w:rsidR="00AC7152" w:rsidRDefault="00AC7152">
            <w:pPr>
              <w:pStyle w:val="BodyText3"/>
              <w:ind w:right="-57"/>
              <w:rPr>
                <w:b w:val="0"/>
                <w:sz w:val="22"/>
                <w:szCs w:val="22"/>
              </w:rPr>
            </w:pPr>
          </w:p>
        </w:tc>
      </w:tr>
      <w:tr w:rsidR="00AC7152" w:rsidRPr="00BF78B0" w14:paraId="22064C91" w14:textId="77777777" w:rsidTr="00AC7152">
        <w:tc>
          <w:tcPr>
            <w:tcW w:w="9715" w:type="dxa"/>
            <w:gridSpan w:val="4"/>
            <w:tcBorders>
              <w:top w:val="single" w:sz="4" w:space="0" w:color="auto"/>
              <w:left w:val="single" w:sz="4" w:space="0" w:color="auto"/>
              <w:bottom w:val="single" w:sz="4" w:space="0" w:color="auto"/>
              <w:right w:val="single" w:sz="4" w:space="0" w:color="auto"/>
            </w:tcBorders>
            <w:hideMark/>
          </w:tcPr>
          <w:p w14:paraId="22064C90" w14:textId="65E3C9A1" w:rsidR="00AC7152" w:rsidRDefault="00AC7152">
            <w:pPr>
              <w:pStyle w:val="BodyText3"/>
              <w:ind w:left="57" w:right="-57"/>
              <w:rPr>
                <w:b w:val="0"/>
                <w:sz w:val="22"/>
                <w:szCs w:val="22"/>
              </w:rPr>
            </w:pPr>
            <w:r>
              <w:rPr>
                <w:sz w:val="22"/>
                <w:szCs w:val="22"/>
              </w:rPr>
              <w:t xml:space="preserve">Adjuvantna terapija </w:t>
            </w:r>
            <w:smartTag w:uri="urn:schemas-microsoft-com:office:smarttags" w:element="stockticker">
              <w:r>
                <w:rPr>
                  <w:sz w:val="22"/>
                  <w:szCs w:val="22"/>
                </w:rPr>
                <w:t>BEZ</w:t>
              </w:r>
            </w:smartTag>
            <w:r>
              <w:rPr>
                <w:sz w:val="22"/>
                <w:szCs w:val="22"/>
              </w:rPr>
              <w:t xml:space="preserve"> valproata i </w:t>
            </w:r>
            <w:smartTag w:uri="urn:schemas-microsoft-com:office:smarttags" w:element="stockticker">
              <w:r>
                <w:rPr>
                  <w:sz w:val="22"/>
                  <w:szCs w:val="22"/>
                </w:rPr>
                <w:t>BEZ</w:t>
              </w:r>
            </w:smartTag>
            <w:r>
              <w:rPr>
                <w:sz w:val="22"/>
                <w:szCs w:val="22"/>
              </w:rPr>
              <w:t xml:space="preserve"> induktora glukuronidacije lamotrigina</w:t>
            </w:r>
            <w:r>
              <w:rPr>
                <w:b w:val="0"/>
                <w:sz w:val="22"/>
                <w:szCs w:val="22"/>
              </w:rPr>
              <w:t xml:space="preserve"> (vidjeti </w:t>
            </w:r>
            <w:r w:rsidR="00706D93">
              <w:rPr>
                <w:b w:val="0"/>
                <w:sz w:val="22"/>
                <w:szCs w:val="22"/>
              </w:rPr>
              <w:t>dio</w:t>
            </w:r>
            <w:r>
              <w:rPr>
                <w:b w:val="0"/>
                <w:sz w:val="22"/>
                <w:szCs w:val="22"/>
              </w:rPr>
              <w:t xml:space="preserve"> 4.5):</w:t>
            </w:r>
          </w:p>
        </w:tc>
      </w:tr>
      <w:tr w:rsidR="00AC7152" w:rsidRPr="00BF78B0" w14:paraId="22064CA0" w14:textId="77777777" w:rsidTr="00AC7152">
        <w:tc>
          <w:tcPr>
            <w:tcW w:w="3606" w:type="dxa"/>
            <w:tcBorders>
              <w:top w:val="single" w:sz="4" w:space="0" w:color="auto"/>
              <w:left w:val="single" w:sz="4" w:space="0" w:color="auto"/>
              <w:bottom w:val="single" w:sz="4" w:space="0" w:color="auto"/>
              <w:right w:val="single" w:sz="4" w:space="0" w:color="auto"/>
            </w:tcBorders>
          </w:tcPr>
          <w:p w14:paraId="22064C92" w14:textId="77777777" w:rsidR="00AC7152" w:rsidRDefault="00AC7152">
            <w:pPr>
              <w:pStyle w:val="BodyText3"/>
              <w:ind w:left="57" w:right="-57"/>
              <w:rPr>
                <w:b w:val="0"/>
                <w:sz w:val="22"/>
                <w:szCs w:val="22"/>
              </w:rPr>
            </w:pPr>
          </w:p>
          <w:p w14:paraId="22064C93" w14:textId="140B5BBB" w:rsidR="00AC7152" w:rsidRDefault="00AC7152">
            <w:pPr>
              <w:pStyle w:val="BodyText3"/>
              <w:ind w:left="57" w:right="-57"/>
              <w:rPr>
                <w:b w:val="0"/>
                <w:sz w:val="22"/>
                <w:szCs w:val="22"/>
              </w:rPr>
            </w:pPr>
            <w:r>
              <w:rPr>
                <w:b w:val="0"/>
                <w:sz w:val="22"/>
                <w:szCs w:val="22"/>
              </w:rPr>
              <w:t xml:space="preserve">Navedena shema doziranja primjenjuje se u terapiji sa drugim ljekovima koji značajno ne inhibiraju </w:t>
            </w:r>
            <w:r>
              <w:rPr>
                <w:b w:val="0"/>
                <w:sz w:val="22"/>
                <w:szCs w:val="22"/>
              </w:rPr>
              <w:lastRenderedPageBreak/>
              <w:t xml:space="preserve">ili </w:t>
            </w:r>
            <w:r w:rsidR="00E120CC">
              <w:rPr>
                <w:b w:val="0"/>
                <w:sz w:val="22"/>
                <w:szCs w:val="22"/>
              </w:rPr>
              <w:t xml:space="preserve">ne </w:t>
            </w:r>
            <w:r>
              <w:rPr>
                <w:b w:val="0"/>
                <w:sz w:val="22"/>
                <w:szCs w:val="22"/>
              </w:rPr>
              <w:t>indukuju glukuronidaciju lamotrigina.</w:t>
            </w:r>
          </w:p>
        </w:tc>
        <w:tc>
          <w:tcPr>
            <w:tcW w:w="1753" w:type="dxa"/>
            <w:tcBorders>
              <w:top w:val="single" w:sz="4" w:space="0" w:color="auto"/>
              <w:left w:val="single" w:sz="4" w:space="0" w:color="auto"/>
              <w:bottom w:val="single" w:sz="4" w:space="0" w:color="auto"/>
              <w:right w:val="single" w:sz="4" w:space="0" w:color="auto"/>
            </w:tcBorders>
          </w:tcPr>
          <w:p w14:paraId="22064C94" w14:textId="77777777" w:rsidR="00AC7152" w:rsidRDefault="00AC7152">
            <w:pPr>
              <w:pStyle w:val="BodyText3"/>
              <w:ind w:left="57" w:right="-57"/>
              <w:rPr>
                <w:b w:val="0"/>
                <w:sz w:val="22"/>
                <w:szCs w:val="22"/>
              </w:rPr>
            </w:pPr>
          </w:p>
          <w:p w14:paraId="22064C95" w14:textId="77777777" w:rsidR="00AC7152" w:rsidRDefault="00AC7152">
            <w:pPr>
              <w:pStyle w:val="BodyText3"/>
              <w:ind w:left="57" w:right="-57"/>
              <w:rPr>
                <w:b w:val="0"/>
                <w:sz w:val="22"/>
                <w:szCs w:val="22"/>
              </w:rPr>
            </w:pPr>
            <w:r>
              <w:rPr>
                <w:b w:val="0"/>
                <w:sz w:val="22"/>
                <w:szCs w:val="22"/>
              </w:rPr>
              <w:t>25 mg/dnevno</w:t>
            </w:r>
          </w:p>
          <w:p w14:paraId="22064C96" w14:textId="77777777" w:rsidR="00AC7152" w:rsidRDefault="00AC7152">
            <w:pPr>
              <w:pStyle w:val="BodyText3"/>
              <w:ind w:left="57" w:right="-57"/>
              <w:rPr>
                <w:b w:val="0"/>
                <w:sz w:val="22"/>
                <w:szCs w:val="22"/>
              </w:rPr>
            </w:pPr>
            <w:r>
              <w:rPr>
                <w:b w:val="0"/>
                <w:sz w:val="22"/>
                <w:szCs w:val="22"/>
              </w:rPr>
              <w:t>(jednom dnevno)</w:t>
            </w:r>
          </w:p>
        </w:tc>
        <w:tc>
          <w:tcPr>
            <w:tcW w:w="1748" w:type="dxa"/>
            <w:tcBorders>
              <w:top w:val="single" w:sz="4" w:space="0" w:color="auto"/>
              <w:left w:val="single" w:sz="4" w:space="0" w:color="auto"/>
              <w:bottom w:val="single" w:sz="4" w:space="0" w:color="auto"/>
              <w:right w:val="single" w:sz="4" w:space="0" w:color="auto"/>
            </w:tcBorders>
          </w:tcPr>
          <w:p w14:paraId="22064C97" w14:textId="77777777" w:rsidR="00AC7152" w:rsidRDefault="00AC7152">
            <w:pPr>
              <w:pStyle w:val="BodyText3"/>
              <w:ind w:left="57" w:right="-57"/>
              <w:rPr>
                <w:b w:val="0"/>
                <w:sz w:val="22"/>
                <w:szCs w:val="22"/>
              </w:rPr>
            </w:pPr>
          </w:p>
          <w:p w14:paraId="22064C98" w14:textId="77777777" w:rsidR="00AC7152" w:rsidRDefault="00AC7152">
            <w:pPr>
              <w:pStyle w:val="BodyText3"/>
              <w:ind w:left="57" w:right="-57"/>
              <w:rPr>
                <w:b w:val="0"/>
                <w:sz w:val="22"/>
                <w:szCs w:val="22"/>
              </w:rPr>
            </w:pPr>
            <w:r>
              <w:rPr>
                <w:b w:val="0"/>
                <w:sz w:val="22"/>
                <w:szCs w:val="22"/>
              </w:rPr>
              <w:t>50 mg/dnevno</w:t>
            </w:r>
          </w:p>
          <w:p w14:paraId="22064C99" w14:textId="77777777" w:rsidR="00AC7152" w:rsidRDefault="00AC7152">
            <w:pPr>
              <w:pStyle w:val="BodyText3"/>
              <w:ind w:left="57" w:right="-57"/>
              <w:rPr>
                <w:b w:val="0"/>
                <w:sz w:val="22"/>
                <w:szCs w:val="22"/>
              </w:rPr>
            </w:pPr>
            <w:r>
              <w:rPr>
                <w:b w:val="0"/>
                <w:sz w:val="22"/>
                <w:szCs w:val="22"/>
              </w:rPr>
              <w:t>(jednom dnevno)</w:t>
            </w:r>
          </w:p>
        </w:tc>
        <w:tc>
          <w:tcPr>
            <w:tcW w:w="2608" w:type="dxa"/>
            <w:tcBorders>
              <w:top w:val="single" w:sz="4" w:space="0" w:color="auto"/>
              <w:left w:val="single" w:sz="4" w:space="0" w:color="auto"/>
              <w:bottom w:val="single" w:sz="4" w:space="0" w:color="auto"/>
              <w:right w:val="single" w:sz="4" w:space="0" w:color="auto"/>
            </w:tcBorders>
          </w:tcPr>
          <w:p w14:paraId="22064C9A" w14:textId="77777777" w:rsidR="00AC7152" w:rsidRDefault="00AC7152">
            <w:pPr>
              <w:pStyle w:val="BodyText3"/>
              <w:ind w:left="57" w:right="-57"/>
              <w:rPr>
                <w:b w:val="0"/>
                <w:sz w:val="22"/>
                <w:szCs w:val="22"/>
              </w:rPr>
            </w:pPr>
          </w:p>
          <w:p w14:paraId="22064C9B" w14:textId="77777777" w:rsidR="00AC7152" w:rsidRDefault="00AC7152">
            <w:pPr>
              <w:pStyle w:val="BodyText3"/>
              <w:ind w:left="57" w:right="-57"/>
              <w:rPr>
                <w:b w:val="0"/>
                <w:sz w:val="22"/>
                <w:szCs w:val="22"/>
              </w:rPr>
            </w:pPr>
            <w:r>
              <w:rPr>
                <w:b w:val="0"/>
                <w:sz w:val="22"/>
                <w:szCs w:val="22"/>
              </w:rPr>
              <w:t>100–200 mg/dnevno</w:t>
            </w:r>
          </w:p>
          <w:p w14:paraId="22064C9C" w14:textId="77777777" w:rsidR="00AC7152" w:rsidRDefault="00AC7152">
            <w:pPr>
              <w:pStyle w:val="BodyText3"/>
              <w:ind w:left="57" w:right="-57"/>
              <w:rPr>
                <w:b w:val="0"/>
                <w:sz w:val="22"/>
                <w:szCs w:val="22"/>
              </w:rPr>
            </w:pPr>
            <w:r>
              <w:rPr>
                <w:b w:val="0"/>
                <w:sz w:val="22"/>
                <w:szCs w:val="22"/>
              </w:rPr>
              <w:t>(jednom dnevno ili podijeljeno u dvije doze)</w:t>
            </w:r>
          </w:p>
          <w:p w14:paraId="22064C9D" w14:textId="77777777" w:rsidR="00AC7152" w:rsidRDefault="00AC7152">
            <w:pPr>
              <w:pStyle w:val="BodyText3"/>
              <w:ind w:left="57" w:right="-57"/>
              <w:rPr>
                <w:b w:val="0"/>
                <w:sz w:val="22"/>
                <w:szCs w:val="22"/>
              </w:rPr>
            </w:pPr>
          </w:p>
          <w:p w14:paraId="22064C9E" w14:textId="77777777" w:rsidR="00AC7152" w:rsidRDefault="00AC7152">
            <w:pPr>
              <w:pStyle w:val="BodyText3"/>
              <w:ind w:left="57" w:right="-57"/>
              <w:rPr>
                <w:b w:val="0"/>
                <w:sz w:val="22"/>
                <w:szCs w:val="22"/>
              </w:rPr>
            </w:pPr>
            <w:r>
              <w:rPr>
                <w:b w:val="0"/>
                <w:sz w:val="22"/>
                <w:szCs w:val="22"/>
              </w:rPr>
              <w:t>Da bi se postiglo održanje efekta, doze se mogu povećavati za maksimalno 50-100mg svake do svake druge nedjelje do postizanja optimalnog terapijskog odgovora</w:t>
            </w:r>
          </w:p>
          <w:p w14:paraId="22064C9F" w14:textId="77777777" w:rsidR="00AC7152" w:rsidRDefault="00AC7152">
            <w:pPr>
              <w:pStyle w:val="BodyText3"/>
              <w:ind w:left="57" w:right="-57"/>
              <w:rPr>
                <w:b w:val="0"/>
                <w:sz w:val="22"/>
                <w:szCs w:val="22"/>
              </w:rPr>
            </w:pPr>
          </w:p>
        </w:tc>
      </w:tr>
      <w:tr w:rsidR="00AC7152" w:rsidRPr="00BF78B0" w14:paraId="22064CA2" w14:textId="77777777" w:rsidTr="00AC7152">
        <w:trPr>
          <w:trHeight w:val="450"/>
        </w:trPr>
        <w:tc>
          <w:tcPr>
            <w:tcW w:w="9715" w:type="dxa"/>
            <w:gridSpan w:val="4"/>
            <w:tcBorders>
              <w:top w:val="single" w:sz="4" w:space="0" w:color="auto"/>
              <w:left w:val="single" w:sz="4" w:space="0" w:color="auto"/>
              <w:bottom w:val="single" w:sz="4" w:space="0" w:color="auto"/>
              <w:right w:val="single" w:sz="4" w:space="0" w:color="auto"/>
            </w:tcBorders>
            <w:hideMark/>
          </w:tcPr>
          <w:p w14:paraId="22064CA1" w14:textId="194386C7" w:rsidR="00AC7152" w:rsidRDefault="00AC7152">
            <w:pPr>
              <w:pStyle w:val="BodyText3"/>
              <w:ind w:left="57" w:right="-57"/>
              <w:rPr>
                <w:b w:val="0"/>
                <w:sz w:val="22"/>
                <w:szCs w:val="22"/>
              </w:rPr>
            </w:pPr>
            <w:r>
              <w:rPr>
                <w:b w:val="0"/>
                <w:sz w:val="22"/>
                <w:szCs w:val="22"/>
              </w:rPr>
              <w:lastRenderedPageBreak/>
              <w:t xml:space="preserve">Kod pacijenata koji primjenjuju ljekove čija farmakokinetička interakcija sa lamotriginom za sada još uvijek nije poznata (vidjeti </w:t>
            </w:r>
            <w:r w:rsidR="00706D93">
              <w:rPr>
                <w:b w:val="0"/>
                <w:sz w:val="22"/>
                <w:szCs w:val="22"/>
              </w:rPr>
              <w:t>dio</w:t>
            </w:r>
            <w:r>
              <w:rPr>
                <w:b w:val="0"/>
                <w:sz w:val="22"/>
                <w:szCs w:val="22"/>
              </w:rPr>
              <w:t xml:space="preserve"> 4.5), potrebno je primijeniti terapijsku shemu doziranja preporučenu za istovremenu primjenu lamotrigina i valproata.</w:t>
            </w:r>
          </w:p>
        </w:tc>
      </w:tr>
    </w:tbl>
    <w:p w14:paraId="22064CA3" w14:textId="77777777" w:rsidR="00AC7152" w:rsidRDefault="00AC7152" w:rsidP="00AC7152">
      <w:pPr>
        <w:pStyle w:val="Header"/>
        <w:tabs>
          <w:tab w:val="left" w:pos="284"/>
        </w:tabs>
        <w:rPr>
          <w:sz w:val="22"/>
          <w:szCs w:val="22"/>
          <w:lang w:val="sl-SI"/>
        </w:rPr>
      </w:pPr>
    </w:p>
    <w:p w14:paraId="22064CA4" w14:textId="0A1FC753" w:rsidR="00AC7152" w:rsidRDefault="00AC7152" w:rsidP="006B3996">
      <w:pPr>
        <w:pStyle w:val="BodyText3"/>
        <w:ind w:right="-57"/>
        <w:jc w:val="both"/>
        <w:rPr>
          <w:b w:val="0"/>
          <w:i/>
          <w:sz w:val="22"/>
          <w:szCs w:val="22"/>
          <w:u w:val="single"/>
        </w:rPr>
      </w:pPr>
      <w:r>
        <w:rPr>
          <w:b w:val="0"/>
          <w:i/>
          <w:sz w:val="22"/>
          <w:szCs w:val="22"/>
          <w:u w:val="single"/>
        </w:rPr>
        <w:t xml:space="preserve">Tabela 2: Djeca i adolescenti </w:t>
      </w:r>
      <w:r w:rsidR="0064517F">
        <w:rPr>
          <w:b w:val="0"/>
          <w:i/>
          <w:sz w:val="22"/>
          <w:szCs w:val="22"/>
          <w:u w:val="single"/>
        </w:rPr>
        <w:t>uzrasta</w:t>
      </w:r>
      <w:r>
        <w:rPr>
          <w:b w:val="0"/>
          <w:i/>
          <w:sz w:val="22"/>
          <w:szCs w:val="22"/>
          <w:u w:val="single"/>
        </w:rPr>
        <w:t xml:space="preserve"> od 2. do 12. godine života – preporučena terapijska shema za epilepsiju (ukupna dnevna doza u mg/kg tjelesne mase/dnevno)</w:t>
      </w:r>
      <w:r w:rsidR="00F54F30">
        <w:rPr>
          <w:b w:val="0"/>
          <w:i/>
          <w:sz w:val="22"/>
          <w:szCs w:val="22"/>
          <w:u w:val="single"/>
        </w:rPr>
        <w:t>**</w:t>
      </w:r>
    </w:p>
    <w:p w14:paraId="22064CA5" w14:textId="77777777" w:rsidR="00AC7152" w:rsidRDefault="00AC7152" w:rsidP="00AC7152">
      <w:pPr>
        <w:pStyle w:val="BodyText3"/>
        <w:ind w:right="-57"/>
        <w:rPr>
          <w:b w:val="0"/>
          <w:i/>
          <w:sz w:val="22"/>
          <w:szCs w:val="22"/>
          <w:u w:val="single"/>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754"/>
        <w:gridCol w:w="1749"/>
        <w:gridCol w:w="2609"/>
      </w:tblGrid>
      <w:tr w:rsidR="00AC7152" w14:paraId="22064CAD" w14:textId="77777777" w:rsidTr="006B3996">
        <w:tc>
          <w:tcPr>
            <w:tcW w:w="3608" w:type="dxa"/>
            <w:tcBorders>
              <w:top w:val="single" w:sz="4" w:space="0" w:color="auto"/>
              <w:left w:val="single" w:sz="4" w:space="0" w:color="auto"/>
              <w:bottom w:val="single" w:sz="4" w:space="0" w:color="auto"/>
              <w:right w:val="single" w:sz="4" w:space="0" w:color="auto"/>
            </w:tcBorders>
          </w:tcPr>
          <w:p w14:paraId="22064CA6" w14:textId="77777777" w:rsidR="00AC7152" w:rsidRDefault="00AC7152">
            <w:pPr>
              <w:pStyle w:val="BodyText3"/>
              <w:ind w:left="57" w:right="-57"/>
              <w:rPr>
                <w:b w:val="0"/>
                <w:sz w:val="22"/>
                <w:szCs w:val="22"/>
              </w:rPr>
            </w:pPr>
            <w:r>
              <w:rPr>
                <w:b w:val="0"/>
                <w:sz w:val="22"/>
                <w:szCs w:val="22"/>
              </w:rPr>
              <w:t>Terapijska shema</w:t>
            </w:r>
          </w:p>
          <w:p w14:paraId="22064CA7" w14:textId="77777777" w:rsidR="00AC7152" w:rsidRDefault="00AC7152">
            <w:pPr>
              <w:pStyle w:val="BodyText3"/>
              <w:ind w:left="57" w:right="-57"/>
              <w:rPr>
                <w:b w:val="0"/>
                <w:sz w:val="22"/>
                <w:szCs w:val="22"/>
              </w:rPr>
            </w:pPr>
          </w:p>
        </w:tc>
        <w:tc>
          <w:tcPr>
            <w:tcW w:w="1754" w:type="dxa"/>
            <w:tcBorders>
              <w:top w:val="single" w:sz="4" w:space="0" w:color="auto"/>
              <w:left w:val="single" w:sz="4" w:space="0" w:color="auto"/>
              <w:bottom w:val="single" w:sz="4" w:space="0" w:color="auto"/>
              <w:right w:val="single" w:sz="4" w:space="0" w:color="auto"/>
            </w:tcBorders>
          </w:tcPr>
          <w:p w14:paraId="22064CA8" w14:textId="77777777" w:rsidR="00AC7152" w:rsidRDefault="00AC7152">
            <w:pPr>
              <w:pStyle w:val="BodyText3"/>
              <w:ind w:left="57" w:right="-57"/>
              <w:rPr>
                <w:b w:val="0"/>
                <w:sz w:val="22"/>
                <w:szCs w:val="22"/>
              </w:rPr>
            </w:pPr>
            <w:r>
              <w:rPr>
                <w:b w:val="0"/>
                <w:sz w:val="22"/>
                <w:szCs w:val="22"/>
              </w:rPr>
              <w:t>1.+2. nedjelja</w:t>
            </w:r>
          </w:p>
          <w:p w14:paraId="22064CA9" w14:textId="77777777" w:rsidR="00AC7152" w:rsidRDefault="00AC7152">
            <w:pPr>
              <w:pStyle w:val="BodyText3"/>
              <w:ind w:left="57" w:right="-57"/>
              <w:rPr>
                <w:b w:val="0"/>
                <w:sz w:val="22"/>
                <w:szCs w:val="22"/>
              </w:rPr>
            </w:pPr>
          </w:p>
        </w:tc>
        <w:tc>
          <w:tcPr>
            <w:tcW w:w="1749" w:type="dxa"/>
            <w:tcBorders>
              <w:top w:val="single" w:sz="4" w:space="0" w:color="auto"/>
              <w:left w:val="single" w:sz="4" w:space="0" w:color="auto"/>
              <w:bottom w:val="single" w:sz="4" w:space="0" w:color="auto"/>
              <w:right w:val="single" w:sz="4" w:space="0" w:color="auto"/>
            </w:tcBorders>
          </w:tcPr>
          <w:p w14:paraId="22064CAA" w14:textId="77777777" w:rsidR="00AC7152" w:rsidRDefault="00AC7152">
            <w:pPr>
              <w:pStyle w:val="BodyText3"/>
              <w:ind w:left="57" w:right="-57"/>
              <w:rPr>
                <w:b w:val="0"/>
                <w:sz w:val="22"/>
                <w:szCs w:val="22"/>
              </w:rPr>
            </w:pPr>
            <w:r>
              <w:rPr>
                <w:b w:val="0"/>
                <w:sz w:val="22"/>
                <w:szCs w:val="22"/>
              </w:rPr>
              <w:t>3.+4. nedjelja</w:t>
            </w:r>
          </w:p>
          <w:p w14:paraId="22064CAB" w14:textId="77777777" w:rsidR="00AC7152" w:rsidRDefault="00AC7152">
            <w:pPr>
              <w:pStyle w:val="BodyText3"/>
              <w:ind w:left="57" w:right="-57"/>
              <w:rPr>
                <w:b w:val="0"/>
                <w:sz w:val="22"/>
                <w:szCs w:val="22"/>
              </w:rPr>
            </w:pPr>
          </w:p>
        </w:tc>
        <w:tc>
          <w:tcPr>
            <w:tcW w:w="2609" w:type="dxa"/>
            <w:tcBorders>
              <w:top w:val="single" w:sz="4" w:space="0" w:color="auto"/>
              <w:left w:val="single" w:sz="4" w:space="0" w:color="auto"/>
              <w:bottom w:val="single" w:sz="4" w:space="0" w:color="auto"/>
              <w:right w:val="single" w:sz="4" w:space="0" w:color="auto"/>
            </w:tcBorders>
            <w:hideMark/>
          </w:tcPr>
          <w:p w14:paraId="22064CAC" w14:textId="77777777" w:rsidR="00AC7152" w:rsidRDefault="00AC7152">
            <w:pPr>
              <w:pStyle w:val="BodyText3"/>
              <w:ind w:left="57" w:right="-57"/>
              <w:rPr>
                <w:b w:val="0"/>
                <w:sz w:val="22"/>
                <w:szCs w:val="22"/>
              </w:rPr>
            </w:pPr>
            <w:r>
              <w:rPr>
                <w:b w:val="0"/>
                <w:sz w:val="22"/>
                <w:szCs w:val="22"/>
              </w:rPr>
              <w:t>Uobičajena doza održavanja</w:t>
            </w:r>
          </w:p>
        </w:tc>
      </w:tr>
      <w:tr w:rsidR="00AC7152" w:rsidRPr="00BF78B0" w14:paraId="22064CBD" w14:textId="77777777" w:rsidTr="006B3996">
        <w:tc>
          <w:tcPr>
            <w:tcW w:w="3608" w:type="dxa"/>
            <w:tcBorders>
              <w:top w:val="single" w:sz="4" w:space="0" w:color="auto"/>
              <w:left w:val="single" w:sz="4" w:space="0" w:color="auto"/>
              <w:bottom w:val="single" w:sz="4" w:space="0" w:color="auto"/>
              <w:right w:val="single" w:sz="4" w:space="0" w:color="auto"/>
            </w:tcBorders>
          </w:tcPr>
          <w:p w14:paraId="22064CAE" w14:textId="77777777" w:rsidR="00AC7152" w:rsidRDefault="00AC7152">
            <w:pPr>
              <w:pStyle w:val="BodyText3"/>
              <w:ind w:left="57" w:right="-57"/>
              <w:rPr>
                <w:sz w:val="22"/>
                <w:szCs w:val="22"/>
              </w:rPr>
            </w:pPr>
          </w:p>
          <w:p w14:paraId="22064CAF" w14:textId="77777777" w:rsidR="00AC7152" w:rsidRDefault="00AC7152">
            <w:pPr>
              <w:pStyle w:val="BodyText3"/>
              <w:ind w:left="57" w:right="-57"/>
              <w:rPr>
                <w:sz w:val="22"/>
                <w:szCs w:val="22"/>
              </w:rPr>
            </w:pPr>
            <w:r>
              <w:rPr>
                <w:sz w:val="22"/>
                <w:szCs w:val="22"/>
              </w:rPr>
              <w:t>Monoterapija tipičnih absans napada:</w:t>
            </w:r>
          </w:p>
          <w:p w14:paraId="22064CB0" w14:textId="77777777" w:rsidR="00AC7152" w:rsidRDefault="00AC7152">
            <w:pPr>
              <w:pStyle w:val="BodyText3"/>
              <w:ind w:left="57" w:right="-57"/>
              <w:rPr>
                <w:b w:val="0"/>
                <w:sz w:val="22"/>
                <w:szCs w:val="22"/>
              </w:rPr>
            </w:pPr>
          </w:p>
        </w:tc>
        <w:tc>
          <w:tcPr>
            <w:tcW w:w="1754" w:type="dxa"/>
            <w:tcBorders>
              <w:top w:val="single" w:sz="4" w:space="0" w:color="auto"/>
              <w:left w:val="single" w:sz="4" w:space="0" w:color="auto"/>
              <w:bottom w:val="single" w:sz="4" w:space="0" w:color="auto"/>
              <w:right w:val="single" w:sz="4" w:space="0" w:color="auto"/>
            </w:tcBorders>
          </w:tcPr>
          <w:p w14:paraId="22064CB1" w14:textId="77777777" w:rsidR="00AC7152" w:rsidRDefault="00AC7152">
            <w:pPr>
              <w:pStyle w:val="BodyText3"/>
              <w:ind w:left="57" w:right="-57"/>
              <w:rPr>
                <w:b w:val="0"/>
                <w:sz w:val="22"/>
                <w:szCs w:val="22"/>
              </w:rPr>
            </w:pPr>
          </w:p>
          <w:p w14:paraId="22064CB2" w14:textId="77777777" w:rsidR="00AC7152" w:rsidRDefault="00AC7152">
            <w:pPr>
              <w:pStyle w:val="BodyText3"/>
              <w:ind w:left="57" w:right="-57"/>
              <w:rPr>
                <w:b w:val="0"/>
                <w:sz w:val="22"/>
                <w:szCs w:val="22"/>
              </w:rPr>
            </w:pPr>
            <w:r>
              <w:rPr>
                <w:b w:val="0"/>
                <w:sz w:val="22"/>
                <w:szCs w:val="22"/>
              </w:rPr>
              <w:t>0,3 mg/kg/dnevno</w:t>
            </w:r>
          </w:p>
          <w:p w14:paraId="22064CB3" w14:textId="77777777" w:rsidR="00AC7152" w:rsidRDefault="00AC7152">
            <w:pPr>
              <w:pStyle w:val="BodyText3"/>
              <w:ind w:left="57" w:right="-57"/>
              <w:rPr>
                <w:b w:val="0"/>
                <w:sz w:val="22"/>
                <w:szCs w:val="22"/>
              </w:rPr>
            </w:pPr>
            <w:r>
              <w:rPr>
                <w:b w:val="0"/>
                <w:sz w:val="22"/>
                <w:szCs w:val="22"/>
              </w:rPr>
              <w:t>(jednom dnevno ili podijeljeno u dvije doze)</w:t>
            </w:r>
          </w:p>
          <w:p w14:paraId="22064CB4" w14:textId="77777777" w:rsidR="00AC7152" w:rsidRDefault="00AC7152">
            <w:pPr>
              <w:pStyle w:val="BodyText3"/>
              <w:ind w:left="57" w:right="-57"/>
              <w:rPr>
                <w:b w:val="0"/>
                <w:sz w:val="22"/>
                <w:szCs w:val="22"/>
              </w:rPr>
            </w:pPr>
          </w:p>
        </w:tc>
        <w:tc>
          <w:tcPr>
            <w:tcW w:w="1749" w:type="dxa"/>
            <w:tcBorders>
              <w:top w:val="single" w:sz="4" w:space="0" w:color="auto"/>
              <w:left w:val="single" w:sz="4" w:space="0" w:color="auto"/>
              <w:bottom w:val="single" w:sz="4" w:space="0" w:color="auto"/>
              <w:right w:val="single" w:sz="4" w:space="0" w:color="auto"/>
            </w:tcBorders>
          </w:tcPr>
          <w:p w14:paraId="22064CB5" w14:textId="77777777" w:rsidR="00AC7152" w:rsidRDefault="00AC7152">
            <w:pPr>
              <w:pStyle w:val="BodyText3"/>
              <w:ind w:left="57" w:right="-57"/>
              <w:rPr>
                <w:b w:val="0"/>
                <w:sz w:val="22"/>
                <w:szCs w:val="22"/>
              </w:rPr>
            </w:pPr>
          </w:p>
          <w:p w14:paraId="22064CB6" w14:textId="77777777" w:rsidR="00AC7152" w:rsidRDefault="00AC7152">
            <w:pPr>
              <w:pStyle w:val="BodyText3"/>
              <w:ind w:left="57" w:right="-57"/>
              <w:rPr>
                <w:b w:val="0"/>
                <w:sz w:val="22"/>
                <w:szCs w:val="22"/>
              </w:rPr>
            </w:pPr>
            <w:r>
              <w:rPr>
                <w:b w:val="0"/>
                <w:sz w:val="22"/>
                <w:szCs w:val="22"/>
              </w:rPr>
              <w:t>0,6 mg/kg/dnevno</w:t>
            </w:r>
          </w:p>
          <w:p w14:paraId="22064CB7" w14:textId="77777777" w:rsidR="00AC7152" w:rsidRDefault="00AC7152">
            <w:pPr>
              <w:pStyle w:val="BodyText3"/>
              <w:ind w:left="57" w:right="-57"/>
              <w:rPr>
                <w:b w:val="0"/>
                <w:sz w:val="22"/>
                <w:szCs w:val="22"/>
              </w:rPr>
            </w:pPr>
            <w:r>
              <w:rPr>
                <w:b w:val="0"/>
                <w:sz w:val="22"/>
                <w:szCs w:val="22"/>
              </w:rPr>
              <w:t>(jednom dnevno ili podijeljeno u dvije doze)</w:t>
            </w:r>
          </w:p>
        </w:tc>
        <w:tc>
          <w:tcPr>
            <w:tcW w:w="2609" w:type="dxa"/>
            <w:tcBorders>
              <w:top w:val="single" w:sz="4" w:space="0" w:color="auto"/>
              <w:left w:val="single" w:sz="4" w:space="0" w:color="auto"/>
              <w:bottom w:val="single" w:sz="4" w:space="0" w:color="auto"/>
              <w:right w:val="single" w:sz="4" w:space="0" w:color="auto"/>
            </w:tcBorders>
          </w:tcPr>
          <w:p w14:paraId="22064CB8" w14:textId="77777777" w:rsidR="00AC7152" w:rsidRDefault="00AC7152">
            <w:pPr>
              <w:pStyle w:val="BodyText3"/>
              <w:ind w:left="57" w:right="-57"/>
              <w:rPr>
                <w:b w:val="0"/>
                <w:sz w:val="22"/>
                <w:szCs w:val="22"/>
              </w:rPr>
            </w:pPr>
          </w:p>
          <w:p w14:paraId="22064CB9" w14:textId="77777777" w:rsidR="00AC7152" w:rsidRDefault="00AC7152">
            <w:pPr>
              <w:pStyle w:val="BodyText3"/>
              <w:ind w:left="57" w:right="-57"/>
              <w:rPr>
                <w:b w:val="0"/>
                <w:sz w:val="22"/>
                <w:szCs w:val="22"/>
              </w:rPr>
            </w:pPr>
            <w:r>
              <w:rPr>
                <w:b w:val="0"/>
                <w:sz w:val="22"/>
                <w:szCs w:val="22"/>
              </w:rPr>
              <w:t>1-15mg/kg/dnevno (jednom dnevno ili podijeljeno u dvije doze)</w:t>
            </w:r>
          </w:p>
          <w:p w14:paraId="22064CBA" w14:textId="77777777" w:rsidR="00AC7152" w:rsidRDefault="00AC7152">
            <w:pPr>
              <w:pStyle w:val="BodyText3"/>
              <w:ind w:left="57" w:right="-57"/>
              <w:rPr>
                <w:b w:val="0"/>
                <w:sz w:val="22"/>
                <w:szCs w:val="22"/>
              </w:rPr>
            </w:pPr>
          </w:p>
          <w:p w14:paraId="22064CBB" w14:textId="77777777" w:rsidR="00AC7152" w:rsidRDefault="00AC7152">
            <w:pPr>
              <w:pStyle w:val="BodyText3"/>
              <w:ind w:left="57" w:right="-57"/>
              <w:rPr>
                <w:b w:val="0"/>
                <w:sz w:val="22"/>
                <w:szCs w:val="22"/>
              </w:rPr>
            </w:pPr>
            <w:r>
              <w:rPr>
                <w:b w:val="0"/>
                <w:sz w:val="22"/>
                <w:szCs w:val="22"/>
              </w:rPr>
              <w:t>Da bi se postiglo održanje efekta, doze se mogu povećavati za maksimalno 0,6 mg/kg/dnevno</w:t>
            </w:r>
          </w:p>
          <w:p w14:paraId="22064CBC" w14:textId="77777777" w:rsidR="00AC7152" w:rsidRDefault="00AC7152">
            <w:pPr>
              <w:pStyle w:val="BodyText3"/>
              <w:ind w:left="57" w:right="-57"/>
              <w:rPr>
                <w:b w:val="0"/>
                <w:sz w:val="22"/>
                <w:szCs w:val="22"/>
              </w:rPr>
            </w:pPr>
            <w:r>
              <w:rPr>
                <w:b w:val="0"/>
                <w:sz w:val="22"/>
                <w:szCs w:val="22"/>
              </w:rPr>
              <w:t>svake do svake druge nedjelje do postizanja optimalnog terapijskog odgovora sa maksimalnom dozom oržavanja od 200mg/dnevno</w:t>
            </w:r>
          </w:p>
        </w:tc>
      </w:tr>
      <w:tr w:rsidR="00AC7152" w14:paraId="22064CBF" w14:textId="77777777" w:rsidTr="006B3996">
        <w:tc>
          <w:tcPr>
            <w:tcW w:w="9720" w:type="dxa"/>
            <w:gridSpan w:val="4"/>
            <w:tcBorders>
              <w:top w:val="single" w:sz="4" w:space="0" w:color="auto"/>
              <w:left w:val="single" w:sz="4" w:space="0" w:color="auto"/>
              <w:bottom w:val="single" w:sz="4" w:space="0" w:color="auto"/>
              <w:right w:val="single" w:sz="4" w:space="0" w:color="auto"/>
            </w:tcBorders>
            <w:hideMark/>
          </w:tcPr>
          <w:p w14:paraId="22064CBE" w14:textId="73301F87" w:rsidR="00AC7152" w:rsidRDefault="00AC7152">
            <w:pPr>
              <w:pStyle w:val="BodyText3"/>
              <w:ind w:left="57" w:right="-57"/>
              <w:rPr>
                <w:b w:val="0"/>
                <w:sz w:val="22"/>
                <w:szCs w:val="22"/>
              </w:rPr>
            </w:pPr>
            <w:r>
              <w:rPr>
                <w:sz w:val="22"/>
                <w:szCs w:val="22"/>
              </w:rPr>
              <w:t>Adjuvantna terapija SA valproatom</w:t>
            </w:r>
            <w:r>
              <w:rPr>
                <w:b w:val="0"/>
                <w:sz w:val="22"/>
                <w:szCs w:val="22"/>
              </w:rPr>
              <w:t xml:space="preserve"> (inhibitor glukuronidacije lamotrigina – vidjeti </w:t>
            </w:r>
            <w:r w:rsidR="00706D93">
              <w:rPr>
                <w:b w:val="0"/>
                <w:sz w:val="22"/>
                <w:szCs w:val="22"/>
              </w:rPr>
              <w:t>dio</w:t>
            </w:r>
            <w:r>
              <w:rPr>
                <w:b w:val="0"/>
                <w:sz w:val="22"/>
                <w:szCs w:val="22"/>
              </w:rPr>
              <w:t xml:space="preserve"> 4.5):</w:t>
            </w:r>
          </w:p>
        </w:tc>
      </w:tr>
      <w:tr w:rsidR="00AC7152" w:rsidRPr="00BF78B0" w14:paraId="22064CD0" w14:textId="77777777" w:rsidTr="006B3996">
        <w:tc>
          <w:tcPr>
            <w:tcW w:w="3608" w:type="dxa"/>
            <w:tcBorders>
              <w:top w:val="single" w:sz="4" w:space="0" w:color="auto"/>
              <w:left w:val="single" w:sz="4" w:space="0" w:color="auto"/>
              <w:bottom w:val="single" w:sz="4" w:space="0" w:color="auto"/>
              <w:right w:val="single" w:sz="4" w:space="0" w:color="auto"/>
            </w:tcBorders>
          </w:tcPr>
          <w:p w14:paraId="22064CC0" w14:textId="77777777" w:rsidR="00AC7152" w:rsidRDefault="00AC7152">
            <w:pPr>
              <w:pStyle w:val="BodyText3"/>
              <w:ind w:left="57" w:right="-57"/>
              <w:rPr>
                <w:b w:val="0"/>
                <w:sz w:val="22"/>
                <w:szCs w:val="22"/>
              </w:rPr>
            </w:pPr>
          </w:p>
          <w:p w14:paraId="22064CC1" w14:textId="77777777" w:rsidR="00AC7152" w:rsidRDefault="00AC7152">
            <w:pPr>
              <w:pStyle w:val="BodyText3"/>
              <w:ind w:left="57" w:right="-57"/>
              <w:rPr>
                <w:b w:val="0"/>
                <w:sz w:val="22"/>
                <w:szCs w:val="22"/>
              </w:rPr>
            </w:pPr>
            <w:r>
              <w:rPr>
                <w:b w:val="0"/>
                <w:sz w:val="22"/>
                <w:szCs w:val="22"/>
              </w:rPr>
              <w:t>Navedena shema doziranja primjenjuje se sa valproatom bez obzira na konkomitantnu primjenu drugih ljekova</w:t>
            </w:r>
          </w:p>
          <w:p w14:paraId="22064CC2" w14:textId="77777777" w:rsidR="00AC7152" w:rsidRDefault="00AC7152">
            <w:pPr>
              <w:pStyle w:val="BodyText3"/>
              <w:ind w:left="57" w:right="-57"/>
              <w:rPr>
                <w:b w:val="0"/>
                <w:sz w:val="22"/>
                <w:szCs w:val="22"/>
              </w:rPr>
            </w:pPr>
          </w:p>
        </w:tc>
        <w:tc>
          <w:tcPr>
            <w:tcW w:w="1754" w:type="dxa"/>
            <w:tcBorders>
              <w:top w:val="single" w:sz="4" w:space="0" w:color="auto"/>
              <w:left w:val="single" w:sz="4" w:space="0" w:color="auto"/>
              <w:bottom w:val="single" w:sz="4" w:space="0" w:color="auto"/>
              <w:right w:val="single" w:sz="4" w:space="0" w:color="auto"/>
            </w:tcBorders>
          </w:tcPr>
          <w:p w14:paraId="22064CC3" w14:textId="77777777" w:rsidR="00AC7152" w:rsidRDefault="00AC7152">
            <w:pPr>
              <w:pStyle w:val="BodyText3"/>
              <w:ind w:left="57" w:right="-57"/>
              <w:rPr>
                <w:b w:val="0"/>
                <w:sz w:val="22"/>
                <w:szCs w:val="22"/>
              </w:rPr>
            </w:pPr>
          </w:p>
          <w:p w14:paraId="22064CC4" w14:textId="77777777" w:rsidR="00AC7152" w:rsidRDefault="00AC7152">
            <w:pPr>
              <w:pStyle w:val="BodyText3"/>
              <w:ind w:left="57" w:right="-57"/>
              <w:rPr>
                <w:b w:val="0"/>
                <w:sz w:val="22"/>
                <w:szCs w:val="22"/>
              </w:rPr>
            </w:pPr>
            <w:r>
              <w:rPr>
                <w:b w:val="0"/>
                <w:sz w:val="22"/>
                <w:szCs w:val="22"/>
              </w:rPr>
              <w:t>0,15 mg/kg/dnevno*</w:t>
            </w:r>
          </w:p>
          <w:p w14:paraId="22064CC5" w14:textId="77777777" w:rsidR="00AC7152" w:rsidRDefault="00AC7152">
            <w:pPr>
              <w:pStyle w:val="BodyText3"/>
              <w:ind w:left="57" w:right="-57"/>
              <w:rPr>
                <w:b w:val="0"/>
                <w:sz w:val="22"/>
                <w:szCs w:val="22"/>
              </w:rPr>
            </w:pPr>
            <w:r>
              <w:rPr>
                <w:b w:val="0"/>
                <w:sz w:val="22"/>
                <w:szCs w:val="22"/>
              </w:rPr>
              <w:t>(jednom dnevno)</w:t>
            </w:r>
          </w:p>
          <w:p w14:paraId="22064CC6" w14:textId="77777777" w:rsidR="00AC7152" w:rsidRDefault="00AC7152">
            <w:pPr>
              <w:pStyle w:val="BodyText3"/>
              <w:ind w:left="57" w:right="-57"/>
              <w:rPr>
                <w:b w:val="0"/>
                <w:sz w:val="22"/>
                <w:szCs w:val="22"/>
              </w:rPr>
            </w:pPr>
          </w:p>
        </w:tc>
        <w:tc>
          <w:tcPr>
            <w:tcW w:w="1749" w:type="dxa"/>
            <w:tcBorders>
              <w:top w:val="single" w:sz="4" w:space="0" w:color="auto"/>
              <w:left w:val="single" w:sz="4" w:space="0" w:color="auto"/>
              <w:bottom w:val="single" w:sz="4" w:space="0" w:color="auto"/>
              <w:right w:val="single" w:sz="4" w:space="0" w:color="auto"/>
            </w:tcBorders>
          </w:tcPr>
          <w:p w14:paraId="22064CC7" w14:textId="77777777" w:rsidR="00AC7152" w:rsidRDefault="00AC7152">
            <w:pPr>
              <w:pStyle w:val="BodyText3"/>
              <w:ind w:left="57" w:right="-57"/>
              <w:rPr>
                <w:b w:val="0"/>
                <w:sz w:val="22"/>
                <w:szCs w:val="22"/>
              </w:rPr>
            </w:pPr>
          </w:p>
          <w:p w14:paraId="22064CC8" w14:textId="77777777" w:rsidR="00AC7152" w:rsidRDefault="00AC7152">
            <w:pPr>
              <w:pStyle w:val="BodyText3"/>
              <w:ind w:left="57" w:right="-57"/>
              <w:rPr>
                <w:b w:val="0"/>
                <w:sz w:val="22"/>
                <w:szCs w:val="22"/>
              </w:rPr>
            </w:pPr>
            <w:r>
              <w:rPr>
                <w:b w:val="0"/>
                <w:sz w:val="22"/>
                <w:szCs w:val="22"/>
              </w:rPr>
              <w:t>0,3 mg/kg/dnevno</w:t>
            </w:r>
          </w:p>
          <w:p w14:paraId="22064CC9" w14:textId="77777777" w:rsidR="00AC7152" w:rsidRDefault="00AC7152">
            <w:pPr>
              <w:pStyle w:val="BodyText3"/>
              <w:ind w:left="57" w:right="-57"/>
              <w:rPr>
                <w:b w:val="0"/>
                <w:sz w:val="22"/>
                <w:szCs w:val="22"/>
              </w:rPr>
            </w:pPr>
            <w:r>
              <w:rPr>
                <w:b w:val="0"/>
                <w:sz w:val="22"/>
                <w:szCs w:val="22"/>
              </w:rPr>
              <w:t>(jednom dnevno)</w:t>
            </w:r>
          </w:p>
          <w:p w14:paraId="22064CCA" w14:textId="77777777" w:rsidR="00AC7152" w:rsidRDefault="00AC7152">
            <w:pPr>
              <w:pStyle w:val="BodyText3"/>
              <w:ind w:left="57" w:right="-57"/>
              <w:rPr>
                <w:b w:val="0"/>
                <w:sz w:val="22"/>
                <w:szCs w:val="22"/>
              </w:rPr>
            </w:pPr>
          </w:p>
        </w:tc>
        <w:tc>
          <w:tcPr>
            <w:tcW w:w="2609" w:type="dxa"/>
            <w:tcBorders>
              <w:top w:val="single" w:sz="4" w:space="0" w:color="auto"/>
              <w:left w:val="single" w:sz="4" w:space="0" w:color="auto"/>
              <w:bottom w:val="single" w:sz="4" w:space="0" w:color="auto"/>
              <w:right w:val="single" w:sz="4" w:space="0" w:color="auto"/>
            </w:tcBorders>
          </w:tcPr>
          <w:p w14:paraId="22064CCB" w14:textId="77777777" w:rsidR="00AC7152" w:rsidRDefault="00AC7152">
            <w:pPr>
              <w:pStyle w:val="BodyText3"/>
              <w:ind w:left="57" w:right="-57"/>
              <w:rPr>
                <w:b w:val="0"/>
                <w:sz w:val="22"/>
                <w:szCs w:val="22"/>
              </w:rPr>
            </w:pPr>
          </w:p>
          <w:p w14:paraId="22064CCC" w14:textId="77777777" w:rsidR="00AC7152" w:rsidRDefault="00AC7152">
            <w:pPr>
              <w:pStyle w:val="BodyText3"/>
              <w:ind w:left="57" w:right="-57"/>
              <w:rPr>
                <w:b w:val="0"/>
                <w:sz w:val="22"/>
                <w:szCs w:val="22"/>
              </w:rPr>
            </w:pPr>
            <w:r>
              <w:rPr>
                <w:b w:val="0"/>
                <w:sz w:val="22"/>
                <w:szCs w:val="22"/>
              </w:rPr>
              <w:t>1-5 mg/kg/dnevno (jednom dnevno ili podijeljeno u dvije doze)</w:t>
            </w:r>
          </w:p>
          <w:p w14:paraId="22064CCD" w14:textId="77777777" w:rsidR="00AC7152" w:rsidRDefault="00AC7152">
            <w:pPr>
              <w:pStyle w:val="BodyText3"/>
              <w:ind w:left="57" w:right="-57"/>
              <w:rPr>
                <w:b w:val="0"/>
                <w:sz w:val="22"/>
                <w:szCs w:val="22"/>
              </w:rPr>
            </w:pPr>
          </w:p>
          <w:p w14:paraId="22064CCE" w14:textId="77777777" w:rsidR="00AC7152" w:rsidRDefault="00AC7152">
            <w:pPr>
              <w:pStyle w:val="BodyText3"/>
              <w:ind w:left="57" w:right="-57"/>
              <w:rPr>
                <w:b w:val="0"/>
                <w:sz w:val="22"/>
                <w:szCs w:val="22"/>
              </w:rPr>
            </w:pPr>
            <w:r>
              <w:rPr>
                <w:b w:val="0"/>
                <w:sz w:val="22"/>
                <w:szCs w:val="22"/>
              </w:rPr>
              <w:t>Da bi se postiglo održanje efekta, doze se mogu povećavati za maksimalno 0,3 mg/kg/dnevno svake do svake druge nedjelje do postizanja optimalnog terapijskog odgovora sa maksimalnom dozom održavanja od 200 mg/dnevno</w:t>
            </w:r>
          </w:p>
          <w:p w14:paraId="22064CCF" w14:textId="77777777" w:rsidR="00AC7152" w:rsidRDefault="00AC7152">
            <w:pPr>
              <w:pStyle w:val="BodyText3"/>
              <w:ind w:left="57" w:right="-57"/>
              <w:rPr>
                <w:b w:val="0"/>
                <w:sz w:val="22"/>
                <w:szCs w:val="22"/>
              </w:rPr>
            </w:pPr>
            <w:r>
              <w:rPr>
                <w:b w:val="0"/>
                <w:sz w:val="22"/>
                <w:szCs w:val="22"/>
              </w:rPr>
              <w:t xml:space="preserve"> </w:t>
            </w:r>
          </w:p>
        </w:tc>
      </w:tr>
      <w:tr w:rsidR="00AC7152" w:rsidRPr="00BF78B0" w14:paraId="22064CD2" w14:textId="77777777" w:rsidTr="006B3996">
        <w:tc>
          <w:tcPr>
            <w:tcW w:w="9720" w:type="dxa"/>
            <w:gridSpan w:val="4"/>
            <w:tcBorders>
              <w:top w:val="single" w:sz="4" w:space="0" w:color="auto"/>
              <w:left w:val="single" w:sz="4" w:space="0" w:color="auto"/>
              <w:bottom w:val="single" w:sz="4" w:space="0" w:color="auto"/>
              <w:right w:val="single" w:sz="4" w:space="0" w:color="auto"/>
            </w:tcBorders>
            <w:hideMark/>
          </w:tcPr>
          <w:p w14:paraId="22064CD1" w14:textId="7DF2047E" w:rsidR="00AC7152" w:rsidRDefault="00AC7152">
            <w:pPr>
              <w:pStyle w:val="BodyText3"/>
              <w:ind w:left="57" w:right="-57"/>
              <w:rPr>
                <w:b w:val="0"/>
                <w:sz w:val="22"/>
                <w:szCs w:val="22"/>
              </w:rPr>
            </w:pPr>
            <w:r>
              <w:rPr>
                <w:sz w:val="22"/>
                <w:szCs w:val="22"/>
              </w:rPr>
              <w:t xml:space="preserve">Adjuvantna terapija </w:t>
            </w:r>
            <w:smartTag w:uri="urn:schemas-microsoft-com:office:smarttags" w:element="stockticker">
              <w:r>
                <w:rPr>
                  <w:sz w:val="22"/>
                  <w:szCs w:val="22"/>
                </w:rPr>
                <w:t>BEZ</w:t>
              </w:r>
            </w:smartTag>
            <w:r>
              <w:rPr>
                <w:sz w:val="22"/>
                <w:szCs w:val="22"/>
              </w:rPr>
              <w:t xml:space="preserve"> valproata i SA induktorima glukuronidacije lamotrigina</w:t>
            </w:r>
            <w:r>
              <w:rPr>
                <w:b w:val="0"/>
                <w:sz w:val="22"/>
                <w:szCs w:val="22"/>
              </w:rPr>
              <w:t xml:space="preserve"> (vidjeti </w:t>
            </w:r>
            <w:r w:rsidR="00706D93">
              <w:rPr>
                <w:b w:val="0"/>
                <w:sz w:val="22"/>
                <w:szCs w:val="22"/>
              </w:rPr>
              <w:t>dio</w:t>
            </w:r>
            <w:r>
              <w:rPr>
                <w:b w:val="0"/>
                <w:sz w:val="22"/>
                <w:szCs w:val="22"/>
              </w:rPr>
              <w:t xml:space="preserve"> 4.5):</w:t>
            </w:r>
          </w:p>
        </w:tc>
      </w:tr>
      <w:tr w:rsidR="00AC7152" w:rsidRPr="00BF78B0" w14:paraId="22064CEA" w14:textId="77777777" w:rsidTr="006B3996">
        <w:tc>
          <w:tcPr>
            <w:tcW w:w="3608" w:type="dxa"/>
            <w:tcBorders>
              <w:top w:val="single" w:sz="4" w:space="0" w:color="auto"/>
              <w:left w:val="single" w:sz="4" w:space="0" w:color="auto"/>
              <w:bottom w:val="single" w:sz="4" w:space="0" w:color="auto"/>
              <w:right w:val="single" w:sz="4" w:space="0" w:color="auto"/>
            </w:tcBorders>
          </w:tcPr>
          <w:p w14:paraId="22064CD3" w14:textId="77777777" w:rsidR="00AC7152" w:rsidRDefault="00AC7152">
            <w:pPr>
              <w:pStyle w:val="BodyText3"/>
              <w:ind w:left="57" w:right="-57"/>
              <w:rPr>
                <w:b w:val="0"/>
                <w:sz w:val="22"/>
                <w:szCs w:val="22"/>
              </w:rPr>
            </w:pPr>
          </w:p>
          <w:p w14:paraId="22064CD4" w14:textId="77777777" w:rsidR="00AC7152" w:rsidRDefault="00AC7152">
            <w:pPr>
              <w:pStyle w:val="BodyText3"/>
              <w:ind w:left="57" w:right="-57"/>
              <w:rPr>
                <w:b w:val="0"/>
                <w:sz w:val="22"/>
                <w:szCs w:val="22"/>
              </w:rPr>
            </w:pPr>
            <w:r>
              <w:rPr>
                <w:b w:val="0"/>
                <w:sz w:val="22"/>
                <w:szCs w:val="22"/>
              </w:rPr>
              <w:t>Navedena shema doziranja primjenjuje bez valproata ali uz:</w:t>
            </w:r>
          </w:p>
          <w:p w14:paraId="22064CD5" w14:textId="77777777" w:rsidR="00AC7152" w:rsidRDefault="00AC7152">
            <w:pPr>
              <w:pStyle w:val="BodyText3"/>
              <w:ind w:left="57" w:right="-57"/>
              <w:rPr>
                <w:b w:val="0"/>
                <w:sz w:val="22"/>
                <w:szCs w:val="22"/>
              </w:rPr>
            </w:pPr>
          </w:p>
          <w:p w14:paraId="22064CD6" w14:textId="77777777" w:rsidR="00AC7152" w:rsidRDefault="00AC7152">
            <w:pPr>
              <w:pStyle w:val="BodyText3"/>
              <w:ind w:left="57" w:right="-57"/>
              <w:rPr>
                <w:b w:val="0"/>
                <w:sz w:val="22"/>
                <w:szCs w:val="22"/>
              </w:rPr>
            </w:pPr>
            <w:r>
              <w:rPr>
                <w:b w:val="0"/>
                <w:sz w:val="22"/>
                <w:szCs w:val="22"/>
              </w:rPr>
              <w:t>fenitoin</w:t>
            </w:r>
          </w:p>
          <w:p w14:paraId="22064CD7" w14:textId="77777777" w:rsidR="00AC7152" w:rsidRDefault="00AC7152">
            <w:pPr>
              <w:pStyle w:val="BodyText3"/>
              <w:ind w:left="57" w:right="-57"/>
              <w:rPr>
                <w:b w:val="0"/>
                <w:sz w:val="22"/>
                <w:szCs w:val="22"/>
              </w:rPr>
            </w:pPr>
            <w:r>
              <w:rPr>
                <w:b w:val="0"/>
                <w:sz w:val="22"/>
                <w:szCs w:val="22"/>
              </w:rPr>
              <w:t>karbamazepin</w:t>
            </w:r>
          </w:p>
          <w:p w14:paraId="22064CD8" w14:textId="77777777" w:rsidR="00AC7152" w:rsidRDefault="00AC7152">
            <w:pPr>
              <w:pStyle w:val="BodyText3"/>
              <w:ind w:left="57" w:right="-57"/>
              <w:rPr>
                <w:b w:val="0"/>
                <w:sz w:val="22"/>
                <w:szCs w:val="22"/>
              </w:rPr>
            </w:pPr>
            <w:r>
              <w:rPr>
                <w:b w:val="0"/>
                <w:sz w:val="22"/>
                <w:szCs w:val="22"/>
              </w:rPr>
              <w:lastRenderedPageBreak/>
              <w:t>fenobarbiton</w:t>
            </w:r>
          </w:p>
          <w:p w14:paraId="22064CD9" w14:textId="77777777" w:rsidR="00AC7152" w:rsidRDefault="00AC7152">
            <w:pPr>
              <w:pStyle w:val="BodyText3"/>
              <w:ind w:left="57" w:right="-57"/>
              <w:rPr>
                <w:b w:val="0"/>
                <w:sz w:val="22"/>
                <w:szCs w:val="22"/>
              </w:rPr>
            </w:pPr>
            <w:r>
              <w:rPr>
                <w:b w:val="0"/>
                <w:sz w:val="22"/>
                <w:szCs w:val="22"/>
              </w:rPr>
              <w:t>primidon</w:t>
            </w:r>
          </w:p>
          <w:p w14:paraId="22064CDA" w14:textId="77777777" w:rsidR="00AC7152" w:rsidRDefault="00AC7152">
            <w:pPr>
              <w:pStyle w:val="BodyText3"/>
              <w:ind w:left="57" w:right="-57"/>
              <w:rPr>
                <w:b w:val="0"/>
                <w:sz w:val="22"/>
                <w:szCs w:val="22"/>
              </w:rPr>
            </w:pPr>
            <w:r>
              <w:rPr>
                <w:b w:val="0"/>
                <w:sz w:val="22"/>
                <w:szCs w:val="22"/>
              </w:rPr>
              <w:t>rifampicin</w:t>
            </w:r>
          </w:p>
          <w:p w14:paraId="22064CDB" w14:textId="77777777" w:rsidR="00AC7152" w:rsidRDefault="00AC7152">
            <w:pPr>
              <w:pStyle w:val="BodyText3"/>
              <w:ind w:left="57" w:right="-57"/>
              <w:rPr>
                <w:b w:val="0"/>
                <w:sz w:val="22"/>
                <w:szCs w:val="22"/>
              </w:rPr>
            </w:pPr>
            <w:r>
              <w:rPr>
                <w:b w:val="0"/>
                <w:sz w:val="22"/>
                <w:szCs w:val="22"/>
              </w:rPr>
              <w:t>lopinavir/ritonavir</w:t>
            </w:r>
          </w:p>
          <w:p w14:paraId="22064CDC" w14:textId="77777777" w:rsidR="00AC7152" w:rsidRDefault="00AC7152">
            <w:pPr>
              <w:pStyle w:val="BodyText3"/>
              <w:ind w:left="57" w:right="-57"/>
              <w:rPr>
                <w:b w:val="0"/>
                <w:sz w:val="22"/>
                <w:szCs w:val="22"/>
              </w:rPr>
            </w:pPr>
          </w:p>
        </w:tc>
        <w:tc>
          <w:tcPr>
            <w:tcW w:w="1754" w:type="dxa"/>
            <w:tcBorders>
              <w:top w:val="single" w:sz="4" w:space="0" w:color="auto"/>
              <w:left w:val="single" w:sz="4" w:space="0" w:color="auto"/>
              <w:bottom w:val="single" w:sz="4" w:space="0" w:color="auto"/>
              <w:right w:val="single" w:sz="4" w:space="0" w:color="auto"/>
            </w:tcBorders>
          </w:tcPr>
          <w:p w14:paraId="22064CDD" w14:textId="77777777" w:rsidR="00AC7152" w:rsidRDefault="00AC7152">
            <w:pPr>
              <w:pStyle w:val="BodyText3"/>
              <w:ind w:left="57" w:right="-57"/>
              <w:rPr>
                <w:b w:val="0"/>
                <w:sz w:val="22"/>
                <w:szCs w:val="22"/>
              </w:rPr>
            </w:pPr>
          </w:p>
          <w:p w14:paraId="22064CDE" w14:textId="77777777" w:rsidR="00AC7152" w:rsidRDefault="00AC7152">
            <w:pPr>
              <w:pStyle w:val="BodyText3"/>
              <w:ind w:left="57" w:right="-57"/>
              <w:rPr>
                <w:b w:val="0"/>
                <w:sz w:val="22"/>
                <w:szCs w:val="22"/>
              </w:rPr>
            </w:pPr>
            <w:r>
              <w:rPr>
                <w:b w:val="0"/>
                <w:sz w:val="22"/>
                <w:szCs w:val="22"/>
              </w:rPr>
              <w:t>0,6 mg/kg/dnevno</w:t>
            </w:r>
          </w:p>
          <w:p w14:paraId="22064CDF" w14:textId="77777777" w:rsidR="00AC7152" w:rsidRDefault="00AC7152">
            <w:pPr>
              <w:pStyle w:val="BodyText3"/>
              <w:ind w:left="57" w:right="-57"/>
              <w:rPr>
                <w:b w:val="0"/>
                <w:sz w:val="22"/>
                <w:szCs w:val="22"/>
              </w:rPr>
            </w:pPr>
            <w:r>
              <w:rPr>
                <w:b w:val="0"/>
                <w:sz w:val="22"/>
                <w:szCs w:val="22"/>
              </w:rPr>
              <w:t>(podijeljeno u dvije doze)</w:t>
            </w:r>
          </w:p>
          <w:p w14:paraId="22064CE0" w14:textId="77777777" w:rsidR="00AC7152" w:rsidRDefault="00AC7152">
            <w:pPr>
              <w:pStyle w:val="BodyText3"/>
              <w:ind w:left="57" w:right="-57"/>
              <w:rPr>
                <w:b w:val="0"/>
                <w:sz w:val="22"/>
                <w:szCs w:val="22"/>
              </w:rPr>
            </w:pPr>
          </w:p>
        </w:tc>
        <w:tc>
          <w:tcPr>
            <w:tcW w:w="1749" w:type="dxa"/>
            <w:tcBorders>
              <w:top w:val="single" w:sz="4" w:space="0" w:color="auto"/>
              <w:left w:val="single" w:sz="4" w:space="0" w:color="auto"/>
              <w:bottom w:val="single" w:sz="4" w:space="0" w:color="auto"/>
              <w:right w:val="single" w:sz="4" w:space="0" w:color="auto"/>
            </w:tcBorders>
          </w:tcPr>
          <w:p w14:paraId="22064CE1" w14:textId="77777777" w:rsidR="00AC7152" w:rsidRDefault="00AC7152">
            <w:pPr>
              <w:pStyle w:val="BodyText3"/>
              <w:ind w:left="57" w:right="-57"/>
              <w:rPr>
                <w:b w:val="0"/>
                <w:sz w:val="22"/>
                <w:szCs w:val="22"/>
              </w:rPr>
            </w:pPr>
          </w:p>
          <w:p w14:paraId="22064CE2" w14:textId="77777777" w:rsidR="00AC7152" w:rsidRDefault="00AC7152">
            <w:pPr>
              <w:pStyle w:val="BodyText3"/>
              <w:ind w:left="57" w:right="-57"/>
              <w:rPr>
                <w:b w:val="0"/>
                <w:sz w:val="22"/>
                <w:szCs w:val="22"/>
              </w:rPr>
            </w:pPr>
            <w:r>
              <w:rPr>
                <w:b w:val="0"/>
                <w:sz w:val="22"/>
                <w:szCs w:val="22"/>
              </w:rPr>
              <w:t>1,2 mg/kg/dnevno</w:t>
            </w:r>
          </w:p>
          <w:p w14:paraId="22064CE3" w14:textId="77777777" w:rsidR="00AC7152" w:rsidRDefault="00AC7152">
            <w:pPr>
              <w:pStyle w:val="BodyText3"/>
              <w:ind w:left="57" w:right="-57"/>
              <w:rPr>
                <w:b w:val="0"/>
                <w:sz w:val="22"/>
                <w:szCs w:val="22"/>
              </w:rPr>
            </w:pPr>
            <w:r>
              <w:rPr>
                <w:b w:val="0"/>
                <w:sz w:val="22"/>
                <w:szCs w:val="22"/>
              </w:rPr>
              <w:t>(podijeljeno u dvije doze)</w:t>
            </w:r>
          </w:p>
          <w:p w14:paraId="22064CE4" w14:textId="77777777" w:rsidR="00AC7152" w:rsidRDefault="00AC7152">
            <w:pPr>
              <w:pStyle w:val="BodyText3"/>
              <w:ind w:left="57" w:right="-57"/>
              <w:rPr>
                <w:b w:val="0"/>
                <w:sz w:val="22"/>
                <w:szCs w:val="22"/>
              </w:rPr>
            </w:pPr>
          </w:p>
        </w:tc>
        <w:tc>
          <w:tcPr>
            <w:tcW w:w="2609" w:type="dxa"/>
            <w:tcBorders>
              <w:top w:val="single" w:sz="4" w:space="0" w:color="auto"/>
              <w:left w:val="single" w:sz="4" w:space="0" w:color="auto"/>
              <w:bottom w:val="single" w:sz="4" w:space="0" w:color="auto"/>
              <w:right w:val="single" w:sz="4" w:space="0" w:color="auto"/>
            </w:tcBorders>
          </w:tcPr>
          <w:p w14:paraId="22064CE5" w14:textId="77777777" w:rsidR="00AC7152" w:rsidRDefault="00AC7152">
            <w:pPr>
              <w:pStyle w:val="BodyText3"/>
              <w:ind w:left="57" w:right="-57"/>
              <w:rPr>
                <w:b w:val="0"/>
                <w:sz w:val="22"/>
                <w:szCs w:val="22"/>
              </w:rPr>
            </w:pPr>
          </w:p>
          <w:p w14:paraId="22064CE6" w14:textId="77777777" w:rsidR="00AC7152" w:rsidRDefault="00AC7152">
            <w:pPr>
              <w:pStyle w:val="BodyText3"/>
              <w:ind w:left="57" w:right="-57"/>
              <w:rPr>
                <w:b w:val="0"/>
                <w:sz w:val="22"/>
                <w:szCs w:val="22"/>
              </w:rPr>
            </w:pPr>
            <w:r>
              <w:rPr>
                <w:b w:val="0"/>
                <w:sz w:val="22"/>
                <w:szCs w:val="22"/>
              </w:rPr>
              <w:t>5-15 mg/kg/dnevno (jednom dnevno ili podijeljeno u dvije doze)</w:t>
            </w:r>
          </w:p>
          <w:p w14:paraId="22064CE7" w14:textId="77777777" w:rsidR="00AC7152" w:rsidRDefault="00AC7152">
            <w:pPr>
              <w:pStyle w:val="BodyText3"/>
              <w:ind w:left="57" w:right="-57"/>
              <w:rPr>
                <w:b w:val="0"/>
                <w:sz w:val="22"/>
                <w:szCs w:val="22"/>
              </w:rPr>
            </w:pPr>
          </w:p>
          <w:p w14:paraId="22064CE8" w14:textId="77777777" w:rsidR="00AC7152" w:rsidRDefault="00AC7152">
            <w:pPr>
              <w:pStyle w:val="BodyText3"/>
              <w:ind w:left="57" w:right="-57"/>
              <w:rPr>
                <w:b w:val="0"/>
                <w:sz w:val="22"/>
                <w:szCs w:val="22"/>
              </w:rPr>
            </w:pPr>
            <w:r>
              <w:rPr>
                <w:b w:val="0"/>
                <w:sz w:val="22"/>
                <w:szCs w:val="22"/>
              </w:rPr>
              <w:lastRenderedPageBreak/>
              <w:t>Da bi se postiglo održanje efekta, doze se mogu povećavati za maksimalno 1,2 mg/kg/dnevno svake do svake druge nedjelje do postizanja optimalnog terapijskog odgovora sa maksimalnom dozom održavanja od 400 mg/dnevno</w:t>
            </w:r>
          </w:p>
          <w:p w14:paraId="22064CE9" w14:textId="77777777" w:rsidR="00AC7152" w:rsidRDefault="00AC7152">
            <w:pPr>
              <w:pStyle w:val="BodyText3"/>
              <w:ind w:right="-57"/>
              <w:rPr>
                <w:b w:val="0"/>
                <w:sz w:val="22"/>
                <w:szCs w:val="22"/>
              </w:rPr>
            </w:pPr>
          </w:p>
        </w:tc>
      </w:tr>
      <w:tr w:rsidR="00AC7152" w:rsidRPr="00BF78B0" w14:paraId="22064CEC" w14:textId="77777777" w:rsidTr="006B3996">
        <w:tc>
          <w:tcPr>
            <w:tcW w:w="9720" w:type="dxa"/>
            <w:gridSpan w:val="4"/>
            <w:tcBorders>
              <w:top w:val="single" w:sz="4" w:space="0" w:color="auto"/>
              <w:left w:val="single" w:sz="4" w:space="0" w:color="auto"/>
              <w:bottom w:val="single" w:sz="4" w:space="0" w:color="auto"/>
              <w:right w:val="single" w:sz="4" w:space="0" w:color="auto"/>
            </w:tcBorders>
            <w:hideMark/>
          </w:tcPr>
          <w:p w14:paraId="22064CEB" w14:textId="3B9C5B5C" w:rsidR="00AC7152" w:rsidRDefault="00AC7152">
            <w:pPr>
              <w:pStyle w:val="BodyText3"/>
              <w:ind w:left="57" w:right="-57"/>
              <w:rPr>
                <w:b w:val="0"/>
                <w:sz w:val="22"/>
                <w:szCs w:val="22"/>
              </w:rPr>
            </w:pPr>
            <w:r>
              <w:rPr>
                <w:sz w:val="22"/>
                <w:szCs w:val="22"/>
              </w:rPr>
              <w:lastRenderedPageBreak/>
              <w:t xml:space="preserve">Adjuvantna terapija </w:t>
            </w:r>
            <w:smartTag w:uri="urn:schemas-microsoft-com:office:smarttags" w:element="stockticker">
              <w:r>
                <w:rPr>
                  <w:sz w:val="22"/>
                  <w:szCs w:val="22"/>
                </w:rPr>
                <w:t>BEZ</w:t>
              </w:r>
            </w:smartTag>
            <w:r>
              <w:rPr>
                <w:sz w:val="22"/>
                <w:szCs w:val="22"/>
              </w:rPr>
              <w:t xml:space="preserve"> valproata i </w:t>
            </w:r>
            <w:smartTag w:uri="urn:schemas-microsoft-com:office:smarttags" w:element="stockticker">
              <w:r>
                <w:rPr>
                  <w:sz w:val="22"/>
                  <w:szCs w:val="22"/>
                </w:rPr>
                <w:t>BEZ</w:t>
              </w:r>
            </w:smartTag>
            <w:r>
              <w:rPr>
                <w:sz w:val="22"/>
                <w:szCs w:val="22"/>
              </w:rPr>
              <w:t xml:space="preserve"> induktora glukuronidacije lamotrigina</w:t>
            </w:r>
            <w:r>
              <w:rPr>
                <w:b w:val="0"/>
                <w:sz w:val="22"/>
                <w:szCs w:val="22"/>
              </w:rPr>
              <w:t xml:space="preserve"> (vidjeti </w:t>
            </w:r>
            <w:r w:rsidR="00706D93">
              <w:rPr>
                <w:b w:val="0"/>
                <w:sz w:val="22"/>
                <w:szCs w:val="22"/>
              </w:rPr>
              <w:t>dio</w:t>
            </w:r>
            <w:r>
              <w:rPr>
                <w:b w:val="0"/>
                <w:sz w:val="22"/>
                <w:szCs w:val="22"/>
              </w:rPr>
              <w:t xml:space="preserve"> 4.5):</w:t>
            </w:r>
          </w:p>
        </w:tc>
      </w:tr>
      <w:tr w:rsidR="00AC7152" w:rsidRPr="00BF78B0" w14:paraId="22064CFB" w14:textId="77777777" w:rsidTr="006B3996">
        <w:tc>
          <w:tcPr>
            <w:tcW w:w="3608" w:type="dxa"/>
            <w:tcBorders>
              <w:top w:val="single" w:sz="4" w:space="0" w:color="auto"/>
              <w:left w:val="single" w:sz="4" w:space="0" w:color="auto"/>
              <w:bottom w:val="single" w:sz="4" w:space="0" w:color="auto"/>
              <w:right w:val="single" w:sz="4" w:space="0" w:color="auto"/>
            </w:tcBorders>
          </w:tcPr>
          <w:p w14:paraId="22064CED" w14:textId="77777777" w:rsidR="00AC7152" w:rsidRDefault="00AC7152">
            <w:pPr>
              <w:pStyle w:val="BodyText3"/>
              <w:ind w:left="57" w:right="-57"/>
              <w:rPr>
                <w:b w:val="0"/>
                <w:sz w:val="22"/>
                <w:szCs w:val="22"/>
              </w:rPr>
            </w:pPr>
          </w:p>
          <w:p w14:paraId="22064CEE" w14:textId="77777777" w:rsidR="00AC7152" w:rsidRDefault="00AC7152">
            <w:pPr>
              <w:pStyle w:val="BodyText3"/>
              <w:ind w:left="57" w:right="-57"/>
              <w:rPr>
                <w:b w:val="0"/>
                <w:sz w:val="22"/>
                <w:szCs w:val="22"/>
              </w:rPr>
            </w:pPr>
            <w:r>
              <w:rPr>
                <w:b w:val="0"/>
                <w:sz w:val="22"/>
                <w:szCs w:val="22"/>
              </w:rPr>
              <w:t>Navedena shema doziranja primjenjuje se u terapiji sa drugim ljekovima koji značajno ne inhibiraju ili indukuju glukuronidaciju lamotrigina.</w:t>
            </w:r>
          </w:p>
        </w:tc>
        <w:tc>
          <w:tcPr>
            <w:tcW w:w="1754" w:type="dxa"/>
            <w:tcBorders>
              <w:top w:val="single" w:sz="4" w:space="0" w:color="auto"/>
              <w:left w:val="single" w:sz="4" w:space="0" w:color="auto"/>
              <w:bottom w:val="single" w:sz="4" w:space="0" w:color="auto"/>
              <w:right w:val="single" w:sz="4" w:space="0" w:color="auto"/>
            </w:tcBorders>
          </w:tcPr>
          <w:p w14:paraId="22064CEF" w14:textId="77777777" w:rsidR="00AC7152" w:rsidRDefault="00AC7152">
            <w:pPr>
              <w:pStyle w:val="BodyText3"/>
              <w:ind w:left="57" w:right="-57"/>
              <w:rPr>
                <w:b w:val="0"/>
                <w:sz w:val="22"/>
                <w:szCs w:val="22"/>
              </w:rPr>
            </w:pPr>
          </w:p>
          <w:p w14:paraId="22064CF0" w14:textId="77777777" w:rsidR="00AC7152" w:rsidRDefault="00AC7152">
            <w:pPr>
              <w:pStyle w:val="BodyText3"/>
              <w:ind w:left="57" w:right="-57"/>
              <w:rPr>
                <w:b w:val="0"/>
                <w:sz w:val="22"/>
                <w:szCs w:val="22"/>
              </w:rPr>
            </w:pPr>
            <w:r>
              <w:rPr>
                <w:b w:val="0"/>
                <w:sz w:val="22"/>
                <w:szCs w:val="22"/>
              </w:rPr>
              <w:t>0,3 mg/kg/dnevno</w:t>
            </w:r>
          </w:p>
          <w:p w14:paraId="22064CF1" w14:textId="77777777" w:rsidR="00AC7152" w:rsidRDefault="00AC7152">
            <w:pPr>
              <w:pStyle w:val="BodyText3"/>
              <w:ind w:left="57" w:right="-57"/>
              <w:rPr>
                <w:b w:val="0"/>
                <w:sz w:val="22"/>
                <w:szCs w:val="22"/>
              </w:rPr>
            </w:pPr>
            <w:r>
              <w:rPr>
                <w:b w:val="0"/>
                <w:sz w:val="22"/>
                <w:szCs w:val="22"/>
              </w:rPr>
              <w:t>(jednom dnevno ili podijeljeno u dvije doze)</w:t>
            </w:r>
          </w:p>
        </w:tc>
        <w:tc>
          <w:tcPr>
            <w:tcW w:w="1749" w:type="dxa"/>
            <w:tcBorders>
              <w:top w:val="single" w:sz="4" w:space="0" w:color="auto"/>
              <w:left w:val="single" w:sz="4" w:space="0" w:color="auto"/>
              <w:bottom w:val="single" w:sz="4" w:space="0" w:color="auto"/>
              <w:right w:val="single" w:sz="4" w:space="0" w:color="auto"/>
            </w:tcBorders>
          </w:tcPr>
          <w:p w14:paraId="22064CF2" w14:textId="77777777" w:rsidR="00AC7152" w:rsidRDefault="00AC7152">
            <w:pPr>
              <w:pStyle w:val="BodyText3"/>
              <w:ind w:left="57" w:right="-57"/>
              <w:rPr>
                <w:b w:val="0"/>
                <w:sz w:val="22"/>
                <w:szCs w:val="22"/>
              </w:rPr>
            </w:pPr>
          </w:p>
          <w:p w14:paraId="22064CF3" w14:textId="77777777" w:rsidR="00AC7152" w:rsidRDefault="00AC7152">
            <w:pPr>
              <w:pStyle w:val="BodyText3"/>
              <w:ind w:left="57" w:right="-57"/>
              <w:rPr>
                <w:b w:val="0"/>
                <w:sz w:val="22"/>
                <w:szCs w:val="22"/>
              </w:rPr>
            </w:pPr>
            <w:r>
              <w:rPr>
                <w:b w:val="0"/>
                <w:sz w:val="22"/>
                <w:szCs w:val="22"/>
              </w:rPr>
              <w:t>0,6 mg/kg/dnevno</w:t>
            </w:r>
          </w:p>
          <w:p w14:paraId="22064CF4" w14:textId="77777777" w:rsidR="00AC7152" w:rsidRDefault="00AC7152">
            <w:pPr>
              <w:pStyle w:val="BodyText3"/>
              <w:ind w:left="57" w:right="-57"/>
              <w:rPr>
                <w:b w:val="0"/>
                <w:sz w:val="22"/>
                <w:szCs w:val="22"/>
              </w:rPr>
            </w:pPr>
            <w:r>
              <w:rPr>
                <w:b w:val="0"/>
                <w:sz w:val="22"/>
                <w:szCs w:val="22"/>
              </w:rPr>
              <w:t>(jednom dnevno ili podijeljeno u dvije doze)</w:t>
            </w:r>
          </w:p>
          <w:p w14:paraId="22064CF5" w14:textId="77777777" w:rsidR="00AC7152" w:rsidRDefault="00AC7152">
            <w:pPr>
              <w:pStyle w:val="BodyText3"/>
              <w:ind w:left="57" w:right="-57"/>
              <w:rPr>
                <w:b w:val="0"/>
                <w:sz w:val="22"/>
                <w:szCs w:val="22"/>
              </w:rPr>
            </w:pPr>
          </w:p>
        </w:tc>
        <w:tc>
          <w:tcPr>
            <w:tcW w:w="2609" w:type="dxa"/>
            <w:tcBorders>
              <w:top w:val="single" w:sz="4" w:space="0" w:color="auto"/>
              <w:left w:val="single" w:sz="4" w:space="0" w:color="auto"/>
              <w:bottom w:val="single" w:sz="4" w:space="0" w:color="auto"/>
              <w:right w:val="single" w:sz="4" w:space="0" w:color="auto"/>
            </w:tcBorders>
          </w:tcPr>
          <w:p w14:paraId="22064CF6" w14:textId="77777777" w:rsidR="00AC7152" w:rsidRDefault="00AC7152">
            <w:pPr>
              <w:pStyle w:val="BodyText3"/>
              <w:ind w:left="57" w:right="-57"/>
              <w:rPr>
                <w:b w:val="0"/>
                <w:sz w:val="22"/>
                <w:szCs w:val="22"/>
              </w:rPr>
            </w:pPr>
          </w:p>
          <w:p w14:paraId="22064CF7" w14:textId="77777777" w:rsidR="00AC7152" w:rsidRDefault="00AC7152">
            <w:pPr>
              <w:pStyle w:val="BodyText3"/>
              <w:ind w:left="57" w:right="-57"/>
              <w:rPr>
                <w:b w:val="0"/>
                <w:sz w:val="22"/>
                <w:szCs w:val="22"/>
              </w:rPr>
            </w:pPr>
            <w:r>
              <w:rPr>
                <w:b w:val="0"/>
                <w:sz w:val="22"/>
                <w:szCs w:val="22"/>
              </w:rPr>
              <w:t>1-10 mg/kg/dnevno (jednom dnevno ili podijeljeno u dvije doze)</w:t>
            </w:r>
          </w:p>
          <w:p w14:paraId="22064CF8" w14:textId="77777777" w:rsidR="00AC7152" w:rsidRDefault="00AC7152">
            <w:pPr>
              <w:pStyle w:val="BodyText3"/>
              <w:ind w:left="57" w:right="-57"/>
              <w:rPr>
                <w:b w:val="0"/>
                <w:sz w:val="22"/>
                <w:szCs w:val="22"/>
              </w:rPr>
            </w:pPr>
          </w:p>
          <w:p w14:paraId="22064CF9" w14:textId="77777777" w:rsidR="00AC7152" w:rsidRDefault="00AC7152">
            <w:pPr>
              <w:pStyle w:val="BodyText3"/>
              <w:ind w:left="57" w:right="-57"/>
              <w:rPr>
                <w:b w:val="0"/>
                <w:sz w:val="22"/>
                <w:szCs w:val="22"/>
              </w:rPr>
            </w:pPr>
            <w:r>
              <w:rPr>
                <w:b w:val="0"/>
                <w:sz w:val="22"/>
                <w:szCs w:val="22"/>
              </w:rPr>
              <w:t>Da bi se postiglo održanje efekta, doze se mogu povećavati za maksimalno 0,6 mg/kg/dnevno svake do svake druge nedjelje do postizanja optimalnog terapijskog odgovora sa maksimalnom dozom održavanja od 200 mg/dnevno</w:t>
            </w:r>
          </w:p>
          <w:p w14:paraId="22064CFA" w14:textId="77777777" w:rsidR="00AC7152" w:rsidRDefault="00AC7152">
            <w:pPr>
              <w:pStyle w:val="BodyText3"/>
              <w:ind w:left="57" w:right="-57"/>
              <w:rPr>
                <w:b w:val="0"/>
                <w:sz w:val="22"/>
                <w:szCs w:val="22"/>
              </w:rPr>
            </w:pPr>
          </w:p>
        </w:tc>
      </w:tr>
      <w:tr w:rsidR="00AC7152" w:rsidRPr="00BF78B0" w14:paraId="22064CFE" w14:textId="77777777" w:rsidTr="006B3996">
        <w:trPr>
          <w:trHeight w:val="450"/>
        </w:trPr>
        <w:tc>
          <w:tcPr>
            <w:tcW w:w="9720" w:type="dxa"/>
            <w:gridSpan w:val="4"/>
            <w:tcBorders>
              <w:top w:val="single" w:sz="4" w:space="0" w:color="auto"/>
              <w:left w:val="single" w:sz="4" w:space="0" w:color="auto"/>
              <w:bottom w:val="single" w:sz="4" w:space="0" w:color="auto"/>
              <w:right w:val="single" w:sz="4" w:space="0" w:color="auto"/>
            </w:tcBorders>
          </w:tcPr>
          <w:p w14:paraId="22064CFC" w14:textId="0A4D217D" w:rsidR="00AC7152" w:rsidRDefault="00AC7152" w:rsidP="006B3996">
            <w:pPr>
              <w:pStyle w:val="BodyText3"/>
              <w:ind w:left="57" w:right="-57"/>
              <w:jc w:val="both"/>
              <w:rPr>
                <w:b w:val="0"/>
                <w:sz w:val="22"/>
                <w:szCs w:val="22"/>
              </w:rPr>
            </w:pPr>
            <w:r>
              <w:rPr>
                <w:b w:val="0"/>
                <w:sz w:val="22"/>
                <w:szCs w:val="22"/>
              </w:rPr>
              <w:t xml:space="preserve">Kod pacijenata koji primjenjuju ljekove čija farmakokinetička interakcija sa lamotriginom za sada još uvijek nije poznata (vidjeti </w:t>
            </w:r>
            <w:r w:rsidR="00706D93">
              <w:rPr>
                <w:b w:val="0"/>
                <w:sz w:val="22"/>
                <w:szCs w:val="22"/>
              </w:rPr>
              <w:t>dio</w:t>
            </w:r>
            <w:r>
              <w:rPr>
                <w:b w:val="0"/>
                <w:sz w:val="22"/>
                <w:szCs w:val="22"/>
              </w:rPr>
              <w:t xml:space="preserve"> 4.5), potrebno je primijeniti terapijsku shemu doziranja preporučenu za istovremenu primjenu lamotrigina i valproata.</w:t>
            </w:r>
          </w:p>
          <w:p w14:paraId="22064CFD" w14:textId="77777777" w:rsidR="00AC7152" w:rsidRDefault="00AC7152" w:rsidP="006B3996">
            <w:pPr>
              <w:pStyle w:val="BodyText3"/>
              <w:ind w:left="57" w:right="-57"/>
              <w:jc w:val="both"/>
              <w:rPr>
                <w:b w:val="0"/>
                <w:sz w:val="22"/>
                <w:szCs w:val="22"/>
              </w:rPr>
            </w:pPr>
          </w:p>
        </w:tc>
      </w:tr>
      <w:tr w:rsidR="00C825C6" w:rsidRPr="00BF78B0" w14:paraId="1E221667" w14:textId="0A8A4491" w:rsidTr="00271360">
        <w:trPr>
          <w:trHeight w:val="450"/>
        </w:trPr>
        <w:tc>
          <w:tcPr>
            <w:tcW w:w="9715" w:type="dxa"/>
            <w:gridSpan w:val="4"/>
            <w:tcBorders>
              <w:top w:val="single" w:sz="4" w:space="0" w:color="auto"/>
              <w:left w:val="single" w:sz="4" w:space="0" w:color="auto"/>
              <w:bottom w:val="single" w:sz="4" w:space="0" w:color="auto"/>
              <w:right w:val="single" w:sz="4" w:space="0" w:color="auto"/>
            </w:tcBorders>
          </w:tcPr>
          <w:p w14:paraId="4B1426CF" w14:textId="09710D4E" w:rsidR="0048399F" w:rsidRPr="00C555F1" w:rsidRDefault="008F09D2" w:rsidP="0048399F">
            <w:pPr>
              <w:pStyle w:val="BodyText3"/>
              <w:ind w:left="57" w:right="-57"/>
              <w:rPr>
                <w:b w:val="0"/>
                <w:sz w:val="22"/>
                <w:szCs w:val="22"/>
              </w:rPr>
            </w:pPr>
            <w:r w:rsidRPr="00B24068">
              <w:t xml:space="preserve">* </w:t>
            </w:r>
            <w:r w:rsidRPr="00462C9E">
              <w:rPr>
                <w:b w:val="0"/>
                <w:sz w:val="22"/>
                <w:szCs w:val="22"/>
              </w:rPr>
              <w:t>Ukoliko je izračunata dnevna doza kod pacijenata koji uzimaju valproat 1</w:t>
            </w:r>
            <w:r w:rsidR="00391680">
              <w:rPr>
                <w:b w:val="0"/>
                <w:sz w:val="22"/>
                <w:szCs w:val="22"/>
              </w:rPr>
              <w:t xml:space="preserve"> </w:t>
            </w:r>
            <w:r w:rsidRPr="00462C9E">
              <w:rPr>
                <w:b w:val="0"/>
                <w:sz w:val="22"/>
                <w:szCs w:val="22"/>
              </w:rPr>
              <w:t>mg ili veća, ali manja od 2</w:t>
            </w:r>
            <w:r w:rsidR="00C02BF8">
              <w:rPr>
                <w:b w:val="0"/>
                <w:sz w:val="22"/>
                <w:szCs w:val="22"/>
              </w:rPr>
              <w:t xml:space="preserve"> </w:t>
            </w:r>
            <w:r w:rsidRPr="00462C9E">
              <w:rPr>
                <w:b w:val="0"/>
                <w:sz w:val="22"/>
                <w:szCs w:val="22"/>
              </w:rPr>
              <w:t>mg, tada se l</w:t>
            </w:r>
            <w:r>
              <w:rPr>
                <w:b w:val="0"/>
                <w:sz w:val="22"/>
                <w:szCs w:val="22"/>
              </w:rPr>
              <w:t>ij</w:t>
            </w:r>
            <w:r w:rsidRPr="00462C9E">
              <w:rPr>
                <w:b w:val="0"/>
                <w:sz w:val="22"/>
                <w:szCs w:val="22"/>
              </w:rPr>
              <w:t>ek Lamictal od 2</w:t>
            </w:r>
            <w:r w:rsidR="00391680">
              <w:rPr>
                <w:b w:val="0"/>
                <w:sz w:val="22"/>
                <w:szCs w:val="22"/>
              </w:rPr>
              <w:t xml:space="preserve"> </w:t>
            </w:r>
            <w:r w:rsidRPr="00462C9E">
              <w:rPr>
                <w:b w:val="0"/>
                <w:sz w:val="22"/>
                <w:szCs w:val="22"/>
              </w:rPr>
              <w:t>mg, tablete za</w:t>
            </w:r>
            <w:r w:rsidRPr="008F09D2">
              <w:rPr>
                <w:b w:val="0"/>
                <w:sz w:val="22"/>
                <w:szCs w:val="22"/>
              </w:rPr>
              <w:t xml:space="preserve"> žvakanje/oralnu disperziju mogu</w:t>
            </w:r>
            <w:r w:rsidRPr="00462C9E">
              <w:rPr>
                <w:b w:val="0"/>
                <w:sz w:val="22"/>
                <w:szCs w:val="22"/>
              </w:rPr>
              <w:t xml:space="preserve"> uzimati svaki drugi dan tokom prve dv</w:t>
            </w:r>
            <w:r>
              <w:rPr>
                <w:b w:val="0"/>
                <w:sz w:val="22"/>
                <w:szCs w:val="22"/>
              </w:rPr>
              <w:t>ij</w:t>
            </w:r>
            <w:r w:rsidRPr="00462C9E">
              <w:rPr>
                <w:b w:val="0"/>
                <w:sz w:val="22"/>
                <w:szCs w:val="22"/>
              </w:rPr>
              <w:t>e ned</w:t>
            </w:r>
            <w:r>
              <w:rPr>
                <w:b w:val="0"/>
                <w:sz w:val="22"/>
                <w:szCs w:val="22"/>
              </w:rPr>
              <w:t>j</w:t>
            </w:r>
            <w:r w:rsidRPr="00462C9E">
              <w:rPr>
                <w:b w:val="0"/>
                <w:sz w:val="22"/>
                <w:szCs w:val="22"/>
              </w:rPr>
              <w:t>elje. Ukoliko je izračunata dnevna doza kod pacijenata koji uzimaju valproat manja od 1</w:t>
            </w:r>
            <w:r w:rsidR="00C02BF8">
              <w:rPr>
                <w:b w:val="0"/>
                <w:sz w:val="22"/>
                <w:szCs w:val="22"/>
              </w:rPr>
              <w:t xml:space="preserve"> </w:t>
            </w:r>
            <w:r w:rsidRPr="00462C9E">
              <w:rPr>
                <w:b w:val="0"/>
                <w:sz w:val="22"/>
                <w:szCs w:val="22"/>
              </w:rPr>
              <w:t>mg, tada se l</w:t>
            </w:r>
            <w:r>
              <w:rPr>
                <w:b w:val="0"/>
                <w:sz w:val="22"/>
                <w:szCs w:val="22"/>
              </w:rPr>
              <w:t>ij</w:t>
            </w:r>
            <w:r w:rsidRPr="00462C9E">
              <w:rPr>
                <w:b w:val="0"/>
                <w:sz w:val="22"/>
                <w:szCs w:val="22"/>
              </w:rPr>
              <w:t>ek Lamictal ne sm</w:t>
            </w:r>
            <w:r>
              <w:rPr>
                <w:b w:val="0"/>
                <w:sz w:val="22"/>
                <w:szCs w:val="22"/>
              </w:rPr>
              <w:t>ij</w:t>
            </w:r>
            <w:r w:rsidRPr="00462C9E">
              <w:rPr>
                <w:b w:val="0"/>
                <w:sz w:val="22"/>
                <w:szCs w:val="22"/>
              </w:rPr>
              <w:t>e koristiti.</w:t>
            </w:r>
            <w:r w:rsidR="0048399F" w:rsidRPr="00C555F1">
              <w:rPr>
                <w:b w:val="0"/>
                <w:sz w:val="22"/>
                <w:szCs w:val="22"/>
              </w:rPr>
              <w:t xml:space="preserve"> (za dodatne informacije o l</w:t>
            </w:r>
            <w:r w:rsidR="00DF34BF">
              <w:rPr>
                <w:b w:val="0"/>
                <w:sz w:val="22"/>
                <w:szCs w:val="22"/>
              </w:rPr>
              <w:t>ij</w:t>
            </w:r>
            <w:r w:rsidR="0048399F" w:rsidRPr="00C555F1">
              <w:rPr>
                <w:b w:val="0"/>
                <w:sz w:val="22"/>
                <w:szCs w:val="22"/>
              </w:rPr>
              <w:t>eku i načinu prim</w:t>
            </w:r>
            <w:r w:rsidR="00DF34BF">
              <w:rPr>
                <w:b w:val="0"/>
                <w:sz w:val="22"/>
                <w:szCs w:val="22"/>
              </w:rPr>
              <w:t>j</w:t>
            </w:r>
            <w:r w:rsidR="0048399F" w:rsidRPr="00C555F1">
              <w:rPr>
                <w:b w:val="0"/>
                <w:sz w:val="22"/>
                <w:szCs w:val="22"/>
              </w:rPr>
              <w:t>ene vid</w:t>
            </w:r>
            <w:r w:rsidR="00DF34BF">
              <w:rPr>
                <w:b w:val="0"/>
                <w:sz w:val="22"/>
                <w:szCs w:val="22"/>
              </w:rPr>
              <w:t>j</w:t>
            </w:r>
            <w:r w:rsidR="0048399F" w:rsidRPr="00C555F1">
              <w:rPr>
                <w:b w:val="0"/>
                <w:sz w:val="22"/>
                <w:szCs w:val="22"/>
              </w:rPr>
              <w:t>eti Sažetak</w:t>
            </w:r>
          </w:p>
          <w:p w14:paraId="5ED4A09A" w14:textId="64BA656F" w:rsidR="00C825C6" w:rsidRDefault="0048399F" w:rsidP="0048399F">
            <w:pPr>
              <w:pStyle w:val="BodyText3"/>
              <w:ind w:left="57" w:right="-57"/>
              <w:rPr>
                <w:b w:val="0"/>
                <w:sz w:val="22"/>
                <w:szCs w:val="22"/>
              </w:rPr>
            </w:pPr>
            <w:r w:rsidRPr="00C555F1">
              <w:rPr>
                <w:b w:val="0"/>
                <w:sz w:val="22"/>
                <w:szCs w:val="22"/>
              </w:rPr>
              <w:t>karakteristika i Uputstvo za upotrebu l</w:t>
            </w:r>
            <w:r w:rsidR="00C02BF8">
              <w:rPr>
                <w:b w:val="0"/>
                <w:sz w:val="22"/>
                <w:szCs w:val="22"/>
              </w:rPr>
              <w:t>ij</w:t>
            </w:r>
            <w:r w:rsidRPr="00C555F1">
              <w:rPr>
                <w:b w:val="0"/>
                <w:sz w:val="22"/>
                <w:szCs w:val="22"/>
              </w:rPr>
              <w:t xml:space="preserve">eka Lamictal, tableta za žvakanje/oralnu disperziju, 2 mg) </w:t>
            </w:r>
            <w:r w:rsidRPr="0048399F">
              <w:rPr>
                <w:b w:val="0"/>
                <w:sz w:val="22"/>
                <w:szCs w:val="22"/>
              </w:rPr>
              <w:t>#</w:t>
            </w:r>
          </w:p>
        </w:tc>
      </w:tr>
    </w:tbl>
    <w:p w14:paraId="22064CFF" w14:textId="77777777" w:rsidR="00AC7152" w:rsidRDefault="00AC7152" w:rsidP="00AC7152">
      <w:pPr>
        <w:pStyle w:val="Header"/>
        <w:tabs>
          <w:tab w:val="left" w:pos="284"/>
        </w:tabs>
        <w:rPr>
          <w:sz w:val="22"/>
          <w:szCs w:val="22"/>
          <w:lang w:val="sl-SI"/>
        </w:rPr>
      </w:pPr>
    </w:p>
    <w:p w14:paraId="5AB8E853" w14:textId="2BEA49B7" w:rsidR="008A0FD0" w:rsidRDefault="008A0FD0" w:rsidP="006B3996">
      <w:pPr>
        <w:pStyle w:val="Header"/>
        <w:tabs>
          <w:tab w:val="left" w:pos="284"/>
        </w:tabs>
        <w:jc w:val="both"/>
        <w:rPr>
          <w:sz w:val="22"/>
          <w:szCs w:val="22"/>
          <w:lang w:val="sl-SI"/>
        </w:rPr>
      </w:pPr>
      <w:r>
        <w:rPr>
          <w:sz w:val="22"/>
          <w:szCs w:val="22"/>
          <w:lang w:val="sl-SI"/>
        </w:rPr>
        <w:t>** Ukoliko izračunata doza lamotrigina ne odgovara cijelim tabletama, treba primijeniti manji broj cijelih tableta.</w:t>
      </w:r>
    </w:p>
    <w:p w14:paraId="561ABAD6" w14:textId="7CD0AE07" w:rsidR="0048399F" w:rsidRDefault="0048399F" w:rsidP="006B3996">
      <w:pPr>
        <w:pStyle w:val="Header"/>
        <w:tabs>
          <w:tab w:val="left" w:pos="284"/>
        </w:tabs>
        <w:jc w:val="both"/>
        <w:rPr>
          <w:sz w:val="22"/>
          <w:szCs w:val="22"/>
          <w:lang w:val="sl-SI"/>
        </w:rPr>
      </w:pPr>
    </w:p>
    <w:p w14:paraId="6CB13495" w14:textId="5C9C9470" w:rsidR="0048399F" w:rsidRDefault="0048399F" w:rsidP="006B3996">
      <w:pPr>
        <w:pStyle w:val="Header"/>
        <w:tabs>
          <w:tab w:val="left" w:pos="284"/>
        </w:tabs>
        <w:jc w:val="both"/>
        <w:rPr>
          <w:sz w:val="22"/>
          <w:szCs w:val="22"/>
          <w:lang w:val="sl-SI"/>
        </w:rPr>
      </w:pPr>
      <w:r w:rsidRPr="006F64C9">
        <w:rPr>
          <w:sz w:val="22"/>
          <w:szCs w:val="22"/>
          <w:vertAlign w:val="superscript"/>
          <w:lang w:val="sl-SI"/>
        </w:rPr>
        <w:t>#</w:t>
      </w:r>
      <w:r w:rsidRPr="00DD58CA">
        <w:rPr>
          <w:sz w:val="22"/>
          <w:szCs w:val="22"/>
          <w:lang w:val="sl-SI"/>
        </w:rPr>
        <w:t xml:space="preserve"> U  Crnoj Gori lijek Lamictal je registrovan i u obliku tableta za žvakanje/oralnu disperziju, u jačini od 2 mg i 5 mg </w:t>
      </w:r>
    </w:p>
    <w:p w14:paraId="73A43B34" w14:textId="77777777" w:rsidR="008A0FD0" w:rsidRDefault="008A0FD0" w:rsidP="006B3996">
      <w:pPr>
        <w:pStyle w:val="Header"/>
        <w:tabs>
          <w:tab w:val="left" w:pos="284"/>
        </w:tabs>
        <w:jc w:val="both"/>
        <w:rPr>
          <w:sz w:val="22"/>
          <w:szCs w:val="22"/>
          <w:lang w:val="sl-SI"/>
        </w:rPr>
      </w:pPr>
    </w:p>
    <w:p w14:paraId="22064D00" w14:textId="1758E86D" w:rsidR="00AC7152" w:rsidRDefault="00AC7152" w:rsidP="006B3996">
      <w:pPr>
        <w:pStyle w:val="Header"/>
        <w:tabs>
          <w:tab w:val="left" w:pos="284"/>
        </w:tabs>
        <w:jc w:val="both"/>
        <w:rPr>
          <w:sz w:val="22"/>
          <w:szCs w:val="22"/>
          <w:lang w:val="sl-SI"/>
        </w:rPr>
      </w:pPr>
      <w:r>
        <w:rPr>
          <w:sz w:val="22"/>
          <w:szCs w:val="22"/>
          <w:lang w:val="sl-SI"/>
        </w:rPr>
        <w:t xml:space="preserve">Kako bi se obezbijedilo održavanje terapijske doze potrebno je pratiti tjelesnu masu djeteta i u slučaju pojave promjene tjelesne mase prilagoditi dozu lijeka koja se primjenjuje. Veća je vjerovatnoća da će kod pacijenata </w:t>
      </w:r>
      <w:r w:rsidR="0064517F">
        <w:rPr>
          <w:sz w:val="22"/>
          <w:szCs w:val="22"/>
          <w:lang w:val="sl-SI"/>
        </w:rPr>
        <w:t>uzrasta</w:t>
      </w:r>
      <w:r>
        <w:rPr>
          <w:sz w:val="22"/>
          <w:szCs w:val="22"/>
          <w:lang w:val="sl-SI"/>
        </w:rPr>
        <w:t xml:space="preserve"> 2 do 6 godina života biti potrebna primjena doze održavanja koja se nalazi na višem kraju preporučenog opsega vrijednosti doza.</w:t>
      </w:r>
    </w:p>
    <w:p w14:paraId="22064D01" w14:textId="77777777" w:rsidR="00AC7152" w:rsidRDefault="00AC7152" w:rsidP="006B3996">
      <w:pPr>
        <w:pStyle w:val="Header"/>
        <w:tabs>
          <w:tab w:val="left" w:pos="284"/>
        </w:tabs>
        <w:jc w:val="both"/>
        <w:rPr>
          <w:sz w:val="22"/>
          <w:szCs w:val="22"/>
          <w:lang w:val="sl-SI"/>
        </w:rPr>
      </w:pPr>
    </w:p>
    <w:p w14:paraId="22064D02" w14:textId="77777777" w:rsidR="00AC7152" w:rsidRDefault="00AC7152" w:rsidP="006B3996">
      <w:pPr>
        <w:pStyle w:val="Header"/>
        <w:tabs>
          <w:tab w:val="left" w:pos="284"/>
        </w:tabs>
        <w:jc w:val="both"/>
        <w:rPr>
          <w:sz w:val="22"/>
          <w:szCs w:val="22"/>
          <w:lang w:val="sl-SI"/>
        </w:rPr>
      </w:pPr>
      <w:r>
        <w:rPr>
          <w:sz w:val="22"/>
          <w:szCs w:val="22"/>
          <w:lang w:val="sl-SI"/>
        </w:rPr>
        <w:t xml:space="preserve">U slučaju da je kontrola epilepsije postignuta primjenom adjuvantne terapije, može se prekinuti sa istovremenom primjenom AEL i nastaviti monoterapiju lijekom </w:t>
      </w:r>
      <w:r w:rsidRPr="008E171B">
        <w:rPr>
          <w:sz w:val="22"/>
          <w:szCs w:val="22"/>
          <w:lang w:val="sl-SI"/>
        </w:rPr>
        <w:t>LAMICTAL</w:t>
      </w:r>
      <w:r>
        <w:rPr>
          <w:sz w:val="22"/>
          <w:szCs w:val="22"/>
          <w:lang w:val="sl-SI"/>
        </w:rPr>
        <w:t>.</w:t>
      </w:r>
    </w:p>
    <w:p w14:paraId="22064D03" w14:textId="77777777" w:rsidR="00AC7152" w:rsidRDefault="00AC7152" w:rsidP="006B3996">
      <w:pPr>
        <w:pStyle w:val="Header"/>
        <w:tabs>
          <w:tab w:val="left" w:pos="284"/>
        </w:tabs>
        <w:jc w:val="both"/>
        <w:rPr>
          <w:sz w:val="22"/>
          <w:szCs w:val="22"/>
          <w:lang w:val="sl-SI"/>
        </w:rPr>
      </w:pPr>
    </w:p>
    <w:p w14:paraId="22064D04" w14:textId="77777777" w:rsidR="00AC7152" w:rsidRDefault="00AC7152" w:rsidP="006B3996">
      <w:pPr>
        <w:pStyle w:val="Header"/>
        <w:tabs>
          <w:tab w:val="left" w:pos="284"/>
        </w:tabs>
        <w:jc w:val="both"/>
        <w:rPr>
          <w:i/>
          <w:sz w:val="22"/>
          <w:szCs w:val="22"/>
          <w:u w:val="single"/>
          <w:lang w:val="sl-SI"/>
        </w:rPr>
      </w:pPr>
      <w:r>
        <w:rPr>
          <w:i/>
          <w:sz w:val="22"/>
          <w:szCs w:val="22"/>
          <w:u w:val="single"/>
          <w:lang w:val="sl-SI"/>
        </w:rPr>
        <w:t>Djeca mlađa od 2. godine života</w:t>
      </w:r>
    </w:p>
    <w:p w14:paraId="22064D05" w14:textId="77777777" w:rsidR="00AC7152" w:rsidRDefault="00AC7152" w:rsidP="006B3996">
      <w:pPr>
        <w:pStyle w:val="Header"/>
        <w:tabs>
          <w:tab w:val="left" w:pos="284"/>
        </w:tabs>
        <w:jc w:val="both"/>
        <w:rPr>
          <w:sz w:val="22"/>
          <w:szCs w:val="22"/>
          <w:u w:val="single"/>
          <w:lang w:val="sl-SI"/>
        </w:rPr>
      </w:pPr>
    </w:p>
    <w:p w14:paraId="22064D06" w14:textId="48D9611C" w:rsidR="00AC7152" w:rsidRDefault="00AC7152" w:rsidP="006B3996">
      <w:pPr>
        <w:pStyle w:val="Header"/>
        <w:tabs>
          <w:tab w:val="left" w:pos="284"/>
        </w:tabs>
        <w:jc w:val="both"/>
        <w:rPr>
          <w:sz w:val="22"/>
          <w:szCs w:val="22"/>
          <w:lang w:val="sl-SI"/>
        </w:rPr>
      </w:pPr>
      <w:r>
        <w:rPr>
          <w:sz w:val="22"/>
          <w:szCs w:val="22"/>
          <w:lang w:val="sl-SI"/>
        </w:rPr>
        <w:t xml:space="preserve">Postoje ograničeni podaci o bezbjednosti i efikasnosti primjene lamotrigina u adjuvantnoj terapiji parcijalnih napada kod djece </w:t>
      </w:r>
      <w:r w:rsidR="0064517F">
        <w:rPr>
          <w:sz w:val="22"/>
          <w:szCs w:val="22"/>
          <w:lang w:val="sl-SI"/>
        </w:rPr>
        <w:t>uzrasta</w:t>
      </w:r>
      <w:r>
        <w:rPr>
          <w:sz w:val="22"/>
          <w:szCs w:val="22"/>
          <w:lang w:val="sl-SI"/>
        </w:rPr>
        <w:t xml:space="preserve"> mjesec dana do 2. godine života (vidjeti </w:t>
      </w:r>
      <w:r w:rsidR="00706D93">
        <w:rPr>
          <w:sz w:val="22"/>
          <w:szCs w:val="22"/>
          <w:lang w:val="sl-SI"/>
        </w:rPr>
        <w:t>dio</w:t>
      </w:r>
      <w:r>
        <w:rPr>
          <w:sz w:val="22"/>
          <w:szCs w:val="22"/>
          <w:lang w:val="sl-SI"/>
        </w:rPr>
        <w:t xml:space="preserve"> 4.4). Nema podataka o primjeni lijeka kod djece mlađe od mjesec dana života. Stoga se ne preporučuje primjena lijeka </w:t>
      </w:r>
      <w:r w:rsidRPr="008E171B">
        <w:rPr>
          <w:sz w:val="22"/>
          <w:szCs w:val="22"/>
          <w:lang w:val="sl-SI"/>
        </w:rPr>
        <w:lastRenderedPageBreak/>
        <w:t>LAMICTAL</w:t>
      </w:r>
      <w:r>
        <w:rPr>
          <w:sz w:val="22"/>
          <w:szCs w:val="22"/>
          <w:lang w:val="sl-SI"/>
        </w:rPr>
        <w:t xml:space="preserve"> kod djece mlađe od 2. godine života. Ukoliko se na osnovu kliničkih potreba pacijenta donese odluka o potrebi terapijske primjene lijeka vidjeti </w:t>
      </w:r>
      <w:r w:rsidR="0041401C">
        <w:rPr>
          <w:sz w:val="22"/>
          <w:szCs w:val="22"/>
          <w:lang w:val="sl-SI"/>
        </w:rPr>
        <w:t>djelove</w:t>
      </w:r>
      <w:r>
        <w:rPr>
          <w:sz w:val="22"/>
          <w:szCs w:val="22"/>
          <w:lang w:val="sl-SI"/>
        </w:rPr>
        <w:t xml:space="preserve"> 4.4, 5.1 i 5.2.</w:t>
      </w:r>
    </w:p>
    <w:p w14:paraId="5D305DB6" w14:textId="77777777" w:rsidR="00282A8C" w:rsidRDefault="00282A8C" w:rsidP="006B3996">
      <w:pPr>
        <w:pStyle w:val="Header"/>
        <w:tabs>
          <w:tab w:val="left" w:pos="284"/>
        </w:tabs>
        <w:jc w:val="both"/>
        <w:rPr>
          <w:sz w:val="22"/>
          <w:szCs w:val="22"/>
          <w:lang w:val="sl-SI"/>
        </w:rPr>
      </w:pPr>
    </w:p>
    <w:p w14:paraId="22064D08" w14:textId="73213D0F" w:rsidR="00AC7152" w:rsidRPr="008E171B" w:rsidRDefault="00AC7152" w:rsidP="006B3996">
      <w:pPr>
        <w:pStyle w:val="Header"/>
        <w:tabs>
          <w:tab w:val="left" w:pos="284"/>
        </w:tabs>
        <w:jc w:val="both"/>
        <w:rPr>
          <w:i/>
          <w:iCs/>
          <w:sz w:val="22"/>
          <w:szCs w:val="22"/>
          <w:lang w:val="sl-SI"/>
        </w:rPr>
      </w:pPr>
      <w:r w:rsidRPr="008E171B">
        <w:rPr>
          <w:i/>
          <w:iCs/>
          <w:sz w:val="22"/>
          <w:szCs w:val="22"/>
          <w:lang w:val="sl-SI"/>
        </w:rPr>
        <w:t>Bipolarni poremećaj</w:t>
      </w:r>
    </w:p>
    <w:p w14:paraId="22064D09" w14:textId="77777777" w:rsidR="00AC7152" w:rsidRDefault="00AC7152" w:rsidP="006B3996">
      <w:pPr>
        <w:pStyle w:val="Header"/>
        <w:tabs>
          <w:tab w:val="left" w:pos="284"/>
        </w:tabs>
        <w:jc w:val="both"/>
        <w:rPr>
          <w:sz w:val="22"/>
          <w:szCs w:val="22"/>
          <w:lang w:val="sl-SI"/>
        </w:rPr>
      </w:pPr>
    </w:p>
    <w:p w14:paraId="22064D0A" w14:textId="01231B27" w:rsidR="00AC7152" w:rsidRDefault="00AC7152" w:rsidP="006B3996">
      <w:pPr>
        <w:pStyle w:val="Header"/>
        <w:tabs>
          <w:tab w:val="left" w:pos="284"/>
        </w:tabs>
        <w:jc w:val="both"/>
        <w:rPr>
          <w:sz w:val="22"/>
          <w:szCs w:val="22"/>
          <w:lang w:val="sl-SI"/>
        </w:rPr>
      </w:pPr>
      <w:r>
        <w:rPr>
          <w:sz w:val="22"/>
          <w:szCs w:val="22"/>
          <w:lang w:val="sl-SI"/>
        </w:rPr>
        <w:t xml:space="preserve">Preporučeno povećanje doze i doze održavanja za odrasle osobe </w:t>
      </w:r>
      <w:r w:rsidR="006C2736">
        <w:rPr>
          <w:sz w:val="22"/>
          <w:szCs w:val="22"/>
          <w:lang w:val="sl-SI"/>
        </w:rPr>
        <w:t>uzrasta</w:t>
      </w:r>
      <w:r>
        <w:rPr>
          <w:sz w:val="22"/>
          <w:szCs w:val="22"/>
          <w:lang w:val="sl-SI"/>
        </w:rPr>
        <w:t xml:space="preserve"> 18 godina života i </w:t>
      </w:r>
      <w:r w:rsidR="006C2736">
        <w:rPr>
          <w:sz w:val="22"/>
          <w:szCs w:val="22"/>
          <w:lang w:val="sl-SI"/>
        </w:rPr>
        <w:t>više</w:t>
      </w:r>
      <w:r>
        <w:rPr>
          <w:sz w:val="22"/>
          <w:szCs w:val="22"/>
          <w:lang w:val="sl-SI"/>
        </w:rPr>
        <w:t xml:space="preserve"> navedene su u tabelama u </w:t>
      </w:r>
      <w:r w:rsidR="006C2736">
        <w:rPr>
          <w:sz w:val="22"/>
          <w:szCs w:val="22"/>
          <w:lang w:val="sl-SI"/>
        </w:rPr>
        <w:t>nastavku</w:t>
      </w:r>
      <w:r>
        <w:rPr>
          <w:sz w:val="22"/>
          <w:szCs w:val="22"/>
          <w:lang w:val="sl-SI"/>
        </w:rPr>
        <w:t xml:space="preserve">. Prelazna terapijska shema podrazumijeva povećanje doze lamotrigina do održavanja doze stabilizacije tokom šest nedjelja (tabela 3), nakon čega se može prekinuti sa primjenom druge psihotropne terapije i/ili AEL ukoliko je to klinički indikovano (tabela 4). U </w:t>
      </w:r>
      <w:r w:rsidR="000533BB">
        <w:rPr>
          <w:sz w:val="22"/>
          <w:szCs w:val="22"/>
          <w:lang w:val="sl-SI"/>
        </w:rPr>
        <w:t>nastavku</w:t>
      </w:r>
      <w:r>
        <w:rPr>
          <w:sz w:val="22"/>
          <w:szCs w:val="22"/>
          <w:lang w:val="sl-SI"/>
        </w:rPr>
        <w:t xml:space="preserve"> tekst</w:t>
      </w:r>
      <w:r w:rsidR="000533BB">
        <w:rPr>
          <w:sz w:val="22"/>
          <w:szCs w:val="22"/>
          <w:lang w:val="sl-SI"/>
        </w:rPr>
        <w:t>a</w:t>
      </w:r>
      <w:r>
        <w:rPr>
          <w:sz w:val="22"/>
          <w:szCs w:val="22"/>
          <w:lang w:val="sl-SI"/>
        </w:rPr>
        <w:t xml:space="preserve"> su takođe navedena podešavanja doze nakon uvođenja u terapiju drugih psihotropnih ljekova i/ili AEL (tabela 5). Zbog rizika od pojave osipa ne savjetuje se prekoračenje inicijalne doze, </w:t>
      </w:r>
      <w:r w:rsidR="000533BB">
        <w:rPr>
          <w:sz w:val="22"/>
          <w:szCs w:val="22"/>
          <w:lang w:val="sl-SI"/>
        </w:rPr>
        <w:t>niti</w:t>
      </w:r>
      <w:r>
        <w:rPr>
          <w:sz w:val="22"/>
          <w:szCs w:val="22"/>
          <w:lang w:val="sl-SI"/>
        </w:rPr>
        <w:t xml:space="preserve"> kasnijih povećanja doza (vidjeti </w:t>
      </w:r>
      <w:r w:rsidR="00706D93">
        <w:rPr>
          <w:sz w:val="22"/>
          <w:szCs w:val="22"/>
          <w:lang w:val="sl-SI"/>
        </w:rPr>
        <w:t>dio</w:t>
      </w:r>
      <w:r>
        <w:rPr>
          <w:sz w:val="22"/>
          <w:szCs w:val="22"/>
          <w:lang w:val="sl-SI"/>
        </w:rPr>
        <w:t xml:space="preserve"> 4.4).</w:t>
      </w:r>
    </w:p>
    <w:p w14:paraId="22064D0C" w14:textId="77777777" w:rsidR="00AC7152" w:rsidRDefault="00AC7152" w:rsidP="006B3996">
      <w:pPr>
        <w:pStyle w:val="Header"/>
        <w:tabs>
          <w:tab w:val="left" w:pos="284"/>
        </w:tabs>
        <w:jc w:val="both"/>
        <w:rPr>
          <w:sz w:val="22"/>
          <w:szCs w:val="22"/>
          <w:lang w:val="sl-SI"/>
        </w:rPr>
      </w:pPr>
    </w:p>
    <w:p w14:paraId="22064D0D" w14:textId="41EC68AC" w:rsidR="00AC7152" w:rsidRDefault="00AC7152" w:rsidP="006B3996">
      <w:pPr>
        <w:pStyle w:val="BodyText3"/>
        <w:ind w:right="-57"/>
        <w:jc w:val="both"/>
        <w:rPr>
          <w:b w:val="0"/>
          <w:i/>
          <w:sz w:val="22"/>
          <w:szCs w:val="22"/>
          <w:u w:val="single"/>
        </w:rPr>
      </w:pPr>
      <w:r>
        <w:rPr>
          <w:b w:val="0"/>
          <w:i/>
          <w:sz w:val="22"/>
          <w:szCs w:val="22"/>
          <w:u w:val="single"/>
        </w:rPr>
        <w:t xml:space="preserve">Tabela 3: Odrasle osobe </w:t>
      </w:r>
      <w:r w:rsidR="00DC61B3">
        <w:rPr>
          <w:b w:val="0"/>
          <w:i/>
          <w:sz w:val="22"/>
          <w:szCs w:val="22"/>
          <w:u w:val="single"/>
        </w:rPr>
        <w:t>uzrasta</w:t>
      </w:r>
      <w:r>
        <w:rPr>
          <w:b w:val="0"/>
          <w:i/>
          <w:sz w:val="22"/>
          <w:szCs w:val="22"/>
          <w:u w:val="single"/>
        </w:rPr>
        <w:t xml:space="preserve"> 18 godina života i </w:t>
      </w:r>
      <w:r w:rsidR="00DC61B3">
        <w:rPr>
          <w:b w:val="0"/>
          <w:i/>
          <w:sz w:val="22"/>
          <w:szCs w:val="22"/>
          <w:u w:val="single"/>
        </w:rPr>
        <w:t>više</w:t>
      </w:r>
      <w:r>
        <w:rPr>
          <w:b w:val="0"/>
          <w:i/>
          <w:sz w:val="22"/>
          <w:szCs w:val="22"/>
          <w:u w:val="single"/>
        </w:rPr>
        <w:t xml:space="preserve"> – preporučeno povećanje doze do održavanja ukupne dnevne doze stabilizacije u liječenju bipolarnog poremećaja</w:t>
      </w:r>
    </w:p>
    <w:p w14:paraId="22064D0E" w14:textId="77777777" w:rsidR="00AC7152" w:rsidRDefault="00AC7152" w:rsidP="006B3996">
      <w:pPr>
        <w:pStyle w:val="BodyText3"/>
        <w:ind w:right="-57"/>
        <w:jc w:val="both"/>
        <w:rPr>
          <w:b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00"/>
        <w:gridCol w:w="1980"/>
        <w:gridCol w:w="1850"/>
        <w:gridCol w:w="1992"/>
      </w:tblGrid>
      <w:tr w:rsidR="00AC7152" w14:paraId="22064D17" w14:textId="77777777" w:rsidTr="00AC7152">
        <w:tc>
          <w:tcPr>
            <w:tcW w:w="2335" w:type="dxa"/>
            <w:tcBorders>
              <w:top w:val="single" w:sz="4" w:space="0" w:color="auto"/>
              <w:left w:val="single" w:sz="4" w:space="0" w:color="auto"/>
              <w:bottom w:val="single" w:sz="4" w:space="0" w:color="auto"/>
              <w:right w:val="single" w:sz="4" w:space="0" w:color="auto"/>
            </w:tcBorders>
          </w:tcPr>
          <w:p w14:paraId="22064D0F" w14:textId="77777777" w:rsidR="00AC7152" w:rsidRDefault="00AC7152">
            <w:pPr>
              <w:pStyle w:val="BodyText3"/>
              <w:ind w:left="57" w:right="-57"/>
              <w:rPr>
                <w:b w:val="0"/>
                <w:sz w:val="22"/>
                <w:szCs w:val="22"/>
              </w:rPr>
            </w:pPr>
            <w:r>
              <w:rPr>
                <w:b w:val="0"/>
                <w:sz w:val="22"/>
                <w:szCs w:val="22"/>
              </w:rPr>
              <w:t>Terapijska shema</w:t>
            </w:r>
          </w:p>
          <w:p w14:paraId="22064D10" w14:textId="77777777" w:rsidR="00AC7152" w:rsidRDefault="00AC7152">
            <w:pPr>
              <w:pStyle w:val="BodyText3"/>
              <w:ind w:right="-57"/>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064D11" w14:textId="77777777" w:rsidR="00AC7152" w:rsidRDefault="00AC7152">
            <w:pPr>
              <w:pStyle w:val="BodyText3"/>
              <w:ind w:left="57" w:right="-57"/>
              <w:rPr>
                <w:b w:val="0"/>
                <w:sz w:val="22"/>
                <w:szCs w:val="22"/>
              </w:rPr>
            </w:pPr>
            <w:r>
              <w:rPr>
                <w:b w:val="0"/>
                <w:sz w:val="22"/>
                <w:szCs w:val="22"/>
              </w:rPr>
              <w:t>1.+2. nedjelja</w:t>
            </w:r>
          </w:p>
          <w:p w14:paraId="22064D12"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13" w14:textId="77777777" w:rsidR="00AC7152" w:rsidRDefault="00AC7152">
            <w:pPr>
              <w:pStyle w:val="BodyText3"/>
              <w:ind w:left="57" w:right="-57"/>
              <w:rPr>
                <w:b w:val="0"/>
                <w:sz w:val="22"/>
                <w:szCs w:val="22"/>
              </w:rPr>
            </w:pPr>
            <w:r>
              <w:rPr>
                <w:b w:val="0"/>
                <w:sz w:val="22"/>
                <w:szCs w:val="22"/>
              </w:rPr>
              <w:t>3.+4. nedjelja</w:t>
            </w:r>
          </w:p>
          <w:p w14:paraId="22064D14"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hideMark/>
          </w:tcPr>
          <w:p w14:paraId="22064D15" w14:textId="77777777" w:rsidR="00AC7152" w:rsidRDefault="00AC7152">
            <w:pPr>
              <w:pStyle w:val="BodyText3"/>
              <w:ind w:right="-57"/>
              <w:rPr>
                <w:b w:val="0"/>
                <w:sz w:val="22"/>
                <w:szCs w:val="22"/>
              </w:rPr>
            </w:pPr>
            <w:r>
              <w:rPr>
                <w:b w:val="0"/>
                <w:sz w:val="22"/>
                <w:szCs w:val="22"/>
              </w:rPr>
              <w:t>5. nedjelja</w:t>
            </w:r>
          </w:p>
        </w:tc>
        <w:tc>
          <w:tcPr>
            <w:tcW w:w="1992" w:type="dxa"/>
            <w:tcBorders>
              <w:top w:val="single" w:sz="4" w:space="0" w:color="auto"/>
              <w:left w:val="single" w:sz="4" w:space="0" w:color="auto"/>
              <w:bottom w:val="single" w:sz="4" w:space="0" w:color="auto"/>
              <w:right w:val="single" w:sz="4" w:space="0" w:color="auto"/>
            </w:tcBorders>
            <w:hideMark/>
          </w:tcPr>
          <w:p w14:paraId="22064D16" w14:textId="0492F58F" w:rsidR="00AC7152" w:rsidRDefault="00AC7152" w:rsidP="007A06C3">
            <w:pPr>
              <w:pStyle w:val="BodyText3"/>
              <w:ind w:right="-57"/>
              <w:rPr>
                <w:b w:val="0"/>
                <w:sz w:val="22"/>
                <w:szCs w:val="22"/>
              </w:rPr>
            </w:pPr>
            <w:r>
              <w:rPr>
                <w:b w:val="0"/>
                <w:sz w:val="22"/>
                <w:szCs w:val="22"/>
              </w:rPr>
              <w:t>Doza stabilizacije (6. nedjelja)*</w:t>
            </w:r>
          </w:p>
        </w:tc>
      </w:tr>
      <w:tr w:rsidR="00AC7152" w14:paraId="22064D19"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18" w14:textId="40AF20DC" w:rsidR="00AC7152" w:rsidRDefault="00AC7152">
            <w:pPr>
              <w:pStyle w:val="BodyText3"/>
              <w:rPr>
                <w:sz w:val="22"/>
                <w:szCs w:val="22"/>
                <w:lang w:val="sr-Latn-CS"/>
              </w:rPr>
            </w:pPr>
            <w:r>
              <w:rPr>
                <w:sz w:val="22"/>
                <w:szCs w:val="22"/>
                <w:lang w:val="sr-Latn-CS"/>
              </w:rPr>
              <w:t xml:space="preserve">Monoterapija lamotriginom </w:t>
            </w:r>
            <w:smartTag w:uri="urn:schemas-microsoft-com:office:smarttags" w:element="stockticker">
              <w:r>
                <w:rPr>
                  <w:sz w:val="22"/>
                  <w:szCs w:val="22"/>
                  <w:lang w:val="sr-Latn-CS"/>
                </w:rPr>
                <w:t>ILI</w:t>
              </w:r>
            </w:smartTag>
            <w:r>
              <w:rPr>
                <w:sz w:val="22"/>
                <w:szCs w:val="22"/>
                <w:lang w:val="sr-Latn-CS"/>
              </w:rPr>
              <w:t xml:space="preserve"> adjuvantna terapija </w:t>
            </w:r>
            <w:smartTag w:uri="urn:schemas-microsoft-com:office:smarttags" w:element="stockticker">
              <w:r>
                <w:rPr>
                  <w:sz w:val="22"/>
                  <w:szCs w:val="22"/>
                  <w:lang w:val="sr-Latn-CS"/>
                </w:rPr>
                <w:t>BEZ</w:t>
              </w:r>
            </w:smartTag>
            <w:r>
              <w:rPr>
                <w:sz w:val="22"/>
                <w:szCs w:val="22"/>
                <w:lang w:val="sr-Latn-CS"/>
              </w:rPr>
              <w:t xml:space="preserve"> valproata i </w:t>
            </w:r>
            <w:smartTag w:uri="urn:schemas-microsoft-com:office:smarttags" w:element="stockticker">
              <w:r>
                <w:rPr>
                  <w:sz w:val="22"/>
                  <w:szCs w:val="22"/>
                  <w:lang w:val="sr-Latn-CS"/>
                </w:rPr>
                <w:t>BEZ</w:t>
              </w:r>
            </w:smartTag>
            <w:r>
              <w:rPr>
                <w:sz w:val="22"/>
                <w:szCs w:val="22"/>
                <w:lang w:val="sr-Latn-CS"/>
              </w:rPr>
              <w:t xml:space="preserve"> induktora glukuronidacije lamotrigina </w:t>
            </w:r>
            <w:r>
              <w:rPr>
                <w:b w:val="0"/>
                <w:sz w:val="22"/>
                <w:szCs w:val="22"/>
                <w:lang w:val="sr-Latn-CS"/>
              </w:rPr>
              <w:t xml:space="preserve">(vidjeti </w:t>
            </w:r>
            <w:r w:rsidR="00706D93">
              <w:rPr>
                <w:b w:val="0"/>
                <w:sz w:val="22"/>
                <w:szCs w:val="22"/>
                <w:lang w:val="sr-Latn-CS"/>
              </w:rPr>
              <w:t>dio</w:t>
            </w:r>
            <w:r>
              <w:rPr>
                <w:b w:val="0"/>
                <w:sz w:val="22"/>
                <w:szCs w:val="22"/>
                <w:lang w:val="sr-Latn-CS"/>
              </w:rPr>
              <w:t xml:space="preserve"> 4.5)</w:t>
            </w:r>
            <w:r>
              <w:rPr>
                <w:sz w:val="22"/>
                <w:szCs w:val="22"/>
                <w:lang w:val="sr-Latn-CS"/>
              </w:rPr>
              <w:t>:</w:t>
            </w:r>
          </w:p>
        </w:tc>
      </w:tr>
      <w:tr w:rsidR="00AC7152" w:rsidRPr="00BF78B0" w14:paraId="22064D2A" w14:textId="77777777" w:rsidTr="00AC7152">
        <w:tc>
          <w:tcPr>
            <w:tcW w:w="2335" w:type="dxa"/>
            <w:tcBorders>
              <w:top w:val="single" w:sz="4" w:space="0" w:color="auto"/>
              <w:left w:val="single" w:sz="4" w:space="0" w:color="auto"/>
              <w:bottom w:val="single" w:sz="4" w:space="0" w:color="auto"/>
              <w:right w:val="single" w:sz="4" w:space="0" w:color="auto"/>
            </w:tcBorders>
          </w:tcPr>
          <w:p w14:paraId="22064D1A" w14:textId="77777777" w:rsidR="00AC7152" w:rsidRDefault="00AC7152">
            <w:pPr>
              <w:pStyle w:val="BodyText3"/>
              <w:rPr>
                <w:b w:val="0"/>
                <w:sz w:val="22"/>
                <w:szCs w:val="22"/>
                <w:lang w:val="sr-Latn-CS"/>
              </w:rPr>
            </w:pPr>
          </w:p>
          <w:p w14:paraId="22064D1B" w14:textId="05333842" w:rsidR="00AC7152" w:rsidRDefault="00AC7152">
            <w:pPr>
              <w:pStyle w:val="BodyText3"/>
              <w:rPr>
                <w:b w:val="0"/>
                <w:sz w:val="22"/>
                <w:szCs w:val="22"/>
                <w:lang w:val="sr-Latn-CS"/>
              </w:rPr>
            </w:pPr>
            <w:r>
              <w:rPr>
                <w:b w:val="0"/>
                <w:sz w:val="22"/>
                <w:szCs w:val="22"/>
              </w:rPr>
              <w:t xml:space="preserve">Navedena shema doziranja primjenjuje se u terapiji sa drugim ljekovima koji značajno ne inhibiraju ili </w:t>
            </w:r>
            <w:r w:rsidR="000533BB">
              <w:rPr>
                <w:b w:val="0"/>
                <w:sz w:val="22"/>
                <w:szCs w:val="22"/>
              </w:rPr>
              <w:t xml:space="preserve">ne </w:t>
            </w:r>
            <w:r>
              <w:rPr>
                <w:b w:val="0"/>
                <w:sz w:val="22"/>
                <w:szCs w:val="22"/>
              </w:rPr>
              <w:t>indukuju glukuronidaciju lamotrigina.</w:t>
            </w:r>
          </w:p>
        </w:tc>
        <w:tc>
          <w:tcPr>
            <w:tcW w:w="1800" w:type="dxa"/>
            <w:tcBorders>
              <w:top w:val="single" w:sz="4" w:space="0" w:color="auto"/>
              <w:left w:val="single" w:sz="4" w:space="0" w:color="auto"/>
              <w:bottom w:val="single" w:sz="4" w:space="0" w:color="auto"/>
              <w:right w:val="single" w:sz="4" w:space="0" w:color="auto"/>
            </w:tcBorders>
          </w:tcPr>
          <w:p w14:paraId="22064D1C" w14:textId="77777777" w:rsidR="00AC7152" w:rsidRDefault="00AC7152">
            <w:pPr>
              <w:pStyle w:val="BodyText3"/>
              <w:rPr>
                <w:b w:val="0"/>
                <w:sz w:val="22"/>
                <w:szCs w:val="22"/>
                <w:lang w:val="sr-Latn-CS"/>
              </w:rPr>
            </w:pPr>
          </w:p>
          <w:p w14:paraId="22064D1D" w14:textId="77777777" w:rsidR="00AC7152" w:rsidRDefault="00AC7152">
            <w:pPr>
              <w:pStyle w:val="BodyText3"/>
              <w:rPr>
                <w:b w:val="0"/>
                <w:sz w:val="22"/>
                <w:szCs w:val="22"/>
                <w:lang w:val="sr-Latn-CS"/>
              </w:rPr>
            </w:pPr>
            <w:r>
              <w:rPr>
                <w:b w:val="0"/>
                <w:sz w:val="22"/>
                <w:szCs w:val="22"/>
                <w:lang w:val="sr-Latn-CS"/>
              </w:rPr>
              <w:t xml:space="preserve">25 mg/dnevno </w:t>
            </w:r>
          </w:p>
          <w:p w14:paraId="22064D1E" w14:textId="77777777" w:rsidR="00AC7152" w:rsidRDefault="00AC7152">
            <w:pPr>
              <w:pStyle w:val="BodyText3"/>
              <w:ind w:right="-57"/>
              <w:rPr>
                <w:sz w:val="22"/>
                <w:szCs w:val="22"/>
              </w:rPr>
            </w:pPr>
            <w:r>
              <w:rPr>
                <w:b w:val="0"/>
                <w:sz w:val="22"/>
                <w:szCs w:val="22"/>
                <w:lang w:val="sr-Latn-CS"/>
              </w:rPr>
              <w:t>(jednom dnevno)</w:t>
            </w:r>
          </w:p>
        </w:tc>
        <w:tc>
          <w:tcPr>
            <w:tcW w:w="1980" w:type="dxa"/>
            <w:tcBorders>
              <w:top w:val="single" w:sz="4" w:space="0" w:color="auto"/>
              <w:left w:val="single" w:sz="4" w:space="0" w:color="auto"/>
              <w:bottom w:val="single" w:sz="4" w:space="0" w:color="auto"/>
              <w:right w:val="single" w:sz="4" w:space="0" w:color="auto"/>
            </w:tcBorders>
          </w:tcPr>
          <w:p w14:paraId="22064D1F" w14:textId="77777777" w:rsidR="00AC7152" w:rsidRDefault="00AC7152">
            <w:pPr>
              <w:pStyle w:val="BodyText3"/>
              <w:rPr>
                <w:b w:val="0"/>
                <w:sz w:val="22"/>
                <w:szCs w:val="22"/>
                <w:lang w:val="sr-Latn-CS"/>
              </w:rPr>
            </w:pPr>
          </w:p>
          <w:p w14:paraId="22064D20" w14:textId="77777777" w:rsidR="00AC7152" w:rsidRDefault="00AC7152">
            <w:pPr>
              <w:pStyle w:val="BodyText3"/>
              <w:rPr>
                <w:b w:val="0"/>
                <w:sz w:val="22"/>
                <w:szCs w:val="22"/>
                <w:lang w:val="sr-Latn-CS"/>
              </w:rPr>
            </w:pPr>
            <w:r>
              <w:rPr>
                <w:b w:val="0"/>
                <w:sz w:val="22"/>
                <w:szCs w:val="22"/>
                <w:lang w:val="sr-Latn-CS"/>
              </w:rPr>
              <w:t xml:space="preserve">50 mg/dnevno </w:t>
            </w:r>
          </w:p>
          <w:p w14:paraId="22064D21" w14:textId="77777777" w:rsidR="00AC7152" w:rsidRDefault="00AC7152">
            <w:pPr>
              <w:pStyle w:val="BodyText3"/>
              <w:ind w:right="-57"/>
              <w:rPr>
                <w:sz w:val="22"/>
                <w:szCs w:val="22"/>
              </w:rPr>
            </w:pPr>
            <w:r>
              <w:rPr>
                <w:b w:val="0"/>
                <w:sz w:val="22"/>
                <w:szCs w:val="22"/>
                <w:lang w:val="sr-Latn-CS"/>
              </w:rPr>
              <w:t xml:space="preserve">(jednom dnevno ili </w:t>
            </w:r>
            <w:r>
              <w:rPr>
                <w:b w:val="0"/>
                <w:sz w:val="22"/>
                <w:szCs w:val="22"/>
              </w:rPr>
              <w:t>podijeljeno u dvije doze</w:t>
            </w:r>
            <w:r>
              <w:rPr>
                <w:b w:val="0"/>
                <w:sz w:val="22"/>
                <w:szCs w:val="22"/>
                <w:lang w:val="sr-Latn-CS"/>
              </w:rPr>
              <w:t>)</w:t>
            </w:r>
          </w:p>
        </w:tc>
        <w:tc>
          <w:tcPr>
            <w:tcW w:w="1850" w:type="dxa"/>
            <w:tcBorders>
              <w:top w:val="single" w:sz="4" w:space="0" w:color="auto"/>
              <w:left w:val="single" w:sz="4" w:space="0" w:color="auto"/>
              <w:bottom w:val="single" w:sz="4" w:space="0" w:color="auto"/>
              <w:right w:val="single" w:sz="4" w:space="0" w:color="auto"/>
            </w:tcBorders>
          </w:tcPr>
          <w:p w14:paraId="22064D22" w14:textId="77777777" w:rsidR="00AC7152" w:rsidRDefault="00AC7152">
            <w:pPr>
              <w:pStyle w:val="BodyText3"/>
              <w:rPr>
                <w:b w:val="0"/>
                <w:sz w:val="22"/>
                <w:szCs w:val="22"/>
                <w:lang w:val="sr-Latn-CS"/>
              </w:rPr>
            </w:pPr>
          </w:p>
          <w:p w14:paraId="22064D23" w14:textId="77777777" w:rsidR="00AC7152" w:rsidRDefault="00AC7152">
            <w:pPr>
              <w:pStyle w:val="BodyText3"/>
              <w:rPr>
                <w:b w:val="0"/>
                <w:sz w:val="22"/>
                <w:szCs w:val="22"/>
                <w:lang w:val="sr-Latn-CS"/>
              </w:rPr>
            </w:pPr>
            <w:r>
              <w:rPr>
                <w:b w:val="0"/>
                <w:sz w:val="22"/>
                <w:szCs w:val="22"/>
                <w:lang w:val="sr-Latn-CS"/>
              </w:rPr>
              <w:t xml:space="preserve">100 mg/dnevno </w:t>
            </w:r>
          </w:p>
          <w:p w14:paraId="22064D24" w14:textId="77777777" w:rsidR="00AC7152" w:rsidRDefault="00AC7152">
            <w:pPr>
              <w:pStyle w:val="BodyText3"/>
              <w:ind w:right="-57"/>
              <w:rPr>
                <w:sz w:val="22"/>
                <w:szCs w:val="22"/>
              </w:rPr>
            </w:pPr>
            <w:r>
              <w:rPr>
                <w:b w:val="0"/>
                <w:sz w:val="22"/>
                <w:szCs w:val="22"/>
                <w:lang w:val="sr-Latn-CS"/>
              </w:rPr>
              <w:t xml:space="preserve">(jednom dnevno ili </w:t>
            </w:r>
            <w:r>
              <w:rPr>
                <w:b w:val="0"/>
                <w:sz w:val="22"/>
                <w:szCs w:val="22"/>
              </w:rPr>
              <w:t>podijeljeno u dvije doze</w:t>
            </w:r>
            <w:r>
              <w:rPr>
                <w:b w:val="0"/>
                <w:sz w:val="22"/>
                <w:szCs w:val="22"/>
                <w:lang w:val="sr-Latn-CS"/>
              </w:rPr>
              <w:t>)</w:t>
            </w:r>
          </w:p>
        </w:tc>
        <w:tc>
          <w:tcPr>
            <w:tcW w:w="1992" w:type="dxa"/>
            <w:tcBorders>
              <w:top w:val="single" w:sz="4" w:space="0" w:color="auto"/>
              <w:left w:val="single" w:sz="4" w:space="0" w:color="auto"/>
              <w:bottom w:val="single" w:sz="4" w:space="0" w:color="auto"/>
              <w:right w:val="single" w:sz="4" w:space="0" w:color="auto"/>
            </w:tcBorders>
          </w:tcPr>
          <w:p w14:paraId="22064D25" w14:textId="77777777" w:rsidR="00AC7152" w:rsidRDefault="00AC7152">
            <w:pPr>
              <w:pStyle w:val="BodyText3"/>
              <w:rPr>
                <w:b w:val="0"/>
                <w:sz w:val="22"/>
                <w:szCs w:val="22"/>
                <w:lang w:val="sr-Latn-CS"/>
              </w:rPr>
            </w:pPr>
          </w:p>
          <w:p w14:paraId="22064D26" w14:textId="77777777" w:rsidR="00AC7152" w:rsidRDefault="00AC7152">
            <w:pPr>
              <w:pStyle w:val="BodyText3"/>
              <w:rPr>
                <w:b w:val="0"/>
                <w:sz w:val="22"/>
                <w:szCs w:val="22"/>
                <w:lang w:val="sr-Latn-CS"/>
              </w:rPr>
            </w:pPr>
            <w:r>
              <w:rPr>
                <w:b w:val="0"/>
                <w:sz w:val="22"/>
                <w:szCs w:val="22"/>
                <w:lang w:val="sr-Latn-CS"/>
              </w:rPr>
              <w:t xml:space="preserve">200 mg/dnevno – uobičajena ciljna doza za postizanje optimalnog terapijskog odgovora </w:t>
            </w:r>
          </w:p>
          <w:p w14:paraId="22064D27" w14:textId="77777777" w:rsidR="00AC7152" w:rsidRDefault="00AC7152">
            <w:pPr>
              <w:pStyle w:val="BodyText3"/>
              <w:ind w:right="-57"/>
              <w:rPr>
                <w:b w:val="0"/>
                <w:sz w:val="22"/>
                <w:szCs w:val="22"/>
                <w:lang w:val="sr-Latn-CS"/>
              </w:rPr>
            </w:pPr>
            <w:r>
              <w:rPr>
                <w:b w:val="0"/>
                <w:sz w:val="22"/>
                <w:szCs w:val="22"/>
                <w:lang w:val="sr-Latn-CS"/>
              </w:rPr>
              <w:t xml:space="preserve">(jednom dnevno ili </w:t>
            </w:r>
            <w:r>
              <w:rPr>
                <w:b w:val="0"/>
                <w:sz w:val="22"/>
                <w:szCs w:val="22"/>
              </w:rPr>
              <w:t>podijeljeno u dvije doze</w:t>
            </w:r>
            <w:r>
              <w:rPr>
                <w:b w:val="0"/>
                <w:sz w:val="22"/>
                <w:szCs w:val="22"/>
                <w:lang w:val="sr-Latn-CS"/>
              </w:rPr>
              <w:t xml:space="preserve">) </w:t>
            </w:r>
          </w:p>
          <w:p w14:paraId="22064D28" w14:textId="77777777" w:rsidR="00AC7152" w:rsidRDefault="00AC7152">
            <w:pPr>
              <w:pStyle w:val="BodyText3"/>
              <w:ind w:right="-57"/>
              <w:rPr>
                <w:b w:val="0"/>
                <w:sz w:val="22"/>
                <w:szCs w:val="22"/>
                <w:lang w:val="sr-Latn-CS"/>
              </w:rPr>
            </w:pPr>
          </w:p>
          <w:p w14:paraId="22064D29" w14:textId="77777777" w:rsidR="00AC7152" w:rsidRDefault="00AC7152">
            <w:pPr>
              <w:pStyle w:val="BodyText3"/>
              <w:rPr>
                <w:b w:val="0"/>
                <w:sz w:val="22"/>
                <w:szCs w:val="22"/>
                <w:lang w:val="sr-Latn-CS"/>
              </w:rPr>
            </w:pPr>
            <w:r>
              <w:rPr>
                <w:b w:val="0"/>
                <w:sz w:val="22"/>
                <w:szCs w:val="22"/>
                <w:lang w:val="sr-Latn-CS"/>
              </w:rPr>
              <w:t>Opseg doza 100-400 mg/dnevno primijenjen u kliničkim ispitivanjima</w:t>
            </w:r>
          </w:p>
        </w:tc>
      </w:tr>
      <w:tr w:rsidR="00AC7152" w14:paraId="22064D2C"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2B" w14:textId="3A68695C" w:rsidR="00AC7152" w:rsidRDefault="00AC7152">
            <w:pPr>
              <w:pStyle w:val="BodyText3"/>
              <w:ind w:right="-57"/>
              <w:rPr>
                <w:sz w:val="22"/>
                <w:szCs w:val="22"/>
              </w:rPr>
            </w:pPr>
            <w:r>
              <w:rPr>
                <w:sz w:val="22"/>
                <w:szCs w:val="22"/>
              </w:rPr>
              <w:t xml:space="preserve">Adjuvantna terapija SA valproatom </w:t>
            </w:r>
            <w:r>
              <w:rPr>
                <w:b w:val="0"/>
                <w:sz w:val="22"/>
                <w:szCs w:val="22"/>
              </w:rPr>
              <w:t xml:space="preserve">(inhibitor glukuronidacije lamotrigina – vidjeti </w:t>
            </w:r>
            <w:r w:rsidR="00706D93">
              <w:rPr>
                <w:b w:val="0"/>
                <w:sz w:val="22"/>
                <w:szCs w:val="22"/>
              </w:rPr>
              <w:t>dio</w:t>
            </w:r>
            <w:r>
              <w:rPr>
                <w:b w:val="0"/>
                <w:sz w:val="22"/>
                <w:szCs w:val="22"/>
              </w:rPr>
              <w:t xml:space="preserve"> 4.5)</w:t>
            </w:r>
            <w:r>
              <w:rPr>
                <w:sz w:val="22"/>
                <w:szCs w:val="22"/>
              </w:rPr>
              <w:t>:</w:t>
            </w:r>
          </w:p>
        </w:tc>
      </w:tr>
      <w:tr w:rsidR="00AC7152" w:rsidRPr="00BF78B0" w14:paraId="22064D3F" w14:textId="77777777" w:rsidTr="00AC7152">
        <w:tc>
          <w:tcPr>
            <w:tcW w:w="2335" w:type="dxa"/>
            <w:tcBorders>
              <w:top w:val="single" w:sz="4" w:space="0" w:color="auto"/>
              <w:left w:val="single" w:sz="4" w:space="0" w:color="auto"/>
              <w:bottom w:val="single" w:sz="4" w:space="0" w:color="auto"/>
              <w:right w:val="single" w:sz="4" w:space="0" w:color="auto"/>
            </w:tcBorders>
          </w:tcPr>
          <w:p w14:paraId="22064D2D" w14:textId="77777777" w:rsidR="00AC7152" w:rsidRDefault="00AC7152">
            <w:pPr>
              <w:pStyle w:val="BodyText3"/>
              <w:ind w:right="-57"/>
              <w:rPr>
                <w:b w:val="0"/>
                <w:sz w:val="22"/>
                <w:szCs w:val="22"/>
              </w:rPr>
            </w:pPr>
          </w:p>
          <w:p w14:paraId="22064D2E" w14:textId="77777777" w:rsidR="00AC7152" w:rsidRDefault="00AC7152">
            <w:pPr>
              <w:pStyle w:val="BodyText3"/>
              <w:ind w:left="57" w:right="-57"/>
              <w:rPr>
                <w:b w:val="0"/>
                <w:sz w:val="22"/>
                <w:szCs w:val="22"/>
              </w:rPr>
            </w:pPr>
            <w:r>
              <w:rPr>
                <w:b w:val="0"/>
                <w:sz w:val="22"/>
                <w:szCs w:val="22"/>
              </w:rPr>
              <w:t>Navedena shema doziranja primjenjuje se sa valproatom bez obzira na konkomitantnu primjenu drugih ljekova</w:t>
            </w:r>
          </w:p>
          <w:p w14:paraId="22064D2F" w14:textId="77777777" w:rsidR="00AC7152" w:rsidRDefault="00AC7152">
            <w:pPr>
              <w:pStyle w:val="BodyText3"/>
              <w:ind w:right="-57"/>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064D30" w14:textId="77777777" w:rsidR="00AC7152" w:rsidRDefault="00AC7152">
            <w:pPr>
              <w:pStyle w:val="BodyText3"/>
              <w:rPr>
                <w:b w:val="0"/>
                <w:sz w:val="22"/>
                <w:szCs w:val="22"/>
                <w:lang w:val="sr-Latn-CS"/>
              </w:rPr>
            </w:pPr>
          </w:p>
          <w:p w14:paraId="22064D31" w14:textId="77777777" w:rsidR="00AC7152" w:rsidRDefault="00AC7152">
            <w:pPr>
              <w:pStyle w:val="BodyText3"/>
              <w:rPr>
                <w:b w:val="0"/>
                <w:sz w:val="22"/>
                <w:szCs w:val="22"/>
                <w:lang w:val="sr-Latn-CS"/>
              </w:rPr>
            </w:pPr>
            <w:r>
              <w:rPr>
                <w:b w:val="0"/>
                <w:sz w:val="22"/>
                <w:szCs w:val="22"/>
                <w:lang w:val="sr-Latn-CS"/>
              </w:rPr>
              <w:t xml:space="preserve">12,5 mg/dnevno </w:t>
            </w:r>
          </w:p>
          <w:p w14:paraId="22064D32" w14:textId="77777777" w:rsidR="00AC7152" w:rsidRDefault="00AC7152">
            <w:pPr>
              <w:pStyle w:val="BodyText3"/>
              <w:ind w:right="-57"/>
              <w:rPr>
                <w:sz w:val="22"/>
                <w:szCs w:val="22"/>
              </w:rPr>
            </w:pPr>
            <w:r>
              <w:rPr>
                <w:b w:val="0"/>
                <w:sz w:val="22"/>
                <w:szCs w:val="22"/>
                <w:lang w:val="sr-Latn-CS"/>
              </w:rPr>
              <w:t>(25mg svakog drugog dana)</w:t>
            </w:r>
          </w:p>
        </w:tc>
        <w:tc>
          <w:tcPr>
            <w:tcW w:w="1980" w:type="dxa"/>
            <w:tcBorders>
              <w:top w:val="single" w:sz="4" w:space="0" w:color="auto"/>
              <w:left w:val="single" w:sz="4" w:space="0" w:color="auto"/>
              <w:bottom w:val="single" w:sz="4" w:space="0" w:color="auto"/>
              <w:right w:val="single" w:sz="4" w:space="0" w:color="auto"/>
            </w:tcBorders>
          </w:tcPr>
          <w:p w14:paraId="22064D33" w14:textId="77777777" w:rsidR="00AC7152" w:rsidRDefault="00AC7152">
            <w:pPr>
              <w:pStyle w:val="BodyText3"/>
              <w:rPr>
                <w:b w:val="0"/>
                <w:sz w:val="22"/>
                <w:szCs w:val="22"/>
                <w:lang w:val="sr-Latn-CS"/>
              </w:rPr>
            </w:pPr>
          </w:p>
          <w:p w14:paraId="22064D34" w14:textId="77777777" w:rsidR="00AC7152" w:rsidRDefault="00AC7152">
            <w:pPr>
              <w:pStyle w:val="BodyText3"/>
              <w:rPr>
                <w:b w:val="0"/>
                <w:sz w:val="22"/>
                <w:szCs w:val="22"/>
                <w:lang w:val="sr-Latn-CS"/>
              </w:rPr>
            </w:pPr>
            <w:r>
              <w:rPr>
                <w:b w:val="0"/>
                <w:sz w:val="22"/>
                <w:szCs w:val="22"/>
                <w:lang w:val="sr-Latn-CS"/>
              </w:rPr>
              <w:t xml:space="preserve">25 mg/dnevno </w:t>
            </w:r>
          </w:p>
          <w:p w14:paraId="22064D35" w14:textId="77777777" w:rsidR="00AC7152" w:rsidRDefault="00AC7152">
            <w:pPr>
              <w:pStyle w:val="BodyText3"/>
              <w:ind w:right="-57"/>
              <w:rPr>
                <w:sz w:val="22"/>
                <w:szCs w:val="22"/>
              </w:rPr>
            </w:pPr>
            <w:r>
              <w:rPr>
                <w:b w:val="0"/>
                <w:sz w:val="22"/>
                <w:szCs w:val="22"/>
                <w:lang w:val="sr-Latn-CS"/>
              </w:rPr>
              <w:t>(jednom dnevno)</w:t>
            </w:r>
          </w:p>
        </w:tc>
        <w:tc>
          <w:tcPr>
            <w:tcW w:w="1850" w:type="dxa"/>
            <w:tcBorders>
              <w:top w:val="single" w:sz="4" w:space="0" w:color="auto"/>
              <w:left w:val="single" w:sz="4" w:space="0" w:color="auto"/>
              <w:bottom w:val="single" w:sz="4" w:space="0" w:color="auto"/>
              <w:right w:val="single" w:sz="4" w:space="0" w:color="auto"/>
            </w:tcBorders>
          </w:tcPr>
          <w:p w14:paraId="22064D36" w14:textId="77777777" w:rsidR="00AC7152" w:rsidRDefault="00AC7152">
            <w:pPr>
              <w:pStyle w:val="BodyText3"/>
              <w:ind w:right="-57"/>
              <w:rPr>
                <w:sz w:val="22"/>
                <w:szCs w:val="22"/>
              </w:rPr>
            </w:pPr>
          </w:p>
          <w:p w14:paraId="22064D37" w14:textId="77777777" w:rsidR="00AC7152" w:rsidRDefault="00AC7152">
            <w:pPr>
              <w:pStyle w:val="BodyText3"/>
              <w:rPr>
                <w:b w:val="0"/>
                <w:sz w:val="22"/>
                <w:szCs w:val="22"/>
                <w:lang w:val="sr-Latn-CS"/>
              </w:rPr>
            </w:pPr>
            <w:r>
              <w:rPr>
                <w:b w:val="0"/>
                <w:sz w:val="22"/>
                <w:szCs w:val="22"/>
                <w:lang w:val="sr-Latn-CS"/>
              </w:rPr>
              <w:t xml:space="preserve">50 mg/dnevno </w:t>
            </w:r>
          </w:p>
          <w:p w14:paraId="22064D38" w14:textId="77777777" w:rsidR="00AC7152" w:rsidRDefault="00AC7152">
            <w:pPr>
              <w:pStyle w:val="BodyText3"/>
              <w:ind w:right="-57"/>
              <w:rPr>
                <w:sz w:val="22"/>
                <w:szCs w:val="22"/>
              </w:rPr>
            </w:pPr>
            <w:r>
              <w:rPr>
                <w:b w:val="0"/>
                <w:sz w:val="22"/>
                <w:szCs w:val="22"/>
                <w:lang w:val="sr-Latn-CS"/>
              </w:rPr>
              <w:t xml:space="preserve">(jednom dnevno ili </w:t>
            </w:r>
            <w:r>
              <w:rPr>
                <w:b w:val="0"/>
                <w:sz w:val="22"/>
                <w:szCs w:val="22"/>
              </w:rPr>
              <w:t>podijeljeno u dvije doze</w:t>
            </w:r>
            <w:r>
              <w:rPr>
                <w:b w:val="0"/>
                <w:sz w:val="22"/>
                <w:szCs w:val="22"/>
                <w:lang w:val="sr-Latn-CS"/>
              </w:rPr>
              <w:t>)</w:t>
            </w:r>
          </w:p>
        </w:tc>
        <w:tc>
          <w:tcPr>
            <w:tcW w:w="1992" w:type="dxa"/>
            <w:tcBorders>
              <w:top w:val="single" w:sz="4" w:space="0" w:color="auto"/>
              <w:left w:val="single" w:sz="4" w:space="0" w:color="auto"/>
              <w:bottom w:val="single" w:sz="4" w:space="0" w:color="auto"/>
              <w:right w:val="single" w:sz="4" w:space="0" w:color="auto"/>
            </w:tcBorders>
          </w:tcPr>
          <w:p w14:paraId="22064D39" w14:textId="77777777" w:rsidR="00AC7152" w:rsidRDefault="00AC7152">
            <w:pPr>
              <w:pStyle w:val="BodyText3"/>
              <w:ind w:right="-57"/>
              <w:rPr>
                <w:sz w:val="22"/>
                <w:szCs w:val="22"/>
              </w:rPr>
            </w:pPr>
          </w:p>
          <w:p w14:paraId="22064D3A" w14:textId="77777777" w:rsidR="00AC7152" w:rsidRDefault="00AC7152">
            <w:pPr>
              <w:pStyle w:val="BodyText3"/>
              <w:rPr>
                <w:b w:val="0"/>
                <w:sz w:val="22"/>
                <w:szCs w:val="22"/>
                <w:lang w:val="sr-Latn-CS"/>
              </w:rPr>
            </w:pPr>
            <w:r>
              <w:rPr>
                <w:b w:val="0"/>
                <w:sz w:val="22"/>
                <w:szCs w:val="22"/>
                <w:lang w:val="sr-Latn-CS"/>
              </w:rPr>
              <w:t xml:space="preserve">100 mg/dnevno – uobičajena ciljna doza za postizanje optimalnog terapijskog odgovora </w:t>
            </w:r>
          </w:p>
          <w:p w14:paraId="22064D3B" w14:textId="77777777" w:rsidR="00AC7152" w:rsidRDefault="00AC7152">
            <w:pPr>
              <w:pStyle w:val="BodyText3"/>
              <w:ind w:right="-57"/>
              <w:rPr>
                <w:b w:val="0"/>
                <w:sz w:val="22"/>
                <w:szCs w:val="22"/>
                <w:lang w:val="sr-Latn-CS"/>
              </w:rPr>
            </w:pPr>
            <w:r>
              <w:rPr>
                <w:b w:val="0"/>
                <w:sz w:val="22"/>
                <w:szCs w:val="22"/>
                <w:lang w:val="sr-Latn-CS"/>
              </w:rPr>
              <w:t xml:space="preserve">(jednom dnevno ili </w:t>
            </w:r>
            <w:r>
              <w:rPr>
                <w:b w:val="0"/>
                <w:sz w:val="22"/>
                <w:szCs w:val="22"/>
              </w:rPr>
              <w:t>podijeljeno u dvije doze</w:t>
            </w:r>
            <w:r>
              <w:rPr>
                <w:b w:val="0"/>
                <w:sz w:val="22"/>
                <w:szCs w:val="22"/>
                <w:lang w:val="sr-Latn-CS"/>
              </w:rPr>
              <w:t xml:space="preserve">) </w:t>
            </w:r>
          </w:p>
          <w:p w14:paraId="22064D3C" w14:textId="77777777" w:rsidR="00AC7152" w:rsidRDefault="00AC7152">
            <w:pPr>
              <w:pStyle w:val="BodyText3"/>
              <w:ind w:right="-57"/>
              <w:rPr>
                <w:b w:val="0"/>
                <w:sz w:val="22"/>
                <w:szCs w:val="22"/>
                <w:lang w:val="sr-Latn-CS"/>
              </w:rPr>
            </w:pPr>
          </w:p>
          <w:p w14:paraId="22064D3D" w14:textId="77777777" w:rsidR="00AC7152" w:rsidRDefault="00AC7152">
            <w:pPr>
              <w:pStyle w:val="BodyText3"/>
              <w:ind w:right="-57"/>
              <w:rPr>
                <w:b w:val="0"/>
                <w:sz w:val="22"/>
                <w:szCs w:val="22"/>
                <w:lang w:val="sr-Latn-CS"/>
              </w:rPr>
            </w:pPr>
            <w:r>
              <w:rPr>
                <w:b w:val="0"/>
                <w:sz w:val="22"/>
                <w:szCs w:val="22"/>
                <w:lang w:val="sr-Latn-CS"/>
              </w:rPr>
              <w:t>Može se primijeniti maksimalno 200 mg/dnevno u zavisnosti od kliničkog odgovora</w:t>
            </w:r>
          </w:p>
          <w:p w14:paraId="22064D3E" w14:textId="77777777" w:rsidR="00AC7152" w:rsidRDefault="00AC7152">
            <w:pPr>
              <w:pStyle w:val="BodyText3"/>
              <w:ind w:right="-57"/>
              <w:rPr>
                <w:sz w:val="22"/>
                <w:szCs w:val="22"/>
              </w:rPr>
            </w:pPr>
          </w:p>
        </w:tc>
      </w:tr>
      <w:tr w:rsidR="00AC7152" w:rsidRPr="00BF78B0" w14:paraId="22064D41"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40" w14:textId="2F61906E" w:rsidR="00AC7152" w:rsidRDefault="00AC7152">
            <w:pPr>
              <w:pStyle w:val="BodyText3"/>
              <w:ind w:right="-57"/>
              <w:rPr>
                <w:sz w:val="22"/>
                <w:szCs w:val="22"/>
              </w:rPr>
            </w:pPr>
            <w:r>
              <w:rPr>
                <w:sz w:val="22"/>
                <w:szCs w:val="22"/>
              </w:rPr>
              <w:t xml:space="preserve">Adjuvantna terapija </w:t>
            </w:r>
            <w:smartTag w:uri="urn:schemas-microsoft-com:office:smarttags" w:element="stockticker">
              <w:r>
                <w:rPr>
                  <w:sz w:val="22"/>
                  <w:szCs w:val="22"/>
                </w:rPr>
                <w:t>BEZ</w:t>
              </w:r>
            </w:smartTag>
            <w:r>
              <w:rPr>
                <w:sz w:val="22"/>
                <w:szCs w:val="22"/>
              </w:rPr>
              <w:t xml:space="preserve"> valproata i SA induktorima glukuronidacije lamotrigina </w:t>
            </w:r>
            <w:r>
              <w:rPr>
                <w:b w:val="0"/>
                <w:sz w:val="22"/>
                <w:szCs w:val="22"/>
              </w:rPr>
              <w:t xml:space="preserve">(vidjeti </w:t>
            </w:r>
            <w:r w:rsidR="00706D93">
              <w:rPr>
                <w:b w:val="0"/>
                <w:sz w:val="22"/>
                <w:szCs w:val="22"/>
              </w:rPr>
              <w:t>dio</w:t>
            </w:r>
            <w:r>
              <w:rPr>
                <w:b w:val="0"/>
                <w:sz w:val="22"/>
                <w:szCs w:val="22"/>
              </w:rPr>
              <w:t xml:space="preserve"> 4.5)</w:t>
            </w:r>
            <w:r>
              <w:rPr>
                <w:sz w:val="22"/>
                <w:szCs w:val="22"/>
              </w:rPr>
              <w:t>:</w:t>
            </w:r>
          </w:p>
        </w:tc>
      </w:tr>
      <w:tr w:rsidR="00AC7152" w:rsidRPr="00BF78B0" w14:paraId="22064D58" w14:textId="77777777" w:rsidTr="00AC7152">
        <w:tc>
          <w:tcPr>
            <w:tcW w:w="2335" w:type="dxa"/>
            <w:tcBorders>
              <w:top w:val="single" w:sz="4" w:space="0" w:color="auto"/>
              <w:left w:val="single" w:sz="4" w:space="0" w:color="auto"/>
              <w:bottom w:val="single" w:sz="4" w:space="0" w:color="auto"/>
              <w:right w:val="single" w:sz="4" w:space="0" w:color="auto"/>
            </w:tcBorders>
          </w:tcPr>
          <w:p w14:paraId="22064D42" w14:textId="77777777" w:rsidR="00AC7152" w:rsidRPr="00BC6BEF" w:rsidRDefault="00AC7152">
            <w:pPr>
              <w:pStyle w:val="BodyText3"/>
              <w:ind w:left="57" w:right="-57"/>
              <w:rPr>
                <w:b w:val="0"/>
                <w:sz w:val="22"/>
                <w:szCs w:val="22"/>
                <w:lang w:val="sr-Latn-CS"/>
              </w:rPr>
            </w:pPr>
          </w:p>
          <w:p w14:paraId="22064D43" w14:textId="77777777" w:rsidR="00AC7152" w:rsidRPr="00BC6BEF" w:rsidRDefault="00AC7152">
            <w:pPr>
              <w:pStyle w:val="BodyText3"/>
              <w:ind w:left="57" w:right="-57"/>
              <w:rPr>
                <w:b w:val="0"/>
                <w:sz w:val="22"/>
                <w:szCs w:val="22"/>
                <w:lang w:val="pt-PT"/>
              </w:rPr>
            </w:pPr>
            <w:r w:rsidRPr="00BC6BEF">
              <w:rPr>
                <w:b w:val="0"/>
                <w:sz w:val="22"/>
                <w:szCs w:val="22"/>
                <w:lang w:val="pt-PT"/>
              </w:rPr>
              <w:lastRenderedPageBreak/>
              <w:t>Navedena shema doziranja primjenjuje se bez valproata ali uz:</w:t>
            </w:r>
          </w:p>
          <w:p w14:paraId="22064D44" w14:textId="77777777" w:rsidR="00AC7152" w:rsidRPr="00BC6BEF" w:rsidRDefault="00AC7152">
            <w:pPr>
              <w:pStyle w:val="BodyText3"/>
              <w:ind w:left="57" w:right="-57"/>
              <w:rPr>
                <w:b w:val="0"/>
                <w:sz w:val="22"/>
                <w:szCs w:val="22"/>
                <w:lang w:val="pt-PT"/>
              </w:rPr>
            </w:pPr>
          </w:p>
          <w:p w14:paraId="22064D45" w14:textId="77777777" w:rsidR="00AC7152" w:rsidRDefault="00AC7152">
            <w:pPr>
              <w:pStyle w:val="BodyText3"/>
              <w:ind w:left="57" w:right="-57"/>
              <w:rPr>
                <w:b w:val="0"/>
                <w:sz w:val="22"/>
                <w:szCs w:val="22"/>
                <w:lang w:val="fr-FR"/>
              </w:rPr>
            </w:pPr>
            <w:r>
              <w:rPr>
                <w:b w:val="0"/>
                <w:sz w:val="22"/>
                <w:szCs w:val="22"/>
                <w:lang w:val="fr-FR"/>
              </w:rPr>
              <w:t>fenitoin</w:t>
            </w:r>
          </w:p>
          <w:p w14:paraId="22064D46" w14:textId="77777777" w:rsidR="00AC7152" w:rsidRDefault="00AC7152">
            <w:pPr>
              <w:pStyle w:val="BodyText3"/>
              <w:ind w:left="57" w:right="-57"/>
              <w:rPr>
                <w:b w:val="0"/>
                <w:sz w:val="22"/>
                <w:szCs w:val="22"/>
                <w:lang w:val="fr-FR"/>
              </w:rPr>
            </w:pPr>
            <w:r>
              <w:rPr>
                <w:b w:val="0"/>
                <w:sz w:val="22"/>
                <w:szCs w:val="22"/>
                <w:lang w:val="fr-FR"/>
              </w:rPr>
              <w:t>karbamazepin</w:t>
            </w:r>
          </w:p>
          <w:p w14:paraId="22064D47" w14:textId="77777777" w:rsidR="00AC7152" w:rsidRDefault="00AC7152">
            <w:pPr>
              <w:pStyle w:val="BodyText3"/>
              <w:ind w:left="57" w:right="-57"/>
              <w:rPr>
                <w:b w:val="0"/>
                <w:sz w:val="22"/>
                <w:szCs w:val="22"/>
                <w:lang w:val="fr-FR"/>
              </w:rPr>
            </w:pPr>
            <w:r>
              <w:rPr>
                <w:b w:val="0"/>
                <w:sz w:val="22"/>
                <w:szCs w:val="22"/>
                <w:lang w:val="fr-FR"/>
              </w:rPr>
              <w:t>fenobarbiton</w:t>
            </w:r>
          </w:p>
          <w:p w14:paraId="22064D48" w14:textId="77777777" w:rsidR="00AC7152" w:rsidRDefault="00AC7152">
            <w:pPr>
              <w:pStyle w:val="BodyText3"/>
              <w:ind w:left="57" w:right="-57"/>
              <w:rPr>
                <w:b w:val="0"/>
                <w:sz w:val="22"/>
                <w:szCs w:val="22"/>
                <w:lang w:val="fr-FR"/>
              </w:rPr>
            </w:pPr>
            <w:r>
              <w:rPr>
                <w:b w:val="0"/>
                <w:sz w:val="22"/>
                <w:szCs w:val="22"/>
                <w:lang w:val="fr-FR"/>
              </w:rPr>
              <w:t>primidon</w:t>
            </w:r>
          </w:p>
          <w:p w14:paraId="22064D49" w14:textId="77777777" w:rsidR="00AC7152" w:rsidRDefault="00AC7152">
            <w:pPr>
              <w:pStyle w:val="BodyText3"/>
              <w:ind w:left="57" w:right="-57"/>
              <w:rPr>
                <w:b w:val="0"/>
                <w:sz w:val="22"/>
                <w:szCs w:val="22"/>
                <w:lang w:val="fr-FR"/>
              </w:rPr>
            </w:pPr>
            <w:r>
              <w:rPr>
                <w:b w:val="0"/>
                <w:sz w:val="22"/>
                <w:szCs w:val="22"/>
                <w:lang w:val="fr-FR"/>
              </w:rPr>
              <w:t>rifampicin</w:t>
            </w:r>
          </w:p>
          <w:p w14:paraId="22064D4A" w14:textId="77777777" w:rsidR="00AC7152" w:rsidRDefault="00AC7152">
            <w:pPr>
              <w:pStyle w:val="BodyText3"/>
              <w:ind w:left="57" w:right="-57"/>
              <w:rPr>
                <w:b w:val="0"/>
                <w:sz w:val="22"/>
                <w:szCs w:val="22"/>
                <w:lang w:val="fr-FR"/>
              </w:rPr>
            </w:pPr>
            <w:r>
              <w:rPr>
                <w:b w:val="0"/>
                <w:sz w:val="22"/>
                <w:szCs w:val="22"/>
                <w:lang w:val="fr-FR"/>
              </w:rPr>
              <w:t>lopinavir/ritonavir</w:t>
            </w:r>
          </w:p>
          <w:p w14:paraId="22064D4B" w14:textId="77777777" w:rsidR="00AC7152" w:rsidRDefault="00AC7152">
            <w:pPr>
              <w:pStyle w:val="BodyText3"/>
              <w:ind w:right="-57"/>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064D4C" w14:textId="77777777" w:rsidR="00AC7152" w:rsidRDefault="00AC7152">
            <w:pPr>
              <w:pStyle w:val="BodyText3"/>
              <w:rPr>
                <w:b w:val="0"/>
                <w:sz w:val="22"/>
                <w:szCs w:val="22"/>
                <w:lang w:val="sr-Latn-CS"/>
              </w:rPr>
            </w:pPr>
          </w:p>
          <w:p w14:paraId="22064D4D" w14:textId="77777777" w:rsidR="00AC7152" w:rsidRDefault="00AC7152">
            <w:pPr>
              <w:pStyle w:val="BodyText3"/>
              <w:rPr>
                <w:b w:val="0"/>
                <w:sz w:val="22"/>
                <w:szCs w:val="22"/>
                <w:lang w:val="sr-Latn-CS"/>
              </w:rPr>
            </w:pPr>
            <w:r>
              <w:rPr>
                <w:b w:val="0"/>
                <w:sz w:val="22"/>
                <w:szCs w:val="22"/>
                <w:lang w:val="sr-Latn-CS"/>
              </w:rPr>
              <w:t xml:space="preserve">50 mg/dnevno </w:t>
            </w:r>
          </w:p>
          <w:p w14:paraId="22064D4E" w14:textId="77777777" w:rsidR="00AC7152" w:rsidRDefault="00AC7152">
            <w:pPr>
              <w:pStyle w:val="BodyText3"/>
              <w:ind w:right="-57"/>
              <w:rPr>
                <w:sz w:val="22"/>
                <w:szCs w:val="22"/>
              </w:rPr>
            </w:pPr>
            <w:r>
              <w:rPr>
                <w:b w:val="0"/>
                <w:sz w:val="22"/>
                <w:szCs w:val="22"/>
                <w:lang w:val="sr-Latn-CS"/>
              </w:rPr>
              <w:lastRenderedPageBreak/>
              <w:t>(jednom dnevno)</w:t>
            </w:r>
          </w:p>
        </w:tc>
        <w:tc>
          <w:tcPr>
            <w:tcW w:w="1980" w:type="dxa"/>
            <w:tcBorders>
              <w:top w:val="single" w:sz="4" w:space="0" w:color="auto"/>
              <w:left w:val="single" w:sz="4" w:space="0" w:color="auto"/>
              <w:bottom w:val="single" w:sz="4" w:space="0" w:color="auto"/>
              <w:right w:val="single" w:sz="4" w:space="0" w:color="auto"/>
            </w:tcBorders>
          </w:tcPr>
          <w:p w14:paraId="22064D4F" w14:textId="77777777" w:rsidR="00AC7152" w:rsidRDefault="00AC7152">
            <w:pPr>
              <w:pStyle w:val="BodyText3"/>
              <w:rPr>
                <w:b w:val="0"/>
                <w:sz w:val="22"/>
                <w:szCs w:val="22"/>
                <w:lang w:val="sr-Latn-CS"/>
              </w:rPr>
            </w:pPr>
          </w:p>
          <w:p w14:paraId="22064D50" w14:textId="77777777" w:rsidR="00AC7152" w:rsidRDefault="00AC7152">
            <w:pPr>
              <w:pStyle w:val="BodyText3"/>
              <w:rPr>
                <w:b w:val="0"/>
                <w:sz w:val="22"/>
                <w:szCs w:val="22"/>
                <w:lang w:val="sr-Latn-CS"/>
              </w:rPr>
            </w:pPr>
            <w:r>
              <w:rPr>
                <w:b w:val="0"/>
                <w:sz w:val="22"/>
                <w:szCs w:val="22"/>
                <w:lang w:val="sr-Latn-CS"/>
              </w:rPr>
              <w:t xml:space="preserve">100 mg/dnevno </w:t>
            </w:r>
          </w:p>
          <w:p w14:paraId="22064D51" w14:textId="77777777" w:rsidR="00AC7152" w:rsidRDefault="00AC7152">
            <w:pPr>
              <w:pStyle w:val="BodyText3"/>
              <w:ind w:right="-57"/>
              <w:rPr>
                <w:sz w:val="22"/>
                <w:szCs w:val="22"/>
              </w:rPr>
            </w:pPr>
            <w:r>
              <w:rPr>
                <w:b w:val="0"/>
                <w:sz w:val="22"/>
                <w:szCs w:val="22"/>
                <w:lang w:val="sr-Latn-CS"/>
              </w:rPr>
              <w:lastRenderedPageBreak/>
              <w:t>(</w:t>
            </w:r>
            <w:r>
              <w:rPr>
                <w:b w:val="0"/>
                <w:sz w:val="22"/>
                <w:szCs w:val="22"/>
              </w:rPr>
              <w:t>podijeljeno u dvije doze</w:t>
            </w:r>
            <w:r>
              <w:rPr>
                <w:b w:val="0"/>
                <w:sz w:val="22"/>
                <w:szCs w:val="22"/>
                <w:lang w:val="sr-Latn-CS"/>
              </w:rPr>
              <w:t>)</w:t>
            </w:r>
          </w:p>
        </w:tc>
        <w:tc>
          <w:tcPr>
            <w:tcW w:w="1850" w:type="dxa"/>
            <w:tcBorders>
              <w:top w:val="single" w:sz="4" w:space="0" w:color="auto"/>
              <w:left w:val="single" w:sz="4" w:space="0" w:color="auto"/>
              <w:bottom w:val="single" w:sz="4" w:space="0" w:color="auto"/>
              <w:right w:val="single" w:sz="4" w:space="0" w:color="auto"/>
            </w:tcBorders>
          </w:tcPr>
          <w:p w14:paraId="22064D52" w14:textId="77777777" w:rsidR="00AC7152" w:rsidRDefault="00AC7152">
            <w:pPr>
              <w:pStyle w:val="BodyText3"/>
              <w:ind w:right="-57"/>
              <w:rPr>
                <w:sz w:val="22"/>
                <w:szCs w:val="22"/>
              </w:rPr>
            </w:pPr>
          </w:p>
          <w:p w14:paraId="22064D53" w14:textId="77777777" w:rsidR="00AC7152" w:rsidRDefault="00AC7152">
            <w:pPr>
              <w:pStyle w:val="BodyText3"/>
              <w:rPr>
                <w:b w:val="0"/>
                <w:sz w:val="22"/>
                <w:szCs w:val="22"/>
                <w:lang w:val="sr-Latn-CS"/>
              </w:rPr>
            </w:pPr>
            <w:r>
              <w:rPr>
                <w:b w:val="0"/>
                <w:sz w:val="22"/>
                <w:szCs w:val="22"/>
                <w:lang w:val="sr-Latn-CS"/>
              </w:rPr>
              <w:t xml:space="preserve">200 mg/dnevno </w:t>
            </w:r>
          </w:p>
          <w:p w14:paraId="22064D54" w14:textId="77777777" w:rsidR="00AC7152" w:rsidRDefault="00AC7152">
            <w:pPr>
              <w:pStyle w:val="BodyText3"/>
              <w:ind w:right="-57"/>
              <w:rPr>
                <w:sz w:val="22"/>
                <w:szCs w:val="22"/>
              </w:rPr>
            </w:pPr>
            <w:r>
              <w:rPr>
                <w:b w:val="0"/>
                <w:sz w:val="22"/>
                <w:szCs w:val="22"/>
                <w:lang w:val="sr-Latn-CS"/>
              </w:rPr>
              <w:lastRenderedPageBreak/>
              <w:t>(</w:t>
            </w:r>
            <w:r>
              <w:rPr>
                <w:b w:val="0"/>
                <w:sz w:val="22"/>
                <w:szCs w:val="22"/>
              </w:rPr>
              <w:t>podijeljeno u dvije doze</w:t>
            </w:r>
            <w:r>
              <w:rPr>
                <w:b w:val="0"/>
                <w:sz w:val="22"/>
                <w:szCs w:val="22"/>
                <w:lang w:val="sr-Latn-CS"/>
              </w:rPr>
              <w:t>)</w:t>
            </w:r>
          </w:p>
        </w:tc>
        <w:tc>
          <w:tcPr>
            <w:tcW w:w="1992" w:type="dxa"/>
            <w:tcBorders>
              <w:top w:val="single" w:sz="4" w:space="0" w:color="auto"/>
              <w:left w:val="single" w:sz="4" w:space="0" w:color="auto"/>
              <w:bottom w:val="single" w:sz="4" w:space="0" w:color="auto"/>
              <w:right w:val="single" w:sz="4" w:space="0" w:color="auto"/>
            </w:tcBorders>
          </w:tcPr>
          <w:p w14:paraId="22064D55" w14:textId="77777777" w:rsidR="00AC7152" w:rsidRDefault="00AC7152">
            <w:pPr>
              <w:pStyle w:val="BodyText3"/>
              <w:ind w:right="-57"/>
              <w:rPr>
                <w:sz w:val="22"/>
                <w:szCs w:val="22"/>
              </w:rPr>
            </w:pPr>
          </w:p>
          <w:p w14:paraId="22064D56" w14:textId="6394CD7C" w:rsidR="00AC7152" w:rsidRDefault="00AC7152">
            <w:pPr>
              <w:pStyle w:val="BodyText3"/>
              <w:ind w:right="-57"/>
              <w:rPr>
                <w:b w:val="0"/>
                <w:sz w:val="22"/>
                <w:szCs w:val="22"/>
                <w:lang w:val="sr-Latn-CS"/>
              </w:rPr>
            </w:pPr>
            <w:r>
              <w:rPr>
                <w:b w:val="0"/>
                <w:sz w:val="22"/>
                <w:szCs w:val="22"/>
                <w:lang w:val="sr-Latn-CS"/>
              </w:rPr>
              <w:lastRenderedPageBreak/>
              <w:t>300 mg/dnevno tokom 6. nedjelje, ukoliko je neophodno poveća</w:t>
            </w:r>
            <w:r w:rsidR="000533BB">
              <w:rPr>
                <w:b w:val="0"/>
                <w:sz w:val="22"/>
                <w:szCs w:val="22"/>
                <w:lang w:val="sr-Latn-CS"/>
              </w:rPr>
              <w:t>va</w:t>
            </w:r>
            <w:r>
              <w:rPr>
                <w:b w:val="0"/>
                <w:sz w:val="22"/>
                <w:szCs w:val="22"/>
                <w:lang w:val="sr-Latn-CS"/>
              </w:rPr>
              <w:t>nje do uobičajene ciljne doze od 400 mg/dnevno tokom 7. nedjelje za postizanje optimalnog terapijskog odgovora (</w:t>
            </w:r>
            <w:r>
              <w:rPr>
                <w:b w:val="0"/>
                <w:sz w:val="22"/>
                <w:szCs w:val="22"/>
              </w:rPr>
              <w:t>podijeljeno u dvije doze</w:t>
            </w:r>
            <w:r>
              <w:rPr>
                <w:b w:val="0"/>
                <w:sz w:val="22"/>
                <w:szCs w:val="22"/>
                <w:lang w:val="sr-Latn-CS"/>
              </w:rPr>
              <w:t>)</w:t>
            </w:r>
          </w:p>
          <w:p w14:paraId="22064D57" w14:textId="77777777" w:rsidR="00AC7152" w:rsidRDefault="00AC7152">
            <w:pPr>
              <w:pStyle w:val="BodyText3"/>
              <w:ind w:right="-57"/>
              <w:rPr>
                <w:sz w:val="22"/>
                <w:szCs w:val="22"/>
              </w:rPr>
            </w:pPr>
          </w:p>
        </w:tc>
      </w:tr>
      <w:tr w:rsidR="00AC7152" w:rsidRPr="00BF78B0" w14:paraId="22064D5A"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59" w14:textId="76566971" w:rsidR="00AC7152" w:rsidRDefault="00AC7152" w:rsidP="006B3996">
            <w:pPr>
              <w:pStyle w:val="BodyText3"/>
              <w:ind w:right="-57"/>
              <w:jc w:val="both"/>
              <w:rPr>
                <w:sz w:val="22"/>
                <w:szCs w:val="22"/>
              </w:rPr>
            </w:pPr>
            <w:r>
              <w:rPr>
                <w:b w:val="0"/>
                <w:sz w:val="22"/>
                <w:szCs w:val="22"/>
              </w:rPr>
              <w:lastRenderedPageBreak/>
              <w:t xml:space="preserve">Kod pacijenata koji primjenjuju ljekove čija farmakokinetička interakcija sa lamotriginom za sada još uvijek nije poznata (vidjeti </w:t>
            </w:r>
            <w:r w:rsidR="00706D93">
              <w:rPr>
                <w:b w:val="0"/>
                <w:sz w:val="22"/>
                <w:szCs w:val="22"/>
              </w:rPr>
              <w:t>dio</w:t>
            </w:r>
            <w:r>
              <w:rPr>
                <w:b w:val="0"/>
                <w:sz w:val="22"/>
                <w:szCs w:val="22"/>
              </w:rPr>
              <w:t xml:space="preserve"> 4.5), za povećanje doze koristiti terapijsku shemu preporučenu za istovremenu primjenu lamotrigina i valproata.</w:t>
            </w:r>
          </w:p>
        </w:tc>
      </w:tr>
    </w:tbl>
    <w:p w14:paraId="22064D5B" w14:textId="77777777" w:rsidR="00AC7152" w:rsidRDefault="00AC7152" w:rsidP="006B3996">
      <w:pPr>
        <w:pStyle w:val="BodyText3"/>
        <w:ind w:left="57" w:right="-57"/>
        <w:jc w:val="both"/>
        <w:rPr>
          <w:b w:val="0"/>
          <w:sz w:val="22"/>
          <w:szCs w:val="22"/>
        </w:rPr>
      </w:pPr>
      <w:r>
        <w:rPr>
          <w:b w:val="0"/>
          <w:sz w:val="22"/>
          <w:szCs w:val="22"/>
        </w:rPr>
        <w:t>*Ciljna doza stabilizacije će se mijenjati u zavisnosti od kliničkog odgovora</w:t>
      </w:r>
    </w:p>
    <w:p w14:paraId="22064D5D" w14:textId="77777777" w:rsidR="00AC7152" w:rsidRDefault="00AC7152" w:rsidP="006B3996">
      <w:pPr>
        <w:pStyle w:val="BodyText3"/>
        <w:ind w:right="-57"/>
        <w:jc w:val="both"/>
        <w:rPr>
          <w:sz w:val="22"/>
          <w:szCs w:val="22"/>
        </w:rPr>
      </w:pPr>
    </w:p>
    <w:p w14:paraId="22064D5E" w14:textId="1472AA6B" w:rsidR="00AC7152" w:rsidRDefault="00AC7152" w:rsidP="006B3996">
      <w:pPr>
        <w:pStyle w:val="BodyText3"/>
        <w:ind w:right="-57"/>
        <w:jc w:val="both"/>
        <w:rPr>
          <w:b w:val="0"/>
          <w:i/>
          <w:sz w:val="22"/>
          <w:szCs w:val="22"/>
          <w:u w:val="single"/>
        </w:rPr>
      </w:pPr>
      <w:r>
        <w:rPr>
          <w:b w:val="0"/>
          <w:i/>
          <w:sz w:val="22"/>
          <w:szCs w:val="22"/>
          <w:u w:val="single"/>
        </w:rPr>
        <w:t xml:space="preserve">Tabela 4: Odrasle osobe </w:t>
      </w:r>
      <w:r w:rsidR="000533BB">
        <w:rPr>
          <w:b w:val="0"/>
          <w:i/>
          <w:sz w:val="22"/>
          <w:szCs w:val="22"/>
          <w:u w:val="single"/>
        </w:rPr>
        <w:t>uzrasta</w:t>
      </w:r>
      <w:r>
        <w:rPr>
          <w:b w:val="0"/>
          <w:i/>
          <w:sz w:val="22"/>
          <w:szCs w:val="22"/>
          <w:u w:val="single"/>
        </w:rPr>
        <w:t xml:space="preserve"> 18 godina života i </w:t>
      </w:r>
      <w:r w:rsidR="000533BB">
        <w:rPr>
          <w:b w:val="0"/>
          <w:i/>
          <w:sz w:val="22"/>
          <w:szCs w:val="22"/>
          <w:u w:val="single"/>
        </w:rPr>
        <w:t>više</w:t>
      </w:r>
      <w:r>
        <w:rPr>
          <w:b w:val="0"/>
          <w:i/>
          <w:sz w:val="22"/>
          <w:szCs w:val="22"/>
          <w:u w:val="single"/>
        </w:rPr>
        <w:t xml:space="preserve"> – ukupna dnevna doza održavanja nakon povlačenja konkomitantne terapije u liječenju bipolarnog poremećaja</w:t>
      </w:r>
    </w:p>
    <w:p w14:paraId="22064D5F" w14:textId="77777777" w:rsidR="00AC7152" w:rsidRDefault="00AC7152" w:rsidP="006B3996">
      <w:pPr>
        <w:pStyle w:val="BodyText3"/>
        <w:ind w:right="-57"/>
        <w:jc w:val="both"/>
        <w:rPr>
          <w:b w:val="0"/>
          <w:i/>
          <w:sz w:val="22"/>
          <w:szCs w:val="22"/>
          <w:u w:val="single"/>
        </w:rPr>
      </w:pPr>
    </w:p>
    <w:p w14:paraId="22064D60" w14:textId="77777777" w:rsidR="00AC7152" w:rsidRDefault="00AC7152" w:rsidP="006B3996">
      <w:pPr>
        <w:pStyle w:val="BodyText3"/>
        <w:ind w:right="-57"/>
        <w:jc w:val="both"/>
        <w:rPr>
          <w:b w:val="0"/>
          <w:sz w:val="22"/>
          <w:szCs w:val="22"/>
        </w:rPr>
      </w:pPr>
      <w:r>
        <w:rPr>
          <w:b w:val="0"/>
          <w:sz w:val="22"/>
          <w:szCs w:val="22"/>
        </w:rPr>
        <w:t>Nakon postizanja ciljne dnevne doze održavanja može se prekinuti primjena druge medicinske terapije u skladu sa niženavedenim preporukama.</w:t>
      </w:r>
    </w:p>
    <w:p w14:paraId="22064D61" w14:textId="77777777" w:rsidR="00AC7152" w:rsidRDefault="00AC7152" w:rsidP="00AC7152">
      <w:pPr>
        <w:pStyle w:val="BodyText3"/>
        <w:ind w:left="57" w:right="-57"/>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00"/>
        <w:gridCol w:w="1980"/>
        <w:gridCol w:w="1850"/>
        <w:gridCol w:w="1992"/>
      </w:tblGrid>
      <w:tr w:rsidR="00AC7152" w14:paraId="22064D6B" w14:textId="77777777" w:rsidTr="00AC7152">
        <w:tc>
          <w:tcPr>
            <w:tcW w:w="2335" w:type="dxa"/>
            <w:tcBorders>
              <w:top w:val="single" w:sz="4" w:space="0" w:color="auto"/>
              <w:left w:val="single" w:sz="4" w:space="0" w:color="auto"/>
              <w:bottom w:val="single" w:sz="4" w:space="0" w:color="auto"/>
              <w:right w:val="single" w:sz="4" w:space="0" w:color="auto"/>
            </w:tcBorders>
          </w:tcPr>
          <w:p w14:paraId="22064D62" w14:textId="77777777" w:rsidR="00AC7152" w:rsidRDefault="00AC7152">
            <w:pPr>
              <w:pStyle w:val="BodyText3"/>
              <w:ind w:left="57" w:right="-57"/>
              <w:jc w:val="center"/>
              <w:rPr>
                <w:b w:val="0"/>
                <w:sz w:val="22"/>
                <w:szCs w:val="22"/>
              </w:rPr>
            </w:pPr>
            <w:r>
              <w:rPr>
                <w:b w:val="0"/>
                <w:sz w:val="22"/>
                <w:szCs w:val="22"/>
              </w:rPr>
              <w:t>Terapijska shema</w:t>
            </w:r>
          </w:p>
          <w:p w14:paraId="22064D63" w14:textId="77777777" w:rsidR="00AC7152" w:rsidRDefault="00AC7152">
            <w:pPr>
              <w:pStyle w:val="BodyText3"/>
              <w:ind w:right="-57"/>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22064D64" w14:textId="77777777" w:rsidR="00AC7152" w:rsidRDefault="00AC7152">
            <w:pPr>
              <w:pStyle w:val="BodyText3"/>
              <w:ind w:right="-57"/>
              <w:jc w:val="center"/>
              <w:rPr>
                <w:b w:val="0"/>
                <w:sz w:val="22"/>
                <w:szCs w:val="22"/>
              </w:rPr>
            </w:pPr>
            <w:r>
              <w:rPr>
                <w:b w:val="0"/>
                <w:sz w:val="22"/>
                <w:szCs w:val="22"/>
              </w:rPr>
              <w:t>Trenutna doza stabilizacije lamotrigina</w:t>
            </w:r>
          </w:p>
          <w:p w14:paraId="22064D65" w14:textId="7AA4AAFC" w:rsidR="00AC7152" w:rsidRDefault="00AC7152" w:rsidP="004B4D09">
            <w:pPr>
              <w:pStyle w:val="BodyText3"/>
              <w:ind w:right="-57"/>
              <w:jc w:val="center"/>
              <w:rPr>
                <w:b w:val="0"/>
                <w:sz w:val="22"/>
                <w:szCs w:val="22"/>
              </w:rPr>
            </w:pPr>
            <w:r>
              <w:rPr>
                <w:b w:val="0"/>
                <w:sz w:val="22"/>
                <w:szCs w:val="22"/>
              </w:rPr>
              <w:t>(prije povlačenja)</w:t>
            </w:r>
          </w:p>
        </w:tc>
        <w:tc>
          <w:tcPr>
            <w:tcW w:w="1980" w:type="dxa"/>
            <w:tcBorders>
              <w:top w:val="single" w:sz="4" w:space="0" w:color="auto"/>
              <w:left w:val="single" w:sz="4" w:space="0" w:color="auto"/>
              <w:bottom w:val="single" w:sz="4" w:space="0" w:color="auto"/>
              <w:right w:val="single" w:sz="4" w:space="0" w:color="auto"/>
            </w:tcBorders>
            <w:hideMark/>
          </w:tcPr>
          <w:p w14:paraId="22064D66" w14:textId="77777777" w:rsidR="00AC7152" w:rsidRDefault="00AC7152">
            <w:pPr>
              <w:pStyle w:val="BodyText3"/>
              <w:ind w:right="-57"/>
              <w:jc w:val="center"/>
              <w:rPr>
                <w:b w:val="0"/>
                <w:sz w:val="22"/>
                <w:szCs w:val="22"/>
              </w:rPr>
            </w:pPr>
            <w:r>
              <w:rPr>
                <w:b w:val="0"/>
                <w:sz w:val="22"/>
                <w:szCs w:val="22"/>
              </w:rPr>
              <w:t>1. nedjelja</w:t>
            </w:r>
          </w:p>
          <w:p w14:paraId="22064D67" w14:textId="34C011E2" w:rsidR="00AC7152" w:rsidRDefault="00AC7152" w:rsidP="004B4D09">
            <w:pPr>
              <w:pStyle w:val="BodyText3"/>
              <w:ind w:right="-57"/>
              <w:jc w:val="center"/>
              <w:rPr>
                <w:b w:val="0"/>
                <w:sz w:val="22"/>
                <w:szCs w:val="22"/>
              </w:rPr>
            </w:pPr>
            <w:r>
              <w:rPr>
                <w:b w:val="0"/>
                <w:sz w:val="22"/>
                <w:szCs w:val="22"/>
              </w:rPr>
              <w:t>(početak povlačenja)</w:t>
            </w:r>
          </w:p>
        </w:tc>
        <w:tc>
          <w:tcPr>
            <w:tcW w:w="1850" w:type="dxa"/>
            <w:tcBorders>
              <w:top w:val="single" w:sz="4" w:space="0" w:color="auto"/>
              <w:left w:val="single" w:sz="4" w:space="0" w:color="auto"/>
              <w:bottom w:val="single" w:sz="4" w:space="0" w:color="auto"/>
              <w:right w:val="single" w:sz="4" w:space="0" w:color="auto"/>
            </w:tcBorders>
            <w:hideMark/>
          </w:tcPr>
          <w:p w14:paraId="22064D68" w14:textId="77777777" w:rsidR="00AC7152" w:rsidRDefault="00AC7152">
            <w:pPr>
              <w:pStyle w:val="BodyText3"/>
              <w:ind w:right="-57"/>
              <w:jc w:val="center"/>
              <w:rPr>
                <w:sz w:val="22"/>
                <w:szCs w:val="22"/>
              </w:rPr>
            </w:pPr>
            <w:r>
              <w:rPr>
                <w:b w:val="0"/>
                <w:sz w:val="22"/>
                <w:szCs w:val="22"/>
              </w:rPr>
              <w:t>2. nedjelja</w:t>
            </w:r>
          </w:p>
        </w:tc>
        <w:tc>
          <w:tcPr>
            <w:tcW w:w="1992" w:type="dxa"/>
            <w:tcBorders>
              <w:top w:val="single" w:sz="4" w:space="0" w:color="auto"/>
              <w:left w:val="single" w:sz="4" w:space="0" w:color="auto"/>
              <w:bottom w:val="single" w:sz="4" w:space="0" w:color="auto"/>
              <w:right w:val="single" w:sz="4" w:space="0" w:color="auto"/>
            </w:tcBorders>
            <w:hideMark/>
          </w:tcPr>
          <w:p w14:paraId="22064D69" w14:textId="77777777" w:rsidR="00AC7152" w:rsidRDefault="00AC7152">
            <w:pPr>
              <w:pStyle w:val="BodyText3"/>
              <w:ind w:right="-57"/>
              <w:jc w:val="center"/>
              <w:rPr>
                <w:b w:val="0"/>
                <w:sz w:val="22"/>
                <w:szCs w:val="22"/>
              </w:rPr>
            </w:pPr>
            <w:r>
              <w:rPr>
                <w:b w:val="0"/>
                <w:sz w:val="22"/>
                <w:szCs w:val="22"/>
              </w:rPr>
              <w:t>3. nedjelja</w:t>
            </w:r>
          </w:p>
          <w:p w14:paraId="22064D6A" w14:textId="77777777" w:rsidR="00AC7152" w:rsidRDefault="00AC7152">
            <w:pPr>
              <w:pStyle w:val="BodyText3"/>
              <w:ind w:right="-57"/>
              <w:jc w:val="center"/>
              <w:rPr>
                <w:sz w:val="22"/>
                <w:szCs w:val="22"/>
              </w:rPr>
            </w:pPr>
            <w:r>
              <w:rPr>
                <w:b w:val="0"/>
                <w:sz w:val="22"/>
                <w:szCs w:val="22"/>
              </w:rPr>
              <w:t>nadalje*</w:t>
            </w:r>
          </w:p>
        </w:tc>
      </w:tr>
      <w:tr w:rsidR="00AC7152" w14:paraId="22064D6D"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6C" w14:textId="477AD37B" w:rsidR="00AC7152" w:rsidRDefault="00AC7152">
            <w:pPr>
              <w:pStyle w:val="BodyText3"/>
              <w:ind w:right="-57"/>
              <w:rPr>
                <w:sz w:val="22"/>
                <w:szCs w:val="22"/>
              </w:rPr>
            </w:pPr>
            <w:r>
              <w:rPr>
                <w:sz w:val="22"/>
                <w:szCs w:val="22"/>
              </w:rPr>
              <w:t xml:space="preserve">Povlačenje valproata </w:t>
            </w:r>
            <w:r>
              <w:rPr>
                <w:b w:val="0"/>
                <w:sz w:val="22"/>
                <w:szCs w:val="22"/>
              </w:rPr>
              <w:t xml:space="preserve">(inhibitor glukuronidacije lamotrigina – vidjeti </w:t>
            </w:r>
            <w:r w:rsidR="00706D93">
              <w:rPr>
                <w:b w:val="0"/>
                <w:sz w:val="22"/>
                <w:szCs w:val="22"/>
              </w:rPr>
              <w:t>dio</w:t>
            </w:r>
            <w:r>
              <w:rPr>
                <w:b w:val="0"/>
                <w:sz w:val="22"/>
                <w:szCs w:val="22"/>
              </w:rPr>
              <w:t xml:space="preserve"> 4.5), u zavisnosti od osnovne doze lamotrigina</w:t>
            </w:r>
            <w:r>
              <w:rPr>
                <w:sz w:val="22"/>
                <w:szCs w:val="22"/>
              </w:rPr>
              <w:t>:</w:t>
            </w:r>
          </w:p>
        </w:tc>
      </w:tr>
      <w:tr w:rsidR="00AC7152" w14:paraId="22064D76" w14:textId="77777777" w:rsidTr="00AC7152">
        <w:tc>
          <w:tcPr>
            <w:tcW w:w="2335" w:type="dxa"/>
            <w:vMerge w:val="restart"/>
            <w:tcBorders>
              <w:top w:val="single" w:sz="4" w:space="0" w:color="auto"/>
              <w:left w:val="single" w:sz="4" w:space="0" w:color="auto"/>
              <w:bottom w:val="single" w:sz="4" w:space="0" w:color="auto"/>
              <w:right w:val="single" w:sz="4" w:space="0" w:color="auto"/>
            </w:tcBorders>
            <w:hideMark/>
          </w:tcPr>
          <w:p w14:paraId="22064D6E" w14:textId="44522A20" w:rsidR="00AC7152" w:rsidRDefault="00AC7152" w:rsidP="004B4D09">
            <w:pPr>
              <w:pStyle w:val="BodyText3"/>
              <w:ind w:right="-57"/>
              <w:rPr>
                <w:b w:val="0"/>
                <w:sz w:val="22"/>
                <w:szCs w:val="22"/>
              </w:rPr>
            </w:pPr>
            <w:r>
              <w:rPr>
                <w:b w:val="0"/>
                <w:sz w:val="22"/>
                <w:szCs w:val="22"/>
              </w:rPr>
              <w:t>Nakon povlačenja valproata iz terapije, udvostručiti dozu stabilizacije ne prekorač</w:t>
            </w:r>
            <w:r w:rsidR="000533BB">
              <w:rPr>
                <w:b w:val="0"/>
                <w:sz w:val="22"/>
                <w:szCs w:val="22"/>
              </w:rPr>
              <w:t>ujući</w:t>
            </w:r>
            <w:r>
              <w:rPr>
                <w:b w:val="0"/>
                <w:sz w:val="22"/>
                <w:szCs w:val="22"/>
              </w:rPr>
              <w:t xml:space="preserve"> povećanje za više od 100 mg/nedjeljno</w:t>
            </w:r>
          </w:p>
        </w:tc>
        <w:tc>
          <w:tcPr>
            <w:tcW w:w="1800" w:type="dxa"/>
            <w:tcBorders>
              <w:top w:val="single" w:sz="4" w:space="0" w:color="auto"/>
              <w:left w:val="single" w:sz="4" w:space="0" w:color="auto"/>
              <w:bottom w:val="single" w:sz="4" w:space="0" w:color="auto"/>
              <w:right w:val="single" w:sz="4" w:space="0" w:color="auto"/>
            </w:tcBorders>
          </w:tcPr>
          <w:p w14:paraId="22064D6F" w14:textId="77777777" w:rsidR="00AC7152" w:rsidRDefault="00AC7152">
            <w:pPr>
              <w:pStyle w:val="BodyText3"/>
              <w:rPr>
                <w:b w:val="0"/>
                <w:sz w:val="22"/>
                <w:szCs w:val="22"/>
                <w:lang w:val="sr-Latn-CS"/>
              </w:rPr>
            </w:pPr>
            <w:r>
              <w:rPr>
                <w:b w:val="0"/>
                <w:sz w:val="22"/>
                <w:szCs w:val="22"/>
                <w:lang w:val="sr-Latn-CS"/>
              </w:rPr>
              <w:t xml:space="preserve">100 mg/dnevno </w:t>
            </w:r>
          </w:p>
          <w:p w14:paraId="22064D70"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71" w14:textId="77777777" w:rsidR="00AC7152" w:rsidRDefault="00AC7152">
            <w:pPr>
              <w:pStyle w:val="BodyText3"/>
              <w:rPr>
                <w:b w:val="0"/>
                <w:sz w:val="22"/>
                <w:szCs w:val="22"/>
                <w:lang w:val="sr-Latn-CS"/>
              </w:rPr>
            </w:pPr>
            <w:r>
              <w:rPr>
                <w:b w:val="0"/>
                <w:sz w:val="22"/>
                <w:szCs w:val="22"/>
                <w:lang w:val="sr-Latn-CS"/>
              </w:rPr>
              <w:t xml:space="preserve">200 mg/dnevno </w:t>
            </w:r>
          </w:p>
          <w:p w14:paraId="22064D72" w14:textId="77777777" w:rsidR="00AC7152" w:rsidRDefault="00AC7152">
            <w:pPr>
              <w:pStyle w:val="BodyText3"/>
              <w:ind w:right="-57"/>
              <w:rPr>
                <w:b w:val="0"/>
                <w:sz w:val="22"/>
                <w:szCs w:val="22"/>
              </w:rPr>
            </w:pPr>
          </w:p>
        </w:tc>
        <w:tc>
          <w:tcPr>
            <w:tcW w:w="3842" w:type="dxa"/>
            <w:gridSpan w:val="2"/>
            <w:tcBorders>
              <w:top w:val="single" w:sz="4" w:space="0" w:color="auto"/>
              <w:left w:val="single" w:sz="4" w:space="0" w:color="auto"/>
              <w:bottom w:val="single" w:sz="4" w:space="0" w:color="auto"/>
              <w:right w:val="single" w:sz="4" w:space="0" w:color="auto"/>
            </w:tcBorders>
            <w:hideMark/>
          </w:tcPr>
          <w:p w14:paraId="22064D73" w14:textId="77777777" w:rsidR="00AC7152" w:rsidRDefault="00AC7152">
            <w:pPr>
              <w:pStyle w:val="BodyText3"/>
              <w:ind w:right="-57"/>
              <w:rPr>
                <w:b w:val="0"/>
                <w:sz w:val="22"/>
                <w:szCs w:val="22"/>
              </w:rPr>
            </w:pPr>
            <w:r>
              <w:rPr>
                <w:b w:val="0"/>
                <w:sz w:val="22"/>
                <w:szCs w:val="22"/>
              </w:rPr>
              <w:t>Održavanje navedene doze</w:t>
            </w:r>
          </w:p>
          <w:p w14:paraId="22064D74" w14:textId="77777777" w:rsidR="00AC7152" w:rsidRDefault="00AC7152">
            <w:pPr>
              <w:pStyle w:val="BodyText3"/>
              <w:ind w:right="-57"/>
              <w:rPr>
                <w:b w:val="0"/>
                <w:sz w:val="22"/>
                <w:szCs w:val="22"/>
                <w:lang w:val="sr-Latn-CS"/>
              </w:rPr>
            </w:pPr>
            <w:r>
              <w:rPr>
                <w:b w:val="0"/>
                <w:sz w:val="22"/>
                <w:szCs w:val="22"/>
                <w:lang w:val="sr-Latn-CS"/>
              </w:rPr>
              <w:t>(200 mg/dnevno)</w:t>
            </w:r>
          </w:p>
          <w:p w14:paraId="22064D75" w14:textId="77777777" w:rsidR="00AC7152" w:rsidRDefault="00AC7152">
            <w:pPr>
              <w:pStyle w:val="BodyText3"/>
              <w:ind w:right="-57"/>
              <w:rPr>
                <w:sz w:val="22"/>
                <w:szCs w:val="22"/>
              </w:rPr>
            </w:pPr>
            <w:r>
              <w:rPr>
                <w:b w:val="0"/>
                <w:sz w:val="22"/>
                <w:szCs w:val="22"/>
                <w:lang w:val="sr-Latn-CS"/>
              </w:rPr>
              <w:t>(</w:t>
            </w:r>
            <w:r>
              <w:rPr>
                <w:b w:val="0"/>
                <w:sz w:val="22"/>
                <w:szCs w:val="22"/>
              </w:rPr>
              <w:t>podijeljeno u dvije doze</w:t>
            </w:r>
            <w:r>
              <w:rPr>
                <w:b w:val="0"/>
                <w:sz w:val="22"/>
                <w:szCs w:val="22"/>
                <w:lang w:val="sr-Latn-CS"/>
              </w:rPr>
              <w:t>)</w:t>
            </w:r>
          </w:p>
        </w:tc>
      </w:tr>
      <w:tr w:rsidR="00AC7152" w:rsidRPr="00BF78B0" w14:paraId="22064D81" w14:textId="77777777" w:rsidTr="00AC7152">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77" w14:textId="77777777" w:rsidR="00AC7152" w:rsidRDefault="00AC7152">
            <w:pPr>
              <w:rPr>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78" w14:textId="77777777" w:rsidR="00AC7152" w:rsidRDefault="00AC7152">
            <w:pPr>
              <w:pStyle w:val="BodyText3"/>
              <w:rPr>
                <w:b w:val="0"/>
                <w:sz w:val="22"/>
                <w:szCs w:val="22"/>
                <w:lang w:val="sr-Latn-CS"/>
              </w:rPr>
            </w:pPr>
            <w:r>
              <w:rPr>
                <w:b w:val="0"/>
                <w:sz w:val="22"/>
                <w:szCs w:val="22"/>
                <w:lang w:val="sr-Latn-CS"/>
              </w:rPr>
              <w:t xml:space="preserve">200 mg/dnevno </w:t>
            </w:r>
          </w:p>
          <w:p w14:paraId="22064D79"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7A" w14:textId="77777777" w:rsidR="00AC7152" w:rsidRDefault="00AC7152">
            <w:pPr>
              <w:pStyle w:val="BodyText3"/>
              <w:rPr>
                <w:b w:val="0"/>
                <w:sz w:val="22"/>
                <w:szCs w:val="22"/>
                <w:lang w:val="sr-Latn-CS"/>
              </w:rPr>
            </w:pPr>
            <w:r>
              <w:rPr>
                <w:b w:val="0"/>
                <w:sz w:val="22"/>
                <w:szCs w:val="22"/>
                <w:lang w:val="sr-Latn-CS"/>
              </w:rPr>
              <w:t xml:space="preserve">300 mg/dnevno </w:t>
            </w:r>
          </w:p>
          <w:p w14:paraId="22064D7B"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D7C" w14:textId="77777777" w:rsidR="00AC7152" w:rsidRDefault="00AC7152">
            <w:pPr>
              <w:pStyle w:val="BodyText3"/>
              <w:rPr>
                <w:b w:val="0"/>
                <w:sz w:val="22"/>
                <w:szCs w:val="22"/>
                <w:lang w:val="sr-Latn-CS"/>
              </w:rPr>
            </w:pPr>
            <w:r>
              <w:rPr>
                <w:b w:val="0"/>
                <w:sz w:val="22"/>
                <w:szCs w:val="22"/>
                <w:lang w:val="sr-Latn-CS"/>
              </w:rPr>
              <w:t xml:space="preserve">400 mg/dnevno </w:t>
            </w:r>
          </w:p>
          <w:p w14:paraId="22064D7D"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D7E" w14:textId="77777777" w:rsidR="00AC7152" w:rsidRDefault="00AC7152">
            <w:pPr>
              <w:pStyle w:val="BodyText3"/>
              <w:ind w:right="-57"/>
              <w:rPr>
                <w:b w:val="0"/>
                <w:sz w:val="22"/>
                <w:szCs w:val="22"/>
              </w:rPr>
            </w:pPr>
            <w:r>
              <w:rPr>
                <w:b w:val="0"/>
                <w:sz w:val="22"/>
                <w:szCs w:val="22"/>
              </w:rPr>
              <w:t>Održavanje navedene doze</w:t>
            </w:r>
          </w:p>
          <w:p w14:paraId="22064D7F" w14:textId="77777777" w:rsidR="00AC7152" w:rsidRDefault="00AC7152">
            <w:pPr>
              <w:pStyle w:val="BodyText3"/>
              <w:rPr>
                <w:b w:val="0"/>
                <w:sz w:val="22"/>
                <w:szCs w:val="22"/>
                <w:lang w:val="sr-Latn-CS"/>
              </w:rPr>
            </w:pPr>
            <w:r>
              <w:rPr>
                <w:b w:val="0"/>
                <w:sz w:val="22"/>
                <w:szCs w:val="22"/>
                <w:lang w:val="sr-Latn-CS"/>
              </w:rPr>
              <w:t xml:space="preserve">(400 mg/dnevno) </w:t>
            </w:r>
          </w:p>
          <w:p w14:paraId="22064D80" w14:textId="77777777" w:rsidR="00AC7152" w:rsidRDefault="00AC7152">
            <w:pPr>
              <w:pStyle w:val="BodyText3"/>
              <w:ind w:right="-57"/>
              <w:rPr>
                <w:sz w:val="22"/>
                <w:szCs w:val="22"/>
              </w:rPr>
            </w:pPr>
          </w:p>
        </w:tc>
      </w:tr>
      <w:tr w:rsidR="00AC7152" w:rsidRPr="00BF78B0" w14:paraId="22064D83"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82" w14:textId="5710DA92" w:rsidR="00AC7152" w:rsidRDefault="00AC7152">
            <w:pPr>
              <w:pStyle w:val="BodyText3"/>
              <w:ind w:right="-57"/>
              <w:rPr>
                <w:sz w:val="22"/>
                <w:szCs w:val="22"/>
              </w:rPr>
            </w:pPr>
            <w:r>
              <w:rPr>
                <w:sz w:val="22"/>
                <w:szCs w:val="22"/>
              </w:rPr>
              <w:t xml:space="preserve">Povlačenje induktora glukuronidacije lamotrigina </w:t>
            </w:r>
            <w:r>
              <w:rPr>
                <w:b w:val="0"/>
                <w:sz w:val="22"/>
                <w:szCs w:val="22"/>
              </w:rPr>
              <w:t xml:space="preserve">(vidjeti </w:t>
            </w:r>
            <w:r w:rsidR="00706D93">
              <w:rPr>
                <w:b w:val="0"/>
                <w:sz w:val="22"/>
                <w:szCs w:val="22"/>
              </w:rPr>
              <w:t>dio</w:t>
            </w:r>
            <w:r>
              <w:rPr>
                <w:b w:val="0"/>
                <w:sz w:val="22"/>
                <w:szCs w:val="22"/>
              </w:rPr>
              <w:t xml:space="preserve"> 4.5), u zavisnosti od osnovne doze lamotrigina</w:t>
            </w:r>
            <w:r>
              <w:rPr>
                <w:sz w:val="22"/>
                <w:szCs w:val="22"/>
              </w:rPr>
              <w:t>:</w:t>
            </w:r>
          </w:p>
        </w:tc>
      </w:tr>
      <w:tr w:rsidR="00AC7152" w14:paraId="22064D95" w14:textId="77777777" w:rsidTr="00AC7152">
        <w:tc>
          <w:tcPr>
            <w:tcW w:w="2335" w:type="dxa"/>
            <w:vMerge w:val="restart"/>
            <w:tcBorders>
              <w:top w:val="single" w:sz="4" w:space="0" w:color="auto"/>
              <w:left w:val="single" w:sz="4" w:space="0" w:color="auto"/>
              <w:bottom w:val="single" w:sz="4" w:space="0" w:color="auto"/>
              <w:right w:val="single" w:sz="4" w:space="0" w:color="auto"/>
            </w:tcBorders>
          </w:tcPr>
          <w:p w14:paraId="22064D84" w14:textId="3C9DFD10" w:rsidR="00AC7152" w:rsidRDefault="00AC7152">
            <w:pPr>
              <w:pStyle w:val="BodyText3"/>
              <w:ind w:left="57" w:right="-57"/>
              <w:rPr>
                <w:b w:val="0"/>
                <w:sz w:val="22"/>
                <w:szCs w:val="22"/>
              </w:rPr>
            </w:pPr>
            <w:r>
              <w:rPr>
                <w:b w:val="0"/>
                <w:sz w:val="22"/>
                <w:szCs w:val="22"/>
              </w:rPr>
              <w:t>Navedenu shemu doziranja primjenjivati prilikom povlačenja iz terapije niženavedenih ljekova:</w:t>
            </w:r>
          </w:p>
          <w:p w14:paraId="22064D85" w14:textId="77777777" w:rsidR="00AC7152" w:rsidRDefault="00AC7152">
            <w:pPr>
              <w:pStyle w:val="BodyText3"/>
              <w:ind w:left="57" w:right="-57"/>
              <w:rPr>
                <w:b w:val="0"/>
                <w:sz w:val="22"/>
                <w:szCs w:val="22"/>
              </w:rPr>
            </w:pPr>
          </w:p>
          <w:p w14:paraId="22064D86" w14:textId="77777777" w:rsidR="00AC7152" w:rsidRDefault="00AC7152">
            <w:pPr>
              <w:pStyle w:val="BodyText3"/>
              <w:ind w:left="57" w:right="-57"/>
              <w:rPr>
                <w:b w:val="0"/>
                <w:sz w:val="22"/>
                <w:szCs w:val="22"/>
              </w:rPr>
            </w:pPr>
            <w:r>
              <w:rPr>
                <w:b w:val="0"/>
                <w:sz w:val="22"/>
                <w:szCs w:val="22"/>
              </w:rPr>
              <w:t>fenitoin</w:t>
            </w:r>
          </w:p>
          <w:p w14:paraId="22064D87" w14:textId="77777777" w:rsidR="00AC7152" w:rsidRDefault="00AC7152">
            <w:pPr>
              <w:pStyle w:val="BodyText3"/>
              <w:ind w:left="57" w:right="-57"/>
              <w:rPr>
                <w:b w:val="0"/>
                <w:sz w:val="22"/>
                <w:szCs w:val="22"/>
              </w:rPr>
            </w:pPr>
            <w:r>
              <w:rPr>
                <w:b w:val="0"/>
                <w:sz w:val="22"/>
                <w:szCs w:val="22"/>
              </w:rPr>
              <w:t>karbamazepin</w:t>
            </w:r>
          </w:p>
          <w:p w14:paraId="22064D88" w14:textId="77777777" w:rsidR="00AC7152" w:rsidRDefault="00AC7152">
            <w:pPr>
              <w:pStyle w:val="BodyText3"/>
              <w:ind w:left="57" w:right="-57"/>
              <w:rPr>
                <w:b w:val="0"/>
                <w:sz w:val="22"/>
                <w:szCs w:val="22"/>
              </w:rPr>
            </w:pPr>
            <w:r>
              <w:rPr>
                <w:b w:val="0"/>
                <w:sz w:val="22"/>
                <w:szCs w:val="22"/>
              </w:rPr>
              <w:t>fenobarbiton</w:t>
            </w:r>
          </w:p>
          <w:p w14:paraId="22064D89" w14:textId="77777777" w:rsidR="00AC7152" w:rsidRDefault="00AC7152">
            <w:pPr>
              <w:pStyle w:val="BodyText3"/>
              <w:ind w:left="57" w:right="-57"/>
              <w:rPr>
                <w:b w:val="0"/>
                <w:sz w:val="22"/>
                <w:szCs w:val="22"/>
              </w:rPr>
            </w:pPr>
            <w:r>
              <w:rPr>
                <w:b w:val="0"/>
                <w:sz w:val="22"/>
                <w:szCs w:val="22"/>
              </w:rPr>
              <w:t>primidon</w:t>
            </w:r>
          </w:p>
          <w:p w14:paraId="22064D8A" w14:textId="77777777" w:rsidR="00AC7152" w:rsidRDefault="00AC7152">
            <w:pPr>
              <w:pStyle w:val="BodyText3"/>
              <w:ind w:left="57" w:right="-57"/>
              <w:rPr>
                <w:b w:val="0"/>
                <w:sz w:val="22"/>
                <w:szCs w:val="22"/>
              </w:rPr>
            </w:pPr>
            <w:r>
              <w:rPr>
                <w:b w:val="0"/>
                <w:sz w:val="22"/>
                <w:szCs w:val="22"/>
              </w:rPr>
              <w:t>rifampicin</w:t>
            </w:r>
          </w:p>
          <w:p w14:paraId="22064D8B" w14:textId="77777777" w:rsidR="00AC7152" w:rsidRDefault="00AC7152">
            <w:pPr>
              <w:pStyle w:val="BodyText3"/>
              <w:ind w:left="57" w:right="-57"/>
              <w:rPr>
                <w:b w:val="0"/>
                <w:sz w:val="22"/>
                <w:szCs w:val="22"/>
              </w:rPr>
            </w:pPr>
            <w:r>
              <w:rPr>
                <w:b w:val="0"/>
                <w:sz w:val="22"/>
                <w:szCs w:val="22"/>
              </w:rPr>
              <w:t>lopinavir/ritonavir</w:t>
            </w:r>
          </w:p>
          <w:p w14:paraId="22064D8C" w14:textId="77777777" w:rsidR="00AC7152" w:rsidRDefault="00AC7152">
            <w:pPr>
              <w:pStyle w:val="BodyText3"/>
              <w:ind w:right="-57"/>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064D8D" w14:textId="77777777" w:rsidR="00AC7152" w:rsidRDefault="00AC7152">
            <w:pPr>
              <w:pStyle w:val="BodyText3"/>
              <w:rPr>
                <w:b w:val="0"/>
                <w:sz w:val="22"/>
                <w:szCs w:val="22"/>
                <w:lang w:val="sr-Latn-CS"/>
              </w:rPr>
            </w:pPr>
            <w:r>
              <w:rPr>
                <w:b w:val="0"/>
                <w:sz w:val="22"/>
                <w:szCs w:val="22"/>
                <w:lang w:val="sr-Latn-CS"/>
              </w:rPr>
              <w:t xml:space="preserve">400 mg/dnevno </w:t>
            </w:r>
          </w:p>
          <w:p w14:paraId="22064D8E"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8F" w14:textId="77777777" w:rsidR="00AC7152" w:rsidRDefault="00AC7152">
            <w:pPr>
              <w:pStyle w:val="BodyText3"/>
              <w:rPr>
                <w:b w:val="0"/>
                <w:sz w:val="22"/>
                <w:szCs w:val="22"/>
                <w:lang w:val="sr-Latn-CS"/>
              </w:rPr>
            </w:pPr>
            <w:r>
              <w:rPr>
                <w:b w:val="0"/>
                <w:sz w:val="22"/>
                <w:szCs w:val="22"/>
                <w:lang w:val="sr-Latn-CS"/>
              </w:rPr>
              <w:t xml:space="preserve">400 mg/dnevno </w:t>
            </w:r>
          </w:p>
          <w:p w14:paraId="22064D90"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D91" w14:textId="77777777" w:rsidR="00AC7152" w:rsidRDefault="00AC7152">
            <w:pPr>
              <w:pStyle w:val="BodyText3"/>
              <w:rPr>
                <w:b w:val="0"/>
                <w:sz w:val="22"/>
                <w:szCs w:val="22"/>
                <w:lang w:val="sr-Latn-CS"/>
              </w:rPr>
            </w:pPr>
            <w:r>
              <w:rPr>
                <w:b w:val="0"/>
                <w:sz w:val="22"/>
                <w:szCs w:val="22"/>
                <w:lang w:val="sr-Latn-CS"/>
              </w:rPr>
              <w:t xml:space="preserve">300 mg/dnevno </w:t>
            </w:r>
          </w:p>
          <w:p w14:paraId="22064D92"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D93" w14:textId="77777777" w:rsidR="00AC7152" w:rsidRDefault="00AC7152">
            <w:pPr>
              <w:pStyle w:val="BodyText3"/>
              <w:rPr>
                <w:b w:val="0"/>
                <w:sz w:val="22"/>
                <w:szCs w:val="22"/>
                <w:lang w:val="sr-Latn-CS"/>
              </w:rPr>
            </w:pPr>
            <w:r>
              <w:rPr>
                <w:b w:val="0"/>
                <w:sz w:val="22"/>
                <w:szCs w:val="22"/>
                <w:lang w:val="sr-Latn-CS"/>
              </w:rPr>
              <w:t xml:space="preserve">200 mg/dnevno </w:t>
            </w:r>
          </w:p>
          <w:p w14:paraId="22064D94" w14:textId="77777777" w:rsidR="00AC7152" w:rsidRDefault="00AC7152">
            <w:pPr>
              <w:pStyle w:val="BodyText3"/>
              <w:ind w:right="-57"/>
              <w:rPr>
                <w:sz w:val="22"/>
                <w:szCs w:val="22"/>
              </w:rPr>
            </w:pPr>
          </w:p>
        </w:tc>
      </w:tr>
      <w:tr w:rsidR="00AC7152" w14:paraId="22064D9F" w14:textId="77777777" w:rsidTr="00AC7152">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96" w14:textId="77777777" w:rsidR="00AC7152" w:rsidRDefault="00AC7152">
            <w:pPr>
              <w:rPr>
                <w:b/>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97" w14:textId="77777777" w:rsidR="00AC7152" w:rsidRDefault="00AC7152">
            <w:pPr>
              <w:pStyle w:val="BodyText3"/>
              <w:rPr>
                <w:b w:val="0"/>
                <w:sz w:val="22"/>
                <w:szCs w:val="22"/>
                <w:lang w:val="sr-Latn-CS"/>
              </w:rPr>
            </w:pPr>
            <w:r>
              <w:rPr>
                <w:b w:val="0"/>
                <w:sz w:val="22"/>
                <w:szCs w:val="22"/>
                <w:lang w:val="sr-Latn-CS"/>
              </w:rPr>
              <w:t xml:space="preserve">300 mg/dnevno </w:t>
            </w:r>
          </w:p>
          <w:p w14:paraId="22064D98"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99" w14:textId="77777777" w:rsidR="00AC7152" w:rsidRDefault="00AC7152">
            <w:pPr>
              <w:pStyle w:val="BodyText3"/>
              <w:rPr>
                <w:b w:val="0"/>
                <w:sz w:val="22"/>
                <w:szCs w:val="22"/>
                <w:lang w:val="sr-Latn-CS"/>
              </w:rPr>
            </w:pPr>
            <w:r>
              <w:rPr>
                <w:b w:val="0"/>
                <w:sz w:val="22"/>
                <w:szCs w:val="22"/>
                <w:lang w:val="sr-Latn-CS"/>
              </w:rPr>
              <w:t xml:space="preserve">300 mg/dnevno </w:t>
            </w:r>
          </w:p>
          <w:p w14:paraId="22064D9A"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D9B" w14:textId="77777777" w:rsidR="00AC7152" w:rsidRDefault="00AC7152">
            <w:pPr>
              <w:pStyle w:val="BodyText3"/>
              <w:rPr>
                <w:b w:val="0"/>
                <w:sz w:val="22"/>
                <w:szCs w:val="22"/>
                <w:lang w:val="sr-Latn-CS"/>
              </w:rPr>
            </w:pPr>
            <w:r>
              <w:rPr>
                <w:b w:val="0"/>
                <w:sz w:val="22"/>
                <w:szCs w:val="22"/>
                <w:lang w:val="sr-Latn-CS"/>
              </w:rPr>
              <w:t xml:space="preserve">225 mg/dnevno </w:t>
            </w:r>
          </w:p>
          <w:p w14:paraId="22064D9C"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D9D" w14:textId="77777777" w:rsidR="00AC7152" w:rsidRDefault="00AC7152">
            <w:pPr>
              <w:pStyle w:val="BodyText3"/>
              <w:rPr>
                <w:b w:val="0"/>
                <w:sz w:val="22"/>
                <w:szCs w:val="22"/>
                <w:lang w:val="sr-Latn-CS"/>
              </w:rPr>
            </w:pPr>
            <w:r>
              <w:rPr>
                <w:b w:val="0"/>
                <w:sz w:val="22"/>
                <w:szCs w:val="22"/>
                <w:lang w:val="sr-Latn-CS"/>
              </w:rPr>
              <w:t xml:space="preserve">150 mg/dnevno </w:t>
            </w:r>
          </w:p>
          <w:p w14:paraId="22064D9E" w14:textId="77777777" w:rsidR="00AC7152" w:rsidRDefault="00AC7152">
            <w:pPr>
              <w:pStyle w:val="BodyText3"/>
              <w:ind w:right="-57"/>
              <w:rPr>
                <w:sz w:val="22"/>
                <w:szCs w:val="22"/>
              </w:rPr>
            </w:pPr>
          </w:p>
        </w:tc>
      </w:tr>
      <w:tr w:rsidR="00AC7152" w14:paraId="22064DA9" w14:textId="77777777" w:rsidTr="00AC7152">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A0" w14:textId="77777777" w:rsidR="00AC7152" w:rsidRDefault="00AC7152">
            <w:pPr>
              <w:rPr>
                <w:b/>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A1" w14:textId="77777777" w:rsidR="00AC7152" w:rsidRDefault="00AC7152">
            <w:pPr>
              <w:pStyle w:val="BodyText3"/>
              <w:rPr>
                <w:b w:val="0"/>
                <w:sz w:val="22"/>
                <w:szCs w:val="22"/>
                <w:lang w:val="sr-Latn-CS"/>
              </w:rPr>
            </w:pPr>
            <w:r>
              <w:rPr>
                <w:b w:val="0"/>
                <w:sz w:val="22"/>
                <w:szCs w:val="22"/>
                <w:lang w:val="sr-Latn-CS"/>
              </w:rPr>
              <w:t xml:space="preserve">200 mg/dnevno </w:t>
            </w:r>
          </w:p>
          <w:p w14:paraId="22064DA2"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A3" w14:textId="77777777" w:rsidR="00AC7152" w:rsidRDefault="00AC7152">
            <w:pPr>
              <w:pStyle w:val="BodyText3"/>
              <w:rPr>
                <w:b w:val="0"/>
                <w:sz w:val="22"/>
                <w:szCs w:val="22"/>
                <w:lang w:val="sr-Latn-CS"/>
              </w:rPr>
            </w:pPr>
            <w:r>
              <w:rPr>
                <w:b w:val="0"/>
                <w:sz w:val="22"/>
                <w:szCs w:val="22"/>
                <w:lang w:val="sr-Latn-CS"/>
              </w:rPr>
              <w:t xml:space="preserve">200 mg/dnevno </w:t>
            </w:r>
          </w:p>
          <w:p w14:paraId="22064DA4"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DA5" w14:textId="77777777" w:rsidR="00AC7152" w:rsidRDefault="00AC7152">
            <w:pPr>
              <w:pStyle w:val="BodyText3"/>
              <w:rPr>
                <w:b w:val="0"/>
                <w:sz w:val="22"/>
                <w:szCs w:val="22"/>
                <w:lang w:val="sr-Latn-CS"/>
              </w:rPr>
            </w:pPr>
            <w:r>
              <w:rPr>
                <w:b w:val="0"/>
                <w:sz w:val="22"/>
                <w:szCs w:val="22"/>
                <w:lang w:val="sr-Latn-CS"/>
              </w:rPr>
              <w:t xml:space="preserve">150 mg/dnevno </w:t>
            </w:r>
          </w:p>
          <w:p w14:paraId="22064DA6"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DA7" w14:textId="77777777" w:rsidR="00AC7152" w:rsidRDefault="00AC7152">
            <w:pPr>
              <w:pStyle w:val="BodyText3"/>
              <w:rPr>
                <w:b w:val="0"/>
                <w:sz w:val="22"/>
                <w:szCs w:val="22"/>
                <w:lang w:val="sr-Latn-CS"/>
              </w:rPr>
            </w:pPr>
            <w:r>
              <w:rPr>
                <w:b w:val="0"/>
                <w:sz w:val="22"/>
                <w:szCs w:val="22"/>
                <w:lang w:val="sr-Latn-CS"/>
              </w:rPr>
              <w:t xml:space="preserve">100 mg/dnevno </w:t>
            </w:r>
          </w:p>
          <w:p w14:paraId="22064DA8" w14:textId="77777777" w:rsidR="00AC7152" w:rsidRDefault="00AC7152">
            <w:pPr>
              <w:pStyle w:val="BodyText3"/>
              <w:ind w:right="-57"/>
              <w:rPr>
                <w:sz w:val="22"/>
                <w:szCs w:val="22"/>
              </w:rPr>
            </w:pPr>
          </w:p>
        </w:tc>
      </w:tr>
      <w:tr w:rsidR="00AC7152" w14:paraId="22064DAB"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AA" w14:textId="1402297B" w:rsidR="00AC7152" w:rsidRDefault="00AC7152">
            <w:pPr>
              <w:pStyle w:val="BodyText3"/>
              <w:ind w:right="-57"/>
              <w:rPr>
                <w:sz w:val="22"/>
                <w:szCs w:val="22"/>
              </w:rPr>
            </w:pPr>
            <w:r>
              <w:rPr>
                <w:sz w:val="22"/>
                <w:szCs w:val="22"/>
              </w:rPr>
              <w:t xml:space="preserve">Povlačenje iz terapije ljekova koji značajno NE inhibiraju ili indukuju glukuronidaciju lamotrigina </w:t>
            </w:r>
            <w:r>
              <w:rPr>
                <w:b w:val="0"/>
                <w:sz w:val="22"/>
                <w:szCs w:val="22"/>
              </w:rPr>
              <w:t xml:space="preserve">(vidjeti </w:t>
            </w:r>
            <w:r w:rsidR="00706D93">
              <w:rPr>
                <w:b w:val="0"/>
                <w:sz w:val="22"/>
                <w:szCs w:val="22"/>
              </w:rPr>
              <w:t>dio</w:t>
            </w:r>
            <w:r>
              <w:rPr>
                <w:b w:val="0"/>
                <w:sz w:val="22"/>
                <w:szCs w:val="22"/>
              </w:rPr>
              <w:t xml:space="preserve"> 4.5)</w:t>
            </w:r>
            <w:r>
              <w:rPr>
                <w:sz w:val="22"/>
                <w:szCs w:val="22"/>
              </w:rPr>
              <w:t>:</w:t>
            </w:r>
          </w:p>
        </w:tc>
      </w:tr>
      <w:tr w:rsidR="00AC7152" w14:paraId="22064DAF" w14:textId="77777777" w:rsidTr="00AC7152">
        <w:tc>
          <w:tcPr>
            <w:tcW w:w="2335" w:type="dxa"/>
            <w:tcBorders>
              <w:top w:val="single" w:sz="4" w:space="0" w:color="auto"/>
              <w:left w:val="single" w:sz="4" w:space="0" w:color="auto"/>
              <w:bottom w:val="single" w:sz="4" w:space="0" w:color="auto"/>
              <w:right w:val="single" w:sz="4" w:space="0" w:color="auto"/>
            </w:tcBorders>
            <w:hideMark/>
          </w:tcPr>
          <w:p w14:paraId="22064DAC" w14:textId="0FDE8553" w:rsidR="00AC7152" w:rsidRDefault="00AC7152" w:rsidP="00771180">
            <w:pPr>
              <w:pStyle w:val="BodyText3"/>
              <w:ind w:right="-57"/>
              <w:rPr>
                <w:sz w:val="22"/>
                <w:szCs w:val="22"/>
              </w:rPr>
            </w:pPr>
            <w:r>
              <w:rPr>
                <w:b w:val="0"/>
                <w:sz w:val="22"/>
                <w:szCs w:val="22"/>
              </w:rPr>
              <w:lastRenderedPageBreak/>
              <w:t>Navedenu shemu doziranja primjenjivati prilikom povlačenja iz terapije ljekova koji značajno ne inhibiraju ili</w:t>
            </w:r>
            <w:r w:rsidR="000533BB">
              <w:rPr>
                <w:b w:val="0"/>
                <w:sz w:val="22"/>
                <w:szCs w:val="22"/>
              </w:rPr>
              <w:t xml:space="preserve"> ne</w:t>
            </w:r>
            <w:r>
              <w:rPr>
                <w:b w:val="0"/>
                <w:sz w:val="22"/>
                <w:szCs w:val="22"/>
              </w:rPr>
              <w:t xml:space="preserve"> indukuju glukuronidaciju lamotrigina</w:t>
            </w:r>
            <w:r>
              <w:rPr>
                <w:sz w:val="22"/>
                <w:szCs w:val="22"/>
              </w:rPr>
              <w:t xml:space="preserve"> </w:t>
            </w:r>
          </w:p>
        </w:tc>
        <w:tc>
          <w:tcPr>
            <w:tcW w:w="7622" w:type="dxa"/>
            <w:gridSpan w:val="4"/>
            <w:tcBorders>
              <w:top w:val="single" w:sz="4" w:space="0" w:color="auto"/>
              <w:left w:val="single" w:sz="4" w:space="0" w:color="auto"/>
              <w:bottom w:val="single" w:sz="4" w:space="0" w:color="auto"/>
              <w:right w:val="single" w:sz="4" w:space="0" w:color="auto"/>
            </w:tcBorders>
            <w:hideMark/>
          </w:tcPr>
          <w:p w14:paraId="22064DAD" w14:textId="77777777" w:rsidR="00AC7152" w:rsidRDefault="00AC7152">
            <w:pPr>
              <w:pStyle w:val="BodyText3"/>
              <w:ind w:right="-57"/>
              <w:rPr>
                <w:b w:val="0"/>
                <w:sz w:val="22"/>
                <w:szCs w:val="22"/>
              </w:rPr>
            </w:pPr>
            <w:r>
              <w:rPr>
                <w:b w:val="0"/>
                <w:sz w:val="22"/>
                <w:szCs w:val="22"/>
              </w:rPr>
              <w:t>Održavanje ciljne doze postignute povećanjem doze (200 mg/dnevno; podijeljeno u dvije doze)</w:t>
            </w:r>
          </w:p>
          <w:p w14:paraId="22064DAE" w14:textId="77777777" w:rsidR="00AC7152" w:rsidRDefault="00AC7152">
            <w:pPr>
              <w:pStyle w:val="BodyText3"/>
              <w:ind w:right="-57"/>
              <w:rPr>
                <w:sz w:val="22"/>
                <w:szCs w:val="22"/>
              </w:rPr>
            </w:pPr>
            <w:r>
              <w:rPr>
                <w:b w:val="0"/>
                <w:sz w:val="22"/>
                <w:szCs w:val="22"/>
              </w:rPr>
              <w:t>(opseg doza 100-400 mg/dnevno)</w:t>
            </w:r>
          </w:p>
        </w:tc>
      </w:tr>
      <w:tr w:rsidR="00AC7152" w14:paraId="22064DB1"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B0" w14:textId="3461EA02" w:rsidR="00AC7152" w:rsidRDefault="00AC7152" w:rsidP="006B3996">
            <w:pPr>
              <w:pStyle w:val="BodyText3"/>
              <w:ind w:right="-57"/>
              <w:jc w:val="both"/>
              <w:rPr>
                <w:b w:val="0"/>
                <w:sz w:val="22"/>
                <w:szCs w:val="22"/>
              </w:rPr>
            </w:pPr>
            <w:r>
              <w:rPr>
                <w:b w:val="0"/>
                <w:sz w:val="22"/>
                <w:szCs w:val="22"/>
              </w:rPr>
              <w:t xml:space="preserve">Kod pacijenata koji primjenjuju ljekove čija farmakokinetička interakcija sa lamotriginom za sada još uvijek nije poznata (vidjeti </w:t>
            </w:r>
            <w:r w:rsidR="00706D93">
              <w:rPr>
                <w:b w:val="0"/>
                <w:sz w:val="22"/>
                <w:szCs w:val="22"/>
              </w:rPr>
              <w:t>dio</w:t>
            </w:r>
            <w:r>
              <w:rPr>
                <w:b w:val="0"/>
                <w:sz w:val="22"/>
                <w:szCs w:val="22"/>
              </w:rPr>
              <w:t xml:space="preserve"> 4.5), preporučena terapijska shema lamotrigina podrazumijeva inicijalno održavanje trenutno primijenjene doze i podešavanje terapije lamotriginom na osnovu kliničkog odgovora.</w:t>
            </w:r>
          </w:p>
        </w:tc>
      </w:tr>
    </w:tbl>
    <w:p w14:paraId="22064DB2" w14:textId="2C4EB409" w:rsidR="00AC7152" w:rsidRDefault="00AC7152" w:rsidP="006B3996">
      <w:pPr>
        <w:pStyle w:val="BodyText3"/>
        <w:ind w:left="57" w:right="-57"/>
        <w:jc w:val="both"/>
        <w:rPr>
          <w:b w:val="0"/>
          <w:sz w:val="22"/>
          <w:szCs w:val="22"/>
        </w:rPr>
      </w:pPr>
      <w:r>
        <w:rPr>
          <w:b w:val="0"/>
          <w:sz w:val="22"/>
          <w:szCs w:val="22"/>
        </w:rPr>
        <w:t>* Prema potrebi moguće povećanje doze do 400</w:t>
      </w:r>
      <w:r w:rsidR="008E0965">
        <w:rPr>
          <w:b w:val="0"/>
          <w:sz w:val="22"/>
          <w:szCs w:val="22"/>
        </w:rPr>
        <w:t xml:space="preserve"> </w:t>
      </w:r>
      <w:r>
        <w:rPr>
          <w:b w:val="0"/>
          <w:sz w:val="22"/>
          <w:szCs w:val="22"/>
        </w:rPr>
        <w:t>mg/dnevno</w:t>
      </w:r>
    </w:p>
    <w:p w14:paraId="22064DB3" w14:textId="77777777" w:rsidR="00AC7152" w:rsidRDefault="00AC7152" w:rsidP="006B3996">
      <w:pPr>
        <w:pStyle w:val="BodyText3"/>
        <w:ind w:left="57" w:right="-57"/>
        <w:jc w:val="both"/>
        <w:rPr>
          <w:sz w:val="22"/>
          <w:szCs w:val="22"/>
        </w:rPr>
      </w:pPr>
    </w:p>
    <w:p w14:paraId="22064DB4" w14:textId="3131A16C" w:rsidR="00AC7152" w:rsidRDefault="00AC7152" w:rsidP="006B3996">
      <w:pPr>
        <w:pStyle w:val="BodyText3"/>
        <w:ind w:right="-57"/>
        <w:jc w:val="both"/>
        <w:rPr>
          <w:b w:val="0"/>
          <w:i/>
          <w:sz w:val="22"/>
          <w:szCs w:val="22"/>
          <w:u w:val="single"/>
        </w:rPr>
      </w:pPr>
      <w:r>
        <w:rPr>
          <w:b w:val="0"/>
          <w:i/>
          <w:sz w:val="22"/>
          <w:szCs w:val="22"/>
          <w:u w:val="single"/>
        </w:rPr>
        <w:t xml:space="preserve">Tabela 5: Odrasle osobe </w:t>
      </w:r>
      <w:r w:rsidR="000533BB">
        <w:rPr>
          <w:b w:val="0"/>
          <w:i/>
          <w:sz w:val="22"/>
          <w:szCs w:val="22"/>
          <w:u w:val="single"/>
        </w:rPr>
        <w:t>uzrasat</w:t>
      </w:r>
      <w:r>
        <w:rPr>
          <w:b w:val="0"/>
          <w:i/>
          <w:sz w:val="22"/>
          <w:szCs w:val="22"/>
          <w:u w:val="single"/>
        </w:rPr>
        <w:t xml:space="preserve"> 18 godina života i </w:t>
      </w:r>
      <w:r w:rsidR="000533BB">
        <w:rPr>
          <w:b w:val="0"/>
          <w:i/>
          <w:sz w:val="22"/>
          <w:szCs w:val="22"/>
          <w:u w:val="single"/>
        </w:rPr>
        <w:t>više</w:t>
      </w:r>
      <w:r>
        <w:rPr>
          <w:b w:val="0"/>
          <w:i/>
          <w:sz w:val="22"/>
          <w:szCs w:val="22"/>
          <w:u w:val="single"/>
        </w:rPr>
        <w:t xml:space="preserve"> – prilagođavanje dnevne doze lamotrigina nakon uvođenja drugih ljekova u terapiju bipolarnog poremećaja</w:t>
      </w:r>
    </w:p>
    <w:p w14:paraId="22064DB5" w14:textId="77777777" w:rsidR="00AC7152" w:rsidRDefault="00AC7152" w:rsidP="006B3996">
      <w:pPr>
        <w:pStyle w:val="BodyText3"/>
        <w:ind w:right="-57"/>
        <w:jc w:val="both"/>
        <w:rPr>
          <w:b w:val="0"/>
          <w:i/>
          <w:sz w:val="22"/>
          <w:szCs w:val="22"/>
          <w:u w:val="single"/>
        </w:rPr>
      </w:pPr>
    </w:p>
    <w:p w14:paraId="22064DB6" w14:textId="200D225E" w:rsidR="00AC7152" w:rsidRDefault="00AC7152" w:rsidP="006B3996">
      <w:pPr>
        <w:pStyle w:val="BodyText3"/>
        <w:ind w:right="-57"/>
        <w:jc w:val="both"/>
        <w:rPr>
          <w:b w:val="0"/>
          <w:sz w:val="22"/>
          <w:szCs w:val="22"/>
        </w:rPr>
      </w:pPr>
      <w:r>
        <w:rPr>
          <w:b w:val="0"/>
          <w:sz w:val="22"/>
          <w:szCs w:val="22"/>
        </w:rPr>
        <w:t>Nema kliničkog iskustva u prilagođavanju dnevne doze lamotrigina nakon uvođenja u terapiju drugih ljekova. Međutim, na osnovu kliničkih ispitivanja interakcije sa drugim ljekovima moguće je dati niženavedene preporuke:</w:t>
      </w:r>
    </w:p>
    <w:p w14:paraId="22064DB7" w14:textId="77777777" w:rsidR="00AC7152" w:rsidRDefault="00AC7152" w:rsidP="00AC7152">
      <w:pPr>
        <w:pStyle w:val="BodyText3"/>
        <w:ind w:left="57" w:right="-57"/>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00"/>
        <w:gridCol w:w="1980"/>
        <w:gridCol w:w="1850"/>
        <w:gridCol w:w="1992"/>
      </w:tblGrid>
      <w:tr w:rsidR="00AC7152" w14:paraId="22064DC1" w14:textId="77777777" w:rsidTr="00AC7152">
        <w:tc>
          <w:tcPr>
            <w:tcW w:w="2335" w:type="dxa"/>
            <w:tcBorders>
              <w:top w:val="single" w:sz="4" w:space="0" w:color="auto"/>
              <w:left w:val="single" w:sz="4" w:space="0" w:color="auto"/>
              <w:bottom w:val="single" w:sz="4" w:space="0" w:color="auto"/>
              <w:right w:val="single" w:sz="4" w:space="0" w:color="auto"/>
            </w:tcBorders>
          </w:tcPr>
          <w:p w14:paraId="22064DB8" w14:textId="77777777" w:rsidR="00AC7152" w:rsidRDefault="00AC7152">
            <w:pPr>
              <w:pStyle w:val="BodyText3"/>
              <w:ind w:left="57" w:right="-57"/>
              <w:rPr>
                <w:b w:val="0"/>
                <w:sz w:val="22"/>
                <w:szCs w:val="22"/>
              </w:rPr>
            </w:pPr>
            <w:r>
              <w:rPr>
                <w:b w:val="0"/>
                <w:sz w:val="22"/>
                <w:szCs w:val="22"/>
              </w:rPr>
              <w:t>Terapijska shema</w:t>
            </w:r>
          </w:p>
          <w:p w14:paraId="22064DB9" w14:textId="77777777" w:rsidR="00AC7152" w:rsidRDefault="00AC7152">
            <w:pPr>
              <w:pStyle w:val="BodyText3"/>
              <w:ind w:right="-57"/>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14:paraId="22064DBA" w14:textId="77777777" w:rsidR="00AC7152" w:rsidRDefault="00AC7152">
            <w:pPr>
              <w:pStyle w:val="BodyText3"/>
              <w:ind w:right="-57"/>
              <w:rPr>
                <w:b w:val="0"/>
                <w:sz w:val="22"/>
                <w:szCs w:val="22"/>
              </w:rPr>
            </w:pPr>
            <w:r>
              <w:rPr>
                <w:b w:val="0"/>
                <w:sz w:val="22"/>
                <w:szCs w:val="22"/>
              </w:rPr>
              <w:t xml:space="preserve">Trenutna doza stabilizacije lamotrigina  </w:t>
            </w:r>
          </w:p>
          <w:p w14:paraId="22064DBB" w14:textId="77777777" w:rsidR="00AC7152" w:rsidRDefault="00AC7152">
            <w:pPr>
              <w:pStyle w:val="BodyText3"/>
              <w:ind w:right="-57"/>
              <w:rPr>
                <w:b w:val="0"/>
                <w:sz w:val="22"/>
                <w:szCs w:val="22"/>
              </w:rPr>
            </w:pPr>
            <w:r>
              <w:rPr>
                <w:b w:val="0"/>
                <w:sz w:val="22"/>
                <w:szCs w:val="22"/>
              </w:rPr>
              <w:t>(prije uvođenja drugih ljekova u terapiju)</w:t>
            </w:r>
          </w:p>
        </w:tc>
        <w:tc>
          <w:tcPr>
            <w:tcW w:w="1980" w:type="dxa"/>
            <w:tcBorders>
              <w:top w:val="single" w:sz="4" w:space="0" w:color="auto"/>
              <w:left w:val="single" w:sz="4" w:space="0" w:color="auto"/>
              <w:bottom w:val="single" w:sz="4" w:space="0" w:color="auto"/>
              <w:right w:val="single" w:sz="4" w:space="0" w:color="auto"/>
            </w:tcBorders>
            <w:hideMark/>
          </w:tcPr>
          <w:p w14:paraId="22064DBC" w14:textId="77777777" w:rsidR="00AC7152" w:rsidRDefault="00AC7152">
            <w:pPr>
              <w:pStyle w:val="BodyText3"/>
              <w:ind w:right="-57"/>
              <w:jc w:val="center"/>
              <w:rPr>
                <w:b w:val="0"/>
                <w:sz w:val="22"/>
                <w:szCs w:val="22"/>
              </w:rPr>
            </w:pPr>
            <w:r>
              <w:rPr>
                <w:b w:val="0"/>
                <w:sz w:val="22"/>
                <w:szCs w:val="22"/>
              </w:rPr>
              <w:t>1. nedjelja</w:t>
            </w:r>
          </w:p>
          <w:p w14:paraId="22064DBD" w14:textId="77777777" w:rsidR="00AC7152" w:rsidRDefault="00AC7152">
            <w:pPr>
              <w:pStyle w:val="BodyText3"/>
              <w:ind w:right="-57"/>
              <w:rPr>
                <w:b w:val="0"/>
                <w:sz w:val="22"/>
                <w:szCs w:val="22"/>
              </w:rPr>
            </w:pPr>
            <w:r>
              <w:rPr>
                <w:b w:val="0"/>
                <w:sz w:val="22"/>
                <w:szCs w:val="22"/>
              </w:rPr>
              <w:t>(početak uvođenja drugih ljekova u terapiju)</w:t>
            </w:r>
          </w:p>
        </w:tc>
        <w:tc>
          <w:tcPr>
            <w:tcW w:w="1850" w:type="dxa"/>
            <w:tcBorders>
              <w:top w:val="single" w:sz="4" w:space="0" w:color="auto"/>
              <w:left w:val="single" w:sz="4" w:space="0" w:color="auto"/>
              <w:bottom w:val="single" w:sz="4" w:space="0" w:color="auto"/>
              <w:right w:val="single" w:sz="4" w:space="0" w:color="auto"/>
            </w:tcBorders>
            <w:hideMark/>
          </w:tcPr>
          <w:p w14:paraId="22064DBE" w14:textId="77777777" w:rsidR="00AC7152" w:rsidRDefault="00AC7152" w:rsidP="00AC7152">
            <w:pPr>
              <w:pStyle w:val="BodyText3"/>
              <w:numPr>
                <w:ilvl w:val="0"/>
                <w:numId w:val="12"/>
              </w:numPr>
              <w:ind w:right="-57"/>
              <w:rPr>
                <w:sz w:val="22"/>
                <w:szCs w:val="22"/>
              </w:rPr>
            </w:pPr>
            <w:r>
              <w:rPr>
                <w:b w:val="0"/>
                <w:sz w:val="22"/>
                <w:szCs w:val="22"/>
              </w:rPr>
              <w:t>nedjelja</w:t>
            </w:r>
          </w:p>
        </w:tc>
        <w:tc>
          <w:tcPr>
            <w:tcW w:w="1992" w:type="dxa"/>
            <w:tcBorders>
              <w:top w:val="single" w:sz="4" w:space="0" w:color="auto"/>
              <w:left w:val="single" w:sz="4" w:space="0" w:color="auto"/>
              <w:bottom w:val="single" w:sz="4" w:space="0" w:color="auto"/>
              <w:right w:val="single" w:sz="4" w:space="0" w:color="auto"/>
            </w:tcBorders>
            <w:hideMark/>
          </w:tcPr>
          <w:p w14:paraId="22064DBF" w14:textId="77777777" w:rsidR="00AC7152" w:rsidRDefault="00AC7152" w:rsidP="00AC7152">
            <w:pPr>
              <w:pStyle w:val="BodyText3"/>
              <w:numPr>
                <w:ilvl w:val="0"/>
                <w:numId w:val="12"/>
              </w:numPr>
              <w:ind w:right="-57"/>
              <w:rPr>
                <w:b w:val="0"/>
                <w:sz w:val="22"/>
                <w:szCs w:val="22"/>
              </w:rPr>
            </w:pPr>
            <w:r>
              <w:rPr>
                <w:b w:val="0"/>
                <w:sz w:val="22"/>
                <w:szCs w:val="22"/>
              </w:rPr>
              <w:t>nedjelja</w:t>
            </w:r>
          </w:p>
          <w:p w14:paraId="22064DC0" w14:textId="77777777" w:rsidR="00AC7152" w:rsidRDefault="00AC7152">
            <w:pPr>
              <w:pStyle w:val="BodyText3"/>
              <w:ind w:right="-57"/>
              <w:jc w:val="center"/>
              <w:rPr>
                <w:sz w:val="22"/>
                <w:szCs w:val="22"/>
              </w:rPr>
            </w:pPr>
            <w:r>
              <w:rPr>
                <w:b w:val="0"/>
                <w:sz w:val="22"/>
                <w:szCs w:val="22"/>
              </w:rPr>
              <w:t>nadalje</w:t>
            </w:r>
          </w:p>
        </w:tc>
      </w:tr>
      <w:tr w:rsidR="00AC7152" w14:paraId="22064DC3"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C2" w14:textId="611C4C45" w:rsidR="00AC7152" w:rsidRDefault="00AC7152">
            <w:pPr>
              <w:pStyle w:val="BodyText3"/>
              <w:ind w:right="-57"/>
              <w:rPr>
                <w:sz w:val="22"/>
                <w:szCs w:val="22"/>
              </w:rPr>
            </w:pPr>
            <w:r w:rsidRPr="00BC6BEF">
              <w:rPr>
                <w:sz w:val="22"/>
                <w:szCs w:val="22"/>
                <w:lang w:val="en-US"/>
              </w:rPr>
              <w:t>Uvođenje</w:t>
            </w:r>
            <w:r>
              <w:rPr>
                <w:sz w:val="22"/>
                <w:szCs w:val="22"/>
              </w:rPr>
              <w:t xml:space="preserve"> valproata </w:t>
            </w:r>
            <w:r>
              <w:rPr>
                <w:b w:val="0"/>
                <w:sz w:val="22"/>
                <w:szCs w:val="22"/>
              </w:rPr>
              <w:t xml:space="preserve">(inhibitor glukuronidacije lamotrigina – vidjeti </w:t>
            </w:r>
            <w:r w:rsidR="00706D93">
              <w:rPr>
                <w:b w:val="0"/>
                <w:sz w:val="22"/>
                <w:szCs w:val="22"/>
              </w:rPr>
              <w:t>dio</w:t>
            </w:r>
            <w:r>
              <w:rPr>
                <w:b w:val="0"/>
                <w:sz w:val="22"/>
                <w:szCs w:val="22"/>
              </w:rPr>
              <w:t xml:space="preserve"> 4.5), u zavisnosti od osnovne doze lamotrigina</w:t>
            </w:r>
            <w:r>
              <w:rPr>
                <w:sz w:val="22"/>
                <w:szCs w:val="22"/>
              </w:rPr>
              <w:t>:</w:t>
            </w:r>
          </w:p>
        </w:tc>
      </w:tr>
      <w:tr w:rsidR="00AC7152" w:rsidRPr="00BF78B0" w14:paraId="22064DCC" w14:textId="77777777" w:rsidTr="00AC7152">
        <w:tc>
          <w:tcPr>
            <w:tcW w:w="2335" w:type="dxa"/>
            <w:vMerge w:val="restart"/>
            <w:tcBorders>
              <w:top w:val="single" w:sz="4" w:space="0" w:color="auto"/>
              <w:left w:val="single" w:sz="4" w:space="0" w:color="auto"/>
              <w:bottom w:val="single" w:sz="4" w:space="0" w:color="auto"/>
              <w:right w:val="single" w:sz="4" w:space="0" w:color="auto"/>
            </w:tcBorders>
          </w:tcPr>
          <w:p w14:paraId="22064DC4" w14:textId="77777777" w:rsidR="00AC7152" w:rsidRDefault="00AC7152">
            <w:pPr>
              <w:pStyle w:val="BodyText3"/>
              <w:ind w:left="57" w:right="-57"/>
              <w:rPr>
                <w:b w:val="0"/>
                <w:sz w:val="22"/>
                <w:szCs w:val="22"/>
              </w:rPr>
            </w:pPr>
            <w:r>
              <w:rPr>
                <w:b w:val="0"/>
                <w:sz w:val="22"/>
                <w:szCs w:val="22"/>
              </w:rPr>
              <w:t>Navedena shema doziranja primjenjuje se prilikom uvođenja valproata u terapiju bez obzira na primjenu drugih konkomitantnih ljekova</w:t>
            </w:r>
          </w:p>
          <w:p w14:paraId="22064DC5" w14:textId="77777777" w:rsidR="00AC7152" w:rsidRDefault="00AC7152">
            <w:pPr>
              <w:pStyle w:val="BodyText3"/>
              <w:ind w:right="-57"/>
              <w:rPr>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064DC6" w14:textId="77777777" w:rsidR="00AC7152" w:rsidRDefault="00AC7152">
            <w:pPr>
              <w:pStyle w:val="BodyText3"/>
              <w:rPr>
                <w:b w:val="0"/>
                <w:sz w:val="22"/>
                <w:szCs w:val="22"/>
                <w:lang w:val="sr-Latn-CS"/>
              </w:rPr>
            </w:pPr>
            <w:r>
              <w:rPr>
                <w:b w:val="0"/>
                <w:sz w:val="22"/>
                <w:szCs w:val="22"/>
                <w:lang w:val="sr-Latn-CS"/>
              </w:rPr>
              <w:t xml:space="preserve">200 mg/dnevno </w:t>
            </w:r>
          </w:p>
          <w:p w14:paraId="22064DC7" w14:textId="77777777" w:rsidR="00AC7152" w:rsidRDefault="00AC7152">
            <w:pPr>
              <w:pStyle w:val="BodyText3"/>
              <w:rPr>
                <w:b w:val="0"/>
                <w:sz w:val="22"/>
                <w:szCs w:val="22"/>
                <w:lang w:val="sr-Latn-CS"/>
              </w:rPr>
            </w:pPr>
          </w:p>
        </w:tc>
        <w:tc>
          <w:tcPr>
            <w:tcW w:w="1980" w:type="dxa"/>
            <w:tcBorders>
              <w:top w:val="single" w:sz="4" w:space="0" w:color="auto"/>
              <w:left w:val="single" w:sz="4" w:space="0" w:color="auto"/>
              <w:bottom w:val="single" w:sz="4" w:space="0" w:color="auto"/>
              <w:right w:val="single" w:sz="4" w:space="0" w:color="auto"/>
            </w:tcBorders>
          </w:tcPr>
          <w:p w14:paraId="22064DC8" w14:textId="77777777" w:rsidR="00AC7152" w:rsidRDefault="00AC7152">
            <w:pPr>
              <w:pStyle w:val="BodyText3"/>
              <w:rPr>
                <w:b w:val="0"/>
                <w:sz w:val="22"/>
                <w:szCs w:val="22"/>
                <w:lang w:val="sr-Latn-CS"/>
              </w:rPr>
            </w:pPr>
            <w:r>
              <w:rPr>
                <w:b w:val="0"/>
                <w:sz w:val="22"/>
                <w:szCs w:val="22"/>
                <w:lang w:val="sr-Latn-CS"/>
              </w:rPr>
              <w:t xml:space="preserve">100 mg/dnevno </w:t>
            </w:r>
          </w:p>
          <w:p w14:paraId="22064DC9" w14:textId="77777777" w:rsidR="00AC7152" w:rsidRDefault="00AC7152">
            <w:pPr>
              <w:pStyle w:val="BodyText3"/>
              <w:rPr>
                <w:b w:val="0"/>
                <w:sz w:val="22"/>
                <w:szCs w:val="22"/>
                <w:lang w:val="sr-Latn-CS"/>
              </w:rPr>
            </w:pPr>
          </w:p>
        </w:tc>
        <w:tc>
          <w:tcPr>
            <w:tcW w:w="3842" w:type="dxa"/>
            <w:gridSpan w:val="2"/>
            <w:tcBorders>
              <w:top w:val="single" w:sz="4" w:space="0" w:color="auto"/>
              <w:left w:val="single" w:sz="4" w:space="0" w:color="auto"/>
              <w:bottom w:val="single" w:sz="4" w:space="0" w:color="auto"/>
              <w:right w:val="single" w:sz="4" w:space="0" w:color="auto"/>
            </w:tcBorders>
            <w:hideMark/>
          </w:tcPr>
          <w:p w14:paraId="22064DCA" w14:textId="77777777" w:rsidR="00AC7152" w:rsidRDefault="00AC7152">
            <w:pPr>
              <w:pStyle w:val="BodyText3"/>
              <w:ind w:right="-57"/>
              <w:rPr>
                <w:b w:val="0"/>
                <w:sz w:val="22"/>
                <w:szCs w:val="22"/>
              </w:rPr>
            </w:pPr>
            <w:r>
              <w:rPr>
                <w:b w:val="0"/>
                <w:sz w:val="22"/>
                <w:szCs w:val="22"/>
              </w:rPr>
              <w:t>Održavanje navedene doze</w:t>
            </w:r>
          </w:p>
          <w:p w14:paraId="22064DCB" w14:textId="77777777" w:rsidR="00AC7152" w:rsidRDefault="00AC7152">
            <w:pPr>
              <w:pStyle w:val="BodyText3"/>
              <w:ind w:right="-57"/>
              <w:rPr>
                <w:b w:val="0"/>
                <w:sz w:val="22"/>
                <w:szCs w:val="22"/>
                <w:lang w:val="sr-Latn-CS"/>
              </w:rPr>
            </w:pPr>
            <w:r>
              <w:rPr>
                <w:b w:val="0"/>
                <w:sz w:val="22"/>
                <w:szCs w:val="22"/>
                <w:lang w:val="sr-Latn-CS"/>
              </w:rPr>
              <w:t>(100 mg/dnevno)</w:t>
            </w:r>
          </w:p>
        </w:tc>
      </w:tr>
      <w:tr w:rsidR="00AC7152" w:rsidRPr="00BF78B0" w14:paraId="22064DD4" w14:textId="77777777" w:rsidTr="00AC7152">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CD" w14:textId="77777777" w:rsidR="00AC7152" w:rsidRDefault="00AC7152">
            <w:pPr>
              <w:rPr>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CE" w14:textId="77777777" w:rsidR="00AC7152" w:rsidRDefault="00AC7152">
            <w:pPr>
              <w:pStyle w:val="BodyText3"/>
              <w:rPr>
                <w:b w:val="0"/>
                <w:sz w:val="22"/>
                <w:szCs w:val="22"/>
                <w:lang w:val="sr-Latn-CS"/>
              </w:rPr>
            </w:pPr>
            <w:r>
              <w:rPr>
                <w:b w:val="0"/>
                <w:sz w:val="22"/>
                <w:szCs w:val="22"/>
                <w:lang w:val="sr-Latn-CS"/>
              </w:rPr>
              <w:t xml:space="preserve">300 mg/dnevno </w:t>
            </w:r>
          </w:p>
          <w:p w14:paraId="22064DCF"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D0" w14:textId="77777777" w:rsidR="00AC7152" w:rsidRDefault="00AC7152">
            <w:pPr>
              <w:pStyle w:val="BodyText3"/>
              <w:rPr>
                <w:b w:val="0"/>
                <w:sz w:val="22"/>
                <w:szCs w:val="22"/>
                <w:lang w:val="sr-Latn-CS"/>
              </w:rPr>
            </w:pPr>
            <w:r>
              <w:rPr>
                <w:b w:val="0"/>
                <w:sz w:val="22"/>
                <w:szCs w:val="22"/>
                <w:lang w:val="sr-Latn-CS"/>
              </w:rPr>
              <w:t xml:space="preserve">150 mg/dnevno </w:t>
            </w:r>
          </w:p>
          <w:p w14:paraId="22064DD1" w14:textId="77777777" w:rsidR="00AC7152" w:rsidRDefault="00AC7152">
            <w:pPr>
              <w:pStyle w:val="BodyText3"/>
              <w:ind w:right="-57"/>
              <w:rPr>
                <w:b w:val="0"/>
                <w:sz w:val="22"/>
                <w:szCs w:val="22"/>
              </w:rPr>
            </w:pPr>
          </w:p>
        </w:tc>
        <w:tc>
          <w:tcPr>
            <w:tcW w:w="3842" w:type="dxa"/>
            <w:gridSpan w:val="2"/>
            <w:tcBorders>
              <w:top w:val="single" w:sz="4" w:space="0" w:color="auto"/>
              <w:left w:val="single" w:sz="4" w:space="0" w:color="auto"/>
              <w:bottom w:val="single" w:sz="4" w:space="0" w:color="auto"/>
              <w:right w:val="single" w:sz="4" w:space="0" w:color="auto"/>
            </w:tcBorders>
            <w:hideMark/>
          </w:tcPr>
          <w:p w14:paraId="22064DD2" w14:textId="77777777" w:rsidR="00AC7152" w:rsidRDefault="00AC7152">
            <w:pPr>
              <w:pStyle w:val="BodyText3"/>
              <w:ind w:right="-57"/>
              <w:rPr>
                <w:b w:val="0"/>
                <w:sz w:val="22"/>
                <w:szCs w:val="22"/>
              </w:rPr>
            </w:pPr>
            <w:r>
              <w:rPr>
                <w:b w:val="0"/>
                <w:sz w:val="22"/>
                <w:szCs w:val="22"/>
              </w:rPr>
              <w:t>Održavanje navedene doze</w:t>
            </w:r>
          </w:p>
          <w:p w14:paraId="22064DD3" w14:textId="77777777" w:rsidR="00AC7152" w:rsidRDefault="00AC7152">
            <w:pPr>
              <w:pStyle w:val="BodyText3"/>
              <w:ind w:right="-57"/>
              <w:rPr>
                <w:b w:val="0"/>
                <w:sz w:val="22"/>
                <w:szCs w:val="22"/>
                <w:lang w:val="sr-Latn-CS"/>
              </w:rPr>
            </w:pPr>
            <w:r>
              <w:rPr>
                <w:b w:val="0"/>
                <w:sz w:val="22"/>
                <w:szCs w:val="22"/>
                <w:lang w:val="sr-Latn-CS"/>
              </w:rPr>
              <w:t>(150 mg/dnevno)</w:t>
            </w:r>
          </w:p>
        </w:tc>
      </w:tr>
      <w:tr w:rsidR="00AC7152" w:rsidRPr="00BF78B0" w14:paraId="22064DDC" w14:textId="77777777" w:rsidTr="00AC7152">
        <w:trPr>
          <w:trHeight w:val="795"/>
        </w:trPr>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D5" w14:textId="77777777" w:rsidR="00AC7152" w:rsidRDefault="00AC7152">
            <w:pPr>
              <w:rPr>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D6" w14:textId="77777777" w:rsidR="00AC7152" w:rsidRDefault="00AC7152">
            <w:pPr>
              <w:pStyle w:val="BodyText3"/>
              <w:rPr>
                <w:b w:val="0"/>
                <w:sz w:val="22"/>
                <w:szCs w:val="22"/>
                <w:lang w:val="sr-Latn-CS"/>
              </w:rPr>
            </w:pPr>
            <w:r>
              <w:rPr>
                <w:b w:val="0"/>
                <w:sz w:val="22"/>
                <w:szCs w:val="22"/>
                <w:lang w:val="sr-Latn-CS"/>
              </w:rPr>
              <w:t xml:space="preserve">400 mg/dnevno </w:t>
            </w:r>
          </w:p>
          <w:p w14:paraId="22064DD7"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D8" w14:textId="77777777" w:rsidR="00AC7152" w:rsidRDefault="00AC7152">
            <w:pPr>
              <w:pStyle w:val="BodyText3"/>
              <w:rPr>
                <w:b w:val="0"/>
                <w:sz w:val="22"/>
                <w:szCs w:val="22"/>
                <w:lang w:val="sr-Latn-CS"/>
              </w:rPr>
            </w:pPr>
            <w:r>
              <w:rPr>
                <w:b w:val="0"/>
                <w:sz w:val="22"/>
                <w:szCs w:val="22"/>
                <w:lang w:val="sr-Latn-CS"/>
              </w:rPr>
              <w:t xml:space="preserve">200 mg/dnevno </w:t>
            </w:r>
          </w:p>
          <w:p w14:paraId="22064DD9" w14:textId="77777777" w:rsidR="00AC7152" w:rsidRDefault="00AC7152">
            <w:pPr>
              <w:pStyle w:val="BodyText3"/>
              <w:ind w:right="-57"/>
              <w:rPr>
                <w:sz w:val="22"/>
                <w:szCs w:val="22"/>
              </w:rPr>
            </w:pPr>
          </w:p>
        </w:tc>
        <w:tc>
          <w:tcPr>
            <w:tcW w:w="3842" w:type="dxa"/>
            <w:gridSpan w:val="2"/>
            <w:tcBorders>
              <w:top w:val="single" w:sz="4" w:space="0" w:color="auto"/>
              <w:left w:val="single" w:sz="4" w:space="0" w:color="auto"/>
              <w:bottom w:val="single" w:sz="4" w:space="0" w:color="auto"/>
              <w:right w:val="single" w:sz="4" w:space="0" w:color="auto"/>
            </w:tcBorders>
            <w:hideMark/>
          </w:tcPr>
          <w:p w14:paraId="22064DDA" w14:textId="77777777" w:rsidR="00AC7152" w:rsidRDefault="00AC7152">
            <w:pPr>
              <w:pStyle w:val="BodyText3"/>
              <w:ind w:right="-57"/>
              <w:rPr>
                <w:b w:val="0"/>
                <w:sz w:val="22"/>
                <w:szCs w:val="22"/>
              </w:rPr>
            </w:pPr>
            <w:r>
              <w:rPr>
                <w:b w:val="0"/>
                <w:sz w:val="22"/>
                <w:szCs w:val="22"/>
              </w:rPr>
              <w:t>Održavanje navedene doze</w:t>
            </w:r>
          </w:p>
          <w:p w14:paraId="22064DDB" w14:textId="77777777" w:rsidR="00AC7152" w:rsidRDefault="00AC7152">
            <w:pPr>
              <w:pStyle w:val="BodyText3"/>
              <w:rPr>
                <w:b w:val="0"/>
                <w:sz w:val="22"/>
                <w:szCs w:val="22"/>
                <w:lang w:val="sr-Latn-CS"/>
              </w:rPr>
            </w:pPr>
            <w:r>
              <w:rPr>
                <w:b w:val="0"/>
                <w:sz w:val="22"/>
                <w:szCs w:val="22"/>
                <w:lang w:val="sr-Latn-CS"/>
              </w:rPr>
              <w:t>(200 mg/dnevno)</w:t>
            </w:r>
          </w:p>
        </w:tc>
      </w:tr>
      <w:tr w:rsidR="00AC7152" w:rsidRPr="00BF78B0" w14:paraId="22064DDE"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DDD" w14:textId="400358EC" w:rsidR="00AC7152" w:rsidRDefault="00AC7152">
            <w:pPr>
              <w:pStyle w:val="BodyText3"/>
              <w:ind w:right="-57"/>
              <w:rPr>
                <w:sz w:val="22"/>
                <w:szCs w:val="22"/>
              </w:rPr>
            </w:pPr>
            <w:r>
              <w:rPr>
                <w:sz w:val="22"/>
                <w:szCs w:val="22"/>
              </w:rPr>
              <w:t xml:space="preserve">Uvođenje induktora glukuronidacije lamotrigina kod pacijenata koji NE primjenjuju valproat </w:t>
            </w:r>
            <w:r>
              <w:rPr>
                <w:b w:val="0"/>
                <w:sz w:val="22"/>
                <w:szCs w:val="22"/>
              </w:rPr>
              <w:t xml:space="preserve">(vidjeti </w:t>
            </w:r>
            <w:r w:rsidR="00706D93">
              <w:rPr>
                <w:b w:val="0"/>
                <w:sz w:val="22"/>
                <w:szCs w:val="22"/>
              </w:rPr>
              <w:t>dio</w:t>
            </w:r>
            <w:r>
              <w:rPr>
                <w:b w:val="0"/>
                <w:sz w:val="22"/>
                <w:szCs w:val="22"/>
              </w:rPr>
              <w:t xml:space="preserve"> 4.5), u zavisnosti od osnovne doze lamotrigina</w:t>
            </w:r>
            <w:r>
              <w:rPr>
                <w:sz w:val="22"/>
                <w:szCs w:val="22"/>
              </w:rPr>
              <w:t>:</w:t>
            </w:r>
          </w:p>
        </w:tc>
      </w:tr>
      <w:tr w:rsidR="00AC7152" w14:paraId="22064DF0" w14:textId="77777777" w:rsidTr="00AC7152">
        <w:tc>
          <w:tcPr>
            <w:tcW w:w="2335" w:type="dxa"/>
            <w:vMerge w:val="restart"/>
            <w:tcBorders>
              <w:top w:val="single" w:sz="4" w:space="0" w:color="auto"/>
              <w:left w:val="single" w:sz="4" w:space="0" w:color="auto"/>
              <w:bottom w:val="single" w:sz="4" w:space="0" w:color="auto"/>
              <w:right w:val="single" w:sz="4" w:space="0" w:color="auto"/>
            </w:tcBorders>
          </w:tcPr>
          <w:p w14:paraId="22064DDF" w14:textId="3DD59477" w:rsidR="00AC7152" w:rsidRDefault="00AC7152">
            <w:pPr>
              <w:pStyle w:val="BodyText3"/>
              <w:ind w:left="57" w:right="-57"/>
              <w:rPr>
                <w:b w:val="0"/>
                <w:sz w:val="22"/>
                <w:szCs w:val="22"/>
              </w:rPr>
            </w:pPr>
            <w:r>
              <w:rPr>
                <w:b w:val="0"/>
                <w:sz w:val="22"/>
                <w:szCs w:val="22"/>
              </w:rPr>
              <w:t>Navedenu shemu doziranja primjenjivati prilikom uvođenja u terapiju niženavedenih ljekova, bez primjene valproata:</w:t>
            </w:r>
          </w:p>
          <w:p w14:paraId="22064DE0" w14:textId="77777777" w:rsidR="00AC7152" w:rsidRDefault="00AC7152">
            <w:pPr>
              <w:pStyle w:val="BodyText3"/>
              <w:ind w:left="57" w:right="-57"/>
              <w:rPr>
                <w:b w:val="0"/>
                <w:sz w:val="22"/>
                <w:szCs w:val="22"/>
              </w:rPr>
            </w:pPr>
          </w:p>
          <w:p w14:paraId="22064DE1" w14:textId="77777777" w:rsidR="00AC7152" w:rsidRDefault="00AC7152">
            <w:pPr>
              <w:pStyle w:val="BodyText3"/>
              <w:ind w:left="57" w:right="-57"/>
              <w:rPr>
                <w:b w:val="0"/>
                <w:sz w:val="22"/>
                <w:szCs w:val="22"/>
              </w:rPr>
            </w:pPr>
            <w:r>
              <w:rPr>
                <w:b w:val="0"/>
                <w:sz w:val="22"/>
                <w:szCs w:val="22"/>
              </w:rPr>
              <w:t>fenitoin</w:t>
            </w:r>
          </w:p>
          <w:p w14:paraId="22064DE2" w14:textId="77777777" w:rsidR="00AC7152" w:rsidRDefault="00AC7152">
            <w:pPr>
              <w:pStyle w:val="BodyText3"/>
              <w:ind w:left="57" w:right="-57"/>
              <w:rPr>
                <w:b w:val="0"/>
                <w:sz w:val="22"/>
                <w:szCs w:val="22"/>
              </w:rPr>
            </w:pPr>
            <w:r>
              <w:rPr>
                <w:b w:val="0"/>
                <w:sz w:val="22"/>
                <w:szCs w:val="22"/>
              </w:rPr>
              <w:t>karbamazepin</w:t>
            </w:r>
          </w:p>
          <w:p w14:paraId="22064DE3" w14:textId="77777777" w:rsidR="00AC7152" w:rsidRDefault="00AC7152">
            <w:pPr>
              <w:pStyle w:val="BodyText3"/>
              <w:ind w:left="57" w:right="-57"/>
              <w:rPr>
                <w:b w:val="0"/>
                <w:sz w:val="22"/>
                <w:szCs w:val="22"/>
              </w:rPr>
            </w:pPr>
            <w:r>
              <w:rPr>
                <w:b w:val="0"/>
                <w:sz w:val="22"/>
                <w:szCs w:val="22"/>
              </w:rPr>
              <w:t>fenobarbiton</w:t>
            </w:r>
          </w:p>
          <w:p w14:paraId="22064DE4" w14:textId="77777777" w:rsidR="00AC7152" w:rsidRDefault="00AC7152">
            <w:pPr>
              <w:pStyle w:val="BodyText3"/>
              <w:ind w:left="57" w:right="-57"/>
              <w:rPr>
                <w:b w:val="0"/>
                <w:sz w:val="22"/>
                <w:szCs w:val="22"/>
              </w:rPr>
            </w:pPr>
            <w:r>
              <w:rPr>
                <w:b w:val="0"/>
                <w:sz w:val="22"/>
                <w:szCs w:val="22"/>
              </w:rPr>
              <w:t>primidon</w:t>
            </w:r>
          </w:p>
          <w:p w14:paraId="22064DE5" w14:textId="77777777" w:rsidR="00AC7152" w:rsidRDefault="00AC7152">
            <w:pPr>
              <w:pStyle w:val="BodyText3"/>
              <w:ind w:left="57" w:right="-57"/>
              <w:rPr>
                <w:b w:val="0"/>
                <w:sz w:val="22"/>
                <w:szCs w:val="22"/>
              </w:rPr>
            </w:pPr>
            <w:r>
              <w:rPr>
                <w:b w:val="0"/>
                <w:sz w:val="22"/>
                <w:szCs w:val="22"/>
              </w:rPr>
              <w:t>rifampicin</w:t>
            </w:r>
          </w:p>
          <w:p w14:paraId="22064DE6" w14:textId="77777777" w:rsidR="00AC7152" w:rsidRDefault="00AC7152">
            <w:pPr>
              <w:pStyle w:val="BodyText3"/>
              <w:ind w:left="57" w:right="-57"/>
              <w:rPr>
                <w:b w:val="0"/>
                <w:sz w:val="22"/>
                <w:szCs w:val="22"/>
              </w:rPr>
            </w:pPr>
            <w:r>
              <w:rPr>
                <w:b w:val="0"/>
                <w:sz w:val="22"/>
                <w:szCs w:val="22"/>
              </w:rPr>
              <w:t>lopinavir/ritonavir</w:t>
            </w:r>
          </w:p>
          <w:p w14:paraId="22064DE7" w14:textId="77777777" w:rsidR="00AC7152" w:rsidRDefault="00AC7152">
            <w:pPr>
              <w:pStyle w:val="BodyText3"/>
              <w:ind w:right="-57"/>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2064DE8" w14:textId="77777777" w:rsidR="00AC7152" w:rsidRDefault="00AC7152">
            <w:pPr>
              <w:pStyle w:val="BodyText3"/>
              <w:rPr>
                <w:b w:val="0"/>
                <w:sz w:val="22"/>
                <w:szCs w:val="22"/>
                <w:lang w:val="sr-Latn-CS"/>
              </w:rPr>
            </w:pPr>
            <w:r>
              <w:rPr>
                <w:b w:val="0"/>
                <w:sz w:val="22"/>
                <w:szCs w:val="22"/>
                <w:lang w:val="sr-Latn-CS"/>
              </w:rPr>
              <w:t xml:space="preserve">200 mg/dnevno </w:t>
            </w:r>
          </w:p>
          <w:p w14:paraId="22064DE9"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EA" w14:textId="77777777" w:rsidR="00AC7152" w:rsidRDefault="00AC7152">
            <w:pPr>
              <w:pStyle w:val="BodyText3"/>
              <w:rPr>
                <w:b w:val="0"/>
                <w:sz w:val="22"/>
                <w:szCs w:val="22"/>
                <w:lang w:val="sr-Latn-CS"/>
              </w:rPr>
            </w:pPr>
            <w:r>
              <w:rPr>
                <w:b w:val="0"/>
                <w:sz w:val="22"/>
                <w:szCs w:val="22"/>
                <w:lang w:val="sr-Latn-CS"/>
              </w:rPr>
              <w:t xml:space="preserve">200 mg/dnevno </w:t>
            </w:r>
          </w:p>
          <w:p w14:paraId="22064DEB"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DEC" w14:textId="77777777" w:rsidR="00AC7152" w:rsidRDefault="00AC7152">
            <w:pPr>
              <w:pStyle w:val="BodyText3"/>
              <w:rPr>
                <w:b w:val="0"/>
                <w:sz w:val="22"/>
                <w:szCs w:val="22"/>
                <w:lang w:val="sr-Latn-CS"/>
              </w:rPr>
            </w:pPr>
            <w:r>
              <w:rPr>
                <w:b w:val="0"/>
                <w:sz w:val="22"/>
                <w:szCs w:val="22"/>
                <w:lang w:val="sr-Latn-CS"/>
              </w:rPr>
              <w:t xml:space="preserve">300 mg/dnevno </w:t>
            </w:r>
          </w:p>
          <w:p w14:paraId="22064DED"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DEE" w14:textId="77777777" w:rsidR="00AC7152" w:rsidRDefault="00AC7152">
            <w:pPr>
              <w:pStyle w:val="BodyText3"/>
              <w:rPr>
                <w:b w:val="0"/>
                <w:sz w:val="22"/>
                <w:szCs w:val="22"/>
                <w:lang w:val="sr-Latn-CS"/>
              </w:rPr>
            </w:pPr>
            <w:r>
              <w:rPr>
                <w:b w:val="0"/>
                <w:sz w:val="22"/>
                <w:szCs w:val="22"/>
                <w:lang w:val="sr-Latn-CS"/>
              </w:rPr>
              <w:t xml:space="preserve">400 mg/dnevno </w:t>
            </w:r>
          </w:p>
          <w:p w14:paraId="22064DEF" w14:textId="77777777" w:rsidR="00AC7152" w:rsidRDefault="00AC7152">
            <w:pPr>
              <w:pStyle w:val="BodyText3"/>
              <w:ind w:right="-57"/>
              <w:rPr>
                <w:sz w:val="22"/>
                <w:szCs w:val="22"/>
              </w:rPr>
            </w:pPr>
          </w:p>
        </w:tc>
      </w:tr>
      <w:tr w:rsidR="00AC7152" w14:paraId="22064DFA" w14:textId="77777777" w:rsidTr="00AC7152">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F1" w14:textId="77777777" w:rsidR="00AC7152" w:rsidRDefault="00AC7152">
            <w:pPr>
              <w:rPr>
                <w:b/>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F2" w14:textId="77777777" w:rsidR="00AC7152" w:rsidRDefault="00AC7152">
            <w:pPr>
              <w:pStyle w:val="BodyText3"/>
              <w:rPr>
                <w:b w:val="0"/>
                <w:sz w:val="22"/>
                <w:szCs w:val="22"/>
                <w:lang w:val="sr-Latn-CS"/>
              </w:rPr>
            </w:pPr>
            <w:r>
              <w:rPr>
                <w:b w:val="0"/>
                <w:sz w:val="22"/>
                <w:szCs w:val="22"/>
                <w:lang w:val="sr-Latn-CS"/>
              </w:rPr>
              <w:t xml:space="preserve">150 mg/dnevno </w:t>
            </w:r>
          </w:p>
          <w:p w14:paraId="22064DF3"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F4" w14:textId="77777777" w:rsidR="00AC7152" w:rsidRDefault="00AC7152">
            <w:pPr>
              <w:pStyle w:val="BodyText3"/>
              <w:rPr>
                <w:b w:val="0"/>
                <w:sz w:val="22"/>
                <w:szCs w:val="22"/>
                <w:lang w:val="sr-Latn-CS"/>
              </w:rPr>
            </w:pPr>
            <w:r>
              <w:rPr>
                <w:b w:val="0"/>
                <w:sz w:val="22"/>
                <w:szCs w:val="22"/>
                <w:lang w:val="sr-Latn-CS"/>
              </w:rPr>
              <w:t xml:space="preserve">150 mg/dnevno </w:t>
            </w:r>
          </w:p>
          <w:p w14:paraId="22064DF5"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DF6" w14:textId="77777777" w:rsidR="00AC7152" w:rsidRDefault="00AC7152">
            <w:pPr>
              <w:pStyle w:val="BodyText3"/>
              <w:rPr>
                <w:b w:val="0"/>
                <w:sz w:val="22"/>
                <w:szCs w:val="22"/>
                <w:lang w:val="sr-Latn-CS"/>
              </w:rPr>
            </w:pPr>
            <w:r>
              <w:rPr>
                <w:b w:val="0"/>
                <w:sz w:val="22"/>
                <w:szCs w:val="22"/>
                <w:lang w:val="sr-Latn-CS"/>
              </w:rPr>
              <w:t xml:space="preserve">225 mg/dnevno </w:t>
            </w:r>
          </w:p>
          <w:p w14:paraId="22064DF7"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DF8" w14:textId="77777777" w:rsidR="00AC7152" w:rsidRDefault="00AC7152">
            <w:pPr>
              <w:pStyle w:val="BodyText3"/>
              <w:rPr>
                <w:b w:val="0"/>
                <w:sz w:val="22"/>
                <w:szCs w:val="22"/>
                <w:lang w:val="sr-Latn-CS"/>
              </w:rPr>
            </w:pPr>
            <w:r>
              <w:rPr>
                <w:b w:val="0"/>
                <w:sz w:val="22"/>
                <w:szCs w:val="22"/>
                <w:lang w:val="sr-Latn-CS"/>
              </w:rPr>
              <w:t xml:space="preserve">300 mg/dnevno </w:t>
            </w:r>
          </w:p>
          <w:p w14:paraId="22064DF9" w14:textId="77777777" w:rsidR="00AC7152" w:rsidRDefault="00AC7152">
            <w:pPr>
              <w:pStyle w:val="BodyText3"/>
              <w:ind w:right="-57"/>
              <w:rPr>
                <w:sz w:val="22"/>
                <w:szCs w:val="22"/>
              </w:rPr>
            </w:pPr>
          </w:p>
        </w:tc>
      </w:tr>
      <w:tr w:rsidR="00AC7152" w14:paraId="22064E04" w14:textId="77777777" w:rsidTr="00AC7152">
        <w:tc>
          <w:tcPr>
            <w:tcW w:w="9957" w:type="dxa"/>
            <w:vMerge/>
            <w:tcBorders>
              <w:top w:val="single" w:sz="4" w:space="0" w:color="auto"/>
              <w:left w:val="single" w:sz="4" w:space="0" w:color="auto"/>
              <w:bottom w:val="single" w:sz="4" w:space="0" w:color="auto"/>
              <w:right w:val="single" w:sz="4" w:space="0" w:color="auto"/>
            </w:tcBorders>
            <w:vAlign w:val="center"/>
            <w:hideMark/>
          </w:tcPr>
          <w:p w14:paraId="22064DFB" w14:textId="77777777" w:rsidR="00AC7152" w:rsidRDefault="00AC7152">
            <w:pPr>
              <w:rPr>
                <w:b/>
                <w:sz w:val="22"/>
                <w:szCs w:val="22"/>
                <w:lang w:val="sl-SI"/>
              </w:rPr>
            </w:pPr>
          </w:p>
        </w:tc>
        <w:tc>
          <w:tcPr>
            <w:tcW w:w="1800" w:type="dxa"/>
            <w:tcBorders>
              <w:top w:val="single" w:sz="4" w:space="0" w:color="auto"/>
              <w:left w:val="single" w:sz="4" w:space="0" w:color="auto"/>
              <w:bottom w:val="single" w:sz="4" w:space="0" w:color="auto"/>
              <w:right w:val="single" w:sz="4" w:space="0" w:color="auto"/>
            </w:tcBorders>
          </w:tcPr>
          <w:p w14:paraId="22064DFC" w14:textId="77777777" w:rsidR="00AC7152" w:rsidRDefault="00AC7152">
            <w:pPr>
              <w:pStyle w:val="BodyText3"/>
              <w:rPr>
                <w:b w:val="0"/>
                <w:sz w:val="22"/>
                <w:szCs w:val="22"/>
                <w:lang w:val="sr-Latn-CS"/>
              </w:rPr>
            </w:pPr>
            <w:r>
              <w:rPr>
                <w:b w:val="0"/>
                <w:sz w:val="22"/>
                <w:szCs w:val="22"/>
                <w:lang w:val="sr-Latn-CS"/>
              </w:rPr>
              <w:t xml:space="preserve">100 mg/dnevno </w:t>
            </w:r>
          </w:p>
          <w:p w14:paraId="22064DFD" w14:textId="77777777" w:rsidR="00AC7152" w:rsidRDefault="00AC7152">
            <w:pPr>
              <w:pStyle w:val="BodyText3"/>
              <w:ind w:right="-57"/>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2064DFE" w14:textId="77777777" w:rsidR="00AC7152" w:rsidRDefault="00AC7152">
            <w:pPr>
              <w:pStyle w:val="BodyText3"/>
              <w:rPr>
                <w:b w:val="0"/>
                <w:sz w:val="22"/>
                <w:szCs w:val="22"/>
                <w:lang w:val="sr-Latn-CS"/>
              </w:rPr>
            </w:pPr>
            <w:r>
              <w:rPr>
                <w:b w:val="0"/>
                <w:sz w:val="22"/>
                <w:szCs w:val="22"/>
                <w:lang w:val="sr-Latn-CS"/>
              </w:rPr>
              <w:t xml:space="preserve">100 mg/dnevno </w:t>
            </w:r>
          </w:p>
          <w:p w14:paraId="22064DFF" w14:textId="77777777" w:rsidR="00AC7152" w:rsidRDefault="00AC7152">
            <w:pPr>
              <w:pStyle w:val="BodyText3"/>
              <w:ind w:right="-57"/>
              <w:rPr>
                <w:sz w:val="22"/>
                <w:szCs w:val="22"/>
              </w:rPr>
            </w:pPr>
          </w:p>
        </w:tc>
        <w:tc>
          <w:tcPr>
            <w:tcW w:w="1850" w:type="dxa"/>
            <w:tcBorders>
              <w:top w:val="single" w:sz="4" w:space="0" w:color="auto"/>
              <w:left w:val="single" w:sz="4" w:space="0" w:color="auto"/>
              <w:bottom w:val="single" w:sz="4" w:space="0" w:color="auto"/>
              <w:right w:val="single" w:sz="4" w:space="0" w:color="auto"/>
            </w:tcBorders>
          </w:tcPr>
          <w:p w14:paraId="22064E00" w14:textId="77777777" w:rsidR="00AC7152" w:rsidRDefault="00AC7152">
            <w:pPr>
              <w:pStyle w:val="BodyText3"/>
              <w:rPr>
                <w:b w:val="0"/>
                <w:sz w:val="22"/>
                <w:szCs w:val="22"/>
                <w:lang w:val="sr-Latn-CS"/>
              </w:rPr>
            </w:pPr>
            <w:r>
              <w:rPr>
                <w:b w:val="0"/>
                <w:sz w:val="22"/>
                <w:szCs w:val="22"/>
                <w:lang w:val="sr-Latn-CS"/>
              </w:rPr>
              <w:t xml:space="preserve">150 mg/dnevno </w:t>
            </w:r>
          </w:p>
          <w:p w14:paraId="22064E01" w14:textId="77777777" w:rsidR="00AC7152" w:rsidRDefault="00AC7152">
            <w:pPr>
              <w:pStyle w:val="BodyText3"/>
              <w:ind w:right="-57"/>
              <w:rPr>
                <w:sz w:val="22"/>
                <w:szCs w:val="22"/>
              </w:rPr>
            </w:pPr>
          </w:p>
        </w:tc>
        <w:tc>
          <w:tcPr>
            <w:tcW w:w="1992" w:type="dxa"/>
            <w:tcBorders>
              <w:top w:val="single" w:sz="4" w:space="0" w:color="auto"/>
              <w:left w:val="single" w:sz="4" w:space="0" w:color="auto"/>
              <w:bottom w:val="single" w:sz="4" w:space="0" w:color="auto"/>
              <w:right w:val="single" w:sz="4" w:space="0" w:color="auto"/>
            </w:tcBorders>
          </w:tcPr>
          <w:p w14:paraId="22064E02" w14:textId="77777777" w:rsidR="00AC7152" w:rsidRDefault="00AC7152">
            <w:pPr>
              <w:pStyle w:val="BodyText3"/>
              <w:rPr>
                <w:b w:val="0"/>
                <w:sz w:val="22"/>
                <w:szCs w:val="22"/>
                <w:lang w:val="sr-Latn-CS"/>
              </w:rPr>
            </w:pPr>
            <w:r>
              <w:rPr>
                <w:b w:val="0"/>
                <w:sz w:val="22"/>
                <w:szCs w:val="22"/>
                <w:lang w:val="sr-Latn-CS"/>
              </w:rPr>
              <w:t xml:space="preserve">200 mg/dnevno </w:t>
            </w:r>
          </w:p>
          <w:p w14:paraId="22064E03" w14:textId="77777777" w:rsidR="00AC7152" w:rsidRDefault="00AC7152">
            <w:pPr>
              <w:pStyle w:val="BodyText3"/>
              <w:ind w:right="-57"/>
              <w:rPr>
                <w:sz w:val="22"/>
                <w:szCs w:val="22"/>
              </w:rPr>
            </w:pPr>
          </w:p>
        </w:tc>
      </w:tr>
      <w:tr w:rsidR="00AC7152" w14:paraId="22064E06"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E05" w14:textId="2F8250F8" w:rsidR="00AC7152" w:rsidRDefault="00AC7152">
            <w:pPr>
              <w:pStyle w:val="BodyText3"/>
              <w:ind w:right="-57"/>
              <w:rPr>
                <w:sz w:val="22"/>
                <w:szCs w:val="22"/>
              </w:rPr>
            </w:pPr>
            <w:r>
              <w:rPr>
                <w:sz w:val="22"/>
                <w:szCs w:val="22"/>
              </w:rPr>
              <w:t xml:space="preserve">Uvođenje u terapiju ljekova koji značajno NE inhibiraju ili </w:t>
            </w:r>
            <w:r w:rsidR="000533BB">
              <w:rPr>
                <w:sz w:val="22"/>
                <w:szCs w:val="22"/>
              </w:rPr>
              <w:t xml:space="preserve">ne </w:t>
            </w:r>
            <w:r>
              <w:rPr>
                <w:sz w:val="22"/>
                <w:szCs w:val="22"/>
              </w:rPr>
              <w:t xml:space="preserve">indukuju glukuronidaciju lamotrigina </w:t>
            </w:r>
            <w:r>
              <w:rPr>
                <w:b w:val="0"/>
                <w:sz w:val="22"/>
                <w:szCs w:val="22"/>
              </w:rPr>
              <w:t xml:space="preserve">(vidjeti </w:t>
            </w:r>
            <w:r w:rsidR="00706D93">
              <w:rPr>
                <w:b w:val="0"/>
                <w:sz w:val="22"/>
                <w:szCs w:val="22"/>
              </w:rPr>
              <w:t>dio</w:t>
            </w:r>
            <w:r>
              <w:rPr>
                <w:b w:val="0"/>
                <w:sz w:val="22"/>
                <w:szCs w:val="22"/>
              </w:rPr>
              <w:t xml:space="preserve"> 4.5)</w:t>
            </w:r>
            <w:r>
              <w:rPr>
                <w:sz w:val="22"/>
                <w:szCs w:val="22"/>
              </w:rPr>
              <w:t>:</w:t>
            </w:r>
          </w:p>
        </w:tc>
      </w:tr>
      <w:tr w:rsidR="00AC7152" w:rsidRPr="00BF78B0" w14:paraId="22064E09" w14:textId="77777777" w:rsidTr="00AC7152">
        <w:tc>
          <w:tcPr>
            <w:tcW w:w="2335" w:type="dxa"/>
            <w:tcBorders>
              <w:top w:val="single" w:sz="4" w:space="0" w:color="auto"/>
              <w:left w:val="single" w:sz="4" w:space="0" w:color="auto"/>
              <w:bottom w:val="single" w:sz="4" w:space="0" w:color="auto"/>
              <w:right w:val="single" w:sz="4" w:space="0" w:color="auto"/>
            </w:tcBorders>
            <w:hideMark/>
          </w:tcPr>
          <w:p w14:paraId="22064E07" w14:textId="6F614DBB" w:rsidR="00AC7152" w:rsidRDefault="00AC7152">
            <w:pPr>
              <w:pStyle w:val="BodyText3"/>
              <w:ind w:right="-57"/>
              <w:rPr>
                <w:sz w:val="22"/>
                <w:szCs w:val="22"/>
              </w:rPr>
            </w:pPr>
            <w:r>
              <w:rPr>
                <w:b w:val="0"/>
                <w:sz w:val="22"/>
                <w:szCs w:val="22"/>
              </w:rPr>
              <w:t xml:space="preserve">Navedenu shemu doziranja primjenjivati prilikom uvođenja u </w:t>
            </w:r>
            <w:r>
              <w:rPr>
                <w:b w:val="0"/>
                <w:sz w:val="22"/>
                <w:szCs w:val="22"/>
              </w:rPr>
              <w:lastRenderedPageBreak/>
              <w:t>terapiju drugih ljekova koji značajno ne inhibiraju ili</w:t>
            </w:r>
            <w:r w:rsidR="000533BB">
              <w:rPr>
                <w:b w:val="0"/>
                <w:sz w:val="22"/>
                <w:szCs w:val="22"/>
              </w:rPr>
              <w:t xml:space="preserve"> ne</w:t>
            </w:r>
            <w:r>
              <w:rPr>
                <w:b w:val="0"/>
                <w:sz w:val="22"/>
                <w:szCs w:val="22"/>
              </w:rPr>
              <w:t xml:space="preserve"> indukuju glukuronidaciju lamotrigina</w:t>
            </w:r>
          </w:p>
        </w:tc>
        <w:tc>
          <w:tcPr>
            <w:tcW w:w="7622" w:type="dxa"/>
            <w:gridSpan w:val="4"/>
            <w:tcBorders>
              <w:top w:val="single" w:sz="4" w:space="0" w:color="auto"/>
              <w:left w:val="single" w:sz="4" w:space="0" w:color="auto"/>
              <w:bottom w:val="single" w:sz="4" w:space="0" w:color="auto"/>
              <w:right w:val="single" w:sz="4" w:space="0" w:color="auto"/>
            </w:tcBorders>
            <w:hideMark/>
          </w:tcPr>
          <w:p w14:paraId="22064E08" w14:textId="77777777" w:rsidR="00AC7152" w:rsidRDefault="00AC7152">
            <w:pPr>
              <w:pStyle w:val="BodyText3"/>
              <w:ind w:right="-57"/>
              <w:rPr>
                <w:b w:val="0"/>
                <w:sz w:val="22"/>
                <w:szCs w:val="22"/>
              </w:rPr>
            </w:pPr>
            <w:r>
              <w:rPr>
                <w:b w:val="0"/>
                <w:sz w:val="22"/>
                <w:szCs w:val="22"/>
              </w:rPr>
              <w:lastRenderedPageBreak/>
              <w:t>Održavanje ciljne doze postignute povećanjem doze (200 mg/dnevno; opseg doza 100-400 mg/dnevno)</w:t>
            </w:r>
          </w:p>
        </w:tc>
      </w:tr>
      <w:tr w:rsidR="00AC7152" w:rsidRPr="00BF78B0" w14:paraId="22064E0B" w14:textId="77777777" w:rsidTr="00AC7152">
        <w:tc>
          <w:tcPr>
            <w:tcW w:w="9957" w:type="dxa"/>
            <w:gridSpan w:val="5"/>
            <w:tcBorders>
              <w:top w:val="single" w:sz="4" w:space="0" w:color="auto"/>
              <w:left w:val="single" w:sz="4" w:space="0" w:color="auto"/>
              <w:bottom w:val="single" w:sz="4" w:space="0" w:color="auto"/>
              <w:right w:val="single" w:sz="4" w:space="0" w:color="auto"/>
            </w:tcBorders>
            <w:hideMark/>
          </w:tcPr>
          <w:p w14:paraId="22064E0A" w14:textId="4D1B4987" w:rsidR="00AC7152" w:rsidRDefault="00AC7152" w:rsidP="006B3996">
            <w:pPr>
              <w:pStyle w:val="BodyText3"/>
              <w:ind w:right="-57"/>
              <w:jc w:val="both"/>
              <w:rPr>
                <w:sz w:val="22"/>
                <w:szCs w:val="22"/>
              </w:rPr>
            </w:pPr>
            <w:r>
              <w:rPr>
                <w:b w:val="0"/>
                <w:sz w:val="22"/>
                <w:szCs w:val="22"/>
              </w:rPr>
              <w:t xml:space="preserve">Kod pacijenata koji primjenjuju ljekove čija farmakokinetička interakcija sa lamotriginom za sada još uvijek nije poznata (vidjeti </w:t>
            </w:r>
            <w:r w:rsidR="00706D93">
              <w:rPr>
                <w:b w:val="0"/>
                <w:sz w:val="22"/>
                <w:szCs w:val="22"/>
              </w:rPr>
              <w:t>dio</w:t>
            </w:r>
            <w:r>
              <w:rPr>
                <w:b w:val="0"/>
                <w:sz w:val="22"/>
                <w:szCs w:val="22"/>
              </w:rPr>
              <w:t xml:space="preserve"> 4.5), za povećanje doze koristiti terapijsku shemu preporučenu za istovremenu primjenu lamotrigina i valproata.</w:t>
            </w:r>
          </w:p>
        </w:tc>
      </w:tr>
    </w:tbl>
    <w:p w14:paraId="22064E0C" w14:textId="77777777" w:rsidR="00AC7152" w:rsidRDefault="00AC7152" w:rsidP="006B3996">
      <w:pPr>
        <w:pStyle w:val="BodyText3"/>
        <w:ind w:left="57" w:right="-57"/>
        <w:jc w:val="both"/>
        <w:rPr>
          <w:sz w:val="22"/>
          <w:szCs w:val="22"/>
        </w:rPr>
      </w:pPr>
    </w:p>
    <w:p w14:paraId="22064E0D" w14:textId="135FBC66" w:rsidR="00AC7152" w:rsidRDefault="003F300A" w:rsidP="006B3996">
      <w:pPr>
        <w:pStyle w:val="BodyText3"/>
        <w:ind w:left="57" w:right="-57"/>
        <w:jc w:val="both"/>
        <w:rPr>
          <w:b w:val="0"/>
          <w:i/>
          <w:sz w:val="22"/>
          <w:szCs w:val="22"/>
          <w:u w:val="single"/>
        </w:rPr>
      </w:pPr>
      <w:r>
        <w:rPr>
          <w:b w:val="0"/>
          <w:i/>
          <w:sz w:val="22"/>
          <w:szCs w:val="22"/>
          <w:u w:val="single"/>
        </w:rPr>
        <w:t>Prekid</w:t>
      </w:r>
      <w:r w:rsidR="00AC7152">
        <w:rPr>
          <w:b w:val="0"/>
          <w:i/>
          <w:sz w:val="22"/>
          <w:szCs w:val="22"/>
          <w:u w:val="single"/>
        </w:rPr>
        <w:t xml:space="preserve"> terapije lijek</w:t>
      </w:r>
      <w:r>
        <w:rPr>
          <w:b w:val="0"/>
          <w:i/>
          <w:sz w:val="22"/>
          <w:szCs w:val="22"/>
          <w:u w:val="single"/>
        </w:rPr>
        <w:t>om</w:t>
      </w:r>
      <w:r w:rsidR="00AC7152">
        <w:rPr>
          <w:b w:val="0"/>
          <w:i/>
          <w:sz w:val="22"/>
          <w:szCs w:val="22"/>
          <w:u w:val="single"/>
        </w:rPr>
        <w:t xml:space="preserve"> LAMICTAL</w:t>
      </w:r>
      <w:r w:rsidR="00AC7152">
        <w:rPr>
          <w:b w:val="0"/>
          <w:sz w:val="22"/>
          <w:szCs w:val="22"/>
          <w:u w:val="single"/>
        </w:rPr>
        <w:t xml:space="preserve"> </w:t>
      </w:r>
      <w:r w:rsidR="00AC7152">
        <w:rPr>
          <w:b w:val="0"/>
          <w:i/>
          <w:sz w:val="22"/>
          <w:szCs w:val="22"/>
          <w:u w:val="single"/>
        </w:rPr>
        <w:t>kod pacijenata sa bipolarnim poremećajem</w:t>
      </w:r>
    </w:p>
    <w:p w14:paraId="22064E0E" w14:textId="77777777" w:rsidR="00AC7152" w:rsidRDefault="00AC7152" w:rsidP="006B3996">
      <w:pPr>
        <w:pStyle w:val="BodyText3"/>
        <w:ind w:left="57" w:right="-57"/>
        <w:jc w:val="both"/>
        <w:rPr>
          <w:b w:val="0"/>
          <w:sz w:val="22"/>
          <w:szCs w:val="22"/>
        </w:rPr>
      </w:pPr>
      <w:r>
        <w:rPr>
          <w:b w:val="0"/>
          <w:sz w:val="22"/>
          <w:szCs w:val="22"/>
        </w:rPr>
        <w:t>U kliničkim ispitivanjima nije zabilježeno povećanje incidence, ozbiljnosti ili oblika neželjenih dejstava koja su se javljala nakon iznenadnog prekida primjene lamotrigina u odnosu na placebo. Stoga, pacijenti mogu prekinuti sa primjenom lijeka LAMICTAL</w:t>
      </w:r>
      <w:r>
        <w:rPr>
          <w:sz w:val="22"/>
          <w:szCs w:val="22"/>
        </w:rPr>
        <w:t xml:space="preserve"> </w:t>
      </w:r>
      <w:r>
        <w:rPr>
          <w:b w:val="0"/>
          <w:sz w:val="22"/>
          <w:szCs w:val="22"/>
        </w:rPr>
        <w:t>bez postepenog smanjenja doze.</w:t>
      </w:r>
    </w:p>
    <w:p w14:paraId="22064E0F" w14:textId="77777777" w:rsidR="00AC7152" w:rsidRDefault="00AC7152" w:rsidP="006B3996">
      <w:pPr>
        <w:pStyle w:val="BodyText3"/>
        <w:ind w:left="57" w:right="-57"/>
        <w:jc w:val="both"/>
        <w:rPr>
          <w:b w:val="0"/>
          <w:sz w:val="22"/>
          <w:szCs w:val="22"/>
        </w:rPr>
      </w:pPr>
    </w:p>
    <w:p w14:paraId="22064E10" w14:textId="26142098" w:rsidR="00AC7152" w:rsidRPr="004E30CF" w:rsidRDefault="00AC7152" w:rsidP="006B3996">
      <w:pPr>
        <w:pStyle w:val="BodyText3"/>
        <w:ind w:left="57" w:right="-57"/>
        <w:jc w:val="both"/>
        <w:rPr>
          <w:b w:val="0"/>
          <w:i/>
          <w:sz w:val="22"/>
          <w:szCs w:val="22"/>
        </w:rPr>
      </w:pPr>
      <w:r w:rsidRPr="004E30CF">
        <w:rPr>
          <w:b w:val="0"/>
          <w:i/>
          <w:sz w:val="22"/>
          <w:szCs w:val="22"/>
        </w:rPr>
        <w:t>Djeca i adolescenti mlađi od 18 godin</w:t>
      </w:r>
      <w:r w:rsidR="000533BB">
        <w:rPr>
          <w:b w:val="0"/>
          <w:i/>
          <w:sz w:val="22"/>
          <w:szCs w:val="22"/>
        </w:rPr>
        <w:t>a</w:t>
      </w:r>
      <w:r w:rsidRPr="004E30CF">
        <w:rPr>
          <w:b w:val="0"/>
          <w:i/>
          <w:sz w:val="22"/>
          <w:szCs w:val="22"/>
        </w:rPr>
        <w:t xml:space="preserve"> života</w:t>
      </w:r>
    </w:p>
    <w:p w14:paraId="22064E11" w14:textId="138A20A3" w:rsidR="00AC7152" w:rsidRDefault="00AC7152" w:rsidP="006B3996">
      <w:pPr>
        <w:pStyle w:val="BodyText3"/>
        <w:ind w:left="57" w:right="-57"/>
        <w:jc w:val="both"/>
        <w:rPr>
          <w:b w:val="0"/>
          <w:sz w:val="22"/>
          <w:szCs w:val="22"/>
        </w:rPr>
      </w:pPr>
      <w:r>
        <w:rPr>
          <w:b w:val="0"/>
          <w:sz w:val="22"/>
          <w:szCs w:val="22"/>
        </w:rPr>
        <w:t>Ne preporučuje se primjena lijeka LAMICTAL</w:t>
      </w:r>
      <w:r>
        <w:rPr>
          <w:sz w:val="22"/>
          <w:szCs w:val="22"/>
        </w:rPr>
        <w:t xml:space="preserve"> </w:t>
      </w:r>
      <w:r>
        <w:rPr>
          <w:b w:val="0"/>
          <w:sz w:val="22"/>
          <w:szCs w:val="22"/>
        </w:rPr>
        <w:t xml:space="preserve">kod djece mlađe od 18. godine života, jer je sprovedeno randomizovano kliničko ispitivanje (koje je prekinuto) tokom koga nije dokazana značajna efikasnost i zabilježeno je učestalo prijavljivanje samoubistava (vidjeti </w:t>
      </w:r>
      <w:r w:rsidR="00706D93">
        <w:rPr>
          <w:b w:val="0"/>
          <w:sz w:val="22"/>
          <w:szCs w:val="22"/>
        </w:rPr>
        <w:t>dio</w:t>
      </w:r>
      <w:r>
        <w:rPr>
          <w:b w:val="0"/>
          <w:sz w:val="22"/>
          <w:szCs w:val="22"/>
        </w:rPr>
        <w:t xml:space="preserve"> 4.4 i </w:t>
      </w:r>
      <w:r w:rsidR="00706D93">
        <w:rPr>
          <w:b w:val="0"/>
          <w:sz w:val="22"/>
          <w:szCs w:val="22"/>
        </w:rPr>
        <w:t>dio</w:t>
      </w:r>
      <w:r>
        <w:rPr>
          <w:b w:val="0"/>
          <w:sz w:val="22"/>
          <w:szCs w:val="22"/>
        </w:rPr>
        <w:t xml:space="preserve"> 5.1).</w:t>
      </w:r>
    </w:p>
    <w:p w14:paraId="22064E12" w14:textId="77777777" w:rsidR="00AC7152" w:rsidRDefault="00AC7152" w:rsidP="006B3996">
      <w:pPr>
        <w:pStyle w:val="BodyText3"/>
        <w:ind w:left="57" w:right="-57"/>
        <w:jc w:val="both"/>
        <w:rPr>
          <w:b w:val="0"/>
          <w:sz w:val="22"/>
          <w:szCs w:val="22"/>
        </w:rPr>
      </w:pPr>
    </w:p>
    <w:p w14:paraId="22064E13" w14:textId="77777777" w:rsidR="00AC7152" w:rsidRPr="008E171B" w:rsidRDefault="00AC7152" w:rsidP="008E171B">
      <w:pPr>
        <w:pStyle w:val="BodyText3"/>
        <w:ind w:right="-57"/>
        <w:jc w:val="both"/>
        <w:rPr>
          <w:b w:val="0"/>
          <w:i/>
          <w:iCs/>
          <w:sz w:val="22"/>
          <w:szCs w:val="22"/>
        </w:rPr>
      </w:pPr>
      <w:r w:rsidRPr="008E171B">
        <w:rPr>
          <w:b w:val="0"/>
          <w:i/>
          <w:iCs/>
          <w:sz w:val="22"/>
          <w:szCs w:val="22"/>
        </w:rPr>
        <w:t>Opšte preporuke za doziranje lijeka LAMICTAL u specijalnim populacionim grupama pacijenata</w:t>
      </w:r>
    </w:p>
    <w:p w14:paraId="22064E14" w14:textId="77777777" w:rsidR="00AC7152" w:rsidRDefault="00AC7152" w:rsidP="006B3996">
      <w:pPr>
        <w:pStyle w:val="BodyText3"/>
        <w:ind w:left="57" w:right="-57"/>
        <w:jc w:val="both"/>
        <w:rPr>
          <w:sz w:val="22"/>
          <w:szCs w:val="22"/>
        </w:rPr>
      </w:pPr>
    </w:p>
    <w:p w14:paraId="22064E15" w14:textId="77777777" w:rsidR="00AC7152" w:rsidRDefault="00AC7152" w:rsidP="006B3996">
      <w:pPr>
        <w:pStyle w:val="BodyText3"/>
        <w:jc w:val="both"/>
        <w:rPr>
          <w:b w:val="0"/>
          <w:i/>
          <w:sz w:val="22"/>
          <w:szCs w:val="22"/>
          <w:u w:val="single"/>
        </w:rPr>
      </w:pPr>
      <w:r>
        <w:rPr>
          <w:b w:val="0"/>
          <w:i/>
          <w:sz w:val="22"/>
          <w:szCs w:val="22"/>
          <w:u w:val="single"/>
        </w:rPr>
        <w:t>Žene koje koriste hormonsku kontraceptivnu terapiju</w:t>
      </w:r>
    </w:p>
    <w:p w14:paraId="22064E16" w14:textId="604E4566" w:rsidR="00AC7152" w:rsidRDefault="00AC7152" w:rsidP="006B3996">
      <w:pPr>
        <w:pStyle w:val="BodyText3"/>
        <w:jc w:val="both"/>
        <w:rPr>
          <w:b w:val="0"/>
          <w:sz w:val="22"/>
          <w:szCs w:val="22"/>
        </w:rPr>
      </w:pPr>
      <w:r>
        <w:rPr>
          <w:b w:val="0"/>
          <w:sz w:val="22"/>
          <w:szCs w:val="22"/>
        </w:rPr>
        <w:t>Primje</w:t>
      </w:r>
      <w:r w:rsidRPr="000533BB">
        <w:rPr>
          <w:b w:val="0"/>
          <w:sz w:val="22"/>
          <w:szCs w:val="22"/>
        </w:rPr>
        <w:t>na</w:t>
      </w:r>
      <w:r w:rsidR="000533BB" w:rsidRPr="006B3996">
        <w:rPr>
          <w:b w:val="0"/>
          <w:i/>
          <w:sz w:val="22"/>
          <w:szCs w:val="22"/>
        </w:rPr>
        <w:t xml:space="preserve"> </w:t>
      </w:r>
      <w:r>
        <w:rPr>
          <w:b w:val="0"/>
          <w:sz w:val="22"/>
          <w:szCs w:val="22"/>
        </w:rPr>
        <w:t xml:space="preserve">terapijske kombinacije etiniloestradiol/levonorgestrel (30μg/150μg) približno dvostruko povećava klirens lamotrigina, dovodeći do sniženja nivoa lamotrigina. Nakon titracije, može biti potrebna primjena viših (do dvostukih) doza održavanja lamotrigina  kako bi se postigao maksimalni terapijski odgovor. Tokom nedjelje </w:t>
      </w:r>
      <w:r w:rsidRPr="008E171B">
        <w:rPr>
          <w:b w:val="0"/>
          <w:bCs/>
          <w:sz w:val="22"/>
          <w:szCs w:val="22"/>
        </w:rPr>
        <w:t>inaktivne medikacije (nedjelja "bez pilule")</w:t>
      </w:r>
      <w:r>
        <w:rPr>
          <w:b w:val="0"/>
          <w:sz w:val="22"/>
          <w:szCs w:val="22"/>
        </w:rPr>
        <w:t xml:space="preserve"> uočeno je dvostruko povećanje nivoa lamotrigina. Nije moguće isključiti pojavu dozno-zavisnih neželjenih dejstava. Stoga bi trebalo savjetovati pacijenta da kao prvi izbor kontraceptivnih preparata koristi one koji ne zahtijevaju jednonedjeljni prekid (npr. kontinuirana primjena hormonske kontraceptivne terapije ili nehormonskih metoda; vidjeti </w:t>
      </w:r>
      <w:r w:rsidR="00706D93">
        <w:rPr>
          <w:b w:val="0"/>
          <w:sz w:val="22"/>
          <w:szCs w:val="22"/>
        </w:rPr>
        <w:t>dio</w:t>
      </w:r>
      <w:r>
        <w:rPr>
          <w:b w:val="0"/>
          <w:sz w:val="22"/>
          <w:szCs w:val="22"/>
        </w:rPr>
        <w:t xml:space="preserve"> 4.4 i </w:t>
      </w:r>
      <w:r w:rsidR="00706D93">
        <w:rPr>
          <w:b w:val="0"/>
          <w:sz w:val="22"/>
          <w:szCs w:val="22"/>
        </w:rPr>
        <w:t>dio</w:t>
      </w:r>
      <w:r>
        <w:rPr>
          <w:b w:val="0"/>
          <w:sz w:val="22"/>
          <w:szCs w:val="22"/>
        </w:rPr>
        <w:t xml:space="preserve"> 4.5).</w:t>
      </w:r>
    </w:p>
    <w:p w14:paraId="22064E17" w14:textId="77777777" w:rsidR="00AC7152" w:rsidRDefault="00AC7152" w:rsidP="006B3996">
      <w:pPr>
        <w:pStyle w:val="BodyText3"/>
        <w:jc w:val="both"/>
        <w:rPr>
          <w:b w:val="0"/>
          <w:i/>
          <w:sz w:val="22"/>
          <w:szCs w:val="22"/>
        </w:rPr>
      </w:pPr>
    </w:p>
    <w:p w14:paraId="22064E18" w14:textId="77777777" w:rsidR="00AC7152" w:rsidRPr="004E30CF" w:rsidRDefault="00AC7152" w:rsidP="006B3996">
      <w:pPr>
        <w:pStyle w:val="BodyText3"/>
        <w:jc w:val="both"/>
        <w:rPr>
          <w:b w:val="0"/>
          <w:i/>
          <w:sz w:val="22"/>
          <w:szCs w:val="22"/>
          <w:u w:val="single"/>
        </w:rPr>
      </w:pPr>
      <w:r w:rsidRPr="004E30CF">
        <w:rPr>
          <w:b w:val="0"/>
          <w:i/>
          <w:sz w:val="22"/>
          <w:szCs w:val="22"/>
          <w:u w:val="single"/>
        </w:rPr>
        <w:t>Otpočinjanje primjene hormonske kontraceptivne terapije kod pacijentkinja koje primjenjuju doze održavanja lamotrigina i NE primjenjuju induktore glukuronidacije lamotrigina</w:t>
      </w:r>
    </w:p>
    <w:p w14:paraId="22064E19" w14:textId="456647E2" w:rsidR="00AC7152" w:rsidRDefault="00AC7152" w:rsidP="006B3996">
      <w:pPr>
        <w:pStyle w:val="BodyText3"/>
        <w:jc w:val="both"/>
        <w:rPr>
          <w:b w:val="0"/>
          <w:sz w:val="22"/>
          <w:szCs w:val="22"/>
        </w:rPr>
      </w:pPr>
      <w:r>
        <w:rPr>
          <w:b w:val="0"/>
          <w:sz w:val="22"/>
          <w:szCs w:val="22"/>
        </w:rPr>
        <w:t xml:space="preserve">U najvećem broju slučajeva biće potrebno da se doza održavanja lamotrigina poveća do dvostruko (vidjeti </w:t>
      </w:r>
      <w:r w:rsidR="00706D93">
        <w:rPr>
          <w:b w:val="0"/>
          <w:sz w:val="22"/>
          <w:szCs w:val="22"/>
        </w:rPr>
        <w:t>dio</w:t>
      </w:r>
      <w:r>
        <w:rPr>
          <w:b w:val="0"/>
          <w:sz w:val="22"/>
          <w:szCs w:val="22"/>
        </w:rPr>
        <w:t xml:space="preserve"> 4.4 i </w:t>
      </w:r>
      <w:r w:rsidR="00706D93">
        <w:rPr>
          <w:b w:val="0"/>
          <w:sz w:val="22"/>
          <w:szCs w:val="22"/>
        </w:rPr>
        <w:t>dio</w:t>
      </w:r>
      <w:r>
        <w:rPr>
          <w:b w:val="0"/>
          <w:sz w:val="22"/>
          <w:szCs w:val="22"/>
        </w:rPr>
        <w:t xml:space="preserve"> 4.5). Preporučuje se da se od trenutka započinjanja primjene hormonske kontraceptivne terapije doza lamotrigina povećava za 50 do 100 mg/dnevno svake nedjelje, u skladu sa individualnim kliničkim odgovorom pacijenta. Ne bi trebalo da povećanja doze prekorače navedene vrijednosti, izuzev u slučaju da klinički odgovor podržava veća povećanja.</w:t>
      </w:r>
    </w:p>
    <w:p w14:paraId="22064E1A" w14:textId="35C9407C" w:rsidR="00AC7152" w:rsidRDefault="00AC7152" w:rsidP="006B3996">
      <w:pPr>
        <w:pStyle w:val="BodyText3"/>
        <w:jc w:val="both"/>
        <w:rPr>
          <w:b w:val="0"/>
          <w:sz w:val="22"/>
          <w:szCs w:val="22"/>
        </w:rPr>
      </w:pPr>
      <w:r>
        <w:rPr>
          <w:b w:val="0"/>
          <w:sz w:val="22"/>
          <w:szCs w:val="22"/>
        </w:rPr>
        <w:t xml:space="preserve">Može se razmotriti mjerenje koncentracija lamotrigina u serumu prije i nakon započinjanja primjene hormonske kontraceptivne terapije, u cilju potvrde održavanja osnovnih koncentracija lamotrigina u serumu. Ukoliko je neophodno, </w:t>
      </w:r>
      <w:r w:rsidR="00765946">
        <w:rPr>
          <w:b w:val="0"/>
          <w:sz w:val="22"/>
          <w:szCs w:val="22"/>
        </w:rPr>
        <w:t>treba</w:t>
      </w:r>
      <w:r>
        <w:rPr>
          <w:b w:val="0"/>
          <w:sz w:val="22"/>
          <w:szCs w:val="22"/>
        </w:rPr>
        <w:t xml:space="preserve"> podesiti dozu. Kod žena koje primjenjuju hormonsku kontraceptivnu terapiju koja uključuje jednu nedjelju inaktivne medikacije (</w:t>
      </w:r>
      <w:r w:rsidRPr="008E171B">
        <w:rPr>
          <w:b w:val="0"/>
          <w:bCs/>
          <w:sz w:val="22"/>
          <w:szCs w:val="22"/>
        </w:rPr>
        <w:t>nedjelja "bez pilule")</w:t>
      </w:r>
      <w:r>
        <w:rPr>
          <w:b w:val="0"/>
          <w:sz w:val="22"/>
          <w:szCs w:val="22"/>
        </w:rPr>
        <w:t xml:space="preserve">, tokom 3. nedjelje aktivne terapije potrebno je pratiti nivo lamotrigina u serumu, npr. od 15. do 21. dana primjene kontraceptivnih tableta. Stoga se savjetuje oprez prilikom primjene kontracepcije kao prve linije terapije, bez postojanja nedjelje terapijske pauze (npr. kontinuirana primjena hormonske kontraceptivne terapije ili nehormonskih metoda; vidjeti </w:t>
      </w:r>
      <w:r w:rsidR="00706D93">
        <w:rPr>
          <w:b w:val="0"/>
          <w:sz w:val="22"/>
          <w:szCs w:val="22"/>
        </w:rPr>
        <w:t>dio</w:t>
      </w:r>
      <w:r>
        <w:rPr>
          <w:b w:val="0"/>
          <w:sz w:val="22"/>
          <w:szCs w:val="22"/>
        </w:rPr>
        <w:t xml:space="preserve"> 4.4 i </w:t>
      </w:r>
      <w:r w:rsidR="00706D93">
        <w:rPr>
          <w:b w:val="0"/>
          <w:sz w:val="22"/>
          <w:szCs w:val="22"/>
        </w:rPr>
        <w:t>dio</w:t>
      </w:r>
      <w:r>
        <w:rPr>
          <w:b w:val="0"/>
          <w:sz w:val="22"/>
          <w:szCs w:val="22"/>
        </w:rPr>
        <w:t xml:space="preserve"> 4.5).</w:t>
      </w:r>
    </w:p>
    <w:p w14:paraId="22064E1B" w14:textId="77777777" w:rsidR="00AC7152" w:rsidRDefault="00AC7152" w:rsidP="006B3996">
      <w:pPr>
        <w:pStyle w:val="BodyText3"/>
        <w:jc w:val="both"/>
        <w:rPr>
          <w:b w:val="0"/>
          <w:sz w:val="22"/>
          <w:szCs w:val="22"/>
        </w:rPr>
      </w:pPr>
    </w:p>
    <w:p w14:paraId="22064E1C" w14:textId="77777777" w:rsidR="00AC7152" w:rsidRPr="004E30CF" w:rsidRDefault="00AC7152" w:rsidP="006B3996">
      <w:pPr>
        <w:pStyle w:val="BodyText3"/>
        <w:jc w:val="both"/>
        <w:rPr>
          <w:b w:val="0"/>
          <w:i/>
          <w:sz w:val="22"/>
          <w:szCs w:val="22"/>
          <w:u w:val="single"/>
        </w:rPr>
      </w:pPr>
      <w:r w:rsidRPr="004E30CF">
        <w:rPr>
          <w:b w:val="0"/>
          <w:i/>
          <w:sz w:val="22"/>
          <w:szCs w:val="22"/>
          <w:u w:val="single"/>
        </w:rPr>
        <w:t>Prekid primjene hormonske kontraceptivne terapije kod pacijentkinja koje primjenjuju doze održavanja lamotrigina i NE primjenjuju induktore glukuronidacije lamotrigina</w:t>
      </w:r>
    </w:p>
    <w:p w14:paraId="22064E1D" w14:textId="0EEDBDB5" w:rsidR="00AC7152" w:rsidRDefault="00AC7152" w:rsidP="006B3996">
      <w:pPr>
        <w:pStyle w:val="BodyText3"/>
        <w:jc w:val="both"/>
        <w:rPr>
          <w:b w:val="0"/>
          <w:sz w:val="22"/>
          <w:szCs w:val="22"/>
        </w:rPr>
      </w:pPr>
      <w:r>
        <w:rPr>
          <w:b w:val="0"/>
          <w:sz w:val="22"/>
          <w:szCs w:val="22"/>
        </w:rPr>
        <w:t xml:space="preserve">U najvećem broju slučajeva biće potrebno sniženje doze održavanja lamotrigina do 50% (vidjeti </w:t>
      </w:r>
      <w:r w:rsidR="00706D93">
        <w:rPr>
          <w:b w:val="0"/>
          <w:sz w:val="22"/>
          <w:szCs w:val="22"/>
        </w:rPr>
        <w:t>dio</w:t>
      </w:r>
      <w:r>
        <w:rPr>
          <w:b w:val="0"/>
          <w:sz w:val="22"/>
          <w:szCs w:val="22"/>
        </w:rPr>
        <w:t xml:space="preserve"> 4.4 i </w:t>
      </w:r>
      <w:r w:rsidR="00706D93">
        <w:rPr>
          <w:b w:val="0"/>
          <w:sz w:val="22"/>
          <w:szCs w:val="22"/>
        </w:rPr>
        <w:t>dio</w:t>
      </w:r>
      <w:r>
        <w:rPr>
          <w:b w:val="0"/>
          <w:sz w:val="22"/>
          <w:szCs w:val="22"/>
        </w:rPr>
        <w:t xml:space="preserve"> 4.5). Preporučuje se da se dnevna doza lamotrigina postepeno smanjuje za 50 do 100mg nedjeljno (smanjenje po nedjelji ne treba da prekorači 25% ukupne dnevne doze) tokom perioda od 3 nedjelje, izuzev u slučaju da klinički odgovor zahtijeva drugačije. Može se razmotriti mjerenje koncentracija lamotrigina u serumu prije i nakon započinjanja primjene hormonske kontraceptivne terapije, u cilju potvrde održavanja osnovnih koncentracija lamotrigina u serumu. Kod žena koje žele da prekinu sa primjenom hormonske kontraceptivne terapije koja uključuje jednu nedjelju inaktivne medikacije </w:t>
      </w:r>
      <w:r>
        <w:rPr>
          <w:b w:val="0"/>
          <w:sz w:val="22"/>
          <w:szCs w:val="22"/>
        </w:rPr>
        <w:lastRenderedPageBreak/>
        <w:t>(</w:t>
      </w:r>
      <w:r w:rsidRPr="008E171B">
        <w:rPr>
          <w:b w:val="0"/>
          <w:bCs/>
          <w:sz w:val="22"/>
          <w:szCs w:val="22"/>
        </w:rPr>
        <w:t>nedjelja "bez pilule")</w:t>
      </w:r>
      <w:r>
        <w:rPr>
          <w:b w:val="0"/>
          <w:sz w:val="22"/>
          <w:szCs w:val="22"/>
        </w:rPr>
        <w:t>, tokom 3. nedjelje aktivne terapije potrebno je pratiti nivo lamotrigina u serumu, npr. od 15. do 21. dana primjene kontraceptivnih tableta. Tokom prve nedjelje nakon prekida primjene kontraceptivnih tableta ne bi trebalo uzimati uzorke za analize nivoa lamotrigina u serumu.</w:t>
      </w:r>
    </w:p>
    <w:p w14:paraId="22064E1E" w14:textId="77777777" w:rsidR="00AC7152" w:rsidRDefault="00AC7152" w:rsidP="006B3996">
      <w:pPr>
        <w:pStyle w:val="BodyText3"/>
        <w:jc w:val="both"/>
        <w:rPr>
          <w:b w:val="0"/>
          <w:sz w:val="22"/>
          <w:szCs w:val="22"/>
        </w:rPr>
      </w:pPr>
    </w:p>
    <w:p w14:paraId="22064E1F" w14:textId="77777777" w:rsidR="00AC7152" w:rsidRPr="004E30CF" w:rsidRDefault="00AC7152" w:rsidP="006B3996">
      <w:pPr>
        <w:pStyle w:val="BodyText3"/>
        <w:jc w:val="both"/>
        <w:rPr>
          <w:b w:val="0"/>
          <w:i/>
          <w:sz w:val="22"/>
          <w:szCs w:val="22"/>
          <w:u w:val="single"/>
        </w:rPr>
      </w:pPr>
      <w:r w:rsidRPr="004E30CF">
        <w:rPr>
          <w:b w:val="0"/>
          <w:i/>
          <w:sz w:val="22"/>
          <w:szCs w:val="22"/>
          <w:u w:val="single"/>
        </w:rPr>
        <w:t>Otpočinjanje primjene lamotrigina kod pacijentkinja koje primjenjuju hormonsku kontraceptivnu terapiju</w:t>
      </w:r>
    </w:p>
    <w:p w14:paraId="22064E20" w14:textId="77777777" w:rsidR="00AC7152" w:rsidRDefault="00AC7152" w:rsidP="006B3996">
      <w:pPr>
        <w:pStyle w:val="BodyText3"/>
        <w:jc w:val="both"/>
        <w:rPr>
          <w:b w:val="0"/>
          <w:sz w:val="22"/>
          <w:szCs w:val="22"/>
        </w:rPr>
      </w:pPr>
      <w:r>
        <w:rPr>
          <w:b w:val="0"/>
          <w:sz w:val="22"/>
          <w:szCs w:val="22"/>
        </w:rPr>
        <w:t>Povećanje doze bi trebalo da odgovara uobičajenim preporukama za doziranje propisanim za tablete.</w:t>
      </w:r>
    </w:p>
    <w:p w14:paraId="22064E21" w14:textId="77777777" w:rsidR="00AC7152" w:rsidRDefault="00AC7152" w:rsidP="006B3996">
      <w:pPr>
        <w:pStyle w:val="BodyText3"/>
        <w:jc w:val="both"/>
        <w:rPr>
          <w:b w:val="0"/>
          <w:sz w:val="22"/>
          <w:szCs w:val="22"/>
        </w:rPr>
      </w:pPr>
    </w:p>
    <w:p w14:paraId="22064E22" w14:textId="77777777" w:rsidR="00AC7152" w:rsidRPr="004E30CF" w:rsidRDefault="00AC7152" w:rsidP="006B3996">
      <w:pPr>
        <w:pStyle w:val="BodyText3"/>
        <w:jc w:val="both"/>
        <w:rPr>
          <w:b w:val="0"/>
          <w:sz w:val="22"/>
          <w:szCs w:val="22"/>
          <w:u w:val="single"/>
        </w:rPr>
      </w:pPr>
      <w:r w:rsidRPr="004E30CF">
        <w:rPr>
          <w:b w:val="0"/>
          <w:i/>
          <w:sz w:val="22"/>
          <w:szCs w:val="22"/>
          <w:u w:val="single"/>
        </w:rPr>
        <w:t>Otpočinjanje i prekid primjene hormonske kontraceptivne terapije kod pacijentkinja koje primjenjuju doze održavanja lamotrigina i PRIMJENJUJU induktore glukuronidacije lamotrigina</w:t>
      </w:r>
    </w:p>
    <w:p w14:paraId="22064E23" w14:textId="77777777" w:rsidR="00AC7152" w:rsidRDefault="00AC7152" w:rsidP="006B3996">
      <w:pPr>
        <w:pStyle w:val="BodyText3"/>
        <w:ind w:right="-57"/>
        <w:jc w:val="both"/>
        <w:rPr>
          <w:b w:val="0"/>
          <w:sz w:val="22"/>
          <w:szCs w:val="22"/>
        </w:rPr>
      </w:pPr>
      <w:r>
        <w:rPr>
          <w:b w:val="0"/>
          <w:sz w:val="22"/>
          <w:szCs w:val="22"/>
        </w:rPr>
        <w:t xml:space="preserve">Moguće je da neće biti potrebno podešavanje preporučene doze održavanja lamotrigina. </w:t>
      </w:r>
    </w:p>
    <w:p w14:paraId="22064E24" w14:textId="77777777" w:rsidR="00AC7152" w:rsidRDefault="00AC7152" w:rsidP="006B3996">
      <w:pPr>
        <w:pStyle w:val="BodyText3"/>
        <w:ind w:right="-57"/>
        <w:jc w:val="both"/>
        <w:rPr>
          <w:b w:val="0"/>
          <w:sz w:val="22"/>
          <w:szCs w:val="22"/>
        </w:rPr>
      </w:pPr>
    </w:p>
    <w:p w14:paraId="22064E25" w14:textId="77777777" w:rsidR="00AC7152" w:rsidRDefault="00AC7152" w:rsidP="006B3996">
      <w:pPr>
        <w:pStyle w:val="BodyText3"/>
        <w:ind w:right="-57"/>
        <w:jc w:val="both"/>
        <w:rPr>
          <w:b w:val="0"/>
          <w:i/>
          <w:sz w:val="22"/>
          <w:szCs w:val="22"/>
          <w:u w:val="single"/>
        </w:rPr>
      </w:pPr>
      <w:r>
        <w:rPr>
          <w:b w:val="0"/>
          <w:i/>
          <w:sz w:val="22"/>
          <w:szCs w:val="22"/>
          <w:u w:val="single"/>
        </w:rPr>
        <w:t>Primjena sa atazanavirom/ritonavirom</w:t>
      </w:r>
    </w:p>
    <w:p w14:paraId="22064E26" w14:textId="77777777" w:rsidR="00AC7152" w:rsidRDefault="00AC7152" w:rsidP="006B3996">
      <w:pPr>
        <w:pStyle w:val="BodyText3"/>
        <w:ind w:right="-57"/>
        <w:jc w:val="both"/>
        <w:rPr>
          <w:b w:val="0"/>
          <w:sz w:val="22"/>
          <w:szCs w:val="22"/>
        </w:rPr>
      </w:pPr>
    </w:p>
    <w:p w14:paraId="22064E27" w14:textId="77777777" w:rsidR="00AC7152" w:rsidRDefault="00AC7152" w:rsidP="006B3996">
      <w:pPr>
        <w:pStyle w:val="BodyText3"/>
        <w:ind w:right="-57"/>
        <w:jc w:val="both"/>
        <w:rPr>
          <w:b w:val="0"/>
          <w:sz w:val="22"/>
          <w:szCs w:val="22"/>
        </w:rPr>
      </w:pPr>
      <w:r>
        <w:rPr>
          <w:b w:val="0"/>
          <w:sz w:val="22"/>
          <w:szCs w:val="22"/>
        </w:rPr>
        <w:t>Nijesu neophodna podešavanja preporučenog povećanja doze lamotrigina, prilikom dodavanja lamotrigina postojećoj terapiji atazanavirom/ritonavirom.</w:t>
      </w:r>
    </w:p>
    <w:p w14:paraId="22064E28" w14:textId="220355C1" w:rsidR="00AC7152" w:rsidRDefault="00AC7152" w:rsidP="006B3996">
      <w:pPr>
        <w:pStyle w:val="BodyText3"/>
        <w:ind w:right="-57"/>
        <w:jc w:val="both"/>
        <w:rPr>
          <w:b w:val="0"/>
          <w:sz w:val="22"/>
          <w:szCs w:val="22"/>
        </w:rPr>
      </w:pPr>
      <w:r>
        <w:rPr>
          <w:b w:val="0"/>
          <w:sz w:val="22"/>
          <w:szCs w:val="22"/>
        </w:rPr>
        <w:t xml:space="preserve">Kod pacijenata koji već upotrebljavaju doze održavanja lamotrigina, a ne upotrebljavaju induktore glukuronidacije, može biti potrebno povećanje doze lamotrigina u slučaju dodavanja atazanavira/ritonavira postojećoj terapiji, ili smanjenje doze, u slučaju prekida primjene atazanavira/ritonavira. Praćenje nivoa lamotrigina u plazmi trebalo bi sprovesti prije i tokom dvije nedjelje nakon započinjanja ili prekida primjene atazanavira/ritonavira, u cilju utvrđivanja potrebe za podešavanjem doze lamotrigina (vidjeti </w:t>
      </w:r>
      <w:r w:rsidR="00706D93">
        <w:rPr>
          <w:b w:val="0"/>
          <w:sz w:val="22"/>
          <w:szCs w:val="22"/>
        </w:rPr>
        <w:t>dio</w:t>
      </w:r>
      <w:r>
        <w:rPr>
          <w:b w:val="0"/>
          <w:sz w:val="22"/>
          <w:szCs w:val="22"/>
        </w:rPr>
        <w:t xml:space="preserve"> 4.5).</w:t>
      </w:r>
    </w:p>
    <w:p w14:paraId="22064E29" w14:textId="77777777" w:rsidR="00AC7152" w:rsidRDefault="00AC7152" w:rsidP="006B3996">
      <w:pPr>
        <w:pStyle w:val="BodyText3"/>
        <w:ind w:right="-57"/>
        <w:jc w:val="both"/>
        <w:rPr>
          <w:b w:val="0"/>
          <w:sz w:val="22"/>
          <w:szCs w:val="22"/>
        </w:rPr>
      </w:pPr>
    </w:p>
    <w:p w14:paraId="22064E2A" w14:textId="77777777" w:rsidR="00AC7152" w:rsidRDefault="00AC7152" w:rsidP="006B3996">
      <w:pPr>
        <w:pStyle w:val="BodyText3"/>
        <w:ind w:right="-57"/>
        <w:jc w:val="both"/>
        <w:rPr>
          <w:b w:val="0"/>
          <w:i/>
          <w:sz w:val="22"/>
          <w:szCs w:val="22"/>
          <w:u w:val="single"/>
        </w:rPr>
      </w:pPr>
      <w:r>
        <w:rPr>
          <w:b w:val="0"/>
          <w:i/>
          <w:sz w:val="22"/>
          <w:szCs w:val="22"/>
          <w:u w:val="single"/>
        </w:rPr>
        <w:t>Primjena sa lopinavirom/ritonavirom</w:t>
      </w:r>
    </w:p>
    <w:p w14:paraId="22064E2B" w14:textId="77777777" w:rsidR="00AC7152" w:rsidRDefault="00AC7152" w:rsidP="006B3996">
      <w:pPr>
        <w:pStyle w:val="BodyText3"/>
        <w:ind w:right="-57"/>
        <w:jc w:val="both"/>
        <w:rPr>
          <w:b w:val="0"/>
          <w:sz w:val="22"/>
          <w:szCs w:val="22"/>
        </w:rPr>
      </w:pPr>
    </w:p>
    <w:p w14:paraId="22064E2C" w14:textId="77777777" w:rsidR="00AC7152" w:rsidRDefault="00AC7152" w:rsidP="006B3996">
      <w:pPr>
        <w:pStyle w:val="BodyText3"/>
        <w:ind w:right="-57"/>
        <w:jc w:val="both"/>
        <w:rPr>
          <w:b w:val="0"/>
          <w:sz w:val="22"/>
          <w:szCs w:val="22"/>
        </w:rPr>
      </w:pPr>
      <w:r>
        <w:rPr>
          <w:b w:val="0"/>
          <w:sz w:val="22"/>
          <w:szCs w:val="22"/>
        </w:rPr>
        <w:t>Nijesu neophodna podešavanja preporučenog povećanja doze lamotrigina, prilikom dodavanja lamotrigina postojećoj terapiji lopinavirom/ritonavirom.</w:t>
      </w:r>
    </w:p>
    <w:p w14:paraId="22064E2D" w14:textId="3F402FBD" w:rsidR="00AC7152" w:rsidRDefault="00AC7152" w:rsidP="006B3996">
      <w:pPr>
        <w:pStyle w:val="BodyText3"/>
        <w:ind w:right="-57"/>
        <w:jc w:val="both"/>
        <w:rPr>
          <w:b w:val="0"/>
          <w:sz w:val="22"/>
          <w:szCs w:val="22"/>
        </w:rPr>
      </w:pPr>
      <w:r>
        <w:rPr>
          <w:b w:val="0"/>
          <w:sz w:val="22"/>
          <w:szCs w:val="22"/>
        </w:rPr>
        <w:t xml:space="preserve">Kod pacijenata koji već upotrebljavaju doze održavanja lamotrigina, a ne upotrebljavaju induktore glukuronidacije, može biti potrebno povećanje doze lamotrigina u slučaju dodavanja lopinavira/ritonavira postojećoj terapiji, ili smanjenje doze, u slučaju prekida primjene lopinavira/ritonavira. Praćenje nivoa lamotrigina u plazmi trebalo bi sprovesti prije i tokom dvije nedjelje nakon započinjanja ili prekida primjene lopinavira/ritonavira, u cilju utvrđivanja potrebe za podešavanjem doze lamotrigina (vidjeti </w:t>
      </w:r>
      <w:r w:rsidR="00706D93">
        <w:rPr>
          <w:b w:val="0"/>
          <w:sz w:val="22"/>
          <w:szCs w:val="22"/>
        </w:rPr>
        <w:t>dio</w:t>
      </w:r>
      <w:r>
        <w:rPr>
          <w:b w:val="0"/>
          <w:sz w:val="22"/>
          <w:szCs w:val="22"/>
        </w:rPr>
        <w:t xml:space="preserve"> 4.5).</w:t>
      </w:r>
    </w:p>
    <w:p w14:paraId="22064E2E" w14:textId="77777777" w:rsidR="00AC7152" w:rsidRDefault="00AC7152" w:rsidP="006B3996">
      <w:pPr>
        <w:pStyle w:val="BodyText3"/>
        <w:ind w:right="-57"/>
        <w:jc w:val="both"/>
        <w:rPr>
          <w:b w:val="0"/>
          <w:sz w:val="22"/>
          <w:szCs w:val="22"/>
        </w:rPr>
      </w:pPr>
    </w:p>
    <w:p w14:paraId="22064E2F" w14:textId="77777777" w:rsidR="00AC7152" w:rsidRDefault="00AC7152" w:rsidP="006B3996">
      <w:pPr>
        <w:pStyle w:val="BodyText3"/>
        <w:ind w:right="-57"/>
        <w:jc w:val="both"/>
        <w:rPr>
          <w:b w:val="0"/>
          <w:i/>
          <w:sz w:val="22"/>
          <w:szCs w:val="22"/>
          <w:u w:val="single"/>
        </w:rPr>
      </w:pPr>
      <w:r>
        <w:rPr>
          <w:b w:val="0"/>
          <w:i/>
          <w:sz w:val="22"/>
          <w:szCs w:val="22"/>
          <w:u w:val="single"/>
        </w:rPr>
        <w:t>Starije osobe (starije od 65. godine života)</w:t>
      </w:r>
    </w:p>
    <w:p w14:paraId="22064E30" w14:textId="333EDCF7" w:rsidR="00AC7152" w:rsidRDefault="00AC7152" w:rsidP="006B3996">
      <w:pPr>
        <w:pStyle w:val="BodyText3"/>
        <w:ind w:right="-57"/>
        <w:jc w:val="both"/>
        <w:rPr>
          <w:b w:val="0"/>
          <w:sz w:val="22"/>
          <w:szCs w:val="22"/>
        </w:rPr>
      </w:pPr>
      <w:r>
        <w:rPr>
          <w:b w:val="0"/>
          <w:sz w:val="22"/>
          <w:szCs w:val="22"/>
        </w:rPr>
        <w:t xml:space="preserve">Ne zahtijeva se podešavanje doze preporučene shemom doziranja. Farmakokinetika lamotrigina u navedenoj starosnoj grupi se ne razlikuje značajno u odnosu na populaciju odraslih osoba (vidjeti </w:t>
      </w:r>
      <w:r w:rsidR="00706D93">
        <w:rPr>
          <w:b w:val="0"/>
          <w:sz w:val="22"/>
          <w:szCs w:val="22"/>
        </w:rPr>
        <w:t>dio</w:t>
      </w:r>
      <w:r>
        <w:rPr>
          <w:b w:val="0"/>
          <w:sz w:val="22"/>
          <w:szCs w:val="22"/>
        </w:rPr>
        <w:t xml:space="preserve"> 5.2).</w:t>
      </w:r>
    </w:p>
    <w:p w14:paraId="22064E31" w14:textId="77777777" w:rsidR="00AC7152" w:rsidRDefault="00AC7152" w:rsidP="006B3996">
      <w:pPr>
        <w:pStyle w:val="BodyText3"/>
        <w:ind w:right="-57"/>
        <w:jc w:val="both"/>
        <w:rPr>
          <w:b w:val="0"/>
          <w:sz w:val="22"/>
          <w:szCs w:val="22"/>
        </w:rPr>
      </w:pPr>
    </w:p>
    <w:p w14:paraId="22064E32" w14:textId="77777777" w:rsidR="00AC7152" w:rsidRDefault="00AC7152" w:rsidP="006B3996">
      <w:pPr>
        <w:pStyle w:val="BodyText3"/>
        <w:ind w:right="-57"/>
        <w:jc w:val="both"/>
        <w:rPr>
          <w:b w:val="0"/>
          <w:i/>
          <w:sz w:val="22"/>
          <w:szCs w:val="22"/>
          <w:u w:val="single"/>
        </w:rPr>
      </w:pPr>
      <w:r>
        <w:rPr>
          <w:b w:val="0"/>
          <w:i/>
          <w:sz w:val="22"/>
          <w:szCs w:val="22"/>
          <w:u w:val="single"/>
        </w:rPr>
        <w:t>Bubrežna insufucujencija</w:t>
      </w:r>
    </w:p>
    <w:p w14:paraId="22064E33" w14:textId="4FC94A03" w:rsidR="00AC7152" w:rsidRDefault="00AC7152" w:rsidP="006B3996">
      <w:pPr>
        <w:pStyle w:val="BodyText3"/>
        <w:ind w:right="-57"/>
        <w:jc w:val="both"/>
        <w:rPr>
          <w:b w:val="0"/>
          <w:sz w:val="22"/>
          <w:szCs w:val="22"/>
        </w:rPr>
      </w:pPr>
      <w:r>
        <w:rPr>
          <w:b w:val="0"/>
          <w:sz w:val="22"/>
          <w:szCs w:val="22"/>
        </w:rPr>
        <w:t>Potrebno je obratiti pažnju prilikom primjene lijeka LAMICTAL</w:t>
      </w:r>
      <w:r>
        <w:rPr>
          <w:sz w:val="22"/>
          <w:szCs w:val="22"/>
        </w:rPr>
        <w:t xml:space="preserve"> </w:t>
      </w:r>
      <w:r>
        <w:rPr>
          <w:b w:val="0"/>
          <w:sz w:val="22"/>
          <w:szCs w:val="22"/>
        </w:rPr>
        <w:t xml:space="preserve">kod pacijenata sa bubrežnom insuficijencijom. Kod pacijenata sa renalnom insuficijencijom u terminalnoj fazi, potrebno je da inicijalne doze lamotrigina budu određene konkomitantnom medikamentnom terapijom pacijenta; moguće je da kod pacijenata sa značajnim renalnim funkcionalnim oštećenjem bude efikasna primjena redukovanih doza održavanja (vidjeti </w:t>
      </w:r>
      <w:r w:rsidR="00706D93">
        <w:rPr>
          <w:b w:val="0"/>
          <w:sz w:val="22"/>
          <w:szCs w:val="22"/>
        </w:rPr>
        <w:t>dio</w:t>
      </w:r>
      <w:r>
        <w:rPr>
          <w:b w:val="0"/>
          <w:sz w:val="22"/>
          <w:szCs w:val="22"/>
        </w:rPr>
        <w:t xml:space="preserve"> 4.4 i </w:t>
      </w:r>
      <w:r w:rsidR="00706D93">
        <w:rPr>
          <w:b w:val="0"/>
          <w:sz w:val="22"/>
          <w:szCs w:val="22"/>
        </w:rPr>
        <w:t>dio</w:t>
      </w:r>
      <w:r>
        <w:rPr>
          <w:b w:val="0"/>
          <w:sz w:val="22"/>
          <w:szCs w:val="22"/>
        </w:rPr>
        <w:t xml:space="preserve"> 5.2).    </w:t>
      </w:r>
    </w:p>
    <w:p w14:paraId="69807EA3" w14:textId="77777777" w:rsidR="008B1209" w:rsidRDefault="008B1209" w:rsidP="006B3996">
      <w:pPr>
        <w:pStyle w:val="BodyText3"/>
        <w:ind w:right="-57"/>
        <w:jc w:val="both"/>
        <w:rPr>
          <w:b w:val="0"/>
          <w:sz w:val="22"/>
          <w:szCs w:val="22"/>
        </w:rPr>
      </w:pPr>
    </w:p>
    <w:p w14:paraId="22064E36" w14:textId="77777777" w:rsidR="00AC7152" w:rsidRDefault="00AC7152" w:rsidP="006B3996">
      <w:pPr>
        <w:pStyle w:val="BodyText3"/>
        <w:ind w:right="-57"/>
        <w:jc w:val="both"/>
        <w:rPr>
          <w:b w:val="0"/>
          <w:i/>
          <w:sz w:val="22"/>
          <w:szCs w:val="22"/>
          <w:u w:val="single"/>
        </w:rPr>
      </w:pPr>
      <w:r>
        <w:rPr>
          <w:b w:val="0"/>
          <w:i/>
          <w:sz w:val="22"/>
          <w:szCs w:val="22"/>
          <w:u w:val="single"/>
        </w:rPr>
        <w:t>Hepatička insuficijencija</w:t>
      </w:r>
    </w:p>
    <w:p w14:paraId="22064E37" w14:textId="62024F37" w:rsidR="00AC7152" w:rsidRDefault="00AC7152" w:rsidP="006B3996">
      <w:pPr>
        <w:pStyle w:val="BodyText3"/>
        <w:ind w:right="-57"/>
        <w:jc w:val="both"/>
        <w:rPr>
          <w:b w:val="0"/>
          <w:sz w:val="22"/>
          <w:szCs w:val="22"/>
        </w:rPr>
      </w:pPr>
      <w:r>
        <w:rPr>
          <w:b w:val="0"/>
          <w:sz w:val="22"/>
          <w:szCs w:val="22"/>
        </w:rPr>
        <w:t>Potrebno je da inicijalna, doze povećanja i doze održavanja budu redukovane za približno 50% kod pacijenata sa umjerenom (</w:t>
      </w:r>
      <w:r w:rsidRPr="00C6341A">
        <w:rPr>
          <w:b w:val="0"/>
          <w:i/>
          <w:sz w:val="22"/>
          <w:szCs w:val="22"/>
        </w:rPr>
        <w:t xml:space="preserve">Child-Pugh </w:t>
      </w:r>
      <w:r w:rsidRPr="00C6341A">
        <w:rPr>
          <w:b w:val="0"/>
          <w:sz w:val="22"/>
          <w:szCs w:val="22"/>
        </w:rPr>
        <w:t>gradus B</w:t>
      </w:r>
      <w:r>
        <w:rPr>
          <w:b w:val="0"/>
          <w:sz w:val="22"/>
          <w:szCs w:val="22"/>
        </w:rPr>
        <w:t>) i 75% kod pacijenata sa teškom (</w:t>
      </w:r>
      <w:r w:rsidRPr="00C6341A">
        <w:rPr>
          <w:b w:val="0"/>
          <w:i/>
          <w:sz w:val="22"/>
          <w:szCs w:val="22"/>
        </w:rPr>
        <w:t xml:space="preserve">Child-Pugh </w:t>
      </w:r>
      <w:r w:rsidRPr="00C6341A">
        <w:rPr>
          <w:b w:val="0"/>
          <w:sz w:val="22"/>
          <w:szCs w:val="22"/>
        </w:rPr>
        <w:t>gradus C</w:t>
      </w:r>
      <w:r>
        <w:rPr>
          <w:b w:val="0"/>
          <w:sz w:val="22"/>
          <w:szCs w:val="22"/>
        </w:rPr>
        <w:t xml:space="preserve">) insuficijencijom jetre. Potrebno je da doze povećanja i održavanja budu podešene u skladu sa kliničkim odgovorom pacijenta (vidjeti </w:t>
      </w:r>
      <w:r w:rsidR="00706D93">
        <w:rPr>
          <w:b w:val="0"/>
          <w:sz w:val="22"/>
          <w:szCs w:val="22"/>
        </w:rPr>
        <w:t>dio</w:t>
      </w:r>
      <w:r>
        <w:rPr>
          <w:b w:val="0"/>
          <w:sz w:val="22"/>
          <w:szCs w:val="22"/>
        </w:rPr>
        <w:t xml:space="preserve"> 5.2).   </w:t>
      </w:r>
    </w:p>
    <w:p w14:paraId="22064E38" w14:textId="77777777" w:rsidR="00AC7152" w:rsidRDefault="00AC7152" w:rsidP="006B3996">
      <w:pPr>
        <w:pStyle w:val="Header"/>
        <w:tabs>
          <w:tab w:val="left" w:pos="284"/>
        </w:tabs>
        <w:jc w:val="both"/>
        <w:rPr>
          <w:sz w:val="22"/>
          <w:szCs w:val="22"/>
          <w:lang w:val="sl-SI"/>
        </w:rPr>
      </w:pPr>
    </w:p>
    <w:p w14:paraId="7FD8BAFD" w14:textId="5C1DBB03" w:rsidR="00E038A0" w:rsidRPr="008E171B" w:rsidRDefault="00E038A0" w:rsidP="006B3996">
      <w:pPr>
        <w:jc w:val="both"/>
        <w:rPr>
          <w:bCs/>
          <w:u w:val="single"/>
          <w:lang w:val="sl-SI"/>
        </w:rPr>
      </w:pPr>
      <w:r w:rsidRPr="008E171B">
        <w:rPr>
          <w:u w:val="single"/>
          <w:lang w:val="sl-SI"/>
        </w:rPr>
        <w:t>Način primjene</w:t>
      </w:r>
    </w:p>
    <w:p w14:paraId="388A6F13" w14:textId="77777777" w:rsidR="00E038A0" w:rsidRPr="008E171B" w:rsidRDefault="00E038A0" w:rsidP="006B3996">
      <w:pPr>
        <w:jc w:val="both"/>
        <w:rPr>
          <w:bCs/>
          <w:lang w:val="sl-SI"/>
        </w:rPr>
      </w:pPr>
    </w:p>
    <w:p w14:paraId="10455000" w14:textId="04BB9424" w:rsidR="00ED236D" w:rsidRPr="008E171B" w:rsidRDefault="00ED236D" w:rsidP="006B3996">
      <w:pPr>
        <w:tabs>
          <w:tab w:val="left" w:pos="540"/>
          <w:tab w:val="left" w:pos="569"/>
        </w:tabs>
        <w:jc w:val="both"/>
        <w:rPr>
          <w:bCs/>
          <w:sz w:val="22"/>
          <w:szCs w:val="22"/>
          <w:lang w:val="sl-SI"/>
        </w:rPr>
      </w:pPr>
      <w:r w:rsidRPr="008E171B">
        <w:rPr>
          <w:bCs/>
          <w:sz w:val="22"/>
          <w:szCs w:val="22"/>
          <w:lang w:val="sl-SI"/>
        </w:rPr>
        <w:t>Oralna upotreba.</w:t>
      </w:r>
    </w:p>
    <w:p w14:paraId="54131B96" w14:textId="77777777" w:rsidR="00B70363" w:rsidRPr="008E171B" w:rsidRDefault="00B70363" w:rsidP="006B3996">
      <w:pPr>
        <w:tabs>
          <w:tab w:val="left" w:pos="540"/>
          <w:tab w:val="left" w:pos="569"/>
        </w:tabs>
        <w:jc w:val="both"/>
        <w:rPr>
          <w:bCs/>
          <w:sz w:val="22"/>
          <w:szCs w:val="22"/>
          <w:lang w:val="sl-SI"/>
        </w:rPr>
      </w:pPr>
    </w:p>
    <w:p w14:paraId="22064E3A" w14:textId="7333264D" w:rsidR="00411B4B" w:rsidRPr="008E171B" w:rsidRDefault="00411B4B" w:rsidP="006B3996">
      <w:pPr>
        <w:tabs>
          <w:tab w:val="left" w:pos="540"/>
          <w:tab w:val="left" w:pos="569"/>
        </w:tabs>
        <w:jc w:val="both"/>
        <w:rPr>
          <w:b/>
          <w:bCs/>
          <w:sz w:val="22"/>
          <w:szCs w:val="22"/>
          <w:lang w:val="sl-SI"/>
        </w:rPr>
      </w:pPr>
      <w:r w:rsidRPr="008E171B">
        <w:rPr>
          <w:b/>
          <w:bCs/>
          <w:sz w:val="22"/>
          <w:szCs w:val="22"/>
          <w:lang w:val="sl-SI"/>
        </w:rPr>
        <w:t xml:space="preserve">4.3. </w:t>
      </w:r>
      <w:r w:rsidR="00480FB1" w:rsidRPr="008E171B">
        <w:rPr>
          <w:b/>
          <w:bCs/>
          <w:sz w:val="22"/>
          <w:szCs w:val="22"/>
          <w:lang w:val="sl-SI"/>
        </w:rPr>
        <w:tab/>
      </w:r>
      <w:r w:rsidRPr="008E171B">
        <w:rPr>
          <w:b/>
          <w:bCs/>
          <w:sz w:val="22"/>
          <w:szCs w:val="22"/>
          <w:lang w:val="sl-SI"/>
        </w:rPr>
        <w:t>Kontraindikacije</w:t>
      </w:r>
    </w:p>
    <w:p w14:paraId="0C515D6C" w14:textId="77777777" w:rsidR="00D8360F" w:rsidRPr="008E171B" w:rsidRDefault="00D8360F" w:rsidP="006B3996">
      <w:pPr>
        <w:tabs>
          <w:tab w:val="left" w:pos="540"/>
          <w:tab w:val="left" w:pos="569"/>
        </w:tabs>
        <w:jc w:val="both"/>
        <w:rPr>
          <w:b/>
          <w:bCs/>
          <w:sz w:val="22"/>
          <w:szCs w:val="22"/>
          <w:lang w:val="sl-SI"/>
        </w:rPr>
      </w:pPr>
    </w:p>
    <w:p w14:paraId="22064E3B" w14:textId="50108228" w:rsidR="00707383" w:rsidRDefault="00707383" w:rsidP="006B3996">
      <w:pPr>
        <w:tabs>
          <w:tab w:val="left" w:pos="540"/>
          <w:tab w:val="left" w:pos="569"/>
        </w:tabs>
        <w:jc w:val="both"/>
        <w:rPr>
          <w:sz w:val="22"/>
          <w:szCs w:val="22"/>
          <w:lang w:val="sl-SI"/>
        </w:rPr>
      </w:pPr>
      <w:r>
        <w:rPr>
          <w:sz w:val="22"/>
          <w:szCs w:val="22"/>
          <w:lang w:val="sl-SI"/>
        </w:rPr>
        <w:t xml:space="preserve">Primjena lijeka </w:t>
      </w:r>
      <w:r w:rsidRPr="008E171B">
        <w:rPr>
          <w:sz w:val="22"/>
          <w:szCs w:val="22"/>
          <w:lang w:val="sl-SI"/>
        </w:rPr>
        <w:t>LAMICTAL</w:t>
      </w:r>
      <w:r>
        <w:rPr>
          <w:sz w:val="22"/>
          <w:szCs w:val="22"/>
          <w:lang w:val="sl-SI"/>
        </w:rPr>
        <w:t xml:space="preserve"> je kontraindikovana kod osoba sa poznatom preosjetljivošću na aktivnu supstancu ili neku od pomoćnih supstanci navedenih u </w:t>
      </w:r>
      <w:r w:rsidR="0041401C">
        <w:rPr>
          <w:sz w:val="22"/>
          <w:szCs w:val="22"/>
          <w:lang w:val="sl-SI"/>
        </w:rPr>
        <w:t>dijelu</w:t>
      </w:r>
      <w:r>
        <w:rPr>
          <w:sz w:val="22"/>
          <w:szCs w:val="22"/>
          <w:lang w:val="sl-SI"/>
        </w:rPr>
        <w:t xml:space="preserve"> 6.1.</w:t>
      </w:r>
    </w:p>
    <w:p w14:paraId="22064E3C" w14:textId="77777777" w:rsidR="0072020E" w:rsidRPr="008E171B" w:rsidRDefault="0072020E" w:rsidP="006B3996">
      <w:pPr>
        <w:tabs>
          <w:tab w:val="left" w:pos="540"/>
          <w:tab w:val="left" w:pos="569"/>
        </w:tabs>
        <w:jc w:val="both"/>
        <w:rPr>
          <w:bCs/>
          <w:sz w:val="22"/>
          <w:szCs w:val="22"/>
          <w:lang w:val="sl-SI"/>
        </w:rPr>
      </w:pPr>
    </w:p>
    <w:p w14:paraId="22064E3D" w14:textId="77777777" w:rsidR="00411B4B" w:rsidRPr="008E171B" w:rsidRDefault="00411B4B" w:rsidP="006B3996">
      <w:pPr>
        <w:tabs>
          <w:tab w:val="left" w:pos="540"/>
          <w:tab w:val="left" w:pos="569"/>
        </w:tabs>
        <w:jc w:val="both"/>
        <w:rPr>
          <w:b/>
          <w:bCs/>
          <w:sz w:val="22"/>
          <w:szCs w:val="22"/>
          <w:lang w:val="sl-SI"/>
        </w:rPr>
      </w:pPr>
      <w:r w:rsidRPr="008E171B">
        <w:rPr>
          <w:b/>
          <w:bCs/>
          <w:sz w:val="22"/>
          <w:szCs w:val="22"/>
          <w:lang w:val="sl-SI"/>
        </w:rPr>
        <w:t xml:space="preserve">4.4. </w:t>
      </w:r>
      <w:r w:rsidR="00480FB1" w:rsidRPr="008E171B">
        <w:rPr>
          <w:b/>
          <w:bCs/>
          <w:sz w:val="22"/>
          <w:szCs w:val="22"/>
          <w:lang w:val="sl-SI"/>
        </w:rPr>
        <w:tab/>
      </w:r>
      <w:r w:rsidRPr="008E171B">
        <w:rPr>
          <w:b/>
          <w:bCs/>
          <w:sz w:val="22"/>
          <w:szCs w:val="22"/>
          <w:lang w:val="sl-SI"/>
        </w:rPr>
        <w:t>Posebna upozorenja i mjere opreza pri upotrebi lijeka</w:t>
      </w:r>
    </w:p>
    <w:p w14:paraId="22064E3E" w14:textId="77777777" w:rsidR="0072020E" w:rsidRPr="008E171B" w:rsidRDefault="0072020E" w:rsidP="006B3996">
      <w:pPr>
        <w:tabs>
          <w:tab w:val="left" w:pos="540"/>
          <w:tab w:val="left" w:pos="569"/>
        </w:tabs>
        <w:jc w:val="both"/>
        <w:rPr>
          <w:bCs/>
          <w:sz w:val="22"/>
          <w:szCs w:val="22"/>
          <w:lang w:val="sl-SI"/>
        </w:rPr>
      </w:pPr>
    </w:p>
    <w:p w14:paraId="22064E3F" w14:textId="77777777" w:rsidR="008D2CDA" w:rsidRDefault="008D2CDA" w:rsidP="006B3996">
      <w:pPr>
        <w:pStyle w:val="Header"/>
        <w:tabs>
          <w:tab w:val="left" w:pos="284"/>
        </w:tabs>
        <w:jc w:val="both"/>
        <w:rPr>
          <w:sz w:val="22"/>
          <w:szCs w:val="22"/>
          <w:u w:val="single"/>
          <w:lang w:val="sl-SI"/>
        </w:rPr>
      </w:pPr>
      <w:r>
        <w:rPr>
          <w:sz w:val="22"/>
          <w:szCs w:val="22"/>
          <w:u w:val="single"/>
          <w:lang w:val="sl-SI"/>
        </w:rPr>
        <w:t>Kožni osip</w:t>
      </w:r>
    </w:p>
    <w:p w14:paraId="22064E40" w14:textId="77777777" w:rsidR="008D2CDA" w:rsidRDefault="008D2CDA" w:rsidP="006B3996">
      <w:pPr>
        <w:pStyle w:val="Header"/>
        <w:tabs>
          <w:tab w:val="left" w:pos="284"/>
        </w:tabs>
        <w:jc w:val="both"/>
        <w:rPr>
          <w:sz w:val="22"/>
          <w:szCs w:val="22"/>
          <w:lang w:val="sl-SI"/>
        </w:rPr>
      </w:pPr>
    </w:p>
    <w:p w14:paraId="22064E41" w14:textId="102FED94" w:rsidR="008D2CDA" w:rsidRDefault="008D2CDA" w:rsidP="006B3996">
      <w:pPr>
        <w:pStyle w:val="Header"/>
        <w:tabs>
          <w:tab w:val="left" w:pos="284"/>
        </w:tabs>
        <w:jc w:val="both"/>
        <w:rPr>
          <w:sz w:val="22"/>
          <w:szCs w:val="22"/>
          <w:lang w:val="sl-SI"/>
        </w:rPr>
      </w:pPr>
      <w:r>
        <w:rPr>
          <w:sz w:val="22"/>
          <w:szCs w:val="22"/>
          <w:lang w:val="sl-SI"/>
        </w:rPr>
        <w:t xml:space="preserve">Postoje izvještaji o pojavi neželjenih reakcija na koži koje su se najčešće javljale unutar perioda od prvih 8 nedjelja nakon otpočinjanja terapijske primjene lamotrigina. Većina osipa je bila blagog i samoograničavajućeg karaktera, iako je takođe zabilježena pojava ozbiljnih kožnih osipa koja je zahtijevala hospitalizaciju i prekid primjene lamotrigina. Navedeni osipi uključuju i teške reakcije koje mogu dovesti do vitalne ugroženosti, kao što su </w:t>
      </w:r>
      <w:r w:rsidRPr="004E30CF">
        <w:rPr>
          <w:i/>
          <w:sz w:val="22"/>
          <w:szCs w:val="22"/>
          <w:lang w:val="sl-SI"/>
        </w:rPr>
        <w:t>Stevens-Johnson</w:t>
      </w:r>
      <w:r>
        <w:rPr>
          <w:sz w:val="22"/>
          <w:szCs w:val="22"/>
          <w:lang w:val="sl-SI"/>
        </w:rPr>
        <w:t>-ov sindrom(SJS), toksična epidermalna nekroliza</w:t>
      </w:r>
      <w:r w:rsidR="004901FF">
        <w:rPr>
          <w:sz w:val="22"/>
          <w:szCs w:val="22"/>
          <w:lang w:val="sl-SI"/>
        </w:rPr>
        <w:t xml:space="preserve"> </w:t>
      </w:r>
      <w:r>
        <w:rPr>
          <w:sz w:val="22"/>
          <w:szCs w:val="22"/>
          <w:lang w:val="sl-SI"/>
        </w:rPr>
        <w:t>(TEN) i rekcija na lijek sa eozinofilijom i sistemskim simptomima (</w:t>
      </w:r>
      <w:r w:rsidR="005F023B">
        <w:rPr>
          <w:sz w:val="22"/>
          <w:szCs w:val="22"/>
          <w:lang w:val="sl-SI"/>
        </w:rPr>
        <w:t xml:space="preserve">eng. </w:t>
      </w:r>
      <w:r w:rsidR="004901FF" w:rsidRPr="00943619">
        <w:rPr>
          <w:i/>
          <w:lang w:val="sl-SI"/>
        </w:rPr>
        <w:t>Drug Reaction with Eosinophilia and Systemic Symptoms</w:t>
      </w:r>
      <w:r w:rsidR="004901FF">
        <w:rPr>
          <w:sz w:val="22"/>
          <w:szCs w:val="22"/>
          <w:lang w:val="sl-SI"/>
        </w:rPr>
        <w:t xml:space="preserve"> </w:t>
      </w:r>
      <w:r w:rsidR="005F023B">
        <w:rPr>
          <w:sz w:val="22"/>
          <w:szCs w:val="22"/>
          <w:lang w:val="sl-SI"/>
        </w:rPr>
        <w:t xml:space="preserve">- </w:t>
      </w:r>
      <w:r>
        <w:rPr>
          <w:sz w:val="22"/>
          <w:szCs w:val="22"/>
          <w:lang w:val="sl-SI"/>
        </w:rPr>
        <w:t>DRESS), takođe poznata kao hipersenzitivni sindrom (</w:t>
      </w:r>
      <w:r w:rsidR="00CA5219" w:rsidRPr="00943619">
        <w:rPr>
          <w:i/>
          <w:lang w:val="sl-SI"/>
        </w:rPr>
        <w:t>Hypersensitivity syndrome</w:t>
      </w:r>
      <w:r w:rsidR="00CA5219" w:rsidRPr="00B24068">
        <w:rPr>
          <w:lang w:val="sl-SI"/>
        </w:rPr>
        <w:t xml:space="preserve"> </w:t>
      </w:r>
      <w:r w:rsidR="005F023B">
        <w:rPr>
          <w:lang w:val="sl-SI"/>
        </w:rPr>
        <w:t xml:space="preserve">- </w:t>
      </w:r>
      <w:r>
        <w:rPr>
          <w:sz w:val="22"/>
          <w:szCs w:val="22"/>
          <w:lang w:val="sl-SI"/>
        </w:rPr>
        <w:t xml:space="preserve">HSS) (vidjeti </w:t>
      </w:r>
      <w:r w:rsidR="00706D93">
        <w:rPr>
          <w:sz w:val="22"/>
          <w:szCs w:val="22"/>
          <w:lang w:val="sl-SI"/>
        </w:rPr>
        <w:t>dio</w:t>
      </w:r>
      <w:r>
        <w:rPr>
          <w:sz w:val="22"/>
          <w:szCs w:val="22"/>
          <w:lang w:val="sl-SI"/>
        </w:rPr>
        <w:t xml:space="preserve"> 4.8).</w:t>
      </w:r>
    </w:p>
    <w:p w14:paraId="22064E42" w14:textId="77777777" w:rsidR="008D2CDA" w:rsidRDefault="008D2CDA" w:rsidP="006B3996">
      <w:pPr>
        <w:pStyle w:val="Header"/>
        <w:tabs>
          <w:tab w:val="left" w:pos="284"/>
        </w:tabs>
        <w:jc w:val="both"/>
        <w:rPr>
          <w:sz w:val="22"/>
          <w:szCs w:val="22"/>
          <w:lang w:val="sl-SI"/>
        </w:rPr>
      </w:pPr>
    </w:p>
    <w:p w14:paraId="22064E43" w14:textId="2B2EDA4F" w:rsidR="008D2CDA" w:rsidRDefault="008D2CDA" w:rsidP="006B3996">
      <w:pPr>
        <w:pStyle w:val="Header"/>
        <w:tabs>
          <w:tab w:val="left" w:pos="284"/>
        </w:tabs>
        <w:jc w:val="both"/>
        <w:rPr>
          <w:sz w:val="22"/>
          <w:szCs w:val="22"/>
          <w:lang w:val="sl-SI"/>
        </w:rPr>
      </w:pPr>
      <w:r>
        <w:rPr>
          <w:sz w:val="22"/>
          <w:szCs w:val="22"/>
          <w:lang w:val="sl-SI"/>
        </w:rPr>
        <w:t xml:space="preserve">Učestalost ozbiljnih kožnih osipa iznosi prosječno 1 na 500 kod </w:t>
      </w:r>
      <w:r w:rsidR="008B1209">
        <w:rPr>
          <w:sz w:val="22"/>
          <w:szCs w:val="22"/>
          <w:lang w:val="sl-SI"/>
        </w:rPr>
        <w:t xml:space="preserve">odraslih </w:t>
      </w:r>
      <w:r>
        <w:rPr>
          <w:sz w:val="22"/>
          <w:szCs w:val="22"/>
          <w:lang w:val="sl-SI"/>
        </w:rPr>
        <w:t>pacijenata sa epilepsijom uključenih u klinička ispitivanja procjene trenutnih preporuka za doziranje lamotrigina. Približno polovina navedenih slučajeva je bila prijavljena kao Stevens-Johnson sindrom (1 na 1.000). U kliničkim ispitivanjima kod pacijenata sa bipolarnim poremećajem, incidenca ozbiljnog kožnog osipa iznosi približno 1 na 1.000.</w:t>
      </w:r>
    </w:p>
    <w:p w14:paraId="22064E44" w14:textId="77777777" w:rsidR="008D2CDA" w:rsidRDefault="008D2CDA" w:rsidP="006B3996">
      <w:pPr>
        <w:pStyle w:val="Header"/>
        <w:tabs>
          <w:tab w:val="left" w:pos="284"/>
        </w:tabs>
        <w:jc w:val="both"/>
        <w:rPr>
          <w:sz w:val="22"/>
          <w:szCs w:val="22"/>
          <w:lang w:val="sl-SI"/>
        </w:rPr>
      </w:pPr>
    </w:p>
    <w:p w14:paraId="22064E45" w14:textId="77777777" w:rsidR="008D2CDA" w:rsidRDefault="008D2CDA" w:rsidP="006B3996">
      <w:pPr>
        <w:pStyle w:val="Header"/>
        <w:tabs>
          <w:tab w:val="left" w:pos="284"/>
        </w:tabs>
        <w:jc w:val="both"/>
        <w:rPr>
          <w:sz w:val="22"/>
          <w:szCs w:val="22"/>
          <w:lang w:val="sl-SI"/>
        </w:rPr>
      </w:pPr>
      <w:r>
        <w:rPr>
          <w:sz w:val="22"/>
          <w:szCs w:val="22"/>
          <w:lang w:val="sl-SI"/>
        </w:rPr>
        <w:t xml:space="preserve">Rizik od pojave ozbiljnih kožnih osipa kod djece je viši nego kod odraslih osoba. Podaci dostupni iz brojnih kliničkih ispitivanja ukazuju da incidenca pojave kožnog osipa udruženog sa hospitalizacijom djece iznosi 1 na 300 do 1 na 100. </w:t>
      </w:r>
    </w:p>
    <w:p w14:paraId="22064E46" w14:textId="77777777" w:rsidR="008D2CDA" w:rsidRDefault="008D2CDA" w:rsidP="006B3996">
      <w:pPr>
        <w:pStyle w:val="Header"/>
        <w:tabs>
          <w:tab w:val="left" w:pos="284"/>
        </w:tabs>
        <w:jc w:val="both"/>
        <w:rPr>
          <w:sz w:val="22"/>
          <w:szCs w:val="22"/>
          <w:lang w:val="sl-SI"/>
        </w:rPr>
      </w:pPr>
    </w:p>
    <w:p w14:paraId="22064E47" w14:textId="77777777" w:rsidR="008D2CDA" w:rsidRDefault="008D2CDA" w:rsidP="006B3996">
      <w:pPr>
        <w:pStyle w:val="Header"/>
        <w:tabs>
          <w:tab w:val="left" w:pos="284"/>
        </w:tabs>
        <w:jc w:val="both"/>
        <w:rPr>
          <w:sz w:val="22"/>
          <w:szCs w:val="22"/>
          <w:lang w:val="sl-SI"/>
        </w:rPr>
      </w:pPr>
      <w:r>
        <w:rPr>
          <w:sz w:val="22"/>
          <w:szCs w:val="22"/>
          <w:lang w:val="sl-SI"/>
        </w:rPr>
        <w:t>Kod djece se inicijalno ispoljavanje osipa može pogrešno protumačiti infekcijom; ljekari bi trebalo da imaju u vidu mogućnost pojave reakcije na terapiju lamotriginom kod djece kod koje je došlo do pojave simptoma osipa i povišene temperature u toku prvih osam nedjelja liječenja.</w:t>
      </w:r>
    </w:p>
    <w:p w14:paraId="22064E48" w14:textId="77777777" w:rsidR="008D2CDA" w:rsidRDefault="008D2CDA" w:rsidP="006B3996">
      <w:pPr>
        <w:pStyle w:val="Header"/>
        <w:tabs>
          <w:tab w:val="left" w:pos="284"/>
        </w:tabs>
        <w:jc w:val="both"/>
        <w:rPr>
          <w:sz w:val="22"/>
          <w:szCs w:val="22"/>
          <w:lang w:val="sl-SI"/>
        </w:rPr>
      </w:pPr>
    </w:p>
    <w:p w14:paraId="22064E49" w14:textId="3F79C923" w:rsidR="008D2CDA" w:rsidRDefault="008D2CDA" w:rsidP="006B3996">
      <w:pPr>
        <w:pStyle w:val="Header"/>
        <w:tabs>
          <w:tab w:val="left" w:pos="284"/>
        </w:tabs>
        <w:jc w:val="both"/>
        <w:rPr>
          <w:sz w:val="22"/>
          <w:szCs w:val="22"/>
          <w:lang w:val="sl-SI"/>
        </w:rPr>
      </w:pPr>
      <w:r>
        <w:rPr>
          <w:sz w:val="22"/>
          <w:szCs w:val="22"/>
          <w:lang w:val="sl-SI"/>
        </w:rPr>
        <w:t xml:space="preserve">Osim toga, </w:t>
      </w:r>
      <w:r w:rsidR="00F82DD3">
        <w:rPr>
          <w:sz w:val="22"/>
          <w:szCs w:val="22"/>
          <w:lang w:val="sl-SI"/>
        </w:rPr>
        <w:t xml:space="preserve">izgleda da je </w:t>
      </w:r>
      <w:r>
        <w:rPr>
          <w:sz w:val="22"/>
          <w:szCs w:val="22"/>
          <w:lang w:val="sl-SI"/>
        </w:rPr>
        <w:t>opšti rizik od pojave osipa značajno povezan sa:</w:t>
      </w:r>
    </w:p>
    <w:p w14:paraId="22064E4A" w14:textId="0991C015" w:rsidR="008D2CDA" w:rsidRDefault="008D2CDA" w:rsidP="006B3996">
      <w:pPr>
        <w:pStyle w:val="Header"/>
        <w:numPr>
          <w:ilvl w:val="0"/>
          <w:numId w:val="13"/>
        </w:numPr>
        <w:tabs>
          <w:tab w:val="clear" w:pos="4320"/>
          <w:tab w:val="clear" w:pos="8640"/>
          <w:tab w:val="left" w:pos="284"/>
          <w:tab w:val="center" w:pos="4536"/>
          <w:tab w:val="right" w:pos="9072"/>
        </w:tabs>
        <w:jc w:val="both"/>
        <w:rPr>
          <w:sz w:val="22"/>
          <w:szCs w:val="22"/>
          <w:lang w:val="sl-SI"/>
        </w:rPr>
      </w:pPr>
      <w:r>
        <w:rPr>
          <w:sz w:val="22"/>
          <w:szCs w:val="22"/>
          <w:lang w:val="sl-SI"/>
        </w:rPr>
        <w:t xml:space="preserve">primjenom visokih inicijalnih doza lamotrigina i prekoračenjem preporučenog postepenog povećavanja terapijske doze lamotrigina (vidjeti </w:t>
      </w:r>
      <w:r w:rsidR="00706D93">
        <w:rPr>
          <w:sz w:val="22"/>
          <w:szCs w:val="22"/>
          <w:lang w:val="sl-SI"/>
        </w:rPr>
        <w:t>dio</w:t>
      </w:r>
      <w:r>
        <w:rPr>
          <w:sz w:val="22"/>
          <w:szCs w:val="22"/>
          <w:lang w:val="sl-SI"/>
        </w:rPr>
        <w:t xml:space="preserve"> 4.2).</w:t>
      </w:r>
    </w:p>
    <w:p w14:paraId="22064E4B" w14:textId="2A54DA2B" w:rsidR="008D2CDA" w:rsidRDefault="008D2CDA" w:rsidP="006B3996">
      <w:pPr>
        <w:pStyle w:val="Header"/>
        <w:numPr>
          <w:ilvl w:val="0"/>
          <w:numId w:val="13"/>
        </w:numPr>
        <w:tabs>
          <w:tab w:val="clear" w:pos="4320"/>
          <w:tab w:val="clear" w:pos="8640"/>
          <w:tab w:val="left" w:pos="284"/>
          <w:tab w:val="center" w:pos="4536"/>
          <w:tab w:val="right" w:pos="9072"/>
        </w:tabs>
        <w:jc w:val="both"/>
        <w:rPr>
          <w:sz w:val="22"/>
          <w:szCs w:val="22"/>
          <w:lang w:val="sl-SI"/>
        </w:rPr>
      </w:pPr>
      <w:r>
        <w:rPr>
          <w:sz w:val="22"/>
          <w:szCs w:val="22"/>
          <w:lang w:val="sl-SI"/>
        </w:rPr>
        <w:t xml:space="preserve">istovremenom primjenom valproata (vidjeti </w:t>
      </w:r>
      <w:r w:rsidR="00706D93">
        <w:rPr>
          <w:sz w:val="22"/>
          <w:szCs w:val="22"/>
          <w:lang w:val="sl-SI"/>
        </w:rPr>
        <w:t>dio</w:t>
      </w:r>
      <w:r>
        <w:rPr>
          <w:sz w:val="22"/>
          <w:szCs w:val="22"/>
          <w:lang w:val="sl-SI"/>
        </w:rPr>
        <w:t xml:space="preserve"> 4.2).</w:t>
      </w:r>
    </w:p>
    <w:p w14:paraId="22064E4C" w14:textId="77777777" w:rsidR="008D2CDA" w:rsidRDefault="008D2CDA" w:rsidP="006B3996">
      <w:pPr>
        <w:pStyle w:val="Header"/>
        <w:tabs>
          <w:tab w:val="left" w:pos="284"/>
        </w:tabs>
        <w:jc w:val="both"/>
        <w:rPr>
          <w:sz w:val="22"/>
          <w:szCs w:val="22"/>
          <w:lang w:val="sl-SI"/>
        </w:rPr>
      </w:pPr>
    </w:p>
    <w:p w14:paraId="22064E4D" w14:textId="77777777" w:rsidR="008D2CDA" w:rsidRDefault="008D2CDA" w:rsidP="006B3996">
      <w:pPr>
        <w:pStyle w:val="Header"/>
        <w:tabs>
          <w:tab w:val="left" w:pos="284"/>
        </w:tabs>
        <w:jc w:val="both"/>
        <w:rPr>
          <w:sz w:val="22"/>
          <w:szCs w:val="22"/>
          <w:lang w:val="sl-SI"/>
        </w:rPr>
      </w:pPr>
      <w:r>
        <w:rPr>
          <w:sz w:val="22"/>
          <w:szCs w:val="22"/>
          <w:lang w:val="sl-SI"/>
        </w:rPr>
        <w:t>Potreban je oprez prilikom liječenja pacijenata sa anamnezom pojave alergijskih reakcija ili osipa nakon primjene drugih antiepileptika, s obzirom na to da se kod navedenih pacijenata sa tri puta većom učestalošću javljao osip koji nije imao ozbiljne kliničke manifestacije, nakon terapijske primjene lamotrigina.</w:t>
      </w:r>
    </w:p>
    <w:p w14:paraId="34FDD2AB" w14:textId="77777777" w:rsidR="00467B37" w:rsidRDefault="00467B37" w:rsidP="006B3996">
      <w:pPr>
        <w:pStyle w:val="Header"/>
        <w:tabs>
          <w:tab w:val="left" w:pos="284"/>
        </w:tabs>
        <w:jc w:val="both"/>
        <w:rPr>
          <w:sz w:val="22"/>
          <w:szCs w:val="22"/>
          <w:lang w:val="sl-SI"/>
        </w:rPr>
      </w:pPr>
    </w:p>
    <w:p w14:paraId="4B5CD8FE" w14:textId="73511DF9" w:rsidR="00467B37" w:rsidRPr="00BC6BEF" w:rsidRDefault="00467B37" w:rsidP="00467B37">
      <w:pPr>
        <w:tabs>
          <w:tab w:val="left" w:pos="284"/>
          <w:tab w:val="center" w:pos="4320"/>
          <w:tab w:val="right" w:pos="8640"/>
        </w:tabs>
        <w:jc w:val="both"/>
        <w:rPr>
          <w:sz w:val="22"/>
          <w:szCs w:val="22"/>
          <w:lang w:val="sr-Latn-ME"/>
        </w:rPr>
      </w:pPr>
      <w:bookmarkStart w:id="0" w:name="_Hlk190356384"/>
      <w:r w:rsidRPr="00467B37">
        <w:rPr>
          <w:sz w:val="22"/>
          <w:szCs w:val="22"/>
          <w:lang w:val="sr-Latn-ME"/>
        </w:rPr>
        <w:t>Pokazalo se da je među osobama azijskog porijekla (prvenstveno Han Kinezima i Tajlanđanima) alel HLA-B*1502 povezan s rizikom od razvoja SJS-a/TEN-a kod liječenja lamotriginom. Ako se zna da su takvi pacijenti pozitivni na HLA-B*1502, primjenu lamotrigina treba pažljivo razmotriti.</w:t>
      </w:r>
    </w:p>
    <w:bookmarkEnd w:id="0"/>
    <w:p w14:paraId="22064E4E" w14:textId="77777777" w:rsidR="008D2CDA" w:rsidRDefault="008D2CDA" w:rsidP="006B3996">
      <w:pPr>
        <w:pStyle w:val="Header"/>
        <w:tabs>
          <w:tab w:val="left" w:pos="284"/>
        </w:tabs>
        <w:jc w:val="both"/>
        <w:rPr>
          <w:sz w:val="22"/>
          <w:szCs w:val="22"/>
          <w:lang w:val="sl-SI"/>
        </w:rPr>
      </w:pPr>
    </w:p>
    <w:p w14:paraId="22064E4F" w14:textId="1BEFF582" w:rsidR="008D2CDA" w:rsidRPr="008E171B" w:rsidRDefault="008D2CDA" w:rsidP="006B3996">
      <w:pPr>
        <w:jc w:val="both"/>
        <w:rPr>
          <w:sz w:val="22"/>
          <w:szCs w:val="22"/>
          <w:lang w:val="sl-SI"/>
        </w:rPr>
      </w:pPr>
      <w:r>
        <w:rPr>
          <w:sz w:val="22"/>
          <w:szCs w:val="22"/>
          <w:lang w:val="sl-SI"/>
        </w:rPr>
        <w:t xml:space="preserve">Neophodno je uraditi brzu procjenu stanja i odmah prekinuti sa primjenom lamotrigina kod svih pacijenata (odraslih osoba i djece) kod kojih je došlo do pojave osipa, osim ukoliko pojava osipa nije očigledno povezana sa primjenom lamotrigina. Ne preporučuje se ponovno otpočinjanje terapije lijekom </w:t>
      </w:r>
      <w:r w:rsidRPr="008E171B">
        <w:rPr>
          <w:sz w:val="22"/>
          <w:szCs w:val="22"/>
          <w:lang w:val="sl-SI"/>
        </w:rPr>
        <w:t>LAMICTAL</w:t>
      </w:r>
      <w:r>
        <w:rPr>
          <w:sz w:val="22"/>
          <w:szCs w:val="22"/>
          <w:lang w:val="sl-SI"/>
        </w:rPr>
        <w:t xml:space="preserve"> kod pacijenata koji su prethodno prekinuli terapiju usljed pojave osipa koji je bio povezan sa terapijskom primjenom lamotrigina, izuzev ukoliko potencijalna korist očigledno prevazilazi rizik po pacijenta. </w:t>
      </w:r>
      <w:r w:rsidRPr="008E171B">
        <w:rPr>
          <w:sz w:val="22"/>
          <w:szCs w:val="22"/>
          <w:lang w:val="sl-SI"/>
        </w:rPr>
        <w:t>Ukoliko se kod pacijenata razvije SJS (</w:t>
      </w:r>
      <w:r w:rsidRPr="008E171B">
        <w:rPr>
          <w:i/>
          <w:sz w:val="22"/>
          <w:szCs w:val="22"/>
          <w:lang w:val="sl-SI"/>
        </w:rPr>
        <w:t>Stiven-Johnson</w:t>
      </w:r>
      <w:r w:rsidRPr="008E171B">
        <w:rPr>
          <w:sz w:val="22"/>
          <w:szCs w:val="22"/>
          <w:lang w:val="sl-SI"/>
        </w:rPr>
        <w:t>-ov sindrom), TEN (toksična epidermalna nekroza) ili DRESS</w:t>
      </w:r>
      <w:r>
        <w:rPr>
          <w:sz w:val="22"/>
          <w:szCs w:val="22"/>
          <w:lang w:val="sl-SI"/>
        </w:rPr>
        <w:t xml:space="preserve"> (rekcija na lijek sa eozinofilijom i sistemskim simptomima)</w:t>
      </w:r>
      <w:r w:rsidRPr="008E171B">
        <w:rPr>
          <w:sz w:val="22"/>
          <w:szCs w:val="22"/>
          <w:lang w:val="sl-SI"/>
        </w:rPr>
        <w:t xml:space="preserve">, </w:t>
      </w:r>
      <w:r w:rsidR="00E96A2B" w:rsidRPr="008E171B">
        <w:rPr>
          <w:sz w:val="22"/>
          <w:szCs w:val="22"/>
          <w:lang w:val="sl-SI"/>
        </w:rPr>
        <w:t>prilikom primjene lamotrigina, kod navedenih pacijenata u bilo kom trenutku, ne smije se ponovo prim</w:t>
      </w:r>
      <w:r w:rsidR="00F82DD3" w:rsidRPr="008E171B">
        <w:rPr>
          <w:sz w:val="22"/>
          <w:szCs w:val="22"/>
          <w:lang w:val="sl-SI"/>
        </w:rPr>
        <w:t>i</w:t>
      </w:r>
      <w:r w:rsidR="00E96A2B" w:rsidRPr="008E171B">
        <w:rPr>
          <w:sz w:val="22"/>
          <w:szCs w:val="22"/>
          <w:lang w:val="sl-SI"/>
        </w:rPr>
        <w:t xml:space="preserve">jeniti  </w:t>
      </w:r>
      <w:r w:rsidR="00D77364" w:rsidRPr="008E171B">
        <w:rPr>
          <w:sz w:val="22"/>
          <w:szCs w:val="22"/>
          <w:lang w:val="sl-SI"/>
        </w:rPr>
        <w:t>terapija</w:t>
      </w:r>
      <w:r w:rsidRPr="008E171B">
        <w:rPr>
          <w:sz w:val="22"/>
          <w:szCs w:val="22"/>
          <w:lang w:val="sl-SI"/>
        </w:rPr>
        <w:t xml:space="preserve"> lamotriginom.</w:t>
      </w:r>
    </w:p>
    <w:p w14:paraId="22064E50" w14:textId="77777777" w:rsidR="008D2CDA" w:rsidRDefault="008D2CDA" w:rsidP="006B3996">
      <w:pPr>
        <w:pStyle w:val="Header"/>
        <w:tabs>
          <w:tab w:val="left" w:pos="284"/>
        </w:tabs>
        <w:jc w:val="both"/>
        <w:rPr>
          <w:sz w:val="22"/>
          <w:szCs w:val="22"/>
          <w:lang w:val="sl-SI"/>
        </w:rPr>
      </w:pPr>
    </w:p>
    <w:p w14:paraId="22064E51" w14:textId="27F19BF1" w:rsidR="008D2CDA" w:rsidRDefault="008D2CDA" w:rsidP="006B3996">
      <w:pPr>
        <w:pStyle w:val="Header"/>
        <w:tabs>
          <w:tab w:val="left" w:pos="284"/>
        </w:tabs>
        <w:jc w:val="both"/>
        <w:rPr>
          <w:sz w:val="22"/>
          <w:szCs w:val="22"/>
          <w:lang w:val="sl-SI"/>
        </w:rPr>
      </w:pPr>
      <w:r w:rsidRPr="004F3225">
        <w:rPr>
          <w:sz w:val="22"/>
          <w:szCs w:val="22"/>
          <w:lang w:val="sl-SI"/>
        </w:rPr>
        <w:t>Osip je takođe bio prijavljen kao dio</w:t>
      </w:r>
      <w:r w:rsidR="00B57CCA" w:rsidRPr="004F3225">
        <w:rPr>
          <w:sz w:val="22"/>
          <w:szCs w:val="22"/>
          <w:lang w:val="sl-SI"/>
        </w:rPr>
        <w:t xml:space="preserve"> </w:t>
      </w:r>
      <w:r w:rsidR="00B57CCA" w:rsidRPr="0038628D">
        <w:rPr>
          <w:bCs/>
          <w:sz w:val="22"/>
          <w:szCs w:val="22"/>
          <w:lang w:val="sl-SI"/>
        </w:rPr>
        <w:t>DRESS,</w:t>
      </w:r>
      <w:r w:rsidR="006218E7">
        <w:rPr>
          <w:bCs/>
          <w:sz w:val="22"/>
          <w:szCs w:val="22"/>
          <w:lang w:val="sl-SI"/>
        </w:rPr>
        <w:t xml:space="preserve"> koji je</w:t>
      </w:r>
      <w:r w:rsidR="00B57CCA" w:rsidRPr="0038628D">
        <w:rPr>
          <w:bCs/>
          <w:sz w:val="22"/>
          <w:szCs w:val="22"/>
          <w:lang w:val="sl-SI"/>
        </w:rPr>
        <w:t xml:space="preserve"> takođe poznat kao</w:t>
      </w:r>
      <w:r w:rsidR="0038628D">
        <w:rPr>
          <w:bCs/>
          <w:sz w:val="22"/>
          <w:szCs w:val="22"/>
          <w:lang w:val="sl-SI"/>
        </w:rPr>
        <w:t xml:space="preserve"> </w:t>
      </w:r>
      <w:r w:rsidRPr="004F3225">
        <w:rPr>
          <w:sz w:val="22"/>
          <w:szCs w:val="22"/>
          <w:lang w:val="sl-SI"/>
        </w:rPr>
        <w:t>sindrom preosjetljivosti</w:t>
      </w:r>
      <w:r w:rsidR="00B57CCA" w:rsidRPr="004F3225">
        <w:rPr>
          <w:sz w:val="22"/>
          <w:szCs w:val="22"/>
          <w:lang w:val="sl-SI"/>
        </w:rPr>
        <w:t>. Ovo stanje je</w:t>
      </w:r>
      <w:r w:rsidRPr="004F3225">
        <w:rPr>
          <w:sz w:val="22"/>
          <w:szCs w:val="22"/>
          <w:lang w:val="sl-SI"/>
        </w:rPr>
        <w:t xml:space="preserve"> udružen</w:t>
      </w:r>
      <w:r w:rsidR="00B57CCA" w:rsidRPr="004F3225">
        <w:rPr>
          <w:sz w:val="22"/>
          <w:szCs w:val="22"/>
          <w:lang w:val="sl-SI"/>
        </w:rPr>
        <w:t>o</w:t>
      </w:r>
      <w:r w:rsidRPr="004F3225">
        <w:rPr>
          <w:sz w:val="22"/>
          <w:szCs w:val="22"/>
          <w:lang w:val="sl-SI"/>
        </w:rPr>
        <w:t xml:space="preserve"> sa promjenljivom slikom sistemskih simptoma uključujući povišenu temperaturu, </w:t>
      </w:r>
      <w:r w:rsidRPr="004F3225">
        <w:rPr>
          <w:sz w:val="22"/>
          <w:szCs w:val="22"/>
          <w:lang w:val="sl-SI"/>
        </w:rPr>
        <w:lastRenderedPageBreak/>
        <w:t>limfadenopatiju, edem lica, abnormalnosti analiza krvi</w:t>
      </w:r>
      <w:r w:rsidR="00B57CCA" w:rsidRPr="004F3225">
        <w:rPr>
          <w:sz w:val="22"/>
          <w:szCs w:val="22"/>
          <w:lang w:val="sl-SI"/>
        </w:rPr>
        <w:t>, poremećaja</w:t>
      </w:r>
      <w:r w:rsidRPr="004F3225">
        <w:rPr>
          <w:sz w:val="22"/>
          <w:szCs w:val="22"/>
          <w:lang w:val="sl-SI"/>
        </w:rPr>
        <w:t xml:space="preserve"> funkcije jetre</w:t>
      </w:r>
      <w:r w:rsidR="00B57CCA" w:rsidRPr="004F3225">
        <w:rPr>
          <w:sz w:val="22"/>
          <w:szCs w:val="22"/>
          <w:lang w:val="sl-SI"/>
        </w:rPr>
        <w:t xml:space="preserve"> i bubrega, kao</w:t>
      </w:r>
      <w:r w:rsidRPr="004F3225">
        <w:rPr>
          <w:sz w:val="22"/>
          <w:szCs w:val="22"/>
          <w:lang w:val="sl-SI"/>
        </w:rPr>
        <w:t xml:space="preserve"> i aseptični meningitis (vidjeti </w:t>
      </w:r>
      <w:r w:rsidR="00706D93" w:rsidRPr="004F3225">
        <w:rPr>
          <w:sz w:val="22"/>
          <w:szCs w:val="22"/>
          <w:lang w:val="sl-SI"/>
        </w:rPr>
        <w:t>dio</w:t>
      </w:r>
      <w:r w:rsidRPr="004F3225">
        <w:rPr>
          <w:sz w:val="22"/>
          <w:szCs w:val="22"/>
          <w:lang w:val="sl-SI"/>
        </w:rPr>
        <w:t xml:space="preserve"> 4.8). Sindrom pokazuje širok spektar kliničke težine i može, rijetko, dovesti do pojave diseminovane intravaskularne koagulacije (DIK) i multiorganske insuficijencije. Važno je naglasiti da rane manifestacije hipersenzitivnosti (na primjer, povišena temperatura,</w:t>
      </w:r>
      <w:r>
        <w:rPr>
          <w:sz w:val="22"/>
          <w:szCs w:val="22"/>
          <w:lang w:val="sl-SI"/>
        </w:rPr>
        <w:t xml:space="preserve"> limfadenopatija) mogu biti prisutne čak i u slučaju da prisustvo osipa nije vidljivo. Ukoliko su navedeni simptomi i znaci prisutni, potrebno je odmah procijeniti stanje pacijenta i prekinuti primjenu lijeka </w:t>
      </w:r>
      <w:r w:rsidRPr="008E171B">
        <w:rPr>
          <w:sz w:val="22"/>
          <w:szCs w:val="22"/>
          <w:lang w:val="sl-SI"/>
        </w:rPr>
        <w:t>LAMICTAL</w:t>
      </w:r>
      <w:r>
        <w:rPr>
          <w:sz w:val="22"/>
          <w:szCs w:val="22"/>
          <w:lang w:val="sl-SI"/>
        </w:rPr>
        <w:t xml:space="preserve"> ukoliko nije moguće utvrditi alternativnu etiologiju.</w:t>
      </w:r>
    </w:p>
    <w:p w14:paraId="22064E52" w14:textId="77777777" w:rsidR="008D2CDA" w:rsidRDefault="008D2CDA" w:rsidP="006B3996">
      <w:pPr>
        <w:pStyle w:val="Header"/>
        <w:tabs>
          <w:tab w:val="left" w:pos="284"/>
        </w:tabs>
        <w:jc w:val="both"/>
        <w:rPr>
          <w:sz w:val="22"/>
          <w:szCs w:val="22"/>
          <w:lang w:val="sl-SI"/>
        </w:rPr>
      </w:pPr>
    </w:p>
    <w:p w14:paraId="22064E53" w14:textId="4FBBF7EA" w:rsidR="008D2CDA" w:rsidRDefault="008D2CDA" w:rsidP="006B3996">
      <w:pPr>
        <w:pStyle w:val="Header"/>
        <w:tabs>
          <w:tab w:val="left" w:pos="284"/>
        </w:tabs>
        <w:jc w:val="both"/>
        <w:rPr>
          <w:sz w:val="22"/>
          <w:szCs w:val="22"/>
          <w:lang w:val="sl-SI"/>
        </w:rPr>
      </w:pPr>
      <w:r>
        <w:rPr>
          <w:sz w:val="22"/>
          <w:szCs w:val="22"/>
          <w:lang w:val="sl-SI"/>
        </w:rPr>
        <w:t>U većini slučajeva, pojava aseptičnog meningitisa je bila reverzibilna nakon prestanka korišćenja lijeka, međutim, nakon ponovne primjene lamotrigina u velikom broju slučajeva došlo je do ponovne pojave aseptičnog meningitisa. Ponovna primjena lamotrigina dovela je do brzog povratka simptoma, češće, teže prirode.</w:t>
      </w:r>
      <w:r w:rsidR="006218E7">
        <w:rPr>
          <w:sz w:val="22"/>
          <w:szCs w:val="22"/>
          <w:lang w:val="sl-SI"/>
        </w:rPr>
        <w:t xml:space="preserve"> </w:t>
      </w:r>
      <w:r>
        <w:rPr>
          <w:sz w:val="22"/>
          <w:szCs w:val="22"/>
          <w:lang w:val="sl-SI"/>
        </w:rPr>
        <w:t>Terapiju lamotriginom ne treba ponovo primjenjivati pacijentima kojima je primjena terapije bila prekinuta usljed pojave aseptičnog meningitisa udružene sa prethodno primijenjenim lamotriginom.</w:t>
      </w:r>
    </w:p>
    <w:p w14:paraId="1A92097E" w14:textId="77777777" w:rsidR="001D5E53" w:rsidRPr="00D961A7" w:rsidRDefault="001D5E53" w:rsidP="006B3996">
      <w:pPr>
        <w:pStyle w:val="Header"/>
        <w:tabs>
          <w:tab w:val="left" w:pos="284"/>
        </w:tabs>
        <w:jc w:val="both"/>
        <w:rPr>
          <w:sz w:val="22"/>
          <w:szCs w:val="22"/>
          <w:lang w:val="sl-SI"/>
        </w:rPr>
      </w:pPr>
    </w:p>
    <w:p w14:paraId="353454A3" w14:textId="587F144A" w:rsidR="001D5E53" w:rsidRPr="002047BA" w:rsidRDefault="001D5E53" w:rsidP="006B3996">
      <w:pPr>
        <w:tabs>
          <w:tab w:val="center" w:pos="4536"/>
          <w:tab w:val="right" w:pos="9072"/>
        </w:tabs>
        <w:jc w:val="both"/>
        <w:rPr>
          <w:bCs/>
          <w:sz w:val="22"/>
          <w:szCs w:val="22"/>
          <w:lang w:val="sr-Latn-RS"/>
        </w:rPr>
      </w:pPr>
      <w:r w:rsidRPr="002047BA">
        <w:rPr>
          <w:sz w:val="22"/>
          <w:szCs w:val="22"/>
          <w:lang w:val="sr-Latn-CS"/>
        </w:rPr>
        <w:t>Tako</w:t>
      </w:r>
      <w:r w:rsidRPr="002047BA">
        <w:rPr>
          <w:sz w:val="22"/>
          <w:szCs w:val="22"/>
          <w:lang w:val="sr-Latn-RS"/>
        </w:rPr>
        <w:t xml:space="preserve">đe </w:t>
      </w:r>
      <w:r w:rsidR="006218E7" w:rsidRPr="002047BA">
        <w:rPr>
          <w:sz w:val="22"/>
          <w:szCs w:val="22"/>
          <w:lang w:val="sr-Latn-RS"/>
        </w:rPr>
        <w:t xml:space="preserve">su </w:t>
      </w:r>
      <w:r w:rsidRPr="002047BA">
        <w:rPr>
          <w:sz w:val="22"/>
          <w:szCs w:val="22"/>
          <w:lang w:val="sr-Latn-RS"/>
        </w:rPr>
        <w:t>prijavljene fotosenzitivne reakcije povezane sa upotrebom lamotrigina (vidjeti dio 4.8). Reakcija se pojavila kod nekoliko slučajeva prilikom primjene velikih doza (400mg ili više), nakon povećanja doze ili tokom titracije doze. Ako postoji sumnja na pojavu fotosenzitovnosti koja je povezana sa upotrebom lamotrigina, treba razmotriti prekid primjene ovog lijeka kod pacijenata koji pokazuju znake fotosenzitivne reakcije (kao što je pojava izraženih opekotina na suncu). Ako se nastavak liječenja lamotriginom smatra klinički opravdanim, pacijentu treba savjetovati da izbjegava izlaganje sunčevoj svjetlosti i vještačkoj UV svjetlosti i da preduzme odgovarajuće mjere zaštite (npr. korišćenje zaštitne odjeće i krema za sunčanje).</w:t>
      </w:r>
    </w:p>
    <w:p w14:paraId="22064E54" w14:textId="5B8F1128" w:rsidR="008D2CDA" w:rsidRPr="001D5E53" w:rsidRDefault="008D2CDA" w:rsidP="006B3996">
      <w:pPr>
        <w:pStyle w:val="Header"/>
        <w:tabs>
          <w:tab w:val="left" w:pos="284"/>
        </w:tabs>
        <w:jc w:val="both"/>
        <w:rPr>
          <w:sz w:val="22"/>
          <w:szCs w:val="22"/>
          <w:lang w:val="sl-SI"/>
        </w:rPr>
      </w:pPr>
      <w:r w:rsidRPr="001D5E53">
        <w:rPr>
          <w:sz w:val="22"/>
          <w:szCs w:val="22"/>
          <w:lang w:val="sl-SI"/>
        </w:rPr>
        <w:t xml:space="preserve">  </w:t>
      </w:r>
    </w:p>
    <w:p w14:paraId="0B41EDF7" w14:textId="77777777" w:rsidR="00341711" w:rsidRPr="000D54A5" w:rsidRDefault="00341711" w:rsidP="008671F1">
      <w:pPr>
        <w:jc w:val="both"/>
        <w:rPr>
          <w:sz w:val="22"/>
          <w:szCs w:val="22"/>
          <w:u w:val="single"/>
          <w:lang w:val="sr-Latn-ME" w:eastAsia="hr-HR"/>
        </w:rPr>
      </w:pPr>
      <w:r w:rsidRPr="000D54A5">
        <w:rPr>
          <w:sz w:val="22"/>
          <w:szCs w:val="22"/>
          <w:u w:val="single"/>
          <w:lang w:val="sr-Latn-ME"/>
        </w:rPr>
        <w:t>Hemofagocitna limfohistiocitoza (HLH)</w:t>
      </w:r>
    </w:p>
    <w:p w14:paraId="7B52D2C0" w14:textId="77777777" w:rsidR="00341711" w:rsidRPr="000D54A5" w:rsidRDefault="00341711" w:rsidP="007B50AD">
      <w:pPr>
        <w:jc w:val="both"/>
        <w:rPr>
          <w:sz w:val="22"/>
          <w:szCs w:val="22"/>
          <w:u w:val="single"/>
          <w:lang w:val="sr-Latn-ME"/>
        </w:rPr>
      </w:pPr>
    </w:p>
    <w:p w14:paraId="336C0E88" w14:textId="1E3A438F" w:rsidR="00341711" w:rsidRPr="000D54A5" w:rsidRDefault="00341711">
      <w:pPr>
        <w:jc w:val="both"/>
        <w:rPr>
          <w:sz w:val="22"/>
          <w:szCs w:val="22"/>
          <w:lang w:val="sr-Latn-ME"/>
        </w:rPr>
      </w:pPr>
      <w:r w:rsidRPr="000D54A5">
        <w:rPr>
          <w:sz w:val="22"/>
          <w:szCs w:val="22"/>
          <w:lang w:val="sr-Latn-ME"/>
        </w:rPr>
        <w:t xml:space="preserve">Kod pacijenata liječenih lamotriginom prijavljen je HLH (vidjeti </w:t>
      </w:r>
      <w:r w:rsidR="00706D93">
        <w:rPr>
          <w:sz w:val="22"/>
          <w:szCs w:val="22"/>
          <w:lang w:val="sr-Latn-ME"/>
        </w:rPr>
        <w:t>dio</w:t>
      </w:r>
      <w:r w:rsidRPr="000D54A5">
        <w:rPr>
          <w:sz w:val="22"/>
          <w:szCs w:val="22"/>
          <w:lang w:val="sr-Latn-ME"/>
        </w:rPr>
        <w:t xml:space="preserve"> 4.8). HLH karakterišu znaci i simptomi kao što su povećana tjelesna temperatura, osip, neurološki simptomi, hepatosplenomegalija, limfadenopatija, citopenije, visoke serumske vrijednosti feritina, hipertrigliceridemija i poremećaji funkcije jetre i koagulacije. Simptomi se obično javljaju u</w:t>
      </w:r>
      <w:r w:rsidR="006218E7">
        <w:rPr>
          <w:sz w:val="22"/>
          <w:szCs w:val="22"/>
          <w:lang w:val="sr-Latn-ME"/>
        </w:rPr>
        <w:t xml:space="preserve"> toku</w:t>
      </w:r>
      <w:r w:rsidRPr="000D54A5">
        <w:rPr>
          <w:sz w:val="22"/>
          <w:szCs w:val="22"/>
          <w:lang w:val="sr-Latn-ME"/>
        </w:rPr>
        <w:t xml:space="preserve"> 4 nedjelje od početka liječenja. HLH može biti opasan po život.</w:t>
      </w:r>
    </w:p>
    <w:p w14:paraId="537637C5" w14:textId="77777777" w:rsidR="00341711" w:rsidRPr="000D54A5" w:rsidRDefault="00341711">
      <w:pPr>
        <w:jc w:val="both"/>
        <w:rPr>
          <w:sz w:val="22"/>
          <w:szCs w:val="22"/>
          <w:lang w:val="sr-Latn-ME"/>
        </w:rPr>
      </w:pPr>
    </w:p>
    <w:p w14:paraId="79465B87" w14:textId="77777777" w:rsidR="00341711" w:rsidRPr="000D54A5" w:rsidRDefault="00341711">
      <w:pPr>
        <w:jc w:val="both"/>
        <w:rPr>
          <w:sz w:val="22"/>
          <w:szCs w:val="22"/>
          <w:lang w:val="sr-Latn-ME"/>
        </w:rPr>
      </w:pPr>
      <w:r w:rsidRPr="000D54A5">
        <w:rPr>
          <w:sz w:val="22"/>
          <w:szCs w:val="22"/>
          <w:lang w:val="sr-Latn-ME"/>
        </w:rPr>
        <w:t>Pacijente treba upozoriti na simptome povezane s HLH-om i treba ih savjetovati da odmah potraže ljekarsku pomoć ako se tokom liječenja lamotriginom pojavi bilo koji od tih simptoma.</w:t>
      </w:r>
    </w:p>
    <w:p w14:paraId="1B323784" w14:textId="77777777" w:rsidR="00341711" w:rsidRPr="000D54A5" w:rsidRDefault="00341711">
      <w:pPr>
        <w:jc w:val="both"/>
        <w:rPr>
          <w:sz w:val="22"/>
          <w:szCs w:val="22"/>
          <w:lang w:val="sr-Latn-ME"/>
        </w:rPr>
      </w:pPr>
    </w:p>
    <w:p w14:paraId="708884F6" w14:textId="6665E877" w:rsidR="00341711" w:rsidRPr="000D54A5" w:rsidRDefault="00341711">
      <w:pPr>
        <w:jc w:val="both"/>
        <w:rPr>
          <w:sz w:val="22"/>
          <w:szCs w:val="22"/>
          <w:lang w:val="sr-Latn-ME"/>
        </w:rPr>
      </w:pPr>
      <w:r w:rsidRPr="000D54A5">
        <w:rPr>
          <w:sz w:val="22"/>
          <w:szCs w:val="22"/>
          <w:lang w:val="sr-Latn-ME"/>
        </w:rPr>
        <w:t xml:space="preserve">Potrebno je odmah </w:t>
      </w:r>
      <w:r w:rsidR="00F8386D">
        <w:rPr>
          <w:sz w:val="22"/>
          <w:szCs w:val="22"/>
          <w:lang w:val="sr-Latn-ME"/>
        </w:rPr>
        <w:t>pr</w:t>
      </w:r>
      <w:r w:rsidRPr="000D54A5">
        <w:rPr>
          <w:sz w:val="22"/>
          <w:szCs w:val="22"/>
          <w:lang w:val="sr-Latn-ME"/>
        </w:rPr>
        <w:t>ocijeniti pacijente kod kojih se pojave navedeni znaci i simptomi i razmotriti dijagnozu HLH-a. Primjenu lamotrigina treba odmah prekinuti, osim u slučajevima u kojima se može utvrditi neka druga etiologija.</w:t>
      </w:r>
    </w:p>
    <w:p w14:paraId="03D6FE09" w14:textId="77777777" w:rsidR="00341711" w:rsidRDefault="00341711" w:rsidP="006B3996">
      <w:pPr>
        <w:pStyle w:val="Header"/>
        <w:tabs>
          <w:tab w:val="left" w:pos="284"/>
        </w:tabs>
        <w:jc w:val="both"/>
        <w:rPr>
          <w:sz w:val="22"/>
          <w:szCs w:val="22"/>
          <w:u w:val="single"/>
          <w:lang w:val="sl-SI"/>
        </w:rPr>
      </w:pPr>
    </w:p>
    <w:p w14:paraId="22064E55" w14:textId="4061D28B" w:rsidR="008D2CDA" w:rsidRDefault="008D2CDA" w:rsidP="006B3996">
      <w:pPr>
        <w:pStyle w:val="Header"/>
        <w:tabs>
          <w:tab w:val="left" w:pos="284"/>
        </w:tabs>
        <w:jc w:val="both"/>
        <w:rPr>
          <w:sz w:val="22"/>
          <w:szCs w:val="22"/>
          <w:u w:val="single"/>
          <w:lang w:val="sr-Latn-CS"/>
        </w:rPr>
      </w:pPr>
      <w:r>
        <w:rPr>
          <w:sz w:val="22"/>
          <w:szCs w:val="22"/>
          <w:u w:val="single"/>
          <w:lang w:val="sl-SI"/>
        </w:rPr>
        <w:t>Klini</w:t>
      </w:r>
      <w:r>
        <w:rPr>
          <w:sz w:val="22"/>
          <w:szCs w:val="22"/>
          <w:u w:val="single"/>
          <w:lang w:val="sr-Latn-CS"/>
        </w:rPr>
        <w:t>čko pogoršanje i rizik od suicida</w:t>
      </w:r>
    </w:p>
    <w:p w14:paraId="22064E56" w14:textId="77777777" w:rsidR="008D2CDA" w:rsidRDefault="008D2CDA" w:rsidP="006B3996">
      <w:pPr>
        <w:pStyle w:val="Header"/>
        <w:tabs>
          <w:tab w:val="left" w:pos="284"/>
        </w:tabs>
        <w:jc w:val="both"/>
        <w:rPr>
          <w:sz w:val="22"/>
          <w:szCs w:val="22"/>
          <w:lang w:val="sl-SI"/>
        </w:rPr>
      </w:pPr>
    </w:p>
    <w:p w14:paraId="22064E57" w14:textId="77777777" w:rsidR="008D2CDA" w:rsidRDefault="008D2CDA" w:rsidP="006B3996">
      <w:pPr>
        <w:pStyle w:val="Header"/>
        <w:tabs>
          <w:tab w:val="left" w:pos="284"/>
        </w:tabs>
        <w:jc w:val="both"/>
        <w:rPr>
          <w:sz w:val="22"/>
          <w:szCs w:val="22"/>
          <w:lang w:val="sl-SI"/>
        </w:rPr>
      </w:pPr>
      <w:r>
        <w:rPr>
          <w:sz w:val="22"/>
          <w:szCs w:val="22"/>
          <w:lang w:val="sl-SI"/>
        </w:rPr>
        <w:t>Prijavljena je pojava suicidalnih ideja i ponašanja kod pacijenata liječenih AEL u terapiji različitih indikacija. Meta-analiza randomizovanih placebo-kontrolisanih kliničkih ispitivanja AEL je takođe pokazala blago povišen rizik za nastanak suicidalnih ideja i ponašanja. Mehanizam navedenog rizika nije poznat i dostupni podaci ne isključuju mogućnost povišenja rizika prilikom primjene lamotrigina.</w:t>
      </w:r>
    </w:p>
    <w:p w14:paraId="22064E58" w14:textId="77777777" w:rsidR="008D2CDA" w:rsidRDefault="008D2CDA" w:rsidP="006B3996">
      <w:pPr>
        <w:pStyle w:val="Header"/>
        <w:tabs>
          <w:tab w:val="left" w:pos="284"/>
        </w:tabs>
        <w:jc w:val="both"/>
        <w:rPr>
          <w:sz w:val="22"/>
          <w:szCs w:val="22"/>
          <w:lang w:val="sl-SI"/>
        </w:rPr>
      </w:pPr>
    </w:p>
    <w:p w14:paraId="22064E59" w14:textId="77777777" w:rsidR="008D2CDA" w:rsidRDefault="008D2CDA" w:rsidP="006B3996">
      <w:pPr>
        <w:pStyle w:val="Header"/>
        <w:tabs>
          <w:tab w:val="left" w:pos="284"/>
        </w:tabs>
        <w:jc w:val="both"/>
        <w:rPr>
          <w:sz w:val="22"/>
          <w:szCs w:val="22"/>
          <w:lang w:val="sl-SI"/>
        </w:rPr>
      </w:pPr>
      <w:r>
        <w:rPr>
          <w:sz w:val="22"/>
          <w:szCs w:val="22"/>
          <w:lang w:val="sl-SI"/>
        </w:rPr>
        <w:t>Stoga je potrebno pratiti pojavu suicidalnih ideja i ponašanja kod pacijenata i imati u vidu primjenu odgovarajuće terapije. Potrebno je posavjetovati pacijente (i osobe koje ih njeguju) da potraže savjet ljekara u slučaju pojave znakova suicidalnih ideja ili ponašanja.</w:t>
      </w:r>
    </w:p>
    <w:p w14:paraId="22064E5A" w14:textId="77777777" w:rsidR="008D2CDA" w:rsidRDefault="008D2CDA" w:rsidP="006B3996">
      <w:pPr>
        <w:pStyle w:val="Header"/>
        <w:tabs>
          <w:tab w:val="left" w:pos="284"/>
        </w:tabs>
        <w:jc w:val="both"/>
        <w:rPr>
          <w:sz w:val="22"/>
          <w:szCs w:val="22"/>
          <w:lang w:val="sl-SI"/>
        </w:rPr>
      </w:pPr>
    </w:p>
    <w:p w14:paraId="22064E5B" w14:textId="77777777" w:rsidR="008D2CDA" w:rsidRDefault="008D2CDA" w:rsidP="006B3996">
      <w:pPr>
        <w:pStyle w:val="Header"/>
        <w:tabs>
          <w:tab w:val="left" w:pos="284"/>
        </w:tabs>
        <w:jc w:val="both"/>
        <w:rPr>
          <w:sz w:val="22"/>
          <w:szCs w:val="22"/>
          <w:lang w:val="sl-SI"/>
        </w:rPr>
      </w:pPr>
      <w:r>
        <w:rPr>
          <w:sz w:val="22"/>
          <w:szCs w:val="22"/>
          <w:lang w:val="sl-SI"/>
        </w:rPr>
        <w:t xml:space="preserve">Kod pacijenata sa bipolarnim poremećajem može doći do pojave pogoršanja simptoma depresije i/ili suicidalnosti bez obzira na to da li primjenjuju ljekove za terapiju bipolarnog poremećaja, uključujući lijek </w:t>
      </w:r>
      <w:r w:rsidRPr="008E171B">
        <w:rPr>
          <w:sz w:val="22"/>
          <w:szCs w:val="22"/>
          <w:lang w:val="sl-SI"/>
        </w:rPr>
        <w:t>LAMICTAL</w:t>
      </w:r>
      <w:r>
        <w:rPr>
          <w:sz w:val="22"/>
          <w:szCs w:val="22"/>
          <w:lang w:val="sl-SI"/>
        </w:rPr>
        <w:t xml:space="preserve"> ili ne. Stoga je potrebno pažljivo pratiti pacijente koji primjenjuju lijek </w:t>
      </w:r>
      <w:r w:rsidRPr="008E171B">
        <w:rPr>
          <w:sz w:val="22"/>
          <w:szCs w:val="22"/>
          <w:lang w:val="sl-SI"/>
        </w:rPr>
        <w:t>LAMICTAL</w:t>
      </w:r>
      <w:r>
        <w:rPr>
          <w:sz w:val="22"/>
          <w:szCs w:val="22"/>
          <w:lang w:val="sl-SI"/>
        </w:rPr>
        <w:t xml:space="preserve"> u terapiji bipolarnog poremećaja u slučaju pojave kliničkog pogoršanja (uključujući pojavu novih simptoma) i suicidalnosti, posebno na početku terapije ili prilikom promjene doze. Pojedini pacijenti, kao što su pacijenti sa anamnezom suicidalnog ponašanja ili misli, mlade odrasle osobe i pacijenti kod kojih se suicidalne ideje javljaju u značajnoj mjeri prije početka terapije, mogu se nalaziti pod povišenim </w:t>
      </w:r>
      <w:r>
        <w:rPr>
          <w:sz w:val="22"/>
          <w:szCs w:val="22"/>
          <w:lang w:val="sl-SI"/>
        </w:rPr>
        <w:lastRenderedPageBreak/>
        <w:t>rizikom za nastanak suicidalnih misli ili pokušaja suicida i potrebno je da tokom primjene terapije stanje navedenih pacijenata bude pažljivo praćeno.</w:t>
      </w:r>
    </w:p>
    <w:p w14:paraId="22064E5C" w14:textId="77777777" w:rsidR="008D2CDA" w:rsidRDefault="008D2CDA" w:rsidP="006B3996">
      <w:pPr>
        <w:pStyle w:val="Header"/>
        <w:tabs>
          <w:tab w:val="left" w:pos="284"/>
        </w:tabs>
        <w:jc w:val="both"/>
        <w:rPr>
          <w:sz w:val="22"/>
          <w:szCs w:val="22"/>
          <w:lang w:val="sl-SI"/>
        </w:rPr>
      </w:pPr>
    </w:p>
    <w:p w14:paraId="22064E5D" w14:textId="77777777" w:rsidR="008D2CDA" w:rsidRDefault="008D2CDA" w:rsidP="006B3996">
      <w:pPr>
        <w:pStyle w:val="Header"/>
        <w:tabs>
          <w:tab w:val="left" w:pos="284"/>
        </w:tabs>
        <w:jc w:val="both"/>
        <w:rPr>
          <w:sz w:val="22"/>
          <w:szCs w:val="22"/>
          <w:lang w:val="sl-SI"/>
        </w:rPr>
      </w:pPr>
      <w:r>
        <w:rPr>
          <w:sz w:val="22"/>
          <w:szCs w:val="22"/>
          <w:lang w:val="sl-SI"/>
        </w:rPr>
        <w:t xml:space="preserve">Potrebno je razmotriti mogućnost promjene terapijskog režima, uključujući mogućnost prekida terapije, kod pacijenata kod kojih je došlo do kliničkog pogoršanja (uključujući razvoj novih simptoma) i/ili  nastanak suicidalnih ideja/ponašanja, posebno ukoliko su navedeni simptomi ozbiljni, iznenadni ili nijesu bili prisutni. </w:t>
      </w:r>
    </w:p>
    <w:p w14:paraId="22064E5E" w14:textId="77777777" w:rsidR="008D2CDA" w:rsidRDefault="008D2CDA" w:rsidP="006B3996">
      <w:pPr>
        <w:pStyle w:val="Header"/>
        <w:tabs>
          <w:tab w:val="left" w:pos="284"/>
        </w:tabs>
        <w:jc w:val="both"/>
        <w:rPr>
          <w:sz w:val="22"/>
          <w:szCs w:val="22"/>
          <w:u w:val="single"/>
          <w:lang w:val="sl-SI"/>
        </w:rPr>
      </w:pPr>
    </w:p>
    <w:p w14:paraId="22064E5F" w14:textId="77777777" w:rsidR="008D2CDA" w:rsidRDefault="008D2CDA" w:rsidP="006B3996">
      <w:pPr>
        <w:pStyle w:val="Header"/>
        <w:tabs>
          <w:tab w:val="left" w:pos="284"/>
        </w:tabs>
        <w:jc w:val="both"/>
        <w:rPr>
          <w:sz w:val="22"/>
          <w:szCs w:val="22"/>
          <w:u w:val="single"/>
          <w:lang w:val="sl-SI"/>
        </w:rPr>
      </w:pPr>
      <w:r>
        <w:rPr>
          <w:sz w:val="22"/>
          <w:szCs w:val="22"/>
          <w:u w:val="single"/>
          <w:lang w:val="sl-SI"/>
        </w:rPr>
        <w:t>Hormonski kontraceptivi</w:t>
      </w:r>
    </w:p>
    <w:p w14:paraId="22064E60" w14:textId="77777777" w:rsidR="008D2CDA" w:rsidRDefault="008D2CDA" w:rsidP="006B3996">
      <w:pPr>
        <w:pStyle w:val="Header"/>
        <w:tabs>
          <w:tab w:val="left" w:pos="284"/>
        </w:tabs>
        <w:jc w:val="both"/>
        <w:rPr>
          <w:sz w:val="22"/>
          <w:szCs w:val="22"/>
          <w:u w:val="single"/>
          <w:lang w:val="sl-SI"/>
        </w:rPr>
      </w:pPr>
    </w:p>
    <w:p w14:paraId="22064E61" w14:textId="77777777" w:rsidR="008D2CDA" w:rsidRPr="004E30CF" w:rsidRDefault="008D2CDA" w:rsidP="006B3996">
      <w:pPr>
        <w:pStyle w:val="Header"/>
        <w:tabs>
          <w:tab w:val="left" w:pos="284"/>
        </w:tabs>
        <w:jc w:val="both"/>
        <w:rPr>
          <w:i/>
          <w:sz w:val="22"/>
          <w:szCs w:val="22"/>
          <w:lang w:val="sl-SI"/>
        </w:rPr>
      </w:pPr>
      <w:r w:rsidRPr="004E30CF">
        <w:rPr>
          <w:i/>
          <w:sz w:val="22"/>
          <w:szCs w:val="22"/>
          <w:lang w:val="sl-SI"/>
        </w:rPr>
        <w:t>Dejstva hormonskih kontraceptiva na efikasnost lamotrigina</w:t>
      </w:r>
    </w:p>
    <w:p w14:paraId="22064E62" w14:textId="47F16D7B" w:rsidR="008D2CDA" w:rsidRDefault="008D2CDA" w:rsidP="006B3996">
      <w:pPr>
        <w:pStyle w:val="Header"/>
        <w:tabs>
          <w:tab w:val="left" w:pos="284"/>
        </w:tabs>
        <w:jc w:val="both"/>
        <w:rPr>
          <w:sz w:val="22"/>
          <w:szCs w:val="22"/>
          <w:lang w:val="sl-SI"/>
        </w:rPr>
      </w:pPr>
      <w:r>
        <w:rPr>
          <w:sz w:val="22"/>
          <w:szCs w:val="22"/>
          <w:lang w:val="sl-SI"/>
        </w:rPr>
        <w:t>Primjena kombinacije etiniloestradiol/levonorgestrel (30</w:t>
      </w:r>
      <w:r w:rsidR="00D51A33">
        <w:rPr>
          <w:sz w:val="22"/>
          <w:szCs w:val="22"/>
          <w:lang w:val="sl-SI"/>
        </w:rPr>
        <w:t xml:space="preserve"> </w:t>
      </w:r>
      <w:r>
        <w:rPr>
          <w:sz w:val="22"/>
          <w:szCs w:val="22"/>
          <w:lang w:val="sl-SI"/>
        </w:rPr>
        <w:t xml:space="preserve">µg/150µg) povećava klirens lamotrigina približno dva puta dovodeći do smanjenja nivoa lamotrigina (vidjeti </w:t>
      </w:r>
      <w:r w:rsidR="00706D93">
        <w:rPr>
          <w:sz w:val="22"/>
          <w:szCs w:val="22"/>
          <w:lang w:val="sl-SI"/>
        </w:rPr>
        <w:t>dio</w:t>
      </w:r>
      <w:r>
        <w:rPr>
          <w:sz w:val="22"/>
          <w:szCs w:val="22"/>
          <w:lang w:val="sl-SI"/>
        </w:rPr>
        <w:t xml:space="preserve"> 4.5). Smanjenje nivoa lamotrigina je bilo udruženo sa gubitkom kontrole napada. Prateći titraciju, u najvećem broju slučajeva će biti potrebne više doze održavanja lamotrigina (za oko dva puta) za postizanje maksimalnog terapijskog odgovora. Nakon prekida primjene hormonskih kontraceptiva klirens lamotrigina može biti prepolovljen. Povećanje koncentracija lamotrigina može biti povezano sa pojavom dozno-zavisnih neželjenih dejstava. Imajući u vidu navedeno potrebno je pratiti stanje pacijenata.</w:t>
      </w:r>
    </w:p>
    <w:p w14:paraId="22064E63" w14:textId="77777777" w:rsidR="008D2CDA" w:rsidRDefault="008D2CDA" w:rsidP="006B3996">
      <w:pPr>
        <w:pStyle w:val="Header"/>
        <w:tabs>
          <w:tab w:val="left" w:pos="284"/>
        </w:tabs>
        <w:jc w:val="both"/>
        <w:rPr>
          <w:sz w:val="22"/>
          <w:szCs w:val="22"/>
          <w:lang w:val="sl-SI"/>
        </w:rPr>
      </w:pPr>
    </w:p>
    <w:p w14:paraId="22064E64" w14:textId="149E483D" w:rsidR="008D2CDA" w:rsidRDefault="008D2CDA" w:rsidP="006B3996">
      <w:pPr>
        <w:pStyle w:val="BodyText3"/>
        <w:jc w:val="both"/>
        <w:rPr>
          <w:b w:val="0"/>
          <w:sz w:val="22"/>
          <w:szCs w:val="22"/>
        </w:rPr>
      </w:pPr>
      <w:r>
        <w:rPr>
          <w:b w:val="0"/>
          <w:sz w:val="22"/>
          <w:szCs w:val="22"/>
        </w:rPr>
        <w:t xml:space="preserve">Kod žena koje ne primjenjuju induktore glukuronidacije lamotrigina, a primjenjuju hormonske kontraceptive čiji terapijski režim podrazumijeva jednu nedjelju inaktivne medikacije ("bez pilula"), tokom nedjelje inaktivne medikacije javiće se postepeno prolazno povećanje nivoa lamotrigina (vidjeti </w:t>
      </w:r>
      <w:r w:rsidR="00706D93">
        <w:rPr>
          <w:b w:val="0"/>
          <w:sz w:val="22"/>
          <w:szCs w:val="22"/>
        </w:rPr>
        <w:t>dio</w:t>
      </w:r>
      <w:r>
        <w:rPr>
          <w:b w:val="0"/>
          <w:sz w:val="22"/>
          <w:szCs w:val="22"/>
        </w:rPr>
        <w:t xml:space="preserve"> 4.2). Navedene promjene nivoa lamotrigina mogu biti udružene sa pojavom neželjenih dejstava.</w:t>
      </w:r>
      <w:r>
        <w:rPr>
          <w:sz w:val="22"/>
          <w:szCs w:val="22"/>
        </w:rPr>
        <w:t xml:space="preserve"> </w:t>
      </w:r>
      <w:r>
        <w:rPr>
          <w:b w:val="0"/>
          <w:sz w:val="22"/>
          <w:szCs w:val="22"/>
        </w:rPr>
        <w:t>Stoga bi trebalo savjetovati pacijenta da kao prvi izbor kontraceptivnih preparata koristi one koji ne zahtijevaju jednonedjeljni prekid (npr. kontinuirana primjena hormonske kontraceptivne terapije ili nehormonskih metoda).</w:t>
      </w:r>
    </w:p>
    <w:p w14:paraId="22064E65" w14:textId="77777777" w:rsidR="008D2CDA" w:rsidRDefault="008D2CDA" w:rsidP="006B3996">
      <w:pPr>
        <w:pStyle w:val="Header"/>
        <w:tabs>
          <w:tab w:val="left" w:pos="284"/>
        </w:tabs>
        <w:jc w:val="both"/>
        <w:rPr>
          <w:sz w:val="22"/>
          <w:szCs w:val="22"/>
          <w:lang w:val="sl-SI"/>
        </w:rPr>
      </w:pPr>
    </w:p>
    <w:p w14:paraId="22064E66" w14:textId="77777777" w:rsidR="008D2CDA" w:rsidRDefault="008D2CDA" w:rsidP="006B3996">
      <w:pPr>
        <w:pStyle w:val="Header"/>
        <w:tabs>
          <w:tab w:val="left" w:pos="284"/>
        </w:tabs>
        <w:jc w:val="both"/>
        <w:rPr>
          <w:sz w:val="22"/>
          <w:szCs w:val="22"/>
          <w:lang w:val="sl-SI"/>
        </w:rPr>
      </w:pPr>
      <w:r>
        <w:rPr>
          <w:sz w:val="22"/>
          <w:szCs w:val="22"/>
          <w:lang w:val="sl-SI"/>
        </w:rPr>
        <w:t>Nije ispitana interakcija između drugih oralnih kontraceptiva ili HRT terapije i lamotrigina, iako mogu da slično djeluju na farmakokinetičke parametre lamotrigina.</w:t>
      </w:r>
    </w:p>
    <w:p w14:paraId="22064E67" w14:textId="77777777" w:rsidR="008D2CDA" w:rsidRDefault="008D2CDA" w:rsidP="006B3996">
      <w:pPr>
        <w:pStyle w:val="Header"/>
        <w:tabs>
          <w:tab w:val="left" w:pos="284"/>
        </w:tabs>
        <w:jc w:val="both"/>
        <w:rPr>
          <w:sz w:val="22"/>
          <w:szCs w:val="22"/>
          <w:lang w:val="sl-SI"/>
        </w:rPr>
      </w:pPr>
    </w:p>
    <w:p w14:paraId="22064E68" w14:textId="77777777" w:rsidR="008D2CDA" w:rsidRPr="004E30CF" w:rsidRDefault="008D2CDA" w:rsidP="006B3996">
      <w:pPr>
        <w:pStyle w:val="Header"/>
        <w:tabs>
          <w:tab w:val="left" w:pos="284"/>
        </w:tabs>
        <w:jc w:val="both"/>
        <w:rPr>
          <w:i/>
          <w:sz w:val="22"/>
          <w:szCs w:val="22"/>
          <w:lang w:val="sl-SI"/>
        </w:rPr>
      </w:pPr>
      <w:r w:rsidRPr="004E30CF">
        <w:rPr>
          <w:i/>
          <w:sz w:val="22"/>
          <w:szCs w:val="22"/>
          <w:lang w:val="sl-SI"/>
        </w:rPr>
        <w:t>Dejstva lamotrigina na efikasnost hormonske kontracepcije</w:t>
      </w:r>
    </w:p>
    <w:p w14:paraId="22064E69" w14:textId="76A8BCA3" w:rsidR="008D2CDA" w:rsidRDefault="008D2CDA" w:rsidP="006B3996">
      <w:pPr>
        <w:pStyle w:val="Header"/>
        <w:tabs>
          <w:tab w:val="left" w:pos="284"/>
        </w:tabs>
        <w:jc w:val="both"/>
        <w:rPr>
          <w:sz w:val="22"/>
          <w:szCs w:val="22"/>
          <w:lang w:val="sl-SI"/>
        </w:rPr>
      </w:pPr>
      <w:r>
        <w:rPr>
          <w:sz w:val="22"/>
          <w:szCs w:val="22"/>
          <w:lang w:val="sl-SI"/>
        </w:rPr>
        <w:t xml:space="preserve">Studija interakcija na 16 zdravih ispitanika je pokazala da prilikom primjene lamotrigina i hormonskih kontraceptiva (kombinacija etiniloestradiol/levonorgestrel) u kombinaciji dolazi do blagog povećanja klirensa levonorgestrela i promjene u nivou serumskih FSH i LH (vidjeti </w:t>
      </w:r>
      <w:r w:rsidR="00706D93">
        <w:rPr>
          <w:sz w:val="22"/>
          <w:szCs w:val="22"/>
          <w:lang w:val="sl-SI"/>
        </w:rPr>
        <w:t>dio</w:t>
      </w:r>
      <w:r>
        <w:rPr>
          <w:sz w:val="22"/>
          <w:szCs w:val="22"/>
          <w:lang w:val="sl-SI"/>
        </w:rPr>
        <w:t xml:space="preserve"> 4.5). Uticaj navedenih promjena na ovulatornu aktivnost jajnika nije poznata. Međutim, ne može se isključiti mogućnost da navedene promjene dovode do smanjenja efikasnosti kontracepcije kod pojedinih pacijentkinja koje primjenjuju hormonske preparate sa lamotriginom. Stoga je potrebno da se pacijentkinje upute da odmah prijave promjene u menstrualnom ciklusu, na primjer iznenadno obilno krvavljenje. </w:t>
      </w:r>
    </w:p>
    <w:p w14:paraId="22064E6A" w14:textId="77777777" w:rsidR="008D2CDA" w:rsidRDefault="008D2CDA" w:rsidP="006B3996">
      <w:pPr>
        <w:pStyle w:val="Header"/>
        <w:tabs>
          <w:tab w:val="left" w:pos="284"/>
        </w:tabs>
        <w:jc w:val="both"/>
        <w:rPr>
          <w:sz w:val="22"/>
          <w:szCs w:val="22"/>
          <w:lang w:val="sl-SI"/>
        </w:rPr>
      </w:pPr>
    </w:p>
    <w:p w14:paraId="22064E6B" w14:textId="77777777" w:rsidR="008D2CDA" w:rsidRDefault="008D2CDA" w:rsidP="006B3996">
      <w:pPr>
        <w:pStyle w:val="Header"/>
        <w:tabs>
          <w:tab w:val="left" w:pos="284"/>
        </w:tabs>
        <w:jc w:val="both"/>
        <w:rPr>
          <w:sz w:val="22"/>
          <w:szCs w:val="22"/>
          <w:u w:val="single"/>
          <w:lang w:val="sl-SI"/>
        </w:rPr>
      </w:pPr>
      <w:r>
        <w:rPr>
          <w:sz w:val="22"/>
          <w:szCs w:val="22"/>
          <w:u w:val="single"/>
          <w:lang w:val="sl-SI"/>
        </w:rPr>
        <w:t>Dihidrifolat reduktaza</w:t>
      </w:r>
    </w:p>
    <w:p w14:paraId="22064E6C" w14:textId="77777777" w:rsidR="008D2CDA" w:rsidRDefault="008D2CDA" w:rsidP="006B3996">
      <w:pPr>
        <w:pStyle w:val="Header"/>
        <w:tabs>
          <w:tab w:val="left" w:pos="284"/>
        </w:tabs>
        <w:jc w:val="both"/>
        <w:rPr>
          <w:sz w:val="22"/>
          <w:szCs w:val="22"/>
          <w:lang w:val="sl-SI"/>
        </w:rPr>
      </w:pPr>
    </w:p>
    <w:p w14:paraId="22064E6D" w14:textId="0775CC42" w:rsidR="008D2CDA" w:rsidRDefault="008D2CDA" w:rsidP="006B3996">
      <w:pPr>
        <w:pStyle w:val="Header"/>
        <w:tabs>
          <w:tab w:val="left" w:pos="284"/>
        </w:tabs>
        <w:jc w:val="both"/>
        <w:rPr>
          <w:sz w:val="22"/>
          <w:szCs w:val="22"/>
          <w:lang w:val="sl-SI"/>
        </w:rPr>
      </w:pPr>
      <w:r>
        <w:rPr>
          <w:sz w:val="22"/>
          <w:szCs w:val="22"/>
          <w:lang w:val="sl-SI"/>
        </w:rPr>
        <w:t xml:space="preserve">Lamotrigin ima slabo inhibitorno dejstvo na reduktazu dihidrofolne kiseline, tako da postoji mogućnost interferencije sa metabolizmom folata prilikom dugotrajne primjene terapije (vidjeti </w:t>
      </w:r>
      <w:r w:rsidR="00706D93">
        <w:rPr>
          <w:sz w:val="22"/>
          <w:szCs w:val="22"/>
          <w:lang w:val="sl-SI"/>
        </w:rPr>
        <w:t>dio</w:t>
      </w:r>
      <w:r>
        <w:rPr>
          <w:sz w:val="22"/>
          <w:szCs w:val="22"/>
          <w:lang w:val="sl-SI"/>
        </w:rPr>
        <w:t xml:space="preserve"> 4.6). Međutim, za vrijeme prolongirane primjene lijeka kod ljudi, lamotrigin nije izazvao značajne promjene u koncentracijama hemoglobina, srednjem korpuskularnom volumenu ili koncentracijama folata u serumu ili crvenim krvnim zrncima do 1 godine, odnosno u koncentracijama folata u crvenim krvnim zrncima do 5 godina.</w:t>
      </w:r>
    </w:p>
    <w:p w14:paraId="22064E6E" w14:textId="77777777" w:rsidR="008D2CDA" w:rsidRDefault="008D2CDA" w:rsidP="006B3996">
      <w:pPr>
        <w:pStyle w:val="Header"/>
        <w:tabs>
          <w:tab w:val="left" w:pos="284"/>
        </w:tabs>
        <w:jc w:val="both"/>
        <w:rPr>
          <w:sz w:val="22"/>
          <w:szCs w:val="22"/>
          <w:lang w:val="sl-SI"/>
        </w:rPr>
      </w:pPr>
    </w:p>
    <w:p w14:paraId="22064E6F" w14:textId="77777777" w:rsidR="008D2CDA" w:rsidRDefault="008D2CDA" w:rsidP="006B3996">
      <w:pPr>
        <w:pStyle w:val="Header"/>
        <w:tabs>
          <w:tab w:val="left" w:pos="284"/>
        </w:tabs>
        <w:jc w:val="both"/>
        <w:rPr>
          <w:sz w:val="22"/>
          <w:szCs w:val="22"/>
          <w:u w:val="single"/>
          <w:lang w:val="sl-SI"/>
        </w:rPr>
      </w:pPr>
      <w:r>
        <w:rPr>
          <w:sz w:val="22"/>
          <w:szCs w:val="22"/>
          <w:u w:val="single"/>
          <w:lang w:val="sl-SI"/>
        </w:rPr>
        <w:t>Bubrežna insuficijencija</w:t>
      </w:r>
    </w:p>
    <w:p w14:paraId="22064E70" w14:textId="77777777" w:rsidR="008D2CDA" w:rsidRDefault="008D2CDA" w:rsidP="006B3996">
      <w:pPr>
        <w:pStyle w:val="Header"/>
        <w:tabs>
          <w:tab w:val="left" w:pos="284"/>
        </w:tabs>
        <w:jc w:val="both"/>
        <w:rPr>
          <w:sz w:val="22"/>
          <w:szCs w:val="22"/>
          <w:u w:val="single"/>
          <w:lang w:val="sl-SI"/>
        </w:rPr>
      </w:pPr>
    </w:p>
    <w:p w14:paraId="22064E71" w14:textId="77777777" w:rsidR="008D2CDA" w:rsidRDefault="008D2CDA" w:rsidP="006B3996">
      <w:pPr>
        <w:pStyle w:val="Header"/>
        <w:tabs>
          <w:tab w:val="left" w:pos="284"/>
        </w:tabs>
        <w:jc w:val="both"/>
        <w:rPr>
          <w:sz w:val="22"/>
          <w:szCs w:val="22"/>
          <w:lang w:val="sl-SI"/>
        </w:rPr>
      </w:pPr>
      <w:r>
        <w:rPr>
          <w:sz w:val="22"/>
          <w:szCs w:val="22"/>
          <w:lang w:val="sl-SI"/>
        </w:rPr>
        <w:t xml:space="preserve">U okviru kliničkih ispitivanja primjene jednokratnih doza kod osoba sa terminalnim stadijumom bubrežne insuficijencije, nije došlo do značajne promjene koncentracije lamotrigina u plazmi. Međutim, treba očekivati akumulaciju metabolita glukuronida; stoga se savjetuje oprez prilikom liječenja pacijenata sa bubrežnom insuficijencijom. </w:t>
      </w:r>
    </w:p>
    <w:p w14:paraId="22064E72" w14:textId="77777777" w:rsidR="008D2CDA" w:rsidRDefault="008D2CDA" w:rsidP="006B3996">
      <w:pPr>
        <w:pStyle w:val="Header"/>
        <w:tabs>
          <w:tab w:val="left" w:pos="284"/>
        </w:tabs>
        <w:jc w:val="both"/>
        <w:rPr>
          <w:sz w:val="22"/>
          <w:szCs w:val="22"/>
          <w:lang w:val="sl-SI"/>
        </w:rPr>
      </w:pPr>
    </w:p>
    <w:p w14:paraId="22064E73" w14:textId="77777777" w:rsidR="008D2CDA" w:rsidRDefault="008D2CDA" w:rsidP="006B3996">
      <w:pPr>
        <w:pStyle w:val="Header"/>
        <w:tabs>
          <w:tab w:val="left" w:pos="284"/>
        </w:tabs>
        <w:jc w:val="both"/>
        <w:rPr>
          <w:sz w:val="22"/>
          <w:szCs w:val="22"/>
          <w:u w:val="single"/>
          <w:lang w:val="sl-SI"/>
        </w:rPr>
      </w:pPr>
      <w:r>
        <w:rPr>
          <w:sz w:val="22"/>
          <w:szCs w:val="22"/>
          <w:u w:val="single"/>
          <w:lang w:val="sl-SI"/>
        </w:rPr>
        <w:t>Pacijenti koji koriste druge ljekove koji sadrže lamotrigin</w:t>
      </w:r>
    </w:p>
    <w:p w14:paraId="22064E74" w14:textId="77777777" w:rsidR="008D2CDA" w:rsidRDefault="008D2CDA" w:rsidP="006B3996">
      <w:pPr>
        <w:pStyle w:val="Header"/>
        <w:tabs>
          <w:tab w:val="left" w:pos="284"/>
        </w:tabs>
        <w:jc w:val="both"/>
        <w:rPr>
          <w:sz w:val="22"/>
          <w:szCs w:val="22"/>
          <w:lang w:val="sl-SI"/>
        </w:rPr>
      </w:pPr>
    </w:p>
    <w:p w14:paraId="5C9BAA4C" w14:textId="10E8A00A" w:rsidR="00722E7C" w:rsidRDefault="00A16611" w:rsidP="006B3996">
      <w:pPr>
        <w:pStyle w:val="Header"/>
        <w:tabs>
          <w:tab w:val="left" w:pos="284"/>
        </w:tabs>
        <w:jc w:val="both"/>
        <w:rPr>
          <w:sz w:val="22"/>
          <w:szCs w:val="22"/>
          <w:lang w:val="sl-SI"/>
        </w:rPr>
      </w:pPr>
      <w:r>
        <w:rPr>
          <w:sz w:val="22"/>
          <w:szCs w:val="22"/>
          <w:lang w:val="sl-SI"/>
        </w:rPr>
        <w:lastRenderedPageBreak/>
        <w:t>L</w:t>
      </w:r>
      <w:r w:rsidR="008D2CDA">
        <w:rPr>
          <w:sz w:val="22"/>
          <w:szCs w:val="22"/>
          <w:lang w:val="sl-SI"/>
        </w:rPr>
        <w:t xml:space="preserve">ijek </w:t>
      </w:r>
      <w:r w:rsidR="008D2CDA" w:rsidRPr="008E171B">
        <w:rPr>
          <w:sz w:val="22"/>
          <w:szCs w:val="22"/>
          <w:lang w:val="sl-SI"/>
        </w:rPr>
        <w:t>LAMICTAL</w:t>
      </w:r>
      <w:r w:rsidR="008D2CDA">
        <w:rPr>
          <w:sz w:val="22"/>
          <w:szCs w:val="22"/>
          <w:lang w:val="sl-SI"/>
        </w:rPr>
        <w:t xml:space="preserve"> </w:t>
      </w:r>
      <w:r>
        <w:rPr>
          <w:sz w:val="22"/>
          <w:szCs w:val="22"/>
          <w:lang w:val="sl-SI"/>
        </w:rPr>
        <w:t xml:space="preserve"> se ne smije primjenjivati </w:t>
      </w:r>
      <w:r w:rsidR="008D2CDA">
        <w:rPr>
          <w:sz w:val="22"/>
          <w:szCs w:val="22"/>
          <w:lang w:val="sl-SI"/>
        </w:rPr>
        <w:t>kod pacijenata koji već koriste lijek koji sadži lamotrigin bez prethodne konsultacije sa ljekarom.</w:t>
      </w:r>
    </w:p>
    <w:p w14:paraId="5CEAD0FF" w14:textId="77777777" w:rsidR="00A16611" w:rsidRDefault="00A16611" w:rsidP="006B3996">
      <w:pPr>
        <w:pStyle w:val="Header"/>
        <w:tabs>
          <w:tab w:val="left" w:pos="284"/>
        </w:tabs>
        <w:jc w:val="both"/>
        <w:rPr>
          <w:sz w:val="22"/>
          <w:szCs w:val="22"/>
          <w:lang w:val="sl-SI"/>
        </w:rPr>
      </w:pPr>
    </w:p>
    <w:p w14:paraId="3A8AC2F7" w14:textId="42A6D6ED" w:rsidR="00722E7C" w:rsidRPr="00C20467" w:rsidRDefault="00722E7C" w:rsidP="008671F1">
      <w:pPr>
        <w:jc w:val="both"/>
        <w:rPr>
          <w:sz w:val="22"/>
          <w:szCs w:val="22"/>
          <w:u w:val="single"/>
          <w:lang w:val="sr-Latn-ME" w:eastAsia="hr-HR"/>
        </w:rPr>
      </w:pPr>
      <w:r w:rsidRPr="00C20467">
        <w:rPr>
          <w:sz w:val="22"/>
          <w:szCs w:val="22"/>
          <w:u w:val="single"/>
          <w:lang w:val="sr-Latn-ME"/>
        </w:rPr>
        <w:t xml:space="preserve">EKG tipa Brugada </w:t>
      </w:r>
      <w:r>
        <w:rPr>
          <w:sz w:val="22"/>
          <w:szCs w:val="22"/>
          <w:u w:val="single"/>
          <w:lang w:val="sr-Latn-ME"/>
        </w:rPr>
        <w:t>i drugi poremećaji srčanog ritma i provodljivosti</w:t>
      </w:r>
    </w:p>
    <w:p w14:paraId="3598DE80" w14:textId="4F2A4C98" w:rsidR="00722E7C" w:rsidRPr="00C20467" w:rsidRDefault="00722E7C" w:rsidP="007B50AD">
      <w:pPr>
        <w:jc w:val="both"/>
        <w:rPr>
          <w:sz w:val="22"/>
          <w:szCs w:val="22"/>
          <w:u w:val="single"/>
          <w:lang w:val="sr-Latn-ME"/>
        </w:rPr>
      </w:pPr>
    </w:p>
    <w:p w14:paraId="08D2D25F" w14:textId="5FED0661" w:rsidR="00722E7C" w:rsidRDefault="00722E7C">
      <w:pPr>
        <w:jc w:val="both"/>
        <w:rPr>
          <w:sz w:val="22"/>
          <w:szCs w:val="22"/>
          <w:lang w:val="sr-Latn-ME"/>
        </w:rPr>
      </w:pPr>
      <w:r w:rsidRPr="00C20467">
        <w:rPr>
          <w:sz w:val="22"/>
          <w:szCs w:val="22"/>
          <w:lang w:val="sr-Latn-ME"/>
        </w:rPr>
        <w:t>Kod pacijenata liječenih lamotriginom prijavljeni su aritmogeni poremećaji ST-</w:t>
      </w:r>
      <w:r>
        <w:rPr>
          <w:sz w:val="22"/>
          <w:szCs w:val="22"/>
          <w:lang w:val="sr-Latn-ME"/>
        </w:rPr>
        <w:t xml:space="preserve">T </w:t>
      </w:r>
      <w:r w:rsidRPr="00C20467">
        <w:rPr>
          <w:sz w:val="22"/>
          <w:szCs w:val="22"/>
          <w:lang w:val="sr-Latn-ME"/>
        </w:rPr>
        <w:t>segmenta i tipičn</w:t>
      </w:r>
      <w:r>
        <w:rPr>
          <w:sz w:val="22"/>
          <w:szCs w:val="22"/>
          <w:lang w:val="sr-Latn-ME"/>
        </w:rPr>
        <w:t>og</w:t>
      </w:r>
      <w:r w:rsidRPr="00C20467">
        <w:rPr>
          <w:sz w:val="22"/>
          <w:szCs w:val="22"/>
          <w:lang w:val="sr-Latn-ME"/>
        </w:rPr>
        <w:t xml:space="preserve"> Brugada </w:t>
      </w:r>
      <w:r>
        <w:rPr>
          <w:sz w:val="22"/>
          <w:szCs w:val="22"/>
          <w:lang w:val="sr-Latn-ME"/>
        </w:rPr>
        <w:t>EKG nalaza</w:t>
      </w:r>
      <w:r w:rsidRPr="00C20467">
        <w:rPr>
          <w:sz w:val="22"/>
          <w:szCs w:val="22"/>
          <w:lang w:val="sr-Latn-ME"/>
        </w:rPr>
        <w:t xml:space="preserve">. </w:t>
      </w:r>
    </w:p>
    <w:p w14:paraId="31D15EC7" w14:textId="1401D35D" w:rsidR="00722E7C" w:rsidRPr="004E30CF" w:rsidRDefault="00722E7C" w:rsidP="006B3996">
      <w:pPr>
        <w:jc w:val="both"/>
        <w:rPr>
          <w:sz w:val="22"/>
          <w:szCs w:val="22"/>
          <w:lang w:val="sr-Latn-RS"/>
        </w:rPr>
      </w:pPr>
      <w:r w:rsidRPr="004E30CF">
        <w:rPr>
          <w:sz w:val="22"/>
          <w:szCs w:val="22"/>
          <w:lang w:val="sr-Latn-RS"/>
        </w:rPr>
        <w:t xml:space="preserve">Na osnovu nalaza </w:t>
      </w:r>
      <w:r w:rsidRPr="004E30CF">
        <w:rPr>
          <w:i/>
          <w:sz w:val="22"/>
          <w:szCs w:val="22"/>
          <w:lang w:val="sr-Latn-RS"/>
        </w:rPr>
        <w:t>in vitro</w:t>
      </w:r>
      <w:r w:rsidRPr="004E30CF">
        <w:rPr>
          <w:sz w:val="22"/>
          <w:szCs w:val="22"/>
          <w:lang w:val="sr-Latn-RS"/>
        </w:rPr>
        <w:t xml:space="preserve">, lamotrigin bi pri terapijski relevantnim koncentracijama mogao usporiti ventrikularnu provodljivost (proširiti QRS kompleks) i izazvati proaritmiju kod pacijenata sa srčanim oboljenjima. Lamotrigin djeluje kao slab antiaritmik klase IB sa pridruženim potencijalnim rizicima od ozbiljnih ili smrtonosnih srčanih dogadaja. Istovremena upotreba drugih blokatora natrijumovih kanala može dodatno povećati rizik (vidjeti </w:t>
      </w:r>
      <w:r w:rsidR="005465E5">
        <w:rPr>
          <w:sz w:val="22"/>
          <w:szCs w:val="22"/>
          <w:lang w:val="sr-Latn-RS"/>
        </w:rPr>
        <w:t>dio</w:t>
      </w:r>
      <w:r w:rsidRPr="004E30CF">
        <w:rPr>
          <w:sz w:val="22"/>
          <w:szCs w:val="22"/>
          <w:lang w:val="sr-Latn-RS"/>
        </w:rPr>
        <w:t xml:space="preserve"> 5.3). U detaljnom ispitivanju uticaja na QT interval lamotrigin u terapijskim dozama do 400 mg/dan nije usporio ventrikularnu provodljivost (proširio QRS kompleks) niti je izazvao produženje QT intervala kod zdravih osoba. Primjenu lamotrigina treba pažljivo razmotriti kod pacijenata sa klinički značajnom strukturnom ili funkcionalnom bolešću srca, kao što je Brugada sindrom ili druge srčane kanalopatije, srčana insuficijencija, ishemijska bolest srca, srčani blok ili ventrikularne aritmije. Ako je primjena lamotrigina kod ovih pacijenata klinički opravdana, potrebno je razmotriti konsultacije sa kardiologom prije uvodenja liječenja lamotriginom.</w:t>
      </w:r>
    </w:p>
    <w:p w14:paraId="22064E76" w14:textId="77777777" w:rsidR="008D2CDA" w:rsidRDefault="008D2CDA" w:rsidP="006B3996">
      <w:pPr>
        <w:pStyle w:val="Header"/>
        <w:tabs>
          <w:tab w:val="left" w:pos="284"/>
        </w:tabs>
        <w:jc w:val="both"/>
        <w:rPr>
          <w:sz w:val="22"/>
          <w:szCs w:val="22"/>
          <w:lang w:val="sl-SI"/>
        </w:rPr>
      </w:pPr>
    </w:p>
    <w:p w14:paraId="22064E77" w14:textId="79E5015B" w:rsidR="008D2CDA" w:rsidRDefault="008D2CDA" w:rsidP="006B3996">
      <w:pPr>
        <w:pStyle w:val="Header"/>
        <w:tabs>
          <w:tab w:val="left" w:pos="284"/>
        </w:tabs>
        <w:jc w:val="both"/>
        <w:rPr>
          <w:sz w:val="22"/>
          <w:szCs w:val="22"/>
          <w:u w:val="single"/>
          <w:lang w:val="sl-SI"/>
        </w:rPr>
      </w:pPr>
      <w:r>
        <w:rPr>
          <w:sz w:val="22"/>
          <w:szCs w:val="22"/>
          <w:u w:val="single"/>
          <w:lang w:val="sl-SI"/>
        </w:rPr>
        <w:t>Pomoćne supstance</w:t>
      </w:r>
    </w:p>
    <w:p w14:paraId="22064E78" w14:textId="77777777" w:rsidR="008D2CDA" w:rsidRDefault="008D2CDA" w:rsidP="006B3996">
      <w:pPr>
        <w:pStyle w:val="Header"/>
        <w:tabs>
          <w:tab w:val="left" w:pos="284"/>
        </w:tabs>
        <w:jc w:val="both"/>
        <w:rPr>
          <w:sz w:val="22"/>
          <w:szCs w:val="22"/>
          <w:lang w:val="sl-SI"/>
        </w:rPr>
      </w:pPr>
    </w:p>
    <w:p w14:paraId="22064E79" w14:textId="07B73384" w:rsidR="008D2CDA" w:rsidRDefault="008D2CDA" w:rsidP="006B3996">
      <w:pPr>
        <w:pStyle w:val="Header"/>
        <w:tabs>
          <w:tab w:val="left" w:pos="284"/>
        </w:tabs>
        <w:jc w:val="both"/>
        <w:rPr>
          <w:sz w:val="22"/>
          <w:szCs w:val="22"/>
          <w:lang w:val="sl-SI"/>
        </w:rPr>
      </w:pPr>
      <w:r w:rsidRPr="00BC6BEF">
        <w:rPr>
          <w:sz w:val="22"/>
          <w:szCs w:val="22"/>
          <w:lang w:val="sl-SI"/>
        </w:rPr>
        <w:t>LAMICTAL</w:t>
      </w:r>
      <w:r>
        <w:rPr>
          <w:sz w:val="22"/>
          <w:szCs w:val="22"/>
          <w:lang w:val="sl-SI"/>
        </w:rPr>
        <w:t xml:space="preserve"> tablete sadrže laktozu, monohidrat. Pacijenti sa rijetkim urođenim poremećajima</w:t>
      </w:r>
      <w:r>
        <w:rPr>
          <w:sz w:val="22"/>
          <w:szCs w:val="22"/>
          <w:lang w:val="sr-Latn-CS"/>
        </w:rPr>
        <w:t>:</w:t>
      </w:r>
      <w:r>
        <w:rPr>
          <w:sz w:val="22"/>
          <w:szCs w:val="22"/>
          <w:lang w:val="sl-SI"/>
        </w:rPr>
        <w:t xml:space="preserve"> intolerancijom galaktoze, </w:t>
      </w:r>
      <w:r w:rsidR="009F37A9">
        <w:rPr>
          <w:sz w:val="22"/>
          <w:szCs w:val="22"/>
          <w:lang w:val="sl-SI"/>
        </w:rPr>
        <w:t xml:space="preserve">potpunim </w:t>
      </w:r>
      <w:r>
        <w:rPr>
          <w:sz w:val="22"/>
          <w:szCs w:val="22"/>
          <w:lang w:val="sl-SI"/>
        </w:rPr>
        <w:t>nedostatkom laktaze ili glukozo-galaktozo malapsorpcijom ne bi trebalo da primjenjuju ovaj lijek.</w:t>
      </w:r>
    </w:p>
    <w:p w14:paraId="22064E7A" w14:textId="20F67F8A" w:rsidR="008D2CDA" w:rsidRDefault="008D2CDA" w:rsidP="006B3996">
      <w:pPr>
        <w:pStyle w:val="Header"/>
        <w:tabs>
          <w:tab w:val="left" w:pos="284"/>
        </w:tabs>
        <w:jc w:val="both"/>
        <w:rPr>
          <w:sz w:val="22"/>
          <w:szCs w:val="22"/>
          <w:lang w:val="sl-SI"/>
        </w:rPr>
      </w:pPr>
    </w:p>
    <w:p w14:paraId="0EAF0788" w14:textId="3E25EABD" w:rsidR="001A4081" w:rsidRDefault="001A4081" w:rsidP="006B3996">
      <w:pPr>
        <w:tabs>
          <w:tab w:val="center" w:pos="4536"/>
          <w:tab w:val="right" w:pos="9072"/>
        </w:tabs>
        <w:jc w:val="both"/>
        <w:rPr>
          <w:sz w:val="22"/>
          <w:szCs w:val="22"/>
          <w:lang w:val="sl-SI"/>
        </w:rPr>
      </w:pPr>
      <w:r>
        <w:rPr>
          <w:bCs/>
          <w:lang w:val="sl-SI"/>
        </w:rPr>
        <w:t>Lijek L</w:t>
      </w:r>
      <w:r w:rsidR="00525D43">
        <w:rPr>
          <w:bCs/>
          <w:lang w:val="sl-SI"/>
        </w:rPr>
        <w:t>AMICTAL</w:t>
      </w:r>
      <w:r>
        <w:rPr>
          <w:bCs/>
          <w:lang w:val="sl-SI"/>
        </w:rPr>
        <w:t xml:space="preserve"> sadrži manje od 1 mmol natrijuma (23 mg) po tableti, tj. suštinski je bez natrijuma.</w:t>
      </w:r>
    </w:p>
    <w:p w14:paraId="2961C2D4" w14:textId="77777777" w:rsidR="00EC7E3E" w:rsidRDefault="00EC7E3E" w:rsidP="006B3996">
      <w:pPr>
        <w:pStyle w:val="Header"/>
        <w:tabs>
          <w:tab w:val="left" w:pos="284"/>
        </w:tabs>
        <w:jc w:val="both"/>
        <w:rPr>
          <w:sz w:val="22"/>
          <w:szCs w:val="22"/>
          <w:u w:val="single"/>
          <w:lang w:val="sl-SI"/>
        </w:rPr>
      </w:pPr>
    </w:p>
    <w:p w14:paraId="22064E7B" w14:textId="24D563C8" w:rsidR="008D2CDA" w:rsidRDefault="008D2CDA" w:rsidP="006B3996">
      <w:pPr>
        <w:pStyle w:val="Header"/>
        <w:tabs>
          <w:tab w:val="left" w:pos="284"/>
        </w:tabs>
        <w:jc w:val="both"/>
        <w:rPr>
          <w:sz w:val="22"/>
          <w:szCs w:val="22"/>
          <w:u w:val="single"/>
          <w:lang w:val="sl-SI"/>
        </w:rPr>
      </w:pPr>
      <w:r>
        <w:rPr>
          <w:sz w:val="22"/>
          <w:szCs w:val="22"/>
          <w:u w:val="single"/>
          <w:lang w:val="sl-SI"/>
        </w:rPr>
        <w:t>Razvoj djece</w:t>
      </w:r>
    </w:p>
    <w:p w14:paraId="22064E7C" w14:textId="77777777" w:rsidR="008D2CDA" w:rsidRDefault="008D2CDA" w:rsidP="006B3996">
      <w:pPr>
        <w:pStyle w:val="Header"/>
        <w:tabs>
          <w:tab w:val="left" w:pos="284"/>
        </w:tabs>
        <w:jc w:val="both"/>
        <w:rPr>
          <w:sz w:val="22"/>
          <w:szCs w:val="22"/>
          <w:lang w:val="sl-SI"/>
        </w:rPr>
      </w:pPr>
    </w:p>
    <w:p w14:paraId="22064E7D" w14:textId="77777777" w:rsidR="008D2CDA" w:rsidRDefault="008D2CDA" w:rsidP="006B3996">
      <w:pPr>
        <w:pStyle w:val="Header"/>
        <w:tabs>
          <w:tab w:val="left" w:pos="284"/>
        </w:tabs>
        <w:jc w:val="both"/>
        <w:rPr>
          <w:sz w:val="22"/>
          <w:szCs w:val="22"/>
          <w:lang w:val="sl-SI"/>
        </w:rPr>
      </w:pPr>
      <w:r>
        <w:rPr>
          <w:sz w:val="22"/>
          <w:szCs w:val="22"/>
          <w:lang w:val="sl-SI"/>
        </w:rPr>
        <w:t>Nema podataka o dejstvu lamotrigina na rast, seksualno sazrijevanje i razvoj kognitivnih, emocionalnih i bihejvioralnih funkcija kod djece.</w:t>
      </w:r>
    </w:p>
    <w:p w14:paraId="22064E7E" w14:textId="77777777" w:rsidR="008D2CDA" w:rsidRDefault="008D2CDA" w:rsidP="006B3996">
      <w:pPr>
        <w:pStyle w:val="Header"/>
        <w:tabs>
          <w:tab w:val="left" w:pos="284"/>
        </w:tabs>
        <w:jc w:val="both"/>
        <w:rPr>
          <w:sz w:val="22"/>
          <w:szCs w:val="22"/>
          <w:lang w:val="sl-SI"/>
        </w:rPr>
      </w:pPr>
    </w:p>
    <w:p w14:paraId="22064E7F" w14:textId="77777777" w:rsidR="008D2CDA" w:rsidRDefault="008D2CDA" w:rsidP="006B3996">
      <w:pPr>
        <w:pStyle w:val="Header"/>
        <w:tabs>
          <w:tab w:val="left" w:pos="284"/>
        </w:tabs>
        <w:jc w:val="both"/>
        <w:rPr>
          <w:sz w:val="22"/>
          <w:szCs w:val="22"/>
          <w:u w:val="single"/>
          <w:lang w:val="sl-SI"/>
        </w:rPr>
      </w:pPr>
      <w:r>
        <w:rPr>
          <w:sz w:val="22"/>
          <w:szCs w:val="22"/>
          <w:u w:val="single"/>
          <w:lang w:val="sl-SI"/>
        </w:rPr>
        <w:t>Mjere opreza kod pacijenata oboljelih od epilepsije</w:t>
      </w:r>
    </w:p>
    <w:p w14:paraId="22064E80" w14:textId="77777777" w:rsidR="008D2CDA" w:rsidRDefault="008D2CDA" w:rsidP="006B3996">
      <w:pPr>
        <w:pStyle w:val="Header"/>
        <w:tabs>
          <w:tab w:val="left" w:pos="284"/>
        </w:tabs>
        <w:jc w:val="both"/>
        <w:rPr>
          <w:sz w:val="22"/>
          <w:szCs w:val="22"/>
          <w:u w:val="single"/>
          <w:lang w:val="sl-SI"/>
        </w:rPr>
      </w:pPr>
    </w:p>
    <w:p w14:paraId="22064E81" w14:textId="442ACBED" w:rsidR="008D2CDA" w:rsidRDefault="008D2CDA" w:rsidP="006B3996">
      <w:pPr>
        <w:pStyle w:val="Header"/>
        <w:tabs>
          <w:tab w:val="left" w:pos="284"/>
        </w:tabs>
        <w:jc w:val="both"/>
        <w:rPr>
          <w:sz w:val="22"/>
          <w:szCs w:val="22"/>
          <w:lang w:val="sl-SI"/>
        </w:rPr>
      </w:pPr>
      <w:r>
        <w:rPr>
          <w:sz w:val="22"/>
          <w:szCs w:val="22"/>
          <w:lang w:val="sl-SI"/>
        </w:rPr>
        <w:t xml:space="preserve">Kao i prilikom primjene drugih AEL iznenadno povlačenje lijeka </w:t>
      </w:r>
      <w:r w:rsidRPr="008E171B">
        <w:rPr>
          <w:sz w:val="22"/>
          <w:szCs w:val="22"/>
          <w:lang w:val="sl-SI"/>
        </w:rPr>
        <w:t>LAMICTAL</w:t>
      </w:r>
      <w:r>
        <w:rPr>
          <w:sz w:val="22"/>
          <w:szCs w:val="22"/>
          <w:lang w:val="sl-SI"/>
        </w:rPr>
        <w:t xml:space="preserve"> iz terapije može izazvati</w:t>
      </w:r>
      <w:r w:rsidR="0088576C">
        <w:rPr>
          <w:sz w:val="22"/>
          <w:szCs w:val="22"/>
          <w:lang w:val="sl-SI"/>
        </w:rPr>
        <w:t xml:space="preserve"> ponovne</w:t>
      </w:r>
      <w:r>
        <w:rPr>
          <w:sz w:val="22"/>
          <w:szCs w:val="22"/>
          <w:lang w:val="sl-SI"/>
        </w:rPr>
        <w:t xml:space="preserve"> </w:t>
      </w:r>
      <w:r w:rsidR="0088576C">
        <w:rPr>
          <w:sz w:val="22"/>
          <w:szCs w:val="22"/>
          <w:lang w:val="sl-SI"/>
        </w:rPr>
        <w:t>(</w:t>
      </w:r>
      <w:r w:rsidRPr="004E30CF">
        <w:rPr>
          <w:i/>
          <w:sz w:val="22"/>
          <w:szCs w:val="22"/>
          <w:lang w:val="sl-SI"/>
        </w:rPr>
        <w:t>rebound</w:t>
      </w:r>
      <w:r w:rsidR="0088576C">
        <w:rPr>
          <w:sz w:val="22"/>
          <w:szCs w:val="22"/>
          <w:lang w:val="sl-SI"/>
        </w:rPr>
        <w:t>)</w:t>
      </w:r>
      <w:r>
        <w:rPr>
          <w:sz w:val="22"/>
          <w:szCs w:val="22"/>
          <w:lang w:val="sl-SI"/>
        </w:rPr>
        <w:t xml:space="preserve"> napade. Potrebno je da se doza lijeka </w:t>
      </w:r>
      <w:r w:rsidRPr="008E171B">
        <w:rPr>
          <w:sz w:val="22"/>
          <w:szCs w:val="22"/>
          <w:lang w:val="sl-SI"/>
        </w:rPr>
        <w:t>LAMICTAL</w:t>
      </w:r>
      <w:r>
        <w:rPr>
          <w:sz w:val="22"/>
          <w:szCs w:val="22"/>
          <w:lang w:val="sl-SI"/>
        </w:rPr>
        <w:t xml:space="preserve"> postepeno smanjuje tokom perioda od dvije nedjelje, osim ukoliko je iznenadno povlačenje lijeka iz terapije neophodno iz bezbjednosnih razloga (na primjer pojava osipa).</w:t>
      </w:r>
    </w:p>
    <w:p w14:paraId="22064E82" w14:textId="77777777" w:rsidR="008D2CDA" w:rsidRDefault="008D2CDA" w:rsidP="006B3996">
      <w:pPr>
        <w:pStyle w:val="Header"/>
        <w:tabs>
          <w:tab w:val="left" w:pos="284"/>
        </w:tabs>
        <w:jc w:val="both"/>
        <w:rPr>
          <w:sz w:val="22"/>
          <w:szCs w:val="22"/>
          <w:lang w:val="sl-SI"/>
        </w:rPr>
      </w:pPr>
    </w:p>
    <w:p w14:paraId="22064E83" w14:textId="77777777" w:rsidR="008D2CDA" w:rsidRDefault="008D2CDA" w:rsidP="006B3996">
      <w:pPr>
        <w:pStyle w:val="Header"/>
        <w:tabs>
          <w:tab w:val="left" w:pos="284"/>
        </w:tabs>
        <w:jc w:val="both"/>
        <w:rPr>
          <w:sz w:val="22"/>
          <w:szCs w:val="22"/>
          <w:lang w:val="sl-SI"/>
        </w:rPr>
      </w:pPr>
      <w:r>
        <w:rPr>
          <w:sz w:val="22"/>
          <w:szCs w:val="22"/>
          <w:lang w:val="sl-SI"/>
        </w:rPr>
        <w:t xml:space="preserve">Postoje izvještaji u literaturi da teški napadi konvulzija uključujući </w:t>
      </w:r>
      <w:r w:rsidRPr="006B3996">
        <w:rPr>
          <w:i/>
          <w:sz w:val="22"/>
          <w:szCs w:val="22"/>
          <w:lang w:val="sl-SI"/>
        </w:rPr>
        <w:t>status epilepticus</w:t>
      </w:r>
      <w:r>
        <w:rPr>
          <w:sz w:val="22"/>
          <w:szCs w:val="22"/>
          <w:lang w:val="sl-SI"/>
        </w:rPr>
        <w:t xml:space="preserve"> mogu dovesti do rabdomiolize, multiorganske disfunkcije i diseminovane intravaskularne koagulacije, ponekad sa fatalnim ishodom. Javljali su se slični slučajevi povezani sa primjenom lamotrigina.</w:t>
      </w:r>
    </w:p>
    <w:p w14:paraId="22064E84" w14:textId="77777777" w:rsidR="008D2CDA" w:rsidRDefault="008D2CDA" w:rsidP="006B3996">
      <w:pPr>
        <w:pStyle w:val="Header"/>
        <w:tabs>
          <w:tab w:val="left" w:pos="284"/>
        </w:tabs>
        <w:jc w:val="both"/>
        <w:rPr>
          <w:sz w:val="22"/>
          <w:szCs w:val="22"/>
          <w:lang w:val="sl-SI"/>
        </w:rPr>
      </w:pPr>
    </w:p>
    <w:p w14:paraId="22064E85" w14:textId="77777777" w:rsidR="008D2CDA" w:rsidRDefault="008D2CDA" w:rsidP="006B3996">
      <w:pPr>
        <w:pStyle w:val="Header"/>
        <w:tabs>
          <w:tab w:val="left" w:pos="284"/>
        </w:tabs>
        <w:jc w:val="both"/>
        <w:rPr>
          <w:sz w:val="22"/>
          <w:szCs w:val="22"/>
          <w:lang w:val="sl-SI"/>
        </w:rPr>
      </w:pPr>
      <w:r>
        <w:rPr>
          <w:sz w:val="22"/>
          <w:szCs w:val="22"/>
          <w:lang w:val="sl-SI"/>
        </w:rPr>
        <w:t xml:space="preserve">Umjesto poboljšanja, može se uočiti klinički značajno pogoršanje učestalosti napada. Kod pacijenata kod kojih se javlja više od jednog tipa napada, potrebno je procijeniti uočenu korist od postignute kontrole jednog tipa napada u odnosu na uočeno pogoršanje napada drugog tipa.  </w:t>
      </w:r>
    </w:p>
    <w:p w14:paraId="22064E86" w14:textId="77777777" w:rsidR="008D2CDA" w:rsidRDefault="008D2CDA" w:rsidP="006B3996">
      <w:pPr>
        <w:pStyle w:val="Header"/>
        <w:tabs>
          <w:tab w:val="left" w:pos="284"/>
        </w:tabs>
        <w:jc w:val="both"/>
        <w:rPr>
          <w:sz w:val="22"/>
          <w:szCs w:val="22"/>
          <w:lang w:val="sl-SI"/>
        </w:rPr>
      </w:pPr>
    </w:p>
    <w:p w14:paraId="22064E87" w14:textId="77777777" w:rsidR="008D2CDA" w:rsidRDefault="008D2CDA" w:rsidP="006B3996">
      <w:pPr>
        <w:pStyle w:val="Header"/>
        <w:tabs>
          <w:tab w:val="left" w:pos="284"/>
        </w:tabs>
        <w:jc w:val="both"/>
        <w:rPr>
          <w:sz w:val="22"/>
          <w:szCs w:val="22"/>
          <w:lang w:val="sl-SI"/>
        </w:rPr>
      </w:pPr>
      <w:r>
        <w:rPr>
          <w:sz w:val="22"/>
          <w:szCs w:val="22"/>
          <w:lang w:val="sl-SI"/>
        </w:rPr>
        <w:t>Moguće je da nakon primjene lamotrigina dođe do pogoršanja miokloničnih napada.</w:t>
      </w:r>
    </w:p>
    <w:p w14:paraId="22064E88" w14:textId="77777777" w:rsidR="008D2CDA" w:rsidRDefault="008D2CDA" w:rsidP="006B3996">
      <w:pPr>
        <w:pStyle w:val="Header"/>
        <w:tabs>
          <w:tab w:val="left" w:pos="284"/>
        </w:tabs>
        <w:jc w:val="both"/>
        <w:rPr>
          <w:sz w:val="22"/>
          <w:szCs w:val="22"/>
          <w:lang w:val="sl-SI"/>
        </w:rPr>
      </w:pPr>
    </w:p>
    <w:p w14:paraId="22064E89" w14:textId="77777777" w:rsidR="008D2CDA" w:rsidRDefault="008D2CDA" w:rsidP="006B3996">
      <w:pPr>
        <w:pStyle w:val="Header"/>
        <w:tabs>
          <w:tab w:val="left" w:pos="284"/>
        </w:tabs>
        <w:jc w:val="both"/>
        <w:rPr>
          <w:sz w:val="22"/>
          <w:szCs w:val="22"/>
          <w:lang w:val="sl-SI"/>
        </w:rPr>
      </w:pPr>
      <w:r>
        <w:rPr>
          <w:sz w:val="22"/>
          <w:szCs w:val="22"/>
          <w:lang w:val="sl-SI"/>
        </w:rPr>
        <w:t xml:space="preserve">Podaci nagovještavaju da su klinički odgovori na kombinovanu terapiju sa induktorima enzima slabiji u odnosu na kombinovanu terapiju sa antiepileptičkim agensima koji ne indukuju enzime. Razlog navedene pojave nije jasan. </w:t>
      </w:r>
    </w:p>
    <w:p w14:paraId="22064E8A" w14:textId="77777777" w:rsidR="008D2CDA" w:rsidRDefault="008D2CDA" w:rsidP="006B3996">
      <w:pPr>
        <w:pStyle w:val="Header"/>
        <w:tabs>
          <w:tab w:val="left" w:pos="284"/>
        </w:tabs>
        <w:jc w:val="both"/>
        <w:rPr>
          <w:sz w:val="22"/>
          <w:szCs w:val="22"/>
          <w:lang w:val="sl-SI"/>
        </w:rPr>
      </w:pPr>
    </w:p>
    <w:p w14:paraId="22064E8B" w14:textId="77777777" w:rsidR="008D2CDA" w:rsidRDefault="008D2CDA" w:rsidP="006B3996">
      <w:pPr>
        <w:pStyle w:val="Header"/>
        <w:tabs>
          <w:tab w:val="left" w:pos="284"/>
        </w:tabs>
        <w:jc w:val="both"/>
        <w:rPr>
          <w:sz w:val="22"/>
          <w:szCs w:val="22"/>
          <w:lang w:val="sl-SI"/>
        </w:rPr>
      </w:pPr>
      <w:r>
        <w:rPr>
          <w:sz w:val="22"/>
          <w:szCs w:val="22"/>
          <w:lang w:val="sl-SI"/>
        </w:rPr>
        <w:t>Moguće je da efikasnost neće biti postignuta kod svih pacijenata prilikom primjene lamotrigina kod djece u terapiji tipičnih absans napada.</w:t>
      </w:r>
    </w:p>
    <w:p w14:paraId="22064E8C" w14:textId="77777777" w:rsidR="008D2CDA" w:rsidRDefault="008D2CDA" w:rsidP="006B3996">
      <w:pPr>
        <w:pStyle w:val="Header"/>
        <w:tabs>
          <w:tab w:val="left" w:pos="284"/>
        </w:tabs>
        <w:jc w:val="both"/>
        <w:rPr>
          <w:sz w:val="22"/>
          <w:szCs w:val="22"/>
          <w:lang w:val="sl-SI"/>
        </w:rPr>
      </w:pPr>
    </w:p>
    <w:p w14:paraId="22064E8D" w14:textId="77777777" w:rsidR="008D2CDA" w:rsidRDefault="008D2CDA" w:rsidP="006B3996">
      <w:pPr>
        <w:pStyle w:val="Header"/>
        <w:tabs>
          <w:tab w:val="left" w:pos="284"/>
        </w:tabs>
        <w:jc w:val="both"/>
        <w:rPr>
          <w:sz w:val="22"/>
          <w:szCs w:val="22"/>
          <w:u w:val="single"/>
          <w:lang w:val="sl-SI"/>
        </w:rPr>
      </w:pPr>
      <w:r>
        <w:rPr>
          <w:sz w:val="22"/>
          <w:szCs w:val="22"/>
          <w:u w:val="single"/>
          <w:lang w:val="sl-SI"/>
        </w:rPr>
        <w:lastRenderedPageBreak/>
        <w:t>Mjere opreza kod pacijenata sa bipolarnim poremećajem</w:t>
      </w:r>
    </w:p>
    <w:p w14:paraId="22064E8E" w14:textId="77777777" w:rsidR="008D2CDA" w:rsidRDefault="008D2CDA" w:rsidP="006B3996">
      <w:pPr>
        <w:pStyle w:val="Header"/>
        <w:tabs>
          <w:tab w:val="left" w:pos="284"/>
        </w:tabs>
        <w:jc w:val="both"/>
        <w:rPr>
          <w:sz w:val="22"/>
          <w:szCs w:val="22"/>
          <w:u w:val="single"/>
          <w:lang w:val="sl-SI"/>
        </w:rPr>
      </w:pPr>
    </w:p>
    <w:p w14:paraId="22064E8F" w14:textId="12BE2421" w:rsidR="008D2CDA" w:rsidRPr="004E30CF" w:rsidRDefault="008D2CDA" w:rsidP="006B3996">
      <w:pPr>
        <w:pStyle w:val="Header"/>
        <w:tabs>
          <w:tab w:val="left" w:pos="284"/>
        </w:tabs>
        <w:jc w:val="both"/>
        <w:rPr>
          <w:i/>
          <w:sz w:val="22"/>
          <w:szCs w:val="22"/>
          <w:lang w:val="sl-SI"/>
        </w:rPr>
      </w:pPr>
      <w:r w:rsidRPr="004E30CF">
        <w:rPr>
          <w:i/>
          <w:sz w:val="22"/>
          <w:szCs w:val="22"/>
          <w:lang w:val="sl-SI"/>
        </w:rPr>
        <w:t xml:space="preserve">Djeca i adolescenti </w:t>
      </w:r>
      <w:r w:rsidR="008B2024">
        <w:rPr>
          <w:i/>
          <w:sz w:val="22"/>
          <w:szCs w:val="22"/>
          <w:lang w:val="sl-SI"/>
        </w:rPr>
        <w:t>mlađi od</w:t>
      </w:r>
      <w:r w:rsidR="008B2024" w:rsidRPr="004E30CF">
        <w:rPr>
          <w:i/>
          <w:sz w:val="22"/>
          <w:szCs w:val="22"/>
          <w:lang w:val="sl-SI"/>
        </w:rPr>
        <w:t xml:space="preserve"> </w:t>
      </w:r>
      <w:r w:rsidRPr="004E30CF">
        <w:rPr>
          <w:i/>
          <w:sz w:val="22"/>
          <w:szCs w:val="22"/>
          <w:lang w:val="sl-SI"/>
        </w:rPr>
        <w:t xml:space="preserve">18 godina </w:t>
      </w:r>
    </w:p>
    <w:p w14:paraId="22064E90" w14:textId="11C95189" w:rsidR="008D2CDA" w:rsidRDefault="008D2CDA" w:rsidP="006B3996">
      <w:pPr>
        <w:tabs>
          <w:tab w:val="left" w:pos="540"/>
          <w:tab w:val="left" w:pos="569"/>
        </w:tabs>
        <w:jc w:val="both"/>
        <w:rPr>
          <w:sz w:val="22"/>
          <w:szCs w:val="22"/>
          <w:lang w:val="sl-SI"/>
        </w:rPr>
      </w:pPr>
      <w:r>
        <w:rPr>
          <w:sz w:val="22"/>
          <w:szCs w:val="22"/>
          <w:lang w:val="sl-SI"/>
        </w:rPr>
        <w:t>Terapija antidepresivima je povezana sa povišenim rizikom za pojavu suicidalnih misli i ponašanja kod djece i adolescenata sa major depresijom i drugim psihijatrijskim poremećajima.</w:t>
      </w:r>
    </w:p>
    <w:p w14:paraId="22064E91" w14:textId="77777777" w:rsidR="00057E35" w:rsidRPr="008E171B" w:rsidRDefault="00057E35" w:rsidP="006B3996">
      <w:pPr>
        <w:tabs>
          <w:tab w:val="left" w:pos="540"/>
          <w:tab w:val="left" w:pos="569"/>
        </w:tabs>
        <w:jc w:val="both"/>
        <w:rPr>
          <w:bCs/>
          <w:sz w:val="22"/>
          <w:szCs w:val="22"/>
          <w:lang w:val="sl-SI"/>
        </w:rPr>
      </w:pPr>
    </w:p>
    <w:p w14:paraId="22064E92" w14:textId="77777777" w:rsidR="00411B4B" w:rsidRPr="00BC6BEF" w:rsidRDefault="00411B4B" w:rsidP="006B3996">
      <w:pPr>
        <w:tabs>
          <w:tab w:val="left" w:pos="540"/>
          <w:tab w:val="left" w:pos="569"/>
        </w:tabs>
        <w:jc w:val="both"/>
        <w:rPr>
          <w:b/>
          <w:bCs/>
          <w:sz w:val="22"/>
          <w:szCs w:val="22"/>
          <w:lang w:val="sl-SI"/>
        </w:rPr>
      </w:pPr>
      <w:r w:rsidRPr="00BC6BEF">
        <w:rPr>
          <w:b/>
          <w:bCs/>
          <w:sz w:val="22"/>
          <w:szCs w:val="22"/>
          <w:lang w:val="sl-SI"/>
        </w:rPr>
        <w:t>4.5.</w:t>
      </w:r>
      <w:r w:rsidR="000D60CC" w:rsidRPr="00BC6BEF">
        <w:rPr>
          <w:b/>
          <w:bCs/>
          <w:sz w:val="22"/>
          <w:szCs w:val="22"/>
          <w:lang w:val="sl-SI"/>
        </w:rPr>
        <w:tab/>
      </w:r>
      <w:r w:rsidRPr="00BC6BEF">
        <w:rPr>
          <w:b/>
          <w:bCs/>
          <w:sz w:val="22"/>
          <w:szCs w:val="22"/>
          <w:lang w:val="sl-SI"/>
        </w:rPr>
        <w:t>Interakcije sa drugim ljekovima i druge vrste interakcija</w:t>
      </w:r>
    </w:p>
    <w:p w14:paraId="22064E93" w14:textId="77777777" w:rsidR="008D2CDA" w:rsidRPr="00BC6BEF" w:rsidRDefault="008D2CDA" w:rsidP="006B3996">
      <w:pPr>
        <w:pStyle w:val="Header"/>
        <w:tabs>
          <w:tab w:val="left" w:pos="284"/>
        </w:tabs>
        <w:jc w:val="both"/>
        <w:rPr>
          <w:sz w:val="22"/>
          <w:szCs w:val="22"/>
          <w:lang w:val="sl-SI"/>
        </w:rPr>
      </w:pPr>
    </w:p>
    <w:p w14:paraId="22064E94" w14:textId="77777777" w:rsidR="008D2CDA" w:rsidRPr="00BC6BEF" w:rsidRDefault="008D2CDA" w:rsidP="006B3996">
      <w:pPr>
        <w:pStyle w:val="Header"/>
        <w:tabs>
          <w:tab w:val="left" w:pos="284"/>
        </w:tabs>
        <w:jc w:val="both"/>
        <w:rPr>
          <w:sz w:val="22"/>
          <w:szCs w:val="22"/>
          <w:lang w:val="sl-SI"/>
        </w:rPr>
      </w:pPr>
      <w:r w:rsidRPr="00BC6BEF">
        <w:rPr>
          <w:sz w:val="22"/>
          <w:szCs w:val="22"/>
          <w:lang w:val="sl-SI"/>
        </w:rPr>
        <w:t>Klinička ispitivanja interakcija su sprovedena samo kod odraslih osoba.</w:t>
      </w:r>
    </w:p>
    <w:p w14:paraId="22064E95" w14:textId="77777777" w:rsidR="008D2CDA" w:rsidRPr="00BC6BEF" w:rsidRDefault="008D2CDA" w:rsidP="006B3996">
      <w:pPr>
        <w:pStyle w:val="Header"/>
        <w:tabs>
          <w:tab w:val="left" w:pos="284"/>
        </w:tabs>
        <w:jc w:val="both"/>
        <w:rPr>
          <w:sz w:val="22"/>
          <w:szCs w:val="22"/>
          <w:lang w:val="sl-SI"/>
        </w:rPr>
      </w:pPr>
    </w:p>
    <w:p w14:paraId="7168DFF3" w14:textId="5CD76630" w:rsidR="00BD4239" w:rsidRPr="004E30CF" w:rsidRDefault="00144BE4" w:rsidP="006B3996">
      <w:pPr>
        <w:jc w:val="both"/>
        <w:rPr>
          <w:bCs/>
          <w:sz w:val="22"/>
          <w:szCs w:val="22"/>
          <w:lang w:val="sr-Latn-CS"/>
        </w:rPr>
      </w:pPr>
      <w:r w:rsidRPr="00144BE4">
        <w:rPr>
          <w:sz w:val="22"/>
          <w:szCs w:val="22"/>
          <w:lang w:val="sr-Latn-ME"/>
        </w:rPr>
        <w:t xml:space="preserve">Uridin </w:t>
      </w:r>
      <w:r w:rsidRPr="00BD4239">
        <w:rPr>
          <w:sz w:val="22"/>
          <w:szCs w:val="22"/>
          <w:lang w:val="sr-Latn-ME"/>
        </w:rPr>
        <w:t>5’-difosfo (UDP)</w:t>
      </w:r>
      <w:r w:rsidRPr="00BD4239">
        <w:rPr>
          <w:sz w:val="22"/>
          <w:szCs w:val="22"/>
          <w:lang w:val="sr-Latn-ME"/>
        </w:rPr>
        <w:noBreakHyphen/>
        <w:t xml:space="preserve">glukuronil-transferaze (UGT) bile su identifikovane kao enzimi odgovorni za metabolizam lamotrigina. Ljekovi koji indukuju ili inhibiraju glukuronidaciju mogu, stoga, uticati na prividni klirens lamotrigina. Jaki ili umjereni induktori enzima citohroma P450 3A4 (CYP3A4), koji su poznati i po tome da indukuju UGT, mogu takođe pojačati metabolizam lamotrigina. </w:t>
      </w:r>
      <w:r w:rsidR="00BD4239" w:rsidRPr="004E30CF">
        <w:rPr>
          <w:sz w:val="22"/>
          <w:szCs w:val="22"/>
          <w:lang w:val="sr-Latn-CS"/>
        </w:rPr>
        <w:t>Nema dokaza da lamotrigin uzrokuje klinički značajnu indukciju ili inhibiciju enzima citohroma P450. Lamotrigin može indukovati sopstveni metabolizam, ali je navedeno dejstvo umjereno i nije vjerovatno da ima klinički značajne posl</w:t>
      </w:r>
      <w:r w:rsidR="007A7EC7">
        <w:rPr>
          <w:sz w:val="22"/>
          <w:szCs w:val="22"/>
          <w:lang w:val="sr-Latn-CS"/>
        </w:rPr>
        <w:t>j</w:t>
      </w:r>
      <w:r w:rsidR="00BD4239" w:rsidRPr="004E30CF">
        <w:rPr>
          <w:sz w:val="22"/>
          <w:szCs w:val="22"/>
          <w:lang w:val="sr-Latn-CS"/>
        </w:rPr>
        <w:t>edice.</w:t>
      </w:r>
    </w:p>
    <w:p w14:paraId="520E5E00" w14:textId="77777777" w:rsidR="00144BE4" w:rsidRPr="00144BE4" w:rsidRDefault="00144BE4" w:rsidP="007B50AD">
      <w:pPr>
        <w:jc w:val="both"/>
        <w:rPr>
          <w:sz w:val="22"/>
          <w:szCs w:val="22"/>
          <w:lang w:val="sr-Latn-ME"/>
        </w:rPr>
      </w:pPr>
    </w:p>
    <w:p w14:paraId="73EF355B" w14:textId="4CE5021D" w:rsidR="00BD4239" w:rsidRPr="004E30CF" w:rsidRDefault="00057B8F" w:rsidP="006B3996">
      <w:pPr>
        <w:jc w:val="both"/>
        <w:rPr>
          <w:bCs/>
          <w:sz w:val="22"/>
          <w:szCs w:val="22"/>
          <w:lang w:val="sr-Latn-CS"/>
        </w:rPr>
      </w:pPr>
      <w:r>
        <w:rPr>
          <w:sz w:val="22"/>
          <w:szCs w:val="22"/>
          <w:lang w:val="sr-Latn-ME"/>
        </w:rPr>
        <w:t>L</w:t>
      </w:r>
      <w:r w:rsidR="00144BE4" w:rsidRPr="00144BE4">
        <w:rPr>
          <w:sz w:val="22"/>
          <w:szCs w:val="22"/>
          <w:lang w:val="sr-Latn-ME"/>
        </w:rPr>
        <w:t xml:space="preserve">jekovi za koje je dokazano da </w:t>
      </w:r>
      <w:r w:rsidR="00144BE4" w:rsidRPr="00BD4239">
        <w:rPr>
          <w:sz w:val="22"/>
          <w:szCs w:val="22"/>
          <w:lang w:val="sr-Latn-ME"/>
        </w:rPr>
        <w:t xml:space="preserve">imaju klinički </w:t>
      </w:r>
      <w:r>
        <w:rPr>
          <w:sz w:val="22"/>
          <w:szCs w:val="22"/>
          <w:lang w:val="sr-Latn-ME"/>
        </w:rPr>
        <w:t>relevant</w:t>
      </w:r>
      <w:r w:rsidRPr="00BD4239">
        <w:rPr>
          <w:sz w:val="22"/>
          <w:szCs w:val="22"/>
          <w:lang w:val="sr-Latn-ME"/>
        </w:rPr>
        <w:t xml:space="preserve">an </w:t>
      </w:r>
      <w:r w:rsidR="00144BE4" w:rsidRPr="00BD4239">
        <w:rPr>
          <w:sz w:val="22"/>
          <w:szCs w:val="22"/>
          <w:lang w:val="sr-Latn-ME"/>
        </w:rPr>
        <w:t xml:space="preserve">uticaj na </w:t>
      </w:r>
      <w:r w:rsidR="00BD4239" w:rsidRPr="00BD4239">
        <w:rPr>
          <w:sz w:val="22"/>
          <w:szCs w:val="22"/>
          <w:lang w:val="sr-Latn-ME"/>
        </w:rPr>
        <w:t xml:space="preserve">koncentraciju </w:t>
      </w:r>
      <w:r w:rsidR="00144BE4" w:rsidRPr="00E747DD">
        <w:rPr>
          <w:sz w:val="22"/>
          <w:szCs w:val="22"/>
          <w:lang w:val="sr-Latn-ME"/>
        </w:rPr>
        <w:t>lamotrigina, navedeni su u tabeli 6. Posebn</w:t>
      </w:r>
      <w:r w:rsidR="00BD4239" w:rsidRPr="00E747DD">
        <w:rPr>
          <w:sz w:val="22"/>
          <w:szCs w:val="22"/>
          <w:lang w:val="sr-Latn-ME"/>
        </w:rPr>
        <w:t>e smjernice</w:t>
      </w:r>
      <w:r w:rsidR="00144BE4" w:rsidRPr="00E16A35">
        <w:rPr>
          <w:sz w:val="22"/>
          <w:szCs w:val="22"/>
          <w:lang w:val="sr-Latn-ME"/>
        </w:rPr>
        <w:t xml:space="preserve"> za doziranje ovih ljekova </w:t>
      </w:r>
      <w:r w:rsidR="00BD4239" w:rsidRPr="00E16A35">
        <w:rPr>
          <w:sz w:val="22"/>
          <w:szCs w:val="22"/>
          <w:lang w:val="sr-Latn-ME"/>
        </w:rPr>
        <w:t xml:space="preserve">prikazane </w:t>
      </w:r>
      <w:r w:rsidR="00144BE4" w:rsidRPr="00E16A35">
        <w:rPr>
          <w:sz w:val="22"/>
          <w:szCs w:val="22"/>
          <w:lang w:val="sr-Latn-ME"/>
        </w:rPr>
        <w:t xml:space="preserve">su u </w:t>
      </w:r>
      <w:r w:rsidR="0041401C" w:rsidRPr="00E16A35">
        <w:rPr>
          <w:sz w:val="22"/>
          <w:szCs w:val="22"/>
          <w:lang w:val="sr-Latn-ME"/>
        </w:rPr>
        <w:t>dijelu</w:t>
      </w:r>
      <w:r w:rsidR="00144BE4" w:rsidRPr="00E16A35">
        <w:rPr>
          <w:sz w:val="22"/>
          <w:szCs w:val="22"/>
          <w:lang w:val="sr-Latn-ME"/>
        </w:rPr>
        <w:t xml:space="preserve"> 4.2.</w:t>
      </w:r>
      <w:r w:rsidR="00BD4239" w:rsidRPr="00E16A35">
        <w:rPr>
          <w:sz w:val="22"/>
          <w:szCs w:val="22"/>
          <w:lang w:val="sr-Latn-ME"/>
        </w:rPr>
        <w:t xml:space="preserve"> </w:t>
      </w:r>
      <w:r w:rsidR="00BD4239" w:rsidRPr="004E30CF">
        <w:rPr>
          <w:sz w:val="22"/>
          <w:szCs w:val="22"/>
          <w:lang w:val="sr-Latn-CS"/>
        </w:rPr>
        <w:t>Osim toga, u tabeli su navedeni oni l</w:t>
      </w:r>
      <w:r w:rsidR="00BD4239">
        <w:rPr>
          <w:sz w:val="22"/>
          <w:szCs w:val="22"/>
          <w:lang w:val="sr-Latn-CS"/>
        </w:rPr>
        <w:t>j</w:t>
      </w:r>
      <w:r w:rsidR="00BD4239" w:rsidRPr="004E30CF">
        <w:rPr>
          <w:sz w:val="22"/>
          <w:szCs w:val="22"/>
          <w:lang w:val="sr-Latn-CS"/>
        </w:rPr>
        <w:t>ekovi za koje se pokazalo da imaju mali ili nikakav uticaj na koncentraciju lamotrigina. Generalno se ne očekuje da će istovremena prim</w:t>
      </w:r>
      <w:r w:rsidR="00BD4239">
        <w:rPr>
          <w:sz w:val="22"/>
          <w:szCs w:val="22"/>
          <w:lang w:val="sr-Latn-CS"/>
        </w:rPr>
        <w:t>j</w:t>
      </w:r>
      <w:r w:rsidR="00BD4239" w:rsidRPr="004E30CF">
        <w:rPr>
          <w:sz w:val="22"/>
          <w:szCs w:val="22"/>
          <w:lang w:val="sr-Latn-CS"/>
        </w:rPr>
        <w:t>ena ovih l</w:t>
      </w:r>
      <w:r w:rsidR="00BD4239">
        <w:rPr>
          <w:sz w:val="22"/>
          <w:szCs w:val="22"/>
          <w:lang w:val="sr-Latn-CS"/>
        </w:rPr>
        <w:t>j</w:t>
      </w:r>
      <w:r w:rsidR="00BD4239" w:rsidRPr="004E30CF">
        <w:rPr>
          <w:sz w:val="22"/>
          <w:szCs w:val="22"/>
          <w:lang w:val="sr-Latn-CS"/>
        </w:rPr>
        <w:t>ekova dovesti do bilo kakvog kliničkog uticaja. Međutim, treba uzeti u obzir pacijente čija je epilepsija posebno os</w:t>
      </w:r>
      <w:r w:rsidR="00BD4239">
        <w:rPr>
          <w:sz w:val="22"/>
          <w:szCs w:val="22"/>
          <w:lang w:val="sr-Latn-CS"/>
        </w:rPr>
        <w:t>j</w:t>
      </w:r>
      <w:r w:rsidR="00BD4239" w:rsidRPr="004E30CF">
        <w:rPr>
          <w:sz w:val="22"/>
          <w:szCs w:val="22"/>
          <w:lang w:val="sr-Latn-CS"/>
        </w:rPr>
        <w:t>etljiva na fluktuacije koncentracije lamotrigina.</w:t>
      </w:r>
    </w:p>
    <w:p w14:paraId="22064E97" w14:textId="77777777" w:rsidR="008D2CDA" w:rsidRPr="008E171B" w:rsidRDefault="008D2CDA" w:rsidP="006B3996">
      <w:pPr>
        <w:pStyle w:val="Header"/>
        <w:tabs>
          <w:tab w:val="left" w:pos="284"/>
        </w:tabs>
        <w:jc w:val="both"/>
        <w:rPr>
          <w:sz w:val="22"/>
          <w:szCs w:val="22"/>
          <w:lang w:val="sr-Latn-CS"/>
        </w:rPr>
      </w:pPr>
    </w:p>
    <w:p w14:paraId="22064E98" w14:textId="70CC50FD" w:rsidR="008D2CDA" w:rsidRDefault="008D2CDA" w:rsidP="006B3996">
      <w:pPr>
        <w:pStyle w:val="Header"/>
        <w:tabs>
          <w:tab w:val="left" w:pos="284"/>
        </w:tabs>
        <w:jc w:val="both"/>
        <w:rPr>
          <w:i/>
          <w:sz w:val="22"/>
          <w:szCs w:val="22"/>
          <w:u w:val="single"/>
        </w:rPr>
      </w:pPr>
      <w:r>
        <w:rPr>
          <w:i/>
          <w:sz w:val="22"/>
          <w:szCs w:val="22"/>
          <w:u w:val="single"/>
        </w:rPr>
        <w:t xml:space="preserve">Tabela 6: Dejstva ljekova na </w:t>
      </w:r>
      <w:r w:rsidR="00292767">
        <w:rPr>
          <w:i/>
          <w:sz w:val="22"/>
          <w:szCs w:val="22"/>
          <w:u w:val="single"/>
        </w:rPr>
        <w:t xml:space="preserve">koncentraciju </w:t>
      </w:r>
      <w:r>
        <w:rPr>
          <w:i/>
          <w:sz w:val="22"/>
          <w:szCs w:val="22"/>
          <w:u w:val="single"/>
        </w:rPr>
        <w:t>lamotrigina</w:t>
      </w:r>
    </w:p>
    <w:p w14:paraId="22064E99" w14:textId="77777777" w:rsidR="008D2CDA" w:rsidRDefault="008D2CDA" w:rsidP="008D2CDA">
      <w:pPr>
        <w:pStyle w:val="Header"/>
        <w:tabs>
          <w:tab w:val="left" w:pos="284"/>
        </w:tabs>
        <w:rPr>
          <w:i/>
          <w:sz w:val="22"/>
          <w:szCs w:val="22"/>
          <w:u w:val="single"/>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3319"/>
        <w:gridCol w:w="3319"/>
      </w:tblGrid>
      <w:tr w:rsidR="008D2CDA" w14:paraId="22064E9F" w14:textId="77777777" w:rsidTr="00E747DD">
        <w:tc>
          <w:tcPr>
            <w:tcW w:w="3319" w:type="dxa"/>
            <w:tcBorders>
              <w:top w:val="single" w:sz="4" w:space="0" w:color="auto"/>
              <w:left w:val="single" w:sz="4" w:space="0" w:color="auto"/>
              <w:bottom w:val="single" w:sz="4" w:space="0" w:color="auto"/>
              <w:right w:val="single" w:sz="4" w:space="0" w:color="auto"/>
            </w:tcBorders>
            <w:hideMark/>
          </w:tcPr>
          <w:p w14:paraId="22064E9A" w14:textId="217F4B07" w:rsidR="008D2CDA" w:rsidRDefault="008D2CDA" w:rsidP="00104528">
            <w:pPr>
              <w:pStyle w:val="Header"/>
              <w:tabs>
                <w:tab w:val="left" w:pos="284"/>
              </w:tabs>
              <w:rPr>
                <w:sz w:val="22"/>
                <w:szCs w:val="22"/>
              </w:rPr>
            </w:pPr>
            <w:r>
              <w:rPr>
                <w:b/>
                <w:sz w:val="22"/>
                <w:szCs w:val="22"/>
              </w:rPr>
              <w:t xml:space="preserve">Ljekovi koji </w:t>
            </w:r>
            <w:r w:rsidR="00104528">
              <w:rPr>
                <w:b/>
                <w:sz w:val="22"/>
                <w:szCs w:val="22"/>
              </w:rPr>
              <w:t>povećavaju koncentr</w:t>
            </w:r>
            <w:r>
              <w:rPr>
                <w:b/>
                <w:sz w:val="22"/>
                <w:szCs w:val="22"/>
              </w:rPr>
              <w:t>aciju lamotrigina</w:t>
            </w:r>
          </w:p>
        </w:tc>
        <w:tc>
          <w:tcPr>
            <w:tcW w:w="3319" w:type="dxa"/>
            <w:tcBorders>
              <w:top w:val="single" w:sz="4" w:space="0" w:color="auto"/>
              <w:left w:val="single" w:sz="4" w:space="0" w:color="auto"/>
              <w:bottom w:val="single" w:sz="4" w:space="0" w:color="auto"/>
              <w:right w:val="single" w:sz="4" w:space="0" w:color="auto"/>
            </w:tcBorders>
            <w:hideMark/>
          </w:tcPr>
          <w:p w14:paraId="22064E9B" w14:textId="2B6E0EFB" w:rsidR="008D2CDA" w:rsidRDefault="008D2CDA" w:rsidP="00104528">
            <w:pPr>
              <w:pStyle w:val="Header"/>
              <w:tabs>
                <w:tab w:val="left" w:pos="284"/>
              </w:tabs>
              <w:rPr>
                <w:sz w:val="22"/>
                <w:szCs w:val="22"/>
              </w:rPr>
            </w:pPr>
            <w:r>
              <w:rPr>
                <w:b/>
                <w:sz w:val="22"/>
                <w:szCs w:val="22"/>
              </w:rPr>
              <w:t xml:space="preserve">Ljekovi koji </w:t>
            </w:r>
            <w:r w:rsidR="00104528">
              <w:rPr>
                <w:b/>
                <w:sz w:val="22"/>
                <w:szCs w:val="22"/>
              </w:rPr>
              <w:t>smanjuju koncentr</w:t>
            </w:r>
            <w:r>
              <w:rPr>
                <w:b/>
                <w:sz w:val="22"/>
                <w:szCs w:val="22"/>
              </w:rPr>
              <w:t>aciju lamotrigina</w:t>
            </w:r>
          </w:p>
        </w:tc>
        <w:tc>
          <w:tcPr>
            <w:tcW w:w="3319" w:type="dxa"/>
            <w:tcBorders>
              <w:top w:val="single" w:sz="4" w:space="0" w:color="auto"/>
              <w:left w:val="single" w:sz="4" w:space="0" w:color="auto"/>
              <w:bottom w:val="single" w:sz="4" w:space="0" w:color="auto"/>
              <w:right w:val="single" w:sz="4" w:space="0" w:color="auto"/>
            </w:tcBorders>
            <w:hideMark/>
          </w:tcPr>
          <w:p w14:paraId="22064E9E" w14:textId="30F463B5" w:rsidR="008D2CDA" w:rsidRDefault="008D2CDA" w:rsidP="00104528">
            <w:pPr>
              <w:pStyle w:val="Header"/>
              <w:tabs>
                <w:tab w:val="left" w:pos="284"/>
              </w:tabs>
              <w:rPr>
                <w:sz w:val="22"/>
                <w:szCs w:val="22"/>
              </w:rPr>
            </w:pPr>
            <w:r>
              <w:rPr>
                <w:b/>
                <w:sz w:val="22"/>
                <w:szCs w:val="22"/>
                <w:lang w:val="sl-SI"/>
              </w:rPr>
              <w:t xml:space="preserve">Ljekovi koji </w:t>
            </w:r>
            <w:r w:rsidR="00104528">
              <w:rPr>
                <w:b/>
                <w:sz w:val="22"/>
                <w:szCs w:val="22"/>
                <w:lang w:val="sl-SI"/>
              </w:rPr>
              <w:t>imaju mali ili nikakav uticaj na koncentraciju</w:t>
            </w:r>
            <w:r>
              <w:rPr>
                <w:b/>
                <w:sz w:val="22"/>
                <w:szCs w:val="22"/>
              </w:rPr>
              <w:t xml:space="preserve"> lamotrigina</w:t>
            </w:r>
          </w:p>
        </w:tc>
      </w:tr>
      <w:tr w:rsidR="00E747DD" w14:paraId="22064EA3" w14:textId="77777777" w:rsidTr="004E30CF">
        <w:tc>
          <w:tcPr>
            <w:tcW w:w="3319" w:type="dxa"/>
            <w:tcBorders>
              <w:top w:val="single" w:sz="4" w:space="0" w:color="auto"/>
              <w:left w:val="single" w:sz="4" w:space="0" w:color="auto"/>
              <w:bottom w:val="single" w:sz="4" w:space="0" w:color="auto"/>
              <w:right w:val="single" w:sz="4" w:space="0" w:color="auto"/>
            </w:tcBorders>
            <w:hideMark/>
          </w:tcPr>
          <w:p w14:paraId="22064EA0" w14:textId="77777777" w:rsidR="00E747DD" w:rsidRDefault="00E747DD" w:rsidP="00E747DD">
            <w:pPr>
              <w:pStyle w:val="Header"/>
              <w:tabs>
                <w:tab w:val="left" w:pos="284"/>
              </w:tabs>
              <w:rPr>
                <w:sz w:val="22"/>
                <w:szCs w:val="22"/>
              </w:rPr>
            </w:pPr>
            <w:r>
              <w:rPr>
                <w:sz w:val="22"/>
                <w:szCs w:val="22"/>
              </w:rPr>
              <w:t>Valproat</w:t>
            </w:r>
          </w:p>
        </w:tc>
        <w:tc>
          <w:tcPr>
            <w:tcW w:w="3319" w:type="dxa"/>
            <w:hideMark/>
          </w:tcPr>
          <w:p w14:paraId="22064EA1" w14:textId="2AA1E0A3" w:rsidR="00E747DD" w:rsidRDefault="00E747DD" w:rsidP="00E747DD">
            <w:pPr>
              <w:pStyle w:val="Header"/>
              <w:tabs>
                <w:tab w:val="left" w:pos="284"/>
              </w:tabs>
              <w:rPr>
                <w:sz w:val="22"/>
                <w:szCs w:val="22"/>
              </w:rPr>
            </w:pPr>
            <w:r>
              <w:rPr>
                <w:lang w:val="sr-Latn-CS"/>
              </w:rPr>
              <w:t>A</w:t>
            </w:r>
            <w:r w:rsidRPr="00FC568A">
              <w:rPr>
                <w:lang w:val="sr-Latn-CS"/>
              </w:rPr>
              <w:t>tazanavir/ritonavir*</w:t>
            </w:r>
          </w:p>
        </w:tc>
        <w:tc>
          <w:tcPr>
            <w:tcW w:w="3319" w:type="dxa"/>
            <w:hideMark/>
          </w:tcPr>
          <w:p w14:paraId="22064EA2" w14:textId="1F338470" w:rsidR="00E747DD" w:rsidRDefault="00E747DD" w:rsidP="00E747DD">
            <w:pPr>
              <w:pStyle w:val="Header"/>
              <w:tabs>
                <w:tab w:val="left" w:pos="284"/>
              </w:tabs>
              <w:rPr>
                <w:sz w:val="22"/>
                <w:szCs w:val="22"/>
              </w:rPr>
            </w:pPr>
            <w:r>
              <w:rPr>
                <w:lang w:val="sr-Latn-CS"/>
              </w:rPr>
              <w:t>Aripiprazol</w:t>
            </w:r>
          </w:p>
        </w:tc>
      </w:tr>
      <w:tr w:rsidR="00E747DD" w14:paraId="22064EA7" w14:textId="77777777" w:rsidTr="004E30CF">
        <w:tc>
          <w:tcPr>
            <w:tcW w:w="3319" w:type="dxa"/>
            <w:tcBorders>
              <w:top w:val="single" w:sz="4" w:space="0" w:color="auto"/>
              <w:left w:val="single" w:sz="4" w:space="0" w:color="auto"/>
              <w:bottom w:val="single" w:sz="4" w:space="0" w:color="auto"/>
              <w:right w:val="single" w:sz="4" w:space="0" w:color="auto"/>
            </w:tcBorders>
          </w:tcPr>
          <w:p w14:paraId="22064EA4" w14:textId="77777777" w:rsidR="00E747DD" w:rsidRDefault="00E747DD" w:rsidP="00E747DD">
            <w:pPr>
              <w:pStyle w:val="Header"/>
              <w:tabs>
                <w:tab w:val="left" w:pos="284"/>
              </w:tabs>
              <w:rPr>
                <w:sz w:val="22"/>
                <w:szCs w:val="22"/>
              </w:rPr>
            </w:pPr>
          </w:p>
        </w:tc>
        <w:tc>
          <w:tcPr>
            <w:tcW w:w="3319" w:type="dxa"/>
            <w:hideMark/>
          </w:tcPr>
          <w:p w14:paraId="22064EA5" w14:textId="166C9182" w:rsidR="00E747DD" w:rsidRDefault="00E747DD" w:rsidP="00E747DD">
            <w:pPr>
              <w:pStyle w:val="Header"/>
              <w:tabs>
                <w:tab w:val="left" w:pos="284"/>
              </w:tabs>
              <w:rPr>
                <w:sz w:val="22"/>
                <w:szCs w:val="22"/>
              </w:rPr>
            </w:pPr>
            <w:r w:rsidRPr="00B24068">
              <w:t>Karbamazepin</w:t>
            </w:r>
          </w:p>
        </w:tc>
        <w:tc>
          <w:tcPr>
            <w:tcW w:w="3319" w:type="dxa"/>
            <w:hideMark/>
          </w:tcPr>
          <w:p w14:paraId="22064EA6" w14:textId="5E16F361" w:rsidR="00E747DD" w:rsidRDefault="00E747DD" w:rsidP="00E747DD">
            <w:pPr>
              <w:pStyle w:val="Header"/>
              <w:tabs>
                <w:tab w:val="left" w:pos="284"/>
              </w:tabs>
              <w:rPr>
                <w:sz w:val="22"/>
                <w:szCs w:val="22"/>
              </w:rPr>
            </w:pPr>
            <w:r>
              <w:rPr>
                <w:lang w:val="sr-Latn-CS"/>
              </w:rPr>
              <w:t>Bupropion</w:t>
            </w:r>
          </w:p>
        </w:tc>
      </w:tr>
      <w:tr w:rsidR="00E747DD" w14:paraId="22064EAB" w14:textId="77777777" w:rsidTr="004E30CF">
        <w:tc>
          <w:tcPr>
            <w:tcW w:w="3319" w:type="dxa"/>
            <w:tcBorders>
              <w:top w:val="single" w:sz="4" w:space="0" w:color="auto"/>
              <w:left w:val="single" w:sz="4" w:space="0" w:color="auto"/>
              <w:bottom w:val="single" w:sz="4" w:space="0" w:color="auto"/>
              <w:right w:val="single" w:sz="4" w:space="0" w:color="auto"/>
            </w:tcBorders>
          </w:tcPr>
          <w:p w14:paraId="22064EA8" w14:textId="77777777" w:rsidR="00E747DD" w:rsidRDefault="00E747DD" w:rsidP="00E747DD">
            <w:pPr>
              <w:pStyle w:val="Header"/>
              <w:tabs>
                <w:tab w:val="left" w:pos="284"/>
              </w:tabs>
              <w:rPr>
                <w:sz w:val="22"/>
                <w:szCs w:val="22"/>
              </w:rPr>
            </w:pPr>
          </w:p>
        </w:tc>
        <w:tc>
          <w:tcPr>
            <w:tcW w:w="3319" w:type="dxa"/>
            <w:hideMark/>
          </w:tcPr>
          <w:p w14:paraId="555024BF" w14:textId="77777777" w:rsidR="00E747DD" w:rsidRPr="00FC568A" w:rsidRDefault="00E747DD" w:rsidP="00E747DD">
            <w:pPr>
              <w:rPr>
                <w:bCs/>
                <w:lang w:val="sr-Latn-CS"/>
              </w:rPr>
            </w:pPr>
            <w:r>
              <w:t xml:space="preserve">Kombinacija </w:t>
            </w:r>
            <w:r w:rsidRPr="00FC568A">
              <w:rPr>
                <w:lang w:val="sr-Latn-CS"/>
              </w:rPr>
              <w:t>etinilestradiol</w:t>
            </w:r>
            <w:r>
              <w:rPr>
                <w:lang w:val="sr-Latn-CS"/>
              </w:rPr>
              <w:t>a</w:t>
            </w:r>
            <w:r w:rsidRPr="00FC568A">
              <w:rPr>
                <w:lang w:val="sr-Latn-CS"/>
              </w:rPr>
              <w:t xml:space="preserve">/ </w:t>
            </w:r>
          </w:p>
          <w:p w14:paraId="22064EA9" w14:textId="3183B132" w:rsidR="00E747DD" w:rsidRDefault="00E747DD" w:rsidP="00E747DD">
            <w:pPr>
              <w:pStyle w:val="Header"/>
              <w:tabs>
                <w:tab w:val="left" w:pos="284"/>
              </w:tabs>
              <w:rPr>
                <w:sz w:val="22"/>
                <w:szCs w:val="22"/>
              </w:rPr>
            </w:pPr>
            <w:r w:rsidRPr="00FC568A">
              <w:rPr>
                <w:lang w:val="sr-Latn-CS"/>
              </w:rPr>
              <w:t>levonorgestrel</w:t>
            </w:r>
            <w:r>
              <w:rPr>
                <w:lang w:val="sr-Latn-CS"/>
              </w:rPr>
              <w:t>a</w:t>
            </w:r>
            <w:r w:rsidRPr="00FC568A">
              <w:rPr>
                <w:lang w:val="sr-Latn-CS"/>
              </w:rPr>
              <w:t>*</w:t>
            </w:r>
          </w:p>
        </w:tc>
        <w:tc>
          <w:tcPr>
            <w:tcW w:w="3319" w:type="dxa"/>
            <w:hideMark/>
          </w:tcPr>
          <w:p w14:paraId="22064EAA" w14:textId="2431A6A7" w:rsidR="00E747DD" w:rsidRDefault="00E747DD" w:rsidP="00E747DD">
            <w:pPr>
              <w:pStyle w:val="Header"/>
              <w:tabs>
                <w:tab w:val="left" w:pos="284"/>
              </w:tabs>
              <w:rPr>
                <w:sz w:val="22"/>
                <w:szCs w:val="22"/>
              </w:rPr>
            </w:pPr>
            <w:r>
              <w:rPr>
                <w:lang w:val="sr-Latn-CS"/>
              </w:rPr>
              <w:t>Felbamat</w:t>
            </w:r>
          </w:p>
        </w:tc>
      </w:tr>
      <w:tr w:rsidR="00E747DD" w14:paraId="22064EAF" w14:textId="77777777" w:rsidTr="004E30CF">
        <w:tc>
          <w:tcPr>
            <w:tcW w:w="3319" w:type="dxa"/>
            <w:tcBorders>
              <w:top w:val="single" w:sz="4" w:space="0" w:color="auto"/>
              <w:left w:val="single" w:sz="4" w:space="0" w:color="auto"/>
              <w:bottom w:val="single" w:sz="4" w:space="0" w:color="auto"/>
              <w:right w:val="single" w:sz="4" w:space="0" w:color="auto"/>
            </w:tcBorders>
          </w:tcPr>
          <w:p w14:paraId="22064EAC" w14:textId="77777777" w:rsidR="00E747DD" w:rsidRDefault="00E747DD" w:rsidP="00E747DD">
            <w:pPr>
              <w:pStyle w:val="Header"/>
              <w:tabs>
                <w:tab w:val="left" w:pos="284"/>
              </w:tabs>
              <w:rPr>
                <w:sz w:val="22"/>
                <w:szCs w:val="22"/>
              </w:rPr>
            </w:pPr>
          </w:p>
        </w:tc>
        <w:tc>
          <w:tcPr>
            <w:tcW w:w="3319" w:type="dxa"/>
            <w:hideMark/>
          </w:tcPr>
          <w:p w14:paraId="22064EAD" w14:textId="1FD32631" w:rsidR="00E747DD" w:rsidRDefault="00E747DD" w:rsidP="00E747DD">
            <w:pPr>
              <w:pStyle w:val="Header"/>
              <w:tabs>
                <w:tab w:val="left" w:pos="284"/>
              </w:tabs>
              <w:rPr>
                <w:sz w:val="22"/>
                <w:szCs w:val="22"/>
              </w:rPr>
            </w:pPr>
            <w:r>
              <w:t>Lopinavir/ritonavir</w:t>
            </w:r>
          </w:p>
        </w:tc>
        <w:tc>
          <w:tcPr>
            <w:tcW w:w="3319" w:type="dxa"/>
            <w:hideMark/>
          </w:tcPr>
          <w:p w14:paraId="22064EAE" w14:textId="026CF142" w:rsidR="00E747DD" w:rsidRDefault="00E747DD" w:rsidP="00E747DD">
            <w:pPr>
              <w:pStyle w:val="Header"/>
              <w:tabs>
                <w:tab w:val="left" w:pos="284"/>
              </w:tabs>
              <w:rPr>
                <w:sz w:val="22"/>
                <w:szCs w:val="22"/>
              </w:rPr>
            </w:pPr>
            <w:r>
              <w:rPr>
                <w:lang w:val="sr-Latn-CS"/>
              </w:rPr>
              <w:t>Gabapentin</w:t>
            </w:r>
          </w:p>
        </w:tc>
      </w:tr>
      <w:tr w:rsidR="00E747DD" w14:paraId="22064EB3" w14:textId="77777777" w:rsidTr="004E30CF">
        <w:tc>
          <w:tcPr>
            <w:tcW w:w="3319" w:type="dxa"/>
            <w:tcBorders>
              <w:top w:val="single" w:sz="4" w:space="0" w:color="auto"/>
              <w:left w:val="single" w:sz="4" w:space="0" w:color="auto"/>
              <w:bottom w:val="single" w:sz="4" w:space="0" w:color="auto"/>
              <w:right w:val="single" w:sz="4" w:space="0" w:color="auto"/>
            </w:tcBorders>
          </w:tcPr>
          <w:p w14:paraId="22064EB0" w14:textId="77777777" w:rsidR="00E747DD" w:rsidRDefault="00E747DD" w:rsidP="00E747DD">
            <w:pPr>
              <w:pStyle w:val="Header"/>
              <w:tabs>
                <w:tab w:val="left" w:pos="284"/>
              </w:tabs>
              <w:rPr>
                <w:sz w:val="22"/>
                <w:szCs w:val="22"/>
              </w:rPr>
            </w:pPr>
          </w:p>
        </w:tc>
        <w:tc>
          <w:tcPr>
            <w:tcW w:w="3319" w:type="dxa"/>
            <w:hideMark/>
          </w:tcPr>
          <w:p w14:paraId="22064EB1" w14:textId="28702115" w:rsidR="00E747DD" w:rsidRDefault="00E747DD" w:rsidP="00E747DD">
            <w:pPr>
              <w:pStyle w:val="Header"/>
              <w:tabs>
                <w:tab w:val="left" w:pos="284"/>
              </w:tabs>
              <w:rPr>
                <w:sz w:val="22"/>
                <w:szCs w:val="22"/>
              </w:rPr>
            </w:pPr>
            <w:r>
              <w:t>Fenobarbiton</w:t>
            </w:r>
          </w:p>
        </w:tc>
        <w:tc>
          <w:tcPr>
            <w:tcW w:w="3319" w:type="dxa"/>
            <w:hideMark/>
          </w:tcPr>
          <w:p w14:paraId="22064EB2" w14:textId="70B1EDA2" w:rsidR="00E747DD" w:rsidRDefault="00E747DD" w:rsidP="00E747DD">
            <w:pPr>
              <w:pStyle w:val="Header"/>
              <w:tabs>
                <w:tab w:val="left" w:pos="284"/>
              </w:tabs>
              <w:rPr>
                <w:sz w:val="22"/>
                <w:szCs w:val="22"/>
              </w:rPr>
            </w:pPr>
            <w:r>
              <w:rPr>
                <w:lang w:val="sr-Latn-CS"/>
              </w:rPr>
              <w:t>Lakosamid</w:t>
            </w:r>
          </w:p>
        </w:tc>
      </w:tr>
      <w:tr w:rsidR="00E747DD" w14:paraId="22064EB7" w14:textId="77777777" w:rsidTr="004E30CF">
        <w:tc>
          <w:tcPr>
            <w:tcW w:w="3319" w:type="dxa"/>
            <w:tcBorders>
              <w:top w:val="single" w:sz="4" w:space="0" w:color="auto"/>
              <w:left w:val="single" w:sz="4" w:space="0" w:color="auto"/>
              <w:bottom w:val="single" w:sz="4" w:space="0" w:color="auto"/>
              <w:right w:val="single" w:sz="4" w:space="0" w:color="auto"/>
            </w:tcBorders>
          </w:tcPr>
          <w:p w14:paraId="22064EB4" w14:textId="77777777" w:rsidR="00E747DD" w:rsidRDefault="00E747DD" w:rsidP="00E747DD">
            <w:pPr>
              <w:pStyle w:val="Header"/>
              <w:tabs>
                <w:tab w:val="left" w:pos="284"/>
              </w:tabs>
              <w:rPr>
                <w:sz w:val="22"/>
                <w:szCs w:val="22"/>
              </w:rPr>
            </w:pPr>
          </w:p>
        </w:tc>
        <w:tc>
          <w:tcPr>
            <w:tcW w:w="3319" w:type="dxa"/>
            <w:hideMark/>
          </w:tcPr>
          <w:p w14:paraId="22064EB5" w14:textId="74F649DF" w:rsidR="00E747DD" w:rsidRDefault="00E747DD" w:rsidP="00E747DD">
            <w:pPr>
              <w:pStyle w:val="Header"/>
              <w:tabs>
                <w:tab w:val="left" w:pos="284"/>
              </w:tabs>
              <w:rPr>
                <w:sz w:val="22"/>
                <w:szCs w:val="22"/>
              </w:rPr>
            </w:pPr>
            <w:r>
              <w:t>Fenitoin</w:t>
            </w:r>
          </w:p>
        </w:tc>
        <w:tc>
          <w:tcPr>
            <w:tcW w:w="3319" w:type="dxa"/>
            <w:hideMark/>
          </w:tcPr>
          <w:p w14:paraId="22064EB6" w14:textId="277CF11D" w:rsidR="00E747DD" w:rsidRDefault="00E747DD" w:rsidP="00E747DD">
            <w:pPr>
              <w:pStyle w:val="Header"/>
              <w:tabs>
                <w:tab w:val="left" w:pos="284"/>
              </w:tabs>
              <w:rPr>
                <w:sz w:val="22"/>
                <w:szCs w:val="22"/>
              </w:rPr>
            </w:pPr>
            <w:r>
              <w:rPr>
                <w:lang w:val="sr-Latn-CS"/>
              </w:rPr>
              <w:t>Levetiracetam</w:t>
            </w:r>
          </w:p>
        </w:tc>
      </w:tr>
      <w:tr w:rsidR="00E747DD" w14:paraId="22064EBB" w14:textId="77777777" w:rsidTr="004E30CF">
        <w:tc>
          <w:tcPr>
            <w:tcW w:w="3319" w:type="dxa"/>
            <w:tcBorders>
              <w:top w:val="single" w:sz="4" w:space="0" w:color="auto"/>
              <w:left w:val="single" w:sz="4" w:space="0" w:color="auto"/>
              <w:bottom w:val="single" w:sz="4" w:space="0" w:color="auto"/>
              <w:right w:val="single" w:sz="4" w:space="0" w:color="auto"/>
            </w:tcBorders>
          </w:tcPr>
          <w:p w14:paraId="22064EB8" w14:textId="77777777" w:rsidR="00E747DD" w:rsidRDefault="00E747DD" w:rsidP="00E747DD">
            <w:pPr>
              <w:pStyle w:val="Header"/>
              <w:tabs>
                <w:tab w:val="left" w:pos="284"/>
              </w:tabs>
              <w:rPr>
                <w:sz w:val="22"/>
                <w:szCs w:val="22"/>
              </w:rPr>
            </w:pPr>
          </w:p>
        </w:tc>
        <w:tc>
          <w:tcPr>
            <w:tcW w:w="3319" w:type="dxa"/>
            <w:hideMark/>
          </w:tcPr>
          <w:p w14:paraId="22064EB9" w14:textId="7F3ABE2C" w:rsidR="00E747DD" w:rsidRDefault="00E747DD" w:rsidP="00E747DD">
            <w:pPr>
              <w:pStyle w:val="Header"/>
              <w:tabs>
                <w:tab w:val="left" w:pos="284"/>
              </w:tabs>
              <w:rPr>
                <w:sz w:val="22"/>
                <w:szCs w:val="22"/>
              </w:rPr>
            </w:pPr>
            <w:r>
              <w:t>Primidon</w:t>
            </w:r>
          </w:p>
        </w:tc>
        <w:tc>
          <w:tcPr>
            <w:tcW w:w="3319" w:type="dxa"/>
            <w:hideMark/>
          </w:tcPr>
          <w:p w14:paraId="22064EBA" w14:textId="0B9E999F" w:rsidR="00E747DD" w:rsidRDefault="00E747DD" w:rsidP="00E747DD">
            <w:pPr>
              <w:pStyle w:val="Header"/>
              <w:tabs>
                <w:tab w:val="left" w:pos="284"/>
              </w:tabs>
              <w:rPr>
                <w:sz w:val="22"/>
                <w:szCs w:val="22"/>
              </w:rPr>
            </w:pPr>
            <w:r>
              <w:rPr>
                <w:lang w:val="sr-Latn-CS"/>
              </w:rPr>
              <w:t>Litijum</w:t>
            </w:r>
          </w:p>
        </w:tc>
      </w:tr>
      <w:tr w:rsidR="00E747DD" w14:paraId="22064EBF" w14:textId="77777777" w:rsidTr="004E30CF">
        <w:tc>
          <w:tcPr>
            <w:tcW w:w="3319" w:type="dxa"/>
            <w:tcBorders>
              <w:top w:val="single" w:sz="4" w:space="0" w:color="auto"/>
              <w:left w:val="single" w:sz="4" w:space="0" w:color="auto"/>
              <w:bottom w:val="single" w:sz="4" w:space="0" w:color="auto"/>
              <w:right w:val="single" w:sz="4" w:space="0" w:color="auto"/>
            </w:tcBorders>
          </w:tcPr>
          <w:p w14:paraId="22064EBC" w14:textId="77777777" w:rsidR="00E747DD" w:rsidRDefault="00E747DD" w:rsidP="00E747DD">
            <w:pPr>
              <w:pStyle w:val="Header"/>
              <w:tabs>
                <w:tab w:val="left" w:pos="284"/>
              </w:tabs>
              <w:rPr>
                <w:sz w:val="22"/>
                <w:szCs w:val="22"/>
              </w:rPr>
            </w:pPr>
          </w:p>
        </w:tc>
        <w:tc>
          <w:tcPr>
            <w:tcW w:w="3319" w:type="dxa"/>
            <w:hideMark/>
          </w:tcPr>
          <w:p w14:paraId="22064EBD" w14:textId="5E781126" w:rsidR="00E747DD" w:rsidRDefault="00E747DD" w:rsidP="00E747DD">
            <w:pPr>
              <w:pStyle w:val="Header"/>
              <w:tabs>
                <w:tab w:val="left" w:pos="284"/>
              </w:tabs>
              <w:rPr>
                <w:sz w:val="22"/>
                <w:szCs w:val="22"/>
              </w:rPr>
            </w:pPr>
            <w:r>
              <w:t>Rifampicin</w:t>
            </w:r>
          </w:p>
        </w:tc>
        <w:tc>
          <w:tcPr>
            <w:tcW w:w="3319" w:type="dxa"/>
            <w:hideMark/>
          </w:tcPr>
          <w:p w14:paraId="22064EBE" w14:textId="3F36B4F9" w:rsidR="00E747DD" w:rsidRDefault="00E747DD" w:rsidP="00E747DD">
            <w:pPr>
              <w:pStyle w:val="Header"/>
              <w:tabs>
                <w:tab w:val="left" w:pos="284"/>
              </w:tabs>
              <w:rPr>
                <w:sz w:val="22"/>
                <w:szCs w:val="22"/>
              </w:rPr>
            </w:pPr>
            <w:r>
              <w:rPr>
                <w:lang w:val="sr-Latn-CS"/>
              </w:rPr>
              <w:t>Olanzapin</w:t>
            </w:r>
          </w:p>
        </w:tc>
      </w:tr>
      <w:tr w:rsidR="00E747DD" w14:paraId="22064EC3" w14:textId="77777777" w:rsidTr="004E30CF">
        <w:tc>
          <w:tcPr>
            <w:tcW w:w="3319" w:type="dxa"/>
            <w:tcBorders>
              <w:top w:val="single" w:sz="4" w:space="0" w:color="auto"/>
              <w:left w:val="single" w:sz="4" w:space="0" w:color="auto"/>
              <w:bottom w:val="single" w:sz="4" w:space="0" w:color="auto"/>
              <w:right w:val="single" w:sz="4" w:space="0" w:color="auto"/>
            </w:tcBorders>
          </w:tcPr>
          <w:p w14:paraId="22064EC0" w14:textId="77777777" w:rsidR="00E747DD" w:rsidRDefault="00E747DD" w:rsidP="00E747DD">
            <w:pPr>
              <w:pStyle w:val="Header"/>
              <w:tabs>
                <w:tab w:val="left" w:pos="284"/>
              </w:tabs>
              <w:rPr>
                <w:sz w:val="22"/>
                <w:szCs w:val="22"/>
              </w:rPr>
            </w:pPr>
          </w:p>
        </w:tc>
        <w:tc>
          <w:tcPr>
            <w:tcW w:w="3319" w:type="dxa"/>
          </w:tcPr>
          <w:p w14:paraId="22064EC1" w14:textId="77777777" w:rsidR="00E747DD" w:rsidRDefault="00E747DD" w:rsidP="00E747DD">
            <w:pPr>
              <w:pStyle w:val="Header"/>
              <w:tabs>
                <w:tab w:val="left" w:pos="284"/>
              </w:tabs>
              <w:rPr>
                <w:sz w:val="22"/>
                <w:szCs w:val="22"/>
              </w:rPr>
            </w:pPr>
          </w:p>
        </w:tc>
        <w:tc>
          <w:tcPr>
            <w:tcW w:w="3319" w:type="dxa"/>
            <w:hideMark/>
          </w:tcPr>
          <w:p w14:paraId="22064EC2" w14:textId="30C989F4" w:rsidR="00E747DD" w:rsidRDefault="00E747DD" w:rsidP="00E747DD">
            <w:pPr>
              <w:pStyle w:val="Header"/>
              <w:tabs>
                <w:tab w:val="left" w:pos="284"/>
              </w:tabs>
              <w:rPr>
                <w:sz w:val="22"/>
                <w:szCs w:val="22"/>
              </w:rPr>
            </w:pPr>
            <w:r>
              <w:rPr>
                <w:lang w:val="sr-Latn-CS"/>
              </w:rPr>
              <w:t>Okskarbazepin</w:t>
            </w:r>
          </w:p>
        </w:tc>
      </w:tr>
      <w:tr w:rsidR="00E747DD" w14:paraId="22064EC7" w14:textId="77777777" w:rsidTr="004E30CF">
        <w:tc>
          <w:tcPr>
            <w:tcW w:w="3319" w:type="dxa"/>
            <w:tcBorders>
              <w:top w:val="single" w:sz="4" w:space="0" w:color="auto"/>
              <w:left w:val="single" w:sz="4" w:space="0" w:color="auto"/>
              <w:bottom w:val="single" w:sz="4" w:space="0" w:color="auto"/>
              <w:right w:val="single" w:sz="4" w:space="0" w:color="auto"/>
            </w:tcBorders>
          </w:tcPr>
          <w:p w14:paraId="22064EC4" w14:textId="77777777" w:rsidR="00E747DD" w:rsidRDefault="00E747DD" w:rsidP="00E747DD">
            <w:pPr>
              <w:pStyle w:val="Header"/>
              <w:tabs>
                <w:tab w:val="left" w:pos="284"/>
              </w:tabs>
              <w:rPr>
                <w:sz w:val="22"/>
                <w:szCs w:val="22"/>
              </w:rPr>
            </w:pPr>
          </w:p>
        </w:tc>
        <w:tc>
          <w:tcPr>
            <w:tcW w:w="3319" w:type="dxa"/>
          </w:tcPr>
          <w:p w14:paraId="22064EC5" w14:textId="77777777" w:rsidR="00E747DD" w:rsidRDefault="00E747DD" w:rsidP="00E747DD">
            <w:pPr>
              <w:pStyle w:val="Header"/>
              <w:tabs>
                <w:tab w:val="left" w:pos="284"/>
              </w:tabs>
              <w:rPr>
                <w:sz w:val="22"/>
                <w:szCs w:val="22"/>
              </w:rPr>
            </w:pPr>
          </w:p>
        </w:tc>
        <w:tc>
          <w:tcPr>
            <w:tcW w:w="3319" w:type="dxa"/>
            <w:hideMark/>
          </w:tcPr>
          <w:p w14:paraId="22064EC6" w14:textId="3EBE12C8" w:rsidR="00E747DD" w:rsidRDefault="00E747DD" w:rsidP="00E747DD">
            <w:pPr>
              <w:pStyle w:val="Header"/>
              <w:tabs>
                <w:tab w:val="left" w:pos="284"/>
              </w:tabs>
              <w:rPr>
                <w:sz w:val="22"/>
                <w:szCs w:val="22"/>
              </w:rPr>
            </w:pPr>
            <w:r>
              <w:rPr>
                <w:lang w:val="sr-Latn-CS"/>
              </w:rPr>
              <w:t>Paracetamol</w:t>
            </w:r>
          </w:p>
        </w:tc>
      </w:tr>
      <w:tr w:rsidR="00E747DD" w14:paraId="22064ECB" w14:textId="77777777" w:rsidTr="004E30CF">
        <w:tc>
          <w:tcPr>
            <w:tcW w:w="3319" w:type="dxa"/>
            <w:tcBorders>
              <w:top w:val="single" w:sz="4" w:space="0" w:color="auto"/>
              <w:left w:val="single" w:sz="4" w:space="0" w:color="auto"/>
              <w:bottom w:val="single" w:sz="4" w:space="0" w:color="auto"/>
              <w:right w:val="single" w:sz="4" w:space="0" w:color="auto"/>
            </w:tcBorders>
          </w:tcPr>
          <w:p w14:paraId="22064EC8" w14:textId="77777777" w:rsidR="00E747DD" w:rsidRDefault="00E747DD" w:rsidP="00E747DD">
            <w:pPr>
              <w:pStyle w:val="Header"/>
              <w:tabs>
                <w:tab w:val="left" w:pos="284"/>
              </w:tabs>
              <w:rPr>
                <w:sz w:val="22"/>
                <w:szCs w:val="22"/>
              </w:rPr>
            </w:pPr>
          </w:p>
        </w:tc>
        <w:tc>
          <w:tcPr>
            <w:tcW w:w="3319" w:type="dxa"/>
          </w:tcPr>
          <w:p w14:paraId="22064EC9" w14:textId="77777777" w:rsidR="00E747DD" w:rsidRDefault="00E747DD" w:rsidP="00E747DD">
            <w:pPr>
              <w:pStyle w:val="Header"/>
              <w:tabs>
                <w:tab w:val="left" w:pos="284"/>
              </w:tabs>
              <w:rPr>
                <w:sz w:val="22"/>
                <w:szCs w:val="22"/>
              </w:rPr>
            </w:pPr>
          </w:p>
        </w:tc>
        <w:tc>
          <w:tcPr>
            <w:tcW w:w="3319" w:type="dxa"/>
            <w:hideMark/>
          </w:tcPr>
          <w:p w14:paraId="22064ECA" w14:textId="1CE364E4" w:rsidR="00E747DD" w:rsidRDefault="00E747DD" w:rsidP="00E747DD">
            <w:pPr>
              <w:pStyle w:val="Header"/>
              <w:tabs>
                <w:tab w:val="left" w:pos="284"/>
              </w:tabs>
              <w:rPr>
                <w:sz w:val="22"/>
                <w:szCs w:val="22"/>
              </w:rPr>
            </w:pPr>
            <w:r>
              <w:rPr>
                <w:lang w:val="sr-Latn-CS"/>
              </w:rPr>
              <w:t>Perampanel</w:t>
            </w:r>
          </w:p>
        </w:tc>
      </w:tr>
      <w:tr w:rsidR="00E747DD" w14:paraId="3C59B8A6" w14:textId="77777777" w:rsidTr="004E30CF">
        <w:tc>
          <w:tcPr>
            <w:tcW w:w="3319" w:type="dxa"/>
            <w:tcBorders>
              <w:top w:val="single" w:sz="4" w:space="0" w:color="auto"/>
              <w:left w:val="single" w:sz="4" w:space="0" w:color="auto"/>
              <w:bottom w:val="single" w:sz="4" w:space="0" w:color="auto"/>
              <w:right w:val="single" w:sz="4" w:space="0" w:color="auto"/>
            </w:tcBorders>
          </w:tcPr>
          <w:p w14:paraId="54DCD043" w14:textId="77777777" w:rsidR="00E747DD" w:rsidRDefault="00E747DD" w:rsidP="00E747DD">
            <w:pPr>
              <w:pStyle w:val="Header"/>
              <w:tabs>
                <w:tab w:val="left" w:pos="284"/>
              </w:tabs>
              <w:rPr>
                <w:sz w:val="22"/>
                <w:szCs w:val="22"/>
              </w:rPr>
            </w:pPr>
          </w:p>
        </w:tc>
        <w:tc>
          <w:tcPr>
            <w:tcW w:w="3319" w:type="dxa"/>
          </w:tcPr>
          <w:p w14:paraId="362E7887" w14:textId="77777777" w:rsidR="00E747DD" w:rsidRDefault="00E747DD" w:rsidP="00E747DD">
            <w:pPr>
              <w:pStyle w:val="Header"/>
              <w:tabs>
                <w:tab w:val="left" w:pos="284"/>
              </w:tabs>
              <w:rPr>
                <w:sz w:val="22"/>
                <w:szCs w:val="22"/>
              </w:rPr>
            </w:pPr>
          </w:p>
        </w:tc>
        <w:tc>
          <w:tcPr>
            <w:tcW w:w="3319" w:type="dxa"/>
          </w:tcPr>
          <w:p w14:paraId="2FD292E2" w14:textId="5AA23753" w:rsidR="00E747DD" w:rsidRDefault="00E747DD" w:rsidP="00E747DD">
            <w:pPr>
              <w:pStyle w:val="Header"/>
              <w:tabs>
                <w:tab w:val="left" w:pos="284"/>
              </w:tabs>
              <w:rPr>
                <w:sz w:val="22"/>
                <w:szCs w:val="22"/>
              </w:rPr>
            </w:pPr>
            <w:r>
              <w:rPr>
                <w:lang w:val="sr-Latn-CS"/>
              </w:rPr>
              <w:t>Pregabalin</w:t>
            </w:r>
          </w:p>
        </w:tc>
      </w:tr>
      <w:tr w:rsidR="00E747DD" w14:paraId="360EB2B6" w14:textId="77777777" w:rsidTr="004E30CF">
        <w:tc>
          <w:tcPr>
            <w:tcW w:w="3319" w:type="dxa"/>
            <w:tcBorders>
              <w:top w:val="single" w:sz="4" w:space="0" w:color="auto"/>
              <w:left w:val="single" w:sz="4" w:space="0" w:color="auto"/>
              <w:bottom w:val="single" w:sz="4" w:space="0" w:color="auto"/>
              <w:right w:val="single" w:sz="4" w:space="0" w:color="auto"/>
            </w:tcBorders>
          </w:tcPr>
          <w:p w14:paraId="1B5B49B3" w14:textId="77777777" w:rsidR="00E747DD" w:rsidRDefault="00E747DD" w:rsidP="00E747DD">
            <w:pPr>
              <w:pStyle w:val="Header"/>
              <w:tabs>
                <w:tab w:val="left" w:pos="284"/>
              </w:tabs>
              <w:rPr>
                <w:sz w:val="22"/>
                <w:szCs w:val="22"/>
              </w:rPr>
            </w:pPr>
          </w:p>
        </w:tc>
        <w:tc>
          <w:tcPr>
            <w:tcW w:w="3319" w:type="dxa"/>
          </w:tcPr>
          <w:p w14:paraId="182714B9" w14:textId="77777777" w:rsidR="00E747DD" w:rsidRDefault="00E747DD" w:rsidP="00E747DD">
            <w:pPr>
              <w:pStyle w:val="Header"/>
              <w:tabs>
                <w:tab w:val="left" w:pos="284"/>
              </w:tabs>
              <w:rPr>
                <w:sz w:val="22"/>
                <w:szCs w:val="22"/>
              </w:rPr>
            </w:pPr>
          </w:p>
        </w:tc>
        <w:tc>
          <w:tcPr>
            <w:tcW w:w="3319" w:type="dxa"/>
          </w:tcPr>
          <w:p w14:paraId="2E52B5A1" w14:textId="1C314358" w:rsidR="00E747DD" w:rsidRDefault="00E747DD" w:rsidP="00E747DD">
            <w:pPr>
              <w:pStyle w:val="Header"/>
              <w:tabs>
                <w:tab w:val="left" w:pos="284"/>
              </w:tabs>
              <w:rPr>
                <w:sz w:val="22"/>
                <w:szCs w:val="22"/>
              </w:rPr>
            </w:pPr>
            <w:r>
              <w:rPr>
                <w:lang w:val="sr-Latn-CS"/>
              </w:rPr>
              <w:t>Topiramat</w:t>
            </w:r>
          </w:p>
        </w:tc>
      </w:tr>
      <w:tr w:rsidR="00E747DD" w14:paraId="10EA4A55" w14:textId="77777777" w:rsidTr="004E30CF">
        <w:tc>
          <w:tcPr>
            <w:tcW w:w="3319" w:type="dxa"/>
            <w:tcBorders>
              <w:top w:val="single" w:sz="4" w:space="0" w:color="auto"/>
              <w:left w:val="single" w:sz="4" w:space="0" w:color="auto"/>
              <w:bottom w:val="single" w:sz="4" w:space="0" w:color="auto"/>
              <w:right w:val="single" w:sz="4" w:space="0" w:color="auto"/>
            </w:tcBorders>
          </w:tcPr>
          <w:p w14:paraId="01144E29" w14:textId="77777777" w:rsidR="00E747DD" w:rsidRDefault="00E747DD" w:rsidP="00E747DD">
            <w:pPr>
              <w:pStyle w:val="Header"/>
              <w:tabs>
                <w:tab w:val="left" w:pos="284"/>
              </w:tabs>
              <w:rPr>
                <w:sz w:val="22"/>
                <w:szCs w:val="22"/>
              </w:rPr>
            </w:pPr>
          </w:p>
        </w:tc>
        <w:tc>
          <w:tcPr>
            <w:tcW w:w="3319" w:type="dxa"/>
          </w:tcPr>
          <w:p w14:paraId="03073917" w14:textId="77777777" w:rsidR="00E747DD" w:rsidRDefault="00E747DD" w:rsidP="00E747DD">
            <w:pPr>
              <w:pStyle w:val="Header"/>
              <w:tabs>
                <w:tab w:val="left" w:pos="284"/>
              </w:tabs>
              <w:rPr>
                <w:sz w:val="22"/>
                <w:szCs w:val="22"/>
              </w:rPr>
            </w:pPr>
          </w:p>
        </w:tc>
        <w:tc>
          <w:tcPr>
            <w:tcW w:w="3319" w:type="dxa"/>
          </w:tcPr>
          <w:p w14:paraId="4725D1B1" w14:textId="78931AB1" w:rsidR="00E747DD" w:rsidRDefault="00E747DD" w:rsidP="00E747DD">
            <w:pPr>
              <w:pStyle w:val="Header"/>
              <w:tabs>
                <w:tab w:val="left" w:pos="284"/>
              </w:tabs>
              <w:rPr>
                <w:lang w:val="sr-Latn-ME"/>
              </w:rPr>
            </w:pPr>
            <w:r>
              <w:rPr>
                <w:lang w:val="sr-Latn-CS"/>
              </w:rPr>
              <w:t>Zonisamid</w:t>
            </w:r>
          </w:p>
        </w:tc>
      </w:tr>
    </w:tbl>
    <w:p w14:paraId="22064ECC" w14:textId="65CC5FBF" w:rsidR="008D2CDA" w:rsidRDefault="008D2CDA" w:rsidP="006B3996">
      <w:pPr>
        <w:pStyle w:val="Header"/>
        <w:tabs>
          <w:tab w:val="left" w:pos="284"/>
        </w:tabs>
        <w:jc w:val="both"/>
        <w:rPr>
          <w:sz w:val="22"/>
          <w:szCs w:val="22"/>
        </w:rPr>
      </w:pPr>
      <w:r>
        <w:rPr>
          <w:sz w:val="22"/>
          <w:szCs w:val="22"/>
        </w:rPr>
        <w:t xml:space="preserve">* Za uputstvo o doziranju (vidjeti </w:t>
      </w:r>
      <w:r w:rsidR="00706D93">
        <w:rPr>
          <w:sz w:val="22"/>
          <w:szCs w:val="22"/>
        </w:rPr>
        <w:t>dio</w:t>
      </w:r>
      <w:r>
        <w:rPr>
          <w:sz w:val="22"/>
          <w:szCs w:val="22"/>
        </w:rPr>
        <w:t xml:space="preserve"> 4.2)</w:t>
      </w:r>
      <w:r w:rsidR="00E16A35">
        <w:rPr>
          <w:sz w:val="22"/>
          <w:szCs w:val="22"/>
        </w:rPr>
        <w:t xml:space="preserve">, a za žene koje uzimaju hormonske </w:t>
      </w:r>
      <w:r w:rsidR="00741A59">
        <w:rPr>
          <w:sz w:val="22"/>
          <w:szCs w:val="22"/>
        </w:rPr>
        <w:t>k</w:t>
      </w:r>
      <w:r w:rsidR="00E16A35">
        <w:rPr>
          <w:sz w:val="22"/>
          <w:szCs w:val="22"/>
        </w:rPr>
        <w:t>ontra</w:t>
      </w:r>
      <w:r w:rsidR="00741A59">
        <w:rPr>
          <w:sz w:val="22"/>
          <w:szCs w:val="22"/>
        </w:rPr>
        <w:t>c</w:t>
      </w:r>
      <w:r w:rsidR="00E16A35">
        <w:rPr>
          <w:sz w:val="22"/>
          <w:szCs w:val="22"/>
        </w:rPr>
        <w:t>eptive vidjeti dio 4.4 Hormonski kontraceptivi</w:t>
      </w:r>
    </w:p>
    <w:p w14:paraId="22064ECD" w14:textId="77777777" w:rsidR="008D2CDA" w:rsidRDefault="008D2CDA" w:rsidP="006B3996">
      <w:pPr>
        <w:pStyle w:val="Header"/>
        <w:tabs>
          <w:tab w:val="left" w:pos="284"/>
        </w:tabs>
        <w:jc w:val="both"/>
        <w:rPr>
          <w:sz w:val="22"/>
          <w:szCs w:val="22"/>
        </w:rPr>
      </w:pPr>
    </w:p>
    <w:p w14:paraId="22064ED0" w14:textId="77777777" w:rsidR="008D2CDA" w:rsidRDefault="008D2CDA" w:rsidP="006B3996">
      <w:pPr>
        <w:pStyle w:val="Header"/>
        <w:tabs>
          <w:tab w:val="left" w:pos="284"/>
        </w:tabs>
        <w:spacing w:before="80" w:after="80"/>
        <w:jc w:val="both"/>
        <w:rPr>
          <w:bCs/>
          <w:sz w:val="22"/>
          <w:szCs w:val="22"/>
          <w:u w:val="single"/>
        </w:rPr>
      </w:pPr>
      <w:r>
        <w:rPr>
          <w:bCs/>
          <w:sz w:val="22"/>
          <w:szCs w:val="22"/>
          <w:u w:val="single"/>
        </w:rPr>
        <w:t>Interakcije sa antiepileptičkim ljekovima</w:t>
      </w:r>
    </w:p>
    <w:p w14:paraId="22064ED1" w14:textId="74DA605B" w:rsidR="008D2CDA" w:rsidRDefault="008D2CDA" w:rsidP="006B3996">
      <w:pPr>
        <w:pStyle w:val="Header"/>
        <w:tabs>
          <w:tab w:val="left" w:pos="284"/>
        </w:tabs>
        <w:spacing w:before="80" w:after="80"/>
        <w:jc w:val="both"/>
        <w:rPr>
          <w:bCs/>
          <w:sz w:val="22"/>
          <w:szCs w:val="22"/>
          <w:lang w:val="sl-SI"/>
        </w:rPr>
      </w:pPr>
      <w:r>
        <w:rPr>
          <w:bCs/>
          <w:sz w:val="22"/>
          <w:szCs w:val="22"/>
          <w:lang w:val="sl-SI"/>
        </w:rPr>
        <w:t xml:space="preserve">Valproat, koji inhibira glukuronidaciju lamotrigina, smanjuje metabolizam lamotrigina i povećava srednje </w:t>
      </w:r>
      <w:r>
        <w:rPr>
          <w:sz w:val="22"/>
          <w:szCs w:val="22"/>
          <w:lang w:val="sl-SI"/>
        </w:rPr>
        <w:t>poluvrijeme eliminacije</w:t>
      </w:r>
      <w:r>
        <w:rPr>
          <w:bCs/>
          <w:sz w:val="22"/>
          <w:szCs w:val="22"/>
          <w:lang w:val="sl-SI"/>
        </w:rPr>
        <w:t xml:space="preserve"> lamotrigina približno dvostruko. Potrebno je primijeniti adekvatnu terapijsku shemu kod pacijenata kod kojih se primjenjuje konkomitantna terapija sa valproatom (vidjeti </w:t>
      </w:r>
      <w:r w:rsidR="00706D93">
        <w:rPr>
          <w:bCs/>
          <w:sz w:val="22"/>
          <w:szCs w:val="22"/>
          <w:lang w:val="sl-SI"/>
        </w:rPr>
        <w:t>dio</w:t>
      </w:r>
      <w:r>
        <w:rPr>
          <w:bCs/>
          <w:sz w:val="22"/>
          <w:szCs w:val="22"/>
          <w:lang w:val="sl-SI"/>
        </w:rPr>
        <w:t xml:space="preserve"> 4.2).</w:t>
      </w:r>
    </w:p>
    <w:p w14:paraId="22064ED2" w14:textId="77777777" w:rsidR="008D2CDA" w:rsidRDefault="008D2CDA" w:rsidP="006B3996">
      <w:pPr>
        <w:pStyle w:val="Header"/>
        <w:tabs>
          <w:tab w:val="left" w:pos="284"/>
        </w:tabs>
        <w:spacing w:before="80" w:after="80"/>
        <w:jc w:val="both"/>
        <w:rPr>
          <w:bCs/>
          <w:sz w:val="22"/>
          <w:szCs w:val="22"/>
          <w:lang w:val="sl-SI"/>
        </w:rPr>
      </w:pPr>
    </w:p>
    <w:p w14:paraId="22064ED3" w14:textId="7E6888CF" w:rsidR="008D2CDA" w:rsidRDefault="008D2CDA" w:rsidP="00BF78B0">
      <w:pPr>
        <w:pStyle w:val="Header"/>
        <w:tabs>
          <w:tab w:val="left" w:pos="284"/>
        </w:tabs>
        <w:jc w:val="both"/>
        <w:rPr>
          <w:bCs/>
          <w:sz w:val="22"/>
          <w:szCs w:val="22"/>
          <w:lang w:val="sl-SI"/>
        </w:rPr>
      </w:pPr>
      <w:r>
        <w:rPr>
          <w:bCs/>
          <w:sz w:val="22"/>
          <w:szCs w:val="22"/>
          <w:lang w:val="sl-SI"/>
        </w:rPr>
        <w:lastRenderedPageBreak/>
        <w:t xml:space="preserve">Pojedini antiepileptički ljekovi (kao što su fenitoin, karbamazepin, fenobarbiton i primidon) koji indukuju </w:t>
      </w:r>
      <w:r w:rsidR="00F12FED">
        <w:rPr>
          <w:bCs/>
          <w:sz w:val="22"/>
          <w:szCs w:val="22"/>
          <w:lang w:val="sl-SI"/>
        </w:rPr>
        <w:t xml:space="preserve">enzime </w:t>
      </w:r>
      <w:r w:rsidR="00E73A17" w:rsidRPr="002B435B">
        <w:rPr>
          <w:bCs/>
          <w:sz w:val="22"/>
          <w:szCs w:val="22"/>
          <w:lang w:val="sl-SI"/>
        </w:rPr>
        <w:t>citohrom</w:t>
      </w:r>
      <w:r w:rsidR="00866407">
        <w:rPr>
          <w:bCs/>
          <w:sz w:val="22"/>
          <w:szCs w:val="22"/>
          <w:lang w:val="sl-SI"/>
        </w:rPr>
        <w:t>a</w:t>
      </w:r>
      <w:r w:rsidR="00E73A17" w:rsidRPr="002B435B">
        <w:rPr>
          <w:bCs/>
          <w:sz w:val="22"/>
          <w:szCs w:val="22"/>
          <w:lang w:val="sl-SI"/>
        </w:rPr>
        <w:t xml:space="preserve"> P450</w:t>
      </w:r>
      <w:r w:rsidR="002B435B" w:rsidRPr="002B435B">
        <w:rPr>
          <w:bCs/>
          <w:sz w:val="22"/>
          <w:szCs w:val="22"/>
          <w:lang w:val="sl-SI"/>
        </w:rPr>
        <w:t xml:space="preserve">, </w:t>
      </w:r>
      <w:r w:rsidR="002B435B" w:rsidRPr="00426390">
        <w:rPr>
          <w:sz w:val="22"/>
          <w:szCs w:val="22"/>
          <w:lang w:val="sr-Latn-ME"/>
        </w:rPr>
        <w:t>takođe indukuju UGT, pa stoga pojačavaju metabolizam lamotrigina.</w:t>
      </w:r>
      <w:r w:rsidR="00CA286D">
        <w:rPr>
          <w:lang w:val="sr-Latn-ME"/>
        </w:rPr>
        <w:t xml:space="preserve"> </w:t>
      </w:r>
      <w:r>
        <w:rPr>
          <w:bCs/>
          <w:sz w:val="22"/>
          <w:szCs w:val="22"/>
          <w:lang w:val="sl-SI"/>
        </w:rPr>
        <w:t xml:space="preserve">Potrebno je primijeniti adekvatnu terapijsku shemu kod pacijenata kod kojih se primjenjuje konkomitantna terapija sa fenitoinom, karbamazepinom, fenobarbitonom i primidonom (vidjeti </w:t>
      </w:r>
      <w:r w:rsidR="00706D93">
        <w:rPr>
          <w:bCs/>
          <w:sz w:val="22"/>
          <w:szCs w:val="22"/>
          <w:lang w:val="sl-SI"/>
        </w:rPr>
        <w:t>dio</w:t>
      </w:r>
      <w:r>
        <w:rPr>
          <w:bCs/>
          <w:sz w:val="22"/>
          <w:szCs w:val="22"/>
          <w:lang w:val="sl-SI"/>
        </w:rPr>
        <w:t xml:space="preserve"> 4.2).</w:t>
      </w:r>
    </w:p>
    <w:p w14:paraId="22064ED4" w14:textId="77777777" w:rsidR="008D2CDA" w:rsidRDefault="008D2CDA" w:rsidP="00BF78B0">
      <w:pPr>
        <w:pStyle w:val="Header"/>
        <w:tabs>
          <w:tab w:val="left" w:pos="284"/>
        </w:tabs>
        <w:jc w:val="both"/>
        <w:rPr>
          <w:bCs/>
          <w:sz w:val="22"/>
          <w:szCs w:val="22"/>
          <w:lang w:val="sl-SI"/>
        </w:rPr>
      </w:pPr>
    </w:p>
    <w:p w14:paraId="22064ED5" w14:textId="204CC0E5" w:rsidR="008D2CDA" w:rsidRDefault="008D2CDA" w:rsidP="00BF78B0">
      <w:pPr>
        <w:pStyle w:val="Header"/>
        <w:tabs>
          <w:tab w:val="left" w:pos="284"/>
        </w:tabs>
        <w:jc w:val="both"/>
        <w:rPr>
          <w:bCs/>
          <w:sz w:val="22"/>
          <w:szCs w:val="22"/>
          <w:lang w:val="sl-SI"/>
        </w:rPr>
      </w:pPr>
      <w:r>
        <w:rPr>
          <w:bCs/>
          <w:sz w:val="22"/>
          <w:szCs w:val="22"/>
          <w:lang w:val="sl-SI"/>
        </w:rPr>
        <w:t xml:space="preserve">Postoje izvještaji o manifestacijama </w:t>
      </w:r>
      <w:r w:rsidR="00741A59">
        <w:rPr>
          <w:bCs/>
          <w:sz w:val="22"/>
          <w:szCs w:val="22"/>
          <w:lang w:val="sl-SI"/>
        </w:rPr>
        <w:t>u</w:t>
      </w:r>
      <w:r>
        <w:rPr>
          <w:bCs/>
          <w:sz w:val="22"/>
          <w:szCs w:val="22"/>
          <w:lang w:val="sl-SI"/>
        </w:rPr>
        <w:t xml:space="preserve"> nervno</w:t>
      </w:r>
      <w:r w:rsidR="00741A59">
        <w:rPr>
          <w:bCs/>
          <w:sz w:val="22"/>
          <w:szCs w:val="22"/>
          <w:lang w:val="sl-SI"/>
        </w:rPr>
        <w:t>m</w:t>
      </w:r>
      <w:r>
        <w:rPr>
          <w:bCs/>
          <w:sz w:val="22"/>
          <w:szCs w:val="22"/>
          <w:lang w:val="sl-SI"/>
        </w:rPr>
        <w:t xml:space="preserve"> sistem</w:t>
      </w:r>
      <w:r w:rsidR="00741A59">
        <w:rPr>
          <w:bCs/>
          <w:sz w:val="22"/>
          <w:szCs w:val="22"/>
          <w:lang w:val="sl-SI"/>
        </w:rPr>
        <w:t>u</w:t>
      </w:r>
      <w:r>
        <w:rPr>
          <w:bCs/>
          <w:sz w:val="22"/>
          <w:szCs w:val="22"/>
          <w:lang w:val="sl-SI"/>
        </w:rPr>
        <w:t xml:space="preserve"> koje su uključivale vrtoglavicu, ataksiju, diplopiju, zamagljen vid i mučninu kod pacijenata koji su primjenjivali karbamazepin nakon uvođenja lamotrigina u terapiju. Navedene manifestacije se obično povlače nakon smanjenja doze karbamazepina. Uočena su slična dejstva tokom kliničkog ispitivanja primjene lamotrigina i oks</w:t>
      </w:r>
      <w:r w:rsidR="00741A59">
        <w:rPr>
          <w:bCs/>
          <w:sz w:val="22"/>
          <w:szCs w:val="22"/>
          <w:lang w:val="sl-SI"/>
        </w:rPr>
        <w:t>k</w:t>
      </w:r>
      <w:r>
        <w:rPr>
          <w:bCs/>
          <w:sz w:val="22"/>
          <w:szCs w:val="22"/>
          <w:lang w:val="sl-SI"/>
        </w:rPr>
        <w:t>arbazepina kod zdravih odraslih dobrovoljaca, ali nije ispitano smanjenje doze.</w:t>
      </w:r>
    </w:p>
    <w:p w14:paraId="22064ED6" w14:textId="77777777" w:rsidR="008D2CDA" w:rsidRDefault="008D2CDA" w:rsidP="00BF78B0">
      <w:pPr>
        <w:pStyle w:val="Header"/>
        <w:tabs>
          <w:tab w:val="left" w:pos="284"/>
        </w:tabs>
        <w:jc w:val="both"/>
        <w:rPr>
          <w:bCs/>
          <w:sz w:val="22"/>
          <w:szCs w:val="22"/>
          <w:lang w:val="sl-SI"/>
        </w:rPr>
      </w:pPr>
    </w:p>
    <w:p w14:paraId="22064ED7" w14:textId="451BA250" w:rsidR="008D2CDA" w:rsidRDefault="008D2CDA" w:rsidP="00BF78B0">
      <w:pPr>
        <w:pStyle w:val="Header"/>
        <w:tabs>
          <w:tab w:val="left" w:pos="284"/>
        </w:tabs>
        <w:jc w:val="both"/>
        <w:rPr>
          <w:bCs/>
          <w:sz w:val="22"/>
          <w:szCs w:val="22"/>
          <w:lang w:val="sl-SI"/>
        </w:rPr>
      </w:pPr>
      <w:r>
        <w:rPr>
          <w:bCs/>
          <w:sz w:val="22"/>
          <w:szCs w:val="22"/>
          <w:lang w:val="sl-SI"/>
        </w:rPr>
        <w:t>Postoje izvještaji u literaturi o smanjenju nivoa lamotrigina prilikom primjene lamotrigina u kombinaciji sa oks</w:t>
      </w:r>
      <w:r w:rsidR="00741A59">
        <w:rPr>
          <w:bCs/>
          <w:sz w:val="22"/>
          <w:szCs w:val="22"/>
          <w:lang w:val="sl-SI"/>
        </w:rPr>
        <w:t>k</w:t>
      </w:r>
      <w:r>
        <w:rPr>
          <w:bCs/>
          <w:sz w:val="22"/>
          <w:szCs w:val="22"/>
          <w:lang w:val="sl-SI"/>
        </w:rPr>
        <w:t xml:space="preserve">arbazepinom. Međutim, u prospektivnom kliničkom ispitivanju na zdravim dobrovoljcima korišćene su doze od 200 mg lamotrigina i 1200 mg </w:t>
      </w:r>
      <w:r w:rsidR="00615C04">
        <w:rPr>
          <w:bCs/>
          <w:sz w:val="22"/>
          <w:szCs w:val="22"/>
          <w:lang w:val="sl-SI"/>
        </w:rPr>
        <w:t>okskarbazepin</w:t>
      </w:r>
      <w:r>
        <w:rPr>
          <w:bCs/>
          <w:sz w:val="22"/>
          <w:szCs w:val="22"/>
          <w:lang w:val="sl-SI"/>
        </w:rPr>
        <w:t xml:space="preserve">a, </w:t>
      </w:r>
      <w:r w:rsidR="00615C04">
        <w:rPr>
          <w:bCs/>
          <w:sz w:val="22"/>
          <w:szCs w:val="22"/>
          <w:lang w:val="sl-SI"/>
        </w:rPr>
        <w:t>okskarbazepin</w:t>
      </w:r>
      <w:r>
        <w:rPr>
          <w:bCs/>
          <w:sz w:val="22"/>
          <w:szCs w:val="22"/>
          <w:lang w:val="sl-SI"/>
        </w:rPr>
        <w:t xml:space="preserve"> nije uticao na metabolizam lamotrigina, a ni lamotrigin nije uticao na metabolizam okskarbazepina. Stoga je kod pacijenata kod kojih se primjenjuje konkomitantna terapija sa </w:t>
      </w:r>
      <w:r w:rsidR="00615C04">
        <w:rPr>
          <w:bCs/>
          <w:sz w:val="22"/>
          <w:szCs w:val="22"/>
          <w:lang w:val="sl-SI"/>
        </w:rPr>
        <w:t>okskarbazepin</w:t>
      </w:r>
      <w:r>
        <w:rPr>
          <w:bCs/>
          <w:sz w:val="22"/>
          <w:szCs w:val="22"/>
          <w:lang w:val="sl-SI"/>
        </w:rPr>
        <w:t xml:space="preserve">om potrebno primijeniti terapijsku shemu za primjenu lamotrigina bez valproata i bez induktora glukuronidacije lamotrigina (vidjeti </w:t>
      </w:r>
      <w:r w:rsidR="00706D93">
        <w:rPr>
          <w:bCs/>
          <w:sz w:val="22"/>
          <w:szCs w:val="22"/>
          <w:lang w:val="sl-SI"/>
        </w:rPr>
        <w:t>dio</w:t>
      </w:r>
      <w:r>
        <w:rPr>
          <w:bCs/>
          <w:sz w:val="22"/>
          <w:szCs w:val="22"/>
          <w:lang w:val="sl-SI"/>
        </w:rPr>
        <w:t xml:space="preserve"> 4.2). </w:t>
      </w:r>
    </w:p>
    <w:p w14:paraId="22064ED8" w14:textId="77777777" w:rsidR="008D2CDA" w:rsidRPr="008E171B" w:rsidRDefault="008D2CDA" w:rsidP="00BF78B0">
      <w:pPr>
        <w:pStyle w:val="Header"/>
        <w:tabs>
          <w:tab w:val="left" w:pos="284"/>
        </w:tabs>
        <w:jc w:val="both"/>
        <w:rPr>
          <w:bCs/>
          <w:sz w:val="22"/>
          <w:szCs w:val="22"/>
          <w:u w:val="single"/>
          <w:lang w:val="sl-SI"/>
        </w:rPr>
      </w:pPr>
    </w:p>
    <w:p w14:paraId="22064ED9" w14:textId="77777777" w:rsidR="008D2CDA" w:rsidRPr="008E171B" w:rsidRDefault="008D2CDA" w:rsidP="00BF78B0">
      <w:pPr>
        <w:pStyle w:val="Header"/>
        <w:tabs>
          <w:tab w:val="left" w:pos="284"/>
        </w:tabs>
        <w:jc w:val="both"/>
        <w:rPr>
          <w:bCs/>
          <w:sz w:val="22"/>
          <w:szCs w:val="22"/>
          <w:lang w:val="sl-SI"/>
        </w:rPr>
      </w:pPr>
      <w:r w:rsidRPr="008E171B">
        <w:rPr>
          <w:bCs/>
          <w:sz w:val="22"/>
          <w:szCs w:val="22"/>
          <w:lang w:val="sl-SI"/>
        </w:rPr>
        <w:t>U okviru kliničkog ispitivanja na zdravim dobrovoljcima, utvrđeno je da istovremena primjena felbamata (1200mg dva puta dnevno) sa lamotriginom (100mg dva puta dnevno tokom 10 dana) nema klinički značajno dejstvo na farmakokinetiku lamotrigina.</w:t>
      </w:r>
    </w:p>
    <w:p w14:paraId="22064EDA" w14:textId="77777777" w:rsidR="008D2CDA" w:rsidRPr="008E171B" w:rsidRDefault="008D2CDA" w:rsidP="00BF78B0">
      <w:pPr>
        <w:pStyle w:val="Header"/>
        <w:tabs>
          <w:tab w:val="left" w:pos="284"/>
        </w:tabs>
        <w:jc w:val="both"/>
        <w:rPr>
          <w:b/>
          <w:bCs/>
          <w:sz w:val="22"/>
          <w:szCs w:val="22"/>
          <w:lang w:val="sl-SI"/>
        </w:rPr>
      </w:pPr>
    </w:p>
    <w:p w14:paraId="22064EDB" w14:textId="77777777" w:rsidR="008D2CDA" w:rsidRPr="008E171B" w:rsidRDefault="008D2CDA" w:rsidP="00BF78B0">
      <w:pPr>
        <w:pStyle w:val="Header"/>
        <w:tabs>
          <w:tab w:val="left" w:pos="284"/>
        </w:tabs>
        <w:jc w:val="both"/>
        <w:rPr>
          <w:bCs/>
          <w:sz w:val="22"/>
          <w:szCs w:val="22"/>
          <w:lang w:val="sl-SI"/>
        </w:rPr>
      </w:pPr>
      <w:r w:rsidRPr="008E171B">
        <w:rPr>
          <w:bCs/>
          <w:sz w:val="22"/>
          <w:szCs w:val="22"/>
          <w:lang w:val="sl-SI"/>
        </w:rPr>
        <w:t>Na osnovu retrospektivnih analiza nivoa u plazmi kod pacijenata kod kojih je lamotrigin primijenjen istovremeno sa gabapentinom i nezavisno od njega, primjena gabapentina nije dovela do promjene prividnog klirensa lamotrigina.</w:t>
      </w:r>
    </w:p>
    <w:p w14:paraId="22064EDC" w14:textId="77777777" w:rsidR="008D2CDA" w:rsidRPr="008E171B" w:rsidRDefault="008D2CDA" w:rsidP="00BF78B0">
      <w:pPr>
        <w:pStyle w:val="Header"/>
        <w:tabs>
          <w:tab w:val="left" w:pos="284"/>
        </w:tabs>
        <w:jc w:val="both"/>
        <w:rPr>
          <w:bCs/>
          <w:sz w:val="22"/>
          <w:szCs w:val="22"/>
          <w:lang w:val="sl-SI"/>
        </w:rPr>
      </w:pPr>
    </w:p>
    <w:p w14:paraId="22064EDD" w14:textId="62CED762" w:rsidR="008D2CDA" w:rsidRPr="008E171B" w:rsidRDefault="008D2CDA" w:rsidP="00BF78B0">
      <w:pPr>
        <w:pStyle w:val="Header"/>
        <w:tabs>
          <w:tab w:val="left" w:pos="284"/>
        </w:tabs>
        <w:jc w:val="both"/>
        <w:rPr>
          <w:bCs/>
          <w:sz w:val="22"/>
          <w:szCs w:val="22"/>
          <w:lang w:val="sl-SI"/>
        </w:rPr>
      </w:pPr>
      <w:r w:rsidRPr="008E171B">
        <w:rPr>
          <w:bCs/>
          <w:sz w:val="22"/>
          <w:szCs w:val="22"/>
          <w:lang w:val="sl-SI"/>
        </w:rPr>
        <w:t>Tokom placebo</w:t>
      </w:r>
      <w:r w:rsidR="00741A59" w:rsidRPr="008E171B">
        <w:rPr>
          <w:bCs/>
          <w:sz w:val="22"/>
          <w:szCs w:val="22"/>
          <w:lang w:val="sl-SI"/>
        </w:rPr>
        <w:t>m</w:t>
      </w:r>
      <w:r w:rsidRPr="008E171B">
        <w:rPr>
          <w:bCs/>
          <w:sz w:val="22"/>
          <w:szCs w:val="22"/>
          <w:lang w:val="sl-SI"/>
        </w:rPr>
        <w:t xml:space="preserve"> kontrolisanih kliničkih ispitivanja procijenjene su potencijalne interakcije između levetiracetama i lamotrigina određivanjem koncentracija oba agensa u serumu. Navedeni podaci ukazuju da lamotrigin nema uticaja na farmakokinetiku levetiracetama, kao i da levetiracetam nema uticaja na farmakokinetiku lamotrigina.</w:t>
      </w:r>
    </w:p>
    <w:p w14:paraId="22064EDE" w14:textId="77777777" w:rsidR="008D2CDA" w:rsidRPr="008E171B" w:rsidRDefault="008D2CDA" w:rsidP="00BF78B0">
      <w:pPr>
        <w:pStyle w:val="Header"/>
        <w:tabs>
          <w:tab w:val="left" w:pos="284"/>
        </w:tabs>
        <w:jc w:val="both"/>
        <w:rPr>
          <w:bCs/>
          <w:sz w:val="22"/>
          <w:szCs w:val="22"/>
          <w:lang w:val="sl-SI"/>
        </w:rPr>
      </w:pPr>
    </w:p>
    <w:p w14:paraId="22064EDF" w14:textId="77777777" w:rsidR="008D2CDA" w:rsidRPr="00BC6BEF" w:rsidRDefault="008D2CDA" w:rsidP="00BF78B0">
      <w:pPr>
        <w:pStyle w:val="Header"/>
        <w:tabs>
          <w:tab w:val="left" w:pos="284"/>
        </w:tabs>
        <w:jc w:val="both"/>
        <w:rPr>
          <w:bCs/>
          <w:sz w:val="22"/>
          <w:szCs w:val="22"/>
          <w:lang w:val="sl-SI"/>
        </w:rPr>
      </w:pPr>
      <w:r w:rsidRPr="008E171B">
        <w:rPr>
          <w:bCs/>
          <w:sz w:val="22"/>
          <w:szCs w:val="22"/>
          <w:lang w:val="sl-SI"/>
        </w:rPr>
        <w:t>Istovremena primjena pregabalina (200mg, 3 puta dnevno) nije uticala na koncentracije lamotrigina u plazmi u stanju ravnoteže (</w:t>
      </w:r>
      <w:r w:rsidRPr="008E171B">
        <w:rPr>
          <w:bCs/>
          <w:i/>
          <w:sz w:val="22"/>
          <w:szCs w:val="22"/>
          <w:lang w:val="sl-SI"/>
        </w:rPr>
        <w:t>steady state</w:t>
      </w:r>
      <w:r w:rsidRPr="008E171B">
        <w:rPr>
          <w:bCs/>
          <w:sz w:val="22"/>
          <w:szCs w:val="22"/>
          <w:lang w:val="sl-SI"/>
        </w:rPr>
        <w:t xml:space="preserve">). </w:t>
      </w:r>
      <w:r w:rsidRPr="00BC6BEF">
        <w:rPr>
          <w:bCs/>
          <w:sz w:val="22"/>
          <w:szCs w:val="22"/>
          <w:lang w:val="sl-SI"/>
        </w:rPr>
        <w:t>Nema farmakokinetičkih interakcija između lamotrigina i pregabalina.</w:t>
      </w:r>
    </w:p>
    <w:p w14:paraId="22064EE0" w14:textId="77777777" w:rsidR="008D2CDA" w:rsidRPr="00BC6BEF" w:rsidRDefault="008D2CDA" w:rsidP="00BF78B0">
      <w:pPr>
        <w:pStyle w:val="Header"/>
        <w:tabs>
          <w:tab w:val="left" w:pos="284"/>
        </w:tabs>
        <w:jc w:val="both"/>
        <w:rPr>
          <w:bCs/>
          <w:sz w:val="22"/>
          <w:szCs w:val="22"/>
          <w:lang w:val="sl-SI"/>
        </w:rPr>
      </w:pPr>
    </w:p>
    <w:p w14:paraId="22064EE1" w14:textId="77777777" w:rsidR="008D2CDA" w:rsidRPr="00BC6BEF" w:rsidRDefault="008D2CDA" w:rsidP="00BF78B0">
      <w:pPr>
        <w:pStyle w:val="Header"/>
        <w:tabs>
          <w:tab w:val="left" w:pos="284"/>
        </w:tabs>
        <w:jc w:val="both"/>
        <w:rPr>
          <w:bCs/>
          <w:sz w:val="22"/>
          <w:szCs w:val="22"/>
          <w:lang w:val="sl-SI"/>
        </w:rPr>
      </w:pPr>
      <w:r w:rsidRPr="00BC6BEF">
        <w:rPr>
          <w:bCs/>
          <w:sz w:val="22"/>
          <w:szCs w:val="22"/>
          <w:lang w:val="sl-SI"/>
        </w:rPr>
        <w:t>Topiramat ne dovodi do promjena koncentracija lamotrigina u plazmi. Primjena lamotrigina dovela je do povećanja koncentracija topiramata za 15%.</w:t>
      </w:r>
    </w:p>
    <w:p w14:paraId="22064EE2" w14:textId="77777777" w:rsidR="008D2CDA" w:rsidRPr="00BC6BEF" w:rsidRDefault="008D2CDA" w:rsidP="00BF78B0">
      <w:pPr>
        <w:pStyle w:val="Header"/>
        <w:tabs>
          <w:tab w:val="left" w:pos="284"/>
        </w:tabs>
        <w:jc w:val="both"/>
        <w:rPr>
          <w:bCs/>
          <w:sz w:val="22"/>
          <w:szCs w:val="22"/>
          <w:lang w:val="sl-SI"/>
        </w:rPr>
      </w:pPr>
    </w:p>
    <w:p w14:paraId="22064EE3" w14:textId="77777777" w:rsidR="008D2CDA" w:rsidRPr="00BC6BEF" w:rsidRDefault="008D2CDA" w:rsidP="00BF78B0">
      <w:pPr>
        <w:pStyle w:val="Header"/>
        <w:tabs>
          <w:tab w:val="left" w:pos="284"/>
        </w:tabs>
        <w:jc w:val="both"/>
        <w:rPr>
          <w:bCs/>
          <w:sz w:val="22"/>
          <w:szCs w:val="22"/>
          <w:lang w:val="sl-SI"/>
        </w:rPr>
      </w:pPr>
      <w:r w:rsidRPr="00BC6BEF">
        <w:rPr>
          <w:bCs/>
          <w:sz w:val="22"/>
          <w:szCs w:val="22"/>
          <w:lang w:val="sl-SI"/>
        </w:rPr>
        <w:t xml:space="preserve">U kliničkom ispitivanju pacijenata oboljelih od epilepsije, istovremena primjena zonisamida (200 do 400 mg/dnevno) sa lamotriginom (150 do 500 mg/dnevno) tokom 35 dana nije imala značajnog dejstva na farmakokinetiku lamotrigina. </w:t>
      </w:r>
    </w:p>
    <w:p w14:paraId="6AB6020A" w14:textId="77777777" w:rsidR="00BB3D23" w:rsidRPr="00C57B9E" w:rsidRDefault="00BB3D23" w:rsidP="008671F1">
      <w:pPr>
        <w:jc w:val="both"/>
        <w:rPr>
          <w:sz w:val="22"/>
          <w:szCs w:val="22"/>
          <w:lang w:val="sr-Latn-ME"/>
        </w:rPr>
      </w:pPr>
    </w:p>
    <w:p w14:paraId="0BE95DF7" w14:textId="3029C7BB" w:rsidR="00BB3D23" w:rsidRPr="00BB3D23" w:rsidRDefault="00BB3D23" w:rsidP="007B50AD">
      <w:pPr>
        <w:jc w:val="both"/>
        <w:rPr>
          <w:sz w:val="22"/>
          <w:szCs w:val="22"/>
          <w:lang w:val="sr-Latn-ME" w:eastAsia="hr-HR"/>
        </w:rPr>
      </w:pPr>
      <w:r w:rsidRPr="00C57B9E">
        <w:rPr>
          <w:sz w:val="22"/>
          <w:szCs w:val="22"/>
          <w:lang w:val="sr-Latn-ME"/>
        </w:rPr>
        <w:t>Koncentracije lamotrigina u plazmi ni</w:t>
      </w:r>
      <w:r w:rsidR="00741A59">
        <w:rPr>
          <w:sz w:val="22"/>
          <w:szCs w:val="22"/>
          <w:lang w:val="sr-Latn-ME"/>
        </w:rPr>
        <w:t>je</w:t>
      </w:r>
      <w:r w:rsidRPr="00C57B9E">
        <w:rPr>
          <w:sz w:val="22"/>
          <w:szCs w:val="22"/>
          <w:lang w:val="sr-Latn-ME"/>
        </w:rPr>
        <w:t>su bile pod uticajem istovremene primjene lakozamida (200, 400 ili 600 mg/dan) u placebo</w:t>
      </w:r>
      <w:r w:rsidR="00741A59">
        <w:rPr>
          <w:sz w:val="22"/>
          <w:szCs w:val="22"/>
          <w:lang w:val="sr-Latn-ME"/>
        </w:rPr>
        <w:t>m</w:t>
      </w:r>
      <w:r w:rsidRPr="00C57B9E">
        <w:rPr>
          <w:sz w:val="22"/>
          <w:szCs w:val="22"/>
          <w:lang w:val="sr-Latn-ME"/>
        </w:rPr>
        <w:t xml:space="preserve"> kontrolisanom kliničkom ispitivanju kod pacijenata sa parcijalnim epileptičkim napadima.</w:t>
      </w:r>
    </w:p>
    <w:p w14:paraId="12C686A2" w14:textId="77777777" w:rsidR="00BB3D23" w:rsidRPr="00C57B9E" w:rsidRDefault="00BB3D23">
      <w:pPr>
        <w:jc w:val="both"/>
        <w:rPr>
          <w:sz w:val="22"/>
          <w:szCs w:val="22"/>
          <w:lang w:val="sr-Latn-ME"/>
        </w:rPr>
      </w:pPr>
    </w:p>
    <w:p w14:paraId="22064EE4" w14:textId="756702B2" w:rsidR="008D2CDA" w:rsidRDefault="00BB3D23">
      <w:pPr>
        <w:jc w:val="both"/>
        <w:rPr>
          <w:sz w:val="22"/>
          <w:szCs w:val="22"/>
          <w:lang w:val="sr-Latn-ME"/>
        </w:rPr>
      </w:pPr>
      <w:r w:rsidRPr="00C57B9E">
        <w:rPr>
          <w:sz w:val="22"/>
          <w:szCs w:val="22"/>
          <w:lang w:val="sr-Latn-ME"/>
        </w:rPr>
        <w:t xml:space="preserve">U zbirnoj analizi podataka iz tri placebo kontrolisana klinička ispitivanja koja su ispitivala kombinovani perampanel kod pacijenata sa parcijalnim epileptičkim napadima i primarno generaliziovanim toničko-kloničkim napadima, najviša procijenjena doza perampanela (12 mg/dan) povećala je klirens lamotrigina za manje od 10%. </w:t>
      </w:r>
    </w:p>
    <w:p w14:paraId="0BDF5B7B" w14:textId="77777777" w:rsidR="005B7D12" w:rsidRPr="008E171B" w:rsidRDefault="005B7D12">
      <w:pPr>
        <w:jc w:val="both"/>
        <w:rPr>
          <w:lang w:val="sr-Latn-ME"/>
        </w:rPr>
      </w:pPr>
    </w:p>
    <w:p w14:paraId="23E8BA3A" w14:textId="2BEECC73" w:rsidR="00741A59" w:rsidRPr="00BC6BEF" w:rsidRDefault="008D2CDA" w:rsidP="00BF78B0">
      <w:pPr>
        <w:pStyle w:val="Header"/>
        <w:tabs>
          <w:tab w:val="left" w:pos="284"/>
        </w:tabs>
        <w:jc w:val="both"/>
        <w:rPr>
          <w:bCs/>
          <w:sz w:val="22"/>
          <w:szCs w:val="22"/>
          <w:lang w:val="it-IT"/>
        </w:rPr>
      </w:pPr>
      <w:r>
        <w:rPr>
          <w:bCs/>
          <w:sz w:val="22"/>
          <w:szCs w:val="22"/>
        </w:rPr>
        <w:t>Iako</w:t>
      </w:r>
      <w:r w:rsidRPr="008E171B">
        <w:rPr>
          <w:bCs/>
          <w:sz w:val="22"/>
          <w:szCs w:val="22"/>
          <w:lang w:val="sr-Latn-ME"/>
        </w:rPr>
        <w:t xml:space="preserve"> </w:t>
      </w:r>
      <w:r>
        <w:rPr>
          <w:bCs/>
          <w:sz w:val="22"/>
          <w:szCs w:val="22"/>
        </w:rPr>
        <w:t>su</w:t>
      </w:r>
      <w:r w:rsidRPr="008E171B">
        <w:rPr>
          <w:bCs/>
          <w:sz w:val="22"/>
          <w:szCs w:val="22"/>
          <w:lang w:val="sr-Latn-ME"/>
        </w:rPr>
        <w:t xml:space="preserve"> </w:t>
      </w:r>
      <w:r>
        <w:rPr>
          <w:bCs/>
          <w:sz w:val="22"/>
          <w:szCs w:val="22"/>
        </w:rPr>
        <w:t>prijavljene</w:t>
      </w:r>
      <w:r w:rsidRPr="008E171B">
        <w:rPr>
          <w:bCs/>
          <w:sz w:val="22"/>
          <w:szCs w:val="22"/>
          <w:lang w:val="sr-Latn-ME"/>
        </w:rPr>
        <w:t xml:space="preserve"> </w:t>
      </w:r>
      <w:r>
        <w:rPr>
          <w:bCs/>
          <w:sz w:val="22"/>
          <w:szCs w:val="22"/>
        </w:rPr>
        <w:t>promjene</w:t>
      </w:r>
      <w:r w:rsidRPr="008E171B">
        <w:rPr>
          <w:bCs/>
          <w:sz w:val="22"/>
          <w:szCs w:val="22"/>
          <w:lang w:val="sr-Latn-ME"/>
        </w:rPr>
        <w:t xml:space="preserve"> </w:t>
      </w:r>
      <w:r>
        <w:rPr>
          <w:bCs/>
          <w:sz w:val="22"/>
          <w:szCs w:val="22"/>
        </w:rPr>
        <w:t>u</w:t>
      </w:r>
      <w:r w:rsidRPr="008E171B">
        <w:rPr>
          <w:bCs/>
          <w:sz w:val="22"/>
          <w:szCs w:val="22"/>
          <w:lang w:val="sr-Latn-ME"/>
        </w:rPr>
        <w:t xml:space="preserve"> </w:t>
      </w:r>
      <w:r>
        <w:rPr>
          <w:bCs/>
          <w:sz w:val="22"/>
          <w:szCs w:val="22"/>
        </w:rPr>
        <w:t>koncentracijama</w:t>
      </w:r>
      <w:r w:rsidRPr="008E171B">
        <w:rPr>
          <w:bCs/>
          <w:sz w:val="22"/>
          <w:szCs w:val="22"/>
          <w:lang w:val="sr-Latn-ME"/>
        </w:rPr>
        <w:t xml:space="preserve"> </w:t>
      </w:r>
      <w:r>
        <w:rPr>
          <w:bCs/>
          <w:sz w:val="22"/>
          <w:szCs w:val="22"/>
        </w:rPr>
        <w:t>u</w:t>
      </w:r>
      <w:r w:rsidRPr="008E171B">
        <w:rPr>
          <w:bCs/>
          <w:sz w:val="22"/>
          <w:szCs w:val="22"/>
          <w:lang w:val="sr-Latn-ME"/>
        </w:rPr>
        <w:t xml:space="preserve"> </w:t>
      </w:r>
      <w:r>
        <w:rPr>
          <w:bCs/>
          <w:sz w:val="22"/>
          <w:szCs w:val="22"/>
        </w:rPr>
        <w:t>plazmi</w:t>
      </w:r>
      <w:r w:rsidRPr="008E171B">
        <w:rPr>
          <w:bCs/>
          <w:sz w:val="22"/>
          <w:szCs w:val="22"/>
          <w:lang w:val="sr-Latn-ME"/>
        </w:rPr>
        <w:t xml:space="preserve"> </w:t>
      </w:r>
      <w:r>
        <w:rPr>
          <w:bCs/>
          <w:sz w:val="22"/>
          <w:szCs w:val="22"/>
        </w:rPr>
        <w:t>drugih</w:t>
      </w:r>
      <w:r w:rsidRPr="008E171B">
        <w:rPr>
          <w:bCs/>
          <w:sz w:val="22"/>
          <w:szCs w:val="22"/>
          <w:lang w:val="sr-Latn-ME"/>
        </w:rPr>
        <w:t xml:space="preserve"> </w:t>
      </w:r>
      <w:r>
        <w:rPr>
          <w:bCs/>
          <w:sz w:val="22"/>
          <w:szCs w:val="22"/>
        </w:rPr>
        <w:t>AEL</w:t>
      </w:r>
      <w:r w:rsidRPr="008E171B">
        <w:rPr>
          <w:bCs/>
          <w:sz w:val="22"/>
          <w:szCs w:val="22"/>
          <w:lang w:val="sr-Latn-ME"/>
        </w:rPr>
        <w:t xml:space="preserve">, </w:t>
      </w:r>
      <w:r>
        <w:rPr>
          <w:bCs/>
          <w:sz w:val="22"/>
          <w:szCs w:val="22"/>
        </w:rPr>
        <w:t>kontrolisana</w:t>
      </w:r>
      <w:r w:rsidRPr="008E171B">
        <w:rPr>
          <w:bCs/>
          <w:sz w:val="22"/>
          <w:szCs w:val="22"/>
          <w:lang w:val="sr-Latn-ME"/>
        </w:rPr>
        <w:t xml:space="preserve"> </w:t>
      </w:r>
      <w:r>
        <w:rPr>
          <w:bCs/>
          <w:sz w:val="22"/>
          <w:szCs w:val="22"/>
        </w:rPr>
        <w:t>klini</w:t>
      </w:r>
      <w:r w:rsidRPr="008E171B">
        <w:rPr>
          <w:bCs/>
          <w:sz w:val="22"/>
          <w:szCs w:val="22"/>
          <w:lang w:val="sr-Latn-ME"/>
        </w:rPr>
        <w:t>č</w:t>
      </w:r>
      <w:r>
        <w:rPr>
          <w:bCs/>
          <w:sz w:val="22"/>
          <w:szCs w:val="22"/>
        </w:rPr>
        <w:t>ka</w:t>
      </w:r>
      <w:r w:rsidRPr="008E171B">
        <w:rPr>
          <w:bCs/>
          <w:sz w:val="22"/>
          <w:szCs w:val="22"/>
          <w:lang w:val="sr-Latn-ME"/>
        </w:rPr>
        <w:t xml:space="preserve"> </w:t>
      </w:r>
      <w:r>
        <w:rPr>
          <w:bCs/>
          <w:sz w:val="22"/>
          <w:szCs w:val="22"/>
        </w:rPr>
        <w:t>ispitivanja</w:t>
      </w:r>
      <w:r w:rsidRPr="008E171B">
        <w:rPr>
          <w:bCs/>
          <w:sz w:val="22"/>
          <w:szCs w:val="22"/>
          <w:lang w:val="sr-Latn-ME"/>
        </w:rPr>
        <w:t xml:space="preserve"> </w:t>
      </w:r>
      <w:r>
        <w:rPr>
          <w:bCs/>
          <w:sz w:val="22"/>
          <w:szCs w:val="22"/>
        </w:rPr>
        <w:t>nijesu</w:t>
      </w:r>
      <w:r w:rsidRPr="008E171B">
        <w:rPr>
          <w:bCs/>
          <w:sz w:val="22"/>
          <w:szCs w:val="22"/>
          <w:lang w:val="sr-Latn-ME"/>
        </w:rPr>
        <w:t xml:space="preserve"> </w:t>
      </w:r>
      <w:r>
        <w:rPr>
          <w:bCs/>
          <w:sz w:val="22"/>
          <w:szCs w:val="22"/>
        </w:rPr>
        <w:t>dokazala</w:t>
      </w:r>
      <w:r w:rsidRPr="008E171B">
        <w:rPr>
          <w:bCs/>
          <w:sz w:val="22"/>
          <w:szCs w:val="22"/>
          <w:lang w:val="sr-Latn-ME"/>
        </w:rPr>
        <w:t xml:space="preserve"> </w:t>
      </w:r>
      <w:r>
        <w:rPr>
          <w:bCs/>
          <w:sz w:val="22"/>
          <w:szCs w:val="22"/>
        </w:rPr>
        <w:t>da</w:t>
      </w:r>
      <w:r w:rsidRPr="008E171B">
        <w:rPr>
          <w:bCs/>
          <w:sz w:val="22"/>
          <w:szCs w:val="22"/>
          <w:lang w:val="sr-Latn-ME"/>
        </w:rPr>
        <w:t xml:space="preserve"> </w:t>
      </w:r>
      <w:r>
        <w:rPr>
          <w:bCs/>
          <w:sz w:val="22"/>
          <w:szCs w:val="22"/>
        </w:rPr>
        <w:t>lamotrigin</w:t>
      </w:r>
      <w:r w:rsidRPr="008E171B">
        <w:rPr>
          <w:bCs/>
          <w:sz w:val="22"/>
          <w:szCs w:val="22"/>
          <w:lang w:val="sr-Latn-ME"/>
        </w:rPr>
        <w:t xml:space="preserve"> </w:t>
      </w:r>
      <w:r>
        <w:rPr>
          <w:bCs/>
          <w:sz w:val="22"/>
          <w:szCs w:val="22"/>
        </w:rPr>
        <w:t>uti</w:t>
      </w:r>
      <w:r w:rsidRPr="008E171B">
        <w:rPr>
          <w:bCs/>
          <w:sz w:val="22"/>
          <w:szCs w:val="22"/>
          <w:lang w:val="sr-Latn-ME"/>
        </w:rPr>
        <w:t>č</w:t>
      </w:r>
      <w:r>
        <w:rPr>
          <w:bCs/>
          <w:sz w:val="22"/>
          <w:szCs w:val="22"/>
        </w:rPr>
        <w:t>e</w:t>
      </w:r>
      <w:r w:rsidRPr="008E171B">
        <w:rPr>
          <w:bCs/>
          <w:sz w:val="22"/>
          <w:szCs w:val="22"/>
          <w:lang w:val="sr-Latn-ME"/>
        </w:rPr>
        <w:t xml:space="preserve"> </w:t>
      </w:r>
      <w:r>
        <w:rPr>
          <w:bCs/>
          <w:sz w:val="22"/>
          <w:szCs w:val="22"/>
        </w:rPr>
        <w:t>na</w:t>
      </w:r>
      <w:r w:rsidRPr="008E171B">
        <w:rPr>
          <w:bCs/>
          <w:sz w:val="22"/>
          <w:szCs w:val="22"/>
          <w:lang w:val="sr-Latn-ME"/>
        </w:rPr>
        <w:t xml:space="preserve"> </w:t>
      </w:r>
      <w:r>
        <w:rPr>
          <w:bCs/>
          <w:sz w:val="22"/>
          <w:szCs w:val="22"/>
        </w:rPr>
        <w:t>koncentracije</w:t>
      </w:r>
      <w:r w:rsidRPr="008E171B">
        <w:rPr>
          <w:bCs/>
          <w:sz w:val="22"/>
          <w:szCs w:val="22"/>
          <w:lang w:val="sr-Latn-ME"/>
        </w:rPr>
        <w:t xml:space="preserve"> </w:t>
      </w:r>
      <w:r>
        <w:rPr>
          <w:bCs/>
          <w:sz w:val="22"/>
          <w:szCs w:val="22"/>
        </w:rPr>
        <w:t>u</w:t>
      </w:r>
      <w:r w:rsidRPr="008E171B">
        <w:rPr>
          <w:bCs/>
          <w:sz w:val="22"/>
          <w:szCs w:val="22"/>
          <w:lang w:val="sr-Latn-ME"/>
        </w:rPr>
        <w:t xml:space="preserve"> </w:t>
      </w:r>
      <w:r>
        <w:rPr>
          <w:bCs/>
          <w:sz w:val="22"/>
          <w:szCs w:val="22"/>
        </w:rPr>
        <w:t>plazmi</w:t>
      </w:r>
      <w:r w:rsidRPr="008E171B">
        <w:rPr>
          <w:bCs/>
          <w:sz w:val="22"/>
          <w:szCs w:val="22"/>
          <w:lang w:val="sr-Latn-ME"/>
        </w:rPr>
        <w:t xml:space="preserve"> </w:t>
      </w:r>
      <w:r>
        <w:rPr>
          <w:bCs/>
          <w:sz w:val="22"/>
          <w:szCs w:val="22"/>
        </w:rPr>
        <w:t>konkomitantno</w:t>
      </w:r>
      <w:r w:rsidRPr="008E171B">
        <w:rPr>
          <w:bCs/>
          <w:sz w:val="22"/>
          <w:szCs w:val="22"/>
          <w:lang w:val="sr-Latn-ME"/>
        </w:rPr>
        <w:t xml:space="preserve"> </w:t>
      </w:r>
      <w:r>
        <w:rPr>
          <w:bCs/>
          <w:sz w:val="22"/>
          <w:szCs w:val="22"/>
        </w:rPr>
        <w:t>primijenjenih</w:t>
      </w:r>
      <w:r w:rsidRPr="008E171B">
        <w:rPr>
          <w:bCs/>
          <w:sz w:val="22"/>
          <w:szCs w:val="22"/>
          <w:lang w:val="sr-Latn-ME"/>
        </w:rPr>
        <w:t xml:space="preserve"> </w:t>
      </w:r>
      <w:r>
        <w:rPr>
          <w:bCs/>
          <w:sz w:val="22"/>
          <w:szCs w:val="22"/>
        </w:rPr>
        <w:t>AEL</w:t>
      </w:r>
      <w:r w:rsidRPr="008E171B">
        <w:rPr>
          <w:bCs/>
          <w:sz w:val="22"/>
          <w:szCs w:val="22"/>
          <w:lang w:val="sr-Latn-ME"/>
        </w:rPr>
        <w:t xml:space="preserve">. </w:t>
      </w:r>
      <w:r w:rsidRPr="00BC6BEF">
        <w:rPr>
          <w:bCs/>
          <w:sz w:val="22"/>
          <w:szCs w:val="22"/>
          <w:lang w:val="it-IT"/>
        </w:rPr>
        <w:t xml:space="preserve">U </w:t>
      </w:r>
      <w:r w:rsidRPr="00BC6BEF">
        <w:rPr>
          <w:bCs/>
          <w:i/>
          <w:sz w:val="22"/>
          <w:szCs w:val="22"/>
          <w:lang w:val="it-IT"/>
        </w:rPr>
        <w:t>in vitro</w:t>
      </w:r>
      <w:r w:rsidRPr="00BC6BEF">
        <w:rPr>
          <w:bCs/>
          <w:sz w:val="22"/>
          <w:szCs w:val="22"/>
          <w:lang w:val="it-IT"/>
        </w:rPr>
        <w:t xml:space="preserve"> kliničkim ispitivanjima je dokazano da lamotrigin ne istiskuje druge AEL sa mjesta vezivanja za proteine.</w:t>
      </w:r>
    </w:p>
    <w:p w14:paraId="22064EE6" w14:textId="77777777" w:rsidR="008D2CDA" w:rsidRPr="00BC6BEF" w:rsidRDefault="008D2CDA" w:rsidP="006B3996">
      <w:pPr>
        <w:pStyle w:val="Header"/>
        <w:tabs>
          <w:tab w:val="left" w:pos="284"/>
        </w:tabs>
        <w:spacing w:before="80" w:after="80"/>
        <w:jc w:val="both"/>
        <w:rPr>
          <w:bCs/>
          <w:sz w:val="22"/>
          <w:szCs w:val="22"/>
          <w:lang w:val="it-IT"/>
        </w:rPr>
      </w:pPr>
    </w:p>
    <w:p w14:paraId="22064EE7" w14:textId="77777777" w:rsidR="008D2CDA" w:rsidRPr="00BC6BEF" w:rsidRDefault="008D2CDA" w:rsidP="00BF78B0">
      <w:pPr>
        <w:pStyle w:val="Header"/>
        <w:tabs>
          <w:tab w:val="left" w:pos="284"/>
        </w:tabs>
        <w:jc w:val="both"/>
        <w:rPr>
          <w:bCs/>
          <w:sz w:val="22"/>
          <w:szCs w:val="22"/>
          <w:u w:val="single"/>
          <w:lang w:val="it-IT"/>
        </w:rPr>
      </w:pPr>
      <w:r w:rsidRPr="00BC6BEF">
        <w:rPr>
          <w:bCs/>
          <w:sz w:val="22"/>
          <w:szCs w:val="22"/>
          <w:u w:val="single"/>
          <w:lang w:val="it-IT"/>
        </w:rPr>
        <w:lastRenderedPageBreak/>
        <w:t>Interakcije sa drugim psihoaktivnim ljekovima</w:t>
      </w:r>
    </w:p>
    <w:p w14:paraId="22064EE8" w14:textId="77777777" w:rsidR="008D2CDA" w:rsidRPr="00BC6BEF" w:rsidRDefault="008D2CDA" w:rsidP="00BF78B0">
      <w:pPr>
        <w:pStyle w:val="Header"/>
        <w:tabs>
          <w:tab w:val="left" w:pos="284"/>
        </w:tabs>
        <w:jc w:val="both"/>
        <w:rPr>
          <w:bCs/>
          <w:sz w:val="22"/>
          <w:szCs w:val="22"/>
          <w:u w:val="single"/>
          <w:lang w:val="it-IT"/>
        </w:rPr>
      </w:pPr>
    </w:p>
    <w:p w14:paraId="22064EE9" w14:textId="77777777" w:rsidR="008D2CDA" w:rsidRDefault="008D2CDA" w:rsidP="00BF78B0">
      <w:pPr>
        <w:pStyle w:val="Header"/>
        <w:tabs>
          <w:tab w:val="left" w:pos="284"/>
        </w:tabs>
        <w:jc w:val="both"/>
        <w:rPr>
          <w:bCs/>
          <w:sz w:val="22"/>
          <w:szCs w:val="22"/>
          <w:lang w:val="sl-SI"/>
        </w:rPr>
      </w:pPr>
      <w:r>
        <w:rPr>
          <w:bCs/>
          <w:sz w:val="22"/>
          <w:szCs w:val="22"/>
          <w:lang w:val="sl-SI"/>
        </w:rPr>
        <w:t>Nakon primjene 2g anhidrovanog litijum glukonata dva puta dnevno tokom šest dana kod 20 zdravih dobrovoljaca, farmakokinetika litijuma nije izmijenjena prilikom istovremene primjene lamotrigina u dozi od 100 mg/dnevno.</w:t>
      </w:r>
    </w:p>
    <w:p w14:paraId="22064EEA" w14:textId="77777777" w:rsidR="008D2CDA" w:rsidRDefault="008D2CDA" w:rsidP="00BF78B0">
      <w:pPr>
        <w:pStyle w:val="Header"/>
        <w:tabs>
          <w:tab w:val="left" w:pos="284"/>
        </w:tabs>
        <w:jc w:val="both"/>
        <w:rPr>
          <w:bCs/>
          <w:sz w:val="22"/>
          <w:szCs w:val="22"/>
          <w:lang w:val="sl-SI"/>
        </w:rPr>
      </w:pPr>
    </w:p>
    <w:p w14:paraId="22064EEB" w14:textId="77777777" w:rsidR="008D2CDA" w:rsidRDefault="008D2CDA" w:rsidP="00BF78B0">
      <w:pPr>
        <w:pStyle w:val="Header"/>
        <w:tabs>
          <w:tab w:val="left" w:pos="284"/>
        </w:tabs>
        <w:jc w:val="both"/>
        <w:rPr>
          <w:bCs/>
          <w:sz w:val="22"/>
          <w:szCs w:val="22"/>
          <w:lang w:val="sl-SI"/>
        </w:rPr>
      </w:pPr>
      <w:r>
        <w:rPr>
          <w:bCs/>
          <w:sz w:val="22"/>
          <w:szCs w:val="22"/>
          <w:lang w:val="sl-SI"/>
        </w:rPr>
        <w:t xml:space="preserve">Primjena višestrukih oralnih doza bupropiona kod 12 ispitanika nije imala statistički značajno dejstvo na farmakokinetiku lamotrigina i dovela je do blagog  povećanja PIK lamotrigin glukuronida. </w:t>
      </w:r>
    </w:p>
    <w:p w14:paraId="22064EEC" w14:textId="77777777" w:rsidR="008D2CDA" w:rsidRDefault="008D2CDA" w:rsidP="00BF78B0">
      <w:pPr>
        <w:pStyle w:val="Header"/>
        <w:tabs>
          <w:tab w:val="left" w:pos="284"/>
        </w:tabs>
        <w:jc w:val="both"/>
        <w:rPr>
          <w:bCs/>
          <w:sz w:val="22"/>
          <w:szCs w:val="22"/>
          <w:lang w:val="sl-SI"/>
        </w:rPr>
      </w:pPr>
    </w:p>
    <w:p w14:paraId="22064EED" w14:textId="21A02405" w:rsidR="008D2CDA" w:rsidRDefault="008D2CDA" w:rsidP="00BF78B0">
      <w:pPr>
        <w:pStyle w:val="Header"/>
        <w:tabs>
          <w:tab w:val="left" w:pos="284"/>
        </w:tabs>
        <w:jc w:val="both"/>
        <w:rPr>
          <w:bCs/>
          <w:sz w:val="22"/>
          <w:szCs w:val="22"/>
          <w:lang w:val="sl-SI"/>
        </w:rPr>
      </w:pPr>
      <w:r>
        <w:rPr>
          <w:bCs/>
          <w:sz w:val="22"/>
          <w:szCs w:val="22"/>
          <w:lang w:val="sl-SI"/>
        </w:rPr>
        <w:t xml:space="preserve">U studiji </w:t>
      </w:r>
      <w:r w:rsidR="00741A59">
        <w:rPr>
          <w:bCs/>
          <w:sz w:val="22"/>
          <w:szCs w:val="22"/>
          <w:lang w:val="sl-SI"/>
        </w:rPr>
        <w:t>kod</w:t>
      </w:r>
      <w:r>
        <w:rPr>
          <w:bCs/>
          <w:sz w:val="22"/>
          <w:szCs w:val="22"/>
          <w:lang w:val="sl-SI"/>
        </w:rPr>
        <w:t xml:space="preserve"> zdravi</w:t>
      </w:r>
      <w:r w:rsidR="00741A59">
        <w:rPr>
          <w:bCs/>
          <w:sz w:val="22"/>
          <w:szCs w:val="22"/>
          <w:lang w:val="sl-SI"/>
        </w:rPr>
        <w:t>h</w:t>
      </w:r>
      <w:r>
        <w:rPr>
          <w:bCs/>
          <w:sz w:val="22"/>
          <w:szCs w:val="22"/>
          <w:lang w:val="sl-SI"/>
        </w:rPr>
        <w:t xml:space="preserve"> odrasli</w:t>
      </w:r>
      <w:r w:rsidR="00741A59">
        <w:rPr>
          <w:bCs/>
          <w:sz w:val="22"/>
          <w:szCs w:val="22"/>
          <w:lang w:val="sl-SI"/>
        </w:rPr>
        <w:t xml:space="preserve">h </w:t>
      </w:r>
      <w:r>
        <w:rPr>
          <w:bCs/>
          <w:sz w:val="22"/>
          <w:szCs w:val="22"/>
          <w:lang w:val="sl-SI"/>
        </w:rPr>
        <w:t>dobrovolj</w:t>
      </w:r>
      <w:r w:rsidR="00741A59">
        <w:rPr>
          <w:bCs/>
          <w:sz w:val="22"/>
          <w:szCs w:val="22"/>
          <w:lang w:val="sl-SI"/>
        </w:rPr>
        <w:t>aca</w:t>
      </w:r>
      <w:r>
        <w:rPr>
          <w:bCs/>
          <w:sz w:val="22"/>
          <w:szCs w:val="22"/>
          <w:lang w:val="sl-SI"/>
        </w:rPr>
        <w:t xml:space="preserve"> 15mg olanzapina je redukovalo PIK i C</w:t>
      </w:r>
      <w:r w:rsidRPr="004E30CF">
        <w:rPr>
          <w:bCs/>
          <w:sz w:val="22"/>
          <w:szCs w:val="22"/>
          <w:vertAlign w:val="subscript"/>
          <w:lang w:val="sl-SI"/>
        </w:rPr>
        <w:t>max</w:t>
      </w:r>
      <w:r>
        <w:rPr>
          <w:bCs/>
          <w:sz w:val="22"/>
          <w:szCs w:val="22"/>
          <w:lang w:val="sl-SI"/>
        </w:rPr>
        <w:t xml:space="preserve"> lamotrigina prosječno 24% i 20%, respektivno. Primjena lamotrigina u dozi od 200mg ne utiče na farmakokinetiku olanzapina.</w:t>
      </w:r>
    </w:p>
    <w:p w14:paraId="22064EEE" w14:textId="77777777" w:rsidR="008D2CDA" w:rsidRPr="008E171B" w:rsidRDefault="008D2CDA" w:rsidP="00BF78B0">
      <w:pPr>
        <w:pStyle w:val="Header"/>
        <w:tabs>
          <w:tab w:val="left" w:pos="284"/>
        </w:tabs>
        <w:jc w:val="both"/>
        <w:rPr>
          <w:bCs/>
          <w:sz w:val="22"/>
          <w:szCs w:val="22"/>
          <w:u w:val="single"/>
          <w:lang w:val="sl-SI"/>
        </w:rPr>
      </w:pPr>
    </w:p>
    <w:p w14:paraId="22064EEF" w14:textId="77777777" w:rsidR="008D2CDA" w:rsidRPr="008E171B" w:rsidRDefault="008D2CDA" w:rsidP="00BF78B0">
      <w:pPr>
        <w:pStyle w:val="Header"/>
        <w:tabs>
          <w:tab w:val="left" w:pos="284"/>
        </w:tabs>
        <w:jc w:val="both"/>
        <w:rPr>
          <w:bCs/>
          <w:sz w:val="22"/>
          <w:szCs w:val="22"/>
          <w:lang w:val="sl-SI"/>
        </w:rPr>
      </w:pPr>
      <w:r w:rsidRPr="008E171B">
        <w:rPr>
          <w:bCs/>
          <w:sz w:val="22"/>
          <w:szCs w:val="22"/>
          <w:lang w:val="sl-SI"/>
        </w:rPr>
        <w:t>Primjena multiplih oralnih doza lamotrigina od 400 mg/dnevno nije imala klinički značajno dejstvo na farmakokinetiku pojedinačne doze 2mg risperidona kod 14 zdravih odraslih dobrovoljaca. Nakon istovremene primjene risperidona u dozi od 2mg sa lamotriginom, 12 od 14 dobrovoljaca prijavilo je pojavu somnolencije u poređenju sa 1 od 20 kada je risperidon primijenjen kao monoterapija i nijednim kada je lamotrigin bio primijenjen kao monoterapija.</w:t>
      </w:r>
    </w:p>
    <w:p w14:paraId="22064EF0" w14:textId="77777777" w:rsidR="008D2CDA" w:rsidRPr="008E171B" w:rsidRDefault="008D2CDA" w:rsidP="00BF78B0">
      <w:pPr>
        <w:pStyle w:val="Header"/>
        <w:tabs>
          <w:tab w:val="left" w:pos="284"/>
        </w:tabs>
        <w:jc w:val="both"/>
        <w:rPr>
          <w:bCs/>
          <w:sz w:val="22"/>
          <w:szCs w:val="22"/>
          <w:lang w:val="sl-SI"/>
        </w:rPr>
      </w:pPr>
    </w:p>
    <w:p w14:paraId="22064EF1" w14:textId="17928E0A" w:rsidR="008D2CDA" w:rsidRPr="00BC6BEF" w:rsidRDefault="008D2CDA" w:rsidP="00BF78B0">
      <w:pPr>
        <w:pStyle w:val="Header"/>
        <w:tabs>
          <w:tab w:val="left" w:pos="284"/>
        </w:tabs>
        <w:jc w:val="both"/>
        <w:rPr>
          <w:bCs/>
          <w:sz w:val="22"/>
          <w:szCs w:val="22"/>
          <w:lang w:val="sl-SI"/>
        </w:rPr>
      </w:pPr>
      <w:r w:rsidRPr="008E171B">
        <w:rPr>
          <w:bCs/>
          <w:sz w:val="22"/>
          <w:szCs w:val="22"/>
          <w:lang w:val="sl-SI"/>
        </w:rPr>
        <w:t xml:space="preserve">U okviru kliničkog ispitivanja 18 odraslih pacijenata sa bipolarnim poremećajem tipa I, kojima je primijenjen utvrđeni terapijski režim doziranja lamotriginom (100 </w:t>
      </w:r>
      <w:r w:rsidR="009C0C95" w:rsidRPr="008E171B">
        <w:rPr>
          <w:bCs/>
          <w:sz w:val="22"/>
          <w:szCs w:val="22"/>
          <w:lang w:val="sl-SI"/>
        </w:rPr>
        <w:t>–</w:t>
      </w:r>
      <w:r w:rsidRPr="008E171B">
        <w:rPr>
          <w:bCs/>
          <w:sz w:val="22"/>
          <w:szCs w:val="22"/>
          <w:lang w:val="sl-SI"/>
        </w:rPr>
        <w:t xml:space="preserve"> 400</w:t>
      </w:r>
      <w:r w:rsidR="009C0C95" w:rsidRPr="008E171B">
        <w:rPr>
          <w:bCs/>
          <w:sz w:val="22"/>
          <w:szCs w:val="22"/>
          <w:lang w:val="sl-SI"/>
        </w:rPr>
        <w:t xml:space="preserve"> </w:t>
      </w:r>
      <w:r w:rsidRPr="008E171B">
        <w:rPr>
          <w:bCs/>
          <w:sz w:val="22"/>
          <w:szCs w:val="22"/>
          <w:lang w:val="sl-SI"/>
        </w:rPr>
        <w:t>mg/dnevno), doze aripiprazola su povišene sa 10</w:t>
      </w:r>
      <w:r w:rsidR="009C0C95" w:rsidRPr="008E171B">
        <w:rPr>
          <w:bCs/>
          <w:sz w:val="22"/>
          <w:szCs w:val="22"/>
          <w:lang w:val="sl-SI"/>
        </w:rPr>
        <w:t xml:space="preserve"> </w:t>
      </w:r>
      <w:r w:rsidRPr="008E171B">
        <w:rPr>
          <w:bCs/>
          <w:sz w:val="22"/>
          <w:szCs w:val="22"/>
          <w:lang w:val="sl-SI"/>
        </w:rPr>
        <w:t>mg/dnevno do ciljnih 30</w:t>
      </w:r>
      <w:r w:rsidR="009C0C95" w:rsidRPr="008E171B">
        <w:rPr>
          <w:bCs/>
          <w:sz w:val="22"/>
          <w:szCs w:val="22"/>
          <w:lang w:val="sl-SI"/>
        </w:rPr>
        <w:t xml:space="preserve"> </w:t>
      </w:r>
      <w:r w:rsidRPr="008E171B">
        <w:rPr>
          <w:bCs/>
          <w:sz w:val="22"/>
          <w:szCs w:val="22"/>
          <w:lang w:val="sl-SI"/>
        </w:rPr>
        <w:t xml:space="preserve">mg/dnevno tokom perioda od 7 dana i nastavljeno je sa primjenom lijeka jednom dnevno tokom narednih 7 dana. </w:t>
      </w:r>
      <w:r w:rsidRPr="00BC6BEF">
        <w:rPr>
          <w:bCs/>
          <w:sz w:val="22"/>
          <w:szCs w:val="22"/>
          <w:lang w:val="sl-SI"/>
        </w:rPr>
        <w:t>Uočeno je prosječno smanjenje od približno 10% C</w:t>
      </w:r>
      <w:r w:rsidRPr="00BC6BEF">
        <w:rPr>
          <w:bCs/>
          <w:sz w:val="22"/>
          <w:szCs w:val="22"/>
          <w:vertAlign w:val="subscript"/>
          <w:lang w:val="sl-SI"/>
        </w:rPr>
        <w:t>max</w:t>
      </w:r>
      <w:r w:rsidRPr="00BC6BEF">
        <w:rPr>
          <w:bCs/>
          <w:sz w:val="22"/>
          <w:szCs w:val="22"/>
          <w:lang w:val="sl-SI"/>
        </w:rPr>
        <w:t xml:space="preserve"> i PIK lamotrigina. </w:t>
      </w:r>
    </w:p>
    <w:p w14:paraId="22064EF2" w14:textId="77777777" w:rsidR="008D2CDA" w:rsidRPr="00BC6BEF" w:rsidRDefault="008D2CDA" w:rsidP="00BF78B0">
      <w:pPr>
        <w:pStyle w:val="Header"/>
        <w:tabs>
          <w:tab w:val="left" w:pos="284"/>
        </w:tabs>
        <w:jc w:val="both"/>
        <w:rPr>
          <w:bCs/>
          <w:sz w:val="22"/>
          <w:szCs w:val="22"/>
          <w:lang w:val="sl-SI"/>
        </w:rPr>
      </w:pPr>
    </w:p>
    <w:p w14:paraId="22064EF3" w14:textId="3ED28702" w:rsidR="008D2CDA" w:rsidRDefault="008D2CDA" w:rsidP="00BF78B0">
      <w:pPr>
        <w:pStyle w:val="Header"/>
        <w:tabs>
          <w:tab w:val="left" w:pos="284"/>
        </w:tabs>
        <w:jc w:val="both"/>
        <w:rPr>
          <w:bCs/>
          <w:sz w:val="22"/>
          <w:szCs w:val="22"/>
          <w:lang w:val="sl-SI"/>
        </w:rPr>
      </w:pPr>
      <w:r>
        <w:rPr>
          <w:bCs/>
          <w:sz w:val="22"/>
          <w:szCs w:val="22"/>
          <w:lang w:val="sl-SI"/>
        </w:rPr>
        <w:t xml:space="preserve">Eksperimenti </w:t>
      </w:r>
      <w:r>
        <w:rPr>
          <w:bCs/>
          <w:i/>
          <w:sz w:val="22"/>
          <w:szCs w:val="22"/>
          <w:lang w:val="sl-SI"/>
        </w:rPr>
        <w:t xml:space="preserve">in vitro </w:t>
      </w:r>
      <w:r>
        <w:rPr>
          <w:bCs/>
          <w:sz w:val="22"/>
          <w:szCs w:val="22"/>
          <w:lang w:val="sl-SI"/>
        </w:rPr>
        <w:t>ukazuju da je  stvaranje primarnog metabolita lamotrigina, 2-N-glukuronid</w:t>
      </w:r>
      <w:r w:rsidR="00741A59">
        <w:rPr>
          <w:bCs/>
          <w:sz w:val="22"/>
          <w:szCs w:val="22"/>
          <w:lang w:val="sl-SI"/>
        </w:rPr>
        <w:t>a</w:t>
      </w:r>
      <w:r>
        <w:rPr>
          <w:bCs/>
          <w:sz w:val="22"/>
          <w:szCs w:val="22"/>
          <w:lang w:val="sl-SI"/>
        </w:rPr>
        <w:t>, minimalno</w:t>
      </w:r>
      <w:r w:rsidR="00363CD2">
        <w:rPr>
          <w:bCs/>
          <w:sz w:val="22"/>
          <w:szCs w:val="22"/>
          <w:lang w:val="sl-SI"/>
        </w:rPr>
        <w:t xml:space="preserve"> inhibirala</w:t>
      </w:r>
      <w:r>
        <w:rPr>
          <w:bCs/>
          <w:sz w:val="22"/>
          <w:szCs w:val="22"/>
          <w:lang w:val="sl-SI"/>
        </w:rPr>
        <w:t xml:space="preserve"> </w:t>
      </w:r>
      <w:r w:rsidR="009C0C95">
        <w:rPr>
          <w:bCs/>
          <w:sz w:val="22"/>
          <w:szCs w:val="22"/>
          <w:lang w:val="sl-SI"/>
        </w:rPr>
        <w:t xml:space="preserve">istovremena </w:t>
      </w:r>
      <w:r>
        <w:rPr>
          <w:bCs/>
          <w:sz w:val="22"/>
          <w:szCs w:val="22"/>
          <w:lang w:val="sl-SI"/>
        </w:rPr>
        <w:t>inkubacija sa amitriptilinom, bupropionom, klonazepamom, haloperidolom ili lorazepamom. Navedeni eksperimenti takođe ukazuju da je malo vjerovatno da je metabolizam lamotrigina bio inhibiran klozapinom, fluoksetinom, fenelzinom, risperidonom, sertralinom ili trazodonom. Dodatno, kliničko ispitivanje metabolozma bufuralola primjenom preparata humanih mikrozoma jetre, ukazuj</w:t>
      </w:r>
      <w:r w:rsidR="00741A59">
        <w:rPr>
          <w:bCs/>
          <w:sz w:val="22"/>
          <w:szCs w:val="22"/>
          <w:lang w:val="sl-SI"/>
        </w:rPr>
        <w:t>e</w:t>
      </w:r>
      <w:r>
        <w:rPr>
          <w:bCs/>
          <w:sz w:val="22"/>
          <w:szCs w:val="22"/>
          <w:lang w:val="sl-SI"/>
        </w:rPr>
        <w:t xml:space="preserve"> da lamotrigin ne smanjuje klirens ljekova koji se predominantno metabolišu preko citohroma CYP2D6. </w:t>
      </w:r>
    </w:p>
    <w:p w14:paraId="22064EF4" w14:textId="77777777" w:rsidR="008D2CDA" w:rsidRDefault="008D2CDA" w:rsidP="00BF78B0">
      <w:pPr>
        <w:pStyle w:val="Header"/>
        <w:tabs>
          <w:tab w:val="left" w:pos="284"/>
        </w:tabs>
        <w:jc w:val="both"/>
        <w:rPr>
          <w:bCs/>
          <w:i/>
          <w:sz w:val="22"/>
          <w:szCs w:val="22"/>
          <w:lang w:val="sl-SI"/>
        </w:rPr>
      </w:pPr>
    </w:p>
    <w:p w14:paraId="22064EF5" w14:textId="77777777" w:rsidR="008D2CDA" w:rsidRDefault="008D2CDA" w:rsidP="00BF78B0">
      <w:pPr>
        <w:pStyle w:val="Header"/>
        <w:tabs>
          <w:tab w:val="left" w:pos="284"/>
        </w:tabs>
        <w:jc w:val="both"/>
        <w:rPr>
          <w:bCs/>
          <w:sz w:val="22"/>
          <w:szCs w:val="22"/>
          <w:u w:val="single"/>
          <w:lang w:val="sl-SI"/>
        </w:rPr>
      </w:pPr>
      <w:r>
        <w:rPr>
          <w:bCs/>
          <w:sz w:val="22"/>
          <w:szCs w:val="22"/>
          <w:u w:val="single"/>
          <w:lang w:val="sl-SI"/>
        </w:rPr>
        <w:t>Interakcije sa hormonskim kontraceptivima</w:t>
      </w:r>
    </w:p>
    <w:p w14:paraId="22064EF6" w14:textId="77777777" w:rsidR="008D2CDA" w:rsidRDefault="008D2CDA" w:rsidP="00BF78B0">
      <w:pPr>
        <w:pStyle w:val="Header"/>
        <w:tabs>
          <w:tab w:val="left" w:pos="284"/>
        </w:tabs>
        <w:jc w:val="both"/>
        <w:rPr>
          <w:bCs/>
          <w:sz w:val="22"/>
          <w:szCs w:val="22"/>
          <w:lang w:val="sl-SI"/>
        </w:rPr>
      </w:pPr>
      <w:r>
        <w:rPr>
          <w:bCs/>
          <w:sz w:val="22"/>
          <w:szCs w:val="22"/>
          <w:lang w:val="sl-SI"/>
        </w:rPr>
        <w:t xml:space="preserve"> </w:t>
      </w:r>
    </w:p>
    <w:p w14:paraId="22064EF7" w14:textId="77777777" w:rsidR="008D2CDA" w:rsidRPr="004E30CF" w:rsidRDefault="008D2CDA" w:rsidP="00BF78B0">
      <w:pPr>
        <w:pStyle w:val="Header"/>
        <w:tabs>
          <w:tab w:val="left" w:pos="284"/>
        </w:tabs>
        <w:jc w:val="both"/>
        <w:rPr>
          <w:bCs/>
          <w:i/>
          <w:sz w:val="22"/>
          <w:szCs w:val="22"/>
          <w:lang w:val="sl-SI"/>
        </w:rPr>
      </w:pPr>
      <w:r w:rsidRPr="004E30CF">
        <w:rPr>
          <w:bCs/>
          <w:i/>
          <w:sz w:val="22"/>
          <w:szCs w:val="22"/>
          <w:lang w:val="sl-SI"/>
        </w:rPr>
        <w:t>Dejstvo hormonskih kontraceptiva na farmakokinetiku lamotrigina</w:t>
      </w:r>
    </w:p>
    <w:p w14:paraId="22064EF8" w14:textId="2D92390F" w:rsidR="008D2CDA" w:rsidRDefault="008D2CDA" w:rsidP="00BF78B0">
      <w:pPr>
        <w:pStyle w:val="Header"/>
        <w:tabs>
          <w:tab w:val="left" w:pos="284"/>
        </w:tabs>
        <w:jc w:val="both"/>
        <w:rPr>
          <w:bCs/>
          <w:sz w:val="22"/>
          <w:szCs w:val="22"/>
          <w:lang w:val="sl-SI"/>
        </w:rPr>
      </w:pPr>
      <w:r>
        <w:rPr>
          <w:bCs/>
          <w:sz w:val="22"/>
          <w:szCs w:val="22"/>
          <w:lang w:val="sl-SI"/>
        </w:rPr>
        <w:t xml:space="preserve">U okviru kliničkog ispitivanja </w:t>
      </w:r>
      <w:r w:rsidR="00363CD2">
        <w:rPr>
          <w:bCs/>
          <w:sz w:val="22"/>
          <w:szCs w:val="22"/>
          <w:lang w:val="sl-SI"/>
        </w:rPr>
        <w:t>kod</w:t>
      </w:r>
      <w:r>
        <w:rPr>
          <w:bCs/>
          <w:sz w:val="22"/>
          <w:szCs w:val="22"/>
          <w:lang w:val="sl-SI"/>
        </w:rPr>
        <w:t xml:space="preserve"> 16 žena dobrovoljaca, 30µg etiniloestradiola/150µg levonorgestrela u kombinovanom oralnom kontraceptivnom preparatu prouzrokovalo je približno dvostruko povećanje oralnog klirensa lamotrigina, što je za posljedicu imalo prosječno smanjenje PIK od 52% i  C</w:t>
      </w:r>
      <w:r>
        <w:rPr>
          <w:bCs/>
          <w:sz w:val="22"/>
          <w:szCs w:val="22"/>
          <w:vertAlign w:val="subscript"/>
          <w:lang w:val="sl-SI"/>
        </w:rPr>
        <w:t>max</w:t>
      </w:r>
      <w:r>
        <w:rPr>
          <w:bCs/>
          <w:sz w:val="22"/>
          <w:szCs w:val="22"/>
          <w:lang w:val="sl-SI"/>
        </w:rPr>
        <w:t xml:space="preserve"> od 39%.  Serumske koncentracije lamotrigina su se postepeno povećavale u toku nedjelje inaktivne medikacije (nedjelja "bez pilule"), pri čemu su koncentracije prije primjene doze na kraju nedjelje inaktivne medikacije bile, u prosjeku, približno dvostruko više od onih za vrijeme istovremene primjene terapije (vidjeti </w:t>
      </w:r>
      <w:r w:rsidR="00706D93">
        <w:rPr>
          <w:bCs/>
          <w:sz w:val="22"/>
          <w:szCs w:val="22"/>
          <w:lang w:val="sl-SI"/>
        </w:rPr>
        <w:t>dio</w:t>
      </w:r>
      <w:r>
        <w:rPr>
          <w:bCs/>
          <w:sz w:val="22"/>
          <w:szCs w:val="22"/>
          <w:lang w:val="sl-SI"/>
        </w:rPr>
        <w:t xml:space="preserve"> 4.4). Neće biti neophodno podešavanje preporučenog vodiča za povećanje doze lamotrigina isključivo na osnovu primjene hormonskih kontraceptiva, ali će u najvećem broju slučajeva prilikom započinjanja ili prilikom prekida primjene hormonskih kontraceptiva biti potrebno da se doza održavanja lamotrigina smanji ili poveća (vidjeti </w:t>
      </w:r>
      <w:r w:rsidR="00706D93">
        <w:rPr>
          <w:bCs/>
          <w:sz w:val="22"/>
          <w:szCs w:val="22"/>
          <w:lang w:val="sl-SI"/>
        </w:rPr>
        <w:t>dio</w:t>
      </w:r>
      <w:r>
        <w:rPr>
          <w:bCs/>
          <w:sz w:val="22"/>
          <w:szCs w:val="22"/>
          <w:lang w:val="sl-SI"/>
        </w:rPr>
        <w:t xml:space="preserve"> 4.2).   </w:t>
      </w:r>
    </w:p>
    <w:p w14:paraId="22064EF9" w14:textId="77777777" w:rsidR="008D2CDA" w:rsidRDefault="008D2CDA" w:rsidP="00BF78B0">
      <w:pPr>
        <w:pStyle w:val="Header"/>
        <w:tabs>
          <w:tab w:val="left" w:pos="284"/>
        </w:tabs>
        <w:jc w:val="both"/>
        <w:rPr>
          <w:bCs/>
          <w:sz w:val="22"/>
          <w:szCs w:val="22"/>
          <w:lang w:val="sl-SI"/>
        </w:rPr>
      </w:pPr>
    </w:p>
    <w:p w14:paraId="22064EFA" w14:textId="77777777" w:rsidR="008D2CDA" w:rsidRPr="004E30CF" w:rsidRDefault="008D2CDA" w:rsidP="00BF78B0">
      <w:pPr>
        <w:pStyle w:val="Header"/>
        <w:tabs>
          <w:tab w:val="left" w:pos="284"/>
        </w:tabs>
        <w:jc w:val="both"/>
        <w:rPr>
          <w:bCs/>
          <w:i/>
          <w:sz w:val="22"/>
          <w:szCs w:val="22"/>
          <w:lang w:val="sl-SI"/>
        </w:rPr>
      </w:pPr>
      <w:r w:rsidRPr="004E30CF">
        <w:rPr>
          <w:bCs/>
          <w:i/>
          <w:sz w:val="22"/>
          <w:szCs w:val="22"/>
          <w:lang w:val="sl-SI"/>
        </w:rPr>
        <w:t xml:space="preserve">Dejstvo lamotrigina na farmakokinetiku hormonskih kontraceptiva </w:t>
      </w:r>
    </w:p>
    <w:p w14:paraId="22064EFB" w14:textId="29255766" w:rsidR="008D2CDA" w:rsidRDefault="008D2CDA" w:rsidP="00BF78B0">
      <w:pPr>
        <w:pStyle w:val="Header"/>
        <w:tabs>
          <w:tab w:val="left" w:pos="284"/>
        </w:tabs>
        <w:jc w:val="both"/>
        <w:rPr>
          <w:bCs/>
          <w:sz w:val="22"/>
          <w:szCs w:val="22"/>
          <w:lang w:val="sl-SI"/>
        </w:rPr>
      </w:pPr>
      <w:r>
        <w:rPr>
          <w:bCs/>
          <w:sz w:val="22"/>
          <w:szCs w:val="22"/>
          <w:lang w:val="sl-SI"/>
        </w:rPr>
        <w:t>U kliničkom ispitivanju na 16 dobrovoljaca ženskog pola primjena lamotrigina, u dozi održavanja od 300mg, nije imala dejstva na farmakokinetiku etiniloestradiola kao komponente kombinovanog oralnog kontraceptivnog preparata. Zapaženo je umjereno povećanje oralnog klirensa levonorgestrela, što je za posljedicu imalo prosječno smanjenje PIK od 19% i 12% C</w:t>
      </w:r>
      <w:r>
        <w:rPr>
          <w:bCs/>
          <w:sz w:val="22"/>
          <w:szCs w:val="22"/>
          <w:vertAlign w:val="subscript"/>
          <w:lang w:val="sl-SI"/>
        </w:rPr>
        <w:t>max</w:t>
      </w:r>
      <w:r>
        <w:rPr>
          <w:bCs/>
          <w:sz w:val="22"/>
          <w:szCs w:val="22"/>
          <w:lang w:val="sl-SI"/>
        </w:rPr>
        <w:t xml:space="preserve"> levonorgestrela. Određivanje folikulostimulirajućeg hormona (FSH) u serumu, luteinizirajućeg hormona (LH) i estradiola za vrijeme kliničkog ispitivanja ukazivalo je na izvjestan gubitak supresije ovarijalne hormonske aktivnosti kod pojedinih žena, iako je određivanje serumskog progesterona ukazivalo na to da nije bilo hormonskih dokaza ovulacije ni kod jedne od 16 ispitanica. Uticaj umjerenog povećanja klirensa levonorgestrela kao i promjene serumskih FSH i LH na ovarijalnu ovulatornu aktivnost nije poznat (vidjeti </w:t>
      </w:r>
      <w:r w:rsidR="00706D93">
        <w:rPr>
          <w:bCs/>
          <w:sz w:val="22"/>
          <w:szCs w:val="22"/>
          <w:lang w:val="sl-SI"/>
        </w:rPr>
        <w:t>dio</w:t>
      </w:r>
      <w:r>
        <w:rPr>
          <w:bCs/>
          <w:sz w:val="22"/>
          <w:szCs w:val="22"/>
          <w:lang w:val="sl-SI"/>
        </w:rPr>
        <w:t xml:space="preserve"> 4.4). Osim </w:t>
      </w:r>
      <w:r>
        <w:rPr>
          <w:bCs/>
          <w:sz w:val="22"/>
          <w:szCs w:val="22"/>
          <w:lang w:val="sl-SI"/>
        </w:rPr>
        <w:lastRenderedPageBreak/>
        <w:t>doze od 300 mg/dnevno, nije ispitivano dejstvo drugih doza lamotrigina i nijesu sprovedena klinička ispitivanja primjene drugih hormonskih preparata kod žena.</w:t>
      </w:r>
    </w:p>
    <w:p w14:paraId="22064EFC" w14:textId="77777777" w:rsidR="008D2CDA" w:rsidRPr="008E171B" w:rsidRDefault="008D2CDA" w:rsidP="00BF78B0">
      <w:pPr>
        <w:pStyle w:val="Header"/>
        <w:tabs>
          <w:tab w:val="left" w:pos="284"/>
        </w:tabs>
        <w:jc w:val="both"/>
        <w:rPr>
          <w:bCs/>
          <w:sz w:val="22"/>
          <w:szCs w:val="22"/>
          <w:lang w:val="sl-SI"/>
        </w:rPr>
      </w:pPr>
    </w:p>
    <w:p w14:paraId="22064EFD" w14:textId="77777777" w:rsidR="008D2CDA" w:rsidRPr="008E171B" w:rsidRDefault="008D2CDA" w:rsidP="00BF78B0">
      <w:pPr>
        <w:pStyle w:val="Header"/>
        <w:tabs>
          <w:tab w:val="left" w:pos="284"/>
        </w:tabs>
        <w:jc w:val="both"/>
        <w:rPr>
          <w:bCs/>
          <w:sz w:val="22"/>
          <w:szCs w:val="22"/>
          <w:u w:val="single"/>
          <w:lang w:val="sl-SI"/>
        </w:rPr>
      </w:pPr>
      <w:r w:rsidRPr="008E171B">
        <w:rPr>
          <w:bCs/>
          <w:sz w:val="22"/>
          <w:szCs w:val="22"/>
          <w:u w:val="single"/>
          <w:lang w:val="sl-SI"/>
        </w:rPr>
        <w:t>Interakcije sa drugim ljekovima</w:t>
      </w:r>
    </w:p>
    <w:p w14:paraId="22064EFE" w14:textId="77777777" w:rsidR="008D2CDA" w:rsidRPr="008E171B" w:rsidRDefault="008D2CDA" w:rsidP="00BF78B0">
      <w:pPr>
        <w:pStyle w:val="Header"/>
        <w:tabs>
          <w:tab w:val="left" w:pos="284"/>
        </w:tabs>
        <w:jc w:val="both"/>
        <w:rPr>
          <w:bCs/>
          <w:sz w:val="22"/>
          <w:szCs w:val="22"/>
          <w:lang w:val="sl-SI"/>
        </w:rPr>
      </w:pPr>
    </w:p>
    <w:p w14:paraId="22064F00" w14:textId="6113CFB5" w:rsidR="008D2CDA" w:rsidRPr="008E171B" w:rsidRDefault="008D2CDA" w:rsidP="00BF78B0">
      <w:pPr>
        <w:pStyle w:val="Header"/>
        <w:tabs>
          <w:tab w:val="left" w:pos="284"/>
        </w:tabs>
        <w:jc w:val="both"/>
        <w:rPr>
          <w:bCs/>
          <w:sz w:val="22"/>
          <w:szCs w:val="22"/>
          <w:lang w:val="sl-SI"/>
        </w:rPr>
      </w:pPr>
      <w:r w:rsidRPr="008E171B">
        <w:rPr>
          <w:bCs/>
          <w:sz w:val="22"/>
          <w:szCs w:val="22"/>
          <w:lang w:val="sl-SI"/>
        </w:rPr>
        <w:t xml:space="preserve">U kliničkom ispitivanju </w:t>
      </w:r>
      <w:r w:rsidR="00363CD2" w:rsidRPr="008E171B">
        <w:rPr>
          <w:bCs/>
          <w:sz w:val="22"/>
          <w:szCs w:val="22"/>
          <w:lang w:val="sl-SI"/>
        </w:rPr>
        <w:t>kod</w:t>
      </w:r>
      <w:r w:rsidRPr="008E171B">
        <w:rPr>
          <w:bCs/>
          <w:sz w:val="22"/>
          <w:szCs w:val="22"/>
          <w:lang w:val="sl-SI"/>
        </w:rPr>
        <w:t xml:space="preserve"> 10 dobrovoljaca muškog pola, rifampicin je doveo do povećanja klirensa lamotrigina i smanjenj</w:t>
      </w:r>
      <w:r w:rsidR="00363CD2" w:rsidRPr="008E171B">
        <w:rPr>
          <w:bCs/>
          <w:sz w:val="22"/>
          <w:szCs w:val="22"/>
          <w:lang w:val="sl-SI"/>
        </w:rPr>
        <w:t>a</w:t>
      </w:r>
      <w:r w:rsidRPr="008E171B">
        <w:rPr>
          <w:bCs/>
          <w:sz w:val="22"/>
          <w:szCs w:val="22"/>
          <w:lang w:val="sl-SI"/>
        </w:rPr>
        <w:t xml:space="preserve"> </w:t>
      </w:r>
      <w:r>
        <w:rPr>
          <w:sz w:val="22"/>
          <w:szCs w:val="22"/>
          <w:lang w:val="sl-SI"/>
        </w:rPr>
        <w:t>poluvremena eliminacije</w:t>
      </w:r>
      <w:r w:rsidRPr="008E171B">
        <w:rPr>
          <w:bCs/>
          <w:sz w:val="22"/>
          <w:szCs w:val="22"/>
          <w:lang w:val="sl-SI"/>
        </w:rPr>
        <w:t xml:space="preserve"> lamotrigina usljed in</w:t>
      </w:r>
      <w:r w:rsidR="0090782D" w:rsidRPr="008E171B">
        <w:rPr>
          <w:bCs/>
          <w:sz w:val="22"/>
          <w:szCs w:val="22"/>
          <w:lang w:val="sl-SI"/>
        </w:rPr>
        <w:t>dukcije</w:t>
      </w:r>
      <w:r w:rsidRPr="008E171B">
        <w:rPr>
          <w:bCs/>
          <w:sz w:val="22"/>
          <w:szCs w:val="22"/>
          <w:lang w:val="sl-SI"/>
        </w:rPr>
        <w:t xml:space="preserve"> hepatički</w:t>
      </w:r>
      <w:r w:rsidR="0090782D" w:rsidRPr="008E171B">
        <w:rPr>
          <w:bCs/>
          <w:sz w:val="22"/>
          <w:szCs w:val="22"/>
          <w:lang w:val="sl-SI"/>
        </w:rPr>
        <w:t>h</w:t>
      </w:r>
      <w:r w:rsidRPr="008E171B">
        <w:rPr>
          <w:bCs/>
          <w:sz w:val="22"/>
          <w:szCs w:val="22"/>
          <w:lang w:val="sl-SI"/>
        </w:rPr>
        <w:t xml:space="preserve"> enzima odgovorni</w:t>
      </w:r>
      <w:r w:rsidR="0090782D" w:rsidRPr="008E171B">
        <w:rPr>
          <w:bCs/>
          <w:sz w:val="22"/>
          <w:szCs w:val="22"/>
          <w:lang w:val="sl-SI"/>
        </w:rPr>
        <w:t>h</w:t>
      </w:r>
      <w:r w:rsidRPr="008E171B">
        <w:rPr>
          <w:bCs/>
          <w:sz w:val="22"/>
          <w:szCs w:val="22"/>
          <w:lang w:val="sl-SI"/>
        </w:rPr>
        <w:t xml:space="preserve"> za glukuronidaciju. Neophodno je da se kod pacijenata kod kojih se primjenjuje konkomitantna terapija rifampicinom primjenjuje odgovarajuća terapijska shema (vidjeti </w:t>
      </w:r>
      <w:r w:rsidR="00706D93" w:rsidRPr="008E171B">
        <w:rPr>
          <w:bCs/>
          <w:sz w:val="22"/>
          <w:szCs w:val="22"/>
          <w:lang w:val="sl-SI"/>
        </w:rPr>
        <w:t>dio</w:t>
      </w:r>
      <w:r w:rsidRPr="008E171B">
        <w:rPr>
          <w:bCs/>
          <w:sz w:val="22"/>
          <w:szCs w:val="22"/>
          <w:lang w:val="sl-SI"/>
        </w:rPr>
        <w:t xml:space="preserve"> 4.2).</w:t>
      </w:r>
    </w:p>
    <w:p w14:paraId="22064F02" w14:textId="47CFBEDA" w:rsidR="008D2CDA" w:rsidRPr="008E171B" w:rsidRDefault="008D2CDA" w:rsidP="006B3996">
      <w:pPr>
        <w:pStyle w:val="Header"/>
        <w:tabs>
          <w:tab w:val="left" w:pos="284"/>
        </w:tabs>
        <w:spacing w:before="80" w:after="80"/>
        <w:jc w:val="both"/>
        <w:rPr>
          <w:bCs/>
          <w:sz w:val="22"/>
          <w:szCs w:val="22"/>
          <w:lang w:val="sl-SI"/>
        </w:rPr>
      </w:pPr>
      <w:r w:rsidRPr="008E171B">
        <w:rPr>
          <w:bCs/>
          <w:sz w:val="22"/>
          <w:szCs w:val="22"/>
          <w:lang w:val="sl-SI"/>
        </w:rPr>
        <w:t>U kliničkom ispitivanju na zdravim dobrovoljcima, primjena lopinavira/ritonavira dovela je do približno prepolovljen</w:t>
      </w:r>
      <w:r w:rsidR="00615C04" w:rsidRPr="008E171B">
        <w:rPr>
          <w:bCs/>
          <w:sz w:val="22"/>
          <w:szCs w:val="22"/>
          <w:lang w:val="sl-SI"/>
        </w:rPr>
        <w:t>e</w:t>
      </w:r>
      <w:r w:rsidRPr="008E171B">
        <w:rPr>
          <w:bCs/>
          <w:sz w:val="22"/>
          <w:szCs w:val="22"/>
          <w:lang w:val="sl-SI"/>
        </w:rPr>
        <w:t xml:space="preserve"> koncentracije lamotrigina u plazmi, vjerovatno indukcijom glukuronidacije. Neophodno je da se kod pacijenata kod kojih se primjenjuje konkomitantna terapija lopinavirom/ritonavirom primjenjuje odgovarajuća terapijska shema (vidjeti </w:t>
      </w:r>
      <w:r w:rsidR="00706D93" w:rsidRPr="008E171B">
        <w:rPr>
          <w:bCs/>
          <w:sz w:val="22"/>
          <w:szCs w:val="22"/>
          <w:lang w:val="sl-SI"/>
        </w:rPr>
        <w:t>dio</w:t>
      </w:r>
      <w:r w:rsidRPr="008E171B">
        <w:rPr>
          <w:bCs/>
          <w:sz w:val="22"/>
          <w:szCs w:val="22"/>
          <w:lang w:val="sl-SI"/>
        </w:rPr>
        <w:t xml:space="preserve"> 4.2).</w:t>
      </w:r>
    </w:p>
    <w:p w14:paraId="7EBEA2F3" w14:textId="3F810C66" w:rsidR="004B3C55" w:rsidRPr="008E171B" w:rsidRDefault="008D2CDA" w:rsidP="006B3996">
      <w:pPr>
        <w:pStyle w:val="Header"/>
        <w:tabs>
          <w:tab w:val="left" w:pos="284"/>
        </w:tabs>
        <w:spacing w:before="80" w:after="80"/>
        <w:jc w:val="both"/>
        <w:rPr>
          <w:bCs/>
          <w:sz w:val="22"/>
          <w:szCs w:val="22"/>
          <w:lang w:val="sl-SI"/>
        </w:rPr>
      </w:pPr>
      <w:r w:rsidRPr="008E171B">
        <w:rPr>
          <w:bCs/>
          <w:sz w:val="22"/>
          <w:szCs w:val="22"/>
          <w:lang w:val="sl-SI"/>
        </w:rPr>
        <w:t>U kliničkom ispitivanju na zdravim odraslim dobrovoljcima, terapija atazanovirom/ritonavirom (300 mg/100 mg) primijenjena tokom perioda od 9 dana je smanjila nivo PIK u plazmi i C</w:t>
      </w:r>
      <w:r w:rsidRPr="008E171B">
        <w:rPr>
          <w:bCs/>
          <w:sz w:val="22"/>
          <w:szCs w:val="22"/>
          <w:vertAlign w:val="subscript"/>
          <w:lang w:val="sl-SI"/>
        </w:rPr>
        <w:t>max</w:t>
      </w:r>
      <w:r w:rsidRPr="008E171B">
        <w:rPr>
          <w:bCs/>
          <w:sz w:val="22"/>
          <w:szCs w:val="22"/>
          <w:lang w:val="sl-SI"/>
        </w:rPr>
        <w:t xml:space="preserve"> lamotrigina (pojedinačna doza od 100 mg) prosječno za 32% i 6%, respektivno. Kod pacijenata </w:t>
      </w:r>
      <w:r w:rsidR="00615C04" w:rsidRPr="008E171B">
        <w:rPr>
          <w:bCs/>
          <w:sz w:val="22"/>
          <w:szCs w:val="22"/>
          <w:lang w:val="sl-SI"/>
        </w:rPr>
        <w:t>kod kojih</w:t>
      </w:r>
      <w:r w:rsidRPr="008E171B">
        <w:rPr>
          <w:bCs/>
          <w:sz w:val="22"/>
          <w:szCs w:val="22"/>
          <w:lang w:val="sl-SI"/>
        </w:rPr>
        <w:t xml:space="preserve"> se primjenjuje istovremena terapija atazanovirom/ritonavirom, neophodna je primjena odgovarajućeg terapijskog režima (vidjeti </w:t>
      </w:r>
      <w:r w:rsidR="00706D93" w:rsidRPr="008E171B">
        <w:rPr>
          <w:bCs/>
          <w:sz w:val="22"/>
          <w:szCs w:val="22"/>
          <w:lang w:val="sl-SI"/>
        </w:rPr>
        <w:t>dio</w:t>
      </w:r>
      <w:r w:rsidRPr="008E171B">
        <w:rPr>
          <w:bCs/>
          <w:sz w:val="22"/>
          <w:szCs w:val="22"/>
          <w:lang w:val="sl-SI"/>
        </w:rPr>
        <w:t xml:space="preserve"> 4.2).</w:t>
      </w:r>
    </w:p>
    <w:p w14:paraId="22064F04" w14:textId="5B1B672B" w:rsidR="008D2CDA" w:rsidRPr="008E171B" w:rsidRDefault="004B3C55" w:rsidP="006B3996">
      <w:pPr>
        <w:pStyle w:val="Header"/>
        <w:tabs>
          <w:tab w:val="left" w:pos="284"/>
        </w:tabs>
        <w:spacing w:before="80" w:after="80"/>
        <w:jc w:val="both"/>
        <w:rPr>
          <w:bCs/>
          <w:sz w:val="22"/>
          <w:szCs w:val="22"/>
          <w:lang w:val="sl-SI"/>
        </w:rPr>
      </w:pPr>
      <w:r w:rsidRPr="004E30CF">
        <w:rPr>
          <w:sz w:val="22"/>
          <w:szCs w:val="22"/>
          <w:lang w:val="sr-Latn-CS"/>
        </w:rPr>
        <w:t>U kliničkom ispitivanju kod zdravih odraslih dobrovoljaca, paracetamol u dozi od 1g (četiri puta dnevno) u pros</w:t>
      </w:r>
      <w:r>
        <w:rPr>
          <w:sz w:val="22"/>
          <w:szCs w:val="22"/>
          <w:lang w:val="sr-Latn-CS"/>
        </w:rPr>
        <w:t>j</w:t>
      </w:r>
      <w:r w:rsidRPr="004E30CF">
        <w:rPr>
          <w:sz w:val="22"/>
          <w:szCs w:val="22"/>
          <w:lang w:val="sr-Latn-CS"/>
        </w:rPr>
        <w:t>eku je smanjio vr</w:t>
      </w:r>
      <w:r>
        <w:rPr>
          <w:sz w:val="22"/>
          <w:szCs w:val="22"/>
          <w:lang w:val="sr-Latn-CS"/>
        </w:rPr>
        <w:t>ij</w:t>
      </w:r>
      <w:r w:rsidRPr="004E30CF">
        <w:rPr>
          <w:sz w:val="22"/>
          <w:szCs w:val="22"/>
          <w:lang w:val="sr-Latn-CS"/>
        </w:rPr>
        <w:t>ednosti PIK u plazmi i C</w:t>
      </w:r>
      <w:r w:rsidRPr="004E30CF">
        <w:rPr>
          <w:sz w:val="22"/>
          <w:szCs w:val="22"/>
          <w:vertAlign w:val="subscript"/>
          <w:lang w:val="sr-Latn-CS"/>
        </w:rPr>
        <w:t>min</w:t>
      </w:r>
      <w:r w:rsidRPr="004E30CF">
        <w:rPr>
          <w:sz w:val="22"/>
          <w:szCs w:val="22"/>
          <w:lang w:val="sr-Latn-CS"/>
        </w:rPr>
        <w:t xml:space="preserve"> lamotrigina za 20%, odnosno 25%.</w:t>
      </w:r>
    </w:p>
    <w:p w14:paraId="22064F05" w14:textId="6BF3F17A" w:rsidR="008D2CDA" w:rsidRPr="008E171B" w:rsidRDefault="008D2CDA" w:rsidP="006B3996">
      <w:pPr>
        <w:pStyle w:val="Header"/>
        <w:tabs>
          <w:tab w:val="left" w:pos="284"/>
        </w:tabs>
        <w:spacing w:before="80" w:after="80"/>
        <w:jc w:val="both"/>
        <w:rPr>
          <w:bCs/>
          <w:sz w:val="22"/>
          <w:szCs w:val="22"/>
          <w:lang w:val="sl-SI"/>
        </w:rPr>
      </w:pPr>
      <w:r w:rsidRPr="008E171B">
        <w:rPr>
          <w:bCs/>
          <w:sz w:val="22"/>
          <w:szCs w:val="22"/>
          <w:lang w:val="sl-SI"/>
        </w:rPr>
        <w:t xml:space="preserve">Podaci dobijeni procjenom u uslovima </w:t>
      </w:r>
      <w:r w:rsidRPr="008E171B">
        <w:rPr>
          <w:bCs/>
          <w:i/>
          <w:sz w:val="22"/>
          <w:szCs w:val="22"/>
          <w:lang w:val="sl-SI"/>
        </w:rPr>
        <w:t>in vitro</w:t>
      </w:r>
      <w:r w:rsidRPr="008E171B">
        <w:rPr>
          <w:bCs/>
          <w:sz w:val="22"/>
          <w:szCs w:val="22"/>
          <w:lang w:val="sl-SI"/>
        </w:rPr>
        <w:t xml:space="preserve"> ukazuju da je lamotrigin, ali ne i metabolit N(2)-glukuronid, inhibitor organskog transportera 2</w:t>
      </w:r>
      <w:r w:rsidR="004B3C55" w:rsidRPr="008E171B">
        <w:rPr>
          <w:bCs/>
          <w:sz w:val="22"/>
          <w:szCs w:val="22"/>
          <w:lang w:val="sl-SI"/>
        </w:rPr>
        <w:t xml:space="preserve"> </w:t>
      </w:r>
      <w:r w:rsidRPr="008E171B">
        <w:rPr>
          <w:bCs/>
          <w:sz w:val="22"/>
          <w:szCs w:val="22"/>
          <w:lang w:val="sl-SI"/>
        </w:rPr>
        <w:t xml:space="preserve">(OCT 2), pri </w:t>
      </w:r>
      <w:r w:rsidR="004B3C55" w:rsidRPr="008E171B">
        <w:rPr>
          <w:bCs/>
          <w:sz w:val="22"/>
          <w:szCs w:val="22"/>
          <w:lang w:val="sl-SI"/>
        </w:rPr>
        <w:t xml:space="preserve">potencijalno klinički značajnim </w:t>
      </w:r>
      <w:r w:rsidRPr="008E171B">
        <w:rPr>
          <w:bCs/>
          <w:sz w:val="22"/>
          <w:szCs w:val="22"/>
          <w:lang w:val="sl-SI"/>
        </w:rPr>
        <w:t>koncentracijama. Navedeni podaci ukazuju da je lamotrigin inhibitor OCT 2, sa IC</w:t>
      </w:r>
      <w:r w:rsidRPr="008E171B">
        <w:rPr>
          <w:bCs/>
          <w:sz w:val="22"/>
          <w:szCs w:val="22"/>
          <w:vertAlign w:val="subscript"/>
          <w:lang w:val="sl-SI"/>
        </w:rPr>
        <w:t>50</w:t>
      </w:r>
      <w:r w:rsidRPr="008E171B">
        <w:rPr>
          <w:bCs/>
          <w:sz w:val="22"/>
          <w:szCs w:val="22"/>
          <w:lang w:val="sl-SI"/>
        </w:rPr>
        <w:t xml:space="preserve"> vrijednošću od 53.8 µM. Istovremena primjena lamotrigina sa renalno ekskretovanim ljekovima koji su supstrati OCT 2 (npr</w:t>
      </w:r>
      <w:r w:rsidR="004B3C55" w:rsidRPr="008E171B">
        <w:rPr>
          <w:bCs/>
          <w:sz w:val="22"/>
          <w:szCs w:val="22"/>
          <w:lang w:val="sl-SI"/>
        </w:rPr>
        <w:t>.</w:t>
      </w:r>
      <w:r w:rsidRPr="008E171B">
        <w:rPr>
          <w:bCs/>
          <w:sz w:val="22"/>
          <w:szCs w:val="22"/>
          <w:lang w:val="sl-SI"/>
        </w:rPr>
        <w:t xml:space="preserve"> metformin, gabapentin i vareniklin) može za posljedicu imati povećanje nivoa navedenih ljekova u plazmi.</w:t>
      </w:r>
    </w:p>
    <w:p w14:paraId="22064F06" w14:textId="77777777" w:rsidR="0072020E" w:rsidRPr="008E171B" w:rsidRDefault="008D2CDA" w:rsidP="00BF78B0">
      <w:pPr>
        <w:pStyle w:val="Header"/>
        <w:tabs>
          <w:tab w:val="left" w:pos="284"/>
        </w:tabs>
        <w:jc w:val="both"/>
        <w:rPr>
          <w:bCs/>
          <w:sz w:val="22"/>
          <w:szCs w:val="22"/>
          <w:lang w:val="sl-SI"/>
        </w:rPr>
      </w:pPr>
      <w:r w:rsidRPr="008E171B">
        <w:rPr>
          <w:bCs/>
          <w:sz w:val="22"/>
          <w:szCs w:val="22"/>
          <w:lang w:val="sl-SI"/>
        </w:rPr>
        <w:t>Nije jasno definisan klinički značaj navedog, međutim, savjetuje se oprez kod pacijenata kojima se istovremeno primjenjuju navedeni ljekovi.</w:t>
      </w:r>
    </w:p>
    <w:p w14:paraId="22064F07" w14:textId="77777777" w:rsidR="008D2CDA" w:rsidRPr="008E171B" w:rsidRDefault="008D2CDA" w:rsidP="00BF78B0">
      <w:pPr>
        <w:pStyle w:val="Header"/>
        <w:tabs>
          <w:tab w:val="left" w:pos="284"/>
        </w:tabs>
        <w:jc w:val="both"/>
        <w:rPr>
          <w:bCs/>
          <w:sz w:val="22"/>
          <w:szCs w:val="22"/>
          <w:lang w:val="sl-SI"/>
        </w:rPr>
      </w:pPr>
    </w:p>
    <w:p w14:paraId="22064F08" w14:textId="77777777" w:rsidR="0072020E" w:rsidRDefault="0072020E">
      <w:pPr>
        <w:tabs>
          <w:tab w:val="left" w:pos="540"/>
          <w:tab w:val="left" w:pos="569"/>
        </w:tabs>
        <w:jc w:val="both"/>
        <w:rPr>
          <w:b/>
          <w:sz w:val="22"/>
          <w:szCs w:val="22"/>
          <w:lang w:val="sr-Latn-CS"/>
        </w:rPr>
      </w:pPr>
      <w:r w:rsidRPr="008E171B">
        <w:rPr>
          <w:b/>
          <w:bCs/>
          <w:sz w:val="22"/>
          <w:szCs w:val="22"/>
          <w:lang w:val="sl-SI"/>
        </w:rPr>
        <w:t xml:space="preserve">4.6. </w:t>
      </w:r>
      <w:r w:rsidR="00480FB1" w:rsidRPr="008E171B">
        <w:rPr>
          <w:b/>
          <w:bCs/>
          <w:sz w:val="22"/>
          <w:szCs w:val="22"/>
          <w:lang w:val="sl-SI"/>
        </w:rPr>
        <w:tab/>
      </w:r>
      <w:r w:rsidR="006D20A5">
        <w:rPr>
          <w:b/>
          <w:sz w:val="22"/>
          <w:szCs w:val="22"/>
          <w:lang w:val="sr-Latn-CS"/>
        </w:rPr>
        <w:t>Plodnost, trudnoća i dojenje</w:t>
      </w:r>
    </w:p>
    <w:p w14:paraId="22064F09" w14:textId="77777777" w:rsidR="002031B3" w:rsidRPr="008E171B" w:rsidRDefault="002031B3">
      <w:pPr>
        <w:tabs>
          <w:tab w:val="left" w:pos="540"/>
          <w:tab w:val="left" w:pos="569"/>
        </w:tabs>
        <w:jc w:val="both"/>
        <w:rPr>
          <w:sz w:val="22"/>
          <w:szCs w:val="22"/>
          <w:u w:val="single"/>
          <w:lang w:val="sl-SI"/>
        </w:rPr>
      </w:pPr>
    </w:p>
    <w:p w14:paraId="22064F0A" w14:textId="77777777" w:rsidR="00D85EC8" w:rsidRPr="008E171B" w:rsidRDefault="00D85EC8" w:rsidP="00BF78B0">
      <w:pPr>
        <w:pStyle w:val="Header"/>
        <w:tabs>
          <w:tab w:val="left" w:pos="284"/>
        </w:tabs>
        <w:jc w:val="both"/>
        <w:rPr>
          <w:bCs/>
          <w:sz w:val="22"/>
          <w:szCs w:val="22"/>
          <w:u w:val="single"/>
          <w:lang w:val="sl-SI"/>
        </w:rPr>
      </w:pPr>
      <w:r w:rsidRPr="008E171B">
        <w:rPr>
          <w:bCs/>
          <w:sz w:val="22"/>
          <w:szCs w:val="22"/>
          <w:u w:val="single"/>
          <w:lang w:val="sl-SI"/>
        </w:rPr>
        <w:t>Opšti rizik povezan sa primjenom antiepileptičkih ljekova</w:t>
      </w:r>
    </w:p>
    <w:p w14:paraId="22064F0C" w14:textId="54C58004" w:rsidR="00D85EC8" w:rsidRDefault="00D85EC8" w:rsidP="00BF78B0">
      <w:pPr>
        <w:pStyle w:val="Header"/>
        <w:tabs>
          <w:tab w:val="left" w:pos="284"/>
        </w:tabs>
        <w:jc w:val="both"/>
        <w:rPr>
          <w:bCs/>
          <w:sz w:val="22"/>
          <w:szCs w:val="22"/>
          <w:lang w:val="sl-SI"/>
        </w:rPr>
      </w:pPr>
      <w:r>
        <w:rPr>
          <w:bCs/>
          <w:sz w:val="22"/>
          <w:szCs w:val="22"/>
          <w:lang w:val="sl-SI"/>
        </w:rPr>
        <w:t xml:space="preserve">Preporučuje se da žene u generativnom periodu potraže savjet ljekara specijaliste. U slučaju da žena planira trudnoću potrebno je razmotriti primjenu antiepileptičke terapije. Potrebno je izbjegavati nagli prekid primjene antiepileptičke terapije kod žena kod kojih se navedena terapija primjenjuje, budući da  </w:t>
      </w:r>
      <w:r w:rsidR="00615C04">
        <w:rPr>
          <w:bCs/>
          <w:sz w:val="22"/>
          <w:szCs w:val="22"/>
          <w:lang w:val="sl-SI"/>
        </w:rPr>
        <w:t xml:space="preserve">to </w:t>
      </w:r>
      <w:r>
        <w:rPr>
          <w:bCs/>
          <w:sz w:val="22"/>
          <w:szCs w:val="22"/>
          <w:lang w:val="sl-SI"/>
        </w:rPr>
        <w:t>može dovesti do pojave iznenadnih napada koji mogu imati ozbiljne posljedice po ženu i plod.</w:t>
      </w:r>
    </w:p>
    <w:p w14:paraId="5929DFA9" w14:textId="77777777" w:rsidR="00615C04" w:rsidRDefault="00D85EC8" w:rsidP="00BF78B0">
      <w:pPr>
        <w:pStyle w:val="Header"/>
        <w:tabs>
          <w:tab w:val="left" w:pos="284"/>
        </w:tabs>
        <w:jc w:val="both"/>
        <w:rPr>
          <w:bCs/>
          <w:sz w:val="22"/>
          <w:szCs w:val="22"/>
          <w:lang w:val="sl-SI"/>
        </w:rPr>
      </w:pPr>
      <w:r>
        <w:rPr>
          <w:bCs/>
          <w:sz w:val="22"/>
          <w:szCs w:val="22"/>
          <w:lang w:val="sl-SI"/>
        </w:rPr>
        <w:t>Kad god je moguće, savjetuje se primjena monoterapije, jer  primjena multiple AEL terapije može biti udružena sa povišenim rizikom za nastanak kongenitalnih malformacija u odnosu na primjenu monoterapije i stoga se savjetuje primjena monoterapije, u zavisnosti od korišćenog antiepileptika</w:t>
      </w:r>
      <w:r w:rsidR="00615C04">
        <w:rPr>
          <w:bCs/>
          <w:sz w:val="22"/>
          <w:szCs w:val="22"/>
          <w:lang w:val="sl-SI"/>
        </w:rPr>
        <w:t>.</w:t>
      </w:r>
    </w:p>
    <w:p w14:paraId="22064F0E" w14:textId="77777777" w:rsidR="00D85EC8" w:rsidRDefault="00D85EC8" w:rsidP="00BF78B0">
      <w:pPr>
        <w:pStyle w:val="Header"/>
        <w:tabs>
          <w:tab w:val="left" w:pos="284"/>
        </w:tabs>
        <w:jc w:val="both"/>
        <w:rPr>
          <w:bCs/>
          <w:sz w:val="22"/>
          <w:szCs w:val="22"/>
          <w:u w:val="single"/>
          <w:lang w:val="sl-SI"/>
        </w:rPr>
      </w:pPr>
    </w:p>
    <w:p w14:paraId="22064F10" w14:textId="4F8F7409" w:rsidR="002031B3" w:rsidRPr="008E171B" w:rsidRDefault="00D85EC8" w:rsidP="00BF78B0">
      <w:pPr>
        <w:pStyle w:val="Header"/>
        <w:tabs>
          <w:tab w:val="left" w:pos="284"/>
        </w:tabs>
        <w:jc w:val="both"/>
        <w:rPr>
          <w:lang w:val="sl-SI"/>
        </w:rPr>
      </w:pPr>
      <w:r>
        <w:rPr>
          <w:bCs/>
          <w:sz w:val="22"/>
          <w:szCs w:val="22"/>
          <w:u w:val="single"/>
          <w:lang w:val="sl-SI"/>
        </w:rPr>
        <w:t>Rizik pri primjeni lamotrigina</w:t>
      </w:r>
    </w:p>
    <w:p w14:paraId="22064F11" w14:textId="77777777" w:rsidR="007A3ECB" w:rsidRPr="008E171B" w:rsidRDefault="007A3ECB">
      <w:pPr>
        <w:tabs>
          <w:tab w:val="left" w:pos="540"/>
          <w:tab w:val="left" w:pos="569"/>
        </w:tabs>
        <w:jc w:val="both"/>
        <w:rPr>
          <w:i/>
          <w:sz w:val="22"/>
          <w:szCs w:val="22"/>
          <w:lang w:val="sl-SI"/>
        </w:rPr>
      </w:pPr>
      <w:r w:rsidRPr="008E171B">
        <w:rPr>
          <w:i/>
          <w:sz w:val="22"/>
          <w:szCs w:val="22"/>
          <w:lang w:val="sl-SI"/>
        </w:rPr>
        <w:t>Trudnoća</w:t>
      </w:r>
    </w:p>
    <w:p w14:paraId="22064F13" w14:textId="4D63511D" w:rsidR="00D85EC8" w:rsidRDefault="00D85EC8" w:rsidP="00BF78B0">
      <w:pPr>
        <w:pStyle w:val="Header"/>
        <w:tabs>
          <w:tab w:val="left" w:pos="284"/>
        </w:tabs>
        <w:jc w:val="both"/>
        <w:rPr>
          <w:bCs/>
          <w:sz w:val="22"/>
          <w:szCs w:val="22"/>
          <w:lang w:val="sl-SI"/>
        </w:rPr>
      </w:pPr>
      <w:r>
        <w:rPr>
          <w:bCs/>
          <w:sz w:val="22"/>
          <w:szCs w:val="22"/>
          <w:lang w:val="sl-SI"/>
        </w:rPr>
        <w:t>Veliki broj podataka o trudnicama izloženim monoterapiji lamotriginu tokom prvog trimestra trudnoće (više od 8700) i ne ukazuje na suštinsko povećanje rizika za nastanak ozbiljnih kongenitalnih malformacija</w:t>
      </w:r>
      <w:r w:rsidR="001D7981">
        <w:rPr>
          <w:bCs/>
          <w:sz w:val="22"/>
          <w:szCs w:val="22"/>
          <w:lang w:val="sl-SI"/>
        </w:rPr>
        <w:t xml:space="preserve">, </w:t>
      </w:r>
      <w:r>
        <w:rPr>
          <w:bCs/>
          <w:sz w:val="22"/>
          <w:szCs w:val="22"/>
          <w:lang w:val="sl-SI"/>
        </w:rPr>
        <w:t xml:space="preserve">uključujući oralni rascjep. Klinička ispitivanja na životinjama su pokazala razvoj toksičnosti (vidjeti </w:t>
      </w:r>
      <w:r w:rsidR="00706D93">
        <w:rPr>
          <w:bCs/>
          <w:sz w:val="22"/>
          <w:szCs w:val="22"/>
          <w:lang w:val="sl-SI"/>
        </w:rPr>
        <w:t>dio</w:t>
      </w:r>
      <w:r>
        <w:rPr>
          <w:bCs/>
          <w:sz w:val="22"/>
          <w:szCs w:val="22"/>
          <w:lang w:val="sl-SI"/>
        </w:rPr>
        <w:t xml:space="preserve"> 5.3). </w:t>
      </w:r>
    </w:p>
    <w:p w14:paraId="22064F15" w14:textId="762BA930" w:rsidR="00D85EC8" w:rsidRDefault="00D85EC8" w:rsidP="006B3996">
      <w:pPr>
        <w:pStyle w:val="Header"/>
        <w:tabs>
          <w:tab w:val="left" w:pos="284"/>
        </w:tabs>
        <w:spacing w:before="80" w:after="80"/>
        <w:jc w:val="both"/>
        <w:rPr>
          <w:bCs/>
          <w:sz w:val="22"/>
          <w:szCs w:val="22"/>
          <w:lang w:val="sl-SI"/>
        </w:rPr>
      </w:pPr>
      <w:r>
        <w:rPr>
          <w:bCs/>
          <w:sz w:val="22"/>
          <w:szCs w:val="22"/>
          <w:lang w:val="sl-SI"/>
        </w:rPr>
        <w:t xml:space="preserve">Preporučuje se primjena najniže terapijske doze lijeka u slučaju da je primjena terapije lijekom </w:t>
      </w:r>
      <w:r w:rsidRPr="008E171B">
        <w:rPr>
          <w:sz w:val="22"/>
          <w:szCs w:val="22"/>
          <w:lang w:val="sl-SI"/>
        </w:rPr>
        <w:t>LAMICTAL</w:t>
      </w:r>
      <w:r>
        <w:rPr>
          <w:sz w:val="22"/>
          <w:szCs w:val="22"/>
          <w:lang w:val="sl-SI"/>
        </w:rPr>
        <w:t xml:space="preserve"> </w:t>
      </w:r>
      <w:r>
        <w:rPr>
          <w:bCs/>
          <w:sz w:val="22"/>
          <w:szCs w:val="22"/>
          <w:lang w:val="sl-SI"/>
        </w:rPr>
        <w:t>tokom trudnoće neophodna.</w:t>
      </w:r>
    </w:p>
    <w:p w14:paraId="22064F17" w14:textId="0406869C" w:rsidR="00D85EC8" w:rsidRDefault="00D85EC8" w:rsidP="006B3996">
      <w:pPr>
        <w:pStyle w:val="Header"/>
        <w:tabs>
          <w:tab w:val="left" w:pos="284"/>
        </w:tabs>
        <w:spacing w:before="80" w:after="80"/>
        <w:jc w:val="both"/>
        <w:rPr>
          <w:bCs/>
          <w:sz w:val="22"/>
          <w:szCs w:val="22"/>
          <w:lang w:val="sl-SI"/>
        </w:rPr>
      </w:pPr>
      <w:r>
        <w:rPr>
          <w:bCs/>
          <w:sz w:val="22"/>
          <w:szCs w:val="22"/>
          <w:lang w:val="sl-SI"/>
        </w:rPr>
        <w:t>Lamotrigin ima slab inhibitorni uticaj na reduktazu dihidrofolne kiseline, tako da teorijski može dovesti do povišenja rizika za nastanak embriofetalnog oštećenja</w:t>
      </w:r>
      <w:r w:rsidRPr="00002880">
        <w:rPr>
          <w:bCs/>
          <w:sz w:val="22"/>
          <w:szCs w:val="22"/>
          <w:lang w:val="sl-SI"/>
        </w:rPr>
        <w:t xml:space="preserve"> redukovanjem</w:t>
      </w:r>
      <w:r w:rsidRPr="00B90F66">
        <w:rPr>
          <w:bCs/>
          <w:sz w:val="22"/>
          <w:szCs w:val="22"/>
          <w:lang w:val="sl-SI"/>
        </w:rPr>
        <w:t xml:space="preserve"> </w:t>
      </w:r>
      <w:r>
        <w:rPr>
          <w:bCs/>
          <w:sz w:val="22"/>
          <w:szCs w:val="22"/>
          <w:lang w:val="sl-SI"/>
        </w:rPr>
        <w:t>nivoa folne kiseline. Potrebno je razmotriti primjenu folne kiseline u slučaju da se trudnoća planira kao i tokom rane trudnoće.</w:t>
      </w:r>
    </w:p>
    <w:p w14:paraId="22064F18" w14:textId="0B3660C5" w:rsidR="00D85EC8" w:rsidRDefault="00D85EC8" w:rsidP="006B3996">
      <w:pPr>
        <w:pStyle w:val="Header"/>
        <w:tabs>
          <w:tab w:val="left" w:pos="284"/>
        </w:tabs>
        <w:spacing w:before="80" w:after="80"/>
        <w:jc w:val="both"/>
        <w:rPr>
          <w:bCs/>
          <w:sz w:val="22"/>
          <w:szCs w:val="22"/>
          <w:lang w:val="sl-SI"/>
        </w:rPr>
      </w:pPr>
      <w:r>
        <w:rPr>
          <w:bCs/>
          <w:sz w:val="22"/>
          <w:szCs w:val="22"/>
          <w:lang w:val="sl-SI"/>
        </w:rPr>
        <w:t>Fiziološke promjene za vrijeme trudnoće mogu uticati na nivoe lamotrigina i/ili</w:t>
      </w:r>
      <w:r w:rsidR="008E0A4F">
        <w:rPr>
          <w:bCs/>
          <w:sz w:val="22"/>
          <w:szCs w:val="22"/>
          <w:lang w:val="sl-SI"/>
        </w:rPr>
        <w:t xml:space="preserve"> na</w:t>
      </w:r>
      <w:r>
        <w:rPr>
          <w:bCs/>
          <w:sz w:val="22"/>
          <w:szCs w:val="22"/>
          <w:lang w:val="sl-SI"/>
        </w:rPr>
        <w:t xml:space="preserve"> terapijski efekat. Postoje izvještaji o smanjenju nivoa lamotrigina u plazmi tokom trudnoće sa potencijalnim rizikom za gubitak kontrole nad napadima. Nakon porođaja može doći do rapidnog povećanja nivoa lamotrigina uz rizik za nastanak dozno-zavisnih neželjenih dejstava.</w:t>
      </w:r>
    </w:p>
    <w:p w14:paraId="3FAD4B48" w14:textId="0966BF01" w:rsidR="00D8360F" w:rsidRDefault="00D85EC8" w:rsidP="00BF78B0">
      <w:pPr>
        <w:pStyle w:val="Header"/>
        <w:tabs>
          <w:tab w:val="left" w:pos="284"/>
        </w:tabs>
        <w:jc w:val="both"/>
        <w:rPr>
          <w:bCs/>
          <w:sz w:val="22"/>
          <w:szCs w:val="22"/>
          <w:lang w:val="sl-SI"/>
        </w:rPr>
      </w:pPr>
      <w:r>
        <w:rPr>
          <w:bCs/>
          <w:sz w:val="22"/>
          <w:szCs w:val="22"/>
          <w:lang w:val="sl-SI"/>
        </w:rPr>
        <w:lastRenderedPageBreak/>
        <w:t>Stoga je potrebno pažljivo praćenje koncentracija lamotrigina u serumu prije, tokom i nakon trudnoće, kao i neposredno nakon porođaja. Ukoliko je neophodno, dozu je potrebno podesiti u cilju održavanja koncentracije lamotrigina u serumu na nivou koji je postojao prije trudnoće, ili podesiti u skladu sa kliničkim odgovorom. Dodatno, potrebno je pratiti pojavu dozno-zavisnih neželjenih dejstava nakon porođaja.</w:t>
      </w:r>
    </w:p>
    <w:p w14:paraId="22064F1A" w14:textId="77777777" w:rsidR="002031B3" w:rsidRPr="008E171B" w:rsidRDefault="002031B3" w:rsidP="00BF78B0">
      <w:pPr>
        <w:pStyle w:val="Header"/>
        <w:tabs>
          <w:tab w:val="left" w:pos="284"/>
        </w:tabs>
        <w:jc w:val="both"/>
        <w:rPr>
          <w:lang w:val="sl-SI"/>
        </w:rPr>
      </w:pPr>
    </w:p>
    <w:p w14:paraId="22064F1B" w14:textId="77777777" w:rsidR="0072020E" w:rsidRPr="008E171B" w:rsidRDefault="007A3ECB">
      <w:pPr>
        <w:tabs>
          <w:tab w:val="left" w:pos="540"/>
          <w:tab w:val="left" w:pos="569"/>
        </w:tabs>
        <w:jc w:val="both"/>
        <w:rPr>
          <w:b/>
          <w:bCs/>
          <w:i/>
          <w:sz w:val="22"/>
          <w:szCs w:val="22"/>
          <w:lang w:val="sl-SI"/>
        </w:rPr>
      </w:pPr>
      <w:r w:rsidRPr="008E171B">
        <w:rPr>
          <w:i/>
          <w:sz w:val="22"/>
          <w:szCs w:val="22"/>
          <w:lang w:val="sl-SI"/>
        </w:rPr>
        <w:t xml:space="preserve">Dojenje </w:t>
      </w:r>
    </w:p>
    <w:p w14:paraId="22064F1C" w14:textId="6ABB3E14" w:rsidR="00D85EC8" w:rsidRDefault="00D85EC8" w:rsidP="00BF78B0">
      <w:pPr>
        <w:pStyle w:val="Header"/>
        <w:tabs>
          <w:tab w:val="left" w:pos="284"/>
        </w:tabs>
        <w:jc w:val="both"/>
        <w:rPr>
          <w:bCs/>
          <w:sz w:val="22"/>
          <w:szCs w:val="22"/>
          <w:lang w:val="sl-SI"/>
        </w:rPr>
      </w:pPr>
      <w:r>
        <w:rPr>
          <w:bCs/>
          <w:sz w:val="22"/>
          <w:szCs w:val="22"/>
          <w:lang w:val="sl-SI"/>
        </w:rPr>
        <w:t xml:space="preserve">Prijavljeno je da lamotrigin prelazi u majčino mlijeko u izrazito varijabilnim koncentracijama, rezultujući ukupnim nivoima lamotrigina kod odojčadi od približno 50% vrijednosti registrovanih kod majki. Stoga, kod pojedinih odojčadi, serumske koncentracije lamotrigina mogu dostići nivoe pri kojima se javljaju farmakološka dejstva. </w:t>
      </w:r>
    </w:p>
    <w:p w14:paraId="22064F1D" w14:textId="15A5AB4E" w:rsidR="00D85EC8" w:rsidRDefault="00D85EC8" w:rsidP="00BF78B0">
      <w:pPr>
        <w:pStyle w:val="Header"/>
        <w:tabs>
          <w:tab w:val="left" w:pos="284"/>
        </w:tabs>
        <w:jc w:val="both"/>
        <w:rPr>
          <w:bCs/>
          <w:sz w:val="22"/>
          <w:szCs w:val="22"/>
          <w:lang w:val="sl-SI"/>
        </w:rPr>
      </w:pPr>
      <w:r>
        <w:rPr>
          <w:bCs/>
          <w:sz w:val="22"/>
          <w:szCs w:val="22"/>
          <w:lang w:val="sl-SI"/>
        </w:rPr>
        <w:t xml:space="preserve">Potrebno je procijeniti potencijalne koristi od dojenja u odnosu na potencijalni rizik od pojave neželjenih dejstava kod </w:t>
      </w:r>
      <w:r w:rsidR="008E0A4F">
        <w:rPr>
          <w:bCs/>
          <w:sz w:val="22"/>
          <w:szCs w:val="22"/>
          <w:lang w:val="sl-SI"/>
        </w:rPr>
        <w:t>dojenčadi</w:t>
      </w:r>
      <w:r>
        <w:rPr>
          <w:bCs/>
          <w:sz w:val="22"/>
          <w:szCs w:val="22"/>
          <w:lang w:val="sl-SI"/>
        </w:rPr>
        <w:t xml:space="preserve">. Ukoliko pacijentkinja odluči da doji dijete tokom primjene terapije lamotriginom, potrebno je pratiti pojavu mogućih neželjenih dejstava kod </w:t>
      </w:r>
      <w:r w:rsidR="008E0A4F">
        <w:rPr>
          <w:bCs/>
          <w:sz w:val="22"/>
          <w:szCs w:val="22"/>
          <w:lang w:val="sl-SI"/>
        </w:rPr>
        <w:t>dojenčeta</w:t>
      </w:r>
      <w:r w:rsidR="005458D2" w:rsidRPr="00A829E2">
        <w:rPr>
          <w:bCs/>
          <w:lang w:val="sr-Latn-ME"/>
        </w:rPr>
        <w:t xml:space="preserve">, </w:t>
      </w:r>
      <w:r w:rsidR="005458D2" w:rsidRPr="00A829E2">
        <w:rPr>
          <w:lang w:val="sr-Latn-ME"/>
        </w:rPr>
        <w:t>kao što su sedacija, osip i slab porast tjelesne mase</w:t>
      </w:r>
      <w:r>
        <w:rPr>
          <w:bCs/>
          <w:sz w:val="22"/>
          <w:szCs w:val="22"/>
          <w:lang w:val="sl-SI"/>
        </w:rPr>
        <w:t>.</w:t>
      </w:r>
    </w:p>
    <w:p w14:paraId="016B9161" w14:textId="77777777" w:rsidR="00D8360F" w:rsidRDefault="00D8360F" w:rsidP="00BF78B0">
      <w:pPr>
        <w:pStyle w:val="Header"/>
        <w:tabs>
          <w:tab w:val="left" w:pos="284"/>
        </w:tabs>
        <w:jc w:val="both"/>
        <w:rPr>
          <w:bCs/>
          <w:sz w:val="22"/>
          <w:szCs w:val="22"/>
          <w:lang w:val="sl-SI"/>
        </w:rPr>
      </w:pPr>
    </w:p>
    <w:p w14:paraId="22064F1E" w14:textId="77777777" w:rsidR="00231CE2" w:rsidRPr="008E171B" w:rsidRDefault="00231CE2">
      <w:pPr>
        <w:tabs>
          <w:tab w:val="left" w:pos="540"/>
          <w:tab w:val="left" w:pos="569"/>
        </w:tabs>
        <w:jc w:val="both"/>
        <w:rPr>
          <w:i/>
          <w:sz w:val="22"/>
          <w:szCs w:val="22"/>
          <w:lang w:val="sl-SI"/>
        </w:rPr>
      </w:pPr>
      <w:r w:rsidRPr="008E171B">
        <w:rPr>
          <w:i/>
          <w:sz w:val="22"/>
          <w:szCs w:val="22"/>
          <w:lang w:val="sl-SI"/>
        </w:rPr>
        <w:t>Plodnost</w:t>
      </w:r>
    </w:p>
    <w:p w14:paraId="22064F1F" w14:textId="660CB930" w:rsidR="00231CE2" w:rsidRPr="008E171B" w:rsidRDefault="00231CE2">
      <w:pPr>
        <w:tabs>
          <w:tab w:val="left" w:pos="540"/>
          <w:tab w:val="left" w:pos="569"/>
        </w:tabs>
        <w:jc w:val="both"/>
        <w:rPr>
          <w:bCs/>
          <w:sz w:val="22"/>
          <w:szCs w:val="22"/>
          <w:lang w:val="sl-SI"/>
        </w:rPr>
      </w:pPr>
      <w:r w:rsidRPr="008E171B">
        <w:rPr>
          <w:bCs/>
          <w:sz w:val="22"/>
          <w:szCs w:val="22"/>
          <w:lang w:val="sl-SI"/>
        </w:rPr>
        <w:t xml:space="preserve">Eksperimenti na životinjama nijesu pokazali da lamotrigin dovodi do poremećaja fertiliteta (vidjeti </w:t>
      </w:r>
      <w:r w:rsidR="00706D93" w:rsidRPr="008E171B">
        <w:rPr>
          <w:bCs/>
          <w:sz w:val="22"/>
          <w:szCs w:val="22"/>
          <w:lang w:val="sl-SI"/>
        </w:rPr>
        <w:t>dio</w:t>
      </w:r>
      <w:r w:rsidRPr="008E171B">
        <w:rPr>
          <w:bCs/>
          <w:sz w:val="22"/>
          <w:szCs w:val="22"/>
          <w:lang w:val="sl-SI"/>
        </w:rPr>
        <w:t xml:space="preserve"> 5.3).</w:t>
      </w:r>
    </w:p>
    <w:p w14:paraId="22064F20" w14:textId="77777777" w:rsidR="00227BDB" w:rsidRPr="008E171B" w:rsidRDefault="00227BDB">
      <w:pPr>
        <w:tabs>
          <w:tab w:val="left" w:pos="540"/>
          <w:tab w:val="left" w:pos="569"/>
        </w:tabs>
        <w:ind w:left="540" w:hanging="540"/>
        <w:jc w:val="both"/>
        <w:rPr>
          <w:b/>
          <w:bCs/>
          <w:sz w:val="22"/>
          <w:szCs w:val="22"/>
          <w:lang w:val="sl-SI"/>
        </w:rPr>
      </w:pPr>
    </w:p>
    <w:p w14:paraId="22064F21" w14:textId="5F29FE69" w:rsidR="0072020E" w:rsidRPr="008E171B" w:rsidRDefault="0072020E" w:rsidP="006B3996">
      <w:pPr>
        <w:tabs>
          <w:tab w:val="left" w:pos="540"/>
          <w:tab w:val="left" w:pos="569"/>
        </w:tabs>
        <w:ind w:left="540" w:hanging="540"/>
        <w:jc w:val="both"/>
        <w:rPr>
          <w:b/>
          <w:bCs/>
          <w:sz w:val="22"/>
          <w:szCs w:val="22"/>
          <w:lang w:val="sl-SI"/>
        </w:rPr>
      </w:pPr>
      <w:r w:rsidRPr="008E171B">
        <w:rPr>
          <w:b/>
          <w:bCs/>
          <w:sz w:val="22"/>
          <w:szCs w:val="22"/>
          <w:lang w:val="sl-SI"/>
        </w:rPr>
        <w:t xml:space="preserve">4.7. </w:t>
      </w:r>
      <w:r w:rsidR="00480FB1" w:rsidRPr="008E171B">
        <w:rPr>
          <w:b/>
          <w:bCs/>
          <w:sz w:val="22"/>
          <w:szCs w:val="22"/>
          <w:lang w:val="sl-SI"/>
        </w:rPr>
        <w:tab/>
      </w:r>
      <w:r w:rsidRPr="008E171B">
        <w:rPr>
          <w:b/>
          <w:bCs/>
          <w:sz w:val="22"/>
          <w:szCs w:val="22"/>
          <w:lang w:val="sl-SI"/>
        </w:rPr>
        <w:t xml:space="preserve">Uticaj na </w:t>
      </w:r>
      <w:r w:rsidR="002031B3" w:rsidRPr="008E171B">
        <w:rPr>
          <w:b/>
          <w:bCs/>
          <w:sz w:val="22"/>
          <w:szCs w:val="22"/>
          <w:lang w:val="sl-SI"/>
        </w:rPr>
        <w:t xml:space="preserve">sposobnost </w:t>
      </w:r>
      <w:r w:rsidR="00F34554" w:rsidRPr="008E171B">
        <w:rPr>
          <w:b/>
          <w:bCs/>
          <w:sz w:val="22"/>
          <w:szCs w:val="22"/>
          <w:lang w:val="sl-SI"/>
        </w:rPr>
        <w:t>upravljanja vozili</w:t>
      </w:r>
      <w:r w:rsidRPr="008E171B">
        <w:rPr>
          <w:b/>
          <w:bCs/>
          <w:sz w:val="22"/>
          <w:szCs w:val="22"/>
          <w:lang w:val="sl-SI"/>
        </w:rPr>
        <w:t>m</w:t>
      </w:r>
      <w:r w:rsidR="00F34554" w:rsidRPr="008E171B">
        <w:rPr>
          <w:b/>
          <w:bCs/>
          <w:sz w:val="22"/>
          <w:szCs w:val="22"/>
          <w:lang w:val="sl-SI"/>
        </w:rPr>
        <w:t>a</w:t>
      </w:r>
      <w:r w:rsidRPr="008E171B">
        <w:rPr>
          <w:b/>
          <w:bCs/>
          <w:sz w:val="22"/>
          <w:szCs w:val="22"/>
          <w:lang w:val="sl-SI"/>
        </w:rPr>
        <w:t xml:space="preserve"> i </w:t>
      </w:r>
      <w:r w:rsidR="000D3449" w:rsidRPr="008E171B">
        <w:rPr>
          <w:b/>
          <w:bCs/>
          <w:sz w:val="22"/>
          <w:szCs w:val="22"/>
          <w:lang w:val="sl-SI"/>
        </w:rPr>
        <w:t xml:space="preserve">rukovanje </w:t>
      </w:r>
      <w:r w:rsidRPr="008E171B">
        <w:rPr>
          <w:b/>
          <w:bCs/>
          <w:sz w:val="22"/>
          <w:szCs w:val="22"/>
          <w:lang w:val="sl-SI"/>
        </w:rPr>
        <w:t>mašinama</w:t>
      </w:r>
    </w:p>
    <w:p w14:paraId="6911E99E" w14:textId="77777777" w:rsidR="008E0A4F" w:rsidRPr="008E171B" w:rsidRDefault="008E0A4F" w:rsidP="006B3996">
      <w:pPr>
        <w:tabs>
          <w:tab w:val="left" w:pos="540"/>
          <w:tab w:val="left" w:pos="569"/>
        </w:tabs>
        <w:ind w:left="540" w:hanging="540"/>
        <w:jc w:val="both"/>
        <w:rPr>
          <w:b/>
          <w:bCs/>
          <w:sz w:val="22"/>
          <w:szCs w:val="22"/>
          <w:lang w:val="sl-SI"/>
        </w:rPr>
      </w:pPr>
    </w:p>
    <w:p w14:paraId="22064F22" w14:textId="76B2C438" w:rsidR="000742FB" w:rsidRDefault="000742FB" w:rsidP="006B3996">
      <w:pPr>
        <w:pStyle w:val="Header"/>
        <w:tabs>
          <w:tab w:val="left" w:pos="284"/>
        </w:tabs>
        <w:jc w:val="both"/>
        <w:rPr>
          <w:sz w:val="22"/>
          <w:szCs w:val="22"/>
          <w:lang w:val="sl-SI"/>
        </w:rPr>
      </w:pPr>
      <w:r>
        <w:rPr>
          <w:sz w:val="22"/>
          <w:szCs w:val="22"/>
          <w:lang w:val="sl-SI"/>
        </w:rPr>
        <w:t xml:space="preserve">S obzirom na to da individualni odgovor na AEL terapiju varira, potrebno je da se pacijenti koji primjenjuju lijek </w:t>
      </w:r>
      <w:r w:rsidRPr="008E171B">
        <w:rPr>
          <w:sz w:val="22"/>
          <w:szCs w:val="22"/>
          <w:lang w:val="sl-SI"/>
        </w:rPr>
        <w:t>LAMICTAL</w:t>
      </w:r>
      <w:r>
        <w:rPr>
          <w:sz w:val="22"/>
          <w:szCs w:val="22"/>
          <w:lang w:val="sl-SI"/>
        </w:rPr>
        <w:t xml:space="preserve"> u terapiji epilepsije posavjetuju sa svojim ljekarom o specifičnim pitanjima</w:t>
      </w:r>
      <w:r w:rsidR="00C675C0">
        <w:rPr>
          <w:sz w:val="22"/>
          <w:szCs w:val="22"/>
          <w:lang w:val="sl-SI"/>
        </w:rPr>
        <w:t xml:space="preserve"> u</w:t>
      </w:r>
      <w:r>
        <w:rPr>
          <w:sz w:val="22"/>
          <w:szCs w:val="22"/>
          <w:lang w:val="sl-SI"/>
        </w:rPr>
        <w:t xml:space="preserve"> vez</w:t>
      </w:r>
      <w:r w:rsidR="00C675C0">
        <w:rPr>
          <w:sz w:val="22"/>
          <w:szCs w:val="22"/>
          <w:lang w:val="sl-SI"/>
        </w:rPr>
        <w:t>i sa</w:t>
      </w:r>
      <w:r>
        <w:rPr>
          <w:sz w:val="22"/>
          <w:szCs w:val="22"/>
          <w:lang w:val="sl-SI"/>
        </w:rPr>
        <w:t xml:space="preserve"> upravljanje</w:t>
      </w:r>
      <w:r w:rsidR="00C675C0">
        <w:rPr>
          <w:sz w:val="22"/>
          <w:szCs w:val="22"/>
          <w:lang w:val="sl-SI"/>
        </w:rPr>
        <w:t>m</w:t>
      </w:r>
      <w:r>
        <w:rPr>
          <w:sz w:val="22"/>
          <w:szCs w:val="22"/>
          <w:lang w:val="sl-SI"/>
        </w:rPr>
        <w:t xml:space="preserve"> motornim vozilom i epilepsij</w:t>
      </w:r>
      <w:r w:rsidR="00C675C0">
        <w:rPr>
          <w:sz w:val="22"/>
          <w:szCs w:val="22"/>
          <w:lang w:val="sl-SI"/>
        </w:rPr>
        <w:t>om</w:t>
      </w:r>
      <w:r>
        <w:rPr>
          <w:sz w:val="22"/>
          <w:szCs w:val="22"/>
          <w:lang w:val="sl-SI"/>
        </w:rPr>
        <w:t xml:space="preserve">.  </w:t>
      </w:r>
    </w:p>
    <w:p w14:paraId="22064F23" w14:textId="77777777" w:rsidR="000742FB" w:rsidRDefault="000742FB" w:rsidP="006B3996">
      <w:pPr>
        <w:pStyle w:val="Header"/>
        <w:tabs>
          <w:tab w:val="left" w:pos="284"/>
        </w:tabs>
        <w:jc w:val="both"/>
        <w:rPr>
          <w:sz w:val="22"/>
          <w:szCs w:val="22"/>
          <w:lang w:val="sl-SI"/>
        </w:rPr>
      </w:pPr>
    </w:p>
    <w:p w14:paraId="22064F24" w14:textId="2DB575C1" w:rsidR="000742FB" w:rsidRDefault="000742FB" w:rsidP="006B3996">
      <w:pPr>
        <w:pStyle w:val="Header"/>
        <w:tabs>
          <w:tab w:val="left" w:pos="284"/>
        </w:tabs>
        <w:jc w:val="both"/>
        <w:rPr>
          <w:sz w:val="22"/>
          <w:szCs w:val="22"/>
          <w:lang w:val="sl-SI"/>
        </w:rPr>
      </w:pPr>
      <w:r>
        <w:rPr>
          <w:sz w:val="22"/>
          <w:szCs w:val="22"/>
          <w:lang w:val="sl-SI"/>
        </w:rPr>
        <w:t xml:space="preserve">Nijesu sprovedena klinička ispitivanja o dejstvima na sposobnost upravljanja motornim vozilom i rukovanja mašinama. Dva klinička ispitivanja sprovedena </w:t>
      </w:r>
      <w:r w:rsidR="00C675C0">
        <w:rPr>
          <w:sz w:val="22"/>
          <w:szCs w:val="22"/>
          <w:lang w:val="sl-SI"/>
        </w:rPr>
        <w:t>kod</w:t>
      </w:r>
      <w:r>
        <w:rPr>
          <w:sz w:val="22"/>
          <w:szCs w:val="22"/>
          <w:lang w:val="sl-SI"/>
        </w:rPr>
        <w:t xml:space="preserve"> dobrovolj</w:t>
      </w:r>
      <w:r w:rsidR="00C675C0">
        <w:rPr>
          <w:sz w:val="22"/>
          <w:szCs w:val="22"/>
          <w:lang w:val="sl-SI"/>
        </w:rPr>
        <w:t>aca</w:t>
      </w:r>
      <w:r>
        <w:rPr>
          <w:sz w:val="22"/>
          <w:szCs w:val="22"/>
          <w:lang w:val="sl-SI"/>
        </w:rPr>
        <w:t xml:space="preserve"> su pokazala da se dejstv</w:t>
      </w:r>
      <w:r w:rsidR="00C675C0">
        <w:rPr>
          <w:sz w:val="22"/>
          <w:szCs w:val="22"/>
          <w:lang w:val="sl-SI"/>
        </w:rPr>
        <w:t>a</w:t>
      </w:r>
      <w:r>
        <w:rPr>
          <w:sz w:val="22"/>
          <w:szCs w:val="22"/>
          <w:lang w:val="sl-SI"/>
        </w:rPr>
        <w:t xml:space="preserve"> lamotrigina na finu vizuelnu motornu koordinaciju, pokrete očiju, stabilnost tijela i subjektivna sedativna dejstva ne razlikuju od onih kod placeba. U kliničkim ispitivanjima primjene lamotrigina prijavljena su neželjena dejstva neurološkog karaktera kao što su vrtoglavica i diplopija. Stoga je potrebno da pacijenti individualno procijene uticaj terapije lijekom </w:t>
      </w:r>
      <w:r w:rsidRPr="008E171B">
        <w:rPr>
          <w:sz w:val="22"/>
          <w:szCs w:val="22"/>
          <w:lang w:val="sl-SI"/>
        </w:rPr>
        <w:t>LAMICTAL</w:t>
      </w:r>
      <w:r>
        <w:rPr>
          <w:sz w:val="22"/>
          <w:szCs w:val="22"/>
          <w:lang w:val="sl-SI"/>
        </w:rPr>
        <w:t xml:space="preserve"> prije nego što otpočnu vožnju ili rukovanje mašinama.</w:t>
      </w:r>
    </w:p>
    <w:p w14:paraId="22064F25" w14:textId="77777777" w:rsidR="0072020E" w:rsidRPr="008E171B" w:rsidRDefault="0072020E" w:rsidP="006B3996">
      <w:pPr>
        <w:tabs>
          <w:tab w:val="left" w:pos="540"/>
          <w:tab w:val="left" w:pos="569"/>
        </w:tabs>
        <w:jc w:val="both"/>
        <w:rPr>
          <w:b/>
          <w:bCs/>
          <w:sz w:val="22"/>
          <w:szCs w:val="22"/>
          <w:lang w:val="sl-SI"/>
        </w:rPr>
      </w:pPr>
    </w:p>
    <w:p w14:paraId="22064F26" w14:textId="77777777" w:rsidR="0072020E" w:rsidRPr="008E171B" w:rsidRDefault="0072020E" w:rsidP="006B3996">
      <w:pPr>
        <w:tabs>
          <w:tab w:val="left" w:pos="540"/>
          <w:tab w:val="left" w:pos="569"/>
        </w:tabs>
        <w:jc w:val="both"/>
        <w:rPr>
          <w:b/>
          <w:bCs/>
          <w:sz w:val="22"/>
          <w:szCs w:val="22"/>
          <w:lang w:val="sl-SI"/>
        </w:rPr>
      </w:pPr>
      <w:r w:rsidRPr="008E171B">
        <w:rPr>
          <w:b/>
          <w:bCs/>
          <w:sz w:val="22"/>
          <w:szCs w:val="22"/>
          <w:lang w:val="sl-SI"/>
        </w:rPr>
        <w:t xml:space="preserve">4.8. </w:t>
      </w:r>
      <w:r w:rsidR="00480FB1" w:rsidRPr="008E171B">
        <w:rPr>
          <w:b/>
          <w:bCs/>
          <w:sz w:val="22"/>
          <w:szCs w:val="22"/>
          <w:lang w:val="sl-SI"/>
        </w:rPr>
        <w:tab/>
      </w:r>
      <w:r w:rsidRPr="008E171B">
        <w:rPr>
          <w:b/>
          <w:bCs/>
          <w:sz w:val="22"/>
          <w:szCs w:val="22"/>
          <w:lang w:val="sl-SI"/>
        </w:rPr>
        <w:t>Neželjena dejstva</w:t>
      </w:r>
    </w:p>
    <w:p w14:paraId="22064F27" w14:textId="77777777" w:rsidR="00D32559" w:rsidRPr="008E171B" w:rsidRDefault="00D32559" w:rsidP="006B3996">
      <w:pPr>
        <w:pStyle w:val="Header"/>
        <w:jc w:val="both"/>
        <w:rPr>
          <w:bCs/>
          <w:sz w:val="22"/>
          <w:szCs w:val="22"/>
          <w:lang w:val="sl-SI"/>
        </w:rPr>
      </w:pPr>
    </w:p>
    <w:p w14:paraId="22064F28" w14:textId="77777777" w:rsidR="00D32559" w:rsidRPr="008E171B" w:rsidRDefault="00D32559" w:rsidP="006B3996">
      <w:pPr>
        <w:pStyle w:val="Header"/>
        <w:jc w:val="both"/>
        <w:rPr>
          <w:bCs/>
          <w:sz w:val="22"/>
          <w:szCs w:val="22"/>
          <w:lang w:val="sl-SI"/>
        </w:rPr>
      </w:pPr>
      <w:r w:rsidRPr="008E171B">
        <w:rPr>
          <w:bCs/>
          <w:sz w:val="22"/>
          <w:szCs w:val="22"/>
          <w:lang w:val="sl-SI"/>
        </w:rPr>
        <w:t>U daljem tekstu navedena su neželjena dejstva koja se javljaju u terapiji epilepsije i u terapiji bipolarnog poremećaja, zasnovana na podacima dostupnim iz kontrolisanih kliničkih ispitivanja i druge kliničke primjene.</w:t>
      </w:r>
    </w:p>
    <w:p w14:paraId="22064F29" w14:textId="77777777" w:rsidR="00D32559" w:rsidRPr="008E171B" w:rsidRDefault="00D32559" w:rsidP="006B3996">
      <w:pPr>
        <w:pStyle w:val="Header"/>
        <w:jc w:val="both"/>
        <w:rPr>
          <w:bCs/>
          <w:sz w:val="22"/>
          <w:szCs w:val="22"/>
          <w:lang w:val="sl-SI"/>
        </w:rPr>
      </w:pPr>
    </w:p>
    <w:p w14:paraId="22064F2A" w14:textId="77777777" w:rsidR="00D32559" w:rsidRPr="008E171B" w:rsidRDefault="00D32559" w:rsidP="006B3996">
      <w:pPr>
        <w:pStyle w:val="Header"/>
        <w:jc w:val="both"/>
        <w:rPr>
          <w:sz w:val="22"/>
          <w:szCs w:val="22"/>
          <w:lang w:val="sl-SI"/>
        </w:rPr>
      </w:pPr>
      <w:r w:rsidRPr="008E171B">
        <w:rPr>
          <w:bCs/>
          <w:sz w:val="22"/>
          <w:szCs w:val="22"/>
          <w:lang w:val="sl-SI"/>
        </w:rPr>
        <w:t xml:space="preserve">Neželjena dejstva prijavljena </w:t>
      </w:r>
      <w:r w:rsidRPr="008E171B">
        <w:rPr>
          <w:sz w:val="22"/>
          <w:szCs w:val="22"/>
          <w:lang w:val="sl-SI"/>
        </w:rPr>
        <w:t xml:space="preserve">tokom primjene monoterapije u terapiji epilepsije u kliničkim ispitivanjima (označena sa </w:t>
      </w:r>
      <w:r w:rsidRPr="008E171B">
        <w:rPr>
          <w:b/>
          <w:sz w:val="28"/>
          <w:szCs w:val="28"/>
          <w:vertAlign w:val="superscript"/>
          <w:lang w:val="sl-SI"/>
        </w:rPr>
        <w:t>†</w:t>
      </w:r>
      <w:r w:rsidRPr="008E171B">
        <w:rPr>
          <w:sz w:val="22"/>
          <w:szCs w:val="22"/>
          <w:lang w:val="sl-SI"/>
        </w:rPr>
        <w:t xml:space="preserve">), prijavljena tokom primjene monoterapije bipolarnog poremećaja u kliničkim ispitivanjima (označena sa </w:t>
      </w:r>
      <w:r w:rsidRPr="008E171B">
        <w:rPr>
          <w:sz w:val="28"/>
          <w:szCs w:val="28"/>
          <w:vertAlign w:val="superscript"/>
          <w:lang w:val="sl-SI"/>
        </w:rPr>
        <w:t>§</w:t>
      </w:r>
      <w:r w:rsidRPr="008E171B">
        <w:rPr>
          <w:sz w:val="22"/>
          <w:szCs w:val="22"/>
          <w:lang w:val="sl-SI"/>
        </w:rPr>
        <w:t>). U slučajevima u kojima se razlikuje kategorija učestalosti neželjenih dejstava u terapiji epilepsije i bipolarnog poremećaja prijavljenih u kliničkim ispitivanjima, pokazana je strožija učestalost. Međutim, ukoliko nisu dostupni podaci iz kontrolisanih kliničkih ispitivanja, kategorija učestalosti dobijena je na osnovu podataka iz kliničkog iskustva.</w:t>
      </w:r>
    </w:p>
    <w:p w14:paraId="22064F2B" w14:textId="77777777" w:rsidR="00D32559" w:rsidRPr="008E171B" w:rsidRDefault="00D32559" w:rsidP="006B3996">
      <w:pPr>
        <w:pStyle w:val="Header"/>
        <w:jc w:val="both"/>
        <w:rPr>
          <w:sz w:val="22"/>
          <w:szCs w:val="22"/>
          <w:lang w:val="sl-SI"/>
        </w:rPr>
      </w:pPr>
    </w:p>
    <w:p w14:paraId="22064F2C" w14:textId="557D5302" w:rsidR="00D32559" w:rsidRPr="008E171B" w:rsidRDefault="00D32559" w:rsidP="006B3996">
      <w:pPr>
        <w:pStyle w:val="Header"/>
        <w:jc w:val="both"/>
        <w:rPr>
          <w:bCs/>
          <w:sz w:val="22"/>
          <w:szCs w:val="22"/>
          <w:lang w:val="sl-SI"/>
        </w:rPr>
      </w:pPr>
      <w:r w:rsidRPr="008E171B">
        <w:rPr>
          <w:bCs/>
          <w:sz w:val="22"/>
          <w:szCs w:val="22"/>
          <w:lang w:val="sl-SI"/>
        </w:rPr>
        <w:t>Neželjena dejstva su klasifikovana primjenom dalje navedene konvencije:</w:t>
      </w:r>
      <w:r>
        <w:rPr>
          <w:sz w:val="22"/>
          <w:szCs w:val="22"/>
          <w:lang w:val="sr-Latn-CS"/>
        </w:rPr>
        <w:t xml:space="preserve"> </w:t>
      </w:r>
      <w:r w:rsidRPr="008E171B">
        <w:rPr>
          <w:bCs/>
          <w:sz w:val="22"/>
          <w:szCs w:val="22"/>
          <w:lang w:val="sl-SI"/>
        </w:rPr>
        <w:t>veoma često (≥</w:t>
      </w:r>
      <w:r w:rsidR="00DC736C">
        <w:rPr>
          <w:bCs/>
          <w:sz w:val="22"/>
          <w:szCs w:val="22"/>
          <w:lang w:val="sl-SI"/>
        </w:rPr>
        <w:t xml:space="preserve"> </w:t>
      </w:r>
      <w:r w:rsidRPr="008E171B">
        <w:rPr>
          <w:bCs/>
          <w:sz w:val="22"/>
          <w:szCs w:val="22"/>
          <w:lang w:val="sl-SI"/>
        </w:rPr>
        <w:t>1/10); često (≥</w:t>
      </w:r>
      <w:r w:rsidR="00DC736C">
        <w:rPr>
          <w:bCs/>
          <w:sz w:val="22"/>
          <w:szCs w:val="22"/>
          <w:lang w:val="sl-SI"/>
        </w:rPr>
        <w:t xml:space="preserve"> </w:t>
      </w:r>
      <w:r w:rsidRPr="008E171B">
        <w:rPr>
          <w:bCs/>
          <w:sz w:val="22"/>
          <w:szCs w:val="22"/>
          <w:lang w:val="sl-SI"/>
        </w:rPr>
        <w:t>1/100, &lt;</w:t>
      </w:r>
      <w:r w:rsidR="00DC736C">
        <w:rPr>
          <w:bCs/>
          <w:sz w:val="22"/>
          <w:szCs w:val="22"/>
          <w:lang w:val="sl-SI"/>
        </w:rPr>
        <w:t xml:space="preserve"> </w:t>
      </w:r>
      <w:r w:rsidRPr="008E171B">
        <w:rPr>
          <w:bCs/>
          <w:sz w:val="22"/>
          <w:szCs w:val="22"/>
          <w:lang w:val="sl-SI"/>
        </w:rPr>
        <w:t>1/10); povremeno (≥</w:t>
      </w:r>
      <w:r w:rsidR="00DC736C">
        <w:rPr>
          <w:bCs/>
          <w:sz w:val="22"/>
          <w:szCs w:val="22"/>
          <w:lang w:val="sl-SI"/>
        </w:rPr>
        <w:t xml:space="preserve"> </w:t>
      </w:r>
      <w:r w:rsidRPr="008E171B">
        <w:rPr>
          <w:bCs/>
          <w:sz w:val="22"/>
          <w:szCs w:val="22"/>
          <w:lang w:val="sl-SI"/>
        </w:rPr>
        <w:t>1/1000, &lt;</w:t>
      </w:r>
      <w:r w:rsidR="00DC736C">
        <w:rPr>
          <w:bCs/>
          <w:sz w:val="22"/>
          <w:szCs w:val="22"/>
          <w:lang w:val="sl-SI"/>
        </w:rPr>
        <w:t xml:space="preserve"> </w:t>
      </w:r>
      <w:r w:rsidRPr="008E171B">
        <w:rPr>
          <w:bCs/>
          <w:sz w:val="22"/>
          <w:szCs w:val="22"/>
          <w:lang w:val="sl-SI"/>
        </w:rPr>
        <w:t>1/100); rijetko (&gt;</w:t>
      </w:r>
      <w:r w:rsidR="00DC736C">
        <w:rPr>
          <w:bCs/>
          <w:sz w:val="22"/>
          <w:szCs w:val="22"/>
          <w:lang w:val="sl-SI"/>
        </w:rPr>
        <w:t xml:space="preserve"> </w:t>
      </w:r>
      <w:r w:rsidRPr="008E171B">
        <w:rPr>
          <w:bCs/>
          <w:sz w:val="22"/>
          <w:szCs w:val="22"/>
          <w:lang w:val="sl-SI"/>
        </w:rPr>
        <w:t>1/10000, &lt;</w:t>
      </w:r>
      <w:r w:rsidR="00DC736C">
        <w:rPr>
          <w:bCs/>
          <w:sz w:val="22"/>
          <w:szCs w:val="22"/>
          <w:lang w:val="sl-SI"/>
        </w:rPr>
        <w:t xml:space="preserve"> </w:t>
      </w:r>
      <w:r w:rsidRPr="008E171B">
        <w:rPr>
          <w:bCs/>
          <w:sz w:val="22"/>
          <w:szCs w:val="22"/>
          <w:lang w:val="sl-SI"/>
        </w:rPr>
        <w:t>1/1000); veoma rijetko (&lt;</w:t>
      </w:r>
      <w:r w:rsidR="00DC736C">
        <w:rPr>
          <w:bCs/>
          <w:sz w:val="22"/>
          <w:szCs w:val="22"/>
          <w:lang w:val="sl-SI"/>
        </w:rPr>
        <w:t xml:space="preserve"> </w:t>
      </w:r>
      <w:r w:rsidRPr="008E171B">
        <w:rPr>
          <w:bCs/>
          <w:sz w:val="22"/>
          <w:szCs w:val="22"/>
          <w:lang w:val="sl-SI"/>
        </w:rPr>
        <w:t>1/10000); nepoznate učestalosti (učestalost nije moguće odrediti na osnovu dostupnih podataka).</w:t>
      </w:r>
    </w:p>
    <w:p w14:paraId="22064F2D" w14:textId="77777777" w:rsidR="00D32559" w:rsidRPr="008E171B" w:rsidRDefault="00D32559" w:rsidP="006B3996">
      <w:pPr>
        <w:pStyle w:val="Header"/>
        <w:jc w:val="both"/>
        <w:rPr>
          <w:sz w:val="22"/>
          <w:szCs w:val="22"/>
          <w:lang w:val="sl-SI"/>
        </w:rPr>
      </w:pPr>
    </w:p>
    <w:p w14:paraId="22064F2E" w14:textId="77777777" w:rsidR="00D32559" w:rsidRPr="008E171B" w:rsidRDefault="00D32559" w:rsidP="006B3996">
      <w:pPr>
        <w:pStyle w:val="Header"/>
        <w:tabs>
          <w:tab w:val="left" w:pos="284"/>
        </w:tabs>
        <w:jc w:val="both"/>
        <w:rPr>
          <w:sz w:val="22"/>
          <w:szCs w:val="22"/>
          <w:u w:val="single"/>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5245"/>
        <w:gridCol w:w="2165"/>
      </w:tblGrid>
      <w:tr w:rsidR="00D32559" w14:paraId="22064F32"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2F" w14:textId="77777777" w:rsidR="00D32559" w:rsidRDefault="00D32559">
            <w:pPr>
              <w:pStyle w:val="Header"/>
              <w:jc w:val="center"/>
              <w:rPr>
                <w:b/>
                <w:sz w:val="22"/>
                <w:szCs w:val="22"/>
              </w:rPr>
            </w:pPr>
            <w:r>
              <w:rPr>
                <w:b/>
                <w:sz w:val="22"/>
                <w:szCs w:val="22"/>
              </w:rPr>
              <w:t>Klasa sistema organa</w:t>
            </w:r>
          </w:p>
        </w:tc>
        <w:tc>
          <w:tcPr>
            <w:tcW w:w="5245" w:type="dxa"/>
            <w:tcBorders>
              <w:top w:val="single" w:sz="4" w:space="0" w:color="000000"/>
              <w:left w:val="single" w:sz="4" w:space="0" w:color="000000"/>
              <w:bottom w:val="single" w:sz="4" w:space="0" w:color="000000"/>
              <w:right w:val="single" w:sz="4" w:space="0" w:color="000000"/>
            </w:tcBorders>
            <w:hideMark/>
          </w:tcPr>
          <w:p w14:paraId="22064F30" w14:textId="77777777" w:rsidR="00D32559" w:rsidRDefault="00D32559">
            <w:pPr>
              <w:pStyle w:val="Header"/>
              <w:tabs>
                <w:tab w:val="clear" w:pos="4320"/>
                <w:tab w:val="clear" w:pos="8640"/>
                <w:tab w:val="center" w:pos="317"/>
                <w:tab w:val="right" w:pos="9072"/>
              </w:tabs>
              <w:ind w:left="34"/>
              <w:rPr>
                <w:b/>
                <w:sz w:val="22"/>
                <w:szCs w:val="22"/>
              </w:rPr>
            </w:pPr>
            <w:r>
              <w:rPr>
                <w:b/>
                <w:sz w:val="22"/>
                <w:szCs w:val="22"/>
              </w:rPr>
              <w:t>Neželjeno dejstvo</w:t>
            </w:r>
          </w:p>
        </w:tc>
        <w:tc>
          <w:tcPr>
            <w:tcW w:w="2165" w:type="dxa"/>
            <w:tcBorders>
              <w:top w:val="single" w:sz="4" w:space="0" w:color="000000"/>
              <w:left w:val="single" w:sz="4" w:space="0" w:color="000000"/>
              <w:bottom w:val="single" w:sz="4" w:space="0" w:color="000000"/>
              <w:right w:val="single" w:sz="4" w:space="0" w:color="000000"/>
            </w:tcBorders>
            <w:hideMark/>
          </w:tcPr>
          <w:p w14:paraId="22064F31" w14:textId="77777777" w:rsidR="00D32559" w:rsidRDefault="00D32559">
            <w:pPr>
              <w:pStyle w:val="Header"/>
              <w:rPr>
                <w:b/>
                <w:sz w:val="22"/>
                <w:szCs w:val="22"/>
              </w:rPr>
            </w:pPr>
            <w:r>
              <w:rPr>
                <w:b/>
                <w:sz w:val="22"/>
                <w:szCs w:val="22"/>
              </w:rPr>
              <w:t>Učestalost</w:t>
            </w:r>
          </w:p>
        </w:tc>
      </w:tr>
      <w:tr w:rsidR="00D32559" w:rsidRPr="00BF78B0" w14:paraId="22064F3C"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33" w14:textId="4FAE770B" w:rsidR="00D32559" w:rsidRDefault="00D32559" w:rsidP="00061D25">
            <w:pPr>
              <w:pStyle w:val="Header"/>
              <w:jc w:val="center"/>
              <w:rPr>
                <w:b/>
                <w:sz w:val="22"/>
                <w:szCs w:val="22"/>
              </w:rPr>
            </w:pPr>
            <w:r>
              <w:rPr>
                <w:b/>
                <w:sz w:val="22"/>
                <w:szCs w:val="22"/>
              </w:rPr>
              <w:t>Poremećaji krvi i limfnog sistema</w:t>
            </w:r>
          </w:p>
        </w:tc>
        <w:tc>
          <w:tcPr>
            <w:tcW w:w="5245" w:type="dxa"/>
            <w:tcBorders>
              <w:top w:val="single" w:sz="4" w:space="0" w:color="000000"/>
              <w:left w:val="single" w:sz="4" w:space="0" w:color="000000"/>
              <w:bottom w:val="single" w:sz="4" w:space="0" w:color="000000"/>
              <w:right w:val="single" w:sz="4" w:space="0" w:color="000000"/>
            </w:tcBorders>
          </w:tcPr>
          <w:p w14:paraId="22064F34" w14:textId="77777777" w:rsidR="00D32559" w:rsidRDefault="00D32559">
            <w:pPr>
              <w:pStyle w:val="Header"/>
              <w:tabs>
                <w:tab w:val="clear" w:pos="4320"/>
                <w:tab w:val="clear" w:pos="8640"/>
                <w:tab w:val="center" w:pos="317"/>
                <w:tab w:val="right" w:pos="9072"/>
              </w:tabs>
              <w:ind w:left="34"/>
              <w:rPr>
                <w:sz w:val="22"/>
                <w:szCs w:val="22"/>
              </w:rPr>
            </w:pPr>
            <w:r>
              <w:rPr>
                <w:sz w:val="22"/>
                <w:szCs w:val="22"/>
              </w:rPr>
              <w:t>hematološki poremećaji</w:t>
            </w:r>
            <w:r>
              <w:rPr>
                <w:b/>
                <w:sz w:val="22"/>
                <w:szCs w:val="22"/>
                <w:vertAlign w:val="superscript"/>
              </w:rPr>
              <w:t>1</w:t>
            </w:r>
            <w:r>
              <w:rPr>
                <w:sz w:val="22"/>
                <w:szCs w:val="22"/>
              </w:rPr>
              <w:t xml:space="preserve"> uključujući neutropeniju, leukopeniju, anemiju, trombocitopeniju, pancitopeniju, aplastičnu anemiju, agranulocitozu</w:t>
            </w:r>
          </w:p>
          <w:p w14:paraId="6CEF0B71" w14:textId="77777777" w:rsidR="009B62C6" w:rsidRDefault="009B62C6" w:rsidP="009B62C6">
            <w:pPr>
              <w:tabs>
                <w:tab w:val="center" w:pos="317"/>
                <w:tab w:val="right" w:pos="9072"/>
              </w:tabs>
              <w:ind w:left="34"/>
              <w:rPr>
                <w:sz w:val="22"/>
                <w:szCs w:val="22"/>
                <w:lang w:val="sr-Latn-ME"/>
              </w:rPr>
            </w:pPr>
          </w:p>
          <w:p w14:paraId="5488D1A8" w14:textId="7B7BDCF2" w:rsidR="009B62C6" w:rsidRPr="00153D76" w:rsidRDefault="009B62C6" w:rsidP="009B62C6">
            <w:pPr>
              <w:tabs>
                <w:tab w:val="center" w:pos="317"/>
                <w:tab w:val="right" w:pos="9072"/>
              </w:tabs>
              <w:ind w:left="34"/>
              <w:rPr>
                <w:sz w:val="22"/>
                <w:szCs w:val="22"/>
                <w:lang w:val="sr-Latn-ME"/>
              </w:rPr>
            </w:pPr>
            <w:r w:rsidRPr="00153D76">
              <w:rPr>
                <w:sz w:val="22"/>
                <w:szCs w:val="22"/>
                <w:lang w:val="sr-Latn-ME"/>
              </w:rPr>
              <w:t xml:space="preserve">hemofagocitna limfohistiocitoza (vidjeti </w:t>
            </w:r>
            <w:r w:rsidR="00706D93">
              <w:rPr>
                <w:sz w:val="22"/>
                <w:szCs w:val="22"/>
                <w:lang w:val="sr-Latn-ME"/>
              </w:rPr>
              <w:t>dio</w:t>
            </w:r>
            <w:r w:rsidRPr="00153D76">
              <w:rPr>
                <w:sz w:val="22"/>
                <w:szCs w:val="22"/>
                <w:lang w:val="sr-Latn-ME"/>
              </w:rPr>
              <w:t xml:space="preserve"> 4.4)   </w:t>
            </w:r>
          </w:p>
          <w:p w14:paraId="22064F35" w14:textId="77777777" w:rsidR="00D32559" w:rsidRPr="008E171B" w:rsidRDefault="00D32559">
            <w:pPr>
              <w:pStyle w:val="Header"/>
              <w:tabs>
                <w:tab w:val="center" w:pos="317"/>
              </w:tabs>
              <w:rPr>
                <w:sz w:val="22"/>
                <w:szCs w:val="22"/>
                <w:lang w:val="sr-Latn-ME"/>
              </w:rPr>
            </w:pPr>
          </w:p>
          <w:p w14:paraId="22064F36" w14:textId="56FAD242" w:rsidR="00D32559" w:rsidRPr="00467B37" w:rsidRDefault="00D32559">
            <w:pPr>
              <w:pStyle w:val="Header"/>
              <w:tabs>
                <w:tab w:val="clear" w:pos="4320"/>
                <w:tab w:val="clear" w:pos="8640"/>
                <w:tab w:val="center" w:pos="317"/>
                <w:tab w:val="right" w:pos="9072"/>
              </w:tabs>
              <w:ind w:left="34"/>
              <w:rPr>
                <w:sz w:val="22"/>
                <w:szCs w:val="22"/>
                <w:lang w:val="sr-Latn-ME"/>
              </w:rPr>
            </w:pPr>
            <w:r>
              <w:rPr>
                <w:sz w:val="22"/>
                <w:szCs w:val="22"/>
              </w:rPr>
              <w:t>limfadenopatija</w:t>
            </w:r>
            <w:r w:rsidRPr="008E171B">
              <w:rPr>
                <w:b/>
                <w:sz w:val="22"/>
                <w:szCs w:val="22"/>
                <w:vertAlign w:val="superscript"/>
                <w:lang w:val="sr-Latn-ME"/>
              </w:rPr>
              <w:t>1</w:t>
            </w:r>
            <w:r w:rsidR="00467B37">
              <w:rPr>
                <w:b/>
                <w:sz w:val="22"/>
                <w:szCs w:val="22"/>
                <w:lang w:val="sr-Latn-ME"/>
              </w:rPr>
              <w:t xml:space="preserve">, </w:t>
            </w:r>
            <w:r w:rsidR="00467B37" w:rsidRPr="00BC6BEF">
              <w:rPr>
                <w:bCs/>
                <w:sz w:val="22"/>
                <w:szCs w:val="22"/>
                <w:lang w:val="sr-Latn-ME"/>
              </w:rPr>
              <w:t>pseudolimfom</w:t>
            </w:r>
          </w:p>
        </w:tc>
        <w:tc>
          <w:tcPr>
            <w:tcW w:w="2165" w:type="dxa"/>
            <w:tcBorders>
              <w:top w:val="single" w:sz="4" w:space="0" w:color="000000"/>
              <w:left w:val="single" w:sz="4" w:space="0" w:color="000000"/>
              <w:bottom w:val="single" w:sz="4" w:space="0" w:color="000000"/>
              <w:right w:val="single" w:sz="4" w:space="0" w:color="000000"/>
            </w:tcBorders>
          </w:tcPr>
          <w:p w14:paraId="22064F37" w14:textId="7319C193" w:rsidR="00D32559" w:rsidRPr="008E171B" w:rsidRDefault="00D32559">
            <w:pPr>
              <w:pStyle w:val="Header"/>
              <w:rPr>
                <w:sz w:val="22"/>
                <w:szCs w:val="22"/>
                <w:lang w:val="sr-Latn-ME"/>
              </w:rPr>
            </w:pPr>
            <w:r w:rsidRPr="00BC6BEF">
              <w:rPr>
                <w:sz w:val="22"/>
                <w:szCs w:val="22"/>
                <w:lang w:val="fi-FI"/>
              </w:rPr>
              <w:lastRenderedPageBreak/>
              <w:t>veoma</w:t>
            </w:r>
            <w:r w:rsidRPr="008E171B">
              <w:rPr>
                <w:sz w:val="22"/>
                <w:szCs w:val="22"/>
                <w:lang w:val="sr-Latn-ME"/>
              </w:rPr>
              <w:t xml:space="preserve"> </w:t>
            </w:r>
            <w:r w:rsidRPr="00BC6BEF">
              <w:rPr>
                <w:sz w:val="22"/>
                <w:szCs w:val="22"/>
                <w:lang w:val="fi-FI"/>
              </w:rPr>
              <w:t>rijetk</w:t>
            </w:r>
            <w:r w:rsidR="00061D25" w:rsidRPr="00BC6BEF">
              <w:rPr>
                <w:sz w:val="22"/>
                <w:szCs w:val="22"/>
                <w:lang w:val="fi-FI"/>
              </w:rPr>
              <w:t>o</w:t>
            </w:r>
          </w:p>
          <w:p w14:paraId="22064F38" w14:textId="77777777" w:rsidR="00D32559" w:rsidRPr="008E171B" w:rsidRDefault="00D32559">
            <w:pPr>
              <w:pStyle w:val="Header"/>
              <w:rPr>
                <w:sz w:val="22"/>
                <w:szCs w:val="22"/>
                <w:lang w:val="sr-Latn-ME"/>
              </w:rPr>
            </w:pPr>
          </w:p>
          <w:p w14:paraId="22064F39" w14:textId="77777777" w:rsidR="00D32559" w:rsidRPr="008E171B" w:rsidRDefault="00D32559">
            <w:pPr>
              <w:pStyle w:val="Header"/>
              <w:rPr>
                <w:sz w:val="22"/>
                <w:szCs w:val="22"/>
                <w:lang w:val="sr-Latn-ME"/>
              </w:rPr>
            </w:pPr>
          </w:p>
          <w:p w14:paraId="29054FAF" w14:textId="77777777" w:rsidR="009B62C6" w:rsidRPr="008E171B" w:rsidRDefault="009B62C6" w:rsidP="009B62C6">
            <w:pPr>
              <w:pStyle w:val="Header"/>
              <w:rPr>
                <w:sz w:val="22"/>
                <w:szCs w:val="22"/>
                <w:lang w:val="sr-Latn-ME"/>
              </w:rPr>
            </w:pPr>
          </w:p>
          <w:p w14:paraId="1AFD6ADE" w14:textId="3E2429C6" w:rsidR="009B62C6" w:rsidRPr="008E171B" w:rsidRDefault="009B62C6" w:rsidP="009B62C6">
            <w:pPr>
              <w:pStyle w:val="Header"/>
              <w:rPr>
                <w:sz w:val="22"/>
                <w:szCs w:val="22"/>
                <w:lang w:val="sr-Latn-ME"/>
              </w:rPr>
            </w:pPr>
            <w:r w:rsidRPr="00BC6BEF">
              <w:rPr>
                <w:sz w:val="22"/>
                <w:szCs w:val="22"/>
                <w:lang w:val="fi-FI"/>
              </w:rPr>
              <w:t>veoma</w:t>
            </w:r>
            <w:r w:rsidRPr="008E171B">
              <w:rPr>
                <w:sz w:val="22"/>
                <w:szCs w:val="22"/>
                <w:lang w:val="sr-Latn-ME"/>
              </w:rPr>
              <w:t xml:space="preserve"> </w:t>
            </w:r>
            <w:r w:rsidRPr="00BC6BEF">
              <w:rPr>
                <w:sz w:val="22"/>
                <w:szCs w:val="22"/>
                <w:lang w:val="fi-FI"/>
              </w:rPr>
              <w:t>rijetk</w:t>
            </w:r>
            <w:r w:rsidR="00061D25" w:rsidRPr="00BC6BEF">
              <w:rPr>
                <w:sz w:val="22"/>
                <w:szCs w:val="22"/>
                <w:lang w:val="fi-FI"/>
              </w:rPr>
              <w:t>o</w:t>
            </w:r>
          </w:p>
          <w:p w14:paraId="2DA939F6" w14:textId="77777777" w:rsidR="009B62C6" w:rsidRPr="008E171B" w:rsidRDefault="009B62C6">
            <w:pPr>
              <w:pStyle w:val="Header"/>
              <w:rPr>
                <w:sz w:val="22"/>
                <w:szCs w:val="22"/>
                <w:lang w:val="sr-Latn-ME"/>
              </w:rPr>
            </w:pPr>
          </w:p>
          <w:p w14:paraId="22064F3B" w14:textId="0C63770F" w:rsidR="00D32559" w:rsidRPr="008E171B" w:rsidRDefault="00D32559">
            <w:pPr>
              <w:pStyle w:val="Header"/>
              <w:rPr>
                <w:sz w:val="22"/>
                <w:szCs w:val="22"/>
                <w:lang w:val="sr-Latn-ME"/>
              </w:rPr>
            </w:pPr>
            <w:r w:rsidRPr="00BC6BEF">
              <w:rPr>
                <w:sz w:val="22"/>
                <w:szCs w:val="22"/>
                <w:lang w:val="fi-FI"/>
              </w:rPr>
              <w:t>nepoznat</w:t>
            </w:r>
            <w:r w:rsidR="00061D25" w:rsidRPr="00BC6BEF">
              <w:rPr>
                <w:sz w:val="22"/>
                <w:szCs w:val="22"/>
                <w:lang w:val="fi-FI"/>
              </w:rPr>
              <w:t>o</w:t>
            </w:r>
          </w:p>
        </w:tc>
      </w:tr>
      <w:tr w:rsidR="00D32559" w14:paraId="22064F42"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3D" w14:textId="77777777" w:rsidR="00D32559" w:rsidRDefault="00D32559">
            <w:pPr>
              <w:pStyle w:val="Header"/>
              <w:jc w:val="center"/>
              <w:rPr>
                <w:b/>
                <w:sz w:val="22"/>
                <w:szCs w:val="22"/>
              </w:rPr>
            </w:pPr>
            <w:r>
              <w:rPr>
                <w:b/>
                <w:sz w:val="22"/>
                <w:szCs w:val="22"/>
              </w:rPr>
              <w:lastRenderedPageBreak/>
              <w:t>Imunološki poremećaji</w:t>
            </w:r>
          </w:p>
        </w:tc>
        <w:tc>
          <w:tcPr>
            <w:tcW w:w="5245" w:type="dxa"/>
            <w:tcBorders>
              <w:top w:val="single" w:sz="4" w:space="0" w:color="000000"/>
              <w:left w:val="single" w:sz="4" w:space="0" w:color="000000"/>
              <w:bottom w:val="single" w:sz="4" w:space="0" w:color="000000"/>
              <w:right w:val="single" w:sz="4" w:space="0" w:color="000000"/>
            </w:tcBorders>
          </w:tcPr>
          <w:p w14:paraId="22064F3F" w14:textId="5E81F2E5" w:rsidR="00D32559" w:rsidRPr="00CF44B4" w:rsidRDefault="00D32559" w:rsidP="0038628D">
            <w:pPr>
              <w:pStyle w:val="Header"/>
              <w:tabs>
                <w:tab w:val="center" w:pos="317"/>
              </w:tabs>
              <w:ind w:left="34"/>
              <w:rPr>
                <w:sz w:val="22"/>
                <w:szCs w:val="22"/>
              </w:rPr>
            </w:pPr>
            <w:r w:rsidRPr="00CF44B4">
              <w:rPr>
                <w:sz w:val="22"/>
                <w:szCs w:val="22"/>
              </w:rPr>
              <w:t>sindrom preojsetljivosti</w:t>
            </w:r>
            <w:r w:rsidRPr="00CF44B4">
              <w:rPr>
                <w:b/>
                <w:sz w:val="22"/>
                <w:szCs w:val="22"/>
                <w:vertAlign w:val="superscript"/>
              </w:rPr>
              <w:t>2</w:t>
            </w:r>
            <w:r w:rsidRPr="00CF44B4">
              <w:rPr>
                <w:sz w:val="22"/>
                <w:szCs w:val="22"/>
              </w:rPr>
              <w:t xml:space="preserve"> </w:t>
            </w:r>
          </w:p>
          <w:p w14:paraId="27312CD9" w14:textId="77777777" w:rsidR="00D32559" w:rsidRPr="00CF44B4" w:rsidRDefault="00D32559">
            <w:pPr>
              <w:pStyle w:val="Header"/>
              <w:rPr>
                <w:sz w:val="22"/>
                <w:szCs w:val="22"/>
              </w:rPr>
            </w:pPr>
          </w:p>
          <w:p w14:paraId="22064F40" w14:textId="24923B81" w:rsidR="00C5490B" w:rsidRPr="00CF44B4" w:rsidRDefault="00C5490B">
            <w:pPr>
              <w:pStyle w:val="Header"/>
              <w:rPr>
                <w:sz w:val="22"/>
                <w:szCs w:val="22"/>
              </w:rPr>
            </w:pPr>
            <w:r w:rsidRPr="00CF44B4">
              <w:rPr>
                <w:sz w:val="22"/>
                <w:szCs w:val="22"/>
                <w:lang w:val="sr-Latn-ME"/>
              </w:rPr>
              <w:t>hipogamaglobulinemija  </w:t>
            </w:r>
          </w:p>
        </w:tc>
        <w:tc>
          <w:tcPr>
            <w:tcW w:w="2165" w:type="dxa"/>
            <w:tcBorders>
              <w:top w:val="single" w:sz="4" w:space="0" w:color="000000"/>
              <w:left w:val="single" w:sz="4" w:space="0" w:color="000000"/>
              <w:bottom w:val="single" w:sz="4" w:space="0" w:color="000000"/>
              <w:right w:val="single" w:sz="4" w:space="0" w:color="000000"/>
            </w:tcBorders>
            <w:hideMark/>
          </w:tcPr>
          <w:p w14:paraId="646D8F9E" w14:textId="5EDB4407" w:rsidR="00D32559" w:rsidRPr="00CF44B4" w:rsidRDefault="00D32559">
            <w:pPr>
              <w:pStyle w:val="Header"/>
              <w:rPr>
                <w:sz w:val="22"/>
                <w:szCs w:val="22"/>
              </w:rPr>
            </w:pPr>
            <w:r w:rsidRPr="00CF44B4">
              <w:rPr>
                <w:sz w:val="22"/>
                <w:szCs w:val="22"/>
              </w:rPr>
              <w:t>veoma rijetk</w:t>
            </w:r>
            <w:r w:rsidR="00061D25">
              <w:rPr>
                <w:sz w:val="22"/>
                <w:szCs w:val="22"/>
              </w:rPr>
              <w:t>o</w:t>
            </w:r>
          </w:p>
          <w:p w14:paraId="482EA5E9" w14:textId="77777777" w:rsidR="00C5490B" w:rsidRPr="00CF44B4" w:rsidRDefault="00C5490B">
            <w:pPr>
              <w:pStyle w:val="Header"/>
              <w:rPr>
                <w:sz w:val="22"/>
                <w:szCs w:val="22"/>
              </w:rPr>
            </w:pPr>
          </w:p>
          <w:p w14:paraId="22064F41" w14:textId="54BA8B29" w:rsidR="00C5490B" w:rsidRPr="00CF44B4" w:rsidRDefault="00C5490B">
            <w:pPr>
              <w:pStyle w:val="Header"/>
              <w:rPr>
                <w:sz w:val="22"/>
                <w:szCs w:val="22"/>
              </w:rPr>
            </w:pPr>
            <w:r w:rsidRPr="00CF44B4">
              <w:rPr>
                <w:sz w:val="22"/>
                <w:szCs w:val="22"/>
                <w:lang w:val="sr-Latn-CS"/>
              </w:rPr>
              <w:t>nepoznat</w:t>
            </w:r>
            <w:r w:rsidR="000E445B">
              <w:rPr>
                <w:sz w:val="22"/>
                <w:szCs w:val="22"/>
                <w:lang w:val="sr-Latn-CS"/>
              </w:rPr>
              <w:t>a</w:t>
            </w:r>
          </w:p>
        </w:tc>
      </w:tr>
      <w:tr w:rsidR="00D32559" w14:paraId="22064F4E"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43" w14:textId="77777777" w:rsidR="00D32559" w:rsidRDefault="00D32559">
            <w:pPr>
              <w:pStyle w:val="Header"/>
              <w:jc w:val="center"/>
              <w:rPr>
                <w:b/>
                <w:sz w:val="22"/>
                <w:szCs w:val="22"/>
              </w:rPr>
            </w:pPr>
            <w:r>
              <w:rPr>
                <w:b/>
                <w:sz w:val="22"/>
                <w:szCs w:val="22"/>
              </w:rPr>
              <w:t>Psihijatrijski poremećaji</w:t>
            </w:r>
          </w:p>
        </w:tc>
        <w:tc>
          <w:tcPr>
            <w:tcW w:w="5245" w:type="dxa"/>
            <w:tcBorders>
              <w:top w:val="single" w:sz="4" w:space="0" w:color="000000"/>
              <w:left w:val="single" w:sz="4" w:space="0" w:color="000000"/>
              <w:bottom w:val="single" w:sz="4" w:space="0" w:color="000000"/>
              <w:right w:val="single" w:sz="4" w:space="0" w:color="000000"/>
            </w:tcBorders>
          </w:tcPr>
          <w:p w14:paraId="22064F44" w14:textId="77777777" w:rsidR="00D32559" w:rsidRPr="00A76BF8" w:rsidRDefault="00D32559">
            <w:pPr>
              <w:pStyle w:val="Header"/>
              <w:tabs>
                <w:tab w:val="clear" w:pos="4320"/>
                <w:tab w:val="clear" w:pos="8640"/>
                <w:tab w:val="center" w:pos="317"/>
                <w:tab w:val="right" w:pos="9072"/>
              </w:tabs>
              <w:ind w:left="34"/>
              <w:rPr>
                <w:sz w:val="22"/>
                <w:szCs w:val="22"/>
              </w:rPr>
            </w:pPr>
            <w:r w:rsidRPr="00A76BF8">
              <w:rPr>
                <w:sz w:val="22"/>
                <w:szCs w:val="22"/>
              </w:rPr>
              <w:t>agresija, iritabilnost</w:t>
            </w:r>
          </w:p>
          <w:p w14:paraId="22064F45" w14:textId="77777777" w:rsidR="00D32559" w:rsidRPr="00A76BF8" w:rsidRDefault="00D32559">
            <w:pPr>
              <w:pStyle w:val="Header"/>
              <w:tabs>
                <w:tab w:val="center" w:pos="317"/>
              </w:tabs>
              <w:rPr>
                <w:sz w:val="22"/>
                <w:szCs w:val="22"/>
              </w:rPr>
            </w:pPr>
          </w:p>
          <w:p w14:paraId="22064F46" w14:textId="558FE9DF" w:rsidR="00D32559" w:rsidRPr="00BC6BEF" w:rsidRDefault="00D32559" w:rsidP="00BC6BEF">
            <w:pPr>
              <w:rPr>
                <w:sz w:val="22"/>
                <w:szCs w:val="22"/>
                <w:lang w:val="sr-Latn-ME"/>
              </w:rPr>
            </w:pPr>
            <w:r w:rsidRPr="00A76BF8">
              <w:rPr>
                <w:sz w:val="22"/>
                <w:szCs w:val="22"/>
              </w:rPr>
              <w:t>konfuzija, halucinacije, tikovi</w:t>
            </w:r>
            <w:r w:rsidR="00467B37" w:rsidRPr="00BC6BEF">
              <w:rPr>
                <w:sz w:val="22"/>
                <w:szCs w:val="22"/>
              </w:rPr>
              <w:t xml:space="preserve"> </w:t>
            </w:r>
            <w:r w:rsidR="00467B37" w:rsidRPr="00467B37">
              <w:rPr>
                <w:sz w:val="22"/>
                <w:szCs w:val="22"/>
                <w:lang w:val="sr-Latn-ME"/>
              </w:rPr>
              <w:t>(motorički i/ili glasovni tikovi)</w:t>
            </w:r>
          </w:p>
          <w:p w14:paraId="22064F47" w14:textId="77777777" w:rsidR="00D32559" w:rsidRPr="00A76BF8" w:rsidRDefault="00D32559">
            <w:pPr>
              <w:pStyle w:val="Header"/>
              <w:tabs>
                <w:tab w:val="clear" w:pos="4320"/>
                <w:tab w:val="clear" w:pos="8640"/>
                <w:tab w:val="center" w:pos="317"/>
                <w:tab w:val="right" w:pos="9072"/>
              </w:tabs>
              <w:ind w:left="34"/>
              <w:rPr>
                <w:sz w:val="22"/>
                <w:szCs w:val="22"/>
              </w:rPr>
            </w:pPr>
          </w:p>
          <w:p w14:paraId="22064F48" w14:textId="77777777" w:rsidR="00D32559" w:rsidRDefault="00D32559">
            <w:pPr>
              <w:pStyle w:val="Header"/>
              <w:tabs>
                <w:tab w:val="clear" w:pos="4320"/>
                <w:tab w:val="clear" w:pos="8640"/>
                <w:tab w:val="center" w:pos="317"/>
                <w:tab w:val="right" w:pos="9072"/>
              </w:tabs>
              <w:ind w:left="34"/>
              <w:rPr>
                <w:sz w:val="22"/>
                <w:szCs w:val="22"/>
                <w:lang w:val="sr-Latn-CS"/>
              </w:rPr>
            </w:pPr>
            <w:r w:rsidRPr="00BC6BEF">
              <w:rPr>
                <w:sz w:val="22"/>
                <w:szCs w:val="22"/>
                <w:lang w:val="pl-PL"/>
              </w:rPr>
              <w:t>noćne more</w:t>
            </w:r>
          </w:p>
        </w:tc>
        <w:tc>
          <w:tcPr>
            <w:tcW w:w="2165" w:type="dxa"/>
            <w:tcBorders>
              <w:top w:val="single" w:sz="4" w:space="0" w:color="000000"/>
              <w:left w:val="single" w:sz="4" w:space="0" w:color="000000"/>
              <w:bottom w:val="single" w:sz="4" w:space="0" w:color="000000"/>
              <w:right w:val="single" w:sz="4" w:space="0" w:color="000000"/>
            </w:tcBorders>
          </w:tcPr>
          <w:p w14:paraId="22064F49" w14:textId="1CCDA89F" w:rsidR="00D32559" w:rsidRDefault="00D32559">
            <w:pPr>
              <w:pStyle w:val="Header"/>
              <w:tabs>
                <w:tab w:val="left" w:pos="284"/>
              </w:tabs>
              <w:rPr>
                <w:sz w:val="22"/>
                <w:szCs w:val="22"/>
              </w:rPr>
            </w:pPr>
            <w:r>
              <w:rPr>
                <w:sz w:val="22"/>
                <w:szCs w:val="22"/>
              </w:rPr>
              <w:t>čest</w:t>
            </w:r>
            <w:r w:rsidR="00061D25">
              <w:rPr>
                <w:sz w:val="22"/>
                <w:szCs w:val="22"/>
              </w:rPr>
              <w:t>o</w:t>
            </w:r>
          </w:p>
          <w:p w14:paraId="22064F4A" w14:textId="77777777" w:rsidR="00D32559" w:rsidRDefault="00D32559">
            <w:pPr>
              <w:pStyle w:val="Header"/>
              <w:tabs>
                <w:tab w:val="left" w:pos="284"/>
              </w:tabs>
              <w:rPr>
                <w:sz w:val="22"/>
                <w:szCs w:val="22"/>
              </w:rPr>
            </w:pPr>
            <w:r>
              <w:rPr>
                <w:sz w:val="22"/>
                <w:szCs w:val="22"/>
              </w:rPr>
              <w:t xml:space="preserve">                                    </w:t>
            </w:r>
          </w:p>
          <w:p w14:paraId="22064F4B" w14:textId="18CA9AB4" w:rsidR="00D32559" w:rsidRDefault="00D32559">
            <w:pPr>
              <w:pStyle w:val="Header"/>
              <w:tabs>
                <w:tab w:val="clear" w:pos="4320"/>
                <w:tab w:val="clear" w:pos="8640"/>
                <w:tab w:val="center" w:pos="317"/>
                <w:tab w:val="right" w:pos="9072"/>
              </w:tabs>
              <w:rPr>
                <w:sz w:val="22"/>
                <w:szCs w:val="22"/>
              </w:rPr>
            </w:pPr>
            <w:r>
              <w:rPr>
                <w:sz w:val="22"/>
                <w:szCs w:val="22"/>
              </w:rPr>
              <w:t>veoma rijetk</w:t>
            </w:r>
            <w:r w:rsidR="00061D25">
              <w:rPr>
                <w:sz w:val="22"/>
                <w:szCs w:val="22"/>
              </w:rPr>
              <w:t>o</w:t>
            </w:r>
            <w:r>
              <w:rPr>
                <w:sz w:val="22"/>
                <w:szCs w:val="22"/>
              </w:rPr>
              <w:t xml:space="preserve"> </w:t>
            </w:r>
          </w:p>
          <w:p w14:paraId="22064F4C" w14:textId="77777777" w:rsidR="00D32559" w:rsidRDefault="00D32559">
            <w:pPr>
              <w:pStyle w:val="Header"/>
              <w:tabs>
                <w:tab w:val="clear" w:pos="4320"/>
                <w:tab w:val="clear" w:pos="8640"/>
                <w:tab w:val="center" w:pos="317"/>
                <w:tab w:val="right" w:pos="9072"/>
              </w:tabs>
              <w:ind w:left="34"/>
              <w:rPr>
                <w:sz w:val="22"/>
                <w:szCs w:val="22"/>
              </w:rPr>
            </w:pPr>
          </w:p>
          <w:p w14:paraId="22064F4D" w14:textId="2F9DB50C" w:rsidR="00D32559" w:rsidRDefault="00D32559" w:rsidP="00061D25">
            <w:pPr>
              <w:pStyle w:val="Header"/>
              <w:tabs>
                <w:tab w:val="left" w:pos="284"/>
              </w:tabs>
              <w:rPr>
                <w:sz w:val="22"/>
                <w:szCs w:val="22"/>
              </w:rPr>
            </w:pPr>
            <w:r>
              <w:rPr>
                <w:sz w:val="22"/>
                <w:szCs w:val="22"/>
              </w:rPr>
              <w:t>nepoznat</w:t>
            </w:r>
            <w:r w:rsidR="00061D25">
              <w:rPr>
                <w:sz w:val="22"/>
                <w:szCs w:val="22"/>
              </w:rPr>
              <w:t>o</w:t>
            </w:r>
          </w:p>
        </w:tc>
      </w:tr>
      <w:tr w:rsidR="00D32559" w:rsidRPr="00BF78B0" w14:paraId="22064F62"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4F" w14:textId="77777777" w:rsidR="00D32559" w:rsidRDefault="00D32559">
            <w:pPr>
              <w:pStyle w:val="Header"/>
              <w:jc w:val="center"/>
              <w:rPr>
                <w:b/>
                <w:sz w:val="22"/>
                <w:szCs w:val="22"/>
              </w:rPr>
            </w:pPr>
            <w:r>
              <w:rPr>
                <w:b/>
                <w:sz w:val="22"/>
                <w:szCs w:val="22"/>
              </w:rPr>
              <w:t>Poremećaji nervnog sistema</w:t>
            </w:r>
          </w:p>
        </w:tc>
        <w:tc>
          <w:tcPr>
            <w:tcW w:w="5245" w:type="dxa"/>
            <w:tcBorders>
              <w:top w:val="single" w:sz="4" w:space="0" w:color="000000"/>
              <w:left w:val="single" w:sz="4" w:space="0" w:color="000000"/>
              <w:bottom w:val="single" w:sz="4" w:space="0" w:color="000000"/>
              <w:right w:val="single" w:sz="4" w:space="0" w:color="000000"/>
            </w:tcBorders>
          </w:tcPr>
          <w:p w14:paraId="22064F50" w14:textId="25733AD1" w:rsidR="00D32559" w:rsidRDefault="00D32559">
            <w:pPr>
              <w:pStyle w:val="Header"/>
              <w:tabs>
                <w:tab w:val="clear" w:pos="4320"/>
                <w:tab w:val="clear" w:pos="8640"/>
                <w:tab w:val="center" w:pos="317"/>
                <w:tab w:val="right" w:pos="9072"/>
              </w:tabs>
              <w:spacing w:after="120"/>
              <w:ind w:left="34"/>
              <w:rPr>
                <w:sz w:val="22"/>
                <w:szCs w:val="22"/>
              </w:rPr>
            </w:pPr>
            <w:r>
              <w:rPr>
                <w:sz w:val="22"/>
                <w:szCs w:val="22"/>
              </w:rPr>
              <w:t>glavobolja</w:t>
            </w:r>
            <w:r>
              <w:rPr>
                <w:b/>
                <w:sz w:val="28"/>
                <w:szCs w:val="28"/>
                <w:vertAlign w:val="superscript"/>
              </w:rPr>
              <w:t xml:space="preserve"> </w:t>
            </w:r>
            <w:r>
              <w:rPr>
                <w:sz w:val="28"/>
                <w:szCs w:val="28"/>
                <w:vertAlign w:val="superscript"/>
              </w:rPr>
              <w:t>§</w:t>
            </w:r>
          </w:p>
          <w:p w14:paraId="22064F51" w14:textId="77777777" w:rsidR="00D32559" w:rsidRDefault="00D32559">
            <w:pPr>
              <w:pStyle w:val="Header"/>
              <w:tabs>
                <w:tab w:val="center" w:pos="317"/>
              </w:tabs>
              <w:spacing w:after="120"/>
              <w:ind w:left="34"/>
              <w:rPr>
                <w:sz w:val="12"/>
                <w:szCs w:val="12"/>
              </w:rPr>
            </w:pPr>
          </w:p>
          <w:p w14:paraId="22064F52" w14:textId="77777777" w:rsidR="00D32559" w:rsidRDefault="00D32559">
            <w:pPr>
              <w:pStyle w:val="Header"/>
              <w:tabs>
                <w:tab w:val="clear" w:pos="4320"/>
                <w:tab w:val="clear" w:pos="8640"/>
                <w:tab w:val="center" w:pos="317"/>
                <w:tab w:val="right" w:pos="9072"/>
              </w:tabs>
              <w:spacing w:after="120"/>
              <w:ind w:left="34"/>
              <w:rPr>
                <w:sz w:val="22"/>
                <w:szCs w:val="22"/>
              </w:rPr>
            </w:pPr>
            <w:r>
              <w:rPr>
                <w:sz w:val="22"/>
                <w:szCs w:val="22"/>
              </w:rPr>
              <w:t>somnolencija</w:t>
            </w:r>
            <w:r>
              <w:rPr>
                <w:b/>
                <w:sz w:val="28"/>
                <w:szCs w:val="28"/>
                <w:vertAlign w:val="superscript"/>
              </w:rPr>
              <w:t>†</w:t>
            </w:r>
            <w:r>
              <w:rPr>
                <w:sz w:val="28"/>
                <w:szCs w:val="28"/>
                <w:vertAlign w:val="superscript"/>
              </w:rPr>
              <w:t>§</w:t>
            </w:r>
            <w:r>
              <w:rPr>
                <w:sz w:val="22"/>
                <w:szCs w:val="22"/>
              </w:rPr>
              <w:t>, vrtoglavica</w:t>
            </w:r>
            <w:r>
              <w:rPr>
                <w:b/>
                <w:sz w:val="28"/>
                <w:szCs w:val="28"/>
                <w:vertAlign w:val="superscript"/>
              </w:rPr>
              <w:t>†</w:t>
            </w:r>
            <w:r>
              <w:rPr>
                <w:sz w:val="28"/>
                <w:szCs w:val="28"/>
                <w:vertAlign w:val="superscript"/>
              </w:rPr>
              <w:t>§</w:t>
            </w:r>
            <w:r>
              <w:rPr>
                <w:sz w:val="22"/>
                <w:szCs w:val="22"/>
              </w:rPr>
              <w:t>, tremor</w:t>
            </w:r>
            <w:r>
              <w:rPr>
                <w:b/>
                <w:sz w:val="28"/>
                <w:szCs w:val="28"/>
                <w:vertAlign w:val="superscript"/>
              </w:rPr>
              <w:t>†</w:t>
            </w:r>
            <w:r>
              <w:rPr>
                <w:sz w:val="22"/>
                <w:szCs w:val="22"/>
              </w:rPr>
              <w:t>, insomnija</w:t>
            </w:r>
            <w:r>
              <w:rPr>
                <w:b/>
                <w:sz w:val="28"/>
                <w:szCs w:val="28"/>
                <w:vertAlign w:val="superscript"/>
              </w:rPr>
              <w:t>†</w:t>
            </w:r>
            <w:r>
              <w:rPr>
                <w:sz w:val="22"/>
                <w:szCs w:val="22"/>
              </w:rPr>
              <w:t>, agitacija</w:t>
            </w:r>
            <w:r>
              <w:rPr>
                <w:sz w:val="28"/>
                <w:szCs w:val="28"/>
                <w:vertAlign w:val="superscript"/>
              </w:rPr>
              <w:t>§</w:t>
            </w:r>
          </w:p>
          <w:p w14:paraId="22064F53" w14:textId="77777777" w:rsidR="00D32559" w:rsidRPr="00BC6BEF" w:rsidRDefault="00D32559">
            <w:pPr>
              <w:pStyle w:val="Header"/>
              <w:tabs>
                <w:tab w:val="clear" w:pos="4320"/>
                <w:tab w:val="clear" w:pos="8640"/>
                <w:tab w:val="center" w:pos="317"/>
                <w:tab w:val="right" w:pos="9072"/>
              </w:tabs>
              <w:spacing w:after="120"/>
              <w:ind w:left="34"/>
              <w:rPr>
                <w:sz w:val="22"/>
                <w:szCs w:val="22"/>
                <w:lang w:val="fi-FI"/>
              </w:rPr>
            </w:pPr>
            <w:r w:rsidRPr="00BC6BEF">
              <w:rPr>
                <w:sz w:val="22"/>
                <w:szCs w:val="22"/>
                <w:lang w:val="fi-FI"/>
              </w:rPr>
              <w:t>ataksija</w:t>
            </w:r>
            <w:r w:rsidRPr="00BC6BEF">
              <w:rPr>
                <w:b/>
                <w:sz w:val="28"/>
                <w:szCs w:val="28"/>
                <w:vertAlign w:val="superscript"/>
                <w:lang w:val="fi-FI"/>
              </w:rPr>
              <w:t>†</w:t>
            </w:r>
          </w:p>
          <w:p w14:paraId="22064F54" w14:textId="77777777" w:rsidR="00D32559" w:rsidRPr="00BC6BEF" w:rsidRDefault="00D32559">
            <w:pPr>
              <w:pStyle w:val="Header"/>
              <w:tabs>
                <w:tab w:val="center" w:pos="317"/>
              </w:tabs>
              <w:spacing w:after="120"/>
              <w:ind w:left="34"/>
              <w:rPr>
                <w:sz w:val="12"/>
                <w:szCs w:val="12"/>
                <w:lang w:val="fi-FI"/>
              </w:rPr>
            </w:pPr>
          </w:p>
          <w:p w14:paraId="22064F55" w14:textId="4AD10A82" w:rsidR="00D32559" w:rsidRPr="00BC6BEF" w:rsidRDefault="00D32559">
            <w:pPr>
              <w:pStyle w:val="Header"/>
              <w:tabs>
                <w:tab w:val="clear" w:pos="4320"/>
                <w:tab w:val="clear" w:pos="8640"/>
                <w:tab w:val="center" w:pos="317"/>
                <w:tab w:val="right" w:pos="9072"/>
              </w:tabs>
              <w:spacing w:after="120"/>
              <w:ind w:left="34"/>
              <w:rPr>
                <w:sz w:val="22"/>
                <w:szCs w:val="22"/>
                <w:lang w:val="fi-FI"/>
              </w:rPr>
            </w:pPr>
            <w:r w:rsidRPr="00BC6BEF">
              <w:rPr>
                <w:sz w:val="22"/>
                <w:szCs w:val="22"/>
                <w:lang w:val="fi-FI"/>
              </w:rPr>
              <w:t>nistagmus</w:t>
            </w:r>
            <w:r w:rsidRPr="00BC6BEF">
              <w:rPr>
                <w:b/>
                <w:sz w:val="28"/>
                <w:szCs w:val="28"/>
                <w:vertAlign w:val="superscript"/>
                <w:lang w:val="fi-FI"/>
              </w:rPr>
              <w:t>†</w:t>
            </w:r>
            <w:r w:rsidR="00530F88" w:rsidRPr="00BC6BEF">
              <w:rPr>
                <w:sz w:val="22"/>
                <w:szCs w:val="22"/>
                <w:lang w:val="fi-FI"/>
              </w:rPr>
              <w:t>, aseptični meningitis (vidjeti dio 4.4.)</w:t>
            </w:r>
          </w:p>
          <w:p w14:paraId="07970B75" w14:textId="77777777" w:rsidR="00D45F38" w:rsidRPr="00BC6BEF" w:rsidRDefault="00D45F38">
            <w:pPr>
              <w:pStyle w:val="Header"/>
              <w:tabs>
                <w:tab w:val="clear" w:pos="4320"/>
                <w:tab w:val="clear" w:pos="8640"/>
                <w:tab w:val="center" w:pos="317"/>
                <w:tab w:val="center" w:pos="4536"/>
                <w:tab w:val="right" w:pos="9072"/>
              </w:tabs>
              <w:spacing w:after="120"/>
              <w:ind w:left="34"/>
              <w:rPr>
                <w:sz w:val="22"/>
                <w:szCs w:val="22"/>
                <w:lang w:val="fi-FI"/>
              </w:rPr>
            </w:pPr>
          </w:p>
          <w:p w14:paraId="22064F57" w14:textId="0925092A" w:rsidR="00D32559" w:rsidRPr="00BC6BEF" w:rsidRDefault="00D32559" w:rsidP="00D45F38">
            <w:pPr>
              <w:pStyle w:val="Header"/>
              <w:tabs>
                <w:tab w:val="clear" w:pos="4320"/>
                <w:tab w:val="clear" w:pos="8640"/>
                <w:tab w:val="center" w:pos="317"/>
                <w:tab w:val="center" w:pos="4536"/>
                <w:tab w:val="right" w:pos="9072"/>
              </w:tabs>
              <w:spacing w:after="120"/>
              <w:ind w:left="34"/>
              <w:rPr>
                <w:sz w:val="22"/>
                <w:szCs w:val="22"/>
                <w:lang w:val="fi-FI"/>
              </w:rPr>
            </w:pPr>
            <w:r w:rsidRPr="00BC6BEF">
              <w:rPr>
                <w:sz w:val="22"/>
                <w:szCs w:val="22"/>
                <w:lang w:val="fi-FI"/>
              </w:rPr>
              <w:t>nemir, poremećaji pokreta, pogoršanje Parkinsonove bolesti</w:t>
            </w:r>
            <w:r w:rsidRPr="00BC6BEF">
              <w:rPr>
                <w:b/>
                <w:sz w:val="22"/>
                <w:szCs w:val="22"/>
                <w:vertAlign w:val="superscript"/>
                <w:lang w:val="fi-FI"/>
              </w:rPr>
              <w:t>3</w:t>
            </w:r>
            <w:r w:rsidRPr="00BC6BEF">
              <w:rPr>
                <w:sz w:val="22"/>
                <w:szCs w:val="22"/>
                <w:lang w:val="fi-FI"/>
              </w:rPr>
              <w:t>, ekstrapiramidalna dejstva, horeoatetoza</w:t>
            </w:r>
            <w:r w:rsidRPr="00BC6BEF">
              <w:rPr>
                <w:b/>
                <w:sz w:val="22"/>
                <w:szCs w:val="22"/>
                <w:vertAlign w:val="superscript"/>
                <w:lang w:val="fi-FI"/>
              </w:rPr>
              <w:t>†</w:t>
            </w:r>
            <w:r w:rsidRPr="00BC6BEF">
              <w:rPr>
                <w:sz w:val="22"/>
                <w:szCs w:val="22"/>
                <w:lang w:val="fi-FI"/>
              </w:rPr>
              <w:t>, povećanje učestalosti napada</w:t>
            </w:r>
          </w:p>
        </w:tc>
        <w:tc>
          <w:tcPr>
            <w:tcW w:w="2165" w:type="dxa"/>
            <w:tcBorders>
              <w:top w:val="single" w:sz="4" w:space="0" w:color="000000"/>
              <w:left w:val="single" w:sz="4" w:space="0" w:color="000000"/>
              <w:bottom w:val="single" w:sz="4" w:space="0" w:color="000000"/>
              <w:right w:val="single" w:sz="4" w:space="0" w:color="000000"/>
            </w:tcBorders>
          </w:tcPr>
          <w:p w14:paraId="22064F58" w14:textId="5037560A" w:rsidR="00D32559" w:rsidRPr="00BC6BEF" w:rsidRDefault="00D32559">
            <w:pPr>
              <w:pStyle w:val="Header"/>
              <w:spacing w:after="120"/>
              <w:rPr>
                <w:sz w:val="22"/>
                <w:szCs w:val="22"/>
                <w:lang w:val="fi-FI"/>
              </w:rPr>
            </w:pPr>
            <w:r w:rsidRPr="00BC6BEF">
              <w:rPr>
                <w:sz w:val="22"/>
                <w:szCs w:val="22"/>
                <w:lang w:val="fi-FI"/>
              </w:rPr>
              <w:t>veoma čest</w:t>
            </w:r>
            <w:r w:rsidR="00061D25" w:rsidRPr="00BC6BEF">
              <w:rPr>
                <w:sz w:val="22"/>
                <w:szCs w:val="22"/>
                <w:lang w:val="fi-FI"/>
              </w:rPr>
              <w:t>o</w:t>
            </w:r>
          </w:p>
          <w:p w14:paraId="22064F59" w14:textId="77777777" w:rsidR="00D32559" w:rsidRPr="00BC6BEF" w:rsidRDefault="00D32559">
            <w:pPr>
              <w:pStyle w:val="Header"/>
              <w:tabs>
                <w:tab w:val="left" w:pos="284"/>
              </w:tabs>
              <w:spacing w:after="120"/>
              <w:rPr>
                <w:sz w:val="22"/>
                <w:szCs w:val="22"/>
                <w:lang w:val="fi-FI"/>
              </w:rPr>
            </w:pPr>
          </w:p>
          <w:p w14:paraId="22064F5A" w14:textId="75EC9ED0" w:rsidR="00D32559" w:rsidRPr="00BC6BEF" w:rsidRDefault="00D32559">
            <w:pPr>
              <w:pStyle w:val="Header"/>
              <w:tabs>
                <w:tab w:val="left" w:pos="284"/>
              </w:tabs>
              <w:spacing w:after="120"/>
              <w:rPr>
                <w:sz w:val="22"/>
                <w:szCs w:val="22"/>
                <w:lang w:val="fi-FI"/>
              </w:rPr>
            </w:pPr>
            <w:r w:rsidRPr="00BC6BEF">
              <w:rPr>
                <w:sz w:val="22"/>
                <w:szCs w:val="22"/>
                <w:lang w:val="fi-FI"/>
              </w:rPr>
              <w:t>čest</w:t>
            </w:r>
            <w:r w:rsidR="00061D25" w:rsidRPr="00BC6BEF">
              <w:rPr>
                <w:sz w:val="22"/>
                <w:szCs w:val="22"/>
                <w:lang w:val="fi-FI"/>
              </w:rPr>
              <w:t>o</w:t>
            </w:r>
          </w:p>
          <w:p w14:paraId="22064F5B" w14:textId="77777777" w:rsidR="00D32559" w:rsidRPr="00BC6BEF" w:rsidRDefault="00D32559">
            <w:pPr>
              <w:pStyle w:val="Header"/>
              <w:tabs>
                <w:tab w:val="left" w:pos="284"/>
              </w:tabs>
              <w:spacing w:after="120"/>
              <w:rPr>
                <w:sz w:val="22"/>
                <w:szCs w:val="22"/>
                <w:lang w:val="fi-FI"/>
              </w:rPr>
            </w:pPr>
          </w:p>
          <w:p w14:paraId="22064F5C" w14:textId="119581F5" w:rsidR="00D32559" w:rsidRPr="00BC6BEF" w:rsidRDefault="00D32559">
            <w:pPr>
              <w:pStyle w:val="Header"/>
              <w:tabs>
                <w:tab w:val="left" w:pos="284"/>
              </w:tabs>
              <w:spacing w:after="120"/>
              <w:rPr>
                <w:sz w:val="22"/>
                <w:szCs w:val="22"/>
                <w:lang w:val="fi-FI"/>
              </w:rPr>
            </w:pPr>
            <w:r w:rsidRPr="00BC6BEF">
              <w:rPr>
                <w:sz w:val="22"/>
                <w:szCs w:val="22"/>
                <w:lang w:val="fi-FI"/>
              </w:rPr>
              <w:t>povremen</w:t>
            </w:r>
            <w:r w:rsidR="006E1C63" w:rsidRPr="00BC6BEF">
              <w:rPr>
                <w:sz w:val="22"/>
                <w:szCs w:val="22"/>
                <w:lang w:val="fi-FI"/>
              </w:rPr>
              <w:t>o</w:t>
            </w:r>
          </w:p>
          <w:p w14:paraId="22064F5D" w14:textId="77777777" w:rsidR="00D32559" w:rsidRPr="00BC6BEF" w:rsidRDefault="00D32559">
            <w:pPr>
              <w:pStyle w:val="Header"/>
              <w:tabs>
                <w:tab w:val="left" w:pos="284"/>
              </w:tabs>
              <w:spacing w:after="120"/>
              <w:rPr>
                <w:sz w:val="22"/>
                <w:szCs w:val="22"/>
                <w:lang w:val="fi-FI"/>
              </w:rPr>
            </w:pPr>
          </w:p>
          <w:p w14:paraId="58C21918" w14:textId="2FA7592A" w:rsidR="00D45F38" w:rsidRPr="00BC6BEF" w:rsidRDefault="00D32559">
            <w:pPr>
              <w:pStyle w:val="Header"/>
              <w:tabs>
                <w:tab w:val="left" w:pos="284"/>
              </w:tabs>
              <w:spacing w:after="120"/>
              <w:rPr>
                <w:sz w:val="22"/>
                <w:szCs w:val="22"/>
                <w:lang w:val="fi-FI"/>
              </w:rPr>
            </w:pPr>
            <w:r w:rsidRPr="00BC6BEF">
              <w:rPr>
                <w:sz w:val="22"/>
                <w:szCs w:val="22"/>
                <w:lang w:val="fi-FI"/>
              </w:rPr>
              <w:t>rijetk</w:t>
            </w:r>
            <w:r w:rsidR="006E1C63" w:rsidRPr="00BC6BEF">
              <w:rPr>
                <w:sz w:val="22"/>
                <w:szCs w:val="22"/>
                <w:lang w:val="fi-FI"/>
              </w:rPr>
              <w:t>o</w:t>
            </w:r>
            <w:r w:rsidRPr="00BC6BEF">
              <w:rPr>
                <w:sz w:val="22"/>
                <w:szCs w:val="22"/>
                <w:lang w:val="fi-FI"/>
              </w:rPr>
              <w:t xml:space="preserve">  </w:t>
            </w:r>
          </w:p>
          <w:p w14:paraId="22064F5E" w14:textId="44890CEF" w:rsidR="00D32559" w:rsidRPr="00BC6BEF" w:rsidRDefault="00D32559">
            <w:pPr>
              <w:pStyle w:val="Header"/>
              <w:tabs>
                <w:tab w:val="left" w:pos="284"/>
              </w:tabs>
              <w:spacing w:after="120"/>
              <w:rPr>
                <w:sz w:val="22"/>
                <w:szCs w:val="22"/>
                <w:lang w:val="fi-FI"/>
              </w:rPr>
            </w:pPr>
            <w:r w:rsidRPr="00BC6BEF">
              <w:rPr>
                <w:sz w:val="22"/>
                <w:szCs w:val="22"/>
                <w:lang w:val="fi-FI"/>
              </w:rPr>
              <w:t xml:space="preserve">  </w:t>
            </w:r>
          </w:p>
          <w:p w14:paraId="22064F5F" w14:textId="42146CD6" w:rsidR="00D32559" w:rsidRPr="00BC6BEF" w:rsidRDefault="00D32559">
            <w:pPr>
              <w:pStyle w:val="Header"/>
              <w:tabs>
                <w:tab w:val="left" w:pos="284"/>
              </w:tabs>
              <w:spacing w:after="120"/>
              <w:rPr>
                <w:sz w:val="22"/>
                <w:szCs w:val="22"/>
                <w:lang w:val="fi-FI"/>
              </w:rPr>
            </w:pPr>
            <w:r w:rsidRPr="00BC6BEF">
              <w:rPr>
                <w:sz w:val="22"/>
                <w:szCs w:val="22"/>
                <w:lang w:val="fi-FI"/>
              </w:rPr>
              <w:t>veoma rijetk</w:t>
            </w:r>
            <w:r w:rsidR="006E1C63" w:rsidRPr="00BC6BEF">
              <w:rPr>
                <w:sz w:val="22"/>
                <w:szCs w:val="22"/>
                <w:lang w:val="fi-FI"/>
              </w:rPr>
              <w:t>o</w:t>
            </w:r>
            <w:r w:rsidRPr="00BC6BEF">
              <w:rPr>
                <w:sz w:val="22"/>
                <w:szCs w:val="22"/>
                <w:lang w:val="fi-FI"/>
              </w:rPr>
              <w:t xml:space="preserve">      </w:t>
            </w:r>
          </w:p>
          <w:p w14:paraId="22064F61" w14:textId="763E570F" w:rsidR="00D32559" w:rsidRPr="00BC6BEF" w:rsidRDefault="00D32559">
            <w:pPr>
              <w:pStyle w:val="Header"/>
              <w:tabs>
                <w:tab w:val="left" w:pos="284"/>
              </w:tabs>
              <w:spacing w:after="120"/>
              <w:rPr>
                <w:sz w:val="22"/>
                <w:szCs w:val="22"/>
                <w:lang w:val="fi-FI"/>
              </w:rPr>
            </w:pPr>
          </w:p>
        </w:tc>
      </w:tr>
      <w:tr w:rsidR="00D32559" w14:paraId="22064F69"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63" w14:textId="24A019A6" w:rsidR="00D32559" w:rsidRDefault="00D32559" w:rsidP="006E1C63">
            <w:pPr>
              <w:pStyle w:val="Header"/>
              <w:jc w:val="center"/>
              <w:rPr>
                <w:b/>
                <w:sz w:val="22"/>
                <w:szCs w:val="22"/>
              </w:rPr>
            </w:pPr>
            <w:r>
              <w:rPr>
                <w:b/>
                <w:sz w:val="22"/>
                <w:szCs w:val="22"/>
              </w:rPr>
              <w:t>Poremećaji oka</w:t>
            </w:r>
          </w:p>
        </w:tc>
        <w:tc>
          <w:tcPr>
            <w:tcW w:w="5245" w:type="dxa"/>
            <w:tcBorders>
              <w:top w:val="single" w:sz="4" w:space="0" w:color="000000"/>
              <w:left w:val="single" w:sz="4" w:space="0" w:color="000000"/>
              <w:bottom w:val="single" w:sz="4" w:space="0" w:color="000000"/>
              <w:right w:val="single" w:sz="4" w:space="0" w:color="000000"/>
            </w:tcBorders>
            <w:hideMark/>
          </w:tcPr>
          <w:p w14:paraId="22064F64" w14:textId="77777777" w:rsidR="00D32559" w:rsidRDefault="00D32559">
            <w:pPr>
              <w:pStyle w:val="Header"/>
              <w:tabs>
                <w:tab w:val="clear" w:pos="4320"/>
                <w:tab w:val="clear" w:pos="8640"/>
                <w:tab w:val="center" w:pos="317"/>
                <w:tab w:val="right" w:pos="9072"/>
              </w:tabs>
              <w:ind w:left="34"/>
              <w:rPr>
                <w:sz w:val="22"/>
                <w:szCs w:val="22"/>
              </w:rPr>
            </w:pPr>
            <w:r>
              <w:rPr>
                <w:sz w:val="22"/>
                <w:szCs w:val="22"/>
              </w:rPr>
              <w:t>diplopija</w:t>
            </w:r>
            <w:r>
              <w:rPr>
                <w:b/>
                <w:sz w:val="28"/>
                <w:szCs w:val="28"/>
                <w:vertAlign w:val="superscript"/>
              </w:rPr>
              <w:t>†</w:t>
            </w:r>
            <w:r>
              <w:rPr>
                <w:sz w:val="22"/>
                <w:szCs w:val="22"/>
              </w:rPr>
              <w:t>, zamagljen vid</w:t>
            </w:r>
            <w:r>
              <w:rPr>
                <w:b/>
                <w:sz w:val="28"/>
                <w:szCs w:val="28"/>
                <w:vertAlign w:val="superscript"/>
              </w:rPr>
              <w:t>†</w:t>
            </w:r>
          </w:p>
          <w:p w14:paraId="22064F65" w14:textId="1AB3D4C0" w:rsidR="00D32559" w:rsidRDefault="00D32559">
            <w:pPr>
              <w:pStyle w:val="Header"/>
              <w:tabs>
                <w:tab w:val="clear" w:pos="4320"/>
                <w:tab w:val="clear" w:pos="8640"/>
                <w:tab w:val="center" w:pos="317"/>
                <w:tab w:val="right" w:pos="9072"/>
              </w:tabs>
              <w:ind w:left="34"/>
              <w:rPr>
                <w:sz w:val="22"/>
                <w:szCs w:val="22"/>
              </w:rPr>
            </w:pPr>
            <w:r>
              <w:rPr>
                <w:sz w:val="22"/>
                <w:szCs w:val="22"/>
              </w:rPr>
              <w:t>konju</w:t>
            </w:r>
            <w:r w:rsidR="00446867">
              <w:rPr>
                <w:sz w:val="22"/>
                <w:szCs w:val="22"/>
              </w:rPr>
              <w:t>n</w:t>
            </w:r>
            <w:r>
              <w:rPr>
                <w:sz w:val="22"/>
                <w:szCs w:val="22"/>
              </w:rPr>
              <w:t>ktivitis</w:t>
            </w:r>
          </w:p>
        </w:tc>
        <w:tc>
          <w:tcPr>
            <w:tcW w:w="2165" w:type="dxa"/>
            <w:tcBorders>
              <w:top w:val="single" w:sz="4" w:space="0" w:color="000000"/>
              <w:left w:val="single" w:sz="4" w:space="0" w:color="000000"/>
              <w:bottom w:val="single" w:sz="4" w:space="0" w:color="000000"/>
              <w:right w:val="single" w:sz="4" w:space="0" w:color="000000"/>
            </w:tcBorders>
          </w:tcPr>
          <w:p w14:paraId="22064F66" w14:textId="2D04A8DB" w:rsidR="00D32559" w:rsidRDefault="00D32559">
            <w:pPr>
              <w:pStyle w:val="Header"/>
              <w:tabs>
                <w:tab w:val="left" w:pos="284"/>
              </w:tabs>
              <w:rPr>
                <w:sz w:val="22"/>
                <w:szCs w:val="22"/>
              </w:rPr>
            </w:pPr>
            <w:r>
              <w:rPr>
                <w:sz w:val="22"/>
                <w:szCs w:val="22"/>
              </w:rPr>
              <w:t>povremen</w:t>
            </w:r>
            <w:r w:rsidR="006E1C63">
              <w:rPr>
                <w:sz w:val="22"/>
                <w:szCs w:val="22"/>
              </w:rPr>
              <w:t>o</w:t>
            </w:r>
          </w:p>
          <w:p w14:paraId="22064F67" w14:textId="77777777" w:rsidR="00D32559" w:rsidRDefault="00D32559">
            <w:pPr>
              <w:pStyle w:val="Header"/>
              <w:tabs>
                <w:tab w:val="center" w:pos="317"/>
              </w:tabs>
              <w:ind w:left="34"/>
              <w:rPr>
                <w:sz w:val="12"/>
                <w:szCs w:val="12"/>
              </w:rPr>
            </w:pPr>
          </w:p>
          <w:p w14:paraId="22064F68" w14:textId="26CEB233" w:rsidR="00D32559" w:rsidRDefault="00D32559">
            <w:pPr>
              <w:pStyle w:val="Header"/>
              <w:rPr>
                <w:sz w:val="22"/>
                <w:szCs w:val="22"/>
              </w:rPr>
            </w:pPr>
            <w:r>
              <w:rPr>
                <w:sz w:val="22"/>
                <w:szCs w:val="22"/>
              </w:rPr>
              <w:t>rijetk</w:t>
            </w:r>
            <w:r w:rsidR="006E1C63">
              <w:rPr>
                <w:sz w:val="22"/>
                <w:szCs w:val="22"/>
              </w:rPr>
              <w:t>o</w:t>
            </w:r>
          </w:p>
        </w:tc>
      </w:tr>
      <w:tr w:rsidR="00D32559" w14:paraId="22064F6E"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6A" w14:textId="77777777" w:rsidR="00D32559" w:rsidRDefault="00D32559">
            <w:pPr>
              <w:pStyle w:val="Header"/>
              <w:jc w:val="center"/>
              <w:rPr>
                <w:b/>
                <w:sz w:val="22"/>
                <w:szCs w:val="22"/>
              </w:rPr>
            </w:pPr>
            <w:r>
              <w:rPr>
                <w:b/>
                <w:sz w:val="22"/>
                <w:szCs w:val="22"/>
              </w:rPr>
              <w:t>Gastrointestinalni poremećaji</w:t>
            </w:r>
          </w:p>
        </w:tc>
        <w:tc>
          <w:tcPr>
            <w:tcW w:w="5245" w:type="dxa"/>
            <w:tcBorders>
              <w:top w:val="single" w:sz="4" w:space="0" w:color="000000"/>
              <w:left w:val="single" w:sz="4" w:space="0" w:color="000000"/>
              <w:bottom w:val="single" w:sz="4" w:space="0" w:color="000000"/>
              <w:right w:val="single" w:sz="4" w:space="0" w:color="000000"/>
            </w:tcBorders>
            <w:hideMark/>
          </w:tcPr>
          <w:p w14:paraId="22064F6B" w14:textId="77777777" w:rsidR="00D32559" w:rsidRDefault="00D32559">
            <w:pPr>
              <w:pStyle w:val="Header"/>
              <w:rPr>
                <w:sz w:val="22"/>
                <w:szCs w:val="22"/>
              </w:rPr>
            </w:pPr>
            <w:r>
              <w:rPr>
                <w:sz w:val="22"/>
                <w:szCs w:val="22"/>
              </w:rPr>
              <w:t>mučnina</w:t>
            </w:r>
            <w:r>
              <w:rPr>
                <w:b/>
                <w:sz w:val="28"/>
                <w:szCs w:val="28"/>
                <w:vertAlign w:val="superscript"/>
              </w:rPr>
              <w:t>†</w:t>
            </w:r>
            <w:r>
              <w:rPr>
                <w:sz w:val="22"/>
                <w:szCs w:val="22"/>
              </w:rPr>
              <w:t>, povraćanje</w:t>
            </w:r>
            <w:r>
              <w:rPr>
                <w:b/>
                <w:sz w:val="28"/>
                <w:szCs w:val="28"/>
                <w:vertAlign w:val="superscript"/>
              </w:rPr>
              <w:t>†</w:t>
            </w:r>
            <w:r>
              <w:rPr>
                <w:sz w:val="22"/>
                <w:szCs w:val="22"/>
              </w:rPr>
              <w:t>, dijareja</w:t>
            </w:r>
            <w:r>
              <w:rPr>
                <w:b/>
                <w:sz w:val="28"/>
                <w:szCs w:val="28"/>
                <w:vertAlign w:val="superscript"/>
              </w:rPr>
              <w:t>†</w:t>
            </w:r>
            <w:r>
              <w:rPr>
                <w:sz w:val="22"/>
                <w:szCs w:val="22"/>
              </w:rPr>
              <w:t>, suvoća usta</w:t>
            </w:r>
            <w:r>
              <w:rPr>
                <w:sz w:val="28"/>
                <w:szCs w:val="28"/>
                <w:vertAlign w:val="superscript"/>
              </w:rPr>
              <w:t>§</w:t>
            </w:r>
          </w:p>
        </w:tc>
        <w:tc>
          <w:tcPr>
            <w:tcW w:w="2165" w:type="dxa"/>
            <w:tcBorders>
              <w:top w:val="single" w:sz="4" w:space="0" w:color="000000"/>
              <w:left w:val="single" w:sz="4" w:space="0" w:color="000000"/>
              <w:bottom w:val="single" w:sz="4" w:space="0" w:color="000000"/>
              <w:right w:val="single" w:sz="4" w:space="0" w:color="000000"/>
            </w:tcBorders>
          </w:tcPr>
          <w:p w14:paraId="22064F6C" w14:textId="629723CB" w:rsidR="00D32559" w:rsidRDefault="00D32559">
            <w:pPr>
              <w:pStyle w:val="Header"/>
              <w:tabs>
                <w:tab w:val="left" w:pos="284"/>
              </w:tabs>
              <w:rPr>
                <w:sz w:val="22"/>
                <w:szCs w:val="22"/>
              </w:rPr>
            </w:pPr>
            <w:r>
              <w:rPr>
                <w:sz w:val="22"/>
                <w:szCs w:val="22"/>
              </w:rPr>
              <w:t>čest</w:t>
            </w:r>
            <w:r w:rsidR="006E1C63">
              <w:rPr>
                <w:sz w:val="22"/>
                <w:szCs w:val="22"/>
              </w:rPr>
              <w:t>o</w:t>
            </w:r>
          </w:p>
          <w:p w14:paraId="22064F6D" w14:textId="77777777" w:rsidR="00D32559" w:rsidRDefault="00D32559">
            <w:pPr>
              <w:pStyle w:val="Header"/>
              <w:rPr>
                <w:sz w:val="22"/>
                <w:szCs w:val="22"/>
              </w:rPr>
            </w:pPr>
          </w:p>
        </w:tc>
      </w:tr>
      <w:tr w:rsidR="00D32559" w14:paraId="22064F72"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6F" w14:textId="77777777" w:rsidR="00D32559" w:rsidRDefault="00D32559">
            <w:pPr>
              <w:pStyle w:val="Header"/>
              <w:jc w:val="center"/>
              <w:rPr>
                <w:b/>
                <w:sz w:val="22"/>
                <w:szCs w:val="22"/>
              </w:rPr>
            </w:pPr>
            <w:r>
              <w:rPr>
                <w:b/>
                <w:sz w:val="22"/>
                <w:szCs w:val="22"/>
              </w:rPr>
              <w:t>Hepatobilijarni poremećaji</w:t>
            </w:r>
          </w:p>
        </w:tc>
        <w:tc>
          <w:tcPr>
            <w:tcW w:w="5245" w:type="dxa"/>
            <w:tcBorders>
              <w:top w:val="single" w:sz="4" w:space="0" w:color="000000"/>
              <w:left w:val="single" w:sz="4" w:space="0" w:color="000000"/>
              <w:bottom w:val="single" w:sz="4" w:space="0" w:color="000000"/>
              <w:right w:val="single" w:sz="4" w:space="0" w:color="000000"/>
            </w:tcBorders>
            <w:hideMark/>
          </w:tcPr>
          <w:p w14:paraId="22064F70" w14:textId="77777777" w:rsidR="00D32559" w:rsidRDefault="00D32559">
            <w:pPr>
              <w:pStyle w:val="Header"/>
              <w:tabs>
                <w:tab w:val="left" w:pos="284"/>
              </w:tabs>
              <w:spacing w:after="120"/>
              <w:rPr>
                <w:sz w:val="22"/>
                <w:szCs w:val="22"/>
              </w:rPr>
            </w:pPr>
            <w:r>
              <w:rPr>
                <w:sz w:val="22"/>
                <w:szCs w:val="22"/>
              </w:rPr>
              <w:t>hepatička insuficijencija, hepatička disfunkcija</w:t>
            </w:r>
            <w:r>
              <w:rPr>
                <w:b/>
                <w:sz w:val="22"/>
                <w:szCs w:val="22"/>
                <w:vertAlign w:val="superscript"/>
              </w:rPr>
              <w:t>4</w:t>
            </w:r>
            <w:r>
              <w:rPr>
                <w:sz w:val="22"/>
                <w:szCs w:val="22"/>
              </w:rPr>
              <w:t>, povećanje vrijednosti rezultata funkcija jetre</w:t>
            </w:r>
          </w:p>
        </w:tc>
        <w:tc>
          <w:tcPr>
            <w:tcW w:w="2165" w:type="dxa"/>
            <w:tcBorders>
              <w:top w:val="single" w:sz="4" w:space="0" w:color="000000"/>
              <w:left w:val="single" w:sz="4" w:space="0" w:color="000000"/>
              <w:bottom w:val="single" w:sz="4" w:space="0" w:color="000000"/>
              <w:right w:val="single" w:sz="4" w:space="0" w:color="000000"/>
            </w:tcBorders>
            <w:hideMark/>
          </w:tcPr>
          <w:p w14:paraId="22064F71" w14:textId="5B4517B5" w:rsidR="00D32559" w:rsidRDefault="00D32559">
            <w:pPr>
              <w:pStyle w:val="Header"/>
              <w:spacing w:after="120"/>
              <w:rPr>
                <w:sz w:val="22"/>
                <w:szCs w:val="22"/>
              </w:rPr>
            </w:pPr>
            <w:r>
              <w:rPr>
                <w:sz w:val="22"/>
                <w:szCs w:val="22"/>
              </w:rPr>
              <w:t>veoma rijetk</w:t>
            </w:r>
            <w:r w:rsidR="006E1C63">
              <w:rPr>
                <w:sz w:val="22"/>
                <w:szCs w:val="22"/>
              </w:rPr>
              <w:t>o</w:t>
            </w:r>
          </w:p>
        </w:tc>
      </w:tr>
      <w:tr w:rsidR="00D32559" w14:paraId="22064F7E" w14:textId="77777777" w:rsidTr="00D32559">
        <w:trPr>
          <w:trHeight w:val="1360"/>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73" w14:textId="04AB695A" w:rsidR="00D32559" w:rsidRPr="00D961A7" w:rsidRDefault="00D32559" w:rsidP="006E1C63">
            <w:pPr>
              <w:pStyle w:val="Header"/>
              <w:jc w:val="center"/>
              <w:rPr>
                <w:b/>
                <w:sz w:val="22"/>
                <w:szCs w:val="22"/>
              </w:rPr>
            </w:pPr>
            <w:r w:rsidRPr="00D961A7">
              <w:rPr>
                <w:b/>
                <w:sz w:val="22"/>
                <w:szCs w:val="22"/>
              </w:rPr>
              <w:t>Poremećaji kože i potkožnog tkiva</w:t>
            </w:r>
          </w:p>
        </w:tc>
        <w:tc>
          <w:tcPr>
            <w:tcW w:w="5245" w:type="dxa"/>
            <w:tcBorders>
              <w:top w:val="single" w:sz="4" w:space="0" w:color="000000"/>
              <w:left w:val="single" w:sz="4" w:space="0" w:color="000000"/>
              <w:bottom w:val="single" w:sz="4" w:space="0" w:color="000000"/>
              <w:right w:val="single" w:sz="4" w:space="0" w:color="000000"/>
            </w:tcBorders>
            <w:hideMark/>
          </w:tcPr>
          <w:p w14:paraId="22064F74" w14:textId="77777777" w:rsidR="00D32559" w:rsidRPr="00D961A7" w:rsidRDefault="00D32559">
            <w:pPr>
              <w:pStyle w:val="Header"/>
              <w:tabs>
                <w:tab w:val="clear" w:pos="4320"/>
                <w:tab w:val="clear" w:pos="8640"/>
                <w:tab w:val="center" w:pos="317"/>
                <w:tab w:val="right" w:pos="9072"/>
              </w:tabs>
              <w:spacing w:after="120"/>
              <w:ind w:left="34"/>
              <w:rPr>
                <w:sz w:val="22"/>
                <w:szCs w:val="22"/>
              </w:rPr>
            </w:pPr>
            <w:r w:rsidRPr="00D961A7">
              <w:rPr>
                <w:sz w:val="22"/>
                <w:szCs w:val="22"/>
              </w:rPr>
              <w:t>kožni osip</w:t>
            </w:r>
            <w:r w:rsidRPr="00D961A7">
              <w:rPr>
                <w:b/>
                <w:sz w:val="22"/>
                <w:szCs w:val="22"/>
                <w:vertAlign w:val="superscript"/>
              </w:rPr>
              <w:t>5</w:t>
            </w:r>
            <w:r w:rsidRPr="002047BA">
              <w:rPr>
                <w:b/>
                <w:sz w:val="22"/>
                <w:szCs w:val="22"/>
                <w:vertAlign w:val="superscript"/>
              </w:rPr>
              <w:t>†</w:t>
            </w:r>
            <w:r w:rsidRPr="002047BA">
              <w:rPr>
                <w:sz w:val="22"/>
                <w:szCs w:val="22"/>
                <w:vertAlign w:val="superscript"/>
              </w:rPr>
              <w:t>§</w:t>
            </w:r>
          </w:p>
          <w:p w14:paraId="22064F75" w14:textId="76797878" w:rsidR="00D32559" w:rsidRPr="00D961A7" w:rsidRDefault="00D32559">
            <w:pPr>
              <w:pStyle w:val="Header"/>
              <w:tabs>
                <w:tab w:val="clear" w:pos="4320"/>
                <w:tab w:val="clear" w:pos="8640"/>
                <w:tab w:val="center" w:pos="317"/>
                <w:tab w:val="right" w:pos="9072"/>
              </w:tabs>
              <w:spacing w:after="120"/>
              <w:ind w:left="34"/>
              <w:rPr>
                <w:sz w:val="22"/>
                <w:szCs w:val="22"/>
              </w:rPr>
            </w:pPr>
            <w:r w:rsidRPr="00D961A7">
              <w:rPr>
                <w:sz w:val="22"/>
                <w:szCs w:val="22"/>
              </w:rPr>
              <w:t>alopecija</w:t>
            </w:r>
            <w:r w:rsidR="00D961A7" w:rsidRPr="00D961A7">
              <w:rPr>
                <w:sz w:val="22"/>
                <w:szCs w:val="22"/>
              </w:rPr>
              <w:t xml:space="preserve">, </w:t>
            </w:r>
            <w:r w:rsidR="00D961A7" w:rsidRPr="002047BA">
              <w:rPr>
                <w:sz w:val="22"/>
                <w:szCs w:val="22"/>
                <w:lang w:val="sr-Latn-CS"/>
              </w:rPr>
              <w:t>fotosenzitivna reakcija</w:t>
            </w:r>
          </w:p>
          <w:p w14:paraId="22064F76" w14:textId="0F8358FA" w:rsidR="00D32559" w:rsidRPr="00D961A7" w:rsidRDefault="00D800BE">
            <w:pPr>
              <w:pStyle w:val="Header"/>
              <w:tabs>
                <w:tab w:val="clear" w:pos="4320"/>
                <w:tab w:val="clear" w:pos="8640"/>
                <w:tab w:val="center" w:pos="317"/>
                <w:tab w:val="right" w:pos="9072"/>
              </w:tabs>
              <w:spacing w:after="120"/>
              <w:ind w:left="34"/>
              <w:rPr>
                <w:sz w:val="22"/>
                <w:szCs w:val="22"/>
              </w:rPr>
            </w:pPr>
            <w:r w:rsidRPr="00BC6BEF">
              <w:rPr>
                <w:iCs/>
                <w:sz w:val="22"/>
                <w:szCs w:val="22"/>
              </w:rPr>
              <w:t>multiformni eritem</w:t>
            </w:r>
            <w:r>
              <w:rPr>
                <w:i/>
                <w:sz w:val="22"/>
                <w:szCs w:val="22"/>
              </w:rPr>
              <w:t xml:space="preserve">, </w:t>
            </w:r>
            <w:r w:rsidR="00D32559" w:rsidRPr="004E30CF">
              <w:rPr>
                <w:i/>
                <w:sz w:val="22"/>
                <w:szCs w:val="22"/>
              </w:rPr>
              <w:t>Stevens-Johnson</w:t>
            </w:r>
            <w:r w:rsidR="00D32559" w:rsidRPr="00D961A7">
              <w:rPr>
                <w:sz w:val="22"/>
                <w:szCs w:val="22"/>
              </w:rPr>
              <w:t xml:space="preserve"> sindrom</w:t>
            </w:r>
            <w:r w:rsidR="00D32559" w:rsidRPr="002047BA">
              <w:rPr>
                <w:sz w:val="22"/>
                <w:szCs w:val="22"/>
                <w:vertAlign w:val="superscript"/>
              </w:rPr>
              <w:t>§</w:t>
            </w:r>
          </w:p>
          <w:p w14:paraId="22064F77" w14:textId="77777777" w:rsidR="00D32559" w:rsidRPr="00D961A7" w:rsidRDefault="00D32559">
            <w:pPr>
              <w:pStyle w:val="Header"/>
              <w:tabs>
                <w:tab w:val="clear" w:pos="4320"/>
                <w:tab w:val="clear" w:pos="8640"/>
                <w:tab w:val="center" w:pos="317"/>
                <w:tab w:val="right" w:pos="9072"/>
              </w:tabs>
              <w:spacing w:after="120"/>
              <w:ind w:left="34"/>
              <w:rPr>
                <w:sz w:val="22"/>
                <w:szCs w:val="22"/>
              </w:rPr>
            </w:pPr>
            <w:r w:rsidRPr="00D961A7">
              <w:rPr>
                <w:sz w:val="22"/>
                <w:szCs w:val="22"/>
              </w:rPr>
              <w:t>toksična epidermalna nekroliza</w:t>
            </w:r>
          </w:p>
          <w:p w14:paraId="22064F78" w14:textId="2759FAB7" w:rsidR="00D32559" w:rsidRPr="00D961A7" w:rsidRDefault="00D32559">
            <w:pPr>
              <w:pStyle w:val="Header"/>
              <w:tabs>
                <w:tab w:val="clear" w:pos="4320"/>
                <w:tab w:val="clear" w:pos="8640"/>
                <w:tab w:val="center" w:pos="317"/>
                <w:tab w:val="right" w:pos="9072"/>
              </w:tabs>
              <w:spacing w:after="120"/>
              <w:ind w:left="34"/>
              <w:rPr>
                <w:sz w:val="22"/>
                <w:szCs w:val="22"/>
              </w:rPr>
            </w:pPr>
            <w:r w:rsidRPr="00D961A7">
              <w:rPr>
                <w:sz w:val="22"/>
                <w:szCs w:val="22"/>
              </w:rPr>
              <w:t>rekacija na lijek sa eozinofilijom i sistemskim       simptomima</w:t>
            </w:r>
            <w:r w:rsidR="00CF7ADD" w:rsidRPr="00CF44B4">
              <w:rPr>
                <w:b/>
                <w:sz w:val="22"/>
                <w:szCs w:val="22"/>
                <w:vertAlign w:val="superscript"/>
              </w:rPr>
              <w:t>2</w:t>
            </w:r>
          </w:p>
        </w:tc>
        <w:tc>
          <w:tcPr>
            <w:tcW w:w="2165" w:type="dxa"/>
            <w:tcBorders>
              <w:top w:val="single" w:sz="4" w:space="0" w:color="000000"/>
              <w:left w:val="single" w:sz="4" w:space="0" w:color="000000"/>
              <w:bottom w:val="single" w:sz="4" w:space="0" w:color="000000"/>
              <w:right w:val="single" w:sz="4" w:space="0" w:color="000000"/>
            </w:tcBorders>
            <w:hideMark/>
          </w:tcPr>
          <w:p w14:paraId="22064F79" w14:textId="3EF55911" w:rsidR="00D32559" w:rsidRDefault="00D32559">
            <w:pPr>
              <w:pStyle w:val="Header"/>
              <w:spacing w:after="120"/>
              <w:rPr>
                <w:sz w:val="22"/>
                <w:szCs w:val="22"/>
              </w:rPr>
            </w:pPr>
            <w:r>
              <w:rPr>
                <w:sz w:val="22"/>
                <w:szCs w:val="22"/>
              </w:rPr>
              <w:t>veoma čest</w:t>
            </w:r>
            <w:r w:rsidR="006E1C63">
              <w:rPr>
                <w:sz w:val="22"/>
                <w:szCs w:val="22"/>
              </w:rPr>
              <w:t>o</w:t>
            </w:r>
          </w:p>
          <w:p w14:paraId="22064F7A" w14:textId="6566C3EE" w:rsidR="00D32559" w:rsidRDefault="00D32559">
            <w:pPr>
              <w:pStyle w:val="Header"/>
              <w:spacing w:after="120"/>
              <w:rPr>
                <w:sz w:val="22"/>
                <w:szCs w:val="22"/>
              </w:rPr>
            </w:pPr>
            <w:r>
              <w:rPr>
                <w:sz w:val="22"/>
                <w:szCs w:val="22"/>
              </w:rPr>
              <w:t>povremen</w:t>
            </w:r>
            <w:r w:rsidR="006E1C63">
              <w:rPr>
                <w:sz w:val="22"/>
                <w:szCs w:val="22"/>
              </w:rPr>
              <w:t>o</w:t>
            </w:r>
          </w:p>
          <w:p w14:paraId="22064F7B" w14:textId="32776ABD" w:rsidR="00D32559" w:rsidRDefault="00D32559">
            <w:pPr>
              <w:pStyle w:val="Header"/>
              <w:spacing w:after="120"/>
              <w:rPr>
                <w:sz w:val="22"/>
                <w:szCs w:val="22"/>
              </w:rPr>
            </w:pPr>
            <w:r>
              <w:rPr>
                <w:sz w:val="22"/>
                <w:szCs w:val="22"/>
              </w:rPr>
              <w:t>rijetk</w:t>
            </w:r>
            <w:r w:rsidR="006E1C63">
              <w:rPr>
                <w:sz w:val="22"/>
                <w:szCs w:val="22"/>
              </w:rPr>
              <w:t>o</w:t>
            </w:r>
          </w:p>
          <w:p w14:paraId="22064F7C" w14:textId="2A469001" w:rsidR="00D32559" w:rsidRDefault="00D32559">
            <w:pPr>
              <w:pStyle w:val="Header"/>
              <w:spacing w:after="240"/>
              <w:rPr>
                <w:sz w:val="22"/>
                <w:szCs w:val="22"/>
              </w:rPr>
            </w:pPr>
            <w:r>
              <w:rPr>
                <w:sz w:val="22"/>
                <w:szCs w:val="22"/>
              </w:rPr>
              <w:t>veoma rijetk</w:t>
            </w:r>
            <w:r w:rsidR="006E1C63">
              <w:rPr>
                <w:sz w:val="22"/>
                <w:szCs w:val="22"/>
              </w:rPr>
              <w:t>o</w:t>
            </w:r>
          </w:p>
          <w:p w14:paraId="22064F7D" w14:textId="700F4ACE" w:rsidR="00D32559" w:rsidRDefault="00D32559" w:rsidP="006E1C63">
            <w:pPr>
              <w:pStyle w:val="Header"/>
              <w:spacing w:after="120"/>
              <w:rPr>
                <w:sz w:val="22"/>
                <w:szCs w:val="22"/>
              </w:rPr>
            </w:pPr>
            <w:r>
              <w:rPr>
                <w:sz w:val="22"/>
                <w:szCs w:val="22"/>
              </w:rPr>
              <w:t>veoma rijetk</w:t>
            </w:r>
            <w:r w:rsidR="006E1C63">
              <w:rPr>
                <w:sz w:val="22"/>
                <w:szCs w:val="22"/>
              </w:rPr>
              <w:t>o</w:t>
            </w:r>
          </w:p>
        </w:tc>
      </w:tr>
      <w:tr w:rsidR="00D32559" w14:paraId="22064F87"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7F" w14:textId="50A42543" w:rsidR="00D32559" w:rsidRDefault="00D32559">
            <w:pPr>
              <w:pStyle w:val="Header"/>
              <w:jc w:val="center"/>
              <w:rPr>
                <w:b/>
                <w:sz w:val="22"/>
                <w:szCs w:val="22"/>
              </w:rPr>
            </w:pPr>
            <w:r>
              <w:rPr>
                <w:b/>
                <w:sz w:val="22"/>
                <w:szCs w:val="22"/>
              </w:rPr>
              <w:t>Poremećaji mišićno-skeletnog, vezivnog i koštanog sistema</w:t>
            </w:r>
          </w:p>
        </w:tc>
        <w:tc>
          <w:tcPr>
            <w:tcW w:w="5245" w:type="dxa"/>
            <w:tcBorders>
              <w:top w:val="single" w:sz="4" w:space="0" w:color="000000"/>
              <w:left w:val="single" w:sz="4" w:space="0" w:color="000000"/>
              <w:bottom w:val="single" w:sz="4" w:space="0" w:color="000000"/>
              <w:right w:val="single" w:sz="4" w:space="0" w:color="000000"/>
            </w:tcBorders>
          </w:tcPr>
          <w:p w14:paraId="22064F80" w14:textId="77777777" w:rsidR="00D32559" w:rsidRDefault="00D32559">
            <w:pPr>
              <w:pStyle w:val="Header"/>
              <w:tabs>
                <w:tab w:val="left" w:pos="284"/>
              </w:tabs>
              <w:rPr>
                <w:b/>
                <w:sz w:val="28"/>
                <w:szCs w:val="28"/>
                <w:vertAlign w:val="superscript"/>
              </w:rPr>
            </w:pPr>
            <w:r>
              <w:rPr>
                <w:sz w:val="22"/>
                <w:szCs w:val="22"/>
              </w:rPr>
              <w:t>artralgija</w:t>
            </w:r>
            <w:r>
              <w:rPr>
                <w:sz w:val="28"/>
                <w:szCs w:val="28"/>
                <w:vertAlign w:val="superscript"/>
              </w:rPr>
              <w:t>§</w:t>
            </w:r>
          </w:p>
          <w:p w14:paraId="22064F81" w14:textId="77777777" w:rsidR="00D32559" w:rsidRDefault="00D32559">
            <w:pPr>
              <w:pStyle w:val="Header"/>
              <w:tabs>
                <w:tab w:val="left" w:pos="284"/>
              </w:tabs>
              <w:rPr>
                <w:sz w:val="22"/>
                <w:szCs w:val="22"/>
              </w:rPr>
            </w:pPr>
          </w:p>
          <w:p w14:paraId="22064F82" w14:textId="77777777" w:rsidR="00D32559" w:rsidRDefault="00D32559">
            <w:pPr>
              <w:pStyle w:val="Header"/>
              <w:tabs>
                <w:tab w:val="left" w:pos="284"/>
              </w:tabs>
              <w:rPr>
                <w:sz w:val="22"/>
                <w:szCs w:val="22"/>
              </w:rPr>
            </w:pPr>
            <w:r>
              <w:rPr>
                <w:sz w:val="22"/>
                <w:szCs w:val="22"/>
              </w:rPr>
              <w:t>reakcije nalik lupusu</w:t>
            </w:r>
          </w:p>
          <w:p w14:paraId="22064F83" w14:textId="77777777" w:rsidR="00D32559" w:rsidRDefault="00D32559">
            <w:pPr>
              <w:pStyle w:val="Header"/>
              <w:rPr>
                <w:sz w:val="22"/>
                <w:szCs w:val="22"/>
              </w:rPr>
            </w:pPr>
          </w:p>
        </w:tc>
        <w:tc>
          <w:tcPr>
            <w:tcW w:w="2165" w:type="dxa"/>
            <w:tcBorders>
              <w:top w:val="single" w:sz="4" w:space="0" w:color="000000"/>
              <w:left w:val="single" w:sz="4" w:space="0" w:color="000000"/>
              <w:bottom w:val="single" w:sz="4" w:space="0" w:color="000000"/>
              <w:right w:val="single" w:sz="4" w:space="0" w:color="000000"/>
            </w:tcBorders>
          </w:tcPr>
          <w:p w14:paraId="22064F84" w14:textId="15B5B5E0" w:rsidR="00D32559" w:rsidRDefault="00D32559">
            <w:pPr>
              <w:pStyle w:val="Header"/>
              <w:tabs>
                <w:tab w:val="left" w:pos="284"/>
              </w:tabs>
              <w:rPr>
                <w:sz w:val="22"/>
                <w:szCs w:val="22"/>
              </w:rPr>
            </w:pPr>
            <w:r>
              <w:rPr>
                <w:sz w:val="22"/>
                <w:szCs w:val="22"/>
              </w:rPr>
              <w:t>čest</w:t>
            </w:r>
            <w:r w:rsidR="006E1C63">
              <w:rPr>
                <w:sz w:val="22"/>
                <w:szCs w:val="22"/>
              </w:rPr>
              <w:t>o</w:t>
            </w:r>
          </w:p>
          <w:p w14:paraId="22064F85" w14:textId="77777777" w:rsidR="00D32559" w:rsidRDefault="00D32559">
            <w:pPr>
              <w:pStyle w:val="Header"/>
              <w:rPr>
                <w:sz w:val="22"/>
                <w:szCs w:val="22"/>
              </w:rPr>
            </w:pPr>
          </w:p>
          <w:p w14:paraId="22064F86" w14:textId="770F21B9" w:rsidR="00D32559" w:rsidRDefault="00D32559">
            <w:pPr>
              <w:pStyle w:val="Header"/>
              <w:rPr>
                <w:sz w:val="22"/>
                <w:szCs w:val="22"/>
              </w:rPr>
            </w:pPr>
            <w:r>
              <w:rPr>
                <w:sz w:val="22"/>
                <w:szCs w:val="22"/>
              </w:rPr>
              <w:t>veoma rijetk</w:t>
            </w:r>
            <w:r w:rsidR="006E1C63">
              <w:rPr>
                <w:sz w:val="22"/>
                <w:szCs w:val="22"/>
              </w:rPr>
              <w:t>o</w:t>
            </w:r>
          </w:p>
        </w:tc>
      </w:tr>
      <w:tr w:rsidR="00823B6E" w14:paraId="41ECC462"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tcPr>
          <w:p w14:paraId="39A83B09" w14:textId="7DF61ABA" w:rsidR="00823B6E" w:rsidRPr="004F3225" w:rsidRDefault="00823B6E">
            <w:pPr>
              <w:pStyle w:val="Header"/>
              <w:jc w:val="center"/>
              <w:rPr>
                <w:b/>
                <w:sz w:val="22"/>
                <w:szCs w:val="22"/>
              </w:rPr>
            </w:pPr>
            <w:r w:rsidRPr="0038628D">
              <w:rPr>
                <w:b/>
                <w:bCs/>
                <w:sz w:val="22"/>
                <w:szCs w:val="22"/>
              </w:rPr>
              <w:t>Poremećaji bubrega i urinarnog sistema</w:t>
            </w:r>
          </w:p>
        </w:tc>
        <w:tc>
          <w:tcPr>
            <w:tcW w:w="5245" w:type="dxa"/>
            <w:tcBorders>
              <w:top w:val="single" w:sz="4" w:space="0" w:color="000000"/>
              <w:left w:val="single" w:sz="4" w:space="0" w:color="000000"/>
              <w:bottom w:val="single" w:sz="4" w:space="0" w:color="000000"/>
              <w:right w:val="single" w:sz="4" w:space="0" w:color="000000"/>
            </w:tcBorders>
          </w:tcPr>
          <w:p w14:paraId="05ED9779" w14:textId="46A0FE42" w:rsidR="00823B6E" w:rsidRPr="004F3225" w:rsidRDefault="00823B6E">
            <w:pPr>
              <w:pStyle w:val="Header"/>
              <w:tabs>
                <w:tab w:val="left" w:pos="284"/>
              </w:tabs>
              <w:rPr>
                <w:sz w:val="22"/>
                <w:szCs w:val="22"/>
              </w:rPr>
            </w:pPr>
            <w:r w:rsidRPr="0038628D">
              <w:rPr>
                <w:sz w:val="22"/>
                <w:szCs w:val="22"/>
              </w:rPr>
              <w:t xml:space="preserve">Tubulointersticijski nefritis, TINU sindrom (engl. </w:t>
            </w:r>
            <w:r w:rsidRPr="0038628D">
              <w:rPr>
                <w:i/>
                <w:iCs/>
                <w:sz w:val="22"/>
                <w:szCs w:val="22"/>
              </w:rPr>
              <w:t>Tubulointerstitial nephritis and uveitis syndrome</w:t>
            </w:r>
            <w:r w:rsidRPr="0038628D">
              <w:rPr>
                <w:sz w:val="22"/>
                <w:szCs w:val="22"/>
              </w:rPr>
              <w:t>)</w:t>
            </w:r>
          </w:p>
        </w:tc>
        <w:tc>
          <w:tcPr>
            <w:tcW w:w="2165" w:type="dxa"/>
            <w:tcBorders>
              <w:top w:val="single" w:sz="4" w:space="0" w:color="000000"/>
              <w:left w:val="single" w:sz="4" w:space="0" w:color="000000"/>
              <w:bottom w:val="single" w:sz="4" w:space="0" w:color="000000"/>
              <w:right w:val="single" w:sz="4" w:space="0" w:color="000000"/>
            </w:tcBorders>
          </w:tcPr>
          <w:p w14:paraId="06D8B036" w14:textId="1A8D9DC3" w:rsidR="00823B6E" w:rsidRPr="004F3225" w:rsidRDefault="00706D66">
            <w:pPr>
              <w:pStyle w:val="Header"/>
              <w:tabs>
                <w:tab w:val="left" w:pos="284"/>
              </w:tabs>
              <w:rPr>
                <w:sz w:val="22"/>
                <w:szCs w:val="22"/>
              </w:rPr>
            </w:pPr>
            <w:r>
              <w:rPr>
                <w:sz w:val="22"/>
                <w:szCs w:val="22"/>
              </w:rPr>
              <w:t>nepozna</w:t>
            </w:r>
            <w:r w:rsidR="000E445B">
              <w:rPr>
                <w:sz w:val="22"/>
                <w:szCs w:val="22"/>
              </w:rPr>
              <w:t>t</w:t>
            </w:r>
            <w:r w:rsidR="006E1C63">
              <w:rPr>
                <w:sz w:val="22"/>
                <w:szCs w:val="22"/>
              </w:rPr>
              <w:t>o</w:t>
            </w:r>
          </w:p>
        </w:tc>
      </w:tr>
      <w:tr w:rsidR="00D32559" w14:paraId="22064F8D" w14:textId="77777777" w:rsidTr="00D32559">
        <w:tc>
          <w:tcPr>
            <w:tcW w:w="2547" w:type="dxa"/>
            <w:tcBorders>
              <w:top w:val="single" w:sz="4" w:space="0" w:color="000000"/>
              <w:left w:val="single" w:sz="4" w:space="0" w:color="000000"/>
              <w:bottom w:val="single" w:sz="4" w:space="0" w:color="000000"/>
              <w:right w:val="single" w:sz="4" w:space="0" w:color="000000"/>
            </w:tcBorders>
            <w:vAlign w:val="center"/>
            <w:hideMark/>
          </w:tcPr>
          <w:p w14:paraId="22064F88" w14:textId="77777777" w:rsidR="00D32559" w:rsidRPr="00BC6BEF" w:rsidRDefault="00D32559">
            <w:pPr>
              <w:pStyle w:val="Header"/>
              <w:jc w:val="center"/>
              <w:rPr>
                <w:b/>
                <w:sz w:val="22"/>
                <w:szCs w:val="22"/>
                <w:lang w:val="pl-PL"/>
              </w:rPr>
            </w:pPr>
            <w:r w:rsidRPr="00BC6BEF">
              <w:rPr>
                <w:b/>
                <w:sz w:val="22"/>
                <w:szCs w:val="22"/>
                <w:lang w:val="pl-PL"/>
              </w:rPr>
              <w:t>Opšti poremećaji i reakcije na mjestu primjene</w:t>
            </w:r>
          </w:p>
        </w:tc>
        <w:tc>
          <w:tcPr>
            <w:tcW w:w="5245" w:type="dxa"/>
            <w:tcBorders>
              <w:top w:val="single" w:sz="4" w:space="0" w:color="000000"/>
              <w:left w:val="single" w:sz="4" w:space="0" w:color="000000"/>
              <w:bottom w:val="single" w:sz="4" w:space="0" w:color="000000"/>
              <w:right w:val="single" w:sz="4" w:space="0" w:color="000000"/>
            </w:tcBorders>
          </w:tcPr>
          <w:p w14:paraId="22064F89" w14:textId="77777777" w:rsidR="00D32559" w:rsidRPr="00BC6BEF" w:rsidRDefault="00D32559">
            <w:pPr>
              <w:pStyle w:val="Header"/>
              <w:tabs>
                <w:tab w:val="left" w:pos="284"/>
              </w:tabs>
              <w:rPr>
                <w:sz w:val="22"/>
                <w:szCs w:val="22"/>
                <w:lang w:val="es-ES"/>
              </w:rPr>
            </w:pPr>
            <w:r w:rsidRPr="00BC6BEF">
              <w:rPr>
                <w:sz w:val="22"/>
                <w:szCs w:val="22"/>
                <w:lang w:val="es-ES"/>
              </w:rPr>
              <w:t>malaksalost</w:t>
            </w:r>
            <w:r w:rsidRPr="00BC6BEF">
              <w:rPr>
                <w:b/>
                <w:sz w:val="28"/>
                <w:szCs w:val="28"/>
                <w:vertAlign w:val="superscript"/>
                <w:lang w:val="es-ES"/>
              </w:rPr>
              <w:t>†</w:t>
            </w:r>
            <w:r w:rsidRPr="00BC6BEF">
              <w:rPr>
                <w:sz w:val="22"/>
                <w:szCs w:val="22"/>
                <w:lang w:val="es-ES"/>
              </w:rPr>
              <w:t>, bol</w:t>
            </w:r>
            <w:r w:rsidRPr="00BC6BEF">
              <w:rPr>
                <w:sz w:val="28"/>
                <w:szCs w:val="28"/>
                <w:vertAlign w:val="superscript"/>
                <w:lang w:val="es-ES"/>
              </w:rPr>
              <w:t>§</w:t>
            </w:r>
            <w:r w:rsidRPr="00BC6BEF">
              <w:rPr>
                <w:sz w:val="22"/>
                <w:szCs w:val="22"/>
                <w:lang w:val="es-ES"/>
              </w:rPr>
              <w:t>, bol u leđima</w:t>
            </w:r>
            <w:r w:rsidRPr="00BC6BEF">
              <w:rPr>
                <w:sz w:val="28"/>
                <w:szCs w:val="28"/>
                <w:vertAlign w:val="superscript"/>
                <w:lang w:val="es-ES"/>
              </w:rPr>
              <w:t>§</w:t>
            </w:r>
          </w:p>
          <w:p w14:paraId="22064F8A" w14:textId="77777777" w:rsidR="00D32559" w:rsidRPr="00BC6BEF" w:rsidRDefault="00D32559">
            <w:pPr>
              <w:pStyle w:val="Header"/>
              <w:tabs>
                <w:tab w:val="left" w:pos="284"/>
              </w:tabs>
              <w:rPr>
                <w:sz w:val="22"/>
                <w:szCs w:val="22"/>
                <w:lang w:val="es-ES"/>
              </w:rPr>
            </w:pPr>
          </w:p>
        </w:tc>
        <w:tc>
          <w:tcPr>
            <w:tcW w:w="2165" w:type="dxa"/>
            <w:tcBorders>
              <w:top w:val="single" w:sz="4" w:space="0" w:color="000000"/>
              <w:left w:val="single" w:sz="4" w:space="0" w:color="000000"/>
              <w:bottom w:val="single" w:sz="4" w:space="0" w:color="000000"/>
              <w:right w:val="single" w:sz="4" w:space="0" w:color="000000"/>
            </w:tcBorders>
          </w:tcPr>
          <w:p w14:paraId="22064F8B" w14:textId="45E9F684" w:rsidR="00D32559" w:rsidRDefault="00D32559">
            <w:pPr>
              <w:pStyle w:val="Header"/>
              <w:tabs>
                <w:tab w:val="left" w:pos="284"/>
              </w:tabs>
              <w:rPr>
                <w:sz w:val="22"/>
                <w:szCs w:val="22"/>
              </w:rPr>
            </w:pPr>
            <w:r>
              <w:rPr>
                <w:sz w:val="22"/>
                <w:szCs w:val="22"/>
              </w:rPr>
              <w:t>čest</w:t>
            </w:r>
            <w:r w:rsidR="006E1C63">
              <w:rPr>
                <w:sz w:val="22"/>
                <w:szCs w:val="22"/>
              </w:rPr>
              <w:t>o</w:t>
            </w:r>
          </w:p>
          <w:p w14:paraId="22064F8C" w14:textId="77777777" w:rsidR="00D32559" w:rsidRDefault="00D32559">
            <w:pPr>
              <w:pStyle w:val="Header"/>
              <w:rPr>
                <w:sz w:val="22"/>
                <w:szCs w:val="22"/>
              </w:rPr>
            </w:pPr>
          </w:p>
        </w:tc>
      </w:tr>
    </w:tbl>
    <w:p w14:paraId="22064F8E" w14:textId="77777777" w:rsidR="00D32559" w:rsidRDefault="00D32559" w:rsidP="00D32559">
      <w:pPr>
        <w:pStyle w:val="Header"/>
        <w:tabs>
          <w:tab w:val="left" w:pos="284"/>
        </w:tabs>
        <w:rPr>
          <w:sz w:val="22"/>
          <w:szCs w:val="22"/>
        </w:rPr>
      </w:pPr>
    </w:p>
    <w:p w14:paraId="22064F8F" w14:textId="77777777" w:rsidR="00D32559" w:rsidRDefault="00D32559" w:rsidP="006B3996">
      <w:pPr>
        <w:pStyle w:val="Header"/>
        <w:tabs>
          <w:tab w:val="left" w:pos="284"/>
        </w:tabs>
        <w:jc w:val="both"/>
        <w:rPr>
          <w:sz w:val="22"/>
          <w:szCs w:val="22"/>
          <w:u w:val="single"/>
        </w:rPr>
      </w:pPr>
      <w:r>
        <w:rPr>
          <w:sz w:val="22"/>
          <w:szCs w:val="22"/>
          <w:u w:val="single"/>
        </w:rPr>
        <w:t>Opis označenih neželjenih dejstava</w:t>
      </w:r>
    </w:p>
    <w:p w14:paraId="22064F90" w14:textId="77777777" w:rsidR="00D32559" w:rsidRDefault="00D32559" w:rsidP="006B3996">
      <w:pPr>
        <w:pStyle w:val="Header"/>
        <w:tabs>
          <w:tab w:val="left" w:pos="284"/>
        </w:tabs>
        <w:jc w:val="both"/>
        <w:rPr>
          <w:sz w:val="22"/>
          <w:szCs w:val="22"/>
        </w:rPr>
      </w:pPr>
    </w:p>
    <w:p w14:paraId="22064F91" w14:textId="132A60A5" w:rsidR="00D32559" w:rsidRPr="004F3225" w:rsidRDefault="00D32559" w:rsidP="006B3996">
      <w:pPr>
        <w:pStyle w:val="Header"/>
        <w:tabs>
          <w:tab w:val="left" w:pos="284"/>
        </w:tabs>
        <w:jc w:val="both"/>
        <w:rPr>
          <w:sz w:val="22"/>
          <w:szCs w:val="22"/>
        </w:rPr>
      </w:pPr>
      <w:r>
        <w:rPr>
          <w:b/>
          <w:sz w:val="22"/>
          <w:szCs w:val="22"/>
          <w:vertAlign w:val="superscript"/>
        </w:rPr>
        <w:lastRenderedPageBreak/>
        <w:t>1</w:t>
      </w:r>
      <w:r>
        <w:rPr>
          <w:sz w:val="22"/>
          <w:szCs w:val="22"/>
        </w:rPr>
        <w:t xml:space="preserve"> Hematološki poremećaji i limfadenop</w:t>
      </w:r>
      <w:r w:rsidRPr="004F3225">
        <w:rPr>
          <w:sz w:val="22"/>
          <w:szCs w:val="22"/>
        </w:rPr>
        <w:t xml:space="preserve">atija mogu ili ne moraju biti povezani sa </w:t>
      </w:r>
      <w:r w:rsidR="00022E84" w:rsidRPr="0038628D">
        <w:rPr>
          <w:bCs/>
          <w:sz w:val="22"/>
          <w:szCs w:val="22"/>
        </w:rPr>
        <w:t>pojavom reakcija izazvanih l</w:t>
      </w:r>
      <w:r w:rsidR="005505D4">
        <w:rPr>
          <w:bCs/>
          <w:sz w:val="22"/>
          <w:szCs w:val="22"/>
        </w:rPr>
        <w:t>ij</w:t>
      </w:r>
      <w:r w:rsidR="00022E84" w:rsidRPr="0038628D">
        <w:rPr>
          <w:bCs/>
          <w:sz w:val="22"/>
          <w:szCs w:val="22"/>
        </w:rPr>
        <w:t xml:space="preserve">ekom koje su praćene eozinofilijom i sistemskim simptomima (engl. </w:t>
      </w:r>
      <w:r w:rsidR="00022E84" w:rsidRPr="0038628D">
        <w:rPr>
          <w:bCs/>
          <w:i/>
          <w:iCs/>
          <w:sz w:val="22"/>
          <w:szCs w:val="22"/>
        </w:rPr>
        <w:t>Drug Reaction with Eosinophilia and Systemic Symptoms</w:t>
      </w:r>
      <w:r w:rsidR="00022E84" w:rsidRPr="0038628D">
        <w:rPr>
          <w:bCs/>
          <w:sz w:val="22"/>
          <w:szCs w:val="22"/>
        </w:rPr>
        <w:t xml:space="preserve">, DRESS)/ </w:t>
      </w:r>
      <w:r w:rsidRPr="004F3225">
        <w:rPr>
          <w:sz w:val="22"/>
          <w:szCs w:val="22"/>
        </w:rPr>
        <w:t xml:space="preserve">sindromom preosjetljivosti (vidjeti </w:t>
      </w:r>
      <w:r w:rsidR="004F3225" w:rsidRPr="0038628D">
        <w:rPr>
          <w:bCs/>
          <w:sz w:val="22"/>
          <w:szCs w:val="22"/>
        </w:rPr>
        <w:t xml:space="preserve">Posebna upozorenja i mjere opreza pri upotrebi lijeka </w:t>
      </w:r>
      <w:r w:rsidR="005505D4">
        <w:rPr>
          <w:bCs/>
          <w:sz w:val="22"/>
          <w:szCs w:val="22"/>
        </w:rPr>
        <w:t>i</w:t>
      </w:r>
      <w:r w:rsidR="004F3225" w:rsidRPr="0038628D">
        <w:rPr>
          <w:bCs/>
          <w:sz w:val="22"/>
          <w:szCs w:val="22"/>
        </w:rPr>
        <w:t xml:space="preserve"> </w:t>
      </w:r>
      <w:r w:rsidRPr="004F3225">
        <w:rPr>
          <w:sz w:val="22"/>
          <w:szCs w:val="22"/>
        </w:rPr>
        <w:t>Imunološki poremećaji).</w:t>
      </w:r>
    </w:p>
    <w:p w14:paraId="22064F92" w14:textId="77777777" w:rsidR="00D32559" w:rsidRDefault="00D32559" w:rsidP="006B3996">
      <w:pPr>
        <w:pStyle w:val="Header"/>
        <w:tabs>
          <w:tab w:val="left" w:pos="284"/>
        </w:tabs>
        <w:jc w:val="both"/>
        <w:rPr>
          <w:sz w:val="22"/>
          <w:szCs w:val="22"/>
          <w:vertAlign w:val="superscript"/>
        </w:rPr>
      </w:pPr>
    </w:p>
    <w:p w14:paraId="22064F93" w14:textId="509ECBF7" w:rsidR="00D32559" w:rsidRDefault="00D32559" w:rsidP="006B3996">
      <w:pPr>
        <w:pStyle w:val="Header"/>
        <w:tabs>
          <w:tab w:val="left" w:pos="284"/>
        </w:tabs>
        <w:jc w:val="both"/>
        <w:rPr>
          <w:sz w:val="22"/>
          <w:szCs w:val="22"/>
        </w:rPr>
      </w:pPr>
      <w:r>
        <w:rPr>
          <w:b/>
          <w:sz w:val="22"/>
          <w:szCs w:val="22"/>
          <w:vertAlign w:val="superscript"/>
        </w:rPr>
        <w:t>2</w:t>
      </w:r>
      <w:r>
        <w:rPr>
          <w:sz w:val="22"/>
          <w:szCs w:val="22"/>
          <w:vertAlign w:val="superscript"/>
        </w:rPr>
        <w:t xml:space="preserve"> </w:t>
      </w:r>
      <w:r>
        <w:rPr>
          <w:sz w:val="22"/>
          <w:szCs w:val="22"/>
        </w:rPr>
        <w:t>Pojava kožnog osipa je prijavljena kao dio sindroma preosjetljivosti udružena sa različitim oblicima sistemskih simptoma uključujući povišenu temperaturu, limfadenopatiju, facijalni edem, abnormalnosti analiza krvi i funkcij</w:t>
      </w:r>
      <w:r w:rsidR="00ED0D61">
        <w:rPr>
          <w:sz w:val="22"/>
          <w:szCs w:val="22"/>
        </w:rPr>
        <w:t>e</w:t>
      </w:r>
      <w:r>
        <w:rPr>
          <w:sz w:val="22"/>
          <w:szCs w:val="22"/>
        </w:rPr>
        <w:t xml:space="preserve"> jetre</w:t>
      </w:r>
      <w:r w:rsidR="00ED0D61">
        <w:rPr>
          <w:sz w:val="22"/>
          <w:szCs w:val="22"/>
        </w:rPr>
        <w:t xml:space="preserve"> </w:t>
      </w:r>
      <w:r w:rsidR="007D16CB">
        <w:rPr>
          <w:sz w:val="22"/>
          <w:szCs w:val="22"/>
        </w:rPr>
        <w:t xml:space="preserve">i </w:t>
      </w:r>
      <w:r w:rsidR="00ED0D61">
        <w:rPr>
          <w:sz w:val="22"/>
          <w:szCs w:val="22"/>
        </w:rPr>
        <w:t>bubrega</w:t>
      </w:r>
      <w:r>
        <w:rPr>
          <w:sz w:val="22"/>
          <w:szCs w:val="22"/>
        </w:rPr>
        <w:t>. Sidrom pokazuje širok spektar kliničke ozbiljnosti i može, rijetko, dovesti do diseminovane intravaskularne koagulacije i multiorganske insuficijencije. Važno je upamtiti da rane manifestacije preosjetljivosti (na primjer povišena temperatura, limfadenopatija) mogu biti prisutne čak i u slučaju da prisustvo osipa na koži nije primjetno. Neophodno je posavjetovati pacijente da se odmah jave ljekaru ukoliko se ovi simptomi i znaci pojave. Stanje pacijenta se mora hitno procijeniti i odmah prekinuti primjena lamotirgina, osim ako se ne ustanovi drugi uzrok ovih znakova i simptoma</w:t>
      </w:r>
      <w:r w:rsidR="007D16CB">
        <w:rPr>
          <w:sz w:val="22"/>
          <w:szCs w:val="22"/>
        </w:rPr>
        <w:t xml:space="preserve"> (vidjeti dio 4.4)</w:t>
      </w:r>
      <w:r>
        <w:rPr>
          <w:sz w:val="22"/>
          <w:szCs w:val="22"/>
        </w:rPr>
        <w:t xml:space="preserve">.     </w:t>
      </w:r>
    </w:p>
    <w:p w14:paraId="22064F94" w14:textId="77777777" w:rsidR="00D32559" w:rsidRDefault="00D32559" w:rsidP="006B3996">
      <w:pPr>
        <w:pStyle w:val="Header"/>
        <w:tabs>
          <w:tab w:val="left" w:pos="284"/>
        </w:tabs>
        <w:jc w:val="both"/>
        <w:rPr>
          <w:sz w:val="22"/>
          <w:szCs w:val="22"/>
        </w:rPr>
      </w:pPr>
    </w:p>
    <w:p w14:paraId="5536B149" w14:textId="77777777" w:rsidR="002B36E8" w:rsidRDefault="00D32559" w:rsidP="006B3996">
      <w:pPr>
        <w:pStyle w:val="Header"/>
        <w:tabs>
          <w:tab w:val="left" w:pos="284"/>
        </w:tabs>
        <w:jc w:val="both"/>
        <w:rPr>
          <w:sz w:val="22"/>
          <w:szCs w:val="22"/>
        </w:rPr>
      </w:pPr>
      <w:r>
        <w:rPr>
          <w:b/>
          <w:sz w:val="22"/>
          <w:szCs w:val="22"/>
          <w:vertAlign w:val="superscript"/>
        </w:rPr>
        <w:t xml:space="preserve">3 </w:t>
      </w:r>
      <w:r>
        <w:rPr>
          <w:sz w:val="22"/>
          <w:szCs w:val="22"/>
        </w:rPr>
        <w:t xml:space="preserve">Navedena neželjena dejstva prijavljena su tokom ostale kliničke primjene. </w:t>
      </w:r>
    </w:p>
    <w:p w14:paraId="22064F95" w14:textId="1E343DE1" w:rsidR="00D32559" w:rsidRDefault="00D32559" w:rsidP="006B3996">
      <w:pPr>
        <w:pStyle w:val="Header"/>
        <w:tabs>
          <w:tab w:val="left" w:pos="284"/>
        </w:tabs>
        <w:jc w:val="both"/>
        <w:rPr>
          <w:sz w:val="22"/>
          <w:szCs w:val="22"/>
        </w:rPr>
      </w:pPr>
      <w:r>
        <w:rPr>
          <w:sz w:val="22"/>
          <w:szCs w:val="22"/>
        </w:rPr>
        <w:t>Bilo je izvještaja da primjena lamotrigina može dovesti do pogoršanja simptoma parkinsonizma kod pacijenata prethodno oboljelih od Parkinsonove bolesti, kao i izolovanih izvještaja o pojavi ekstrapiramidalnih dejstava i horeotetoze kod pacijenata koji nijesu oboljeli od navedene bolesti.</w:t>
      </w:r>
    </w:p>
    <w:p w14:paraId="22064F96" w14:textId="77777777" w:rsidR="00D32559" w:rsidRDefault="00D32559" w:rsidP="006B3996">
      <w:pPr>
        <w:pStyle w:val="Header"/>
        <w:tabs>
          <w:tab w:val="left" w:pos="284"/>
        </w:tabs>
        <w:jc w:val="both"/>
        <w:rPr>
          <w:sz w:val="22"/>
          <w:szCs w:val="22"/>
        </w:rPr>
      </w:pPr>
    </w:p>
    <w:p w14:paraId="22064F97" w14:textId="77777777" w:rsidR="00D32559" w:rsidRDefault="00D32559" w:rsidP="006B3996">
      <w:pPr>
        <w:pStyle w:val="Header"/>
        <w:tabs>
          <w:tab w:val="left" w:pos="284"/>
        </w:tabs>
        <w:jc w:val="both"/>
        <w:rPr>
          <w:sz w:val="22"/>
          <w:szCs w:val="22"/>
        </w:rPr>
      </w:pPr>
      <w:r>
        <w:rPr>
          <w:b/>
          <w:sz w:val="22"/>
          <w:szCs w:val="22"/>
          <w:vertAlign w:val="superscript"/>
        </w:rPr>
        <w:t xml:space="preserve">4 </w:t>
      </w:r>
      <w:r>
        <w:rPr>
          <w:sz w:val="22"/>
          <w:szCs w:val="22"/>
        </w:rPr>
        <w:t>Hepatička disfunkcija se obično javlja udružena sa reakcijama preosjetljivosti, ali je bilo prijave izolovanih slučajeva bez ispoljavanja znakova preosjetljivosti.</w:t>
      </w:r>
    </w:p>
    <w:p w14:paraId="22064F98" w14:textId="77777777" w:rsidR="00D32559" w:rsidRDefault="00D32559" w:rsidP="006B3996">
      <w:pPr>
        <w:pStyle w:val="Header"/>
        <w:tabs>
          <w:tab w:val="left" w:pos="284"/>
        </w:tabs>
        <w:jc w:val="both"/>
        <w:rPr>
          <w:sz w:val="22"/>
          <w:szCs w:val="22"/>
        </w:rPr>
      </w:pPr>
    </w:p>
    <w:p w14:paraId="22064F99" w14:textId="4436642A" w:rsidR="00D32559" w:rsidRDefault="00D32559" w:rsidP="006B3996">
      <w:pPr>
        <w:pStyle w:val="Header"/>
        <w:tabs>
          <w:tab w:val="left" w:pos="284"/>
        </w:tabs>
        <w:jc w:val="both"/>
        <w:rPr>
          <w:sz w:val="22"/>
          <w:szCs w:val="22"/>
          <w:lang w:val="sl-SI"/>
        </w:rPr>
      </w:pPr>
      <w:r>
        <w:rPr>
          <w:b/>
          <w:sz w:val="22"/>
          <w:szCs w:val="22"/>
          <w:vertAlign w:val="superscript"/>
        </w:rPr>
        <w:t xml:space="preserve">5 </w:t>
      </w:r>
      <w:r>
        <w:rPr>
          <w:sz w:val="22"/>
          <w:szCs w:val="22"/>
        </w:rPr>
        <w:t>U kliničkim ispitivanjima na odraslim osobama kožni osip se javljao kod najviše 8-12% pacijenata koji su primjenjivali lamotrugin i kod 5-6% pacijenata kojima je primijenjen placebo. Pojava kožnog osipa dovela je do prekida primjene terapije lamotriginom kod 2% pacijenata. Kožni osip, najčešće makulopapularne prirode, obično se javlja u</w:t>
      </w:r>
      <w:r w:rsidR="00B90F66">
        <w:rPr>
          <w:sz w:val="22"/>
          <w:szCs w:val="22"/>
        </w:rPr>
        <w:t xml:space="preserve"> toku</w:t>
      </w:r>
      <w:r>
        <w:rPr>
          <w:sz w:val="22"/>
          <w:szCs w:val="22"/>
        </w:rPr>
        <w:t xml:space="preserve"> perioda od osam nedjelja nakon započinjanja terapije i povlači se pri prekidu primjene lijeka LAMICTAL</w:t>
      </w:r>
      <w:r>
        <w:rPr>
          <w:sz w:val="22"/>
          <w:szCs w:val="22"/>
          <w:lang w:val="sl-SI"/>
        </w:rPr>
        <w:t xml:space="preserve"> (vidjeti </w:t>
      </w:r>
      <w:r w:rsidR="00706D93">
        <w:rPr>
          <w:sz w:val="22"/>
          <w:szCs w:val="22"/>
          <w:lang w:val="sl-SI"/>
        </w:rPr>
        <w:t>dio</w:t>
      </w:r>
      <w:r>
        <w:rPr>
          <w:sz w:val="22"/>
          <w:szCs w:val="22"/>
          <w:lang w:val="sl-SI"/>
        </w:rPr>
        <w:t xml:space="preserve"> 4.4).</w:t>
      </w:r>
    </w:p>
    <w:p w14:paraId="22064F9A" w14:textId="77777777" w:rsidR="00D32559" w:rsidRDefault="00D32559" w:rsidP="006B3996">
      <w:pPr>
        <w:pStyle w:val="Header"/>
        <w:tabs>
          <w:tab w:val="left" w:pos="284"/>
        </w:tabs>
        <w:jc w:val="both"/>
        <w:rPr>
          <w:sz w:val="22"/>
          <w:szCs w:val="22"/>
          <w:lang w:val="sl-SI"/>
        </w:rPr>
      </w:pPr>
    </w:p>
    <w:p w14:paraId="22064F9B" w14:textId="2EAC3A5E" w:rsidR="00D32559" w:rsidRDefault="00D32559" w:rsidP="006B3996">
      <w:pPr>
        <w:pStyle w:val="Header"/>
        <w:tabs>
          <w:tab w:val="left" w:pos="284"/>
        </w:tabs>
        <w:jc w:val="both"/>
        <w:rPr>
          <w:sz w:val="22"/>
          <w:szCs w:val="22"/>
          <w:lang w:val="sl-SI"/>
        </w:rPr>
      </w:pPr>
      <w:r>
        <w:rPr>
          <w:sz w:val="22"/>
          <w:szCs w:val="22"/>
          <w:lang w:val="sl-SI"/>
        </w:rPr>
        <w:t xml:space="preserve">Prijavljena je pojava ozbiljnih kožnih osipa koji potencijalno ugrožavaju život pacijenta, uključujuci Stevens-Johnson sindrom i toksičnu epidermalnu nekrolizu (sindrom Lyell), kao i pojava reakcija izazvanih primjenom lijeka sa eozinofilijom i sistemskim simptomima (DRESS). Iako je kod najvećeg broja pacijenata došlo do oporavka nakon prekida terapije lamotriginom, kod pojedinih pacijenata javili su se ožiljci ireverzibilne prirode i postoje rijetki izvještaji o udruženim smrtnim ishodima (vidjeti </w:t>
      </w:r>
      <w:r w:rsidR="00706D93">
        <w:rPr>
          <w:sz w:val="22"/>
          <w:szCs w:val="22"/>
          <w:lang w:val="sl-SI"/>
        </w:rPr>
        <w:t>dio</w:t>
      </w:r>
      <w:r>
        <w:rPr>
          <w:sz w:val="22"/>
          <w:szCs w:val="22"/>
          <w:lang w:val="sl-SI"/>
        </w:rPr>
        <w:t xml:space="preserve"> 4.4).</w:t>
      </w:r>
    </w:p>
    <w:p w14:paraId="22064F9C" w14:textId="77777777" w:rsidR="00D32559" w:rsidRDefault="00D32559" w:rsidP="006B3996">
      <w:pPr>
        <w:pStyle w:val="Header"/>
        <w:tabs>
          <w:tab w:val="left" w:pos="284"/>
        </w:tabs>
        <w:jc w:val="both"/>
        <w:rPr>
          <w:sz w:val="22"/>
          <w:szCs w:val="22"/>
          <w:lang w:val="sl-SI"/>
        </w:rPr>
      </w:pPr>
    </w:p>
    <w:p w14:paraId="22064F9D" w14:textId="77777777" w:rsidR="00D32559" w:rsidRDefault="00D32559" w:rsidP="006B3996">
      <w:pPr>
        <w:pStyle w:val="Header"/>
        <w:tabs>
          <w:tab w:val="left" w:pos="284"/>
        </w:tabs>
        <w:jc w:val="both"/>
        <w:rPr>
          <w:sz w:val="22"/>
          <w:szCs w:val="22"/>
          <w:lang w:val="sl-SI"/>
        </w:rPr>
      </w:pPr>
      <w:r>
        <w:rPr>
          <w:sz w:val="22"/>
          <w:szCs w:val="22"/>
          <w:lang w:val="sl-SI"/>
        </w:rPr>
        <w:t>Smatra se da je ukupni rizik od pojave kožnog osipa značajno povezan sa:</w:t>
      </w:r>
    </w:p>
    <w:p w14:paraId="22064F9E" w14:textId="77777777" w:rsidR="00D32559" w:rsidRDefault="00D32559" w:rsidP="006B3996">
      <w:pPr>
        <w:pStyle w:val="Header"/>
        <w:tabs>
          <w:tab w:val="left" w:pos="284"/>
        </w:tabs>
        <w:jc w:val="both"/>
        <w:rPr>
          <w:sz w:val="16"/>
          <w:szCs w:val="16"/>
          <w:lang w:val="sl-SI"/>
        </w:rPr>
      </w:pPr>
    </w:p>
    <w:p w14:paraId="22064F9F" w14:textId="011A4B48" w:rsidR="00D32559" w:rsidRPr="008E171B" w:rsidRDefault="00D32559" w:rsidP="006B3996">
      <w:pPr>
        <w:pStyle w:val="Header"/>
        <w:numPr>
          <w:ilvl w:val="0"/>
          <w:numId w:val="14"/>
        </w:numPr>
        <w:tabs>
          <w:tab w:val="left" w:pos="284"/>
        </w:tabs>
        <w:jc w:val="both"/>
        <w:rPr>
          <w:sz w:val="22"/>
          <w:szCs w:val="22"/>
          <w:lang w:val="sl-SI"/>
        </w:rPr>
      </w:pPr>
      <w:r w:rsidRPr="008E171B">
        <w:rPr>
          <w:sz w:val="22"/>
          <w:szCs w:val="22"/>
          <w:lang w:val="sl-SI"/>
        </w:rPr>
        <w:t xml:space="preserve">primjenom visokih inicijalnih doza lamotrigina i prekoračenjem preporučenog postepenog povećavanja terapijskih doza u terapiji lamotriginom (vidjeti </w:t>
      </w:r>
      <w:r w:rsidR="00706D93" w:rsidRPr="008E171B">
        <w:rPr>
          <w:sz w:val="22"/>
          <w:szCs w:val="22"/>
          <w:lang w:val="sl-SI"/>
        </w:rPr>
        <w:t>dio</w:t>
      </w:r>
      <w:r w:rsidRPr="008E171B">
        <w:rPr>
          <w:sz w:val="22"/>
          <w:szCs w:val="22"/>
          <w:lang w:val="sl-SI"/>
        </w:rPr>
        <w:t xml:space="preserve"> 4.2)</w:t>
      </w:r>
    </w:p>
    <w:p w14:paraId="22064FA0" w14:textId="2BCF1E0F" w:rsidR="00D32559" w:rsidRPr="00BC6BEF" w:rsidRDefault="00D32559" w:rsidP="006B3996">
      <w:pPr>
        <w:pStyle w:val="Header"/>
        <w:numPr>
          <w:ilvl w:val="0"/>
          <w:numId w:val="14"/>
        </w:numPr>
        <w:tabs>
          <w:tab w:val="left" w:pos="284"/>
        </w:tabs>
        <w:jc w:val="both"/>
        <w:rPr>
          <w:sz w:val="22"/>
          <w:szCs w:val="22"/>
          <w:lang w:val="sl-SI"/>
        </w:rPr>
      </w:pPr>
      <w:r w:rsidRPr="00BC6BEF">
        <w:rPr>
          <w:sz w:val="22"/>
          <w:szCs w:val="22"/>
          <w:lang w:val="sl-SI"/>
        </w:rPr>
        <w:t xml:space="preserve">istovremenom primjenom valproata (vidjeti </w:t>
      </w:r>
      <w:r w:rsidR="00706D93" w:rsidRPr="00BC6BEF">
        <w:rPr>
          <w:sz w:val="22"/>
          <w:szCs w:val="22"/>
          <w:lang w:val="sl-SI"/>
        </w:rPr>
        <w:t>dio</w:t>
      </w:r>
      <w:r w:rsidRPr="00BC6BEF">
        <w:rPr>
          <w:sz w:val="22"/>
          <w:szCs w:val="22"/>
          <w:lang w:val="sl-SI"/>
        </w:rPr>
        <w:t xml:space="preserve"> 4.2).</w:t>
      </w:r>
    </w:p>
    <w:p w14:paraId="22064FA1" w14:textId="77777777" w:rsidR="00D32559" w:rsidRPr="00BC6BEF" w:rsidRDefault="00D32559" w:rsidP="006B3996">
      <w:pPr>
        <w:pStyle w:val="Header"/>
        <w:tabs>
          <w:tab w:val="left" w:pos="284"/>
        </w:tabs>
        <w:jc w:val="both"/>
        <w:rPr>
          <w:sz w:val="22"/>
          <w:szCs w:val="22"/>
          <w:lang w:val="sl-SI"/>
        </w:rPr>
      </w:pPr>
    </w:p>
    <w:p w14:paraId="22064FA5" w14:textId="6CA715E2" w:rsidR="00D32559" w:rsidRPr="00BC6BEF" w:rsidRDefault="00D32559" w:rsidP="006B3996">
      <w:pPr>
        <w:pStyle w:val="Header"/>
        <w:tabs>
          <w:tab w:val="left" w:pos="284"/>
        </w:tabs>
        <w:jc w:val="both"/>
        <w:rPr>
          <w:sz w:val="22"/>
          <w:szCs w:val="22"/>
          <w:lang w:val="sl-SI"/>
        </w:rPr>
      </w:pPr>
      <w:r w:rsidRPr="00BC6BEF">
        <w:rPr>
          <w:sz w:val="22"/>
          <w:szCs w:val="22"/>
          <w:lang w:val="sl-SI"/>
        </w:rPr>
        <w:t>Postoje izveštaji o umanjenoj mineralnoj gustini kostiju, osteopeniji, osteoporozi i frakturama kod pacijenata koji su na dugotrajnoj terapiji lamotriginom. Nije identifikovan mehanizam kojim lamotrigin utiče na metabolizam kostiju.</w:t>
      </w:r>
    </w:p>
    <w:p w14:paraId="60FF6467" w14:textId="77777777" w:rsidR="00655DE4" w:rsidRPr="00BC6BEF" w:rsidRDefault="00655DE4" w:rsidP="006B3996">
      <w:pPr>
        <w:pStyle w:val="Header"/>
        <w:tabs>
          <w:tab w:val="left" w:pos="284"/>
        </w:tabs>
        <w:jc w:val="both"/>
        <w:rPr>
          <w:sz w:val="22"/>
          <w:szCs w:val="22"/>
          <w:lang w:val="sl-SI"/>
        </w:rPr>
      </w:pPr>
    </w:p>
    <w:p w14:paraId="5DA61388" w14:textId="77777777" w:rsidR="00D94EE8" w:rsidRPr="00786071" w:rsidRDefault="00D94EE8" w:rsidP="006B3996">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4748356D" w14:textId="77777777" w:rsidR="00D94EE8" w:rsidRPr="00786071" w:rsidRDefault="00D94EE8" w:rsidP="008671F1">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38367B74" w14:textId="77777777" w:rsidR="00D94EE8" w:rsidRPr="00786071" w:rsidRDefault="00D94EE8" w:rsidP="007B50AD">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1D2AD75A" w14:textId="77777777" w:rsidR="00D94EE8" w:rsidRPr="00786071" w:rsidRDefault="00D94EE8">
      <w:pPr>
        <w:pStyle w:val="NoSpacing"/>
        <w:jc w:val="both"/>
        <w:rPr>
          <w:rFonts w:eastAsia="Calibri"/>
          <w:sz w:val="22"/>
          <w:szCs w:val="22"/>
          <w:lang w:val="sr-Latn-RS"/>
        </w:rPr>
      </w:pPr>
      <w:r w:rsidRPr="00786071">
        <w:rPr>
          <w:rFonts w:eastAsia="Calibri"/>
          <w:sz w:val="22"/>
          <w:szCs w:val="22"/>
          <w:lang w:val="sr-Latn-RS"/>
        </w:rPr>
        <w:t>Odjeljenje za farmakovigilancu</w:t>
      </w:r>
    </w:p>
    <w:p w14:paraId="0F9452BE" w14:textId="77777777" w:rsidR="00D94EE8" w:rsidRPr="00786071" w:rsidRDefault="00D94EE8">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4836FB98" w14:textId="77777777" w:rsidR="00D94EE8" w:rsidRPr="00786071" w:rsidRDefault="00D94EE8" w:rsidP="006B3996">
      <w:pPr>
        <w:pStyle w:val="NoSpacing"/>
        <w:jc w:val="both"/>
        <w:rPr>
          <w:rFonts w:eastAsia="Calibri"/>
          <w:sz w:val="22"/>
          <w:szCs w:val="22"/>
          <w:lang w:val="sr-Latn-RS"/>
        </w:rPr>
      </w:pPr>
    </w:p>
    <w:p w14:paraId="005ED562" w14:textId="77777777" w:rsidR="00D94EE8" w:rsidRPr="00786071" w:rsidRDefault="00D94EE8" w:rsidP="008671F1">
      <w:pPr>
        <w:pStyle w:val="NoSpacing"/>
        <w:jc w:val="both"/>
        <w:rPr>
          <w:rFonts w:eastAsia="Calibri"/>
          <w:sz w:val="22"/>
          <w:szCs w:val="22"/>
          <w:lang w:val="sr-Latn-RS"/>
        </w:rPr>
      </w:pPr>
      <w:r w:rsidRPr="00786071">
        <w:rPr>
          <w:rFonts w:eastAsia="Calibri"/>
          <w:sz w:val="22"/>
          <w:szCs w:val="22"/>
          <w:lang w:val="sr-Latn-RS"/>
        </w:rPr>
        <w:t>tel: +382 (0) 20 310 280</w:t>
      </w:r>
    </w:p>
    <w:p w14:paraId="512CB7F0" w14:textId="77777777" w:rsidR="00D94EE8" w:rsidRPr="00786071" w:rsidRDefault="00D94EE8" w:rsidP="007B50AD">
      <w:pPr>
        <w:pStyle w:val="NoSpacing"/>
        <w:jc w:val="both"/>
        <w:rPr>
          <w:rFonts w:eastAsia="Calibri"/>
          <w:sz w:val="22"/>
          <w:szCs w:val="22"/>
          <w:lang w:val="sr-Latn-RS"/>
        </w:rPr>
      </w:pPr>
      <w:r w:rsidRPr="00786071">
        <w:rPr>
          <w:rFonts w:eastAsia="Calibri"/>
          <w:sz w:val="22"/>
          <w:szCs w:val="22"/>
          <w:lang w:val="sr-Latn-RS"/>
        </w:rPr>
        <w:t>fax: +382 (0) 20 310 581</w:t>
      </w:r>
    </w:p>
    <w:p w14:paraId="3B9959E4" w14:textId="77777777" w:rsidR="00D94EE8" w:rsidRPr="00786071" w:rsidRDefault="004F332E">
      <w:pPr>
        <w:pStyle w:val="NoSpacing"/>
        <w:jc w:val="both"/>
        <w:rPr>
          <w:rFonts w:eastAsia="Calibri"/>
          <w:sz w:val="22"/>
          <w:szCs w:val="22"/>
          <w:lang w:val="sr-Latn-RS"/>
        </w:rPr>
      </w:pPr>
      <w:hyperlink r:id="rId11" w:history="1">
        <w:r w:rsidR="00D94EE8" w:rsidRPr="00B664A0">
          <w:rPr>
            <w:rStyle w:val="Hyperlink"/>
            <w:rFonts w:eastAsia="Calibri"/>
            <w:sz w:val="22"/>
            <w:szCs w:val="22"/>
            <w:lang w:val="sr-Latn-RS"/>
          </w:rPr>
          <w:t>www.cinmed.me</w:t>
        </w:r>
      </w:hyperlink>
    </w:p>
    <w:p w14:paraId="051A50AE" w14:textId="77777777" w:rsidR="00D94EE8" w:rsidRPr="00786071" w:rsidRDefault="004F332E">
      <w:pPr>
        <w:pStyle w:val="NoSpacing"/>
        <w:jc w:val="both"/>
        <w:rPr>
          <w:rFonts w:eastAsia="Calibri"/>
          <w:color w:val="0000FF"/>
          <w:sz w:val="22"/>
          <w:szCs w:val="22"/>
          <w:u w:val="single"/>
          <w:lang w:val="sr-Latn-RS"/>
        </w:rPr>
      </w:pPr>
      <w:hyperlink r:id="rId12" w:history="1">
        <w:r w:rsidR="00D94EE8" w:rsidRPr="00B664A0">
          <w:rPr>
            <w:rStyle w:val="Hyperlink"/>
            <w:rFonts w:eastAsia="Calibri"/>
            <w:sz w:val="22"/>
            <w:szCs w:val="22"/>
            <w:lang w:val="sr-Latn-RS"/>
          </w:rPr>
          <w:t>nezeljenadejstva@cinmed.me</w:t>
        </w:r>
      </w:hyperlink>
    </w:p>
    <w:p w14:paraId="5D95D650" w14:textId="041A48F3" w:rsidR="00D94EE8" w:rsidRDefault="00D94EE8">
      <w:pPr>
        <w:pStyle w:val="NoSpacing"/>
        <w:jc w:val="both"/>
        <w:rPr>
          <w:rFonts w:eastAsia="Calibri"/>
          <w:sz w:val="22"/>
          <w:szCs w:val="22"/>
          <w:lang w:val="sr-Latn-RS"/>
        </w:rPr>
      </w:pPr>
      <w:r w:rsidRPr="00786071">
        <w:rPr>
          <w:rFonts w:eastAsia="Calibri"/>
          <w:sz w:val="22"/>
          <w:szCs w:val="22"/>
          <w:lang w:val="sr-Latn-RS"/>
        </w:rPr>
        <w:t>putem IS zdravstvene zaštite</w:t>
      </w:r>
    </w:p>
    <w:p w14:paraId="10A2E4CC" w14:textId="1ABDDB46" w:rsidR="00C60E68" w:rsidRDefault="00C60E68" w:rsidP="00C60E68">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091CF6B" w14:textId="4333F0A3" w:rsidR="00C60E68" w:rsidRDefault="00C60E68" w:rsidP="00C60E68">
      <w:pPr>
        <w:pStyle w:val="NoSpacing"/>
        <w:jc w:val="both"/>
        <w:rPr>
          <w:rFonts w:eastAsia="Calibri"/>
          <w:sz w:val="22"/>
          <w:szCs w:val="22"/>
          <w:lang w:val="sr-Latn-RS"/>
        </w:rPr>
      </w:pPr>
    </w:p>
    <w:p w14:paraId="3AA3672B" w14:textId="1392E7BD" w:rsidR="00C60E68" w:rsidRDefault="00FC79F5" w:rsidP="00C60E68">
      <w:pPr>
        <w:pStyle w:val="NoSpacing"/>
        <w:jc w:val="both"/>
        <w:rPr>
          <w:rFonts w:eastAsia="Calibri"/>
          <w:sz w:val="22"/>
          <w:szCs w:val="22"/>
          <w:lang w:val="sr-Latn-RS"/>
        </w:rPr>
      </w:pPr>
      <w:r w:rsidRPr="007F661E">
        <w:rPr>
          <w:b/>
          <w:bCs/>
          <w:noProof/>
        </w:rPr>
        <w:drawing>
          <wp:inline distT="0" distB="0" distL="0" distR="0" wp14:anchorId="063B3992" wp14:editId="1F5B2D11">
            <wp:extent cx="980796" cy="97200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F6D3976" w14:textId="77777777" w:rsidR="00C60E68" w:rsidRPr="00786071" w:rsidRDefault="00C60E68">
      <w:pPr>
        <w:pStyle w:val="NoSpacing"/>
        <w:jc w:val="both"/>
        <w:rPr>
          <w:rFonts w:eastAsia="Calibri"/>
          <w:sz w:val="22"/>
          <w:szCs w:val="22"/>
          <w:lang w:val="sr-Latn-RS"/>
        </w:rPr>
      </w:pPr>
    </w:p>
    <w:p w14:paraId="22064FB1" w14:textId="77777777" w:rsidR="00836B35" w:rsidRPr="00786071" w:rsidRDefault="00836B35">
      <w:pPr>
        <w:tabs>
          <w:tab w:val="left" w:pos="540"/>
          <w:tab w:val="left" w:pos="569"/>
        </w:tabs>
        <w:jc w:val="both"/>
        <w:rPr>
          <w:b/>
          <w:bCs/>
          <w:sz w:val="22"/>
          <w:szCs w:val="22"/>
        </w:rPr>
      </w:pPr>
    </w:p>
    <w:p w14:paraId="22064FB2" w14:textId="77777777" w:rsidR="00CD6F02" w:rsidRPr="00786071" w:rsidRDefault="0072020E">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22064FB4" w14:textId="75AD7D84" w:rsidR="0092567C" w:rsidRDefault="0092567C" w:rsidP="00BF78B0">
      <w:pPr>
        <w:pStyle w:val="Header"/>
        <w:tabs>
          <w:tab w:val="left" w:pos="284"/>
        </w:tabs>
        <w:jc w:val="both"/>
        <w:rPr>
          <w:bCs/>
          <w:sz w:val="22"/>
          <w:szCs w:val="22"/>
          <w:u w:val="single"/>
          <w:lang w:val="sl-SI"/>
        </w:rPr>
      </w:pPr>
      <w:r>
        <w:rPr>
          <w:bCs/>
          <w:sz w:val="22"/>
          <w:szCs w:val="22"/>
          <w:u w:val="single"/>
          <w:lang w:val="sl-SI"/>
        </w:rPr>
        <w:t>Simptomi i znaci</w:t>
      </w:r>
    </w:p>
    <w:p w14:paraId="2BD64AC1" w14:textId="1BB51E20" w:rsidR="00D12711" w:rsidRPr="004E30CF" w:rsidRDefault="00D12711" w:rsidP="00BF78B0">
      <w:pPr>
        <w:tabs>
          <w:tab w:val="center" w:pos="4536"/>
          <w:tab w:val="right" w:pos="9072"/>
        </w:tabs>
        <w:jc w:val="both"/>
        <w:rPr>
          <w:sz w:val="22"/>
          <w:szCs w:val="22"/>
          <w:lang w:val="sl-SI"/>
        </w:rPr>
      </w:pPr>
      <w:r>
        <w:rPr>
          <w:bCs/>
          <w:sz w:val="22"/>
          <w:szCs w:val="22"/>
          <w:lang w:val="sl-SI"/>
        </w:rPr>
        <w:t>Zabilježeni su slučajevi</w:t>
      </w:r>
      <w:r w:rsidR="0092567C">
        <w:rPr>
          <w:bCs/>
          <w:sz w:val="22"/>
          <w:szCs w:val="22"/>
          <w:lang w:val="sl-SI"/>
        </w:rPr>
        <w:t xml:space="preserve"> akutn</w:t>
      </w:r>
      <w:r>
        <w:rPr>
          <w:bCs/>
          <w:sz w:val="22"/>
          <w:szCs w:val="22"/>
          <w:lang w:val="sl-SI"/>
        </w:rPr>
        <w:t>e</w:t>
      </w:r>
      <w:r w:rsidR="0092567C">
        <w:rPr>
          <w:bCs/>
          <w:sz w:val="22"/>
          <w:szCs w:val="22"/>
          <w:lang w:val="sl-SI"/>
        </w:rPr>
        <w:t xml:space="preserve"> ingestij</w:t>
      </w:r>
      <w:r>
        <w:rPr>
          <w:bCs/>
          <w:sz w:val="22"/>
          <w:szCs w:val="22"/>
          <w:lang w:val="sl-SI"/>
        </w:rPr>
        <w:t>e</w:t>
      </w:r>
      <w:r w:rsidR="0092567C">
        <w:rPr>
          <w:bCs/>
          <w:sz w:val="22"/>
          <w:szCs w:val="22"/>
          <w:lang w:val="sl-SI"/>
        </w:rPr>
        <w:t xml:space="preserve"> doza koje 10 - 20 puta prevazilaze  maksimalne terapijske doze, uključujući smrtne slu</w:t>
      </w:r>
      <w:r>
        <w:rPr>
          <w:bCs/>
          <w:sz w:val="22"/>
          <w:szCs w:val="22"/>
          <w:lang w:val="sl-SI"/>
        </w:rPr>
        <w:t>č</w:t>
      </w:r>
      <w:r w:rsidR="0092567C">
        <w:rPr>
          <w:bCs/>
          <w:sz w:val="22"/>
          <w:szCs w:val="22"/>
          <w:lang w:val="sl-SI"/>
        </w:rPr>
        <w:t>ajeve. Predoziranje je za posljedicu imalo pojavu simptoma koji uključuju nistagmus, ataksiju, poremećaj svijesti, generalizovane toničko-kloničke grčeve (</w:t>
      </w:r>
      <w:r w:rsidR="0092567C" w:rsidRPr="004E30CF">
        <w:rPr>
          <w:bCs/>
          <w:i/>
          <w:sz w:val="22"/>
          <w:szCs w:val="22"/>
          <w:lang w:val="sl-SI"/>
        </w:rPr>
        <w:t>Grand Mal</w:t>
      </w:r>
      <w:r w:rsidR="0092567C">
        <w:rPr>
          <w:bCs/>
          <w:sz w:val="22"/>
          <w:szCs w:val="22"/>
          <w:lang w:val="sl-SI"/>
        </w:rPr>
        <w:t xml:space="preserve"> konvulzije) i komu. </w:t>
      </w:r>
      <w:r w:rsidRPr="004E30CF">
        <w:rPr>
          <w:sz w:val="22"/>
          <w:szCs w:val="22"/>
          <w:lang w:val="sl-SI"/>
        </w:rPr>
        <w:t>Kod pacijenata kod kojih je došl</w:t>
      </w:r>
      <w:r w:rsidRPr="00D12711">
        <w:rPr>
          <w:sz w:val="22"/>
          <w:szCs w:val="22"/>
          <w:lang w:val="sl-SI"/>
        </w:rPr>
        <w:t>o do predoziranja takođe je zabi</w:t>
      </w:r>
      <w:r w:rsidRPr="004E30CF">
        <w:rPr>
          <w:sz w:val="22"/>
          <w:szCs w:val="22"/>
          <w:lang w:val="sl-SI"/>
        </w:rPr>
        <w:t>l</w:t>
      </w:r>
      <w:r>
        <w:rPr>
          <w:sz w:val="22"/>
          <w:szCs w:val="22"/>
          <w:lang w:val="sl-SI"/>
        </w:rPr>
        <w:t>j</w:t>
      </w:r>
      <w:r w:rsidRPr="004E30CF">
        <w:rPr>
          <w:sz w:val="22"/>
          <w:szCs w:val="22"/>
          <w:lang w:val="sl-SI"/>
        </w:rPr>
        <w:t>eženo proširenje QRS kompleksa (sporije intraventrikularno sprovođenje) i produženja QT intervala. Proširenje QRS kompleksa u trajanju dužem od 100 milisekundi može biti udruženo sa ozbiljnim oblikom toksičnosti.</w:t>
      </w:r>
    </w:p>
    <w:p w14:paraId="22064FB6" w14:textId="77777777" w:rsidR="0092567C" w:rsidRDefault="0092567C" w:rsidP="00BF78B0">
      <w:pPr>
        <w:pStyle w:val="Header"/>
        <w:tabs>
          <w:tab w:val="left" w:pos="284"/>
        </w:tabs>
        <w:jc w:val="both"/>
        <w:rPr>
          <w:bCs/>
          <w:sz w:val="22"/>
          <w:szCs w:val="22"/>
          <w:lang w:val="sl-SI"/>
        </w:rPr>
      </w:pPr>
    </w:p>
    <w:p w14:paraId="22064FB8" w14:textId="0E517E21" w:rsidR="0092567C" w:rsidRDefault="0092567C" w:rsidP="00BF78B0">
      <w:pPr>
        <w:pStyle w:val="Header"/>
        <w:tabs>
          <w:tab w:val="left" w:pos="284"/>
        </w:tabs>
        <w:jc w:val="both"/>
        <w:rPr>
          <w:bCs/>
          <w:i/>
          <w:sz w:val="22"/>
          <w:szCs w:val="22"/>
          <w:lang w:val="sl-SI"/>
        </w:rPr>
      </w:pPr>
      <w:r>
        <w:rPr>
          <w:bCs/>
          <w:sz w:val="22"/>
          <w:szCs w:val="22"/>
          <w:u w:val="single"/>
          <w:lang w:val="sl-SI"/>
        </w:rPr>
        <w:t>Liječenje</w:t>
      </w:r>
    </w:p>
    <w:p w14:paraId="22064FB9" w14:textId="46B957F4" w:rsidR="00CD6F02" w:rsidRPr="0092567C" w:rsidRDefault="0092567C" w:rsidP="00BF78B0">
      <w:pPr>
        <w:pStyle w:val="Header"/>
        <w:tabs>
          <w:tab w:val="left" w:pos="284"/>
        </w:tabs>
        <w:jc w:val="both"/>
        <w:rPr>
          <w:bCs/>
          <w:sz w:val="22"/>
          <w:szCs w:val="22"/>
          <w:lang w:val="sl-SI"/>
        </w:rPr>
      </w:pPr>
      <w:r>
        <w:rPr>
          <w:bCs/>
          <w:sz w:val="22"/>
          <w:szCs w:val="22"/>
          <w:lang w:val="sl-SI"/>
        </w:rPr>
        <w:t xml:space="preserve">U slučaju predoziranja, neophodno je hospitalizovati pacijenta i primijeniti adekvatnu suportivnu terapiju. Ukoliko je indikovano potrebno je primijeniti terapiju u cilju smanjenja </w:t>
      </w:r>
      <w:r w:rsidR="00B90F66">
        <w:rPr>
          <w:bCs/>
          <w:sz w:val="22"/>
          <w:szCs w:val="22"/>
          <w:lang w:val="sl-SI"/>
        </w:rPr>
        <w:t>re</w:t>
      </w:r>
      <w:r>
        <w:rPr>
          <w:bCs/>
          <w:sz w:val="22"/>
          <w:szCs w:val="22"/>
          <w:lang w:val="sl-SI"/>
        </w:rPr>
        <w:t>sorpcije (aktivni ugalj). Potrebno je da dalje liječenje bude klinički indikovano</w:t>
      </w:r>
      <w:r w:rsidR="008919D8">
        <w:rPr>
          <w:bCs/>
          <w:sz w:val="22"/>
          <w:szCs w:val="22"/>
          <w:lang w:val="sl-SI"/>
        </w:rPr>
        <w:t>, uzimajući u obzir potencijalne efekte na srčanu provodljivost (vidjeti dio 4.4)</w:t>
      </w:r>
      <w:r>
        <w:rPr>
          <w:bCs/>
          <w:sz w:val="22"/>
          <w:szCs w:val="22"/>
          <w:lang w:val="sl-SI"/>
        </w:rPr>
        <w:t xml:space="preserve">. </w:t>
      </w:r>
      <w:r w:rsidR="00467B37" w:rsidRPr="00521DC8">
        <w:rPr>
          <w:bCs/>
          <w:lang w:val="sr-Latn-ME"/>
        </w:rPr>
        <w:t>Može se razmotriti prim</w:t>
      </w:r>
      <w:r w:rsidR="00467B37">
        <w:rPr>
          <w:bCs/>
          <w:lang w:val="sr-Latn-ME"/>
        </w:rPr>
        <w:t>j</w:t>
      </w:r>
      <w:r w:rsidR="00467B37" w:rsidRPr="00521DC8">
        <w:rPr>
          <w:bCs/>
          <w:lang w:val="sr-Latn-ME"/>
        </w:rPr>
        <w:t>ena intravenskih lipida za l</w:t>
      </w:r>
      <w:r w:rsidR="00467B37">
        <w:rPr>
          <w:bCs/>
          <w:lang w:val="sr-Latn-ME"/>
        </w:rPr>
        <w:t>ij</w:t>
      </w:r>
      <w:r w:rsidR="00467B37" w:rsidRPr="00521DC8">
        <w:rPr>
          <w:bCs/>
          <w:lang w:val="sr-Latn-ME"/>
        </w:rPr>
        <w:t>ečenje kardiotoksičnosti koja nedovoljno dobro odgovara na natrijum</w:t>
      </w:r>
      <w:r w:rsidR="00467B37">
        <w:rPr>
          <w:bCs/>
          <w:lang w:val="sr-Latn-ME"/>
        </w:rPr>
        <w:t xml:space="preserve"> </w:t>
      </w:r>
      <w:r w:rsidR="00467B37" w:rsidRPr="00521DC8">
        <w:rPr>
          <w:bCs/>
          <w:lang w:val="sr-Latn-ME"/>
        </w:rPr>
        <w:t xml:space="preserve">hidrogenkarbonat. </w:t>
      </w:r>
      <w:r>
        <w:rPr>
          <w:bCs/>
          <w:sz w:val="22"/>
          <w:szCs w:val="22"/>
          <w:lang w:val="sl-SI"/>
        </w:rPr>
        <w:t xml:space="preserve">Ne postoji iskustvo u terapijskoj primjeni hemodijalize u slučaju predoziranja. Kod šest dobrovoljaca sa renalnom insuficijencijom tokom četvoročasovne hemodijalize uklonjeno je 20% lamotrigina iz organizma (vidjeti </w:t>
      </w:r>
      <w:r w:rsidR="00706D93">
        <w:rPr>
          <w:bCs/>
          <w:sz w:val="22"/>
          <w:szCs w:val="22"/>
          <w:lang w:val="sl-SI"/>
        </w:rPr>
        <w:t>dio</w:t>
      </w:r>
      <w:r>
        <w:rPr>
          <w:bCs/>
          <w:sz w:val="22"/>
          <w:szCs w:val="22"/>
          <w:lang w:val="sl-SI"/>
        </w:rPr>
        <w:t xml:space="preserve"> 5.2).</w:t>
      </w:r>
    </w:p>
    <w:p w14:paraId="22064FBA" w14:textId="7466DC42" w:rsidR="00227BDB" w:rsidRPr="008E171B" w:rsidRDefault="00227BDB">
      <w:pPr>
        <w:tabs>
          <w:tab w:val="left" w:pos="540"/>
          <w:tab w:val="left" w:pos="569"/>
        </w:tabs>
        <w:jc w:val="both"/>
        <w:rPr>
          <w:b/>
          <w:bCs/>
          <w:sz w:val="22"/>
          <w:szCs w:val="22"/>
          <w:lang w:val="sl-SI"/>
        </w:rPr>
      </w:pPr>
    </w:p>
    <w:p w14:paraId="291CC7A4" w14:textId="77777777" w:rsidR="00C10538" w:rsidRPr="008E171B" w:rsidRDefault="00C10538">
      <w:pPr>
        <w:tabs>
          <w:tab w:val="left" w:pos="540"/>
          <w:tab w:val="left" w:pos="569"/>
        </w:tabs>
        <w:jc w:val="both"/>
        <w:rPr>
          <w:b/>
          <w:bCs/>
          <w:sz w:val="22"/>
          <w:szCs w:val="22"/>
          <w:lang w:val="sl-SI"/>
        </w:rPr>
      </w:pPr>
    </w:p>
    <w:p w14:paraId="22064FBB" w14:textId="77777777" w:rsidR="0072020E" w:rsidRPr="008E171B" w:rsidRDefault="0072020E">
      <w:pPr>
        <w:tabs>
          <w:tab w:val="left" w:pos="540"/>
          <w:tab w:val="left" w:pos="569"/>
        </w:tabs>
        <w:jc w:val="both"/>
        <w:rPr>
          <w:b/>
          <w:bCs/>
          <w:sz w:val="22"/>
          <w:szCs w:val="22"/>
          <w:lang w:val="sl-SI"/>
        </w:rPr>
      </w:pPr>
      <w:r w:rsidRPr="008E171B">
        <w:rPr>
          <w:b/>
          <w:bCs/>
          <w:sz w:val="22"/>
          <w:szCs w:val="22"/>
          <w:lang w:val="sl-SI"/>
        </w:rPr>
        <w:t xml:space="preserve">5. </w:t>
      </w:r>
      <w:r w:rsidR="00480FB1" w:rsidRPr="008E171B">
        <w:rPr>
          <w:b/>
          <w:bCs/>
          <w:sz w:val="22"/>
          <w:szCs w:val="22"/>
          <w:lang w:val="sl-SI"/>
        </w:rPr>
        <w:tab/>
      </w:r>
      <w:r w:rsidRPr="008E171B">
        <w:rPr>
          <w:b/>
          <w:bCs/>
          <w:sz w:val="22"/>
          <w:szCs w:val="22"/>
          <w:lang w:val="sl-SI"/>
        </w:rPr>
        <w:t>FARMAKOLOŠK</w:t>
      </w:r>
      <w:r w:rsidR="000D425A" w:rsidRPr="008E171B">
        <w:rPr>
          <w:b/>
          <w:bCs/>
          <w:sz w:val="22"/>
          <w:szCs w:val="22"/>
          <w:lang w:val="sl-SI"/>
        </w:rPr>
        <w:t>I</w:t>
      </w:r>
      <w:r w:rsidRPr="008E171B">
        <w:rPr>
          <w:b/>
          <w:bCs/>
          <w:sz w:val="22"/>
          <w:szCs w:val="22"/>
          <w:lang w:val="sl-SI"/>
        </w:rPr>
        <w:t xml:space="preserve"> PODACI</w:t>
      </w:r>
    </w:p>
    <w:p w14:paraId="22064FBC" w14:textId="77777777" w:rsidR="0072020E" w:rsidRPr="008E171B" w:rsidRDefault="0072020E">
      <w:pPr>
        <w:tabs>
          <w:tab w:val="left" w:pos="540"/>
          <w:tab w:val="left" w:pos="569"/>
        </w:tabs>
        <w:jc w:val="both"/>
        <w:rPr>
          <w:b/>
          <w:bCs/>
          <w:sz w:val="22"/>
          <w:szCs w:val="22"/>
          <w:lang w:val="sl-SI"/>
        </w:rPr>
      </w:pPr>
    </w:p>
    <w:p w14:paraId="22064FBD" w14:textId="77777777" w:rsidR="0072020E" w:rsidRPr="008E171B" w:rsidRDefault="0072020E" w:rsidP="006B3996">
      <w:pPr>
        <w:tabs>
          <w:tab w:val="left" w:pos="540"/>
          <w:tab w:val="left" w:pos="569"/>
        </w:tabs>
        <w:jc w:val="both"/>
        <w:rPr>
          <w:b/>
          <w:bCs/>
          <w:sz w:val="22"/>
          <w:szCs w:val="22"/>
          <w:lang w:val="sl-SI"/>
        </w:rPr>
      </w:pPr>
      <w:r w:rsidRPr="008E171B">
        <w:rPr>
          <w:b/>
          <w:bCs/>
          <w:sz w:val="22"/>
          <w:szCs w:val="22"/>
          <w:lang w:val="sl-SI"/>
        </w:rPr>
        <w:t xml:space="preserve">5.1. </w:t>
      </w:r>
      <w:r w:rsidR="00480FB1" w:rsidRPr="008E171B">
        <w:rPr>
          <w:b/>
          <w:bCs/>
          <w:sz w:val="22"/>
          <w:szCs w:val="22"/>
          <w:lang w:val="sl-SI"/>
        </w:rPr>
        <w:tab/>
      </w:r>
      <w:r w:rsidRPr="008E171B">
        <w:rPr>
          <w:b/>
          <w:bCs/>
          <w:sz w:val="22"/>
          <w:szCs w:val="22"/>
          <w:lang w:val="sl-SI"/>
        </w:rPr>
        <w:t>Farmakodinamski podaci</w:t>
      </w:r>
      <w:r w:rsidR="003A7059" w:rsidRPr="008E171B">
        <w:rPr>
          <w:b/>
          <w:bCs/>
          <w:sz w:val="22"/>
          <w:szCs w:val="22"/>
          <w:lang w:val="sl-SI"/>
        </w:rPr>
        <w:t xml:space="preserve"> </w:t>
      </w:r>
    </w:p>
    <w:p w14:paraId="22064FBE" w14:textId="77777777" w:rsidR="00F45F77" w:rsidRPr="008E171B" w:rsidRDefault="00F45F77" w:rsidP="006B3996">
      <w:pPr>
        <w:tabs>
          <w:tab w:val="left" w:pos="540"/>
          <w:tab w:val="left" w:pos="569"/>
        </w:tabs>
        <w:jc w:val="both"/>
        <w:rPr>
          <w:b/>
          <w:bCs/>
          <w:sz w:val="22"/>
          <w:szCs w:val="22"/>
          <w:lang w:val="sl-SI"/>
        </w:rPr>
      </w:pPr>
    </w:p>
    <w:p w14:paraId="22064FBF" w14:textId="77777777" w:rsidR="00BC5A64" w:rsidRPr="008E171B" w:rsidRDefault="00BC5A64" w:rsidP="006B3996">
      <w:pPr>
        <w:tabs>
          <w:tab w:val="left" w:pos="540"/>
          <w:tab w:val="left" w:pos="569"/>
        </w:tabs>
        <w:jc w:val="both"/>
        <w:rPr>
          <w:bCs/>
          <w:sz w:val="22"/>
          <w:szCs w:val="22"/>
          <w:lang w:val="sl-SI"/>
        </w:rPr>
      </w:pPr>
      <w:r w:rsidRPr="008E171B">
        <w:rPr>
          <w:bCs/>
          <w:sz w:val="22"/>
          <w:szCs w:val="22"/>
          <w:lang w:val="sl-SI"/>
        </w:rPr>
        <w:t>Farmakoterapijska grupa: Ostali antiepileptici</w:t>
      </w:r>
    </w:p>
    <w:p w14:paraId="22064FC0" w14:textId="77777777" w:rsidR="00BC5A64" w:rsidRPr="008E171B" w:rsidRDefault="00BC5A64" w:rsidP="006B3996">
      <w:pPr>
        <w:tabs>
          <w:tab w:val="left" w:pos="540"/>
          <w:tab w:val="left" w:pos="569"/>
        </w:tabs>
        <w:jc w:val="both"/>
        <w:rPr>
          <w:bCs/>
          <w:sz w:val="22"/>
          <w:szCs w:val="22"/>
          <w:lang w:val="sl-SI"/>
        </w:rPr>
      </w:pPr>
    </w:p>
    <w:p w14:paraId="22064FC1" w14:textId="77777777" w:rsidR="00BC5A64" w:rsidRPr="008E171B" w:rsidRDefault="00BC5A64" w:rsidP="006B3996">
      <w:pPr>
        <w:tabs>
          <w:tab w:val="left" w:pos="540"/>
          <w:tab w:val="left" w:pos="569"/>
        </w:tabs>
        <w:jc w:val="both"/>
        <w:rPr>
          <w:sz w:val="22"/>
          <w:szCs w:val="22"/>
          <w:lang w:val="sl-SI"/>
        </w:rPr>
      </w:pPr>
      <w:r w:rsidRPr="008E171B">
        <w:rPr>
          <w:bCs/>
          <w:sz w:val="22"/>
          <w:szCs w:val="22"/>
          <w:lang w:val="sl-SI"/>
        </w:rPr>
        <w:t>ATC kod:</w:t>
      </w:r>
      <w:r w:rsidRPr="008E171B">
        <w:rPr>
          <w:sz w:val="22"/>
          <w:szCs w:val="22"/>
          <w:lang w:val="sl-SI"/>
        </w:rPr>
        <w:t xml:space="preserve"> N03AX09</w:t>
      </w:r>
    </w:p>
    <w:p w14:paraId="22064FC2" w14:textId="77777777" w:rsidR="00BC5A64" w:rsidRPr="008E171B" w:rsidRDefault="00BC5A64" w:rsidP="006B3996">
      <w:pPr>
        <w:tabs>
          <w:tab w:val="left" w:pos="540"/>
          <w:tab w:val="left" w:pos="569"/>
        </w:tabs>
        <w:jc w:val="both"/>
        <w:rPr>
          <w:bCs/>
          <w:sz w:val="22"/>
          <w:szCs w:val="22"/>
          <w:lang w:val="sl-SI"/>
        </w:rPr>
      </w:pPr>
    </w:p>
    <w:p w14:paraId="22064FC3" w14:textId="77777777" w:rsidR="00BC5A64" w:rsidRPr="008E171B" w:rsidRDefault="00BC5A64" w:rsidP="006B3996">
      <w:pPr>
        <w:pStyle w:val="Header"/>
        <w:tabs>
          <w:tab w:val="left" w:pos="284"/>
        </w:tabs>
        <w:jc w:val="both"/>
        <w:rPr>
          <w:sz w:val="22"/>
          <w:szCs w:val="22"/>
          <w:u w:val="single"/>
          <w:lang w:val="sl-SI"/>
        </w:rPr>
      </w:pPr>
      <w:r w:rsidRPr="008E171B">
        <w:rPr>
          <w:sz w:val="22"/>
          <w:szCs w:val="22"/>
          <w:u w:val="single"/>
          <w:lang w:val="sl-SI"/>
        </w:rPr>
        <w:t>Mehanizam dejstva</w:t>
      </w:r>
    </w:p>
    <w:p w14:paraId="22064FC4" w14:textId="77777777" w:rsidR="00BC5A64" w:rsidRDefault="00BC5A64" w:rsidP="006B3996">
      <w:pPr>
        <w:pStyle w:val="Header"/>
        <w:tabs>
          <w:tab w:val="left" w:pos="284"/>
        </w:tabs>
        <w:jc w:val="both"/>
        <w:rPr>
          <w:sz w:val="22"/>
          <w:szCs w:val="22"/>
          <w:lang w:val="sl-SI"/>
        </w:rPr>
      </w:pPr>
    </w:p>
    <w:p w14:paraId="22064FC5" w14:textId="2503FCA4" w:rsidR="00BC5A64" w:rsidRDefault="00BC5A64" w:rsidP="006B3996">
      <w:pPr>
        <w:pStyle w:val="Header"/>
        <w:tabs>
          <w:tab w:val="left" w:pos="284"/>
        </w:tabs>
        <w:jc w:val="both"/>
        <w:rPr>
          <w:sz w:val="22"/>
          <w:szCs w:val="22"/>
          <w:lang w:val="sl-SI"/>
        </w:rPr>
      </w:pPr>
      <w:r>
        <w:rPr>
          <w:sz w:val="22"/>
          <w:szCs w:val="22"/>
          <w:lang w:val="sl-SI"/>
        </w:rPr>
        <w:t xml:space="preserve">Rezultati farmakoloških kliničkih ispitivanja ukazuju da lamotrigin blokira voltažno-zavisne natrijumske kanale </w:t>
      </w:r>
      <w:r w:rsidR="00703905" w:rsidRPr="00703905">
        <w:rPr>
          <w:sz w:val="22"/>
          <w:szCs w:val="22"/>
          <w:lang w:val="sl-SI"/>
        </w:rPr>
        <w:t>(blokada po principu voltažne i zavisnosti od upotrebe</w:t>
      </w:r>
      <w:r w:rsidR="00703905">
        <w:rPr>
          <w:sz w:val="22"/>
          <w:szCs w:val="22"/>
          <w:lang w:val="sl-SI"/>
        </w:rPr>
        <w:t xml:space="preserve">) </w:t>
      </w:r>
      <w:r>
        <w:rPr>
          <w:sz w:val="22"/>
          <w:szCs w:val="22"/>
          <w:lang w:val="sl-SI"/>
        </w:rPr>
        <w:t>na membrani neurona. On inhibira održavanje repetitivnih pražnjenja neurona i inhibira oslobađanje glutamata (neurotransmitera koja ima ključnu ulogu u generisanju epileptičkih napada). Navedena dejstva vjerovatno doprinose antikonvulzivnim svojstvima lamotrigina.</w:t>
      </w:r>
    </w:p>
    <w:p w14:paraId="22064FC6" w14:textId="77777777" w:rsidR="00BC5A64" w:rsidRDefault="00BC5A64" w:rsidP="006B3996">
      <w:pPr>
        <w:pStyle w:val="Header"/>
        <w:tabs>
          <w:tab w:val="left" w:pos="284"/>
        </w:tabs>
        <w:jc w:val="both"/>
        <w:rPr>
          <w:sz w:val="22"/>
          <w:szCs w:val="22"/>
          <w:lang w:val="sl-SI"/>
        </w:rPr>
      </w:pPr>
    </w:p>
    <w:p w14:paraId="22064FC7" w14:textId="77777777" w:rsidR="00BC5A64" w:rsidRDefault="00BC5A64" w:rsidP="006B3996">
      <w:pPr>
        <w:pStyle w:val="Header"/>
        <w:tabs>
          <w:tab w:val="left" w:pos="284"/>
        </w:tabs>
        <w:jc w:val="both"/>
        <w:rPr>
          <w:sz w:val="22"/>
          <w:szCs w:val="22"/>
          <w:lang w:val="sl-SI"/>
        </w:rPr>
      </w:pPr>
      <w:r>
        <w:rPr>
          <w:sz w:val="22"/>
          <w:szCs w:val="22"/>
          <w:lang w:val="sl-SI"/>
        </w:rPr>
        <w:t xml:space="preserve">Nasuprot tome, nijesu utvrđeni mehanizmi kojima lamotrigin ostvaruje svoje terapijsko dejstvo u bipolarnom poremećaju, iako je vjerovatno da je interakcija sa voltažno zavisnim natrijumskim kanalima značajna. </w:t>
      </w:r>
    </w:p>
    <w:p w14:paraId="22064FC8" w14:textId="77777777" w:rsidR="00BC5A64" w:rsidRDefault="00BC5A64" w:rsidP="006B3996">
      <w:pPr>
        <w:pStyle w:val="Header"/>
        <w:tabs>
          <w:tab w:val="left" w:pos="284"/>
        </w:tabs>
        <w:jc w:val="both"/>
        <w:rPr>
          <w:sz w:val="22"/>
          <w:szCs w:val="22"/>
          <w:lang w:val="sl-SI"/>
        </w:rPr>
      </w:pPr>
    </w:p>
    <w:p w14:paraId="22064FC9" w14:textId="77777777" w:rsidR="00BC5A64" w:rsidRDefault="00BC5A64" w:rsidP="006B3996">
      <w:pPr>
        <w:pStyle w:val="Header"/>
        <w:tabs>
          <w:tab w:val="left" w:pos="284"/>
        </w:tabs>
        <w:jc w:val="both"/>
        <w:rPr>
          <w:sz w:val="22"/>
          <w:szCs w:val="22"/>
          <w:u w:val="single"/>
          <w:lang w:val="sl-SI"/>
        </w:rPr>
      </w:pPr>
      <w:r>
        <w:rPr>
          <w:sz w:val="22"/>
          <w:szCs w:val="22"/>
          <w:u w:val="single"/>
          <w:lang w:val="sl-SI"/>
        </w:rPr>
        <w:t>Farmakodinamička dejstva</w:t>
      </w:r>
    </w:p>
    <w:p w14:paraId="22064FCA" w14:textId="77777777" w:rsidR="00BC5A64" w:rsidRDefault="00BC5A64" w:rsidP="006B3996">
      <w:pPr>
        <w:pStyle w:val="Header"/>
        <w:tabs>
          <w:tab w:val="left" w:pos="284"/>
        </w:tabs>
        <w:jc w:val="both"/>
        <w:rPr>
          <w:i/>
          <w:sz w:val="22"/>
          <w:szCs w:val="22"/>
          <w:lang w:val="sl-SI"/>
        </w:rPr>
      </w:pPr>
    </w:p>
    <w:p w14:paraId="22064FCB" w14:textId="77777777" w:rsidR="00BC5A64" w:rsidRDefault="00BC5A64" w:rsidP="006B3996">
      <w:pPr>
        <w:pStyle w:val="Header"/>
        <w:tabs>
          <w:tab w:val="left" w:pos="284"/>
        </w:tabs>
        <w:jc w:val="both"/>
        <w:rPr>
          <w:sz w:val="22"/>
          <w:szCs w:val="22"/>
          <w:lang w:val="sl-SI"/>
        </w:rPr>
      </w:pPr>
      <w:r>
        <w:rPr>
          <w:sz w:val="22"/>
          <w:szCs w:val="22"/>
          <w:lang w:val="sl-SI"/>
        </w:rPr>
        <w:t xml:space="preserve">U ispitivanjima koncipiranim za procjenu dejstva ljekova na centralni nervni sistem, rezultati dobijeni primjenom lamotrigina u dozi od 240 mg kod zdravih dobrovoljaca nijesu se razlikovali od placeba, dok </w:t>
      </w:r>
      <w:r>
        <w:rPr>
          <w:sz w:val="22"/>
          <w:szCs w:val="22"/>
          <w:lang w:val="sl-SI"/>
        </w:rPr>
        <w:lastRenderedPageBreak/>
        <w:t>je primjena 1.000 mg fenitoina i 10 mg diazepama dovela do značajnog oštećenja fine vizuelne motorne koordinacije i pokreta očiju, pojačanja nestabilnosti tijela i dovela do pojave subjektivnih sedativnih dejstava.</w:t>
      </w:r>
    </w:p>
    <w:p w14:paraId="22064FCC" w14:textId="77777777" w:rsidR="00BC5A64" w:rsidRDefault="00BC5A64" w:rsidP="006B3996">
      <w:pPr>
        <w:pStyle w:val="Header"/>
        <w:tabs>
          <w:tab w:val="left" w:pos="284"/>
        </w:tabs>
        <w:jc w:val="both"/>
        <w:rPr>
          <w:sz w:val="22"/>
          <w:szCs w:val="22"/>
          <w:lang w:val="sl-SI"/>
        </w:rPr>
      </w:pPr>
    </w:p>
    <w:p w14:paraId="22064FCD" w14:textId="6631D34E" w:rsidR="00BC5A64" w:rsidRDefault="00BC5A64" w:rsidP="006B3996">
      <w:pPr>
        <w:pStyle w:val="Header"/>
        <w:tabs>
          <w:tab w:val="left" w:pos="284"/>
        </w:tabs>
        <w:jc w:val="both"/>
        <w:rPr>
          <w:sz w:val="22"/>
          <w:szCs w:val="22"/>
          <w:lang w:val="sl-SI"/>
        </w:rPr>
      </w:pPr>
      <w:r>
        <w:rPr>
          <w:sz w:val="22"/>
          <w:szCs w:val="22"/>
          <w:lang w:val="sl-SI"/>
        </w:rPr>
        <w:t>U okviru drugog kliničkog ispitivanja, primjena jednokratne oralne doze od 600 mg karbamazepina je dovela do značajnog oštećenja fine vizuelne motorne koordinacije i pokreta očiju, uz pojačanje nestabilnosti tijela i povišenje srčane frekvence, dok se rezultati primjene lamotrigina u dozama od 150 mg i 300 mg nijesu razlikovali od primjene placeba.</w:t>
      </w:r>
    </w:p>
    <w:p w14:paraId="20843FB7" w14:textId="1684B2EF" w:rsidR="00512E98" w:rsidRDefault="00512E98" w:rsidP="006B3996">
      <w:pPr>
        <w:pStyle w:val="Header"/>
        <w:tabs>
          <w:tab w:val="left" w:pos="284"/>
        </w:tabs>
        <w:jc w:val="both"/>
        <w:rPr>
          <w:sz w:val="22"/>
          <w:szCs w:val="22"/>
          <w:lang w:val="sl-SI"/>
        </w:rPr>
      </w:pPr>
    </w:p>
    <w:p w14:paraId="744A08A4" w14:textId="77777777" w:rsidR="00512E98" w:rsidRPr="008E171B" w:rsidRDefault="00512E98" w:rsidP="006B3996">
      <w:pPr>
        <w:jc w:val="both"/>
        <w:rPr>
          <w:bCs/>
          <w:i/>
          <w:sz w:val="22"/>
          <w:szCs w:val="22"/>
          <w:lang w:val="sl-SI"/>
        </w:rPr>
      </w:pPr>
      <w:r w:rsidRPr="008E171B">
        <w:rPr>
          <w:bCs/>
          <w:i/>
          <w:sz w:val="22"/>
          <w:szCs w:val="22"/>
          <w:lang w:val="sl-SI"/>
        </w:rPr>
        <w:t>Klinička ispitivanja dejstva lamotrigina na sprovodljivost srca</w:t>
      </w:r>
    </w:p>
    <w:p w14:paraId="573A776F" w14:textId="77777777" w:rsidR="00512E98" w:rsidRPr="008E171B" w:rsidRDefault="00512E98" w:rsidP="006B3996">
      <w:pPr>
        <w:jc w:val="both"/>
        <w:rPr>
          <w:bCs/>
          <w:sz w:val="22"/>
          <w:szCs w:val="22"/>
          <w:lang w:val="sl-SI"/>
        </w:rPr>
      </w:pPr>
    </w:p>
    <w:p w14:paraId="7904C0E7" w14:textId="6DD2A8A9" w:rsidR="00512E98" w:rsidRPr="008E171B" w:rsidRDefault="00512E98" w:rsidP="006B3996">
      <w:pPr>
        <w:jc w:val="both"/>
        <w:rPr>
          <w:bCs/>
          <w:sz w:val="22"/>
          <w:szCs w:val="22"/>
          <w:lang w:val="sl-SI"/>
        </w:rPr>
      </w:pPr>
      <w:r w:rsidRPr="008E171B">
        <w:rPr>
          <w:sz w:val="22"/>
          <w:szCs w:val="22"/>
          <w:lang w:val="sl-SI"/>
        </w:rPr>
        <w:t xml:space="preserve">U okviru kliničkog ispitivanja na zdravim odraslim dobrovoljcima ispitano je dejstvo primjene ponovljenih doza lamotrigina (do 400 mg/dnevno) na sprovodljivost srca primjenom EKG-a. Nije bilo klinički značajnog dejstva lamotrigina na QT interval u poređenju sa placebom.  </w:t>
      </w:r>
    </w:p>
    <w:p w14:paraId="22064FCE" w14:textId="77777777" w:rsidR="00BC5A64" w:rsidRDefault="00BC5A64" w:rsidP="006B3996">
      <w:pPr>
        <w:pStyle w:val="Header"/>
        <w:tabs>
          <w:tab w:val="left" w:pos="284"/>
        </w:tabs>
        <w:jc w:val="both"/>
        <w:rPr>
          <w:sz w:val="22"/>
          <w:szCs w:val="22"/>
          <w:lang w:val="sl-SI"/>
        </w:rPr>
      </w:pPr>
    </w:p>
    <w:p w14:paraId="22064FCF" w14:textId="475ECFA0" w:rsidR="00BC5A64" w:rsidRPr="00BC6BEF" w:rsidRDefault="00BC5A64" w:rsidP="006B3996">
      <w:pPr>
        <w:pStyle w:val="Header"/>
        <w:jc w:val="both"/>
        <w:rPr>
          <w:sz w:val="22"/>
          <w:szCs w:val="22"/>
          <w:u w:val="single"/>
          <w:lang w:val="sl-SI"/>
        </w:rPr>
      </w:pPr>
      <w:r w:rsidRPr="00BC6BEF">
        <w:rPr>
          <w:sz w:val="22"/>
          <w:szCs w:val="22"/>
          <w:u w:val="single"/>
          <w:lang w:val="sl-SI"/>
        </w:rPr>
        <w:t xml:space="preserve">Klinička efikasnost i bezbjednost primjene lijeka </w:t>
      </w:r>
    </w:p>
    <w:p w14:paraId="22064FD8" w14:textId="77777777" w:rsidR="00BC5A64" w:rsidRPr="00BC6BEF" w:rsidRDefault="00BC5A64" w:rsidP="006B3996">
      <w:pPr>
        <w:pStyle w:val="Header"/>
        <w:jc w:val="both"/>
        <w:rPr>
          <w:sz w:val="22"/>
          <w:szCs w:val="22"/>
          <w:lang w:val="sl-SI"/>
        </w:rPr>
      </w:pPr>
    </w:p>
    <w:p w14:paraId="22064FD9" w14:textId="00AB6F28" w:rsidR="00BC5A64" w:rsidRPr="00BC6BEF" w:rsidRDefault="00037F2F" w:rsidP="006B3996">
      <w:pPr>
        <w:pStyle w:val="Header"/>
        <w:jc w:val="both"/>
        <w:rPr>
          <w:i/>
          <w:sz w:val="22"/>
          <w:szCs w:val="22"/>
          <w:lang w:val="sl-SI"/>
        </w:rPr>
      </w:pPr>
      <w:r w:rsidRPr="00BC6BEF">
        <w:rPr>
          <w:i/>
          <w:sz w:val="22"/>
          <w:szCs w:val="22"/>
          <w:lang w:val="sl-SI"/>
        </w:rPr>
        <w:t>P</w:t>
      </w:r>
      <w:r w:rsidR="00BC5A64" w:rsidRPr="00BC6BEF">
        <w:rPr>
          <w:i/>
          <w:sz w:val="22"/>
          <w:szCs w:val="22"/>
          <w:lang w:val="sl-SI"/>
        </w:rPr>
        <w:t>revencij</w:t>
      </w:r>
      <w:r w:rsidRPr="00BC6BEF">
        <w:rPr>
          <w:i/>
          <w:sz w:val="22"/>
          <w:szCs w:val="22"/>
          <w:lang w:val="sl-SI"/>
        </w:rPr>
        <w:t>a</w:t>
      </w:r>
      <w:r w:rsidR="00BC5A64" w:rsidRPr="00BC6BEF">
        <w:rPr>
          <w:i/>
          <w:sz w:val="22"/>
          <w:szCs w:val="22"/>
          <w:lang w:val="sl-SI"/>
        </w:rPr>
        <w:t xml:space="preserve"> epizoda promjena raspoloženja kod pacijenata sa bipolarnim poremećajem</w:t>
      </w:r>
    </w:p>
    <w:p w14:paraId="22064FDA" w14:textId="77777777" w:rsidR="00BC5A64" w:rsidRPr="00BC6BEF" w:rsidRDefault="00BC5A64" w:rsidP="006B3996">
      <w:pPr>
        <w:pStyle w:val="Header"/>
        <w:jc w:val="both"/>
        <w:rPr>
          <w:i/>
          <w:sz w:val="22"/>
          <w:szCs w:val="22"/>
          <w:lang w:val="sl-SI"/>
        </w:rPr>
      </w:pPr>
    </w:p>
    <w:p w14:paraId="22064FDB" w14:textId="77777777" w:rsidR="00BC5A64" w:rsidRPr="00BC6BEF" w:rsidRDefault="00BC5A64" w:rsidP="006B3996">
      <w:pPr>
        <w:pStyle w:val="Header"/>
        <w:jc w:val="both"/>
        <w:rPr>
          <w:sz w:val="22"/>
          <w:szCs w:val="22"/>
          <w:lang w:val="sl-SI"/>
        </w:rPr>
      </w:pPr>
      <w:r w:rsidRPr="00BC6BEF">
        <w:rPr>
          <w:sz w:val="22"/>
          <w:szCs w:val="22"/>
          <w:lang w:val="sl-SI"/>
        </w:rPr>
        <w:t>U okviru dva klinička ispitivanja bila je ispitana efikasnost primjene lamotrigina u prevenciji epizoda promjena raspoloženja kod pacijenata sa bipolarnim i poremećajem.</w:t>
      </w:r>
    </w:p>
    <w:p w14:paraId="22064FDC" w14:textId="77777777" w:rsidR="00BC5A64" w:rsidRPr="00BC6BEF" w:rsidRDefault="00BC5A64" w:rsidP="006B3996">
      <w:pPr>
        <w:pStyle w:val="Header"/>
        <w:jc w:val="both"/>
        <w:rPr>
          <w:sz w:val="22"/>
          <w:szCs w:val="22"/>
          <w:lang w:val="sl-SI"/>
        </w:rPr>
      </w:pPr>
    </w:p>
    <w:p w14:paraId="22064FDD" w14:textId="0EBF28D6" w:rsidR="00BC5A64" w:rsidRPr="00BC6BEF" w:rsidRDefault="00BC5A64" w:rsidP="006B3996">
      <w:pPr>
        <w:pStyle w:val="Header"/>
        <w:jc w:val="both"/>
        <w:rPr>
          <w:sz w:val="22"/>
          <w:szCs w:val="22"/>
          <w:lang w:val="sl-SI"/>
        </w:rPr>
      </w:pPr>
      <w:r w:rsidRPr="00BC6BEF">
        <w:rPr>
          <w:sz w:val="22"/>
          <w:szCs w:val="22"/>
          <w:lang w:val="sl-SI"/>
        </w:rPr>
        <w:t xml:space="preserve">Kliničko ispitivanje SCAB2003 je bilo multicentrično, dvostruko-slijepo, dvostruko-lažno, placebo i litijum-kontrolisano randomizovano ispitivanje primjene fiksne doze u dugoročnoj prevenciji relapsa i ponovnog javljanja depresije i/ili manije kod pacijenata sa bipolarnim poremećajem </w:t>
      </w:r>
      <w:r w:rsidR="00703905" w:rsidRPr="00BC6BEF">
        <w:rPr>
          <w:sz w:val="22"/>
          <w:szCs w:val="22"/>
          <w:lang w:val="sl-SI"/>
        </w:rPr>
        <w:t xml:space="preserve">I </w:t>
      </w:r>
      <w:r w:rsidRPr="00BC6BEF">
        <w:rPr>
          <w:sz w:val="22"/>
          <w:szCs w:val="22"/>
          <w:lang w:val="sl-SI"/>
        </w:rPr>
        <w:t xml:space="preserve">kod kojih je nedavno došlo do pojave ili trenutno imaju major depresivnu epizodu. Nakon stabilizacije stanja primjenom monoterapije lamotriginom ili adjuvantne terapije, pacijenti su randomizovani u jednu od pet terapijskih grupa: lamotrigin (50, 200, 400mg/dnevno), litijum (nivoi u serumu u opsegu od 0,8 do 1,1 mMol/l) ili placebo terapijsku grupu tokom perioda od najviše 76 nedjelja (18 mjeseci). Primarni </w:t>
      </w:r>
      <w:r w:rsidR="00703905" w:rsidRPr="00BC6BEF">
        <w:rPr>
          <w:sz w:val="22"/>
          <w:szCs w:val="22"/>
          <w:lang w:val="sl-SI"/>
        </w:rPr>
        <w:t>parameter praćenja</w:t>
      </w:r>
      <w:r w:rsidRPr="00BC6BEF">
        <w:rPr>
          <w:sz w:val="22"/>
          <w:szCs w:val="22"/>
          <w:lang w:val="sl-SI"/>
        </w:rPr>
        <w:t xml:space="preserve"> bio je određivanje "vremena do primjene intervencije u terapiji epizode promjene raspoloženja" (TIME, </w:t>
      </w:r>
      <w:r w:rsidRPr="00BC6BEF">
        <w:rPr>
          <w:i/>
          <w:sz w:val="22"/>
          <w:szCs w:val="22"/>
          <w:lang w:val="sl-SI"/>
        </w:rPr>
        <w:t>Time to Intervention for a Mood Episode</w:t>
      </w:r>
      <w:r w:rsidRPr="00BC6BEF">
        <w:rPr>
          <w:sz w:val="22"/>
          <w:szCs w:val="22"/>
          <w:lang w:val="sl-SI"/>
        </w:rPr>
        <w:t xml:space="preserve">), u kome je pod pojmom intervencija podrazumijevana primjena dodatne farmakoterapije ili elektrokonvulzivne terapije (ECT). Kliničko ispitivanje SCAB2006 je bilo koncipirano slično kliničkom ispitivanju SCAB2003, ali se od kliničkog ispitivanja SCAB2003 razlikovalo u procjeni fleksibilnih doza lamotrigina (100 do 400 mg/dnevno) i po tome što su u njega bili uključeni pacijenti sa bipolarnim poremećajem </w:t>
      </w:r>
      <w:r w:rsidR="005C1AF4" w:rsidRPr="00BC6BEF">
        <w:rPr>
          <w:sz w:val="22"/>
          <w:szCs w:val="22"/>
          <w:lang w:val="sl-SI"/>
        </w:rPr>
        <w:t xml:space="preserve">tip I </w:t>
      </w:r>
      <w:r w:rsidRPr="00BC6BEF">
        <w:rPr>
          <w:sz w:val="22"/>
          <w:szCs w:val="22"/>
          <w:lang w:val="sl-SI"/>
        </w:rPr>
        <w:t xml:space="preserve">kod kojih je nedavno došlo do pojave ili trenutno imaju maničnu epizodu. Rezultati su prikazani u tabeli 7. </w:t>
      </w:r>
    </w:p>
    <w:p w14:paraId="22064FDE" w14:textId="77777777" w:rsidR="00BC5A64" w:rsidRPr="00BC6BEF" w:rsidRDefault="00BC5A64" w:rsidP="006B3996">
      <w:pPr>
        <w:pStyle w:val="Header"/>
        <w:jc w:val="both"/>
        <w:rPr>
          <w:sz w:val="22"/>
          <w:szCs w:val="22"/>
          <w:lang w:val="sl-SI"/>
        </w:rPr>
      </w:pPr>
    </w:p>
    <w:p w14:paraId="22064FDF" w14:textId="20D96381" w:rsidR="00BC5A64" w:rsidRPr="00BC6BEF" w:rsidRDefault="00BC5A64" w:rsidP="006B3996">
      <w:pPr>
        <w:pStyle w:val="Header"/>
        <w:jc w:val="both"/>
        <w:rPr>
          <w:i/>
          <w:sz w:val="22"/>
          <w:szCs w:val="22"/>
          <w:u w:val="single"/>
          <w:lang w:val="sl-SI"/>
        </w:rPr>
      </w:pPr>
      <w:r w:rsidRPr="00BC6BEF">
        <w:rPr>
          <w:i/>
          <w:sz w:val="22"/>
          <w:szCs w:val="22"/>
          <w:u w:val="single"/>
          <w:lang w:val="sl-SI"/>
        </w:rPr>
        <w:t>Tabela 7: Pregled rezultata kliničkih ispitivanja efikasnosti primjene lamotrigina u prevenciji epizoda promjena raspoloženja kod pacijenata sa bipolarnim poremećajem</w:t>
      </w:r>
      <w:r w:rsidR="00434D2B" w:rsidRPr="00BC6BEF">
        <w:rPr>
          <w:i/>
          <w:sz w:val="22"/>
          <w:szCs w:val="22"/>
          <w:u w:val="single"/>
          <w:lang w:val="sl-SI"/>
        </w:rPr>
        <w:t xml:space="preserve"> tip I</w:t>
      </w:r>
    </w:p>
    <w:p w14:paraId="22064FE0" w14:textId="77777777" w:rsidR="00BC5A64" w:rsidRPr="00BC6BEF" w:rsidRDefault="00BC5A64" w:rsidP="006B3996">
      <w:pPr>
        <w:pStyle w:val="Header"/>
        <w:jc w:val="both"/>
        <w:rPr>
          <w:i/>
          <w:sz w:val="22"/>
          <w:szCs w:val="22"/>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422"/>
        <w:gridCol w:w="1422"/>
        <w:gridCol w:w="1422"/>
        <w:gridCol w:w="1423"/>
        <w:gridCol w:w="1423"/>
        <w:gridCol w:w="1423"/>
      </w:tblGrid>
      <w:tr w:rsidR="00BC5A64" w:rsidRPr="00BF78B0" w14:paraId="22064FE2" w14:textId="77777777" w:rsidTr="00BC5A64">
        <w:tc>
          <w:tcPr>
            <w:tcW w:w="9957" w:type="dxa"/>
            <w:gridSpan w:val="7"/>
            <w:tcBorders>
              <w:top w:val="single" w:sz="4" w:space="0" w:color="auto"/>
              <w:left w:val="single" w:sz="4" w:space="0" w:color="auto"/>
              <w:bottom w:val="single" w:sz="4" w:space="0" w:color="auto"/>
              <w:right w:val="single" w:sz="4" w:space="0" w:color="auto"/>
            </w:tcBorders>
            <w:vAlign w:val="center"/>
            <w:hideMark/>
          </w:tcPr>
          <w:p w14:paraId="22064FE1" w14:textId="77777777" w:rsidR="00BC5A64" w:rsidRPr="00BC6BEF" w:rsidRDefault="00BC5A64">
            <w:pPr>
              <w:pStyle w:val="Header"/>
              <w:jc w:val="center"/>
              <w:rPr>
                <w:b/>
                <w:sz w:val="22"/>
                <w:szCs w:val="22"/>
                <w:lang w:val="sl-SI"/>
              </w:rPr>
            </w:pPr>
            <w:r w:rsidRPr="00BC6BEF">
              <w:rPr>
                <w:b/>
                <w:sz w:val="22"/>
                <w:szCs w:val="22"/>
                <w:lang w:val="sl-SI"/>
              </w:rPr>
              <w:t>Procenat pacijenata kod kojih nije bilo simptoma oboljenja 76. nedjelje terapije</w:t>
            </w:r>
          </w:p>
        </w:tc>
      </w:tr>
      <w:tr w:rsidR="00BC5A64" w14:paraId="22064FE8" w14:textId="77777777" w:rsidTr="00BC5A64">
        <w:tc>
          <w:tcPr>
            <w:tcW w:w="1422" w:type="dxa"/>
            <w:tcBorders>
              <w:top w:val="single" w:sz="4" w:space="0" w:color="auto"/>
              <w:left w:val="single" w:sz="4" w:space="0" w:color="auto"/>
              <w:bottom w:val="single" w:sz="4" w:space="0" w:color="auto"/>
              <w:right w:val="single" w:sz="4" w:space="0" w:color="auto"/>
            </w:tcBorders>
            <w:vAlign w:val="center"/>
          </w:tcPr>
          <w:p w14:paraId="22064FE3" w14:textId="77777777" w:rsidR="00BC5A64" w:rsidRPr="00BC6BEF" w:rsidRDefault="00BC5A64">
            <w:pPr>
              <w:pStyle w:val="Header"/>
              <w:jc w:val="center"/>
              <w:rPr>
                <w:sz w:val="22"/>
                <w:szCs w:val="22"/>
                <w:lang w:val="sl-SI"/>
              </w:rPr>
            </w:pPr>
          </w:p>
        </w:tc>
        <w:tc>
          <w:tcPr>
            <w:tcW w:w="4266" w:type="dxa"/>
            <w:gridSpan w:val="3"/>
            <w:tcBorders>
              <w:top w:val="single" w:sz="4" w:space="0" w:color="auto"/>
              <w:left w:val="single" w:sz="4" w:space="0" w:color="auto"/>
              <w:bottom w:val="single" w:sz="4" w:space="0" w:color="auto"/>
              <w:right w:val="single" w:sz="4" w:space="0" w:color="auto"/>
            </w:tcBorders>
            <w:vAlign w:val="center"/>
            <w:hideMark/>
          </w:tcPr>
          <w:p w14:paraId="22064FE4" w14:textId="77777777" w:rsidR="00BC5A64" w:rsidRDefault="00BC5A64">
            <w:pPr>
              <w:pStyle w:val="Header"/>
              <w:jc w:val="center"/>
              <w:rPr>
                <w:b/>
                <w:sz w:val="22"/>
                <w:szCs w:val="22"/>
              </w:rPr>
            </w:pPr>
            <w:r>
              <w:rPr>
                <w:b/>
                <w:sz w:val="22"/>
                <w:szCs w:val="22"/>
              </w:rPr>
              <w:t>Studija SCAB2003</w:t>
            </w:r>
          </w:p>
          <w:p w14:paraId="22064FE5" w14:textId="4ECB0ED9" w:rsidR="00BC5A64" w:rsidRDefault="00BC5A64" w:rsidP="003B4D02">
            <w:pPr>
              <w:pStyle w:val="Header"/>
              <w:jc w:val="center"/>
              <w:rPr>
                <w:sz w:val="22"/>
                <w:szCs w:val="22"/>
              </w:rPr>
            </w:pPr>
            <w:r>
              <w:rPr>
                <w:b/>
                <w:sz w:val="22"/>
                <w:szCs w:val="22"/>
              </w:rPr>
              <w:t>Bipolarni poremećaj</w:t>
            </w:r>
            <w:r w:rsidR="003B4D02">
              <w:rPr>
                <w:b/>
                <w:sz w:val="22"/>
                <w:szCs w:val="22"/>
              </w:rPr>
              <w:t xml:space="preserve"> tip I</w:t>
            </w:r>
          </w:p>
        </w:tc>
        <w:tc>
          <w:tcPr>
            <w:tcW w:w="4269" w:type="dxa"/>
            <w:gridSpan w:val="3"/>
            <w:tcBorders>
              <w:top w:val="single" w:sz="4" w:space="0" w:color="auto"/>
              <w:left w:val="single" w:sz="4" w:space="0" w:color="auto"/>
              <w:bottom w:val="single" w:sz="4" w:space="0" w:color="auto"/>
              <w:right w:val="single" w:sz="4" w:space="0" w:color="auto"/>
            </w:tcBorders>
            <w:vAlign w:val="center"/>
            <w:hideMark/>
          </w:tcPr>
          <w:p w14:paraId="22064FE6" w14:textId="77777777" w:rsidR="00BC5A64" w:rsidRDefault="00BC5A64">
            <w:pPr>
              <w:pStyle w:val="Header"/>
              <w:jc w:val="center"/>
              <w:rPr>
                <w:b/>
                <w:sz w:val="22"/>
                <w:szCs w:val="22"/>
              </w:rPr>
            </w:pPr>
            <w:r>
              <w:rPr>
                <w:b/>
                <w:sz w:val="22"/>
                <w:szCs w:val="22"/>
              </w:rPr>
              <w:t>Studija SCAB2006</w:t>
            </w:r>
          </w:p>
          <w:p w14:paraId="22064FE7" w14:textId="7192E28C" w:rsidR="00BC5A64" w:rsidRDefault="00BC5A64" w:rsidP="003B4D02">
            <w:pPr>
              <w:pStyle w:val="Header"/>
              <w:jc w:val="center"/>
              <w:rPr>
                <w:sz w:val="22"/>
                <w:szCs w:val="22"/>
              </w:rPr>
            </w:pPr>
            <w:r>
              <w:rPr>
                <w:b/>
                <w:sz w:val="22"/>
                <w:szCs w:val="22"/>
              </w:rPr>
              <w:t>Bipolarni poremećaj</w:t>
            </w:r>
            <w:r w:rsidR="003B4D02">
              <w:rPr>
                <w:b/>
                <w:sz w:val="22"/>
                <w:szCs w:val="22"/>
              </w:rPr>
              <w:t xml:space="preserve"> tip I</w:t>
            </w:r>
          </w:p>
        </w:tc>
      </w:tr>
      <w:tr w:rsidR="00BC5A64" w14:paraId="22064FEC"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4FE9" w14:textId="77777777" w:rsidR="00BC5A64" w:rsidRDefault="00BC5A64">
            <w:pPr>
              <w:pStyle w:val="Header"/>
              <w:jc w:val="center"/>
              <w:rPr>
                <w:sz w:val="22"/>
                <w:szCs w:val="22"/>
              </w:rPr>
            </w:pPr>
            <w:r>
              <w:rPr>
                <w:sz w:val="22"/>
                <w:szCs w:val="22"/>
              </w:rPr>
              <w:t>Kriterijum za uključenje</w:t>
            </w:r>
          </w:p>
        </w:tc>
        <w:tc>
          <w:tcPr>
            <w:tcW w:w="4266" w:type="dxa"/>
            <w:gridSpan w:val="3"/>
            <w:tcBorders>
              <w:top w:val="single" w:sz="4" w:space="0" w:color="auto"/>
              <w:left w:val="single" w:sz="4" w:space="0" w:color="auto"/>
              <w:bottom w:val="single" w:sz="4" w:space="0" w:color="auto"/>
              <w:right w:val="single" w:sz="4" w:space="0" w:color="auto"/>
            </w:tcBorders>
            <w:vAlign w:val="center"/>
            <w:hideMark/>
          </w:tcPr>
          <w:p w14:paraId="22064FEA" w14:textId="77777777" w:rsidR="00BC5A64" w:rsidRDefault="00BC5A64">
            <w:pPr>
              <w:pStyle w:val="Header"/>
              <w:jc w:val="center"/>
              <w:rPr>
                <w:sz w:val="22"/>
                <w:szCs w:val="22"/>
              </w:rPr>
            </w:pPr>
            <w:r>
              <w:rPr>
                <w:sz w:val="22"/>
                <w:szCs w:val="22"/>
              </w:rPr>
              <w:t>Major depresivna epizoda</w:t>
            </w:r>
          </w:p>
        </w:tc>
        <w:tc>
          <w:tcPr>
            <w:tcW w:w="4269" w:type="dxa"/>
            <w:gridSpan w:val="3"/>
            <w:tcBorders>
              <w:top w:val="single" w:sz="4" w:space="0" w:color="auto"/>
              <w:left w:val="single" w:sz="4" w:space="0" w:color="auto"/>
              <w:bottom w:val="single" w:sz="4" w:space="0" w:color="auto"/>
              <w:right w:val="single" w:sz="4" w:space="0" w:color="auto"/>
            </w:tcBorders>
            <w:vAlign w:val="center"/>
            <w:hideMark/>
          </w:tcPr>
          <w:p w14:paraId="22064FEB" w14:textId="77777777" w:rsidR="00BC5A64" w:rsidRDefault="00BC5A64">
            <w:pPr>
              <w:pStyle w:val="Header"/>
              <w:jc w:val="center"/>
              <w:rPr>
                <w:sz w:val="22"/>
                <w:szCs w:val="22"/>
              </w:rPr>
            </w:pPr>
            <w:r>
              <w:rPr>
                <w:sz w:val="22"/>
                <w:szCs w:val="22"/>
              </w:rPr>
              <w:t>Major manična epizoda</w:t>
            </w:r>
          </w:p>
        </w:tc>
      </w:tr>
      <w:tr w:rsidR="00BC5A64" w14:paraId="22064FF4" w14:textId="77777777" w:rsidTr="00BC5A64">
        <w:tc>
          <w:tcPr>
            <w:tcW w:w="1422" w:type="dxa"/>
            <w:tcBorders>
              <w:top w:val="single" w:sz="4" w:space="0" w:color="auto"/>
              <w:left w:val="single" w:sz="4" w:space="0" w:color="auto"/>
              <w:bottom w:val="single" w:sz="4" w:space="0" w:color="auto"/>
              <w:right w:val="single" w:sz="4" w:space="0" w:color="auto"/>
            </w:tcBorders>
            <w:vAlign w:val="center"/>
          </w:tcPr>
          <w:p w14:paraId="22064FED"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EE" w14:textId="77777777" w:rsidR="00BC5A64" w:rsidRDefault="00BC5A64">
            <w:pPr>
              <w:pStyle w:val="Header"/>
              <w:jc w:val="center"/>
              <w:rPr>
                <w:sz w:val="22"/>
                <w:szCs w:val="22"/>
              </w:rPr>
            </w:pPr>
            <w:r>
              <w:rPr>
                <w:sz w:val="22"/>
                <w:szCs w:val="22"/>
              </w:rPr>
              <w:t>Lamotrigin</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EF" w14:textId="77777777" w:rsidR="00BC5A64" w:rsidRDefault="00BC5A64">
            <w:pPr>
              <w:pStyle w:val="Header"/>
              <w:jc w:val="center"/>
              <w:rPr>
                <w:sz w:val="22"/>
                <w:szCs w:val="22"/>
              </w:rPr>
            </w:pPr>
            <w:r>
              <w:rPr>
                <w:sz w:val="22"/>
                <w:szCs w:val="22"/>
              </w:rPr>
              <w:t>Litijum</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F0" w14:textId="77777777" w:rsidR="00BC5A64" w:rsidRDefault="00BC5A64">
            <w:pPr>
              <w:pStyle w:val="Header"/>
              <w:jc w:val="center"/>
              <w:rPr>
                <w:sz w:val="22"/>
                <w:szCs w:val="22"/>
              </w:rPr>
            </w:pPr>
            <w:r>
              <w:rPr>
                <w:sz w:val="22"/>
                <w:szCs w:val="22"/>
              </w:rPr>
              <w:t>Placebo</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4FF1" w14:textId="77777777" w:rsidR="00BC5A64" w:rsidRDefault="00BC5A64">
            <w:pPr>
              <w:pStyle w:val="Header"/>
              <w:jc w:val="center"/>
              <w:rPr>
                <w:sz w:val="22"/>
                <w:szCs w:val="22"/>
              </w:rPr>
            </w:pPr>
            <w:r>
              <w:rPr>
                <w:sz w:val="22"/>
                <w:szCs w:val="22"/>
              </w:rPr>
              <w:t>Lamotrigin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4FF2" w14:textId="77777777" w:rsidR="00BC5A64" w:rsidRDefault="00BC5A64">
            <w:pPr>
              <w:pStyle w:val="Header"/>
              <w:jc w:val="center"/>
              <w:rPr>
                <w:sz w:val="22"/>
                <w:szCs w:val="22"/>
              </w:rPr>
            </w:pPr>
            <w:r>
              <w:rPr>
                <w:sz w:val="22"/>
                <w:szCs w:val="22"/>
              </w:rPr>
              <w:t>Litijum</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4FF3" w14:textId="77777777" w:rsidR="00BC5A64" w:rsidRDefault="00BC5A64">
            <w:pPr>
              <w:pStyle w:val="Header"/>
              <w:jc w:val="center"/>
              <w:rPr>
                <w:sz w:val="22"/>
                <w:szCs w:val="22"/>
              </w:rPr>
            </w:pPr>
            <w:r>
              <w:rPr>
                <w:sz w:val="22"/>
                <w:szCs w:val="22"/>
              </w:rPr>
              <w:t>Placebo</w:t>
            </w:r>
          </w:p>
        </w:tc>
      </w:tr>
      <w:tr w:rsidR="00BC5A64" w14:paraId="22064FFC"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4FF5" w14:textId="77777777" w:rsidR="00BC5A64" w:rsidRDefault="00BC5A64">
            <w:pPr>
              <w:pStyle w:val="Header"/>
              <w:jc w:val="center"/>
              <w:rPr>
                <w:sz w:val="22"/>
                <w:szCs w:val="22"/>
              </w:rPr>
            </w:pPr>
            <w:r>
              <w:rPr>
                <w:sz w:val="22"/>
                <w:szCs w:val="22"/>
              </w:rPr>
              <w:t>Bez intervencije</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F6" w14:textId="77777777" w:rsidR="00BC5A64" w:rsidRDefault="00BC5A64">
            <w:pPr>
              <w:pStyle w:val="Header"/>
              <w:jc w:val="center"/>
              <w:rPr>
                <w:sz w:val="22"/>
                <w:szCs w:val="22"/>
              </w:rPr>
            </w:pPr>
            <w:r>
              <w:rPr>
                <w:sz w:val="22"/>
                <w:szCs w:val="22"/>
              </w:rPr>
              <w:t>0,22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F7" w14:textId="77777777" w:rsidR="00BC5A64" w:rsidRDefault="00BC5A64">
            <w:pPr>
              <w:pStyle w:val="Header"/>
              <w:jc w:val="center"/>
              <w:rPr>
                <w:sz w:val="22"/>
                <w:szCs w:val="22"/>
              </w:rPr>
            </w:pPr>
            <w:r>
              <w:rPr>
                <w:sz w:val="22"/>
                <w:szCs w:val="22"/>
              </w:rPr>
              <w:t>0,21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F8" w14:textId="77777777" w:rsidR="00BC5A64" w:rsidRDefault="00BC5A64">
            <w:pPr>
              <w:pStyle w:val="Header"/>
              <w:jc w:val="center"/>
              <w:rPr>
                <w:sz w:val="22"/>
                <w:szCs w:val="22"/>
              </w:rPr>
            </w:pPr>
            <w:r>
              <w:rPr>
                <w:sz w:val="22"/>
                <w:szCs w:val="22"/>
              </w:rPr>
              <w:t>0,12</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4FF9" w14:textId="77777777" w:rsidR="00BC5A64" w:rsidRDefault="00BC5A64">
            <w:pPr>
              <w:pStyle w:val="Header"/>
              <w:jc w:val="center"/>
              <w:rPr>
                <w:sz w:val="22"/>
                <w:szCs w:val="22"/>
              </w:rPr>
            </w:pPr>
            <w:r>
              <w:rPr>
                <w:sz w:val="22"/>
                <w:szCs w:val="22"/>
              </w:rPr>
              <w:t>0,17</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4FFA" w14:textId="77777777" w:rsidR="00BC5A64" w:rsidRDefault="00BC5A64">
            <w:pPr>
              <w:pStyle w:val="Header"/>
              <w:jc w:val="center"/>
              <w:rPr>
                <w:sz w:val="22"/>
                <w:szCs w:val="22"/>
              </w:rPr>
            </w:pPr>
            <w:r>
              <w:rPr>
                <w:sz w:val="22"/>
                <w:szCs w:val="22"/>
              </w:rPr>
              <w:t>0,24</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4FFB" w14:textId="77777777" w:rsidR="00BC5A64" w:rsidRDefault="00BC5A64">
            <w:pPr>
              <w:pStyle w:val="Header"/>
              <w:jc w:val="center"/>
              <w:rPr>
                <w:sz w:val="22"/>
                <w:szCs w:val="22"/>
              </w:rPr>
            </w:pPr>
            <w:r>
              <w:rPr>
                <w:sz w:val="22"/>
                <w:szCs w:val="22"/>
              </w:rPr>
              <w:t>0,04</w:t>
            </w:r>
          </w:p>
        </w:tc>
      </w:tr>
      <w:tr w:rsidR="00BC5A64" w14:paraId="22065004"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4FFD" w14:textId="77777777" w:rsidR="00BC5A64" w:rsidRDefault="00BC5A64">
            <w:pPr>
              <w:pStyle w:val="Header"/>
              <w:jc w:val="center"/>
              <w:rPr>
                <w:sz w:val="22"/>
                <w:szCs w:val="22"/>
              </w:rPr>
            </w:pPr>
            <w:r>
              <w:rPr>
                <w:sz w:val="22"/>
                <w:szCs w:val="22"/>
              </w:rPr>
              <w:t>p-vrijednost Log rank testa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FE" w14:textId="77777777" w:rsidR="00BC5A64" w:rsidRDefault="00BC5A64">
            <w:pPr>
              <w:pStyle w:val="Header"/>
              <w:jc w:val="center"/>
              <w:rPr>
                <w:sz w:val="22"/>
                <w:szCs w:val="22"/>
              </w:rPr>
            </w:pPr>
            <w:r>
              <w:rPr>
                <w:sz w:val="22"/>
                <w:szCs w:val="22"/>
              </w:rPr>
              <w:t>0,004</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4FFF" w14:textId="77777777" w:rsidR="00BC5A64" w:rsidRDefault="00BC5A64">
            <w:pPr>
              <w:pStyle w:val="Header"/>
              <w:jc w:val="center"/>
              <w:rPr>
                <w:sz w:val="22"/>
                <w:szCs w:val="22"/>
              </w:rPr>
            </w:pPr>
            <w:r>
              <w:rPr>
                <w:sz w:val="22"/>
                <w:szCs w:val="22"/>
              </w:rPr>
              <w:t>0,006</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00" w14:textId="77777777" w:rsidR="00BC5A64" w:rsidRDefault="00BC5A64">
            <w:pPr>
              <w:pStyle w:val="Header"/>
              <w:jc w:val="center"/>
              <w:rPr>
                <w:sz w:val="22"/>
                <w:szCs w:val="22"/>
              </w:rPr>
            </w:pPr>
            <w:r>
              <w:rPr>
                <w:sz w:val="22"/>
                <w:szCs w:val="22"/>
              </w:rPr>
              <w:t>-</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01" w14:textId="77777777" w:rsidR="00BC5A64" w:rsidRDefault="00BC5A64">
            <w:pPr>
              <w:pStyle w:val="Header"/>
              <w:jc w:val="center"/>
              <w:rPr>
                <w:sz w:val="22"/>
                <w:szCs w:val="22"/>
              </w:rPr>
            </w:pPr>
            <w:r>
              <w:rPr>
                <w:sz w:val="22"/>
                <w:szCs w:val="22"/>
              </w:rPr>
              <w:t>0,023</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02" w14:textId="77777777" w:rsidR="00BC5A64" w:rsidRDefault="00BC5A64">
            <w:pPr>
              <w:pStyle w:val="Header"/>
              <w:jc w:val="center"/>
              <w:rPr>
                <w:sz w:val="22"/>
                <w:szCs w:val="22"/>
              </w:rPr>
            </w:pPr>
            <w:r>
              <w:rPr>
                <w:sz w:val="22"/>
                <w:szCs w:val="22"/>
              </w:rPr>
              <w:t>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03" w14:textId="77777777" w:rsidR="00BC5A64" w:rsidRDefault="00BC5A64">
            <w:pPr>
              <w:pStyle w:val="Header"/>
              <w:jc w:val="center"/>
              <w:rPr>
                <w:sz w:val="22"/>
                <w:szCs w:val="22"/>
              </w:rPr>
            </w:pPr>
            <w:r>
              <w:rPr>
                <w:sz w:val="22"/>
                <w:szCs w:val="22"/>
              </w:rPr>
              <w:t>-</w:t>
            </w:r>
          </w:p>
        </w:tc>
      </w:tr>
      <w:tr w:rsidR="00BC5A64" w14:paraId="2206500C" w14:textId="77777777" w:rsidTr="00BC5A64">
        <w:tc>
          <w:tcPr>
            <w:tcW w:w="1422" w:type="dxa"/>
            <w:tcBorders>
              <w:top w:val="single" w:sz="4" w:space="0" w:color="auto"/>
              <w:left w:val="single" w:sz="4" w:space="0" w:color="auto"/>
              <w:bottom w:val="single" w:sz="4" w:space="0" w:color="auto"/>
              <w:right w:val="single" w:sz="4" w:space="0" w:color="auto"/>
            </w:tcBorders>
            <w:vAlign w:val="center"/>
          </w:tcPr>
          <w:p w14:paraId="22065005"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2065006"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2065007"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2065008" w14:textId="77777777" w:rsidR="00BC5A64" w:rsidRDefault="00BC5A64">
            <w:pPr>
              <w:pStyle w:val="Header"/>
              <w:jc w:val="center"/>
              <w:rPr>
                <w:sz w:val="22"/>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22065009" w14:textId="77777777" w:rsidR="00BC5A64" w:rsidRDefault="00BC5A64">
            <w:pPr>
              <w:pStyle w:val="Header"/>
              <w:jc w:val="center"/>
              <w:rPr>
                <w:sz w:val="22"/>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2206500A" w14:textId="77777777" w:rsidR="00BC5A64" w:rsidRDefault="00BC5A64">
            <w:pPr>
              <w:pStyle w:val="Header"/>
              <w:jc w:val="center"/>
              <w:rPr>
                <w:sz w:val="22"/>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2206500B" w14:textId="77777777" w:rsidR="00BC5A64" w:rsidRDefault="00BC5A64">
            <w:pPr>
              <w:pStyle w:val="Header"/>
              <w:jc w:val="center"/>
              <w:rPr>
                <w:sz w:val="22"/>
                <w:szCs w:val="22"/>
              </w:rPr>
            </w:pPr>
          </w:p>
        </w:tc>
      </w:tr>
      <w:tr w:rsidR="00BC5A64" w14:paraId="22065014"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500D" w14:textId="77777777" w:rsidR="00BC5A64" w:rsidRDefault="00BC5A64">
            <w:pPr>
              <w:pStyle w:val="Header"/>
              <w:jc w:val="center"/>
              <w:rPr>
                <w:sz w:val="22"/>
                <w:szCs w:val="22"/>
              </w:rPr>
            </w:pPr>
            <w:r>
              <w:rPr>
                <w:sz w:val="22"/>
                <w:szCs w:val="22"/>
              </w:rPr>
              <w:t>Bez simptoma depresije</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0E" w14:textId="77777777" w:rsidR="00BC5A64" w:rsidRDefault="00BC5A64">
            <w:pPr>
              <w:pStyle w:val="Header"/>
              <w:jc w:val="center"/>
              <w:rPr>
                <w:sz w:val="22"/>
                <w:szCs w:val="22"/>
              </w:rPr>
            </w:pPr>
            <w:r>
              <w:rPr>
                <w:sz w:val="22"/>
                <w:szCs w:val="22"/>
              </w:rPr>
              <w:t>0,51</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0F" w14:textId="77777777" w:rsidR="00BC5A64" w:rsidRDefault="00BC5A64">
            <w:pPr>
              <w:pStyle w:val="Header"/>
              <w:jc w:val="center"/>
              <w:rPr>
                <w:sz w:val="22"/>
                <w:szCs w:val="22"/>
              </w:rPr>
            </w:pPr>
            <w:r>
              <w:rPr>
                <w:sz w:val="22"/>
                <w:szCs w:val="22"/>
              </w:rPr>
              <w:t>0,46</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10" w14:textId="77777777" w:rsidR="00BC5A64" w:rsidRDefault="00BC5A64">
            <w:pPr>
              <w:pStyle w:val="Header"/>
              <w:jc w:val="center"/>
              <w:rPr>
                <w:sz w:val="22"/>
                <w:szCs w:val="22"/>
              </w:rPr>
            </w:pPr>
            <w:r>
              <w:rPr>
                <w:sz w:val="22"/>
                <w:szCs w:val="22"/>
              </w:rPr>
              <w:t>0,41</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11" w14:textId="77777777" w:rsidR="00BC5A64" w:rsidRDefault="00BC5A64">
            <w:pPr>
              <w:pStyle w:val="Header"/>
              <w:jc w:val="center"/>
              <w:rPr>
                <w:sz w:val="22"/>
                <w:szCs w:val="22"/>
              </w:rPr>
            </w:pPr>
            <w:r>
              <w:rPr>
                <w:sz w:val="22"/>
                <w:szCs w:val="22"/>
              </w:rPr>
              <w:t>0,82</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12" w14:textId="77777777" w:rsidR="00BC5A64" w:rsidRDefault="00BC5A64">
            <w:pPr>
              <w:pStyle w:val="Header"/>
              <w:jc w:val="center"/>
              <w:rPr>
                <w:sz w:val="22"/>
                <w:szCs w:val="22"/>
              </w:rPr>
            </w:pPr>
            <w:r>
              <w:rPr>
                <w:sz w:val="22"/>
                <w:szCs w:val="22"/>
              </w:rPr>
              <w:t>0,71</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13" w14:textId="77777777" w:rsidR="00BC5A64" w:rsidRDefault="00BC5A64">
            <w:pPr>
              <w:pStyle w:val="Header"/>
              <w:jc w:val="center"/>
              <w:rPr>
                <w:sz w:val="22"/>
                <w:szCs w:val="22"/>
              </w:rPr>
            </w:pPr>
            <w:r>
              <w:rPr>
                <w:sz w:val="22"/>
                <w:szCs w:val="22"/>
              </w:rPr>
              <w:t>0,04</w:t>
            </w:r>
          </w:p>
        </w:tc>
      </w:tr>
      <w:tr w:rsidR="00BC5A64" w14:paraId="2206501C"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5015" w14:textId="77777777" w:rsidR="00BC5A64" w:rsidRDefault="00BC5A64">
            <w:pPr>
              <w:pStyle w:val="Header"/>
              <w:jc w:val="center"/>
              <w:rPr>
                <w:sz w:val="22"/>
                <w:szCs w:val="22"/>
              </w:rPr>
            </w:pPr>
            <w:r>
              <w:rPr>
                <w:sz w:val="22"/>
                <w:szCs w:val="22"/>
              </w:rPr>
              <w:lastRenderedPageBreak/>
              <w:t>p-vrijednost Log rank testa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16" w14:textId="77777777" w:rsidR="00BC5A64" w:rsidRDefault="00BC5A64">
            <w:pPr>
              <w:pStyle w:val="Header"/>
              <w:jc w:val="center"/>
              <w:rPr>
                <w:sz w:val="22"/>
                <w:szCs w:val="22"/>
              </w:rPr>
            </w:pPr>
            <w:r>
              <w:rPr>
                <w:sz w:val="22"/>
                <w:szCs w:val="22"/>
              </w:rPr>
              <w:t>0,047</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17" w14:textId="77777777" w:rsidR="00BC5A64" w:rsidRDefault="00BC5A64">
            <w:pPr>
              <w:pStyle w:val="Header"/>
              <w:jc w:val="center"/>
              <w:rPr>
                <w:sz w:val="22"/>
                <w:szCs w:val="22"/>
              </w:rPr>
            </w:pPr>
            <w:r>
              <w:rPr>
                <w:sz w:val="22"/>
                <w:szCs w:val="22"/>
              </w:rPr>
              <w:t>0,209</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18" w14:textId="77777777" w:rsidR="00BC5A64" w:rsidRDefault="00BC5A64">
            <w:pPr>
              <w:pStyle w:val="Header"/>
              <w:jc w:val="center"/>
              <w:rPr>
                <w:sz w:val="22"/>
                <w:szCs w:val="22"/>
              </w:rPr>
            </w:pPr>
            <w:r>
              <w:rPr>
                <w:sz w:val="22"/>
                <w:szCs w:val="22"/>
              </w:rPr>
              <w:t>-</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19" w14:textId="77777777" w:rsidR="00BC5A64" w:rsidRDefault="00BC5A64">
            <w:pPr>
              <w:pStyle w:val="Header"/>
              <w:jc w:val="center"/>
              <w:rPr>
                <w:sz w:val="22"/>
                <w:szCs w:val="22"/>
              </w:rPr>
            </w:pPr>
            <w:r>
              <w:rPr>
                <w:sz w:val="22"/>
                <w:szCs w:val="22"/>
              </w:rPr>
              <w:t>0,015</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1A" w14:textId="77777777" w:rsidR="00BC5A64" w:rsidRDefault="00BC5A64">
            <w:pPr>
              <w:pStyle w:val="Header"/>
              <w:jc w:val="center"/>
              <w:rPr>
                <w:sz w:val="22"/>
                <w:szCs w:val="22"/>
              </w:rPr>
            </w:pPr>
            <w:r>
              <w:rPr>
                <w:sz w:val="22"/>
                <w:szCs w:val="22"/>
              </w:rPr>
              <w:t>0,167</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1B" w14:textId="77777777" w:rsidR="00BC5A64" w:rsidRDefault="00BC5A64">
            <w:pPr>
              <w:pStyle w:val="Header"/>
              <w:jc w:val="center"/>
              <w:rPr>
                <w:sz w:val="22"/>
                <w:szCs w:val="22"/>
              </w:rPr>
            </w:pPr>
            <w:r>
              <w:rPr>
                <w:sz w:val="22"/>
                <w:szCs w:val="22"/>
              </w:rPr>
              <w:t>-</w:t>
            </w:r>
          </w:p>
        </w:tc>
      </w:tr>
      <w:tr w:rsidR="00BC5A64" w14:paraId="22065024" w14:textId="77777777" w:rsidTr="00BC5A64">
        <w:tc>
          <w:tcPr>
            <w:tcW w:w="1422" w:type="dxa"/>
            <w:tcBorders>
              <w:top w:val="single" w:sz="4" w:space="0" w:color="auto"/>
              <w:left w:val="single" w:sz="4" w:space="0" w:color="auto"/>
              <w:bottom w:val="single" w:sz="4" w:space="0" w:color="auto"/>
              <w:right w:val="single" w:sz="4" w:space="0" w:color="auto"/>
            </w:tcBorders>
            <w:vAlign w:val="center"/>
          </w:tcPr>
          <w:p w14:paraId="2206501D"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206501E"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206501F" w14:textId="77777777" w:rsidR="00BC5A64" w:rsidRDefault="00BC5A64">
            <w:pPr>
              <w:pStyle w:val="Header"/>
              <w:jc w:val="center"/>
              <w:rPr>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2065020" w14:textId="77777777" w:rsidR="00BC5A64" w:rsidRDefault="00BC5A64">
            <w:pPr>
              <w:pStyle w:val="Header"/>
              <w:jc w:val="center"/>
              <w:rPr>
                <w:sz w:val="22"/>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22065021" w14:textId="77777777" w:rsidR="00BC5A64" w:rsidRDefault="00BC5A64">
            <w:pPr>
              <w:pStyle w:val="Header"/>
              <w:jc w:val="center"/>
              <w:rPr>
                <w:sz w:val="22"/>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22065022" w14:textId="77777777" w:rsidR="00BC5A64" w:rsidRDefault="00BC5A64">
            <w:pPr>
              <w:pStyle w:val="Header"/>
              <w:jc w:val="center"/>
              <w:rPr>
                <w:sz w:val="22"/>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22065023" w14:textId="77777777" w:rsidR="00BC5A64" w:rsidRDefault="00BC5A64">
            <w:pPr>
              <w:pStyle w:val="Header"/>
              <w:jc w:val="center"/>
              <w:rPr>
                <w:sz w:val="22"/>
                <w:szCs w:val="22"/>
              </w:rPr>
            </w:pPr>
          </w:p>
        </w:tc>
      </w:tr>
      <w:tr w:rsidR="00BC5A64" w14:paraId="2206502C"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5025" w14:textId="77777777" w:rsidR="00BC5A64" w:rsidRDefault="00BC5A64">
            <w:pPr>
              <w:pStyle w:val="Header"/>
              <w:jc w:val="center"/>
              <w:rPr>
                <w:sz w:val="22"/>
                <w:szCs w:val="22"/>
              </w:rPr>
            </w:pPr>
            <w:r>
              <w:rPr>
                <w:sz w:val="22"/>
                <w:szCs w:val="22"/>
              </w:rPr>
              <w:t>Bez simptoma manije</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26" w14:textId="77777777" w:rsidR="00BC5A64" w:rsidRDefault="00BC5A64">
            <w:pPr>
              <w:pStyle w:val="Header"/>
              <w:jc w:val="center"/>
              <w:rPr>
                <w:sz w:val="22"/>
                <w:szCs w:val="22"/>
              </w:rPr>
            </w:pPr>
            <w:r>
              <w:rPr>
                <w:sz w:val="22"/>
                <w:szCs w:val="22"/>
              </w:rPr>
              <w:t>0,70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27" w14:textId="77777777" w:rsidR="00BC5A64" w:rsidRDefault="00BC5A64">
            <w:pPr>
              <w:pStyle w:val="Header"/>
              <w:jc w:val="center"/>
              <w:rPr>
                <w:sz w:val="22"/>
                <w:szCs w:val="22"/>
              </w:rPr>
            </w:pPr>
            <w:r>
              <w:rPr>
                <w:sz w:val="22"/>
                <w:szCs w:val="22"/>
              </w:rPr>
              <w:t>0,86</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28" w14:textId="77777777" w:rsidR="00BC5A64" w:rsidRDefault="00BC5A64">
            <w:pPr>
              <w:pStyle w:val="Header"/>
              <w:jc w:val="center"/>
              <w:rPr>
                <w:sz w:val="22"/>
                <w:szCs w:val="22"/>
              </w:rPr>
            </w:pPr>
            <w:r>
              <w:rPr>
                <w:sz w:val="22"/>
                <w:szCs w:val="22"/>
              </w:rPr>
              <w:t>0,67</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29" w14:textId="77777777" w:rsidR="00BC5A64" w:rsidRDefault="00BC5A64">
            <w:pPr>
              <w:pStyle w:val="Header"/>
              <w:jc w:val="center"/>
              <w:rPr>
                <w:sz w:val="22"/>
                <w:szCs w:val="22"/>
              </w:rPr>
            </w:pPr>
            <w:r>
              <w:rPr>
                <w:sz w:val="22"/>
                <w:szCs w:val="22"/>
              </w:rPr>
              <w:t>0,53</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2A" w14:textId="77777777" w:rsidR="00BC5A64" w:rsidRDefault="00BC5A64">
            <w:pPr>
              <w:pStyle w:val="Header"/>
              <w:jc w:val="center"/>
              <w:rPr>
                <w:sz w:val="22"/>
                <w:szCs w:val="22"/>
              </w:rPr>
            </w:pPr>
            <w:r>
              <w:rPr>
                <w:sz w:val="22"/>
                <w:szCs w:val="22"/>
              </w:rPr>
              <w:t>0,64</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2B" w14:textId="77777777" w:rsidR="00BC5A64" w:rsidRDefault="00BC5A64">
            <w:pPr>
              <w:pStyle w:val="Header"/>
              <w:jc w:val="center"/>
              <w:rPr>
                <w:sz w:val="22"/>
                <w:szCs w:val="22"/>
              </w:rPr>
            </w:pPr>
            <w:r>
              <w:rPr>
                <w:sz w:val="22"/>
                <w:szCs w:val="22"/>
              </w:rPr>
              <w:t>0,37</w:t>
            </w:r>
          </w:p>
        </w:tc>
      </w:tr>
      <w:tr w:rsidR="00BC5A64" w14:paraId="22065034" w14:textId="77777777" w:rsidTr="00BC5A64">
        <w:tc>
          <w:tcPr>
            <w:tcW w:w="1422" w:type="dxa"/>
            <w:tcBorders>
              <w:top w:val="single" w:sz="4" w:space="0" w:color="auto"/>
              <w:left w:val="single" w:sz="4" w:space="0" w:color="auto"/>
              <w:bottom w:val="single" w:sz="4" w:space="0" w:color="auto"/>
              <w:right w:val="single" w:sz="4" w:space="0" w:color="auto"/>
            </w:tcBorders>
            <w:vAlign w:val="center"/>
            <w:hideMark/>
          </w:tcPr>
          <w:p w14:paraId="2206502D" w14:textId="77777777" w:rsidR="00BC5A64" w:rsidRDefault="00BC5A64">
            <w:pPr>
              <w:pStyle w:val="Header"/>
              <w:jc w:val="center"/>
              <w:rPr>
                <w:sz w:val="22"/>
                <w:szCs w:val="22"/>
              </w:rPr>
            </w:pPr>
            <w:r>
              <w:rPr>
                <w:sz w:val="22"/>
                <w:szCs w:val="22"/>
              </w:rPr>
              <w:t>p-vrijednost Log rank testa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2E" w14:textId="77777777" w:rsidR="00BC5A64" w:rsidRDefault="00BC5A64">
            <w:pPr>
              <w:pStyle w:val="Header"/>
              <w:jc w:val="center"/>
              <w:rPr>
                <w:sz w:val="22"/>
                <w:szCs w:val="22"/>
              </w:rPr>
            </w:pPr>
            <w:r>
              <w:rPr>
                <w:sz w:val="22"/>
                <w:szCs w:val="22"/>
              </w:rPr>
              <w:t>0,339</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2F" w14:textId="77777777" w:rsidR="00BC5A64" w:rsidRDefault="00BC5A64">
            <w:pPr>
              <w:pStyle w:val="Header"/>
              <w:jc w:val="center"/>
              <w:rPr>
                <w:sz w:val="22"/>
                <w:szCs w:val="22"/>
              </w:rPr>
            </w:pPr>
            <w:r>
              <w:rPr>
                <w:sz w:val="22"/>
                <w:szCs w:val="22"/>
              </w:rPr>
              <w:t>0,026</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2065030" w14:textId="77777777" w:rsidR="00BC5A64" w:rsidRDefault="00BC5A64">
            <w:pPr>
              <w:pStyle w:val="Header"/>
              <w:jc w:val="center"/>
              <w:rPr>
                <w:sz w:val="22"/>
                <w:szCs w:val="22"/>
              </w:rPr>
            </w:pPr>
            <w:r>
              <w:rPr>
                <w:sz w:val="22"/>
                <w:szCs w:val="22"/>
              </w:rPr>
              <w:t>-</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31" w14:textId="77777777" w:rsidR="00BC5A64" w:rsidRDefault="00BC5A64">
            <w:pPr>
              <w:pStyle w:val="Header"/>
              <w:jc w:val="center"/>
              <w:rPr>
                <w:sz w:val="22"/>
                <w:szCs w:val="22"/>
              </w:rPr>
            </w:pPr>
            <w:r>
              <w:rPr>
                <w:sz w:val="22"/>
                <w:szCs w:val="22"/>
              </w:rPr>
              <w:t>0,280</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32" w14:textId="77777777" w:rsidR="00BC5A64" w:rsidRDefault="00BC5A64">
            <w:pPr>
              <w:pStyle w:val="Header"/>
              <w:jc w:val="center"/>
              <w:rPr>
                <w:sz w:val="22"/>
                <w:szCs w:val="22"/>
              </w:rPr>
            </w:pPr>
            <w:r>
              <w:rPr>
                <w:sz w:val="22"/>
                <w:szCs w:val="22"/>
              </w:rPr>
              <w:t>0,006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2065033" w14:textId="77777777" w:rsidR="00BC5A64" w:rsidRDefault="00BC5A64">
            <w:pPr>
              <w:pStyle w:val="Header"/>
              <w:jc w:val="center"/>
              <w:rPr>
                <w:sz w:val="22"/>
                <w:szCs w:val="22"/>
              </w:rPr>
            </w:pPr>
            <w:r>
              <w:rPr>
                <w:sz w:val="22"/>
                <w:szCs w:val="22"/>
              </w:rPr>
              <w:t>-</w:t>
            </w:r>
          </w:p>
        </w:tc>
      </w:tr>
    </w:tbl>
    <w:p w14:paraId="22065035" w14:textId="77777777" w:rsidR="00BC5A64" w:rsidRDefault="00BC5A64" w:rsidP="00BC5A64">
      <w:pPr>
        <w:pStyle w:val="Header"/>
        <w:rPr>
          <w:sz w:val="22"/>
          <w:szCs w:val="22"/>
          <w:u w:val="single"/>
        </w:rPr>
      </w:pPr>
    </w:p>
    <w:p w14:paraId="22065036" w14:textId="77777777" w:rsidR="00BC5A64" w:rsidRDefault="00BC5A64" w:rsidP="006B3996">
      <w:pPr>
        <w:pStyle w:val="Header"/>
        <w:jc w:val="both"/>
        <w:rPr>
          <w:sz w:val="22"/>
          <w:szCs w:val="22"/>
        </w:rPr>
      </w:pPr>
      <w:r>
        <w:rPr>
          <w:sz w:val="22"/>
          <w:szCs w:val="22"/>
        </w:rPr>
        <w:t>U okviru suportivnih ispitivanja vremena do pojave prve depresivne epizode i vremena do pojave prve manične/hipomanične ili manično-depresivne episode, vrijeme do pojave prve depresivne epizode je bilo značajno duže kod pacijenata liječenih lamotriginom u odnosu na pacijente kod kojih je primijenjen placebo i nije bilo statistički značajne razlike u pogledu vremena do pojave manične/hipomanične i manično-depresivne epizode.</w:t>
      </w:r>
    </w:p>
    <w:p w14:paraId="22065037" w14:textId="77777777" w:rsidR="00BC5A64" w:rsidRDefault="00BC5A64" w:rsidP="006B3996">
      <w:pPr>
        <w:pStyle w:val="Header"/>
        <w:jc w:val="both"/>
        <w:rPr>
          <w:sz w:val="22"/>
          <w:szCs w:val="22"/>
          <w:u w:val="single"/>
        </w:rPr>
      </w:pPr>
    </w:p>
    <w:p w14:paraId="22065038" w14:textId="77777777" w:rsidR="00BC5A64" w:rsidRDefault="00BC5A64" w:rsidP="006B3996">
      <w:pPr>
        <w:pStyle w:val="Header"/>
        <w:jc w:val="both"/>
        <w:rPr>
          <w:sz w:val="22"/>
          <w:szCs w:val="22"/>
        </w:rPr>
      </w:pPr>
      <w:r>
        <w:rPr>
          <w:sz w:val="22"/>
          <w:szCs w:val="22"/>
        </w:rPr>
        <w:t>Nije dovoljno ispitana efikasnost primjene lamotrigina u kombinovanoj terapiji sa stabilizatorima raspoloženja.</w:t>
      </w:r>
    </w:p>
    <w:p w14:paraId="22065039" w14:textId="77777777" w:rsidR="00BC5A64" w:rsidRDefault="00BC5A64" w:rsidP="006B3996">
      <w:pPr>
        <w:pStyle w:val="Header"/>
        <w:jc w:val="both"/>
        <w:rPr>
          <w:sz w:val="22"/>
          <w:szCs w:val="22"/>
        </w:rPr>
      </w:pPr>
    </w:p>
    <w:p w14:paraId="5A7B7C93" w14:textId="77777777" w:rsidR="009F129D" w:rsidRPr="00EB3966" w:rsidRDefault="009F129D" w:rsidP="006B3996">
      <w:pPr>
        <w:jc w:val="both"/>
        <w:rPr>
          <w:bCs/>
          <w:sz w:val="22"/>
          <w:szCs w:val="22"/>
          <w:u w:val="single"/>
        </w:rPr>
      </w:pPr>
      <w:r w:rsidRPr="00EB3966">
        <w:rPr>
          <w:bCs/>
          <w:sz w:val="22"/>
          <w:szCs w:val="22"/>
          <w:u w:val="single"/>
        </w:rPr>
        <w:t>Pedijatrijska populacija</w:t>
      </w:r>
    </w:p>
    <w:p w14:paraId="4E6701FF" w14:textId="77777777" w:rsidR="009F129D" w:rsidRPr="00EB3966" w:rsidRDefault="009F129D" w:rsidP="006B3996">
      <w:pPr>
        <w:jc w:val="both"/>
        <w:rPr>
          <w:bCs/>
          <w:sz w:val="22"/>
          <w:szCs w:val="22"/>
        </w:rPr>
      </w:pPr>
    </w:p>
    <w:p w14:paraId="60C4715F" w14:textId="568E4C51" w:rsidR="009F129D" w:rsidRPr="00EB3966" w:rsidRDefault="009F129D" w:rsidP="006B3996">
      <w:pPr>
        <w:jc w:val="both"/>
        <w:rPr>
          <w:bCs/>
          <w:i/>
          <w:sz w:val="22"/>
          <w:szCs w:val="22"/>
        </w:rPr>
      </w:pPr>
      <w:r w:rsidRPr="00EB3966">
        <w:rPr>
          <w:bCs/>
          <w:i/>
          <w:sz w:val="22"/>
          <w:szCs w:val="22"/>
        </w:rPr>
        <w:t>D</w:t>
      </w:r>
      <w:r w:rsidR="00EB3966">
        <w:rPr>
          <w:bCs/>
          <w:i/>
          <w:sz w:val="22"/>
          <w:szCs w:val="22"/>
        </w:rPr>
        <w:t>j</w:t>
      </w:r>
      <w:r w:rsidRPr="00EB3966">
        <w:rPr>
          <w:bCs/>
          <w:i/>
          <w:sz w:val="22"/>
          <w:szCs w:val="22"/>
        </w:rPr>
        <w:t xml:space="preserve">eca </w:t>
      </w:r>
      <w:r w:rsidR="00703905">
        <w:rPr>
          <w:bCs/>
          <w:i/>
          <w:sz w:val="22"/>
          <w:szCs w:val="22"/>
        </w:rPr>
        <w:t>uzrasta</w:t>
      </w:r>
      <w:r w:rsidRPr="00EB3966">
        <w:rPr>
          <w:bCs/>
          <w:i/>
          <w:sz w:val="22"/>
          <w:szCs w:val="22"/>
        </w:rPr>
        <w:t xml:space="preserve"> od m</w:t>
      </w:r>
      <w:r w:rsidR="00703905">
        <w:rPr>
          <w:bCs/>
          <w:i/>
          <w:sz w:val="22"/>
          <w:szCs w:val="22"/>
        </w:rPr>
        <w:t>j</w:t>
      </w:r>
      <w:r w:rsidRPr="00EB3966">
        <w:rPr>
          <w:bCs/>
          <w:i/>
          <w:sz w:val="22"/>
          <w:szCs w:val="22"/>
        </w:rPr>
        <w:t>esec dana do 24 m</w:t>
      </w:r>
      <w:r w:rsidR="00703905">
        <w:rPr>
          <w:bCs/>
          <w:i/>
          <w:sz w:val="22"/>
          <w:szCs w:val="22"/>
        </w:rPr>
        <w:t>j</w:t>
      </w:r>
      <w:r w:rsidRPr="00EB3966">
        <w:rPr>
          <w:bCs/>
          <w:i/>
          <w:sz w:val="22"/>
          <w:szCs w:val="22"/>
        </w:rPr>
        <w:t>eseca</w:t>
      </w:r>
    </w:p>
    <w:p w14:paraId="6B3E2C44" w14:textId="4F136EF8" w:rsidR="009F129D" w:rsidRPr="00EB3966" w:rsidRDefault="009F129D" w:rsidP="006B3996">
      <w:pPr>
        <w:tabs>
          <w:tab w:val="center" w:pos="4536"/>
          <w:tab w:val="right" w:pos="9072"/>
        </w:tabs>
        <w:jc w:val="both"/>
        <w:rPr>
          <w:bCs/>
          <w:sz w:val="22"/>
          <w:szCs w:val="22"/>
        </w:rPr>
      </w:pPr>
      <w:r w:rsidRPr="00EB3966">
        <w:rPr>
          <w:sz w:val="22"/>
          <w:szCs w:val="22"/>
        </w:rPr>
        <w:t>U okviru malog dvostruko-sl</w:t>
      </w:r>
      <w:r>
        <w:rPr>
          <w:sz w:val="22"/>
          <w:szCs w:val="22"/>
        </w:rPr>
        <w:t>ij</w:t>
      </w:r>
      <w:r w:rsidRPr="00EB3966">
        <w:rPr>
          <w:sz w:val="22"/>
          <w:szCs w:val="22"/>
        </w:rPr>
        <w:t>epog placebo-kontrolisanog kliničkog ispitivanja povlačenja l</w:t>
      </w:r>
      <w:r w:rsidR="00084618">
        <w:rPr>
          <w:sz w:val="22"/>
          <w:szCs w:val="22"/>
        </w:rPr>
        <w:t>ij</w:t>
      </w:r>
      <w:r w:rsidRPr="00EB3966">
        <w:rPr>
          <w:sz w:val="22"/>
          <w:szCs w:val="22"/>
        </w:rPr>
        <w:t>eka iz terapije ispitivana je efikasnost i bezb</w:t>
      </w:r>
      <w:r w:rsidR="00EB3966">
        <w:rPr>
          <w:sz w:val="22"/>
          <w:szCs w:val="22"/>
        </w:rPr>
        <w:t>j</w:t>
      </w:r>
      <w:r w:rsidRPr="00EB3966">
        <w:rPr>
          <w:sz w:val="22"/>
          <w:szCs w:val="22"/>
        </w:rPr>
        <w:t>ednost prim</w:t>
      </w:r>
      <w:r w:rsidR="00EB3966">
        <w:rPr>
          <w:sz w:val="22"/>
          <w:szCs w:val="22"/>
        </w:rPr>
        <w:t>j</w:t>
      </w:r>
      <w:r w:rsidRPr="00EB3966">
        <w:rPr>
          <w:sz w:val="22"/>
          <w:szCs w:val="22"/>
        </w:rPr>
        <w:t xml:space="preserve">ene adjunktivne terpaije parcijalnih napada kod pacijenata </w:t>
      </w:r>
      <w:r w:rsidR="00703905">
        <w:rPr>
          <w:sz w:val="22"/>
          <w:szCs w:val="22"/>
        </w:rPr>
        <w:t>uzrasta</w:t>
      </w:r>
      <w:r w:rsidRPr="00EB3966">
        <w:rPr>
          <w:sz w:val="22"/>
          <w:szCs w:val="22"/>
        </w:rPr>
        <w:t xml:space="preserve"> od m</w:t>
      </w:r>
      <w:r w:rsidR="00EB3966">
        <w:rPr>
          <w:sz w:val="22"/>
          <w:szCs w:val="22"/>
        </w:rPr>
        <w:t>j</w:t>
      </w:r>
      <w:r w:rsidRPr="00EB3966">
        <w:rPr>
          <w:sz w:val="22"/>
          <w:szCs w:val="22"/>
        </w:rPr>
        <w:t>esec dana do 24. m</w:t>
      </w:r>
      <w:r w:rsidR="00EB3966">
        <w:rPr>
          <w:sz w:val="22"/>
          <w:szCs w:val="22"/>
        </w:rPr>
        <w:t>j</w:t>
      </w:r>
      <w:r w:rsidRPr="00EB3966">
        <w:rPr>
          <w:sz w:val="22"/>
          <w:szCs w:val="22"/>
        </w:rPr>
        <w:t>eseca zivota. Kod 177 ispitanika započeto je sa prim</w:t>
      </w:r>
      <w:r w:rsidR="00EB3966">
        <w:rPr>
          <w:sz w:val="22"/>
          <w:szCs w:val="22"/>
        </w:rPr>
        <w:t>j</w:t>
      </w:r>
      <w:r w:rsidRPr="00EB3966">
        <w:rPr>
          <w:sz w:val="22"/>
          <w:szCs w:val="22"/>
        </w:rPr>
        <w:t>enom terapije prim</w:t>
      </w:r>
      <w:r w:rsidR="00EB3966">
        <w:rPr>
          <w:sz w:val="22"/>
          <w:szCs w:val="22"/>
        </w:rPr>
        <w:t>j</w:t>
      </w:r>
      <w:r w:rsidRPr="00EB3966">
        <w:rPr>
          <w:sz w:val="22"/>
          <w:szCs w:val="22"/>
        </w:rPr>
        <w:t>enom šeme titracije doze sličnom šemi nam</w:t>
      </w:r>
      <w:r w:rsidR="00EB3966">
        <w:rPr>
          <w:sz w:val="22"/>
          <w:szCs w:val="22"/>
        </w:rPr>
        <w:t>i</w:t>
      </w:r>
      <w:r w:rsidRPr="00EB3966">
        <w:rPr>
          <w:sz w:val="22"/>
          <w:szCs w:val="22"/>
        </w:rPr>
        <w:t>jenjenoj za prim</w:t>
      </w:r>
      <w:r w:rsidR="00EB3966">
        <w:rPr>
          <w:sz w:val="22"/>
          <w:szCs w:val="22"/>
        </w:rPr>
        <w:t>j</w:t>
      </w:r>
      <w:r w:rsidRPr="00EB3966">
        <w:rPr>
          <w:sz w:val="22"/>
          <w:szCs w:val="22"/>
        </w:rPr>
        <w:t>enu kod d</w:t>
      </w:r>
      <w:r w:rsidR="00EB3966">
        <w:rPr>
          <w:sz w:val="22"/>
          <w:szCs w:val="22"/>
        </w:rPr>
        <w:t>j</w:t>
      </w:r>
      <w:r w:rsidRPr="00EB3966">
        <w:rPr>
          <w:sz w:val="22"/>
          <w:szCs w:val="22"/>
        </w:rPr>
        <w:t xml:space="preserve">ece </w:t>
      </w:r>
      <w:r w:rsidR="00703905">
        <w:rPr>
          <w:sz w:val="22"/>
          <w:szCs w:val="22"/>
        </w:rPr>
        <w:t>uzrasta</w:t>
      </w:r>
      <w:r w:rsidRPr="00EB3966">
        <w:rPr>
          <w:sz w:val="22"/>
          <w:szCs w:val="22"/>
        </w:rPr>
        <w:t xml:space="preserve"> od 2 do 12 godina. Najniža dostupna jačina lam</w:t>
      </w:r>
      <w:r w:rsidR="00703905">
        <w:rPr>
          <w:sz w:val="22"/>
          <w:szCs w:val="22"/>
        </w:rPr>
        <w:t>o</w:t>
      </w:r>
      <w:r w:rsidRPr="00EB3966">
        <w:rPr>
          <w:sz w:val="22"/>
          <w:szCs w:val="22"/>
        </w:rPr>
        <w:t>t</w:t>
      </w:r>
      <w:r w:rsidR="00703905">
        <w:rPr>
          <w:sz w:val="22"/>
          <w:szCs w:val="22"/>
        </w:rPr>
        <w:t>r</w:t>
      </w:r>
      <w:r w:rsidRPr="00EB3966">
        <w:rPr>
          <w:sz w:val="22"/>
          <w:szCs w:val="22"/>
        </w:rPr>
        <w:t>igina su tablete od 2mg, stoga je u pojedinim slučajevima standardna šema doziranja bila prilagođena tokom faze titracije doze (na prim</w:t>
      </w:r>
      <w:r w:rsidR="00EB3966">
        <w:rPr>
          <w:sz w:val="22"/>
          <w:szCs w:val="22"/>
        </w:rPr>
        <w:t>j</w:t>
      </w:r>
      <w:r w:rsidRPr="00EB3966">
        <w:rPr>
          <w:sz w:val="22"/>
          <w:szCs w:val="22"/>
        </w:rPr>
        <w:t>er, prim</w:t>
      </w:r>
      <w:r w:rsidR="00EB3966">
        <w:rPr>
          <w:sz w:val="22"/>
          <w:szCs w:val="22"/>
        </w:rPr>
        <w:t>j</w:t>
      </w:r>
      <w:r w:rsidRPr="00EB3966">
        <w:rPr>
          <w:sz w:val="22"/>
          <w:szCs w:val="22"/>
        </w:rPr>
        <w:t>enom tablete od 2mg svakog drugog dana kada je izračunata doza bila manja od 2mg). Koncentracije lamotrigina u serumu su bile m</w:t>
      </w:r>
      <w:r w:rsidR="00EB3966">
        <w:rPr>
          <w:sz w:val="22"/>
          <w:szCs w:val="22"/>
        </w:rPr>
        <w:t>j</w:t>
      </w:r>
      <w:r w:rsidRPr="00EB3966">
        <w:rPr>
          <w:sz w:val="22"/>
          <w:szCs w:val="22"/>
        </w:rPr>
        <w:t>erene na kraju 2. ned</w:t>
      </w:r>
      <w:r w:rsidR="00EB3966">
        <w:rPr>
          <w:sz w:val="22"/>
          <w:szCs w:val="22"/>
        </w:rPr>
        <w:t>j</w:t>
      </w:r>
      <w:r w:rsidRPr="00EB3966">
        <w:rPr>
          <w:sz w:val="22"/>
          <w:szCs w:val="22"/>
        </w:rPr>
        <w:t>elje terapije nakon titracije i ukoliko su koncetracije prevazilazile vr</w:t>
      </w:r>
      <w:r w:rsidR="00EB3966">
        <w:rPr>
          <w:sz w:val="22"/>
          <w:szCs w:val="22"/>
        </w:rPr>
        <w:t>ij</w:t>
      </w:r>
      <w:r w:rsidRPr="00EB3966">
        <w:rPr>
          <w:sz w:val="22"/>
          <w:szCs w:val="22"/>
        </w:rPr>
        <w:t>ednost od 0,41 mikrograma/m</w:t>
      </w:r>
      <w:r w:rsidR="00EB3966">
        <w:rPr>
          <w:sz w:val="22"/>
          <w:szCs w:val="22"/>
        </w:rPr>
        <w:t>l</w:t>
      </w:r>
      <w:r w:rsidRPr="00EB3966">
        <w:rPr>
          <w:sz w:val="22"/>
          <w:szCs w:val="22"/>
        </w:rPr>
        <w:t>, očekivanu koncetraciju kod odraslih osoba u navedenom terapijskom trenutku, doza je bila smanjena ili nije povećavana. Kod pojedinih pacijenata na kraju druge ned</w:t>
      </w:r>
      <w:r w:rsidR="00EB3966">
        <w:rPr>
          <w:sz w:val="22"/>
          <w:szCs w:val="22"/>
        </w:rPr>
        <w:t>j</w:t>
      </w:r>
      <w:r w:rsidRPr="00EB3966">
        <w:rPr>
          <w:sz w:val="22"/>
          <w:szCs w:val="22"/>
        </w:rPr>
        <w:t xml:space="preserve">elje bilo je nepohodno smanjenje doze i do 90%. 38 ispitanika kod kojih je došlo do pojave odgovora na terapiju (&gt; 40% smanjenja učestalosti napada) bili su randomizovani na placebo terapijsku grupu ili u grupu u kojoj je nastavljeno sa primjenom lamotrigina. </w:t>
      </w:r>
      <w:r w:rsidR="00E656AD">
        <w:rPr>
          <w:sz w:val="22"/>
          <w:szCs w:val="22"/>
        </w:rPr>
        <w:t>Udio</w:t>
      </w:r>
      <w:r w:rsidRPr="00EB3966">
        <w:rPr>
          <w:sz w:val="22"/>
          <w:szCs w:val="22"/>
        </w:rPr>
        <w:t xml:space="preserve"> ispitanika sa terapijskim neusp</w:t>
      </w:r>
      <w:r w:rsidR="00EB3966">
        <w:rPr>
          <w:sz w:val="22"/>
          <w:szCs w:val="22"/>
        </w:rPr>
        <w:t>j</w:t>
      </w:r>
      <w:r w:rsidRPr="00EB3966">
        <w:rPr>
          <w:sz w:val="22"/>
          <w:szCs w:val="22"/>
        </w:rPr>
        <w:t>ehom iznosi</w:t>
      </w:r>
      <w:r w:rsidR="00E656AD">
        <w:rPr>
          <w:sz w:val="22"/>
          <w:szCs w:val="22"/>
        </w:rPr>
        <w:t>o</w:t>
      </w:r>
      <w:r w:rsidRPr="00EB3966">
        <w:rPr>
          <w:sz w:val="22"/>
          <w:szCs w:val="22"/>
        </w:rPr>
        <w:t xml:space="preserve"> je 84% (16/19 ispitanika) u placebo grupi i 58% (11/19 ispitanika) u grupi u kojoj je prim</w:t>
      </w:r>
      <w:r w:rsidR="00EB3966">
        <w:rPr>
          <w:sz w:val="22"/>
          <w:szCs w:val="22"/>
        </w:rPr>
        <w:t>ij</w:t>
      </w:r>
      <w:r w:rsidRPr="00EB3966">
        <w:rPr>
          <w:sz w:val="22"/>
          <w:szCs w:val="22"/>
        </w:rPr>
        <w:t>enjen lamotrigin. Razlika nije bila statistički značajna: 26,3%; CI95%-2,6% &lt;</w:t>
      </w:r>
      <w:r w:rsidR="00EB3966">
        <w:rPr>
          <w:sz w:val="22"/>
          <w:szCs w:val="22"/>
        </w:rPr>
        <w:t xml:space="preserve"> </w:t>
      </w:r>
      <w:r w:rsidRPr="00EB3966">
        <w:rPr>
          <w:sz w:val="22"/>
          <w:szCs w:val="22"/>
        </w:rPr>
        <w:t>&gt; 50,2%; p=0,07.</w:t>
      </w:r>
    </w:p>
    <w:p w14:paraId="4B3515FA" w14:textId="77777777" w:rsidR="009F129D" w:rsidRPr="00EB3966" w:rsidRDefault="009F129D" w:rsidP="006B3996">
      <w:pPr>
        <w:tabs>
          <w:tab w:val="center" w:pos="4536"/>
          <w:tab w:val="right" w:pos="9072"/>
        </w:tabs>
        <w:jc w:val="both"/>
        <w:rPr>
          <w:bCs/>
          <w:sz w:val="22"/>
          <w:szCs w:val="22"/>
        </w:rPr>
      </w:pPr>
    </w:p>
    <w:p w14:paraId="4E98F99A" w14:textId="6CB4AFEC" w:rsidR="009F129D" w:rsidRPr="00EB3966" w:rsidRDefault="009F129D" w:rsidP="006B3996">
      <w:pPr>
        <w:tabs>
          <w:tab w:val="center" w:pos="4536"/>
          <w:tab w:val="right" w:pos="9072"/>
        </w:tabs>
        <w:jc w:val="both"/>
        <w:rPr>
          <w:bCs/>
          <w:sz w:val="22"/>
          <w:szCs w:val="22"/>
        </w:rPr>
      </w:pPr>
      <w:r w:rsidRPr="00EB3966">
        <w:rPr>
          <w:sz w:val="22"/>
          <w:szCs w:val="22"/>
        </w:rPr>
        <w:t xml:space="preserve">Ukupno 256 ispitanika </w:t>
      </w:r>
      <w:r w:rsidR="00E656AD">
        <w:rPr>
          <w:sz w:val="22"/>
          <w:szCs w:val="22"/>
        </w:rPr>
        <w:t>uzrasta</w:t>
      </w:r>
      <w:r w:rsidRPr="00EB3966">
        <w:rPr>
          <w:sz w:val="22"/>
          <w:szCs w:val="22"/>
        </w:rPr>
        <w:t xml:space="preserve"> između m</w:t>
      </w:r>
      <w:r w:rsidR="006C3EC6">
        <w:rPr>
          <w:sz w:val="22"/>
          <w:szCs w:val="22"/>
        </w:rPr>
        <w:t>j</w:t>
      </w:r>
      <w:r w:rsidRPr="00EB3966">
        <w:rPr>
          <w:sz w:val="22"/>
          <w:szCs w:val="22"/>
        </w:rPr>
        <w:t>esec dana i 24 me</w:t>
      </w:r>
      <w:r w:rsidR="006C3EC6">
        <w:rPr>
          <w:sz w:val="22"/>
          <w:szCs w:val="22"/>
        </w:rPr>
        <w:t>j</w:t>
      </w:r>
      <w:r w:rsidRPr="00EB3966">
        <w:rPr>
          <w:sz w:val="22"/>
          <w:szCs w:val="22"/>
        </w:rPr>
        <w:t>seca života bilo je izloženo dejstvu lamotrigina u opsegu doza od 1 do 15 mg/kg/dnevno tokom perioda do 72 ned</w:t>
      </w:r>
      <w:r w:rsidR="006C3EC6">
        <w:rPr>
          <w:sz w:val="22"/>
          <w:szCs w:val="22"/>
        </w:rPr>
        <w:t>j</w:t>
      </w:r>
      <w:r w:rsidRPr="00EB3966">
        <w:rPr>
          <w:sz w:val="22"/>
          <w:szCs w:val="22"/>
        </w:rPr>
        <w:t>elje. Bezb</w:t>
      </w:r>
      <w:r w:rsidR="006C3EC6">
        <w:rPr>
          <w:sz w:val="22"/>
          <w:szCs w:val="22"/>
        </w:rPr>
        <w:t>j</w:t>
      </w:r>
      <w:r w:rsidRPr="00EB3966">
        <w:rPr>
          <w:sz w:val="22"/>
          <w:szCs w:val="22"/>
        </w:rPr>
        <w:t>ednosni profil prim</w:t>
      </w:r>
      <w:r w:rsidR="006C3EC6">
        <w:rPr>
          <w:sz w:val="22"/>
          <w:szCs w:val="22"/>
        </w:rPr>
        <w:t>j</w:t>
      </w:r>
      <w:r w:rsidRPr="00EB3966">
        <w:rPr>
          <w:sz w:val="22"/>
          <w:szCs w:val="22"/>
        </w:rPr>
        <w:t>ene lamotrigina kod d</w:t>
      </w:r>
      <w:r w:rsidR="006C3EC6">
        <w:rPr>
          <w:sz w:val="22"/>
          <w:szCs w:val="22"/>
        </w:rPr>
        <w:t>j</w:t>
      </w:r>
      <w:r w:rsidRPr="00EB3966">
        <w:rPr>
          <w:sz w:val="22"/>
          <w:szCs w:val="22"/>
        </w:rPr>
        <w:t xml:space="preserve">ece </w:t>
      </w:r>
      <w:r w:rsidR="00E656AD">
        <w:rPr>
          <w:sz w:val="22"/>
          <w:szCs w:val="22"/>
        </w:rPr>
        <w:t>uzrasta</w:t>
      </w:r>
      <w:r w:rsidRPr="00EB3966">
        <w:rPr>
          <w:sz w:val="22"/>
          <w:szCs w:val="22"/>
        </w:rPr>
        <w:t xml:space="preserve"> od jednog m</w:t>
      </w:r>
      <w:r w:rsidR="006C3EC6">
        <w:rPr>
          <w:sz w:val="22"/>
          <w:szCs w:val="22"/>
        </w:rPr>
        <w:t>j</w:t>
      </w:r>
      <w:r w:rsidRPr="00EB3966">
        <w:rPr>
          <w:sz w:val="22"/>
          <w:szCs w:val="22"/>
        </w:rPr>
        <w:t>eseca do 2 godine bio je sličan bezb</w:t>
      </w:r>
      <w:r w:rsidR="006C3EC6">
        <w:rPr>
          <w:sz w:val="22"/>
          <w:szCs w:val="22"/>
        </w:rPr>
        <w:t>j</w:t>
      </w:r>
      <w:r w:rsidRPr="00EB3966">
        <w:rPr>
          <w:sz w:val="22"/>
          <w:szCs w:val="22"/>
        </w:rPr>
        <w:t>ednosnom profilu prim</w:t>
      </w:r>
      <w:r w:rsidR="006C3EC6">
        <w:rPr>
          <w:sz w:val="22"/>
          <w:szCs w:val="22"/>
        </w:rPr>
        <w:t>j</w:t>
      </w:r>
      <w:r w:rsidRPr="00EB3966">
        <w:rPr>
          <w:sz w:val="22"/>
          <w:szCs w:val="22"/>
        </w:rPr>
        <w:t>ene lamotrigina kod starije d</w:t>
      </w:r>
      <w:r w:rsidR="006C3EC6">
        <w:rPr>
          <w:sz w:val="22"/>
          <w:szCs w:val="22"/>
        </w:rPr>
        <w:t>j</w:t>
      </w:r>
      <w:r w:rsidRPr="00EB3966">
        <w:rPr>
          <w:sz w:val="22"/>
          <w:szCs w:val="22"/>
        </w:rPr>
        <w:t>ece osim što je klinički značajno pogoršanje napada (≥ 50%) češće prijavljivano kod d</w:t>
      </w:r>
      <w:r w:rsidR="006C3EC6">
        <w:rPr>
          <w:sz w:val="22"/>
          <w:szCs w:val="22"/>
        </w:rPr>
        <w:t>j</w:t>
      </w:r>
      <w:r w:rsidRPr="00EB3966">
        <w:rPr>
          <w:sz w:val="22"/>
          <w:szCs w:val="22"/>
        </w:rPr>
        <w:t>ece mlađe od 2 godine (26%) u poređenju sa grupom starije d</w:t>
      </w:r>
      <w:r w:rsidR="006C3EC6">
        <w:rPr>
          <w:sz w:val="22"/>
          <w:szCs w:val="22"/>
        </w:rPr>
        <w:t>j</w:t>
      </w:r>
      <w:r w:rsidRPr="00EB3966">
        <w:rPr>
          <w:sz w:val="22"/>
          <w:szCs w:val="22"/>
        </w:rPr>
        <w:t>ece (14%).</w:t>
      </w:r>
    </w:p>
    <w:p w14:paraId="5DAC645B" w14:textId="77777777" w:rsidR="009F129D" w:rsidRPr="00EB3966" w:rsidRDefault="009F129D" w:rsidP="006B3996">
      <w:pPr>
        <w:tabs>
          <w:tab w:val="center" w:pos="4536"/>
          <w:tab w:val="right" w:pos="9072"/>
        </w:tabs>
        <w:jc w:val="both"/>
        <w:rPr>
          <w:bCs/>
          <w:sz w:val="22"/>
          <w:szCs w:val="22"/>
        </w:rPr>
      </w:pPr>
    </w:p>
    <w:p w14:paraId="3992E7FA" w14:textId="77777777" w:rsidR="009F129D" w:rsidRPr="00EB3966" w:rsidRDefault="009F129D" w:rsidP="006B3996">
      <w:pPr>
        <w:tabs>
          <w:tab w:val="center" w:pos="4536"/>
          <w:tab w:val="right" w:pos="9072"/>
        </w:tabs>
        <w:jc w:val="both"/>
        <w:rPr>
          <w:bCs/>
          <w:sz w:val="22"/>
          <w:szCs w:val="22"/>
          <w:u w:val="single"/>
        </w:rPr>
      </w:pPr>
      <w:r w:rsidRPr="00EB3966">
        <w:rPr>
          <w:i/>
          <w:sz w:val="22"/>
          <w:szCs w:val="22"/>
          <w:u w:val="single"/>
        </w:rPr>
        <w:t>Lennox-Gastaut</w:t>
      </w:r>
      <w:r w:rsidRPr="00EB3966">
        <w:rPr>
          <w:bCs/>
          <w:i/>
          <w:sz w:val="22"/>
          <w:szCs w:val="22"/>
          <w:u w:val="single"/>
        </w:rPr>
        <w:t xml:space="preserve"> sindrom</w:t>
      </w:r>
    </w:p>
    <w:p w14:paraId="53DA3165" w14:textId="18940445" w:rsidR="009F129D" w:rsidRPr="00EB3966" w:rsidRDefault="009F129D" w:rsidP="006B3996">
      <w:pPr>
        <w:tabs>
          <w:tab w:val="center" w:pos="4536"/>
          <w:tab w:val="right" w:pos="9072"/>
        </w:tabs>
        <w:jc w:val="both"/>
        <w:rPr>
          <w:bCs/>
          <w:sz w:val="22"/>
          <w:szCs w:val="22"/>
        </w:rPr>
      </w:pPr>
      <w:r w:rsidRPr="00EB3966">
        <w:rPr>
          <w:sz w:val="22"/>
          <w:szCs w:val="22"/>
        </w:rPr>
        <w:t>Nema podataka o prim</w:t>
      </w:r>
      <w:r w:rsidR="00276452">
        <w:rPr>
          <w:sz w:val="22"/>
          <w:szCs w:val="22"/>
        </w:rPr>
        <w:t>j</w:t>
      </w:r>
      <w:r w:rsidRPr="00EB3966">
        <w:rPr>
          <w:sz w:val="22"/>
          <w:szCs w:val="22"/>
        </w:rPr>
        <w:t xml:space="preserve">eni monoterapije kod napada udruženih sa </w:t>
      </w:r>
      <w:r w:rsidRPr="00EB3966">
        <w:rPr>
          <w:i/>
          <w:sz w:val="22"/>
          <w:szCs w:val="22"/>
        </w:rPr>
        <w:t>Lennox-Gastaut</w:t>
      </w:r>
      <w:r w:rsidRPr="00EB3966">
        <w:rPr>
          <w:sz w:val="22"/>
          <w:szCs w:val="22"/>
        </w:rPr>
        <w:t>-ovim sindromom.</w:t>
      </w:r>
    </w:p>
    <w:p w14:paraId="74A5C5C8" w14:textId="77777777" w:rsidR="009F129D" w:rsidRPr="00EB3966" w:rsidRDefault="009F129D" w:rsidP="006B3996">
      <w:pPr>
        <w:jc w:val="both"/>
        <w:rPr>
          <w:bCs/>
          <w:sz w:val="22"/>
          <w:szCs w:val="22"/>
        </w:rPr>
      </w:pPr>
    </w:p>
    <w:p w14:paraId="16A17E8C" w14:textId="748DB363" w:rsidR="009F129D" w:rsidRPr="00EB3966" w:rsidRDefault="009F129D" w:rsidP="006B3996">
      <w:pPr>
        <w:jc w:val="both"/>
        <w:rPr>
          <w:bCs/>
          <w:i/>
          <w:sz w:val="22"/>
          <w:szCs w:val="22"/>
          <w:u w:val="single"/>
        </w:rPr>
      </w:pPr>
      <w:r w:rsidRPr="00EB3966">
        <w:rPr>
          <w:i/>
          <w:sz w:val="22"/>
          <w:szCs w:val="22"/>
          <w:u w:val="single"/>
        </w:rPr>
        <w:t>Prevencija epizoda prom</w:t>
      </w:r>
      <w:r w:rsidR="00E656AD">
        <w:rPr>
          <w:i/>
          <w:sz w:val="22"/>
          <w:szCs w:val="22"/>
          <w:u w:val="single"/>
        </w:rPr>
        <w:t>j</w:t>
      </w:r>
      <w:r w:rsidRPr="00EB3966">
        <w:rPr>
          <w:i/>
          <w:sz w:val="22"/>
          <w:szCs w:val="22"/>
          <w:u w:val="single"/>
        </w:rPr>
        <w:t>ena raspoloženja kod d</w:t>
      </w:r>
      <w:r w:rsidR="00276452">
        <w:rPr>
          <w:i/>
          <w:sz w:val="22"/>
          <w:szCs w:val="22"/>
          <w:u w:val="single"/>
        </w:rPr>
        <w:t>j</w:t>
      </w:r>
      <w:r w:rsidRPr="00EB3966">
        <w:rPr>
          <w:bCs/>
          <w:i/>
          <w:sz w:val="22"/>
          <w:szCs w:val="22"/>
          <w:u w:val="single"/>
        </w:rPr>
        <w:t>ec</w:t>
      </w:r>
      <w:r w:rsidRPr="00EB3966">
        <w:rPr>
          <w:i/>
          <w:sz w:val="22"/>
          <w:szCs w:val="22"/>
          <w:u w:val="single"/>
        </w:rPr>
        <w:t>e</w:t>
      </w:r>
      <w:r w:rsidRPr="00EB3966">
        <w:rPr>
          <w:bCs/>
          <w:i/>
          <w:sz w:val="22"/>
          <w:szCs w:val="22"/>
          <w:u w:val="single"/>
        </w:rPr>
        <w:t xml:space="preserve"> (</w:t>
      </w:r>
      <w:r w:rsidR="00E656AD">
        <w:rPr>
          <w:bCs/>
          <w:i/>
          <w:sz w:val="22"/>
          <w:szCs w:val="22"/>
          <w:u w:val="single"/>
        </w:rPr>
        <w:t>uzrasta</w:t>
      </w:r>
      <w:r w:rsidRPr="00EB3966">
        <w:rPr>
          <w:bCs/>
          <w:i/>
          <w:sz w:val="22"/>
          <w:szCs w:val="22"/>
          <w:u w:val="single"/>
        </w:rPr>
        <w:t xml:space="preserve"> od 10 do 12 godina) i adolescen</w:t>
      </w:r>
      <w:r w:rsidRPr="00EB3966">
        <w:rPr>
          <w:i/>
          <w:sz w:val="22"/>
          <w:szCs w:val="22"/>
          <w:u w:val="single"/>
        </w:rPr>
        <w:t>ata</w:t>
      </w:r>
      <w:r w:rsidRPr="00EB3966">
        <w:rPr>
          <w:bCs/>
          <w:i/>
          <w:sz w:val="22"/>
          <w:szCs w:val="22"/>
          <w:u w:val="single"/>
        </w:rPr>
        <w:t xml:space="preserve"> (</w:t>
      </w:r>
      <w:r w:rsidR="00E656AD">
        <w:rPr>
          <w:bCs/>
          <w:i/>
          <w:sz w:val="22"/>
          <w:szCs w:val="22"/>
          <w:u w:val="single"/>
        </w:rPr>
        <w:t>uzrasta</w:t>
      </w:r>
      <w:r w:rsidRPr="00EB3966">
        <w:rPr>
          <w:bCs/>
          <w:i/>
          <w:sz w:val="22"/>
          <w:szCs w:val="22"/>
          <w:u w:val="single"/>
        </w:rPr>
        <w:t xml:space="preserve"> od 13 do 17 godina)</w:t>
      </w:r>
    </w:p>
    <w:p w14:paraId="790CC11D" w14:textId="10A588A4" w:rsidR="009F129D" w:rsidRDefault="009F129D" w:rsidP="006B3996">
      <w:pPr>
        <w:jc w:val="both"/>
        <w:rPr>
          <w:bCs/>
        </w:rPr>
      </w:pPr>
      <w:r w:rsidRPr="00EB3966">
        <w:rPr>
          <w:sz w:val="22"/>
          <w:szCs w:val="22"/>
        </w:rPr>
        <w:t>Efikasnost i bezb</w:t>
      </w:r>
      <w:r w:rsidR="00276452">
        <w:rPr>
          <w:sz w:val="22"/>
          <w:szCs w:val="22"/>
        </w:rPr>
        <w:t>j</w:t>
      </w:r>
      <w:r w:rsidRPr="00EB3966">
        <w:rPr>
          <w:sz w:val="22"/>
          <w:szCs w:val="22"/>
        </w:rPr>
        <w:t>ednost prim</w:t>
      </w:r>
      <w:r w:rsidR="00276452">
        <w:rPr>
          <w:sz w:val="22"/>
          <w:szCs w:val="22"/>
        </w:rPr>
        <w:t>j</w:t>
      </w:r>
      <w:r w:rsidRPr="00EB3966">
        <w:rPr>
          <w:sz w:val="22"/>
          <w:szCs w:val="22"/>
        </w:rPr>
        <w:t>ene lamotrigina kao dodatka terapiji održavanja radi odlaganja epizoda prom</w:t>
      </w:r>
      <w:r w:rsidR="00276452">
        <w:rPr>
          <w:sz w:val="22"/>
          <w:szCs w:val="22"/>
        </w:rPr>
        <w:t>j</w:t>
      </w:r>
      <w:r w:rsidRPr="00EB3966">
        <w:rPr>
          <w:sz w:val="22"/>
          <w:szCs w:val="22"/>
        </w:rPr>
        <w:t>ena raspoloženja kod d</w:t>
      </w:r>
      <w:r w:rsidR="00276452">
        <w:rPr>
          <w:sz w:val="22"/>
          <w:szCs w:val="22"/>
        </w:rPr>
        <w:t>j</w:t>
      </w:r>
      <w:r w:rsidRPr="00EB3966">
        <w:rPr>
          <w:sz w:val="22"/>
          <w:szCs w:val="22"/>
        </w:rPr>
        <w:t>ece i adolescenata (</w:t>
      </w:r>
      <w:r w:rsidR="00E656AD">
        <w:rPr>
          <w:sz w:val="22"/>
          <w:szCs w:val="22"/>
        </w:rPr>
        <w:t>uzrasta</w:t>
      </w:r>
      <w:r w:rsidRPr="00EB3966">
        <w:rPr>
          <w:sz w:val="22"/>
          <w:szCs w:val="22"/>
        </w:rPr>
        <w:t xml:space="preserve"> od 10 do 17 godina) oba</w:t>
      </w:r>
      <w:r w:rsidR="00276452">
        <w:rPr>
          <w:sz w:val="22"/>
          <w:szCs w:val="22"/>
        </w:rPr>
        <w:t xml:space="preserve"> pola kod kojih je dijagnostik</w:t>
      </w:r>
      <w:r w:rsidRPr="00EB3966">
        <w:rPr>
          <w:sz w:val="22"/>
          <w:szCs w:val="22"/>
        </w:rPr>
        <w:t>ovan bipolarni poremećaj tip I i kod kojih je stanje bipolarne epizode ušlo u remisiju ili se popravilo prilikom prim</w:t>
      </w:r>
      <w:r w:rsidR="00276452">
        <w:rPr>
          <w:sz w:val="22"/>
          <w:szCs w:val="22"/>
        </w:rPr>
        <w:t>j</w:t>
      </w:r>
      <w:r w:rsidRPr="00EB3966">
        <w:rPr>
          <w:sz w:val="22"/>
          <w:szCs w:val="22"/>
        </w:rPr>
        <w:t>ene lamotrigina istovremeno u kombinaciji sa antipsihoticima ili ostalim stabilizatorima raspoloženja, ispitivani su u multicentričnoj, placebo</w:t>
      </w:r>
      <w:r w:rsidR="00E656AD">
        <w:rPr>
          <w:sz w:val="22"/>
          <w:szCs w:val="22"/>
        </w:rPr>
        <w:t>m</w:t>
      </w:r>
      <w:r w:rsidRPr="00EB3966">
        <w:rPr>
          <w:sz w:val="22"/>
          <w:szCs w:val="22"/>
        </w:rPr>
        <w:t xml:space="preserve"> kontrolisanoj, dvostruko sl</w:t>
      </w:r>
      <w:r w:rsidR="00276452">
        <w:rPr>
          <w:sz w:val="22"/>
          <w:szCs w:val="22"/>
        </w:rPr>
        <w:t>ij</w:t>
      </w:r>
      <w:r w:rsidRPr="00EB3966">
        <w:rPr>
          <w:sz w:val="22"/>
          <w:szCs w:val="22"/>
        </w:rPr>
        <w:t>epoj, randomizovanoj kliničkoj studiji obustave terapije sa paralelnim grupama. Rezultati primarnog ispitivanja efikasnosti (vr</w:t>
      </w:r>
      <w:r w:rsidR="00276452">
        <w:rPr>
          <w:sz w:val="22"/>
          <w:szCs w:val="22"/>
        </w:rPr>
        <w:t>ij</w:t>
      </w:r>
      <w:r w:rsidRPr="00EB3966">
        <w:rPr>
          <w:sz w:val="22"/>
          <w:szCs w:val="22"/>
        </w:rPr>
        <w:t xml:space="preserve">eme do pojave bipolarnog događaja – TOBE, </w:t>
      </w:r>
      <w:r w:rsidRPr="006B3996">
        <w:rPr>
          <w:i/>
          <w:sz w:val="22"/>
          <w:szCs w:val="22"/>
        </w:rPr>
        <w:t xml:space="preserve">Time to occurrence of a bipolar </w:t>
      </w:r>
      <w:r w:rsidRPr="006B3996">
        <w:rPr>
          <w:i/>
          <w:sz w:val="22"/>
          <w:szCs w:val="22"/>
        </w:rPr>
        <w:lastRenderedPageBreak/>
        <w:t>event</w:t>
      </w:r>
      <w:r w:rsidRPr="00EB3966">
        <w:rPr>
          <w:sz w:val="22"/>
          <w:szCs w:val="22"/>
        </w:rPr>
        <w:t>) ni</w:t>
      </w:r>
      <w:r w:rsidR="00E656AD">
        <w:rPr>
          <w:sz w:val="22"/>
          <w:szCs w:val="22"/>
        </w:rPr>
        <w:t>je</w:t>
      </w:r>
      <w:r w:rsidRPr="00EB3966">
        <w:rPr>
          <w:sz w:val="22"/>
          <w:szCs w:val="22"/>
        </w:rPr>
        <w:t>su statistički značajni (p=0,0717), pa stoga efikasnost nije dokazana. Dodatno, rezultati ispitivanja bezb</w:t>
      </w:r>
      <w:r w:rsidR="00276452">
        <w:rPr>
          <w:sz w:val="22"/>
          <w:szCs w:val="22"/>
        </w:rPr>
        <w:t>j</w:t>
      </w:r>
      <w:r w:rsidRPr="00EB3966">
        <w:rPr>
          <w:sz w:val="22"/>
          <w:szCs w:val="22"/>
        </w:rPr>
        <w:t>ednosti su pokazali učestalo prijavljivanje samoubilačkog ponašanja kod pacijenata na terapiji lamotriginom: 5% (4 pacijenta) u grupi l</w:t>
      </w:r>
      <w:r w:rsidR="00276452">
        <w:rPr>
          <w:sz w:val="22"/>
          <w:szCs w:val="22"/>
        </w:rPr>
        <w:t>ij</w:t>
      </w:r>
      <w:r w:rsidRPr="00EB3966">
        <w:rPr>
          <w:sz w:val="22"/>
          <w:szCs w:val="22"/>
        </w:rPr>
        <w:t>ečenoj lamotriginom u poređenju sa 0 u placebo grupi (vid</w:t>
      </w:r>
      <w:r w:rsidR="00276452">
        <w:rPr>
          <w:sz w:val="22"/>
          <w:szCs w:val="22"/>
        </w:rPr>
        <w:t>j</w:t>
      </w:r>
      <w:r w:rsidRPr="00EB3966">
        <w:rPr>
          <w:sz w:val="22"/>
          <w:szCs w:val="22"/>
        </w:rPr>
        <w:t xml:space="preserve">eti </w:t>
      </w:r>
      <w:r w:rsidR="00276452">
        <w:rPr>
          <w:sz w:val="22"/>
          <w:szCs w:val="22"/>
        </w:rPr>
        <w:t>di</w:t>
      </w:r>
      <w:r w:rsidRPr="00EB3966">
        <w:rPr>
          <w:sz w:val="22"/>
          <w:szCs w:val="22"/>
        </w:rPr>
        <w:t>o</w:t>
      </w:r>
      <w:r w:rsidR="00276452">
        <w:rPr>
          <w:sz w:val="22"/>
          <w:szCs w:val="22"/>
        </w:rPr>
        <w:t xml:space="preserve"> </w:t>
      </w:r>
      <w:r w:rsidRPr="00EB3966">
        <w:rPr>
          <w:sz w:val="22"/>
          <w:szCs w:val="22"/>
        </w:rPr>
        <w:t>4.2).</w:t>
      </w:r>
    </w:p>
    <w:p w14:paraId="22065041" w14:textId="77777777" w:rsidR="002E37A5" w:rsidRPr="00786071" w:rsidRDefault="002E37A5" w:rsidP="006B3996">
      <w:pPr>
        <w:tabs>
          <w:tab w:val="left" w:pos="540"/>
          <w:tab w:val="left" w:pos="569"/>
        </w:tabs>
        <w:jc w:val="both"/>
        <w:rPr>
          <w:b/>
          <w:bCs/>
          <w:sz w:val="22"/>
          <w:szCs w:val="22"/>
        </w:rPr>
      </w:pPr>
    </w:p>
    <w:p w14:paraId="22065042" w14:textId="77777777" w:rsidR="0072020E" w:rsidRPr="00786071" w:rsidRDefault="0072020E" w:rsidP="006B3996">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22065043" w14:textId="77777777" w:rsidR="003F55F4" w:rsidRDefault="003F55F4" w:rsidP="006B3996">
      <w:pPr>
        <w:pStyle w:val="Header"/>
        <w:tabs>
          <w:tab w:val="left" w:pos="284"/>
        </w:tabs>
        <w:jc w:val="both"/>
        <w:rPr>
          <w:sz w:val="22"/>
          <w:szCs w:val="22"/>
          <w:u w:val="single"/>
        </w:rPr>
      </w:pPr>
    </w:p>
    <w:p w14:paraId="22065044" w14:textId="4E755E7A" w:rsidR="00BC5A64" w:rsidRDefault="000D24FA" w:rsidP="006B3996">
      <w:pPr>
        <w:pStyle w:val="Header"/>
        <w:tabs>
          <w:tab w:val="left" w:pos="284"/>
        </w:tabs>
        <w:jc w:val="both"/>
        <w:rPr>
          <w:sz w:val="22"/>
          <w:szCs w:val="22"/>
          <w:u w:val="single"/>
        </w:rPr>
      </w:pPr>
      <w:r>
        <w:rPr>
          <w:sz w:val="22"/>
          <w:szCs w:val="22"/>
          <w:u w:val="single"/>
        </w:rPr>
        <w:t>Re</w:t>
      </w:r>
      <w:r w:rsidR="00BC5A64">
        <w:rPr>
          <w:sz w:val="22"/>
          <w:szCs w:val="22"/>
          <w:u w:val="single"/>
        </w:rPr>
        <w:t>sorpcija</w:t>
      </w:r>
    </w:p>
    <w:p w14:paraId="22065045" w14:textId="77777777" w:rsidR="00BC5A64" w:rsidRDefault="00BC5A64" w:rsidP="006B3996">
      <w:pPr>
        <w:pStyle w:val="Header"/>
        <w:tabs>
          <w:tab w:val="left" w:pos="284"/>
        </w:tabs>
        <w:jc w:val="both"/>
        <w:rPr>
          <w:sz w:val="22"/>
          <w:szCs w:val="22"/>
        </w:rPr>
      </w:pPr>
    </w:p>
    <w:p w14:paraId="22065046" w14:textId="01FFE9E4" w:rsidR="00BC5A64" w:rsidRDefault="00BC5A64" w:rsidP="006B3996">
      <w:pPr>
        <w:pStyle w:val="Header"/>
        <w:tabs>
          <w:tab w:val="left" w:pos="284"/>
        </w:tabs>
        <w:jc w:val="both"/>
        <w:rPr>
          <w:sz w:val="22"/>
          <w:szCs w:val="22"/>
        </w:rPr>
      </w:pPr>
      <w:r>
        <w:rPr>
          <w:sz w:val="22"/>
          <w:szCs w:val="22"/>
        </w:rPr>
        <w:t xml:space="preserve">Lamotrigin se brzo i u potpunosti </w:t>
      </w:r>
      <w:r w:rsidR="00E656AD">
        <w:rPr>
          <w:sz w:val="22"/>
          <w:szCs w:val="22"/>
        </w:rPr>
        <w:t>re</w:t>
      </w:r>
      <w:r>
        <w:rPr>
          <w:sz w:val="22"/>
          <w:szCs w:val="22"/>
        </w:rPr>
        <w:t xml:space="preserve">sorbuje iz crijeva bez značajnog metabolizma prvog prolaza. Nakon oralne primjene lamotrigina maksimalne koncentracije u plazmi nastaju za približno 2,5 časa. Nakon unosa hrane vrijeme do postizanja maksimalne koncentracije je blago odloženo, ali bez uticaja na obim apsorpcije. Postoje značajne interindividualne razlike maksimalnih koncentracija u ravnotežnom stanju, ali koncentracije rijetko variraju intraindividualno. </w:t>
      </w:r>
    </w:p>
    <w:p w14:paraId="22065047" w14:textId="77777777" w:rsidR="00BC5A64" w:rsidRDefault="00BC5A64" w:rsidP="006B3996">
      <w:pPr>
        <w:pStyle w:val="Header"/>
        <w:tabs>
          <w:tab w:val="left" w:pos="284"/>
        </w:tabs>
        <w:jc w:val="both"/>
        <w:rPr>
          <w:sz w:val="22"/>
          <w:szCs w:val="22"/>
        </w:rPr>
      </w:pPr>
    </w:p>
    <w:p w14:paraId="22065048" w14:textId="77777777" w:rsidR="00BC5A64" w:rsidRDefault="00BC5A64" w:rsidP="006B3996">
      <w:pPr>
        <w:pStyle w:val="Header"/>
        <w:tabs>
          <w:tab w:val="left" w:pos="284"/>
        </w:tabs>
        <w:jc w:val="both"/>
        <w:rPr>
          <w:sz w:val="22"/>
          <w:szCs w:val="22"/>
          <w:u w:val="single"/>
        </w:rPr>
      </w:pPr>
      <w:r>
        <w:rPr>
          <w:sz w:val="22"/>
          <w:szCs w:val="22"/>
          <w:u w:val="single"/>
        </w:rPr>
        <w:t>Distribucija</w:t>
      </w:r>
    </w:p>
    <w:p w14:paraId="22065049" w14:textId="77777777" w:rsidR="00BC5A64" w:rsidRDefault="00BC5A64" w:rsidP="006B3996">
      <w:pPr>
        <w:pStyle w:val="Header"/>
        <w:tabs>
          <w:tab w:val="left" w:pos="284"/>
        </w:tabs>
        <w:jc w:val="both"/>
        <w:rPr>
          <w:sz w:val="22"/>
          <w:szCs w:val="22"/>
        </w:rPr>
      </w:pPr>
    </w:p>
    <w:p w14:paraId="2206504A" w14:textId="77777777" w:rsidR="00BC5A64" w:rsidRDefault="00BC5A64" w:rsidP="006B3996">
      <w:pPr>
        <w:pStyle w:val="Header"/>
        <w:tabs>
          <w:tab w:val="left" w:pos="284"/>
        </w:tabs>
        <w:jc w:val="both"/>
        <w:rPr>
          <w:sz w:val="22"/>
          <w:szCs w:val="22"/>
        </w:rPr>
      </w:pPr>
      <w:r>
        <w:rPr>
          <w:sz w:val="22"/>
          <w:szCs w:val="22"/>
        </w:rPr>
        <w:t xml:space="preserve">Vezivanje za proteine plazme iznosi približno 55% i malo je vjerovatno da će oslobađanje od proteina plazme imati za posljedicu toksičnost.  </w:t>
      </w:r>
    </w:p>
    <w:p w14:paraId="2206504B" w14:textId="77777777" w:rsidR="00BC5A64" w:rsidRDefault="00BC5A64" w:rsidP="006B3996">
      <w:pPr>
        <w:pStyle w:val="Header"/>
        <w:tabs>
          <w:tab w:val="left" w:pos="284"/>
        </w:tabs>
        <w:jc w:val="both"/>
        <w:rPr>
          <w:sz w:val="22"/>
          <w:szCs w:val="22"/>
        </w:rPr>
      </w:pPr>
    </w:p>
    <w:p w14:paraId="2206504C" w14:textId="77777777" w:rsidR="00BC5A64" w:rsidRDefault="00BC5A64" w:rsidP="006B3996">
      <w:pPr>
        <w:pStyle w:val="Header"/>
        <w:tabs>
          <w:tab w:val="left" w:pos="284"/>
        </w:tabs>
        <w:jc w:val="both"/>
        <w:rPr>
          <w:sz w:val="22"/>
          <w:szCs w:val="22"/>
        </w:rPr>
      </w:pPr>
      <w:r>
        <w:rPr>
          <w:sz w:val="22"/>
          <w:szCs w:val="22"/>
        </w:rPr>
        <w:t>Volumen distibucije iznosi približno 0,92 do 1,22 l/kg.</w:t>
      </w:r>
    </w:p>
    <w:p w14:paraId="2206504D" w14:textId="77777777" w:rsidR="00BC5A64" w:rsidRDefault="00BC5A64" w:rsidP="006B3996">
      <w:pPr>
        <w:pStyle w:val="Header"/>
        <w:tabs>
          <w:tab w:val="left" w:pos="284"/>
        </w:tabs>
        <w:jc w:val="both"/>
        <w:rPr>
          <w:sz w:val="22"/>
          <w:szCs w:val="22"/>
        </w:rPr>
      </w:pPr>
    </w:p>
    <w:p w14:paraId="2206504E" w14:textId="77777777" w:rsidR="00BC5A64" w:rsidRDefault="00BC5A64" w:rsidP="006B3996">
      <w:pPr>
        <w:pStyle w:val="Header"/>
        <w:tabs>
          <w:tab w:val="left" w:pos="284"/>
        </w:tabs>
        <w:jc w:val="both"/>
        <w:rPr>
          <w:sz w:val="22"/>
          <w:szCs w:val="22"/>
          <w:u w:val="single"/>
        </w:rPr>
      </w:pPr>
      <w:r>
        <w:rPr>
          <w:sz w:val="22"/>
          <w:szCs w:val="22"/>
          <w:u w:val="single"/>
        </w:rPr>
        <w:t>Biotransformacija</w:t>
      </w:r>
    </w:p>
    <w:p w14:paraId="2206504F" w14:textId="77777777" w:rsidR="00BC5A64" w:rsidRDefault="00BC5A64" w:rsidP="006B3996">
      <w:pPr>
        <w:pStyle w:val="Header"/>
        <w:tabs>
          <w:tab w:val="left" w:pos="284"/>
        </w:tabs>
        <w:jc w:val="both"/>
        <w:rPr>
          <w:sz w:val="22"/>
          <w:szCs w:val="22"/>
        </w:rPr>
      </w:pPr>
    </w:p>
    <w:p w14:paraId="22065050" w14:textId="77777777" w:rsidR="00BC5A64" w:rsidRDefault="00BC5A64" w:rsidP="006B3996">
      <w:pPr>
        <w:pStyle w:val="Header"/>
        <w:tabs>
          <w:tab w:val="left" w:pos="284"/>
        </w:tabs>
        <w:jc w:val="both"/>
        <w:rPr>
          <w:sz w:val="22"/>
          <w:szCs w:val="22"/>
          <w:lang w:val="sl-SI"/>
        </w:rPr>
      </w:pPr>
      <w:r>
        <w:rPr>
          <w:sz w:val="22"/>
          <w:szCs w:val="22"/>
          <w:lang w:val="sl-SI"/>
        </w:rPr>
        <w:t xml:space="preserve">UDP-glukuronil-transferaze su identifikovane kao enzimi odgovorni za metabolizam lamotrigina. </w:t>
      </w:r>
    </w:p>
    <w:p w14:paraId="22065051" w14:textId="77777777" w:rsidR="00BC5A64" w:rsidRDefault="00BC5A64" w:rsidP="006B3996">
      <w:pPr>
        <w:pStyle w:val="Header"/>
        <w:tabs>
          <w:tab w:val="left" w:pos="284"/>
        </w:tabs>
        <w:jc w:val="both"/>
        <w:rPr>
          <w:sz w:val="22"/>
          <w:szCs w:val="22"/>
          <w:lang w:val="sl-SI"/>
        </w:rPr>
      </w:pPr>
    </w:p>
    <w:p w14:paraId="22065052" w14:textId="77777777" w:rsidR="00BC5A64" w:rsidRDefault="00BC5A64" w:rsidP="006B3996">
      <w:pPr>
        <w:pStyle w:val="Header"/>
        <w:tabs>
          <w:tab w:val="left" w:pos="284"/>
        </w:tabs>
        <w:jc w:val="both"/>
        <w:rPr>
          <w:sz w:val="22"/>
          <w:szCs w:val="22"/>
          <w:lang w:val="sl-SI"/>
        </w:rPr>
      </w:pPr>
      <w:r>
        <w:rPr>
          <w:sz w:val="22"/>
          <w:szCs w:val="22"/>
          <w:lang w:val="sl-SI"/>
        </w:rPr>
        <w:t>U zavisnosti od primijenjene doze lamotrigin indukuje sopstveni metabolizam do umjerenog stepena. Međutim, nema dokaza da lamotrigin utiče na farmakokinetiku drugih AEL i podaci ukazuju da je vjerovatnoća za pojavu interakcija između lamotrigina i ljekova koji se metabolišu pomoću enzima citohrom P</w:t>
      </w:r>
      <w:r w:rsidRPr="004E30CF">
        <w:rPr>
          <w:sz w:val="22"/>
          <w:szCs w:val="22"/>
          <w:vertAlign w:val="subscript"/>
          <w:lang w:val="sl-SI"/>
        </w:rPr>
        <w:t>450</w:t>
      </w:r>
      <w:r>
        <w:rPr>
          <w:sz w:val="22"/>
          <w:szCs w:val="22"/>
          <w:lang w:val="sl-SI"/>
        </w:rPr>
        <w:t xml:space="preserve"> mala.</w:t>
      </w:r>
    </w:p>
    <w:p w14:paraId="22065053" w14:textId="77777777" w:rsidR="00BC5A64" w:rsidRDefault="00BC5A64" w:rsidP="006B3996">
      <w:pPr>
        <w:pStyle w:val="Header"/>
        <w:tabs>
          <w:tab w:val="left" w:pos="284"/>
        </w:tabs>
        <w:jc w:val="both"/>
        <w:rPr>
          <w:sz w:val="22"/>
          <w:szCs w:val="22"/>
          <w:lang w:val="sl-SI"/>
        </w:rPr>
      </w:pPr>
    </w:p>
    <w:p w14:paraId="22065054" w14:textId="77777777" w:rsidR="00BC5A64" w:rsidRDefault="00BC5A64" w:rsidP="006B3996">
      <w:pPr>
        <w:pStyle w:val="Header"/>
        <w:tabs>
          <w:tab w:val="left" w:pos="284"/>
        </w:tabs>
        <w:jc w:val="both"/>
        <w:rPr>
          <w:sz w:val="22"/>
          <w:szCs w:val="22"/>
          <w:u w:val="single"/>
          <w:lang w:val="sl-SI"/>
        </w:rPr>
      </w:pPr>
      <w:r>
        <w:rPr>
          <w:sz w:val="22"/>
          <w:szCs w:val="22"/>
          <w:u w:val="single"/>
          <w:lang w:val="sl-SI"/>
        </w:rPr>
        <w:t>Eliminacija</w:t>
      </w:r>
    </w:p>
    <w:p w14:paraId="22065055" w14:textId="07B645FD" w:rsidR="00BC5A64" w:rsidRDefault="00BC5A64" w:rsidP="006B3996">
      <w:pPr>
        <w:pStyle w:val="Header"/>
        <w:tabs>
          <w:tab w:val="left" w:pos="284"/>
        </w:tabs>
        <w:jc w:val="both"/>
        <w:rPr>
          <w:sz w:val="22"/>
          <w:szCs w:val="22"/>
          <w:lang w:val="sl-SI"/>
        </w:rPr>
      </w:pPr>
      <w:r>
        <w:rPr>
          <w:sz w:val="22"/>
          <w:szCs w:val="22"/>
          <w:lang w:val="sl-SI"/>
        </w:rPr>
        <w:t>Prividni klirens plazme kod zdravih ispitanika iznosi približno 30 m</w:t>
      </w:r>
      <w:r w:rsidR="00765376">
        <w:rPr>
          <w:sz w:val="22"/>
          <w:szCs w:val="22"/>
          <w:lang w:val="sl-SI"/>
        </w:rPr>
        <w:t>l</w:t>
      </w:r>
      <w:r>
        <w:rPr>
          <w:sz w:val="22"/>
          <w:szCs w:val="22"/>
          <w:lang w:val="sl-SI"/>
        </w:rPr>
        <w:t xml:space="preserve">/min. Klirens lamotrigina  je primarno metabolički sa posljedičnom eliminacijom glukuronid-konjugovanih produkata putem urina. Manje od 10% se ekskretuje u nepromijenjenom obliku u urin. Samo približno 2% lamotrigina i njegovih metabolita se izlučuje putem fecesa. Klirens i poluvrijeme eliminacije ne zavise od primijenjene doze. Procijenjeno je da prividno poluvrijeme eliminacije u plazmi kod zdravih ispitanika iznosi priblizno 33 časa (opseg od 14 do 103 časa). U kliničkom ispitivanju osoba sa Gilbert sindromom srednji prividni klirens je bio smanjen za 32% u poređenju sa zdravom kontrolnom grupom, ali su se vrijednosti nalazile u granicama opsega karakterističnim za opštu populaciju. </w:t>
      </w:r>
    </w:p>
    <w:p w14:paraId="22065056" w14:textId="77777777" w:rsidR="00BC5A64" w:rsidRDefault="00BC5A64" w:rsidP="006B3996">
      <w:pPr>
        <w:pStyle w:val="Header"/>
        <w:tabs>
          <w:tab w:val="left" w:pos="284"/>
        </w:tabs>
        <w:jc w:val="both"/>
        <w:rPr>
          <w:sz w:val="22"/>
          <w:szCs w:val="22"/>
          <w:lang w:val="sl-SI"/>
        </w:rPr>
      </w:pPr>
    </w:p>
    <w:p w14:paraId="22065057" w14:textId="77A16788" w:rsidR="00BC5A64" w:rsidRDefault="00BC5A64" w:rsidP="006B3996">
      <w:pPr>
        <w:pStyle w:val="Header"/>
        <w:tabs>
          <w:tab w:val="left" w:pos="284"/>
        </w:tabs>
        <w:jc w:val="both"/>
        <w:rPr>
          <w:sz w:val="22"/>
          <w:szCs w:val="22"/>
          <w:lang w:val="sl-SI"/>
        </w:rPr>
      </w:pPr>
      <w:r>
        <w:rPr>
          <w:sz w:val="22"/>
          <w:szCs w:val="22"/>
          <w:lang w:val="sl-SI"/>
        </w:rPr>
        <w:t xml:space="preserve">Na poluvrijeme eliminacije lamotrigina značajno utiče istovremena primjena drugih ljekova. Srednje poluvrijeme eliminacije se smanjuje do približno 14 časova prilikom istovremene primjene sa induktorima glukuronidacije kao što su karbamazepin i fenitoin i povećava se do srednje vrijednosti od približno 70 časova prilikom istovremene primjene isključivo sa valproatom (vidjeti </w:t>
      </w:r>
      <w:r w:rsidR="00706D93">
        <w:rPr>
          <w:sz w:val="22"/>
          <w:szCs w:val="22"/>
          <w:lang w:val="sl-SI"/>
        </w:rPr>
        <w:t>dio</w:t>
      </w:r>
      <w:r>
        <w:rPr>
          <w:sz w:val="22"/>
          <w:szCs w:val="22"/>
          <w:lang w:val="sl-SI"/>
        </w:rPr>
        <w:t xml:space="preserve"> 4.2) . </w:t>
      </w:r>
    </w:p>
    <w:p w14:paraId="22065058" w14:textId="77777777" w:rsidR="00BC5A64" w:rsidRDefault="00BC5A64" w:rsidP="006B3996">
      <w:pPr>
        <w:pStyle w:val="Header"/>
        <w:tabs>
          <w:tab w:val="left" w:pos="284"/>
        </w:tabs>
        <w:jc w:val="both"/>
        <w:rPr>
          <w:sz w:val="22"/>
          <w:szCs w:val="22"/>
          <w:lang w:val="sl-SI"/>
        </w:rPr>
      </w:pPr>
    </w:p>
    <w:p w14:paraId="22065059" w14:textId="77777777" w:rsidR="00BC5A64" w:rsidRDefault="00BC5A64" w:rsidP="006B3996">
      <w:pPr>
        <w:pStyle w:val="Header"/>
        <w:tabs>
          <w:tab w:val="left" w:pos="284"/>
        </w:tabs>
        <w:jc w:val="both"/>
        <w:rPr>
          <w:sz w:val="22"/>
          <w:szCs w:val="22"/>
          <w:u w:val="single"/>
          <w:lang w:val="sl-SI"/>
        </w:rPr>
      </w:pPr>
      <w:r>
        <w:rPr>
          <w:sz w:val="22"/>
          <w:szCs w:val="22"/>
          <w:u w:val="single"/>
          <w:lang w:val="sl-SI"/>
        </w:rPr>
        <w:t>Linearnost</w:t>
      </w:r>
    </w:p>
    <w:p w14:paraId="2206505A" w14:textId="77777777" w:rsidR="00BC5A64" w:rsidRDefault="00BC5A64" w:rsidP="006B3996">
      <w:pPr>
        <w:pStyle w:val="Header"/>
        <w:tabs>
          <w:tab w:val="left" w:pos="284"/>
        </w:tabs>
        <w:jc w:val="both"/>
        <w:rPr>
          <w:sz w:val="22"/>
          <w:szCs w:val="22"/>
          <w:u w:val="single"/>
          <w:lang w:val="sl-SI"/>
        </w:rPr>
      </w:pPr>
    </w:p>
    <w:p w14:paraId="2206505B" w14:textId="56B1E889" w:rsidR="00BC5A64" w:rsidRDefault="00BC5A64" w:rsidP="006B3996">
      <w:pPr>
        <w:pStyle w:val="Header"/>
        <w:tabs>
          <w:tab w:val="left" w:pos="284"/>
        </w:tabs>
        <w:jc w:val="both"/>
        <w:rPr>
          <w:sz w:val="22"/>
          <w:szCs w:val="22"/>
          <w:lang w:val="sl-SI"/>
        </w:rPr>
      </w:pPr>
      <w:r>
        <w:rPr>
          <w:sz w:val="22"/>
          <w:szCs w:val="22"/>
          <w:lang w:val="sl-SI"/>
        </w:rPr>
        <w:t>Farmakokinetika lamotrigina pokazuje linearnost do doze od 450</w:t>
      </w:r>
      <w:r w:rsidR="00380C0A">
        <w:rPr>
          <w:sz w:val="22"/>
          <w:szCs w:val="22"/>
          <w:lang w:val="sl-SI"/>
        </w:rPr>
        <w:t xml:space="preserve"> </w:t>
      </w:r>
      <w:r>
        <w:rPr>
          <w:sz w:val="22"/>
          <w:szCs w:val="22"/>
          <w:lang w:val="sl-SI"/>
        </w:rPr>
        <w:t xml:space="preserve">mg, najviše ispitane pojedinačne doze. </w:t>
      </w:r>
    </w:p>
    <w:p w14:paraId="2206505C" w14:textId="77777777" w:rsidR="00BC5A64" w:rsidRDefault="00BC5A64" w:rsidP="006B3996">
      <w:pPr>
        <w:pStyle w:val="Header"/>
        <w:tabs>
          <w:tab w:val="left" w:pos="284"/>
        </w:tabs>
        <w:jc w:val="both"/>
        <w:rPr>
          <w:sz w:val="22"/>
          <w:szCs w:val="22"/>
          <w:lang w:val="sl-SI"/>
        </w:rPr>
      </w:pPr>
    </w:p>
    <w:p w14:paraId="2206505D" w14:textId="77777777" w:rsidR="00BC5A64" w:rsidRDefault="00BC5A64" w:rsidP="006B3996">
      <w:pPr>
        <w:pStyle w:val="Header"/>
        <w:tabs>
          <w:tab w:val="left" w:pos="284"/>
        </w:tabs>
        <w:jc w:val="both"/>
        <w:rPr>
          <w:sz w:val="22"/>
          <w:szCs w:val="22"/>
          <w:u w:val="single"/>
          <w:lang w:val="sl-SI"/>
        </w:rPr>
      </w:pPr>
      <w:r>
        <w:rPr>
          <w:sz w:val="22"/>
          <w:szCs w:val="22"/>
          <w:u w:val="single"/>
          <w:lang w:val="sl-SI"/>
        </w:rPr>
        <w:t>Posebne populacione grupe pacijenata</w:t>
      </w:r>
    </w:p>
    <w:p w14:paraId="2206505E" w14:textId="77777777" w:rsidR="00BC5A64" w:rsidRDefault="00BC5A64" w:rsidP="006B3996">
      <w:pPr>
        <w:pStyle w:val="Header"/>
        <w:tabs>
          <w:tab w:val="left" w:pos="284"/>
        </w:tabs>
        <w:jc w:val="both"/>
        <w:rPr>
          <w:sz w:val="22"/>
          <w:szCs w:val="22"/>
          <w:u w:val="single"/>
          <w:lang w:val="sl-SI"/>
        </w:rPr>
      </w:pPr>
    </w:p>
    <w:p w14:paraId="2206505F" w14:textId="77777777" w:rsidR="00BC5A64" w:rsidRPr="004E30CF" w:rsidRDefault="00BC5A64" w:rsidP="006B3996">
      <w:pPr>
        <w:pStyle w:val="Header"/>
        <w:tabs>
          <w:tab w:val="left" w:pos="284"/>
        </w:tabs>
        <w:jc w:val="both"/>
        <w:rPr>
          <w:i/>
          <w:sz w:val="22"/>
          <w:szCs w:val="22"/>
          <w:lang w:val="sl-SI"/>
        </w:rPr>
      </w:pPr>
      <w:r w:rsidRPr="004E30CF">
        <w:rPr>
          <w:i/>
          <w:sz w:val="22"/>
          <w:szCs w:val="22"/>
          <w:lang w:val="sl-SI"/>
        </w:rPr>
        <w:t>Djeca</w:t>
      </w:r>
    </w:p>
    <w:p w14:paraId="22065060" w14:textId="1CD67B3D" w:rsidR="00BC5A64" w:rsidRDefault="00BC5A64" w:rsidP="006B3996">
      <w:pPr>
        <w:pStyle w:val="Header"/>
        <w:tabs>
          <w:tab w:val="left" w:pos="284"/>
        </w:tabs>
        <w:jc w:val="both"/>
        <w:rPr>
          <w:sz w:val="22"/>
          <w:szCs w:val="22"/>
          <w:lang w:val="sl-SI"/>
        </w:rPr>
      </w:pPr>
      <w:r>
        <w:rPr>
          <w:sz w:val="22"/>
          <w:szCs w:val="22"/>
          <w:lang w:val="sl-SI"/>
        </w:rPr>
        <w:t xml:space="preserve">Klirens prilagođen tjelesnoj masi je viši kod djece nego kod odraslih osoba, sa višim vrijednostima kod djece mlađe od 5 godina. Poluvrijeme eliminacije lamotrigina je generalno kraće kod djece nego kod odraslih osoba, sa srednjom vrijednošću od približno 7 časova prilikom istovremene primjene sa </w:t>
      </w:r>
      <w:r>
        <w:rPr>
          <w:sz w:val="22"/>
          <w:szCs w:val="22"/>
          <w:lang w:val="sl-SI"/>
        </w:rPr>
        <w:lastRenderedPageBreak/>
        <w:t xml:space="preserve">ljekovima koji indukuju enzime, kao što su karbamazepin i fenitoin, uz povećanje do srednjih vrijednosti od 45 do 50 časova prilikom istovremene primjene isključivo sa valproatom (vidjeti </w:t>
      </w:r>
      <w:r w:rsidR="00706D93">
        <w:rPr>
          <w:sz w:val="22"/>
          <w:szCs w:val="22"/>
          <w:lang w:val="sl-SI"/>
        </w:rPr>
        <w:t>dio</w:t>
      </w:r>
      <w:r>
        <w:rPr>
          <w:sz w:val="22"/>
          <w:szCs w:val="22"/>
          <w:lang w:val="sl-SI"/>
        </w:rPr>
        <w:t xml:space="preserve"> 4.2).</w:t>
      </w:r>
    </w:p>
    <w:p w14:paraId="22065061" w14:textId="77777777" w:rsidR="00BC5A64" w:rsidRDefault="00BC5A64" w:rsidP="006B3996">
      <w:pPr>
        <w:pStyle w:val="Header"/>
        <w:tabs>
          <w:tab w:val="left" w:pos="284"/>
        </w:tabs>
        <w:jc w:val="both"/>
        <w:rPr>
          <w:sz w:val="22"/>
          <w:szCs w:val="22"/>
          <w:lang w:val="sl-SI"/>
        </w:rPr>
      </w:pPr>
    </w:p>
    <w:p w14:paraId="22065062" w14:textId="44E20E65" w:rsidR="00BC5A64" w:rsidRDefault="00BC5A64" w:rsidP="006B3996">
      <w:pPr>
        <w:pStyle w:val="Header"/>
        <w:tabs>
          <w:tab w:val="left" w:pos="284"/>
        </w:tabs>
        <w:jc w:val="both"/>
        <w:rPr>
          <w:sz w:val="22"/>
          <w:szCs w:val="22"/>
          <w:u w:val="single"/>
          <w:lang w:val="sl-SI"/>
        </w:rPr>
      </w:pPr>
      <w:r>
        <w:rPr>
          <w:sz w:val="22"/>
          <w:szCs w:val="22"/>
          <w:u w:val="single"/>
          <w:lang w:val="sl-SI"/>
        </w:rPr>
        <w:t xml:space="preserve">Odojčad </w:t>
      </w:r>
      <w:r w:rsidR="00E656AD">
        <w:rPr>
          <w:sz w:val="22"/>
          <w:szCs w:val="22"/>
          <w:u w:val="single"/>
          <w:lang w:val="sl-SI"/>
        </w:rPr>
        <w:t>uzrasta</w:t>
      </w:r>
      <w:r>
        <w:rPr>
          <w:sz w:val="22"/>
          <w:szCs w:val="22"/>
          <w:u w:val="single"/>
          <w:lang w:val="sl-SI"/>
        </w:rPr>
        <w:t xml:space="preserve"> od 2 do 26 mjesec</w:t>
      </w:r>
      <w:r w:rsidR="00E656AD">
        <w:rPr>
          <w:sz w:val="22"/>
          <w:szCs w:val="22"/>
          <w:u w:val="single"/>
          <w:lang w:val="sl-SI"/>
        </w:rPr>
        <w:t>i</w:t>
      </w:r>
      <w:r>
        <w:rPr>
          <w:sz w:val="22"/>
          <w:szCs w:val="22"/>
          <w:u w:val="single"/>
          <w:lang w:val="sl-SI"/>
        </w:rPr>
        <w:t xml:space="preserve"> života</w:t>
      </w:r>
    </w:p>
    <w:p w14:paraId="22065063" w14:textId="388018D5" w:rsidR="00BC5A64" w:rsidRPr="008E171B" w:rsidRDefault="00BC5A64" w:rsidP="006B3996">
      <w:pPr>
        <w:pStyle w:val="Header"/>
        <w:tabs>
          <w:tab w:val="left" w:pos="284"/>
        </w:tabs>
        <w:jc w:val="both"/>
        <w:rPr>
          <w:sz w:val="22"/>
          <w:szCs w:val="22"/>
          <w:lang w:val="sl-SI"/>
        </w:rPr>
      </w:pPr>
      <w:r w:rsidRPr="008E171B">
        <w:rPr>
          <w:sz w:val="22"/>
          <w:szCs w:val="22"/>
          <w:lang w:val="sl-SI"/>
        </w:rPr>
        <w:t xml:space="preserve">Kod 143 pedijatrijska pacijenta </w:t>
      </w:r>
      <w:r w:rsidR="00E656AD" w:rsidRPr="008E171B">
        <w:rPr>
          <w:sz w:val="22"/>
          <w:szCs w:val="22"/>
          <w:lang w:val="sl-SI"/>
        </w:rPr>
        <w:t>uzrasta</w:t>
      </w:r>
      <w:r w:rsidRPr="008E171B">
        <w:rPr>
          <w:sz w:val="22"/>
          <w:szCs w:val="22"/>
          <w:lang w:val="sl-SI"/>
        </w:rPr>
        <w:t xml:space="preserve"> od 2 do 26 mjesec</w:t>
      </w:r>
      <w:r w:rsidR="00E656AD" w:rsidRPr="008E171B">
        <w:rPr>
          <w:sz w:val="22"/>
          <w:szCs w:val="22"/>
          <w:lang w:val="sl-SI"/>
        </w:rPr>
        <w:t>i</w:t>
      </w:r>
      <w:r w:rsidRPr="008E171B">
        <w:rPr>
          <w:sz w:val="22"/>
          <w:szCs w:val="22"/>
          <w:lang w:val="sl-SI"/>
        </w:rPr>
        <w:t xml:space="preserve"> života, tjelesne mase od 3 do 16kg, klirens je bio smanjen u poređenju sa starijom djecom iste tjelesne mase kojoj su bile primijenjene slične oralne doze po kilogramu tjelesne mase kao i djeci starijoj od 2. godine života. Procijenjeno srednje </w:t>
      </w:r>
      <w:r>
        <w:rPr>
          <w:sz w:val="22"/>
          <w:szCs w:val="22"/>
          <w:lang w:val="sl-SI"/>
        </w:rPr>
        <w:t>poluvrijeme eliminacije</w:t>
      </w:r>
      <w:r w:rsidRPr="008E171B">
        <w:rPr>
          <w:sz w:val="22"/>
          <w:szCs w:val="22"/>
          <w:lang w:val="sl-SI"/>
        </w:rPr>
        <w:t xml:space="preserve"> iznosilo je 23 časa kod odojčadi mlađe od 26 mjeseci života kojima je bila primijenjena terapija ljekovima koji indukuju enzime, 136 časova prilikom istovremene primjene sa valproatom i 38 časova kod ispitanika kojima je primijenjena terapija bez induktora/inhibitora enzima. U grupi pedijatrijskih pacijenata </w:t>
      </w:r>
      <w:r w:rsidR="00E656AD" w:rsidRPr="008E171B">
        <w:rPr>
          <w:sz w:val="22"/>
          <w:szCs w:val="22"/>
          <w:lang w:val="sl-SI"/>
        </w:rPr>
        <w:t>uzrasta</w:t>
      </w:r>
      <w:r w:rsidRPr="008E171B">
        <w:rPr>
          <w:sz w:val="22"/>
          <w:szCs w:val="22"/>
          <w:lang w:val="sl-SI"/>
        </w:rPr>
        <w:t xml:space="preserve"> od 2 do 26 mjesec</w:t>
      </w:r>
      <w:r w:rsidR="00E656AD" w:rsidRPr="008E171B">
        <w:rPr>
          <w:sz w:val="22"/>
          <w:szCs w:val="22"/>
          <w:lang w:val="sl-SI"/>
        </w:rPr>
        <w:t>i</w:t>
      </w:r>
      <w:r w:rsidRPr="008E171B">
        <w:rPr>
          <w:sz w:val="22"/>
          <w:szCs w:val="22"/>
          <w:lang w:val="sl-SI"/>
        </w:rPr>
        <w:t xml:space="preserve"> života zabilježena je visoka interiindividualna varijabilnost oralnog klirensa (47%). Predviđeni nivoi koncentarcija u serumu kod djece </w:t>
      </w:r>
      <w:r w:rsidR="00E656AD" w:rsidRPr="008E171B">
        <w:rPr>
          <w:sz w:val="22"/>
          <w:szCs w:val="22"/>
          <w:lang w:val="sl-SI"/>
        </w:rPr>
        <w:t>uzrasta</w:t>
      </w:r>
      <w:r w:rsidRPr="008E171B">
        <w:rPr>
          <w:sz w:val="22"/>
          <w:szCs w:val="22"/>
          <w:lang w:val="sl-SI"/>
        </w:rPr>
        <w:t xml:space="preserve"> od 2 do 2 mjesec</w:t>
      </w:r>
      <w:r w:rsidR="00E656AD" w:rsidRPr="008E171B">
        <w:rPr>
          <w:sz w:val="22"/>
          <w:szCs w:val="22"/>
          <w:lang w:val="sl-SI"/>
        </w:rPr>
        <w:t>i</w:t>
      </w:r>
      <w:r w:rsidRPr="008E171B">
        <w:rPr>
          <w:sz w:val="22"/>
          <w:szCs w:val="22"/>
          <w:lang w:val="sl-SI"/>
        </w:rPr>
        <w:t xml:space="preserve"> života nalazili su se generalno u opsegu vrijednosti kao kod starije djece, iako je vjerovatno da će kod djece tjelesne mase niže od 10kg biti uočene više vrijednosti C</w:t>
      </w:r>
      <w:r w:rsidRPr="008E171B">
        <w:rPr>
          <w:sz w:val="22"/>
          <w:szCs w:val="22"/>
          <w:vertAlign w:val="subscript"/>
          <w:lang w:val="sl-SI"/>
        </w:rPr>
        <w:t>max</w:t>
      </w:r>
      <w:r w:rsidRPr="008E171B">
        <w:rPr>
          <w:sz w:val="22"/>
          <w:szCs w:val="22"/>
          <w:lang w:val="sl-SI"/>
        </w:rPr>
        <w:t>.</w:t>
      </w:r>
    </w:p>
    <w:p w14:paraId="22065064" w14:textId="77777777" w:rsidR="00BC5A64" w:rsidRPr="008E171B" w:rsidRDefault="00BC5A64" w:rsidP="006B3996">
      <w:pPr>
        <w:pStyle w:val="Header"/>
        <w:tabs>
          <w:tab w:val="left" w:pos="284"/>
        </w:tabs>
        <w:jc w:val="both"/>
        <w:rPr>
          <w:sz w:val="22"/>
          <w:szCs w:val="22"/>
          <w:lang w:val="sl-SI"/>
        </w:rPr>
      </w:pPr>
    </w:p>
    <w:p w14:paraId="22065065" w14:textId="77777777" w:rsidR="00BC5A64" w:rsidRPr="008E171B" w:rsidRDefault="00BC5A64" w:rsidP="006B3996">
      <w:pPr>
        <w:pStyle w:val="Header"/>
        <w:tabs>
          <w:tab w:val="left" w:pos="284"/>
        </w:tabs>
        <w:jc w:val="both"/>
        <w:rPr>
          <w:i/>
          <w:sz w:val="22"/>
          <w:szCs w:val="22"/>
          <w:lang w:val="sl-SI"/>
        </w:rPr>
      </w:pPr>
      <w:r w:rsidRPr="008E171B">
        <w:rPr>
          <w:i/>
          <w:sz w:val="22"/>
          <w:szCs w:val="22"/>
          <w:lang w:val="sl-SI"/>
        </w:rPr>
        <w:t>Starije osobe</w:t>
      </w:r>
    </w:p>
    <w:p w14:paraId="22065066" w14:textId="254562EC" w:rsidR="00BC5A64" w:rsidRPr="008E171B" w:rsidRDefault="00BC5A64" w:rsidP="006B3996">
      <w:pPr>
        <w:pStyle w:val="Header"/>
        <w:tabs>
          <w:tab w:val="left" w:pos="284"/>
        </w:tabs>
        <w:jc w:val="both"/>
        <w:rPr>
          <w:sz w:val="22"/>
          <w:szCs w:val="22"/>
          <w:lang w:val="sl-SI"/>
        </w:rPr>
      </w:pPr>
      <w:r w:rsidRPr="008E171B">
        <w:rPr>
          <w:sz w:val="22"/>
          <w:szCs w:val="22"/>
          <w:lang w:val="sl-SI"/>
        </w:rPr>
        <w:t>Rezultati populacionih farmakokinetičkih ispitivanja mladih i starijih pacijenata oboljelih od epilepsije uključenih u ista ispitivanja, pokazala su da se klirens lamotrigina nije mijenjao u klinički značajnom obimu. Nakon primjene pojedinačnih doza prividni klirens je smanjen za 12% od vrijednosti od 35 m</w:t>
      </w:r>
      <w:r w:rsidR="003A3C2E" w:rsidRPr="008E171B">
        <w:rPr>
          <w:sz w:val="22"/>
          <w:szCs w:val="22"/>
          <w:lang w:val="sl-SI"/>
        </w:rPr>
        <w:t>l</w:t>
      </w:r>
      <w:r w:rsidRPr="008E171B">
        <w:rPr>
          <w:sz w:val="22"/>
          <w:szCs w:val="22"/>
          <w:lang w:val="sl-SI"/>
        </w:rPr>
        <w:t xml:space="preserve">/min pri </w:t>
      </w:r>
      <w:r w:rsidR="00E656AD" w:rsidRPr="008E171B">
        <w:rPr>
          <w:sz w:val="22"/>
          <w:szCs w:val="22"/>
          <w:lang w:val="sl-SI"/>
        </w:rPr>
        <w:t>uzrastu</w:t>
      </w:r>
      <w:r w:rsidRPr="008E171B">
        <w:rPr>
          <w:sz w:val="22"/>
          <w:szCs w:val="22"/>
          <w:lang w:val="sl-SI"/>
        </w:rPr>
        <w:t xml:space="preserve"> pacijenta od 20 godina do 31 m</w:t>
      </w:r>
      <w:r w:rsidR="0050427D" w:rsidRPr="008E171B">
        <w:rPr>
          <w:sz w:val="22"/>
          <w:szCs w:val="22"/>
          <w:lang w:val="sl-SI"/>
        </w:rPr>
        <w:t>l</w:t>
      </w:r>
      <w:r w:rsidRPr="008E171B">
        <w:rPr>
          <w:sz w:val="22"/>
          <w:szCs w:val="22"/>
          <w:lang w:val="sl-SI"/>
        </w:rPr>
        <w:t>/min pri starosti od 70 godina života. Smanjenje nakon 48 nedjelja terapije iznosilo je 10% od vrijednosti od 41 do 37 m</w:t>
      </w:r>
      <w:r w:rsidR="003A3C2E" w:rsidRPr="008E171B">
        <w:rPr>
          <w:sz w:val="22"/>
          <w:szCs w:val="22"/>
          <w:lang w:val="sl-SI"/>
        </w:rPr>
        <w:t>l</w:t>
      </w:r>
      <w:r w:rsidRPr="008E171B">
        <w:rPr>
          <w:sz w:val="22"/>
          <w:szCs w:val="22"/>
          <w:lang w:val="sl-SI"/>
        </w:rPr>
        <w:t>/min između grupa mladih i starijih pacijenata. Dodatno, farmakokinetika lamotrigina je ispitivana kod 12 zdravih odraslih ispitanika nakon primjene pojedinačne doze od 150mg. Srednji klirens u grupi odraslih osoba (0,39 m</w:t>
      </w:r>
      <w:r w:rsidR="0050427D" w:rsidRPr="008E171B">
        <w:rPr>
          <w:sz w:val="22"/>
          <w:szCs w:val="22"/>
          <w:lang w:val="sl-SI"/>
        </w:rPr>
        <w:t>l</w:t>
      </w:r>
      <w:r w:rsidRPr="008E171B">
        <w:rPr>
          <w:sz w:val="22"/>
          <w:szCs w:val="22"/>
          <w:lang w:val="sl-SI"/>
        </w:rPr>
        <w:t>/min/kg) leži unutar opsega vrijednosti prosječnog klirensa (0,31 do 0,65 m</w:t>
      </w:r>
      <w:r w:rsidR="003A3C2E" w:rsidRPr="008E171B">
        <w:rPr>
          <w:sz w:val="22"/>
          <w:szCs w:val="22"/>
          <w:lang w:val="sl-SI"/>
        </w:rPr>
        <w:t>l</w:t>
      </w:r>
      <w:r w:rsidRPr="008E171B">
        <w:rPr>
          <w:sz w:val="22"/>
          <w:szCs w:val="22"/>
          <w:lang w:val="sl-SI"/>
        </w:rPr>
        <w:t xml:space="preserve">/min/kg) dobijen na osnovu devet kliničkih ispitivanja na mlađim odraslim osobama nakon primjene pojedinačnih doza od 30 do 450mg. </w:t>
      </w:r>
    </w:p>
    <w:p w14:paraId="22065067" w14:textId="77777777" w:rsidR="00BC5A64" w:rsidRPr="008E171B" w:rsidRDefault="00BC5A64" w:rsidP="006B3996">
      <w:pPr>
        <w:pStyle w:val="Header"/>
        <w:tabs>
          <w:tab w:val="left" w:pos="284"/>
        </w:tabs>
        <w:jc w:val="both"/>
        <w:rPr>
          <w:sz w:val="22"/>
          <w:szCs w:val="22"/>
          <w:lang w:val="sl-SI"/>
        </w:rPr>
      </w:pPr>
    </w:p>
    <w:p w14:paraId="22065068" w14:textId="77777777" w:rsidR="00BC5A64" w:rsidRPr="008E171B" w:rsidRDefault="00BC5A64" w:rsidP="006B3996">
      <w:pPr>
        <w:pStyle w:val="Header"/>
        <w:tabs>
          <w:tab w:val="left" w:pos="284"/>
        </w:tabs>
        <w:jc w:val="both"/>
        <w:rPr>
          <w:i/>
          <w:sz w:val="22"/>
          <w:szCs w:val="22"/>
          <w:lang w:val="sl-SI"/>
        </w:rPr>
      </w:pPr>
      <w:r w:rsidRPr="008E171B">
        <w:rPr>
          <w:i/>
          <w:sz w:val="22"/>
          <w:szCs w:val="22"/>
          <w:lang w:val="sl-SI"/>
        </w:rPr>
        <w:t xml:space="preserve">Renalna insuficijencija  </w:t>
      </w:r>
    </w:p>
    <w:p w14:paraId="22065069" w14:textId="71F0AC68" w:rsidR="00BC5A64" w:rsidRPr="008E171B" w:rsidRDefault="00BC5A64" w:rsidP="006B3996">
      <w:pPr>
        <w:pStyle w:val="Header"/>
        <w:tabs>
          <w:tab w:val="left" w:pos="284"/>
        </w:tabs>
        <w:jc w:val="both"/>
        <w:rPr>
          <w:sz w:val="22"/>
          <w:szCs w:val="22"/>
          <w:lang w:val="sl-SI"/>
        </w:rPr>
      </w:pPr>
      <w:r w:rsidRPr="008E171B">
        <w:rPr>
          <w:sz w:val="22"/>
          <w:szCs w:val="22"/>
          <w:lang w:val="sl-SI"/>
        </w:rPr>
        <w:t>Pojedinačna doza od 100mg lamotrigina bila je primijenjena kod dvanaest</w:t>
      </w:r>
      <w:r w:rsidRPr="008E171B">
        <w:rPr>
          <w:i/>
          <w:sz w:val="22"/>
          <w:szCs w:val="22"/>
          <w:lang w:val="sl-SI"/>
        </w:rPr>
        <w:t xml:space="preserve"> </w:t>
      </w:r>
      <w:r w:rsidRPr="008E171B">
        <w:rPr>
          <w:sz w:val="22"/>
          <w:szCs w:val="22"/>
          <w:lang w:val="sl-SI"/>
        </w:rPr>
        <w:t>dobrovoljaca sa hroničnom renalnom insuficijencijom i dodatnih šest osoba koje su se podvrgavale hemodijalizi. Srednji klirensi iznosili su 0,42 m</w:t>
      </w:r>
      <w:r w:rsidR="003A3C2E" w:rsidRPr="008E171B">
        <w:rPr>
          <w:sz w:val="22"/>
          <w:szCs w:val="22"/>
          <w:lang w:val="sl-SI"/>
        </w:rPr>
        <w:t>l</w:t>
      </w:r>
      <w:r w:rsidRPr="008E171B">
        <w:rPr>
          <w:sz w:val="22"/>
          <w:szCs w:val="22"/>
          <w:lang w:val="sl-SI"/>
        </w:rPr>
        <w:t>/min/kg (hronična renalna insuficijencija), 0,33 m</w:t>
      </w:r>
      <w:r w:rsidR="003A3C2E" w:rsidRPr="008E171B">
        <w:rPr>
          <w:sz w:val="22"/>
          <w:szCs w:val="22"/>
          <w:lang w:val="sl-SI"/>
        </w:rPr>
        <w:t>l</w:t>
      </w:r>
      <w:r w:rsidRPr="008E171B">
        <w:rPr>
          <w:sz w:val="22"/>
          <w:szCs w:val="22"/>
          <w:lang w:val="sl-SI"/>
        </w:rPr>
        <w:t>/min/kg (između primjene hemodijaliza) i 1,57 m</w:t>
      </w:r>
      <w:r w:rsidR="003A3C2E" w:rsidRPr="008E171B">
        <w:rPr>
          <w:sz w:val="22"/>
          <w:szCs w:val="22"/>
          <w:lang w:val="sl-SI"/>
        </w:rPr>
        <w:t>l</w:t>
      </w:r>
      <w:r w:rsidRPr="008E171B">
        <w:rPr>
          <w:sz w:val="22"/>
          <w:szCs w:val="22"/>
          <w:lang w:val="sl-SI"/>
        </w:rPr>
        <w:t>/min/kg (tokom hemodijalize) u poređenju sa 0,58 m</w:t>
      </w:r>
      <w:r w:rsidR="003A3C2E" w:rsidRPr="008E171B">
        <w:rPr>
          <w:sz w:val="22"/>
          <w:szCs w:val="22"/>
          <w:lang w:val="sl-SI"/>
        </w:rPr>
        <w:t>l</w:t>
      </w:r>
      <w:r w:rsidRPr="008E171B">
        <w:rPr>
          <w:sz w:val="22"/>
          <w:szCs w:val="22"/>
          <w:lang w:val="sl-SI"/>
        </w:rPr>
        <w:t xml:space="preserve">/min/kg kod zdravih dobrovoljaca. Trajanje srednjih prosječnih </w:t>
      </w:r>
      <w:r>
        <w:rPr>
          <w:sz w:val="22"/>
          <w:szCs w:val="22"/>
          <w:lang w:val="sl-SI"/>
        </w:rPr>
        <w:t>poluvremena eliminacije</w:t>
      </w:r>
      <w:r w:rsidRPr="008E171B">
        <w:rPr>
          <w:sz w:val="22"/>
          <w:szCs w:val="22"/>
          <w:lang w:val="sl-SI"/>
        </w:rPr>
        <w:t xml:space="preserve"> u plazmi iznosilo je 42,9 časova (hronična renalna insuficijencija), 57,4 časa (između primjene hemodijaliza) i 13,0 časova (tokom hemodijaliza), u poređenju sa 26,2 časova kod zdravih dobrovoljaca. U prosjeku, približno 20% (opseg od 5,6 do 35,1) od količine lamotrigina prisutnog u organizmu bio je eliminisan tokom četvoročasovne hemodijalize. Nephodno je da za navedenu populaciju pacijenata vrijednosti inicijalnih doza lamotrigina budu zasnovane na konkomitantnoj terapiji pacijenta; kod pacijenata sa značajnim oštećenjem renalne funkcije može biti efikasna primjena smanjenih doza održavanja (vidjeti </w:t>
      </w:r>
      <w:r w:rsidR="00706D93" w:rsidRPr="008E171B">
        <w:rPr>
          <w:sz w:val="22"/>
          <w:szCs w:val="22"/>
          <w:lang w:val="sl-SI"/>
        </w:rPr>
        <w:t>dio</w:t>
      </w:r>
      <w:r w:rsidRPr="008E171B">
        <w:rPr>
          <w:sz w:val="22"/>
          <w:szCs w:val="22"/>
          <w:lang w:val="sl-SI"/>
        </w:rPr>
        <w:t xml:space="preserve"> 4.2 i </w:t>
      </w:r>
      <w:r w:rsidR="00706D93" w:rsidRPr="008E171B">
        <w:rPr>
          <w:sz w:val="22"/>
          <w:szCs w:val="22"/>
          <w:lang w:val="sl-SI"/>
        </w:rPr>
        <w:t>dio</w:t>
      </w:r>
      <w:r w:rsidRPr="008E171B">
        <w:rPr>
          <w:sz w:val="22"/>
          <w:szCs w:val="22"/>
          <w:lang w:val="sl-SI"/>
        </w:rPr>
        <w:t xml:space="preserve"> 4.4).</w:t>
      </w:r>
    </w:p>
    <w:p w14:paraId="2206506A" w14:textId="77777777" w:rsidR="00BC5A64" w:rsidRPr="008E171B" w:rsidRDefault="00BC5A64" w:rsidP="006B3996">
      <w:pPr>
        <w:pStyle w:val="Header"/>
        <w:tabs>
          <w:tab w:val="left" w:pos="284"/>
        </w:tabs>
        <w:jc w:val="both"/>
        <w:rPr>
          <w:sz w:val="22"/>
          <w:szCs w:val="22"/>
          <w:lang w:val="sl-SI"/>
        </w:rPr>
      </w:pPr>
    </w:p>
    <w:p w14:paraId="2206506B" w14:textId="77777777" w:rsidR="00BC5A64" w:rsidRPr="008E171B" w:rsidRDefault="00BC5A64" w:rsidP="006B3996">
      <w:pPr>
        <w:pStyle w:val="Header"/>
        <w:tabs>
          <w:tab w:val="left" w:pos="284"/>
        </w:tabs>
        <w:jc w:val="both"/>
        <w:rPr>
          <w:i/>
          <w:sz w:val="22"/>
          <w:szCs w:val="22"/>
          <w:lang w:val="sl-SI"/>
        </w:rPr>
      </w:pPr>
      <w:r w:rsidRPr="008E171B">
        <w:rPr>
          <w:i/>
          <w:sz w:val="22"/>
          <w:szCs w:val="22"/>
          <w:lang w:val="sl-SI"/>
        </w:rPr>
        <w:t>Hepatička insuficijencija</w:t>
      </w:r>
    </w:p>
    <w:p w14:paraId="2206506C" w14:textId="39130638" w:rsidR="0072020E" w:rsidRPr="008E171B" w:rsidRDefault="00BC5A64">
      <w:pPr>
        <w:tabs>
          <w:tab w:val="left" w:pos="540"/>
          <w:tab w:val="left" w:pos="569"/>
        </w:tabs>
        <w:jc w:val="both"/>
        <w:rPr>
          <w:sz w:val="22"/>
          <w:szCs w:val="22"/>
          <w:lang w:val="sl-SI"/>
        </w:rPr>
      </w:pPr>
      <w:r w:rsidRPr="008E171B">
        <w:rPr>
          <w:sz w:val="22"/>
          <w:szCs w:val="22"/>
          <w:lang w:val="sl-SI"/>
        </w:rPr>
        <w:t>Farmakokinetičko kliničko ispitivanje primjene pojedinačne doze bilo je sprovedeno na 24 ispitanika sa različitim stepenom hepatičke insuficijencije i 12 zdravih dobrovoljaca kao kontrolne grupe. Srednji prividni klirens lamotrigina iznosio je 0,3</w:t>
      </w:r>
      <w:r w:rsidR="00E656AD" w:rsidRPr="008E171B">
        <w:rPr>
          <w:sz w:val="22"/>
          <w:szCs w:val="22"/>
          <w:lang w:val="sl-SI"/>
        </w:rPr>
        <w:t>1</w:t>
      </w:r>
      <w:r w:rsidRPr="008E171B">
        <w:rPr>
          <w:sz w:val="22"/>
          <w:szCs w:val="22"/>
          <w:lang w:val="sl-SI"/>
        </w:rPr>
        <w:t>; 0,24 ili 0,10 m</w:t>
      </w:r>
      <w:r w:rsidR="005E46BF" w:rsidRPr="008E171B">
        <w:rPr>
          <w:sz w:val="22"/>
          <w:szCs w:val="22"/>
          <w:lang w:val="sl-SI"/>
        </w:rPr>
        <w:t>l</w:t>
      </w:r>
      <w:r w:rsidRPr="008E171B">
        <w:rPr>
          <w:sz w:val="22"/>
          <w:szCs w:val="22"/>
          <w:lang w:val="sl-SI"/>
        </w:rPr>
        <w:t>/min/kg kod pacijenata sa gradusom A,</w:t>
      </w:r>
      <w:r w:rsidR="00E656AD" w:rsidRPr="008E171B">
        <w:rPr>
          <w:sz w:val="22"/>
          <w:szCs w:val="22"/>
          <w:lang w:val="sl-SI"/>
        </w:rPr>
        <w:t xml:space="preserve"> </w:t>
      </w:r>
      <w:r w:rsidRPr="008E171B">
        <w:rPr>
          <w:sz w:val="22"/>
          <w:szCs w:val="22"/>
          <w:lang w:val="sl-SI"/>
        </w:rPr>
        <w:t>B ili C (</w:t>
      </w:r>
      <w:r w:rsidRPr="008E171B">
        <w:rPr>
          <w:i/>
          <w:sz w:val="22"/>
          <w:szCs w:val="22"/>
          <w:lang w:val="sl-SI"/>
        </w:rPr>
        <w:t>Child-Pugh</w:t>
      </w:r>
      <w:r w:rsidRPr="008E171B">
        <w:rPr>
          <w:sz w:val="22"/>
          <w:szCs w:val="22"/>
          <w:lang w:val="sl-SI"/>
        </w:rPr>
        <w:t xml:space="preserve"> klasifikacija) hepatičke insuficijencije, respektivno u poređenju sa 0,34 m</w:t>
      </w:r>
      <w:r w:rsidR="005E46BF" w:rsidRPr="008E171B">
        <w:rPr>
          <w:sz w:val="22"/>
          <w:szCs w:val="22"/>
          <w:lang w:val="sl-SI"/>
        </w:rPr>
        <w:t>l</w:t>
      </w:r>
      <w:r w:rsidRPr="008E171B">
        <w:rPr>
          <w:sz w:val="22"/>
          <w:szCs w:val="22"/>
          <w:lang w:val="sl-SI"/>
        </w:rPr>
        <w:t xml:space="preserve">/min/kg u zdravoj kontrolnoj grupi. Inicijalna doza, doze povećanja i održavanja je generalno potrebno da budu smanjene kod pacijenata sa umjerenom do teškom hepatičkom insuficijencijom (vidjeti </w:t>
      </w:r>
      <w:r w:rsidR="00706D93" w:rsidRPr="008E171B">
        <w:rPr>
          <w:sz w:val="22"/>
          <w:szCs w:val="22"/>
          <w:lang w:val="sl-SI"/>
        </w:rPr>
        <w:t>dio</w:t>
      </w:r>
      <w:r w:rsidRPr="008E171B">
        <w:rPr>
          <w:sz w:val="22"/>
          <w:szCs w:val="22"/>
          <w:lang w:val="sl-SI"/>
        </w:rPr>
        <w:t xml:space="preserve"> 4.2).</w:t>
      </w:r>
    </w:p>
    <w:p w14:paraId="2206506D" w14:textId="77777777" w:rsidR="00BC5A64" w:rsidRPr="008E171B" w:rsidRDefault="00BC5A64">
      <w:pPr>
        <w:tabs>
          <w:tab w:val="left" w:pos="540"/>
          <w:tab w:val="left" w:pos="569"/>
        </w:tabs>
        <w:jc w:val="both"/>
        <w:rPr>
          <w:bCs/>
          <w:sz w:val="22"/>
          <w:szCs w:val="22"/>
          <w:lang w:val="sl-SI"/>
        </w:rPr>
      </w:pPr>
    </w:p>
    <w:p w14:paraId="2206506E" w14:textId="72E17FF0" w:rsidR="00836B35" w:rsidRDefault="0072020E">
      <w:pPr>
        <w:tabs>
          <w:tab w:val="left" w:pos="540"/>
          <w:tab w:val="left" w:pos="569"/>
        </w:tabs>
        <w:jc w:val="both"/>
        <w:rPr>
          <w:b/>
          <w:bCs/>
          <w:sz w:val="22"/>
          <w:szCs w:val="22"/>
          <w:lang w:val="sl-SI"/>
        </w:rPr>
      </w:pPr>
      <w:r w:rsidRPr="008E171B">
        <w:rPr>
          <w:b/>
          <w:bCs/>
          <w:sz w:val="22"/>
          <w:szCs w:val="22"/>
          <w:lang w:val="sl-SI"/>
        </w:rPr>
        <w:t xml:space="preserve">5.3. </w:t>
      </w:r>
      <w:r w:rsidR="00480FB1" w:rsidRPr="008E171B">
        <w:rPr>
          <w:b/>
          <w:bCs/>
          <w:sz w:val="22"/>
          <w:szCs w:val="22"/>
          <w:lang w:val="sl-SI"/>
        </w:rPr>
        <w:tab/>
      </w:r>
      <w:r w:rsidRPr="008E171B">
        <w:rPr>
          <w:b/>
          <w:bCs/>
          <w:sz w:val="22"/>
          <w:szCs w:val="22"/>
          <w:lang w:val="sl-SI"/>
        </w:rPr>
        <w:t xml:space="preserve">Pretklinički podaci o bezbjednosti </w:t>
      </w:r>
    </w:p>
    <w:p w14:paraId="4FF60569" w14:textId="77777777" w:rsidR="002F0417" w:rsidRPr="008E171B" w:rsidRDefault="002F0417">
      <w:pPr>
        <w:tabs>
          <w:tab w:val="left" w:pos="540"/>
          <w:tab w:val="left" w:pos="569"/>
        </w:tabs>
        <w:jc w:val="both"/>
        <w:rPr>
          <w:b/>
          <w:bCs/>
          <w:sz w:val="22"/>
          <w:szCs w:val="22"/>
          <w:lang w:val="sl-SI"/>
        </w:rPr>
      </w:pPr>
    </w:p>
    <w:p w14:paraId="2206506F" w14:textId="29E276AD" w:rsidR="0031182A" w:rsidRPr="008E171B" w:rsidRDefault="0031182A" w:rsidP="00BF78B0">
      <w:pPr>
        <w:pStyle w:val="Header"/>
        <w:tabs>
          <w:tab w:val="left" w:pos="284"/>
        </w:tabs>
        <w:jc w:val="both"/>
        <w:rPr>
          <w:bCs/>
          <w:sz w:val="22"/>
          <w:szCs w:val="22"/>
          <w:lang w:val="sl-SI"/>
        </w:rPr>
      </w:pPr>
      <w:r w:rsidRPr="008E171B">
        <w:rPr>
          <w:bCs/>
          <w:sz w:val="22"/>
          <w:szCs w:val="22"/>
          <w:lang w:val="sl-SI"/>
        </w:rPr>
        <w:t>Podaci iz pretkliničkih ispitivanja nijesu ukazali na postojanje specifičnog rizika primjene po ljude na osnovu kliničkih ispitivanja farmakologije bezbjednosti primjene lijeka, toksičnosti primjene ponovljenih doza, genotoksičnoti i ka</w:t>
      </w:r>
      <w:r w:rsidR="00E656AD" w:rsidRPr="008E171B">
        <w:rPr>
          <w:bCs/>
          <w:sz w:val="22"/>
          <w:szCs w:val="22"/>
          <w:lang w:val="sl-SI"/>
        </w:rPr>
        <w:t>ncero</w:t>
      </w:r>
      <w:r w:rsidRPr="008E171B">
        <w:rPr>
          <w:bCs/>
          <w:sz w:val="22"/>
          <w:szCs w:val="22"/>
          <w:lang w:val="sl-SI"/>
        </w:rPr>
        <w:t>genog potencijala.</w:t>
      </w:r>
    </w:p>
    <w:p w14:paraId="22065070" w14:textId="530D1978" w:rsidR="0031182A" w:rsidRPr="008E171B" w:rsidRDefault="0031182A" w:rsidP="006B3996">
      <w:pPr>
        <w:pStyle w:val="Header"/>
        <w:tabs>
          <w:tab w:val="left" w:pos="284"/>
        </w:tabs>
        <w:spacing w:before="80" w:after="80"/>
        <w:jc w:val="both"/>
        <w:rPr>
          <w:bCs/>
          <w:sz w:val="22"/>
          <w:szCs w:val="22"/>
          <w:lang w:val="sl-SI"/>
        </w:rPr>
      </w:pPr>
      <w:r w:rsidRPr="008E171B">
        <w:rPr>
          <w:bCs/>
          <w:sz w:val="22"/>
          <w:szCs w:val="22"/>
          <w:lang w:val="sl-SI"/>
        </w:rPr>
        <w:t xml:space="preserve">U okviru kliničkih ispitivanja reproduktivne i razvojene toksičnosti na glodarima i </w:t>
      </w:r>
      <w:r w:rsidR="00E656AD" w:rsidRPr="008E171B">
        <w:rPr>
          <w:bCs/>
          <w:sz w:val="22"/>
          <w:szCs w:val="22"/>
          <w:lang w:val="sl-SI"/>
        </w:rPr>
        <w:t>kunićima</w:t>
      </w:r>
      <w:r w:rsidRPr="008E171B">
        <w:rPr>
          <w:bCs/>
          <w:sz w:val="22"/>
          <w:szCs w:val="22"/>
          <w:lang w:val="sl-SI"/>
        </w:rPr>
        <w:t xml:space="preserve"> nije uočeno postojanje teratogenih dejstava, ali je uočeno smanjenje fetalne težine i poremećaj skeletne oksifikacije, pri izlaganju nivoima nižim ili sličnim očekivanom izlaganju pri kliničkoj primjeni lijeka. Budući da izlaganje višim nivoima ne može biti ispitano kod životinja usljed izražene toksičnosti</w:t>
      </w:r>
      <w:r w:rsidR="00E656AD" w:rsidRPr="008E171B">
        <w:rPr>
          <w:bCs/>
          <w:sz w:val="22"/>
          <w:szCs w:val="22"/>
          <w:lang w:val="sl-SI"/>
        </w:rPr>
        <w:t xml:space="preserve"> za majku</w:t>
      </w:r>
      <w:r w:rsidRPr="008E171B">
        <w:rPr>
          <w:bCs/>
          <w:sz w:val="22"/>
          <w:szCs w:val="22"/>
          <w:lang w:val="sl-SI"/>
        </w:rPr>
        <w:t xml:space="preserve">, nije </w:t>
      </w:r>
      <w:r w:rsidRPr="008E171B">
        <w:rPr>
          <w:bCs/>
          <w:sz w:val="22"/>
          <w:szCs w:val="22"/>
          <w:lang w:val="sl-SI"/>
        </w:rPr>
        <w:lastRenderedPageBreak/>
        <w:t>utvrđeno da se teratogeni potencijal lamotrigina javlja prilikom izloženosti višim vrijednostima od onih koje se primjenjuju u kliničkoj praksi.</w:t>
      </w:r>
    </w:p>
    <w:p w14:paraId="22065071" w14:textId="1E95E7CB" w:rsidR="0031182A" w:rsidRPr="008E171B" w:rsidRDefault="0031182A" w:rsidP="006B3996">
      <w:pPr>
        <w:pStyle w:val="Header"/>
        <w:tabs>
          <w:tab w:val="left" w:pos="284"/>
        </w:tabs>
        <w:spacing w:before="80" w:after="80"/>
        <w:jc w:val="both"/>
        <w:rPr>
          <w:bCs/>
          <w:sz w:val="22"/>
          <w:szCs w:val="22"/>
          <w:lang w:val="sl-SI"/>
        </w:rPr>
      </w:pPr>
      <w:r w:rsidRPr="008E171B">
        <w:rPr>
          <w:bCs/>
          <w:sz w:val="22"/>
          <w:szCs w:val="22"/>
          <w:lang w:val="sl-SI"/>
        </w:rPr>
        <w:t>Kod pacova uočena je pojava fetalnog kao i postnatalnog mortaliteta prilikom primjene lamotrigina tokom kasnih faza gestacije i tokom ranog postnatalnog perioda. Pojava navedenih dejstava uočena je pri izlaganju kliničkim vrijednostima</w:t>
      </w:r>
      <w:r w:rsidR="00274697" w:rsidRPr="008E171B">
        <w:rPr>
          <w:bCs/>
          <w:sz w:val="22"/>
          <w:szCs w:val="22"/>
          <w:lang w:val="sl-SI"/>
        </w:rPr>
        <w:t xml:space="preserve"> nižim od očekivanih</w:t>
      </w:r>
      <w:r w:rsidRPr="008E171B">
        <w:rPr>
          <w:bCs/>
          <w:sz w:val="22"/>
          <w:szCs w:val="22"/>
          <w:lang w:val="sl-SI"/>
        </w:rPr>
        <w:t>.</w:t>
      </w:r>
    </w:p>
    <w:p w14:paraId="22065072" w14:textId="3896ECFB" w:rsidR="0031182A" w:rsidRPr="008E171B" w:rsidRDefault="0031182A" w:rsidP="006B3996">
      <w:pPr>
        <w:pStyle w:val="Header"/>
        <w:tabs>
          <w:tab w:val="left" w:pos="284"/>
        </w:tabs>
        <w:spacing w:before="80" w:after="80"/>
        <w:jc w:val="both"/>
        <w:rPr>
          <w:bCs/>
          <w:sz w:val="22"/>
          <w:szCs w:val="22"/>
          <w:lang w:val="sl-SI"/>
        </w:rPr>
      </w:pPr>
      <w:r w:rsidRPr="008E171B">
        <w:rPr>
          <w:bCs/>
          <w:sz w:val="22"/>
          <w:szCs w:val="22"/>
          <w:lang w:val="sl-SI"/>
        </w:rPr>
        <w:t xml:space="preserve">Kod mladih jedinki pacova u prvoj generaciji potomaka u okviru </w:t>
      </w:r>
      <w:r w:rsidRPr="008E171B">
        <w:rPr>
          <w:bCs/>
          <w:i/>
          <w:sz w:val="22"/>
          <w:szCs w:val="22"/>
          <w:lang w:val="sl-SI"/>
        </w:rPr>
        <w:t>Biel maze</w:t>
      </w:r>
      <w:r w:rsidRPr="008E171B">
        <w:rPr>
          <w:bCs/>
          <w:sz w:val="22"/>
          <w:szCs w:val="22"/>
          <w:lang w:val="sl-SI"/>
        </w:rPr>
        <w:t xml:space="preserve"> testa</w:t>
      </w:r>
      <w:r w:rsidR="00E069DB" w:rsidRPr="008E171B">
        <w:rPr>
          <w:bCs/>
          <w:sz w:val="22"/>
          <w:szCs w:val="22"/>
          <w:lang w:val="sl-SI"/>
        </w:rPr>
        <w:t>,</w:t>
      </w:r>
      <w:r w:rsidRPr="008E171B">
        <w:rPr>
          <w:bCs/>
          <w:sz w:val="22"/>
          <w:szCs w:val="22"/>
          <w:lang w:val="sl-SI"/>
        </w:rPr>
        <w:t xml:space="preserve"> uočeno je dejstvo na proces učenja, neznatno odlaganje balanoprepucijalne separacije i vaginalne </w:t>
      </w:r>
      <w:r w:rsidR="00E069DB" w:rsidRPr="008E171B">
        <w:rPr>
          <w:bCs/>
          <w:sz w:val="22"/>
          <w:szCs w:val="22"/>
          <w:lang w:val="sl-SI"/>
        </w:rPr>
        <w:t>otvorenosti</w:t>
      </w:r>
      <w:r w:rsidRPr="008E171B">
        <w:rPr>
          <w:bCs/>
          <w:sz w:val="22"/>
          <w:szCs w:val="22"/>
          <w:lang w:val="sl-SI"/>
        </w:rPr>
        <w:t xml:space="preserve">, kao i smanjenje postnatalne tjelesne mase pri izlaganju </w:t>
      </w:r>
      <w:r w:rsidR="00184F27" w:rsidRPr="008E171B">
        <w:rPr>
          <w:bCs/>
          <w:sz w:val="22"/>
          <w:szCs w:val="22"/>
          <w:lang w:val="sl-SI"/>
        </w:rPr>
        <w:t>nižem od od</w:t>
      </w:r>
      <w:r w:rsidRPr="008E171B">
        <w:rPr>
          <w:bCs/>
          <w:sz w:val="22"/>
          <w:szCs w:val="22"/>
          <w:lang w:val="sl-SI"/>
        </w:rPr>
        <w:t xml:space="preserve"> terapijske izloženosti </w:t>
      </w:r>
      <w:r w:rsidR="00184F27" w:rsidRPr="008E171B">
        <w:rPr>
          <w:bCs/>
          <w:sz w:val="22"/>
          <w:szCs w:val="22"/>
          <w:lang w:val="sl-SI"/>
        </w:rPr>
        <w:t xml:space="preserve">kod </w:t>
      </w:r>
      <w:r w:rsidRPr="008E171B">
        <w:rPr>
          <w:bCs/>
          <w:sz w:val="22"/>
          <w:szCs w:val="22"/>
          <w:lang w:val="sl-SI"/>
        </w:rPr>
        <w:t>odraslih ljudi</w:t>
      </w:r>
      <w:r w:rsidR="00B36BFF" w:rsidRPr="008E171B">
        <w:rPr>
          <w:bCs/>
          <w:sz w:val="22"/>
          <w:szCs w:val="22"/>
          <w:lang w:val="sl-SI"/>
        </w:rPr>
        <w:t>, računato na površinu tijela</w:t>
      </w:r>
      <w:r w:rsidRPr="008E171B">
        <w:rPr>
          <w:bCs/>
          <w:sz w:val="22"/>
          <w:szCs w:val="22"/>
          <w:lang w:val="sl-SI"/>
        </w:rPr>
        <w:t>.</w:t>
      </w:r>
    </w:p>
    <w:p w14:paraId="22065073" w14:textId="77777777" w:rsidR="0031182A" w:rsidRPr="00BC6BEF" w:rsidRDefault="0031182A" w:rsidP="006B3996">
      <w:pPr>
        <w:pStyle w:val="Header"/>
        <w:tabs>
          <w:tab w:val="left" w:pos="284"/>
        </w:tabs>
        <w:spacing w:before="80" w:after="80"/>
        <w:jc w:val="both"/>
        <w:rPr>
          <w:bCs/>
          <w:sz w:val="22"/>
          <w:szCs w:val="22"/>
          <w:lang w:val="sl-SI"/>
        </w:rPr>
      </w:pPr>
      <w:r w:rsidRPr="008E171B">
        <w:rPr>
          <w:bCs/>
          <w:sz w:val="22"/>
          <w:szCs w:val="22"/>
          <w:lang w:val="sl-SI"/>
        </w:rPr>
        <w:t xml:space="preserve">Eksperimenti na životinjama nijesu pokazali da primjena lamotrigina dovodi do oštećenja fertiliteta. </w:t>
      </w:r>
      <w:r w:rsidRPr="00BC6BEF">
        <w:rPr>
          <w:bCs/>
          <w:sz w:val="22"/>
          <w:szCs w:val="22"/>
          <w:lang w:val="sl-SI"/>
        </w:rPr>
        <w:t>Primjena lamotrigina je dovela do smanjenja fetalnog nivoa folne kiseline kod pacova. Pretpostavlja se da je nedostatak folne kiseline povezan sa povišenim rizikom za nastanak kongenitalnih malformacija kod životinja kao i kod ljudi.</w:t>
      </w:r>
    </w:p>
    <w:p w14:paraId="13B5EC10" w14:textId="5A98F6DD" w:rsidR="00275F90" w:rsidRPr="00BC6BEF" w:rsidRDefault="0031182A" w:rsidP="006B3996">
      <w:pPr>
        <w:pStyle w:val="Header"/>
        <w:tabs>
          <w:tab w:val="left" w:pos="284"/>
        </w:tabs>
        <w:spacing w:before="80" w:after="80"/>
        <w:jc w:val="both"/>
        <w:rPr>
          <w:bCs/>
          <w:sz w:val="22"/>
          <w:szCs w:val="22"/>
          <w:lang w:val="sl-SI"/>
        </w:rPr>
      </w:pPr>
      <w:r w:rsidRPr="00BC6BEF">
        <w:rPr>
          <w:bCs/>
          <w:sz w:val="22"/>
          <w:szCs w:val="22"/>
          <w:lang w:val="sl-SI"/>
        </w:rPr>
        <w:t xml:space="preserve">Primjena lamotrigina je uzrokovala dozno zavisnu inhibiciju protoka </w:t>
      </w:r>
      <w:r w:rsidR="00044F33" w:rsidRPr="00BC6BEF">
        <w:rPr>
          <w:bCs/>
          <w:sz w:val="22"/>
          <w:szCs w:val="22"/>
          <w:lang w:val="sl-SI"/>
        </w:rPr>
        <w:t xml:space="preserve">u </w:t>
      </w:r>
      <w:r w:rsidRPr="00BC6BEF">
        <w:rPr>
          <w:bCs/>
          <w:sz w:val="22"/>
          <w:szCs w:val="22"/>
          <w:lang w:val="sl-SI"/>
        </w:rPr>
        <w:t>hERG kanal</w:t>
      </w:r>
      <w:r w:rsidR="00044F33" w:rsidRPr="00BC6BEF">
        <w:rPr>
          <w:bCs/>
          <w:sz w:val="22"/>
          <w:szCs w:val="22"/>
          <w:lang w:val="sl-SI"/>
        </w:rPr>
        <w:t>ima</w:t>
      </w:r>
      <w:r w:rsidRPr="00BC6BEF">
        <w:rPr>
          <w:bCs/>
          <w:sz w:val="22"/>
          <w:szCs w:val="22"/>
          <w:lang w:val="sl-SI"/>
        </w:rPr>
        <w:t xml:space="preserve"> u humanim embrionalnim ćelijama bubrega. Vrijednost IC50 iznosila je približno devetostruko višu vrijednost</w:t>
      </w:r>
      <w:r w:rsidR="00044F33" w:rsidRPr="00BC6BEF">
        <w:rPr>
          <w:bCs/>
          <w:sz w:val="22"/>
          <w:szCs w:val="22"/>
          <w:lang w:val="sl-SI"/>
        </w:rPr>
        <w:t xml:space="preserve">  od najveće slobodne terapijske koncentracije</w:t>
      </w:r>
      <w:r w:rsidRPr="00BC6BEF">
        <w:rPr>
          <w:bCs/>
          <w:sz w:val="22"/>
          <w:szCs w:val="22"/>
          <w:lang w:val="sl-SI"/>
        </w:rPr>
        <w:t xml:space="preserve">. Primjena lamotrigina kod životinja nije prouzrokovala produženje QT intervala pri izlaganju do približno dvostrukim vrijednostima maksimalnih koncentracija bez primjene terapije. U okviru kliničkih ispitivanja na zdravim dobrovoljcima nije utvrđeno klinički značajno dejstvo lamotrigina na QT interval (vidjeti </w:t>
      </w:r>
      <w:r w:rsidR="00706D93" w:rsidRPr="00BC6BEF">
        <w:rPr>
          <w:bCs/>
          <w:sz w:val="22"/>
          <w:szCs w:val="22"/>
          <w:lang w:val="sl-SI"/>
        </w:rPr>
        <w:t>dio</w:t>
      </w:r>
      <w:r w:rsidRPr="00BC6BEF">
        <w:rPr>
          <w:bCs/>
          <w:sz w:val="22"/>
          <w:szCs w:val="22"/>
          <w:lang w:val="sl-SI"/>
        </w:rPr>
        <w:t xml:space="preserve"> 5.1). </w:t>
      </w:r>
    </w:p>
    <w:p w14:paraId="78E3FD1B" w14:textId="6F16969F" w:rsidR="00275F90" w:rsidRPr="00BC6BEF" w:rsidRDefault="00275F90">
      <w:pPr>
        <w:jc w:val="both"/>
        <w:rPr>
          <w:bCs/>
          <w:sz w:val="22"/>
          <w:szCs w:val="22"/>
          <w:lang w:val="sl-SI"/>
        </w:rPr>
      </w:pPr>
      <w:r w:rsidRPr="00BC6BEF">
        <w:rPr>
          <w:i/>
          <w:sz w:val="22"/>
          <w:szCs w:val="22"/>
          <w:lang w:val="sl-SI"/>
        </w:rPr>
        <w:t>In vitro</w:t>
      </w:r>
      <w:r w:rsidRPr="00BC6BEF">
        <w:rPr>
          <w:sz w:val="22"/>
          <w:szCs w:val="22"/>
          <w:lang w:val="sl-SI"/>
        </w:rPr>
        <w:t xml:space="preserve"> studije pokazuju da pri terapijski relevantnim koncentracijama lamotrigin djeluje kao antiaritmik klase IB. Inhibira natrijumove kanale u srčanom mišiću kod ljudi, sa brzom kinetikom početka i pomjeranja i jakom zavisnošću od napona, u skladu sa drugim antiaritmicima klase IB. U temeljnom ispitivanju uticaja na QT interval lamotrigin u terapijskim dozama nije usporio ventrikularnu provodljivost (proširio QRS kompleks) kod zdravih osoba. Međutim, kod pacijenata sa klinički značajnom strukturnom ili funkcionalnom bolešću srca, lamotrigin bi mogao usporiti ventrikularnu provodljivost (proširiti QRS kompleks) i izazvati proaritmiju (vidjeti dio 4.4).</w:t>
      </w:r>
    </w:p>
    <w:p w14:paraId="6F088F40" w14:textId="77777777" w:rsidR="00275F90" w:rsidRPr="00BC6BEF" w:rsidRDefault="00275F90" w:rsidP="00BF78B0">
      <w:pPr>
        <w:pStyle w:val="Header"/>
        <w:tabs>
          <w:tab w:val="left" w:pos="284"/>
        </w:tabs>
        <w:jc w:val="both"/>
        <w:rPr>
          <w:bCs/>
          <w:sz w:val="22"/>
          <w:szCs w:val="22"/>
          <w:lang w:val="sl-SI"/>
        </w:rPr>
      </w:pPr>
    </w:p>
    <w:p w14:paraId="22065075" w14:textId="77777777" w:rsidR="00396DFD" w:rsidRPr="00BC6BEF" w:rsidRDefault="00396DFD">
      <w:pPr>
        <w:tabs>
          <w:tab w:val="left" w:pos="540"/>
          <w:tab w:val="left" w:pos="569"/>
        </w:tabs>
        <w:jc w:val="both"/>
        <w:rPr>
          <w:b/>
          <w:bCs/>
          <w:sz w:val="22"/>
          <w:szCs w:val="22"/>
          <w:lang w:val="sl-SI"/>
        </w:rPr>
      </w:pPr>
    </w:p>
    <w:p w14:paraId="22065076" w14:textId="77777777" w:rsidR="0072020E" w:rsidRPr="00BC6BEF" w:rsidRDefault="0072020E">
      <w:pPr>
        <w:tabs>
          <w:tab w:val="left" w:pos="540"/>
          <w:tab w:val="left" w:pos="569"/>
        </w:tabs>
        <w:jc w:val="both"/>
        <w:rPr>
          <w:b/>
          <w:bCs/>
          <w:sz w:val="22"/>
          <w:szCs w:val="22"/>
          <w:lang w:val="sl-SI"/>
        </w:rPr>
      </w:pPr>
      <w:r w:rsidRPr="00BC6BEF">
        <w:rPr>
          <w:b/>
          <w:bCs/>
          <w:sz w:val="22"/>
          <w:szCs w:val="22"/>
          <w:lang w:val="sl-SI"/>
        </w:rPr>
        <w:t xml:space="preserve">6. </w:t>
      </w:r>
      <w:r w:rsidR="00480FB1" w:rsidRPr="00BC6BEF">
        <w:rPr>
          <w:b/>
          <w:bCs/>
          <w:sz w:val="22"/>
          <w:szCs w:val="22"/>
          <w:lang w:val="sl-SI"/>
        </w:rPr>
        <w:tab/>
      </w:r>
      <w:r w:rsidRPr="00BC6BEF">
        <w:rPr>
          <w:b/>
          <w:bCs/>
          <w:sz w:val="22"/>
          <w:szCs w:val="22"/>
          <w:lang w:val="sl-SI"/>
        </w:rPr>
        <w:t>FARMACEUTSKI PODACI</w:t>
      </w:r>
    </w:p>
    <w:p w14:paraId="22065077" w14:textId="77777777" w:rsidR="00836B35" w:rsidRPr="00BC6BEF" w:rsidRDefault="00836B35">
      <w:pPr>
        <w:tabs>
          <w:tab w:val="left" w:pos="540"/>
          <w:tab w:val="left" w:pos="569"/>
        </w:tabs>
        <w:jc w:val="both"/>
        <w:rPr>
          <w:bCs/>
          <w:sz w:val="22"/>
          <w:szCs w:val="22"/>
          <w:lang w:val="sl-SI"/>
        </w:rPr>
      </w:pPr>
    </w:p>
    <w:p w14:paraId="22065078" w14:textId="67699758" w:rsidR="0072020E" w:rsidRPr="00BC6BEF" w:rsidRDefault="0072020E">
      <w:pPr>
        <w:tabs>
          <w:tab w:val="left" w:pos="540"/>
          <w:tab w:val="left" w:pos="569"/>
        </w:tabs>
        <w:jc w:val="both"/>
        <w:rPr>
          <w:b/>
          <w:bCs/>
          <w:sz w:val="22"/>
          <w:szCs w:val="22"/>
          <w:lang w:val="sl-SI"/>
        </w:rPr>
      </w:pPr>
      <w:r w:rsidRPr="00BC6BEF">
        <w:rPr>
          <w:b/>
          <w:bCs/>
          <w:sz w:val="22"/>
          <w:szCs w:val="22"/>
          <w:lang w:val="sl-SI"/>
        </w:rPr>
        <w:t xml:space="preserve">6.1. </w:t>
      </w:r>
      <w:r w:rsidR="00480FB1" w:rsidRPr="00BC6BEF">
        <w:rPr>
          <w:b/>
          <w:bCs/>
          <w:sz w:val="22"/>
          <w:szCs w:val="22"/>
          <w:lang w:val="sl-SI"/>
        </w:rPr>
        <w:tab/>
      </w:r>
      <w:r w:rsidRPr="00BC6BEF">
        <w:rPr>
          <w:b/>
          <w:bCs/>
          <w:sz w:val="22"/>
          <w:szCs w:val="22"/>
          <w:lang w:val="sl-SI"/>
        </w:rPr>
        <w:t>Lista pomoćnih supstanci</w:t>
      </w:r>
      <w:r w:rsidR="002E0135" w:rsidRPr="00BC6BEF">
        <w:rPr>
          <w:b/>
          <w:bCs/>
          <w:sz w:val="22"/>
          <w:szCs w:val="22"/>
          <w:lang w:val="sl-SI"/>
        </w:rPr>
        <w:t xml:space="preserve"> (ekscipijenasa)</w:t>
      </w:r>
    </w:p>
    <w:p w14:paraId="58DFEE8C" w14:textId="77777777" w:rsidR="00FE4EC8" w:rsidRPr="00BC6BEF" w:rsidRDefault="00FE4EC8">
      <w:pPr>
        <w:tabs>
          <w:tab w:val="left" w:pos="540"/>
          <w:tab w:val="left" w:pos="569"/>
        </w:tabs>
        <w:jc w:val="both"/>
        <w:rPr>
          <w:b/>
          <w:bCs/>
          <w:sz w:val="22"/>
          <w:szCs w:val="22"/>
          <w:lang w:val="sl-SI"/>
        </w:rPr>
      </w:pPr>
    </w:p>
    <w:p w14:paraId="03284EF4" w14:textId="777A0693" w:rsidR="008F0535" w:rsidRPr="00BC6BEF" w:rsidRDefault="00CF3CD8" w:rsidP="006B3996">
      <w:pPr>
        <w:pStyle w:val="Header"/>
        <w:tabs>
          <w:tab w:val="left" w:pos="284"/>
        </w:tabs>
        <w:jc w:val="both"/>
        <w:rPr>
          <w:sz w:val="22"/>
          <w:szCs w:val="22"/>
          <w:lang w:val="sl-SI"/>
        </w:rPr>
      </w:pPr>
      <w:r>
        <w:rPr>
          <w:sz w:val="22"/>
          <w:szCs w:val="22"/>
          <w:lang w:val="sl-SI"/>
        </w:rPr>
        <w:t>- L</w:t>
      </w:r>
      <w:r w:rsidR="006C5B1D" w:rsidRPr="00BC6BEF">
        <w:rPr>
          <w:sz w:val="22"/>
          <w:szCs w:val="22"/>
          <w:lang w:val="sl-SI"/>
        </w:rPr>
        <w:t>aktoza</w:t>
      </w:r>
      <w:r w:rsidR="004A7CC2" w:rsidRPr="00BC6BEF">
        <w:rPr>
          <w:sz w:val="22"/>
          <w:szCs w:val="22"/>
          <w:lang w:val="sl-SI"/>
        </w:rPr>
        <w:t>, monohidrat;</w:t>
      </w:r>
    </w:p>
    <w:p w14:paraId="61BD2841" w14:textId="368FEEE1" w:rsidR="00E370B6" w:rsidRPr="00BC6BEF" w:rsidRDefault="00CF3CD8" w:rsidP="006B3996">
      <w:pPr>
        <w:pStyle w:val="Header"/>
        <w:tabs>
          <w:tab w:val="left" w:pos="284"/>
        </w:tabs>
        <w:jc w:val="both"/>
        <w:rPr>
          <w:sz w:val="22"/>
          <w:szCs w:val="22"/>
          <w:lang w:val="sl-SI"/>
        </w:rPr>
      </w:pPr>
      <w:r>
        <w:rPr>
          <w:sz w:val="22"/>
          <w:szCs w:val="22"/>
          <w:lang w:val="sl-SI"/>
        </w:rPr>
        <w:t xml:space="preserve">- </w:t>
      </w:r>
      <w:r w:rsidR="006C5B1D" w:rsidRPr="00BC6BEF">
        <w:rPr>
          <w:sz w:val="22"/>
          <w:szCs w:val="22"/>
          <w:lang w:val="sl-SI"/>
        </w:rPr>
        <w:t>celuloza</w:t>
      </w:r>
      <w:r w:rsidR="004A7CC2" w:rsidRPr="00BC6BEF">
        <w:rPr>
          <w:sz w:val="22"/>
          <w:szCs w:val="22"/>
          <w:lang w:val="sl-SI"/>
        </w:rPr>
        <w:t xml:space="preserve">, mikrokristalna; </w:t>
      </w:r>
    </w:p>
    <w:p w14:paraId="0A285D8F" w14:textId="6291B518" w:rsidR="00E370B6" w:rsidRPr="00BC6BEF" w:rsidRDefault="00CF3CD8" w:rsidP="006B3996">
      <w:pPr>
        <w:pStyle w:val="Header"/>
        <w:tabs>
          <w:tab w:val="left" w:pos="284"/>
        </w:tabs>
        <w:jc w:val="both"/>
        <w:rPr>
          <w:sz w:val="22"/>
          <w:szCs w:val="22"/>
          <w:lang w:val="sl-SI"/>
        </w:rPr>
      </w:pPr>
      <w:r>
        <w:rPr>
          <w:sz w:val="22"/>
          <w:szCs w:val="22"/>
          <w:lang w:val="sl-SI"/>
        </w:rPr>
        <w:t xml:space="preserve">- </w:t>
      </w:r>
      <w:r w:rsidR="006C5B1D" w:rsidRPr="00BC6BEF">
        <w:rPr>
          <w:sz w:val="22"/>
          <w:szCs w:val="22"/>
          <w:lang w:val="sl-SI"/>
        </w:rPr>
        <w:t xml:space="preserve">povidon </w:t>
      </w:r>
      <w:r w:rsidR="004A7CC2" w:rsidRPr="00BC6BEF">
        <w:rPr>
          <w:sz w:val="22"/>
          <w:szCs w:val="22"/>
          <w:lang w:val="sl-SI"/>
        </w:rPr>
        <w:t xml:space="preserve">K30; </w:t>
      </w:r>
    </w:p>
    <w:p w14:paraId="17AFC9D8" w14:textId="4D905C17" w:rsidR="00E370B6" w:rsidRPr="00BC6BEF" w:rsidRDefault="00CF3CD8" w:rsidP="006B3996">
      <w:pPr>
        <w:pStyle w:val="Header"/>
        <w:tabs>
          <w:tab w:val="left" w:pos="284"/>
        </w:tabs>
        <w:jc w:val="both"/>
        <w:rPr>
          <w:sz w:val="22"/>
          <w:szCs w:val="22"/>
          <w:lang w:val="sl-SI"/>
        </w:rPr>
      </w:pPr>
      <w:r>
        <w:rPr>
          <w:sz w:val="22"/>
          <w:szCs w:val="22"/>
          <w:lang w:val="sl-SI"/>
        </w:rPr>
        <w:t xml:space="preserve">- </w:t>
      </w:r>
      <w:r w:rsidR="006C5B1D" w:rsidRPr="00BC6BEF">
        <w:rPr>
          <w:sz w:val="22"/>
          <w:szCs w:val="22"/>
          <w:lang w:val="sl-SI"/>
        </w:rPr>
        <w:t xml:space="preserve">natrijum </w:t>
      </w:r>
      <w:r w:rsidR="004A7CC2" w:rsidRPr="00BC6BEF">
        <w:rPr>
          <w:sz w:val="22"/>
          <w:szCs w:val="22"/>
          <w:lang w:val="sl-SI"/>
        </w:rPr>
        <w:t xml:space="preserve">skrob glikolat (tip A); </w:t>
      </w:r>
    </w:p>
    <w:p w14:paraId="033DC0F3" w14:textId="08229CBF" w:rsidR="00E370B6" w:rsidRPr="00BC6BEF" w:rsidRDefault="00CF3CD8" w:rsidP="006B3996">
      <w:pPr>
        <w:pStyle w:val="Header"/>
        <w:tabs>
          <w:tab w:val="left" w:pos="284"/>
        </w:tabs>
        <w:jc w:val="both"/>
        <w:rPr>
          <w:sz w:val="22"/>
          <w:szCs w:val="22"/>
          <w:lang w:val="it-IT"/>
        </w:rPr>
      </w:pPr>
      <w:r>
        <w:rPr>
          <w:sz w:val="22"/>
          <w:szCs w:val="22"/>
          <w:lang w:val="it-IT"/>
        </w:rPr>
        <w:t xml:space="preserve">- </w:t>
      </w:r>
      <w:r w:rsidR="006C5B1D" w:rsidRPr="00BC6BEF">
        <w:rPr>
          <w:sz w:val="22"/>
          <w:szCs w:val="22"/>
          <w:lang w:val="it-IT"/>
        </w:rPr>
        <w:t xml:space="preserve">gvožđe </w:t>
      </w:r>
      <w:r w:rsidR="004A7CC2" w:rsidRPr="00BC6BEF">
        <w:rPr>
          <w:sz w:val="22"/>
          <w:szCs w:val="22"/>
          <w:lang w:val="it-IT"/>
        </w:rPr>
        <w:t xml:space="preserve">(III) oksid, žuti (E172); </w:t>
      </w:r>
    </w:p>
    <w:p w14:paraId="2206507A" w14:textId="5ED8ABFB" w:rsidR="004A7CC2" w:rsidRPr="00BC6BEF" w:rsidRDefault="00CF3CD8" w:rsidP="006B3996">
      <w:pPr>
        <w:pStyle w:val="Header"/>
        <w:tabs>
          <w:tab w:val="left" w:pos="284"/>
        </w:tabs>
        <w:jc w:val="both"/>
        <w:rPr>
          <w:sz w:val="22"/>
          <w:szCs w:val="22"/>
          <w:lang w:val="it-IT"/>
        </w:rPr>
      </w:pPr>
      <w:r>
        <w:rPr>
          <w:sz w:val="22"/>
          <w:szCs w:val="22"/>
          <w:lang w:val="it-IT"/>
        </w:rPr>
        <w:t xml:space="preserve">- </w:t>
      </w:r>
      <w:r w:rsidR="006C5B1D" w:rsidRPr="00BC6BEF">
        <w:rPr>
          <w:sz w:val="22"/>
          <w:szCs w:val="22"/>
          <w:lang w:val="it-IT"/>
        </w:rPr>
        <w:t xml:space="preserve">magnezijum </w:t>
      </w:r>
      <w:r w:rsidR="004A7CC2" w:rsidRPr="00BC6BEF">
        <w:rPr>
          <w:sz w:val="22"/>
          <w:szCs w:val="22"/>
          <w:lang w:val="it-IT"/>
        </w:rPr>
        <w:t>stearat</w:t>
      </w:r>
      <w:r w:rsidR="00502E54" w:rsidRPr="00BC6BEF">
        <w:rPr>
          <w:sz w:val="22"/>
          <w:szCs w:val="22"/>
          <w:lang w:val="it-IT"/>
        </w:rPr>
        <w:t>.</w:t>
      </w:r>
    </w:p>
    <w:p w14:paraId="2206507B" w14:textId="77777777" w:rsidR="0072020E" w:rsidRPr="00BC6BEF" w:rsidRDefault="0072020E" w:rsidP="006B3996">
      <w:pPr>
        <w:tabs>
          <w:tab w:val="left" w:pos="540"/>
          <w:tab w:val="left" w:pos="569"/>
        </w:tabs>
        <w:jc w:val="both"/>
        <w:rPr>
          <w:bCs/>
          <w:sz w:val="22"/>
          <w:szCs w:val="22"/>
          <w:lang w:val="it-IT"/>
        </w:rPr>
      </w:pPr>
    </w:p>
    <w:p w14:paraId="72B4AB06" w14:textId="7CD38961" w:rsidR="00C10538" w:rsidRPr="00BC6BEF" w:rsidRDefault="0072020E" w:rsidP="006B3996">
      <w:pPr>
        <w:tabs>
          <w:tab w:val="left" w:pos="540"/>
          <w:tab w:val="left" w:pos="569"/>
        </w:tabs>
        <w:jc w:val="both"/>
        <w:rPr>
          <w:b/>
          <w:bCs/>
          <w:sz w:val="22"/>
          <w:szCs w:val="22"/>
          <w:lang w:val="it-IT"/>
        </w:rPr>
      </w:pPr>
      <w:r w:rsidRPr="00BC6BEF">
        <w:rPr>
          <w:b/>
          <w:bCs/>
          <w:sz w:val="22"/>
          <w:szCs w:val="22"/>
          <w:lang w:val="it-IT"/>
        </w:rPr>
        <w:t xml:space="preserve">6.2. </w:t>
      </w:r>
      <w:r w:rsidR="00480FB1" w:rsidRPr="00BC6BEF">
        <w:rPr>
          <w:b/>
          <w:bCs/>
          <w:sz w:val="22"/>
          <w:szCs w:val="22"/>
          <w:lang w:val="it-IT"/>
        </w:rPr>
        <w:tab/>
      </w:r>
      <w:r w:rsidRPr="00BC6BEF">
        <w:rPr>
          <w:b/>
          <w:bCs/>
          <w:sz w:val="22"/>
          <w:szCs w:val="22"/>
          <w:lang w:val="it-IT"/>
        </w:rPr>
        <w:t>Inkompatibilnost</w:t>
      </w:r>
      <w:r w:rsidR="002846DB" w:rsidRPr="00BC6BEF">
        <w:rPr>
          <w:b/>
          <w:bCs/>
          <w:sz w:val="22"/>
          <w:szCs w:val="22"/>
          <w:lang w:val="it-IT"/>
        </w:rPr>
        <w:t>i</w:t>
      </w:r>
    </w:p>
    <w:p w14:paraId="5A4A533C" w14:textId="77777777" w:rsidR="006C5B1D" w:rsidRPr="00BC6BEF" w:rsidRDefault="006C5B1D" w:rsidP="006B3996">
      <w:pPr>
        <w:tabs>
          <w:tab w:val="left" w:pos="540"/>
          <w:tab w:val="left" w:pos="569"/>
        </w:tabs>
        <w:jc w:val="both"/>
        <w:rPr>
          <w:sz w:val="22"/>
          <w:szCs w:val="22"/>
          <w:lang w:val="it-IT"/>
        </w:rPr>
      </w:pPr>
    </w:p>
    <w:p w14:paraId="2206507D" w14:textId="70A485FA" w:rsidR="008444C0" w:rsidRPr="00BC6BEF" w:rsidRDefault="008444C0" w:rsidP="006B3996">
      <w:pPr>
        <w:tabs>
          <w:tab w:val="left" w:pos="540"/>
          <w:tab w:val="left" w:pos="569"/>
        </w:tabs>
        <w:jc w:val="both"/>
        <w:rPr>
          <w:sz w:val="22"/>
          <w:szCs w:val="22"/>
          <w:lang w:val="it-IT"/>
        </w:rPr>
      </w:pPr>
      <w:r w:rsidRPr="00BC6BEF">
        <w:rPr>
          <w:sz w:val="22"/>
          <w:szCs w:val="22"/>
          <w:lang w:val="it-IT"/>
        </w:rPr>
        <w:t>Nije primjenljivo.</w:t>
      </w:r>
    </w:p>
    <w:p w14:paraId="2206507E" w14:textId="77777777" w:rsidR="0072020E" w:rsidRPr="00BC6BEF" w:rsidRDefault="0072020E" w:rsidP="006B3996">
      <w:pPr>
        <w:tabs>
          <w:tab w:val="left" w:pos="540"/>
          <w:tab w:val="left" w:pos="569"/>
        </w:tabs>
        <w:jc w:val="both"/>
        <w:rPr>
          <w:bCs/>
          <w:sz w:val="22"/>
          <w:szCs w:val="22"/>
          <w:lang w:val="it-IT"/>
        </w:rPr>
      </w:pPr>
    </w:p>
    <w:p w14:paraId="2206507F" w14:textId="0687B8C5" w:rsidR="0072020E" w:rsidRPr="00BC6BEF" w:rsidRDefault="0072020E" w:rsidP="006B3996">
      <w:pPr>
        <w:tabs>
          <w:tab w:val="left" w:pos="540"/>
          <w:tab w:val="left" w:pos="569"/>
        </w:tabs>
        <w:jc w:val="both"/>
        <w:rPr>
          <w:b/>
          <w:bCs/>
          <w:sz w:val="22"/>
          <w:szCs w:val="22"/>
          <w:lang w:val="it-IT"/>
        </w:rPr>
      </w:pPr>
      <w:r w:rsidRPr="00BC6BEF">
        <w:rPr>
          <w:b/>
          <w:bCs/>
          <w:sz w:val="22"/>
          <w:szCs w:val="22"/>
          <w:lang w:val="it-IT"/>
        </w:rPr>
        <w:t>6.3.</w:t>
      </w:r>
      <w:r w:rsidR="00C05DF8" w:rsidRPr="00BC6BEF">
        <w:rPr>
          <w:b/>
          <w:bCs/>
          <w:sz w:val="22"/>
          <w:szCs w:val="22"/>
          <w:lang w:val="it-IT"/>
        </w:rPr>
        <w:t xml:space="preserve"> </w:t>
      </w:r>
      <w:r w:rsidR="00480FB1" w:rsidRPr="00BC6BEF">
        <w:rPr>
          <w:b/>
          <w:bCs/>
          <w:sz w:val="22"/>
          <w:szCs w:val="22"/>
          <w:lang w:val="it-IT"/>
        </w:rPr>
        <w:tab/>
      </w:r>
      <w:r w:rsidRPr="00BC6BEF">
        <w:rPr>
          <w:b/>
          <w:bCs/>
          <w:sz w:val="22"/>
          <w:szCs w:val="22"/>
          <w:lang w:val="it-IT"/>
        </w:rPr>
        <w:t>Rok upotrebe</w:t>
      </w:r>
    </w:p>
    <w:p w14:paraId="1FC81ADC" w14:textId="77777777" w:rsidR="006C5B1D" w:rsidRPr="00BC6BEF" w:rsidRDefault="006C5B1D" w:rsidP="006B3996">
      <w:pPr>
        <w:tabs>
          <w:tab w:val="left" w:pos="540"/>
          <w:tab w:val="left" w:pos="569"/>
        </w:tabs>
        <w:jc w:val="both"/>
        <w:rPr>
          <w:b/>
          <w:bCs/>
          <w:sz w:val="22"/>
          <w:szCs w:val="22"/>
          <w:lang w:val="it-IT"/>
        </w:rPr>
      </w:pPr>
    </w:p>
    <w:p w14:paraId="22065080" w14:textId="77777777" w:rsidR="008444C0" w:rsidRPr="00BC6BEF" w:rsidRDefault="008444C0" w:rsidP="006B3996">
      <w:pPr>
        <w:tabs>
          <w:tab w:val="left" w:pos="540"/>
          <w:tab w:val="left" w:pos="569"/>
        </w:tabs>
        <w:jc w:val="both"/>
        <w:rPr>
          <w:sz w:val="22"/>
          <w:szCs w:val="22"/>
          <w:lang w:val="it-IT"/>
        </w:rPr>
      </w:pPr>
      <w:r w:rsidRPr="00BC6BEF">
        <w:rPr>
          <w:sz w:val="22"/>
          <w:szCs w:val="22"/>
          <w:lang w:val="it-IT"/>
        </w:rPr>
        <w:t>Tri godine.</w:t>
      </w:r>
    </w:p>
    <w:p w14:paraId="22065081" w14:textId="77777777" w:rsidR="0072020E" w:rsidRPr="00BC6BEF" w:rsidRDefault="0072020E" w:rsidP="006B3996">
      <w:pPr>
        <w:tabs>
          <w:tab w:val="left" w:pos="540"/>
          <w:tab w:val="left" w:pos="569"/>
        </w:tabs>
        <w:jc w:val="both"/>
        <w:rPr>
          <w:bCs/>
          <w:sz w:val="22"/>
          <w:szCs w:val="22"/>
          <w:lang w:val="it-IT"/>
        </w:rPr>
      </w:pPr>
    </w:p>
    <w:p w14:paraId="22065082" w14:textId="3BA3A0FE" w:rsidR="0072020E" w:rsidRPr="00BC6BEF" w:rsidRDefault="0072020E" w:rsidP="006B3996">
      <w:pPr>
        <w:tabs>
          <w:tab w:val="left" w:pos="540"/>
          <w:tab w:val="left" w:pos="569"/>
        </w:tabs>
        <w:jc w:val="both"/>
        <w:rPr>
          <w:b/>
          <w:bCs/>
          <w:sz w:val="22"/>
          <w:szCs w:val="22"/>
          <w:lang w:val="it-IT"/>
        </w:rPr>
      </w:pPr>
      <w:r w:rsidRPr="00BC6BEF">
        <w:rPr>
          <w:b/>
          <w:bCs/>
          <w:sz w:val="22"/>
          <w:szCs w:val="22"/>
          <w:lang w:val="it-IT"/>
        </w:rPr>
        <w:t xml:space="preserve">6.4. </w:t>
      </w:r>
      <w:r w:rsidR="00480FB1" w:rsidRPr="00BC6BEF">
        <w:rPr>
          <w:b/>
          <w:bCs/>
          <w:sz w:val="22"/>
          <w:szCs w:val="22"/>
          <w:lang w:val="it-IT"/>
        </w:rPr>
        <w:tab/>
      </w:r>
      <w:r w:rsidRPr="00BC6BEF">
        <w:rPr>
          <w:b/>
          <w:bCs/>
          <w:sz w:val="22"/>
          <w:szCs w:val="22"/>
          <w:lang w:val="it-IT"/>
        </w:rPr>
        <w:t>Posebne mjere upozorenja pri čuvanju</w:t>
      </w:r>
      <w:r w:rsidR="00F8570A" w:rsidRPr="00BC6BEF">
        <w:rPr>
          <w:b/>
          <w:bCs/>
          <w:sz w:val="22"/>
          <w:szCs w:val="22"/>
          <w:lang w:val="it-IT"/>
        </w:rPr>
        <w:t xml:space="preserve"> lijeka</w:t>
      </w:r>
    </w:p>
    <w:p w14:paraId="0F63FF7A" w14:textId="77777777" w:rsidR="006C5B1D" w:rsidRPr="00BC6BEF" w:rsidRDefault="006C5B1D" w:rsidP="006B3996">
      <w:pPr>
        <w:tabs>
          <w:tab w:val="left" w:pos="540"/>
          <w:tab w:val="left" w:pos="569"/>
        </w:tabs>
        <w:jc w:val="both"/>
        <w:rPr>
          <w:b/>
          <w:bCs/>
          <w:sz w:val="22"/>
          <w:szCs w:val="22"/>
          <w:lang w:val="it-IT"/>
        </w:rPr>
      </w:pPr>
    </w:p>
    <w:p w14:paraId="22065083" w14:textId="1BCF4F56" w:rsidR="003F55F4" w:rsidRPr="00BC6BEF" w:rsidRDefault="00502E54" w:rsidP="006B3996">
      <w:pPr>
        <w:pStyle w:val="Header"/>
        <w:tabs>
          <w:tab w:val="left" w:pos="284"/>
        </w:tabs>
        <w:jc w:val="both"/>
        <w:rPr>
          <w:sz w:val="22"/>
          <w:szCs w:val="22"/>
          <w:lang w:val="fi-FI"/>
        </w:rPr>
      </w:pPr>
      <w:r w:rsidRPr="00BC6BEF">
        <w:rPr>
          <w:sz w:val="22"/>
          <w:szCs w:val="22"/>
          <w:lang w:val="fi-FI"/>
        </w:rPr>
        <w:t>Lijek</w:t>
      </w:r>
      <w:r w:rsidR="003F55F4" w:rsidRPr="00BC6BEF">
        <w:rPr>
          <w:sz w:val="22"/>
          <w:szCs w:val="22"/>
          <w:lang w:val="fi-FI"/>
        </w:rPr>
        <w:t xml:space="preserve"> ne zahtijeva posebne uslove čuvanja.</w:t>
      </w:r>
    </w:p>
    <w:p w14:paraId="22065084" w14:textId="77777777" w:rsidR="00EC2532" w:rsidRPr="00BC6BEF" w:rsidRDefault="00EC2532" w:rsidP="006B3996">
      <w:pPr>
        <w:tabs>
          <w:tab w:val="left" w:pos="540"/>
          <w:tab w:val="left" w:pos="569"/>
        </w:tabs>
        <w:jc w:val="both"/>
        <w:rPr>
          <w:bCs/>
          <w:sz w:val="22"/>
          <w:szCs w:val="22"/>
          <w:lang w:val="fi-FI"/>
        </w:rPr>
      </w:pPr>
    </w:p>
    <w:p w14:paraId="22065085" w14:textId="1D0A8E07" w:rsidR="0072020E" w:rsidRPr="00BC6BEF" w:rsidRDefault="0072020E" w:rsidP="006B3996">
      <w:pPr>
        <w:tabs>
          <w:tab w:val="left" w:pos="540"/>
          <w:tab w:val="left" w:pos="569"/>
        </w:tabs>
        <w:jc w:val="both"/>
        <w:rPr>
          <w:b/>
          <w:bCs/>
          <w:sz w:val="22"/>
          <w:szCs w:val="22"/>
          <w:lang w:val="fi-FI"/>
        </w:rPr>
      </w:pPr>
      <w:r w:rsidRPr="00BC6BEF">
        <w:rPr>
          <w:b/>
          <w:bCs/>
          <w:sz w:val="22"/>
          <w:szCs w:val="22"/>
          <w:lang w:val="fi-FI"/>
        </w:rPr>
        <w:t xml:space="preserve">6.5. </w:t>
      </w:r>
      <w:r w:rsidR="00480FB1" w:rsidRPr="00BC6BEF">
        <w:rPr>
          <w:b/>
          <w:bCs/>
          <w:sz w:val="22"/>
          <w:szCs w:val="22"/>
          <w:lang w:val="fi-FI"/>
        </w:rPr>
        <w:tab/>
      </w:r>
      <w:r w:rsidR="002846DB" w:rsidRPr="00BC6BEF">
        <w:rPr>
          <w:b/>
          <w:bCs/>
          <w:sz w:val="22"/>
          <w:szCs w:val="22"/>
          <w:lang w:val="fi-FI"/>
        </w:rPr>
        <w:t xml:space="preserve">Vrsta i sadržaj </w:t>
      </w:r>
      <w:r w:rsidR="00F8570A" w:rsidRPr="00BC6BEF">
        <w:rPr>
          <w:b/>
          <w:bCs/>
          <w:sz w:val="22"/>
          <w:szCs w:val="22"/>
          <w:lang w:val="fi-FI"/>
        </w:rPr>
        <w:t>pakovanja</w:t>
      </w:r>
      <w:r w:rsidR="00C06864" w:rsidRPr="00BC6BEF">
        <w:rPr>
          <w:b/>
          <w:bCs/>
          <w:sz w:val="22"/>
          <w:szCs w:val="22"/>
          <w:lang w:val="fi-FI"/>
        </w:rPr>
        <w:t xml:space="preserve"> </w:t>
      </w:r>
    </w:p>
    <w:p w14:paraId="38F75FE9" w14:textId="77777777" w:rsidR="00BD20A8" w:rsidRPr="00BC6BEF" w:rsidRDefault="00BD20A8" w:rsidP="006B3996">
      <w:pPr>
        <w:tabs>
          <w:tab w:val="left" w:pos="540"/>
          <w:tab w:val="left" w:pos="569"/>
        </w:tabs>
        <w:jc w:val="both"/>
        <w:rPr>
          <w:b/>
          <w:bCs/>
          <w:sz w:val="22"/>
          <w:szCs w:val="22"/>
          <w:lang w:val="fi-FI"/>
        </w:rPr>
      </w:pPr>
    </w:p>
    <w:p w14:paraId="04EE2BE0" w14:textId="12E33224" w:rsidR="00C51184" w:rsidRPr="00BF78B0" w:rsidRDefault="00C51184" w:rsidP="006B3996">
      <w:pPr>
        <w:tabs>
          <w:tab w:val="left" w:pos="540"/>
          <w:tab w:val="left" w:pos="569"/>
        </w:tabs>
        <w:jc w:val="both"/>
        <w:rPr>
          <w:i/>
          <w:sz w:val="22"/>
          <w:szCs w:val="22"/>
          <w:u w:val="single"/>
          <w:lang w:val="fi-FI"/>
        </w:rPr>
      </w:pPr>
      <w:r w:rsidRPr="00BF78B0">
        <w:rPr>
          <w:i/>
          <w:sz w:val="22"/>
          <w:szCs w:val="22"/>
          <w:u w:val="single"/>
          <w:lang w:val="fi-FI"/>
        </w:rPr>
        <w:t>Lamictal tablete 25mg</w:t>
      </w:r>
    </w:p>
    <w:p w14:paraId="738F4246" w14:textId="77777777" w:rsidR="00C875D0" w:rsidRPr="00BC6BEF" w:rsidRDefault="00CD5701" w:rsidP="006B3996">
      <w:pPr>
        <w:tabs>
          <w:tab w:val="left" w:pos="540"/>
          <w:tab w:val="left" w:pos="569"/>
        </w:tabs>
        <w:jc w:val="both"/>
        <w:rPr>
          <w:sz w:val="22"/>
          <w:szCs w:val="22"/>
          <w:lang w:val="fi-FI"/>
        </w:rPr>
      </w:pPr>
      <w:r w:rsidRPr="00BC6BEF">
        <w:rPr>
          <w:sz w:val="22"/>
          <w:szCs w:val="22"/>
          <w:lang w:val="fi-FI"/>
        </w:rPr>
        <w:lastRenderedPageBreak/>
        <w:t>Unutrašnje pakovanje je PVC/Al blister</w:t>
      </w:r>
      <w:r w:rsidR="00C875D0" w:rsidRPr="00BC6BEF">
        <w:rPr>
          <w:sz w:val="22"/>
          <w:szCs w:val="22"/>
          <w:lang w:val="fi-FI"/>
        </w:rPr>
        <w:t>, koji sadrži 10 tableta</w:t>
      </w:r>
      <w:r w:rsidRPr="00BC6BEF">
        <w:rPr>
          <w:sz w:val="22"/>
          <w:szCs w:val="22"/>
          <w:lang w:val="fi-FI"/>
        </w:rPr>
        <w:t xml:space="preserve"> </w:t>
      </w:r>
      <w:r w:rsidR="000C3712" w:rsidRPr="00BC6BEF">
        <w:rPr>
          <w:sz w:val="22"/>
          <w:szCs w:val="22"/>
          <w:lang w:val="fi-FI"/>
        </w:rPr>
        <w:t xml:space="preserve">ili PVC/Al blister sa zaštitom za djecu </w:t>
      </w:r>
      <w:r w:rsidR="00C875D0" w:rsidRPr="00BC6BEF">
        <w:rPr>
          <w:sz w:val="22"/>
          <w:szCs w:val="22"/>
          <w:lang w:val="fi-FI"/>
        </w:rPr>
        <w:t>koji sadrži 15</w:t>
      </w:r>
      <w:r w:rsidRPr="00BC6BEF">
        <w:rPr>
          <w:sz w:val="22"/>
          <w:szCs w:val="22"/>
          <w:lang w:val="fi-FI"/>
        </w:rPr>
        <w:t xml:space="preserve"> tableta. </w:t>
      </w:r>
    </w:p>
    <w:p w14:paraId="7D4C2CDD" w14:textId="7B2B52EB" w:rsidR="00CD5701" w:rsidRPr="00BC6BEF" w:rsidRDefault="00CD5701" w:rsidP="006B3996">
      <w:pPr>
        <w:tabs>
          <w:tab w:val="left" w:pos="540"/>
          <w:tab w:val="left" w:pos="569"/>
        </w:tabs>
        <w:jc w:val="both"/>
        <w:rPr>
          <w:sz w:val="22"/>
          <w:szCs w:val="22"/>
          <w:lang w:val="fi-FI"/>
        </w:rPr>
      </w:pPr>
      <w:r w:rsidRPr="00BC6BEF">
        <w:rPr>
          <w:sz w:val="22"/>
          <w:szCs w:val="22"/>
          <w:lang w:val="fi-FI"/>
        </w:rPr>
        <w:t>Spoljašnje pakovanje je složiva kartonska kutija u kojoj se nalaze 3 blistera sa po 10 tableta (ukupno 30</w:t>
      </w:r>
      <w:r w:rsidR="00F9097C" w:rsidRPr="00BC6BEF">
        <w:rPr>
          <w:sz w:val="22"/>
          <w:szCs w:val="22"/>
          <w:lang w:val="fi-FI"/>
        </w:rPr>
        <w:t xml:space="preserve"> </w:t>
      </w:r>
      <w:r w:rsidRPr="00BC6BEF">
        <w:rPr>
          <w:sz w:val="22"/>
          <w:szCs w:val="22"/>
          <w:lang w:val="fi-FI"/>
        </w:rPr>
        <w:t>tableta) i Uputstvo za l</w:t>
      </w:r>
      <w:r w:rsidR="00F9097C" w:rsidRPr="00BC6BEF">
        <w:rPr>
          <w:sz w:val="22"/>
          <w:szCs w:val="22"/>
          <w:lang w:val="fi-FI"/>
        </w:rPr>
        <w:t>ij</w:t>
      </w:r>
      <w:r w:rsidRPr="00BC6BEF">
        <w:rPr>
          <w:sz w:val="22"/>
          <w:szCs w:val="22"/>
          <w:lang w:val="fi-FI"/>
        </w:rPr>
        <w:t>ek</w:t>
      </w:r>
      <w:r w:rsidR="00C875D0" w:rsidRPr="00BC6BEF">
        <w:rPr>
          <w:sz w:val="22"/>
          <w:szCs w:val="22"/>
          <w:lang w:val="fi-FI"/>
        </w:rPr>
        <w:t xml:space="preserve"> ili 2 blistera sa po 15 tableta (ukupno 30 tableta) i Uputstvo za lijek</w:t>
      </w:r>
      <w:r w:rsidR="00F9097C" w:rsidRPr="00BC6BEF">
        <w:rPr>
          <w:sz w:val="22"/>
          <w:szCs w:val="22"/>
          <w:lang w:val="fi-FI"/>
        </w:rPr>
        <w:t>.</w:t>
      </w:r>
    </w:p>
    <w:p w14:paraId="6DC69987" w14:textId="6F46CA85" w:rsidR="00F9097C" w:rsidRPr="00BC6BEF" w:rsidRDefault="00F9097C" w:rsidP="006B3996">
      <w:pPr>
        <w:tabs>
          <w:tab w:val="left" w:pos="540"/>
          <w:tab w:val="left" w:pos="569"/>
        </w:tabs>
        <w:jc w:val="both"/>
        <w:rPr>
          <w:sz w:val="22"/>
          <w:szCs w:val="22"/>
          <w:lang w:val="fi-FI"/>
        </w:rPr>
      </w:pPr>
    </w:p>
    <w:p w14:paraId="57A5DE79" w14:textId="4FCD610C" w:rsidR="00C51184" w:rsidRPr="00BF78B0" w:rsidRDefault="00C51184" w:rsidP="00C51184">
      <w:pPr>
        <w:tabs>
          <w:tab w:val="left" w:pos="540"/>
          <w:tab w:val="left" w:pos="569"/>
        </w:tabs>
        <w:jc w:val="both"/>
        <w:rPr>
          <w:i/>
          <w:sz w:val="22"/>
          <w:szCs w:val="22"/>
          <w:u w:val="single"/>
          <w:lang w:val="fi-FI"/>
        </w:rPr>
      </w:pPr>
      <w:r w:rsidRPr="00BF78B0">
        <w:rPr>
          <w:i/>
          <w:sz w:val="22"/>
          <w:szCs w:val="22"/>
          <w:u w:val="single"/>
          <w:lang w:val="fi-FI"/>
        </w:rPr>
        <w:t>Lamictal tablete 50mg</w:t>
      </w:r>
    </w:p>
    <w:p w14:paraId="21EB909D" w14:textId="29601B4C" w:rsidR="00C51184" w:rsidRPr="00BF78B0" w:rsidRDefault="00C51184" w:rsidP="00C51184">
      <w:pPr>
        <w:tabs>
          <w:tab w:val="left" w:pos="540"/>
          <w:tab w:val="left" w:pos="569"/>
        </w:tabs>
        <w:jc w:val="both"/>
        <w:rPr>
          <w:i/>
          <w:sz w:val="22"/>
          <w:szCs w:val="22"/>
          <w:u w:val="single"/>
          <w:lang w:val="fi-FI"/>
        </w:rPr>
      </w:pPr>
      <w:r w:rsidRPr="00BF78B0">
        <w:rPr>
          <w:i/>
          <w:sz w:val="22"/>
          <w:szCs w:val="22"/>
          <w:u w:val="single"/>
          <w:lang w:val="fi-FI"/>
        </w:rPr>
        <w:t>Lamictal tablete 100mg</w:t>
      </w:r>
    </w:p>
    <w:p w14:paraId="17E43FF0" w14:textId="77777777" w:rsidR="00C875D0" w:rsidRPr="00BC6BEF" w:rsidRDefault="000C3712" w:rsidP="000C3712">
      <w:pPr>
        <w:tabs>
          <w:tab w:val="left" w:pos="540"/>
          <w:tab w:val="left" w:pos="569"/>
        </w:tabs>
        <w:jc w:val="both"/>
        <w:rPr>
          <w:sz w:val="22"/>
          <w:szCs w:val="22"/>
          <w:lang w:val="fi-FI"/>
        </w:rPr>
      </w:pPr>
      <w:r w:rsidRPr="00BC6BEF">
        <w:rPr>
          <w:sz w:val="22"/>
          <w:szCs w:val="22"/>
          <w:lang w:val="fi-FI"/>
        </w:rPr>
        <w:t>Unutrašnje pakovanje je PVC/Al blister</w:t>
      </w:r>
      <w:r w:rsidR="00C875D0" w:rsidRPr="00BC6BEF">
        <w:rPr>
          <w:sz w:val="22"/>
          <w:szCs w:val="22"/>
          <w:lang w:val="fi-FI"/>
        </w:rPr>
        <w:t>, koji sadrži 10 tableta</w:t>
      </w:r>
      <w:r w:rsidRPr="00BC6BEF">
        <w:rPr>
          <w:sz w:val="22"/>
          <w:szCs w:val="22"/>
          <w:lang w:val="fi-FI"/>
        </w:rPr>
        <w:t xml:space="preserve"> ili PVC/Al/papir blister sa zaštitom za djecu</w:t>
      </w:r>
      <w:r w:rsidR="00C875D0" w:rsidRPr="00BC6BEF">
        <w:rPr>
          <w:sz w:val="22"/>
          <w:szCs w:val="22"/>
          <w:lang w:val="fi-FI"/>
        </w:rPr>
        <w:t xml:space="preserve"> koji sadrži 15</w:t>
      </w:r>
      <w:r w:rsidRPr="00BC6BEF">
        <w:rPr>
          <w:sz w:val="22"/>
          <w:szCs w:val="22"/>
          <w:lang w:val="fi-FI"/>
        </w:rPr>
        <w:t xml:space="preserve"> tableta. </w:t>
      </w:r>
    </w:p>
    <w:p w14:paraId="608A5F12" w14:textId="46385BB4" w:rsidR="000C3712" w:rsidRPr="00BC6BEF" w:rsidRDefault="000C3712" w:rsidP="000C3712">
      <w:pPr>
        <w:tabs>
          <w:tab w:val="left" w:pos="540"/>
          <w:tab w:val="left" w:pos="569"/>
        </w:tabs>
        <w:jc w:val="both"/>
        <w:rPr>
          <w:sz w:val="22"/>
          <w:szCs w:val="22"/>
          <w:lang w:val="fi-FI"/>
        </w:rPr>
      </w:pPr>
      <w:r w:rsidRPr="00BC6BEF">
        <w:rPr>
          <w:sz w:val="22"/>
          <w:szCs w:val="22"/>
          <w:lang w:val="fi-FI"/>
        </w:rPr>
        <w:t>Spoljašnje pakovanje je složiva kartonska kutija u kojoj se nalaze 3 blistera sa po 10 tableta (ukupno 30 tableta) i Uputstvo za lijek</w:t>
      </w:r>
      <w:r w:rsidR="00C875D0" w:rsidRPr="00BC6BEF">
        <w:rPr>
          <w:sz w:val="22"/>
          <w:szCs w:val="22"/>
          <w:lang w:val="fi-FI"/>
        </w:rPr>
        <w:t xml:space="preserve"> ili 2 blistera sa po 15 tableta (ukupno 30 tableta) i Uputstvo za lijek</w:t>
      </w:r>
      <w:r w:rsidRPr="00BC6BEF">
        <w:rPr>
          <w:sz w:val="22"/>
          <w:szCs w:val="22"/>
          <w:lang w:val="fi-FI"/>
        </w:rPr>
        <w:t>.</w:t>
      </w:r>
    </w:p>
    <w:p w14:paraId="1510F3C3" w14:textId="77777777" w:rsidR="00C51184" w:rsidRPr="00BC6BEF" w:rsidRDefault="00C51184" w:rsidP="00C51184">
      <w:pPr>
        <w:tabs>
          <w:tab w:val="left" w:pos="540"/>
          <w:tab w:val="left" w:pos="569"/>
        </w:tabs>
        <w:jc w:val="both"/>
        <w:rPr>
          <w:i/>
          <w:sz w:val="22"/>
          <w:szCs w:val="22"/>
          <w:lang w:val="fi-FI"/>
        </w:rPr>
      </w:pPr>
    </w:p>
    <w:p w14:paraId="0EBCC279" w14:textId="0439D7A2" w:rsidR="009E6688" w:rsidRPr="00BC6BEF" w:rsidRDefault="0072020E" w:rsidP="006B3996">
      <w:pPr>
        <w:tabs>
          <w:tab w:val="left" w:pos="540"/>
          <w:tab w:val="left" w:pos="569"/>
        </w:tabs>
        <w:jc w:val="both"/>
        <w:rPr>
          <w:b/>
          <w:bCs/>
          <w:sz w:val="22"/>
          <w:szCs w:val="22"/>
          <w:lang w:val="fi-FI"/>
        </w:rPr>
      </w:pPr>
      <w:r w:rsidRPr="00BC6BEF">
        <w:rPr>
          <w:b/>
          <w:bCs/>
          <w:sz w:val="22"/>
          <w:szCs w:val="22"/>
          <w:lang w:val="fi-FI"/>
        </w:rPr>
        <w:t xml:space="preserve">6.6. </w:t>
      </w:r>
      <w:r w:rsidR="00480FB1" w:rsidRPr="00BC6BEF">
        <w:rPr>
          <w:b/>
          <w:bCs/>
          <w:sz w:val="22"/>
          <w:szCs w:val="22"/>
          <w:lang w:val="fi-FI"/>
        </w:rPr>
        <w:tab/>
      </w:r>
      <w:r w:rsidRPr="00BC6BEF">
        <w:rPr>
          <w:b/>
          <w:bCs/>
          <w:color w:val="000000"/>
          <w:sz w:val="22"/>
          <w:szCs w:val="22"/>
          <w:lang w:val="fi-FI"/>
        </w:rPr>
        <w:t>Posebne mjere opreza pri odlaganju materijala koji treba odbaciti nakon primjene lijeka</w:t>
      </w:r>
      <w:r w:rsidRPr="00BC6BEF">
        <w:rPr>
          <w:b/>
          <w:bCs/>
          <w:sz w:val="22"/>
          <w:szCs w:val="22"/>
          <w:lang w:val="fi-FI"/>
        </w:rPr>
        <w:t xml:space="preserve"> </w:t>
      </w:r>
      <w:r w:rsidR="00310F03" w:rsidRPr="00BC6BEF">
        <w:rPr>
          <w:b/>
          <w:bCs/>
          <w:sz w:val="22"/>
          <w:szCs w:val="22"/>
          <w:lang w:val="fi-FI"/>
        </w:rPr>
        <w:t xml:space="preserve">(i druga uputsva za rukovanje lijekom) </w:t>
      </w:r>
    </w:p>
    <w:p w14:paraId="3A12213E" w14:textId="77777777" w:rsidR="000D2563" w:rsidRPr="00BC6BEF" w:rsidRDefault="000D2563" w:rsidP="006B3996">
      <w:pPr>
        <w:tabs>
          <w:tab w:val="left" w:pos="540"/>
          <w:tab w:val="left" w:pos="569"/>
        </w:tabs>
        <w:jc w:val="both"/>
        <w:rPr>
          <w:b/>
          <w:bCs/>
          <w:sz w:val="22"/>
          <w:szCs w:val="22"/>
          <w:lang w:val="fi-FI"/>
        </w:rPr>
      </w:pPr>
    </w:p>
    <w:p w14:paraId="22065089" w14:textId="77777777" w:rsidR="003F55F4" w:rsidRPr="00BC6BEF" w:rsidRDefault="003F55F4" w:rsidP="006B3996">
      <w:pPr>
        <w:tabs>
          <w:tab w:val="left" w:pos="540"/>
          <w:tab w:val="left" w:pos="569"/>
        </w:tabs>
        <w:jc w:val="both"/>
        <w:rPr>
          <w:sz w:val="22"/>
          <w:szCs w:val="22"/>
          <w:lang w:val="fi-FI"/>
        </w:rPr>
      </w:pPr>
      <w:r w:rsidRPr="00BC6BEF">
        <w:rPr>
          <w:sz w:val="22"/>
          <w:szCs w:val="22"/>
          <w:lang w:val="fi-FI"/>
        </w:rPr>
        <w:t>Nema posebnih zahtjeva za odlaganje materijala.</w:t>
      </w:r>
    </w:p>
    <w:p w14:paraId="2206508A" w14:textId="77777777" w:rsidR="003F55F4" w:rsidRPr="00BC6BEF" w:rsidRDefault="003F55F4" w:rsidP="006B3996">
      <w:pPr>
        <w:tabs>
          <w:tab w:val="left" w:pos="540"/>
          <w:tab w:val="left" w:pos="569"/>
        </w:tabs>
        <w:jc w:val="both"/>
        <w:rPr>
          <w:sz w:val="22"/>
          <w:szCs w:val="22"/>
          <w:lang w:val="fi-FI"/>
        </w:rPr>
      </w:pPr>
      <w:r w:rsidRPr="00BC6BEF">
        <w:rPr>
          <w:sz w:val="22"/>
          <w:szCs w:val="22"/>
          <w:lang w:val="fi-FI"/>
        </w:rPr>
        <w:t>Neupotrijebljeni lijek se uništava u skladu sa važećim propisima.</w:t>
      </w:r>
    </w:p>
    <w:p w14:paraId="2206508B" w14:textId="535DABC0" w:rsidR="0072020E" w:rsidRPr="00BC6BEF" w:rsidRDefault="0072020E" w:rsidP="006B3996">
      <w:pPr>
        <w:tabs>
          <w:tab w:val="left" w:pos="540"/>
          <w:tab w:val="left" w:pos="569"/>
        </w:tabs>
        <w:jc w:val="both"/>
        <w:rPr>
          <w:bCs/>
          <w:sz w:val="22"/>
          <w:szCs w:val="22"/>
          <w:lang w:val="fi-FI"/>
        </w:rPr>
      </w:pPr>
    </w:p>
    <w:p w14:paraId="0AB51D76" w14:textId="23A4B377" w:rsidR="00187CC0" w:rsidRPr="00BC6BEF" w:rsidRDefault="00187CC0" w:rsidP="006B3996">
      <w:pPr>
        <w:tabs>
          <w:tab w:val="left" w:pos="540"/>
          <w:tab w:val="left" w:pos="569"/>
        </w:tabs>
        <w:jc w:val="both"/>
        <w:rPr>
          <w:b/>
          <w:bCs/>
          <w:sz w:val="22"/>
          <w:szCs w:val="22"/>
          <w:lang w:val="fi-FI"/>
        </w:rPr>
      </w:pPr>
    </w:p>
    <w:p w14:paraId="613172B4" w14:textId="69A26835" w:rsidR="00187CC0" w:rsidRPr="00BC6BEF" w:rsidRDefault="0072020E" w:rsidP="006B3996">
      <w:pPr>
        <w:tabs>
          <w:tab w:val="left" w:pos="540"/>
          <w:tab w:val="left" w:pos="569"/>
        </w:tabs>
        <w:jc w:val="both"/>
        <w:rPr>
          <w:b/>
          <w:bCs/>
          <w:sz w:val="22"/>
          <w:szCs w:val="22"/>
          <w:lang w:val="fi-FI"/>
        </w:rPr>
      </w:pPr>
      <w:r w:rsidRPr="00BC6BEF">
        <w:rPr>
          <w:b/>
          <w:bCs/>
          <w:sz w:val="22"/>
          <w:szCs w:val="22"/>
          <w:lang w:val="fi-FI"/>
        </w:rPr>
        <w:t xml:space="preserve">7. </w:t>
      </w:r>
      <w:r w:rsidR="00480FB1" w:rsidRPr="00BC6BEF">
        <w:rPr>
          <w:b/>
          <w:bCs/>
          <w:sz w:val="22"/>
          <w:szCs w:val="22"/>
          <w:lang w:val="fi-FI"/>
        </w:rPr>
        <w:tab/>
      </w:r>
      <w:r w:rsidRPr="00BC6BEF">
        <w:rPr>
          <w:b/>
          <w:bCs/>
          <w:sz w:val="22"/>
          <w:szCs w:val="22"/>
          <w:lang w:val="fi-FI"/>
        </w:rPr>
        <w:t>NOSILAC DOZVOLE</w:t>
      </w:r>
      <w:r w:rsidR="00483928" w:rsidRPr="00BC6BEF">
        <w:rPr>
          <w:b/>
          <w:bCs/>
          <w:sz w:val="22"/>
          <w:szCs w:val="22"/>
          <w:lang w:val="fi-FI"/>
        </w:rPr>
        <w:t xml:space="preserve"> </w:t>
      </w:r>
    </w:p>
    <w:p w14:paraId="168496EB" w14:textId="77777777" w:rsidR="00187CC0" w:rsidRPr="00BC6BEF" w:rsidRDefault="00187CC0" w:rsidP="006B3996">
      <w:pPr>
        <w:tabs>
          <w:tab w:val="left" w:pos="540"/>
          <w:tab w:val="left" w:pos="569"/>
        </w:tabs>
        <w:jc w:val="both"/>
        <w:rPr>
          <w:b/>
          <w:bCs/>
          <w:sz w:val="22"/>
          <w:szCs w:val="22"/>
          <w:lang w:val="fi-FI"/>
        </w:rPr>
      </w:pPr>
    </w:p>
    <w:p w14:paraId="10D1797D" w14:textId="77777777" w:rsidR="00FF7818" w:rsidRPr="00BC6BEF" w:rsidRDefault="00FF7818" w:rsidP="006B3996">
      <w:pPr>
        <w:widowControl w:val="0"/>
        <w:autoSpaceDE w:val="0"/>
        <w:autoSpaceDN w:val="0"/>
        <w:jc w:val="both"/>
        <w:rPr>
          <w:rFonts w:cs="Arial"/>
          <w:bCs/>
          <w:sz w:val="22"/>
          <w:szCs w:val="22"/>
          <w:lang w:val="fi-FI"/>
        </w:rPr>
      </w:pPr>
      <w:r w:rsidRPr="00BC6BEF">
        <w:rPr>
          <w:rFonts w:cs="Arial"/>
          <w:bCs/>
          <w:sz w:val="22"/>
          <w:szCs w:val="22"/>
          <w:lang w:val="fi-FI"/>
        </w:rPr>
        <w:t>Evropa Lek Pharma d.o.o. Podgorica</w:t>
      </w:r>
    </w:p>
    <w:p w14:paraId="2206508E" w14:textId="48C757FB" w:rsidR="003A13EF" w:rsidRPr="00BC6BEF" w:rsidRDefault="00FF7818" w:rsidP="006B3996">
      <w:pPr>
        <w:tabs>
          <w:tab w:val="left" w:pos="540"/>
          <w:tab w:val="left" w:pos="569"/>
        </w:tabs>
        <w:jc w:val="both"/>
        <w:rPr>
          <w:bCs/>
          <w:sz w:val="22"/>
          <w:szCs w:val="22"/>
          <w:lang w:val="fi-FI"/>
        </w:rPr>
      </w:pPr>
      <w:r w:rsidRPr="00BC6BEF">
        <w:rPr>
          <w:rFonts w:cs="Arial"/>
          <w:bCs/>
          <w:sz w:val="22"/>
          <w:szCs w:val="22"/>
          <w:lang w:val="fi-FI"/>
        </w:rPr>
        <w:t xml:space="preserve">Kritskog odreda 4/1, </w:t>
      </w:r>
      <w:r w:rsidR="003A13EF" w:rsidRPr="00BC6BEF">
        <w:rPr>
          <w:bCs/>
          <w:sz w:val="22"/>
          <w:szCs w:val="22"/>
          <w:lang w:val="fi-FI"/>
        </w:rPr>
        <w:t>81000 Podgorica, Crna Gora</w:t>
      </w:r>
    </w:p>
    <w:p w14:paraId="2206508F" w14:textId="2B755837" w:rsidR="00C37FD7" w:rsidRPr="00BC6BEF" w:rsidRDefault="00C37FD7" w:rsidP="006B3996">
      <w:pPr>
        <w:tabs>
          <w:tab w:val="left" w:pos="540"/>
          <w:tab w:val="left" w:pos="569"/>
        </w:tabs>
        <w:jc w:val="both"/>
        <w:rPr>
          <w:bCs/>
          <w:sz w:val="22"/>
          <w:szCs w:val="22"/>
          <w:lang w:val="fi-FI"/>
        </w:rPr>
      </w:pPr>
    </w:p>
    <w:p w14:paraId="4FC5F059" w14:textId="77777777" w:rsidR="00C10538" w:rsidRPr="00BC6BEF" w:rsidRDefault="00C10538" w:rsidP="006B3996">
      <w:pPr>
        <w:tabs>
          <w:tab w:val="left" w:pos="540"/>
          <w:tab w:val="left" w:pos="569"/>
        </w:tabs>
        <w:jc w:val="both"/>
        <w:rPr>
          <w:bCs/>
          <w:sz w:val="22"/>
          <w:szCs w:val="22"/>
          <w:lang w:val="fi-FI"/>
        </w:rPr>
      </w:pPr>
    </w:p>
    <w:p w14:paraId="22065090" w14:textId="6847D828" w:rsidR="0072020E" w:rsidRPr="00BC6BEF" w:rsidRDefault="0072020E" w:rsidP="006B3996">
      <w:pPr>
        <w:tabs>
          <w:tab w:val="left" w:pos="540"/>
          <w:tab w:val="left" w:pos="569"/>
        </w:tabs>
        <w:jc w:val="both"/>
        <w:rPr>
          <w:b/>
          <w:bCs/>
          <w:sz w:val="22"/>
          <w:szCs w:val="22"/>
          <w:lang w:val="pl-PL"/>
        </w:rPr>
      </w:pPr>
      <w:r w:rsidRPr="00BC6BEF">
        <w:rPr>
          <w:b/>
          <w:bCs/>
          <w:sz w:val="22"/>
          <w:szCs w:val="22"/>
          <w:lang w:val="pl-PL"/>
        </w:rPr>
        <w:t xml:space="preserve">8. </w:t>
      </w:r>
      <w:r w:rsidR="00480FB1" w:rsidRPr="00BC6BEF">
        <w:rPr>
          <w:b/>
          <w:bCs/>
          <w:sz w:val="22"/>
          <w:szCs w:val="22"/>
          <w:lang w:val="pl-PL"/>
        </w:rPr>
        <w:tab/>
      </w:r>
      <w:r w:rsidRPr="00BC6BEF">
        <w:rPr>
          <w:b/>
          <w:bCs/>
          <w:sz w:val="22"/>
          <w:szCs w:val="22"/>
          <w:lang w:val="pl-PL"/>
        </w:rPr>
        <w:t>BROJ DOZVOLE</w:t>
      </w:r>
      <w:r w:rsidR="008A6D43" w:rsidRPr="00BC6BEF">
        <w:rPr>
          <w:b/>
          <w:bCs/>
          <w:sz w:val="22"/>
          <w:szCs w:val="22"/>
          <w:lang w:val="pl-PL"/>
        </w:rPr>
        <w:t xml:space="preserve"> ZA STAVLJANJE LIJEKA U PROMET</w:t>
      </w:r>
    </w:p>
    <w:p w14:paraId="273C59E3" w14:textId="77777777" w:rsidR="00ED54AE" w:rsidRPr="00BC6BEF" w:rsidRDefault="00ED54AE" w:rsidP="006B3996">
      <w:pPr>
        <w:tabs>
          <w:tab w:val="left" w:pos="540"/>
          <w:tab w:val="left" w:pos="569"/>
        </w:tabs>
        <w:jc w:val="both"/>
        <w:rPr>
          <w:b/>
          <w:bCs/>
          <w:sz w:val="22"/>
          <w:szCs w:val="22"/>
          <w:lang w:val="pl-PL"/>
        </w:rPr>
      </w:pPr>
    </w:p>
    <w:p w14:paraId="22065091" w14:textId="7A6785B5" w:rsidR="003A13EF" w:rsidRPr="00BC6BEF" w:rsidRDefault="008E1C51" w:rsidP="006B3996">
      <w:pPr>
        <w:pStyle w:val="Header"/>
        <w:tabs>
          <w:tab w:val="left" w:pos="284"/>
        </w:tabs>
        <w:jc w:val="both"/>
        <w:rPr>
          <w:sz w:val="22"/>
          <w:szCs w:val="22"/>
          <w:lang w:val="pl-PL" w:eastAsia="sr-Latn-ME"/>
        </w:rPr>
      </w:pPr>
      <w:r>
        <w:rPr>
          <w:sz w:val="22"/>
          <w:szCs w:val="22"/>
          <w:lang w:val="sl-SI"/>
        </w:rPr>
        <w:t>LAMICTAL, 25</w:t>
      </w:r>
      <w:r w:rsidR="00ED54AE">
        <w:rPr>
          <w:sz w:val="22"/>
          <w:szCs w:val="22"/>
          <w:lang w:val="sl-SI"/>
        </w:rPr>
        <w:t xml:space="preserve"> </w:t>
      </w:r>
      <w:r>
        <w:rPr>
          <w:sz w:val="22"/>
          <w:szCs w:val="22"/>
          <w:lang w:val="sl-SI"/>
        </w:rPr>
        <w:t>mg,</w:t>
      </w:r>
      <w:r w:rsidRPr="008E1C51">
        <w:rPr>
          <w:sz w:val="22"/>
          <w:szCs w:val="22"/>
          <w:lang w:val="sl-SI"/>
        </w:rPr>
        <w:t xml:space="preserve"> </w:t>
      </w:r>
      <w:r>
        <w:rPr>
          <w:sz w:val="22"/>
          <w:szCs w:val="22"/>
          <w:lang w:val="sl-SI"/>
        </w:rPr>
        <w:t xml:space="preserve">tableta,  </w:t>
      </w:r>
      <w:r w:rsidR="003A13EF">
        <w:rPr>
          <w:sz w:val="22"/>
          <w:szCs w:val="22"/>
          <w:lang w:val="sl-SI"/>
        </w:rPr>
        <w:t xml:space="preserve">blister, </w:t>
      </w:r>
      <w:r w:rsidR="000B1529">
        <w:rPr>
          <w:sz w:val="22"/>
          <w:szCs w:val="22"/>
          <w:lang w:val="sl-SI"/>
        </w:rPr>
        <w:t>30 (</w:t>
      </w:r>
      <w:r w:rsidR="003A13EF">
        <w:rPr>
          <w:sz w:val="22"/>
          <w:szCs w:val="22"/>
          <w:lang w:val="sl-SI"/>
        </w:rPr>
        <w:t>3x10</w:t>
      </w:r>
      <w:r w:rsidR="000B1529" w:rsidRPr="00955FDE">
        <w:rPr>
          <w:sz w:val="22"/>
          <w:szCs w:val="22"/>
          <w:lang w:val="sl-SI"/>
        </w:rPr>
        <w:t>) tableta</w:t>
      </w:r>
      <w:r w:rsidR="003A13EF" w:rsidRPr="00955FDE">
        <w:rPr>
          <w:sz w:val="22"/>
          <w:szCs w:val="22"/>
          <w:lang w:val="sl-SI"/>
        </w:rPr>
        <w:t xml:space="preserve">: </w:t>
      </w:r>
      <w:r w:rsidR="00094FEE" w:rsidRPr="00BC6BEF">
        <w:rPr>
          <w:sz w:val="22"/>
          <w:szCs w:val="22"/>
          <w:lang w:val="pl-PL" w:eastAsia="sr-Latn-ME"/>
        </w:rPr>
        <w:t>2030/23/1059 - 1678</w:t>
      </w:r>
    </w:p>
    <w:p w14:paraId="70817B85" w14:textId="56282AA1" w:rsidR="00E0139B" w:rsidRPr="00D97800" w:rsidRDefault="00E0139B" w:rsidP="00D97800">
      <w:pPr>
        <w:pStyle w:val="Header"/>
        <w:tabs>
          <w:tab w:val="left" w:pos="284"/>
        </w:tabs>
        <w:jc w:val="both"/>
        <w:rPr>
          <w:sz w:val="22"/>
          <w:szCs w:val="22"/>
          <w:lang w:val="sl-SI"/>
        </w:rPr>
      </w:pPr>
      <w:r>
        <w:rPr>
          <w:sz w:val="22"/>
          <w:szCs w:val="22"/>
          <w:lang w:val="sl-SI"/>
        </w:rPr>
        <w:t>LAMICTAL</w:t>
      </w:r>
      <w:r w:rsidRPr="00E0139B">
        <w:rPr>
          <w:sz w:val="22"/>
          <w:szCs w:val="22"/>
          <w:lang w:val="sl-SI"/>
        </w:rPr>
        <w:t>, 25 mg, tableta,  blister, 30 (2x15) tableta:</w:t>
      </w:r>
      <w:r>
        <w:rPr>
          <w:sz w:val="22"/>
          <w:szCs w:val="22"/>
          <w:lang w:val="sl-SI"/>
        </w:rPr>
        <w:t xml:space="preserve"> </w:t>
      </w:r>
      <w:r w:rsidR="00D97800" w:rsidRPr="00D97800">
        <w:rPr>
          <w:sz w:val="22"/>
          <w:szCs w:val="22"/>
          <w:lang w:val="sl-SI"/>
        </w:rPr>
        <w:t>2030/24/770 - 82</w:t>
      </w:r>
      <w:r w:rsidR="00D97800">
        <w:rPr>
          <w:sz w:val="22"/>
          <w:szCs w:val="22"/>
          <w:lang w:val="sl-SI"/>
        </w:rPr>
        <w:t xml:space="preserve"> </w:t>
      </w:r>
    </w:p>
    <w:p w14:paraId="22065092" w14:textId="2E17C642" w:rsidR="003A13EF" w:rsidRPr="00BC6BEF" w:rsidRDefault="008E1C51" w:rsidP="006B3996">
      <w:pPr>
        <w:pStyle w:val="Header"/>
        <w:tabs>
          <w:tab w:val="left" w:pos="284"/>
        </w:tabs>
        <w:jc w:val="both"/>
        <w:rPr>
          <w:sz w:val="22"/>
          <w:szCs w:val="22"/>
          <w:lang w:val="pl-PL" w:eastAsia="sr-Latn-ME"/>
        </w:rPr>
      </w:pPr>
      <w:r w:rsidRPr="00955FDE">
        <w:rPr>
          <w:sz w:val="22"/>
          <w:szCs w:val="22"/>
          <w:lang w:val="sl-SI"/>
        </w:rPr>
        <w:t>LAMICTAL, 50</w:t>
      </w:r>
      <w:r w:rsidR="00ED54AE" w:rsidRPr="00955FDE">
        <w:rPr>
          <w:sz w:val="22"/>
          <w:szCs w:val="22"/>
          <w:lang w:val="sl-SI"/>
        </w:rPr>
        <w:t xml:space="preserve"> </w:t>
      </w:r>
      <w:r w:rsidRPr="00955FDE">
        <w:rPr>
          <w:sz w:val="22"/>
          <w:szCs w:val="22"/>
          <w:lang w:val="sl-SI"/>
        </w:rPr>
        <w:t xml:space="preserve">mg, tableta,  </w:t>
      </w:r>
      <w:r w:rsidR="003A13EF" w:rsidRPr="00955FDE">
        <w:rPr>
          <w:sz w:val="22"/>
          <w:szCs w:val="22"/>
          <w:lang w:val="sl-SI"/>
        </w:rPr>
        <w:t xml:space="preserve">blister, </w:t>
      </w:r>
      <w:r w:rsidR="000B1529" w:rsidRPr="00955FDE">
        <w:rPr>
          <w:sz w:val="22"/>
          <w:szCs w:val="22"/>
          <w:lang w:val="sl-SI"/>
        </w:rPr>
        <w:t>30 (3x10) tableta</w:t>
      </w:r>
      <w:r w:rsidR="003A13EF" w:rsidRPr="00955FDE">
        <w:rPr>
          <w:sz w:val="22"/>
          <w:szCs w:val="22"/>
          <w:lang w:val="sl-SI"/>
        </w:rPr>
        <w:t xml:space="preserve">: </w:t>
      </w:r>
      <w:r w:rsidR="00094FEE" w:rsidRPr="00BC6BEF">
        <w:rPr>
          <w:sz w:val="22"/>
          <w:szCs w:val="22"/>
          <w:lang w:val="pl-PL" w:eastAsia="sr-Latn-ME"/>
        </w:rPr>
        <w:t>2030/23/1583 - 1679</w:t>
      </w:r>
    </w:p>
    <w:p w14:paraId="611DAA2A" w14:textId="1011F449" w:rsidR="00E0139B" w:rsidRPr="00080B21" w:rsidRDefault="00E0139B" w:rsidP="00080B21">
      <w:pPr>
        <w:pStyle w:val="Header"/>
        <w:tabs>
          <w:tab w:val="left" w:pos="284"/>
        </w:tabs>
        <w:jc w:val="both"/>
        <w:rPr>
          <w:sz w:val="22"/>
          <w:szCs w:val="22"/>
          <w:lang w:val="sl-SI"/>
        </w:rPr>
      </w:pPr>
      <w:r>
        <w:rPr>
          <w:sz w:val="22"/>
          <w:szCs w:val="22"/>
          <w:lang w:val="sl-SI"/>
        </w:rPr>
        <w:t>LAMICTAL</w:t>
      </w:r>
      <w:r w:rsidRPr="00E0139B">
        <w:rPr>
          <w:sz w:val="22"/>
          <w:szCs w:val="22"/>
          <w:lang w:val="sl-SI"/>
        </w:rPr>
        <w:t>, 50 mg, tableta,  blister, 30 (2x15) tableta:</w:t>
      </w:r>
      <w:r w:rsidR="00080B21">
        <w:rPr>
          <w:sz w:val="22"/>
          <w:szCs w:val="22"/>
          <w:lang w:val="sl-SI"/>
        </w:rPr>
        <w:t xml:space="preserve"> </w:t>
      </w:r>
      <w:r w:rsidR="00080B21" w:rsidRPr="00080B21">
        <w:rPr>
          <w:sz w:val="22"/>
          <w:szCs w:val="22"/>
          <w:lang w:val="sl-SI"/>
        </w:rPr>
        <w:t>2030/24/777 - 83</w:t>
      </w:r>
    </w:p>
    <w:p w14:paraId="22065093" w14:textId="79D080DB" w:rsidR="003A13EF" w:rsidRPr="00BC6BEF" w:rsidRDefault="008E1C51" w:rsidP="006B3996">
      <w:pPr>
        <w:pStyle w:val="Header"/>
        <w:tabs>
          <w:tab w:val="left" w:pos="284"/>
        </w:tabs>
        <w:jc w:val="both"/>
        <w:rPr>
          <w:sz w:val="22"/>
          <w:szCs w:val="22"/>
          <w:lang w:val="pl-PL" w:eastAsia="sr-Latn-ME"/>
        </w:rPr>
      </w:pPr>
      <w:r w:rsidRPr="00955FDE">
        <w:rPr>
          <w:sz w:val="22"/>
          <w:szCs w:val="22"/>
          <w:lang w:val="sl-SI"/>
        </w:rPr>
        <w:t>LAMICTAL, 100</w:t>
      </w:r>
      <w:r w:rsidR="00ED54AE" w:rsidRPr="00955FDE">
        <w:rPr>
          <w:sz w:val="22"/>
          <w:szCs w:val="22"/>
          <w:lang w:val="sl-SI"/>
        </w:rPr>
        <w:t xml:space="preserve"> </w:t>
      </w:r>
      <w:r w:rsidRPr="00955FDE">
        <w:rPr>
          <w:sz w:val="22"/>
          <w:szCs w:val="22"/>
          <w:lang w:val="sl-SI"/>
        </w:rPr>
        <w:t>mg, tableta</w:t>
      </w:r>
      <w:r w:rsidR="003A13EF" w:rsidRPr="00955FDE">
        <w:rPr>
          <w:sz w:val="22"/>
          <w:szCs w:val="22"/>
          <w:lang w:val="sl-SI"/>
        </w:rPr>
        <w:t xml:space="preserve">, blister, </w:t>
      </w:r>
      <w:r w:rsidR="000B1529" w:rsidRPr="00955FDE">
        <w:rPr>
          <w:sz w:val="22"/>
          <w:szCs w:val="22"/>
          <w:lang w:val="sl-SI"/>
        </w:rPr>
        <w:t>30 (3x10) tableta</w:t>
      </w:r>
      <w:r w:rsidR="003A13EF" w:rsidRPr="00955FDE">
        <w:rPr>
          <w:sz w:val="22"/>
          <w:szCs w:val="22"/>
          <w:lang w:val="sl-SI"/>
        </w:rPr>
        <w:t xml:space="preserve">: </w:t>
      </w:r>
      <w:r w:rsidR="00094FEE" w:rsidRPr="00BC6BEF">
        <w:rPr>
          <w:sz w:val="22"/>
          <w:szCs w:val="22"/>
          <w:lang w:val="pl-PL" w:eastAsia="sr-Latn-ME"/>
        </w:rPr>
        <w:t>2030/23/1525 - 1680</w:t>
      </w:r>
    </w:p>
    <w:p w14:paraId="4EEC4639" w14:textId="0C7F768C" w:rsidR="00E0139B" w:rsidRPr="004D6390" w:rsidRDefault="00E0139B" w:rsidP="004D6390">
      <w:pPr>
        <w:pStyle w:val="Header"/>
        <w:tabs>
          <w:tab w:val="left" w:pos="284"/>
        </w:tabs>
        <w:jc w:val="both"/>
        <w:rPr>
          <w:sz w:val="22"/>
          <w:szCs w:val="22"/>
          <w:lang w:val="sl-SI"/>
        </w:rPr>
      </w:pPr>
      <w:r>
        <w:rPr>
          <w:sz w:val="22"/>
          <w:szCs w:val="22"/>
          <w:lang w:val="sl-SI"/>
        </w:rPr>
        <w:t>LAMICTAL</w:t>
      </w:r>
      <w:r w:rsidRPr="00E0139B">
        <w:rPr>
          <w:sz w:val="22"/>
          <w:szCs w:val="22"/>
          <w:lang w:val="sl-SI"/>
        </w:rPr>
        <w:t>, 100 mg, tableta, blister, 30 (2x15) tableta:</w:t>
      </w:r>
      <w:r w:rsidR="004D6390">
        <w:rPr>
          <w:sz w:val="22"/>
          <w:szCs w:val="22"/>
          <w:lang w:val="sl-SI"/>
        </w:rPr>
        <w:t xml:space="preserve"> </w:t>
      </w:r>
      <w:r w:rsidR="004D6390" w:rsidRPr="004D6390">
        <w:rPr>
          <w:sz w:val="22"/>
          <w:szCs w:val="22"/>
          <w:lang w:val="sl-SI"/>
        </w:rPr>
        <w:t>2030/24/776 - 84</w:t>
      </w:r>
    </w:p>
    <w:p w14:paraId="22065094" w14:textId="62969251" w:rsidR="00F45F77" w:rsidRPr="00BC6BEF" w:rsidRDefault="00F45F77" w:rsidP="006B3996">
      <w:pPr>
        <w:tabs>
          <w:tab w:val="left" w:pos="540"/>
          <w:tab w:val="left" w:pos="569"/>
        </w:tabs>
        <w:jc w:val="both"/>
        <w:rPr>
          <w:bCs/>
          <w:sz w:val="22"/>
          <w:szCs w:val="22"/>
          <w:lang w:val="pl-PL"/>
        </w:rPr>
      </w:pPr>
    </w:p>
    <w:p w14:paraId="45781739" w14:textId="77777777" w:rsidR="004D4709" w:rsidRPr="00BC6BEF" w:rsidRDefault="004D4709" w:rsidP="006B3996">
      <w:pPr>
        <w:tabs>
          <w:tab w:val="left" w:pos="540"/>
          <w:tab w:val="left" w:pos="569"/>
        </w:tabs>
        <w:jc w:val="both"/>
        <w:rPr>
          <w:bCs/>
          <w:sz w:val="22"/>
          <w:szCs w:val="22"/>
          <w:lang w:val="pl-PL"/>
        </w:rPr>
      </w:pPr>
    </w:p>
    <w:p w14:paraId="22065095" w14:textId="13A111B1" w:rsidR="0072020E" w:rsidRPr="00BC6BEF" w:rsidRDefault="0072020E" w:rsidP="006B3996">
      <w:pPr>
        <w:tabs>
          <w:tab w:val="left" w:pos="540"/>
          <w:tab w:val="left" w:pos="569"/>
        </w:tabs>
        <w:jc w:val="both"/>
        <w:rPr>
          <w:b/>
          <w:bCs/>
          <w:sz w:val="22"/>
          <w:szCs w:val="22"/>
          <w:lang w:val="pl-PL"/>
        </w:rPr>
      </w:pPr>
      <w:r w:rsidRPr="00BC6BEF">
        <w:rPr>
          <w:b/>
          <w:bCs/>
          <w:sz w:val="22"/>
          <w:szCs w:val="22"/>
          <w:lang w:val="pl-PL"/>
        </w:rPr>
        <w:t xml:space="preserve">9. </w:t>
      </w:r>
      <w:r w:rsidR="00480FB1" w:rsidRPr="00BC6BEF">
        <w:rPr>
          <w:b/>
          <w:bCs/>
          <w:sz w:val="22"/>
          <w:szCs w:val="22"/>
          <w:lang w:val="pl-PL"/>
        </w:rPr>
        <w:tab/>
      </w:r>
      <w:r w:rsidRPr="00BC6BEF">
        <w:rPr>
          <w:b/>
          <w:bCs/>
          <w:sz w:val="22"/>
          <w:szCs w:val="22"/>
          <w:lang w:val="pl-PL"/>
        </w:rPr>
        <w:t xml:space="preserve">DATUM </w:t>
      </w:r>
      <w:r w:rsidR="00C05DF8" w:rsidRPr="00BC6BEF">
        <w:rPr>
          <w:b/>
          <w:bCs/>
          <w:sz w:val="22"/>
          <w:szCs w:val="22"/>
          <w:lang w:val="pl-PL"/>
        </w:rPr>
        <w:t xml:space="preserve">PRVE </w:t>
      </w:r>
      <w:r w:rsidR="008A6D43" w:rsidRPr="00BC6BEF">
        <w:rPr>
          <w:b/>
          <w:bCs/>
          <w:sz w:val="22"/>
          <w:szCs w:val="22"/>
          <w:lang w:val="pl-PL"/>
        </w:rPr>
        <w:t>DOZVOLE</w:t>
      </w:r>
      <w:r w:rsidR="00C05DF8" w:rsidRPr="00BC6BEF">
        <w:rPr>
          <w:b/>
          <w:bCs/>
          <w:sz w:val="22"/>
          <w:szCs w:val="22"/>
          <w:lang w:val="pl-PL"/>
        </w:rPr>
        <w:t>/OBNOVE DOZVOLE</w:t>
      </w:r>
      <w:r w:rsidR="008A6D43" w:rsidRPr="00BC6BEF">
        <w:rPr>
          <w:b/>
          <w:bCs/>
          <w:sz w:val="22"/>
          <w:szCs w:val="22"/>
          <w:lang w:val="pl-PL"/>
        </w:rPr>
        <w:t xml:space="preserve"> ZA STAVLJANJE LIJEKA U PROMET</w:t>
      </w:r>
    </w:p>
    <w:p w14:paraId="25306F78" w14:textId="77777777" w:rsidR="00ED54AE" w:rsidRPr="00BC6BEF" w:rsidRDefault="00ED54AE" w:rsidP="006B3996">
      <w:pPr>
        <w:tabs>
          <w:tab w:val="left" w:pos="540"/>
          <w:tab w:val="left" w:pos="569"/>
        </w:tabs>
        <w:jc w:val="both"/>
        <w:rPr>
          <w:b/>
          <w:bCs/>
          <w:sz w:val="22"/>
          <w:szCs w:val="22"/>
          <w:lang w:val="pl-PL"/>
        </w:rPr>
      </w:pPr>
    </w:p>
    <w:p w14:paraId="6CD1C950" w14:textId="3DB96C35" w:rsidR="00E0139B" w:rsidRPr="00E0139B" w:rsidRDefault="00E0139B" w:rsidP="006B3996">
      <w:pPr>
        <w:tabs>
          <w:tab w:val="left" w:pos="540"/>
          <w:tab w:val="left" w:pos="569"/>
        </w:tabs>
        <w:jc w:val="both"/>
        <w:rPr>
          <w:i/>
          <w:sz w:val="22"/>
          <w:szCs w:val="22"/>
          <w:u w:val="single"/>
          <w:lang w:val="sl-SI"/>
        </w:rPr>
      </w:pPr>
      <w:bookmarkStart w:id="1" w:name="_Hlk53791538"/>
      <w:r w:rsidRPr="00E0139B">
        <w:rPr>
          <w:i/>
          <w:sz w:val="22"/>
          <w:szCs w:val="22"/>
          <w:u w:val="single"/>
          <w:lang w:val="sl-SI"/>
        </w:rPr>
        <w:t>LAMICTAL, 25 mg, tableta,  blister, 30 (3x10) tableta</w:t>
      </w:r>
    </w:p>
    <w:p w14:paraId="0D79103D" w14:textId="5778EF44" w:rsidR="00E0139B" w:rsidRPr="00E0139B" w:rsidRDefault="00E0139B" w:rsidP="00E0139B">
      <w:pPr>
        <w:tabs>
          <w:tab w:val="left" w:pos="540"/>
          <w:tab w:val="left" w:pos="569"/>
        </w:tabs>
        <w:jc w:val="both"/>
        <w:rPr>
          <w:i/>
          <w:sz w:val="22"/>
          <w:szCs w:val="22"/>
          <w:u w:val="single"/>
          <w:lang w:val="sl-SI"/>
        </w:rPr>
      </w:pPr>
      <w:r w:rsidRPr="00E0139B">
        <w:rPr>
          <w:i/>
          <w:sz w:val="22"/>
          <w:szCs w:val="22"/>
          <w:u w:val="single"/>
          <w:lang w:val="sl-SI"/>
        </w:rPr>
        <w:t>LAMICTAL, 50 mg, tableta,  blister, 30 (3x10) tableta</w:t>
      </w:r>
    </w:p>
    <w:p w14:paraId="557FF49E" w14:textId="7A38F4EE" w:rsidR="00E0139B" w:rsidRPr="00E0139B" w:rsidRDefault="00E0139B" w:rsidP="00E0139B">
      <w:pPr>
        <w:tabs>
          <w:tab w:val="left" w:pos="540"/>
          <w:tab w:val="left" w:pos="569"/>
        </w:tabs>
        <w:jc w:val="both"/>
        <w:rPr>
          <w:i/>
          <w:sz w:val="22"/>
          <w:szCs w:val="22"/>
          <w:u w:val="single"/>
          <w:lang w:val="sl-SI"/>
        </w:rPr>
      </w:pPr>
      <w:r w:rsidRPr="00E0139B">
        <w:rPr>
          <w:i/>
          <w:sz w:val="22"/>
          <w:szCs w:val="22"/>
          <w:u w:val="single"/>
          <w:lang w:val="sl-SI"/>
        </w:rPr>
        <w:t>LAMICTAL, 100 mg, tableta, blister, 30 (3x10) tableta</w:t>
      </w:r>
    </w:p>
    <w:p w14:paraId="22065096" w14:textId="3023E9EC" w:rsidR="003A13EF" w:rsidRPr="00DF1AAB" w:rsidRDefault="00385991" w:rsidP="006B3996">
      <w:pPr>
        <w:tabs>
          <w:tab w:val="left" w:pos="540"/>
          <w:tab w:val="left" w:pos="569"/>
        </w:tabs>
        <w:jc w:val="both"/>
        <w:rPr>
          <w:bCs/>
          <w:sz w:val="22"/>
          <w:szCs w:val="22"/>
          <w:lang w:val="sr-Latn-ME"/>
        </w:rPr>
      </w:pPr>
      <w:r>
        <w:rPr>
          <w:sz w:val="22"/>
          <w:szCs w:val="22"/>
          <w:lang w:val="sl-SI"/>
        </w:rPr>
        <w:t xml:space="preserve">Datum prve dozvole: </w:t>
      </w:r>
      <w:bookmarkEnd w:id="1"/>
      <w:r w:rsidR="003A13EF" w:rsidRPr="00DF1AAB">
        <w:rPr>
          <w:bCs/>
          <w:sz w:val="22"/>
          <w:szCs w:val="22"/>
          <w:lang w:val="sr-Latn-ME"/>
        </w:rPr>
        <w:t>15.09.2010.</w:t>
      </w:r>
      <w:r w:rsidR="00ED41B5" w:rsidRPr="00DF1AAB">
        <w:rPr>
          <w:bCs/>
          <w:sz w:val="22"/>
          <w:szCs w:val="22"/>
          <w:lang w:val="sr-Latn-ME"/>
        </w:rPr>
        <w:t xml:space="preserve"> </w:t>
      </w:r>
      <w:r w:rsidR="003A13EF" w:rsidRPr="00DF1AAB">
        <w:rPr>
          <w:bCs/>
          <w:sz w:val="22"/>
          <w:szCs w:val="22"/>
          <w:lang w:val="sr-Latn-ME"/>
        </w:rPr>
        <w:t>godine</w:t>
      </w:r>
    </w:p>
    <w:p w14:paraId="40A65BAE" w14:textId="397A0A84" w:rsidR="00385991" w:rsidRDefault="00385991" w:rsidP="006B3996">
      <w:pPr>
        <w:tabs>
          <w:tab w:val="left" w:pos="540"/>
          <w:tab w:val="left" w:pos="569"/>
        </w:tabs>
        <w:jc w:val="both"/>
        <w:rPr>
          <w:bCs/>
          <w:sz w:val="22"/>
          <w:szCs w:val="22"/>
          <w:lang w:val="sr-Latn-ME"/>
        </w:rPr>
      </w:pPr>
      <w:r w:rsidRPr="00DF1AAB">
        <w:rPr>
          <w:bCs/>
          <w:sz w:val="22"/>
          <w:szCs w:val="22"/>
          <w:lang w:val="sr-Latn-ME"/>
        </w:rPr>
        <w:t xml:space="preserve">Datum poslednje obnove dozvole: </w:t>
      </w:r>
      <w:r w:rsidR="00094FEE" w:rsidRPr="00DF1AAB">
        <w:rPr>
          <w:bCs/>
          <w:sz w:val="22"/>
          <w:szCs w:val="22"/>
          <w:lang w:val="sr-Latn-ME"/>
        </w:rPr>
        <w:t>19.04.2023. godine</w:t>
      </w:r>
    </w:p>
    <w:p w14:paraId="19F23303" w14:textId="08E8106B" w:rsidR="00E0139B" w:rsidRDefault="00E0139B" w:rsidP="006B3996">
      <w:pPr>
        <w:tabs>
          <w:tab w:val="left" w:pos="540"/>
          <w:tab w:val="left" w:pos="569"/>
        </w:tabs>
        <w:jc w:val="both"/>
        <w:rPr>
          <w:bCs/>
          <w:sz w:val="22"/>
          <w:szCs w:val="22"/>
          <w:lang w:val="sr-Latn-ME"/>
        </w:rPr>
      </w:pPr>
    </w:p>
    <w:p w14:paraId="49CA9DF4" w14:textId="77CCF071" w:rsidR="00E0139B" w:rsidRPr="00E0139B" w:rsidRDefault="00E0139B" w:rsidP="006B3996">
      <w:pPr>
        <w:tabs>
          <w:tab w:val="left" w:pos="540"/>
          <w:tab w:val="left" w:pos="569"/>
        </w:tabs>
        <w:jc w:val="both"/>
        <w:rPr>
          <w:i/>
          <w:sz w:val="22"/>
          <w:szCs w:val="22"/>
          <w:u w:val="single"/>
          <w:lang w:val="sl-SI"/>
        </w:rPr>
      </w:pPr>
      <w:r w:rsidRPr="00E0139B">
        <w:rPr>
          <w:i/>
          <w:sz w:val="22"/>
          <w:szCs w:val="22"/>
          <w:u w:val="single"/>
          <w:lang w:val="sl-SI"/>
        </w:rPr>
        <w:t>LAMICTAL, 25 mg, tableta,  blister, 30 (2x15) tableta</w:t>
      </w:r>
    </w:p>
    <w:p w14:paraId="0C310661" w14:textId="4A1DE15B" w:rsidR="00E0139B" w:rsidRPr="00E0139B" w:rsidRDefault="00E0139B" w:rsidP="006B3996">
      <w:pPr>
        <w:tabs>
          <w:tab w:val="left" w:pos="540"/>
          <w:tab w:val="left" w:pos="569"/>
        </w:tabs>
        <w:jc w:val="both"/>
        <w:rPr>
          <w:i/>
          <w:sz w:val="22"/>
          <w:szCs w:val="22"/>
          <w:u w:val="single"/>
          <w:lang w:val="sr-Latn-ME"/>
        </w:rPr>
      </w:pPr>
      <w:r w:rsidRPr="00E0139B">
        <w:rPr>
          <w:i/>
          <w:sz w:val="22"/>
          <w:szCs w:val="22"/>
          <w:u w:val="single"/>
          <w:lang w:val="sl-SI"/>
        </w:rPr>
        <w:t>LAMICTAL, 50 mg, tableta,  blister, 30 (2x15) tableta</w:t>
      </w:r>
    </w:p>
    <w:p w14:paraId="22065099" w14:textId="7229D576" w:rsidR="00836B35" w:rsidRDefault="00E0139B" w:rsidP="006B3996">
      <w:pPr>
        <w:tabs>
          <w:tab w:val="left" w:pos="540"/>
          <w:tab w:val="left" w:pos="569"/>
        </w:tabs>
        <w:jc w:val="both"/>
        <w:rPr>
          <w:i/>
          <w:sz w:val="22"/>
          <w:szCs w:val="22"/>
          <w:u w:val="single"/>
          <w:lang w:val="sl-SI"/>
        </w:rPr>
      </w:pPr>
      <w:r w:rsidRPr="00E0139B">
        <w:rPr>
          <w:i/>
          <w:sz w:val="22"/>
          <w:szCs w:val="22"/>
          <w:u w:val="single"/>
          <w:lang w:val="sl-SI"/>
        </w:rPr>
        <w:t>LAMICTAL, 100 mg, tableta, blister, 30 (2x15) tableta</w:t>
      </w:r>
    </w:p>
    <w:p w14:paraId="49EF0A60" w14:textId="0C0C67FC" w:rsidR="00E0139B" w:rsidRPr="00BC6BEF" w:rsidRDefault="00E0139B" w:rsidP="00E0139B">
      <w:pPr>
        <w:tabs>
          <w:tab w:val="left" w:pos="540"/>
          <w:tab w:val="left" w:pos="569"/>
        </w:tabs>
        <w:jc w:val="both"/>
        <w:rPr>
          <w:bCs/>
          <w:sz w:val="22"/>
          <w:szCs w:val="22"/>
          <w:lang w:val="sl-SI"/>
        </w:rPr>
      </w:pPr>
      <w:r>
        <w:rPr>
          <w:sz w:val="22"/>
          <w:szCs w:val="22"/>
          <w:lang w:val="sl-SI"/>
        </w:rPr>
        <w:t>Datum prve dozvole:</w:t>
      </w:r>
      <w:r w:rsidR="00D97800">
        <w:rPr>
          <w:sz w:val="22"/>
          <w:szCs w:val="22"/>
          <w:lang w:val="sl-SI"/>
        </w:rPr>
        <w:t xml:space="preserve"> 16.02.2024. godine</w:t>
      </w:r>
    </w:p>
    <w:p w14:paraId="13E3FE98" w14:textId="0F1EE956" w:rsidR="00F57927" w:rsidRPr="00BC6BEF" w:rsidRDefault="00F57927" w:rsidP="006B3996">
      <w:pPr>
        <w:tabs>
          <w:tab w:val="left" w:pos="540"/>
          <w:tab w:val="left" w:pos="569"/>
        </w:tabs>
        <w:jc w:val="both"/>
        <w:rPr>
          <w:bCs/>
          <w:sz w:val="22"/>
          <w:szCs w:val="22"/>
          <w:lang w:val="sl-SI"/>
        </w:rPr>
      </w:pPr>
    </w:p>
    <w:p w14:paraId="2FEA423D" w14:textId="77777777" w:rsidR="00E0139B" w:rsidRPr="00BC6BEF" w:rsidRDefault="00E0139B" w:rsidP="006B3996">
      <w:pPr>
        <w:tabs>
          <w:tab w:val="left" w:pos="540"/>
          <w:tab w:val="left" w:pos="569"/>
        </w:tabs>
        <w:jc w:val="both"/>
        <w:rPr>
          <w:bCs/>
          <w:sz w:val="22"/>
          <w:szCs w:val="22"/>
          <w:lang w:val="sl-SI"/>
        </w:rPr>
      </w:pPr>
    </w:p>
    <w:p w14:paraId="4E71CB54" w14:textId="77777777" w:rsidR="002047BA" w:rsidRPr="00BC6BEF" w:rsidRDefault="0072020E" w:rsidP="006B3996">
      <w:pPr>
        <w:tabs>
          <w:tab w:val="left" w:pos="540"/>
          <w:tab w:val="left" w:pos="569"/>
        </w:tabs>
        <w:ind w:left="540" w:hanging="540"/>
        <w:jc w:val="both"/>
        <w:rPr>
          <w:bCs/>
          <w:sz w:val="22"/>
          <w:szCs w:val="22"/>
          <w:lang w:val="sl-SI"/>
        </w:rPr>
      </w:pPr>
      <w:r w:rsidRPr="00BC6BEF">
        <w:rPr>
          <w:b/>
          <w:bCs/>
          <w:sz w:val="22"/>
          <w:szCs w:val="22"/>
          <w:lang w:val="sl-SI"/>
        </w:rPr>
        <w:t xml:space="preserve">10. </w:t>
      </w:r>
      <w:r w:rsidR="00480FB1" w:rsidRPr="00BC6BEF">
        <w:rPr>
          <w:b/>
          <w:bCs/>
          <w:sz w:val="22"/>
          <w:szCs w:val="22"/>
          <w:lang w:val="sl-SI"/>
        </w:rPr>
        <w:tab/>
      </w:r>
      <w:r w:rsidR="002846DB" w:rsidRPr="00BC6BEF">
        <w:rPr>
          <w:b/>
          <w:bCs/>
          <w:sz w:val="22"/>
          <w:szCs w:val="22"/>
          <w:lang w:val="sl-SI"/>
        </w:rPr>
        <w:t>D</w:t>
      </w:r>
      <w:r w:rsidR="00EC2532" w:rsidRPr="00BC6BEF">
        <w:rPr>
          <w:b/>
          <w:bCs/>
          <w:sz w:val="22"/>
          <w:szCs w:val="22"/>
          <w:lang w:val="sl-SI"/>
        </w:rPr>
        <w:t xml:space="preserve">ATUM REVIZIJE TEKSTA </w:t>
      </w:r>
    </w:p>
    <w:p w14:paraId="5F170F51" w14:textId="618F803A" w:rsidR="00C10538" w:rsidRDefault="00C10538" w:rsidP="006B3996">
      <w:pPr>
        <w:tabs>
          <w:tab w:val="left" w:pos="540"/>
          <w:tab w:val="left" w:pos="569"/>
        </w:tabs>
        <w:jc w:val="both"/>
        <w:rPr>
          <w:bCs/>
          <w:sz w:val="22"/>
          <w:szCs w:val="22"/>
          <w:lang w:val="sr-Latn-ME"/>
        </w:rPr>
      </w:pPr>
    </w:p>
    <w:p w14:paraId="59371B9E" w14:textId="6DA6E372" w:rsidR="006C5B1D" w:rsidRPr="00F922DF" w:rsidRDefault="00C04A36" w:rsidP="006B3996">
      <w:pPr>
        <w:tabs>
          <w:tab w:val="left" w:pos="540"/>
          <w:tab w:val="left" w:pos="569"/>
        </w:tabs>
        <w:jc w:val="both"/>
        <w:rPr>
          <w:bCs/>
          <w:sz w:val="22"/>
          <w:szCs w:val="22"/>
          <w:lang w:val="sr-Latn-ME"/>
        </w:rPr>
      </w:pPr>
      <w:r>
        <w:rPr>
          <w:bCs/>
          <w:sz w:val="22"/>
          <w:szCs w:val="22"/>
          <w:lang w:val="sr-Latn-ME"/>
        </w:rPr>
        <w:t>April</w:t>
      </w:r>
      <w:bookmarkStart w:id="2" w:name="_GoBack"/>
      <w:bookmarkEnd w:id="2"/>
      <w:r w:rsidR="00CF3CD8">
        <w:rPr>
          <w:bCs/>
          <w:sz w:val="22"/>
          <w:szCs w:val="22"/>
          <w:lang w:val="sr-Latn-ME"/>
        </w:rPr>
        <w:t>, 2025. godine</w:t>
      </w:r>
    </w:p>
    <w:sectPr w:rsidR="006C5B1D" w:rsidRPr="00F922DF" w:rsidSect="00EF3B86">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E3928" w14:textId="77777777" w:rsidR="004F332E" w:rsidRDefault="004F332E">
      <w:r>
        <w:separator/>
      </w:r>
    </w:p>
  </w:endnote>
  <w:endnote w:type="continuationSeparator" w:id="0">
    <w:p w14:paraId="73EC4837" w14:textId="77777777" w:rsidR="004F332E" w:rsidRDefault="004F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650A4" w14:textId="1C7D9057" w:rsidR="008A7AAB" w:rsidRPr="00B23F69" w:rsidRDefault="008A7AA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04A36">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04A36">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FD80" w14:textId="77777777" w:rsidR="004F332E" w:rsidRDefault="004F332E">
      <w:r>
        <w:separator/>
      </w:r>
    </w:p>
  </w:footnote>
  <w:footnote w:type="continuationSeparator" w:id="0">
    <w:p w14:paraId="614F08EC" w14:textId="77777777" w:rsidR="004F332E" w:rsidRDefault="004F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4.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EF09EC"/>
    <w:multiLevelType w:val="hybridMultilevel"/>
    <w:tmpl w:val="5CAEE30C"/>
    <w:lvl w:ilvl="0" w:tplc="081A000F">
      <w:start w:val="2"/>
      <w:numFmt w:val="decimal"/>
      <w:lvlText w:val="%1."/>
      <w:lvlJc w:val="left"/>
      <w:pPr>
        <w:ind w:left="720" w:hanging="360"/>
      </w:pPr>
      <w:rPr>
        <w:b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EE469FD"/>
    <w:multiLevelType w:val="hybridMultilevel"/>
    <w:tmpl w:val="5F6404EE"/>
    <w:lvl w:ilvl="0" w:tplc="B0121C4E">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D204CEB"/>
    <w:multiLevelType w:val="hybridMultilevel"/>
    <w:tmpl w:val="28DE1ACC"/>
    <w:lvl w:ilvl="0" w:tplc="0D5C0874">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3"/>
  </w:num>
  <w:num w:numId="11">
    <w:abstractNumId w:val="6"/>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880"/>
    <w:rsid w:val="00006200"/>
    <w:rsid w:val="00012914"/>
    <w:rsid w:val="000176CA"/>
    <w:rsid w:val="00022E84"/>
    <w:rsid w:val="00031EA3"/>
    <w:rsid w:val="00036FA0"/>
    <w:rsid w:val="0003793F"/>
    <w:rsid w:val="00037F2F"/>
    <w:rsid w:val="00044F33"/>
    <w:rsid w:val="000457C7"/>
    <w:rsid w:val="000533BB"/>
    <w:rsid w:val="00057B8F"/>
    <w:rsid w:val="00057E35"/>
    <w:rsid w:val="00061D25"/>
    <w:rsid w:val="000742FB"/>
    <w:rsid w:val="00076726"/>
    <w:rsid w:val="00080303"/>
    <w:rsid w:val="00080960"/>
    <w:rsid w:val="00080B21"/>
    <w:rsid w:val="00084618"/>
    <w:rsid w:val="00094FEE"/>
    <w:rsid w:val="000A3F58"/>
    <w:rsid w:val="000B1529"/>
    <w:rsid w:val="000C3712"/>
    <w:rsid w:val="000C742E"/>
    <w:rsid w:val="000D18BF"/>
    <w:rsid w:val="000D2343"/>
    <w:rsid w:val="000D24FA"/>
    <w:rsid w:val="000D2563"/>
    <w:rsid w:val="000D2EBD"/>
    <w:rsid w:val="000D3449"/>
    <w:rsid w:val="000D425A"/>
    <w:rsid w:val="000D601D"/>
    <w:rsid w:val="000D60CC"/>
    <w:rsid w:val="000E2084"/>
    <w:rsid w:val="000E445B"/>
    <w:rsid w:val="000E5355"/>
    <w:rsid w:val="000E6F55"/>
    <w:rsid w:val="000F77FA"/>
    <w:rsid w:val="00104528"/>
    <w:rsid w:val="001079E0"/>
    <w:rsid w:val="00107BF7"/>
    <w:rsid w:val="00126F53"/>
    <w:rsid w:val="00144BE4"/>
    <w:rsid w:val="00145632"/>
    <w:rsid w:val="0014766D"/>
    <w:rsid w:val="00150CDA"/>
    <w:rsid w:val="001514F3"/>
    <w:rsid w:val="001536CC"/>
    <w:rsid w:val="00160149"/>
    <w:rsid w:val="0017217D"/>
    <w:rsid w:val="001737ED"/>
    <w:rsid w:val="00180F77"/>
    <w:rsid w:val="00183ACF"/>
    <w:rsid w:val="00184F27"/>
    <w:rsid w:val="00187CC0"/>
    <w:rsid w:val="00193FE0"/>
    <w:rsid w:val="001A3FBA"/>
    <w:rsid w:val="001A4081"/>
    <w:rsid w:val="001A5518"/>
    <w:rsid w:val="001B1C6A"/>
    <w:rsid w:val="001C1263"/>
    <w:rsid w:val="001C1417"/>
    <w:rsid w:val="001C15EC"/>
    <w:rsid w:val="001D5E53"/>
    <w:rsid w:val="001D5F0F"/>
    <w:rsid w:val="001D7981"/>
    <w:rsid w:val="001E390B"/>
    <w:rsid w:val="001F42FB"/>
    <w:rsid w:val="001F719A"/>
    <w:rsid w:val="00201D9C"/>
    <w:rsid w:val="002031B3"/>
    <w:rsid w:val="002047BA"/>
    <w:rsid w:val="00205428"/>
    <w:rsid w:val="00206F03"/>
    <w:rsid w:val="00210DAB"/>
    <w:rsid w:val="00215931"/>
    <w:rsid w:val="00222B13"/>
    <w:rsid w:val="00226426"/>
    <w:rsid w:val="00227BDB"/>
    <w:rsid w:val="0023097D"/>
    <w:rsid w:val="00231CE2"/>
    <w:rsid w:val="00234CB1"/>
    <w:rsid w:val="002352F8"/>
    <w:rsid w:val="002416F5"/>
    <w:rsid w:val="00250DEC"/>
    <w:rsid w:val="002510A5"/>
    <w:rsid w:val="00253550"/>
    <w:rsid w:val="00254A0A"/>
    <w:rsid w:val="00255657"/>
    <w:rsid w:val="00266046"/>
    <w:rsid w:val="00266C46"/>
    <w:rsid w:val="00271360"/>
    <w:rsid w:val="00273433"/>
    <w:rsid w:val="00274697"/>
    <w:rsid w:val="00275F90"/>
    <w:rsid w:val="00276452"/>
    <w:rsid w:val="00282A8C"/>
    <w:rsid w:val="002846DB"/>
    <w:rsid w:val="00284CCD"/>
    <w:rsid w:val="00292561"/>
    <w:rsid w:val="00292767"/>
    <w:rsid w:val="002A120D"/>
    <w:rsid w:val="002B009A"/>
    <w:rsid w:val="002B09D8"/>
    <w:rsid w:val="002B181A"/>
    <w:rsid w:val="002B36E8"/>
    <w:rsid w:val="002B435B"/>
    <w:rsid w:val="002C6637"/>
    <w:rsid w:val="002D1D49"/>
    <w:rsid w:val="002D7CCD"/>
    <w:rsid w:val="002E0135"/>
    <w:rsid w:val="002E37A5"/>
    <w:rsid w:val="002E7CED"/>
    <w:rsid w:val="002F0417"/>
    <w:rsid w:val="00301292"/>
    <w:rsid w:val="00310F03"/>
    <w:rsid w:val="0031182A"/>
    <w:rsid w:val="003247D2"/>
    <w:rsid w:val="003406ED"/>
    <w:rsid w:val="00341711"/>
    <w:rsid w:val="003445C1"/>
    <w:rsid w:val="00353D7B"/>
    <w:rsid w:val="00355B61"/>
    <w:rsid w:val="00361F2E"/>
    <w:rsid w:val="00362686"/>
    <w:rsid w:val="00363CD2"/>
    <w:rsid w:val="00371510"/>
    <w:rsid w:val="00380C0A"/>
    <w:rsid w:val="00385991"/>
    <w:rsid w:val="0038628D"/>
    <w:rsid w:val="00391680"/>
    <w:rsid w:val="00396DFD"/>
    <w:rsid w:val="003A13EF"/>
    <w:rsid w:val="003A3C2E"/>
    <w:rsid w:val="003A7059"/>
    <w:rsid w:val="003B4D02"/>
    <w:rsid w:val="003B7A36"/>
    <w:rsid w:val="003C17AB"/>
    <w:rsid w:val="003C6B08"/>
    <w:rsid w:val="003C7823"/>
    <w:rsid w:val="003E1079"/>
    <w:rsid w:val="003E1DCC"/>
    <w:rsid w:val="003F300A"/>
    <w:rsid w:val="003F55F4"/>
    <w:rsid w:val="003F6A59"/>
    <w:rsid w:val="004023C4"/>
    <w:rsid w:val="004065C8"/>
    <w:rsid w:val="00411B4B"/>
    <w:rsid w:val="0041401C"/>
    <w:rsid w:val="00415BEE"/>
    <w:rsid w:val="00426390"/>
    <w:rsid w:val="00427F85"/>
    <w:rsid w:val="0043406D"/>
    <w:rsid w:val="00434D2B"/>
    <w:rsid w:val="00436F42"/>
    <w:rsid w:val="004378B4"/>
    <w:rsid w:val="00444787"/>
    <w:rsid w:val="00446867"/>
    <w:rsid w:val="00451314"/>
    <w:rsid w:val="004513A3"/>
    <w:rsid w:val="00452766"/>
    <w:rsid w:val="00452E9D"/>
    <w:rsid w:val="004534C7"/>
    <w:rsid w:val="00456389"/>
    <w:rsid w:val="00462C9E"/>
    <w:rsid w:val="004671AA"/>
    <w:rsid w:val="00467B37"/>
    <w:rsid w:val="00476145"/>
    <w:rsid w:val="00480FB1"/>
    <w:rsid w:val="00482916"/>
    <w:rsid w:val="00483928"/>
    <w:rsid w:val="0048399F"/>
    <w:rsid w:val="004901FF"/>
    <w:rsid w:val="004A7CC2"/>
    <w:rsid w:val="004B3C55"/>
    <w:rsid w:val="004B4D09"/>
    <w:rsid w:val="004B5E8B"/>
    <w:rsid w:val="004B64D9"/>
    <w:rsid w:val="004D4709"/>
    <w:rsid w:val="004D6103"/>
    <w:rsid w:val="004D6390"/>
    <w:rsid w:val="004E30CF"/>
    <w:rsid w:val="004E3BCE"/>
    <w:rsid w:val="004F0E97"/>
    <w:rsid w:val="004F3225"/>
    <w:rsid w:val="004F332E"/>
    <w:rsid w:val="00502E54"/>
    <w:rsid w:val="0050427D"/>
    <w:rsid w:val="00512E98"/>
    <w:rsid w:val="00515C21"/>
    <w:rsid w:val="00525D43"/>
    <w:rsid w:val="00530BD7"/>
    <w:rsid w:val="00530F88"/>
    <w:rsid w:val="005458D2"/>
    <w:rsid w:val="00545CD2"/>
    <w:rsid w:val="005465E5"/>
    <w:rsid w:val="005476F3"/>
    <w:rsid w:val="005505D4"/>
    <w:rsid w:val="00553791"/>
    <w:rsid w:val="00553A43"/>
    <w:rsid w:val="005576D9"/>
    <w:rsid w:val="0056263E"/>
    <w:rsid w:val="0056355E"/>
    <w:rsid w:val="00565925"/>
    <w:rsid w:val="00572527"/>
    <w:rsid w:val="00573E40"/>
    <w:rsid w:val="00575AF2"/>
    <w:rsid w:val="00576348"/>
    <w:rsid w:val="005A0B2E"/>
    <w:rsid w:val="005A1380"/>
    <w:rsid w:val="005A23D2"/>
    <w:rsid w:val="005A36CB"/>
    <w:rsid w:val="005A400E"/>
    <w:rsid w:val="005A4E77"/>
    <w:rsid w:val="005B49B8"/>
    <w:rsid w:val="005B50F5"/>
    <w:rsid w:val="005B7D12"/>
    <w:rsid w:val="005C0741"/>
    <w:rsid w:val="005C1AF4"/>
    <w:rsid w:val="005C4B4C"/>
    <w:rsid w:val="005C5EF4"/>
    <w:rsid w:val="005D4395"/>
    <w:rsid w:val="005E2CCF"/>
    <w:rsid w:val="005E2E0B"/>
    <w:rsid w:val="005E46BF"/>
    <w:rsid w:val="005E7A7D"/>
    <w:rsid w:val="005F023B"/>
    <w:rsid w:val="005F3089"/>
    <w:rsid w:val="00606EB1"/>
    <w:rsid w:val="00615C04"/>
    <w:rsid w:val="006160AD"/>
    <w:rsid w:val="006165F3"/>
    <w:rsid w:val="0062136F"/>
    <w:rsid w:val="006218E7"/>
    <w:rsid w:val="0063402F"/>
    <w:rsid w:val="00644467"/>
    <w:rsid w:val="0064517F"/>
    <w:rsid w:val="00646BD1"/>
    <w:rsid w:val="00654419"/>
    <w:rsid w:val="00655DE4"/>
    <w:rsid w:val="006561C2"/>
    <w:rsid w:val="00662496"/>
    <w:rsid w:val="006667F8"/>
    <w:rsid w:val="00671CB3"/>
    <w:rsid w:val="00674BAF"/>
    <w:rsid w:val="00682200"/>
    <w:rsid w:val="006930FC"/>
    <w:rsid w:val="00697583"/>
    <w:rsid w:val="006A1497"/>
    <w:rsid w:val="006A6D8E"/>
    <w:rsid w:val="006B0BD1"/>
    <w:rsid w:val="006B3996"/>
    <w:rsid w:val="006C2736"/>
    <w:rsid w:val="006C3EC6"/>
    <w:rsid w:val="006C5B1D"/>
    <w:rsid w:val="006C7F30"/>
    <w:rsid w:val="006D20A5"/>
    <w:rsid w:val="006D37BF"/>
    <w:rsid w:val="006D64FC"/>
    <w:rsid w:val="006E1C63"/>
    <w:rsid w:val="006E7AAD"/>
    <w:rsid w:val="006F2379"/>
    <w:rsid w:val="00702E22"/>
    <w:rsid w:val="00703905"/>
    <w:rsid w:val="00704C64"/>
    <w:rsid w:val="00706D66"/>
    <w:rsid w:val="00706D93"/>
    <w:rsid w:val="00707383"/>
    <w:rsid w:val="0072020E"/>
    <w:rsid w:val="00722E7C"/>
    <w:rsid w:val="0074124C"/>
    <w:rsid w:val="00741A59"/>
    <w:rsid w:val="0075246A"/>
    <w:rsid w:val="007602F0"/>
    <w:rsid w:val="007645FB"/>
    <w:rsid w:val="00765376"/>
    <w:rsid w:val="00765946"/>
    <w:rsid w:val="00771180"/>
    <w:rsid w:val="007755A8"/>
    <w:rsid w:val="007841D3"/>
    <w:rsid w:val="0078571F"/>
    <w:rsid w:val="00786071"/>
    <w:rsid w:val="00793A94"/>
    <w:rsid w:val="007A06C3"/>
    <w:rsid w:val="007A3ECB"/>
    <w:rsid w:val="007A5F14"/>
    <w:rsid w:val="007A7EC7"/>
    <w:rsid w:val="007B2273"/>
    <w:rsid w:val="007B2AEE"/>
    <w:rsid w:val="007B50AD"/>
    <w:rsid w:val="007B5F44"/>
    <w:rsid w:val="007D16CB"/>
    <w:rsid w:val="007F6BB9"/>
    <w:rsid w:val="00814CAB"/>
    <w:rsid w:val="00815CC5"/>
    <w:rsid w:val="00823B6E"/>
    <w:rsid w:val="00824AB9"/>
    <w:rsid w:val="0083130F"/>
    <w:rsid w:val="00836B35"/>
    <w:rsid w:val="00843BDE"/>
    <w:rsid w:val="008444C0"/>
    <w:rsid w:val="00845680"/>
    <w:rsid w:val="00846EF5"/>
    <w:rsid w:val="00862E00"/>
    <w:rsid w:val="00863140"/>
    <w:rsid w:val="008635E9"/>
    <w:rsid w:val="00865C5F"/>
    <w:rsid w:val="00865F17"/>
    <w:rsid w:val="00865FEC"/>
    <w:rsid w:val="00866407"/>
    <w:rsid w:val="008671F1"/>
    <w:rsid w:val="00872A7F"/>
    <w:rsid w:val="00872F36"/>
    <w:rsid w:val="008738C0"/>
    <w:rsid w:val="0088576C"/>
    <w:rsid w:val="008869D3"/>
    <w:rsid w:val="008919D8"/>
    <w:rsid w:val="0089705C"/>
    <w:rsid w:val="008A024C"/>
    <w:rsid w:val="008A0B58"/>
    <w:rsid w:val="008A0FD0"/>
    <w:rsid w:val="008A6D43"/>
    <w:rsid w:val="008A7AAB"/>
    <w:rsid w:val="008B1209"/>
    <w:rsid w:val="008B2024"/>
    <w:rsid w:val="008B491E"/>
    <w:rsid w:val="008C1A28"/>
    <w:rsid w:val="008C1D12"/>
    <w:rsid w:val="008C2E98"/>
    <w:rsid w:val="008C37A7"/>
    <w:rsid w:val="008D1A7E"/>
    <w:rsid w:val="008D2B8B"/>
    <w:rsid w:val="008D2CDA"/>
    <w:rsid w:val="008D443D"/>
    <w:rsid w:val="008D70FB"/>
    <w:rsid w:val="008E0965"/>
    <w:rsid w:val="008E0A4F"/>
    <w:rsid w:val="008E171B"/>
    <w:rsid w:val="008E1C51"/>
    <w:rsid w:val="008E49BD"/>
    <w:rsid w:val="008E53E9"/>
    <w:rsid w:val="008E5771"/>
    <w:rsid w:val="008F0535"/>
    <w:rsid w:val="008F09D2"/>
    <w:rsid w:val="0090782D"/>
    <w:rsid w:val="009143C1"/>
    <w:rsid w:val="0092567C"/>
    <w:rsid w:val="009272A9"/>
    <w:rsid w:val="009359C7"/>
    <w:rsid w:val="00937BBE"/>
    <w:rsid w:val="00940B9B"/>
    <w:rsid w:val="0094607E"/>
    <w:rsid w:val="00950BE9"/>
    <w:rsid w:val="009518E4"/>
    <w:rsid w:val="0095477A"/>
    <w:rsid w:val="00955FDE"/>
    <w:rsid w:val="0095676E"/>
    <w:rsid w:val="00956983"/>
    <w:rsid w:val="00963CF0"/>
    <w:rsid w:val="00964BB1"/>
    <w:rsid w:val="009775D9"/>
    <w:rsid w:val="00997175"/>
    <w:rsid w:val="009A1847"/>
    <w:rsid w:val="009B062A"/>
    <w:rsid w:val="009B62C6"/>
    <w:rsid w:val="009C0C95"/>
    <w:rsid w:val="009C7C81"/>
    <w:rsid w:val="009D1DD0"/>
    <w:rsid w:val="009E6688"/>
    <w:rsid w:val="009E7C6F"/>
    <w:rsid w:val="009F0B2E"/>
    <w:rsid w:val="009F129D"/>
    <w:rsid w:val="009F1793"/>
    <w:rsid w:val="009F2D23"/>
    <w:rsid w:val="009F32BC"/>
    <w:rsid w:val="009F37A9"/>
    <w:rsid w:val="00A01D69"/>
    <w:rsid w:val="00A02335"/>
    <w:rsid w:val="00A16611"/>
    <w:rsid w:val="00A223CF"/>
    <w:rsid w:val="00A23528"/>
    <w:rsid w:val="00A36235"/>
    <w:rsid w:val="00A46C9A"/>
    <w:rsid w:val="00A46E21"/>
    <w:rsid w:val="00A52085"/>
    <w:rsid w:val="00A52D70"/>
    <w:rsid w:val="00A54AB0"/>
    <w:rsid w:val="00A57E3A"/>
    <w:rsid w:val="00A6134B"/>
    <w:rsid w:val="00A619F3"/>
    <w:rsid w:val="00A62A73"/>
    <w:rsid w:val="00A70F15"/>
    <w:rsid w:val="00A76620"/>
    <w:rsid w:val="00A76BF8"/>
    <w:rsid w:val="00A77A7F"/>
    <w:rsid w:val="00A87FF6"/>
    <w:rsid w:val="00A952DB"/>
    <w:rsid w:val="00A974B8"/>
    <w:rsid w:val="00AA0A3B"/>
    <w:rsid w:val="00AB50CA"/>
    <w:rsid w:val="00AC53CE"/>
    <w:rsid w:val="00AC551F"/>
    <w:rsid w:val="00AC7152"/>
    <w:rsid w:val="00AD0DA9"/>
    <w:rsid w:val="00AD2193"/>
    <w:rsid w:val="00AD39EA"/>
    <w:rsid w:val="00AE5E85"/>
    <w:rsid w:val="00AF2AC7"/>
    <w:rsid w:val="00AF74CE"/>
    <w:rsid w:val="00B05300"/>
    <w:rsid w:val="00B11D3A"/>
    <w:rsid w:val="00B208DB"/>
    <w:rsid w:val="00B23F69"/>
    <w:rsid w:val="00B33DE8"/>
    <w:rsid w:val="00B36BFF"/>
    <w:rsid w:val="00B57CCA"/>
    <w:rsid w:val="00B60619"/>
    <w:rsid w:val="00B63A2D"/>
    <w:rsid w:val="00B65F9A"/>
    <w:rsid w:val="00B665BB"/>
    <w:rsid w:val="00B66A70"/>
    <w:rsid w:val="00B67366"/>
    <w:rsid w:val="00B70363"/>
    <w:rsid w:val="00B80EE1"/>
    <w:rsid w:val="00B84135"/>
    <w:rsid w:val="00B90F66"/>
    <w:rsid w:val="00B946DA"/>
    <w:rsid w:val="00BB3D23"/>
    <w:rsid w:val="00BC5A64"/>
    <w:rsid w:val="00BC5EAE"/>
    <w:rsid w:val="00BC6BEF"/>
    <w:rsid w:val="00BD20A8"/>
    <w:rsid w:val="00BD4239"/>
    <w:rsid w:val="00BE19DD"/>
    <w:rsid w:val="00BE3A58"/>
    <w:rsid w:val="00BE3B0B"/>
    <w:rsid w:val="00BE55DC"/>
    <w:rsid w:val="00BF05E4"/>
    <w:rsid w:val="00BF4E35"/>
    <w:rsid w:val="00BF701F"/>
    <w:rsid w:val="00BF78B0"/>
    <w:rsid w:val="00C02BF8"/>
    <w:rsid w:val="00C02CFD"/>
    <w:rsid w:val="00C04A36"/>
    <w:rsid w:val="00C04D34"/>
    <w:rsid w:val="00C05DF8"/>
    <w:rsid w:val="00C06864"/>
    <w:rsid w:val="00C10538"/>
    <w:rsid w:val="00C10F54"/>
    <w:rsid w:val="00C23D8D"/>
    <w:rsid w:val="00C27C33"/>
    <w:rsid w:val="00C37AA3"/>
    <w:rsid w:val="00C37FD7"/>
    <w:rsid w:val="00C419F2"/>
    <w:rsid w:val="00C42DA7"/>
    <w:rsid w:val="00C43419"/>
    <w:rsid w:val="00C44CF3"/>
    <w:rsid w:val="00C50E9F"/>
    <w:rsid w:val="00C51184"/>
    <w:rsid w:val="00C5490B"/>
    <w:rsid w:val="00C57B9E"/>
    <w:rsid w:val="00C60E68"/>
    <w:rsid w:val="00C61BE0"/>
    <w:rsid w:val="00C6341A"/>
    <w:rsid w:val="00C675C0"/>
    <w:rsid w:val="00C70B0E"/>
    <w:rsid w:val="00C773CA"/>
    <w:rsid w:val="00C825C6"/>
    <w:rsid w:val="00C83785"/>
    <w:rsid w:val="00C85294"/>
    <w:rsid w:val="00C875D0"/>
    <w:rsid w:val="00C94C0D"/>
    <w:rsid w:val="00CA1FEB"/>
    <w:rsid w:val="00CA286D"/>
    <w:rsid w:val="00CA5219"/>
    <w:rsid w:val="00CB75CE"/>
    <w:rsid w:val="00CD4F85"/>
    <w:rsid w:val="00CD56D7"/>
    <w:rsid w:val="00CD5701"/>
    <w:rsid w:val="00CD6F02"/>
    <w:rsid w:val="00CE246D"/>
    <w:rsid w:val="00CF07A0"/>
    <w:rsid w:val="00CF0BD7"/>
    <w:rsid w:val="00CF3CD8"/>
    <w:rsid w:val="00CF3E03"/>
    <w:rsid w:val="00CF44B4"/>
    <w:rsid w:val="00CF5C11"/>
    <w:rsid w:val="00CF7ADD"/>
    <w:rsid w:val="00D0028B"/>
    <w:rsid w:val="00D0082A"/>
    <w:rsid w:val="00D05C18"/>
    <w:rsid w:val="00D06C04"/>
    <w:rsid w:val="00D1239E"/>
    <w:rsid w:val="00D12711"/>
    <w:rsid w:val="00D21455"/>
    <w:rsid w:val="00D32559"/>
    <w:rsid w:val="00D45F38"/>
    <w:rsid w:val="00D47634"/>
    <w:rsid w:val="00D515A8"/>
    <w:rsid w:val="00D51A33"/>
    <w:rsid w:val="00D709B3"/>
    <w:rsid w:val="00D77364"/>
    <w:rsid w:val="00D800BE"/>
    <w:rsid w:val="00D8360F"/>
    <w:rsid w:val="00D85EC8"/>
    <w:rsid w:val="00D94EE8"/>
    <w:rsid w:val="00D961A7"/>
    <w:rsid w:val="00D97800"/>
    <w:rsid w:val="00DA2ED6"/>
    <w:rsid w:val="00DB76B8"/>
    <w:rsid w:val="00DC0E33"/>
    <w:rsid w:val="00DC1603"/>
    <w:rsid w:val="00DC2EA1"/>
    <w:rsid w:val="00DC38F1"/>
    <w:rsid w:val="00DC61B3"/>
    <w:rsid w:val="00DC736C"/>
    <w:rsid w:val="00DD497A"/>
    <w:rsid w:val="00DD6AAF"/>
    <w:rsid w:val="00DE3F5C"/>
    <w:rsid w:val="00DF1AAB"/>
    <w:rsid w:val="00DF1D20"/>
    <w:rsid w:val="00DF34BF"/>
    <w:rsid w:val="00DF7182"/>
    <w:rsid w:val="00E0139B"/>
    <w:rsid w:val="00E038A0"/>
    <w:rsid w:val="00E069DB"/>
    <w:rsid w:val="00E120AB"/>
    <w:rsid w:val="00E120CC"/>
    <w:rsid w:val="00E16A35"/>
    <w:rsid w:val="00E21324"/>
    <w:rsid w:val="00E246B9"/>
    <w:rsid w:val="00E31FEA"/>
    <w:rsid w:val="00E3295B"/>
    <w:rsid w:val="00E370B6"/>
    <w:rsid w:val="00E45169"/>
    <w:rsid w:val="00E46FA5"/>
    <w:rsid w:val="00E47787"/>
    <w:rsid w:val="00E51C30"/>
    <w:rsid w:val="00E54292"/>
    <w:rsid w:val="00E64180"/>
    <w:rsid w:val="00E656AD"/>
    <w:rsid w:val="00E73574"/>
    <w:rsid w:val="00E73A17"/>
    <w:rsid w:val="00E747DD"/>
    <w:rsid w:val="00E74AEE"/>
    <w:rsid w:val="00E83BF2"/>
    <w:rsid w:val="00E85B29"/>
    <w:rsid w:val="00E868E5"/>
    <w:rsid w:val="00E9237A"/>
    <w:rsid w:val="00E939FA"/>
    <w:rsid w:val="00E96A2B"/>
    <w:rsid w:val="00EA1A0E"/>
    <w:rsid w:val="00EA3725"/>
    <w:rsid w:val="00EA5765"/>
    <w:rsid w:val="00EB00A6"/>
    <w:rsid w:val="00EB32B5"/>
    <w:rsid w:val="00EB3966"/>
    <w:rsid w:val="00EB6BE2"/>
    <w:rsid w:val="00EC155B"/>
    <w:rsid w:val="00EC2532"/>
    <w:rsid w:val="00EC6B64"/>
    <w:rsid w:val="00EC7E3E"/>
    <w:rsid w:val="00ED0D61"/>
    <w:rsid w:val="00ED236D"/>
    <w:rsid w:val="00ED41B5"/>
    <w:rsid w:val="00ED54AE"/>
    <w:rsid w:val="00ED657F"/>
    <w:rsid w:val="00ED7812"/>
    <w:rsid w:val="00EE42DD"/>
    <w:rsid w:val="00EF3B86"/>
    <w:rsid w:val="00F10193"/>
    <w:rsid w:val="00F104BE"/>
    <w:rsid w:val="00F12FED"/>
    <w:rsid w:val="00F25B0E"/>
    <w:rsid w:val="00F317E9"/>
    <w:rsid w:val="00F34554"/>
    <w:rsid w:val="00F3745E"/>
    <w:rsid w:val="00F45F77"/>
    <w:rsid w:val="00F50805"/>
    <w:rsid w:val="00F5167F"/>
    <w:rsid w:val="00F52258"/>
    <w:rsid w:val="00F547D4"/>
    <w:rsid w:val="00F54F30"/>
    <w:rsid w:val="00F57927"/>
    <w:rsid w:val="00F63DA9"/>
    <w:rsid w:val="00F82DD3"/>
    <w:rsid w:val="00F8386D"/>
    <w:rsid w:val="00F841F3"/>
    <w:rsid w:val="00F84235"/>
    <w:rsid w:val="00F8570A"/>
    <w:rsid w:val="00F87E1A"/>
    <w:rsid w:val="00F9097C"/>
    <w:rsid w:val="00F9186C"/>
    <w:rsid w:val="00F91C7B"/>
    <w:rsid w:val="00F922DF"/>
    <w:rsid w:val="00FA5003"/>
    <w:rsid w:val="00FA72DD"/>
    <w:rsid w:val="00FB47FF"/>
    <w:rsid w:val="00FB4FD2"/>
    <w:rsid w:val="00FB782A"/>
    <w:rsid w:val="00FB78C1"/>
    <w:rsid w:val="00FC79F5"/>
    <w:rsid w:val="00FE19D9"/>
    <w:rsid w:val="00FE4EC8"/>
    <w:rsid w:val="00FF5F82"/>
    <w:rsid w:val="00FF781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2064BF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basedOn w:val="DefaultParagraphFont"/>
    <w:link w:val="Header"/>
    <w:rsid w:val="00A974B8"/>
    <w:rPr>
      <w:sz w:val="24"/>
      <w:szCs w:val="24"/>
      <w:lang w:val="en-US" w:eastAsia="en-US"/>
    </w:rPr>
  </w:style>
  <w:style w:type="paragraph" w:styleId="BodyText3">
    <w:name w:val="Body Text 3"/>
    <w:basedOn w:val="Normal"/>
    <w:link w:val="BodyText3Char"/>
    <w:unhideWhenUsed/>
    <w:rsid w:val="00AC7152"/>
    <w:rPr>
      <w:b/>
      <w:sz w:val="20"/>
      <w:szCs w:val="20"/>
      <w:lang w:val="sl-SI"/>
    </w:rPr>
  </w:style>
  <w:style w:type="character" w:customStyle="1" w:styleId="BodyText3Char">
    <w:name w:val="Body Text 3 Char"/>
    <w:basedOn w:val="DefaultParagraphFont"/>
    <w:link w:val="BodyText3"/>
    <w:rsid w:val="00AC7152"/>
    <w:rPr>
      <w:b/>
      <w:lang w:val="sl-SI" w:eastAsia="en-US"/>
    </w:rPr>
  </w:style>
  <w:style w:type="character" w:styleId="Hyperlink">
    <w:name w:val="Hyperlink"/>
    <w:basedOn w:val="DefaultParagraphFont"/>
    <w:rsid w:val="00D94EE8"/>
    <w:rPr>
      <w:color w:val="0563C1" w:themeColor="hyperlink"/>
      <w:u w:val="single"/>
    </w:rPr>
  </w:style>
  <w:style w:type="paragraph" w:styleId="Title">
    <w:name w:val="Title"/>
    <w:basedOn w:val="Normal"/>
    <w:next w:val="Normal"/>
    <w:link w:val="TitleChar"/>
    <w:qFormat/>
    <w:rsid w:val="00FF78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F7818"/>
    <w:rPr>
      <w:rFonts w:asciiTheme="majorHAnsi" w:eastAsiaTheme="majorEastAsia" w:hAnsiTheme="majorHAnsi" w:cstheme="majorBidi"/>
      <w:spacing w:val="-10"/>
      <w:kern w:val="28"/>
      <w:sz w:val="56"/>
      <w:szCs w:val="56"/>
      <w:lang w:val="en-US" w:eastAsia="en-US"/>
    </w:rPr>
  </w:style>
  <w:style w:type="paragraph" w:styleId="Revision">
    <w:name w:val="Revision"/>
    <w:hidden/>
    <w:uiPriority w:val="99"/>
    <w:semiHidden/>
    <w:rsid w:val="004513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311">
      <w:bodyDiv w:val="1"/>
      <w:marLeft w:val="0"/>
      <w:marRight w:val="0"/>
      <w:marTop w:val="0"/>
      <w:marBottom w:val="0"/>
      <w:divBdr>
        <w:top w:val="none" w:sz="0" w:space="0" w:color="auto"/>
        <w:left w:val="none" w:sz="0" w:space="0" w:color="auto"/>
        <w:bottom w:val="none" w:sz="0" w:space="0" w:color="auto"/>
        <w:right w:val="none" w:sz="0" w:space="0" w:color="auto"/>
      </w:divBdr>
    </w:div>
    <w:div w:id="231430704">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337655958">
      <w:bodyDiv w:val="1"/>
      <w:marLeft w:val="0"/>
      <w:marRight w:val="0"/>
      <w:marTop w:val="0"/>
      <w:marBottom w:val="0"/>
      <w:divBdr>
        <w:top w:val="none" w:sz="0" w:space="0" w:color="auto"/>
        <w:left w:val="none" w:sz="0" w:space="0" w:color="auto"/>
        <w:bottom w:val="none" w:sz="0" w:space="0" w:color="auto"/>
        <w:right w:val="none" w:sz="0" w:space="0" w:color="auto"/>
      </w:divBdr>
    </w:div>
    <w:div w:id="381254279">
      <w:bodyDiv w:val="1"/>
      <w:marLeft w:val="0"/>
      <w:marRight w:val="0"/>
      <w:marTop w:val="0"/>
      <w:marBottom w:val="0"/>
      <w:divBdr>
        <w:top w:val="none" w:sz="0" w:space="0" w:color="auto"/>
        <w:left w:val="none" w:sz="0" w:space="0" w:color="auto"/>
        <w:bottom w:val="none" w:sz="0" w:space="0" w:color="auto"/>
        <w:right w:val="none" w:sz="0" w:space="0" w:color="auto"/>
      </w:divBdr>
    </w:div>
    <w:div w:id="490145061">
      <w:bodyDiv w:val="1"/>
      <w:marLeft w:val="0"/>
      <w:marRight w:val="0"/>
      <w:marTop w:val="0"/>
      <w:marBottom w:val="0"/>
      <w:divBdr>
        <w:top w:val="none" w:sz="0" w:space="0" w:color="auto"/>
        <w:left w:val="none" w:sz="0" w:space="0" w:color="auto"/>
        <w:bottom w:val="none" w:sz="0" w:space="0" w:color="auto"/>
        <w:right w:val="none" w:sz="0" w:space="0" w:color="auto"/>
      </w:divBdr>
    </w:div>
    <w:div w:id="567613188">
      <w:bodyDiv w:val="1"/>
      <w:marLeft w:val="0"/>
      <w:marRight w:val="0"/>
      <w:marTop w:val="0"/>
      <w:marBottom w:val="0"/>
      <w:divBdr>
        <w:top w:val="none" w:sz="0" w:space="0" w:color="auto"/>
        <w:left w:val="none" w:sz="0" w:space="0" w:color="auto"/>
        <w:bottom w:val="none" w:sz="0" w:space="0" w:color="auto"/>
        <w:right w:val="none" w:sz="0" w:space="0" w:color="auto"/>
      </w:divBdr>
    </w:div>
    <w:div w:id="625744068">
      <w:bodyDiv w:val="1"/>
      <w:marLeft w:val="0"/>
      <w:marRight w:val="0"/>
      <w:marTop w:val="0"/>
      <w:marBottom w:val="0"/>
      <w:divBdr>
        <w:top w:val="none" w:sz="0" w:space="0" w:color="auto"/>
        <w:left w:val="none" w:sz="0" w:space="0" w:color="auto"/>
        <w:bottom w:val="none" w:sz="0" w:space="0" w:color="auto"/>
        <w:right w:val="none" w:sz="0" w:space="0" w:color="auto"/>
      </w:divBdr>
    </w:div>
    <w:div w:id="667753461">
      <w:bodyDiv w:val="1"/>
      <w:marLeft w:val="0"/>
      <w:marRight w:val="0"/>
      <w:marTop w:val="0"/>
      <w:marBottom w:val="0"/>
      <w:divBdr>
        <w:top w:val="none" w:sz="0" w:space="0" w:color="auto"/>
        <w:left w:val="none" w:sz="0" w:space="0" w:color="auto"/>
        <w:bottom w:val="none" w:sz="0" w:space="0" w:color="auto"/>
        <w:right w:val="none" w:sz="0" w:space="0" w:color="auto"/>
      </w:divBdr>
    </w:div>
    <w:div w:id="685206881">
      <w:bodyDiv w:val="1"/>
      <w:marLeft w:val="0"/>
      <w:marRight w:val="0"/>
      <w:marTop w:val="0"/>
      <w:marBottom w:val="0"/>
      <w:divBdr>
        <w:top w:val="none" w:sz="0" w:space="0" w:color="auto"/>
        <w:left w:val="none" w:sz="0" w:space="0" w:color="auto"/>
        <w:bottom w:val="none" w:sz="0" w:space="0" w:color="auto"/>
        <w:right w:val="none" w:sz="0" w:space="0" w:color="auto"/>
      </w:divBdr>
    </w:div>
    <w:div w:id="712539994">
      <w:bodyDiv w:val="1"/>
      <w:marLeft w:val="0"/>
      <w:marRight w:val="0"/>
      <w:marTop w:val="0"/>
      <w:marBottom w:val="0"/>
      <w:divBdr>
        <w:top w:val="none" w:sz="0" w:space="0" w:color="auto"/>
        <w:left w:val="none" w:sz="0" w:space="0" w:color="auto"/>
        <w:bottom w:val="none" w:sz="0" w:space="0" w:color="auto"/>
        <w:right w:val="none" w:sz="0" w:space="0" w:color="auto"/>
      </w:divBdr>
    </w:div>
    <w:div w:id="717045296">
      <w:bodyDiv w:val="1"/>
      <w:marLeft w:val="0"/>
      <w:marRight w:val="0"/>
      <w:marTop w:val="0"/>
      <w:marBottom w:val="0"/>
      <w:divBdr>
        <w:top w:val="none" w:sz="0" w:space="0" w:color="auto"/>
        <w:left w:val="none" w:sz="0" w:space="0" w:color="auto"/>
        <w:bottom w:val="none" w:sz="0" w:space="0" w:color="auto"/>
        <w:right w:val="none" w:sz="0" w:space="0" w:color="auto"/>
      </w:divBdr>
    </w:div>
    <w:div w:id="751896943">
      <w:bodyDiv w:val="1"/>
      <w:marLeft w:val="0"/>
      <w:marRight w:val="0"/>
      <w:marTop w:val="0"/>
      <w:marBottom w:val="0"/>
      <w:divBdr>
        <w:top w:val="none" w:sz="0" w:space="0" w:color="auto"/>
        <w:left w:val="none" w:sz="0" w:space="0" w:color="auto"/>
        <w:bottom w:val="none" w:sz="0" w:space="0" w:color="auto"/>
        <w:right w:val="none" w:sz="0" w:space="0" w:color="auto"/>
      </w:divBdr>
    </w:div>
    <w:div w:id="888877232">
      <w:bodyDiv w:val="1"/>
      <w:marLeft w:val="0"/>
      <w:marRight w:val="0"/>
      <w:marTop w:val="0"/>
      <w:marBottom w:val="0"/>
      <w:divBdr>
        <w:top w:val="none" w:sz="0" w:space="0" w:color="auto"/>
        <w:left w:val="none" w:sz="0" w:space="0" w:color="auto"/>
        <w:bottom w:val="none" w:sz="0" w:space="0" w:color="auto"/>
        <w:right w:val="none" w:sz="0" w:space="0" w:color="auto"/>
      </w:divBdr>
    </w:div>
    <w:div w:id="893392228">
      <w:bodyDiv w:val="1"/>
      <w:marLeft w:val="0"/>
      <w:marRight w:val="0"/>
      <w:marTop w:val="0"/>
      <w:marBottom w:val="0"/>
      <w:divBdr>
        <w:top w:val="none" w:sz="0" w:space="0" w:color="auto"/>
        <w:left w:val="none" w:sz="0" w:space="0" w:color="auto"/>
        <w:bottom w:val="none" w:sz="0" w:space="0" w:color="auto"/>
        <w:right w:val="none" w:sz="0" w:space="0" w:color="auto"/>
      </w:divBdr>
    </w:div>
    <w:div w:id="924606146">
      <w:bodyDiv w:val="1"/>
      <w:marLeft w:val="0"/>
      <w:marRight w:val="0"/>
      <w:marTop w:val="0"/>
      <w:marBottom w:val="0"/>
      <w:divBdr>
        <w:top w:val="none" w:sz="0" w:space="0" w:color="auto"/>
        <w:left w:val="none" w:sz="0" w:space="0" w:color="auto"/>
        <w:bottom w:val="none" w:sz="0" w:space="0" w:color="auto"/>
        <w:right w:val="none" w:sz="0" w:space="0" w:color="auto"/>
      </w:divBdr>
    </w:div>
    <w:div w:id="968785095">
      <w:bodyDiv w:val="1"/>
      <w:marLeft w:val="0"/>
      <w:marRight w:val="0"/>
      <w:marTop w:val="0"/>
      <w:marBottom w:val="0"/>
      <w:divBdr>
        <w:top w:val="none" w:sz="0" w:space="0" w:color="auto"/>
        <w:left w:val="none" w:sz="0" w:space="0" w:color="auto"/>
        <w:bottom w:val="none" w:sz="0" w:space="0" w:color="auto"/>
        <w:right w:val="none" w:sz="0" w:space="0" w:color="auto"/>
      </w:divBdr>
    </w:div>
    <w:div w:id="993949833">
      <w:bodyDiv w:val="1"/>
      <w:marLeft w:val="0"/>
      <w:marRight w:val="0"/>
      <w:marTop w:val="0"/>
      <w:marBottom w:val="0"/>
      <w:divBdr>
        <w:top w:val="none" w:sz="0" w:space="0" w:color="auto"/>
        <w:left w:val="none" w:sz="0" w:space="0" w:color="auto"/>
        <w:bottom w:val="none" w:sz="0" w:space="0" w:color="auto"/>
        <w:right w:val="none" w:sz="0" w:space="0" w:color="auto"/>
      </w:divBdr>
    </w:div>
    <w:div w:id="1159350523">
      <w:bodyDiv w:val="1"/>
      <w:marLeft w:val="0"/>
      <w:marRight w:val="0"/>
      <w:marTop w:val="0"/>
      <w:marBottom w:val="0"/>
      <w:divBdr>
        <w:top w:val="none" w:sz="0" w:space="0" w:color="auto"/>
        <w:left w:val="none" w:sz="0" w:space="0" w:color="auto"/>
        <w:bottom w:val="none" w:sz="0" w:space="0" w:color="auto"/>
        <w:right w:val="none" w:sz="0" w:space="0" w:color="auto"/>
      </w:divBdr>
    </w:div>
    <w:div w:id="1188716955">
      <w:bodyDiv w:val="1"/>
      <w:marLeft w:val="0"/>
      <w:marRight w:val="0"/>
      <w:marTop w:val="0"/>
      <w:marBottom w:val="0"/>
      <w:divBdr>
        <w:top w:val="none" w:sz="0" w:space="0" w:color="auto"/>
        <w:left w:val="none" w:sz="0" w:space="0" w:color="auto"/>
        <w:bottom w:val="none" w:sz="0" w:space="0" w:color="auto"/>
        <w:right w:val="none" w:sz="0" w:space="0" w:color="auto"/>
      </w:divBdr>
    </w:div>
    <w:div w:id="1529758905">
      <w:bodyDiv w:val="1"/>
      <w:marLeft w:val="0"/>
      <w:marRight w:val="0"/>
      <w:marTop w:val="0"/>
      <w:marBottom w:val="0"/>
      <w:divBdr>
        <w:top w:val="none" w:sz="0" w:space="0" w:color="auto"/>
        <w:left w:val="none" w:sz="0" w:space="0" w:color="auto"/>
        <w:bottom w:val="none" w:sz="0" w:space="0" w:color="auto"/>
        <w:right w:val="none" w:sz="0" w:space="0" w:color="auto"/>
      </w:divBdr>
    </w:div>
    <w:div w:id="1601453434">
      <w:bodyDiv w:val="1"/>
      <w:marLeft w:val="0"/>
      <w:marRight w:val="0"/>
      <w:marTop w:val="0"/>
      <w:marBottom w:val="0"/>
      <w:divBdr>
        <w:top w:val="none" w:sz="0" w:space="0" w:color="auto"/>
        <w:left w:val="none" w:sz="0" w:space="0" w:color="auto"/>
        <w:bottom w:val="none" w:sz="0" w:space="0" w:color="auto"/>
        <w:right w:val="none" w:sz="0" w:space="0" w:color="auto"/>
      </w:divBdr>
    </w:div>
    <w:div w:id="1614437132">
      <w:bodyDiv w:val="1"/>
      <w:marLeft w:val="0"/>
      <w:marRight w:val="0"/>
      <w:marTop w:val="0"/>
      <w:marBottom w:val="0"/>
      <w:divBdr>
        <w:top w:val="none" w:sz="0" w:space="0" w:color="auto"/>
        <w:left w:val="none" w:sz="0" w:space="0" w:color="auto"/>
        <w:bottom w:val="none" w:sz="0" w:space="0" w:color="auto"/>
        <w:right w:val="none" w:sz="0" w:space="0" w:color="auto"/>
      </w:divBdr>
    </w:div>
    <w:div w:id="1693453834">
      <w:bodyDiv w:val="1"/>
      <w:marLeft w:val="0"/>
      <w:marRight w:val="0"/>
      <w:marTop w:val="0"/>
      <w:marBottom w:val="0"/>
      <w:divBdr>
        <w:top w:val="none" w:sz="0" w:space="0" w:color="auto"/>
        <w:left w:val="none" w:sz="0" w:space="0" w:color="auto"/>
        <w:bottom w:val="none" w:sz="0" w:space="0" w:color="auto"/>
        <w:right w:val="none" w:sz="0" w:space="0" w:color="auto"/>
      </w:divBdr>
    </w:div>
    <w:div w:id="1697996646">
      <w:bodyDiv w:val="1"/>
      <w:marLeft w:val="0"/>
      <w:marRight w:val="0"/>
      <w:marTop w:val="0"/>
      <w:marBottom w:val="0"/>
      <w:divBdr>
        <w:top w:val="none" w:sz="0" w:space="0" w:color="auto"/>
        <w:left w:val="none" w:sz="0" w:space="0" w:color="auto"/>
        <w:bottom w:val="none" w:sz="0" w:space="0" w:color="auto"/>
        <w:right w:val="none" w:sz="0" w:space="0" w:color="auto"/>
      </w:divBdr>
    </w:div>
    <w:div w:id="1715807414">
      <w:bodyDiv w:val="1"/>
      <w:marLeft w:val="0"/>
      <w:marRight w:val="0"/>
      <w:marTop w:val="0"/>
      <w:marBottom w:val="0"/>
      <w:divBdr>
        <w:top w:val="none" w:sz="0" w:space="0" w:color="auto"/>
        <w:left w:val="none" w:sz="0" w:space="0" w:color="auto"/>
        <w:bottom w:val="none" w:sz="0" w:space="0" w:color="auto"/>
        <w:right w:val="none" w:sz="0" w:space="0" w:color="auto"/>
      </w:divBdr>
    </w:div>
    <w:div w:id="1737897000">
      <w:bodyDiv w:val="1"/>
      <w:marLeft w:val="0"/>
      <w:marRight w:val="0"/>
      <w:marTop w:val="0"/>
      <w:marBottom w:val="0"/>
      <w:divBdr>
        <w:top w:val="none" w:sz="0" w:space="0" w:color="auto"/>
        <w:left w:val="none" w:sz="0" w:space="0" w:color="auto"/>
        <w:bottom w:val="none" w:sz="0" w:space="0" w:color="auto"/>
        <w:right w:val="none" w:sz="0" w:space="0" w:color="auto"/>
      </w:divBdr>
    </w:div>
    <w:div w:id="1925845643">
      <w:bodyDiv w:val="1"/>
      <w:marLeft w:val="0"/>
      <w:marRight w:val="0"/>
      <w:marTop w:val="0"/>
      <w:marBottom w:val="0"/>
      <w:divBdr>
        <w:top w:val="none" w:sz="0" w:space="0" w:color="auto"/>
        <w:left w:val="none" w:sz="0" w:space="0" w:color="auto"/>
        <w:bottom w:val="none" w:sz="0" w:space="0" w:color="auto"/>
        <w:right w:val="none" w:sz="0" w:space="0" w:color="auto"/>
      </w:divBdr>
    </w:div>
    <w:div w:id="1980185172">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19941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07FB85D616274DA5B8A5461DAA9E97" ma:contentTypeVersion="9" ma:contentTypeDescription="Create a new document." ma:contentTypeScope="" ma:versionID="c4546c7121e2a1b8bedf5ae5e7053648">
  <xsd:schema xmlns:xsd="http://www.w3.org/2001/XMLSchema" xmlns:xs="http://www.w3.org/2001/XMLSchema" xmlns:p="http://schemas.microsoft.com/office/2006/metadata/properties" xmlns:ns3="c9fd5de8-3b21-4770-9844-7c653ba74bad" targetNamespace="http://schemas.microsoft.com/office/2006/metadata/properties" ma:root="true" ma:fieldsID="955f88fc9fef3c0ec25b4a69f7b9bd21" ns3:_="">
    <xsd:import namespace="c9fd5de8-3b21-4770-9844-7c653ba74b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d5de8-3b21-4770-9844-7c653ba74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2900-7E1A-4A07-A66F-7A53D4AAA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AE24F9-F2BB-4A57-89DF-A3858889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d5de8-3b21-4770-9844-7c653ba74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7E279-DE28-4D7C-A102-09F3520E9901}">
  <ds:schemaRefs>
    <ds:schemaRef ds:uri="http://schemas.microsoft.com/sharepoint/v3/contenttype/forms"/>
  </ds:schemaRefs>
</ds:datastoreItem>
</file>

<file path=customXml/itemProps4.xml><?xml version="1.0" encoding="utf-8"?>
<ds:datastoreItem xmlns:ds="http://schemas.openxmlformats.org/officeDocument/2006/customXml" ds:itemID="{CBAB97F0-79F4-4015-B44D-62BDD0A4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12973</Words>
  <Characters>73951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86751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Minić</cp:lastModifiedBy>
  <cp:revision>2</cp:revision>
  <cp:lastPrinted>2019-12-11T10:44:00Z</cp:lastPrinted>
  <dcterms:created xsi:type="dcterms:W3CDTF">2025-04-16T10:25:00Z</dcterms:created>
  <dcterms:modified xsi:type="dcterms:W3CDTF">2025-04-16T10:25:00Z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0x0101004507FB85D616274DA5B8A5461DAA9E97</vt:lpwstr>
  </property>
</Properties>
</file>