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FB9A" w14:textId="77777777" w:rsidR="002510A5" w:rsidRPr="002510A5" w:rsidRDefault="002510A5" w:rsidP="001B64BC">
      <w:pPr>
        <w:jc w:val="center"/>
        <w:rPr>
          <w:b/>
          <w:bCs/>
          <w:iCs/>
          <w:sz w:val="22"/>
          <w:szCs w:val="22"/>
          <w:u w:val="single"/>
        </w:rPr>
      </w:pPr>
      <w:r w:rsidRPr="002510A5">
        <w:rPr>
          <w:b/>
          <w:bCs/>
          <w:iCs/>
          <w:sz w:val="22"/>
          <w:szCs w:val="22"/>
          <w:u w:val="single"/>
        </w:rPr>
        <w:t>SAŽETAK KARAKTERISTIKA LIJEKA</w:t>
      </w:r>
    </w:p>
    <w:p w14:paraId="3E6126FA" w14:textId="77777777" w:rsidR="002510A5" w:rsidRPr="002510A5" w:rsidRDefault="002510A5" w:rsidP="001B64BC">
      <w:pPr>
        <w:rPr>
          <w:b/>
          <w:bCs/>
          <w:i/>
          <w:iCs/>
          <w:sz w:val="22"/>
          <w:szCs w:val="22"/>
          <w:u w:val="single"/>
        </w:rPr>
      </w:pPr>
    </w:p>
    <w:p w14:paraId="30210B1B" w14:textId="77777777" w:rsidR="003C17AB" w:rsidRPr="00CA1FEB" w:rsidRDefault="003C17AB" w:rsidP="001B64BC">
      <w:pPr>
        <w:rPr>
          <w:sz w:val="22"/>
          <w:szCs w:val="22"/>
          <w:lang w:val="sr-Latn-CS"/>
        </w:rPr>
      </w:pPr>
    </w:p>
    <w:p w14:paraId="7B4417FA" w14:textId="77777777" w:rsidR="00C37FD7" w:rsidRPr="00786071" w:rsidRDefault="00C37FD7" w:rsidP="001B64BC">
      <w:pPr>
        <w:tabs>
          <w:tab w:val="left" w:pos="540"/>
          <w:tab w:val="left" w:pos="569"/>
        </w:tabs>
        <w:rPr>
          <w:bCs/>
          <w:sz w:val="22"/>
          <w:szCs w:val="22"/>
        </w:rPr>
      </w:pPr>
    </w:p>
    <w:p w14:paraId="7E58C25C" w14:textId="77777777" w:rsidR="00411B4B" w:rsidRPr="00786071" w:rsidRDefault="00411B4B" w:rsidP="001B64BC">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2E253D08" w14:textId="77777777" w:rsidR="00EC2532" w:rsidRPr="00786071" w:rsidRDefault="00EC2532" w:rsidP="001B64BC">
      <w:pPr>
        <w:rPr>
          <w:sz w:val="22"/>
          <w:szCs w:val="22"/>
          <w:lang w:val="pl-PL"/>
        </w:rPr>
      </w:pPr>
    </w:p>
    <w:p w14:paraId="74BFF3D9" w14:textId="588474EE" w:rsidR="00B96A91" w:rsidRPr="002F5B81" w:rsidRDefault="00B96A91" w:rsidP="001B64BC">
      <w:pPr>
        <w:pStyle w:val="Header"/>
        <w:tabs>
          <w:tab w:val="left" w:pos="284"/>
        </w:tabs>
        <w:rPr>
          <w:sz w:val="22"/>
          <w:lang w:val="hr-HR"/>
        </w:rPr>
      </w:pPr>
      <w:r w:rsidRPr="002F5B81">
        <w:rPr>
          <w:color w:val="000000"/>
          <w:sz w:val="22"/>
          <w:szCs w:val="22"/>
          <w:lang w:val="sr-Latn-CS"/>
        </w:rPr>
        <w:t xml:space="preserve">Entresto, </w:t>
      </w:r>
      <w:r w:rsidRPr="002F5B81">
        <w:rPr>
          <w:sz w:val="22"/>
          <w:lang w:val="hr-HR"/>
        </w:rPr>
        <w:t>26 mg + 24 mg</w:t>
      </w:r>
      <w:r w:rsidRPr="002F5B81">
        <w:rPr>
          <w:bCs/>
          <w:sz w:val="22"/>
          <w:szCs w:val="22"/>
          <w:lang w:val="hr-HR"/>
        </w:rPr>
        <w:t>, film tableta</w:t>
      </w:r>
    </w:p>
    <w:p w14:paraId="02FAC7D8" w14:textId="76CD51A6" w:rsidR="00B96A91" w:rsidRPr="002F5B81" w:rsidRDefault="00B96A91" w:rsidP="001B64BC">
      <w:pPr>
        <w:pStyle w:val="Header"/>
        <w:tabs>
          <w:tab w:val="left" w:pos="284"/>
        </w:tabs>
        <w:rPr>
          <w:sz w:val="22"/>
          <w:lang w:val="hr-HR"/>
        </w:rPr>
      </w:pPr>
      <w:r w:rsidRPr="002F5B81">
        <w:rPr>
          <w:color w:val="000000"/>
          <w:sz w:val="22"/>
          <w:szCs w:val="22"/>
          <w:lang w:val="sr-Latn-CS"/>
        </w:rPr>
        <w:t xml:space="preserve">Entresto, </w:t>
      </w:r>
      <w:r w:rsidRPr="002F5B81">
        <w:rPr>
          <w:sz w:val="22"/>
          <w:lang w:val="hr-HR"/>
        </w:rPr>
        <w:t>51 mg + 49 mg, film tableta</w:t>
      </w:r>
    </w:p>
    <w:p w14:paraId="69D14E42" w14:textId="3D7BBBB2" w:rsidR="00B96A91" w:rsidRPr="002F5B81" w:rsidRDefault="00B96A91" w:rsidP="001B64BC">
      <w:pPr>
        <w:pStyle w:val="Header"/>
        <w:tabs>
          <w:tab w:val="left" w:pos="284"/>
        </w:tabs>
        <w:rPr>
          <w:sz w:val="22"/>
          <w:lang w:val="hr-HR"/>
        </w:rPr>
      </w:pPr>
      <w:r w:rsidRPr="002F5B81">
        <w:rPr>
          <w:color w:val="000000"/>
          <w:sz w:val="22"/>
          <w:szCs w:val="22"/>
          <w:lang w:val="sr-Latn-CS"/>
        </w:rPr>
        <w:t xml:space="preserve">Entresto, </w:t>
      </w:r>
      <w:r w:rsidRPr="002F5B81">
        <w:rPr>
          <w:sz w:val="22"/>
          <w:lang w:val="hr-HR"/>
        </w:rPr>
        <w:t>103 mg + 97 mg, film tableta</w:t>
      </w:r>
    </w:p>
    <w:p w14:paraId="5F1BADE0" w14:textId="77777777" w:rsidR="00B96A91" w:rsidRPr="002F5B81" w:rsidRDefault="00B96A91" w:rsidP="001B64BC">
      <w:pPr>
        <w:pStyle w:val="Header"/>
        <w:tabs>
          <w:tab w:val="left" w:pos="284"/>
        </w:tabs>
        <w:rPr>
          <w:sz w:val="22"/>
          <w:lang w:val="hr-HR"/>
        </w:rPr>
      </w:pPr>
    </w:p>
    <w:p w14:paraId="54C90230" w14:textId="072B5355" w:rsidR="00B96A91" w:rsidRPr="002F5B81" w:rsidRDefault="006D20A5" w:rsidP="001B64BC">
      <w:pPr>
        <w:widowControl w:val="0"/>
        <w:autoSpaceDE w:val="0"/>
        <w:autoSpaceDN w:val="0"/>
        <w:rPr>
          <w:sz w:val="22"/>
          <w:szCs w:val="22"/>
          <w:lang w:val="sr-Latn-CS"/>
        </w:rPr>
      </w:pPr>
      <w:r w:rsidRPr="002F5B81">
        <w:rPr>
          <w:bCs/>
          <w:sz w:val="22"/>
          <w:szCs w:val="22"/>
          <w:lang w:val="sv-SE"/>
        </w:rPr>
        <w:t>INN:</w:t>
      </w:r>
      <w:r w:rsidR="00B96A91" w:rsidRPr="002F5B81">
        <w:rPr>
          <w:bCs/>
          <w:sz w:val="22"/>
          <w:szCs w:val="22"/>
          <w:lang w:val="sr-Latn-CS"/>
        </w:rPr>
        <w:t xml:space="preserve"> </w:t>
      </w:r>
      <w:r w:rsidR="00B96A91" w:rsidRPr="002F5B81">
        <w:rPr>
          <w:sz w:val="22"/>
          <w:szCs w:val="22"/>
          <w:lang w:val="sr-Latn-CS"/>
        </w:rPr>
        <w:t>valsartan</w:t>
      </w:r>
      <w:r w:rsidR="0008251C" w:rsidRPr="002F5B81">
        <w:rPr>
          <w:sz w:val="22"/>
          <w:szCs w:val="22"/>
          <w:lang w:val="sr-Latn-CS"/>
        </w:rPr>
        <w:t xml:space="preserve">, </w:t>
      </w:r>
      <w:r w:rsidR="00B96A91" w:rsidRPr="002F5B81">
        <w:rPr>
          <w:sz w:val="22"/>
          <w:szCs w:val="22"/>
          <w:lang w:val="sr-Latn-CS"/>
        </w:rPr>
        <w:t>sakubitril</w:t>
      </w:r>
    </w:p>
    <w:p w14:paraId="62A765C5" w14:textId="3E65C726" w:rsidR="006D20A5" w:rsidRPr="00786071" w:rsidRDefault="006D20A5" w:rsidP="001B64BC">
      <w:pPr>
        <w:rPr>
          <w:sz w:val="22"/>
          <w:szCs w:val="22"/>
          <w:lang w:val="sr-Latn-CS"/>
        </w:rPr>
      </w:pPr>
    </w:p>
    <w:p w14:paraId="2DBEE7BC" w14:textId="77777777" w:rsidR="00530BD7" w:rsidRPr="00786071" w:rsidRDefault="00530BD7" w:rsidP="001B64BC">
      <w:pPr>
        <w:rPr>
          <w:bCs/>
          <w:sz w:val="22"/>
          <w:szCs w:val="22"/>
          <w:lang w:val="sv-SE"/>
        </w:rPr>
      </w:pPr>
    </w:p>
    <w:p w14:paraId="0FCCD830" w14:textId="6DAA3590" w:rsidR="00411B4B" w:rsidRDefault="00411B4B" w:rsidP="001B64BC">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35D5BA04" w14:textId="634E0A16" w:rsidR="00B96A91" w:rsidRDefault="00B96A91" w:rsidP="001B64BC">
      <w:pPr>
        <w:tabs>
          <w:tab w:val="left" w:pos="540"/>
          <w:tab w:val="left" w:pos="569"/>
        </w:tabs>
        <w:rPr>
          <w:b/>
          <w:bCs/>
          <w:sz w:val="22"/>
          <w:szCs w:val="22"/>
        </w:rPr>
      </w:pPr>
    </w:p>
    <w:p w14:paraId="0BE86654" w14:textId="75056E9C" w:rsidR="00B96A91" w:rsidRPr="00CC3B02" w:rsidRDefault="00B96A91" w:rsidP="001B64BC">
      <w:pPr>
        <w:pStyle w:val="Header"/>
        <w:tabs>
          <w:tab w:val="left" w:pos="284"/>
        </w:tabs>
        <w:jc w:val="both"/>
        <w:rPr>
          <w:sz w:val="22"/>
          <w:szCs w:val="20"/>
          <w:lang w:val="hr-HR"/>
        </w:rPr>
      </w:pPr>
      <w:r w:rsidRPr="00CC3B02">
        <w:rPr>
          <w:color w:val="000000"/>
          <w:sz w:val="22"/>
          <w:szCs w:val="22"/>
          <w:lang w:val="sr-Latn-CS"/>
        </w:rPr>
        <w:t xml:space="preserve">Entresto, </w:t>
      </w:r>
      <w:r w:rsidRPr="00CC3B02">
        <w:rPr>
          <w:sz w:val="22"/>
          <w:szCs w:val="20"/>
          <w:lang w:val="hr-HR"/>
        </w:rPr>
        <w:t>26 mg + 24 mg</w:t>
      </w:r>
      <w:r w:rsidRPr="00CC3B02">
        <w:rPr>
          <w:bCs/>
          <w:sz w:val="22"/>
          <w:szCs w:val="22"/>
          <w:lang w:val="hr-HR"/>
        </w:rPr>
        <w:t>, film tableta</w:t>
      </w:r>
    </w:p>
    <w:p w14:paraId="6DAA6686"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w:t>
      </w:r>
      <w:r w:rsidRPr="00D05DC7">
        <w:rPr>
          <w:rFonts w:eastAsia="SimSun"/>
          <w:color w:val="000000"/>
          <w:sz w:val="22"/>
          <w:szCs w:val="22"/>
          <w:lang w:val="hr-HR"/>
        </w:rPr>
        <w:t xml:space="preserve"> film</w:t>
      </w:r>
      <w:r>
        <w:rPr>
          <w:rFonts w:eastAsia="SimSun"/>
          <w:color w:val="000000"/>
          <w:sz w:val="22"/>
          <w:szCs w:val="22"/>
          <w:lang w:val="hr-HR"/>
        </w:rPr>
        <w:t xml:space="preserve"> </w:t>
      </w:r>
      <w:r w:rsidRPr="00D05DC7">
        <w:rPr>
          <w:rFonts w:eastAsia="SimSun"/>
          <w:color w:val="000000"/>
          <w:sz w:val="22"/>
          <w:szCs w:val="22"/>
          <w:lang w:val="hr-HR"/>
        </w:rPr>
        <w:t xml:space="preserve">tableta sadrži 25,7 mg valsartana </w:t>
      </w:r>
      <w:r>
        <w:rPr>
          <w:rFonts w:eastAsia="SimSun"/>
          <w:color w:val="000000"/>
          <w:sz w:val="22"/>
          <w:szCs w:val="22"/>
          <w:lang w:val="hr-HR"/>
        </w:rPr>
        <w:t xml:space="preserve">i </w:t>
      </w:r>
      <w:r w:rsidRPr="00D05DC7">
        <w:rPr>
          <w:rFonts w:eastAsia="SimSun"/>
          <w:color w:val="000000"/>
          <w:sz w:val="22"/>
          <w:szCs w:val="22"/>
          <w:lang w:val="hr-HR"/>
        </w:rPr>
        <w:t>24,3 mg sakubitrila</w:t>
      </w:r>
      <w:r>
        <w:rPr>
          <w:rFonts w:eastAsia="SimSun"/>
          <w:color w:val="000000"/>
          <w:sz w:val="22"/>
          <w:szCs w:val="22"/>
          <w:lang w:val="hr-HR"/>
        </w:rPr>
        <w:t xml:space="preserve"> </w:t>
      </w:r>
      <w:r w:rsidRPr="00D05DC7">
        <w:rPr>
          <w:rFonts w:eastAsia="SimSun"/>
          <w:color w:val="000000"/>
          <w:sz w:val="22"/>
          <w:szCs w:val="22"/>
          <w:lang w:val="hr-HR"/>
        </w:rPr>
        <w:t>(</w:t>
      </w:r>
      <w:r w:rsidRPr="004B78BD">
        <w:rPr>
          <w:rFonts w:eastAsia="SimSun"/>
          <w:i/>
          <w:iCs/>
          <w:color w:val="000000"/>
          <w:sz w:val="22"/>
          <w:szCs w:val="22"/>
          <w:lang w:val="hr-HR"/>
        </w:rPr>
        <w:t>u obliku natrijumove soli valsartan sakubitril kompleksa</w:t>
      </w:r>
      <w:r w:rsidRPr="009520F2">
        <w:rPr>
          <w:rFonts w:eastAsia="SimSun"/>
          <w:color w:val="000000"/>
          <w:sz w:val="22"/>
          <w:szCs w:val="22"/>
          <w:lang w:val="hr-HR"/>
        </w:rPr>
        <w:t>)</w:t>
      </w:r>
      <w:r w:rsidRPr="00D05DC7">
        <w:rPr>
          <w:rFonts w:eastAsia="SimSun"/>
          <w:color w:val="000000"/>
          <w:sz w:val="22"/>
          <w:szCs w:val="22"/>
          <w:lang w:val="hr-HR"/>
        </w:rPr>
        <w:t>.</w:t>
      </w:r>
    </w:p>
    <w:p w14:paraId="3D2C23DB" w14:textId="77777777" w:rsidR="00B96A91" w:rsidRPr="00D05DC7" w:rsidRDefault="00B96A91" w:rsidP="001B64BC">
      <w:pPr>
        <w:widowControl w:val="0"/>
        <w:autoSpaceDE w:val="0"/>
        <w:autoSpaceDN w:val="0"/>
        <w:adjustRightInd w:val="0"/>
        <w:spacing w:line="260" w:lineRule="exact"/>
        <w:jc w:val="both"/>
        <w:rPr>
          <w:rFonts w:eastAsia="SimSun"/>
          <w:color w:val="000000"/>
          <w:sz w:val="22"/>
          <w:szCs w:val="22"/>
          <w:lang w:val="hr-HR"/>
        </w:rPr>
      </w:pPr>
    </w:p>
    <w:p w14:paraId="61686817" w14:textId="1CB2FBFA" w:rsidR="00B96A91" w:rsidRPr="00CC3B02" w:rsidRDefault="00B96A91" w:rsidP="001B64BC">
      <w:pPr>
        <w:pStyle w:val="Header"/>
        <w:tabs>
          <w:tab w:val="left" w:pos="284"/>
        </w:tabs>
        <w:jc w:val="both"/>
        <w:rPr>
          <w:sz w:val="22"/>
          <w:szCs w:val="20"/>
          <w:lang w:val="hr-HR"/>
        </w:rPr>
      </w:pPr>
      <w:r w:rsidRPr="00CC3B02">
        <w:rPr>
          <w:color w:val="000000"/>
          <w:sz w:val="22"/>
          <w:szCs w:val="22"/>
          <w:lang w:val="sr-Latn-CS"/>
        </w:rPr>
        <w:t xml:space="preserve">Entresto, </w:t>
      </w:r>
      <w:r w:rsidRPr="00CC3B02">
        <w:rPr>
          <w:sz w:val="22"/>
          <w:szCs w:val="20"/>
          <w:lang w:val="hr-HR"/>
        </w:rPr>
        <w:t>51 mg + 49 mg, film tableta</w:t>
      </w:r>
    </w:p>
    <w:p w14:paraId="7D6E2AE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w:t>
      </w:r>
      <w:r w:rsidRPr="00D05DC7">
        <w:rPr>
          <w:rFonts w:eastAsia="SimSun"/>
          <w:color w:val="000000"/>
          <w:sz w:val="22"/>
          <w:szCs w:val="22"/>
          <w:lang w:val="hr-HR"/>
        </w:rPr>
        <w:t xml:space="preserve"> film tableta sadrži 51,4 mg valsartana</w:t>
      </w:r>
      <w:r>
        <w:rPr>
          <w:rFonts w:eastAsia="SimSun"/>
          <w:color w:val="000000"/>
          <w:sz w:val="22"/>
          <w:szCs w:val="22"/>
          <w:lang w:val="hr-HR"/>
        </w:rPr>
        <w:t xml:space="preserve"> i</w:t>
      </w:r>
      <w:r w:rsidRPr="00D05DC7">
        <w:rPr>
          <w:rFonts w:eastAsia="SimSun"/>
          <w:color w:val="000000"/>
          <w:sz w:val="22"/>
          <w:szCs w:val="22"/>
          <w:lang w:val="hr-HR"/>
        </w:rPr>
        <w:t xml:space="preserve"> 48,6 mg sakubitrila</w:t>
      </w:r>
      <w:r>
        <w:rPr>
          <w:rFonts w:eastAsia="SimSun"/>
          <w:color w:val="000000"/>
          <w:sz w:val="22"/>
          <w:szCs w:val="22"/>
          <w:lang w:val="hr-HR"/>
        </w:rPr>
        <w:t xml:space="preserve"> </w:t>
      </w:r>
      <w:r w:rsidRPr="004B78BD">
        <w:rPr>
          <w:rFonts w:eastAsia="SimSun"/>
          <w:i/>
          <w:iCs/>
          <w:color w:val="000000"/>
          <w:sz w:val="22"/>
          <w:szCs w:val="22"/>
          <w:lang w:val="hr-HR"/>
        </w:rPr>
        <w:t>(u obliku natrijumove soli valsartan sakubitril kompleksa</w:t>
      </w:r>
      <w:r w:rsidRPr="00D05DC7">
        <w:rPr>
          <w:rFonts w:eastAsia="SimSun"/>
          <w:color w:val="000000"/>
          <w:sz w:val="22"/>
          <w:szCs w:val="22"/>
          <w:lang w:val="hr-HR"/>
        </w:rPr>
        <w:t>).</w:t>
      </w:r>
    </w:p>
    <w:p w14:paraId="06708CA7" w14:textId="77777777" w:rsidR="00B96A91" w:rsidRPr="00D05DC7" w:rsidRDefault="00B96A91" w:rsidP="001B64BC">
      <w:pPr>
        <w:widowControl w:val="0"/>
        <w:autoSpaceDE w:val="0"/>
        <w:autoSpaceDN w:val="0"/>
        <w:adjustRightInd w:val="0"/>
        <w:spacing w:line="260" w:lineRule="exact"/>
        <w:jc w:val="both"/>
        <w:rPr>
          <w:rFonts w:eastAsia="SimSun"/>
          <w:color w:val="000000"/>
          <w:sz w:val="22"/>
          <w:szCs w:val="22"/>
          <w:lang w:val="hr-HR"/>
        </w:rPr>
      </w:pPr>
    </w:p>
    <w:p w14:paraId="26D0A714" w14:textId="7BAA3C0A" w:rsidR="00B96A91" w:rsidRPr="00CC3B02" w:rsidRDefault="00B96A91" w:rsidP="001B64BC">
      <w:pPr>
        <w:pStyle w:val="Header"/>
        <w:tabs>
          <w:tab w:val="left" w:pos="284"/>
        </w:tabs>
        <w:jc w:val="both"/>
        <w:rPr>
          <w:i/>
          <w:sz w:val="22"/>
          <w:szCs w:val="22"/>
          <w:lang w:val="bs-Latn-BA"/>
        </w:rPr>
      </w:pPr>
      <w:r w:rsidRPr="00CC3B02">
        <w:rPr>
          <w:color w:val="000000"/>
          <w:sz w:val="22"/>
          <w:szCs w:val="22"/>
          <w:lang w:val="sr-Latn-CS"/>
        </w:rPr>
        <w:t xml:space="preserve">Entresto, </w:t>
      </w:r>
      <w:r w:rsidRPr="00CC3B02">
        <w:rPr>
          <w:sz w:val="22"/>
          <w:szCs w:val="20"/>
          <w:lang w:val="hr-HR"/>
        </w:rPr>
        <w:t>103 mg + 97 mg, film tableta</w:t>
      </w:r>
    </w:p>
    <w:p w14:paraId="2DA67DE3"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Jedna</w:t>
      </w:r>
      <w:r w:rsidRPr="00D05DC7">
        <w:rPr>
          <w:rFonts w:eastAsia="SimSun"/>
          <w:color w:val="000000"/>
          <w:sz w:val="22"/>
          <w:szCs w:val="22"/>
          <w:lang w:val="hr-HR"/>
        </w:rPr>
        <w:t xml:space="preserve"> film tableta sadrži 102,8 mg valsartana </w:t>
      </w:r>
      <w:r>
        <w:rPr>
          <w:rFonts w:eastAsia="SimSun"/>
          <w:color w:val="000000"/>
          <w:sz w:val="22"/>
          <w:szCs w:val="22"/>
          <w:lang w:val="hr-HR"/>
        </w:rPr>
        <w:t xml:space="preserve">i </w:t>
      </w:r>
      <w:r w:rsidRPr="00D05DC7">
        <w:rPr>
          <w:rFonts w:eastAsia="SimSun"/>
          <w:color w:val="000000"/>
          <w:sz w:val="22"/>
          <w:szCs w:val="22"/>
          <w:lang w:val="hr-HR"/>
        </w:rPr>
        <w:t>97,2 mg sakubitrila</w:t>
      </w:r>
      <w:r>
        <w:rPr>
          <w:rFonts w:eastAsia="SimSun"/>
          <w:color w:val="000000"/>
          <w:sz w:val="22"/>
          <w:szCs w:val="22"/>
          <w:lang w:val="hr-HR"/>
        </w:rPr>
        <w:t xml:space="preserve"> </w:t>
      </w:r>
      <w:r w:rsidRPr="004B78BD">
        <w:rPr>
          <w:rFonts w:eastAsia="SimSun"/>
          <w:i/>
          <w:iCs/>
          <w:color w:val="000000"/>
          <w:sz w:val="22"/>
          <w:szCs w:val="22"/>
          <w:lang w:val="hr-HR"/>
        </w:rPr>
        <w:t>(u obliku natrijumove soli valsartan sakubitril kompleksa</w:t>
      </w:r>
      <w:r w:rsidRPr="00D05DC7">
        <w:rPr>
          <w:rFonts w:eastAsia="SimSun"/>
          <w:color w:val="000000"/>
          <w:sz w:val="22"/>
          <w:szCs w:val="22"/>
          <w:lang w:val="hr-HR"/>
        </w:rPr>
        <w:t>).</w:t>
      </w:r>
    </w:p>
    <w:p w14:paraId="408E6874" w14:textId="77777777" w:rsidR="005A0B2E" w:rsidRPr="00786071" w:rsidRDefault="005A0B2E" w:rsidP="001B64BC">
      <w:pPr>
        <w:rPr>
          <w:sz w:val="22"/>
          <w:szCs w:val="22"/>
          <w:lang w:val="sr-Latn-CS"/>
        </w:rPr>
      </w:pPr>
    </w:p>
    <w:p w14:paraId="3249FAC4" w14:textId="77777777" w:rsidR="0003793F" w:rsidRPr="00786071" w:rsidRDefault="0003793F" w:rsidP="001B64BC">
      <w:pPr>
        <w:rPr>
          <w:sz w:val="22"/>
          <w:szCs w:val="22"/>
          <w:lang w:val="sr-Latn-CS"/>
        </w:rPr>
      </w:pPr>
      <w:r w:rsidRPr="00786071">
        <w:rPr>
          <w:sz w:val="22"/>
          <w:szCs w:val="22"/>
          <w:lang w:val="sr-Latn-CS"/>
        </w:rPr>
        <w:t>Za spisak svih ekscipijenasa, pogledati dio 6.1.</w:t>
      </w:r>
    </w:p>
    <w:p w14:paraId="5B25F5C3" w14:textId="77777777" w:rsidR="0003793F" w:rsidRDefault="0003793F" w:rsidP="001B64BC">
      <w:pPr>
        <w:rPr>
          <w:sz w:val="22"/>
          <w:szCs w:val="22"/>
          <w:lang w:val="sr-Latn-CS"/>
        </w:rPr>
      </w:pPr>
    </w:p>
    <w:p w14:paraId="5A521B65" w14:textId="77777777" w:rsidR="00C37FD7" w:rsidRPr="00786071" w:rsidRDefault="00C37FD7" w:rsidP="001B64BC">
      <w:pPr>
        <w:rPr>
          <w:sz w:val="22"/>
          <w:szCs w:val="22"/>
          <w:lang w:val="sr-Latn-CS"/>
        </w:rPr>
      </w:pPr>
    </w:p>
    <w:p w14:paraId="1AF1DE91" w14:textId="77777777" w:rsidR="00411B4B" w:rsidRPr="00786071" w:rsidRDefault="00411B4B" w:rsidP="001B64BC">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4BF4113B" w14:textId="33C908F7" w:rsidR="00411B4B" w:rsidRDefault="00411B4B" w:rsidP="001B64BC">
      <w:pPr>
        <w:rPr>
          <w:bCs/>
          <w:sz w:val="22"/>
          <w:szCs w:val="22"/>
          <w:lang w:val="sr-Latn-CS"/>
        </w:rPr>
      </w:pPr>
    </w:p>
    <w:p w14:paraId="3E9C0936" w14:textId="77777777" w:rsidR="00B96A91" w:rsidRDefault="00B96A91" w:rsidP="001B64BC">
      <w:pPr>
        <w:pStyle w:val="Header"/>
        <w:tabs>
          <w:tab w:val="left" w:pos="284"/>
        </w:tabs>
        <w:jc w:val="both"/>
        <w:rPr>
          <w:sz w:val="22"/>
          <w:szCs w:val="22"/>
        </w:rPr>
      </w:pPr>
      <w:r>
        <w:rPr>
          <w:sz w:val="22"/>
          <w:szCs w:val="22"/>
        </w:rPr>
        <w:t xml:space="preserve">Film </w:t>
      </w:r>
      <w:proofErr w:type="spellStart"/>
      <w:r>
        <w:rPr>
          <w:sz w:val="22"/>
          <w:szCs w:val="22"/>
        </w:rPr>
        <w:t>tableta</w:t>
      </w:r>
      <w:proofErr w:type="spellEnd"/>
    </w:p>
    <w:p w14:paraId="031A44A0" w14:textId="77777777" w:rsidR="00B96A91" w:rsidRDefault="00B96A91" w:rsidP="001B64BC">
      <w:pPr>
        <w:pStyle w:val="Header"/>
        <w:tabs>
          <w:tab w:val="left" w:pos="284"/>
        </w:tabs>
        <w:jc w:val="both"/>
        <w:rPr>
          <w:sz w:val="22"/>
          <w:szCs w:val="22"/>
        </w:rPr>
      </w:pPr>
    </w:p>
    <w:p w14:paraId="21C756BD" w14:textId="77777777" w:rsidR="00B96A91" w:rsidRDefault="00B96A91" w:rsidP="001B64BC">
      <w:pPr>
        <w:widowControl w:val="0"/>
        <w:tabs>
          <w:tab w:val="left" w:pos="567"/>
        </w:tabs>
        <w:jc w:val="both"/>
        <w:rPr>
          <w:sz w:val="22"/>
          <w:szCs w:val="20"/>
          <w:lang w:val="hr-HR"/>
        </w:rPr>
      </w:pPr>
      <w:r w:rsidRPr="00D05DC7">
        <w:rPr>
          <w:sz w:val="22"/>
          <w:szCs w:val="20"/>
          <w:lang w:val="hr-HR"/>
        </w:rPr>
        <w:t>Entresto</w:t>
      </w:r>
      <w:r>
        <w:rPr>
          <w:sz w:val="22"/>
          <w:szCs w:val="20"/>
          <w:lang w:val="hr-HR"/>
        </w:rPr>
        <w:t>,</w:t>
      </w:r>
      <w:r w:rsidRPr="00D05DC7">
        <w:rPr>
          <w:sz w:val="22"/>
          <w:szCs w:val="20"/>
          <w:lang w:val="hr-HR"/>
        </w:rPr>
        <w:t xml:space="preserve"> </w:t>
      </w:r>
      <w:r>
        <w:rPr>
          <w:sz w:val="22"/>
          <w:szCs w:val="20"/>
          <w:lang w:val="hr-HR"/>
        </w:rPr>
        <w:t>26 mg + 24</w:t>
      </w:r>
      <w:r w:rsidRPr="00D05DC7">
        <w:rPr>
          <w:sz w:val="22"/>
          <w:szCs w:val="20"/>
          <w:lang w:val="hr-HR"/>
        </w:rPr>
        <w:t> mg</w:t>
      </w:r>
      <w:r>
        <w:rPr>
          <w:sz w:val="22"/>
          <w:szCs w:val="20"/>
          <w:lang w:val="hr-HR"/>
        </w:rPr>
        <w:t>,</w:t>
      </w:r>
      <w:r w:rsidRPr="00D05DC7">
        <w:rPr>
          <w:sz w:val="22"/>
          <w:szCs w:val="20"/>
          <w:lang w:val="hr-HR"/>
        </w:rPr>
        <w:t xml:space="preserve"> film tablet</w:t>
      </w:r>
      <w:r>
        <w:rPr>
          <w:sz w:val="22"/>
          <w:szCs w:val="20"/>
          <w:lang w:val="hr-HR"/>
        </w:rPr>
        <w:t>a, je</w:t>
      </w:r>
      <w:r w:rsidRPr="00D05DC7">
        <w:rPr>
          <w:sz w:val="22"/>
          <w:szCs w:val="20"/>
          <w:lang w:val="hr-HR"/>
        </w:rPr>
        <w:t xml:space="preserve"> ljubičasto b</w:t>
      </w:r>
      <w:r>
        <w:rPr>
          <w:sz w:val="22"/>
          <w:szCs w:val="20"/>
          <w:lang w:val="hr-HR"/>
        </w:rPr>
        <w:t>ijela</w:t>
      </w:r>
      <w:r w:rsidRPr="00D05DC7">
        <w:rPr>
          <w:sz w:val="22"/>
          <w:szCs w:val="20"/>
          <w:lang w:val="hr-HR"/>
        </w:rPr>
        <w:t xml:space="preserve"> ovaln</w:t>
      </w:r>
      <w:r>
        <w:rPr>
          <w:sz w:val="22"/>
          <w:szCs w:val="20"/>
          <w:lang w:val="hr-HR"/>
        </w:rPr>
        <w:t>a</w:t>
      </w:r>
      <w:r w:rsidRPr="00D05DC7">
        <w:rPr>
          <w:sz w:val="22"/>
          <w:szCs w:val="20"/>
          <w:lang w:val="hr-HR"/>
        </w:rPr>
        <w:t xml:space="preserve"> </w:t>
      </w:r>
      <w:r>
        <w:rPr>
          <w:sz w:val="22"/>
          <w:szCs w:val="20"/>
          <w:lang w:val="hr-HR"/>
        </w:rPr>
        <w:t xml:space="preserve">bikonvesna </w:t>
      </w:r>
      <w:r w:rsidRPr="00D05DC7">
        <w:rPr>
          <w:sz w:val="22"/>
          <w:szCs w:val="20"/>
          <w:lang w:val="hr-HR"/>
        </w:rPr>
        <w:t>tablet</w:t>
      </w:r>
      <w:r>
        <w:rPr>
          <w:sz w:val="22"/>
          <w:szCs w:val="20"/>
          <w:lang w:val="hr-HR"/>
        </w:rPr>
        <w:t>a sa fasetiranim ivicama, bez podione crte, sa</w:t>
      </w:r>
      <w:r w:rsidRPr="00D05DC7">
        <w:rPr>
          <w:sz w:val="22"/>
          <w:szCs w:val="20"/>
          <w:lang w:val="hr-HR"/>
        </w:rPr>
        <w:t xml:space="preserve"> oznakom „NVR“ s</w:t>
      </w:r>
      <w:r>
        <w:rPr>
          <w:sz w:val="22"/>
          <w:szCs w:val="20"/>
          <w:lang w:val="hr-HR"/>
        </w:rPr>
        <w:t>a</w:t>
      </w:r>
      <w:r w:rsidRPr="00D05DC7">
        <w:rPr>
          <w:sz w:val="22"/>
          <w:szCs w:val="20"/>
          <w:lang w:val="hr-HR"/>
        </w:rPr>
        <w:t xml:space="preserve"> jedne strane i „LZ“ s</w:t>
      </w:r>
      <w:r>
        <w:rPr>
          <w:sz w:val="22"/>
          <w:szCs w:val="20"/>
          <w:lang w:val="hr-HR"/>
        </w:rPr>
        <w:t>a</w:t>
      </w:r>
      <w:r w:rsidRPr="00D05DC7">
        <w:rPr>
          <w:sz w:val="22"/>
          <w:szCs w:val="20"/>
          <w:lang w:val="hr-HR"/>
        </w:rPr>
        <w:t xml:space="preserve"> druge strane. </w:t>
      </w:r>
      <w:r w:rsidRPr="00F23DEC">
        <w:rPr>
          <w:sz w:val="22"/>
          <w:szCs w:val="20"/>
          <w:lang w:val="hr-HR"/>
        </w:rPr>
        <w:t>Približna dimenzija tablete je 13,1 mm x 5,2 mm.</w:t>
      </w:r>
    </w:p>
    <w:p w14:paraId="7757555E" w14:textId="77777777" w:rsidR="00B96A91" w:rsidRDefault="00B96A91" w:rsidP="001B64BC">
      <w:pPr>
        <w:widowControl w:val="0"/>
        <w:tabs>
          <w:tab w:val="left" w:pos="567"/>
        </w:tabs>
        <w:jc w:val="both"/>
        <w:rPr>
          <w:sz w:val="22"/>
          <w:szCs w:val="20"/>
          <w:lang w:val="hr-HR"/>
        </w:rPr>
      </w:pPr>
    </w:p>
    <w:p w14:paraId="6C72FDA4" w14:textId="77777777" w:rsidR="00B96A91" w:rsidRDefault="00B96A91" w:rsidP="001B64BC">
      <w:pPr>
        <w:widowControl w:val="0"/>
        <w:tabs>
          <w:tab w:val="left" w:pos="567"/>
        </w:tabs>
        <w:jc w:val="both"/>
        <w:rPr>
          <w:sz w:val="22"/>
          <w:szCs w:val="20"/>
          <w:lang w:val="hr-HR"/>
        </w:rPr>
      </w:pPr>
      <w:r w:rsidRPr="00D05DC7">
        <w:rPr>
          <w:sz w:val="22"/>
          <w:szCs w:val="20"/>
          <w:lang w:val="hr-HR"/>
        </w:rPr>
        <w:t>Entresto</w:t>
      </w:r>
      <w:r>
        <w:rPr>
          <w:sz w:val="22"/>
          <w:szCs w:val="20"/>
          <w:lang w:val="hr-HR"/>
        </w:rPr>
        <w:t>,</w:t>
      </w:r>
      <w:r w:rsidRPr="00D05DC7">
        <w:rPr>
          <w:sz w:val="22"/>
          <w:szCs w:val="20"/>
          <w:lang w:val="hr-HR"/>
        </w:rPr>
        <w:t xml:space="preserve"> </w:t>
      </w:r>
      <w:r>
        <w:rPr>
          <w:sz w:val="22"/>
          <w:szCs w:val="20"/>
          <w:lang w:val="hr-HR"/>
        </w:rPr>
        <w:t>51</w:t>
      </w:r>
      <w:r w:rsidRPr="00D05DC7">
        <w:rPr>
          <w:sz w:val="22"/>
          <w:szCs w:val="20"/>
          <w:lang w:val="hr-HR"/>
        </w:rPr>
        <w:t> mg</w:t>
      </w:r>
      <w:r>
        <w:rPr>
          <w:sz w:val="22"/>
          <w:szCs w:val="20"/>
          <w:lang w:val="hr-HR"/>
        </w:rPr>
        <w:t xml:space="preserve"> + 49</w:t>
      </w:r>
      <w:r w:rsidRPr="00D05DC7">
        <w:rPr>
          <w:sz w:val="22"/>
          <w:szCs w:val="20"/>
          <w:lang w:val="hr-HR"/>
        </w:rPr>
        <w:t> mg</w:t>
      </w:r>
      <w:r>
        <w:rPr>
          <w:sz w:val="22"/>
          <w:szCs w:val="20"/>
          <w:lang w:val="hr-HR"/>
        </w:rPr>
        <w:t>,</w:t>
      </w:r>
      <w:r w:rsidRPr="00D05DC7">
        <w:rPr>
          <w:sz w:val="22"/>
          <w:szCs w:val="20"/>
          <w:lang w:val="hr-HR"/>
        </w:rPr>
        <w:t xml:space="preserve"> film</w:t>
      </w:r>
      <w:r>
        <w:rPr>
          <w:sz w:val="22"/>
          <w:szCs w:val="20"/>
          <w:lang w:val="hr-HR"/>
        </w:rPr>
        <w:t xml:space="preserve"> tableta, je </w:t>
      </w:r>
      <w:r w:rsidRPr="00D05DC7">
        <w:rPr>
          <w:sz w:val="22"/>
          <w:szCs w:val="20"/>
          <w:lang w:val="hr-HR"/>
        </w:rPr>
        <w:t>bl</w:t>
      </w:r>
      <w:r>
        <w:rPr>
          <w:sz w:val="22"/>
          <w:szCs w:val="20"/>
          <w:lang w:val="hr-HR"/>
        </w:rPr>
        <w:t>ij</w:t>
      </w:r>
      <w:r w:rsidRPr="00D05DC7">
        <w:rPr>
          <w:sz w:val="22"/>
          <w:szCs w:val="20"/>
          <w:lang w:val="hr-HR"/>
        </w:rPr>
        <w:t>edo žut</w:t>
      </w:r>
      <w:r>
        <w:rPr>
          <w:sz w:val="22"/>
          <w:szCs w:val="20"/>
          <w:lang w:val="hr-HR"/>
        </w:rPr>
        <w:t>a</w:t>
      </w:r>
      <w:r w:rsidRPr="00D05DC7">
        <w:rPr>
          <w:sz w:val="22"/>
          <w:szCs w:val="20"/>
          <w:lang w:val="hr-HR"/>
        </w:rPr>
        <w:t xml:space="preserve"> ovaln</w:t>
      </w:r>
      <w:r>
        <w:rPr>
          <w:sz w:val="22"/>
          <w:szCs w:val="20"/>
          <w:lang w:val="hr-HR"/>
        </w:rPr>
        <w:t xml:space="preserve">a bikonveksna </w:t>
      </w:r>
      <w:r w:rsidRPr="00D05DC7">
        <w:rPr>
          <w:sz w:val="22"/>
          <w:szCs w:val="20"/>
          <w:lang w:val="hr-HR"/>
        </w:rPr>
        <w:t>tablet</w:t>
      </w:r>
      <w:r>
        <w:rPr>
          <w:sz w:val="22"/>
          <w:szCs w:val="20"/>
          <w:lang w:val="hr-HR"/>
        </w:rPr>
        <w:t>a</w:t>
      </w:r>
      <w:r w:rsidRPr="00D05DC7">
        <w:rPr>
          <w:sz w:val="22"/>
          <w:szCs w:val="20"/>
          <w:lang w:val="hr-HR"/>
        </w:rPr>
        <w:t xml:space="preserve"> </w:t>
      </w:r>
      <w:r>
        <w:rPr>
          <w:sz w:val="22"/>
          <w:szCs w:val="20"/>
          <w:lang w:val="hr-HR"/>
        </w:rPr>
        <w:t xml:space="preserve">sa fasetiranim ivicama, bez podione crte, </w:t>
      </w:r>
      <w:r w:rsidRPr="00D05DC7">
        <w:rPr>
          <w:sz w:val="22"/>
          <w:szCs w:val="20"/>
          <w:lang w:val="hr-HR"/>
        </w:rPr>
        <w:t>s</w:t>
      </w:r>
      <w:r>
        <w:rPr>
          <w:sz w:val="22"/>
          <w:szCs w:val="20"/>
          <w:lang w:val="hr-HR"/>
        </w:rPr>
        <w:t>a</w:t>
      </w:r>
      <w:r w:rsidRPr="00D05DC7">
        <w:rPr>
          <w:sz w:val="22"/>
          <w:szCs w:val="20"/>
          <w:lang w:val="hr-HR"/>
        </w:rPr>
        <w:t xml:space="preserve"> oznakom „NVR“ s</w:t>
      </w:r>
      <w:r>
        <w:rPr>
          <w:sz w:val="22"/>
          <w:szCs w:val="20"/>
          <w:lang w:val="hr-HR"/>
        </w:rPr>
        <w:t>a</w:t>
      </w:r>
      <w:r w:rsidRPr="00D05DC7">
        <w:rPr>
          <w:sz w:val="22"/>
          <w:szCs w:val="20"/>
          <w:lang w:val="hr-HR"/>
        </w:rPr>
        <w:t xml:space="preserve"> jedne strane i „L1“ s</w:t>
      </w:r>
      <w:r>
        <w:rPr>
          <w:sz w:val="22"/>
          <w:szCs w:val="20"/>
          <w:lang w:val="hr-HR"/>
        </w:rPr>
        <w:t>a</w:t>
      </w:r>
      <w:r w:rsidRPr="00D05DC7">
        <w:rPr>
          <w:sz w:val="22"/>
          <w:szCs w:val="20"/>
          <w:lang w:val="hr-HR"/>
        </w:rPr>
        <w:t xml:space="preserve"> druge strane. </w:t>
      </w:r>
      <w:r w:rsidRPr="00F23DEC">
        <w:rPr>
          <w:sz w:val="22"/>
          <w:szCs w:val="20"/>
          <w:lang w:val="hr-HR"/>
        </w:rPr>
        <w:t>Približna dimenzija tablete je 13,1 mm x 5,2 mm.</w:t>
      </w:r>
    </w:p>
    <w:p w14:paraId="12797E95" w14:textId="77777777" w:rsidR="00B96A91" w:rsidRDefault="00B96A91" w:rsidP="001B64BC">
      <w:pPr>
        <w:widowControl w:val="0"/>
        <w:tabs>
          <w:tab w:val="left" w:pos="567"/>
        </w:tabs>
        <w:jc w:val="both"/>
        <w:rPr>
          <w:sz w:val="22"/>
          <w:szCs w:val="20"/>
          <w:lang w:val="hr-HR"/>
        </w:rPr>
      </w:pPr>
    </w:p>
    <w:p w14:paraId="59F9D34C" w14:textId="77777777" w:rsidR="00B96A91" w:rsidRDefault="00B96A91" w:rsidP="001B64BC">
      <w:pPr>
        <w:widowControl w:val="0"/>
        <w:tabs>
          <w:tab w:val="left" w:pos="567"/>
        </w:tabs>
        <w:jc w:val="both"/>
        <w:rPr>
          <w:sz w:val="22"/>
          <w:szCs w:val="20"/>
          <w:lang w:val="hr-HR"/>
        </w:rPr>
      </w:pPr>
      <w:r w:rsidRPr="00D05DC7">
        <w:rPr>
          <w:sz w:val="22"/>
          <w:szCs w:val="20"/>
          <w:lang w:val="hr-HR"/>
        </w:rPr>
        <w:t>Entresto</w:t>
      </w:r>
      <w:r>
        <w:rPr>
          <w:sz w:val="22"/>
          <w:szCs w:val="20"/>
          <w:lang w:val="hr-HR"/>
        </w:rPr>
        <w:t>,</w:t>
      </w:r>
      <w:r w:rsidRPr="00D05DC7">
        <w:rPr>
          <w:sz w:val="22"/>
          <w:szCs w:val="20"/>
          <w:lang w:val="hr-HR"/>
        </w:rPr>
        <w:t xml:space="preserve"> </w:t>
      </w:r>
      <w:r>
        <w:rPr>
          <w:sz w:val="22"/>
          <w:szCs w:val="20"/>
          <w:lang w:val="hr-HR"/>
        </w:rPr>
        <w:t>103</w:t>
      </w:r>
      <w:r w:rsidRPr="00D05DC7">
        <w:rPr>
          <w:sz w:val="22"/>
          <w:szCs w:val="20"/>
          <w:lang w:val="hr-HR"/>
        </w:rPr>
        <w:t> mg</w:t>
      </w:r>
      <w:r>
        <w:rPr>
          <w:sz w:val="22"/>
          <w:szCs w:val="20"/>
          <w:lang w:val="hr-HR"/>
        </w:rPr>
        <w:t xml:space="preserve"> + 97</w:t>
      </w:r>
      <w:r w:rsidRPr="00D05DC7">
        <w:rPr>
          <w:sz w:val="22"/>
          <w:szCs w:val="20"/>
          <w:lang w:val="hr-HR"/>
        </w:rPr>
        <w:t> mg</w:t>
      </w:r>
      <w:r>
        <w:rPr>
          <w:sz w:val="22"/>
          <w:szCs w:val="20"/>
          <w:lang w:val="hr-HR"/>
        </w:rPr>
        <w:t>,</w:t>
      </w:r>
      <w:r w:rsidRPr="00D05DC7">
        <w:rPr>
          <w:sz w:val="22"/>
          <w:szCs w:val="20"/>
          <w:lang w:val="hr-HR"/>
        </w:rPr>
        <w:t xml:space="preserve"> film tablet</w:t>
      </w:r>
      <w:r>
        <w:rPr>
          <w:sz w:val="22"/>
          <w:szCs w:val="20"/>
          <w:lang w:val="hr-HR"/>
        </w:rPr>
        <w:t>a,</w:t>
      </w:r>
      <w:r w:rsidRPr="00D05DC7">
        <w:rPr>
          <w:sz w:val="22"/>
          <w:szCs w:val="20"/>
          <w:lang w:val="hr-HR"/>
        </w:rPr>
        <w:t xml:space="preserve"> </w:t>
      </w:r>
      <w:r>
        <w:rPr>
          <w:sz w:val="22"/>
          <w:szCs w:val="20"/>
          <w:lang w:val="hr-HR"/>
        </w:rPr>
        <w:t>je</w:t>
      </w:r>
      <w:r w:rsidRPr="00D05DC7">
        <w:rPr>
          <w:sz w:val="22"/>
          <w:szCs w:val="20"/>
          <w:lang w:val="hr-HR"/>
        </w:rPr>
        <w:t xml:space="preserve"> sv</w:t>
      </w:r>
      <w:r>
        <w:rPr>
          <w:sz w:val="22"/>
          <w:szCs w:val="20"/>
          <w:lang w:val="hr-HR"/>
        </w:rPr>
        <w:t>ij</w:t>
      </w:r>
      <w:r w:rsidRPr="00D05DC7">
        <w:rPr>
          <w:sz w:val="22"/>
          <w:szCs w:val="20"/>
          <w:lang w:val="hr-HR"/>
        </w:rPr>
        <w:t>etlo ružičast</w:t>
      </w:r>
      <w:r>
        <w:rPr>
          <w:sz w:val="22"/>
          <w:szCs w:val="20"/>
          <w:lang w:val="hr-HR"/>
        </w:rPr>
        <w:t>a</w:t>
      </w:r>
      <w:r w:rsidRPr="00D05DC7">
        <w:rPr>
          <w:sz w:val="22"/>
          <w:szCs w:val="20"/>
          <w:lang w:val="hr-HR"/>
        </w:rPr>
        <w:t xml:space="preserve"> ovaln</w:t>
      </w:r>
      <w:r>
        <w:rPr>
          <w:sz w:val="22"/>
          <w:szCs w:val="20"/>
          <w:lang w:val="hr-HR"/>
        </w:rPr>
        <w:t>a</w:t>
      </w:r>
      <w:r w:rsidRPr="00D05DC7">
        <w:rPr>
          <w:sz w:val="22"/>
          <w:szCs w:val="20"/>
          <w:lang w:val="hr-HR"/>
        </w:rPr>
        <w:t xml:space="preserve"> </w:t>
      </w:r>
      <w:r>
        <w:rPr>
          <w:sz w:val="22"/>
          <w:szCs w:val="20"/>
          <w:lang w:val="hr-HR"/>
        </w:rPr>
        <w:t xml:space="preserve">bikonveksna </w:t>
      </w:r>
      <w:r w:rsidRPr="00D05DC7">
        <w:rPr>
          <w:sz w:val="22"/>
          <w:szCs w:val="20"/>
          <w:lang w:val="hr-HR"/>
        </w:rPr>
        <w:t>tablet</w:t>
      </w:r>
      <w:r>
        <w:rPr>
          <w:sz w:val="22"/>
          <w:szCs w:val="20"/>
          <w:lang w:val="hr-HR"/>
        </w:rPr>
        <w:t>a sa fasetiranim ivicama, bez podione crte, sa</w:t>
      </w:r>
      <w:r w:rsidRPr="00D05DC7">
        <w:rPr>
          <w:sz w:val="22"/>
          <w:szCs w:val="20"/>
          <w:lang w:val="hr-HR"/>
        </w:rPr>
        <w:t xml:space="preserve"> oznakom „NVR“ s</w:t>
      </w:r>
      <w:r>
        <w:rPr>
          <w:sz w:val="22"/>
          <w:szCs w:val="20"/>
          <w:lang w:val="hr-HR"/>
        </w:rPr>
        <w:t>a</w:t>
      </w:r>
      <w:r w:rsidRPr="00D05DC7">
        <w:rPr>
          <w:sz w:val="22"/>
          <w:szCs w:val="20"/>
          <w:lang w:val="hr-HR"/>
        </w:rPr>
        <w:t xml:space="preserve"> jedne strane i „L11“ s</w:t>
      </w:r>
      <w:r>
        <w:rPr>
          <w:sz w:val="22"/>
          <w:szCs w:val="20"/>
          <w:lang w:val="hr-HR"/>
        </w:rPr>
        <w:t>a</w:t>
      </w:r>
      <w:r w:rsidRPr="00D05DC7">
        <w:rPr>
          <w:sz w:val="22"/>
          <w:szCs w:val="20"/>
          <w:lang w:val="hr-HR"/>
        </w:rPr>
        <w:t xml:space="preserve"> druge strane. </w:t>
      </w:r>
      <w:r w:rsidRPr="00F23DEC">
        <w:rPr>
          <w:sz w:val="22"/>
          <w:szCs w:val="20"/>
          <w:lang w:val="hr-HR"/>
        </w:rPr>
        <w:t>Približna dimenzija tablete je 15,1 mm x 6,0 mm.</w:t>
      </w:r>
    </w:p>
    <w:p w14:paraId="4269BE27" w14:textId="77777777" w:rsidR="00B96A91" w:rsidRPr="00786071" w:rsidRDefault="00B96A91" w:rsidP="001B64BC">
      <w:pPr>
        <w:rPr>
          <w:bCs/>
          <w:sz w:val="22"/>
          <w:szCs w:val="22"/>
          <w:lang w:val="sr-Latn-CS"/>
        </w:rPr>
      </w:pPr>
    </w:p>
    <w:p w14:paraId="6D45D2E2" w14:textId="77777777" w:rsidR="00EC2532" w:rsidRPr="00786071" w:rsidRDefault="00EC2532" w:rsidP="001B64BC">
      <w:pPr>
        <w:rPr>
          <w:bCs/>
          <w:sz w:val="22"/>
          <w:szCs w:val="22"/>
          <w:lang w:val="sr-Latn-CS"/>
        </w:rPr>
      </w:pPr>
    </w:p>
    <w:p w14:paraId="2AB808C3" w14:textId="77777777" w:rsidR="00411B4B" w:rsidRPr="00786071" w:rsidRDefault="00411B4B" w:rsidP="001B64BC">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7134E09A" w14:textId="77777777" w:rsidR="00CD6F02" w:rsidRPr="00786071" w:rsidRDefault="00CD6F02" w:rsidP="001B64BC">
      <w:pPr>
        <w:tabs>
          <w:tab w:val="left" w:pos="540"/>
          <w:tab w:val="left" w:pos="569"/>
        </w:tabs>
        <w:rPr>
          <w:bCs/>
          <w:sz w:val="22"/>
          <w:szCs w:val="22"/>
        </w:rPr>
      </w:pPr>
    </w:p>
    <w:p w14:paraId="149963E4" w14:textId="77777777" w:rsidR="00411B4B" w:rsidRPr="00786071" w:rsidRDefault="00411B4B" w:rsidP="001B64BC">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proofErr w:type="spellStart"/>
      <w:r w:rsidRPr="00786071">
        <w:rPr>
          <w:b/>
          <w:bCs/>
          <w:sz w:val="22"/>
          <w:szCs w:val="22"/>
        </w:rPr>
        <w:t>Terapijske</w:t>
      </w:r>
      <w:proofErr w:type="spellEnd"/>
      <w:r w:rsidRPr="00786071">
        <w:rPr>
          <w:b/>
          <w:bCs/>
          <w:sz w:val="22"/>
          <w:szCs w:val="22"/>
        </w:rPr>
        <w:t xml:space="preserve"> </w:t>
      </w:r>
      <w:proofErr w:type="spellStart"/>
      <w:r w:rsidRPr="00786071">
        <w:rPr>
          <w:b/>
          <w:bCs/>
          <w:sz w:val="22"/>
          <w:szCs w:val="22"/>
        </w:rPr>
        <w:t>indikacije</w:t>
      </w:r>
      <w:proofErr w:type="spellEnd"/>
    </w:p>
    <w:p w14:paraId="5B99E3B0" w14:textId="43602DE2" w:rsidR="00411B4B" w:rsidRPr="00AB63CB" w:rsidRDefault="00411B4B" w:rsidP="001B64BC">
      <w:pPr>
        <w:tabs>
          <w:tab w:val="left" w:pos="540"/>
          <w:tab w:val="left" w:pos="569"/>
        </w:tabs>
        <w:jc w:val="both"/>
        <w:rPr>
          <w:bCs/>
          <w:sz w:val="20"/>
          <w:szCs w:val="20"/>
        </w:rPr>
      </w:pPr>
    </w:p>
    <w:p w14:paraId="5BCB1A4C" w14:textId="77777777" w:rsidR="003035EC" w:rsidRPr="00AB63CB" w:rsidRDefault="003035EC" w:rsidP="001B64BC">
      <w:pPr>
        <w:widowControl w:val="0"/>
        <w:jc w:val="both"/>
        <w:rPr>
          <w:color w:val="000000"/>
          <w:sz w:val="20"/>
          <w:szCs w:val="20"/>
          <w:lang w:val="hr-HR"/>
        </w:rPr>
      </w:pPr>
      <w:r w:rsidRPr="00AB63CB">
        <w:rPr>
          <w:color w:val="000000"/>
          <w:sz w:val="22"/>
          <w:szCs w:val="22"/>
          <w:u w:val="single"/>
          <w:lang w:val="hr-HR"/>
        </w:rPr>
        <w:t>Insuficijencija srca kod odraslih</w:t>
      </w:r>
      <w:r w:rsidRPr="00AB63CB">
        <w:rPr>
          <w:color w:val="000000"/>
          <w:sz w:val="20"/>
          <w:szCs w:val="20"/>
          <w:lang w:val="hr-HR"/>
        </w:rPr>
        <w:t xml:space="preserve"> </w:t>
      </w:r>
    </w:p>
    <w:p w14:paraId="4E1CF26B" w14:textId="77777777" w:rsidR="003035EC" w:rsidRDefault="003035EC" w:rsidP="001B64BC">
      <w:pPr>
        <w:widowControl w:val="0"/>
        <w:jc w:val="both"/>
        <w:rPr>
          <w:color w:val="000000"/>
          <w:sz w:val="22"/>
          <w:szCs w:val="22"/>
          <w:lang w:val="hr-HR"/>
        </w:rPr>
      </w:pPr>
    </w:p>
    <w:p w14:paraId="65F2D501" w14:textId="203D7E57" w:rsidR="00B96A91" w:rsidRDefault="00B96A91" w:rsidP="001B64BC">
      <w:pPr>
        <w:widowControl w:val="0"/>
        <w:jc w:val="both"/>
        <w:rPr>
          <w:color w:val="000000"/>
          <w:sz w:val="22"/>
          <w:szCs w:val="22"/>
          <w:lang w:val="hr-HR"/>
        </w:rPr>
      </w:pPr>
      <w:r w:rsidRPr="00BC3D87">
        <w:rPr>
          <w:color w:val="000000"/>
          <w:sz w:val="22"/>
          <w:szCs w:val="22"/>
          <w:lang w:val="hr-HR"/>
        </w:rPr>
        <w:t>Lijek Entresto je indi</w:t>
      </w:r>
      <w:r w:rsidRPr="009D7F53">
        <w:rPr>
          <w:color w:val="000000"/>
          <w:sz w:val="22"/>
          <w:szCs w:val="22"/>
          <w:lang w:val="hr-HR"/>
        </w:rPr>
        <w:t xml:space="preserve">kovan za terapiju simptomatske hronične insuficijencije srca sa smanjenom ejekcionom frakcijom kod odraslih pacijenata (vidjeti </w:t>
      </w:r>
      <w:r w:rsidR="005E45A9" w:rsidRPr="009D7F53">
        <w:rPr>
          <w:color w:val="000000"/>
          <w:sz w:val="22"/>
          <w:szCs w:val="22"/>
          <w:lang w:val="hr-HR"/>
        </w:rPr>
        <w:t xml:space="preserve">dio </w:t>
      </w:r>
      <w:r w:rsidRPr="009D7F53">
        <w:rPr>
          <w:color w:val="000000"/>
          <w:sz w:val="22"/>
          <w:szCs w:val="22"/>
          <w:lang w:val="hr-HR"/>
        </w:rPr>
        <w:t>5.1).</w:t>
      </w:r>
    </w:p>
    <w:p w14:paraId="72249596" w14:textId="73069A40" w:rsidR="003035EC" w:rsidRDefault="003035EC" w:rsidP="001B64BC">
      <w:pPr>
        <w:widowControl w:val="0"/>
        <w:jc w:val="both"/>
        <w:rPr>
          <w:color w:val="000000"/>
          <w:sz w:val="22"/>
          <w:szCs w:val="22"/>
          <w:lang w:val="hr-HR"/>
        </w:rPr>
      </w:pPr>
    </w:p>
    <w:p w14:paraId="2760EE3C" w14:textId="11146466" w:rsidR="003035EC" w:rsidRPr="00AB63CB" w:rsidRDefault="003035EC" w:rsidP="001B64BC">
      <w:pPr>
        <w:widowControl w:val="0"/>
        <w:jc w:val="both"/>
        <w:rPr>
          <w:color w:val="000000"/>
          <w:sz w:val="22"/>
          <w:szCs w:val="22"/>
          <w:lang w:val="hr-HR"/>
        </w:rPr>
      </w:pPr>
      <w:r w:rsidRPr="00AB63CB">
        <w:rPr>
          <w:color w:val="000000"/>
          <w:sz w:val="22"/>
          <w:szCs w:val="22"/>
          <w:u w:val="single"/>
          <w:lang w:val="hr-HR"/>
        </w:rPr>
        <w:t>Insuficijencija srca kod d</w:t>
      </w:r>
      <w:r w:rsidR="002637F8">
        <w:rPr>
          <w:color w:val="000000"/>
          <w:sz w:val="22"/>
          <w:szCs w:val="22"/>
          <w:u w:val="single"/>
          <w:lang w:val="hr-HR"/>
        </w:rPr>
        <w:t>j</w:t>
      </w:r>
      <w:r w:rsidRPr="00AB63CB">
        <w:rPr>
          <w:color w:val="000000"/>
          <w:sz w:val="22"/>
          <w:szCs w:val="22"/>
          <w:u w:val="single"/>
          <w:lang w:val="hr-HR"/>
        </w:rPr>
        <w:t>ece</w:t>
      </w:r>
    </w:p>
    <w:p w14:paraId="4CA044CB" w14:textId="77777777" w:rsidR="003035EC" w:rsidRPr="00AB63CB" w:rsidRDefault="003035EC" w:rsidP="001B64BC">
      <w:pPr>
        <w:widowControl w:val="0"/>
        <w:jc w:val="both"/>
        <w:rPr>
          <w:color w:val="000000"/>
          <w:sz w:val="22"/>
          <w:szCs w:val="22"/>
          <w:lang w:val="hr-HR"/>
        </w:rPr>
      </w:pPr>
    </w:p>
    <w:p w14:paraId="5F587AEA" w14:textId="57822A0C" w:rsidR="003035EC" w:rsidRPr="003035EC" w:rsidRDefault="003035EC" w:rsidP="001B64BC">
      <w:pPr>
        <w:widowControl w:val="0"/>
        <w:jc w:val="both"/>
        <w:rPr>
          <w:color w:val="000000"/>
          <w:sz w:val="22"/>
          <w:szCs w:val="22"/>
          <w:lang w:val="hr-HR"/>
        </w:rPr>
      </w:pPr>
      <w:r w:rsidRPr="00AB63CB">
        <w:rPr>
          <w:color w:val="000000"/>
          <w:sz w:val="22"/>
          <w:szCs w:val="22"/>
          <w:lang w:val="hr-HR"/>
        </w:rPr>
        <w:t>L</w:t>
      </w:r>
      <w:r w:rsidR="002637F8">
        <w:rPr>
          <w:color w:val="000000"/>
          <w:sz w:val="22"/>
          <w:szCs w:val="22"/>
          <w:lang w:val="hr-HR"/>
        </w:rPr>
        <w:t>ij</w:t>
      </w:r>
      <w:r w:rsidRPr="00AB63CB">
        <w:rPr>
          <w:color w:val="000000"/>
          <w:sz w:val="22"/>
          <w:szCs w:val="22"/>
          <w:lang w:val="hr-HR"/>
        </w:rPr>
        <w:t>ek Entresto je indikovan kod d</w:t>
      </w:r>
      <w:r w:rsidR="002637F8">
        <w:rPr>
          <w:color w:val="000000"/>
          <w:sz w:val="22"/>
          <w:szCs w:val="22"/>
          <w:lang w:val="hr-HR"/>
        </w:rPr>
        <w:t>j</w:t>
      </w:r>
      <w:r w:rsidRPr="00AB63CB">
        <w:rPr>
          <w:color w:val="000000"/>
          <w:sz w:val="22"/>
          <w:szCs w:val="22"/>
          <w:lang w:val="hr-HR"/>
        </w:rPr>
        <w:t>ece i adolescenata uzrasta od jedne godine i starijih za terapiju simptomatske hronične insuficijencije srca sa sistolnom disfunkcijom l</w:t>
      </w:r>
      <w:r w:rsidR="002637F8">
        <w:rPr>
          <w:color w:val="000000"/>
          <w:sz w:val="22"/>
          <w:szCs w:val="22"/>
          <w:lang w:val="hr-HR"/>
        </w:rPr>
        <w:t>ij</w:t>
      </w:r>
      <w:r w:rsidRPr="00AB63CB">
        <w:rPr>
          <w:color w:val="000000"/>
          <w:sz w:val="22"/>
          <w:szCs w:val="22"/>
          <w:lang w:val="hr-HR"/>
        </w:rPr>
        <w:t>eve komore (vid</w:t>
      </w:r>
      <w:r w:rsidR="002637F8">
        <w:rPr>
          <w:color w:val="000000"/>
          <w:sz w:val="22"/>
          <w:szCs w:val="22"/>
          <w:lang w:val="hr-HR"/>
        </w:rPr>
        <w:t>j</w:t>
      </w:r>
      <w:r w:rsidRPr="00AB63CB">
        <w:rPr>
          <w:color w:val="000000"/>
          <w:sz w:val="22"/>
          <w:szCs w:val="22"/>
          <w:lang w:val="hr-HR"/>
        </w:rPr>
        <w:t xml:space="preserve">eti </w:t>
      </w:r>
      <w:r w:rsidR="0088149C">
        <w:rPr>
          <w:color w:val="000000"/>
          <w:sz w:val="22"/>
          <w:szCs w:val="22"/>
          <w:lang w:val="hr-HR"/>
        </w:rPr>
        <w:t>dio</w:t>
      </w:r>
      <w:r w:rsidRPr="00AB63CB">
        <w:rPr>
          <w:color w:val="000000"/>
          <w:sz w:val="22"/>
          <w:szCs w:val="22"/>
          <w:lang w:val="hr-HR"/>
        </w:rPr>
        <w:t xml:space="preserve"> 5.1).</w:t>
      </w:r>
    </w:p>
    <w:p w14:paraId="5BCD16DC" w14:textId="77777777" w:rsidR="00B96A91" w:rsidRPr="00D84F16" w:rsidRDefault="00B96A91" w:rsidP="001B64BC">
      <w:pPr>
        <w:tabs>
          <w:tab w:val="left" w:pos="540"/>
          <w:tab w:val="left" w:pos="569"/>
        </w:tabs>
        <w:rPr>
          <w:bCs/>
          <w:sz w:val="22"/>
          <w:szCs w:val="22"/>
        </w:rPr>
      </w:pPr>
    </w:p>
    <w:p w14:paraId="39C0CA2E" w14:textId="77777777" w:rsidR="00411B4B" w:rsidRPr="00D84F16" w:rsidRDefault="00411B4B" w:rsidP="001B64BC">
      <w:pPr>
        <w:tabs>
          <w:tab w:val="left" w:pos="540"/>
          <w:tab w:val="left" w:pos="569"/>
        </w:tabs>
        <w:rPr>
          <w:b/>
          <w:bCs/>
          <w:sz w:val="22"/>
          <w:szCs w:val="22"/>
        </w:rPr>
      </w:pPr>
      <w:r w:rsidRPr="00D84F16">
        <w:rPr>
          <w:b/>
          <w:bCs/>
          <w:sz w:val="22"/>
          <w:szCs w:val="22"/>
        </w:rPr>
        <w:t xml:space="preserve">4.2. </w:t>
      </w:r>
      <w:r w:rsidR="00480FB1" w:rsidRPr="00D84F16">
        <w:rPr>
          <w:b/>
          <w:bCs/>
          <w:sz w:val="22"/>
          <w:szCs w:val="22"/>
        </w:rPr>
        <w:tab/>
      </w:r>
      <w:proofErr w:type="spellStart"/>
      <w:r w:rsidRPr="00D84F16">
        <w:rPr>
          <w:b/>
          <w:bCs/>
          <w:sz w:val="22"/>
          <w:szCs w:val="22"/>
        </w:rPr>
        <w:t>Doziranje</w:t>
      </w:r>
      <w:proofErr w:type="spellEnd"/>
      <w:r w:rsidRPr="00D84F16">
        <w:rPr>
          <w:b/>
          <w:bCs/>
          <w:sz w:val="22"/>
          <w:szCs w:val="22"/>
        </w:rPr>
        <w:t xml:space="preserve"> </w:t>
      </w:r>
      <w:proofErr w:type="spellStart"/>
      <w:r w:rsidRPr="00D84F16">
        <w:rPr>
          <w:b/>
          <w:bCs/>
          <w:sz w:val="22"/>
          <w:szCs w:val="22"/>
        </w:rPr>
        <w:t>i</w:t>
      </w:r>
      <w:proofErr w:type="spellEnd"/>
      <w:r w:rsidRPr="00D84F16">
        <w:rPr>
          <w:b/>
          <w:bCs/>
          <w:sz w:val="22"/>
          <w:szCs w:val="22"/>
        </w:rPr>
        <w:t xml:space="preserve"> </w:t>
      </w:r>
      <w:proofErr w:type="spellStart"/>
      <w:r w:rsidRPr="00D84F16">
        <w:rPr>
          <w:b/>
          <w:bCs/>
          <w:sz w:val="22"/>
          <w:szCs w:val="22"/>
        </w:rPr>
        <w:t>način</w:t>
      </w:r>
      <w:proofErr w:type="spellEnd"/>
      <w:r w:rsidRPr="00D84F16">
        <w:rPr>
          <w:b/>
          <w:bCs/>
          <w:sz w:val="22"/>
          <w:szCs w:val="22"/>
        </w:rPr>
        <w:t xml:space="preserve"> </w:t>
      </w:r>
      <w:proofErr w:type="spellStart"/>
      <w:r w:rsidRPr="00D84F16">
        <w:rPr>
          <w:b/>
          <w:bCs/>
          <w:sz w:val="22"/>
          <w:szCs w:val="22"/>
        </w:rPr>
        <w:t>primjene</w:t>
      </w:r>
      <w:proofErr w:type="spellEnd"/>
    </w:p>
    <w:p w14:paraId="34190820" w14:textId="77777777" w:rsidR="0072020E" w:rsidRPr="00D84F16" w:rsidRDefault="0072020E" w:rsidP="001B64BC">
      <w:pPr>
        <w:tabs>
          <w:tab w:val="left" w:pos="540"/>
          <w:tab w:val="left" w:pos="569"/>
        </w:tabs>
        <w:jc w:val="both"/>
        <w:rPr>
          <w:bCs/>
          <w:sz w:val="22"/>
          <w:szCs w:val="22"/>
        </w:rPr>
      </w:pPr>
    </w:p>
    <w:p w14:paraId="3F597D0E" w14:textId="77777777" w:rsidR="00452E9D" w:rsidRPr="00D84F16" w:rsidRDefault="00452E9D" w:rsidP="001B64BC">
      <w:pPr>
        <w:tabs>
          <w:tab w:val="left" w:pos="540"/>
          <w:tab w:val="left" w:pos="569"/>
        </w:tabs>
        <w:jc w:val="both"/>
        <w:rPr>
          <w:bCs/>
          <w:sz w:val="22"/>
          <w:szCs w:val="22"/>
          <w:u w:val="single"/>
        </w:rPr>
      </w:pPr>
      <w:proofErr w:type="spellStart"/>
      <w:r w:rsidRPr="00D84F16">
        <w:rPr>
          <w:bCs/>
          <w:sz w:val="22"/>
          <w:szCs w:val="22"/>
          <w:u w:val="single"/>
        </w:rPr>
        <w:t>Doziranje</w:t>
      </w:r>
      <w:proofErr w:type="spellEnd"/>
    </w:p>
    <w:p w14:paraId="671F5C39" w14:textId="1878C113" w:rsidR="00452E9D" w:rsidRPr="00D84F16" w:rsidRDefault="00452E9D" w:rsidP="001B64BC">
      <w:pPr>
        <w:tabs>
          <w:tab w:val="left" w:pos="540"/>
          <w:tab w:val="left" w:pos="569"/>
        </w:tabs>
        <w:jc w:val="both"/>
        <w:rPr>
          <w:bCs/>
          <w:sz w:val="22"/>
          <w:szCs w:val="22"/>
          <w:u w:val="single"/>
        </w:rPr>
      </w:pPr>
    </w:p>
    <w:p w14:paraId="301ED7C2" w14:textId="635977D0" w:rsidR="003035EC" w:rsidRPr="00AB63CB" w:rsidRDefault="003035EC" w:rsidP="001B64BC">
      <w:pPr>
        <w:widowControl w:val="0"/>
        <w:jc w:val="both"/>
        <w:rPr>
          <w:bCs/>
          <w:i/>
          <w:iCs/>
          <w:color w:val="000000"/>
          <w:sz w:val="22"/>
          <w:szCs w:val="22"/>
          <w:u w:val="single"/>
          <w:lang w:val="hr-HR"/>
        </w:rPr>
      </w:pPr>
      <w:r>
        <w:rPr>
          <w:bCs/>
          <w:i/>
          <w:iCs/>
          <w:color w:val="000000"/>
          <w:sz w:val="22"/>
          <w:szCs w:val="22"/>
          <w:u w:val="single"/>
          <w:lang w:val="hr-HR"/>
        </w:rPr>
        <w:t>Opšte napomene</w:t>
      </w:r>
    </w:p>
    <w:p w14:paraId="2A4E81C8" w14:textId="689E63E2" w:rsidR="003035EC" w:rsidRPr="009D7F53" w:rsidRDefault="003035EC" w:rsidP="001B64BC">
      <w:pPr>
        <w:widowControl w:val="0"/>
        <w:jc w:val="both"/>
        <w:rPr>
          <w:bCs/>
          <w:sz w:val="22"/>
          <w:szCs w:val="22"/>
          <w:lang w:val="hr-HR"/>
        </w:rPr>
      </w:pPr>
      <w:r w:rsidRPr="009D7F53">
        <w:rPr>
          <w:bCs/>
          <w:color w:val="000000"/>
          <w:sz w:val="22"/>
          <w:szCs w:val="22"/>
          <w:lang w:val="hr-HR"/>
        </w:rPr>
        <w:t xml:space="preserve">Lijek Entresto se ne smije </w:t>
      </w:r>
      <w:r w:rsidRPr="009D7F53">
        <w:rPr>
          <w:bCs/>
          <w:sz w:val="22"/>
          <w:szCs w:val="22"/>
          <w:lang w:val="hr-HR"/>
        </w:rPr>
        <w:t xml:space="preserve">primjenjivati </w:t>
      </w:r>
      <w:r w:rsidRPr="009D7F53">
        <w:rPr>
          <w:bCs/>
          <w:color w:val="000000"/>
          <w:sz w:val="22"/>
          <w:szCs w:val="22"/>
          <w:lang w:val="hr-HR"/>
        </w:rPr>
        <w:t xml:space="preserve">istovremeno sa </w:t>
      </w:r>
      <w:r w:rsidR="00AD5898" w:rsidRPr="00AD5898">
        <w:rPr>
          <w:bCs/>
          <w:color w:val="000000"/>
          <w:sz w:val="22"/>
          <w:szCs w:val="22"/>
          <w:lang w:val="hr-HR"/>
        </w:rPr>
        <w:t>inhibitorom angiotenzin-konvertirajućeg enzima</w:t>
      </w:r>
      <w:r w:rsidR="00AD5898">
        <w:rPr>
          <w:bCs/>
          <w:color w:val="000000"/>
          <w:sz w:val="22"/>
          <w:szCs w:val="22"/>
          <w:lang w:val="hr-HR"/>
        </w:rPr>
        <w:t xml:space="preserve"> (</w:t>
      </w:r>
      <w:r w:rsidRPr="009D7F53">
        <w:rPr>
          <w:bCs/>
          <w:color w:val="000000"/>
          <w:sz w:val="22"/>
          <w:szCs w:val="22"/>
          <w:lang w:val="hr-HR"/>
        </w:rPr>
        <w:t>ACE</w:t>
      </w:r>
      <w:r w:rsidR="00AD5898">
        <w:rPr>
          <w:bCs/>
          <w:color w:val="000000"/>
          <w:sz w:val="22"/>
          <w:szCs w:val="22"/>
          <w:lang w:val="hr-HR"/>
        </w:rPr>
        <w:t>)</w:t>
      </w:r>
      <w:r w:rsidRPr="009D7F53">
        <w:rPr>
          <w:bCs/>
          <w:color w:val="000000"/>
          <w:sz w:val="22"/>
          <w:szCs w:val="22"/>
          <w:lang w:val="hr-HR"/>
        </w:rPr>
        <w:t xml:space="preserve"> ili </w:t>
      </w:r>
      <w:r w:rsidR="00AD5898" w:rsidRPr="00AD5898">
        <w:rPr>
          <w:bCs/>
          <w:color w:val="000000"/>
          <w:sz w:val="22"/>
          <w:szCs w:val="22"/>
          <w:lang w:val="hr-HR"/>
        </w:rPr>
        <w:t>blokatorom receptora angiotenzina II</w:t>
      </w:r>
      <w:r w:rsidR="00AD5898">
        <w:rPr>
          <w:bCs/>
          <w:color w:val="000000"/>
          <w:sz w:val="22"/>
          <w:szCs w:val="22"/>
          <w:lang w:val="hr-HR"/>
        </w:rPr>
        <w:t xml:space="preserve"> (</w:t>
      </w:r>
      <w:r w:rsidRPr="009D7F53">
        <w:rPr>
          <w:bCs/>
          <w:color w:val="000000"/>
          <w:sz w:val="22"/>
          <w:szCs w:val="22"/>
          <w:lang w:val="hr-HR"/>
        </w:rPr>
        <w:t>ARB</w:t>
      </w:r>
      <w:r w:rsidR="00AD5898">
        <w:rPr>
          <w:bCs/>
          <w:color w:val="000000"/>
          <w:sz w:val="22"/>
          <w:szCs w:val="22"/>
          <w:lang w:val="hr-HR"/>
        </w:rPr>
        <w:t>)</w:t>
      </w:r>
      <w:r w:rsidRPr="009D7F53">
        <w:rPr>
          <w:bCs/>
          <w:color w:val="000000"/>
          <w:sz w:val="22"/>
          <w:szCs w:val="22"/>
          <w:lang w:val="hr-HR"/>
        </w:rPr>
        <w:t>. Zbog potencijalnog rizika od angioedema kada se primjenjuje istovremeno sa ACE inhibitorom, on se ne smije uvesti u terapiju najmanje 36 </w:t>
      </w:r>
      <w:r w:rsidRPr="009D7F53">
        <w:rPr>
          <w:bCs/>
          <w:sz w:val="22"/>
          <w:szCs w:val="22"/>
          <w:lang w:val="hr-HR"/>
        </w:rPr>
        <w:t>sati nakon prekida terapije ACE inhibitorom (vidjeti djelove 4.3, 4.4 i 4.5).</w:t>
      </w:r>
    </w:p>
    <w:p w14:paraId="20D5A54F" w14:textId="77777777" w:rsidR="003035EC" w:rsidRPr="009D7F53" w:rsidRDefault="003035EC" w:rsidP="001B64BC">
      <w:pPr>
        <w:widowControl w:val="0"/>
        <w:jc w:val="both"/>
        <w:rPr>
          <w:bCs/>
          <w:sz w:val="22"/>
          <w:szCs w:val="22"/>
          <w:lang w:val="hr-HR"/>
        </w:rPr>
      </w:pPr>
    </w:p>
    <w:p w14:paraId="3F337E66" w14:textId="77777777" w:rsidR="003035EC" w:rsidRPr="009D7F53" w:rsidRDefault="003035EC" w:rsidP="001B64BC">
      <w:pPr>
        <w:widowControl w:val="0"/>
        <w:jc w:val="both"/>
        <w:rPr>
          <w:color w:val="000000"/>
          <w:sz w:val="22"/>
          <w:szCs w:val="22"/>
          <w:lang w:val="hr-HR"/>
        </w:rPr>
      </w:pPr>
      <w:r w:rsidRPr="009D7F53">
        <w:rPr>
          <w:bCs/>
          <w:sz w:val="22"/>
          <w:szCs w:val="22"/>
          <w:lang w:val="hr-HR"/>
        </w:rPr>
        <w:t>Valsartan sadržan u lijeku Entresto više je bioraspoloživ nego valsartan u drugim formulacijama tableta koje se nalaze na tržištu</w:t>
      </w:r>
      <w:r w:rsidRPr="009D7F53">
        <w:rPr>
          <w:color w:val="000000"/>
          <w:sz w:val="22"/>
          <w:szCs w:val="22"/>
          <w:lang w:val="hr-HR"/>
        </w:rPr>
        <w:t xml:space="preserve"> (vidjeti dio 5.2).</w:t>
      </w:r>
    </w:p>
    <w:p w14:paraId="3584D976" w14:textId="77777777" w:rsidR="003035EC" w:rsidRPr="009D7F53" w:rsidRDefault="003035EC" w:rsidP="001B64BC">
      <w:pPr>
        <w:widowControl w:val="0"/>
        <w:jc w:val="both"/>
        <w:rPr>
          <w:color w:val="000000"/>
          <w:sz w:val="22"/>
          <w:szCs w:val="22"/>
          <w:lang w:val="hr-HR"/>
        </w:rPr>
      </w:pPr>
    </w:p>
    <w:p w14:paraId="2E255616" w14:textId="1F6ABEAE" w:rsidR="003035EC" w:rsidRDefault="003035EC" w:rsidP="001B64BC">
      <w:pPr>
        <w:tabs>
          <w:tab w:val="left" w:pos="284"/>
        </w:tabs>
        <w:jc w:val="both"/>
        <w:rPr>
          <w:color w:val="000000"/>
          <w:sz w:val="22"/>
          <w:szCs w:val="22"/>
          <w:lang w:val="hr-HR"/>
        </w:rPr>
      </w:pPr>
      <w:r w:rsidRPr="009D7F53">
        <w:rPr>
          <w:color w:val="000000"/>
          <w:sz w:val="22"/>
          <w:szCs w:val="22"/>
          <w:lang w:val="hr-HR"/>
        </w:rPr>
        <w:t xml:space="preserve">Ako pacijent propusti dozu lijeka Entresto, sljedeću dozu treba da uzme prema rasporedu. </w:t>
      </w:r>
    </w:p>
    <w:p w14:paraId="1FCEAE46" w14:textId="77777777" w:rsidR="00AD5898" w:rsidRDefault="00AD5898" w:rsidP="001B64BC">
      <w:pPr>
        <w:tabs>
          <w:tab w:val="left" w:pos="284"/>
        </w:tabs>
        <w:jc w:val="both"/>
        <w:rPr>
          <w:color w:val="000000"/>
          <w:sz w:val="22"/>
          <w:szCs w:val="22"/>
          <w:lang w:val="hr-HR"/>
        </w:rPr>
      </w:pPr>
    </w:p>
    <w:p w14:paraId="3048F8CC" w14:textId="2B64C6EC" w:rsidR="003035EC" w:rsidRDefault="003035EC" w:rsidP="001B64BC">
      <w:pPr>
        <w:widowControl w:val="0"/>
        <w:jc w:val="both"/>
        <w:rPr>
          <w:i/>
          <w:iCs/>
          <w:color w:val="000000"/>
          <w:sz w:val="22"/>
          <w:szCs w:val="22"/>
          <w:u w:val="single"/>
          <w:lang w:val="hr-HR"/>
        </w:rPr>
      </w:pPr>
      <w:r w:rsidRPr="00AB63CB">
        <w:rPr>
          <w:i/>
          <w:iCs/>
          <w:color w:val="000000"/>
          <w:sz w:val="22"/>
          <w:szCs w:val="22"/>
          <w:u w:val="single"/>
          <w:lang w:val="hr-HR"/>
        </w:rPr>
        <w:t>Insuficijencija srca kod odraslih</w:t>
      </w:r>
    </w:p>
    <w:p w14:paraId="5430229D" w14:textId="77777777" w:rsidR="003035EC" w:rsidRPr="00AB63CB" w:rsidRDefault="003035EC" w:rsidP="001B64BC">
      <w:pPr>
        <w:widowControl w:val="0"/>
        <w:jc w:val="both"/>
        <w:rPr>
          <w:i/>
          <w:iCs/>
          <w:color w:val="000000"/>
          <w:sz w:val="22"/>
          <w:szCs w:val="22"/>
          <w:u w:val="single"/>
          <w:lang w:val="hr-HR"/>
        </w:rPr>
      </w:pPr>
    </w:p>
    <w:p w14:paraId="1C87CC62" w14:textId="7135995A" w:rsidR="00B96A91" w:rsidRPr="009D7F53" w:rsidRDefault="00B96A91" w:rsidP="001B64BC">
      <w:pPr>
        <w:widowControl w:val="0"/>
        <w:jc w:val="both"/>
        <w:rPr>
          <w:color w:val="000000"/>
          <w:sz w:val="22"/>
          <w:szCs w:val="22"/>
          <w:lang w:val="hr-HR"/>
        </w:rPr>
      </w:pPr>
      <w:r w:rsidRPr="009D7F53">
        <w:rPr>
          <w:color w:val="000000"/>
          <w:sz w:val="22"/>
          <w:szCs w:val="22"/>
          <w:lang w:val="hr-HR"/>
        </w:rPr>
        <w:t>Preporučena početna doza lijeka Entresto je jedna tableta od 51 mg</w:t>
      </w:r>
      <w:r w:rsidR="001633A3">
        <w:rPr>
          <w:color w:val="000000"/>
          <w:sz w:val="22"/>
          <w:szCs w:val="22"/>
          <w:lang w:val="hr-HR"/>
        </w:rPr>
        <w:t>+</w:t>
      </w:r>
      <w:r w:rsidRPr="009D7F53">
        <w:rPr>
          <w:color w:val="000000"/>
          <w:sz w:val="22"/>
          <w:szCs w:val="22"/>
          <w:lang w:val="hr-HR"/>
        </w:rPr>
        <w:t xml:space="preserve">49 mg dva puta na dan, osim u dolje opisanim slučajevima. Dozu treba udvostručiti u 2.-4. nedjelji do ciljne doze od jedne tablete od </w:t>
      </w:r>
      <w:r w:rsidRPr="00D84F16">
        <w:rPr>
          <w:sz w:val="22"/>
          <w:szCs w:val="22"/>
          <w:lang w:val="hr-HR" w:eastAsia="ja-JP"/>
        </w:rPr>
        <w:t>103 mg</w:t>
      </w:r>
      <w:r w:rsidR="001633A3">
        <w:rPr>
          <w:sz w:val="22"/>
          <w:szCs w:val="22"/>
          <w:lang w:val="hr-HR" w:eastAsia="ja-JP"/>
        </w:rPr>
        <w:t>+</w:t>
      </w:r>
      <w:r w:rsidRPr="00D84F16">
        <w:rPr>
          <w:sz w:val="22"/>
          <w:szCs w:val="22"/>
          <w:lang w:val="hr-HR" w:eastAsia="ja-JP"/>
        </w:rPr>
        <w:t>97 mg</w:t>
      </w:r>
      <w:r w:rsidRPr="009D7F53" w:rsidDel="00F36D1C">
        <w:rPr>
          <w:color w:val="000000"/>
          <w:sz w:val="22"/>
          <w:szCs w:val="22"/>
          <w:lang w:val="hr-HR"/>
        </w:rPr>
        <w:t xml:space="preserve"> </w:t>
      </w:r>
      <w:r w:rsidRPr="009D7F53">
        <w:rPr>
          <w:color w:val="000000"/>
          <w:sz w:val="22"/>
          <w:szCs w:val="22"/>
          <w:lang w:val="hr-HR"/>
        </w:rPr>
        <w:t xml:space="preserve">dva puta na dan, u zavisnosti od toga kako je pacijent podnosi (vidjeti </w:t>
      </w:r>
      <w:r w:rsidR="005E45A9" w:rsidRPr="009D7F53">
        <w:rPr>
          <w:color w:val="000000"/>
          <w:sz w:val="22"/>
          <w:szCs w:val="22"/>
          <w:lang w:val="hr-HR"/>
        </w:rPr>
        <w:t xml:space="preserve">dio </w:t>
      </w:r>
      <w:r w:rsidRPr="009D7F53">
        <w:rPr>
          <w:color w:val="000000"/>
          <w:sz w:val="22"/>
          <w:szCs w:val="22"/>
          <w:lang w:val="hr-HR"/>
        </w:rPr>
        <w:t>5.1).</w:t>
      </w:r>
    </w:p>
    <w:p w14:paraId="20B89C9A" w14:textId="77777777" w:rsidR="00B96A91" w:rsidRPr="009D7F53" w:rsidRDefault="00B96A91" w:rsidP="001B64BC">
      <w:pPr>
        <w:widowControl w:val="0"/>
        <w:jc w:val="both"/>
        <w:rPr>
          <w:color w:val="000000"/>
          <w:sz w:val="22"/>
          <w:szCs w:val="22"/>
          <w:lang w:val="hr-HR"/>
        </w:rPr>
      </w:pPr>
    </w:p>
    <w:p w14:paraId="655C80FB" w14:textId="77777777" w:rsidR="00B96A91" w:rsidRPr="009D7F53" w:rsidRDefault="00B96A91" w:rsidP="001B64BC">
      <w:pPr>
        <w:widowControl w:val="0"/>
        <w:jc w:val="both"/>
        <w:rPr>
          <w:sz w:val="22"/>
          <w:szCs w:val="22"/>
          <w:lang w:val="hr-HR"/>
        </w:rPr>
      </w:pPr>
      <w:r w:rsidRPr="009D7F53">
        <w:rPr>
          <w:bCs/>
          <w:sz w:val="22"/>
          <w:szCs w:val="22"/>
          <w:lang w:val="hr-HR"/>
        </w:rPr>
        <w:t>Ako pacijenti imaju probleme sa podnošljivosti (</w:t>
      </w:r>
      <w:r w:rsidRPr="009D7F53">
        <w:rPr>
          <w:color w:val="000000"/>
          <w:sz w:val="22"/>
          <w:szCs w:val="22"/>
          <w:lang w:val="hr-HR"/>
        </w:rPr>
        <w:t xml:space="preserve">sistolni krvni pritisak </w:t>
      </w:r>
      <w:r w:rsidRPr="009D7F53">
        <w:rPr>
          <w:bCs/>
          <w:sz w:val="22"/>
          <w:szCs w:val="22"/>
          <w:lang w:val="hr-HR"/>
        </w:rPr>
        <w:t xml:space="preserve">[STA] ≤95 mmHg, simptomatsku hipotenziju, hiperkalijemiju, disfunkciju bubrega) preporučuje se prilagođavanje ljekova koji se istovremeno uzimaju, privremeno postepeno sniženje doze ili prekid primjene lijeka Entresto </w:t>
      </w:r>
      <w:r w:rsidRPr="009D7F53">
        <w:rPr>
          <w:color w:val="000000"/>
          <w:sz w:val="22"/>
          <w:szCs w:val="22"/>
          <w:lang w:val="hr-HR"/>
        </w:rPr>
        <w:t>(vidjeti deo 4.4)</w:t>
      </w:r>
      <w:r w:rsidRPr="009D7F53">
        <w:rPr>
          <w:bCs/>
          <w:sz w:val="22"/>
          <w:szCs w:val="22"/>
          <w:lang w:val="hr-HR"/>
        </w:rPr>
        <w:t>.</w:t>
      </w:r>
    </w:p>
    <w:p w14:paraId="28CD1080" w14:textId="77777777" w:rsidR="00B96A91" w:rsidRPr="009D7F53" w:rsidRDefault="00B96A91" w:rsidP="001B64BC">
      <w:pPr>
        <w:widowControl w:val="0"/>
        <w:jc w:val="both"/>
        <w:rPr>
          <w:color w:val="000000"/>
          <w:sz w:val="22"/>
          <w:szCs w:val="22"/>
          <w:lang w:val="hr-HR"/>
        </w:rPr>
      </w:pPr>
    </w:p>
    <w:p w14:paraId="5DFEC6E1" w14:textId="7904AD01" w:rsidR="00B96A91" w:rsidRPr="009D7F53" w:rsidRDefault="00B96A91" w:rsidP="001B64BC">
      <w:pPr>
        <w:widowControl w:val="0"/>
        <w:jc w:val="both"/>
        <w:rPr>
          <w:color w:val="000000"/>
          <w:sz w:val="22"/>
          <w:szCs w:val="22"/>
          <w:lang w:val="hr-HR"/>
        </w:rPr>
      </w:pPr>
      <w:r w:rsidRPr="009D7F53">
        <w:rPr>
          <w:color w:val="000000"/>
          <w:sz w:val="22"/>
          <w:szCs w:val="22"/>
          <w:lang w:val="hr-HR"/>
        </w:rPr>
        <w:t xml:space="preserve">U PARADIGM-HF ispitivanju, lijek Entresto je primijenjen zajedno sa drugim terapijama za liječenje insuficijencije srca, umesto ACE inhibitora ili drugog </w:t>
      </w:r>
      <w:r w:rsidRPr="00BC3D87">
        <w:rPr>
          <w:color w:val="000000"/>
          <w:sz w:val="22"/>
          <w:szCs w:val="22"/>
          <w:lang w:val="hr-HR"/>
        </w:rPr>
        <w:t>ARB</w:t>
      </w:r>
      <w:r w:rsidR="003035EC">
        <w:rPr>
          <w:color w:val="000000"/>
          <w:sz w:val="22"/>
          <w:szCs w:val="22"/>
          <w:lang w:val="hr-HR"/>
        </w:rPr>
        <w:t>-a</w:t>
      </w:r>
      <w:r w:rsidRPr="00BC3D87">
        <w:rPr>
          <w:color w:val="000000"/>
          <w:sz w:val="22"/>
          <w:szCs w:val="22"/>
          <w:lang w:val="hr-HR"/>
        </w:rPr>
        <w:t xml:space="preserve"> (vidjet</w:t>
      </w:r>
      <w:r w:rsidRPr="009D7F53">
        <w:rPr>
          <w:color w:val="000000"/>
          <w:sz w:val="22"/>
          <w:szCs w:val="22"/>
          <w:lang w:val="hr-HR"/>
        </w:rPr>
        <w:t xml:space="preserve">i  </w:t>
      </w:r>
      <w:r w:rsidR="005E45A9" w:rsidRPr="009D7F53">
        <w:rPr>
          <w:color w:val="000000"/>
          <w:sz w:val="22"/>
          <w:szCs w:val="22"/>
          <w:lang w:val="hr-HR"/>
        </w:rPr>
        <w:t>dio </w:t>
      </w:r>
      <w:r w:rsidRPr="009D7F53">
        <w:rPr>
          <w:color w:val="000000"/>
          <w:sz w:val="22"/>
          <w:szCs w:val="22"/>
          <w:lang w:val="hr-HR"/>
        </w:rPr>
        <w:t>5.1). Postoji ograničeno iskustvo sa pacijentima koji trenutno ne uzimaju ACE inhibitor ili ARB ili koji uzimaju niske doze tih lijekova, pa se preporučuje početna doza od 26 mg</w:t>
      </w:r>
      <w:r w:rsidR="001633A3">
        <w:rPr>
          <w:color w:val="000000"/>
          <w:sz w:val="22"/>
          <w:szCs w:val="22"/>
          <w:lang w:val="hr-HR"/>
        </w:rPr>
        <w:t>+</w:t>
      </w:r>
      <w:r w:rsidRPr="009D7F53">
        <w:rPr>
          <w:color w:val="000000"/>
          <w:sz w:val="22"/>
          <w:szCs w:val="22"/>
          <w:lang w:val="hr-HR"/>
        </w:rPr>
        <w:t>24 mg dva puta na dan i postepena titracija doze (udvostručavanje svake 3</w:t>
      </w:r>
      <w:r w:rsidRPr="009D7F53">
        <w:rPr>
          <w:color w:val="000000"/>
          <w:sz w:val="22"/>
          <w:szCs w:val="22"/>
          <w:lang w:val="hr-HR"/>
        </w:rPr>
        <w:noBreakHyphen/>
        <w:t xml:space="preserve">4 nedjelje) kod tih pacijenata (vidjeti „Titration“ u </w:t>
      </w:r>
      <w:r w:rsidR="005D54D6" w:rsidRPr="009D7F53">
        <w:rPr>
          <w:color w:val="000000"/>
          <w:sz w:val="22"/>
          <w:szCs w:val="22"/>
          <w:lang w:val="hr-HR"/>
        </w:rPr>
        <w:t xml:space="preserve">dijelu </w:t>
      </w:r>
      <w:r w:rsidRPr="009D7F53">
        <w:rPr>
          <w:color w:val="000000"/>
          <w:sz w:val="22"/>
          <w:szCs w:val="22"/>
          <w:lang w:val="hr-HR"/>
        </w:rPr>
        <w:t>5.1).</w:t>
      </w:r>
    </w:p>
    <w:p w14:paraId="1220916A" w14:textId="77777777" w:rsidR="00B96A91" w:rsidRPr="009D7F53" w:rsidRDefault="00B96A91" w:rsidP="001B64BC">
      <w:pPr>
        <w:widowControl w:val="0"/>
        <w:jc w:val="both"/>
        <w:rPr>
          <w:color w:val="000000"/>
          <w:sz w:val="22"/>
          <w:szCs w:val="22"/>
          <w:lang w:val="hr-HR"/>
        </w:rPr>
      </w:pPr>
    </w:p>
    <w:p w14:paraId="067743A9" w14:textId="7E665D3F" w:rsidR="00B96A91" w:rsidRPr="009D7F53" w:rsidRDefault="00B96A91" w:rsidP="001B64BC">
      <w:pPr>
        <w:widowControl w:val="0"/>
        <w:jc w:val="both"/>
        <w:rPr>
          <w:color w:val="000000"/>
          <w:sz w:val="22"/>
          <w:szCs w:val="22"/>
          <w:lang w:val="hr-HR"/>
        </w:rPr>
      </w:pPr>
      <w:r w:rsidRPr="009D7F53">
        <w:rPr>
          <w:color w:val="000000"/>
          <w:sz w:val="22"/>
          <w:szCs w:val="22"/>
          <w:lang w:val="hr-HR"/>
        </w:rPr>
        <w:t>Liječenje ne smije da se započne kod pacijenata sa nivoom kalijuma</w:t>
      </w:r>
      <w:r w:rsidRPr="009D7F53">
        <w:rPr>
          <w:bCs/>
          <w:sz w:val="22"/>
          <w:szCs w:val="22"/>
          <w:lang w:val="hr-HR"/>
        </w:rPr>
        <w:t xml:space="preserve"> u serumu &gt;5,4 mmol/l ili sa STA</w:t>
      </w:r>
      <w:r w:rsidRPr="009D7F53">
        <w:rPr>
          <w:bCs/>
          <w:sz w:val="22"/>
          <w:szCs w:val="22"/>
          <w:lang w:val="hr-HR"/>
        </w:rPr>
        <w:noBreakHyphen/>
        <w:t xml:space="preserve">om </w:t>
      </w:r>
      <w:r w:rsidRPr="009D7F53">
        <w:rPr>
          <w:color w:val="000000"/>
          <w:sz w:val="22"/>
          <w:szCs w:val="22"/>
          <w:lang w:val="hr-HR"/>
        </w:rPr>
        <w:t xml:space="preserve">&lt;100 mmHg (vidjeti </w:t>
      </w:r>
      <w:r w:rsidR="005E45A9" w:rsidRPr="009D7F53">
        <w:rPr>
          <w:color w:val="000000"/>
          <w:sz w:val="22"/>
          <w:szCs w:val="22"/>
          <w:lang w:val="hr-HR"/>
        </w:rPr>
        <w:t>dio </w:t>
      </w:r>
      <w:r w:rsidRPr="009D7F53">
        <w:rPr>
          <w:color w:val="000000"/>
          <w:sz w:val="22"/>
          <w:szCs w:val="22"/>
          <w:lang w:val="hr-HR"/>
        </w:rPr>
        <w:t>4.4). Početna doza od 26 mg</w:t>
      </w:r>
      <w:r w:rsidR="001633A3">
        <w:rPr>
          <w:color w:val="000000"/>
          <w:sz w:val="22"/>
          <w:szCs w:val="22"/>
          <w:lang w:val="hr-HR"/>
        </w:rPr>
        <w:t>+</w:t>
      </w:r>
      <w:r w:rsidRPr="009D7F53">
        <w:rPr>
          <w:color w:val="000000"/>
          <w:sz w:val="22"/>
          <w:szCs w:val="22"/>
          <w:lang w:val="hr-HR"/>
        </w:rPr>
        <w:t xml:space="preserve">24 mg dva puta na dan treba da se razmotri kod pacijenata </w:t>
      </w:r>
      <w:r w:rsidRPr="009D7F53">
        <w:rPr>
          <w:bCs/>
          <w:sz w:val="22"/>
          <w:szCs w:val="22"/>
          <w:lang w:val="hr-HR"/>
        </w:rPr>
        <w:t>sa STA</w:t>
      </w:r>
      <w:r w:rsidRPr="009D7F53">
        <w:rPr>
          <w:bCs/>
          <w:sz w:val="22"/>
          <w:szCs w:val="22"/>
          <w:lang w:val="hr-HR"/>
        </w:rPr>
        <w:noBreakHyphen/>
        <w:t xml:space="preserve">om </w:t>
      </w:r>
      <w:r w:rsidRPr="009D7F53">
        <w:rPr>
          <w:color w:val="000000"/>
          <w:sz w:val="22"/>
          <w:szCs w:val="22"/>
          <w:lang w:val="hr-HR"/>
        </w:rPr>
        <w:t>≥100 do 110 mmHg.</w:t>
      </w:r>
    </w:p>
    <w:p w14:paraId="286B6E0E" w14:textId="77777777" w:rsidR="00B96A91" w:rsidRPr="009D7F53" w:rsidRDefault="00B96A91" w:rsidP="001B64BC">
      <w:pPr>
        <w:widowControl w:val="0"/>
        <w:jc w:val="both"/>
        <w:rPr>
          <w:color w:val="000000"/>
          <w:sz w:val="22"/>
          <w:szCs w:val="22"/>
          <w:lang w:val="hr-HR"/>
        </w:rPr>
      </w:pPr>
    </w:p>
    <w:p w14:paraId="5245A3F1" w14:textId="2B71A70D" w:rsidR="003035EC" w:rsidRDefault="003035EC" w:rsidP="001B64BC">
      <w:pPr>
        <w:keepNext/>
        <w:jc w:val="both"/>
        <w:rPr>
          <w:i/>
          <w:iCs/>
          <w:color w:val="000000"/>
          <w:sz w:val="22"/>
          <w:szCs w:val="22"/>
          <w:u w:val="single"/>
          <w:lang w:val="hr-HR"/>
        </w:rPr>
      </w:pPr>
      <w:bookmarkStart w:id="0" w:name="_Hlk122589503"/>
      <w:r w:rsidRPr="00AB63CB">
        <w:rPr>
          <w:i/>
          <w:iCs/>
          <w:color w:val="000000"/>
          <w:sz w:val="22"/>
          <w:szCs w:val="22"/>
          <w:u w:val="single"/>
          <w:lang w:val="hr-HR"/>
        </w:rPr>
        <w:t>Insuficijencija srca kod d</w:t>
      </w:r>
      <w:r w:rsidR="002637F8">
        <w:rPr>
          <w:i/>
          <w:iCs/>
          <w:color w:val="000000"/>
          <w:sz w:val="22"/>
          <w:szCs w:val="22"/>
          <w:u w:val="single"/>
          <w:lang w:val="hr-HR"/>
        </w:rPr>
        <w:t>j</w:t>
      </w:r>
      <w:r w:rsidRPr="00AB63CB">
        <w:rPr>
          <w:i/>
          <w:iCs/>
          <w:color w:val="000000"/>
          <w:sz w:val="22"/>
          <w:szCs w:val="22"/>
          <w:u w:val="single"/>
          <w:lang w:val="hr-HR"/>
        </w:rPr>
        <w:t>ece</w:t>
      </w:r>
    </w:p>
    <w:p w14:paraId="5A95EFEF" w14:textId="77777777" w:rsidR="003035EC" w:rsidRPr="00AB63CB" w:rsidRDefault="003035EC" w:rsidP="001B64BC">
      <w:pPr>
        <w:keepNext/>
        <w:jc w:val="both"/>
        <w:rPr>
          <w:color w:val="000000"/>
          <w:sz w:val="22"/>
          <w:szCs w:val="22"/>
          <w:lang w:val="hr-HR"/>
        </w:rPr>
      </w:pPr>
    </w:p>
    <w:p w14:paraId="54AF45FE" w14:textId="0F6F05AE" w:rsidR="003035EC" w:rsidRPr="00AB63CB" w:rsidRDefault="003035EC" w:rsidP="001B64BC">
      <w:pPr>
        <w:jc w:val="both"/>
        <w:rPr>
          <w:rFonts w:eastAsiaTheme="minorEastAsia"/>
          <w:kern w:val="24"/>
          <w:sz w:val="22"/>
          <w:szCs w:val="20"/>
          <w:lang w:val="hr-HR"/>
        </w:rPr>
      </w:pPr>
      <w:r w:rsidRPr="00AB63CB">
        <w:rPr>
          <w:color w:val="000000" w:themeColor="text1"/>
          <w:sz w:val="22"/>
          <w:szCs w:val="22"/>
          <w:lang w:val="hr-HR"/>
        </w:rPr>
        <w:t xml:space="preserve">U Tabeli 1 prikazana je preporučena doza za pedijatrijske pacijente. Preporučena doza uzima se </w:t>
      </w:r>
      <w:r w:rsidRPr="00AB63CB">
        <w:rPr>
          <w:sz w:val="22"/>
          <w:szCs w:val="20"/>
          <w:lang w:val="hr-HR"/>
        </w:rPr>
        <w:t xml:space="preserve">peroralno </w:t>
      </w:r>
      <w:r w:rsidRPr="00AB63CB">
        <w:rPr>
          <w:color w:val="000000" w:themeColor="text1"/>
          <w:sz w:val="22"/>
          <w:szCs w:val="22"/>
          <w:lang w:val="hr-HR"/>
        </w:rPr>
        <w:t>dva</w:t>
      </w:r>
      <w:r w:rsidR="006D3EF5">
        <w:rPr>
          <w:color w:val="000000" w:themeColor="text1"/>
          <w:sz w:val="22"/>
          <w:szCs w:val="22"/>
          <w:lang w:val="hr-HR"/>
        </w:rPr>
        <w:t xml:space="preserve"> </w:t>
      </w:r>
      <w:r w:rsidRPr="00AB63CB">
        <w:rPr>
          <w:color w:val="000000" w:themeColor="text1"/>
          <w:sz w:val="22"/>
          <w:szCs w:val="22"/>
          <w:lang w:val="hr-HR"/>
        </w:rPr>
        <w:t>put</w:t>
      </w:r>
      <w:r w:rsidR="006D3EF5">
        <w:rPr>
          <w:color w:val="000000" w:themeColor="text1"/>
          <w:sz w:val="22"/>
          <w:szCs w:val="22"/>
          <w:lang w:val="hr-HR"/>
        </w:rPr>
        <w:t>a</w:t>
      </w:r>
      <w:r w:rsidRPr="00AB63CB">
        <w:rPr>
          <w:color w:val="000000" w:themeColor="text1"/>
          <w:sz w:val="22"/>
          <w:szCs w:val="22"/>
          <w:lang w:val="hr-HR"/>
        </w:rPr>
        <w:t xml:space="preserve"> na dan. Dozu je potrebno povećavati svake</w:t>
      </w:r>
      <w:r w:rsidRPr="00AB63CB">
        <w:rPr>
          <w:rFonts w:eastAsiaTheme="minorEastAsia"/>
          <w:sz w:val="22"/>
          <w:szCs w:val="22"/>
          <w:lang w:val="hr-HR"/>
        </w:rPr>
        <w:t xml:space="preserve"> 2</w:t>
      </w:r>
      <w:r w:rsidRPr="00AB63CB">
        <w:rPr>
          <w:rFonts w:eastAsiaTheme="minorEastAsia"/>
          <w:sz w:val="22"/>
          <w:szCs w:val="22"/>
          <w:lang w:val="hr-HR"/>
        </w:rPr>
        <w:noBreakHyphen/>
        <w:t>4 ned</w:t>
      </w:r>
      <w:r w:rsidR="002637F8">
        <w:rPr>
          <w:rFonts w:eastAsiaTheme="minorEastAsia"/>
          <w:sz w:val="22"/>
          <w:szCs w:val="22"/>
          <w:lang w:val="hr-HR"/>
        </w:rPr>
        <w:t>j</w:t>
      </w:r>
      <w:r w:rsidRPr="00AB63CB">
        <w:rPr>
          <w:rFonts w:eastAsiaTheme="minorEastAsia"/>
          <w:sz w:val="22"/>
          <w:szCs w:val="22"/>
          <w:lang w:val="hr-HR"/>
        </w:rPr>
        <w:t>elje do ciljne doze, u zavisnosti od toga kako pacijent podnosi l</w:t>
      </w:r>
      <w:r w:rsidR="002637F8">
        <w:rPr>
          <w:rFonts w:eastAsiaTheme="minorEastAsia"/>
          <w:sz w:val="22"/>
          <w:szCs w:val="22"/>
          <w:lang w:val="hr-HR"/>
        </w:rPr>
        <w:t>ij</w:t>
      </w:r>
      <w:r w:rsidRPr="00AB63CB">
        <w:rPr>
          <w:rFonts w:eastAsiaTheme="minorEastAsia"/>
          <w:sz w:val="22"/>
          <w:szCs w:val="22"/>
          <w:lang w:val="hr-HR"/>
        </w:rPr>
        <w:t>ek.</w:t>
      </w:r>
    </w:p>
    <w:p w14:paraId="631CFB43" w14:textId="77777777" w:rsidR="003035EC" w:rsidRPr="00AB63CB" w:rsidRDefault="003035EC" w:rsidP="001B64BC">
      <w:pPr>
        <w:jc w:val="both"/>
        <w:rPr>
          <w:bCs/>
          <w:color w:val="000000"/>
          <w:sz w:val="22"/>
          <w:szCs w:val="22"/>
          <w:u w:val="single"/>
          <w:lang w:val="hr-HR"/>
        </w:rPr>
      </w:pPr>
    </w:p>
    <w:p w14:paraId="69E018F2" w14:textId="73001418" w:rsidR="003035EC" w:rsidRPr="00AB63CB" w:rsidRDefault="006D3EF5" w:rsidP="001B64BC">
      <w:pPr>
        <w:jc w:val="both"/>
        <w:rPr>
          <w:bCs/>
          <w:color w:val="000000"/>
          <w:sz w:val="22"/>
          <w:szCs w:val="22"/>
          <w:u w:val="single"/>
          <w:lang w:val="hr-HR"/>
        </w:rPr>
      </w:pPr>
      <w:r>
        <w:rPr>
          <w:bCs/>
          <w:color w:val="000000"/>
          <w:sz w:val="22"/>
          <w:szCs w:val="22"/>
          <w:lang w:val="hr-HR"/>
        </w:rPr>
        <w:t xml:space="preserve">Lijek </w:t>
      </w:r>
      <w:r w:rsidR="003035EC" w:rsidRPr="00AB63CB">
        <w:rPr>
          <w:bCs/>
          <w:color w:val="000000"/>
          <w:sz w:val="22"/>
          <w:szCs w:val="22"/>
          <w:lang w:val="hr-HR"/>
        </w:rPr>
        <w:t>Entresto film tablete ni</w:t>
      </w:r>
      <w:r>
        <w:rPr>
          <w:bCs/>
          <w:color w:val="000000"/>
          <w:sz w:val="22"/>
          <w:szCs w:val="22"/>
          <w:lang w:val="hr-HR"/>
        </w:rPr>
        <w:t>je</w:t>
      </w:r>
      <w:r w:rsidR="003035EC" w:rsidRPr="00AB63CB">
        <w:rPr>
          <w:bCs/>
          <w:color w:val="000000"/>
          <w:sz w:val="22"/>
          <w:szCs w:val="22"/>
          <w:lang w:val="hr-HR"/>
        </w:rPr>
        <w:t>su prikladne za d</w:t>
      </w:r>
      <w:r w:rsidR="002637F8">
        <w:rPr>
          <w:bCs/>
          <w:color w:val="000000"/>
          <w:sz w:val="22"/>
          <w:szCs w:val="22"/>
          <w:lang w:val="hr-HR"/>
        </w:rPr>
        <w:t>j</w:t>
      </w:r>
      <w:r w:rsidR="003035EC" w:rsidRPr="00AB63CB">
        <w:rPr>
          <w:bCs/>
          <w:color w:val="000000"/>
          <w:sz w:val="22"/>
          <w:szCs w:val="22"/>
          <w:lang w:val="hr-HR"/>
        </w:rPr>
        <w:t>ecu t</w:t>
      </w:r>
      <w:r w:rsidR="002637F8">
        <w:rPr>
          <w:bCs/>
          <w:color w:val="000000"/>
          <w:sz w:val="22"/>
          <w:szCs w:val="22"/>
          <w:lang w:val="hr-HR"/>
        </w:rPr>
        <w:t>j</w:t>
      </w:r>
      <w:r w:rsidR="003035EC" w:rsidRPr="00AB63CB">
        <w:rPr>
          <w:bCs/>
          <w:color w:val="000000"/>
          <w:sz w:val="22"/>
          <w:szCs w:val="22"/>
          <w:lang w:val="hr-HR"/>
        </w:rPr>
        <w:t xml:space="preserve">elesne </w:t>
      </w:r>
      <w:r>
        <w:rPr>
          <w:bCs/>
          <w:color w:val="000000"/>
          <w:sz w:val="22"/>
          <w:szCs w:val="22"/>
          <w:lang w:val="hr-HR"/>
        </w:rPr>
        <w:t>mase</w:t>
      </w:r>
      <w:r w:rsidRPr="00AB63CB">
        <w:rPr>
          <w:bCs/>
          <w:color w:val="000000"/>
          <w:sz w:val="22"/>
          <w:szCs w:val="22"/>
          <w:lang w:val="hr-HR"/>
        </w:rPr>
        <w:t xml:space="preserve"> </w:t>
      </w:r>
      <w:r w:rsidR="003035EC" w:rsidRPr="00AB63CB">
        <w:rPr>
          <w:bCs/>
          <w:color w:val="000000"/>
          <w:sz w:val="22"/>
          <w:szCs w:val="22"/>
          <w:lang w:val="hr-HR"/>
        </w:rPr>
        <w:t>ispod</w:t>
      </w:r>
      <w:r w:rsidR="003035EC" w:rsidRPr="00AB63CB">
        <w:rPr>
          <w:sz w:val="22"/>
          <w:szCs w:val="22"/>
          <w:lang w:val="hr-HR"/>
        </w:rPr>
        <w:t xml:space="preserve"> 40 kg. Za te pacijente </w:t>
      </w:r>
      <w:r w:rsidR="00B86DE0">
        <w:rPr>
          <w:sz w:val="22"/>
          <w:szCs w:val="22"/>
          <w:lang w:val="hr-HR"/>
        </w:rPr>
        <w:t>koriste se</w:t>
      </w:r>
      <w:r w:rsidR="003035EC" w:rsidRPr="00AB63CB">
        <w:rPr>
          <w:sz w:val="22"/>
          <w:szCs w:val="22"/>
          <w:lang w:val="hr-HR"/>
        </w:rPr>
        <w:t xml:space="preserve"> Entresto granule.</w:t>
      </w:r>
    </w:p>
    <w:p w14:paraId="5529F36C" w14:textId="77777777" w:rsidR="003035EC" w:rsidRPr="00AB63CB" w:rsidRDefault="003035EC" w:rsidP="001B64BC">
      <w:pPr>
        <w:jc w:val="both"/>
        <w:rPr>
          <w:bCs/>
          <w:color w:val="000000"/>
          <w:sz w:val="22"/>
          <w:szCs w:val="22"/>
          <w:lang w:val="hr-HR"/>
        </w:rPr>
      </w:pPr>
    </w:p>
    <w:p w14:paraId="456C6B92" w14:textId="77777777" w:rsidR="003035EC" w:rsidRPr="00AB63CB" w:rsidRDefault="003035EC" w:rsidP="001B64BC">
      <w:pPr>
        <w:keepNext/>
        <w:rPr>
          <w:b/>
          <w:color w:val="000000"/>
          <w:sz w:val="22"/>
          <w:szCs w:val="22"/>
          <w:lang w:val="hr-HR"/>
        </w:rPr>
      </w:pPr>
      <w:r w:rsidRPr="00AB63CB">
        <w:rPr>
          <w:b/>
          <w:color w:val="000000"/>
          <w:sz w:val="22"/>
          <w:szCs w:val="22"/>
          <w:lang w:val="hr-HR"/>
        </w:rPr>
        <w:lastRenderedPageBreak/>
        <w:t>Taela 1</w:t>
      </w:r>
      <w:r w:rsidRPr="00AB63CB">
        <w:rPr>
          <w:b/>
          <w:color w:val="000000"/>
          <w:sz w:val="22"/>
          <w:szCs w:val="22"/>
          <w:lang w:val="hr-HR"/>
        </w:rPr>
        <w:tab/>
      </w:r>
      <w:r w:rsidRPr="00AB63CB">
        <w:rPr>
          <w:b/>
          <w:color w:val="000000"/>
          <w:sz w:val="22"/>
          <w:szCs w:val="22"/>
          <w:lang w:val="hr-HR"/>
        </w:rPr>
        <w:tab/>
        <w:t>Preporučena titracija doze</w:t>
      </w:r>
    </w:p>
    <w:p w14:paraId="6B67AB1C" w14:textId="77777777" w:rsidR="003035EC" w:rsidRPr="00AB63CB" w:rsidRDefault="003035EC" w:rsidP="001B64BC">
      <w:pPr>
        <w:keepNext/>
        <w:rPr>
          <w:bCs/>
          <w:color w:val="000000"/>
          <w:sz w:val="22"/>
          <w:szCs w:val="22"/>
          <w:lang w:val="hr-HR"/>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8"/>
        <w:gridCol w:w="1546"/>
        <w:gridCol w:w="1559"/>
        <w:gridCol w:w="1501"/>
        <w:gridCol w:w="1500"/>
      </w:tblGrid>
      <w:tr w:rsidR="003035EC" w:rsidRPr="003035EC" w14:paraId="366E13A2" w14:textId="77777777" w:rsidTr="00560D16">
        <w:trPr>
          <w:cantSplit/>
        </w:trPr>
        <w:tc>
          <w:tcPr>
            <w:tcW w:w="3108" w:type="dxa"/>
            <w:vMerge w:val="restart"/>
            <w:tcBorders>
              <w:top w:val="single" w:sz="8" w:space="0" w:color="auto"/>
              <w:left w:val="single" w:sz="8" w:space="0" w:color="auto"/>
              <w:bottom w:val="single" w:sz="8" w:space="0" w:color="auto"/>
              <w:right w:val="single" w:sz="8" w:space="0" w:color="auto"/>
            </w:tcBorders>
          </w:tcPr>
          <w:p w14:paraId="031C40AB" w14:textId="74D180EA" w:rsidR="003035EC" w:rsidRPr="00AB63CB" w:rsidRDefault="00560D16" w:rsidP="001B64BC">
            <w:pPr>
              <w:keepNext/>
              <w:rPr>
                <w:bCs/>
                <w:color w:val="000000"/>
                <w:sz w:val="22"/>
                <w:szCs w:val="22"/>
                <w:lang w:val="hr-HR"/>
              </w:rPr>
            </w:pPr>
            <w:r>
              <w:rPr>
                <w:bCs/>
                <w:color w:val="000000"/>
                <w:sz w:val="22"/>
                <w:szCs w:val="22"/>
                <w:lang w:val="hr-HR"/>
              </w:rPr>
              <w:t>Masa</w:t>
            </w:r>
            <w:r w:rsidRPr="00AB63CB">
              <w:rPr>
                <w:bCs/>
                <w:color w:val="000000"/>
                <w:sz w:val="22"/>
                <w:szCs w:val="22"/>
                <w:lang w:val="hr-HR"/>
              </w:rPr>
              <w:t xml:space="preserve"> </w:t>
            </w:r>
            <w:r w:rsidR="003035EC" w:rsidRPr="00AB63CB">
              <w:rPr>
                <w:bCs/>
                <w:color w:val="000000"/>
                <w:sz w:val="22"/>
                <w:szCs w:val="22"/>
                <w:lang w:val="hr-HR"/>
              </w:rPr>
              <w:t>pacijenta</w:t>
            </w:r>
          </w:p>
        </w:tc>
        <w:tc>
          <w:tcPr>
            <w:tcW w:w="6106" w:type="dxa"/>
            <w:gridSpan w:val="4"/>
            <w:tcBorders>
              <w:top w:val="single" w:sz="8" w:space="0" w:color="auto"/>
              <w:left w:val="single" w:sz="8" w:space="0" w:color="auto"/>
              <w:bottom w:val="single" w:sz="8" w:space="0" w:color="auto"/>
              <w:right w:val="single" w:sz="8" w:space="0" w:color="auto"/>
            </w:tcBorders>
          </w:tcPr>
          <w:p w14:paraId="6DE99E62" w14:textId="1AFB0B7C" w:rsidR="003035EC" w:rsidRPr="00AB63CB" w:rsidRDefault="003035EC" w:rsidP="001B64BC">
            <w:pPr>
              <w:keepNext/>
              <w:jc w:val="center"/>
              <w:rPr>
                <w:bCs/>
                <w:color w:val="000000"/>
                <w:sz w:val="22"/>
                <w:szCs w:val="22"/>
                <w:lang w:val="hr-HR"/>
              </w:rPr>
            </w:pPr>
            <w:r w:rsidRPr="00AB63CB">
              <w:rPr>
                <w:bCs/>
                <w:color w:val="000000"/>
                <w:sz w:val="22"/>
                <w:szCs w:val="22"/>
                <w:lang w:val="hr-HR"/>
              </w:rPr>
              <w:t>Davati dva</w:t>
            </w:r>
            <w:r w:rsidR="00560D16">
              <w:rPr>
                <w:bCs/>
                <w:color w:val="000000"/>
                <w:sz w:val="22"/>
                <w:szCs w:val="22"/>
                <w:lang w:val="hr-HR"/>
              </w:rPr>
              <w:t xml:space="preserve"> </w:t>
            </w:r>
            <w:r w:rsidRPr="00AB63CB">
              <w:rPr>
                <w:bCs/>
                <w:color w:val="000000"/>
                <w:sz w:val="22"/>
                <w:szCs w:val="22"/>
                <w:lang w:val="hr-HR"/>
              </w:rPr>
              <w:t>put</w:t>
            </w:r>
            <w:r w:rsidR="00560D16">
              <w:rPr>
                <w:bCs/>
                <w:color w:val="000000"/>
                <w:sz w:val="22"/>
                <w:szCs w:val="22"/>
                <w:lang w:val="hr-HR"/>
              </w:rPr>
              <w:t>a</w:t>
            </w:r>
            <w:r w:rsidRPr="00AB63CB">
              <w:rPr>
                <w:bCs/>
                <w:color w:val="000000"/>
                <w:sz w:val="22"/>
                <w:szCs w:val="22"/>
                <w:lang w:val="hr-HR"/>
              </w:rPr>
              <w:t xml:space="preserve"> na dan</w:t>
            </w:r>
          </w:p>
        </w:tc>
      </w:tr>
      <w:tr w:rsidR="003035EC" w:rsidRPr="003035EC" w14:paraId="13FF4413" w14:textId="77777777" w:rsidTr="00560D16">
        <w:trPr>
          <w:cantSplit/>
        </w:trPr>
        <w:tc>
          <w:tcPr>
            <w:tcW w:w="3108" w:type="dxa"/>
            <w:vMerge/>
            <w:vAlign w:val="center"/>
            <w:hideMark/>
          </w:tcPr>
          <w:p w14:paraId="37F40C56" w14:textId="77777777" w:rsidR="003035EC" w:rsidRPr="00AB63CB" w:rsidRDefault="003035EC" w:rsidP="001B64BC">
            <w:pPr>
              <w:keepNext/>
              <w:rPr>
                <w:bCs/>
                <w:color w:val="000000"/>
                <w:sz w:val="22"/>
                <w:szCs w:val="22"/>
                <w:lang w:val="hr-HR"/>
              </w:rPr>
            </w:pPr>
          </w:p>
        </w:tc>
        <w:tc>
          <w:tcPr>
            <w:tcW w:w="1546" w:type="dxa"/>
          </w:tcPr>
          <w:p w14:paraId="288A1AF5" w14:textId="77777777" w:rsidR="003035EC" w:rsidRPr="00AB63CB" w:rsidRDefault="003035EC" w:rsidP="001B64BC">
            <w:pPr>
              <w:keepNext/>
              <w:rPr>
                <w:bCs/>
                <w:color w:val="000000"/>
                <w:sz w:val="22"/>
                <w:szCs w:val="22"/>
                <w:lang w:val="hr-HR"/>
              </w:rPr>
            </w:pPr>
            <w:r w:rsidRPr="00AB63CB">
              <w:rPr>
                <w:bCs/>
                <w:color w:val="000000"/>
                <w:sz w:val="22"/>
                <w:szCs w:val="22"/>
                <w:lang w:val="hr-HR"/>
              </w:rPr>
              <w:t>Polovina početne doze*</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5538E911" w14:textId="77777777" w:rsidR="003035EC" w:rsidRPr="00AB63CB" w:rsidRDefault="003035EC" w:rsidP="001B64BC">
            <w:pPr>
              <w:keepNext/>
              <w:rPr>
                <w:bCs/>
                <w:color w:val="000000"/>
                <w:sz w:val="22"/>
                <w:szCs w:val="22"/>
                <w:lang w:val="hr-HR"/>
              </w:rPr>
            </w:pPr>
            <w:r w:rsidRPr="00AB63CB">
              <w:rPr>
                <w:bCs/>
                <w:color w:val="000000"/>
                <w:sz w:val="22"/>
                <w:szCs w:val="22"/>
                <w:lang w:val="hr-HR"/>
              </w:rPr>
              <w:t>Početna doza</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035216A2" w14:textId="77777777" w:rsidR="003035EC" w:rsidRPr="00AB63CB" w:rsidRDefault="003035EC" w:rsidP="001B64BC">
            <w:pPr>
              <w:keepNext/>
              <w:rPr>
                <w:bCs/>
                <w:color w:val="000000"/>
                <w:sz w:val="22"/>
                <w:szCs w:val="22"/>
                <w:lang w:val="hr-HR"/>
              </w:rPr>
            </w:pPr>
            <w:r w:rsidRPr="00AB63CB">
              <w:rPr>
                <w:bCs/>
                <w:color w:val="000000"/>
                <w:sz w:val="22"/>
                <w:szCs w:val="22"/>
                <w:lang w:val="hr-HR"/>
              </w:rPr>
              <w:t>Srednja doza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F3AF613" w14:textId="77777777" w:rsidR="003035EC" w:rsidRPr="00AB63CB" w:rsidRDefault="003035EC" w:rsidP="001B64BC">
            <w:pPr>
              <w:keepNext/>
              <w:rPr>
                <w:bCs/>
                <w:color w:val="000000"/>
                <w:sz w:val="22"/>
                <w:szCs w:val="22"/>
                <w:lang w:val="hr-HR"/>
              </w:rPr>
            </w:pPr>
            <w:r w:rsidRPr="00AB63CB">
              <w:rPr>
                <w:bCs/>
                <w:color w:val="000000"/>
                <w:sz w:val="22"/>
                <w:szCs w:val="22"/>
                <w:lang w:val="hr-HR"/>
              </w:rPr>
              <w:t>Ciljna doza</w:t>
            </w:r>
          </w:p>
        </w:tc>
      </w:tr>
      <w:tr w:rsidR="003035EC" w:rsidRPr="003035EC" w14:paraId="699AB3C9" w14:textId="77777777" w:rsidTr="00560D16">
        <w:trPr>
          <w:cantSplit/>
        </w:trPr>
        <w:tc>
          <w:tcPr>
            <w:tcW w:w="3108" w:type="dxa"/>
            <w:tcBorders>
              <w:top w:val="single" w:sz="8" w:space="0" w:color="auto"/>
              <w:left w:val="single" w:sz="8" w:space="0" w:color="auto"/>
              <w:bottom w:val="single" w:sz="8" w:space="0" w:color="auto"/>
              <w:right w:val="single" w:sz="8" w:space="0" w:color="auto"/>
            </w:tcBorders>
            <w:vAlign w:val="center"/>
            <w:hideMark/>
          </w:tcPr>
          <w:p w14:paraId="42E3392F" w14:textId="77777777" w:rsidR="003035EC" w:rsidRPr="00AB63CB" w:rsidRDefault="003035EC" w:rsidP="001B64BC">
            <w:pPr>
              <w:keepNext/>
              <w:rPr>
                <w:bCs/>
                <w:color w:val="000000"/>
                <w:sz w:val="22"/>
                <w:szCs w:val="22"/>
                <w:lang w:val="hr-HR"/>
              </w:rPr>
            </w:pPr>
            <w:r w:rsidRPr="00AB63CB">
              <w:rPr>
                <w:bCs/>
                <w:color w:val="000000"/>
                <w:sz w:val="22"/>
                <w:szCs w:val="22"/>
                <w:lang w:val="hr-HR"/>
              </w:rPr>
              <w:t>Pedijatrijski pacijenti s manje od 40</w:t>
            </w:r>
            <w:r w:rsidRPr="00AB63CB">
              <w:rPr>
                <w:color w:val="000000" w:themeColor="text1"/>
                <w:sz w:val="22"/>
                <w:szCs w:val="22"/>
                <w:lang w:val="hr-HR"/>
              </w:rPr>
              <w:t> </w:t>
            </w:r>
            <w:r w:rsidRPr="00AB63CB">
              <w:rPr>
                <w:bCs/>
                <w:color w:val="000000"/>
                <w:sz w:val="22"/>
                <w:szCs w:val="22"/>
                <w:lang w:val="hr-HR"/>
              </w:rPr>
              <w:t>kg</w:t>
            </w:r>
          </w:p>
        </w:tc>
        <w:tc>
          <w:tcPr>
            <w:tcW w:w="1546" w:type="dxa"/>
            <w:tcBorders>
              <w:top w:val="single" w:sz="4" w:space="0" w:color="auto"/>
              <w:left w:val="single" w:sz="8" w:space="0" w:color="auto"/>
              <w:bottom w:val="single" w:sz="8" w:space="0" w:color="auto"/>
              <w:right w:val="single" w:sz="8" w:space="0" w:color="auto"/>
            </w:tcBorders>
            <w:vAlign w:val="center"/>
          </w:tcPr>
          <w:p w14:paraId="2215A754" w14:textId="77777777" w:rsidR="003035EC" w:rsidRPr="00AB63CB" w:rsidRDefault="003035EC" w:rsidP="001B64BC">
            <w:pPr>
              <w:keepNext/>
              <w:rPr>
                <w:bCs/>
                <w:color w:val="000000"/>
                <w:sz w:val="22"/>
                <w:szCs w:val="22"/>
                <w:lang w:val="hr-HR"/>
              </w:rPr>
            </w:pPr>
            <w:r w:rsidRPr="00AB63CB">
              <w:rPr>
                <w:color w:val="000000" w:themeColor="text1"/>
                <w:sz w:val="22"/>
                <w:szCs w:val="22"/>
                <w:lang w:val="hr-HR"/>
              </w:rPr>
              <w:t>0,8 mg/kg</w:t>
            </w:r>
            <w:r w:rsidRPr="00AB63CB">
              <w:rPr>
                <w:color w:val="000000" w:themeColor="text1"/>
                <w:sz w:val="22"/>
                <w:szCs w:val="22"/>
                <w:vertAlign w:val="superscript"/>
                <w:lang w:val="hr-HR"/>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33C10088" w14:textId="77777777" w:rsidR="003035EC" w:rsidRPr="00AB63CB" w:rsidRDefault="003035EC" w:rsidP="001B64BC">
            <w:pPr>
              <w:keepNext/>
              <w:rPr>
                <w:bCs/>
                <w:color w:val="000000"/>
                <w:sz w:val="22"/>
                <w:szCs w:val="22"/>
                <w:lang w:val="hr-HR"/>
              </w:rPr>
            </w:pPr>
            <w:r w:rsidRPr="00AB63CB">
              <w:rPr>
                <w:bCs/>
                <w:color w:val="000000"/>
                <w:sz w:val="22"/>
                <w:szCs w:val="22"/>
                <w:lang w:val="hr-HR"/>
              </w:rPr>
              <w:t>1,6</w:t>
            </w:r>
            <w:r w:rsidRPr="00AB63CB">
              <w:rPr>
                <w:color w:val="000000" w:themeColor="text1"/>
                <w:sz w:val="22"/>
                <w:szCs w:val="22"/>
                <w:lang w:val="hr-HR"/>
              </w:rPr>
              <w:t> </w:t>
            </w:r>
            <w:r w:rsidRPr="00AB63CB">
              <w:rPr>
                <w:bCs/>
                <w:color w:val="000000"/>
                <w:sz w:val="22"/>
                <w:szCs w:val="22"/>
                <w:lang w:val="hr-HR"/>
              </w:rPr>
              <w:t>mg/kg</w:t>
            </w:r>
            <w:r w:rsidRPr="00AB63CB">
              <w:rPr>
                <w:bCs/>
                <w:color w:val="000000"/>
                <w:sz w:val="22"/>
                <w:szCs w:val="22"/>
                <w:vertAlign w:val="superscript"/>
                <w:lang w:val="hr-HR"/>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E3E3208" w14:textId="77777777" w:rsidR="003035EC" w:rsidRPr="00AB63CB" w:rsidRDefault="003035EC" w:rsidP="001B64BC">
            <w:pPr>
              <w:keepNext/>
              <w:rPr>
                <w:bCs/>
                <w:color w:val="000000"/>
                <w:sz w:val="22"/>
                <w:szCs w:val="22"/>
                <w:lang w:val="hr-HR"/>
              </w:rPr>
            </w:pPr>
            <w:r w:rsidRPr="00AB63CB">
              <w:rPr>
                <w:bCs/>
                <w:color w:val="000000"/>
                <w:sz w:val="22"/>
                <w:szCs w:val="22"/>
                <w:lang w:val="hr-HR"/>
              </w:rPr>
              <w:t>2,3</w:t>
            </w:r>
            <w:r w:rsidRPr="00AB63CB">
              <w:rPr>
                <w:color w:val="000000" w:themeColor="text1"/>
                <w:sz w:val="22"/>
                <w:szCs w:val="22"/>
                <w:lang w:val="hr-HR"/>
              </w:rPr>
              <w:t> </w:t>
            </w:r>
            <w:r w:rsidRPr="00AB63CB">
              <w:rPr>
                <w:bCs/>
                <w:color w:val="000000"/>
                <w:sz w:val="22"/>
                <w:szCs w:val="22"/>
                <w:lang w:val="hr-HR"/>
              </w:rPr>
              <w:t>mg/kg</w:t>
            </w:r>
            <w:r w:rsidRPr="00AB63CB">
              <w:rPr>
                <w:bCs/>
                <w:color w:val="000000"/>
                <w:sz w:val="22"/>
                <w:szCs w:val="22"/>
                <w:vertAlign w:val="superscript"/>
                <w:lang w:val="hr-HR"/>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03122178" w14:textId="77777777" w:rsidR="003035EC" w:rsidRPr="00AB63CB" w:rsidRDefault="003035EC" w:rsidP="001B64BC">
            <w:pPr>
              <w:keepNext/>
              <w:rPr>
                <w:bCs/>
                <w:color w:val="000000"/>
                <w:sz w:val="22"/>
                <w:szCs w:val="22"/>
                <w:lang w:val="hr-HR"/>
              </w:rPr>
            </w:pPr>
            <w:r w:rsidRPr="00AB63CB">
              <w:rPr>
                <w:bCs/>
                <w:color w:val="000000"/>
                <w:sz w:val="22"/>
                <w:szCs w:val="22"/>
                <w:lang w:val="hr-HR"/>
              </w:rPr>
              <w:t>3,1</w:t>
            </w:r>
            <w:r w:rsidRPr="00AB63CB">
              <w:rPr>
                <w:color w:val="000000" w:themeColor="text1"/>
                <w:sz w:val="22"/>
                <w:szCs w:val="22"/>
                <w:lang w:val="hr-HR"/>
              </w:rPr>
              <w:t> </w:t>
            </w:r>
            <w:r w:rsidRPr="00AB63CB">
              <w:rPr>
                <w:bCs/>
                <w:color w:val="000000"/>
                <w:sz w:val="22"/>
                <w:szCs w:val="22"/>
                <w:lang w:val="hr-HR"/>
              </w:rPr>
              <w:t>mg/kg</w:t>
            </w:r>
            <w:r w:rsidRPr="00AB63CB">
              <w:rPr>
                <w:bCs/>
                <w:color w:val="000000"/>
                <w:sz w:val="22"/>
                <w:szCs w:val="22"/>
                <w:vertAlign w:val="superscript"/>
                <w:lang w:val="hr-HR"/>
              </w:rPr>
              <w:t>#</w:t>
            </w:r>
          </w:p>
        </w:tc>
      </w:tr>
      <w:tr w:rsidR="003035EC" w:rsidRPr="003035EC" w14:paraId="609E5C65" w14:textId="77777777" w:rsidTr="00560D16">
        <w:trPr>
          <w:cantSplit/>
        </w:trPr>
        <w:tc>
          <w:tcPr>
            <w:tcW w:w="3108" w:type="dxa"/>
            <w:tcBorders>
              <w:top w:val="single" w:sz="8" w:space="0" w:color="auto"/>
              <w:left w:val="single" w:sz="8" w:space="0" w:color="auto"/>
              <w:bottom w:val="single" w:sz="4" w:space="0" w:color="auto"/>
              <w:right w:val="single" w:sz="8" w:space="0" w:color="auto"/>
            </w:tcBorders>
            <w:vAlign w:val="center"/>
            <w:hideMark/>
          </w:tcPr>
          <w:p w14:paraId="6EF012E4" w14:textId="77777777" w:rsidR="003035EC" w:rsidRPr="00AB63CB" w:rsidRDefault="003035EC" w:rsidP="001B64BC">
            <w:pPr>
              <w:keepNext/>
              <w:rPr>
                <w:bCs/>
                <w:color w:val="000000"/>
                <w:sz w:val="22"/>
                <w:szCs w:val="22"/>
                <w:lang w:val="hr-HR"/>
              </w:rPr>
            </w:pPr>
            <w:r w:rsidRPr="00AB63CB">
              <w:rPr>
                <w:bCs/>
                <w:color w:val="000000"/>
                <w:sz w:val="22"/>
                <w:szCs w:val="22"/>
                <w:lang w:val="hr-HR"/>
              </w:rPr>
              <w:t>Pedijatrijski pacijenti od najmanje 40</w:t>
            </w:r>
            <w:r w:rsidRPr="00AB63CB">
              <w:rPr>
                <w:color w:val="000000" w:themeColor="text1"/>
                <w:sz w:val="22"/>
                <w:szCs w:val="22"/>
                <w:lang w:val="hr-HR"/>
              </w:rPr>
              <w:t> </w:t>
            </w:r>
            <w:r w:rsidRPr="00AB63CB">
              <w:rPr>
                <w:bCs/>
                <w:color w:val="000000"/>
                <w:sz w:val="22"/>
                <w:szCs w:val="22"/>
                <w:lang w:val="hr-HR"/>
              </w:rPr>
              <w:t>kg, manje od 50</w:t>
            </w:r>
            <w:r w:rsidRPr="00AB63CB">
              <w:rPr>
                <w:color w:val="000000" w:themeColor="text1"/>
                <w:sz w:val="22"/>
                <w:szCs w:val="22"/>
                <w:lang w:val="hr-HR"/>
              </w:rPr>
              <w:t> </w:t>
            </w:r>
            <w:r w:rsidRPr="00AB63CB">
              <w:rPr>
                <w:bCs/>
                <w:color w:val="000000"/>
                <w:sz w:val="22"/>
                <w:szCs w:val="22"/>
                <w:lang w:val="hr-HR"/>
              </w:rPr>
              <w:t>kg</w:t>
            </w:r>
          </w:p>
        </w:tc>
        <w:tc>
          <w:tcPr>
            <w:tcW w:w="1546" w:type="dxa"/>
            <w:tcBorders>
              <w:top w:val="single" w:sz="8" w:space="0" w:color="auto"/>
              <w:left w:val="single" w:sz="8" w:space="0" w:color="auto"/>
              <w:bottom w:val="single" w:sz="4" w:space="0" w:color="auto"/>
              <w:right w:val="single" w:sz="8" w:space="0" w:color="auto"/>
            </w:tcBorders>
            <w:vAlign w:val="center"/>
          </w:tcPr>
          <w:p w14:paraId="0B11A2C0" w14:textId="77777777" w:rsidR="003035EC" w:rsidRPr="00AB63CB" w:rsidRDefault="003035EC" w:rsidP="001B64BC">
            <w:pPr>
              <w:keepNext/>
              <w:rPr>
                <w:color w:val="000000" w:themeColor="text1"/>
                <w:sz w:val="22"/>
                <w:szCs w:val="22"/>
                <w:lang w:val="hr-HR"/>
              </w:rPr>
            </w:pPr>
            <w:r w:rsidRPr="00AB63CB">
              <w:rPr>
                <w:color w:val="000000" w:themeColor="text1"/>
                <w:sz w:val="22"/>
                <w:szCs w:val="22"/>
                <w:lang w:val="hr-HR"/>
              </w:rPr>
              <w:t>0,8 mg/kg</w:t>
            </w:r>
            <w:r w:rsidRPr="00AB63CB">
              <w:rPr>
                <w:color w:val="000000" w:themeColor="text1"/>
                <w:sz w:val="22"/>
                <w:szCs w:val="22"/>
                <w:vertAlign w:val="superscript"/>
                <w:lang w:val="hr-HR"/>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E9D6535" w14:textId="77777777" w:rsidR="003035EC" w:rsidRPr="00AB63CB" w:rsidRDefault="003035EC" w:rsidP="001B64BC">
            <w:pPr>
              <w:keepNext/>
              <w:rPr>
                <w:color w:val="000000"/>
                <w:sz w:val="22"/>
                <w:szCs w:val="22"/>
                <w:lang w:val="hr-HR"/>
              </w:rPr>
            </w:pPr>
            <w:r w:rsidRPr="00AB63CB">
              <w:rPr>
                <w:color w:val="000000" w:themeColor="text1"/>
                <w:sz w:val="22"/>
                <w:szCs w:val="22"/>
                <w:lang w:val="hr-HR"/>
              </w:rPr>
              <w:t>26 mg/24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37408AB4" w14:textId="77777777" w:rsidR="003035EC" w:rsidRPr="00AB63CB" w:rsidRDefault="003035EC" w:rsidP="001B64BC">
            <w:pPr>
              <w:keepNext/>
              <w:rPr>
                <w:bCs/>
                <w:color w:val="000000"/>
                <w:sz w:val="22"/>
                <w:szCs w:val="22"/>
                <w:lang w:val="hr-HR"/>
              </w:rPr>
            </w:pPr>
            <w:r w:rsidRPr="00AB63CB">
              <w:rPr>
                <w:bCs/>
                <w:color w:val="000000"/>
                <w:sz w:val="22"/>
                <w:szCs w:val="22"/>
                <w:lang w:val="hr-HR"/>
              </w:rPr>
              <w:t>51 m</w:t>
            </w:r>
            <w:r w:rsidRPr="00AB63CB">
              <w:rPr>
                <w:bCs/>
                <w:sz w:val="22"/>
                <w:szCs w:val="22"/>
                <w:lang w:val="hr-HR"/>
              </w:rPr>
              <w:t>g</w:t>
            </w:r>
            <w:r w:rsidRPr="00AB63CB">
              <w:rPr>
                <w:bCs/>
                <w:color w:val="000000"/>
                <w:sz w:val="22"/>
                <w:szCs w:val="22"/>
                <w:lang w:val="hr-HR"/>
              </w:rPr>
              <w:t>/49</w:t>
            </w:r>
            <w:r w:rsidRPr="00AB63CB">
              <w:rPr>
                <w:color w:val="000000" w:themeColor="text1"/>
                <w:sz w:val="22"/>
                <w:szCs w:val="22"/>
                <w:lang w:val="hr-HR"/>
              </w:rPr>
              <w:t> </w:t>
            </w:r>
            <w:r w:rsidRPr="00AB63CB">
              <w:rPr>
                <w:bCs/>
                <w:color w:val="000000"/>
                <w:sz w:val="22"/>
                <w:szCs w:val="22"/>
                <w:lang w:val="hr-HR"/>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215FD2C" w14:textId="77777777" w:rsidR="003035EC" w:rsidRPr="00AB63CB" w:rsidRDefault="003035EC" w:rsidP="001B64BC">
            <w:pPr>
              <w:keepNext/>
              <w:rPr>
                <w:bCs/>
                <w:color w:val="000000"/>
                <w:sz w:val="22"/>
                <w:szCs w:val="22"/>
                <w:lang w:val="hr-HR"/>
              </w:rPr>
            </w:pPr>
            <w:r w:rsidRPr="00AB63CB">
              <w:rPr>
                <w:bCs/>
                <w:color w:val="000000"/>
                <w:sz w:val="22"/>
                <w:szCs w:val="22"/>
                <w:lang w:val="hr-HR"/>
              </w:rPr>
              <w:t>78 m</w:t>
            </w:r>
            <w:r w:rsidRPr="00AB63CB">
              <w:rPr>
                <w:bCs/>
                <w:sz w:val="22"/>
                <w:szCs w:val="22"/>
                <w:lang w:val="hr-HR"/>
              </w:rPr>
              <w:t>g</w:t>
            </w:r>
            <w:r w:rsidRPr="00AB63CB">
              <w:rPr>
                <w:bCs/>
                <w:color w:val="000000"/>
                <w:sz w:val="22"/>
                <w:szCs w:val="22"/>
                <w:lang w:val="hr-HR"/>
              </w:rPr>
              <w:t>/72</w:t>
            </w:r>
            <w:r w:rsidRPr="00AB63CB">
              <w:rPr>
                <w:color w:val="000000" w:themeColor="text1"/>
                <w:sz w:val="22"/>
                <w:szCs w:val="22"/>
                <w:lang w:val="hr-HR"/>
              </w:rPr>
              <w:t> </w:t>
            </w:r>
            <w:r w:rsidRPr="00AB63CB">
              <w:rPr>
                <w:bCs/>
                <w:color w:val="000000"/>
                <w:sz w:val="22"/>
                <w:szCs w:val="22"/>
                <w:lang w:val="hr-HR"/>
              </w:rPr>
              <w:t>mg</w:t>
            </w:r>
          </w:p>
        </w:tc>
      </w:tr>
      <w:tr w:rsidR="003035EC" w:rsidRPr="003035EC" w14:paraId="31681A19" w14:textId="77777777" w:rsidTr="00560D16">
        <w:trPr>
          <w:cantSplit/>
        </w:trPr>
        <w:tc>
          <w:tcPr>
            <w:tcW w:w="3108" w:type="dxa"/>
            <w:tcBorders>
              <w:top w:val="single" w:sz="4" w:space="0" w:color="auto"/>
              <w:left w:val="single" w:sz="4" w:space="0" w:color="auto"/>
              <w:bottom w:val="single" w:sz="4" w:space="0" w:color="auto"/>
              <w:right w:val="single" w:sz="4" w:space="0" w:color="auto"/>
            </w:tcBorders>
            <w:vAlign w:val="center"/>
            <w:hideMark/>
          </w:tcPr>
          <w:p w14:paraId="364B7F9C" w14:textId="77777777" w:rsidR="003035EC" w:rsidRPr="00AB63CB" w:rsidRDefault="003035EC" w:rsidP="001B64BC">
            <w:pPr>
              <w:keepNext/>
              <w:rPr>
                <w:bCs/>
                <w:color w:val="000000"/>
                <w:sz w:val="22"/>
                <w:szCs w:val="22"/>
                <w:lang w:val="hr-HR"/>
              </w:rPr>
            </w:pPr>
            <w:r w:rsidRPr="00AB63CB">
              <w:rPr>
                <w:bCs/>
                <w:color w:val="000000"/>
                <w:sz w:val="22"/>
                <w:szCs w:val="22"/>
                <w:lang w:val="hr-HR"/>
              </w:rPr>
              <w:t>Pedijatrijski pacijenti od najmanje 50</w:t>
            </w:r>
            <w:r w:rsidRPr="00AB63CB">
              <w:rPr>
                <w:color w:val="000000" w:themeColor="text1"/>
                <w:sz w:val="22"/>
                <w:szCs w:val="22"/>
                <w:lang w:val="hr-HR"/>
              </w:rPr>
              <w:t> </w:t>
            </w:r>
            <w:r w:rsidRPr="00AB63CB">
              <w:rPr>
                <w:bCs/>
                <w:color w:val="000000"/>
                <w:sz w:val="22"/>
                <w:szCs w:val="22"/>
                <w:lang w:val="hr-HR"/>
              </w:rPr>
              <w:t>kg</w:t>
            </w:r>
          </w:p>
        </w:tc>
        <w:tc>
          <w:tcPr>
            <w:tcW w:w="1546" w:type="dxa"/>
            <w:tcBorders>
              <w:top w:val="single" w:sz="4" w:space="0" w:color="auto"/>
              <w:left w:val="single" w:sz="4" w:space="0" w:color="auto"/>
              <w:bottom w:val="single" w:sz="4" w:space="0" w:color="auto"/>
              <w:right w:val="single" w:sz="4" w:space="0" w:color="auto"/>
            </w:tcBorders>
            <w:vAlign w:val="center"/>
          </w:tcPr>
          <w:p w14:paraId="096B5340" w14:textId="77777777" w:rsidR="003035EC" w:rsidRPr="00AB63CB" w:rsidRDefault="003035EC" w:rsidP="001B64BC">
            <w:pPr>
              <w:keepNext/>
              <w:rPr>
                <w:bCs/>
                <w:color w:val="000000"/>
                <w:sz w:val="22"/>
                <w:szCs w:val="22"/>
                <w:lang w:val="hr-HR"/>
              </w:rPr>
            </w:pPr>
            <w:r w:rsidRPr="00AB63CB">
              <w:rPr>
                <w:color w:val="000000" w:themeColor="text1"/>
                <w:sz w:val="22"/>
                <w:szCs w:val="22"/>
                <w:lang w:val="hr-HR"/>
              </w:rPr>
              <w:t>26 mg/24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5656DFA" w14:textId="77777777" w:rsidR="003035EC" w:rsidRPr="00AB63CB" w:rsidRDefault="003035EC" w:rsidP="001B64BC">
            <w:pPr>
              <w:keepNext/>
              <w:rPr>
                <w:bCs/>
                <w:color w:val="000000"/>
                <w:sz w:val="22"/>
                <w:szCs w:val="22"/>
                <w:lang w:val="hr-HR"/>
              </w:rPr>
            </w:pPr>
            <w:r w:rsidRPr="00AB63CB">
              <w:rPr>
                <w:bCs/>
                <w:color w:val="000000"/>
                <w:sz w:val="22"/>
                <w:szCs w:val="22"/>
                <w:lang w:val="hr-HR"/>
              </w:rPr>
              <w:t>51 m</w:t>
            </w:r>
            <w:r w:rsidRPr="00AB63CB">
              <w:rPr>
                <w:bCs/>
                <w:sz w:val="22"/>
                <w:szCs w:val="22"/>
                <w:lang w:val="hr-HR"/>
              </w:rPr>
              <w:t>g</w:t>
            </w:r>
            <w:r w:rsidRPr="00AB63CB">
              <w:rPr>
                <w:bCs/>
                <w:color w:val="000000"/>
                <w:sz w:val="22"/>
                <w:szCs w:val="22"/>
                <w:lang w:val="hr-HR"/>
              </w:rPr>
              <w:t>/49</w:t>
            </w:r>
            <w:r w:rsidRPr="00AB63CB">
              <w:rPr>
                <w:color w:val="000000" w:themeColor="text1"/>
                <w:sz w:val="22"/>
                <w:szCs w:val="22"/>
                <w:lang w:val="hr-HR"/>
              </w:rPr>
              <w:t> </w:t>
            </w:r>
            <w:r w:rsidRPr="00AB63CB">
              <w:rPr>
                <w:bCs/>
                <w:color w:val="000000"/>
                <w:sz w:val="22"/>
                <w:szCs w:val="22"/>
                <w:lang w:val="hr-HR"/>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4F3904B5" w14:textId="77777777" w:rsidR="003035EC" w:rsidRPr="00AB63CB" w:rsidRDefault="003035EC" w:rsidP="001B64BC">
            <w:pPr>
              <w:keepNext/>
              <w:rPr>
                <w:bCs/>
                <w:color w:val="000000"/>
                <w:sz w:val="22"/>
                <w:szCs w:val="22"/>
                <w:lang w:val="hr-HR"/>
              </w:rPr>
            </w:pPr>
            <w:r w:rsidRPr="00AB63CB">
              <w:rPr>
                <w:bCs/>
                <w:color w:val="000000"/>
                <w:sz w:val="22"/>
                <w:szCs w:val="22"/>
                <w:lang w:val="hr-HR"/>
              </w:rPr>
              <w:t>78 m</w:t>
            </w:r>
            <w:r w:rsidRPr="00AB63CB">
              <w:rPr>
                <w:bCs/>
                <w:sz w:val="22"/>
                <w:szCs w:val="22"/>
                <w:lang w:val="hr-HR"/>
              </w:rPr>
              <w:t>g</w:t>
            </w:r>
            <w:r w:rsidRPr="00AB63CB">
              <w:rPr>
                <w:bCs/>
                <w:color w:val="000000"/>
                <w:sz w:val="22"/>
                <w:szCs w:val="22"/>
                <w:lang w:val="hr-HR"/>
              </w:rPr>
              <w:t>/72</w:t>
            </w:r>
            <w:r w:rsidRPr="00AB63CB">
              <w:rPr>
                <w:color w:val="000000" w:themeColor="text1"/>
                <w:sz w:val="22"/>
                <w:szCs w:val="22"/>
                <w:lang w:val="hr-HR"/>
              </w:rPr>
              <w:t> </w:t>
            </w:r>
            <w:r w:rsidRPr="00AB63CB">
              <w:rPr>
                <w:bCs/>
                <w:color w:val="000000"/>
                <w:sz w:val="22"/>
                <w:szCs w:val="22"/>
                <w:lang w:val="hr-HR"/>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9767B61" w14:textId="77777777" w:rsidR="003035EC" w:rsidRPr="00AB63CB" w:rsidRDefault="003035EC" w:rsidP="001B64BC">
            <w:pPr>
              <w:keepNext/>
              <w:rPr>
                <w:bCs/>
                <w:color w:val="000000"/>
                <w:sz w:val="22"/>
                <w:szCs w:val="22"/>
                <w:lang w:val="hr-HR"/>
              </w:rPr>
            </w:pPr>
            <w:r w:rsidRPr="00AB63CB">
              <w:rPr>
                <w:bCs/>
                <w:color w:val="000000"/>
                <w:sz w:val="22"/>
                <w:szCs w:val="22"/>
                <w:lang w:val="hr-HR"/>
              </w:rPr>
              <w:t>103 m</w:t>
            </w:r>
            <w:r w:rsidRPr="00AB63CB">
              <w:rPr>
                <w:bCs/>
                <w:sz w:val="22"/>
                <w:szCs w:val="22"/>
                <w:lang w:val="hr-HR"/>
              </w:rPr>
              <w:t>g</w:t>
            </w:r>
            <w:r w:rsidRPr="00AB63CB">
              <w:rPr>
                <w:bCs/>
                <w:color w:val="000000"/>
                <w:sz w:val="22"/>
                <w:szCs w:val="22"/>
                <w:lang w:val="hr-HR"/>
              </w:rPr>
              <w:t>/97</w:t>
            </w:r>
            <w:r w:rsidRPr="00AB63CB">
              <w:rPr>
                <w:color w:val="000000" w:themeColor="text1"/>
                <w:sz w:val="22"/>
                <w:szCs w:val="22"/>
                <w:lang w:val="hr-HR"/>
              </w:rPr>
              <w:t> </w:t>
            </w:r>
            <w:r w:rsidRPr="00AB63CB">
              <w:rPr>
                <w:bCs/>
                <w:color w:val="000000"/>
                <w:sz w:val="22"/>
                <w:szCs w:val="22"/>
                <w:lang w:val="hr-HR"/>
              </w:rPr>
              <w:t>mg</w:t>
            </w:r>
          </w:p>
        </w:tc>
      </w:tr>
    </w:tbl>
    <w:p w14:paraId="01BDED1B" w14:textId="05F8778C" w:rsidR="003035EC" w:rsidRPr="00AB63CB" w:rsidRDefault="003035EC" w:rsidP="001B64BC">
      <w:pPr>
        <w:jc w:val="both"/>
        <w:rPr>
          <w:color w:val="000000" w:themeColor="text1"/>
          <w:sz w:val="22"/>
          <w:szCs w:val="22"/>
          <w:lang w:val="hr-HR"/>
        </w:rPr>
      </w:pPr>
      <w:r w:rsidRPr="00AB63CB">
        <w:rPr>
          <w:color w:val="000000" w:themeColor="text1"/>
          <w:sz w:val="22"/>
          <w:szCs w:val="22"/>
          <w:lang w:val="hr-HR"/>
        </w:rPr>
        <w:t>* Pola početne doze preporučuje se za pacijente koji prethodno ni</w:t>
      </w:r>
      <w:r w:rsidR="00F37D23">
        <w:rPr>
          <w:color w:val="000000" w:themeColor="text1"/>
          <w:sz w:val="22"/>
          <w:szCs w:val="22"/>
          <w:lang w:val="hr-HR"/>
        </w:rPr>
        <w:t>je</w:t>
      </w:r>
      <w:r w:rsidRPr="00AB63CB">
        <w:rPr>
          <w:color w:val="000000" w:themeColor="text1"/>
          <w:sz w:val="22"/>
          <w:szCs w:val="22"/>
          <w:lang w:val="hr-HR"/>
        </w:rPr>
        <w:t>su uzimali ACE inhibitor ili ARB ili su uzimali niske doze tih l</w:t>
      </w:r>
      <w:r w:rsidR="002637F8">
        <w:rPr>
          <w:color w:val="000000" w:themeColor="text1"/>
          <w:sz w:val="22"/>
          <w:szCs w:val="22"/>
          <w:lang w:val="hr-HR"/>
        </w:rPr>
        <w:t>j</w:t>
      </w:r>
      <w:r w:rsidRPr="00AB63CB">
        <w:rPr>
          <w:color w:val="000000" w:themeColor="text1"/>
          <w:sz w:val="22"/>
          <w:szCs w:val="22"/>
          <w:lang w:val="hr-HR"/>
        </w:rPr>
        <w:t>ekova, pacijente koji imaju oštećenje funkcije bubrega (proc</w:t>
      </w:r>
      <w:r w:rsidR="002637F8">
        <w:rPr>
          <w:color w:val="000000" w:themeColor="text1"/>
          <w:sz w:val="22"/>
          <w:szCs w:val="22"/>
          <w:lang w:val="hr-HR"/>
        </w:rPr>
        <w:t>ij</w:t>
      </w:r>
      <w:r w:rsidRPr="00AB63CB">
        <w:rPr>
          <w:color w:val="000000" w:themeColor="text1"/>
          <w:sz w:val="22"/>
          <w:szCs w:val="22"/>
          <w:lang w:val="hr-HR"/>
        </w:rPr>
        <w:t xml:space="preserve">enjena brzina glomerularne filtracije </w:t>
      </w:r>
      <w:r w:rsidRPr="00AB63CB">
        <w:rPr>
          <w:sz w:val="22"/>
          <w:szCs w:val="22"/>
          <w:lang w:val="hr-HR"/>
        </w:rPr>
        <w:t>[eGFR, engl</w:t>
      </w:r>
      <w:r w:rsidRPr="00AB63CB">
        <w:rPr>
          <w:sz w:val="22"/>
          <w:szCs w:val="20"/>
          <w:lang w:val="hr-HR"/>
        </w:rPr>
        <w:t xml:space="preserve">. </w:t>
      </w:r>
      <w:r w:rsidRPr="00AB63CB">
        <w:rPr>
          <w:i/>
          <w:sz w:val="22"/>
          <w:szCs w:val="20"/>
          <w:lang w:val="hr-HR"/>
        </w:rPr>
        <w:t>estimated Glomerular Filtration Rate</w:t>
      </w:r>
      <w:r w:rsidRPr="00AB63CB">
        <w:rPr>
          <w:sz w:val="22"/>
          <w:szCs w:val="22"/>
          <w:lang w:val="hr-HR"/>
        </w:rPr>
        <w:t>] &lt;60 m</w:t>
      </w:r>
      <w:r w:rsidR="00F37D23">
        <w:rPr>
          <w:sz w:val="22"/>
          <w:szCs w:val="22"/>
          <w:lang w:val="hr-HR"/>
        </w:rPr>
        <w:t>l</w:t>
      </w:r>
      <w:r w:rsidRPr="00AB63CB">
        <w:rPr>
          <w:sz w:val="22"/>
          <w:szCs w:val="22"/>
          <w:lang w:val="hr-HR"/>
        </w:rPr>
        <w:t>/min/1,73 m</w:t>
      </w:r>
      <w:r w:rsidRPr="00AB63CB">
        <w:rPr>
          <w:sz w:val="22"/>
          <w:szCs w:val="22"/>
          <w:vertAlign w:val="superscript"/>
          <w:lang w:val="hr-HR"/>
        </w:rPr>
        <w:t>2</w:t>
      </w:r>
      <w:r w:rsidRPr="00AB63CB">
        <w:rPr>
          <w:sz w:val="22"/>
          <w:szCs w:val="22"/>
          <w:lang w:val="hr-HR"/>
        </w:rPr>
        <w:t>) i pacijente koji imaju um</w:t>
      </w:r>
      <w:r w:rsidR="002637F8">
        <w:rPr>
          <w:sz w:val="22"/>
          <w:szCs w:val="22"/>
          <w:lang w:val="hr-HR"/>
        </w:rPr>
        <w:t>j</w:t>
      </w:r>
      <w:r w:rsidRPr="00AB63CB">
        <w:rPr>
          <w:sz w:val="22"/>
          <w:szCs w:val="22"/>
          <w:lang w:val="hr-HR"/>
        </w:rPr>
        <w:t>ereno oštećenje funkcije jetre (vid</w:t>
      </w:r>
      <w:r w:rsidR="002637F8">
        <w:rPr>
          <w:sz w:val="22"/>
          <w:szCs w:val="22"/>
          <w:lang w:val="hr-HR"/>
        </w:rPr>
        <w:t>j</w:t>
      </w:r>
      <w:r w:rsidRPr="00AB63CB">
        <w:rPr>
          <w:sz w:val="22"/>
          <w:szCs w:val="22"/>
          <w:lang w:val="hr-HR"/>
        </w:rPr>
        <w:t>eti posebne populacije).</w:t>
      </w:r>
    </w:p>
    <w:p w14:paraId="50FE2558" w14:textId="703D208B" w:rsidR="00D26ACF" w:rsidRDefault="003035EC" w:rsidP="001B64BC">
      <w:pPr>
        <w:jc w:val="both"/>
        <w:rPr>
          <w:color w:val="000000" w:themeColor="text1"/>
          <w:sz w:val="22"/>
          <w:szCs w:val="22"/>
          <w:lang w:val="hr-HR"/>
        </w:rPr>
      </w:pPr>
      <w:r w:rsidRPr="00AB63CB">
        <w:rPr>
          <w:color w:val="000000" w:themeColor="text1"/>
          <w:sz w:val="22"/>
          <w:szCs w:val="22"/>
          <w:vertAlign w:val="superscript"/>
          <w:lang w:val="hr-HR"/>
        </w:rPr>
        <w:t>#</w:t>
      </w:r>
      <w:r w:rsidRPr="00AB63CB">
        <w:rPr>
          <w:color w:val="000000" w:themeColor="text1"/>
          <w:sz w:val="22"/>
          <w:szCs w:val="22"/>
          <w:lang w:val="hr-HR"/>
        </w:rPr>
        <w:t>0,8 mg/kg, 1,6 mg/kg, 2,3 mg/kg i 3,1 mg/kg odnosi se na kombinovanu količinu valsartana i sakubitrila i daje se koristeći granule.</w:t>
      </w:r>
    </w:p>
    <w:p w14:paraId="52B6BBB0" w14:textId="77777777" w:rsidR="003035EC" w:rsidRPr="00AB63CB" w:rsidRDefault="003035EC" w:rsidP="001B64BC">
      <w:pPr>
        <w:jc w:val="both"/>
        <w:rPr>
          <w:color w:val="000000"/>
          <w:sz w:val="22"/>
          <w:szCs w:val="22"/>
          <w:lang w:val="hr-HR"/>
        </w:rPr>
      </w:pPr>
    </w:p>
    <w:p w14:paraId="474B3883" w14:textId="76EA619D" w:rsidR="003035EC" w:rsidRPr="00AB63CB" w:rsidRDefault="003035EC" w:rsidP="001B64BC">
      <w:pPr>
        <w:jc w:val="both"/>
        <w:rPr>
          <w:color w:val="000000"/>
          <w:sz w:val="22"/>
          <w:szCs w:val="22"/>
          <w:lang w:val="hr-HR"/>
        </w:rPr>
      </w:pPr>
      <w:r w:rsidRPr="00AB63CB">
        <w:rPr>
          <w:sz w:val="22"/>
          <w:szCs w:val="22"/>
          <w:lang w:val="hr-HR"/>
        </w:rPr>
        <w:t>Kod pacijenata koji trenutno ne uzimaju ACE inhibitor ili ARB ili uzimaju niske doze tih l</w:t>
      </w:r>
      <w:r w:rsidR="002637F8">
        <w:rPr>
          <w:sz w:val="22"/>
          <w:szCs w:val="22"/>
          <w:lang w:val="hr-HR"/>
        </w:rPr>
        <w:t>j</w:t>
      </w:r>
      <w:r w:rsidRPr="00AB63CB">
        <w:rPr>
          <w:sz w:val="22"/>
          <w:szCs w:val="22"/>
          <w:lang w:val="hr-HR"/>
        </w:rPr>
        <w:t>ekova, preporučuje se pola početne doze. Kod pedijatrijskih pacijenata t</w:t>
      </w:r>
      <w:r w:rsidR="002637F8">
        <w:rPr>
          <w:sz w:val="22"/>
          <w:szCs w:val="22"/>
          <w:lang w:val="hr-HR"/>
        </w:rPr>
        <w:t>j</w:t>
      </w:r>
      <w:r w:rsidRPr="00AB63CB">
        <w:rPr>
          <w:sz w:val="22"/>
          <w:szCs w:val="22"/>
          <w:lang w:val="hr-HR"/>
        </w:rPr>
        <w:t>elesne težine od 40 kg do manje od 50</w:t>
      </w:r>
      <w:r w:rsidRPr="00AB63CB">
        <w:rPr>
          <w:color w:val="000000" w:themeColor="text1"/>
          <w:sz w:val="22"/>
          <w:szCs w:val="22"/>
          <w:lang w:val="hr-HR"/>
        </w:rPr>
        <w:t> </w:t>
      </w:r>
      <w:r w:rsidRPr="00AB63CB">
        <w:rPr>
          <w:sz w:val="22"/>
          <w:szCs w:val="22"/>
          <w:lang w:val="hr-HR"/>
        </w:rPr>
        <w:t>kg, preporučuje se početna doza od 0,8</w:t>
      </w:r>
      <w:r w:rsidRPr="00AB63CB">
        <w:rPr>
          <w:color w:val="000000" w:themeColor="text1"/>
          <w:sz w:val="22"/>
          <w:szCs w:val="22"/>
          <w:lang w:val="hr-HR"/>
        </w:rPr>
        <w:t> </w:t>
      </w:r>
      <w:r w:rsidRPr="00AB63CB">
        <w:rPr>
          <w:sz w:val="22"/>
          <w:szCs w:val="22"/>
          <w:lang w:val="hr-HR"/>
        </w:rPr>
        <w:t>mg/kg dva</w:t>
      </w:r>
      <w:r w:rsidR="00F37D23">
        <w:rPr>
          <w:sz w:val="22"/>
          <w:szCs w:val="22"/>
          <w:lang w:val="hr-HR"/>
        </w:rPr>
        <w:t xml:space="preserve"> </w:t>
      </w:r>
      <w:r w:rsidRPr="00AB63CB">
        <w:rPr>
          <w:sz w:val="22"/>
          <w:szCs w:val="22"/>
          <w:lang w:val="hr-HR"/>
        </w:rPr>
        <w:t>put</w:t>
      </w:r>
      <w:r w:rsidR="00F37D23">
        <w:rPr>
          <w:sz w:val="22"/>
          <w:szCs w:val="22"/>
          <w:lang w:val="hr-HR"/>
        </w:rPr>
        <w:t>a</w:t>
      </w:r>
      <w:r w:rsidRPr="00AB63CB">
        <w:rPr>
          <w:sz w:val="22"/>
          <w:szCs w:val="22"/>
          <w:lang w:val="hr-HR"/>
        </w:rPr>
        <w:t xml:space="preserve"> na dan (koja se daje u obliku granula). Nakon uvođenja l</w:t>
      </w:r>
      <w:r w:rsidR="002637F8">
        <w:rPr>
          <w:sz w:val="22"/>
          <w:szCs w:val="22"/>
          <w:lang w:val="hr-HR"/>
        </w:rPr>
        <w:t>ij</w:t>
      </w:r>
      <w:r w:rsidRPr="00AB63CB">
        <w:rPr>
          <w:sz w:val="22"/>
          <w:szCs w:val="22"/>
          <w:lang w:val="hr-HR"/>
        </w:rPr>
        <w:t>eka dozu je potrebno povećati na standardnu početnu dozu prema preporučenoj titraciji doze u Tabeli 1 i prilagođavati svake 3</w:t>
      </w:r>
      <w:r w:rsidRPr="00AB63CB">
        <w:rPr>
          <w:sz w:val="22"/>
          <w:szCs w:val="22"/>
          <w:lang w:val="hr-HR"/>
        </w:rPr>
        <w:noBreakHyphen/>
        <w:t>4 ned</w:t>
      </w:r>
      <w:r w:rsidR="002637F8">
        <w:rPr>
          <w:sz w:val="22"/>
          <w:szCs w:val="22"/>
          <w:lang w:val="hr-HR"/>
        </w:rPr>
        <w:t>j</w:t>
      </w:r>
      <w:r w:rsidRPr="00AB63CB">
        <w:rPr>
          <w:sz w:val="22"/>
          <w:szCs w:val="22"/>
          <w:lang w:val="hr-HR"/>
        </w:rPr>
        <w:t>elje.</w:t>
      </w:r>
    </w:p>
    <w:p w14:paraId="2BC3D0CF" w14:textId="77777777" w:rsidR="003035EC" w:rsidRPr="00AB63CB" w:rsidRDefault="003035EC" w:rsidP="001B64BC">
      <w:pPr>
        <w:jc w:val="both"/>
        <w:rPr>
          <w:color w:val="000000"/>
          <w:sz w:val="22"/>
          <w:szCs w:val="22"/>
          <w:lang w:val="hr-HR"/>
        </w:rPr>
      </w:pPr>
    </w:p>
    <w:p w14:paraId="122E592A" w14:textId="39400F36" w:rsidR="003035EC" w:rsidRDefault="003035EC" w:rsidP="001B64BC">
      <w:pPr>
        <w:jc w:val="both"/>
        <w:rPr>
          <w:color w:val="000000"/>
          <w:sz w:val="22"/>
          <w:szCs w:val="22"/>
          <w:lang w:val="hr-HR"/>
        </w:rPr>
      </w:pPr>
      <w:r w:rsidRPr="00AB63CB">
        <w:rPr>
          <w:color w:val="000000"/>
          <w:sz w:val="22"/>
          <w:szCs w:val="22"/>
          <w:lang w:val="hr-HR"/>
        </w:rPr>
        <w:t>Na prim</w:t>
      </w:r>
      <w:r w:rsidR="002637F8">
        <w:rPr>
          <w:color w:val="000000"/>
          <w:sz w:val="22"/>
          <w:szCs w:val="22"/>
          <w:lang w:val="hr-HR"/>
        </w:rPr>
        <w:t>j</w:t>
      </w:r>
      <w:r w:rsidRPr="00AB63CB">
        <w:rPr>
          <w:color w:val="000000"/>
          <w:sz w:val="22"/>
          <w:szCs w:val="22"/>
          <w:lang w:val="hr-HR"/>
        </w:rPr>
        <w:t>er, pedijatrijski pacijent t</w:t>
      </w:r>
      <w:r w:rsidR="002637F8">
        <w:rPr>
          <w:color w:val="000000"/>
          <w:sz w:val="22"/>
          <w:szCs w:val="22"/>
          <w:lang w:val="hr-HR"/>
        </w:rPr>
        <w:t>j</w:t>
      </w:r>
      <w:r w:rsidRPr="00AB63CB">
        <w:rPr>
          <w:color w:val="000000"/>
          <w:sz w:val="22"/>
          <w:szCs w:val="22"/>
          <w:lang w:val="hr-HR"/>
        </w:rPr>
        <w:t>elesne težine od 25 kg koji prethodno nije uzimao ACE inhibitor trebalo bi da počne sa pola standardne početne doze, što odgovara 20 mg (25 kg </w:t>
      </w:r>
      <w:r w:rsidRPr="00AB63CB">
        <w:rPr>
          <w:sz w:val="22"/>
          <w:szCs w:val="20"/>
          <w:lang w:val="hr-HR"/>
        </w:rPr>
        <w:t>×</w:t>
      </w:r>
      <w:r w:rsidRPr="00AB63CB">
        <w:rPr>
          <w:color w:val="000000"/>
          <w:sz w:val="22"/>
          <w:szCs w:val="22"/>
          <w:lang w:val="hr-HR"/>
        </w:rPr>
        <w:t> 0,8 mg/kg) dva puta na dan u obliku granula. Nakon zaokruživanja na najbliži broj punih kapsula, to odgovara 2 kapsule od 6 mg/6 mg valsartan/sakubitrila dvaput na dan.</w:t>
      </w:r>
    </w:p>
    <w:p w14:paraId="699467E7" w14:textId="1016693C" w:rsidR="00D26ACF" w:rsidRDefault="00D26ACF" w:rsidP="001B64BC">
      <w:pPr>
        <w:jc w:val="both"/>
        <w:rPr>
          <w:color w:val="000000"/>
          <w:sz w:val="22"/>
          <w:szCs w:val="22"/>
          <w:lang w:val="hr-HR"/>
        </w:rPr>
      </w:pPr>
    </w:p>
    <w:p w14:paraId="1CDB5359" w14:textId="3BE16CC7" w:rsidR="00D26ACF" w:rsidRPr="00D26ACF" w:rsidRDefault="00D26ACF" w:rsidP="001B64BC">
      <w:pPr>
        <w:jc w:val="both"/>
        <w:rPr>
          <w:color w:val="000000"/>
          <w:sz w:val="22"/>
          <w:szCs w:val="22"/>
          <w:lang w:val="hr-HR"/>
        </w:rPr>
      </w:pPr>
      <w:r>
        <w:rPr>
          <w:rFonts w:ascii="Arial" w:hAnsi="Arial" w:cs="Arial"/>
          <w:color w:val="1F497D"/>
          <w:lang w:val="en-GB"/>
        </w:rPr>
        <w:t>*</w:t>
      </w:r>
      <w:r w:rsidRPr="00B73B68">
        <w:rPr>
          <w:color w:val="000000"/>
          <w:sz w:val="22"/>
          <w:szCs w:val="22"/>
          <w:lang w:val="hr-HR"/>
        </w:rPr>
        <w:t>Lijek Entresto, granule nije registrovan u Crnoj Gori.</w:t>
      </w:r>
    </w:p>
    <w:p w14:paraId="171F4A12" w14:textId="77777777" w:rsidR="003035EC" w:rsidRPr="00AB63CB" w:rsidRDefault="003035EC" w:rsidP="001B64BC">
      <w:pPr>
        <w:jc w:val="both"/>
        <w:rPr>
          <w:color w:val="000000"/>
          <w:sz w:val="22"/>
          <w:szCs w:val="22"/>
          <w:lang w:val="hr-HR"/>
        </w:rPr>
      </w:pPr>
    </w:p>
    <w:p w14:paraId="266955A7" w14:textId="3E92ADD5" w:rsidR="003035EC" w:rsidRPr="00AB63CB" w:rsidRDefault="003035EC" w:rsidP="001B64BC">
      <w:pPr>
        <w:jc w:val="both"/>
        <w:rPr>
          <w:color w:val="000000"/>
          <w:sz w:val="22"/>
          <w:szCs w:val="22"/>
          <w:lang w:val="hr-HR"/>
        </w:rPr>
      </w:pPr>
      <w:r w:rsidRPr="00AB63CB">
        <w:rPr>
          <w:color w:val="000000" w:themeColor="text1"/>
          <w:sz w:val="22"/>
          <w:szCs w:val="22"/>
          <w:lang w:val="hr-HR"/>
        </w:rPr>
        <w:t>L</w:t>
      </w:r>
      <w:r w:rsidR="002637F8">
        <w:rPr>
          <w:color w:val="000000" w:themeColor="text1"/>
          <w:sz w:val="22"/>
          <w:szCs w:val="22"/>
          <w:lang w:val="hr-HR"/>
        </w:rPr>
        <w:t>ij</w:t>
      </w:r>
      <w:r w:rsidRPr="00AB63CB">
        <w:rPr>
          <w:color w:val="000000" w:themeColor="text1"/>
          <w:sz w:val="22"/>
          <w:szCs w:val="22"/>
          <w:lang w:val="hr-HR"/>
        </w:rPr>
        <w:t>ečenje se ne sm</w:t>
      </w:r>
      <w:r w:rsidR="002637F8">
        <w:rPr>
          <w:color w:val="000000" w:themeColor="text1"/>
          <w:sz w:val="22"/>
          <w:szCs w:val="22"/>
          <w:lang w:val="hr-HR"/>
        </w:rPr>
        <w:t>ij</w:t>
      </w:r>
      <w:r w:rsidRPr="00AB63CB">
        <w:rPr>
          <w:color w:val="000000" w:themeColor="text1"/>
          <w:sz w:val="22"/>
          <w:szCs w:val="22"/>
          <w:lang w:val="hr-HR"/>
        </w:rPr>
        <w:t>e započinjati kod pacijenata koji imaju koncentracije kalijuma u serumu od &gt;5,3 mmol/</w:t>
      </w:r>
      <w:r w:rsidR="00F37D23">
        <w:rPr>
          <w:color w:val="000000" w:themeColor="text1"/>
          <w:sz w:val="22"/>
          <w:szCs w:val="22"/>
          <w:lang w:val="hr-HR"/>
        </w:rPr>
        <w:t>l</w:t>
      </w:r>
      <w:r w:rsidRPr="00AB63CB">
        <w:rPr>
          <w:color w:val="000000" w:themeColor="text1"/>
          <w:sz w:val="22"/>
          <w:szCs w:val="22"/>
          <w:lang w:val="hr-HR"/>
        </w:rPr>
        <w:t xml:space="preserve"> ili sistolni krvni pritisak (SKP) &lt;5. percentila za uzrast pacijenta. Ako pacijenti imaju poteškoća s podnošljivošću</w:t>
      </w:r>
      <w:r w:rsidRPr="00AB63CB">
        <w:rPr>
          <w:sz w:val="22"/>
          <w:szCs w:val="22"/>
          <w:lang w:val="hr-HR"/>
        </w:rPr>
        <w:t xml:space="preserve"> (SKP &lt;5. percentila za uzrast pacijenta, simptomatska hipotenzija, hiperkalijemija, bubrežna disfunkcija), preporučuje se prilagođavanje istovremeno prim</w:t>
      </w:r>
      <w:r w:rsidR="002637F8">
        <w:rPr>
          <w:sz w:val="22"/>
          <w:szCs w:val="22"/>
          <w:lang w:val="hr-HR"/>
        </w:rPr>
        <w:t>ij</w:t>
      </w:r>
      <w:r w:rsidRPr="00AB63CB">
        <w:rPr>
          <w:sz w:val="22"/>
          <w:szCs w:val="22"/>
          <w:lang w:val="hr-HR"/>
        </w:rPr>
        <w:t>enjenih l</w:t>
      </w:r>
      <w:r w:rsidR="002637F8">
        <w:rPr>
          <w:sz w:val="22"/>
          <w:szCs w:val="22"/>
          <w:lang w:val="hr-HR"/>
        </w:rPr>
        <w:t>j</w:t>
      </w:r>
      <w:r w:rsidRPr="00AB63CB">
        <w:rPr>
          <w:sz w:val="22"/>
          <w:szCs w:val="22"/>
          <w:lang w:val="hr-HR"/>
        </w:rPr>
        <w:t>ekova, privremeno postupno smanjenje doze ili obustava prim</w:t>
      </w:r>
      <w:r w:rsidR="002637F8">
        <w:rPr>
          <w:sz w:val="22"/>
          <w:szCs w:val="22"/>
          <w:lang w:val="hr-HR"/>
        </w:rPr>
        <w:t>j</w:t>
      </w:r>
      <w:r w:rsidRPr="00AB63CB">
        <w:rPr>
          <w:sz w:val="22"/>
          <w:szCs w:val="22"/>
          <w:lang w:val="hr-HR"/>
        </w:rPr>
        <w:t>ene l</w:t>
      </w:r>
      <w:r w:rsidR="002637F8">
        <w:rPr>
          <w:sz w:val="22"/>
          <w:szCs w:val="22"/>
          <w:lang w:val="hr-HR"/>
        </w:rPr>
        <w:t>ij</w:t>
      </w:r>
      <w:r w:rsidRPr="00AB63CB">
        <w:rPr>
          <w:sz w:val="22"/>
          <w:szCs w:val="22"/>
          <w:lang w:val="hr-HR"/>
        </w:rPr>
        <w:t>eka Entresto (vid</w:t>
      </w:r>
      <w:r w:rsidR="002637F8">
        <w:rPr>
          <w:sz w:val="22"/>
          <w:szCs w:val="22"/>
          <w:lang w:val="hr-HR"/>
        </w:rPr>
        <w:t>j</w:t>
      </w:r>
      <w:r w:rsidRPr="00AB63CB">
        <w:rPr>
          <w:sz w:val="22"/>
          <w:szCs w:val="22"/>
          <w:lang w:val="hr-HR"/>
        </w:rPr>
        <w:t xml:space="preserve">eti </w:t>
      </w:r>
      <w:r w:rsidR="0088149C">
        <w:rPr>
          <w:sz w:val="22"/>
          <w:szCs w:val="22"/>
          <w:lang w:val="hr-HR"/>
        </w:rPr>
        <w:t>dio</w:t>
      </w:r>
      <w:r w:rsidRPr="00AB63CB">
        <w:rPr>
          <w:color w:val="000000" w:themeColor="text1"/>
          <w:sz w:val="22"/>
          <w:szCs w:val="22"/>
          <w:lang w:val="hr-HR"/>
        </w:rPr>
        <w:t> 4.4)</w:t>
      </w:r>
      <w:r w:rsidRPr="00AB63CB">
        <w:rPr>
          <w:sz w:val="22"/>
          <w:szCs w:val="22"/>
          <w:lang w:val="hr-HR"/>
        </w:rPr>
        <w:t>.</w:t>
      </w:r>
    </w:p>
    <w:bookmarkEnd w:id="0"/>
    <w:p w14:paraId="2CF18489" w14:textId="77777777" w:rsidR="00B96A91" w:rsidRPr="00BC3D87" w:rsidRDefault="00B96A91" w:rsidP="001B64BC">
      <w:pPr>
        <w:widowControl w:val="0"/>
        <w:jc w:val="both"/>
        <w:rPr>
          <w:color w:val="000000"/>
          <w:sz w:val="22"/>
          <w:szCs w:val="22"/>
          <w:lang w:val="hr-HR"/>
        </w:rPr>
      </w:pPr>
    </w:p>
    <w:p w14:paraId="487658D5" w14:textId="77777777" w:rsidR="00B96A91" w:rsidRPr="001A5E19" w:rsidRDefault="00B96A91" w:rsidP="001B64BC">
      <w:pPr>
        <w:keepNext/>
        <w:widowControl w:val="0"/>
        <w:jc w:val="both"/>
        <w:rPr>
          <w:i/>
          <w:sz w:val="22"/>
          <w:szCs w:val="22"/>
          <w:u w:val="single"/>
          <w:lang w:val="hr-HR"/>
        </w:rPr>
      </w:pPr>
      <w:r w:rsidRPr="001A5E19">
        <w:rPr>
          <w:i/>
          <w:sz w:val="22"/>
          <w:szCs w:val="22"/>
          <w:u w:val="single"/>
          <w:lang w:val="hr-HR"/>
        </w:rPr>
        <w:t>Posebne populacije</w:t>
      </w:r>
    </w:p>
    <w:p w14:paraId="7F3AADC7" w14:textId="77777777" w:rsidR="00B96A91" w:rsidRPr="001A5E19" w:rsidRDefault="00B96A91" w:rsidP="001B64BC">
      <w:pPr>
        <w:keepNext/>
        <w:widowControl w:val="0"/>
        <w:jc w:val="both"/>
        <w:rPr>
          <w:sz w:val="22"/>
          <w:szCs w:val="22"/>
          <w:lang w:val="hr-HR"/>
        </w:rPr>
      </w:pPr>
    </w:p>
    <w:p w14:paraId="0929B9A9" w14:textId="2F4D0A61" w:rsidR="00B96A91" w:rsidRPr="001A5E19" w:rsidRDefault="00B96A91" w:rsidP="001B64BC">
      <w:pPr>
        <w:keepNext/>
        <w:widowControl w:val="0"/>
        <w:jc w:val="both"/>
        <w:rPr>
          <w:bCs/>
          <w:i/>
          <w:iCs/>
          <w:sz w:val="22"/>
          <w:szCs w:val="22"/>
          <w:lang w:val="hr-HR"/>
        </w:rPr>
      </w:pPr>
      <w:r w:rsidRPr="001A5E19">
        <w:rPr>
          <w:bCs/>
          <w:i/>
          <w:iCs/>
          <w:sz w:val="22"/>
          <w:szCs w:val="22"/>
          <w:lang w:val="hr-HR"/>
        </w:rPr>
        <w:t>Starij</w:t>
      </w:r>
      <w:r w:rsidR="003035EC">
        <w:rPr>
          <w:bCs/>
          <w:i/>
          <w:iCs/>
          <w:sz w:val="22"/>
          <w:szCs w:val="22"/>
          <w:lang w:val="hr-HR"/>
        </w:rPr>
        <w:t>e osobe</w:t>
      </w:r>
    </w:p>
    <w:p w14:paraId="20C4405E" w14:textId="77777777" w:rsidR="00B96A91" w:rsidRPr="001A5E19" w:rsidRDefault="00B96A91" w:rsidP="001B64BC">
      <w:pPr>
        <w:widowControl w:val="0"/>
        <w:jc w:val="both"/>
        <w:rPr>
          <w:sz w:val="22"/>
          <w:szCs w:val="22"/>
          <w:lang w:val="hr-HR"/>
        </w:rPr>
      </w:pPr>
      <w:r w:rsidRPr="001A5E19">
        <w:rPr>
          <w:sz w:val="22"/>
          <w:szCs w:val="22"/>
          <w:lang w:val="hr-HR"/>
        </w:rPr>
        <w:t xml:space="preserve">Doza treba </w:t>
      </w:r>
      <w:r>
        <w:rPr>
          <w:sz w:val="22"/>
          <w:szCs w:val="22"/>
          <w:lang w:val="hr-HR"/>
        </w:rPr>
        <w:t xml:space="preserve">da bude u </w:t>
      </w:r>
      <w:r w:rsidRPr="001A5E19">
        <w:rPr>
          <w:sz w:val="22"/>
          <w:szCs w:val="22"/>
          <w:lang w:val="hr-HR"/>
        </w:rPr>
        <w:t>skladu s</w:t>
      </w:r>
      <w:r>
        <w:rPr>
          <w:sz w:val="22"/>
          <w:szCs w:val="22"/>
          <w:lang w:val="hr-HR"/>
        </w:rPr>
        <w:t>a</w:t>
      </w:r>
      <w:r w:rsidRPr="001A5E19">
        <w:rPr>
          <w:sz w:val="22"/>
          <w:szCs w:val="22"/>
          <w:lang w:val="hr-HR"/>
        </w:rPr>
        <w:t xml:space="preserve"> bubrežnom funkcijom starijeg </w:t>
      </w:r>
      <w:r>
        <w:rPr>
          <w:sz w:val="22"/>
          <w:szCs w:val="22"/>
          <w:lang w:val="hr-HR"/>
        </w:rPr>
        <w:t>pacijenta</w:t>
      </w:r>
      <w:r w:rsidRPr="001A5E19">
        <w:rPr>
          <w:sz w:val="22"/>
          <w:szCs w:val="22"/>
          <w:lang w:val="hr-HR"/>
        </w:rPr>
        <w:t>.</w:t>
      </w:r>
    </w:p>
    <w:p w14:paraId="23E623ED" w14:textId="77777777" w:rsidR="00B96A91" w:rsidRPr="001A5E19" w:rsidRDefault="00B96A91" w:rsidP="001B64BC">
      <w:pPr>
        <w:widowControl w:val="0"/>
        <w:jc w:val="both"/>
        <w:rPr>
          <w:bCs/>
          <w:iCs/>
          <w:sz w:val="22"/>
          <w:szCs w:val="22"/>
          <w:lang w:val="hr-HR"/>
        </w:rPr>
      </w:pPr>
    </w:p>
    <w:p w14:paraId="4EFD0367" w14:textId="77777777" w:rsidR="00B96A91" w:rsidRPr="001A5E19" w:rsidRDefault="00B96A91" w:rsidP="001B64BC">
      <w:pPr>
        <w:keepNext/>
        <w:widowControl w:val="0"/>
        <w:jc w:val="both"/>
        <w:rPr>
          <w:bCs/>
          <w:iCs/>
          <w:sz w:val="22"/>
          <w:szCs w:val="22"/>
          <w:lang w:val="hr-HR"/>
        </w:rPr>
      </w:pPr>
      <w:r w:rsidRPr="001A5E19">
        <w:rPr>
          <w:bCs/>
          <w:i/>
          <w:iCs/>
          <w:sz w:val="22"/>
          <w:szCs w:val="22"/>
          <w:lang w:val="hr-HR"/>
        </w:rPr>
        <w:t xml:space="preserve">Oštećenje </w:t>
      </w:r>
      <w:r>
        <w:rPr>
          <w:bCs/>
          <w:i/>
          <w:iCs/>
          <w:sz w:val="22"/>
          <w:szCs w:val="22"/>
          <w:lang w:val="hr-HR"/>
        </w:rPr>
        <w:t xml:space="preserve">funkcije </w:t>
      </w:r>
      <w:r w:rsidRPr="001A5E19">
        <w:rPr>
          <w:bCs/>
          <w:i/>
          <w:iCs/>
          <w:sz w:val="22"/>
          <w:szCs w:val="22"/>
          <w:lang w:val="hr-HR"/>
        </w:rPr>
        <w:t>bubrega</w:t>
      </w:r>
    </w:p>
    <w:p w14:paraId="21EE7F4E" w14:textId="4A866F7A" w:rsidR="003035EC" w:rsidRDefault="00B96A91" w:rsidP="001B64BC">
      <w:pPr>
        <w:widowControl w:val="0"/>
        <w:jc w:val="both"/>
        <w:rPr>
          <w:sz w:val="22"/>
          <w:szCs w:val="20"/>
          <w:lang w:val="hr-HR"/>
        </w:rPr>
      </w:pPr>
      <w:r w:rsidRPr="001A5E19">
        <w:rPr>
          <w:sz w:val="22"/>
          <w:szCs w:val="22"/>
          <w:lang w:val="hr-HR"/>
        </w:rPr>
        <w:t xml:space="preserve">Nije potrebno prilagođavanje doze </w:t>
      </w:r>
      <w:r>
        <w:rPr>
          <w:sz w:val="22"/>
          <w:szCs w:val="22"/>
          <w:lang w:val="hr-HR"/>
        </w:rPr>
        <w:t>kod pacijenta</w:t>
      </w:r>
      <w:r w:rsidRPr="001A5E19">
        <w:rPr>
          <w:sz w:val="22"/>
          <w:szCs w:val="22"/>
          <w:lang w:val="hr-HR"/>
        </w:rPr>
        <w:t xml:space="preserve"> s</w:t>
      </w:r>
      <w:r>
        <w:rPr>
          <w:sz w:val="22"/>
          <w:szCs w:val="22"/>
          <w:lang w:val="hr-HR"/>
        </w:rPr>
        <w:t>a blagim (p</w:t>
      </w:r>
      <w:r w:rsidRPr="001A5E19">
        <w:rPr>
          <w:sz w:val="22"/>
          <w:szCs w:val="22"/>
          <w:lang w:val="hr-HR"/>
        </w:rPr>
        <w:t>eGFR 60</w:t>
      </w:r>
      <w:r w:rsidRPr="001A5E19">
        <w:rPr>
          <w:sz w:val="22"/>
          <w:szCs w:val="22"/>
          <w:lang w:val="hr-HR"/>
        </w:rPr>
        <w:noBreakHyphen/>
        <w:t>90 ml/min/1,73 m</w:t>
      </w:r>
      <w:r w:rsidRPr="001A5E19">
        <w:rPr>
          <w:sz w:val="22"/>
          <w:szCs w:val="22"/>
          <w:vertAlign w:val="superscript"/>
          <w:lang w:val="hr-HR"/>
        </w:rPr>
        <w:t>2</w:t>
      </w:r>
      <w:r w:rsidRPr="001A5E19">
        <w:rPr>
          <w:sz w:val="22"/>
          <w:szCs w:val="22"/>
          <w:lang w:val="hr-HR"/>
        </w:rPr>
        <w:t xml:space="preserve">) oštećenjem </w:t>
      </w:r>
      <w:r>
        <w:rPr>
          <w:sz w:val="22"/>
          <w:szCs w:val="22"/>
          <w:lang w:val="hr-HR"/>
        </w:rPr>
        <w:t xml:space="preserve">funkcije </w:t>
      </w:r>
      <w:r w:rsidRPr="001A5E19">
        <w:rPr>
          <w:sz w:val="22"/>
          <w:szCs w:val="22"/>
          <w:lang w:val="hr-HR"/>
        </w:rPr>
        <w:t xml:space="preserve">bubrega. </w:t>
      </w:r>
      <w:r w:rsidR="003035EC">
        <w:rPr>
          <w:sz w:val="22"/>
          <w:szCs w:val="22"/>
          <w:lang w:val="hr-HR"/>
        </w:rPr>
        <w:t xml:space="preserve">Pola </w:t>
      </w:r>
      <w:r w:rsidR="003035EC">
        <w:rPr>
          <w:color w:val="000000"/>
          <w:sz w:val="22"/>
          <w:lang w:val="hr-HR"/>
        </w:rPr>
        <w:t>p</w:t>
      </w:r>
      <w:r w:rsidRPr="001A5E19">
        <w:rPr>
          <w:color w:val="000000"/>
          <w:sz w:val="22"/>
          <w:lang w:val="hr-HR"/>
        </w:rPr>
        <w:t>očetn</w:t>
      </w:r>
      <w:r w:rsidR="003035EC">
        <w:rPr>
          <w:color w:val="000000"/>
          <w:sz w:val="22"/>
          <w:lang w:val="hr-HR"/>
        </w:rPr>
        <w:t>e</w:t>
      </w:r>
      <w:r w:rsidRPr="001A5E19">
        <w:rPr>
          <w:color w:val="000000"/>
          <w:sz w:val="22"/>
          <w:lang w:val="hr-HR"/>
        </w:rPr>
        <w:t xml:space="preserve"> doz</w:t>
      </w:r>
      <w:r w:rsidR="003035EC">
        <w:rPr>
          <w:color w:val="000000"/>
          <w:sz w:val="22"/>
          <w:lang w:val="hr-HR"/>
        </w:rPr>
        <w:t>e</w:t>
      </w:r>
      <w:r w:rsidRPr="001A5E19">
        <w:rPr>
          <w:color w:val="000000"/>
          <w:sz w:val="22"/>
          <w:lang w:val="hr-HR"/>
        </w:rPr>
        <w:t xml:space="preserve"> treba razmotriti</w:t>
      </w:r>
      <w:r>
        <w:rPr>
          <w:color w:val="000000"/>
          <w:sz w:val="22"/>
          <w:lang w:val="hr-HR"/>
        </w:rPr>
        <w:t xml:space="preserve"> kod pacijenata</w:t>
      </w:r>
      <w:r w:rsidRPr="001A5E19">
        <w:rPr>
          <w:color w:val="000000"/>
          <w:sz w:val="22"/>
          <w:lang w:val="hr-HR"/>
        </w:rPr>
        <w:t xml:space="preserve"> </w:t>
      </w:r>
      <w:r w:rsidRPr="001A5E19">
        <w:rPr>
          <w:bCs/>
          <w:sz w:val="22"/>
          <w:lang w:val="hr-HR"/>
        </w:rPr>
        <w:t>s</w:t>
      </w:r>
      <w:r>
        <w:rPr>
          <w:bCs/>
          <w:sz w:val="22"/>
          <w:lang w:val="hr-HR"/>
        </w:rPr>
        <w:t>a umj</w:t>
      </w:r>
      <w:r w:rsidRPr="001A5E19">
        <w:rPr>
          <w:bCs/>
          <w:sz w:val="22"/>
          <w:lang w:val="hr-HR"/>
        </w:rPr>
        <w:t xml:space="preserve">erenim oštećenjem bubrega </w:t>
      </w:r>
      <w:r w:rsidRPr="001A5E19">
        <w:rPr>
          <w:sz w:val="22"/>
          <w:szCs w:val="22"/>
          <w:lang w:val="hr-HR"/>
        </w:rPr>
        <w:t>(eGFR 30</w:t>
      </w:r>
      <w:r w:rsidRPr="001A5E19">
        <w:rPr>
          <w:sz w:val="22"/>
          <w:szCs w:val="22"/>
          <w:lang w:val="hr-HR"/>
        </w:rPr>
        <w:noBreakHyphen/>
        <w:t>60 ml/min/1,73 m</w:t>
      </w:r>
      <w:r w:rsidRPr="001A5E19">
        <w:rPr>
          <w:sz w:val="22"/>
          <w:szCs w:val="22"/>
          <w:vertAlign w:val="superscript"/>
          <w:lang w:val="hr-HR"/>
        </w:rPr>
        <w:t>2</w:t>
      </w:r>
      <w:r w:rsidRPr="001A5E19">
        <w:rPr>
          <w:sz w:val="22"/>
          <w:szCs w:val="22"/>
          <w:lang w:val="hr-HR"/>
        </w:rPr>
        <w:t>)</w:t>
      </w:r>
      <w:r w:rsidRPr="001A5E19">
        <w:rPr>
          <w:color w:val="000000"/>
          <w:sz w:val="22"/>
          <w:lang w:val="hr-HR"/>
        </w:rPr>
        <w:t>.</w:t>
      </w:r>
      <w:r w:rsidRPr="001A5E19">
        <w:rPr>
          <w:sz w:val="22"/>
          <w:szCs w:val="22"/>
          <w:lang w:val="hr-HR"/>
        </w:rPr>
        <w:t xml:space="preserve"> Budući da postoji vrlo ograničeno kliničko iskustvo </w:t>
      </w:r>
      <w:r>
        <w:rPr>
          <w:sz w:val="22"/>
          <w:szCs w:val="22"/>
          <w:lang w:val="hr-HR"/>
        </w:rPr>
        <w:t>kod pacijenata</w:t>
      </w:r>
      <w:r w:rsidRPr="001A5E19">
        <w:rPr>
          <w:sz w:val="22"/>
          <w:szCs w:val="22"/>
          <w:lang w:val="hr-HR"/>
        </w:rPr>
        <w:t xml:space="preserve"> s</w:t>
      </w:r>
      <w:r>
        <w:rPr>
          <w:sz w:val="22"/>
          <w:szCs w:val="22"/>
          <w:lang w:val="hr-HR"/>
        </w:rPr>
        <w:t>a</w:t>
      </w:r>
      <w:r w:rsidRPr="001A5E19">
        <w:rPr>
          <w:sz w:val="22"/>
          <w:szCs w:val="22"/>
          <w:lang w:val="hr-HR"/>
        </w:rPr>
        <w:t xml:space="preserve"> teškim oštećenjem </w:t>
      </w:r>
      <w:r>
        <w:rPr>
          <w:sz w:val="22"/>
          <w:szCs w:val="22"/>
          <w:lang w:val="hr-HR"/>
        </w:rPr>
        <w:t xml:space="preserve">funkcije </w:t>
      </w:r>
      <w:r w:rsidRPr="001A5E19">
        <w:rPr>
          <w:sz w:val="22"/>
          <w:szCs w:val="22"/>
          <w:lang w:val="hr-HR"/>
        </w:rPr>
        <w:t>bubrega (eGFR &lt;30 ml/min/1,73 m</w:t>
      </w:r>
      <w:r w:rsidRPr="001A5E19">
        <w:rPr>
          <w:sz w:val="22"/>
          <w:szCs w:val="22"/>
          <w:vertAlign w:val="superscript"/>
          <w:lang w:val="hr-HR"/>
        </w:rPr>
        <w:t>2</w:t>
      </w:r>
      <w:r w:rsidRPr="001A5E19">
        <w:rPr>
          <w:sz w:val="22"/>
          <w:szCs w:val="22"/>
          <w:lang w:val="hr-HR"/>
        </w:rPr>
        <w:t>) (</w:t>
      </w:r>
      <w:r>
        <w:rPr>
          <w:sz w:val="22"/>
          <w:szCs w:val="22"/>
          <w:lang w:val="hr-HR"/>
        </w:rPr>
        <w:t>vidjet</w:t>
      </w:r>
      <w:r w:rsidRPr="001A5E19">
        <w:rPr>
          <w:sz w:val="22"/>
          <w:szCs w:val="22"/>
          <w:lang w:val="hr-HR"/>
        </w:rPr>
        <w:t>i</w:t>
      </w:r>
      <w:r>
        <w:rPr>
          <w:sz w:val="22"/>
          <w:szCs w:val="22"/>
          <w:lang w:val="hr-HR"/>
        </w:rPr>
        <w:t xml:space="preserve"> </w:t>
      </w:r>
      <w:r w:rsidR="000F7543">
        <w:rPr>
          <w:sz w:val="22"/>
          <w:szCs w:val="22"/>
          <w:lang w:val="hr-HR"/>
        </w:rPr>
        <w:t>dio</w:t>
      </w:r>
      <w:r w:rsidR="000F7543" w:rsidRPr="001A5E19">
        <w:rPr>
          <w:sz w:val="22"/>
          <w:szCs w:val="22"/>
          <w:lang w:val="hr-HR"/>
        </w:rPr>
        <w:t> </w:t>
      </w:r>
      <w:r w:rsidRPr="001A5E19">
        <w:rPr>
          <w:sz w:val="22"/>
          <w:szCs w:val="22"/>
          <w:lang w:val="hr-HR"/>
        </w:rPr>
        <w:t>5.1)</w:t>
      </w:r>
      <w:r w:rsidR="000F7543">
        <w:rPr>
          <w:sz w:val="22"/>
          <w:szCs w:val="22"/>
          <w:lang w:val="hr-HR"/>
        </w:rPr>
        <w:t>,</w:t>
      </w:r>
      <w:r>
        <w:rPr>
          <w:sz w:val="22"/>
          <w:szCs w:val="22"/>
          <w:lang w:val="hr-HR"/>
        </w:rPr>
        <w:t xml:space="preserve"> lijek Entresto</w:t>
      </w:r>
      <w:r w:rsidRPr="001A5E19">
        <w:rPr>
          <w:sz w:val="22"/>
          <w:szCs w:val="22"/>
          <w:lang w:val="hr-HR"/>
        </w:rPr>
        <w:t xml:space="preserve"> treba primjenjivati</w:t>
      </w:r>
      <w:r>
        <w:rPr>
          <w:sz w:val="22"/>
          <w:szCs w:val="22"/>
          <w:lang w:val="hr-HR"/>
        </w:rPr>
        <w:t xml:space="preserve"> oprezno</w:t>
      </w:r>
      <w:r w:rsidRPr="001A5E19">
        <w:rPr>
          <w:sz w:val="22"/>
          <w:szCs w:val="22"/>
          <w:lang w:val="hr-HR"/>
        </w:rPr>
        <w:t xml:space="preserve"> </w:t>
      </w:r>
      <w:r>
        <w:rPr>
          <w:sz w:val="22"/>
          <w:szCs w:val="22"/>
          <w:lang w:val="hr-HR"/>
        </w:rPr>
        <w:t>i</w:t>
      </w:r>
      <w:r w:rsidRPr="001A5E19">
        <w:rPr>
          <w:sz w:val="22"/>
          <w:szCs w:val="22"/>
          <w:lang w:val="hr-HR"/>
        </w:rPr>
        <w:t xml:space="preserve"> preporučuje</w:t>
      </w:r>
      <w:r>
        <w:rPr>
          <w:sz w:val="22"/>
          <w:szCs w:val="22"/>
          <w:lang w:val="hr-HR"/>
        </w:rPr>
        <w:t xml:space="preserve"> se</w:t>
      </w:r>
      <w:r w:rsidRPr="001A5E19">
        <w:rPr>
          <w:sz w:val="22"/>
          <w:szCs w:val="22"/>
          <w:lang w:val="hr-HR"/>
        </w:rPr>
        <w:t xml:space="preserve"> </w:t>
      </w:r>
      <w:r w:rsidR="003035EC">
        <w:rPr>
          <w:sz w:val="22"/>
          <w:szCs w:val="22"/>
          <w:lang w:val="hr-HR"/>
        </w:rPr>
        <w:t xml:space="preserve">pola </w:t>
      </w:r>
      <w:r w:rsidRPr="001A5E19">
        <w:rPr>
          <w:sz w:val="22"/>
          <w:szCs w:val="22"/>
          <w:lang w:val="hr-HR"/>
        </w:rPr>
        <w:t>početn</w:t>
      </w:r>
      <w:r w:rsidR="003035EC">
        <w:rPr>
          <w:sz w:val="22"/>
          <w:szCs w:val="22"/>
          <w:lang w:val="hr-HR"/>
        </w:rPr>
        <w:t>e</w:t>
      </w:r>
      <w:r w:rsidRPr="001A5E19">
        <w:rPr>
          <w:sz w:val="22"/>
          <w:szCs w:val="22"/>
          <w:lang w:val="hr-HR"/>
        </w:rPr>
        <w:t xml:space="preserve"> doz</w:t>
      </w:r>
      <w:r w:rsidR="003035EC">
        <w:rPr>
          <w:sz w:val="22"/>
          <w:szCs w:val="22"/>
          <w:lang w:val="hr-HR"/>
        </w:rPr>
        <w:t>e.</w:t>
      </w:r>
      <w:r w:rsidRPr="001A5E19">
        <w:rPr>
          <w:sz w:val="22"/>
          <w:szCs w:val="22"/>
          <w:lang w:val="hr-HR"/>
        </w:rPr>
        <w:t xml:space="preserve"> </w:t>
      </w:r>
      <w:r w:rsidR="003035EC" w:rsidRPr="00AB63CB">
        <w:rPr>
          <w:sz w:val="22"/>
          <w:szCs w:val="20"/>
          <w:lang w:val="hr-HR"/>
        </w:rPr>
        <w:t>Kod pedijatrijskih pacijenata t</w:t>
      </w:r>
      <w:r w:rsidR="002637F8">
        <w:rPr>
          <w:sz w:val="22"/>
          <w:szCs w:val="20"/>
          <w:lang w:val="hr-HR"/>
        </w:rPr>
        <w:t>j</w:t>
      </w:r>
      <w:r w:rsidR="003035EC" w:rsidRPr="00AB63CB">
        <w:rPr>
          <w:sz w:val="22"/>
          <w:szCs w:val="20"/>
          <w:lang w:val="hr-HR"/>
        </w:rPr>
        <w:t>elesne težine od 40 kg do manje od 50 kg, preporučuje se početna doza od 0,8 mg/kg dva</w:t>
      </w:r>
      <w:r w:rsidR="00F37D23">
        <w:rPr>
          <w:sz w:val="22"/>
          <w:szCs w:val="20"/>
          <w:lang w:val="hr-HR"/>
        </w:rPr>
        <w:t xml:space="preserve"> </w:t>
      </w:r>
      <w:r w:rsidR="003035EC" w:rsidRPr="00AB63CB">
        <w:rPr>
          <w:sz w:val="22"/>
          <w:szCs w:val="20"/>
          <w:lang w:val="hr-HR"/>
        </w:rPr>
        <w:t>put</w:t>
      </w:r>
      <w:r w:rsidR="00F37D23">
        <w:rPr>
          <w:sz w:val="22"/>
          <w:szCs w:val="20"/>
          <w:lang w:val="hr-HR"/>
        </w:rPr>
        <w:t>a</w:t>
      </w:r>
      <w:r w:rsidR="003035EC" w:rsidRPr="00AB63CB">
        <w:rPr>
          <w:sz w:val="22"/>
          <w:szCs w:val="20"/>
          <w:lang w:val="hr-HR"/>
        </w:rPr>
        <w:t xml:space="preserve"> na dan (koja se daje u obliku granula). Nakon uvođenja l</w:t>
      </w:r>
      <w:r w:rsidR="002637F8">
        <w:rPr>
          <w:sz w:val="22"/>
          <w:szCs w:val="20"/>
          <w:lang w:val="hr-HR"/>
        </w:rPr>
        <w:t>ij</w:t>
      </w:r>
      <w:r w:rsidR="003035EC" w:rsidRPr="00AB63CB">
        <w:rPr>
          <w:sz w:val="22"/>
          <w:szCs w:val="20"/>
          <w:lang w:val="hr-HR"/>
        </w:rPr>
        <w:t>eka dozu je potrebno povećavati prema preporučenoj titraciji doze svake 2-4 ned</w:t>
      </w:r>
      <w:r w:rsidR="002637F8">
        <w:rPr>
          <w:sz w:val="22"/>
          <w:szCs w:val="20"/>
          <w:lang w:val="hr-HR"/>
        </w:rPr>
        <w:t>j</w:t>
      </w:r>
      <w:r w:rsidR="003035EC" w:rsidRPr="00AB63CB">
        <w:rPr>
          <w:sz w:val="22"/>
          <w:szCs w:val="20"/>
          <w:lang w:val="hr-HR"/>
        </w:rPr>
        <w:t>elje.</w:t>
      </w:r>
    </w:p>
    <w:p w14:paraId="47F2C338" w14:textId="77777777" w:rsidR="003035EC" w:rsidRDefault="003035EC" w:rsidP="001B64BC">
      <w:pPr>
        <w:widowControl w:val="0"/>
        <w:jc w:val="both"/>
        <w:rPr>
          <w:szCs w:val="22"/>
          <w:lang w:val="hr-HR"/>
        </w:rPr>
      </w:pPr>
    </w:p>
    <w:p w14:paraId="5B786B1F" w14:textId="55969C9E" w:rsidR="00B96A91" w:rsidRPr="001A5E19" w:rsidRDefault="00B96A91" w:rsidP="001B64BC">
      <w:pPr>
        <w:widowControl w:val="0"/>
        <w:jc w:val="both"/>
        <w:rPr>
          <w:sz w:val="22"/>
          <w:szCs w:val="22"/>
          <w:lang w:val="hr-HR"/>
        </w:rPr>
      </w:pPr>
      <w:r w:rsidRPr="001A5E19">
        <w:rPr>
          <w:sz w:val="22"/>
          <w:szCs w:val="22"/>
          <w:lang w:val="hr-HR"/>
        </w:rPr>
        <w:t xml:space="preserve">Ne postoji iskustvo </w:t>
      </w:r>
      <w:r>
        <w:rPr>
          <w:sz w:val="22"/>
          <w:szCs w:val="22"/>
          <w:lang w:val="hr-HR"/>
        </w:rPr>
        <w:t>kod pacijenata</w:t>
      </w:r>
      <w:r w:rsidRPr="001A5E19">
        <w:rPr>
          <w:sz w:val="22"/>
          <w:szCs w:val="22"/>
          <w:lang w:val="hr-HR"/>
        </w:rPr>
        <w:t xml:space="preserve"> sa završnim stadij</w:t>
      </w:r>
      <w:r>
        <w:rPr>
          <w:sz w:val="22"/>
          <w:szCs w:val="22"/>
          <w:lang w:val="hr-HR"/>
        </w:rPr>
        <w:t>umom</w:t>
      </w:r>
      <w:r w:rsidRPr="001A5E19">
        <w:rPr>
          <w:sz w:val="22"/>
          <w:szCs w:val="22"/>
          <w:lang w:val="hr-HR"/>
        </w:rPr>
        <w:t xml:space="preserve"> bolesti bubrega</w:t>
      </w:r>
      <w:r>
        <w:rPr>
          <w:sz w:val="22"/>
          <w:szCs w:val="22"/>
          <w:lang w:val="hr-HR"/>
        </w:rPr>
        <w:t>, pa se</w:t>
      </w:r>
      <w:r w:rsidRPr="001A5E19">
        <w:rPr>
          <w:sz w:val="22"/>
          <w:szCs w:val="22"/>
          <w:lang w:val="hr-HR"/>
        </w:rPr>
        <w:t xml:space="preserve"> </w:t>
      </w:r>
      <w:r>
        <w:rPr>
          <w:sz w:val="22"/>
          <w:szCs w:val="22"/>
          <w:lang w:val="hr-HR"/>
        </w:rPr>
        <w:t>primjen</w:t>
      </w:r>
      <w:r w:rsidRPr="001A5E19">
        <w:rPr>
          <w:sz w:val="22"/>
          <w:szCs w:val="22"/>
          <w:lang w:val="hr-HR"/>
        </w:rPr>
        <w:t xml:space="preserve">a </w:t>
      </w:r>
      <w:r>
        <w:rPr>
          <w:sz w:val="22"/>
          <w:szCs w:val="22"/>
          <w:lang w:val="hr-HR"/>
        </w:rPr>
        <w:t>lijeka Entre</w:t>
      </w:r>
      <w:r w:rsidRPr="001A5E19">
        <w:rPr>
          <w:sz w:val="22"/>
          <w:szCs w:val="22"/>
          <w:lang w:val="hr-HR"/>
        </w:rPr>
        <w:t>st</w:t>
      </w:r>
      <w:r>
        <w:rPr>
          <w:sz w:val="22"/>
          <w:szCs w:val="22"/>
          <w:lang w:val="hr-HR"/>
        </w:rPr>
        <w:t>o</w:t>
      </w:r>
      <w:r w:rsidRPr="001A5E19">
        <w:rPr>
          <w:sz w:val="22"/>
          <w:szCs w:val="22"/>
          <w:lang w:val="hr-HR"/>
        </w:rPr>
        <w:t xml:space="preserve"> </w:t>
      </w:r>
      <w:r w:rsidR="000F7543">
        <w:rPr>
          <w:sz w:val="22"/>
          <w:szCs w:val="22"/>
          <w:lang w:val="hr-HR"/>
        </w:rPr>
        <w:t xml:space="preserve">kod tih pacijenata </w:t>
      </w:r>
      <w:r w:rsidRPr="001A5E19">
        <w:rPr>
          <w:sz w:val="22"/>
          <w:szCs w:val="22"/>
          <w:lang w:val="hr-HR"/>
        </w:rPr>
        <w:t>ne preporučuje.</w:t>
      </w:r>
    </w:p>
    <w:p w14:paraId="35B262E6" w14:textId="77777777" w:rsidR="00B96A91" w:rsidRPr="001A5E19" w:rsidRDefault="00B96A91" w:rsidP="001B64BC">
      <w:pPr>
        <w:widowControl w:val="0"/>
        <w:jc w:val="both"/>
        <w:rPr>
          <w:sz w:val="22"/>
          <w:szCs w:val="22"/>
          <w:lang w:val="hr-HR"/>
        </w:rPr>
      </w:pPr>
    </w:p>
    <w:p w14:paraId="1788D4D8" w14:textId="77777777" w:rsidR="00B96A91" w:rsidRPr="001A5E19" w:rsidRDefault="00B96A91" w:rsidP="001B64BC">
      <w:pPr>
        <w:keepNext/>
        <w:widowControl w:val="0"/>
        <w:jc w:val="both"/>
        <w:rPr>
          <w:bCs/>
          <w:i/>
          <w:iCs/>
          <w:sz w:val="22"/>
          <w:szCs w:val="22"/>
          <w:lang w:val="hr-HR"/>
        </w:rPr>
      </w:pPr>
      <w:r w:rsidRPr="001A5E19">
        <w:rPr>
          <w:bCs/>
          <w:i/>
          <w:iCs/>
          <w:sz w:val="22"/>
          <w:szCs w:val="22"/>
          <w:lang w:val="hr-HR"/>
        </w:rPr>
        <w:t>Oštećenje</w:t>
      </w:r>
      <w:r>
        <w:rPr>
          <w:bCs/>
          <w:i/>
          <w:iCs/>
          <w:sz w:val="22"/>
          <w:szCs w:val="22"/>
          <w:lang w:val="hr-HR"/>
        </w:rPr>
        <w:t xml:space="preserve"> funkcije</w:t>
      </w:r>
      <w:r w:rsidRPr="001A5E19">
        <w:rPr>
          <w:bCs/>
          <w:i/>
          <w:iCs/>
          <w:sz w:val="22"/>
          <w:szCs w:val="22"/>
          <w:lang w:val="hr-HR"/>
        </w:rPr>
        <w:t xml:space="preserve"> jetre</w:t>
      </w:r>
    </w:p>
    <w:p w14:paraId="4588BA7A" w14:textId="77777777" w:rsidR="003035EC" w:rsidRDefault="00B96A91" w:rsidP="001B64BC">
      <w:pPr>
        <w:widowControl w:val="0"/>
        <w:jc w:val="both"/>
        <w:rPr>
          <w:bCs/>
          <w:sz w:val="22"/>
          <w:lang w:val="hr-HR"/>
        </w:rPr>
      </w:pPr>
      <w:r w:rsidRPr="001A5E19">
        <w:rPr>
          <w:bCs/>
          <w:sz w:val="22"/>
          <w:lang w:val="hr-HR"/>
        </w:rPr>
        <w:t xml:space="preserve">Nije potrebno prilagođavanje doze kada se </w:t>
      </w:r>
      <w:r>
        <w:rPr>
          <w:bCs/>
          <w:sz w:val="22"/>
          <w:lang w:val="hr-HR"/>
        </w:rPr>
        <w:t>lijek Entresto primjen</w:t>
      </w:r>
      <w:r w:rsidRPr="001A5E19">
        <w:rPr>
          <w:bCs/>
          <w:sz w:val="22"/>
          <w:lang w:val="hr-HR"/>
        </w:rPr>
        <w:t xml:space="preserve">juje </w:t>
      </w:r>
      <w:r>
        <w:rPr>
          <w:bCs/>
          <w:sz w:val="22"/>
          <w:lang w:val="hr-HR"/>
        </w:rPr>
        <w:t>kod pacijenata</w:t>
      </w:r>
      <w:r w:rsidRPr="001A5E19">
        <w:rPr>
          <w:bCs/>
          <w:sz w:val="22"/>
          <w:lang w:val="hr-HR"/>
        </w:rPr>
        <w:t xml:space="preserve"> s</w:t>
      </w:r>
      <w:r>
        <w:rPr>
          <w:bCs/>
          <w:sz w:val="22"/>
          <w:lang w:val="hr-HR"/>
        </w:rPr>
        <w:t>a</w:t>
      </w:r>
      <w:r w:rsidRPr="001A5E19">
        <w:rPr>
          <w:bCs/>
          <w:sz w:val="22"/>
          <w:lang w:val="hr-HR"/>
        </w:rPr>
        <w:t xml:space="preserve"> blagim </w:t>
      </w:r>
      <w:r w:rsidRPr="001A5E19">
        <w:rPr>
          <w:bCs/>
          <w:sz w:val="22"/>
          <w:lang w:val="hr-HR"/>
        </w:rPr>
        <w:lastRenderedPageBreak/>
        <w:t xml:space="preserve">oštećenjem </w:t>
      </w:r>
      <w:r>
        <w:rPr>
          <w:bCs/>
          <w:sz w:val="22"/>
          <w:lang w:val="hr-HR"/>
        </w:rPr>
        <w:t xml:space="preserve">funkcije </w:t>
      </w:r>
      <w:r w:rsidRPr="001A5E19">
        <w:rPr>
          <w:bCs/>
          <w:sz w:val="22"/>
          <w:lang w:val="hr-HR"/>
        </w:rPr>
        <w:t>jetre (</w:t>
      </w:r>
      <w:r>
        <w:rPr>
          <w:bCs/>
          <w:sz w:val="22"/>
          <w:lang w:val="hr-HR"/>
        </w:rPr>
        <w:t>stepen</w:t>
      </w:r>
      <w:r w:rsidRPr="001A5E19">
        <w:rPr>
          <w:bCs/>
          <w:sz w:val="22"/>
          <w:lang w:val="hr-HR"/>
        </w:rPr>
        <w:t> A prema Child</w:t>
      </w:r>
      <w:r w:rsidRPr="001A5E19">
        <w:rPr>
          <w:bCs/>
          <w:sz w:val="22"/>
          <w:lang w:val="hr-HR"/>
        </w:rPr>
        <w:noBreakHyphen/>
        <w:t xml:space="preserve">Pugh klasifikaciji). </w:t>
      </w:r>
    </w:p>
    <w:p w14:paraId="4EBAA0BC" w14:textId="77777777" w:rsidR="003035EC" w:rsidRDefault="003035EC" w:rsidP="001B64BC">
      <w:pPr>
        <w:widowControl w:val="0"/>
        <w:jc w:val="both"/>
        <w:rPr>
          <w:bCs/>
          <w:sz w:val="22"/>
          <w:lang w:val="hr-HR"/>
        </w:rPr>
      </w:pPr>
    </w:p>
    <w:p w14:paraId="1AF8D389" w14:textId="58B694F9" w:rsidR="003035EC" w:rsidRPr="0078041B" w:rsidRDefault="00B96A91" w:rsidP="001B64BC">
      <w:pPr>
        <w:widowControl w:val="0"/>
        <w:jc w:val="both"/>
        <w:rPr>
          <w:szCs w:val="22"/>
          <w:lang w:val="hr-HR"/>
        </w:rPr>
      </w:pPr>
      <w:r w:rsidRPr="001A5E19">
        <w:rPr>
          <w:bCs/>
          <w:sz w:val="22"/>
          <w:lang w:val="hr-HR"/>
        </w:rPr>
        <w:t>P</w:t>
      </w:r>
      <w:r w:rsidRPr="001A5E19">
        <w:rPr>
          <w:sz w:val="22"/>
          <w:szCs w:val="22"/>
          <w:lang w:val="hr-HR"/>
        </w:rPr>
        <w:t xml:space="preserve">ostoji ograničeno kliničko iskustvo </w:t>
      </w:r>
      <w:r>
        <w:rPr>
          <w:sz w:val="22"/>
          <w:szCs w:val="22"/>
          <w:lang w:val="hr-HR"/>
        </w:rPr>
        <w:t>kod pacijenata</w:t>
      </w:r>
      <w:r w:rsidRPr="001A5E19">
        <w:rPr>
          <w:sz w:val="22"/>
          <w:szCs w:val="22"/>
          <w:lang w:val="hr-HR"/>
        </w:rPr>
        <w:t xml:space="preserve"> s</w:t>
      </w:r>
      <w:r>
        <w:rPr>
          <w:sz w:val="22"/>
          <w:szCs w:val="22"/>
          <w:lang w:val="hr-HR"/>
        </w:rPr>
        <w:t>a umj</w:t>
      </w:r>
      <w:r w:rsidRPr="001A5E19">
        <w:rPr>
          <w:sz w:val="22"/>
          <w:szCs w:val="22"/>
          <w:lang w:val="hr-HR"/>
        </w:rPr>
        <w:t>erenim oštećenjem</w:t>
      </w:r>
      <w:r>
        <w:rPr>
          <w:sz w:val="22"/>
          <w:szCs w:val="22"/>
          <w:lang w:val="hr-HR"/>
        </w:rPr>
        <w:t xml:space="preserve"> funkcije</w:t>
      </w:r>
      <w:r w:rsidRPr="001A5E19">
        <w:rPr>
          <w:sz w:val="22"/>
          <w:szCs w:val="22"/>
          <w:lang w:val="hr-HR"/>
        </w:rPr>
        <w:t xml:space="preserve"> jetre (</w:t>
      </w:r>
      <w:r w:rsidRPr="001A5E19">
        <w:rPr>
          <w:sz w:val="22"/>
          <w:szCs w:val="20"/>
          <w:lang w:val="hr-HR"/>
        </w:rPr>
        <w:t>Child</w:t>
      </w:r>
      <w:r w:rsidRPr="001A5E19">
        <w:rPr>
          <w:sz w:val="22"/>
          <w:szCs w:val="20"/>
          <w:lang w:val="hr-HR"/>
        </w:rPr>
        <w:noBreakHyphen/>
        <w:t>Pugh s</w:t>
      </w:r>
      <w:r>
        <w:rPr>
          <w:sz w:val="22"/>
          <w:szCs w:val="20"/>
          <w:lang w:val="hr-HR"/>
        </w:rPr>
        <w:t>tepen</w:t>
      </w:r>
      <w:r w:rsidRPr="001A5E19">
        <w:rPr>
          <w:sz w:val="22"/>
          <w:szCs w:val="20"/>
          <w:lang w:val="hr-HR"/>
        </w:rPr>
        <w:t> B)</w:t>
      </w:r>
      <w:r w:rsidRPr="001A5E19">
        <w:rPr>
          <w:sz w:val="22"/>
          <w:szCs w:val="22"/>
          <w:lang w:val="hr-HR"/>
        </w:rPr>
        <w:t xml:space="preserve"> ili s</w:t>
      </w:r>
      <w:r>
        <w:rPr>
          <w:sz w:val="22"/>
          <w:szCs w:val="22"/>
          <w:lang w:val="hr-HR"/>
        </w:rPr>
        <w:t>a vrij</w:t>
      </w:r>
      <w:r w:rsidRPr="001A5E19">
        <w:rPr>
          <w:sz w:val="22"/>
          <w:szCs w:val="22"/>
          <w:lang w:val="hr-HR"/>
        </w:rPr>
        <w:t>e</w:t>
      </w:r>
      <w:r>
        <w:rPr>
          <w:sz w:val="22"/>
          <w:szCs w:val="22"/>
          <w:lang w:val="hr-HR"/>
        </w:rPr>
        <w:t xml:space="preserve">dnostima </w:t>
      </w:r>
      <w:r w:rsidR="003035EC" w:rsidRPr="00AB63CB">
        <w:rPr>
          <w:sz w:val="22"/>
          <w:szCs w:val="20"/>
          <w:lang w:val="hr-HR"/>
        </w:rPr>
        <w:t>aspartat-transaminaze (AST)/alanin-transaminaze (ALT) dvostruko</w:t>
      </w:r>
      <w:r w:rsidR="003035EC" w:rsidRPr="00AB63CB">
        <w:rPr>
          <w:sz w:val="20"/>
          <w:szCs w:val="20"/>
          <w:lang w:val="hr-HR"/>
        </w:rPr>
        <w:t xml:space="preserve"> </w:t>
      </w:r>
      <w:r>
        <w:rPr>
          <w:sz w:val="22"/>
          <w:szCs w:val="22"/>
          <w:lang w:val="hr-HR"/>
        </w:rPr>
        <w:t>višim od</w:t>
      </w:r>
      <w:r w:rsidR="003035EC">
        <w:rPr>
          <w:sz w:val="22"/>
          <w:szCs w:val="22"/>
          <w:lang w:val="hr-HR"/>
        </w:rPr>
        <w:t xml:space="preserve"> </w:t>
      </w:r>
      <w:r w:rsidRPr="001A5E19">
        <w:rPr>
          <w:sz w:val="22"/>
          <w:szCs w:val="22"/>
          <w:lang w:val="hr-HR"/>
        </w:rPr>
        <w:t>go</w:t>
      </w:r>
      <w:r>
        <w:rPr>
          <w:sz w:val="22"/>
          <w:szCs w:val="22"/>
          <w:lang w:val="hr-HR"/>
        </w:rPr>
        <w:t>rnje granice normal</w:t>
      </w:r>
      <w:r w:rsidR="003035EC">
        <w:rPr>
          <w:sz w:val="22"/>
          <w:szCs w:val="22"/>
          <w:lang w:val="hr-HR"/>
        </w:rPr>
        <w:t>e</w:t>
      </w:r>
      <w:r>
        <w:rPr>
          <w:sz w:val="22"/>
          <w:szCs w:val="22"/>
          <w:lang w:val="hr-HR"/>
        </w:rPr>
        <w:t>. Lijek Entresto treba sa oprezom primjen</w:t>
      </w:r>
      <w:r w:rsidRPr="001A5E19">
        <w:rPr>
          <w:sz w:val="22"/>
          <w:szCs w:val="22"/>
          <w:lang w:val="hr-HR"/>
        </w:rPr>
        <w:t xml:space="preserve">jivati </w:t>
      </w:r>
      <w:r>
        <w:rPr>
          <w:sz w:val="22"/>
          <w:szCs w:val="22"/>
          <w:lang w:val="hr-HR"/>
        </w:rPr>
        <w:t>kod t</w:t>
      </w:r>
      <w:r w:rsidRPr="001A5E19">
        <w:rPr>
          <w:sz w:val="22"/>
          <w:szCs w:val="22"/>
          <w:lang w:val="hr-HR"/>
        </w:rPr>
        <w:t xml:space="preserve">ih </w:t>
      </w:r>
      <w:r>
        <w:rPr>
          <w:sz w:val="22"/>
          <w:szCs w:val="22"/>
          <w:lang w:val="hr-HR"/>
        </w:rPr>
        <w:t>pacijenata pa se</w:t>
      </w:r>
      <w:r w:rsidRPr="001A5E19">
        <w:rPr>
          <w:sz w:val="22"/>
          <w:szCs w:val="22"/>
          <w:lang w:val="hr-HR"/>
        </w:rPr>
        <w:t xml:space="preserve"> preporučuje</w:t>
      </w:r>
      <w:r>
        <w:rPr>
          <w:sz w:val="22"/>
          <w:szCs w:val="22"/>
          <w:lang w:val="hr-HR"/>
        </w:rPr>
        <w:t xml:space="preserve"> </w:t>
      </w:r>
      <w:r w:rsidR="003035EC">
        <w:rPr>
          <w:sz w:val="22"/>
          <w:szCs w:val="22"/>
          <w:lang w:val="hr-HR"/>
        </w:rPr>
        <w:t xml:space="preserve">pola </w:t>
      </w:r>
      <w:r w:rsidRPr="001A5E19">
        <w:rPr>
          <w:bCs/>
          <w:sz w:val="22"/>
          <w:lang w:val="hr-HR"/>
        </w:rPr>
        <w:t>početn</w:t>
      </w:r>
      <w:r w:rsidR="003035EC">
        <w:rPr>
          <w:bCs/>
          <w:sz w:val="22"/>
          <w:lang w:val="hr-HR"/>
        </w:rPr>
        <w:t>e</w:t>
      </w:r>
      <w:r w:rsidRPr="001A5E19">
        <w:rPr>
          <w:bCs/>
          <w:sz w:val="22"/>
          <w:lang w:val="hr-HR"/>
        </w:rPr>
        <w:t xml:space="preserve"> doz</w:t>
      </w:r>
      <w:r w:rsidR="003035EC">
        <w:rPr>
          <w:bCs/>
          <w:sz w:val="22"/>
          <w:lang w:val="hr-HR"/>
        </w:rPr>
        <w:t>e</w:t>
      </w:r>
      <w:r>
        <w:rPr>
          <w:bCs/>
          <w:sz w:val="22"/>
          <w:lang w:val="hr-HR"/>
        </w:rPr>
        <w:t xml:space="preserve"> (vidjet</w:t>
      </w:r>
      <w:r w:rsidRPr="001A5E19">
        <w:rPr>
          <w:bCs/>
          <w:sz w:val="22"/>
          <w:lang w:val="hr-HR"/>
        </w:rPr>
        <w:t xml:space="preserve">i </w:t>
      </w:r>
      <w:r w:rsidR="00A13261">
        <w:rPr>
          <w:bCs/>
          <w:sz w:val="22"/>
          <w:lang w:val="hr-HR"/>
        </w:rPr>
        <w:t>djelove</w:t>
      </w:r>
      <w:r w:rsidR="00A13261" w:rsidRPr="001A5E19">
        <w:rPr>
          <w:bCs/>
          <w:sz w:val="22"/>
          <w:lang w:val="hr-HR"/>
        </w:rPr>
        <w:t> </w:t>
      </w:r>
      <w:r w:rsidRPr="001A5E19">
        <w:rPr>
          <w:bCs/>
          <w:sz w:val="22"/>
          <w:lang w:val="hr-HR"/>
        </w:rPr>
        <w:t>4.4 i 5.2).</w:t>
      </w:r>
      <w:r w:rsidRPr="00AB63CB">
        <w:rPr>
          <w:bCs/>
          <w:sz w:val="20"/>
          <w:szCs w:val="22"/>
          <w:lang w:val="hr-HR"/>
        </w:rPr>
        <w:t xml:space="preserve"> </w:t>
      </w:r>
      <w:r w:rsidR="003035EC" w:rsidRPr="00AB63CB">
        <w:rPr>
          <w:sz w:val="22"/>
          <w:szCs w:val="20"/>
          <w:lang w:val="hr-HR"/>
        </w:rPr>
        <w:t>Kod pedijatrijskih pacijenata t</w:t>
      </w:r>
      <w:r w:rsidR="002637F8">
        <w:rPr>
          <w:sz w:val="22"/>
          <w:szCs w:val="20"/>
          <w:lang w:val="hr-HR"/>
        </w:rPr>
        <w:t>j</w:t>
      </w:r>
      <w:r w:rsidR="003035EC" w:rsidRPr="00AB63CB">
        <w:rPr>
          <w:sz w:val="22"/>
          <w:szCs w:val="20"/>
          <w:lang w:val="hr-HR"/>
        </w:rPr>
        <w:t>elesne težine od 40 kg do manje od 50 kg, preporučuje se početna doza od 0,8 mg/kg dva</w:t>
      </w:r>
      <w:r w:rsidR="00A2375C">
        <w:rPr>
          <w:sz w:val="22"/>
          <w:szCs w:val="20"/>
          <w:lang w:val="hr-HR"/>
        </w:rPr>
        <w:t xml:space="preserve"> </w:t>
      </w:r>
      <w:r w:rsidR="003035EC" w:rsidRPr="00AB63CB">
        <w:rPr>
          <w:sz w:val="22"/>
          <w:szCs w:val="20"/>
          <w:lang w:val="hr-HR"/>
        </w:rPr>
        <w:t>put</w:t>
      </w:r>
      <w:r w:rsidR="00A2375C">
        <w:rPr>
          <w:sz w:val="22"/>
          <w:szCs w:val="20"/>
          <w:lang w:val="hr-HR"/>
        </w:rPr>
        <w:t>a</w:t>
      </w:r>
      <w:r w:rsidR="003035EC" w:rsidRPr="00AB63CB">
        <w:rPr>
          <w:sz w:val="22"/>
          <w:szCs w:val="20"/>
          <w:lang w:val="hr-HR"/>
        </w:rPr>
        <w:t xml:space="preserve"> na dan (koja se daje u obliku granula). Nakon uvođenja l</w:t>
      </w:r>
      <w:r w:rsidR="002637F8">
        <w:rPr>
          <w:sz w:val="22"/>
          <w:szCs w:val="20"/>
          <w:lang w:val="hr-HR"/>
        </w:rPr>
        <w:t>ij</w:t>
      </w:r>
      <w:r w:rsidR="003035EC" w:rsidRPr="00AB63CB">
        <w:rPr>
          <w:sz w:val="22"/>
          <w:szCs w:val="20"/>
          <w:lang w:val="hr-HR"/>
        </w:rPr>
        <w:t>eka dozu je potrebno povećavati prema preporučenoj titraciji doze svake 2-4 ned</w:t>
      </w:r>
      <w:r w:rsidR="002637F8">
        <w:rPr>
          <w:sz w:val="22"/>
          <w:szCs w:val="20"/>
          <w:lang w:val="hr-HR"/>
        </w:rPr>
        <w:t>j</w:t>
      </w:r>
      <w:r w:rsidR="003035EC" w:rsidRPr="00AB63CB">
        <w:rPr>
          <w:sz w:val="22"/>
          <w:szCs w:val="20"/>
          <w:lang w:val="hr-HR"/>
        </w:rPr>
        <w:t>elje.</w:t>
      </w:r>
    </w:p>
    <w:p w14:paraId="28530BEC" w14:textId="77777777" w:rsidR="003035EC" w:rsidRDefault="003035EC" w:rsidP="001B64BC">
      <w:pPr>
        <w:widowControl w:val="0"/>
        <w:jc w:val="both"/>
        <w:rPr>
          <w:bCs/>
          <w:sz w:val="22"/>
          <w:lang w:val="hr-HR"/>
        </w:rPr>
      </w:pPr>
    </w:p>
    <w:p w14:paraId="775A1A4A" w14:textId="4F847A42" w:rsidR="00B96A91" w:rsidRPr="001A5E19" w:rsidRDefault="00B96A91" w:rsidP="001B64BC">
      <w:pPr>
        <w:widowControl w:val="0"/>
        <w:jc w:val="both"/>
        <w:rPr>
          <w:bCs/>
          <w:sz w:val="22"/>
          <w:lang w:val="hr-HR"/>
        </w:rPr>
      </w:pPr>
      <w:r>
        <w:rPr>
          <w:bCs/>
          <w:sz w:val="22"/>
          <w:lang w:val="hr-HR"/>
        </w:rPr>
        <w:t>Lijek Entre</w:t>
      </w:r>
      <w:r w:rsidRPr="001A5E19">
        <w:rPr>
          <w:bCs/>
          <w:sz w:val="22"/>
          <w:lang w:val="hr-HR"/>
        </w:rPr>
        <w:t>sto je kontraindi</w:t>
      </w:r>
      <w:r>
        <w:rPr>
          <w:bCs/>
          <w:sz w:val="22"/>
          <w:lang w:val="hr-HR"/>
        </w:rPr>
        <w:t>kovan kod pacijenata sa</w:t>
      </w:r>
      <w:r w:rsidRPr="001A5E19">
        <w:rPr>
          <w:bCs/>
          <w:sz w:val="22"/>
          <w:lang w:val="hr-HR"/>
        </w:rPr>
        <w:t xml:space="preserve"> teškim oštećenjem</w:t>
      </w:r>
      <w:r>
        <w:rPr>
          <w:bCs/>
          <w:sz w:val="22"/>
          <w:lang w:val="hr-HR"/>
        </w:rPr>
        <w:t xml:space="preserve"> funkcije jetre, bilijarnom cirozom ili h</w:t>
      </w:r>
      <w:r w:rsidRPr="001A5E19">
        <w:rPr>
          <w:bCs/>
          <w:sz w:val="22"/>
          <w:lang w:val="hr-HR"/>
        </w:rPr>
        <w:t>olestazom (Child</w:t>
      </w:r>
      <w:r w:rsidRPr="001A5E19">
        <w:rPr>
          <w:bCs/>
          <w:sz w:val="22"/>
          <w:lang w:val="hr-HR"/>
        </w:rPr>
        <w:noBreakHyphen/>
        <w:t xml:space="preserve">Pugh </w:t>
      </w:r>
      <w:r>
        <w:rPr>
          <w:bCs/>
          <w:sz w:val="22"/>
          <w:lang w:val="hr-HR"/>
        </w:rPr>
        <w:t>stepen C) (vidjet</w:t>
      </w:r>
      <w:r w:rsidRPr="001A5E19">
        <w:rPr>
          <w:bCs/>
          <w:sz w:val="22"/>
          <w:lang w:val="hr-HR"/>
        </w:rPr>
        <w:t>i</w:t>
      </w:r>
      <w:r>
        <w:rPr>
          <w:bCs/>
          <w:sz w:val="22"/>
          <w:lang w:val="hr-HR"/>
        </w:rPr>
        <w:t xml:space="preserve"> </w:t>
      </w:r>
      <w:r w:rsidR="00A13261">
        <w:rPr>
          <w:bCs/>
          <w:sz w:val="22"/>
          <w:lang w:val="hr-HR"/>
        </w:rPr>
        <w:t>dio</w:t>
      </w:r>
      <w:r w:rsidR="00A13261" w:rsidRPr="001A5E19">
        <w:rPr>
          <w:bCs/>
          <w:sz w:val="22"/>
          <w:lang w:val="hr-HR"/>
        </w:rPr>
        <w:t> </w:t>
      </w:r>
      <w:r w:rsidRPr="001A5E19">
        <w:rPr>
          <w:bCs/>
          <w:sz w:val="22"/>
          <w:lang w:val="hr-HR"/>
        </w:rPr>
        <w:t>4.3)</w:t>
      </w:r>
      <w:r w:rsidRPr="001A5E19">
        <w:rPr>
          <w:bCs/>
          <w:sz w:val="22"/>
          <w:szCs w:val="20"/>
          <w:lang w:val="hr-HR"/>
        </w:rPr>
        <w:t>.</w:t>
      </w:r>
    </w:p>
    <w:p w14:paraId="56AF6F15" w14:textId="77777777" w:rsidR="00B96A91" w:rsidRPr="001A5E19" w:rsidRDefault="00B96A91" w:rsidP="001B64BC">
      <w:pPr>
        <w:widowControl w:val="0"/>
        <w:jc w:val="both"/>
        <w:rPr>
          <w:sz w:val="22"/>
          <w:szCs w:val="22"/>
          <w:lang w:val="hr-HR"/>
        </w:rPr>
      </w:pPr>
    </w:p>
    <w:p w14:paraId="23456F8B" w14:textId="77777777" w:rsidR="00B96A91" w:rsidRPr="001A5E19" w:rsidRDefault="00B96A91" w:rsidP="001B64BC">
      <w:pPr>
        <w:keepNext/>
        <w:widowControl w:val="0"/>
        <w:jc w:val="both"/>
        <w:rPr>
          <w:bCs/>
          <w:i/>
          <w:iCs/>
          <w:sz w:val="22"/>
          <w:szCs w:val="22"/>
          <w:lang w:val="hr-HR"/>
        </w:rPr>
      </w:pPr>
      <w:r w:rsidRPr="001A5E19">
        <w:rPr>
          <w:bCs/>
          <w:i/>
          <w:iCs/>
          <w:sz w:val="22"/>
          <w:szCs w:val="22"/>
          <w:lang w:val="hr-HR"/>
        </w:rPr>
        <w:t>Pedijatrijska populacija</w:t>
      </w:r>
    </w:p>
    <w:p w14:paraId="39D4E516" w14:textId="4B5F95D1" w:rsidR="00B96A91" w:rsidRPr="001A5E19" w:rsidRDefault="00B96A91" w:rsidP="001B64BC">
      <w:pPr>
        <w:widowControl w:val="0"/>
        <w:jc w:val="both"/>
        <w:rPr>
          <w:sz w:val="22"/>
          <w:szCs w:val="22"/>
          <w:lang w:val="hr-HR"/>
        </w:rPr>
      </w:pPr>
      <w:r>
        <w:rPr>
          <w:bCs/>
          <w:sz w:val="22"/>
          <w:lang w:val="hr-HR"/>
        </w:rPr>
        <w:t>Bezbjednost i efikasnost</w:t>
      </w:r>
      <w:r w:rsidRPr="001A5E19">
        <w:rPr>
          <w:bCs/>
          <w:sz w:val="22"/>
          <w:lang w:val="hr-HR"/>
        </w:rPr>
        <w:t xml:space="preserve"> </w:t>
      </w:r>
      <w:r>
        <w:rPr>
          <w:bCs/>
          <w:sz w:val="22"/>
          <w:lang w:val="hr-HR"/>
        </w:rPr>
        <w:t>primjene lijeka Entre</w:t>
      </w:r>
      <w:r w:rsidRPr="001A5E19">
        <w:rPr>
          <w:bCs/>
          <w:sz w:val="22"/>
          <w:lang w:val="hr-HR"/>
        </w:rPr>
        <w:t>st</w:t>
      </w:r>
      <w:r>
        <w:rPr>
          <w:bCs/>
          <w:sz w:val="22"/>
          <w:lang w:val="hr-HR"/>
        </w:rPr>
        <w:t>o kod d</w:t>
      </w:r>
      <w:r w:rsidR="00A2375C">
        <w:rPr>
          <w:bCs/>
          <w:sz w:val="22"/>
          <w:lang w:val="hr-HR"/>
        </w:rPr>
        <w:t>j</w:t>
      </w:r>
      <w:r>
        <w:rPr>
          <w:bCs/>
          <w:sz w:val="22"/>
          <w:lang w:val="hr-HR"/>
        </w:rPr>
        <w:t>ece</w:t>
      </w:r>
      <w:r w:rsidRPr="001A5E19">
        <w:rPr>
          <w:bCs/>
          <w:sz w:val="22"/>
          <w:lang w:val="hr-HR"/>
        </w:rPr>
        <w:t xml:space="preserve"> u</w:t>
      </w:r>
      <w:r>
        <w:rPr>
          <w:bCs/>
          <w:sz w:val="22"/>
          <w:lang w:val="hr-HR"/>
        </w:rPr>
        <w:t>zrasta</w:t>
      </w:r>
      <w:r w:rsidRPr="001A5E19">
        <w:rPr>
          <w:bCs/>
          <w:sz w:val="22"/>
          <w:lang w:val="hr-HR"/>
        </w:rPr>
        <w:t xml:space="preserve"> ispod 1 godin ni</w:t>
      </w:r>
      <w:r>
        <w:rPr>
          <w:bCs/>
          <w:sz w:val="22"/>
          <w:lang w:val="hr-HR"/>
        </w:rPr>
        <w:t>je</w:t>
      </w:r>
      <w:r w:rsidRPr="001A5E19">
        <w:rPr>
          <w:bCs/>
          <w:sz w:val="22"/>
          <w:lang w:val="hr-HR"/>
        </w:rPr>
        <w:t>su u</w:t>
      </w:r>
      <w:r>
        <w:rPr>
          <w:bCs/>
          <w:sz w:val="22"/>
          <w:lang w:val="hr-HR"/>
        </w:rPr>
        <w:t xml:space="preserve">tvrđene. </w:t>
      </w:r>
      <w:r w:rsidR="003035EC" w:rsidRPr="003035EC">
        <w:rPr>
          <w:bCs/>
          <w:lang w:val="hr-HR"/>
        </w:rPr>
        <w:t xml:space="preserve"> </w:t>
      </w:r>
      <w:r w:rsidR="003035EC" w:rsidRPr="00AB63CB">
        <w:rPr>
          <w:bCs/>
          <w:sz w:val="22"/>
          <w:szCs w:val="22"/>
          <w:lang w:val="hr-HR"/>
        </w:rPr>
        <w:t xml:space="preserve">Trenutno dostupni podaci opisani su u </w:t>
      </w:r>
      <w:r w:rsidR="0088149C">
        <w:rPr>
          <w:bCs/>
          <w:sz w:val="22"/>
          <w:szCs w:val="22"/>
          <w:lang w:val="hr-HR"/>
        </w:rPr>
        <w:t xml:space="preserve">dijelu </w:t>
      </w:r>
      <w:r w:rsidR="003035EC" w:rsidRPr="00AB63CB">
        <w:rPr>
          <w:bCs/>
          <w:sz w:val="22"/>
          <w:szCs w:val="22"/>
          <w:lang w:val="hr-HR"/>
        </w:rPr>
        <w:t>5.1, međutim nije moguće dati preporuku o doziranju.</w:t>
      </w:r>
    </w:p>
    <w:p w14:paraId="6B93B4B1" w14:textId="77777777" w:rsidR="00B96A91" w:rsidRPr="00786071" w:rsidRDefault="00B96A91" w:rsidP="001B64BC">
      <w:pPr>
        <w:tabs>
          <w:tab w:val="left" w:pos="540"/>
          <w:tab w:val="left" w:pos="569"/>
        </w:tabs>
        <w:jc w:val="both"/>
        <w:rPr>
          <w:bCs/>
          <w:sz w:val="22"/>
          <w:szCs w:val="22"/>
          <w:u w:val="single"/>
        </w:rPr>
      </w:pPr>
    </w:p>
    <w:p w14:paraId="3921E441" w14:textId="77777777" w:rsidR="00452E9D" w:rsidRPr="00786071" w:rsidRDefault="00452E9D" w:rsidP="001B64BC">
      <w:pPr>
        <w:tabs>
          <w:tab w:val="left" w:pos="540"/>
          <w:tab w:val="left" w:pos="569"/>
        </w:tabs>
        <w:jc w:val="both"/>
        <w:rPr>
          <w:bCs/>
          <w:sz w:val="22"/>
          <w:szCs w:val="22"/>
          <w:u w:val="single"/>
        </w:rPr>
      </w:pPr>
      <w:proofErr w:type="spellStart"/>
      <w:r w:rsidRPr="00786071">
        <w:rPr>
          <w:bCs/>
          <w:sz w:val="22"/>
          <w:szCs w:val="22"/>
          <w:u w:val="single"/>
        </w:rPr>
        <w:t>Način</w:t>
      </w:r>
      <w:proofErr w:type="spellEnd"/>
      <w:r w:rsidRPr="00786071">
        <w:rPr>
          <w:bCs/>
          <w:sz w:val="22"/>
          <w:szCs w:val="22"/>
          <w:u w:val="single"/>
        </w:rPr>
        <w:t xml:space="preserve"> </w:t>
      </w:r>
      <w:proofErr w:type="spellStart"/>
      <w:r w:rsidRPr="00786071">
        <w:rPr>
          <w:bCs/>
          <w:sz w:val="22"/>
          <w:szCs w:val="22"/>
          <w:u w:val="single"/>
        </w:rPr>
        <w:t>primjene</w:t>
      </w:r>
      <w:proofErr w:type="spellEnd"/>
    </w:p>
    <w:p w14:paraId="643E5A84" w14:textId="4FB765CB" w:rsidR="00452E9D" w:rsidRDefault="00452E9D" w:rsidP="001B64BC">
      <w:pPr>
        <w:tabs>
          <w:tab w:val="left" w:pos="540"/>
          <w:tab w:val="left" w:pos="569"/>
        </w:tabs>
        <w:jc w:val="both"/>
        <w:rPr>
          <w:bCs/>
          <w:sz w:val="22"/>
          <w:szCs w:val="22"/>
        </w:rPr>
      </w:pPr>
    </w:p>
    <w:p w14:paraId="3FFE8F44" w14:textId="77777777" w:rsidR="00B96A91" w:rsidRPr="001A5E19" w:rsidRDefault="00B96A91" w:rsidP="001B64BC">
      <w:pPr>
        <w:widowControl w:val="0"/>
        <w:jc w:val="both"/>
        <w:rPr>
          <w:sz w:val="22"/>
          <w:lang w:val="hr-HR" w:eastAsia="ja-JP"/>
        </w:rPr>
      </w:pPr>
      <w:r>
        <w:rPr>
          <w:sz w:val="22"/>
          <w:lang w:val="hr-HR" w:eastAsia="ja-JP"/>
        </w:rPr>
        <w:t>Oralna primjena</w:t>
      </w:r>
      <w:r w:rsidRPr="001A5E19">
        <w:rPr>
          <w:sz w:val="22"/>
          <w:lang w:val="hr-HR" w:eastAsia="ja-JP"/>
        </w:rPr>
        <w:t>.</w:t>
      </w:r>
    </w:p>
    <w:p w14:paraId="23CAEFE8" w14:textId="06281A19" w:rsidR="00B96A91" w:rsidRPr="00AB63CB" w:rsidRDefault="00B96A91" w:rsidP="001B64BC">
      <w:pPr>
        <w:widowControl w:val="0"/>
        <w:jc w:val="both"/>
        <w:rPr>
          <w:lang w:val="hr-HR" w:eastAsia="ja-JP"/>
        </w:rPr>
      </w:pPr>
      <w:r>
        <w:rPr>
          <w:bCs/>
          <w:sz w:val="22"/>
          <w:szCs w:val="20"/>
          <w:lang w:val="hr-HR"/>
        </w:rPr>
        <w:t>Lijek Entre</w:t>
      </w:r>
      <w:r w:rsidRPr="001A5E19">
        <w:rPr>
          <w:bCs/>
          <w:sz w:val="22"/>
          <w:szCs w:val="20"/>
          <w:lang w:val="hr-HR"/>
        </w:rPr>
        <w:t>sto</w:t>
      </w:r>
      <w:r>
        <w:rPr>
          <w:sz w:val="22"/>
          <w:lang w:val="hr-HR" w:eastAsia="ja-JP"/>
        </w:rPr>
        <w:t xml:space="preserve"> se može primjen</w:t>
      </w:r>
      <w:r w:rsidRPr="001A5E19">
        <w:rPr>
          <w:sz w:val="22"/>
          <w:lang w:val="hr-HR" w:eastAsia="ja-JP"/>
        </w:rPr>
        <w:t>jivati uz obrok ili bez njega (</w:t>
      </w:r>
      <w:r>
        <w:rPr>
          <w:sz w:val="22"/>
          <w:lang w:val="hr-HR" w:eastAsia="ja-JP"/>
        </w:rPr>
        <w:t>vidjet</w:t>
      </w:r>
      <w:r w:rsidRPr="001A5E19">
        <w:rPr>
          <w:sz w:val="22"/>
          <w:lang w:val="hr-HR" w:eastAsia="ja-JP"/>
        </w:rPr>
        <w:t>i</w:t>
      </w:r>
      <w:r>
        <w:rPr>
          <w:sz w:val="22"/>
          <w:lang w:val="hr-HR" w:eastAsia="ja-JP"/>
        </w:rPr>
        <w:t xml:space="preserve"> </w:t>
      </w:r>
      <w:r w:rsidR="00E40C65">
        <w:rPr>
          <w:sz w:val="22"/>
          <w:lang w:val="hr-HR" w:eastAsia="ja-JP"/>
        </w:rPr>
        <w:t>dio</w:t>
      </w:r>
      <w:r w:rsidR="00E40C65" w:rsidRPr="001A5E19">
        <w:rPr>
          <w:sz w:val="22"/>
          <w:lang w:val="hr-HR" w:eastAsia="ja-JP"/>
        </w:rPr>
        <w:t> </w:t>
      </w:r>
      <w:r w:rsidRPr="001A5E19">
        <w:rPr>
          <w:sz w:val="22"/>
          <w:lang w:val="hr-HR" w:eastAsia="ja-JP"/>
        </w:rPr>
        <w:t>5.2). Tablete se moraju progutati uz čašu vode.</w:t>
      </w:r>
      <w:r w:rsidR="00EC1C2C">
        <w:rPr>
          <w:sz w:val="22"/>
          <w:lang w:val="hr-HR" w:eastAsia="ja-JP"/>
        </w:rPr>
        <w:t xml:space="preserve"> </w:t>
      </w:r>
      <w:r w:rsidR="00EC1C2C" w:rsidRPr="00AB63CB">
        <w:rPr>
          <w:sz w:val="22"/>
          <w:szCs w:val="22"/>
          <w:lang w:val="hr-HR" w:eastAsia="ja-JP"/>
        </w:rPr>
        <w:t>Ne preporučuje se lomljenje ili drobljenje tableta.</w:t>
      </w:r>
    </w:p>
    <w:p w14:paraId="49C9062C" w14:textId="77777777" w:rsidR="00B96A91" w:rsidRPr="00786071" w:rsidRDefault="00B96A91" w:rsidP="001B64BC">
      <w:pPr>
        <w:tabs>
          <w:tab w:val="left" w:pos="540"/>
          <w:tab w:val="left" w:pos="569"/>
        </w:tabs>
        <w:jc w:val="both"/>
        <w:rPr>
          <w:bCs/>
          <w:sz w:val="22"/>
          <w:szCs w:val="22"/>
        </w:rPr>
      </w:pPr>
    </w:p>
    <w:p w14:paraId="4723700A" w14:textId="77777777" w:rsidR="00411B4B" w:rsidRPr="00786071" w:rsidRDefault="00411B4B" w:rsidP="001B64BC">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proofErr w:type="spellStart"/>
      <w:r w:rsidRPr="00786071">
        <w:rPr>
          <w:b/>
          <w:bCs/>
          <w:sz w:val="22"/>
          <w:szCs w:val="22"/>
        </w:rPr>
        <w:t>Kontraindikacije</w:t>
      </w:r>
      <w:proofErr w:type="spellEnd"/>
    </w:p>
    <w:p w14:paraId="358E13AA" w14:textId="1F50DBFB" w:rsidR="0072020E" w:rsidRDefault="0072020E" w:rsidP="001B64BC">
      <w:pPr>
        <w:tabs>
          <w:tab w:val="left" w:pos="540"/>
          <w:tab w:val="left" w:pos="569"/>
        </w:tabs>
        <w:jc w:val="both"/>
        <w:rPr>
          <w:bCs/>
          <w:sz w:val="22"/>
          <w:szCs w:val="22"/>
        </w:rPr>
      </w:pPr>
    </w:p>
    <w:p w14:paraId="35D3A60B" w14:textId="0EE2D730" w:rsidR="00B96A91" w:rsidRPr="001A5E19" w:rsidRDefault="00B96A91" w:rsidP="001B64BC">
      <w:pPr>
        <w:widowControl w:val="0"/>
        <w:numPr>
          <w:ilvl w:val="0"/>
          <w:numId w:val="12"/>
        </w:numPr>
        <w:tabs>
          <w:tab w:val="left" w:pos="567"/>
        </w:tabs>
        <w:spacing w:line="260" w:lineRule="exact"/>
        <w:ind w:left="0" w:firstLine="0"/>
        <w:jc w:val="both"/>
        <w:rPr>
          <w:bCs/>
          <w:sz w:val="22"/>
          <w:lang w:val="hr-HR"/>
        </w:rPr>
      </w:pPr>
      <w:r>
        <w:rPr>
          <w:bCs/>
          <w:sz w:val="22"/>
          <w:lang w:val="hr-HR"/>
        </w:rPr>
        <w:t>Preosj</w:t>
      </w:r>
      <w:r w:rsidRPr="001A5E19">
        <w:rPr>
          <w:bCs/>
          <w:sz w:val="22"/>
          <w:lang w:val="hr-HR"/>
        </w:rPr>
        <w:t xml:space="preserve">etljivost na </w:t>
      </w:r>
      <w:r>
        <w:rPr>
          <w:bCs/>
          <w:sz w:val="22"/>
          <w:lang w:val="hr-HR"/>
        </w:rPr>
        <w:t>aktivne supstance</w:t>
      </w:r>
      <w:r w:rsidRPr="001A5E19">
        <w:rPr>
          <w:bCs/>
          <w:sz w:val="22"/>
          <w:lang w:val="hr-HR"/>
        </w:rPr>
        <w:t xml:space="preserve"> ili neku od pomoćnih </w:t>
      </w:r>
      <w:r>
        <w:rPr>
          <w:bCs/>
          <w:sz w:val="22"/>
          <w:lang w:val="hr-HR"/>
        </w:rPr>
        <w:t>supstanci</w:t>
      </w:r>
      <w:r w:rsidRPr="001A5E19">
        <w:rPr>
          <w:bCs/>
          <w:sz w:val="22"/>
          <w:lang w:val="hr-HR"/>
        </w:rPr>
        <w:t xml:space="preserve"> navedenih u </w:t>
      </w:r>
      <w:r w:rsidR="00AE1005">
        <w:rPr>
          <w:bCs/>
          <w:sz w:val="22"/>
          <w:lang w:val="hr-HR"/>
        </w:rPr>
        <w:t xml:space="preserve">dijelu </w:t>
      </w:r>
      <w:r w:rsidRPr="001A5E19">
        <w:rPr>
          <w:bCs/>
          <w:sz w:val="22"/>
          <w:lang w:val="hr-HR"/>
        </w:rPr>
        <w:t>6.1.</w:t>
      </w:r>
    </w:p>
    <w:p w14:paraId="1395BDA7" w14:textId="5D5465B0" w:rsidR="00B96A91" w:rsidRPr="001A5E19" w:rsidRDefault="00B96A91" w:rsidP="001B64BC">
      <w:pPr>
        <w:widowControl w:val="0"/>
        <w:numPr>
          <w:ilvl w:val="0"/>
          <w:numId w:val="12"/>
        </w:numPr>
        <w:tabs>
          <w:tab w:val="left" w:pos="567"/>
        </w:tabs>
        <w:spacing w:line="260" w:lineRule="exact"/>
        <w:ind w:left="0" w:firstLine="0"/>
        <w:jc w:val="both"/>
        <w:rPr>
          <w:sz w:val="22"/>
          <w:szCs w:val="20"/>
          <w:lang w:val="hr-HR"/>
        </w:rPr>
      </w:pPr>
      <w:r w:rsidRPr="001A5E19">
        <w:rPr>
          <w:bCs/>
          <w:sz w:val="22"/>
          <w:szCs w:val="20"/>
          <w:lang w:val="hr-HR"/>
        </w:rPr>
        <w:t>Isto</w:t>
      </w:r>
      <w:r>
        <w:rPr>
          <w:bCs/>
          <w:sz w:val="22"/>
          <w:szCs w:val="20"/>
          <w:lang w:val="hr-HR"/>
        </w:rPr>
        <w:t>vremena primjen</w:t>
      </w:r>
      <w:r w:rsidRPr="001A5E19">
        <w:rPr>
          <w:bCs/>
          <w:sz w:val="22"/>
          <w:szCs w:val="20"/>
          <w:lang w:val="hr-HR"/>
        </w:rPr>
        <w:t>a s</w:t>
      </w:r>
      <w:r>
        <w:rPr>
          <w:bCs/>
          <w:sz w:val="22"/>
          <w:szCs w:val="20"/>
          <w:lang w:val="hr-HR"/>
        </w:rPr>
        <w:t>a ACE inhibitorima (vidjet</w:t>
      </w:r>
      <w:r w:rsidRPr="001A5E19">
        <w:rPr>
          <w:bCs/>
          <w:sz w:val="22"/>
          <w:szCs w:val="20"/>
          <w:lang w:val="hr-HR"/>
        </w:rPr>
        <w:t xml:space="preserve">i </w:t>
      </w:r>
      <w:r w:rsidR="00AE1005">
        <w:rPr>
          <w:bCs/>
          <w:sz w:val="22"/>
          <w:szCs w:val="20"/>
          <w:lang w:val="hr-HR"/>
        </w:rPr>
        <w:t>djelove</w:t>
      </w:r>
      <w:r w:rsidR="00AE1005" w:rsidRPr="001A5E19">
        <w:rPr>
          <w:bCs/>
          <w:sz w:val="22"/>
          <w:szCs w:val="20"/>
          <w:lang w:val="hr-HR"/>
        </w:rPr>
        <w:t> </w:t>
      </w:r>
      <w:r w:rsidRPr="001A5E19">
        <w:rPr>
          <w:bCs/>
          <w:sz w:val="22"/>
          <w:szCs w:val="20"/>
          <w:lang w:val="hr-HR"/>
        </w:rPr>
        <w:t xml:space="preserve">4.4 i 4.5). </w:t>
      </w:r>
      <w:r>
        <w:rPr>
          <w:sz w:val="22"/>
          <w:szCs w:val="20"/>
          <w:lang w:val="hr-HR"/>
        </w:rPr>
        <w:t>Lijek Entre</w:t>
      </w:r>
      <w:r w:rsidRPr="001A5E19">
        <w:rPr>
          <w:sz w:val="22"/>
          <w:szCs w:val="20"/>
          <w:lang w:val="hr-HR"/>
        </w:rPr>
        <w:t>sto se ne sm</w:t>
      </w:r>
      <w:r>
        <w:rPr>
          <w:sz w:val="22"/>
          <w:szCs w:val="20"/>
          <w:lang w:val="hr-HR"/>
        </w:rPr>
        <w:t>ij</w:t>
      </w:r>
      <w:r w:rsidRPr="001A5E19">
        <w:rPr>
          <w:sz w:val="22"/>
          <w:szCs w:val="20"/>
          <w:lang w:val="hr-HR"/>
        </w:rPr>
        <w:t xml:space="preserve">e </w:t>
      </w:r>
      <w:r>
        <w:rPr>
          <w:sz w:val="22"/>
          <w:szCs w:val="20"/>
          <w:lang w:val="hr-HR"/>
        </w:rPr>
        <w:t>primjen</w:t>
      </w:r>
      <w:r w:rsidRPr="001A5E19">
        <w:rPr>
          <w:sz w:val="22"/>
          <w:szCs w:val="20"/>
          <w:lang w:val="hr-HR"/>
        </w:rPr>
        <w:t xml:space="preserve">jivati do </w:t>
      </w:r>
      <w:r w:rsidRPr="001A5E19">
        <w:rPr>
          <w:bCs/>
          <w:sz w:val="22"/>
          <w:lang w:val="hr-HR"/>
        </w:rPr>
        <w:t>36 sati nakon prekida terapije ACE inhibitorom.</w:t>
      </w:r>
    </w:p>
    <w:p w14:paraId="72997858" w14:textId="05373BA3" w:rsidR="00B96A91" w:rsidRPr="001A5E19" w:rsidRDefault="00B96A91" w:rsidP="001B64BC">
      <w:pPr>
        <w:widowControl w:val="0"/>
        <w:numPr>
          <w:ilvl w:val="0"/>
          <w:numId w:val="12"/>
        </w:numPr>
        <w:tabs>
          <w:tab w:val="left" w:pos="567"/>
        </w:tabs>
        <w:spacing w:line="260" w:lineRule="exact"/>
        <w:ind w:left="0" w:firstLine="0"/>
        <w:jc w:val="both"/>
        <w:rPr>
          <w:sz w:val="22"/>
          <w:lang w:val="hr-HR"/>
        </w:rPr>
      </w:pPr>
      <w:r w:rsidRPr="001A5E19">
        <w:rPr>
          <w:sz w:val="22"/>
          <w:lang w:val="hr-HR"/>
        </w:rPr>
        <w:t>Angioedem u anamne</w:t>
      </w:r>
      <w:r>
        <w:rPr>
          <w:sz w:val="22"/>
          <w:lang w:val="hr-HR"/>
        </w:rPr>
        <w:t xml:space="preserve">stičkim podacima </w:t>
      </w:r>
      <w:r w:rsidRPr="001A5E19">
        <w:rPr>
          <w:sz w:val="22"/>
          <w:lang w:val="hr-HR"/>
        </w:rPr>
        <w:t>povezan s</w:t>
      </w:r>
      <w:r>
        <w:rPr>
          <w:sz w:val="22"/>
          <w:lang w:val="hr-HR"/>
        </w:rPr>
        <w:t>a</w:t>
      </w:r>
      <w:r w:rsidRPr="001A5E19">
        <w:rPr>
          <w:sz w:val="22"/>
          <w:lang w:val="hr-HR"/>
        </w:rPr>
        <w:t xml:space="preserve"> prethodnom terapijom </w:t>
      </w:r>
      <w:r>
        <w:rPr>
          <w:sz w:val="22"/>
          <w:lang w:val="hr-HR"/>
        </w:rPr>
        <w:t>ACE inhibitorom ili ARB</w:t>
      </w:r>
      <w:r>
        <w:rPr>
          <w:sz w:val="22"/>
          <w:lang w:val="hr-HR"/>
        </w:rPr>
        <w:noBreakHyphen/>
        <w:t>om (vidjet</w:t>
      </w:r>
      <w:r w:rsidRPr="001A5E19">
        <w:rPr>
          <w:sz w:val="22"/>
          <w:lang w:val="hr-HR"/>
        </w:rPr>
        <w:t xml:space="preserve">i </w:t>
      </w:r>
      <w:r w:rsidR="00AE1005">
        <w:rPr>
          <w:sz w:val="22"/>
          <w:lang w:val="hr-HR"/>
        </w:rPr>
        <w:t>dio</w:t>
      </w:r>
      <w:r w:rsidR="00AE1005" w:rsidRPr="001A5E19">
        <w:rPr>
          <w:sz w:val="22"/>
          <w:lang w:val="hr-HR"/>
        </w:rPr>
        <w:t> </w:t>
      </w:r>
      <w:r w:rsidRPr="001A5E19">
        <w:rPr>
          <w:sz w:val="22"/>
          <w:lang w:val="hr-HR"/>
        </w:rPr>
        <w:t>4.4).</w:t>
      </w:r>
    </w:p>
    <w:p w14:paraId="04AACF85" w14:textId="08ED376C" w:rsidR="00B96A91" w:rsidRPr="001A5E19" w:rsidRDefault="00B96A91" w:rsidP="001B64BC">
      <w:pPr>
        <w:widowControl w:val="0"/>
        <w:numPr>
          <w:ilvl w:val="0"/>
          <w:numId w:val="12"/>
        </w:numPr>
        <w:tabs>
          <w:tab w:val="left" w:pos="567"/>
        </w:tabs>
        <w:spacing w:line="260" w:lineRule="exact"/>
        <w:ind w:left="0" w:firstLine="0"/>
        <w:jc w:val="both"/>
        <w:rPr>
          <w:sz w:val="22"/>
          <w:lang w:val="hr-HR"/>
        </w:rPr>
      </w:pPr>
      <w:r>
        <w:rPr>
          <w:sz w:val="22"/>
          <w:lang w:val="hr-HR"/>
        </w:rPr>
        <w:t>Naslj</w:t>
      </w:r>
      <w:r w:rsidRPr="001A5E19">
        <w:rPr>
          <w:sz w:val="22"/>
          <w:lang w:val="hr-HR"/>
        </w:rPr>
        <w:t>edni ili i</w:t>
      </w:r>
      <w:r>
        <w:rPr>
          <w:sz w:val="22"/>
          <w:lang w:val="hr-HR"/>
        </w:rPr>
        <w:t>diopatski angioedem (vidjet</w:t>
      </w:r>
      <w:r w:rsidRPr="001A5E19">
        <w:rPr>
          <w:sz w:val="22"/>
          <w:lang w:val="hr-HR"/>
        </w:rPr>
        <w:t>i</w:t>
      </w:r>
      <w:r>
        <w:rPr>
          <w:sz w:val="22"/>
          <w:lang w:val="hr-HR"/>
        </w:rPr>
        <w:t xml:space="preserve"> </w:t>
      </w:r>
      <w:r w:rsidR="003E4569">
        <w:rPr>
          <w:sz w:val="22"/>
          <w:lang w:val="hr-HR"/>
        </w:rPr>
        <w:t>dio</w:t>
      </w:r>
      <w:r w:rsidR="003E4569" w:rsidRPr="001A5E19">
        <w:rPr>
          <w:sz w:val="22"/>
          <w:lang w:val="hr-HR"/>
        </w:rPr>
        <w:t> </w:t>
      </w:r>
      <w:r w:rsidRPr="001A5E19">
        <w:rPr>
          <w:sz w:val="22"/>
          <w:lang w:val="hr-HR"/>
        </w:rPr>
        <w:t>4.4).</w:t>
      </w:r>
    </w:p>
    <w:p w14:paraId="27E7C50F" w14:textId="300F0580" w:rsidR="00B96A91" w:rsidRPr="001A5E19" w:rsidRDefault="00B96A91" w:rsidP="001B64BC">
      <w:pPr>
        <w:widowControl w:val="0"/>
        <w:numPr>
          <w:ilvl w:val="0"/>
          <w:numId w:val="12"/>
        </w:numPr>
        <w:tabs>
          <w:tab w:val="left" w:pos="567"/>
        </w:tabs>
        <w:spacing w:line="260" w:lineRule="exact"/>
        <w:ind w:left="0" w:firstLine="0"/>
        <w:jc w:val="both"/>
        <w:rPr>
          <w:bCs/>
          <w:sz w:val="22"/>
          <w:lang w:val="hr-HR"/>
        </w:rPr>
      </w:pPr>
      <w:r w:rsidRPr="001A5E19">
        <w:rPr>
          <w:bCs/>
          <w:sz w:val="22"/>
          <w:lang w:val="hr-HR"/>
        </w:rPr>
        <w:t>Isto</w:t>
      </w:r>
      <w:r>
        <w:rPr>
          <w:bCs/>
          <w:sz w:val="22"/>
          <w:lang w:val="hr-HR"/>
        </w:rPr>
        <w:t>vremena</w:t>
      </w:r>
      <w:r w:rsidRPr="001A5E19">
        <w:rPr>
          <w:bCs/>
          <w:sz w:val="22"/>
          <w:lang w:val="hr-HR"/>
        </w:rPr>
        <w:t xml:space="preserve"> </w:t>
      </w:r>
      <w:r>
        <w:rPr>
          <w:bCs/>
          <w:sz w:val="22"/>
          <w:lang w:val="hr-HR"/>
        </w:rPr>
        <w:t>primjen</w:t>
      </w:r>
      <w:r w:rsidRPr="001A5E19">
        <w:rPr>
          <w:bCs/>
          <w:sz w:val="22"/>
          <w:lang w:val="hr-HR"/>
        </w:rPr>
        <w:t>a s</w:t>
      </w:r>
      <w:r>
        <w:rPr>
          <w:bCs/>
          <w:sz w:val="22"/>
          <w:lang w:val="hr-HR"/>
        </w:rPr>
        <w:t>a</w:t>
      </w:r>
      <w:r w:rsidRPr="001A5E19">
        <w:rPr>
          <w:bCs/>
          <w:sz w:val="22"/>
          <w:lang w:val="hr-HR"/>
        </w:rPr>
        <w:t xml:space="preserve"> </w:t>
      </w:r>
      <w:r>
        <w:rPr>
          <w:bCs/>
          <w:sz w:val="22"/>
          <w:lang w:val="hr-HR"/>
        </w:rPr>
        <w:t>ljek</w:t>
      </w:r>
      <w:r w:rsidRPr="001A5E19">
        <w:rPr>
          <w:bCs/>
          <w:sz w:val="22"/>
          <w:lang w:val="hr-HR"/>
        </w:rPr>
        <w:t xml:space="preserve">ovima koji sadrže aliskiren </w:t>
      </w:r>
      <w:r>
        <w:rPr>
          <w:bCs/>
          <w:sz w:val="22"/>
          <w:lang w:val="hr-HR"/>
        </w:rPr>
        <w:t>kod</w:t>
      </w:r>
      <w:r w:rsidRPr="001A5E19">
        <w:rPr>
          <w:bCs/>
          <w:sz w:val="22"/>
          <w:lang w:val="hr-HR"/>
        </w:rPr>
        <w:t xml:space="preserve"> </w:t>
      </w:r>
      <w:r>
        <w:rPr>
          <w:bCs/>
          <w:sz w:val="22"/>
          <w:lang w:val="hr-HR"/>
        </w:rPr>
        <w:t>pacijenata</w:t>
      </w:r>
      <w:r w:rsidRPr="001A5E19">
        <w:rPr>
          <w:bCs/>
          <w:sz w:val="22"/>
          <w:lang w:val="hr-HR"/>
        </w:rPr>
        <w:t xml:space="preserve"> sa </w:t>
      </w:r>
      <w:r>
        <w:rPr>
          <w:bCs/>
          <w:sz w:val="22"/>
          <w:lang w:val="hr-HR"/>
        </w:rPr>
        <w:t>diabetes mellitus-om</w:t>
      </w:r>
      <w:r w:rsidRPr="001A5E19">
        <w:rPr>
          <w:bCs/>
          <w:sz w:val="22"/>
          <w:lang w:val="hr-HR"/>
        </w:rPr>
        <w:t xml:space="preserve"> ili </w:t>
      </w:r>
      <w:r>
        <w:rPr>
          <w:bCs/>
          <w:sz w:val="22"/>
          <w:lang w:val="hr-HR"/>
        </w:rPr>
        <w:t>kod</w:t>
      </w:r>
      <w:r w:rsidRPr="001A5E19">
        <w:rPr>
          <w:bCs/>
          <w:sz w:val="22"/>
          <w:lang w:val="hr-HR"/>
        </w:rPr>
        <w:t xml:space="preserve"> </w:t>
      </w:r>
      <w:r>
        <w:rPr>
          <w:bCs/>
          <w:sz w:val="22"/>
          <w:lang w:val="hr-HR"/>
        </w:rPr>
        <w:t>pacijenata</w:t>
      </w:r>
      <w:r w:rsidRPr="001A5E19">
        <w:rPr>
          <w:bCs/>
          <w:sz w:val="22"/>
          <w:lang w:val="hr-HR"/>
        </w:rPr>
        <w:t xml:space="preserve"> s</w:t>
      </w:r>
      <w:r>
        <w:rPr>
          <w:bCs/>
          <w:sz w:val="22"/>
          <w:lang w:val="hr-HR"/>
        </w:rPr>
        <w:t>a</w:t>
      </w:r>
      <w:r w:rsidRPr="001A5E19">
        <w:rPr>
          <w:bCs/>
          <w:sz w:val="22"/>
          <w:lang w:val="hr-HR"/>
        </w:rPr>
        <w:t xml:space="preserve"> oštećenjem</w:t>
      </w:r>
      <w:r>
        <w:rPr>
          <w:bCs/>
          <w:sz w:val="22"/>
          <w:lang w:val="hr-HR"/>
        </w:rPr>
        <w:t xml:space="preserve"> funkcije</w:t>
      </w:r>
      <w:r w:rsidRPr="001A5E19">
        <w:rPr>
          <w:bCs/>
          <w:sz w:val="22"/>
          <w:lang w:val="hr-HR"/>
        </w:rPr>
        <w:t xml:space="preserve"> bubrega </w:t>
      </w:r>
      <w:r w:rsidRPr="001A5E19">
        <w:rPr>
          <w:sz w:val="22"/>
          <w:szCs w:val="22"/>
          <w:lang w:val="hr-HR"/>
        </w:rPr>
        <w:t>(eGFR &lt;60 ml/min/1,73 m</w:t>
      </w:r>
      <w:r w:rsidRPr="001A5E19">
        <w:rPr>
          <w:sz w:val="22"/>
          <w:szCs w:val="22"/>
          <w:vertAlign w:val="superscript"/>
          <w:lang w:val="hr-HR"/>
        </w:rPr>
        <w:t>2</w:t>
      </w:r>
      <w:r w:rsidRPr="001A5E19">
        <w:rPr>
          <w:sz w:val="22"/>
          <w:szCs w:val="22"/>
          <w:lang w:val="hr-HR"/>
        </w:rPr>
        <w:t xml:space="preserve">) </w:t>
      </w:r>
      <w:r w:rsidRPr="001A5E19">
        <w:rPr>
          <w:bCs/>
          <w:sz w:val="22"/>
          <w:lang w:val="hr-HR"/>
        </w:rPr>
        <w:t>(</w:t>
      </w:r>
      <w:r>
        <w:rPr>
          <w:bCs/>
          <w:sz w:val="22"/>
          <w:lang w:val="hr-HR"/>
        </w:rPr>
        <w:t>vidjet</w:t>
      </w:r>
      <w:r w:rsidRPr="001A5E19">
        <w:rPr>
          <w:bCs/>
          <w:sz w:val="22"/>
          <w:lang w:val="hr-HR"/>
        </w:rPr>
        <w:t xml:space="preserve">i </w:t>
      </w:r>
      <w:r w:rsidR="00AE1005">
        <w:rPr>
          <w:bCs/>
          <w:sz w:val="22"/>
          <w:lang w:val="hr-HR"/>
        </w:rPr>
        <w:t>djelove</w:t>
      </w:r>
      <w:r w:rsidR="00AE1005" w:rsidRPr="001A5E19">
        <w:rPr>
          <w:bCs/>
          <w:sz w:val="22"/>
          <w:lang w:val="hr-HR"/>
        </w:rPr>
        <w:t> </w:t>
      </w:r>
      <w:r w:rsidRPr="001A5E19">
        <w:rPr>
          <w:bCs/>
          <w:sz w:val="22"/>
          <w:lang w:val="hr-HR"/>
        </w:rPr>
        <w:t>4.4 i 4.5).</w:t>
      </w:r>
    </w:p>
    <w:p w14:paraId="017F9C95" w14:textId="16D4FB7C" w:rsidR="00B96A91" w:rsidRPr="001A5E19" w:rsidRDefault="00B96A91" w:rsidP="001B64BC">
      <w:pPr>
        <w:widowControl w:val="0"/>
        <w:numPr>
          <w:ilvl w:val="0"/>
          <w:numId w:val="12"/>
        </w:numPr>
        <w:tabs>
          <w:tab w:val="left" w:pos="567"/>
        </w:tabs>
        <w:spacing w:line="260" w:lineRule="exact"/>
        <w:ind w:left="0" w:firstLine="0"/>
        <w:jc w:val="both"/>
        <w:rPr>
          <w:bCs/>
          <w:sz w:val="22"/>
          <w:lang w:val="hr-HR"/>
        </w:rPr>
      </w:pPr>
      <w:r w:rsidRPr="001A5E19">
        <w:rPr>
          <w:bCs/>
          <w:sz w:val="22"/>
          <w:lang w:val="hr-HR"/>
        </w:rPr>
        <w:t xml:space="preserve">Teško oštećenje </w:t>
      </w:r>
      <w:r>
        <w:rPr>
          <w:bCs/>
          <w:sz w:val="22"/>
          <w:lang w:val="hr-HR"/>
        </w:rPr>
        <w:t xml:space="preserve">funkcije </w:t>
      </w:r>
      <w:r w:rsidRPr="001A5E19">
        <w:rPr>
          <w:bCs/>
          <w:sz w:val="22"/>
          <w:lang w:val="hr-HR"/>
        </w:rPr>
        <w:t xml:space="preserve">jetre, bilijarna ciroza i </w:t>
      </w:r>
      <w:r>
        <w:rPr>
          <w:bCs/>
          <w:sz w:val="22"/>
          <w:lang w:val="hr-HR"/>
        </w:rPr>
        <w:t>h</w:t>
      </w:r>
      <w:r w:rsidRPr="001A5E19">
        <w:rPr>
          <w:bCs/>
          <w:sz w:val="22"/>
          <w:lang w:val="hr-HR"/>
        </w:rPr>
        <w:t>olestaza (</w:t>
      </w:r>
      <w:r>
        <w:rPr>
          <w:bCs/>
          <w:sz w:val="22"/>
          <w:lang w:val="hr-HR"/>
        </w:rPr>
        <w:t>vidjet</w:t>
      </w:r>
      <w:r w:rsidRPr="001A5E19">
        <w:rPr>
          <w:bCs/>
          <w:sz w:val="22"/>
          <w:lang w:val="hr-HR"/>
        </w:rPr>
        <w:t xml:space="preserve">i </w:t>
      </w:r>
      <w:r w:rsidR="00AE1005">
        <w:rPr>
          <w:bCs/>
          <w:sz w:val="22"/>
          <w:lang w:val="hr-HR"/>
        </w:rPr>
        <w:t>dio</w:t>
      </w:r>
      <w:r w:rsidR="00AE1005" w:rsidRPr="001A5E19">
        <w:rPr>
          <w:bCs/>
          <w:sz w:val="22"/>
          <w:lang w:val="hr-HR"/>
        </w:rPr>
        <w:t> </w:t>
      </w:r>
      <w:r w:rsidRPr="001A5E19">
        <w:rPr>
          <w:bCs/>
          <w:sz w:val="22"/>
          <w:lang w:val="hr-HR"/>
        </w:rPr>
        <w:t>4.2).</w:t>
      </w:r>
    </w:p>
    <w:p w14:paraId="17A6A239" w14:textId="255C0C81" w:rsidR="00B96A91" w:rsidRPr="001A5E19" w:rsidRDefault="00B96A91" w:rsidP="001B64BC">
      <w:pPr>
        <w:widowControl w:val="0"/>
        <w:numPr>
          <w:ilvl w:val="0"/>
          <w:numId w:val="12"/>
        </w:numPr>
        <w:tabs>
          <w:tab w:val="left" w:pos="567"/>
        </w:tabs>
        <w:spacing w:line="260" w:lineRule="exact"/>
        <w:ind w:left="0" w:firstLine="0"/>
        <w:jc w:val="both"/>
        <w:rPr>
          <w:bCs/>
          <w:sz w:val="22"/>
          <w:lang w:val="hr-HR"/>
        </w:rPr>
      </w:pPr>
      <w:r>
        <w:rPr>
          <w:bCs/>
          <w:sz w:val="22"/>
          <w:lang w:val="hr-HR"/>
        </w:rPr>
        <w:t>Drugi i treći trimest</w:t>
      </w:r>
      <w:r w:rsidR="00AE1005">
        <w:rPr>
          <w:bCs/>
          <w:sz w:val="22"/>
          <w:lang w:val="hr-HR"/>
        </w:rPr>
        <w:t>ar</w:t>
      </w:r>
      <w:r w:rsidRPr="001A5E19">
        <w:rPr>
          <w:bCs/>
          <w:sz w:val="22"/>
          <w:lang w:val="hr-HR"/>
        </w:rPr>
        <w:t xml:space="preserve"> tru</w:t>
      </w:r>
      <w:r>
        <w:rPr>
          <w:bCs/>
          <w:sz w:val="22"/>
          <w:lang w:val="hr-HR"/>
        </w:rPr>
        <w:t>dnoće (vidjet</w:t>
      </w:r>
      <w:r w:rsidRPr="001A5E19">
        <w:rPr>
          <w:bCs/>
          <w:sz w:val="22"/>
          <w:lang w:val="hr-HR"/>
        </w:rPr>
        <w:t>i</w:t>
      </w:r>
      <w:r>
        <w:rPr>
          <w:bCs/>
          <w:sz w:val="22"/>
          <w:lang w:val="hr-HR"/>
        </w:rPr>
        <w:t xml:space="preserve"> </w:t>
      </w:r>
      <w:r w:rsidR="00AE1005">
        <w:rPr>
          <w:bCs/>
          <w:sz w:val="22"/>
          <w:lang w:val="hr-HR"/>
        </w:rPr>
        <w:t>dio</w:t>
      </w:r>
      <w:r w:rsidRPr="001A5E19">
        <w:rPr>
          <w:bCs/>
          <w:sz w:val="22"/>
          <w:lang w:val="hr-HR"/>
        </w:rPr>
        <w:t> 4.6).</w:t>
      </w:r>
    </w:p>
    <w:p w14:paraId="7C13E666" w14:textId="77777777" w:rsidR="00B96A91" w:rsidRPr="00786071" w:rsidRDefault="00B96A91" w:rsidP="001B64BC">
      <w:pPr>
        <w:tabs>
          <w:tab w:val="left" w:pos="540"/>
          <w:tab w:val="left" w:pos="569"/>
        </w:tabs>
        <w:rPr>
          <w:bCs/>
          <w:sz w:val="22"/>
          <w:szCs w:val="22"/>
        </w:rPr>
      </w:pPr>
    </w:p>
    <w:p w14:paraId="2695270B" w14:textId="77777777" w:rsidR="00411B4B" w:rsidRPr="00786071" w:rsidRDefault="00411B4B" w:rsidP="001B64BC">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proofErr w:type="spellStart"/>
      <w:r w:rsidRPr="00786071">
        <w:rPr>
          <w:b/>
          <w:bCs/>
          <w:sz w:val="22"/>
          <w:szCs w:val="22"/>
        </w:rPr>
        <w:t>Posebna</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opreza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upotrebi</w:t>
      </w:r>
      <w:proofErr w:type="spellEnd"/>
      <w:r w:rsidRPr="00786071">
        <w:rPr>
          <w:b/>
          <w:bCs/>
          <w:sz w:val="22"/>
          <w:szCs w:val="22"/>
        </w:rPr>
        <w:t xml:space="preserve"> </w:t>
      </w:r>
      <w:proofErr w:type="spellStart"/>
      <w:r w:rsidRPr="00786071">
        <w:rPr>
          <w:b/>
          <w:bCs/>
          <w:sz w:val="22"/>
          <w:szCs w:val="22"/>
        </w:rPr>
        <w:t>lijeka</w:t>
      </w:r>
      <w:proofErr w:type="spellEnd"/>
    </w:p>
    <w:p w14:paraId="43079302" w14:textId="77777777" w:rsidR="0072020E" w:rsidRPr="00786071" w:rsidRDefault="0072020E" w:rsidP="001B64BC">
      <w:pPr>
        <w:tabs>
          <w:tab w:val="left" w:pos="540"/>
          <w:tab w:val="left" w:pos="569"/>
        </w:tabs>
        <w:rPr>
          <w:bCs/>
          <w:sz w:val="22"/>
          <w:szCs w:val="22"/>
        </w:rPr>
      </w:pPr>
    </w:p>
    <w:p w14:paraId="736D1D18"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Dvostruka blokada renin</w:t>
      </w:r>
      <w:r w:rsidRPr="001A5E19">
        <w:rPr>
          <w:sz w:val="22"/>
          <w:szCs w:val="22"/>
          <w:u w:val="single"/>
          <w:lang w:val="hr-HR"/>
        </w:rPr>
        <w:noBreakHyphen/>
        <w:t>angiotenzin</w:t>
      </w:r>
      <w:r w:rsidRPr="001A5E19">
        <w:rPr>
          <w:sz w:val="22"/>
          <w:szCs w:val="22"/>
          <w:u w:val="single"/>
          <w:lang w:val="hr-HR"/>
        </w:rPr>
        <w:noBreakHyphen/>
        <w:t>aldosteronskog s</w:t>
      </w:r>
      <w:r>
        <w:rPr>
          <w:sz w:val="22"/>
          <w:szCs w:val="22"/>
          <w:u w:val="single"/>
          <w:lang w:val="hr-HR"/>
        </w:rPr>
        <w:t>istema</w:t>
      </w:r>
      <w:r w:rsidRPr="001A5E19">
        <w:rPr>
          <w:sz w:val="22"/>
          <w:szCs w:val="22"/>
          <w:u w:val="single"/>
          <w:lang w:val="hr-HR"/>
        </w:rPr>
        <w:t xml:space="preserve"> (RAAS)</w:t>
      </w:r>
    </w:p>
    <w:p w14:paraId="3C020C31" w14:textId="77777777" w:rsidR="00B96A91" w:rsidRPr="001A5E19" w:rsidRDefault="00B96A91" w:rsidP="001B64BC">
      <w:pPr>
        <w:keepNext/>
        <w:widowControl w:val="0"/>
        <w:jc w:val="both"/>
        <w:rPr>
          <w:sz w:val="22"/>
          <w:szCs w:val="22"/>
          <w:lang w:val="hr-HR"/>
        </w:rPr>
      </w:pPr>
    </w:p>
    <w:p w14:paraId="359A91FD" w14:textId="0DFD3709" w:rsidR="00B96A91" w:rsidRPr="001A5E19" w:rsidRDefault="00B96A91" w:rsidP="001B64BC">
      <w:pPr>
        <w:widowControl w:val="0"/>
        <w:numPr>
          <w:ilvl w:val="0"/>
          <w:numId w:val="13"/>
        </w:numPr>
        <w:tabs>
          <w:tab w:val="left" w:pos="567"/>
        </w:tabs>
        <w:spacing w:line="260" w:lineRule="exact"/>
        <w:ind w:left="0" w:firstLine="0"/>
        <w:jc w:val="both"/>
        <w:rPr>
          <w:sz w:val="22"/>
          <w:szCs w:val="20"/>
          <w:lang w:val="hr-HR"/>
        </w:rPr>
      </w:pPr>
      <w:r w:rsidRPr="001A5E19">
        <w:rPr>
          <w:bCs/>
          <w:sz w:val="22"/>
          <w:szCs w:val="20"/>
          <w:lang w:val="hr-HR"/>
        </w:rPr>
        <w:t>Kombinacija</w:t>
      </w:r>
      <w:r>
        <w:rPr>
          <w:bCs/>
          <w:sz w:val="22"/>
          <w:szCs w:val="20"/>
          <w:lang w:val="hr-HR"/>
        </w:rPr>
        <w:t xml:space="preserve"> valsartan/sakubitril</w:t>
      </w:r>
      <w:r w:rsidRPr="001A5E19">
        <w:rPr>
          <w:bCs/>
          <w:sz w:val="22"/>
          <w:lang w:val="hr-HR"/>
        </w:rPr>
        <w:t xml:space="preserve"> s</w:t>
      </w:r>
      <w:r>
        <w:rPr>
          <w:bCs/>
          <w:sz w:val="22"/>
          <w:lang w:val="hr-HR"/>
        </w:rPr>
        <w:t>a</w:t>
      </w:r>
      <w:r w:rsidRPr="001A5E19">
        <w:rPr>
          <w:bCs/>
          <w:sz w:val="22"/>
          <w:lang w:val="hr-HR"/>
        </w:rPr>
        <w:t xml:space="preserve"> ACE inhibitorom </w:t>
      </w:r>
      <w:r>
        <w:rPr>
          <w:bCs/>
          <w:sz w:val="22"/>
          <w:lang w:val="hr-HR"/>
        </w:rPr>
        <w:t xml:space="preserve">je </w:t>
      </w:r>
      <w:r w:rsidRPr="001A5E19">
        <w:rPr>
          <w:bCs/>
          <w:sz w:val="22"/>
          <w:lang w:val="hr-HR"/>
        </w:rPr>
        <w:t>kontraindi</w:t>
      </w:r>
      <w:r>
        <w:rPr>
          <w:bCs/>
          <w:sz w:val="22"/>
          <w:lang w:val="hr-HR"/>
        </w:rPr>
        <w:t>kovana</w:t>
      </w:r>
      <w:r w:rsidRPr="001A5E19">
        <w:rPr>
          <w:bCs/>
          <w:sz w:val="22"/>
          <w:lang w:val="hr-HR"/>
        </w:rPr>
        <w:t xml:space="preserve"> zbog povećanog rizika od angioedema (</w:t>
      </w:r>
      <w:r>
        <w:rPr>
          <w:bCs/>
          <w:sz w:val="22"/>
          <w:lang w:val="hr-HR"/>
        </w:rPr>
        <w:t>vidjeti</w:t>
      </w:r>
      <w:r w:rsidRPr="001A5E19">
        <w:rPr>
          <w:bCs/>
          <w:sz w:val="22"/>
          <w:lang w:val="hr-HR"/>
        </w:rPr>
        <w:t xml:space="preserve"> </w:t>
      </w:r>
      <w:r w:rsidR="009B66C3">
        <w:rPr>
          <w:bCs/>
          <w:sz w:val="22"/>
          <w:lang w:val="hr-HR"/>
        </w:rPr>
        <w:t>dio</w:t>
      </w:r>
      <w:r w:rsidR="009B66C3" w:rsidRPr="001A5E19">
        <w:rPr>
          <w:bCs/>
          <w:sz w:val="22"/>
          <w:lang w:val="hr-HR"/>
        </w:rPr>
        <w:t> </w:t>
      </w:r>
      <w:r w:rsidRPr="001A5E19">
        <w:rPr>
          <w:bCs/>
          <w:sz w:val="22"/>
          <w:lang w:val="hr-HR"/>
        </w:rPr>
        <w:t xml:space="preserve">4.3). </w:t>
      </w:r>
      <w:r>
        <w:rPr>
          <w:sz w:val="22"/>
          <w:szCs w:val="20"/>
          <w:lang w:val="hr-HR"/>
        </w:rPr>
        <w:t>Valsartan/sakubitril</w:t>
      </w:r>
      <w:r w:rsidRPr="001A5E19">
        <w:rPr>
          <w:sz w:val="22"/>
          <w:szCs w:val="20"/>
          <w:lang w:val="hr-HR"/>
        </w:rPr>
        <w:t xml:space="preserve"> </w:t>
      </w:r>
      <w:r>
        <w:rPr>
          <w:sz w:val="22"/>
          <w:szCs w:val="20"/>
          <w:lang w:val="hr-HR"/>
        </w:rPr>
        <w:t>ne smije da se započne</w:t>
      </w:r>
      <w:r w:rsidRPr="001A5E19">
        <w:rPr>
          <w:sz w:val="22"/>
          <w:szCs w:val="20"/>
          <w:lang w:val="hr-HR"/>
        </w:rPr>
        <w:t xml:space="preserve"> do 36 sati nakon uzimanja zadnje doze terapije ACE</w:t>
      </w:r>
      <w:r>
        <w:rPr>
          <w:sz w:val="22"/>
          <w:szCs w:val="20"/>
          <w:lang w:val="hr-HR"/>
        </w:rPr>
        <w:t xml:space="preserve"> inhibitorom. Ako se prekine liječenje </w:t>
      </w:r>
      <w:r>
        <w:rPr>
          <w:bCs/>
          <w:sz w:val="22"/>
          <w:szCs w:val="20"/>
          <w:lang w:val="hr-HR"/>
        </w:rPr>
        <w:t>valsartan/sakubitril</w:t>
      </w:r>
      <w:r w:rsidRPr="001A5E19">
        <w:rPr>
          <w:sz w:val="22"/>
          <w:szCs w:val="20"/>
          <w:lang w:val="hr-HR"/>
        </w:rPr>
        <w:t>, terapija ACE inhibitorom ne sm</w:t>
      </w:r>
      <w:r>
        <w:rPr>
          <w:sz w:val="22"/>
          <w:szCs w:val="20"/>
          <w:lang w:val="hr-HR"/>
        </w:rPr>
        <w:t>ij</w:t>
      </w:r>
      <w:r w:rsidRPr="001A5E19">
        <w:rPr>
          <w:sz w:val="22"/>
          <w:szCs w:val="20"/>
          <w:lang w:val="hr-HR"/>
        </w:rPr>
        <w:t>e</w:t>
      </w:r>
      <w:r>
        <w:rPr>
          <w:sz w:val="22"/>
          <w:szCs w:val="20"/>
          <w:lang w:val="hr-HR"/>
        </w:rPr>
        <w:t xml:space="preserve"> da</w:t>
      </w:r>
      <w:r w:rsidRPr="001A5E19">
        <w:rPr>
          <w:sz w:val="22"/>
          <w:szCs w:val="20"/>
          <w:lang w:val="hr-HR"/>
        </w:rPr>
        <w:t xml:space="preserve"> se započ</w:t>
      </w:r>
      <w:r>
        <w:rPr>
          <w:sz w:val="22"/>
          <w:szCs w:val="20"/>
          <w:lang w:val="hr-HR"/>
        </w:rPr>
        <w:t>ne</w:t>
      </w:r>
      <w:r w:rsidRPr="001A5E19">
        <w:rPr>
          <w:sz w:val="22"/>
          <w:szCs w:val="20"/>
          <w:lang w:val="hr-HR"/>
        </w:rPr>
        <w:t xml:space="preserve"> do 36 sati nakon </w:t>
      </w:r>
      <w:r>
        <w:rPr>
          <w:sz w:val="22"/>
          <w:szCs w:val="20"/>
          <w:lang w:val="hr-HR"/>
        </w:rPr>
        <w:t>posljednje</w:t>
      </w:r>
      <w:r w:rsidRPr="001A5E19">
        <w:rPr>
          <w:sz w:val="22"/>
          <w:szCs w:val="20"/>
          <w:lang w:val="hr-HR"/>
        </w:rPr>
        <w:t xml:space="preserve"> doze</w:t>
      </w:r>
      <w:r>
        <w:rPr>
          <w:sz w:val="22"/>
          <w:szCs w:val="20"/>
          <w:lang w:val="hr-HR"/>
        </w:rPr>
        <w:t xml:space="preserve"> </w:t>
      </w:r>
      <w:r>
        <w:rPr>
          <w:bCs/>
          <w:sz w:val="22"/>
          <w:szCs w:val="20"/>
          <w:lang w:val="hr-HR"/>
        </w:rPr>
        <w:t>valsartan/sakubitril</w:t>
      </w:r>
      <w:r>
        <w:rPr>
          <w:sz w:val="22"/>
          <w:szCs w:val="20"/>
          <w:lang w:val="hr-HR"/>
        </w:rPr>
        <w:t xml:space="preserve"> (vidjeti </w:t>
      </w:r>
      <w:r w:rsidR="009B66C3">
        <w:rPr>
          <w:sz w:val="22"/>
          <w:szCs w:val="20"/>
          <w:lang w:val="hr-HR"/>
        </w:rPr>
        <w:t>djelove</w:t>
      </w:r>
      <w:r w:rsidR="009B66C3" w:rsidRPr="001A5E19">
        <w:rPr>
          <w:sz w:val="22"/>
          <w:szCs w:val="20"/>
          <w:lang w:val="hr-HR"/>
        </w:rPr>
        <w:t> </w:t>
      </w:r>
      <w:r w:rsidRPr="001A5E19">
        <w:rPr>
          <w:sz w:val="22"/>
          <w:szCs w:val="20"/>
          <w:lang w:val="hr-HR"/>
        </w:rPr>
        <w:t>4.2, 4.3 i 4.5).</w:t>
      </w:r>
    </w:p>
    <w:p w14:paraId="05DF56C1" w14:textId="77777777" w:rsidR="00B96A91" w:rsidRPr="001A5E19" w:rsidRDefault="00B96A91" w:rsidP="001B64BC">
      <w:pPr>
        <w:widowControl w:val="0"/>
        <w:jc w:val="both"/>
        <w:rPr>
          <w:sz w:val="22"/>
          <w:szCs w:val="20"/>
          <w:lang w:val="hr-HR"/>
        </w:rPr>
      </w:pPr>
    </w:p>
    <w:p w14:paraId="640FD44C" w14:textId="26D4FF3D" w:rsidR="00B96A91" w:rsidRPr="001A5E19" w:rsidRDefault="00B96A91" w:rsidP="001B64BC">
      <w:pPr>
        <w:widowControl w:val="0"/>
        <w:numPr>
          <w:ilvl w:val="0"/>
          <w:numId w:val="13"/>
        </w:numPr>
        <w:tabs>
          <w:tab w:val="left" w:pos="567"/>
        </w:tabs>
        <w:spacing w:line="260" w:lineRule="exact"/>
        <w:ind w:left="0" w:firstLine="0"/>
        <w:jc w:val="both"/>
        <w:rPr>
          <w:bCs/>
          <w:sz w:val="22"/>
          <w:lang w:val="hr-HR"/>
        </w:rPr>
      </w:pPr>
      <w:r w:rsidRPr="001A5E19">
        <w:rPr>
          <w:bCs/>
          <w:sz w:val="22"/>
          <w:lang w:val="hr-HR"/>
        </w:rPr>
        <w:t>Kombinacija</w:t>
      </w:r>
      <w:r>
        <w:rPr>
          <w:bCs/>
          <w:sz w:val="22"/>
          <w:lang w:val="hr-HR"/>
        </w:rPr>
        <w:t xml:space="preserve"> </w:t>
      </w:r>
      <w:r>
        <w:rPr>
          <w:bCs/>
          <w:sz w:val="22"/>
          <w:szCs w:val="20"/>
          <w:lang w:val="hr-HR"/>
        </w:rPr>
        <w:t>valsartan/sakubitril</w:t>
      </w:r>
      <w:r w:rsidRPr="001A5E19">
        <w:rPr>
          <w:bCs/>
          <w:sz w:val="22"/>
          <w:lang w:val="hr-HR"/>
        </w:rPr>
        <w:t xml:space="preserve"> s</w:t>
      </w:r>
      <w:r>
        <w:rPr>
          <w:bCs/>
          <w:sz w:val="22"/>
          <w:lang w:val="hr-HR"/>
        </w:rPr>
        <w:t>a</w:t>
      </w:r>
      <w:r w:rsidRPr="001A5E19">
        <w:rPr>
          <w:bCs/>
          <w:sz w:val="22"/>
          <w:lang w:val="hr-HR"/>
        </w:rPr>
        <w:t xml:space="preserve"> direktnim inhibitorima renina kao što je aliskiren </w:t>
      </w:r>
      <w:r>
        <w:rPr>
          <w:bCs/>
          <w:sz w:val="22"/>
          <w:lang w:val="hr-HR"/>
        </w:rPr>
        <w:t xml:space="preserve">se ne </w:t>
      </w:r>
      <w:r w:rsidRPr="001A5E19">
        <w:rPr>
          <w:bCs/>
          <w:sz w:val="22"/>
          <w:lang w:val="hr-HR"/>
        </w:rPr>
        <w:t>preporuč</w:t>
      </w:r>
      <w:r>
        <w:rPr>
          <w:bCs/>
          <w:sz w:val="22"/>
          <w:lang w:val="hr-HR"/>
        </w:rPr>
        <w:t>uje</w:t>
      </w:r>
      <w:r w:rsidRPr="001A5E19">
        <w:rPr>
          <w:bCs/>
          <w:sz w:val="22"/>
          <w:lang w:val="hr-HR"/>
        </w:rPr>
        <w:t xml:space="preserve"> (</w:t>
      </w:r>
      <w:r>
        <w:rPr>
          <w:bCs/>
          <w:sz w:val="22"/>
          <w:lang w:val="hr-HR"/>
        </w:rPr>
        <w:t>vidjet</w:t>
      </w:r>
      <w:r w:rsidRPr="001A5E19">
        <w:rPr>
          <w:bCs/>
          <w:sz w:val="22"/>
          <w:lang w:val="hr-HR"/>
        </w:rPr>
        <w:t>i</w:t>
      </w:r>
      <w:r>
        <w:rPr>
          <w:bCs/>
          <w:sz w:val="22"/>
          <w:lang w:val="hr-HR"/>
        </w:rPr>
        <w:t xml:space="preserve"> </w:t>
      </w:r>
      <w:r w:rsidR="009B66C3">
        <w:rPr>
          <w:bCs/>
          <w:sz w:val="22"/>
          <w:lang w:val="hr-HR"/>
        </w:rPr>
        <w:t>dio</w:t>
      </w:r>
      <w:r w:rsidR="009B66C3" w:rsidRPr="001A5E19">
        <w:rPr>
          <w:bCs/>
          <w:sz w:val="22"/>
          <w:lang w:val="hr-HR"/>
        </w:rPr>
        <w:t> </w:t>
      </w:r>
      <w:r w:rsidRPr="001A5E19">
        <w:rPr>
          <w:bCs/>
          <w:sz w:val="22"/>
          <w:lang w:val="hr-HR"/>
        </w:rPr>
        <w:t>4.5). Kombinacija</w:t>
      </w:r>
      <w:r w:rsidRPr="00C2126A">
        <w:rPr>
          <w:bCs/>
          <w:sz w:val="22"/>
          <w:szCs w:val="20"/>
          <w:lang w:val="hr-HR"/>
        </w:rPr>
        <w:t xml:space="preserve"> </w:t>
      </w:r>
      <w:r>
        <w:rPr>
          <w:bCs/>
          <w:sz w:val="22"/>
          <w:szCs w:val="20"/>
          <w:lang w:val="hr-HR"/>
        </w:rPr>
        <w:t>valsartan/sakubitril</w:t>
      </w:r>
      <w:r w:rsidRPr="001A5E19">
        <w:rPr>
          <w:bCs/>
          <w:sz w:val="22"/>
          <w:lang w:val="hr-HR"/>
        </w:rPr>
        <w:t xml:space="preserve"> s</w:t>
      </w:r>
      <w:r>
        <w:rPr>
          <w:bCs/>
          <w:sz w:val="22"/>
          <w:lang w:val="hr-HR"/>
        </w:rPr>
        <w:t>a</w:t>
      </w:r>
      <w:r w:rsidRPr="001A5E19">
        <w:rPr>
          <w:bCs/>
          <w:sz w:val="22"/>
          <w:lang w:val="hr-HR"/>
        </w:rPr>
        <w:t xml:space="preserve"> </w:t>
      </w:r>
      <w:r>
        <w:rPr>
          <w:bCs/>
          <w:sz w:val="22"/>
          <w:lang w:val="hr-HR"/>
        </w:rPr>
        <w:t>lijek</w:t>
      </w:r>
      <w:r w:rsidRPr="001A5E19">
        <w:rPr>
          <w:bCs/>
          <w:sz w:val="22"/>
          <w:lang w:val="hr-HR"/>
        </w:rPr>
        <w:t xml:space="preserve">ovima koji sadrže aliskiren </w:t>
      </w:r>
      <w:r>
        <w:rPr>
          <w:bCs/>
          <w:sz w:val="22"/>
          <w:lang w:val="hr-HR"/>
        </w:rPr>
        <w:t xml:space="preserve">je </w:t>
      </w:r>
      <w:r w:rsidRPr="001A5E19">
        <w:rPr>
          <w:bCs/>
          <w:sz w:val="22"/>
          <w:lang w:val="hr-HR"/>
        </w:rPr>
        <w:t>kontraindi</w:t>
      </w:r>
      <w:r>
        <w:rPr>
          <w:bCs/>
          <w:sz w:val="22"/>
          <w:lang w:val="hr-HR"/>
        </w:rPr>
        <w:t>kovana kod</w:t>
      </w:r>
      <w:r w:rsidRPr="001A5E19">
        <w:rPr>
          <w:bCs/>
          <w:sz w:val="22"/>
          <w:lang w:val="hr-HR"/>
        </w:rPr>
        <w:t xml:space="preserve"> </w:t>
      </w:r>
      <w:r>
        <w:rPr>
          <w:bCs/>
          <w:sz w:val="22"/>
          <w:lang w:val="hr-HR"/>
        </w:rPr>
        <w:t>pacijenata</w:t>
      </w:r>
      <w:r w:rsidRPr="001A5E19">
        <w:rPr>
          <w:bCs/>
          <w:sz w:val="22"/>
          <w:lang w:val="hr-HR"/>
        </w:rPr>
        <w:t xml:space="preserve"> sa </w:t>
      </w:r>
      <w:r>
        <w:rPr>
          <w:bCs/>
          <w:sz w:val="22"/>
          <w:lang w:val="hr-HR"/>
        </w:rPr>
        <w:t>diabetes mellitus-om</w:t>
      </w:r>
      <w:r w:rsidRPr="001A5E19">
        <w:rPr>
          <w:bCs/>
          <w:sz w:val="22"/>
          <w:lang w:val="hr-HR"/>
        </w:rPr>
        <w:t xml:space="preserve"> ili </w:t>
      </w:r>
      <w:r>
        <w:rPr>
          <w:bCs/>
          <w:sz w:val="22"/>
          <w:lang w:val="hr-HR"/>
        </w:rPr>
        <w:t>kod</w:t>
      </w:r>
      <w:r w:rsidRPr="001A5E19">
        <w:rPr>
          <w:bCs/>
          <w:sz w:val="22"/>
          <w:lang w:val="hr-HR"/>
        </w:rPr>
        <w:t xml:space="preserve"> </w:t>
      </w:r>
      <w:r>
        <w:rPr>
          <w:bCs/>
          <w:sz w:val="22"/>
          <w:lang w:val="hr-HR"/>
        </w:rPr>
        <w:t>pacijenata</w:t>
      </w:r>
      <w:r w:rsidRPr="001A5E19">
        <w:rPr>
          <w:bCs/>
          <w:sz w:val="22"/>
          <w:lang w:val="hr-HR"/>
        </w:rPr>
        <w:t xml:space="preserve"> s</w:t>
      </w:r>
      <w:r>
        <w:rPr>
          <w:bCs/>
          <w:sz w:val="22"/>
          <w:lang w:val="hr-HR"/>
        </w:rPr>
        <w:t>a</w:t>
      </w:r>
      <w:r w:rsidRPr="001A5E19">
        <w:rPr>
          <w:bCs/>
          <w:sz w:val="22"/>
          <w:lang w:val="hr-HR"/>
        </w:rPr>
        <w:t xml:space="preserve"> oštećenjem</w:t>
      </w:r>
      <w:r>
        <w:rPr>
          <w:bCs/>
          <w:sz w:val="22"/>
          <w:lang w:val="hr-HR"/>
        </w:rPr>
        <w:t xml:space="preserve"> funkcije</w:t>
      </w:r>
      <w:r w:rsidRPr="001A5E19">
        <w:rPr>
          <w:bCs/>
          <w:sz w:val="22"/>
          <w:lang w:val="hr-HR"/>
        </w:rPr>
        <w:t xml:space="preserve"> bubrega </w:t>
      </w:r>
      <w:r w:rsidRPr="001A5E19">
        <w:rPr>
          <w:sz w:val="22"/>
          <w:szCs w:val="22"/>
          <w:lang w:val="hr-HR"/>
        </w:rPr>
        <w:t>(eGFR &lt;60 ml/min/1,73 m</w:t>
      </w:r>
      <w:r w:rsidRPr="001A5E19">
        <w:rPr>
          <w:sz w:val="22"/>
          <w:szCs w:val="22"/>
          <w:vertAlign w:val="superscript"/>
          <w:lang w:val="hr-HR"/>
        </w:rPr>
        <w:t>2</w:t>
      </w:r>
      <w:r>
        <w:rPr>
          <w:sz w:val="22"/>
          <w:szCs w:val="22"/>
          <w:lang w:val="hr-HR"/>
        </w:rPr>
        <w:t>) (vidjet</w:t>
      </w:r>
      <w:r w:rsidRPr="001A5E19">
        <w:rPr>
          <w:sz w:val="22"/>
          <w:szCs w:val="22"/>
          <w:lang w:val="hr-HR"/>
        </w:rPr>
        <w:t xml:space="preserve">i </w:t>
      </w:r>
      <w:r w:rsidR="009B66C3">
        <w:rPr>
          <w:sz w:val="22"/>
          <w:szCs w:val="22"/>
          <w:lang w:val="hr-HR"/>
        </w:rPr>
        <w:t>djelove</w:t>
      </w:r>
      <w:r w:rsidR="009B66C3" w:rsidRPr="001A5E19">
        <w:rPr>
          <w:sz w:val="22"/>
          <w:szCs w:val="22"/>
          <w:lang w:val="hr-HR"/>
        </w:rPr>
        <w:t> </w:t>
      </w:r>
      <w:r w:rsidRPr="001A5E19">
        <w:rPr>
          <w:sz w:val="22"/>
          <w:szCs w:val="22"/>
          <w:lang w:val="hr-HR"/>
        </w:rPr>
        <w:t>4.3 i 4.5).</w:t>
      </w:r>
    </w:p>
    <w:p w14:paraId="4E504B90" w14:textId="77777777" w:rsidR="00B96A91" w:rsidRPr="001A5E19" w:rsidRDefault="00B96A91" w:rsidP="001B64BC">
      <w:pPr>
        <w:widowControl w:val="0"/>
        <w:jc w:val="both"/>
        <w:rPr>
          <w:bCs/>
          <w:sz w:val="22"/>
          <w:lang w:val="hr-HR"/>
        </w:rPr>
      </w:pPr>
    </w:p>
    <w:p w14:paraId="796FB8FD" w14:textId="26513FEC" w:rsidR="00B96A91" w:rsidRPr="001A5E19" w:rsidRDefault="00B96A91" w:rsidP="001B64BC">
      <w:pPr>
        <w:widowControl w:val="0"/>
        <w:numPr>
          <w:ilvl w:val="0"/>
          <w:numId w:val="13"/>
        </w:numPr>
        <w:tabs>
          <w:tab w:val="left" w:pos="567"/>
        </w:tabs>
        <w:spacing w:line="260" w:lineRule="exact"/>
        <w:ind w:left="0" w:firstLine="0"/>
        <w:jc w:val="both"/>
        <w:rPr>
          <w:bCs/>
          <w:sz w:val="22"/>
          <w:lang w:val="hr-HR"/>
        </w:rPr>
      </w:pPr>
      <w:r>
        <w:rPr>
          <w:bCs/>
          <w:sz w:val="22"/>
          <w:lang w:val="hr-HR"/>
        </w:rPr>
        <w:t>Lijek Entre</w:t>
      </w:r>
      <w:r w:rsidRPr="001A5E19">
        <w:rPr>
          <w:bCs/>
          <w:sz w:val="22"/>
          <w:lang w:val="hr-HR"/>
        </w:rPr>
        <w:t xml:space="preserve">sto sadrži valsartan i </w:t>
      </w:r>
      <w:r>
        <w:rPr>
          <w:bCs/>
          <w:sz w:val="22"/>
          <w:lang w:val="hr-HR"/>
        </w:rPr>
        <w:t xml:space="preserve">zato </w:t>
      </w:r>
      <w:r w:rsidR="009B66C3">
        <w:rPr>
          <w:bCs/>
          <w:sz w:val="22"/>
          <w:lang w:val="hr-HR"/>
        </w:rPr>
        <w:t>se ne smije primjenjivati</w:t>
      </w:r>
      <w:r w:rsidRPr="001A5E19">
        <w:rPr>
          <w:bCs/>
          <w:sz w:val="22"/>
          <w:lang w:val="hr-HR"/>
        </w:rPr>
        <w:t xml:space="preserve"> zajedno s</w:t>
      </w:r>
      <w:r>
        <w:rPr>
          <w:bCs/>
          <w:sz w:val="22"/>
          <w:lang w:val="hr-HR"/>
        </w:rPr>
        <w:t>a</w:t>
      </w:r>
      <w:r w:rsidRPr="001A5E19">
        <w:rPr>
          <w:bCs/>
          <w:sz w:val="22"/>
          <w:lang w:val="hr-HR"/>
        </w:rPr>
        <w:t xml:space="preserve"> drugim </w:t>
      </w:r>
      <w:r>
        <w:rPr>
          <w:bCs/>
          <w:sz w:val="22"/>
          <w:lang w:val="hr-HR"/>
        </w:rPr>
        <w:t>lijek</w:t>
      </w:r>
      <w:r w:rsidRPr="001A5E19">
        <w:rPr>
          <w:bCs/>
          <w:sz w:val="22"/>
          <w:lang w:val="hr-HR"/>
        </w:rPr>
        <w:t>om koji sadrži ARB</w:t>
      </w:r>
      <w:r>
        <w:rPr>
          <w:bCs/>
          <w:sz w:val="22"/>
          <w:szCs w:val="20"/>
          <w:lang w:val="hr-HR"/>
        </w:rPr>
        <w:t xml:space="preserve"> (vidjet</w:t>
      </w:r>
      <w:r w:rsidRPr="001A5E19">
        <w:rPr>
          <w:bCs/>
          <w:sz w:val="22"/>
          <w:szCs w:val="20"/>
          <w:lang w:val="hr-HR"/>
        </w:rPr>
        <w:t xml:space="preserve">i </w:t>
      </w:r>
      <w:r w:rsidR="009B66C3">
        <w:rPr>
          <w:bCs/>
          <w:sz w:val="22"/>
          <w:szCs w:val="20"/>
          <w:lang w:val="hr-HR"/>
        </w:rPr>
        <w:t>djelove</w:t>
      </w:r>
      <w:r w:rsidR="009B66C3" w:rsidRPr="001A5E19">
        <w:rPr>
          <w:bCs/>
          <w:sz w:val="22"/>
          <w:szCs w:val="20"/>
          <w:lang w:val="hr-HR"/>
        </w:rPr>
        <w:t> </w:t>
      </w:r>
      <w:r w:rsidRPr="001A5E19">
        <w:rPr>
          <w:bCs/>
          <w:sz w:val="22"/>
          <w:szCs w:val="20"/>
          <w:lang w:val="hr-HR"/>
        </w:rPr>
        <w:t>4.2 i 4.5)</w:t>
      </w:r>
      <w:r w:rsidRPr="001A5E19">
        <w:rPr>
          <w:bCs/>
          <w:sz w:val="22"/>
          <w:lang w:val="hr-HR"/>
        </w:rPr>
        <w:t>.</w:t>
      </w:r>
    </w:p>
    <w:p w14:paraId="4E18AE68" w14:textId="77777777" w:rsidR="00B96A91" w:rsidRPr="001A5E19" w:rsidRDefault="00B96A91" w:rsidP="001B64BC">
      <w:pPr>
        <w:widowControl w:val="0"/>
        <w:jc w:val="both"/>
        <w:rPr>
          <w:bCs/>
          <w:sz w:val="22"/>
          <w:lang w:val="hr-HR"/>
        </w:rPr>
      </w:pPr>
    </w:p>
    <w:p w14:paraId="23E7A639"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lastRenderedPageBreak/>
        <w:t>Hipotenzija</w:t>
      </w:r>
    </w:p>
    <w:p w14:paraId="08E09567" w14:textId="77777777" w:rsidR="00B96A91" w:rsidRPr="001A5E19" w:rsidRDefault="00B96A91" w:rsidP="001B64BC">
      <w:pPr>
        <w:keepNext/>
        <w:widowControl w:val="0"/>
        <w:autoSpaceDE w:val="0"/>
        <w:autoSpaceDN w:val="0"/>
        <w:adjustRightInd w:val="0"/>
        <w:jc w:val="both"/>
        <w:rPr>
          <w:bCs/>
          <w:sz w:val="22"/>
          <w:lang w:val="hr-HR"/>
        </w:rPr>
      </w:pPr>
    </w:p>
    <w:p w14:paraId="2AD048D7" w14:textId="6040F25F" w:rsidR="00B96A91" w:rsidRPr="001A5E19" w:rsidRDefault="00B96A91" w:rsidP="001B64BC">
      <w:pPr>
        <w:widowControl w:val="0"/>
        <w:autoSpaceDE w:val="0"/>
        <w:autoSpaceDN w:val="0"/>
        <w:adjustRightInd w:val="0"/>
        <w:jc w:val="both"/>
        <w:rPr>
          <w:bCs/>
          <w:sz w:val="22"/>
          <w:lang w:val="hr-HR"/>
        </w:rPr>
      </w:pPr>
      <w:r>
        <w:rPr>
          <w:bCs/>
          <w:sz w:val="22"/>
          <w:lang w:val="hr-HR"/>
        </w:rPr>
        <w:t>Liječ</w:t>
      </w:r>
      <w:r w:rsidRPr="001A5E19">
        <w:rPr>
          <w:bCs/>
          <w:sz w:val="22"/>
          <w:lang w:val="hr-HR"/>
        </w:rPr>
        <w:t xml:space="preserve">enje </w:t>
      </w:r>
      <w:r>
        <w:rPr>
          <w:bCs/>
          <w:sz w:val="22"/>
          <w:lang w:val="hr-HR"/>
        </w:rPr>
        <w:t>ne smije da se započne</w:t>
      </w:r>
      <w:r w:rsidRPr="001A5E19">
        <w:rPr>
          <w:bCs/>
          <w:sz w:val="22"/>
          <w:lang w:val="hr-HR"/>
        </w:rPr>
        <w:t xml:space="preserve"> dok S</w:t>
      </w:r>
      <w:r>
        <w:rPr>
          <w:bCs/>
          <w:sz w:val="22"/>
          <w:lang w:val="hr-HR"/>
        </w:rPr>
        <w:t>TA</w:t>
      </w:r>
      <w:r w:rsidRPr="001A5E19">
        <w:rPr>
          <w:bCs/>
          <w:sz w:val="22"/>
          <w:lang w:val="hr-HR"/>
        </w:rPr>
        <w:t xml:space="preserve"> nije ≥</w:t>
      </w:r>
      <w:r w:rsidR="00A2375C">
        <w:rPr>
          <w:bCs/>
          <w:sz w:val="22"/>
          <w:lang w:val="hr-HR"/>
        </w:rPr>
        <w:t xml:space="preserve"> </w:t>
      </w:r>
      <w:r w:rsidRPr="001A5E19">
        <w:rPr>
          <w:bCs/>
          <w:sz w:val="22"/>
          <w:lang w:val="hr-HR"/>
        </w:rPr>
        <w:t>100 mmHg</w:t>
      </w:r>
      <w:r w:rsidR="00EC1C2C">
        <w:rPr>
          <w:bCs/>
          <w:sz w:val="22"/>
          <w:lang w:val="hr-HR"/>
        </w:rPr>
        <w:t xml:space="preserve"> </w:t>
      </w:r>
      <w:r w:rsidR="00EC1C2C" w:rsidRPr="00AB63CB">
        <w:rPr>
          <w:bCs/>
          <w:sz w:val="22"/>
          <w:szCs w:val="22"/>
          <w:lang w:val="hr-HR"/>
        </w:rPr>
        <w:t>za odrasle pacijente ili ≥</w:t>
      </w:r>
      <w:r w:rsidR="00A2375C">
        <w:rPr>
          <w:bCs/>
          <w:sz w:val="22"/>
          <w:szCs w:val="22"/>
          <w:lang w:val="hr-HR"/>
        </w:rPr>
        <w:t xml:space="preserve"> </w:t>
      </w:r>
      <w:r w:rsidR="00EC1C2C" w:rsidRPr="00AB63CB">
        <w:rPr>
          <w:bCs/>
          <w:sz w:val="22"/>
          <w:szCs w:val="22"/>
          <w:lang w:val="hr-HR"/>
        </w:rPr>
        <w:t>5. percentila SKP-a za uzrast pedijatrijskog pacijenta</w:t>
      </w:r>
      <w:r w:rsidRPr="00EC1C2C">
        <w:rPr>
          <w:bCs/>
          <w:sz w:val="22"/>
          <w:szCs w:val="22"/>
          <w:lang w:val="hr-HR"/>
        </w:rPr>
        <w:t xml:space="preserve">. </w:t>
      </w:r>
      <w:r>
        <w:rPr>
          <w:bCs/>
          <w:sz w:val="22"/>
          <w:lang w:val="hr-HR"/>
        </w:rPr>
        <w:t>Pacijent</w:t>
      </w:r>
      <w:r w:rsidRPr="001A5E19">
        <w:rPr>
          <w:bCs/>
          <w:sz w:val="22"/>
          <w:lang w:val="hr-HR"/>
        </w:rPr>
        <w:t xml:space="preserve">i sa </w:t>
      </w:r>
      <w:r w:rsidR="00584F44">
        <w:rPr>
          <w:bCs/>
          <w:sz w:val="22"/>
          <w:lang w:val="hr-HR"/>
        </w:rPr>
        <w:t>krvnim pritiskom ispod tih vr</w:t>
      </w:r>
      <w:r w:rsidR="002637F8">
        <w:rPr>
          <w:bCs/>
          <w:sz w:val="22"/>
          <w:lang w:val="hr-HR"/>
        </w:rPr>
        <w:t>ij</w:t>
      </w:r>
      <w:r w:rsidR="00584F44">
        <w:rPr>
          <w:bCs/>
          <w:sz w:val="22"/>
          <w:lang w:val="hr-HR"/>
        </w:rPr>
        <w:t>ednosti</w:t>
      </w:r>
      <w:r>
        <w:rPr>
          <w:bCs/>
          <w:sz w:val="22"/>
          <w:lang w:val="hr-HR"/>
        </w:rPr>
        <w:t xml:space="preserve"> nijesu bili ispitivani (vidjeti </w:t>
      </w:r>
      <w:r w:rsidR="009B66C3">
        <w:rPr>
          <w:bCs/>
          <w:sz w:val="22"/>
          <w:lang w:val="hr-HR"/>
        </w:rPr>
        <w:t>dio</w:t>
      </w:r>
      <w:r w:rsidR="009B66C3" w:rsidRPr="001A5E19">
        <w:rPr>
          <w:bCs/>
          <w:sz w:val="22"/>
          <w:lang w:val="hr-HR"/>
        </w:rPr>
        <w:t> </w:t>
      </w:r>
      <w:r w:rsidRPr="001A5E19">
        <w:rPr>
          <w:bCs/>
          <w:sz w:val="22"/>
          <w:lang w:val="hr-HR"/>
        </w:rPr>
        <w:t>5.1). Slučajevi</w:t>
      </w:r>
      <w:r>
        <w:rPr>
          <w:bCs/>
          <w:sz w:val="22"/>
          <w:lang w:val="hr-HR"/>
        </w:rPr>
        <w:t xml:space="preserve"> simptomatske hipotenzije zabilj</w:t>
      </w:r>
      <w:r w:rsidRPr="001A5E19">
        <w:rPr>
          <w:bCs/>
          <w:sz w:val="22"/>
          <w:lang w:val="hr-HR"/>
        </w:rPr>
        <w:t xml:space="preserve">eženi su </w:t>
      </w:r>
      <w:r>
        <w:rPr>
          <w:bCs/>
          <w:sz w:val="22"/>
          <w:lang w:val="hr-HR"/>
        </w:rPr>
        <w:t>kod</w:t>
      </w:r>
      <w:r w:rsidR="00584F44">
        <w:rPr>
          <w:bCs/>
          <w:sz w:val="22"/>
          <w:lang w:val="hr-HR"/>
        </w:rPr>
        <w:t xml:space="preserve"> odraslih</w:t>
      </w:r>
      <w:r w:rsidRPr="001A5E19">
        <w:rPr>
          <w:bCs/>
          <w:sz w:val="22"/>
          <w:lang w:val="hr-HR"/>
        </w:rPr>
        <w:t xml:space="preserve"> </w:t>
      </w:r>
      <w:r>
        <w:rPr>
          <w:bCs/>
          <w:sz w:val="22"/>
          <w:lang w:val="hr-HR"/>
        </w:rPr>
        <w:t xml:space="preserve">pacijenata na terapiji </w:t>
      </w:r>
      <w:r>
        <w:rPr>
          <w:bCs/>
          <w:sz w:val="22"/>
          <w:szCs w:val="20"/>
          <w:lang w:val="hr-HR"/>
        </w:rPr>
        <w:t>valsartan/sakubitril</w:t>
      </w:r>
      <w:r w:rsidRPr="001A5E19">
        <w:rPr>
          <w:bCs/>
          <w:sz w:val="22"/>
          <w:lang w:val="hr-HR"/>
        </w:rPr>
        <w:t xml:space="preserve"> t</w:t>
      </w:r>
      <w:r>
        <w:rPr>
          <w:bCs/>
          <w:sz w:val="22"/>
          <w:lang w:val="hr-HR"/>
        </w:rPr>
        <w:t>okom</w:t>
      </w:r>
      <w:r w:rsidRPr="001A5E19">
        <w:rPr>
          <w:bCs/>
          <w:sz w:val="22"/>
          <w:lang w:val="hr-HR"/>
        </w:rPr>
        <w:t xml:space="preserve"> kliničkih ispitivanja (</w:t>
      </w:r>
      <w:r>
        <w:rPr>
          <w:bCs/>
          <w:sz w:val="22"/>
          <w:lang w:val="hr-HR"/>
        </w:rPr>
        <w:t>vidjet</w:t>
      </w:r>
      <w:r w:rsidRPr="001A5E19">
        <w:rPr>
          <w:bCs/>
          <w:sz w:val="22"/>
          <w:lang w:val="hr-HR"/>
        </w:rPr>
        <w:t xml:space="preserve">i </w:t>
      </w:r>
      <w:r w:rsidR="009B66C3">
        <w:rPr>
          <w:bCs/>
          <w:sz w:val="22"/>
          <w:lang w:val="hr-HR"/>
        </w:rPr>
        <w:t>dio</w:t>
      </w:r>
      <w:r w:rsidR="009B66C3" w:rsidRPr="001A5E19">
        <w:rPr>
          <w:bCs/>
          <w:sz w:val="22"/>
          <w:lang w:val="hr-HR"/>
        </w:rPr>
        <w:t> </w:t>
      </w:r>
      <w:r w:rsidRPr="001A5E19">
        <w:rPr>
          <w:bCs/>
          <w:sz w:val="22"/>
          <w:lang w:val="hr-HR"/>
        </w:rPr>
        <w:t xml:space="preserve">4.8), </w:t>
      </w:r>
      <w:r>
        <w:rPr>
          <w:bCs/>
          <w:sz w:val="22"/>
          <w:lang w:val="hr-HR"/>
        </w:rPr>
        <w:t>naročito kod</w:t>
      </w:r>
      <w:r w:rsidRPr="001A5E19">
        <w:rPr>
          <w:bCs/>
          <w:sz w:val="22"/>
          <w:lang w:val="hr-HR"/>
        </w:rPr>
        <w:t xml:space="preserve"> </w:t>
      </w:r>
      <w:r>
        <w:rPr>
          <w:bCs/>
          <w:sz w:val="22"/>
          <w:lang w:val="hr-HR"/>
        </w:rPr>
        <w:t xml:space="preserve">pacijenata starosti </w:t>
      </w:r>
      <w:r w:rsidRPr="001A5E19">
        <w:rPr>
          <w:bCs/>
          <w:sz w:val="22"/>
          <w:lang w:val="hr-HR"/>
        </w:rPr>
        <w:t xml:space="preserve"> ≥65 godina, </w:t>
      </w:r>
      <w:r>
        <w:rPr>
          <w:bCs/>
          <w:sz w:val="22"/>
          <w:lang w:val="hr-HR"/>
        </w:rPr>
        <w:t>pacijenata</w:t>
      </w:r>
      <w:r w:rsidRPr="001A5E19">
        <w:rPr>
          <w:bCs/>
          <w:sz w:val="22"/>
          <w:lang w:val="hr-HR"/>
        </w:rPr>
        <w:t xml:space="preserve"> s</w:t>
      </w:r>
      <w:r>
        <w:rPr>
          <w:bCs/>
          <w:sz w:val="22"/>
          <w:lang w:val="hr-HR"/>
        </w:rPr>
        <w:t xml:space="preserve">a oboljenjem </w:t>
      </w:r>
      <w:r w:rsidRPr="001A5E19">
        <w:rPr>
          <w:bCs/>
          <w:sz w:val="22"/>
          <w:lang w:val="hr-HR"/>
        </w:rPr>
        <w:t xml:space="preserve">bubrega i </w:t>
      </w:r>
      <w:r>
        <w:rPr>
          <w:bCs/>
          <w:sz w:val="22"/>
          <w:lang w:val="hr-HR"/>
        </w:rPr>
        <w:t>pacijentima</w:t>
      </w:r>
      <w:r w:rsidRPr="001A5E19">
        <w:rPr>
          <w:bCs/>
          <w:sz w:val="22"/>
          <w:lang w:val="hr-HR"/>
        </w:rPr>
        <w:t xml:space="preserve"> s</w:t>
      </w:r>
      <w:r>
        <w:rPr>
          <w:bCs/>
          <w:sz w:val="22"/>
          <w:lang w:val="hr-HR"/>
        </w:rPr>
        <w:t>a</w:t>
      </w:r>
      <w:r w:rsidRPr="001A5E19">
        <w:rPr>
          <w:bCs/>
          <w:sz w:val="22"/>
          <w:lang w:val="hr-HR"/>
        </w:rPr>
        <w:t xml:space="preserve"> niskim S</w:t>
      </w:r>
      <w:r>
        <w:rPr>
          <w:bCs/>
          <w:sz w:val="22"/>
          <w:lang w:val="hr-HR"/>
        </w:rPr>
        <w:t>TA</w:t>
      </w:r>
      <w:r w:rsidRPr="001A5E19">
        <w:rPr>
          <w:bCs/>
          <w:sz w:val="22"/>
          <w:lang w:val="hr-HR"/>
        </w:rPr>
        <w:noBreakHyphen/>
        <w:t>om (&lt;112 mmHg). Kada se započinje terapija ili t</w:t>
      </w:r>
      <w:r>
        <w:rPr>
          <w:bCs/>
          <w:sz w:val="22"/>
          <w:lang w:val="hr-HR"/>
        </w:rPr>
        <w:t>okom</w:t>
      </w:r>
      <w:r w:rsidRPr="001A5E19">
        <w:rPr>
          <w:bCs/>
          <w:sz w:val="22"/>
          <w:lang w:val="hr-HR"/>
        </w:rPr>
        <w:t xml:space="preserve"> titracije doze</w:t>
      </w:r>
      <w:r w:rsidRPr="00C2126A">
        <w:rPr>
          <w:bCs/>
          <w:sz w:val="22"/>
          <w:szCs w:val="20"/>
          <w:lang w:val="hr-HR"/>
        </w:rPr>
        <w:t xml:space="preserve"> </w:t>
      </w:r>
      <w:r>
        <w:rPr>
          <w:bCs/>
          <w:sz w:val="22"/>
          <w:szCs w:val="20"/>
          <w:lang w:val="hr-HR"/>
        </w:rPr>
        <w:t>valsartan/sakubitril</w:t>
      </w:r>
      <w:r w:rsidRPr="001A5E19">
        <w:rPr>
          <w:bCs/>
          <w:sz w:val="22"/>
          <w:lang w:val="hr-HR"/>
        </w:rPr>
        <w:t xml:space="preserve">, potrebno je rutinski pratiti krvni </w:t>
      </w:r>
      <w:r>
        <w:rPr>
          <w:bCs/>
          <w:sz w:val="22"/>
          <w:lang w:val="hr-HR"/>
        </w:rPr>
        <w:t>pritisak</w:t>
      </w:r>
      <w:r w:rsidRPr="001A5E19">
        <w:rPr>
          <w:bCs/>
          <w:sz w:val="22"/>
          <w:lang w:val="hr-HR"/>
        </w:rPr>
        <w:t>. Ako dođe do hipotenzije, preporučuje se privremeno post</w:t>
      </w:r>
      <w:r>
        <w:rPr>
          <w:bCs/>
          <w:sz w:val="22"/>
          <w:lang w:val="hr-HR"/>
        </w:rPr>
        <w:t>epeno sniženje doze ili prekid primjen</w:t>
      </w:r>
      <w:r w:rsidRPr="001A5E19">
        <w:rPr>
          <w:bCs/>
          <w:sz w:val="22"/>
          <w:lang w:val="hr-HR"/>
        </w:rPr>
        <w:t>e</w:t>
      </w:r>
      <w:r>
        <w:rPr>
          <w:bCs/>
          <w:sz w:val="22"/>
          <w:lang w:val="hr-HR"/>
        </w:rPr>
        <w:t xml:space="preserve"> </w:t>
      </w:r>
      <w:r>
        <w:rPr>
          <w:bCs/>
          <w:sz w:val="22"/>
          <w:szCs w:val="20"/>
          <w:lang w:val="hr-HR"/>
        </w:rPr>
        <w:t>valsartan/sakubitril</w:t>
      </w:r>
      <w:r w:rsidRPr="001A5E19">
        <w:rPr>
          <w:bCs/>
          <w:sz w:val="22"/>
          <w:lang w:val="hr-HR"/>
        </w:rPr>
        <w:t xml:space="preserve"> (</w:t>
      </w:r>
      <w:r>
        <w:rPr>
          <w:bCs/>
          <w:sz w:val="22"/>
          <w:lang w:val="hr-HR"/>
        </w:rPr>
        <w:t xml:space="preserve">vidjeti </w:t>
      </w:r>
      <w:r w:rsidR="009B66C3">
        <w:rPr>
          <w:bCs/>
          <w:sz w:val="22"/>
          <w:lang w:val="hr-HR"/>
        </w:rPr>
        <w:t>dio</w:t>
      </w:r>
      <w:r w:rsidR="009B66C3" w:rsidRPr="001A5E19">
        <w:rPr>
          <w:bCs/>
          <w:sz w:val="22"/>
          <w:lang w:val="hr-HR"/>
        </w:rPr>
        <w:t> </w:t>
      </w:r>
      <w:r w:rsidRPr="001A5E19">
        <w:rPr>
          <w:bCs/>
          <w:sz w:val="22"/>
          <w:lang w:val="hr-HR"/>
        </w:rPr>
        <w:t xml:space="preserve">4.2). </w:t>
      </w:r>
      <w:r>
        <w:rPr>
          <w:bCs/>
          <w:sz w:val="22"/>
          <w:lang w:val="hr-HR"/>
        </w:rPr>
        <w:t xml:space="preserve">Trebalo bi </w:t>
      </w:r>
      <w:r w:rsidRPr="001A5E19">
        <w:rPr>
          <w:bCs/>
          <w:sz w:val="22"/>
          <w:lang w:val="hr-HR"/>
        </w:rPr>
        <w:t>razmotriti prilagođavanje doze diuretika, isto</w:t>
      </w:r>
      <w:r>
        <w:rPr>
          <w:bCs/>
          <w:sz w:val="22"/>
          <w:lang w:val="hr-HR"/>
        </w:rPr>
        <w:t>vremeno</w:t>
      </w:r>
      <w:r w:rsidRPr="001A5E19">
        <w:rPr>
          <w:bCs/>
          <w:sz w:val="22"/>
          <w:lang w:val="hr-HR"/>
        </w:rPr>
        <w:t xml:space="preserve"> </w:t>
      </w:r>
      <w:r>
        <w:rPr>
          <w:bCs/>
          <w:sz w:val="22"/>
          <w:lang w:val="hr-HR"/>
        </w:rPr>
        <w:t>primjen</w:t>
      </w:r>
      <w:r w:rsidRPr="001A5E19">
        <w:rPr>
          <w:bCs/>
          <w:sz w:val="22"/>
          <w:lang w:val="hr-HR"/>
        </w:rPr>
        <w:t xml:space="preserve">jivanih antihipertenziva i </w:t>
      </w:r>
      <w:r>
        <w:rPr>
          <w:bCs/>
          <w:sz w:val="22"/>
          <w:lang w:val="hr-HR"/>
        </w:rPr>
        <w:t>liječ</w:t>
      </w:r>
      <w:r w:rsidRPr="001A5E19">
        <w:rPr>
          <w:bCs/>
          <w:sz w:val="22"/>
          <w:lang w:val="hr-HR"/>
        </w:rPr>
        <w:t>enje drugih uzroka hipotenzije (npr. hipovolemije). Veća je v</w:t>
      </w:r>
      <w:r>
        <w:rPr>
          <w:bCs/>
          <w:sz w:val="22"/>
          <w:lang w:val="hr-HR"/>
        </w:rPr>
        <w:t>j</w:t>
      </w:r>
      <w:r w:rsidRPr="001A5E19">
        <w:rPr>
          <w:bCs/>
          <w:sz w:val="22"/>
          <w:lang w:val="hr-HR"/>
        </w:rPr>
        <w:t>ero</w:t>
      </w:r>
      <w:r>
        <w:rPr>
          <w:bCs/>
          <w:sz w:val="22"/>
          <w:lang w:val="hr-HR"/>
        </w:rPr>
        <w:t>vatnoća</w:t>
      </w:r>
      <w:r w:rsidRPr="001A5E19">
        <w:rPr>
          <w:bCs/>
          <w:sz w:val="22"/>
          <w:lang w:val="hr-HR"/>
        </w:rPr>
        <w:t xml:space="preserve"> da će se</w:t>
      </w:r>
      <w:r>
        <w:rPr>
          <w:bCs/>
          <w:sz w:val="22"/>
          <w:lang w:val="hr-HR"/>
        </w:rPr>
        <w:t xml:space="preserve"> </w:t>
      </w:r>
      <w:r w:rsidRPr="001A5E19">
        <w:rPr>
          <w:bCs/>
          <w:sz w:val="22"/>
          <w:lang w:val="hr-HR"/>
        </w:rPr>
        <w:t xml:space="preserve">simptomatska hipotenzija </w:t>
      </w:r>
      <w:r>
        <w:rPr>
          <w:bCs/>
          <w:sz w:val="22"/>
          <w:lang w:val="hr-HR"/>
        </w:rPr>
        <w:t>pojaviti kod pacijenata</w:t>
      </w:r>
      <w:r w:rsidRPr="001A5E19">
        <w:rPr>
          <w:bCs/>
          <w:sz w:val="22"/>
          <w:lang w:val="hr-HR"/>
        </w:rPr>
        <w:t xml:space="preserve"> sa smanjenim </w:t>
      </w:r>
      <w:r>
        <w:rPr>
          <w:bCs/>
          <w:sz w:val="22"/>
          <w:lang w:val="hr-HR"/>
        </w:rPr>
        <w:t>ukupnim volumenom</w:t>
      </w:r>
      <w:r w:rsidRPr="001A5E19">
        <w:rPr>
          <w:bCs/>
          <w:sz w:val="22"/>
          <w:lang w:val="hr-HR"/>
        </w:rPr>
        <w:t>, n</w:t>
      </w:r>
      <w:r>
        <w:rPr>
          <w:bCs/>
          <w:sz w:val="22"/>
          <w:lang w:val="hr-HR"/>
        </w:rPr>
        <w:t>pr. zbog liječ</w:t>
      </w:r>
      <w:r w:rsidRPr="001A5E19">
        <w:rPr>
          <w:bCs/>
          <w:sz w:val="22"/>
          <w:lang w:val="hr-HR"/>
        </w:rPr>
        <w:t>enja diureticima, ograničen</w:t>
      </w:r>
      <w:r>
        <w:rPr>
          <w:bCs/>
          <w:sz w:val="22"/>
          <w:lang w:val="hr-HR"/>
        </w:rPr>
        <w:t>og</w:t>
      </w:r>
      <w:r w:rsidRPr="001A5E19">
        <w:rPr>
          <w:bCs/>
          <w:sz w:val="22"/>
          <w:lang w:val="hr-HR"/>
        </w:rPr>
        <w:t xml:space="preserve"> unosa soli, </w:t>
      </w:r>
      <w:r>
        <w:rPr>
          <w:bCs/>
          <w:sz w:val="22"/>
          <w:lang w:val="hr-HR"/>
        </w:rPr>
        <w:t>dijareje</w:t>
      </w:r>
      <w:r w:rsidRPr="001A5E19">
        <w:rPr>
          <w:bCs/>
          <w:sz w:val="22"/>
          <w:lang w:val="hr-HR"/>
        </w:rPr>
        <w:t xml:space="preserve"> ili povraćanja. </w:t>
      </w:r>
      <w:r>
        <w:rPr>
          <w:bCs/>
          <w:sz w:val="22"/>
          <w:lang w:val="hr-HR"/>
        </w:rPr>
        <w:t>Potrebno je korigovati smanjenje</w:t>
      </w:r>
      <w:r w:rsidRPr="001A5E19">
        <w:rPr>
          <w:bCs/>
          <w:sz w:val="22"/>
          <w:lang w:val="hr-HR"/>
        </w:rPr>
        <w:t xml:space="preserve"> natrij</w:t>
      </w:r>
      <w:r>
        <w:rPr>
          <w:bCs/>
          <w:sz w:val="22"/>
          <w:lang w:val="hr-HR"/>
        </w:rPr>
        <w:t>uma i/ili smanjenje ukupnog volumena</w:t>
      </w:r>
      <w:r w:rsidRPr="001A5E19">
        <w:rPr>
          <w:bCs/>
          <w:sz w:val="22"/>
          <w:lang w:val="hr-HR"/>
        </w:rPr>
        <w:t xml:space="preserve"> pr</w:t>
      </w:r>
      <w:r>
        <w:rPr>
          <w:bCs/>
          <w:sz w:val="22"/>
          <w:lang w:val="hr-HR"/>
        </w:rPr>
        <w:t>ij</w:t>
      </w:r>
      <w:r w:rsidRPr="001A5E19">
        <w:rPr>
          <w:bCs/>
          <w:sz w:val="22"/>
          <w:lang w:val="hr-HR"/>
        </w:rPr>
        <w:t xml:space="preserve">e početka </w:t>
      </w:r>
      <w:r>
        <w:rPr>
          <w:bCs/>
          <w:sz w:val="22"/>
          <w:lang w:val="hr-HR"/>
        </w:rPr>
        <w:t>liječ</w:t>
      </w:r>
      <w:r w:rsidRPr="001A5E19">
        <w:rPr>
          <w:bCs/>
          <w:sz w:val="22"/>
          <w:lang w:val="hr-HR"/>
        </w:rPr>
        <w:t xml:space="preserve">enja </w:t>
      </w:r>
      <w:r>
        <w:rPr>
          <w:bCs/>
          <w:sz w:val="22"/>
          <w:szCs w:val="20"/>
          <w:lang w:val="hr-HR"/>
        </w:rPr>
        <w:t>valsartan/sakubitril</w:t>
      </w:r>
      <w:r>
        <w:rPr>
          <w:bCs/>
          <w:sz w:val="22"/>
          <w:lang w:val="hr-HR"/>
        </w:rPr>
        <w:t>, međutim, takve korektivne m</w:t>
      </w:r>
      <w:r w:rsidR="009B66C3">
        <w:rPr>
          <w:bCs/>
          <w:sz w:val="22"/>
          <w:lang w:val="hr-HR"/>
        </w:rPr>
        <w:t>j</w:t>
      </w:r>
      <w:r w:rsidRPr="001A5E19">
        <w:rPr>
          <w:bCs/>
          <w:sz w:val="22"/>
          <w:lang w:val="hr-HR"/>
        </w:rPr>
        <w:t xml:space="preserve">ere potrebno je pažljivo </w:t>
      </w:r>
      <w:r>
        <w:rPr>
          <w:bCs/>
          <w:sz w:val="22"/>
          <w:lang w:val="hr-HR"/>
        </w:rPr>
        <w:t>procijeniti</w:t>
      </w:r>
      <w:r w:rsidRPr="001A5E19">
        <w:rPr>
          <w:bCs/>
          <w:sz w:val="22"/>
          <w:lang w:val="hr-HR"/>
        </w:rPr>
        <w:t xml:space="preserve"> u odnosu na rizik od preopterećenja volumenom.</w:t>
      </w:r>
    </w:p>
    <w:p w14:paraId="13873155" w14:textId="77777777" w:rsidR="00B96A91" w:rsidRPr="001A5E19" w:rsidRDefault="00B96A91" w:rsidP="001B64BC">
      <w:pPr>
        <w:widowControl w:val="0"/>
        <w:rPr>
          <w:sz w:val="22"/>
          <w:szCs w:val="22"/>
          <w:lang w:val="hr-HR"/>
        </w:rPr>
      </w:pPr>
    </w:p>
    <w:p w14:paraId="447C3975" w14:textId="2FA87450" w:rsidR="00B96A91" w:rsidRPr="001A5E19" w:rsidRDefault="00B96A91" w:rsidP="001B64BC">
      <w:pPr>
        <w:keepNext/>
        <w:widowControl w:val="0"/>
        <w:rPr>
          <w:sz w:val="22"/>
          <w:szCs w:val="22"/>
          <w:u w:val="single"/>
          <w:lang w:val="hr-HR"/>
        </w:rPr>
      </w:pPr>
      <w:r w:rsidRPr="001A5E19">
        <w:rPr>
          <w:sz w:val="22"/>
          <w:szCs w:val="22"/>
          <w:u w:val="single"/>
          <w:lang w:val="hr-HR"/>
        </w:rPr>
        <w:t>Oštećen</w:t>
      </w:r>
      <w:r w:rsidR="00584F44">
        <w:rPr>
          <w:sz w:val="22"/>
          <w:szCs w:val="22"/>
          <w:u w:val="single"/>
          <w:lang w:val="hr-HR"/>
        </w:rPr>
        <w:t>je</w:t>
      </w:r>
      <w:r w:rsidRPr="001A5E19">
        <w:rPr>
          <w:sz w:val="22"/>
          <w:szCs w:val="22"/>
          <w:u w:val="single"/>
          <w:lang w:val="hr-HR"/>
        </w:rPr>
        <w:t xml:space="preserve"> bubre</w:t>
      </w:r>
      <w:r w:rsidR="00584F44">
        <w:rPr>
          <w:sz w:val="22"/>
          <w:szCs w:val="22"/>
          <w:u w:val="single"/>
          <w:lang w:val="hr-HR"/>
        </w:rPr>
        <w:t>ga</w:t>
      </w:r>
    </w:p>
    <w:p w14:paraId="6CB52474" w14:textId="77777777" w:rsidR="00B96A91" w:rsidRPr="001A5E19" w:rsidRDefault="00B96A91" w:rsidP="001B64BC">
      <w:pPr>
        <w:keepNext/>
        <w:widowControl w:val="0"/>
        <w:autoSpaceDE w:val="0"/>
        <w:autoSpaceDN w:val="0"/>
        <w:adjustRightInd w:val="0"/>
        <w:rPr>
          <w:bCs/>
          <w:sz w:val="22"/>
          <w:lang w:val="hr-HR"/>
        </w:rPr>
      </w:pPr>
    </w:p>
    <w:p w14:paraId="7C446601" w14:textId="1A3C3B6F" w:rsidR="00B96A91" w:rsidRPr="001A5E19" w:rsidRDefault="00B96A91" w:rsidP="001B64BC">
      <w:pPr>
        <w:widowControl w:val="0"/>
        <w:autoSpaceDE w:val="0"/>
        <w:autoSpaceDN w:val="0"/>
        <w:adjustRightInd w:val="0"/>
        <w:jc w:val="both"/>
        <w:rPr>
          <w:bCs/>
          <w:sz w:val="22"/>
          <w:lang w:val="hr-HR"/>
        </w:rPr>
      </w:pPr>
      <w:r>
        <w:rPr>
          <w:bCs/>
          <w:sz w:val="22"/>
          <w:lang w:val="hr-HR"/>
        </w:rPr>
        <w:t>U procj</w:t>
      </w:r>
      <w:r w:rsidRPr="001A5E19">
        <w:rPr>
          <w:bCs/>
          <w:sz w:val="22"/>
          <w:lang w:val="hr-HR"/>
        </w:rPr>
        <w:t>en</w:t>
      </w:r>
      <w:r>
        <w:rPr>
          <w:bCs/>
          <w:sz w:val="22"/>
          <w:lang w:val="hr-HR"/>
        </w:rPr>
        <w:t>u</w:t>
      </w:r>
      <w:r w:rsidRPr="001A5E19">
        <w:rPr>
          <w:bCs/>
          <w:sz w:val="22"/>
          <w:lang w:val="hr-HR"/>
        </w:rPr>
        <w:t xml:space="preserve"> </w:t>
      </w:r>
      <w:r>
        <w:rPr>
          <w:bCs/>
          <w:sz w:val="22"/>
          <w:lang w:val="hr-HR"/>
        </w:rPr>
        <w:t>pacijenata</w:t>
      </w:r>
      <w:r w:rsidRPr="001A5E19">
        <w:rPr>
          <w:bCs/>
          <w:sz w:val="22"/>
          <w:lang w:val="hr-HR"/>
        </w:rPr>
        <w:t xml:space="preserve"> sa </w:t>
      </w:r>
      <w:r>
        <w:rPr>
          <w:bCs/>
          <w:sz w:val="22"/>
          <w:lang w:val="hr-HR"/>
        </w:rPr>
        <w:t>insuficijencijom</w:t>
      </w:r>
      <w:r w:rsidRPr="001A5E19">
        <w:rPr>
          <w:bCs/>
          <w:sz w:val="22"/>
          <w:lang w:val="hr-HR"/>
        </w:rPr>
        <w:t xml:space="preserve"> srca uv</w:t>
      </w:r>
      <w:r>
        <w:rPr>
          <w:bCs/>
          <w:sz w:val="22"/>
          <w:lang w:val="hr-HR"/>
        </w:rPr>
        <w:t>ij</w:t>
      </w:r>
      <w:r w:rsidRPr="001A5E19">
        <w:rPr>
          <w:bCs/>
          <w:sz w:val="22"/>
          <w:lang w:val="hr-HR"/>
        </w:rPr>
        <w:t>ek treba uključi</w:t>
      </w:r>
      <w:r>
        <w:rPr>
          <w:bCs/>
          <w:sz w:val="22"/>
          <w:lang w:val="hr-HR"/>
        </w:rPr>
        <w:t>ti procj</w:t>
      </w:r>
      <w:r w:rsidRPr="001A5E19">
        <w:rPr>
          <w:bCs/>
          <w:sz w:val="22"/>
          <w:lang w:val="hr-HR"/>
        </w:rPr>
        <w:t xml:space="preserve">enu bubrežne funkcije. </w:t>
      </w:r>
      <w:r>
        <w:rPr>
          <w:bCs/>
          <w:sz w:val="22"/>
          <w:lang w:val="hr-HR"/>
        </w:rPr>
        <w:t>Pacijent</w:t>
      </w:r>
      <w:r w:rsidRPr="001A5E19">
        <w:rPr>
          <w:bCs/>
          <w:sz w:val="22"/>
          <w:lang w:val="hr-HR"/>
        </w:rPr>
        <w:t>i s</w:t>
      </w:r>
      <w:r>
        <w:rPr>
          <w:bCs/>
          <w:sz w:val="22"/>
          <w:lang w:val="hr-HR"/>
        </w:rPr>
        <w:t>a blagim i umj</w:t>
      </w:r>
      <w:r w:rsidRPr="001A5E19">
        <w:rPr>
          <w:bCs/>
          <w:sz w:val="22"/>
          <w:lang w:val="hr-HR"/>
        </w:rPr>
        <w:t xml:space="preserve">erenim oštećenjem </w:t>
      </w:r>
      <w:r>
        <w:rPr>
          <w:bCs/>
          <w:sz w:val="22"/>
          <w:lang w:val="hr-HR"/>
        </w:rPr>
        <w:t xml:space="preserve">funkcije </w:t>
      </w:r>
      <w:r w:rsidRPr="001A5E19">
        <w:rPr>
          <w:bCs/>
          <w:sz w:val="22"/>
          <w:lang w:val="hr-HR"/>
        </w:rPr>
        <w:t>bubrega izloženi su većem riziku od razvoja hipotenzije (</w:t>
      </w:r>
      <w:r>
        <w:rPr>
          <w:bCs/>
          <w:sz w:val="22"/>
          <w:lang w:val="hr-HR"/>
        </w:rPr>
        <w:t>vidjeti</w:t>
      </w:r>
      <w:r w:rsidRPr="001A5E19">
        <w:rPr>
          <w:bCs/>
          <w:sz w:val="22"/>
          <w:lang w:val="hr-HR"/>
        </w:rPr>
        <w:t xml:space="preserve"> </w:t>
      </w:r>
      <w:r w:rsidR="00D0473C">
        <w:rPr>
          <w:bCs/>
          <w:sz w:val="22"/>
          <w:lang w:val="hr-HR"/>
        </w:rPr>
        <w:t>dio</w:t>
      </w:r>
      <w:r w:rsidR="00D0473C" w:rsidRPr="001A5E19">
        <w:rPr>
          <w:bCs/>
          <w:sz w:val="22"/>
          <w:lang w:val="hr-HR"/>
        </w:rPr>
        <w:t> </w:t>
      </w:r>
      <w:r w:rsidRPr="001A5E19">
        <w:rPr>
          <w:bCs/>
          <w:sz w:val="22"/>
          <w:lang w:val="hr-HR"/>
        </w:rPr>
        <w:t>4.2). Postoji v</w:t>
      </w:r>
      <w:r>
        <w:rPr>
          <w:bCs/>
          <w:sz w:val="22"/>
          <w:lang w:val="hr-HR"/>
        </w:rPr>
        <w:t>eoma</w:t>
      </w:r>
      <w:r w:rsidRPr="001A5E19">
        <w:rPr>
          <w:bCs/>
          <w:sz w:val="22"/>
          <w:lang w:val="hr-HR"/>
        </w:rPr>
        <w:t xml:space="preserve"> ograničeno iskustvo s</w:t>
      </w:r>
      <w:r>
        <w:rPr>
          <w:bCs/>
          <w:sz w:val="22"/>
          <w:lang w:val="hr-HR"/>
        </w:rPr>
        <w:t>a</w:t>
      </w:r>
      <w:r w:rsidRPr="001A5E19">
        <w:rPr>
          <w:bCs/>
          <w:sz w:val="22"/>
          <w:lang w:val="hr-HR"/>
        </w:rPr>
        <w:t xml:space="preserve"> </w:t>
      </w:r>
      <w:r>
        <w:rPr>
          <w:bCs/>
          <w:sz w:val="22"/>
          <w:lang w:val="hr-HR"/>
        </w:rPr>
        <w:t>pacijent</w:t>
      </w:r>
      <w:r w:rsidRPr="001A5E19">
        <w:rPr>
          <w:bCs/>
          <w:sz w:val="22"/>
          <w:lang w:val="hr-HR"/>
        </w:rPr>
        <w:t>ima s</w:t>
      </w:r>
      <w:r>
        <w:rPr>
          <w:bCs/>
          <w:sz w:val="22"/>
          <w:lang w:val="hr-HR"/>
        </w:rPr>
        <w:t>a</w:t>
      </w:r>
      <w:r w:rsidRPr="001A5E19">
        <w:rPr>
          <w:bCs/>
          <w:sz w:val="22"/>
          <w:lang w:val="hr-HR"/>
        </w:rPr>
        <w:t xml:space="preserve"> t</w:t>
      </w:r>
      <w:r>
        <w:rPr>
          <w:bCs/>
          <w:sz w:val="22"/>
          <w:lang w:val="hr-HR"/>
        </w:rPr>
        <w:t>eškim oštećenjem funkcije bubrega (proc</w:t>
      </w:r>
      <w:r w:rsidR="00D0473C">
        <w:rPr>
          <w:bCs/>
          <w:sz w:val="22"/>
          <w:lang w:val="hr-HR"/>
        </w:rPr>
        <w:t>ij</w:t>
      </w:r>
      <w:r w:rsidRPr="001A5E19">
        <w:rPr>
          <w:bCs/>
          <w:sz w:val="22"/>
          <w:lang w:val="hr-HR"/>
        </w:rPr>
        <w:t>enjeni GFR &lt;30 ml/min/1,73m</w:t>
      </w:r>
      <w:r w:rsidRPr="001A5E19">
        <w:rPr>
          <w:bCs/>
          <w:sz w:val="22"/>
          <w:vertAlign w:val="superscript"/>
          <w:lang w:val="hr-HR"/>
        </w:rPr>
        <w:t>2</w:t>
      </w:r>
      <w:r w:rsidRPr="001A5E19">
        <w:rPr>
          <w:bCs/>
          <w:sz w:val="22"/>
          <w:lang w:val="hr-HR"/>
        </w:rPr>
        <w:t xml:space="preserve">) </w:t>
      </w:r>
      <w:r>
        <w:rPr>
          <w:bCs/>
          <w:sz w:val="22"/>
          <w:lang w:val="hr-HR"/>
        </w:rPr>
        <w:t xml:space="preserve">i </w:t>
      </w:r>
      <w:r w:rsidRPr="001A5E19">
        <w:rPr>
          <w:bCs/>
          <w:sz w:val="22"/>
          <w:lang w:val="hr-HR"/>
        </w:rPr>
        <w:t xml:space="preserve">ti </w:t>
      </w:r>
      <w:r>
        <w:rPr>
          <w:bCs/>
          <w:sz w:val="22"/>
          <w:lang w:val="hr-HR"/>
        </w:rPr>
        <w:t>pacijent</w:t>
      </w:r>
      <w:r w:rsidRPr="001A5E19">
        <w:rPr>
          <w:bCs/>
          <w:sz w:val="22"/>
          <w:lang w:val="hr-HR"/>
        </w:rPr>
        <w:t>i mog</w:t>
      </w:r>
      <w:r>
        <w:rPr>
          <w:bCs/>
          <w:sz w:val="22"/>
          <w:lang w:val="hr-HR"/>
        </w:rPr>
        <w:t>u da budu</w:t>
      </w:r>
      <w:r w:rsidRPr="001A5E19">
        <w:rPr>
          <w:bCs/>
          <w:sz w:val="22"/>
          <w:lang w:val="hr-HR"/>
        </w:rPr>
        <w:t xml:space="preserve"> izloženi najvećem riziku od hipotenzije (</w:t>
      </w:r>
      <w:r>
        <w:rPr>
          <w:bCs/>
          <w:sz w:val="22"/>
          <w:lang w:val="hr-HR"/>
        </w:rPr>
        <w:t>vidjeti</w:t>
      </w:r>
      <w:r w:rsidRPr="001A5E19">
        <w:rPr>
          <w:bCs/>
          <w:sz w:val="22"/>
          <w:lang w:val="hr-HR"/>
        </w:rPr>
        <w:t xml:space="preserve"> </w:t>
      </w:r>
      <w:r w:rsidR="00D0473C">
        <w:rPr>
          <w:bCs/>
          <w:sz w:val="22"/>
          <w:lang w:val="hr-HR"/>
        </w:rPr>
        <w:t>dio</w:t>
      </w:r>
      <w:r w:rsidR="00D0473C" w:rsidRPr="001A5E19">
        <w:rPr>
          <w:bCs/>
          <w:sz w:val="22"/>
          <w:lang w:val="hr-HR"/>
        </w:rPr>
        <w:t> </w:t>
      </w:r>
      <w:r w:rsidRPr="001A5E19">
        <w:rPr>
          <w:bCs/>
          <w:sz w:val="22"/>
          <w:lang w:val="hr-HR"/>
        </w:rPr>
        <w:t xml:space="preserve">4.2). </w:t>
      </w:r>
      <w:r w:rsidRPr="001A5E19">
        <w:rPr>
          <w:sz w:val="22"/>
          <w:szCs w:val="22"/>
          <w:lang w:val="hr-HR"/>
        </w:rPr>
        <w:t xml:space="preserve">Ne postoji iskustvo </w:t>
      </w:r>
      <w:r>
        <w:rPr>
          <w:sz w:val="22"/>
          <w:szCs w:val="22"/>
          <w:lang w:val="hr-HR"/>
        </w:rPr>
        <w:t>sa</w:t>
      </w:r>
      <w:r w:rsidRPr="001A5E19">
        <w:rPr>
          <w:sz w:val="22"/>
          <w:szCs w:val="22"/>
          <w:lang w:val="hr-HR"/>
        </w:rPr>
        <w:t xml:space="preserve"> </w:t>
      </w:r>
      <w:r>
        <w:rPr>
          <w:sz w:val="22"/>
          <w:szCs w:val="22"/>
          <w:lang w:val="hr-HR"/>
        </w:rPr>
        <w:t>pacijentima</w:t>
      </w:r>
      <w:r w:rsidRPr="001A5E19">
        <w:rPr>
          <w:sz w:val="22"/>
          <w:szCs w:val="22"/>
          <w:lang w:val="hr-HR"/>
        </w:rPr>
        <w:t xml:space="preserve"> </w:t>
      </w:r>
      <w:r>
        <w:rPr>
          <w:sz w:val="22"/>
          <w:szCs w:val="22"/>
          <w:lang w:val="hr-HR"/>
        </w:rPr>
        <w:t xml:space="preserve">koji imaju </w:t>
      </w:r>
      <w:r w:rsidRPr="001A5E19">
        <w:rPr>
          <w:sz w:val="22"/>
          <w:szCs w:val="22"/>
          <w:lang w:val="hr-HR"/>
        </w:rPr>
        <w:t>završni stadij</w:t>
      </w:r>
      <w:r>
        <w:rPr>
          <w:sz w:val="22"/>
          <w:szCs w:val="22"/>
          <w:lang w:val="hr-HR"/>
        </w:rPr>
        <w:t>u</w:t>
      </w:r>
      <w:r w:rsidRPr="001A5E19">
        <w:rPr>
          <w:sz w:val="22"/>
          <w:szCs w:val="22"/>
          <w:lang w:val="hr-HR"/>
        </w:rPr>
        <w:t xml:space="preserve">m bolesti bubrega </w:t>
      </w:r>
      <w:r>
        <w:rPr>
          <w:sz w:val="22"/>
          <w:szCs w:val="22"/>
          <w:lang w:val="hr-HR"/>
        </w:rPr>
        <w:t xml:space="preserve">i ne preporučuje se primjena </w:t>
      </w:r>
      <w:r>
        <w:rPr>
          <w:bCs/>
          <w:sz w:val="22"/>
          <w:szCs w:val="20"/>
          <w:lang w:val="hr-HR"/>
        </w:rPr>
        <w:t>valsartan/sakubitril</w:t>
      </w:r>
      <w:r>
        <w:rPr>
          <w:sz w:val="22"/>
          <w:szCs w:val="22"/>
          <w:lang w:val="hr-HR"/>
        </w:rPr>
        <w:t xml:space="preserve"> kod njih.</w:t>
      </w:r>
    </w:p>
    <w:p w14:paraId="670A3BE8" w14:textId="77777777" w:rsidR="00B96A91" w:rsidRPr="001A5E19" w:rsidRDefault="00B96A91" w:rsidP="001B64BC">
      <w:pPr>
        <w:widowControl w:val="0"/>
        <w:autoSpaceDE w:val="0"/>
        <w:autoSpaceDN w:val="0"/>
        <w:adjustRightInd w:val="0"/>
        <w:jc w:val="both"/>
        <w:rPr>
          <w:bCs/>
          <w:sz w:val="22"/>
          <w:lang w:val="hr-HR"/>
        </w:rPr>
      </w:pPr>
    </w:p>
    <w:p w14:paraId="0EA923C0" w14:textId="77777777" w:rsidR="00B96A91" w:rsidRPr="001A5E19" w:rsidRDefault="00B96A91" w:rsidP="001B64BC">
      <w:pPr>
        <w:keepNext/>
        <w:widowControl w:val="0"/>
        <w:autoSpaceDE w:val="0"/>
        <w:autoSpaceDN w:val="0"/>
        <w:adjustRightInd w:val="0"/>
        <w:jc w:val="both"/>
        <w:rPr>
          <w:bCs/>
          <w:sz w:val="22"/>
          <w:u w:val="single"/>
          <w:lang w:val="hr-HR"/>
        </w:rPr>
      </w:pPr>
      <w:r w:rsidRPr="001A5E19">
        <w:rPr>
          <w:bCs/>
          <w:sz w:val="22"/>
          <w:u w:val="single"/>
          <w:lang w:val="hr-HR"/>
        </w:rPr>
        <w:t>Pogoršanje bubrežne funkcije</w:t>
      </w:r>
    </w:p>
    <w:p w14:paraId="09CD48E1" w14:textId="77777777" w:rsidR="00B96A91" w:rsidRPr="001A5E19" w:rsidRDefault="00B96A91" w:rsidP="001B64BC">
      <w:pPr>
        <w:keepNext/>
        <w:widowControl w:val="0"/>
        <w:autoSpaceDE w:val="0"/>
        <w:autoSpaceDN w:val="0"/>
        <w:adjustRightInd w:val="0"/>
        <w:jc w:val="both"/>
        <w:rPr>
          <w:bCs/>
          <w:sz w:val="22"/>
          <w:lang w:val="hr-HR"/>
        </w:rPr>
      </w:pPr>
    </w:p>
    <w:p w14:paraId="2371A832" w14:textId="7020692C" w:rsidR="00B96A91" w:rsidRPr="001A5E19" w:rsidRDefault="00B96A91" w:rsidP="001B64BC">
      <w:pPr>
        <w:widowControl w:val="0"/>
        <w:autoSpaceDE w:val="0"/>
        <w:autoSpaceDN w:val="0"/>
        <w:adjustRightInd w:val="0"/>
        <w:jc w:val="both"/>
        <w:rPr>
          <w:bCs/>
          <w:sz w:val="22"/>
          <w:lang w:val="hr-HR"/>
        </w:rPr>
      </w:pPr>
      <w:r>
        <w:rPr>
          <w:bCs/>
          <w:sz w:val="22"/>
          <w:lang w:val="hr-HR"/>
        </w:rPr>
        <w:t>Primjen</w:t>
      </w:r>
      <w:r w:rsidRPr="001A5E19">
        <w:rPr>
          <w:bCs/>
          <w:sz w:val="22"/>
          <w:lang w:val="hr-HR"/>
        </w:rPr>
        <w:t>a</w:t>
      </w:r>
      <w:r>
        <w:rPr>
          <w:bCs/>
          <w:sz w:val="22"/>
          <w:lang w:val="hr-HR"/>
        </w:rPr>
        <w:t xml:space="preserve"> </w:t>
      </w:r>
      <w:r>
        <w:rPr>
          <w:bCs/>
          <w:sz w:val="22"/>
          <w:szCs w:val="20"/>
          <w:lang w:val="hr-HR"/>
        </w:rPr>
        <w:t>valsartan/sakubitril</w:t>
      </w:r>
      <w:r w:rsidRPr="001A5E19">
        <w:rPr>
          <w:bCs/>
          <w:sz w:val="22"/>
          <w:lang w:val="hr-HR"/>
        </w:rPr>
        <w:t xml:space="preserve"> može biti povezana sa smanjen</w:t>
      </w:r>
      <w:r>
        <w:rPr>
          <w:bCs/>
          <w:sz w:val="22"/>
          <w:lang w:val="hr-HR"/>
        </w:rPr>
        <w:t xml:space="preserve">om bubrežnom funkcijom. Ovaj </w:t>
      </w:r>
      <w:r w:rsidRPr="001A5E19">
        <w:rPr>
          <w:bCs/>
          <w:sz w:val="22"/>
          <w:lang w:val="hr-HR"/>
        </w:rPr>
        <w:t>rizik</w:t>
      </w:r>
      <w:r>
        <w:rPr>
          <w:bCs/>
          <w:sz w:val="22"/>
          <w:lang w:val="hr-HR"/>
        </w:rPr>
        <w:t xml:space="preserve"> se</w:t>
      </w:r>
      <w:r w:rsidRPr="001A5E19">
        <w:rPr>
          <w:bCs/>
          <w:sz w:val="22"/>
          <w:lang w:val="hr-HR"/>
        </w:rPr>
        <w:t xml:space="preserve"> može dodatno</w:t>
      </w:r>
      <w:r>
        <w:rPr>
          <w:bCs/>
          <w:sz w:val="22"/>
          <w:lang w:val="hr-HR"/>
        </w:rPr>
        <w:t xml:space="preserve"> </w:t>
      </w:r>
      <w:r w:rsidRPr="001A5E19">
        <w:rPr>
          <w:bCs/>
          <w:sz w:val="22"/>
          <w:lang w:val="hr-HR"/>
        </w:rPr>
        <w:t>poveća</w:t>
      </w:r>
      <w:r>
        <w:rPr>
          <w:bCs/>
          <w:sz w:val="22"/>
          <w:lang w:val="hr-HR"/>
        </w:rPr>
        <w:t>ti</w:t>
      </w:r>
      <w:r w:rsidRPr="001A5E19">
        <w:rPr>
          <w:bCs/>
          <w:sz w:val="22"/>
          <w:lang w:val="hr-HR"/>
        </w:rPr>
        <w:t xml:space="preserve"> </w:t>
      </w:r>
      <w:r>
        <w:rPr>
          <w:bCs/>
          <w:sz w:val="22"/>
          <w:lang w:val="hr-HR"/>
        </w:rPr>
        <w:t xml:space="preserve">zbog </w:t>
      </w:r>
      <w:r w:rsidRPr="001A5E19">
        <w:rPr>
          <w:bCs/>
          <w:sz w:val="22"/>
          <w:lang w:val="hr-HR"/>
        </w:rPr>
        <w:t>dehidra</w:t>
      </w:r>
      <w:r>
        <w:rPr>
          <w:bCs/>
          <w:sz w:val="22"/>
          <w:lang w:val="hr-HR"/>
        </w:rPr>
        <w:t>tacije</w:t>
      </w:r>
      <w:r w:rsidRPr="001A5E19">
        <w:rPr>
          <w:bCs/>
          <w:sz w:val="22"/>
          <w:lang w:val="hr-HR"/>
        </w:rPr>
        <w:t xml:space="preserve"> ili isto</w:t>
      </w:r>
      <w:r>
        <w:rPr>
          <w:bCs/>
          <w:sz w:val="22"/>
          <w:lang w:val="hr-HR"/>
        </w:rPr>
        <w:t>vremene</w:t>
      </w:r>
      <w:r w:rsidRPr="001A5E19">
        <w:rPr>
          <w:bCs/>
          <w:sz w:val="22"/>
          <w:lang w:val="hr-HR"/>
        </w:rPr>
        <w:t xml:space="preserve"> </w:t>
      </w:r>
      <w:r>
        <w:rPr>
          <w:bCs/>
          <w:sz w:val="22"/>
          <w:lang w:val="hr-HR"/>
        </w:rPr>
        <w:t>primjene</w:t>
      </w:r>
      <w:r w:rsidRPr="001A5E19">
        <w:rPr>
          <w:bCs/>
          <w:sz w:val="22"/>
          <w:lang w:val="hr-HR"/>
        </w:rPr>
        <w:t xml:space="preserve"> nesteroidnih </w:t>
      </w:r>
      <w:r>
        <w:rPr>
          <w:bCs/>
          <w:sz w:val="22"/>
          <w:lang w:val="hr-HR"/>
        </w:rPr>
        <w:t>anti-inflamatornih ljek</w:t>
      </w:r>
      <w:r w:rsidRPr="001A5E19">
        <w:rPr>
          <w:bCs/>
          <w:sz w:val="22"/>
          <w:lang w:val="hr-HR"/>
        </w:rPr>
        <w:t>ova (NSAI</w:t>
      </w:r>
      <w:r>
        <w:rPr>
          <w:bCs/>
          <w:sz w:val="22"/>
          <w:lang w:val="hr-HR"/>
        </w:rPr>
        <w:t>L</w:t>
      </w:r>
      <w:r w:rsidRPr="001A5E19">
        <w:rPr>
          <w:bCs/>
          <w:sz w:val="22"/>
          <w:lang w:val="hr-HR"/>
        </w:rPr>
        <w:t>) (</w:t>
      </w:r>
      <w:r>
        <w:rPr>
          <w:bCs/>
          <w:sz w:val="22"/>
          <w:lang w:val="hr-HR"/>
        </w:rPr>
        <w:t xml:space="preserve">vidjeti </w:t>
      </w:r>
      <w:r w:rsidR="00D0473C">
        <w:rPr>
          <w:bCs/>
          <w:sz w:val="22"/>
          <w:lang w:val="hr-HR"/>
        </w:rPr>
        <w:t>dio</w:t>
      </w:r>
      <w:r w:rsidR="00D0473C" w:rsidRPr="001A5E19">
        <w:rPr>
          <w:bCs/>
          <w:sz w:val="22"/>
          <w:lang w:val="hr-HR"/>
        </w:rPr>
        <w:t> </w:t>
      </w:r>
      <w:r w:rsidRPr="001A5E19">
        <w:rPr>
          <w:bCs/>
          <w:sz w:val="22"/>
          <w:lang w:val="hr-HR"/>
        </w:rPr>
        <w:t>4.5). Post</w:t>
      </w:r>
      <w:r>
        <w:rPr>
          <w:bCs/>
          <w:sz w:val="22"/>
          <w:lang w:val="hr-HR"/>
        </w:rPr>
        <w:t>epeno</w:t>
      </w:r>
      <w:r w:rsidRPr="001A5E19">
        <w:rPr>
          <w:bCs/>
          <w:sz w:val="22"/>
          <w:lang w:val="hr-HR"/>
        </w:rPr>
        <w:t xml:space="preserve"> sniženje doze treba razmotriti </w:t>
      </w:r>
      <w:r>
        <w:rPr>
          <w:bCs/>
          <w:sz w:val="22"/>
          <w:lang w:val="hr-HR"/>
        </w:rPr>
        <w:t xml:space="preserve">kod pacijenata kod </w:t>
      </w:r>
      <w:r w:rsidRPr="001A5E19">
        <w:rPr>
          <w:bCs/>
          <w:sz w:val="22"/>
          <w:lang w:val="hr-HR"/>
        </w:rPr>
        <w:t>kojih se razvije klinički značajno smanjenje bubrežne funkcije.</w:t>
      </w:r>
    </w:p>
    <w:p w14:paraId="5A4E5271" w14:textId="77777777" w:rsidR="00B96A91" w:rsidRPr="001A5E19" w:rsidRDefault="00B96A91" w:rsidP="001B64BC">
      <w:pPr>
        <w:widowControl w:val="0"/>
        <w:jc w:val="both"/>
        <w:rPr>
          <w:sz w:val="22"/>
          <w:szCs w:val="22"/>
          <w:lang w:val="hr-HR"/>
        </w:rPr>
      </w:pPr>
    </w:p>
    <w:p w14:paraId="09BD8F72"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Hiperkalijemija</w:t>
      </w:r>
    </w:p>
    <w:p w14:paraId="4834CC73" w14:textId="77777777" w:rsidR="00B96A91" w:rsidRPr="001A5E19" w:rsidRDefault="00B96A91" w:rsidP="001B64BC">
      <w:pPr>
        <w:keepNext/>
        <w:widowControl w:val="0"/>
        <w:autoSpaceDE w:val="0"/>
        <w:autoSpaceDN w:val="0"/>
        <w:adjustRightInd w:val="0"/>
        <w:jc w:val="both"/>
        <w:rPr>
          <w:bCs/>
          <w:sz w:val="22"/>
          <w:lang w:val="hr-HR"/>
        </w:rPr>
      </w:pPr>
    </w:p>
    <w:p w14:paraId="2C942EEC" w14:textId="2F49F2DC" w:rsidR="00B96A91" w:rsidRPr="001A5E19" w:rsidRDefault="00B96A91" w:rsidP="001B64BC">
      <w:pPr>
        <w:widowControl w:val="0"/>
        <w:autoSpaceDE w:val="0"/>
        <w:autoSpaceDN w:val="0"/>
        <w:adjustRightInd w:val="0"/>
        <w:jc w:val="both"/>
        <w:rPr>
          <w:bCs/>
          <w:sz w:val="22"/>
          <w:lang w:val="hr-HR"/>
        </w:rPr>
      </w:pPr>
      <w:r>
        <w:rPr>
          <w:color w:val="000000"/>
          <w:sz w:val="22"/>
          <w:lang w:val="hr-HR"/>
        </w:rPr>
        <w:t>Liječenje ne treba</w:t>
      </w:r>
      <w:r w:rsidRPr="001A5E19">
        <w:rPr>
          <w:color w:val="000000"/>
          <w:sz w:val="22"/>
          <w:lang w:val="hr-HR"/>
        </w:rPr>
        <w:t xml:space="preserve"> započeti </w:t>
      </w:r>
      <w:r>
        <w:rPr>
          <w:color w:val="000000"/>
          <w:sz w:val="22"/>
          <w:lang w:val="hr-HR"/>
        </w:rPr>
        <w:t>kod</w:t>
      </w:r>
      <w:r w:rsidR="00584F44">
        <w:rPr>
          <w:color w:val="000000"/>
          <w:sz w:val="22"/>
          <w:lang w:val="hr-HR"/>
        </w:rPr>
        <w:t xml:space="preserve"> odraslih</w:t>
      </w:r>
      <w:r>
        <w:rPr>
          <w:color w:val="000000"/>
          <w:sz w:val="22"/>
          <w:lang w:val="hr-HR"/>
        </w:rPr>
        <w:t xml:space="preserve"> pacijenata</w:t>
      </w:r>
      <w:r w:rsidRPr="001A5E19">
        <w:rPr>
          <w:color w:val="000000"/>
          <w:sz w:val="22"/>
          <w:lang w:val="hr-HR"/>
        </w:rPr>
        <w:t xml:space="preserve"> s</w:t>
      </w:r>
      <w:r>
        <w:rPr>
          <w:color w:val="000000"/>
          <w:sz w:val="22"/>
          <w:lang w:val="hr-HR"/>
        </w:rPr>
        <w:t>a nivoom kalijuma</w:t>
      </w:r>
      <w:r w:rsidRPr="001A5E19">
        <w:rPr>
          <w:bCs/>
          <w:sz w:val="22"/>
          <w:lang w:val="hr-HR"/>
        </w:rPr>
        <w:t xml:space="preserve"> u serumu &gt;</w:t>
      </w:r>
      <w:r w:rsidR="00A2375C">
        <w:rPr>
          <w:bCs/>
          <w:sz w:val="22"/>
          <w:lang w:val="hr-HR"/>
        </w:rPr>
        <w:t xml:space="preserve"> </w:t>
      </w:r>
      <w:r w:rsidRPr="001A5E19">
        <w:rPr>
          <w:bCs/>
          <w:sz w:val="22"/>
          <w:lang w:val="hr-HR"/>
        </w:rPr>
        <w:t>5,4 mmol/l</w:t>
      </w:r>
      <w:r w:rsidR="00584F44">
        <w:rPr>
          <w:bCs/>
          <w:lang w:val="hr-HR"/>
        </w:rPr>
        <w:t>,</w:t>
      </w:r>
      <w:r w:rsidR="00584F44" w:rsidRPr="00AB63CB">
        <w:rPr>
          <w:bCs/>
          <w:sz w:val="22"/>
          <w:szCs w:val="22"/>
          <w:lang w:val="hr-HR"/>
        </w:rPr>
        <w:t xml:space="preserve"> niti kod pedijatrijskih pacijenata sa koncentracijom &gt;</w:t>
      </w:r>
      <w:r w:rsidR="00A2375C">
        <w:rPr>
          <w:bCs/>
          <w:sz w:val="22"/>
          <w:szCs w:val="22"/>
          <w:lang w:val="hr-HR"/>
        </w:rPr>
        <w:t xml:space="preserve"> </w:t>
      </w:r>
      <w:r w:rsidR="00584F44" w:rsidRPr="00AB63CB">
        <w:rPr>
          <w:bCs/>
          <w:sz w:val="22"/>
          <w:szCs w:val="22"/>
          <w:lang w:val="hr-HR"/>
        </w:rPr>
        <w:t>5,3 mmol/</w:t>
      </w:r>
      <w:r w:rsidR="00A2375C">
        <w:rPr>
          <w:bCs/>
          <w:sz w:val="22"/>
          <w:szCs w:val="22"/>
          <w:lang w:val="hr-HR"/>
        </w:rPr>
        <w:t>l</w:t>
      </w:r>
      <w:r w:rsidRPr="00584F44">
        <w:rPr>
          <w:color w:val="000000"/>
          <w:sz w:val="22"/>
          <w:szCs w:val="22"/>
          <w:lang w:val="hr-HR"/>
        </w:rPr>
        <w:t>.</w:t>
      </w:r>
      <w:r w:rsidRPr="001A5E19">
        <w:rPr>
          <w:color w:val="000000"/>
          <w:sz w:val="22"/>
          <w:lang w:val="hr-HR"/>
        </w:rPr>
        <w:t xml:space="preserve"> </w:t>
      </w:r>
      <w:r>
        <w:rPr>
          <w:bCs/>
          <w:sz w:val="22"/>
          <w:lang w:val="hr-HR"/>
        </w:rPr>
        <w:t xml:space="preserve">Primjena </w:t>
      </w:r>
      <w:r>
        <w:rPr>
          <w:bCs/>
          <w:sz w:val="22"/>
          <w:szCs w:val="20"/>
          <w:lang w:val="hr-HR"/>
        </w:rPr>
        <w:t>valsartan/sakubitril</w:t>
      </w:r>
      <w:r w:rsidRPr="001A5E19">
        <w:rPr>
          <w:bCs/>
          <w:sz w:val="22"/>
          <w:lang w:val="hr-HR"/>
        </w:rPr>
        <w:t xml:space="preserve"> može biti povezana s</w:t>
      </w:r>
      <w:r>
        <w:rPr>
          <w:bCs/>
          <w:sz w:val="22"/>
          <w:lang w:val="hr-HR"/>
        </w:rPr>
        <w:t>a</w:t>
      </w:r>
      <w:r w:rsidRPr="001A5E19">
        <w:rPr>
          <w:bCs/>
          <w:sz w:val="22"/>
          <w:lang w:val="hr-HR"/>
        </w:rPr>
        <w:t xml:space="preserve"> povećanim rizikom od hiperkalijemije, iako može doći i do hipokalijemije (</w:t>
      </w:r>
      <w:r>
        <w:rPr>
          <w:bCs/>
          <w:sz w:val="22"/>
          <w:lang w:val="hr-HR"/>
        </w:rPr>
        <w:t xml:space="preserve">vidjeti </w:t>
      </w:r>
      <w:r w:rsidR="00D0473C">
        <w:rPr>
          <w:bCs/>
          <w:sz w:val="22"/>
          <w:lang w:val="hr-HR"/>
        </w:rPr>
        <w:t>dio</w:t>
      </w:r>
      <w:r w:rsidR="00D0473C" w:rsidRPr="001A5E19">
        <w:rPr>
          <w:bCs/>
          <w:sz w:val="22"/>
          <w:lang w:val="hr-HR"/>
        </w:rPr>
        <w:t> </w:t>
      </w:r>
      <w:r w:rsidRPr="001A5E19">
        <w:rPr>
          <w:bCs/>
          <w:sz w:val="22"/>
          <w:lang w:val="hr-HR"/>
        </w:rPr>
        <w:t>4.8). Preporučuje se praćenje kalij</w:t>
      </w:r>
      <w:r>
        <w:rPr>
          <w:bCs/>
          <w:sz w:val="22"/>
          <w:lang w:val="hr-HR"/>
        </w:rPr>
        <w:t>um</w:t>
      </w:r>
      <w:r w:rsidRPr="001A5E19">
        <w:rPr>
          <w:bCs/>
          <w:sz w:val="22"/>
          <w:lang w:val="hr-HR"/>
        </w:rPr>
        <w:t xml:space="preserve">a u serumu, </w:t>
      </w:r>
      <w:r>
        <w:rPr>
          <w:bCs/>
          <w:sz w:val="22"/>
          <w:lang w:val="hr-HR"/>
        </w:rPr>
        <w:t>naročito kod</w:t>
      </w:r>
      <w:r w:rsidRPr="001A5E19">
        <w:rPr>
          <w:bCs/>
          <w:sz w:val="22"/>
          <w:lang w:val="hr-HR"/>
        </w:rPr>
        <w:t xml:space="preserve"> </w:t>
      </w:r>
      <w:r>
        <w:rPr>
          <w:bCs/>
          <w:sz w:val="22"/>
          <w:lang w:val="hr-HR"/>
        </w:rPr>
        <w:t>pacijenata</w:t>
      </w:r>
      <w:r w:rsidRPr="001A5E19">
        <w:rPr>
          <w:bCs/>
          <w:sz w:val="22"/>
          <w:lang w:val="hr-HR"/>
        </w:rPr>
        <w:t xml:space="preserve"> koji imaju </w:t>
      </w:r>
      <w:r>
        <w:rPr>
          <w:bCs/>
          <w:sz w:val="22"/>
          <w:lang w:val="hr-HR"/>
        </w:rPr>
        <w:t>faktore rizika</w:t>
      </w:r>
      <w:r w:rsidRPr="001A5E19">
        <w:rPr>
          <w:bCs/>
          <w:sz w:val="22"/>
          <w:lang w:val="hr-HR"/>
        </w:rPr>
        <w:t xml:space="preserve"> kao što su oštećenje </w:t>
      </w:r>
      <w:r>
        <w:rPr>
          <w:bCs/>
          <w:sz w:val="22"/>
          <w:lang w:val="hr-HR"/>
        </w:rPr>
        <w:t xml:space="preserve">funkcije </w:t>
      </w:r>
      <w:r w:rsidRPr="001A5E19">
        <w:rPr>
          <w:bCs/>
          <w:sz w:val="22"/>
          <w:lang w:val="hr-HR"/>
        </w:rPr>
        <w:t xml:space="preserve">bubrega, </w:t>
      </w:r>
      <w:r>
        <w:rPr>
          <w:bCs/>
          <w:sz w:val="22"/>
          <w:lang w:val="hr-HR"/>
        </w:rPr>
        <w:t>diabetes mellitus</w:t>
      </w:r>
      <w:r w:rsidRPr="001A5E19">
        <w:rPr>
          <w:bCs/>
          <w:sz w:val="22"/>
          <w:lang w:val="hr-HR"/>
        </w:rPr>
        <w:t xml:space="preserve"> ili hipoaldosteronizam ili koji su na </w:t>
      </w:r>
      <w:r>
        <w:rPr>
          <w:bCs/>
          <w:sz w:val="22"/>
          <w:lang w:val="hr-HR"/>
        </w:rPr>
        <w:t>dijeti sa visokim sadržajem kalijuma</w:t>
      </w:r>
      <w:r w:rsidRPr="001A5E19">
        <w:rPr>
          <w:bCs/>
          <w:sz w:val="22"/>
          <w:lang w:val="hr-HR"/>
        </w:rPr>
        <w:t xml:space="preserve"> ili koji uzimaju </w:t>
      </w:r>
      <w:r>
        <w:rPr>
          <w:bCs/>
          <w:sz w:val="22"/>
          <w:lang w:val="hr-HR"/>
        </w:rPr>
        <w:t xml:space="preserve">antagoniste </w:t>
      </w:r>
      <w:r w:rsidRPr="001A5E19">
        <w:rPr>
          <w:bCs/>
          <w:sz w:val="22"/>
          <w:lang w:val="hr-HR"/>
        </w:rPr>
        <w:t>mineralokortikoid</w:t>
      </w:r>
      <w:r>
        <w:rPr>
          <w:bCs/>
          <w:sz w:val="22"/>
          <w:lang w:val="hr-HR"/>
        </w:rPr>
        <w:t>a</w:t>
      </w:r>
      <w:r w:rsidRPr="001A5E19">
        <w:rPr>
          <w:bCs/>
          <w:sz w:val="22"/>
          <w:lang w:val="hr-HR"/>
        </w:rPr>
        <w:t xml:space="preserve"> (</w:t>
      </w:r>
      <w:r>
        <w:rPr>
          <w:bCs/>
          <w:sz w:val="22"/>
          <w:lang w:val="hr-HR"/>
        </w:rPr>
        <w:t xml:space="preserve">vidjeti </w:t>
      </w:r>
      <w:r w:rsidR="00D0473C">
        <w:rPr>
          <w:bCs/>
          <w:sz w:val="22"/>
          <w:lang w:val="hr-HR"/>
        </w:rPr>
        <w:t>dio</w:t>
      </w:r>
      <w:r w:rsidR="00D0473C" w:rsidRPr="001A5E19">
        <w:rPr>
          <w:bCs/>
          <w:sz w:val="22"/>
          <w:lang w:val="hr-HR"/>
        </w:rPr>
        <w:t> </w:t>
      </w:r>
      <w:r w:rsidRPr="001A5E19">
        <w:rPr>
          <w:bCs/>
          <w:sz w:val="22"/>
          <w:lang w:val="hr-HR"/>
        </w:rPr>
        <w:t xml:space="preserve">4.2). Ako se </w:t>
      </w:r>
      <w:r>
        <w:rPr>
          <w:bCs/>
          <w:sz w:val="22"/>
          <w:lang w:val="hr-HR"/>
        </w:rPr>
        <w:t>kod pacijenata</w:t>
      </w:r>
      <w:r w:rsidRPr="001A5E19">
        <w:rPr>
          <w:bCs/>
          <w:sz w:val="22"/>
          <w:lang w:val="hr-HR"/>
        </w:rPr>
        <w:t xml:space="preserve"> javi klinički značajna hiperkalijemija, p</w:t>
      </w:r>
      <w:r>
        <w:rPr>
          <w:bCs/>
          <w:sz w:val="22"/>
          <w:lang w:val="hr-HR"/>
        </w:rPr>
        <w:t>reporučuje se prilagođavanje ljek</w:t>
      </w:r>
      <w:r w:rsidRPr="001A5E19">
        <w:rPr>
          <w:bCs/>
          <w:sz w:val="22"/>
          <w:lang w:val="hr-HR"/>
        </w:rPr>
        <w:t>ova koji se isto</w:t>
      </w:r>
      <w:r>
        <w:rPr>
          <w:bCs/>
          <w:sz w:val="22"/>
          <w:lang w:val="hr-HR"/>
        </w:rPr>
        <w:t>vremeno primjen</w:t>
      </w:r>
      <w:r w:rsidRPr="001A5E19">
        <w:rPr>
          <w:bCs/>
          <w:sz w:val="22"/>
          <w:lang w:val="hr-HR"/>
        </w:rPr>
        <w:t>juju, ili privremeno post</w:t>
      </w:r>
      <w:r>
        <w:rPr>
          <w:bCs/>
          <w:sz w:val="22"/>
          <w:lang w:val="hr-HR"/>
        </w:rPr>
        <w:t>epeno</w:t>
      </w:r>
      <w:r w:rsidRPr="001A5E19">
        <w:rPr>
          <w:bCs/>
          <w:sz w:val="22"/>
          <w:lang w:val="hr-HR"/>
        </w:rPr>
        <w:t xml:space="preserve"> sniženje doze ili trajni prekid </w:t>
      </w:r>
      <w:r>
        <w:rPr>
          <w:bCs/>
          <w:sz w:val="22"/>
          <w:lang w:val="hr-HR"/>
        </w:rPr>
        <w:t>terapije</w:t>
      </w:r>
      <w:r w:rsidRPr="001A5E19">
        <w:rPr>
          <w:bCs/>
          <w:sz w:val="22"/>
          <w:lang w:val="hr-HR"/>
        </w:rPr>
        <w:t xml:space="preserve">. Ako je </w:t>
      </w:r>
      <w:r>
        <w:rPr>
          <w:bCs/>
          <w:sz w:val="22"/>
          <w:lang w:val="hr-HR"/>
        </w:rPr>
        <w:t>nivo</w:t>
      </w:r>
      <w:r w:rsidRPr="001A5E19">
        <w:rPr>
          <w:bCs/>
          <w:sz w:val="22"/>
          <w:lang w:val="hr-HR"/>
        </w:rPr>
        <w:t xml:space="preserve"> kalij</w:t>
      </w:r>
      <w:r>
        <w:rPr>
          <w:bCs/>
          <w:sz w:val="22"/>
          <w:lang w:val="hr-HR"/>
        </w:rPr>
        <w:t>um</w:t>
      </w:r>
      <w:r w:rsidRPr="001A5E19">
        <w:rPr>
          <w:bCs/>
          <w:sz w:val="22"/>
          <w:lang w:val="hr-HR"/>
        </w:rPr>
        <w:t>a u serumu &gt;5,4 mmol/l, pot</w:t>
      </w:r>
      <w:r>
        <w:rPr>
          <w:bCs/>
          <w:sz w:val="22"/>
          <w:lang w:val="hr-HR"/>
        </w:rPr>
        <w:t>rebno je razmotriti prekid primjene lijeka Entre</w:t>
      </w:r>
      <w:r w:rsidRPr="001A5E19">
        <w:rPr>
          <w:bCs/>
          <w:sz w:val="22"/>
          <w:lang w:val="hr-HR"/>
        </w:rPr>
        <w:t>st</w:t>
      </w:r>
      <w:r>
        <w:rPr>
          <w:bCs/>
          <w:sz w:val="22"/>
          <w:lang w:val="hr-HR"/>
        </w:rPr>
        <w:t>o</w:t>
      </w:r>
      <w:r w:rsidRPr="001A5E19">
        <w:rPr>
          <w:bCs/>
          <w:sz w:val="22"/>
          <w:lang w:val="hr-HR"/>
        </w:rPr>
        <w:t>.</w:t>
      </w:r>
    </w:p>
    <w:p w14:paraId="4BD8D0BA" w14:textId="77777777" w:rsidR="00B96A91" w:rsidRPr="001A5E19" w:rsidRDefault="00B96A91" w:rsidP="001B64BC">
      <w:pPr>
        <w:widowControl w:val="0"/>
        <w:jc w:val="both"/>
        <w:rPr>
          <w:sz w:val="22"/>
          <w:szCs w:val="22"/>
          <w:lang w:val="hr-HR"/>
        </w:rPr>
      </w:pPr>
    </w:p>
    <w:p w14:paraId="57CC43DD"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Angioedem</w:t>
      </w:r>
    </w:p>
    <w:p w14:paraId="52545C63" w14:textId="77777777" w:rsidR="00B96A91" w:rsidRPr="001A5E19" w:rsidRDefault="00B96A91" w:rsidP="001B64BC">
      <w:pPr>
        <w:keepNext/>
        <w:widowControl w:val="0"/>
        <w:autoSpaceDE w:val="0"/>
        <w:autoSpaceDN w:val="0"/>
        <w:adjustRightInd w:val="0"/>
        <w:jc w:val="both"/>
        <w:rPr>
          <w:bCs/>
          <w:sz w:val="22"/>
          <w:lang w:val="hr-HR"/>
        </w:rPr>
      </w:pPr>
    </w:p>
    <w:p w14:paraId="09691969" w14:textId="64D8CF1F" w:rsidR="00B96A91" w:rsidRPr="001A5E19" w:rsidRDefault="00B96A91" w:rsidP="001B64BC">
      <w:pPr>
        <w:widowControl w:val="0"/>
        <w:autoSpaceDE w:val="0"/>
        <w:autoSpaceDN w:val="0"/>
        <w:adjustRightInd w:val="0"/>
        <w:jc w:val="both"/>
        <w:rPr>
          <w:bCs/>
          <w:sz w:val="22"/>
          <w:lang w:val="hr-HR"/>
        </w:rPr>
      </w:pPr>
      <w:r>
        <w:rPr>
          <w:bCs/>
          <w:sz w:val="22"/>
          <w:lang w:val="hr-HR"/>
        </w:rPr>
        <w:t>Angioedem je prijavljen kod</w:t>
      </w:r>
      <w:r w:rsidRPr="001A5E19">
        <w:rPr>
          <w:bCs/>
          <w:sz w:val="22"/>
          <w:lang w:val="hr-HR"/>
        </w:rPr>
        <w:t xml:space="preserve"> </w:t>
      </w:r>
      <w:r>
        <w:rPr>
          <w:bCs/>
          <w:sz w:val="22"/>
          <w:lang w:val="hr-HR"/>
        </w:rPr>
        <w:t xml:space="preserve">pacijenata liječenih </w:t>
      </w:r>
      <w:r>
        <w:rPr>
          <w:bCs/>
          <w:sz w:val="22"/>
          <w:szCs w:val="20"/>
          <w:lang w:val="hr-HR"/>
        </w:rPr>
        <w:t>valsartan/sakubitril</w:t>
      </w:r>
      <w:r w:rsidRPr="001A5E19">
        <w:rPr>
          <w:bCs/>
          <w:sz w:val="22"/>
          <w:lang w:val="hr-HR"/>
        </w:rPr>
        <w:t>. Ako se po</w:t>
      </w:r>
      <w:r>
        <w:rPr>
          <w:bCs/>
          <w:sz w:val="22"/>
          <w:lang w:val="hr-HR"/>
        </w:rPr>
        <w:t>javi angioedem, primjen</w:t>
      </w:r>
      <w:r w:rsidRPr="001A5E19">
        <w:rPr>
          <w:bCs/>
          <w:sz w:val="22"/>
          <w:lang w:val="hr-HR"/>
        </w:rPr>
        <w:t>u</w:t>
      </w:r>
      <w:r>
        <w:rPr>
          <w:bCs/>
          <w:sz w:val="22"/>
          <w:lang w:val="hr-HR"/>
        </w:rPr>
        <w:t xml:space="preserve"> </w:t>
      </w:r>
      <w:r>
        <w:rPr>
          <w:bCs/>
          <w:sz w:val="22"/>
          <w:szCs w:val="20"/>
          <w:lang w:val="hr-HR"/>
        </w:rPr>
        <w:t>valsartan/sakubitril</w:t>
      </w:r>
      <w:r w:rsidRPr="001A5E19">
        <w:rPr>
          <w:bCs/>
          <w:sz w:val="22"/>
          <w:lang w:val="hr-HR"/>
        </w:rPr>
        <w:t xml:space="preserve"> treba odmah prekinuti </w:t>
      </w:r>
      <w:r>
        <w:rPr>
          <w:bCs/>
          <w:sz w:val="22"/>
          <w:lang w:val="hr-HR"/>
        </w:rPr>
        <w:t>i obezbijediti</w:t>
      </w:r>
      <w:r w:rsidRPr="001A5E19">
        <w:rPr>
          <w:bCs/>
          <w:sz w:val="22"/>
          <w:lang w:val="hr-HR"/>
        </w:rPr>
        <w:t xml:space="preserve"> odgovarajuću terapiju i praćenje dok se zna</w:t>
      </w:r>
      <w:r>
        <w:rPr>
          <w:bCs/>
          <w:sz w:val="22"/>
          <w:lang w:val="hr-HR"/>
        </w:rPr>
        <w:t>ci</w:t>
      </w:r>
      <w:r w:rsidRPr="001A5E19">
        <w:rPr>
          <w:bCs/>
          <w:sz w:val="22"/>
          <w:lang w:val="hr-HR"/>
        </w:rPr>
        <w:t xml:space="preserve"> i simptomi u potpunosti i trajno ne povuku. </w:t>
      </w:r>
      <w:r>
        <w:rPr>
          <w:bCs/>
          <w:sz w:val="22"/>
          <w:lang w:val="hr-HR"/>
        </w:rPr>
        <w:t>Lijek se n</w:t>
      </w:r>
      <w:r w:rsidRPr="001A5E19">
        <w:rPr>
          <w:bCs/>
          <w:sz w:val="22"/>
          <w:lang w:val="hr-HR"/>
        </w:rPr>
        <w:t>e sm</w:t>
      </w:r>
      <w:r w:rsidR="007B3E95">
        <w:rPr>
          <w:bCs/>
          <w:sz w:val="22"/>
          <w:lang w:val="hr-HR"/>
        </w:rPr>
        <w:t>ij</w:t>
      </w:r>
      <w:r w:rsidRPr="001A5E19">
        <w:rPr>
          <w:bCs/>
          <w:sz w:val="22"/>
          <w:lang w:val="hr-HR"/>
        </w:rPr>
        <w:t xml:space="preserve">e ponovno </w:t>
      </w:r>
      <w:r>
        <w:rPr>
          <w:bCs/>
          <w:sz w:val="22"/>
          <w:lang w:val="hr-HR"/>
        </w:rPr>
        <w:t>primijenit</w:t>
      </w:r>
      <w:r w:rsidRPr="001A5E19">
        <w:rPr>
          <w:bCs/>
          <w:sz w:val="22"/>
          <w:lang w:val="hr-HR"/>
        </w:rPr>
        <w:t>i. U slučajevima potvrđenog angioedema kada je oticanje ograničeno na lice i us</w:t>
      </w:r>
      <w:r>
        <w:rPr>
          <w:bCs/>
          <w:sz w:val="22"/>
          <w:lang w:val="hr-HR"/>
        </w:rPr>
        <w:t>ne</w:t>
      </w:r>
      <w:r w:rsidRPr="001A5E19">
        <w:rPr>
          <w:bCs/>
          <w:sz w:val="22"/>
          <w:lang w:val="hr-HR"/>
        </w:rPr>
        <w:t xml:space="preserve">, stanje se </w:t>
      </w:r>
      <w:r>
        <w:rPr>
          <w:bCs/>
          <w:sz w:val="22"/>
          <w:lang w:val="hr-HR"/>
        </w:rPr>
        <w:t>uglavnom rešavalo bez terapije</w:t>
      </w:r>
      <w:r w:rsidRPr="001A5E19">
        <w:rPr>
          <w:bCs/>
          <w:sz w:val="22"/>
          <w:lang w:val="hr-HR"/>
        </w:rPr>
        <w:t>, iako su antihistaminici korisni u ublažavanju simptoma.</w:t>
      </w:r>
    </w:p>
    <w:p w14:paraId="200083A6" w14:textId="77777777" w:rsidR="00B96A91" w:rsidRPr="001A5E19" w:rsidRDefault="00B96A91" w:rsidP="001B64BC">
      <w:pPr>
        <w:widowControl w:val="0"/>
        <w:autoSpaceDE w:val="0"/>
        <w:autoSpaceDN w:val="0"/>
        <w:adjustRightInd w:val="0"/>
        <w:jc w:val="both"/>
        <w:rPr>
          <w:bCs/>
          <w:sz w:val="22"/>
          <w:lang w:val="hr-HR"/>
        </w:rPr>
      </w:pPr>
    </w:p>
    <w:p w14:paraId="4EC73B1D" w14:textId="77777777" w:rsidR="00B96A91" w:rsidRPr="001A5E19" w:rsidRDefault="00B96A91" w:rsidP="001B64BC">
      <w:pPr>
        <w:widowControl w:val="0"/>
        <w:jc w:val="both"/>
        <w:rPr>
          <w:bCs/>
          <w:sz w:val="22"/>
          <w:lang w:val="hr-HR" w:eastAsia="hr-HR"/>
        </w:rPr>
      </w:pPr>
      <w:r w:rsidRPr="001A5E19">
        <w:rPr>
          <w:bCs/>
          <w:sz w:val="22"/>
          <w:lang w:val="hr-HR" w:eastAsia="hr-HR"/>
        </w:rPr>
        <w:t>Angioedem povezan s</w:t>
      </w:r>
      <w:r>
        <w:rPr>
          <w:bCs/>
          <w:sz w:val="22"/>
          <w:lang w:val="hr-HR" w:eastAsia="hr-HR"/>
        </w:rPr>
        <w:t>a edemom</w:t>
      </w:r>
      <w:r w:rsidRPr="001A5E19">
        <w:rPr>
          <w:bCs/>
          <w:sz w:val="22"/>
          <w:lang w:val="hr-HR" w:eastAsia="hr-HR"/>
        </w:rPr>
        <w:t xml:space="preserve"> larinksa može biti smrtonosan. Ako </w:t>
      </w:r>
      <w:r>
        <w:rPr>
          <w:bCs/>
          <w:sz w:val="22"/>
          <w:lang w:val="hr-HR" w:eastAsia="hr-HR"/>
        </w:rPr>
        <w:t>su</w:t>
      </w:r>
      <w:r w:rsidRPr="001A5E19">
        <w:rPr>
          <w:bCs/>
          <w:sz w:val="22"/>
          <w:lang w:val="hr-HR" w:eastAsia="hr-HR"/>
        </w:rPr>
        <w:t xml:space="preserve"> uključen</w:t>
      </w:r>
      <w:r>
        <w:rPr>
          <w:bCs/>
          <w:sz w:val="22"/>
          <w:lang w:val="hr-HR" w:eastAsia="hr-HR"/>
        </w:rPr>
        <w:t>i</w:t>
      </w:r>
      <w:r w:rsidRPr="001A5E19">
        <w:rPr>
          <w:bCs/>
          <w:sz w:val="22"/>
          <w:lang w:val="hr-HR" w:eastAsia="hr-HR"/>
        </w:rPr>
        <w:t xml:space="preserve"> jezik, glotis ili larinks, može </w:t>
      </w:r>
      <w:r>
        <w:rPr>
          <w:bCs/>
          <w:sz w:val="22"/>
          <w:lang w:val="hr-HR" w:eastAsia="hr-HR"/>
        </w:rPr>
        <w:t>doći do</w:t>
      </w:r>
      <w:r w:rsidRPr="001A5E19">
        <w:rPr>
          <w:bCs/>
          <w:sz w:val="22"/>
          <w:lang w:val="hr-HR" w:eastAsia="hr-HR"/>
        </w:rPr>
        <w:t xml:space="preserve"> opstrukcij</w:t>
      </w:r>
      <w:r>
        <w:rPr>
          <w:bCs/>
          <w:sz w:val="22"/>
          <w:lang w:val="hr-HR" w:eastAsia="hr-HR"/>
        </w:rPr>
        <w:t>e disajnih puteva, potrebno je odmah primijen</w:t>
      </w:r>
      <w:r w:rsidRPr="001A5E19">
        <w:rPr>
          <w:bCs/>
          <w:sz w:val="22"/>
          <w:lang w:val="hr-HR" w:eastAsia="hr-HR"/>
        </w:rPr>
        <w:t xml:space="preserve">iti odgovarajuću terapiju, npr. </w:t>
      </w:r>
      <w:r>
        <w:rPr>
          <w:bCs/>
          <w:sz w:val="22"/>
          <w:lang w:val="hr-HR" w:eastAsia="hr-HR"/>
        </w:rPr>
        <w:t>rastvor</w:t>
      </w:r>
      <w:r w:rsidRPr="001A5E19">
        <w:rPr>
          <w:bCs/>
          <w:sz w:val="22"/>
          <w:lang w:val="hr-HR" w:eastAsia="hr-HR"/>
        </w:rPr>
        <w:t xml:space="preserve"> adrenalina</w:t>
      </w:r>
      <w:r>
        <w:rPr>
          <w:bCs/>
          <w:sz w:val="22"/>
          <w:lang w:val="hr-HR" w:eastAsia="hr-HR"/>
        </w:rPr>
        <w:t xml:space="preserve"> 1 mg/1 ml (0,3</w:t>
      </w:r>
      <w:r>
        <w:rPr>
          <w:bCs/>
          <w:sz w:val="22"/>
          <w:lang w:val="hr-HR" w:eastAsia="hr-HR"/>
        </w:rPr>
        <w:noBreakHyphen/>
        <w:t>0,5 ml) i/ili mj</w:t>
      </w:r>
      <w:r w:rsidRPr="001A5E19">
        <w:rPr>
          <w:bCs/>
          <w:sz w:val="22"/>
          <w:lang w:val="hr-HR" w:eastAsia="hr-HR"/>
        </w:rPr>
        <w:t xml:space="preserve">ere </w:t>
      </w:r>
      <w:r>
        <w:rPr>
          <w:bCs/>
          <w:sz w:val="22"/>
          <w:lang w:val="hr-HR" w:eastAsia="hr-HR"/>
        </w:rPr>
        <w:t xml:space="preserve">neophodne </w:t>
      </w:r>
      <w:r w:rsidRPr="001A5E19">
        <w:rPr>
          <w:bCs/>
          <w:sz w:val="22"/>
          <w:lang w:val="hr-HR" w:eastAsia="hr-HR"/>
        </w:rPr>
        <w:t>da bi se o</w:t>
      </w:r>
      <w:r>
        <w:rPr>
          <w:bCs/>
          <w:sz w:val="22"/>
          <w:lang w:val="hr-HR" w:eastAsia="hr-HR"/>
        </w:rPr>
        <w:t>slobodio disajni</w:t>
      </w:r>
      <w:r w:rsidRPr="001A5E19">
        <w:rPr>
          <w:bCs/>
          <w:sz w:val="22"/>
          <w:lang w:val="hr-HR" w:eastAsia="hr-HR"/>
        </w:rPr>
        <w:t xml:space="preserve"> put.</w:t>
      </w:r>
    </w:p>
    <w:p w14:paraId="4C33B022" w14:textId="77777777" w:rsidR="00B96A91" w:rsidRPr="001A5E19" w:rsidRDefault="00B96A91" w:rsidP="001B64BC">
      <w:pPr>
        <w:widowControl w:val="0"/>
        <w:jc w:val="both"/>
        <w:rPr>
          <w:bCs/>
          <w:sz w:val="22"/>
          <w:szCs w:val="22"/>
          <w:lang w:val="hr-HR" w:eastAsia="hr-HR"/>
        </w:rPr>
      </w:pPr>
    </w:p>
    <w:p w14:paraId="75F8F811" w14:textId="4855D91E" w:rsidR="00B96A91" w:rsidRPr="001A5E19" w:rsidRDefault="00B96A91" w:rsidP="001B64BC">
      <w:pPr>
        <w:widowControl w:val="0"/>
        <w:jc w:val="both"/>
        <w:rPr>
          <w:bCs/>
          <w:sz w:val="22"/>
          <w:szCs w:val="22"/>
          <w:lang w:val="hr-HR" w:eastAsia="hr-HR"/>
        </w:rPr>
      </w:pPr>
      <w:r>
        <w:rPr>
          <w:bCs/>
          <w:sz w:val="22"/>
          <w:szCs w:val="22"/>
          <w:lang w:val="hr-HR" w:eastAsia="hr-HR"/>
        </w:rPr>
        <w:lastRenderedPageBreak/>
        <w:t>Pacijent</w:t>
      </w:r>
      <w:r w:rsidRPr="001A5E19">
        <w:rPr>
          <w:bCs/>
          <w:sz w:val="22"/>
          <w:szCs w:val="22"/>
          <w:lang w:val="hr-HR" w:eastAsia="hr-HR"/>
        </w:rPr>
        <w:t>i s</w:t>
      </w:r>
      <w:r>
        <w:rPr>
          <w:bCs/>
          <w:sz w:val="22"/>
          <w:szCs w:val="22"/>
          <w:lang w:val="hr-HR" w:eastAsia="hr-HR"/>
        </w:rPr>
        <w:t>a anamnestičkim podacima o</w:t>
      </w:r>
      <w:r w:rsidRPr="001A5E19">
        <w:rPr>
          <w:bCs/>
          <w:sz w:val="22"/>
          <w:szCs w:val="22"/>
          <w:lang w:val="hr-HR" w:eastAsia="hr-HR"/>
        </w:rPr>
        <w:t xml:space="preserve"> angioedem</w:t>
      </w:r>
      <w:r>
        <w:rPr>
          <w:bCs/>
          <w:sz w:val="22"/>
          <w:szCs w:val="22"/>
          <w:lang w:val="hr-HR" w:eastAsia="hr-HR"/>
        </w:rPr>
        <w:t>u</w:t>
      </w:r>
      <w:r w:rsidRPr="001A5E19">
        <w:rPr>
          <w:bCs/>
          <w:sz w:val="22"/>
          <w:szCs w:val="22"/>
          <w:lang w:val="hr-HR" w:eastAsia="hr-HR"/>
        </w:rPr>
        <w:t xml:space="preserve"> ni</w:t>
      </w:r>
      <w:r>
        <w:rPr>
          <w:bCs/>
          <w:sz w:val="22"/>
          <w:szCs w:val="22"/>
          <w:lang w:val="hr-HR" w:eastAsia="hr-HR"/>
        </w:rPr>
        <w:t>je</w:t>
      </w:r>
      <w:r w:rsidRPr="001A5E19">
        <w:rPr>
          <w:bCs/>
          <w:sz w:val="22"/>
          <w:szCs w:val="22"/>
          <w:lang w:val="hr-HR" w:eastAsia="hr-HR"/>
        </w:rPr>
        <w:t xml:space="preserve">su bili ispitivani. </w:t>
      </w:r>
      <w:r>
        <w:rPr>
          <w:bCs/>
          <w:sz w:val="22"/>
          <w:szCs w:val="22"/>
          <w:lang w:val="hr-HR" w:eastAsia="hr-HR"/>
        </w:rPr>
        <w:t xml:space="preserve">S obzirom da su oni pod većim rizikom od pojave angioedema, </w:t>
      </w:r>
      <w:r w:rsidRPr="001A5E19">
        <w:rPr>
          <w:bCs/>
          <w:sz w:val="22"/>
          <w:szCs w:val="22"/>
          <w:lang w:val="hr-HR" w:eastAsia="hr-HR"/>
        </w:rPr>
        <w:t>preporučuje se oprez</w:t>
      </w:r>
      <w:r>
        <w:rPr>
          <w:bCs/>
          <w:sz w:val="22"/>
          <w:szCs w:val="22"/>
          <w:lang w:val="hr-HR" w:eastAsia="hr-HR"/>
        </w:rPr>
        <w:t xml:space="preserve">na primjena </w:t>
      </w:r>
      <w:r>
        <w:rPr>
          <w:bCs/>
          <w:sz w:val="22"/>
          <w:szCs w:val="20"/>
          <w:lang w:val="hr-HR"/>
        </w:rPr>
        <w:t>valsartan/sakubitril</w:t>
      </w:r>
      <w:r>
        <w:rPr>
          <w:bCs/>
          <w:sz w:val="22"/>
          <w:szCs w:val="22"/>
          <w:lang w:val="hr-HR" w:eastAsia="hr-HR"/>
        </w:rPr>
        <w:t xml:space="preserve"> kod tih pacijenata. </w:t>
      </w:r>
      <w:r>
        <w:rPr>
          <w:bCs/>
          <w:sz w:val="22"/>
          <w:szCs w:val="20"/>
          <w:lang w:val="hr-HR"/>
        </w:rPr>
        <w:t>Valsartan/sakubitril</w:t>
      </w:r>
      <w:r w:rsidRPr="001A5E19">
        <w:rPr>
          <w:bCs/>
          <w:sz w:val="22"/>
          <w:szCs w:val="22"/>
          <w:lang w:val="hr-HR" w:eastAsia="hr-HR"/>
        </w:rPr>
        <w:t xml:space="preserve"> je kontraindi</w:t>
      </w:r>
      <w:r>
        <w:rPr>
          <w:bCs/>
          <w:sz w:val="22"/>
          <w:szCs w:val="22"/>
          <w:lang w:val="hr-HR" w:eastAsia="hr-HR"/>
        </w:rPr>
        <w:t>kovan kod pacijenata</w:t>
      </w:r>
      <w:r w:rsidRPr="001A5E19">
        <w:rPr>
          <w:bCs/>
          <w:sz w:val="22"/>
          <w:szCs w:val="22"/>
          <w:lang w:val="hr-HR" w:eastAsia="hr-HR"/>
        </w:rPr>
        <w:t xml:space="preserve"> s</w:t>
      </w:r>
      <w:r>
        <w:rPr>
          <w:bCs/>
          <w:sz w:val="22"/>
          <w:szCs w:val="22"/>
          <w:lang w:val="hr-HR" w:eastAsia="hr-HR"/>
        </w:rPr>
        <w:t>a</w:t>
      </w:r>
      <w:r w:rsidRPr="001A5E19">
        <w:rPr>
          <w:bCs/>
          <w:sz w:val="22"/>
          <w:szCs w:val="22"/>
          <w:lang w:val="hr-HR" w:eastAsia="hr-HR"/>
        </w:rPr>
        <w:t xml:space="preserve"> </w:t>
      </w:r>
      <w:r>
        <w:rPr>
          <w:bCs/>
          <w:sz w:val="22"/>
          <w:szCs w:val="22"/>
          <w:lang w:val="hr-HR" w:eastAsia="hr-HR"/>
        </w:rPr>
        <w:t>anamnestičkim podacima o a</w:t>
      </w:r>
      <w:r w:rsidRPr="001A5E19">
        <w:rPr>
          <w:bCs/>
          <w:sz w:val="22"/>
          <w:szCs w:val="22"/>
          <w:lang w:val="hr-HR" w:eastAsia="hr-HR"/>
        </w:rPr>
        <w:t>ngioedem</w:t>
      </w:r>
      <w:r>
        <w:rPr>
          <w:bCs/>
          <w:sz w:val="22"/>
          <w:szCs w:val="22"/>
          <w:lang w:val="hr-HR" w:eastAsia="hr-HR"/>
        </w:rPr>
        <w:t xml:space="preserve">u </w:t>
      </w:r>
      <w:r w:rsidRPr="001A5E19">
        <w:rPr>
          <w:bCs/>
          <w:sz w:val="22"/>
          <w:szCs w:val="22"/>
          <w:lang w:val="hr-HR" w:eastAsia="hr-HR"/>
        </w:rPr>
        <w:t>povezanim s</w:t>
      </w:r>
      <w:r>
        <w:rPr>
          <w:bCs/>
          <w:sz w:val="22"/>
          <w:szCs w:val="22"/>
          <w:lang w:val="hr-HR" w:eastAsia="hr-HR"/>
        </w:rPr>
        <w:t>a</w:t>
      </w:r>
      <w:r w:rsidRPr="001A5E19">
        <w:rPr>
          <w:bCs/>
          <w:sz w:val="22"/>
          <w:szCs w:val="22"/>
          <w:lang w:val="hr-HR" w:eastAsia="hr-HR"/>
        </w:rPr>
        <w:t xml:space="preserve"> prethodnom terapijom ACE in</w:t>
      </w:r>
      <w:r>
        <w:rPr>
          <w:bCs/>
          <w:sz w:val="22"/>
          <w:szCs w:val="22"/>
          <w:lang w:val="hr-HR" w:eastAsia="hr-HR"/>
        </w:rPr>
        <w:t>hibitorom ili ARB</w:t>
      </w:r>
      <w:r>
        <w:rPr>
          <w:bCs/>
          <w:sz w:val="22"/>
          <w:szCs w:val="22"/>
          <w:lang w:val="hr-HR" w:eastAsia="hr-HR"/>
        </w:rPr>
        <w:noBreakHyphen/>
        <w:t>om ili s</w:t>
      </w:r>
      <w:r w:rsidR="00943360">
        <w:rPr>
          <w:bCs/>
          <w:sz w:val="22"/>
          <w:szCs w:val="22"/>
          <w:lang w:val="hr-HR" w:eastAsia="hr-HR"/>
        </w:rPr>
        <w:t>a</w:t>
      </w:r>
      <w:r>
        <w:rPr>
          <w:bCs/>
          <w:sz w:val="22"/>
          <w:szCs w:val="22"/>
          <w:lang w:val="hr-HR" w:eastAsia="hr-HR"/>
        </w:rPr>
        <w:t xml:space="preserve"> naslj</w:t>
      </w:r>
      <w:r w:rsidRPr="001A5E19">
        <w:rPr>
          <w:bCs/>
          <w:sz w:val="22"/>
          <w:szCs w:val="22"/>
          <w:lang w:val="hr-HR" w:eastAsia="hr-HR"/>
        </w:rPr>
        <w:t>ednim ili i</w:t>
      </w:r>
      <w:r>
        <w:rPr>
          <w:bCs/>
          <w:sz w:val="22"/>
          <w:szCs w:val="22"/>
          <w:lang w:val="hr-HR" w:eastAsia="hr-HR"/>
        </w:rPr>
        <w:t>dio</w:t>
      </w:r>
      <w:r w:rsidRPr="001A5E19">
        <w:rPr>
          <w:bCs/>
          <w:sz w:val="22"/>
          <w:szCs w:val="22"/>
          <w:lang w:val="hr-HR" w:eastAsia="hr-HR"/>
        </w:rPr>
        <w:t>patskim angioedemom (</w:t>
      </w:r>
      <w:r>
        <w:rPr>
          <w:bCs/>
          <w:sz w:val="22"/>
          <w:szCs w:val="22"/>
          <w:lang w:val="hr-HR" w:eastAsia="hr-HR"/>
        </w:rPr>
        <w:t>vidjeti</w:t>
      </w:r>
      <w:r w:rsidRPr="001A5E19">
        <w:rPr>
          <w:bCs/>
          <w:sz w:val="22"/>
          <w:szCs w:val="22"/>
          <w:lang w:val="hr-HR" w:eastAsia="hr-HR"/>
        </w:rPr>
        <w:t xml:space="preserve"> </w:t>
      </w:r>
      <w:r w:rsidR="007B3E95">
        <w:rPr>
          <w:bCs/>
          <w:sz w:val="22"/>
          <w:szCs w:val="22"/>
          <w:lang w:val="hr-HR" w:eastAsia="hr-HR"/>
        </w:rPr>
        <w:t>dio</w:t>
      </w:r>
      <w:r w:rsidR="007B3E95" w:rsidRPr="001A5E19">
        <w:rPr>
          <w:bCs/>
          <w:sz w:val="22"/>
          <w:szCs w:val="22"/>
          <w:lang w:val="hr-HR" w:eastAsia="hr-HR"/>
        </w:rPr>
        <w:t> </w:t>
      </w:r>
      <w:r w:rsidRPr="001A5E19">
        <w:rPr>
          <w:bCs/>
          <w:sz w:val="22"/>
          <w:szCs w:val="22"/>
          <w:lang w:val="hr-HR" w:eastAsia="hr-HR"/>
        </w:rPr>
        <w:t>4.3).</w:t>
      </w:r>
    </w:p>
    <w:p w14:paraId="6B519DB5" w14:textId="77777777" w:rsidR="00B96A91" w:rsidRPr="001A5E19" w:rsidRDefault="00B96A91" w:rsidP="001B64BC">
      <w:pPr>
        <w:widowControl w:val="0"/>
        <w:jc w:val="both"/>
        <w:rPr>
          <w:bCs/>
          <w:sz w:val="22"/>
          <w:szCs w:val="22"/>
          <w:lang w:val="hr-HR" w:eastAsia="hr-HR"/>
        </w:rPr>
      </w:pPr>
    </w:p>
    <w:p w14:paraId="351C1A92" w14:textId="1DAB7845" w:rsidR="00B96A91" w:rsidRPr="001A5E19" w:rsidRDefault="00B96A91" w:rsidP="001B64BC">
      <w:pPr>
        <w:widowControl w:val="0"/>
        <w:jc w:val="both"/>
        <w:rPr>
          <w:bCs/>
          <w:sz w:val="22"/>
          <w:szCs w:val="22"/>
          <w:lang w:val="hr-HR" w:eastAsia="hr-HR"/>
        </w:rPr>
      </w:pPr>
      <w:r>
        <w:rPr>
          <w:bCs/>
          <w:sz w:val="22"/>
          <w:szCs w:val="22"/>
          <w:lang w:val="hr-HR" w:eastAsia="hr-HR"/>
        </w:rPr>
        <w:t>Pacijenti crne rase imaju veću osj</w:t>
      </w:r>
      <w:r w:rsidRPr="001A5E19">
        <w:rPr>
          <w:bCs/>
          <w:sz w:val="22"/>
          <w:szCs w:val="22"/>
          <w:lang w:val="hr-HR" w:eastAsia="hr-HR"/>
        </w:rPr>
        <w:t>etljivost na razvoj angioedema (</w:t>
      </w:r>
      <w:r>
        <w:rPr>
          <w:bCs/>
          <w:sz w:val="22"/>
          <w:szCs w:val="22"/>
          <w:lang w:val="hr-HR" w:eastAsia="hr-HR"/>
        </w:rPr>
        <w:t>vidjeti</w:t>
      </w:r>
      <w:r w:rsidRPr="001A5E19">
        <w:rPr>
          <w:bCs/>
          <w:sz w:val="22"/>
          <w:szCs w:val="22"/>
          <w:lang w:val="hr-HR" w:eastAsia="hr-HR"/>
        </w:rPr>
        <w:t xml:space="preserve"> </w:t>
      </w:r>
      <w:r w:rsidR="007B3E95">
        <w:rPr>
          <w:bCs/>
          <w:sz w:val="22"/>
          <w:szCs w:val="22"/>
          <w:lang w:val="hr-HR" w:eastAsia="hr-HR"/>
        </w:rPr>
        <w:t>dio</w:t>
      </w:r>
      <w:r w:rsidR="007B3E95" w:rsidRPr="001A5E19">
        <w:rPr>
          <w:bCs/>
          <w:sz w:val="22"/>
          <w:szCs w:val="22"/>
          <w:lang w:val="hr-HR" w:eastAsia="hr-HR"/>
        </w:rPr>
        <w:t> </w:t>
      </w:r>
      <w:r w:rsidRPr="001A5E19">
        <w:rPr>
          <w:bCs/>
          <w:sz w:val="22"/>
          <w:szCs w:val="22"/>
          <w:lang w:val="hr-HR" w:eastAsia="hr-HR"/>
        </w:rPr>
        <w:t>4.8).</w:t>
      </w:r>
    </w:p>
    <w:p w14:paraId="12342996" w14:textId="77777777" w:rsidR="00B96A91" w:rsidRPr="001A5E19" w:rsidRDefault="00B96A91" w:rsidP="001B64BC">
      <w:pPr>
        <w:widowControl w:val="0"/>
        <w:jc w:val="both"/>
        <w:rPr>
          <w:bCs/>
          <w:sz w:val="22"/>
          <w:szCs w:val="22"/>
          <w:lang w:val="hr-HR" w:eastAsia="hr-HR"/>
        </w:rPr>
      </w:pPr>
    </w:p>
    <w:p w14:paraId="762C0B19" w14:textId="77777777" w:rsidR="00B96A91" w:rsidRPr="001A5E19" w:rsidRDefault="00B96A91" w:rsidP="001B64BC">
      <w:pPr>
        <w:keepNext/>
        <w:widowControl w:val="0"/>
        <w:jc w:val="both"/>
        <w:rPr>
          <w:sz w:val="22"/>
          <w:szCs w:val="22"/>
          <w:u w:val="single"/>
          <w:lang w:val="hr-HR"/>
        </w:rPr>
      </w:pPr>
      <w:r>
        <w:rPr>
          <w:sz w:val="22"/>
          <w:szCs w:val="22"/>
          <w:u w:val="single"/>
          <w:lang w:val="hr-HR"/>
        </w:rPr>
        <w:t>Pacijent</w:t>
      </w:r>
      <w:r w:rsidRPr="001A5E19">
        <w:rPr>
          <w:sz w:val="22"/>
          <w:szCs w:val="22"/>
          <w:u w:val="single"/>
          <w:lang w:val="hr-HR"/>
        </w:rPr>
        <w:t>i sa stenozom bubrežne arterije</w:t>
      </w:r>
    </w:p>
    <w:p w14:paraId="12B2B359" w14:textId="77777777" w:rsidR="00B96A91" w:rsidRPr="001A5E19" w:rsidRDefault="00B96A91" w:rsidP="001B64BC">
      <w:pPr>
        <w:keepNext/>
        <w:widowControl w:val="0"/>
        <w:autoSpaceDE w:val="0"/>
        <w:autoSpaceDN w:val="0"/>
        <w:adjustRightInd w:val="0"/>
        <w:jc w:val="both"/>
        <w:rPr>
          <w:bCs/>
          <w:sz w:val="22"/>
          <w:lang w:val="hr-HR"/>
        </w:rPr>
      </w:pPr>
    </w:p>
    <w:p w14:paraId="6C971B25" w14:textId="77777777" w:rsidR="00B96A91" w:rsidRPr="001A5E19" w:rsidRDefault="00B96A91" w:rsidP="001B64BC">
      <w:pPr>
        <w:widowControl w:val="0"/>
        <w:jc w:val="both"/>
        <w:rPr>
          <w:bCs/>
          <w:sz w:val="22"/>
          <w:szCs w:val="20"/>
          <w:lang w:val="hr-HR"/>
        </w:rPr>
      </w:pPr>
      <w:r>
        <w:rPr>
          <w:bCs/>
          <w:sz w:val="22"/>
          <w:szCs w:val="20"/>
          <w:lang w:val="hr-HR"/>
        </w:rPr>
        <w:t>Valsartan/sakubitril</w:t>
      </w:r>
      <w:r w:rsidRPr="001A5E19">
        <w:rPr>
          <w:bCs/>
          <w:sz w:val="22"/>
          <w:szCs w:val="20"/>
          <w:lang w:val="hr-HR"/>
        </w:rPr>
        <w:t xml:space="preserve"> može </w:t>
      </w:r>
      <w:r>
        <w:rPr>
          <w:bCs/>
          <w:sz w:val="22"/>
          <w:szCs w:val="20"/>
          <w:lang w:val="hr-HR"/>
        </w:rPr>
        <w:t>da poveća nivo</w:t>
      </w:r>
      <w:r w:rsidRPr="001A5E19">
        <w:rPr>
          <w:bCs/>
          <w:sz w:val="22"/>
          <w:szCs w:val="20"/>
          <w:lang w:val="hr-HR"/>
        </w:rPr>
        <w:t xml:space="preserve"> uree u krvi i kreatinina u serumu </w:t>
      </w:r>
      <w:r>
        <w:rPr>
          <w:bCs/>
          <w:sz w:val="22"/>
          <w:szCs w:val="20"/>
          <w:lang w:val="hr-HR"/>
        </w:rPr>
        <w:t>kod</w:t>
      </w:r>
      <w:r w:rsidRPr="001A5E19">
        <w:rPr>
          <w:bCs/>
          <w:sz w:val="22"/>
          <w:szCs w:val="20"/>
          <w:lang w:val="hr-HR"/>
        </w:rPr>
        <w:t xml:space="preserve"> </w:t>
      </w:r>
      <w:r>
        <w:rPr>
          <w:bCs/>
          <w:sz w:val="22"/>
          <w:szCs w:val="20"/>
          <w:lang w:val="hr-HR"/>
        </w:rPr>
        <w:t>pacijenata</w:t>
      </w:r>
      <w:r w:rsidRPr="001A5E19">
        <w:rPr>
          <w:bCs/>
          <w:sz w:val="22"/>
          <w:szCs w:val="20"/>
          <w:lang w:val="hr-HR"/>
        </w:rPr>
        <w:t xml:space="preserve"> s</w:t>
      </w:r>
      <w:r>
        <w:rPr>
          <w:bCs/>
          <w:sz w:val="22"/>
          <w:szCs w:val="20"/>
          <w:lang w:val="hr-HR"/>
        </w:rPr>
        <w:t>a</w:t>
      </w:r>
      <w:r w:rsidRPr="001A5E19">
        <w:rPr>
          <w:bCs/>
          <w:sz w:val="22"/>
          <w:szCs w:val="20"/>
          <w:lang w:val="hr-HR"/>
        </w:rPr>
        <w:t xml:space="preserve"> obostranom ili jednostranom stenozom bubrežne arterije. Potreban je oprez </w:t>
      </w:r>
      <w:r>
        <w:rPr>
          <w:bCs/>
          <w:sz w:val="22"/>
          <w:szCs w:val="20"/>
          <w:lang w:val="hr-HR"/>
        </w:rPr>
        <w:t>kod</w:t>
      </w:r>
      <w:r w:rsidRPr="001A5E19">
        <w:rPr>
          <w:bCs/>
          <w:sz w:val="22"/>
          <w:szCs w:val="20"/>
          <w:lang w:val="hr-HR"/>
        </w:rPr>
        <w:t xml:space="preserve"> </w:t>
      </w:r>
      <w:r>
        <w:rPr>
          <w:bCs/>
          <w:sz w:val="22"/>
          <w:szCs w:val="20"/>
          <w:lang w:val="hr-HR"/>
        </w:rPr>
        <w:t>pacijenata</w:t>
      </w:r>
      <w:r w:rsidRPr="001A5E19">
        <w:rPr>
          <w:bCs/>
          <w:sz w:val="22"/>
          <w:szCs w:val="20"/>
          <w:lang w:val="hr-HR"/>
        </w:rPr>
        <w:t xml:space="preserve"> sa stenozom bubrežne arterije i preporučuje se praćenje bubrežne funkcije.</w:t>
      </w:r>
    </w:p>
    <w:p w14:paraId="7BF95505" w14:textId="77777777" w:rsidR="00B96A91" w:rsidRPr="001A5E19" w:rsidRDefault="00B96A91" w:rsidP="001B64BC">
      <w:pPr>
        <w:widowControl w:val="0"/>
        <w:jc w:val="both"/>
        <w:rPr>
          <w:bCs/>
          <w:sz w:val="22"/>
          <w:szCs w:val="20"/>
          <w:lang w:val="hr-HR"/>
        </w:rPr>
      </w:pPr>
    </w:p>
    <w:p w14:paraId="273FA751" w14:textId="6C82FB46" w:rsidR="00B96A91" w:rsidRPr="001A5E19" w:rsidRDefault="00B96A91" w:rsidP="001B64BC">
      <w:pPr>
        <w:keepNext/>
        <w:widowControl w:val="0"/>
        <w:jc w:val="both"/>
        <w:rPr>
          <w:sz w:val="22"/>
          <w:szCs w:val="22"/>
          <w:u w:val="single"/>
          <w:lang w:val="hr-HR"/>
        </w:rPr>
      </w:pPr>
      <w:r>
        <w:rPr>
          <w:bCs/>
          <w:sz w:val="22"/>
          <w:szCs w:val="20"/>
          <w:u w:val="single"/>
          <w:lang w:val="hr-HR"/>
        </w:rPr>
        <w:t>Pacijent</w:t>
      </w:r>
      <w:r w:rsidRPr="001A5E19">
        <w:rPr>
          <w:bCs/>
          <w:sz w:val="22"/>
          <w:szCs w:val="20"/>
          <w:u w:val="single"/>
          <w:lang w:val="hr-HR"/>
        </w:rPr>
        <w:t>i sa NYHA</w:t>
      </w:r>
      <w:r w:rsidR="00584F44" w:rsidRPr="00AB63CB">
        <w:rPr>
          <w:bCs/>
          <w:sz w:val="22"/>
          <w:szCs w:val="18"/>
          <w:u w:val="single"/>
          <w:lang w:val="hr-HR"/>
        </w:rPr>
        <w:t xml:space="preserve"> (engl. </w:t>
      </w:r>
      <w:r w:rsidR="00584F44" w:rsidRPr="00AB63CB">
        <w:rPr>
          <w:bCs/>
          <w:i/>
          <w:iCs/>
          <w:sz w:val="22"/>
          <w:szCs w:val="18"/>
          <w:u w:val="single"/>
          <w:lang w:val="hr-HR"/>
        </w:rPr>
        <w:t>New York Heart Association</w:t>
      </w:r>
      <w:r w:rsidR="00584F44" w:rsidRPr="00AB63CB">
        <w:rPr>
          <w:bCs/>
          <w:sz w:val="22"/>
          <w:szCs w:val="18"/>
          <w:u w:val="single"/>
          <w:lang w:val="hr-HR"/>
        </w:rPr>
        <w:t>)</w:t>
      </w:r>
      <w:r w:rsidR="00584F44">
        <w:rPr>
          <w:bCs/>
          <w:szCs w:val="20"/>
          <w:u w:val="single"/>
          <w:lang w:val="hr-HR"/>
        </w:rPr>
        <w:t xml:space="preserve"> </w:t>
      </w:r>
      <w:r>
        <w:rPr>
          <w:bCs/>
          <w:sz w:val="22"/>
          <w:szCs w:val="20"/>
          <w:u w:val="single"/>
          <w:lang w:val="hr-HR"/>
        </w:rPr>
        <w:t>funkcionalnom klasifikacijom IV stepena</w:t>
      </w:r>
    </w:p>
    <w:p w14:paraId="500283B3" w14:textId="77777777" w:rsidR="00B96A91" w:rsidRPr="001A5E19" w:rsidRDefault="00B96A91" w:rsidP="001B64BC">
      <w:pPr>
        <w:keepNext/>
        <w:widowControl w:val="0"/>
        <w:jc w:val="both"/>
        <w:outlineLvl w:val="0"/>
        <w:rPr>
          <w:sz w:val="22"/>
          <w:szCs w:val="22"/>
          <w:lang w:val="hr-HR"/>
        </w:rPr>
      </w:pPr>
    </w:p>
    <w:p w14:paraId="0B83497D" w14:textId="77777777" w:rsidR="00B96A91" w:rsidRPr="001A5E19" w:rsidRDefault="00B96A91" w:rsidP="001B64BC">
      <w:pPr>
        <w:widowControl w:val="0"/>
        <w:jc w:val="both"/>
        <w:outlineLvl w:val="0"/>
        <w:rPr>
          <w:sz w:val="22"/>
          <w:szCs w:val="22"/>
          <w:lang w:val="hr-HR"/>
        </w:rPr>
      </w:pPr>
      <w:r w:rsidRPr="001A5E19">
        <w:rPr>
          <w:sz w:val="22"/>
          <w:szCs w:val="22"/>
          <w:lang w:val="hr-HR"/>
        </w:rPr>
        <w:t>Potreban je o</w:t>
      </w:r>
      <w:r>
        <w:rPr>
          <w:sz w:val="22"/>
          <w:szCs w:val="22"/>
          <w:lang w:val="hr-HR"/>
        </w:rPr>
        <w:t xml:space="preserve">prez kada se započinje terapija </w:t>
      </w:r>
      <w:r>
        <w:rPr>
          <w:bCs/>
          <w:sz w:val="22"/>
          <w:szCs w:val="20"/>
          <w:lang w:val="hr-HR"/>
        </w:rPr>
        <w:t>valsartan/sakubitril</w:t>
      </w:r>
      <w:r>
        <w:rPr>
          <w:sz w:val="22"/>
          <w:szCs w:val="22"/>
          <w:lang w:val="hr-HR"/>
        </w:rPr>
        <w:t xml:space="preserve"> kod pacijenata sa</w:t>
      </w:r>
      <w:r w:rsidRPr="001A5E19">
        <w:rPr>
          <w:sz w:val="22"/>
          <w:szCs w:val="22"/>
          <w:lang w:val="hr-HR"/>
        </w:rPr>
        <w:t xml:space="preserve"> NYHA funkcionalno</w:t>
      </w:r>
      <w:r>
        <w:rPr>
          <w:sz w:val="22"/>
          <w:szCs w:val="22"/>
          <w:lang w:val="hr-HR"/>
        </w:rPr>
        <w:t>m</w:t>
      </w:r>
      <w:r w:rsidRPr="001A5E19">
        <w:rPr>
          <w:sz w:val="22"/>
          <w:szCs w:val="22"/>
          <w:lang w:val="hr-HR"/>
        </w:rPr>
        <w:t xml:space="preserve"> klasifikacij</w:t>
      </w:r>
      <w:r>
        <w:rPr>
          <w:sz w:val="22"/>
          <w:szCs w:val="22"/>
          <w:lang w:val="hr-HR"/>
        </w:rPr>
        <w:t>om stepena IV</w:t>
      </w:r>
      <w:r w:rsidRPr="001A5E19">
        <w:rPr>
          <w:sz w:val="22"/>
          <w:szCs w:val="22"/>
          <w:lang w:val="hr-HR"/>
        </w:rPr>
        <w:t xml:space="preserve"> zbog ograničenog kliničkog iskustva u toj populaciji.</w:t>
      </w:r>
    </w:p>
    <w:p w14:paraId="46A7039F" w14:textId="77777777" w:rsidR="00B96A91" w:rsidRPr="001A5E19" w:rsidRDefault="00B96A91" w:rsidP="001B64BC">
      <w:pPr>
        <w:widowControl w:val="0"/>
        <w:jc w:val="both"/>
        <w:outlineLvl w:val="0"/>
        <w:rPr>
          <w:sz w:val="22"/>
          <w:szCs w:val="22"/>
          <w:lang w:val="hr-HR"/>
        </w:rPr>
      </w:pPr>
    </w:p>
    <w:p w14:paraId="1042C1FB" w14:textId="77777777" w:rsidR="00B96A91" w:rsidRPr="001A5E19" w:rsidRDefault="00B96A91" w:rsidP="001B64BC">
      <w:pPr>
        <w:keepNext/>
        <w:widowControl w:val="0"/>
        <w:jc w:val="both"/>
        <w:outlineLvl w:val="0"/>
        <w:rPr>
          <w:sz w:val="22"/>
          <w:szCs w:val="22"/>
          <w:u w:val="single"/>
          <w:lang w:val="hr-HR"/>
        </w:rPr>
      </w:pPr>
      <w:r>
        <w:rPr>
          <w:sz w:val="22"/>
          <w:szCs w:val="22"/>
          <w:u w:val="single"/>
          <w:lang w:val="hr-HR"/>
        </w:rPr>
        <w:t>Natriuretski peptid tipa B</w:t>
      </w:r>
      <w:r w:rsidRPr="001A5E19">
        <w:rPr>
          <w:sz w:val="22"/>
          <w:szCs w:val="22"/>
          <w:u w:val="single"/>
          <w:lang w:val="hr-HR"/>
        </w:rPr>
        <w:t xml:space="preserve"> (BNP)</w:t>
      </w:r>
    </w:p>
    <w:p w14:paraId="6C187E24" w14:textId="77777777" w:rsidR="00B96A91" w:rsidRPr="001A5E19" w:rsidRDefault="00B96A91" w:rsidP="001B64BC">
      <w:pPr>
        <w:keepNext/>
        <w:widowControl w:val="0"/>
        <w:jc w:val="both"/>
        <w:outlineLvl w:val="0"/>
        <w:rPr>
          <w:sz w:val="22"/>
          <w:szCs w:val="22"/>
          <w:lang w:val="hr-HR"/>
        </w:rPr>
      </w:pPr>
    </w:p>
    <w:p w14:paraId="02AC219E" w14:textId="181EB0F4" w:rsidR="00B96A91" w:rsidRPr="001A5E19" w:rsidRDefault="00B96A91" w:rsidP="001B64BC">
      <w:pPr>
        <w:widowControl w:val="0"/>
        <w:jc w:val="both"/>
        <w:outlineLvl w:val="0"/>
        <w:rPr>
          <w:sz w:val="22"/>
          <w:szCs w:val="22"/>
          <w:lang w:val="hr-HR"/>
        </w:rPr>
      </w:pPr>
      <w:r w:rsidRPr="001A5E19">
        <w:rPr>
          <w:sz w:val="22"/>
          <w:szCs w:val="22"/>
          <w:lang w:val="hr-HR"/>
        </w:rPr>
        <w:t xml:space="preserve">BNP nije odgovarajući biomarker </w:t>
      </w:r>
      <w:r>
        <w:rPr>
          <w:sz w:val="22"/>
          <w:szCs w:val="22"/>
          <w:lang w:val="hr-HR"/>
        </w:rPr>
        <w:t xml:space="preserve">insuficijencije </w:t>
      </w:r>
      <w:r w:rsidRPr="001A5E19">
        <w:rPr>
          <w:sz w:val="22"/>
          <w:szCs w:val="22"/>
          <w:lang w:val="hr-HR"/>
        </w:rPr>
        <w:t xml:space="preserve">srca </w:t>
      </w:r>
      <w:r>
        <w:rPr>
          <w:sz w:val="22"/>
          <w:szCs w:val="22"/>
          <w:lang w:val="hr-HR"/>
        </w:rPr>
        <w:t>kod</w:t>
      </w:r>
      <w:r w:rsidRPr="001A5E19">
        <w:rPr>
          <w:sz w:val="22"/>
          <w:szCs w:val="22"/>
          <w:lang w:val="hr-HR"/>
        </w:rPr>
        <w:t xml:space="preserve"> </w:t>
      </w:r>
      <w:r>
        <w:rPr>
          <w:sz w:val="22"/>
          <w:szCs w:val="22"/>
          <w:lang w:val="hr-HR"/>
        </w:rPr>
        <w:t>pacijenata</w:t>
      </w:r>
      <w:r w:rsidRPr="001A5E19">
        <w:rPr>
          <w:sz w:val="22"/>
          <w:szCs w:val="22"/>
          <w:lang w:val="hr-HR"/>
        </w:rPr>
        <w:t xml:space="preserve"> </w:t>
      </w:r>
      <w:r>
        <w:rPr>
          <w:sz w:val="22"/>
          <w:szCs w:val="22"/>
          <w:lang w:val="hr-HR"/>
        </w:rPr>
        <w:t>liječ</w:t>
      </w:r>
      <w:r w:rsidRPr="001A5E19">
        <w:rPr>
          <w:sz w:val="22"/>
          <w:szCs w:val="22"/>
          <w:lang w:val="hr-HR"/>
        </w:rPr>
        <w:t>enih</w:t>
      </w:r>
      <w:r>
        <w:rPr>
          <w:sz w:val="22"/>
          <w:szCs w:val="22"/>
          <w:lang w:val="hr-HR"/>
        </w:rPr>
        <w:t xml:space="preserve"> </w:t>
      </w:r>
      <w:r>
        <w:rPr>
          <w:bCs/>
          <w:sz w:val="22"/>
          <w:szCs w:val="20"/>
          <w:lang w:val="hr-HR"/>
        </w:rPr>
        <w:t>valsartan/sakubitril</w:t>
      </w:r>
      <w:r w:rsidRPr="001A5E19">
        <w:rPr>
          <w:sz w:val="22"/>
          <w:szCs w:val="22"/>
          <w:lang w:val="hr-HR"/>
        </w:rPr>
        <w:t xml:space="preserve"> zato što je supstrat neprilizina (</w:t>
      </w:r>
      <w:r>
        <w:rPr>
          <w:sz w:val="22"/>
          <w:szCs w:val="22"/>
          <w:lang w:val="hr-HR"/>
        </w:rPr>
        <w:t>vidjeti</w:t>
      </w:r>
      <w:r w:rsidRPr="001A5E19">
        <w:rPr>
          <w:sz w:val="22"/>
          <w:szCs w:val="22"/>
          <w:lang w:val="hr-HR"/>
        </w:rPr>
        <w:t xml:space="preserve"> </w:t>
      </w:r>
      <w:r w:rsidR="007B3E95">
        <w:rPr>
          <w:sz w:val="22"/>
          <w:szCs w:val="22"/>
          <w:lang w:val="hr-HR"/>
        </w:rPr>
        <w:t>dio</w:t>
      </w:r>
      <w:r w:rsidR="007B3E95" w:rsidRPr="001A5E19">
        <w:rPr>
          <w:sz w:val="22"/>
          <w:szCs w:val="22"/>
          <w:lang w:val="hr-HR"/>
        </w:rPr>
        <w:t> </w:t>
      </w:r>
      <w:r w:rsidRPr="001A5E19">
        <w:rPr>
          <w:sz w:val="22"/>
          <w:szCs w:val="22"/>
          <w:lang w:val="hr-HR"/>
        </w:rPr>
        <w:t>5.1).</w:t>
      </w:r>
    </w:p>
    <w:p w14:paraId="20926BAA" w14:textId="77777777" w:rsidR="00B96A91" w:rsidRPr="001A5E19" w:rsidRDefault="00B96A91" w:rsidP="001B64BC">
      <w:pPr>
        <w:widowControl w:val="0"/>
        <w:jc w:val="both"/>
        <w:outlineLvl w:val="0"/>
        <w:rPr>
          <w:sz w:val="22"/>
          <w:szCs w:val="22"/>
          <w:lang w:val="hr-HR"/>
        </w:rPr>
      </w:pPr>
    </w:p>
    <w:p w14:paraId="2C391441" w14:textId="77777777" w:rsidR="00B96A91" w:rsidRPr="001A5E19" w:rsidRDefault="00B96A91" w:rsidP="001B64BC">
      <w:pPr>
        <w:keepNext/>
        <w:widowControl w:val="0"/>
        <w:jc w:val="both"/>
        <w:rPr>
          <w:sz w:val="22"/>
          <w:szCs w:val="22"/>
          <w:lang w:val="hr-HR"/>
        </w:rPr>
      </w:pPr>
      <w:r>
        <w:rPr>
          <w:sz w:val="22"/>
          <w:szCs w:val="22"/>
          <w:u w:val="single"/>
          <w:lang w:val="hr-HR"/>
        </w:rPr>
        <w:t>Pacijent</w:t>
      </w:r>
      <w:r w:rsidRPr="001A5E19">
        <w:rPr>
          <w:sz w:val="22"/>
          <w:szCs w:val="22"/>
          <w:u w:val="single"/>
          <w:lang w:val="hr-HR"/>
        </w:rPr>
        <w:t>i s</w:t>
      </w:r>
      <w:r>
        <w:rPr>
          <w:sz w:val="22"/>
          <w:szCs w:val="22"/>
          <w:u w:val="single"/>
          <w:lang w:val="hr-HR"/>
        </w:rPr>
        <w:t>a</w:t>
      </w:r>
      <w:r w:rsidRPr="001A5E19">
        <w:rPr>
          <w:sz w:val="22"/>
          <w:szCs w:val="22"/>
          <w:u w:val="single"/>
          <w:lang w:val="hr-HR"/>
        </w:rPr>
        <w:t xml:space="preserve"> oštećenjem jetre</w:t>
      </w:r>
    </w:p>
    <w:p w14:paraId="24CAD4A3" w14:textId="77777777" w:rsidR="00B96A91" w:rsidRPr="001A5E19" w:rsidRDefault="00B96A91" w:rsidP="001B64BC">
      <w:pPr>
        <w:keepNext/>
        <w:widowControl w:val="0"/>
        <w:jc w:val="both"/>
        <w:rPr>
          <w:sz w:val="22"/>
          <w:szCs w:val="22"/>
          <w:lang w:val="hr-HR"/>
        </w:rPr>
      </w:pPr>
    </w:p>
    <w:p w14:paraId="144C2E96" w14:textId="1A8B3870" w:rsidR="00B96A91" w:rsidRPr="001A5E19" w:rsidRDefault="00B96A91" w:rsidP="001B64BC">
      <w:pPr>
        <w:widowControl w:val="0"/>
        <w:jc w:val="both"/>
        <w:rPr>
          <w:sz w:val="22"/>
          <w:szCs w:val="22"/>
          <w:lang w:val="hr-HR"/>
        </w:rPr>
      </w:pPr>
      <w:r w:rsidRPr="001A5E19">
        <w:rPr>
          <w:bCs/>
          <w:sz w:val="22"/>
          <w:lang w:val="hr-HR"/>
        </w:rPr>
        <w:t>P</w:t>
      </w:r>
      <w:r w:rsidRPr="001A5E19">
        <w:rPr>
          <w:sz w:val="22"/>
          <w:szCs w:val="22"/>
          <w:lang w:val="hr-HR"/>
        </w:rPr>
        <w:t xml:space="preserve">ostoji ograničeno kliničko iskustvo </w:t>
      </w:r>
      <w:r>
        <w:rPr>
          <w:sz w:val="22"/>
          <w:szCs w:val="22"/>
          <w:lang w:val="hr-HR"/>
        </w:rPr>
        <w:t>kod pacijenata</w:t>
      </w:r>
      <w:r w:rsidRPr="001A5E19">
        <w:rPr>
          <w:sz w:val="22"/>
          <w:szCs w:val="22"/>
          <w:lang w:val="hr-HR"/>
        </w:rPr>
        <w:t xml:space="preserve"> s</w:t>
      </w:r>
      <w:r>
        <w:rPr>
          <w:sz w:val="22"/>
          <w:szCs w:val="22"/>
          <w:lang w:val="hr-HR"/>
        </w:rPr>
        <w:t>a</w:t>
      </w:r>
      <w:r w:rsidRPr="001A5E19">
        <w:rPr>
          <w:sz w:val="22"/>
          <w:szCs w:val="22"/>
          <w:lang w:val="hr-HR"/>
        </w:rPr>
        <w:t xml:space="preserve"> um</w:t>
      </w:r>
      <w:r w:rsidR="007B3E95">
        <w:rPr>
          <w:sz w:val="22"/>
          <w:szCs w:val="22"/>
          <w:lang w:val="hr-HR"/>
        </w:rPr>
        <w:t>j</w:t>
      </w:r>
      <w:r w:rsidRPr="001A5E19">
        <w:rPr>
          <w:sz w:val="22"/>
          <w:szCs w:val="22"/>
          <w:lang w:val="hr-HR"/>
        </w:rPr>
        <w:t xml:space="preserve">erenim oštećenjem </w:t>
      </w:r>
      <w:r>
        <w:rPr>
          <w:sz w:val="22"/>
          <w:szCs w:val="22"/>
          <w:lang w:val="hr-HR"/>
        </w:rPr>
        <w:t xml:space="preserve">funkcije </w:t>
      </w:r>
      <w:r w:rsidRPr="001A5E19">
        <w:rPr>
          <w:sz w:val="22"/>
          <w:szCs w:val="22"/>
          <w:lang w:val="hr-HR"/>
        </w:rPr>
        <w:t>jetre (</w:t>
      </w:r>
      <w:r w:rsidRPr="001A5E19">
        <w:rPr>
          <w:sz w:val="22"/>
          <w:szCs w:val="20"/>
          <w:lang w:val="hr-HR"/>
        </w:rPr>
        <w:t>Child</w:t>
      </w:r>
      <w:r w:rsidRPr="001A5E19">
        <w:rPr>
          <w:sz w:val="22"/>
          <w:szCs w:val="20"/>
          <w:lang w:val="hr-HR"/>
        </w:rPr>
        <w:noBreakHyphen/>
        <w:t>Pugh st</w:t>
      </w:r>
      <w:r>
        <w:rPr>
          <w:sz w:val="22"/>
          <w:szCs w:val="20"/>
          <w:lang w:val="hr-HR"/>
        </w:rPr>
        <w:t>epen</w:t>
      </w:r>
      <w:r w:rsidRPr="001A5E19">
        <w:rPr>
          <w:sz w:val="22"/>
          <w:szCs w:val="20"/>
          <w:lang w:val="hr-HR"/>
        </w:rPr>
        <w:t> B)</w:t>
      </w:r>
      <w:r w:rsidRPr="001A5E19">
        <w:rPr>
          <w:sz w:val="22"/>
          <w:szCs w:val="22"/>
          <w:lang w:val="hr-HR"/>
        </w:rPr>
        <w:t xml:space="preserve"> ili s</w:t>
      </w:r>
      <w:r>
        <w:rPr>
          <w:sz w:val="22"/>
          <w:szCs w:val="22"/>
          <w:lang w:val="hr-HR"/>
        </w:rPr>
        <w:t>a</w:t>
      </w:r>
      <w:r w:rsidRPr="001A5E19">
        <w:rPr>
          <w:sz w:val="22"/>
          <w:szCs w:val="22"/>
          <w:lang w:val="hr-HR"/>
        </w:rPr>
        <w:t xml:space="preserve"> AST/ALT </w:t>
      </w:r>
      <w:r>
        <w:rPr>
          <w:sz w:val="22"/>
          <w:szCs w:val="22"/>
          <w:lang w:val="hr-HR"/>
        </w:rPr>
        <w:t>vrijednost</w:t>
      </w:r>
      <w:r w:rsidRPr="001A5E19">
        <w:rPr>
          <w:sz w:val="22"/>
          <w:szCs w:val="22"/>
          <w:lang w:val="hr-HR"/>
        </w:rPr>
        <w:t xml:space="preserve">ima višim od dvostruke </w:t>
      </w:r>
      <w:r>
        <w:rPr>
          <w:sz w:val="22"/>
          <w:szCs w:val="22"/>
          <w:lang w:val="hr-HR"/>
        </w:rPr>
        <w:t>vrijednost</w:t>
      </w:r>
      <w:r w:rsidRPr="001A5E19">
        <w:rPr>
          <w:sz w:val="22"/>
          <w:szCs w:val="22"/>
          <w:lang w:val="hr-HR"/>
        </w:rPr>
        <w:t xml:space="preserve">i gornje granice normalnog raspona. </w:t>
      </w:r>
      <w:r>
        <w:rPr>
          <w:sz w:val="22"/>
          <w:szCs w:val="22"/>
          <w:lang w:val="hr-HR"/>
        </w:rPr>
        <w:t>Kod t</w:t>
      </w:r>
      <w:r w:rsidRPr="001A5E19">
        <w:rPr>
          <w:sz w:val="22"/>
          <w:szCs w:val="22"/>
          <w:lang w:val="hr-HR"/>
        </w:rPr>
        <w:t xml:space="preserve">ih </w:t>
      </w:r>
      <w:r>
        <w:rPr>
          <w:sz w:val="22"/>
          <w:szCs w:val="22"/>
          <w:lang w:val="hr-HR"/>
        </w:rPr>
        <w:t>pacijenata</w:t>
      </w:r>
      <w:r w:rsidRPr="001A5E19">
        <w:rPr>
          <w:sz w:val="22"/>
          <w:szCs w:val="22"/>
          <w:lang w:val="hr-HR"/>
        </w:rPr>
        <w:t xml:space="preserve">, izloženost može </w:t>
      </w:r>
      <w:r>
        <w:rPr>
          <w:sz w:val="22"/>
          <w:szCs w:val="22"/>
          <w:lang w:val="hr-HR"/>
        </w:rPr>
        <w:t>da se poveća</w:t>
      </w:r>
      <w:r w:rsidRPr="001A5E19">
        <w:rPr>
          <w:sz w:val="22"/>
          <w:szCs w:val="22"/>
          <w:lang w:val="hr-HR"/>
        </w:rPr>
        <w:t xml:space="preserve"> i </w:t>
      </w:r>
      <w:r>
        <w:rPr>
          <w:sz w:val="22"/>
          <w:szCs w:val="22"/>
          <w:lang w:val="hr-HR"/>
        </w:rPr>
        <w:t>bezbjednost nije potvrđena</w:t>
      </w:r>
      <w:r w:rsidRPr="001A5E19">
        <w:rPr>
          <w:sz w:val="22"/>
          <w:szCs w:val="22"/>
          <w:lang w:val="hr-HR"/>
        </w:rPr>
        <w:t xml:space="preserve">. </w:t>
      </w:r>
      <w:r>
        <w:rPr>
          <w:sz w:val="22"/>
          <w:szCs w:val="22"/>
          <w:lang w:val="hr-HR"/>
        </w:rPr>
        <w:t xml:space="preserve">Zbog toga se </w:t>
      </w:r>
      <w:r w:rsidRPr="001A5E19">
        <w:rPr>
          <w:sz w:val="22"/>
          <w:szCs w:val="22"/>
          <w:lang w:val="hr-HR"/>
        </w:rPr>
        <w:t>sav</w:t>
      </w:r>
      <w:r>
        <w:rPr>
          <w:sz w:val="22"/>
          <w:szCs w:val="22"/>
          <w:lang w:val="hr-HR"/>
        </w:rPr>
        <w:t>j</w:t>
      </w:r>
      <w:r w:rsidRPr="001A5E19">
        <w:rPr>
          <w:sz w:val="22"/>
          <w:szCs w:val="22"/>
          <w:lang w:val="hr-HR"/>
        </w:rPr>
        <w:t>et</w:t>
      </w:r>
      <w:r>
        <w:rPr>
          <w:sz w:val="22"/>
          <w:szCs w:val="22"/>
          <w:lang w:val="hr-HR"/>
        </w:rPr>
        <w:t>uje oprez prilikom njegove primjen</w:t>
      </w:r>
      <w:r w:rsidRPr="001A5E19">
        <w:rPr>
          <w:sz w:val="22"/>
          <w:szCs w:val="22"/>
          <w:lang w:val="hr-HR"/>
        </w:rPr>
        <w:t xml:space="preserve">e </w:t>
      </w:r>
      <w:r>
        <w:rPr>
          <w:sz w:val="22"/>
          <w:szCs w:val="22"/>
          <w:lang w:val="hr-HR"/>
        </w:rPr>
        <w:t>kod tih pacijenata</w:t>
      </w:r>
      <w:r w:rsidRPr="001A5E19">
        <w:rPr>
          <w:sz w:val="22"/>
          <w:szCs w:val="22"/>
          <w:lang w:val="hr-HR"/>
        </w:rPr>
        <w:t xml:space="preserve"> (</w:t>
      </w:r>
      <w:r>
        <w:rPr>
          <w:sz w:val="22"/>
          <w:szCs w:val="22"/>
          <w:lang w:val="hr-HR"/>
        </w:rPr>
        <w:t>vidjeti</w:t>
      </w:r>
      <w:r w:rsidRPr="001A5E19">
        <w:rPr>
          <w:sz w:val="22"/>
          <w:szCs w:val="22"/>
          <w:lang w:val="hr-HR"/>
        </w:rPr>
        <w:t xml:space="preserve"> </w:t>
      </w:r>
      <w:r w:rsidR="007B3E95">
        <w:rPr>
          <w:sz w:val="22"/>
          <w:szCs w:val="22"/>
          <w:lang w:val="hr-HR"/>
        </w:rPr>
        <w:t>djelove</w:t>
      </w:r>
      <w:r w:rsidR="007B3E95" w:rsidRPr="001A5E19">
        <w:rPr>
          <w:sz w:val="22"/>
          <w:szCs w:val="22"/>
          <w:lang w:val="hr-HR"/>
        </w:rPr>
        <w:t> </w:t>
      </w:r>
      <w:r w:rsidRPr="001A5E19">
        <w:rPr>
          <w:sz w:val="22"/>
          <w:szCs w:val="22"/>
          <w:lang w:val="hr-HR"/>
        </w:rPr>
        <w:t>4.2</w:t>
      </w:r>
      <w:r w:rsidR="007B3E95">
        <w:rPr>
          <w:sz w:val="22"/>
          <w:szCs w:val="22"/>
          <w:lang w:val="hr-HR"/>
        </w:rPr>
        <w:t xml:space="preserve"> </w:t>
      </w:r>
      <w:r w:rsidRPr="001A5E19">
        <w:rPr>
          <w:sz w:val="22"/>
          <w:szCs w:val="22"/>
          <w:lang w:val="hr-HR"/>
        </w:rPr>
        <w:t xml:space="preserve">i 5.2). </w:t>
      </w:r>
      <w:r>
        <w:rPr>
          <w:sz w:val="22"/>
          <w:szCs w:val="22"/>
          <w:lang w:val="hr-HR"/>
        </w:rPr>
        <w:t>V</w:t>
      </w:r>
      <w:r>
        <w:rPr>
          <w:bCs/>
          <w:sz w:val="22"/>
          <w:szCs w:val="20"/>
          <w:lang w:val="hr-HR"/>
        </w:rPr>
        <w:t>alsartan/sakubitril</w:t>
      </w:r>
      <w:r w:rsidRPr="001A5E19">
        <w:rPr>
          <w:bCs/>
          <w:sz w:val="22"/>
          <w:lang w:val="hr-HR"/>
        </w:rPr>
        <w:t xml:space="preserve"> je kontraindi</w:t>
      </w:r>
      <w:r>
        <w:rPr>
          <w:bCs/>
          <w:sz w:val="22"/>
          <w:lang w:val="hr-HR"/>
        </w:rPr>
        <w:t>kovan kod</w:t>
      </w:r>
      <w:r w:rsidRPr="001A5E19">
        <w:rPr>
          <w:bCs/>
          <w:sz w:val="22"/>
          <w:lang w:val="hr-HR"/>
        </w:rPr>
        <w:t xml:space="preserve"> </w:t>
      </w:r>
      <w:r>
        <w:rPr>
          <w:bCs/>
          <w:sz w:val="22"/>
          <w:lang w:val="hr-HR"/>
        </w:rPr>
        <w:t>pacijenata</w:t>
      </w:r>
      <w:r w:rsidRPr="001A5E19">
        <w:rPr>
          <w:bCs/>
          <w:sz w:val="22"/>
          <w:lang w:val="hr-HR"/>
        </w:rPr>
        <w:t xml:space="preserve"> s</w:t>
      </w:r>
      <w:r>
        <w:rPr>
          <w:bCs/>
          <w:sz w:val="22"/>
          <w:lang w:val="hr-HR"/>
        </w:rPr>
        <w:t>a</w:t>
      </w:r>
      <w:r w:rsidRPr="001A5E19">
        <w:rPr>
          <w:bCs/>
          <w:sz w:val="22"/>
          <w:lang w:val="hr-HR"/>
        </w:rPr>
        <w:t xml:space="preserve"> teškim oštećenjem</w:t>
      </w:r>
      <w:r>
        <w:rPr>
          <w:bCs/>
          <w:sz w:val="22"/>
          <w:lang w:val="hr-HR"/>
        </w:rPr>
        <w:t xml:space="preserve"> funkcije</w:t>
      </w:r>
      <w:r w:rsidRPr="001A5E19">
        <w:rPr>
          <w:bCs/>
          <w:sz w:val="22"/>
          <w:lang w:val="hr-HR"/>
        </w:rPr>
        <w:t xml:space="preserve"> jetre, bilijarnom cirozom ili </w:t>
      </w:r>
      <w:r>
        <w:rPr>
          <w:bCs/>
          <w:sz w:val="22"/>
          <w:lang w:val="hr-HR"/>
        </w:rPr>
        <w:t>h</w:t>
      </w:r>
      <w:r w:rsidRPr="001A5E19">
        <w:rPr>
          <w:bCs/>
          <w:sz w:val="22"/>
          <w:lang w:val="hr-HR"/>
        </w:rPr>
        <w:t>olestazom (Child</w:t>
      </w:r>
      <w:r w:rsidRPr="001A5E19">
        <w:rPr>
          <w:bCs/>
          <w:sz w:val="22"/>
          <w:lang w:val="hr-HR"/>
        </w:rPr>
        <w:noBreakHyphen/>
        <w:t>Pugh st</w:t>
      </w:r>
      <w:r>
        <w:rPr>
          <w:bCs/>
          <w:sz w:val="22"/>
          <w:lang w:val="hr-HR"/>
        </w:rPr>
        <w:t>epen</w:t>
      </w:r>
      <w:r w:rsidRPr="001A5E19">
        <w:rPr>
          <w:bCs/>
          <w:sz w:val="22"/>
          <w:lang w:val="hr-HR"/>
        </w:rPr>
        <w:t> C) (</w:t>
      </w:r>
      <w:r>
        <w:rPr>
          <w:bCs/>
          <w:sz w:val="22"/>
          <w:lang w:val="hr-HR"/>
        </w:rPr>
        <w:t>vidjeti</w:t>
      </w:r>
      <w:r w:rsidRPr="001A5E19">
        <w:rPr>
          <w:bCs/>
          <w:sz w:val="22"/>
          <w:lang w:val="hr-HR"/>
        </w:rPr>
        <w:t xml:space="preserve"> </w:t>
      </w:r>
      <w:r w:rsidR="007B3E95">
        <w:rPr>
          <w:bCs/>
          <w:sz w:val="22"/>
          <w:lang w:val="hr-HR"/>
        </w:rPr>
        <w:t>dio</w:t>
      </w:r>
      <w:r w:rsidR="007B3E95" w:rsidRPr="001A5E19">
        <w:rPr>
          <w:bCs/>
          <w:sz w:val="22"/>
          <w:lang w:val="hr-HR"/>
        </w:rPr>
        <w:t> </w:t>
      </w:r>
      <w:r w:rsidRPr="001A5E19">
        <w:rPr>
          <w:bCs/>
          <w:sz w:val="22"/>
          <w:lang w:val="hr-HR"/>
        </w:rPr>
        <w:t>4.3)</w:t>
      </w:r>
      <w:r w:rsidRPr="001A5E19">
        <w:rPr>
          <w:bCs/>
          <w:sz w:val="22"/>
          <w:szCs w:val="20"/>
          <w:lang w:val="hr-HR"/>
        </w:rPr>
        <w:t>.</w:t>
      </w:r>
    </w:p>
    <w:p w14:paraId="489CABBA" w14:textId="01C58050" w:rsidR="00B96A91" w:rsidRDefault="00B96A91" w:rsidP="001B64BC">
      <w:pPr>
        <w:tabs>
          <w:tab w:val="left" w:pos="540"/>
          <w:tab w:val="left" w:pos="569"/>
        </w:tabs>
        <w:jc w:val="both"/>
        <w:rPr>
          <w:b/>
          <w:bCs/>
          <w:sz w:val="22"/>
          <w:szCs w:val="22"/>
        </w:rPr>
      </w:pPr>
    </w:p>
    <w:p w14:paraId="10D82EF8" w14:textId="77777777" w:rsidR="00584F44" w:rsidRDefault="00584F44" w:rsidP="001B64BC">
      <w:pPr>
        <w:tabs>
          <w:tab w:val="left" w:pos="540"/>
          <w:tab w:val="left" w:pos="569"/>
        </w:tabs>
        <w:jc w:val="both"/>
        <w:rPr>
          <w:b/>
          <w:bCs/>
          <w:sz w:val="22"/>
          <w:szCs w:val="22"/>
        </w:rPr>
      </w:pPr>
    </w:p>
    <w:p w14:paraId="4E359650" w14:textId="77777777" w:rsidR="003E1FEA" w:rsidRPr="00890285" w:rsidRDefault="003E1FEA" w:rsidP="001B64BC">
      <w:pPr>
        <w:keepNext/>
        <w:keepLines/>
        <w:jc w:val="both"/>
        <w:rPr>
          <w:bCs/>
          <w:u w:val="single"/>
          <w:lang w:val="en-GB"/>
        </w:rPr>
      </w:pPr>
      <w:r w:rsidRPr="006C25A6">
        <w:rPr>
          <w:bCs/>
          <w:u w:val="single"/>
          <w:lang w:val="hr-HR"/>
        </w:rPr>
        <w:t>Psihijatrijski poremećaji</w:t>
      </w:r>
    </w:p>
    <w:p w14:paraId="78D45B7E" w14:textId="77777777" w:rsidR="003E1FEA" w:rsidRPr="006C25A6" w:rsidRDefault="003E1FEA" w:rsidP="001B64BC">
      <w:pPr>
        <w:keepNext/>
        <w:keepLines/>
        <w:jc w:val="both"/>
        <w:rPr>
          <w:bCs/>
          <w:lang w:val="hr-HR"/>
        </w:rPr>
      </w:pPr>
    </w:p>
    <w:p w14:paraId="05C6E837" w14:textId="6C7D752C" w:rsidR="003E1FEA" w:rsidRDefault="003E1FEA" w:rsidP="001B64BC">
      <w:pPr>
        <w:jc w:val="both"/>
        <w:rPr>
          <w:bCs/>
          <w:lang w:val="hr-HR"/>
        </w:rPr>
      </w:pPr>
      <w:r w:rsidRPr="006C25A6">
        <w:rPr>
          <w:bCs/>
          <w:lang w:val="hr-HR"/>
        </w:rPr>
        <w:t xml:space="preserve">Psihijatrijski događaji kao što su halucinacije, paranoja i poremećaji spavanja, u kontekstu psihotičnih događaja, </w:t>
      </w:r>
      <w:r>
        <w:rPr>
          <w:bCs/>
          <w:lang w:val="hr-HR"/>
        </w:rPr>
        <w:t xml:space="preserve">su </w:t>
      </w:r>
      <w:r w:rsidRPr="006C25A6">
        <w:rPr>
          <w:bCs/>
          <w:lang w:val="hr-HR"/>
        </w:rPr>
        <w:t>bili povezani s prim</w:t>
      </w:r>
      <w:r w:rsidR="00490630">
        <w:rPr>
          <w:bCs/>
          <w:lang w:val="hr-HR"/>
        </w:rPr>
        <w:t>j</w:t>
      </w:r>
      <w:r w:rsidRPr="006C25A6">
        <w:rPr>
          <w:bCs/>
          <w:lang w:val="hr-HR"/>
        </w:rPr>
        <w:t xml:space="preserve">enom </w:t>
      </w:r>
      <w:bookmarkStart w:id="1" w:name="_Hlk76986035"/>
      <w:r w:rsidRPr="006C25A6">
        <w:rPr>
          <w:bCs/>
          <w:lang w:val="hr-HR"/>
        </w:rPr>
        <w:t>valsartan</w:t>
      </w:r>
      <w:r>
        <w:rPr>
          <w:bCs/>
          <w:lang w:val="hr-HR"/>
        </w:rPr>
        <w:t>/sakubitrila</w:t>
      </w:r>
      <w:bookmarkEnd w:id="1"/>
      <w:r w:rsidRPr="006C25A6">
        <w:rPr>
          <w:bCs/>
          <w:lang w:val="hr-HR"/>
        </w:rPr>
        <w:t xml:space="preserve">. Ako </w:t>
      </w:r>
      <w:r>
        <w:rPr>
          <w:bCs/>
          <w:lang w:val="hr-HR"/>
        </w:rPr>
        <w:t>pacijent</w:t>
      </w:r>
      <w:r w:rsidRPr="006C25A6">
        <w:rPr>
          <w:bCs/>
          <w:lang w:val="hr-HR"/>
        </w:rPr>
        <w:t xml:space="preserve"> </w:t>
      </w:r>
      <w:r w:rsidR="007B3E95">
        <w:rPr>
          <w:bCs/>
          <w:lang w:val="hr-HR"/>
        </w:rPr>
        <w:t xml:space="preserve">uoči </w:t>
      </w:r>
      <w:r>
        <w:rPr>
          <w:bCs/>
          <w:lang w:val="hr-HR"/>
        </w:rPr>
        <w:t>pojavu ovih</w:t>
      </w:r>
      <w:r w:rsidRPr="006C25A6">
        <w:rPr>
          <w:bCs/>
          <w:lang w:val="hr-HR"/>
        </w:rPr>
        <w:t xml:space="preserve"> događaj</w:t>
      </w:r>
      <w:r>
        <w:rPr>
          <w:bCs/>
          <w:lang w:val="hr-HR"/>
        </w:rPr>
        <w:t>a</w:t>
      </w:r>
      <w:r w:rsidRPr="006C25A6">
        <w:rPr>
          <w:bCs/>
          <w:lang w:val="hr-HR"/>
        </w:rPr>
        <w:t>, potrebno je razmotriti obustavu l</w:t>
      </w:r>
      <w:r w:rsidR="00490630">
        <w:rPr>
          <w:bCs/>
          <w:lang w:val="hr-HR"/>
        </w:rPr>
        <w:t>ij</w:t>
      </w:r>
      <w:r w:rsidRPr="006C25A6">
        <w:rPr>
          <w:bCs/>
          <w:lang w:val="hr-HR"/>
        </w:rPr>
        <w:t>ečenja valsartan</w:t>
      </w:r>
      <w:r>
        <w:rPr>
          <w:bCs/>
          <w:lang w:val="hr-HR"/>
        </w:rPr>
        <w:t>/sakubitrilom</w:t>
      </w:r>
      <w:r w:rsidRPr="006C25A6">
        <w:rPr>
          <w:bCs/>
          <w:lang w:val="hr-HR"/>
        </w:rPr>
        <w:t>.</w:t>
      </w:r>
    </w:p>
    <w:p w14:paraId="0ADA5180" w14:textId="77777777" w:rsidR="00B73B68" w:rsidRDefault="00B73B68" w:rsidP="001B64BC">
      <w:pPr>
        <w:jc w:val="both"/>
        <w:rPr>
          <w:bCs/>
          <w:lang w:val="hr-HR"/>
        </w:rPr>
      </w:pPr>
    </w:p>
    <w:p w14:paraId="4FAF16FC" w14:textId="77777777" w:rsidR="00B73B68" w:rsidRPr="00AB63CB" w:rsidRDefault="00B73B68" w:rsidP="001B64BC">
      <w:pPr>
        <w:jc w:val="both"/>
        <w:rPr>
          <w:bCs/>
          <w:sz w:val="22"/>
          <w:szCs w:val="22"/>
          <w:u w:val="single"/>
          <w:lang w:val="hr-HR"/>
        </w:rPr>
      </w:pPr>
      <w:r w:rsidRPr="00AB63CB">
        <w:rPr>
          <w:bCs/>
          <w:sz w:val="22"/>
          <w:szCs w:val="22"/>
          <w:u w:val="single"/>
          <w:lang w:val="hr-HR"/>
        </w:rPr>
        <w:t>Natrijum</w:t>
      </w:r>
    </w:p>
    <w:p w14:paraId="0B11AD13" w14:textId="77777777" w:rsidR="00B73B68" w:rsidRPr="00AB63CB" w:rsidRDefault="00B73B68" w:rsidP="001B64BC">
      <w:pPr>
        <w:jc w:val="both"/>
        <w:rPr>
          <w:bCs/>
          <w:sz w:val="22"/>
          <w:szCs w:val="22"/>
          <w:u w:val="single"/>
          <w:lang w:val="hr-HR"/>
        </w:rPr>
      </w:pPr>
    </w:p>
    <w:p w14:paraId="5DE48E2E" w14:textId="5E0DA199" w:rsidR="00B73B68" w:rsidRPr="006C25A6" w:rsidRDefault="00B73B68" w:rsidP="001B64BC">
      <w:pPr>
        <w:jc w:val="both"/>
        <w:rPr>
          <w:szCs w:val="22"/>
          <w:lang w:val="hr-HR"/>
        </w:rPr>
      </w:pPr>
      <w:r w:rsidRPr="00AB63CB">
        <w:rPr>
          <w:bCs/>
          <w:sz w:val="22"/>
          <w:szCs w:val="22"/>
          <w:lang w:val="hr-HR"/>
        </w:rPr>
        <w:t>Ovaj l</w:t>
      </w:r>
      <w:r>
        <w:rPr>
          <w:bCs/>
          <w:sz w:val="22"/>
          <w:szCs w:val="22"/>
          <w:lang w:val="hr-HR"/>
        </w:rPr>
        <w:t>ij</w:t>
      </w:r>
      <w:r w:rsidRPr="00AB63CB">
        <w:rPr>
          <w:bCs/>
          <w:sz w:val="22"/>
          <w:szCs w:val="22"/>
          <w:lang w:val="hr-HR"/>
        </w:rPr>
        <w:t>ek sadrži manje od 1 mmol (23 mg) natrijuma po dozi od 103 mg/97 mg, tj. zanemarljive količine natrijuma.</w:t>
      </w:r>
    </w:p>
    <w:p w14:paraId="77815BB8" w14:textId="77777777" w:rsidR="003E1FEA" w:rsidRDefault="003E1FEA" w:rsidP="001B64BC">
      <w:pPr>
        <w:tabs>
          <w:tab w:val="left" w:pos="540"/>
          <w:tab w:val="left" w:pos="569"/>
        </w:tabs>
        <w:rPr>
          <w:b/>
          <w:bCs/>
          <w:sz w:val="22"/>
          <w:szCs w:val="22"/>
        </w:rPr>
      </w:pPr>
    </w:p>
    <w:p w14:paraId="6061214C" w14:textId="3BBD8F3A" w:rsidR="00411B4B" w:rsidRPr="00786071" w:rsidRDefault="00411B4B" w:rsidP="001B64BC">
      <w:pPr>
        <w:tabs>
          <w:tab w:val="left" w:pos="540"/>
          <w:tab w:val="left" w:pos="569"/>
        </w:tabs>
        <w:rPr>
          <w:b/>
          <w:bCs/>
          <w:sz w:val="22"/>
          <w:szCs w:val="22"/>
        </w:rPr>
      </w:pPr>
      <w:r w:rsidRPr="00786071">
        <w:rPr>
          <w:b/>
          <w:bCs/>
          <w:sz w:val="22"/>
          <w:szCs w:val="22"/>
        </w:rPr>
        <w:t>4.5.</w:t>
      </w:r>
      <w:r w:rsidR="00AF0EFB">
        <w:rPr>
          <w:b/>
          <w:bCs/>
          <w:sz w:val="22"/>
          <w:szCs w:val="22"/>
        </w:rPr>
        <w:t xml:space="preserve"> </w:t>
      </w:r>
      <w:proofErr w:type="spellStart"/>
      <w:r w:rsidRPr="00786071">
        <w:rPr>
          <w:b/>
          <w:bCs/>
          <w:sz w:val="22"/>
          <w:szCs w:val="22"/>
        </w:rPr>
        <w:t>Interakcije</w:t>
      </w:r>
      <w:proofErr w:type="spellEnd"/>
      <w:r w:rsidRPr="00786071">
        <w:rPr>
          <w:b/>
          <w:bCs/>
          <w:sz w:val="22"/>
          <w:szCs w:val="22"/>
        </w:rPr>
        <w:t xml:space="preserve"> </w:t>
      </w:r>
      <w:proofErr w:type="spellStart"/>
      <w:r w:rsidRPr="00786071">
        <w:rPr>
          <w:b/>
          <w:bCs/>
          <w:sz w:val="22"/>
          <w:szCs w:val="22"/>
        </w:rPr>
        <w:t>sa</w:t>
      </w:r>
      <w:proofErr w:type="spellEnd"/>
      <w:r w:rsidRPr="00786071">
        <w:rPr>
          <w:b/>
          <w:bCs/>
          <w:sz w:val="22"/>
          <w:szCs w:val="22"/>
        </w:rPr>
        <w:t xml:space="preserve"> </w:t>
      </w:r>
      <w:proofErr w:type="spellStart"/>
      <w:r w:rsidRPr="00786071">
        <w:rPr>
          <w:b/>
          <w:bCs/>
          <w:sz w:val="22"/>
          <w:szCs w:val="22"/>
        </w:rPr>
        <w:t>drugim</w:t>
      </w:r>
      <w:proofErr w:type="spellEnd"/>
      <w:r w:rsidRPr="00786071">
        <w:rPr>
          <w:b/>
          <w:bCs/>
          <w:sz w:val="22"/>
          <w:szCs w:val="22"/>
        </w:rPr>
        <w:t xml:space="preserve"> </w:t>
      </w:r>
      <w:proofErr w:type="spellStart"/>
      <w:r w:rsidRPr="00786071">
        <w:rPr>
          <w:b/>
          <w:bCs/>
          <w:sz w:val="22"/>
          <w:szCs w:val="22"/>
        </w:rPr>
        <w:t>ljekovima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druge</w:t>
      </w:r>
      <w:proofErr w:type="spellEnd"/>
      <w:r w:rsidRPr="00786071">
        <w:rPr>
          <w:b/>
          <w:bCs/>
          <w:sz w:val="22"/>
          <w:szCs w:val="22"/>
        </w:rPr>
        <w:t xml:space="preserve"> </w:t>
      </w:r>
      <w:proofErr w:type="spellStart"/>
      <w:r w:rsidRPr="00786071">
        <w:rPr>
          <w:b/>
          <w:bCs/>
          <w:sz w:val="22"/>
          <w:szCs w:val="22"/>
        </w:rPr>
        <w:t>vrste</w:t>
      </w:r>
      <w:proofErr w:type="spellEnd"/>
      <w:r w:rsidRPr="00786071">
        <w:rPr>
          <w:b/>
          <w:bCs/>
          <w:sz w:val="22"/>
          <w:szCs w:val="22"/>
        </w:rPr>
        <w:t xml:space="preserve"> </w:t>
      </w:r>
      <w:proofErr w:type="spellStart"/>
      <w:r w:rsidRPr="00786071">
        <w:rPr>
          <w:b/>
          <w:bCs/>
          <w:sz w:val="22"/>
          <w:szCs w:val="22"/>
        </w:rPr>
        <w:t>interakcija</w:t>
      </w:r>
      <w:proofErr w:type="spellEnd"/>
    </w:p>
    <w:p w14:paraId="09475A12" w14:textId="129126B8" w:rsidR="0072020E" w:rsidRDefault="0072020E" w:rsidP="001B64BC">
      <w:pPr>
        <w:tabs>
          <w:tab w:val="left" w:pos="540"/>
          <w:tab w:val="left" w:pos="569"/>
        </w:tabs>
        <w:rPr>
          <w:bCs/>
          <w:sz w:val="22"/>
          <w:szCs w:val="22"/>
        </w:rPr>
      </w:pPr>
    </w:p>
    <w:p w14:paraId="492E96AB"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 xml:space="preserve">Interakcije koje </w:t>
      </w:r>
      <w:r>
        <w:rPr>
          <w:sz w:val="22"/>
          <w:szCs w:val="22"/>
          <w:u w:val="single"/>
          <w:lang w:val="hr-HR"/>
        </w:rPr>
        <w:t xml:space="preserve">dovode do </w:t>
      </w:r>
      <w:r w:rsidRPr="001A5E19">
        <w:rPr>
          <w:sz w:val="22"/>
          <w:szCs w:val="22"/>
          <w:u w:val="single"/>
          <w:lang w:val="hr-HR"/>
        </w:rPr>
        <w:t>kontraindikacij</w:t>
      </w:r>
      <w:r>
        <w:rPr>
          <w:sz w:val="22"/>
          <w:szCs w:val="22"/>
          <w:u w:val="single"/>
          <w:lang w:val="hr-HR"/>
        </w:rPr>
        <w:t>e</w:t>
      </w:r>
    </w:p>
    <w:p w14:paraId="1B56FD82" w14:textId="77777777" w:rsidR="00B96A91" w:rsidRPr="001A5E19" w:rsidRDefault="00B96A91" w:rsidP="001B64BC">
      <w:pPr>
        <w:keepNext/>
        <w:widowControl w:val="0"/>
        <w:jc w:val="both"/>
        <w:rPr>
          <w:bCs/>
          <w:sz w:val="22"/>
          <w:lang w:val="hr-HR"/>
        </w:rPr>
      </w:pPr>
    </w:p>
    <w:p w14:paraId="73482077" w14:textId="77777777" w:rsidR="00B96A91" w:rsidRPr="00AB63CB" w:rsidRDefault="00B96A91" w:rsidP="001B64BC">
      <w:pPr>
        <w:keepNext/>
        <w:widowControl w:val="0"/>
        <w:jc w:val="both"/>
        <w:rPr>
          <w:bCs/>
          <w:sz w:val="22"/>
          <w:u w:val="single"/>
          <w:lang w:val="hr-HR"/>
        </w:rPr>
      </w:pPr>
      <w:r w:rsidRPr="00AB63CB">
        <w:rPr>
          <w:bCs/>
          <w:i/>
          <w:sz w:val="22"/>
          <w:u w:val="single"/>
          <w:lang w:val="hr-HR"/>
        </w:rPr>
        <w:t>ACE inhibitori</w:t>
      </w:r>
    </w:p>
    <w:p w14:paraId="311276EF" w14:textId="47CDB0D8" w:rsidR="00B96A91" w:rsidRPr="001A5E19" w:rsidRDefault="00B96A91" w:rsidP="001B64BC">
      <w:pPr>
        <w:widowControl w:val="0"/>
        <w:jc w:val="both"/>
        <w:rPr>
          <w:bCs/>
          <w:sz w:val="22"/>
          <w:lang w:val="hr-HR"/>
        </w:rPr>
      </w:pPr>
      <w:r w:rsidRPr="001A5E19">
        <w:rPr>
          <w:bCs/>
          <w:sz w:val="22"/>
          <w:lang w:val="hr-HR"/>
        </w:rPr>
        <w:t>Isto</w:t>
      </w:r>
      <w:r>
        <w:rPr>
          <w:bCs/>
          <w:sz w:val="22"/>
          <w:lang w:val="hr-HR"/>
        </w:rPr>
        <w:t>vremena primjen</w:t>
      </w:r>
      <w:r w:rsidRPr="001A5E19">
        <w:rPr>
          <w:bCs/>
          <w:sz w:val="22"/>
          <w:lang w:val="hr-HR"/>
        </w:rPr>
        <w:t>a</w:t>
      </w:r>
      <w:r>
        <w:rPr>
          <w:bCs/>
          <w:sz w:val="22"/>
          <w:lang w:val="hr-HR"/>
        </w:rPr>
        <w:t xml:space="preserve"> </w:t>
      </w:r>
      <w:r>
        <w:rPr>
          <w:bCs/>
          <w:sz w:val="22"/>
          <w:szCs w:val="20"/>
          <w:lang w:val="hr-HR"/>
        </w:rPr>
        <w:t>valsartan/sakubitril</w:t>
      </w:r>
      <w:r w:rsidRPr="001A5E19">
        <w:rPr>
          <w:bCs/>
          <w:sz w:val="22"/>
          <w:lang w:val="hr-HR"/>
        </w:rPr>
        <w:t xml:space="preserve"> s</w:t>
      </w:r>
      <w:r>
        <w:rPr>
          <w:bCs/>
          <w:sz w:val="22"/>
          <w:lang w:val="hr-HR"/>
        </w:rPr>
        <w:t>a</w:t>
      </w:r>
      <w:r w:rsidRPr="001A5E19">
        <w:rPr>
          <w:bCs/>
          <w:sz w:val="22"/>
          <w:lang w:val="hr-HR"/>
        </w:rPr>
        <w:t xml:space="preserve"> ACE inhibitorima je kontraindi</w:t>
      </w:r>
      <w:r>
        <w:rPr>
          <w:bCs/>
          <w:sz w:val="22"/>
          <w:lang w:val="hr-HR"/>
        </w:rPr>
        <w:t>kovana</w:t>
      </w:r>
      <w:r w:rsidRPr="001A5E19">
        <w:rPr>
          <w:bCs/>
          <w:sz w:val="22"/>
          <w:lang w:val="hr-HR"/>
        </w:rPr>
        <w:t>, jer isto</w:t>
      </w:r>
      <w:r>
        <w:rPr>
          <w:bCs/>
          <w:sz w:val="22"/>
          <w:lang w:val="hr-HR"/>
        </w:rPr>
        <w:t>vremena</w:t>
      </w:r>
      <w:r w:rsidRPr="001A5E19">
        <w:rPr>
          <w:bCs/>
          <w:sz w:val="22"/>
          <w:lang w:val="hr-HR"/>
        </w:rPr>
        <w:t xml:space="preserve"> inhibicija neprilizina (NEP) i ACE</w:t>
      </w:r>
      <w:r w:rsidRPr="001A5E19">
        <w:rPr>
          <w:bCs/>
          <w:sz w:val="22"/>
          <w:lang w:val="hr-HR"/>
        </w:rPr>
        <w:noBreakHyphen/>
        <w:t xml:space="preserve">a može </w:t>
      </w:r>
      <w:r>
        <w:rPr>
          <w:bCs/>
          <w:sz w:val="22"/>
          <w:lang w:val="hr-HR"/>
        </w:rPr>
        <w:t xml:space="preserve">da </w:t>
      </w:r>
      <w:r w:rsidRPr="001A5E19">
        <w:rPr>
          <w:bCs/>
          <w:sz w:val="22"/>
          <w:lang w:val="hr-HR"/>
        </w:rPr>
        <w:t xml:space="preserve">poveća rizik od angioedema. </w:t>
      </w:r>
      <w:r>
        <w:rPr>
          <w:bCs/>
          <w:sz w:val="22"/>
          <w:lang w:val="hr-HR"/>
        </w:rPr>
        <w:t>Primjen</w:t>
      </w:r>
      <w:r w:rsidRPr="001A5E19">
        <w:rPr>
          <w:bCs/>
          <w:sz w:val="22"/>
          <w:lang w:val="hr-HR"/>
        </w:rPr>
        <w:t>a</w:t>
      </w:r>
      <w:r>
        <w:rPr>
          <w:bCs/>
          <w:sz w:val="22"/>
          <w:lang w:val="hr-HR"/>
        </w:rPr>
        <w:t xml:space="preserve"> </w:t>
      </w:r>
      <w:r>
        <w:rPr>
          <w:bCs/>
          <w:sz w:val="22"/>
          <w:szCs w:val="20"/>
          <w:lang w:val="hr-HR"/>
        </w:rPr>
        <w:t>valsartan/sakubitril</w:t>
      </w:r>
      <w:r w:rsidRPr="001A5E19">
        <w:rPr>
          <w:bCs/>
          <w:sz w:val="22"/>
          <w:lang w:val="hr-HR"/>
        </w:rPr>
        <w:t xml:space="preserve"> ne sm</w:t>
      </w:r>
      <w:r>
        <w:rPr>
          <w:bCs/>
          <w:sz w:val="22"/>
          <w:lang w:val="hr-HR"/>
        </w:rPr>
        <w:t>ij</w:t>
      </w:r>
      <w:r w:rsidRPr="001A5E19">
        <w:rPr>
          <w:bCs/>
          <w:sz w:val="22"/>
          <w:lang w:val="hr-HR"/>
        </w:rPr>
        <w:t xml:space="preserve">e </w:t>
      </w:r>
      <w:r>
        <w:rPr>
          <w:bCs/>
          <w:sz w:val="22"/>
          <w:lang w:val="hr-HR"/>
        </w:rPr>
        <w:t xml:space="preserve">da </w:t>
      </w:r>
      <w:r w:rsidRPr="001A5E19">
        <w:rPr>
          <w:bCs/>
          <w:sz w:val="22"/>
          <w:lang w:val="hr-HR"/>
        </w:rPr>
        <w:t>se započ</w:t>
      </w:r>
      <w:r>
        <w:rPr>
          <w:bCs/>
          <w:sz w:val="22"/>
          <w:lang w:val="hr-HR"/>
        </w:rPr>
        <w:t>ne</w:t>
      </w:r>
      <w:r w:rsidRPr="001A5E19">
        <w:rPr>
          <w:bCs/>
          <w:sz w:val="22"/>
          <w:lang w:val="hr-HR"/>
        </w:rPr>
        <w:t xml:space="preserve"> do 36 sati nakon uzimanja </w:t>
      </w:r>
      <w:r>
        <w:rPr>
          <w:bCs/>
          <w:sz w:val="22"/>
          <w:lang w:val="hr-HR"/>
        </w:rPr>
        <w:t>poslednje</w:t>
      </w:r>
      <w:r w:rsidRPr="001A5E19">
        <w:rPr>
          <w:bCs/>
          <w:sz w:val="22"/>
          <w:lang w:val="hr-HR"/>
        </w:rPr>
        <w:t xml:space="preserve"> doze terapije ACE inhibitorom. Terapija ACE inhibitorom ne sm</w:t>
      </w:r>
      <w:r>
        <w:rPr>
          <w:bCs/>
          <w:sz w:val="22"/>
          <w:lang w:val="hr-HR"/>
        </w:rPr>
        <w:t>ij</w:t>
      </w:r>
      <w:r w:rsidRPr="001A5E19">
        <w:rPr>
          <w:bCs/>
          <w:sz w:val="22"/>
          <w:lang w:val="hr-HR"/>
        </w:rPr>
        <w:t>e</w:t>
      </w:r>
      <w:r>
        <w:rPr>
          <w:bCs/>
          <w:sz w:val="22"/>
          <w:lang w:val="hr-HR"/>
        </w:rPr>
        <w:t xml:space="preserve"> da</w:t>
      </w:r>
      <w:r w:rsidRPr="001A5E19">
        <w:rPr>
          <w:bCs/>
          <w:sz w:val="22"/>
          <w:lang w:val="hr-HR"/>
        </w:rPr>
        <w:t xml:space="preserve"> se započ</w:t>
      </w:r>
      <w:r>
        <w:rPr>
          <w:bCs/>
          <w:sz w:val="22"/>
          <w:lang w:val="hr-HR"/>
        </w:rPr>
        <w:t>ne</w:t>
      </w:r>
      <w:r w:rsidRPr="001A5E19">
        <w:rPr>
          <w:bCs/>
          <w:sz w:val="22"/>
          <w:lang w:val="hr-HR"/>
        </w:rPr>
        <w:t xml:space="preserve"> do </w:t>
      </w:r>
      <w:r w:rsidRPr="001A5E19">
        <w:rPr>
          <w:sz w:val="22"/>
          <w:lang w:val="hr-HR"/>
        </w:rPr>
        <w:t xml:space="preserve">36 sati nakon </w:t>
      </w:r>
      <w:r>
        <w:rPr>
          <w:sz w:val="22"/>
          <w:lang w:val="hr-HR"/>
        </w:rPr>
        <w:t>posljednje</w:t>
      </w:r>
      <w:r w:rsidRPr="001A5E19">
        <w:rPr>
          <w:sz w:val="22"/>
          <w:lang w:val="hr-HR"/>
        </w:rPr>
        <w:t xml:space="preserve"> doze</w:t>
      </w:r>
      <w:r>
        <w:rPr>
          <w:sz w:val="22"/>
          <w:lang w:val="hr-HR"/>
        </w:rPr>
        <w:t xml:space="preserve"> </w:t>
      </w:r>
      <w:r>
        <w:rPr>
          <w:bCs/>
          <w:sz w:val="22"/>
          <w:szCs w:val="20"/>
          <w:lang w:val="hr-HR"/>
        </w:rPr>
        <w:t>valsartan/sakubitril</w:t>
      </w:r>
      <w:r w:rsidRPr="001A5E19">
        <w:rPr>
          <w:sz w:val="22"/>
          <w:lang w:val="hr-HR"/>
        </w:rPr>
        <w:t xml:space="preserve"> (</w:t>
      </w:r>
      <w:r>
        <w:rPr>
          <w:sz w:val="22"/>
          <w:lang w:val="hr-HR"/>
        </w:rPr>
        <w:t>vidjeti</w:t>
      </w:r>
      <w:r w:rsidRPr="001A5E19">
        <w:rPr>
          <w:sz w:val="22"/>
          <w:lang w:val="hr-HR"/>
        </w:rPr>
        <w:t xml:space="preserve"> </w:t>
      </w:r>
      <w:r w:rsidR="00AF0EFB">
        <w:rPr>
          <w:sz w:val="22"/>
          <w:lang w:val="hr-HR"/>
        </w:rPr>
        <w:t>djelove</w:t>
      </w:r>
      <w:r w:rsidR="00AF0EFB" w:rsidRPr="001A5E19">
        <w:rPr>
          <w:sz w:val="22"/>
          <w:lang w:val="hr-HR"/>
        </w:rPr>
        <w:t> </w:t>
      </w:r>
      <w:r w:rsidRPr="001A5E19">
        <w:rPr>
          <w:sz w:val="22"/>
          <w:lang w:val="hr-HR"/>
        </w:rPr>
        <w:t>4.2 i 4.3).</w:t>
      </w:r>
    </w:p>
    <w:p w14:paraId="2C69727C" w14:textId="77777777" w:rsidR="00B96A91" w:rsidRPr="001A5E19" w:rsidRDefault="00B96A91" w:rsidP="001B64BC">
      <w:pPr>
        <w:widowControl w:val="0"/>
        <w:jc w:val="both"/>
        <w:rPr>
          <w:bCs/>
          <w:sz w:val="22"/>
          <w:lang w:val="hr-HR"/>
        </w:rPr>
      </w:pPr>
    </w:p>
    <w:p w14:paraId="6459D9B5" w14:textId="77777777" w:rsidR="00B96A91" w:rsidRPr="00AB63CB" w:rsidRDefault="00B96A91" w:rsidP="001B64BC">
      <w:pPr>
        <w:keepNext/>
        <w:widowControl w:val="0"/>
        <w:jc w:val="both"/>
        <w:rPr>
          <w:bCs/>
          <w:sz w:val="22"/>
          <w:u w:val="single"/>
          <w:lang w:val="hr-HR"/>
        </w:rPr>
      </w:pPr>
      <w:r w:rsidRPr="00AB63CB">
        <w:rPr>
          <w:bCs/>
          <w:i/>
          <w:sz w:val="22"/>
          <w:u w:val="single"/>
          <w:lang w:val="hr-HR"/>
        </w:rPr>
        <w:lastRenderedPageBreak/>
        <w:t>Aliskiren</w:t>
      </w:r>
    </w:p>
    <w:p w14:paraId="6601ECB6" w14:textId="01B82EDF" w:rsidR="00B96A91" w:rsidRPr="001A5E19" w:rsidRDefault="00B96A91" w:rsidP="001B64BC">
      <w:pPr>
        <w:widowControl w:val="0"/>
        <w:jc w:val="both"/>
        <w:rPr>
          <w:sz w:val="22"/>
          <w:szCs w:val="22"/>
          <w:lang w:val="hr-HR"/>
        </w:rPr>
      </w:pPr>
      <w:r w:rsidRPr="001A5E19">
        <w:rPr>
          <w:bCs/>
          <w:sz w:val="22"/>
          <w:lang w:val="hr-HR"/>
        </w:rPr>
        <w:t>Isto</w:t>
      </w:r>
      <w:r>
        <w:rPr>
          <w:bCs/>
          <w:sz w:val="22"/>
          <w:lang w:val="hr-HR"/>
        </w:rPr>
        <w:t>vremena</w:t>
      </w:r>
      <w:r w:rsidRPr="001A5E19">
        <w:rPr>
          <w:bCs/>
          <w:sz w:val="22"/>
          <w:lang w:val="hr-HR"/>
        </w:rPr>
        <w:t xml:space="preserve"> </w:t>
      </w:r>
      <w:r>
        <w:rPr>
          <w:bCs/>
          <w:sz w:val="22"/>
          <w:lang w:val="hr-HR"/>
        </w:rPr>
        <w:t>primjen</w:t>
      </w:r>
      <w:r w:rsidRPr="001A5E19">
        <w:rPr>
          <w:bCs/>
          <w:sz w:val="22"/>
          <w:lang w:val="hr-HR"/>
        </w:rPr>
        <w:t>a</w:t>
      </w:r>
      <w:r>
        <w:rPr>
          <w:bCs/>
          <w:sz w:val="22"/>
          <w:lang w:val="hr-HR"/>
        </w:rPr>
        <w:t xml:space="preserve"> </w:t>
      </w:r>
      <w:r>
        <w:rPr>
          <w:bCs/>
          <w:sz w:val="22"/>
          <w:szCs w:val="20"/>
          <w:lang w:val="hr-HR"/>
        </w:rPr>
        <w:t>valsartan/sakubitril</w:t>
      </w:r>
      <w:r w:rsidRPr="001A5E19">
        <w:rPr>
          <w:bCs/>
          <w:sz w:val="22"/>
          <w:lang w:val="hr-HR"/>
        </w:rPr>
        <w:t xml:space="preserve"> i </w:t>
      </w:r>
      <w:r>
        <w:rPr>
          <w:bCs/>
          <w:sz w:val="22"/>
          <w:lang w:val="hr-HR"/>
        </w:rPr>
        <w:t>ljek</w:t>
      </w:r>
      <w:r w:rsidRPr="001A5E19">
        <w:rPr>
          <w:bCs/>
          <w:sz w:val="22"/>
          <w:lang w:val="hr-HR"/>
        </w:rPr>
        <w:t>ova koji sadrže aliskiren kontraindi</w:t>
      </w:r>
      <w:r>
        <w:rPr>
          <w:bCs/>
          <w:sz w:val="22"/>
          <w:lang w:val="hr-HR"/>
        </w:rPr>
        <w:t>kovana</w:t>
      </w:r>
      <w:r w:rsidRPr="001A5E19">
        <w:rPr>
          <w:bCs/>
          <w:sz w:val="22"/>
          <w:lang w:val="hr-HR"/>
        </w:rPr>
        <w:t xml:space="preserve"> je </w:t>
      </w:r>
      <w:r>
        <w:rPr>
          <w:bCs/>
          <w:sz w:val="22"/>
          <w:lang w:val="hr-HR"/>
        </w:rPr>
        <w:t>kod</w:t>
      </w:r>
      <w:r w:rsidRPr="001A5E19">
        <w:rPr>
          <w:bCs/>
          <w:sz w:val="22"/>
          <w:lang w:val="hr-HR"/>
        </w:rPr>
        <w:t xml:space="preserve"> </w:t>
      </w:r>
      <w:r>
        <w:rPr>
          <w:bCs/>
          <w:sz w:val="22"/>
          <w:lang w:val="hr-HR"/>
        </w:rPr>
        <w:t>pacijenata</w:t>
      </w:r>
      <w:r w:rsidRPr="001A5E19">
        <w:rPr>
          <w:bCs/>
          <w:sz w:val="22"/>
          <w:lang w:val="hr-HR"/>
        </w:rPr>
        <w:t xml:space="preserve"> sa </w:t>
      </w:r>
      <w:r>
        <w:rPr>
          <w:bCs/>
          <w:sz w:val="22"/>
          <w:lang w:val="hr-HR"/>
        </w:rPr>
        <w:t>diabetes mellitus-om</w:t>
      </w:r>
      <w:r w:rsidRPr="001A5E19">
        <w:rPr>
          <w:bCs/>
          <w:sz w:val="22"/>
          <w:lang w:val="hr-HR"/>
        </w:rPr>
        <w:t xml:space="preserve"> ili </w:t>
      </w:r>
      <w:r>
        <w:rPr>
          <w:bCs/>
          <w:sz w:val="22"/>
          <w:lang w:val="hr-HR"/>
        </w:rPr>
        <w:t>kod</w:t>
      </w:r>
      <w:r w:rsidRPr="001A5E19">
        <w:rPr>
          <w:bCs/>
          <w:sz w:val="22"/>
          <w:lang w:val="hr-HR"/>
        </w:rPr>
        <w:t xml:space="preserve"> </w:t>
      </w:r>
      <w:r>
        <w:rPr>
          <w:bCs/>
          <w:sz w:val="22"/>
          <w:lang w:val="hr-HR"/>
        </w:rPr>
        <w:t>pacijenata</w:t>
      </w:r>
      <w:r w:rsidRPr="001A5E19">
        <w:rPr>
          <w:bCs/>
          <w:sz w:val="22"/>
          <w:lang w:val="hr-HR"/>
        </w:rPr>
        <w:t xml:space="preserve"> s</w:t>
      </w:r>
      <w:r>
        <w:rPr>
          <w:bCs/>
          <w:sz w:val="22"/>
          <w:lang w:val="hr-HR"/>
        </w:rPr>
        <w:t>a</w:t>
      </w:r>
      <w:r w:rsidRPr="001A5E19">
        <w:rPr>
          <w:bCs/>
          <w:sz w:val="22"/>
          <w:lang w:val="hr-HR"/>
        </w:rPr>
        <w:t xml:space="preserve"> oštećenjem </w:t>
      </w:r>
      <w:r>
        <w:rPr>
          <w:bCs/>
          <w:sz w:val="22"/>
          <w:lang w:val="hr-HR"/>
        </w:rPr>
        <w:t xml:space="preserve">funkcije </w:t>
      </w:r>
      <w:r w:rsidRPr="001A5E19">
        <w:rPr>
          <w:bCs/>
          <w:sz w:val="22"/>
          <w:lang w:val="hr-HR"/>
        </w:rPr>
        <w:t xml:space="preserve">bubrega </w:t>
      </w:r>
      <w:r w:rsidRPr="001A5E19">
        <w:rPr>
          <w:sz w:val="22"/>
          <w:szCs w:val="22"/>
          <w:lang w:val="hr-HR"/>
        </w:rPr>
        <w:t>(eGFR &lt;60 ml/min/1,73 m</w:t>
      </w:r>
      <w:r w:rsidRPr="001A5E19">
        <w:rPr>
          <w:sz w:val="22"/>
          <w:szCs w:val="22"/>
          <w:vertAlign w:val="superscript"/>
          <w:lang w:val="hr-HR"/>
        </w:rPr>
        <w:t>2</w:t>
      </w:r>
      <w:r w:rsidRPr="001A5E19">
        <w:rPr>
          <w:sz w:val="22"/>
          <w:szCs w:val="22"/>
          <w:lang w:val="hr-HR"/>
        </w:rPr>
        <w:t>) (</w:t>
      </w:r>
      <w:r>
        <w:rPr>
          <w:sz w:val="22"/>
          <w:szCs w:val="22"/>
          <w:lang w:val="hr-HR"/>
        </w:rPr>
        <w:t>vidjeti</w:t>
      </w:r>
      <w:r w:rsidRPr="001A5E19">
        <w:rPr>
          <w:sz w:val="22"/>
          <w:szCs w:val="22"/>
          <w:lang w:val="hr-HR"/>
        </w:rPr>
        <w:t xml:space="preserve"> </w:t>
      </w:r>
      <w:r w:rsidR="003B65E4">
        <w:rPr>
          <w:sz w:val="22"/>
          <w:szCs w:val="22"/>
          <w:lang w:val="hr-HR"/>
        </w:rPr>
        <w:t>dio</w:t>
      </w:r>
      <w:r w:rsidR="003B65E4" w:rsidRPr="001A5E19">
        <w:rPr>
          <w:sz w:val="22"/>
          <w:szCs w:val="22"/>
          <w:lang w:val="hr-HR"/>
        </w:rPr>
        <w:t> </w:t>
      </w:r>
      <w:r w:rsidRPr="001A5E19">
        <w:rPr>
          <w:sz w:val="22"/>
          <w:szCs w:val="22"/>
          <w:lang w:val="hr-HR"/>
        </w:rPr>
        <w:t>4.3). Kombinacija</w:t>
      </w:r>
      <w:r>
        <w:rPr>
          <w:sz w:val="22"/>
          <w:szCs w:val="22"/>
          <w:lang w:val="hr-HR"/>
        </w:rPr>
        <w:t xml:space="preserve"> </w:t>
      </w:r>
      <w:r>
        <w:rPr>
          <w:bCs/>
          <w:sz w:val="22"/>
          <w:szCs w:val="20"/>
          <w:lang w:val="hr-HR"/>
        </w:rPr>
        <w:t>valsartan/sakubitril</w:t>
      </w:r>
      <w:r w:rsidRPr="001A5E19">
        <w:rPr>
          <w:sz w:val="22"/>
          <w:szCs w:val="22"/>
          <w:lang w:val="hr-HR"/>
        </w:rPr>
        <w:t xml:space="preserve"> s</w:t>
      </w:r>
      <w:r>
        <w:rPr>
          <w:sz w:val="22"/>
          <w:szCs w:val="22"/>
          <w:lang w:val="hr-HR"/>
        </w:rPr>
        <w:t>a</w:t>
      </w:r>
      <w:r w:rsidRPr="001A5E19">
        <w:rPr>
          <w:sz w:val="22"/>
          <w:szCs w:val="22"/>
          <w:lang w:val="hr-HR"/>
        </w:rPr>
        <w:t xml:space="preserve"> </w:t>
      </w:r>
      <w:r>
        <w:rPr>
          <w:sz w:val="22"/>
          <w:szCs w:val="22"/>
          <w:lang w:val="hr-HR"/>
        </w:rPr>
        <w:t>direktnim</w:t>
      </w:r>
      <w:r w:rsidRPr="001A5E19">
        <w:rPr>
          <w:sz w:val="22"/>
          <w:szCs w:val="22"/>
          <w:lang w:val="hr-HR"/>
        </w:rPr>
        <w:t xml:space="preserve"> inhibitorima renina kao što je aliskiren </w:t>
      </w:r>
      <w:r>
        <w:rPr>
          <w:sz w:val="22"/>
          <w:szCs w:val="22"/>
          <w:lang w:val="hr-HR"/>
        </w:rPr>
        <w:t xml:space="preserve">se ne </w:t>
      </w:r>
      <w:r w:rsidRPr="001A5E19">
        <w:rPr>
          <w:sz w:val="22"/>
          <w:szCs w:val="22"/>
          <w:lang w:val="hr-HR"/>
        </w:rPr>
        <w:t>preporuč</w:t>
      </w:r>
      <w:r>
        <w:rPr>
          <w:sz w:val="22"/>
          <w:szCs w:val="22"/>
          <w:lang w:val="hr-HR"/>
        </w:rPr>
        <w:t>uje</w:t>
      </w:r>
      <w:r w:rsidRPr="001A5E19">
        <w:rPr>
          <w:sz w:val="22"/>
          <w:szCs w:val="22"/>
          <w:lang w:val="hr-HR"/>
        </w:rPr>
        <w:t xml:space="preserve"> (</w:t>
      </w:r>
      <w:r>
        <w:rPr>
          <w:sz w:val="22"/>
          <w:szCs w:val="22"/>
          <w:lang w:val="hr-HR"/>
        </w:rPr>
        <w:t xml:space="preserve">vidjeti </w:t>
      </w:r>
      <w:r w:rsidR="003B65E4">
        <w:rPr>
          <w:sz w:val="22"/>
          <w:szCs w:val="22"/>
          <w:lang w:val="hr-HR"/>
        </w:rPr>
        <w:t>dio</w:t>
      </w:r>
      <w:r w:rsidRPr="001A5E19">
        <w:rPr>
          <w:sz w:val="22"/>
          <w:szCs w:val="22"/>
          <w:lang w:val="hr-HR"/>
        </w:rPr>
        <w:t xml:space="preserve"> 4.4). Kombinacija </w:t>
      </w:r>
      <w:r>
        <w:rPr>
          <w:bCs/>
          <w:sz w:val="22"/>
          <w:szCs w:val="20"/>
          <w:lang w:val="hr-HR"/>
        </w:rPr>
        <w:t>valsartan/sakubitril</w:t>
      </w:r>
      <w:r w:rsidRPr="001A5E19">
        <w:rPr>
          <w:sz w:val="22"/>
          <w:szCs w:val="22"/>
          <w:lang w:val="hr-HR"/>
        </w:rPr>
        <w:t xml:space="preserve"> s</w:t>
      </w:r>
      <w:r>
        <w:rPr>
          <w:sz w:val="22"/>
          <w:szCs w:val="22"/>
          <w:lang w:val="hr-HR"/>
        </w:rPr>
        <w:t>a</w:t>
      </w:r>
      <w:r w:rsidRPr="001A5E19">
        <w:rPr>
          <w:sz w:val="22"/>
          <w:szCs w:val="22"/>
          <w:lang w:val="hr-HR"/>
        </w:rPr>
        <w:t xml:space="preserve"> aliskirenom je potencijalno povezana s</w:t>
      </w:r>
      <w:r>
        <w:rPr>
          <w:sz w:val="22"/>
          <w:szCs w:val="22"/>
          <w:lang w:val="hr-HR"/>
        </w:rPr>
        <w:t>a</w:t>
      </w:r>
      <w:r w:rsidRPr="001A5E19">
        <w:rPr>
          <w:sz w:val="22"/>
          <w:szCs w:val="22"/>
          <w:lang w:val="hr-HR"/>
        </w:rPr>
        <w:t xml:space="preserve"> višom učestalošću n</w:t>
      </w:r>
      <w:r>
        <w:rPr>
          <w:sz w:val="22"/>
          <w:szCs w:val="22"/>
          <w:lang w:val="hr-HR"/>
        </w:rPr>
        <w:t>eželjenih reakcija</w:t>
      </w:r>
      <w:r w:rsidRPr="001A5E19">
        <w:rPr>
          <w:sz w:val="22"/>
          <w:szCs w:val="22"/>
          <w:lang w:val="hr-HR"/>
        </w:rPr>
        <w:t xml:space="preserve"> kao što su hipotenzija, hiperkalijemija i smanjena funkcija bubrega (uključujući akutn</w:t>
      </w:r>
      <w:r>
        <w:rPr>
          <w:sz w:val="22"/>
          <w:szCs w:val="22"/>
          <w:lang w:val="hr-HR"/>
        </w:rPr>
        <w:t>u insuficijenciju</w:t>
      </w:r>
      <w:r w:rsidRPr="001A5E19">
        <w:rPr>
          <w:sz w:val="22"/>
          <w:szCs w:val="22"/>
          <w:lang w:val="hr-HR"/>
        </w:rPr>
        <w:t xml:space="preserve"> bubrega) (</w:t>
      </w:r>
      <w:r>
        <w:rPr>
          <w:sz w:val="22"/>
          <w:szCs w:val="22"/>
          <w:lang w:val="hr-HR"/>
        </w:rPr>
        <w:t>vidjeti</w:t>
      </w:r>
      <w:r w:rsidRPr="001A5E19">
        <w:rPr>
          <w:sz w:val="22"/>
          <w:szCs w:val="22"/>
          <w:lang w:val="hr-HR"/>
        </w:rPr>
        <w:t xml:space="preserve"> </w:t>
      </w:r>
      <w:r w:rsidR="003B65E4">
        <w:rPr>
          <w:sz w:val="22"/>
          <w:szCs w:val="22"/>
          <w:lang w:val="hr-HR"/>
        </w:rPr>
        <w:t>djelove</w:t>
      </w:r>
      <w:r w:rsidR="003B65E4" w:rsidRPr="001A5E19">
        <w:rPr>
          <w:sz w:val="22"/>
          <w:szCs w:val="22"/>
          <w:lang w:val="hr-HR"/>
        </w:rPr>
        <w:t> </w:t>
      </w:r>
      <w:r w:rsidRPr="001A5E19">
        <w:rPr>
          <w:sz w:val="22"/>
          <w:szCs w:val="22"/>
          <w:lang w:val="hr-HR"/>
        </w:rPr>
        <w:t>4.3 i 4.4).</w:t>
      </w:r>
    </w:p>
    <w:p w14:paraId="72E2FAE6" w14:textId="77777777" w:rsidR="00B96A91" w:rsidRPr="001A5E19" w:rsidRDefault="00B96A91" w:rsidP="001B64BC">
      <w:pPr>
        <w:widowControl w:val="0"/>
        <w:jc w:val="both"/>
        <w:rPr>
          <w:sz w:val="22"/>
          <w:szCs w:val="22"/>
          <w:lang w:val="hr-HR"/>
        </w:rPr>
      </w:pPr>
    </w:p>
    <w:p w14:paraId="08C04245"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 xml:space="preserve">Interakcije koje </w:t>
      </w:r>
      <w:r>
        <w:rPr>
          <w:sz w:val="22"/>
          <w:szCs w:val="22"/>
          <w:u w:val="single"/>
          <w:lang w:val="hr-HR"/>
        </w:rPr>
        <w:t xml:space="preserve">dovode do toga da se </w:t>
      </w:r>
      <w:r w:rsidRPr="001A5E19">
        <w:rPr>
          <w:sz w:val="22"/>
          <w:szCs w:val="22"/>
          <w:u w:val="single"/>
          <w:lang w:val="hr-HR"/>
        </w:rPr>
        <w:t>ne preporučuje isto</w:t>
      </w:r>
      <w:r>
        <w:rPr>
          <w:sz w:val="22"/>
          <w:szCs w:val="22"/>
          <w:u w:val="single"/>
          <w:lang w:val="hr-HR"/>
        </w:rPr>
        <w:t>vremena primjen</w:t>
      </w:r>
      <w:r w:rsidRPr="001A5E19">
        <w:rPr>
          <w:sz w:val="22"/>
          <w:szCs w:val="22"/>
          <w:u w:val="single"/>
          <w:lang w:val="hr-HR"/>
        </w:rPr>
        <w:t>a</w:t>
      </w:r>
    </w:p>
    <w:p w14:paraId="52BAF628" w14:textId="77777777" w:rsidR="00B96A91" w:rsidRPr="001A5E19" w:rsidRDefault="00B96A91" w:rsidP="001B64BC">
      <w:pPr>
        <w:keepNext/>
        <w:widowControl w:val="0"/>
        <w:jc w:val="both"/>
        <w:rPr>
          <w:color w:val="000000"/>
          <w:sz w:val="22"/>
          <w:lang w:val="hr-HR"/>
        </w:rPr>
      </w:pPr>
    </w:p>
    <w:p w14:paraId="698232FF" w14:textId="5C4B3E6A" w:rsidR="00B96A91" w:rsidRPr="001A5E19" w:rsidRDefault="00B96A91" w:rsidP="001B64BC">
      <w:pPr>
        <w:widowControl w:val="0"/>
        <w:jc w:val="both"/>
        <w:rPr>
          <w:bCs/>
          <w:sz w:val="22"/>
          <w:lang w:val="hr-HR"/>
        </w:rPr>
      </w:pPr>
      <w:r>
        <w:rPr>
          <w:bCs/>
          <w:sz w:val="22"/>
          <w:szCs w:val="20"/>
          <w:lang w:val="hr-HR"/>
        </w:rPr>
        <w:t>Valsartan/sakubitril</w:t>
      </w:r>
      <w:r w:rsidRPr="001A5E19">
        <w:rPr>
          <w:bCs/>
          <w:sz w:val="22"/>
          <w:lang w:val="hr-HR"/>
        </w:rPr>
        <w:t xml:space="preserve"> sadrži valsartan </w:t>
      </w:r>
      <w:r>
        <w:rPr>
          <w:bCs/>
          <w:sz w:val="22"/>
          <w:lang w:val="hr-HR"/>
        </w:rPr>
        <w:t>i zbog toga ne smije da se primjen</w:t>
      </w:r>
      <w:r w:rsidRPr="001A5E19">
        <w:rPr>
          <w:bCs/>
          <w:sz w:val="22"/>
          <w:lang w:val="hr-HR"/>
        </w:rPr>
        <w:t>j</w:t>
      </w:r>
      <w:r>
        <w:rPr>
          <w:bCs/>
          <w:sz w:val="22"/>
          <w:lang w:val="hr-HR"/>
        </w:rPr>
        <w:t>uje</w:t>
      </w:r>
      <w:r w:rsidRPr="001A5E19">
        <w:rPr>
          <w:bCs/>
          <w:sz w:val="22"/>
          <w:lang w:val="hr-HR"/>
        </w:rPr>
        <w:t xml:space="preserve"> zajedno s</w:t>
      </w:r>
      <w:r>
        <w:rPr>
          <w:bCs/>
          <w:sz w:val="22"/>
          <w:lang w:val="hr-HR"/>
        </w:rPr>
        <w:t>a</w:t>
      </w:r>
      <w:r w:rsidRPr="001A5E19">
        <w:rPr>
          <w:bCs/>
          <w:sz w:val="22"/>
          <w:lang w:val="hr-HR"/>
        </w:rPr>
        <w:t xml:space="preserve"> drugim </w:t>
      </w:r>
      <w:r>
        <w:rPr>
          <w:bCs/>
          <w:sz w:val="22"/>
          <w:lang w:val="hr-HR"/>
        </w:rPr>
        <w:t>lijek</w:t>
      </w:r>
      <w:r w:rsidRPr="001A5E19">
        <w:rPr>
          <w:bCs/>
          <w:sz w:val="22"/>
          <w:lang w:val="hr-HR"/>
        </w:rPr>
        <w:t>om koji sadrži ARB</w:t>
      </w:r>
      <w:r w:rsidRPr="001A5E19">
        <w:rPr>
          <w:color w:val="000000"/>
          <w:sz w:val="22"/>
          <w:lang w:val="hr-HR"/>
        </w:rPr>
        <w:t xml:space="preserve"> </w:t>
      </w:r>
      <w:r w:rsidRPr="001A5E19">
        <w:rPr>
          <w:bCs/>
          <w:sz w:val="22"/>
          <w:lang w:val="hr-HR"/>
        </w:rPr>
        <w:t>(</w:t>
      </w:r>
      <w:r>
        <w:rPr>
          <w:bCs/>
          <w:sz w:val="22"/>
          <w:lang w:val="hr-HR"/>
        </w:rPr>
        <w:t xml:space="preserve">vidjeti </w:t>
      </w:r>
      <w:r w:rsidR="003B65E4">
        <w:rPr>
          <w:bCs/>
          <w:sz w:val="22"/>
          <w:lang w:val="hr-HR"/>
        </w:rPr>
        <w:t>dio</w:t>
      </w:r>
      <w:r w:rsidR="003B65E4" w:rsidRPr="001A5E19">
        <w:rPr>
          <w:bCs/>
          <w:sz w:val="22"/>
          <w:lang w:val="hr-HR"/>
        </w:rPr>
        <w:t> </w:t>
      </w:r>
      <w:r w:rsidRPr="001A5E19">
        <w:rPr>
          <w:bCs/>
          <w:sz w:val="22"/>
          <w:lang w:val="hr-HR"/>
        </w:rPr>
        <w:t>4.4).</w:t>
      </w:r>
    </w:p>
    <w:p w14:paraId="42EB5201" w14:textId="77777777" w:rsidR="00B96A91" w:rsidRPr="001A5E19" w:rsidRDefault="00B96A91" w:rsidP="001B64BC">
      <w:pPr>
        <w:widowControl w:val="0"/>
        <w:jc w:val="both"/>
        <w:rPr>
          <w:bCs/>
          <w:sz w:val="22"/>
          <w:lang w:val="hr-HR"/>
        </w:rPr>
      </w:pPr>
    </w:p>
    <w:p w14:paraId="58B5C362" w14:textId="173CA643" w:rsidR="00B96A91" w:rsidRPr="001A5E19" w:rsidRDefault="00B96A91" w:rsidP="001B64BC">
      <w:pPr>
        <w:keepNext/>
        <w:widowControl w:val="0"/>
        <w:jc w:val="both"/>
        <w:rPr>
          <w:sz w:val="22"/>
          <w:szCs w:val="22"/>
          <w:u w:val="single"/>
          <w:lang w:val="hr-HR"/>
        </w:rPr>
      </w:pPr>
      <w:r w:rsidRPr="00165B08">
        <w:rPr>
          <w:sz w:val="22"/>
          <w:szCs w:val="22"/>
          <w:u w:val="single"/>
          <w:lang w:val="hr-HR"/>
        </w:rPr>
        <w:t>Interakcije koje zaht</w:t>
      </w:r>
      <w:r w:rsidR="00D84F16">
        <w:rPr>
          <w:sz w:val="22"/>
          <w:szCs w:val="22"/>
          <w:u w:val="single"/>
          <w:lang w:val="hr-HR"/>
        </w:rPr>
        <w:t>ij</w:t>
      </w:r>
      <w:r w:rsidRPr="00165B08">
        <w:rPr>
          <w:sz w:val="22"/>
          <w:szCs w:val="22"/>
          <w:u w:val="single"/>
          <w:lang w:val="hr-HR"/>
        </w:rPr>
        <w:t>evaju m</w:t>
      </w:r>
      <w:r>
        <w:rPr>
          <w:sz w:val="22"/>
          <w:szCs w:val="22"/>
          <w:u w:val="single"/>
          <w:lang w:val="hr-HR"/>
        </w:rPr>
        <w:t>j</w:t>
      </w:r>
      <w:r w:rsidRPr="00165B08">
        <w:rPr>
          <w:sz w:val="22"/>
          <w:szCs w:val="22"/>
          <w:u w:val="single"/>
          <w:lang w:val="hr-HR"/>
        </w:rPr>
        <w:t>ere opreza</w:t>
      </w:r>
    </w:p>
    <w:p w14:paraId="50156A55" w14:textId="77777777" w:rsidR="00B96A91" w:rsidRPr="001A5E19" w:rsidRDefault="00B96A91" w:rsidP="001B64BC">
      <w:pPr>
        <w:keepNext/>
        <w:widowControl w:val="0"/>
        <w:jc w:val="both"/>
        <w:rPr>
          <w:bCs/>
          <w:sz w:val="22"/>
          <w:lang w:val="hr-HR"/>
        </w:rPr>
      </w:pPr>
    </w:p>
    <w:p w14:paraId="609D0FA6" w14:textId="77777777" w:rsidR="00B96A91" w:rsidRPr="00AB63CB" w:rsidRDefault="00B96A91" w:rsidP="001B64BC">
      <w:pPr>
        <w:keepNext/>
        <w:widowControl w:val="0"/>
        <w:jc w:val="both"/>
        <w:rPr>
          <w:bCs/>
          <w:sz w:val="22"/>
          <w:u w:val="single"/>
          <w:lang w:val="hr-HR"/>
        </w:rPr>
      </w:pPr>
      <w:r w:rsidRPr="00AB63CB">
        <w:rPr>
          <w:bCs/>
          <w:i/>
          <w:sz w:val="22"/>
          <w:u w:val="single"/>
          <w:lang w:val="hr-HR"/>
        </w:rPr>
        <w:t>Supstrati OATP1B1 i OATP1B3, npr. statini</w:t>
      </w:r>
    </w:p>
    <w:p w14:paraId="046E4C2B" w14:textId="77777777" w:rsidR="00B96A91" w:rsidRPr="00D85D4C" w:rsidRDefault="00B96A91" w:rsidP="001B64BC">
      <w:pPr>
        <w:widowControl w:val="0"/>
        <w:jc w:val="both"/>
        <w:rPr>
          <w:bCs/>
          <w:sz w:val="22"/>
          <w:lang w:val="sr-Latn-RS"/>
        </w:rPr>
      </w:pPr>
      <w:r w:rsidRPr="001A5E19">
        <w:rPr>
          <w:i/>
          <w:iCs/>
          <w:sz w:val="22"/>
          <w:szCs w:val="20"/>
          <w:lang w:val="hr-HR"/>
        </w:rPr>
        <w:t>In vitro</w:t>
      </w:r>
      <w:r w:rsidRPr="001A5E19">
        <w:rPr>
          <w:sz w:val="22"/>
          <w:szCs w:val="20"/>
          <w:lang w:val="hr-HR"/>
        </w:rPr>
        <w:t xml:space="preserve"> podaci u</w:t>
      </w:r>
      <w:r>
        <w:rPr>
          <w:sz w:val="22"/>
          <w:szCs w:val="20"/>
          <w:lang w:val="hr-HR"/>
        </w:rPr>
        <w:t>kazuju</w:t>
      </w:r>
      <w:r w:rsidRPr="001A5E19">
        <w:rPr>
          <w:sz w:val="22"/>
          <w:szCs w:val="20"/>
          <w:lang w:val="hr-HR"/>
        </w:rPr>
        <w:t xml:space="preserve"> na to da sakubitril inhibira OATP1B1 i OATP1B3 </w:t>
      </w:r>
      <w:r>
        <w:rPr>
          <w:sz w:val="22"/>
          <w:szCs w:val="20"/>
          <w:lang w:val="hr-HR"/>
        </w:rPr>
        <w:t>transportere</w:t>
      </w:r>
      <w:r w:rsidRPr="001A5E19">
        <w:rPr>
          <w:sz w:val="22"/>
          <w:szCs w:val="20"/>
          <w:lang w:val="hr-HR"/>
        </w:rPr>
        <w:t xml:space="preserve">. </w:t>
      </w:r>
      <w:r>
        <w:rPr>
          <w:sz w:val="22"/>
          <w:szCs w:val="20"/>
          <w:lang w:val="hr-HR"/>
        </w:rPr>
        <w:t>Lijek Entre</w:t>
      </w:r>
      <w:r w:rsidRPr="001A5E19">
        <w:rPr>
          <w:sz w:val="22"/>
          <w:szCs w:val="20"/>
          <w:lang w:val="hr-HR"/>
        </w:rPr>
        <w:t>sto može</w:t>
      </w:r>
      <w:r>
        <w:rPr>
          <w:sz w:val="22"/>
          <w:szCs w:val="20"/>
          <w:lang w:val="hr-HR"/>
        </w:rPr>
        <w:t xml:space="preserve"> zbog toga da </w:t>
      </w:r>
      <w:r w:rsidRPr="001A5E19">
        <w:rPr>
          <w:sz w:val="22"/>
          <w:szCs w:val="20"/>
          <w:lang w:val="hr-HR"/>
        </w:rPr>
        <w:t>poveća sistemsku izloženost supstratima OATP1B1 i OATP1B3 kao što su statini. Isto</w:t>
      </w:r>
      <w:r>
        <w:rPr>
          <w:sz w:val="22"/>
          <w:szCs w:val="20"/>
          <w:lang w:val="hr-HR"/>
        </w:rPr>
        <w:t>vremena primjen</w:t>
      </w:r>
      <w:r w:rsidRPr="001A5E19">
        <w:rPr>
          <w:sz w:val="22"/>
          <w:szCs w:val="20"/>
          <w:lang w:val="hr-HR"/>
        </w:rPr>
        <w:t xml:space="preserve">a </w:t>
      </w:r>
      <w:r>
        <w:rPr>
          <w:bCs/>
          <w:sz w:val="22"/>
          <w:szCs w:val="20"/>
          <w:lang w:val="hr-HR"/>
        </w:rPr>
        <w:t>valsartan/sakubitril</w:t>
      </w:r>
      <w:r>
        <w:rPr>
          <w:sz w:val="22"/>
          <w:lang w:val="hr-HR"/>
        </w:rPr>
        <w:t xml:space="preserve"> je </w:t>
      </w:r>
      <w:r w:rsidRPr="001A5E19">
        <w:rPr>
          <w:sz w:val="22"/>
          <w:lang w:val="hr-HR"/>
        </w:rPr>
        <w:t>povećala C</w:t>
      </w:r>
      <w:r w:rsidRPr="001A5E19">
        <w:rPr>
          <w:sz w:val="22"/>
          <w:vertAlign w:val="subscript"/>
          <w:lang w:val="hr-HR"/>
        </w:rPr>
        <w:t>max</w:t>
      </w:r>
      <w:r w:rsidRPr="001A5E19">
        <w:rPr>
          <w:sz w:val="22"/>
          <w:lang w:val="hr-HR"/>
        </w:rPr>
        <w:t xml:space="preserve"> atorvastatina i njegovih metabolita za do 2 puta </w:t>
      </w:r>
      <w:r>
        <w:rPr>
          <w:sz w:val="22"/>
          <w:lang w:val="hr-HR"/>
        </w:rPr>
        <w:t xml:space="preserve">i PIK </w:t>
      </w:r>
      <w:r w:rsidRPr="001A5E19">
        <w:rPr>
          <w:sz w:val="22"/>
          <w:lang w:val="hr-HR"/>
        </w:rPr>
        <w:t xml:space="preserve">za do 1,3 puta. </w:t>
      </w:r>
      <w:r>
        <w:rPr>
          <w:sz w:val="22"/>
          <w:lang w:val="hr-HR"/>
        </w:rPr>
        <w:t>P</w:t>
      </w:r>
      <w:r w:rsidRPr="001A5E19">
        <w:rPr>
          <w:sz w:val="22"/>
          <w:lang w:val="hr-HR"/>
        </w:rPr>
        <w:t xml:space="preserve">otreban </w:t>
      </w:r>
      <w:r>
        <w:rPr>
          <w:sz w:val="22"/>
          <w:lang w:val="hr-HR"/>
        </w:rPr>
        <w:t xml:space="preserve">je </w:t>
      </w:r>
      <w:r w:rsidRPr="001A5E19">
        <w:rPr>
          <w:sz w:val="22"/>
          <w:lang w:val="hr-HR"/>
        </w:rPr>
        <w:t>oprez kada se</w:t>
      </w:r>
      <w:r>
        <w:rPr>
          <w:sz w:val="22"/>
          <w:lang w:val="hr-HR"/>
        </w:rPr>
        <w:t xml:space="preserve"> </w:t>
      </w:r>
      <w:r>
        <w:rPr>
          <w:bCs/>
          <w:sz w:val="22"/>
          <w:szCs w:val="20"/>
          <w:lang w:val="hr-HR"/>
        </w:rPr>
        <w:t>valsartan/sakubitril</w:t>
      </w:r>
      <w:r>
        <w:rPr>
          <w:sz w:val="22"/>
          <w:lang w:val="hr-HR"/>
        </w:rPr>
        <w:t xml:space="preserve"> primjen</w:t>
      </w:r>
      <w:r w:rsidRPr="001A5E19">
        <w:rPr>
          <w:sz w:val="22"/>
          <w:lang w:val="hr-HR"/>
        </w:rPr>
        <w:t>juje zajedno sa statinima.</w:t>
      </w:r>
      <w:r>
        <w:rPr>
          <w:sz w:val="22"/>
          <w:lang w:val="hr-HR"/>
        </w:rPr>
        <w:t xml:space="preserve"> Nije primije</w:t>
      </w:r>
      <w:r>
        <w:rPr>
          <w:sz w:val="22"/>
          <w:lang w:val="sr-Latn-RS"/>
        </w:rPr>
        <w:t>ćena klinički značajna interakcija  prilikom istovremene primjene simvastatina i lijeka Entresto.</w:t>
      </w:r>
    </w:p>
    <w:p w14:paraId="166CC093" w14:textId="77777777" w:rsidR="00B96A91" w:rsidRPr="00D85D4C" w:rsidRDefault="00B96A91" w:rsidP="001B64BC">
      <w:pPr>
        <w:widowControl w:val="0"/>
        <w:rPr>
          <w:bCs/>
          <w:sz w:val="22"/>
          <w:lang w:val="sr-Latn-RS"/>
        </w:rPr>
      </w:pPr>
    </w:p>
    <w:p w14:paraId="65248EA8" w14:textId="77777777" w:rsidR="00B96A91" w:rsidRPr="00AB63CB" w:rsidRDefault="00B96A91" w:rsidP="001B64BC">
      <w:pPr>
        <w:keepNext/>
        <w:widowControl w:val="0"/>
        <w:jc w:val="both"/>
        <w:rPr>
          <w:bCs/>
          <w:sz w:val="22"/>
          <w:u w:val="single"/>
          <w:lang w:val="hr-HR"/>
        </w:rPr>
      </w:pPr>
      <w:r w:rsidRPr="00AB63CB">
        <w:rPr>
          <w:bCs/>
          <w:i/>
          <w:sz w:val="22"/>
          <w:u w:val="single"/>
          <w:lang w:val="hr-HR"/>
        </w:rPr>
        <w:t>PDE5 inhibitori uključujući sildenafil</w:t>
      </w:r>
    </w:p>
    <w:p w14:paraId="4681B945" w14:textId="77777777" w:rsidR="00B96A91" w:rsidRPr="001A5E19" w:rsidRDefault="00B96A91" w:rsidP="001B64BC">
      <w:pPr>
        <w:widowControl w:val="0"/>
        <w:jc w:val="both"/>
        <w:rPr>
          <w:bCs/>
          <w:sz w:val="22"/>
          <w:lang w:val="hr-HR"/>
        </w:rPr>
      </w:pPr>
      <w:r w:rsidRPr="001A5E19">
        <w:rPr>
          <w:bCs/>
          <w:sz w:val="22"/>
          <w:lang w:val="hr-HR"/>
        </w:rPr>
        <w:t xml:space="preserve">Dodavanje </w:t>
      </w:r>
      <w:r>
        <w:rPr>
          <w:bCs/>
          <w:sz w:val="22"/>
          <w:lang w:val="hr-HR"/>
        </w:rPr>
        <w:t>pojedinačne</w:t>
      </w:r>
      <w:r w:rsidRPr="001A5E19">
        <w:rPr>
          <w:bCs/>
          <w:sz w:val="22"/>
          <w:lang w:val="hr-HR"/>
        </w:rPr>
        <w:t xml:space="preserve"> doze sildenafila</w:t>
      </w:r>
      <w:r>
        <w:rPr>
          <w:bCs/>
          <w:sz w:val="22"/>
          <w:szCs w:val="20"/>
          <w:lang w:val="hr-HR"/>
        </w:rPr>
        <w:t xml:space="preserve"> valsartan/sakubitril</w:t>
      </w:r>
      <w:r w:rsidRPr="001A5E19">
        <w:rPr>
          <w:bCs/>
          <w:sz w:val="22"/>
          <w:szCs w:val="20"/>
          <w:lang w:val="hr-HR"/>
        </w:rPr>
        <w:t xml:space="preserve"> u </w:t>
      </w:r>
      <w:r>
        <w:rPr>
          <w:bCs/>
          <w:sz w:val="22"/>
          <w:szCs w:val="20"/>
          <w:lang w:val="hr-HR"/>
        </w:rPr>
        <w:t xml:space="preserve">ravnotežnom </w:t>
      </w:r>
      <w:r w:rsidRPr="001A5E19">
        <w:rPr>
          <w:bCs/>
          <w:sz w:val="22"/>
          <w:szCs w:val="20"/>
          <w:lang w:val="hr-HR"/>
        </w:rPr>
        <w:t xml:space="preserve">stanju </w:t>
      </w:r>
      <w:r>
        <w:rPr>
          <w:bCs/>
          <w:sz w:val="22"/>
          <w:szCs w:val="20"/>
          <w:lang w:val="hr-HR"/>
        </w:rPr>
        <w:t>kod</w:t>
      </w:r>
      <w:r w:rsidRPr="001A5E19">
        <w:rPr>
          <w:bCs/>
          <w:sz w:val="22"/>
          <w:szCs w:val="20"/>
          <w:lang w:val="hr-HR"/>
        </w:rPr>
        <w:t xml:space="preserve"> </w:t>
      </w:r>
      <w:r>
        <w:rPr>
          <w:bCs/>
          <w:sz w:val="22"/>
          <w:szCs w:val="20"/>
          <w:lang w:val="hr-HR"/>
        </w:rPr>
        <w:t>pacijenata</w:t>
      </w:r>
      <w:r w:rsidRPr="001A5E19">
        <w:rPr>
          <w:bCs/>
          <w:sz w:val="22"/>
          <w:szCs w:val="20"/>
          <w:lang w:val="hr-HR"/>
        </w:rPr>
        <w:t xml:space="preserve"> s</w:t>
      </w:r>
      <w:r>
        <w:rPr>
          <w:bCs/>
          <w:sz w:val="22"/>
          <w:szCs w:val="20"/>
          <w:lang w:val="hr-HR"/>
        </w:rPr>
        <w:t>a</w:t>
      </w:r>
      <w:r w:rsidRPr="001A5E19">
        <w:rPr>
          <w:bCs/>
          <w:sz w:val="22"/>
          <w:szCs w:val="20"/>
          <w:lang w:val="hr-HR"/>
        </w:rPr>
        <w:t xml:space="preserve"> hipertenzijom bilo je povezano sa značajno većim smanjenjem krvnog </w:t>
      </w:r>
      <w:r>
        <w:rPr>
          <w:bCs/>
          <w:sz w:val="22"/>
          <w:szCs w:val="20"/>
          <w:lang w:val="hr-HR"/>
        </w:rPr>
        <w:t>pritiska</w:t>
      </w:r>
      <w:r w:rsidRPr="001A5E19">
        <w:rPr>
          <w:bCs/>
          <w:sz w:val="22"/>
          <w:szCs w:val="20"/>
          <w:lang w:val="hr-HR"/>
        </w:rPr>
        <w:t xml:space="preserve"> u </w:t>
      </w:r>
      <w:r>
        <w:rPr>
          <w:bCs/>
          <w:sz w:val="22"/>
          <w:szCs w:val="20"/>
          <w:lang w:val="hr-HR"/>
        </w:rPr>
        <w:t>poređenju</w:t>
      </w:r>
      <w:r w:rsidRPr="001A5E19">
        <w:rPr>
          <w:bCs/>
          <w:sz w:val="22"/>
          <w:szCs w:val="20"/>
          <w:lang w:val="hr-HR"/>
        </w:rPr>
        <w:t xml:space="preserve"> s</w:t>
      </w:r>
      <w:r>
        <w:rPr>
          <w:bCs/>
          <w:sz w:val="22"/>
          <w:szCs w:val="20"/>
          <w:lang w:val="hr-HR"/>
        </w:rPr>
        <w:t>a</w:t>
      </w:r>
      <w:r w:rsidRPr="001A5E19">
        <w:rPr>
          <w:bCs/>
          <w:sz w:val="22"/>
          <w:szCs w:val="20"/>
          <w:lang w:val="hr-HR"/>
        </w:rPr>
        <w:t xml:space="preserve"> </w:t>
      </w:r>
      <w:r>
        <w:rPr>
          <w:bCs/>
          <w:sz w:val="22"/>
          <w:szCs w:val="20"/>
          <w:lang w:val="hr-HR"/>
        </w:rPr>
        <w:t>primjen</w:t>
      </w:r>
      <w:r w:rsidRPr="001A5E19">
        <w:rPr>
          <w:bCs/>
          <w:sz w:val="22"/>
          <w:szCs w:val="20"/>
          <w:lang w:val="hr-HR"/>
        </w:rPr>
        <w:t xml:space="preserve">om </w:t>
      </w:r>
      <w:r>
        <w:rPr>
          <w:bCs/>
          <w:sz w:val="22"/>
          <w:szCs w:val="20"/>
          <w:lang w:val="hr-HR"/>
        </w:rPr>
        <w:t>valsartan/sakubitril samog</w:t>
      </w:r>
      <w:r w:rsidRPr="001A5E19">
        <w:rPr>
          <w:bCs/>
          <w:sz w:val="22"/>
          <w:szCs w:val="20"/>
          <w:lang w:val="hr-HR"/>
        </w:rPr>
        <w:t xml:space="preserve">. </w:t>
      </w:r>
      <w:r>
        <w:rPr>
          <w:bCs/>
          <w:sz w:val="22"/>
          <w:szCs w:val="20"/>
          <w:lang w:val="hr-HR"/>
        </w:rPr>
        <w:t xml:space="preserve">Zbog toga je </w:t>
      </w:r>
      <w:r w:rsidRPr="001A5E19">
        <w:rPr>
          <w:bCs/>
          <w:sz w:val="22"/>
          <w:szCs w:val="20"/>
          <w:lang w:val="hr-HR"/>
        </w:rPr>
        <w:t>potr</w:t>
      </w:r>
      <w:r>
        <w:rPr>
          <w:bCs/>
          <w:sz w:val="22"/>
          <w:szCs w:val="20"/>
          <w:lang w:val="hr-HR"/>
        </w:rPr>
        <w:t>eban oprez kada se započinje liječ</w:t>
      </w:r>
      <w:r w:rsidRPr="001A5E19">
        <w:rPr>
          <w:bCs/>
          <w:sz w:val="22"/>
          <w:szCs w:val="20"/>
          <w:lang w:val="hr-HR"/>
        </w:rPr>
        <w:t xml:space="preserve">enje </w:t>
      </w:r>
      <w:r w:rsidRPr="001A5E19">
        <w:rPr>
          <w:bCs/>
          <w:sz w:val="22"/>
          <w:lang w:val="hr-HR"/>
        </w:rPr>
        <w:t xml:space="preserve">sildenafilom ili drugim PDE5 inhibitorom </w:t>
      </w:r>
      <w:r>
        <w:rPr>
          <w:bCs/>
          <w:sz w:val="22"/>
          <w:lang w:val="hr-HR"/>
        </w:rPr>
        <w:t>kod pacijenata liječ</w:t>
      </w:r>
      <w:r w:rsidRPr="001A5E19">
        <w:rPr>
          <w:bCs/>
          <w:sz w:val="22"/>
          <w:lang w:val="hr-HR"/>
        </w:rPr>
        <w:t>enih</w:t>
      </w:r>
      <w:r>
        <w:rPr>
          <w:bCs/>
          <w:sz w:val="22"/>
          <w:lang w:val="hr-HR"/>
        </w:rPr>
        <w:t xml:space="preserve"> </w:t>
      </w:r>
      <w:r>
        <w:rPr>
          <w:bCs/>
          <w:sz w:val="22"/>
          <w:szCs w:val="20"/>
          <w:lang w:val="hr-HR"/>
        </w:rPr>
        <w:t>valsartan/sakubitril</w:t>
      </w:r>
      <w:r w:rsidRPr="001A5E19">
        <w:rPr>
          <w:bCs/>
          <w:sz w:val="22"/>
          <w:lang w:val="hr-HR"/>
        </w:rPr>
        <w:t>.</w:t>
      </w:r>
    </w:p>
    <w:p w14:paraId="79AD57AA" w14:textId="77777777" w:rsidR="00B96A91" w:rsidRPr="001A5E19" w:rsidRDefault="00B96A91" w:rsidP="001B64BC">
      <w:pPr>
        <w:widowControl w:val="0"/>
        <w:jc w:val="both"/>
        <w:rPr>
          <w:sz w:val="22"/>
          <w:szCs w:val="22"/>
          <w:lang w:val="hr-HR"/>
        </w:rPr>
      </w:pPr>
    </w:p>
    <w:p w14:paraId="0A091F87" w14:textId="77777777" w:rsidR="00B96A91" w:rsidRPr="00AB63CB" w:rsidRDefault="00B96A91" w:rsidP="001B64BC">
      <w:pPr>
        <w:keepNext/>
        <w:widowControl w:val="0"/>
        <w:jc w:val="both"/>
        <w:rPr>
          <w:bCs/>
          <w:sz w:val="22"/>
          <w:u w:val="single"/>
          <w:lang w:val="hr-HR" w:eastAsia="hr-HR"/>
        </w:rPr>
      </w:pPr>
      <w:r w:rsidRPr="00AB63CB">
        <w:rPr>
          <w:bCs/>
          <w:i/>
          <w:sz w:val="22"/>
          <w:u w:val="single"/>
          <w:lang w:val="hr-HR" w:eastAsia="hr-HR"/>
        </w:rPr>
        <w:t>Kalijum</w:t>
      </w:r>
    </w:p>
    <w:p w14:paraId="1B0B40CF" w14:textId="78A19DF0" w:rsidR="00B96A91" w:rsidRPr="001A5E19" w:rsidRDefault="00B96A91" w:rsidP="001B64BC">
      <w:pPr>
        <w:widowControl w:val="0"/>
        <w:jc w:val="both"/>
        <w:rPr>
          <w:bCs/>
          <w:sz w:val="22"/>
          <w:lang w:val="hr-HR" w:eastAsia="hr-HR"/>
        </w:rPr>
      </w:pPr>
      <w:r w:rsidRPr="001A5E19">
        <w:rPr>
          <w:bCs/>
          <w:sz w:val="22"/>
          <w:lang w:val="hr-HR" w:eastAsia="hr-HR"/>
        </w:rPr>
        <w:t>Isto</w:t>
      </w:r>
      <w:r>
        <w:rPr>
          <w:bCs/>
          <w:sz w:val="22"/>
          <w:lang w:val="hr-HR" w:eastAsia="hr-HR"/>
        </w:rPr>
        <w:t>vremena primjen</w:t>
      </w:r>
      <w:r w:rsidRPr="001A5E19">
        <w:rPr>
          <w:bCs/>
          <w:sz w:val="22"/>
          <w:lang w:val="hr-HR" w:eastAsia="hr-HR"/>
        </w:rPr>
        <w:t>a diuretika koji štede kalij</w:t>
      </w:r>
      <w:r>
        <w:rPr>
          <w:bCs/>
          <w:sz w:val="22"/>
          <w:lang w:val="hr-HR" w:eastAsia="hr-HR"/>
        </w:rPr>
        <w:t>um</w:t>
      </w:r>
      <w:r w:rsidRPr="001A5E19">
        <w:rPr>
          <w:bCs/>
          <w:sz w:val="22"/>
          <w:lang w:val="hr-HR" w:eastAsia="hr-HR"/>
        </w:rPr>
        <w:t xml:space="preserve"> (triamteren, amilorid), mineralokortikoidnih antagonista (npr. spironolakton, eplerenon), </w:t>
      </w:r>
      <w:r>
        <w:rPr>
          <w:bCs/>
          <w:sz w:val="22"/>
          <w:lang w:val="hr-HR" w:eastAsia="hr-HR"/>
        </w:rPr>
        <w:t>suplemenata</w:t>
      </w:r>
      <w:r w:rsidRPr="001A5E19">
        <w:rPr>
          <w:bCs/>
          <w:sz w:val="22"/>
          <w:lang w:val="hr-HR" w:eastAsia="hr-HR"/>
        </w:rPr>
        <w:t xml:space="preserve"> kalij</w:t>
      </w:r>
      <w:r>
        <w:rPr>
          <w:bCs/>
          <w:sz w:val="22"/>
          <w:lang w:val="hr-HR" w:eastAsia="hr-HR"/>
        </w:rPr>
        <w:t>uma, zamjena</w:t>
      </w:r>
      <w:r w:rsidRPr="001A5E19">
        <w:rPr>
          <w:bCs/>
          <w:sz w:val="22"/>
          <w:lang w:val="hr-HR" w:eastAsia="hr-HR"/>
        </w:rPr>
        <w:t xml:space="preserve"> za so koje sadrž</w:t>
      </w:r>
      <w:r>
        <w:rPr>
          <w:bCs/>
          <w:sz w:val="22"/>
          <w:lang w:val="hr-HR" w:eastAsia="hr-HR"/>
        </w:rPr>
        <w:t>e</w:t>
      </w:r>
      <w:r w:rsidRPr="001A5E19">
        <w:rPr>
          <w:bCs/>
          <w:sz w:val="22"/>
          <w:lang w:val="hr-HR" w:eastAsia="hr-HR"/>
        </w:rPr>
        <w:t xml:space="preserve"> kalij</w:t>
      </w:r>
      <w:r>
        <w:rPr>
          <w:bCs/>
          <w:sz w:val="22"/>
          <w:lang w:val="hr-HR" w:eastAsia="hr-HR"/>
        </w:rPr>
        <w:t>um</w:t>
      </w:r>
      <w:r w:rsidRPr="001A5E19">
        <w:rPr>
          <w:bCs/>
          <w:sz w:val="22"/>
          <w:lang w:val="hr-HR" w:eastAsia="hr-HR"/>
        </w:rPr>
        <w:t xml:space="preserve"> ili drug</w:t>
      </w:r>
      <w:r w:rsidR="00943360">
        <w:rPr>
          <w:bCs/>
          <w:sz w:val="22"/>
          <w:lang w:val="hr-HR" w:eastAsia="hr-HR"/>
        </w:rPr>
        <w:t>ih</w:t>
      </w:r>
      <w:r>
        <w:rPr>
          <w:bCs/>
          <w:sz w:val="22"/>
          <w:lang w:val="hr-HR" w:eastAsia="hr-HR"/>
        </w:rPr>
        <w:t xml:space="preserve"> ljekov</w:t>
      </w:r>
      <w:r w:rsidR="00943360">
        <w:rPr>
          <w:bCs/>
          <w:sz w:val="22"/>
          <w:lang w:val="hr-HR" w:eastAsia="hr-HR"/>
        </w:rPr>
        <w:t>a</w:t>
      </w:r>
      <w:r w:rsidRPr="001A5E19">
        <w:rPr>
          <w:bCs/>
          <w:sz w:val="22"/>
          <w:lang w:val="hr-HR" w:eastAsia="hr-HR"/>
        </w:rPr>
        <w:t xml:space="preserve"> (kao što je heparin) može </w:t>
      </w:r>
      <w:r>
        <w:rPr>
          <w:bCs/>
          <w:sz w:val="22"/>
          <w:lang w:val="hr-HR" w:eastAsia="hr-HR"/>
        </w:rPr>
        <w:t xml:space="preserve">da dovede </w:t>
      </w:r>
      <w:r w:rsidRPr="001A5E19">
        <w:rPr>
          <w:bCs/>
          <w:sz w:val="22"/>
          <w:lang w:val="hr-HR" w:eastAsia="hr-HR"/>
        </w:rPr>
        <w:t>do pov</w:t>
      </w:r>
      <w:r>
        <w:rPr>
          <w:bCs/>
          <w:sz w:val="22"/>
          <w:lang w:val="hr-HR" w:eastAsia="hr-HR"/>
        </w:rPr>
        <w:t>ećanja</w:t>
      </w:r>
      <w:r w:rsidRPr="001A5E19">
        <w:rPr>
          <w:bCs/>
          <w:sz w:val="22"/>
          <w:lang w:val="hr-HR" w:eastAsia="hr-HR"/>
        </w:rPr>
        <w:t xml:space="preserve"> kalij</w:t>
      </w:r>
      <w:r>
        <w:rPr>
          <w:bCs/>
          <w:sz w:val="22"/>
          <w:lang w:val="hr-HR" w:eastAsia="hr-HR"/>
        </w:rPr>
        <w:t>um</w:t>
      </w:r>
      <w:r w:rsidRPr="001A5E19">
        <w:rPr>
          <w:bCs/>
          <w:sz w:val="22"/>
          <w:lang w:val="hr-HR" w:eastAsia="hr-HR"/>
        </w:rPr>
        <w:t>a u serumu</w:t>
      </w:r>
      <w:r>
        <w:rPr>
          <w:bCs/>
          <w:sz w:val="22"/>
          <w:lang w:val="hr-HR" w:eastAsia="hr-HR"/>
        </w:rPr>
        <w:t xml:space="preserve"> i</w:t>
      </w:r>
      <w:r w:rsidRPr="001A5E19">
        <w:rPr>
          <w:bCs/>
          <w:sz w:val="22"/>
          <w:lang w:val="hr-HR" w:eastAsia="hr-HR"/>
        </w:rPr>
        <w:t xml:space="preserve"> do pov</w:t>
      </w:r>
      <w:r>
        <w:rPr>
          <w:bCs/>
          <w:sz w:val="22"/>
          <w:lang w:val="hr-HR" w:eastAsia="hr-HR"/>
        </w:rPr>
        <w:t>ećanja</w:t>
      </w:r>
      <w:r w:rsidRPr="001A5E19">
        <w:rPr>
          <w:bCs/>
          <w:sz w:val="22"/>
          <w:lang w:val="hr-HR" w:eastAsia="hr-HR"/>
        </w:rPr>
        <w:t xml:space="preserve"> serumskog kreatinina. Preporučuje se praćenje kalij</w:t>
      </w:r>
      <w:r>
        <w:rPr>
          <w:bCs/>
          <w:sz w:val="22"/>
          <w:lang w:val="hr-HR" w:eastAsia="hr-HR"/>
        </w:rPr>
        <w:t>uma</w:t>
      </w:r>
      <w:r w:rsidRPr="001A5E19">
        <w:rPr>
          <w:bCs/>
          <w:sz w:val="22"/>
          <w:lang w:val="hr-HR" w:eastAsia="hr-HR"/>
        </w:rPr>
        <w:t xml:space="preserve"> u serumu ako se</w:t>
      </w:r>
      <w:r>
        <w:rPr>
          <w:bCs/>
          <w:sz w:val="22"/>
          <w:lang w:val="hr-HR" w:eastAsia="hr-HR"/>
        </w:rPr>
        <w:t xml:space="preserve"> </w:t>
      </w:r>
      <w:r>
        <w:rPr>
          <w:bCs/>
          <w:sz w:val="22"/>
          <w:szCs w:val="20"/>
          <w:lang w:val="hr-HR"/>
        </w:rPr>
        <w:t>valsartan/sakubitril</w:t>
      </w:r>
      <w:r w:rsidRPr="001A5E19">
        <w:rPr>
          <w:bCs/>
          <w:sz w:val="22"/>
          <w:lang w:val="hr-HR" w:eastAsia="hr-HR"/>
        </w:rPr>
        <w:t xml:space="preserve"> </w:t>
      </w:r>
      <w:r>
        <w:rPr>
          <w:bCs/>
          <w:sz w:val="22"/>
          <w:lang w:val="hr-HR" w:eastAsia="hr-HR"/>
        </w:rPr>
        <w:t>primjen</w:t>
      </w:r>
      <w:r w:rsidRPr="001A5E19">
        <w:rPr>
          <w:bCs/>
          <w:sz w:val="22"/>
          <w:lang w:val="hr-HR" w:eastAsia="hr-HR"/>
        </w:rPr>
        <w:t>juje isto</w:t>
      </w:r>
      <w:r>
        <w:rPr>
          <w:bCs/>
          <w:sz w:val="22"/>
          <w:lang w:val="hr-HR" w:eastAsia="hr-HR"/>
        </w:rPr>
        <w:t>vremeno</w:t>
      </w:r>
      <w:r w:rsidRPr="001A5E19">
        <w:rPr>
          <w:bCs/>
          <w:sz w:val="22"/>
          <w:lang w:val="hr-HR" w:eastAsia="hr-HR"/>
        </w:rPr>
        <w:t xml:space="preserve"> s tim </w:t>
      </w:r>
      <w:r>
        <w:rPr>
          <w:bCs/>
          <w:sz w:val="22"/>
          <w:lang w:val="hr-HR" w:eastAsia="hr-HR"/>
        </w:rPr>
        <w:t>ljekovima</w:t>
      </w:r>
      <w:r w:rsidRPr="001A5E19">
        <w:rPr>
          <w:bCs/>
          <w:sz w:val="22"/>
          <w:lang w:val="hr-HR" w:eastAsia="hr-HR"/>
        </w:rPr>
        <w:t xml:space="preserve"> (</w:t>
      </w:r>
      <w:r>
        <w:rPr>
          <w:bCs/>
          <w:sz w:val="22"/>
          <w:lang w:val="hr-HR" w:eastAsia="hr-HR"/>
        </w:rPr>
        <w:t xml:space="preserve">vidjeti </w:t>
      </w:r>
      <w:r w:rsidR="00D627D0">
        <w:rPr>
          <w:bCs/>
          <w:sz w:val="22"/>
          <w:lang w:val="hr-HR" w:eastAsia="hr-HR"/>
        </w:rPr>
        <w:t xml:space="preserve">dio </w:t>
      </w:r>
      <w:r w:rsidRPr="001A5E19">
        <w:rPr>
          <w:bCs/>
          <w:sz w:val="22"/>
          <w:lang w:val="hr-HR" w:eastAsia="hr-HR"/>
        </w:rPr>
        <w:t>4.4).</w:t>
      </w:r>
    </w:p>
    <w:p w14:paraId="19C1F29C" w14:textId="77777777" w:rsidR="00B96A91" w:rsidRPr="001A5E19" w:rsidRDefault="00B96A91" w:rsidP="001B64BC">
      <w:pPr>
        <w:widowControl w:val="0"/>
        <w:jc w:val="both"/>
        <w:rPr>
          <w:bCs/>
          <w:sz w:val="22"/>
          <w:lang w:val="hr-HR" w:eastAsia="hr-HR"/>
        </w:rPr>
      </w:pPr>
    </w:p>
    <w:p w14:paraId="408500FF" w14:textId="44C73B65" w:rsidR="00B96A91" w:rsidRPr="00AB63CB" w:rsidRDefault="00B96A91" w:rsidP="001B64BC">
      <w:pPr>
        <w:keepNext/>
        <w:widowControl w:val="0"/>
        <w:jc w:val="both"/>
        <w:rPr>
          <w:bCs/>
          <w:i/>
          <w:sz w:val="22"/>
          <w:u w:val="single"/>
          <w:lang w:val="hr-HR" w:eastAsia="hr-HR"/>
        </w:rPr>
      </w:pPr>
      <w:r w:rsidRPr="00AB63CB">
        <w:rPr>
          <w:bCs/>
          <w:i/>
          <w:sz w:val="22"/>
          <w:u w:val="single"/>
          <w:lang w:val="hr-HR" w:eastAsia="hr-HR"/>
        </w:rPr>
        <w:t>Nesteroidni antiinflamatorni ljekovi (NSAIL), uključujući selektivne inhibitore ciklooksigenaze</w:t>
      </w:r>
      <w:r w:rsidRPr="00AB63CB">
        <w:rPr>
          <w:bCs/>
          <w:i/>
          <w:sz w:val="22"/>
          <w:u w:val="single"/>
          <w:lang w:val="hr-HR" w:eastAsia="hr-HR"/>
        </w:rPr>
        <w:noBreakHyphen/>
        <w:t>2 (COX</w:t>
      </w:r>
      <w:r w:rsidRPr="00AB63CB">
        <w:rPr>
          <w:bCs/>
          <w:i/>
          <w:sz w:val="22"/>
          <w:u w:val="single"/>
          <w:lang w:val="hr-HR" w:eastAsia="hr-HR"/>
        </w:rPr>
        <w:noBreakHyphen/>
        <w:t>2)</w:t>
      </w:r>
    </w:p>
    <w:p w14:paraId="49840490" w14:textId="6AE5ECDE" w:rsidR="00B96A91" w:rsidRPr="001A5E19" w:rsidRDefault="00B96A91" w:rsidP="001B64BC">
      <w:pPr>
        <w:widowControl w:val="0"/>
        <w:jc w:val="both"/>
        <w:rPr>
          <w:bCs/>
          <w:sz w:val="22"/>
          <w:lang w:val="hr-HR" w:eastAsia="hr-HR"/>
        </w:rPr>
      </w:pPr>
      <w:r>
        <w:rPr>
          <w:bCs/>
          <w:sz w:val="22"/>
          <w:lang w:val="hr-HR" w:eastAsia="hr-HR"/>
        </w:rPr>
        <w:t xml:space="preserve">Kod </w:t>
      </w:r>
      <w:r w:rsidRPr="001A5E19">
        <w:rPr>
          <w:bCs/>
          <w:sz w:val="22"/>
          <w:lang w:val="hr-HR" w:eastAsia="hr-HR"/>
        </w:rPr>
        <w:t xml:space="preserve">starijih </w:t>
      </w:r>
      <w:r>
        <w:rPr>
          <w:bCs/>
          <w:sz w:val="22"/>
          <w:lang w:val="hr-HR" w:eastAsia="hr-HR"/>
        </w:rPr>
        <w:t>pacijenata</w:t>
      </w:r>
      <w:r w:rsidRPr="001A5E19">
        <w:rPr>
          <w:bCs/>
          <w:sz w:val="22"/>
          <w:lang w:val="hr-HR" w:eastAsia="hr-HR"/>
        </w:rPr>
        <w:t xml:space="preserve">, </w:t>
      </w:r>
      <w:r>
        <w:rPr>
          <w:bCs/>
          <w:sz w:val="22"/>
          <w:lang w:val="hr-HR" w:eastAsia="hr-HR"/>
        </w:rPr>
        <w:t>pacijenata</w:t>
      </w:r>
      <w:r w:rsidRPr="001A5E19">
        <w:rPr>
          <w:bCs/>
          <w:sz w:val="22"/>
          <w:lang w:val="hr-HR" w:eastAsia="hr-HR"/>
        </w:rPr>
        <w:t xml:space="preserve"> sa smanjenim volumenom</w:t>
      </w:r>
      <w:r>
        <w:rPr>
          <w:bCs/>
          <w:sz w:val="22"/>
          <w:lang w:val="hr-HR" w:eastAsia="hr-HR"/>
        </w:rPr>
        <w:t xml:space="preserve"> tečnosti</w:t>
      </w:r>
      <w:r w:rsidRPr="001A5E19">
        <w:rPr>
          <w:bCs/>
          <w:sz w:val="22"/>
          <w:lang w:val="hr-HR" w:eastAsia="hr-HR"/>
        </w:rPr>
        <w:t xml:space="preserve"> (uključujući one na terapiji diureticima), ili </w:t>
      </w:r>
      <w:r>
        <w:rPr>
          <w:bCs/>
          <w:sz w:val="22"/>
          <w:lang w:val="hr-HR" w:eastAsia="hr-HR"/>
        </w:rPr>
        <w:t xml:space="preserve">pacijenata </w:t>
      </w:r>
      <w:r w:rsidRPr="001A5E19">
        <w:rPr>
          <w:bCs/>
          <w:sz w:val="22"/>
          <w:lang w:val="hr-HR" w:eastAsia="hr-HR"/>
        </w:rPr>
        <w:t>s</w:t>
      </w:r>
      <w:r>
        <w:rPr>
          <w:bCs/>
          <w:sz w:val="22"/>
          <w:lang w:val="hr-HR" w:eastAsia="hr-HR"/>
        </w:rPr>
        <w:t>a</w:t>
      </w:r>
      <w:r w:rsidRPr="001A5E19">
        <w:rPr>
          <w:bCs/>
          <w:sz w:val="22"/>
          <w:lang w:val="hr-HR" w:eastAsia="hr-HR"/>
        </w:rPr>
        <w:t xml:space="preserve"> oštećenom bubrežnom funkcijom, isto</w:t>
      </w:r>
      <w:r>
        <w:rPr>
          <w:bCs/>
          <w:sz w:val="22"/>
          <w:lang w:val="hr-HR" w:eastAsia="hr-HR"/>
        </w:rPr>
        <w:t>vremena</w:t>
      </w:r>
      <w:r w:rsidRPr="001A5E19">
        <w:rPr>
          <w:bCs/>
          <w:sz w:val="22"/>
          <w:lang w:val="hr-HR" w:eastAsia="hr-HR"/>
        </w:rPr>
        <w:t xml:space="preserve"> </w:t>
      </w:r>
      <w:r>
        <w:rPr>
          <w:bCs/>
          <w:sz w:val="22"/>
          <w:lang w:val="hr-HR" w:eastAsia="hr-HR"/>
        </w:rPr>
        <w:t>primjen</w:t>
      </w:r>
      <w:r w:rsidRPr="001A5E19">
        <w:rPr>
          <w:bCs/>
          <w:sz w:val="22"/>
          <w:lang w:val="hr-HR" w:eastAsia="hr-HR"/>
        </w:rPr>
        <w:t xml:space="preserve">a </w:t>
      </w:r>
      <w:r>
        <w:rPr>
          <w:bCs/>
          <w:sz w:val="22"/>
          <w:szCs w:val="20"/>
          <w:lang w:val="hr-HR"/>
        </w:rPr>
        <w:t>valsartan/sakubitril</w:t>
      </w:r>
      <w:r w:rsidRPr="001A5E19">
        <w:rPr>
          <w:bCs/>
          <w:sz w:val="22"/>
          <w:lang w:val="hr-HR" w:eastAsia="hr-HR"/>
        </w:rPr>
        <w:t xml:space="preserve"> i NSAI</w:t>
      </w:r>
      <w:r>
        <w:rPr>
          <w:bCs/>
          <w:sz w:val="22"/>
          <w:lang w:val="hr-HR" w:eastAsia="hr-HR"/>
        </w:rPr>
        <w:t>L</w:t>
      </w:r>
      <w:r w:rsidRPr="001A5E19">
        <w:rPr>
          <w:bCs/>
          <w:sz w:val="22"/>
          <w:lang w:val="hr-HR" w:eastAsia="hr-HR"/>
        </w:rPr>
        <w:noBreakHyphen/>
        <w:t xml:space="preserve">a može </w:t>
      </w:r>
      <w:r>
        <w:rPr>
          <w:bCs/>
          <w:sz w:val="22"/>
          <w:lang w:val="hr-HR" w:eastAsia="hr-HR"/>
        </w:rPr>
        <w:t>da dovede do</w:t>
      </w:r>
      <w:r w:rsidRPr="001A5E19">
        <w:rPr>
          <w:bCs/>
          <w:sz w:val="22"/>
          <w:lang w:val="hr-HR" w:eastAsia="hr-HR"/>
        </w:rPr>
        <w:t xml:space="preserve"> povećanog rizika od pogoršanja bubrežne funkcije. </w:t>
      </w:r>
      <w:r>
        <w:rPr>
          <w:bCs/>
          <w:sz w:val="22"/>
          <w:lang w:val="hr-HR" w:eastAsia="hr-HR"/>
        </w:rPr>
        <w:t xml:space="preserve">Zbog toga se </w:t>
      </w:r>
      <w:r w:rsidRPr="001A5E19">
        <w:rPr>
          <w:bCs/>
          <w:sz w:val="22"/>
          <w:lang w:val="hr-HR" w:eastAsia="hr-HR"/>
        </w:rPr>
        <w:t>se preporučuje praćenje bubrežne funkcije kada se započinje ili modifi</w:t>
      </w:r>
      <w:r>
        <w:rPr>
          <w:bCs/>
          <w:sz w:val="22"/>
          <w:lang w:val="hr-HR" w:eastAsia="hr-HR"/>
        </w:rPr>
        <w:t>kuje</w:t>
      </w:r>
      <w:r w:rsidRPr="001A5E19">
        <w:rPr>
          <w:bCs/>
          <w:sz w:val="22"/>
          <w:lang w:val="hr-HR" w:eastAsia="hr-HR"/>
        </w:rPr>
        <w:t xml:space="preserve"> </w:t>
      </w:r>
      <w:r>
        <w:rPr>
          <w:bCs/>
          <w:sz w:val="22"/>
          <w:lang w:val="hr-HR" w:eastAsia="hr-HR"/>
        </w:rPr>
        <w:t>liječ</w:t>
      </w:r>
      <w:r w:rsidRPr="001A5E19">
        <w:rPr>
          <w:bCs/>
          <w:sz w:val="22"/>
          <w:lang w:val="hr-HR" w:eastAsia="hr-HR"/>
        </w:rPr>
        <w:t xml:space="preserve">enje </w:t>
      </w:r>
      <w:r>
        <w:rPr>
          <w:bCs/>
          <w:sz w:val="22"/>
          <w:lang w:val="hr-HR" w:eastAsia="hr-HR"/>
        </w:rPr>
        <w:t>kod</w:t>
      </w:r>
      <w:r w:rsidRPr="001A5E19">
        <w:rPr>
          <w:bCs/>
          <w:sz w:val="22"/>
          <w:lang w:val="hr-HR" w:eastAsia="hr-HR"/>
        </w:rPr>
        <w:t xml:space="preserve"> </w:t>
      </w:r>
      <w:r>
        <w:rPr>
          <w:bCs/>
          <w:sz w:val="22"/>
          <w:lang w:val="hr-HR" w:eastAsia="hr-HR"/>
        </w:rPr>
        <w:t>pacijenata</w:t>
      </w:r>
      <w:r w:rsidRPr="001A5E19">
        <w:rPr>
          <w:bCs/>
          <w:sz w:val="22"/>
          <w:lang w:val="hr-HR" w:eastAsia="hr-HR"/>
        </w:rPr>
        <w:t xml:space="preserve"> na</w:t>
      </w:r>
      <w:r w:rsidRPr="00C2126A">
        <w:rPr>
          <w:bCs/>
          <w:sz w:val="22"/>
          <w:szCs w:val="20"/>
          <w:lang w:val="hr-HR"/>
        </w:rPr>
        <w:t xml:space="preserve"> </w:t>
      </w:r>
      <w:r>
        <w:rPr>
          <w:bCs/>
          <w:sz w:val="22"/>
          <w:szCs w:val="20"/>
          <w:lang w:val="hr-HR"/>
        </w:rPr>
        <w:t>valsartan/sakubitril</w:t>
      </w:r>
      <w:r w:rsidRPr="001A5E19">
        <w:rPr>
          <w:bCs/>
          <w:sz w:val="22"/>
          <w:lang w:val="hr-HR" w:eastAsia="hr-HR"/>
        </w:rPr>
        <w:t xml:space="preserve"> koji ist</w:t>
      </w:r>
      <w:r>
        <w:rPr>
          <w:bCs/>
          <w:sz w:val="22"/>
          <w:lang w:val="hr-HR" w:eastAsia="hr-HR"/>
        </w:rPr>
        <w:t>vremeno</w:t>
      </w:r>
      <w:r w:rsidRPr="001A5E19">
        <w:rPr>
          <w:bCs/>
          <w:sz w:val="22"/>
          <w:lang w:val="hr-HR" w:eastAsia="hr-HR"/>
        </w:rPr>
        <w:t xml:space="preserve"> uzimaju NSAI</w:t>
      </w:r>
      <w:r>
        <w:rPr>
          <w:bCs/>
          <w:sz w:val="22"/>
          <w:lang w:val="hr-HR" w:eastAsia="hr-HR"/>
        </w:rPr>
        <w:t>L</w:t>
      </w:r>
      <w:r w:rsidRPr="001A5E19">
        <w:rPr>
          <w:bCs/>
          <w:sz w:val="22"/>
          <w:lang w:val="hr-HR" w:eastAsia="hr-HR"/>
        </w:rPr>
        <w:noBreakHyphen/>
        <w:t>e (</w:t>
      </w:r>
      <w:r>
        <w:rPr>
          <w:bCs/>
          <w:sz w:val="22"/>
          <w:lang w:val="hr-HR" w:eastAsia="hr-HR"/>
        </w:rPr>
        <w:t xml:space="preserve">vidjeti </w:t>
      </w:r>
      <w:r w:rsidR="00D627D0">
        <w:rPr>
          <w:bCs/>
          <w:sz w:val="22"/>
          <w:lang w:val="hr-HR" w:eastAsia="hr-HR"/>
        </w:rPr>
        <w:t>dio</w:t>
      </w:r>
      <w:r w:rsidR="00D627D0" w:rsidRPr="001A5E19">
        <w:rPr>
          <w:bCs/>
          <w:sz w:val="22"/>
          <w:lang w:val="hr-HR" w:eastAsia="hr-HR"/>
        </w:rPr>
        <w:t> </w:t>
      </w:r>
      <w:r w:rsidRPr="001A5E19">
        <w:rPr>
          <w:bCs/>
          <w:sz w:val="22"/>
          <w:lang w:val="hr-HR" w:eastAsia="hr-HR"/>
        </w:rPr>
        <w:t>4.4).</w:t>
      </w:r>
    </w:p>
    <w:p w14:paraId="68AFDE8E" w14:textId="77777777" w:rsidR="00B96A91" w:rsidRPr="001A5E19" w:rsidRDefault="00B96A91" w:rsidP="001B64BC">
      <w:pPr>
        <w:widowControl w:val="0"/>
        <w:jc w:val="both"/>
        <w:rPr>
          <w:bCs/>
          <w:sz w:val="22"/>
          <w:lang w:val="hr-HR" w:eastAsia="hr-HR"/>
        </w:rPr>
      </w:pPr>
    </w:p>
    <w:p w14:paraId="3DF9CA0C" w14:textId="77777777" w:rsidR="00B96A91" w:rsidRPr="00AB63CB" w:rsidRDefault="00B96A91" w:rsidP="001B64BC">
      <w:pPr>
        <w:keepNext/>
        <w:widowControl w:val="0"/>
        <w:jc w:val="both"/>
        <w:rPr>
          <w:bCs/>
          <w:sz w:val="22"/>
          <w:u w:val="single"/>
          <w:lang w:val="hr-HR" w:eastAsia="hr-HR"/>
        </w:rPr>
      </w:pPr>
      <w:r w:rsidRPr="00AB63CB">
        <w:rPr>
          <w:bCs/>
          <w:i/>
          <w:sz w:val="22"/>
          <w:u w:val="single"/>
          <w:lang w:val="hr-HR" w:eastAsia="hr-HR"/>
        </w:rPr>
        <w:t>Litijum</w:t>
      </w:r>
    </w:p>
    <w:p w14:paraId="32C90DBF" w14:textId="6ADA475D" w:rsidR="00B96A91" w:rsidRPr="001A5E19" w:rsidRDefault="00B96A91" w:rsidP="001B64BC">
      <w:pPr>
        <w:widowControl w:val="0"/>
        <w:jc w:val="both"/>
        <w:rPr>
          <w:bCs/>
          <w:sz w:val="22"/>
          <w:lang w:val="hr-HR" w:eastAsia="hr-HR"/>
        </w:rPr>
      </w:pPr>
      <w:r w:rsidRPr="001A5E19">
        <w:rPr>
          <w:bCs/>
          <w:sz w:val="22"/>
          <w:lang w:val="hr-HR" w:eastAsia="hr-HR"/>
        </w:rPr>
        <w:t>Prijavljena su reverzibilna povećanja koncentracija litij</w:t>
      </w:r>
      <w:r>
        <w:rPr>
          <w:bCs/>
          <w:sz w:val="22"/>
          <w:lang w:val="hr-HR" w:eastAsia="hr-HR"/>
        </w:rPr>
        <w:t>um</w:t>
      </w:r>
      <w:r w:rsidRPr="001A5E19">
        <w:rPr>
          <w:bCs/>
          <w:sz w:val="22"/>
          <w:lang w:val="hr-HR" w:eastAsia="hr-HR"/>
        </w:rPr>
        <w:t>a u serumu i toksičnost t</w:t>
      </w:r>
      <w:r>
        <w:rPr>
          <w:bCs/>
          <w:sz w:val="22"/>
          <w:lang w:val="hr-HR" w:eastAsia="hr-HR"/>
        </w:rPr>
        <w:t>o</w:t>
      </w:r>
      <w:r w:rsidRPr="001A5E19">
        <w:rPr>
          <w:bCs/>
          <w:sz w:val="22"/>
          <w:lang w:val="hr-HR" w:eastAsia="hr-HR"/>
        </w:rPr>
        <w:t>kom isto</w:t>
      </w:r>
      <w:r>
        <w:rPr>
          <w:bCs/>
          <w:sz w:val="22"/>
          <w:lang w:val="hr-HR" w:eastAsia="hr-HR"/>
        </w:rPr>
        <w:t>vremene primjen</w:t>
      </w:r>
      <w:r w:rsidRPr="001A5E19">
        <w:rPr>
          <w:bCs/>
          <w:sz w:val="22"/>
          <w:lang w:val="hr-HR" w:eastAsia="hr-HR"/>
        </w:rPr>
        <w:t>e litij</w:t>
      </w:r>
      <w:r>
        <w:rPr>
          <w:bCs/>
          <w:sz w:val="22"/>
          <w:lang w:val="hr-HR" w:eastAsia="hr-HR"/>
        </w:rPr>
        <w:t>um</w:t>
      </w:r>
      <w:r w:rsidRPr="001A5E19">
        <w:rPr>
          <w:bCs/>
          <w:sz w:val="22"/>
          <w:lang w:val="hr-HR" w:eastAsia="hr-HR"/>
        </w:rPr>
        <w:t>a s</w:t>
      </w:r>
      <w:r>
        <w:rPr>
          <w:bCs/>
          <w:sz w:val="22"/>
          <w:lang w:val="hr-HR" w:eastAsia="hr-HR"/>
        </w:rPr>
        <w:t>a</w:t>
      </w:r>
      <w:r w:rsidRPr="001A5E19">
        <w:rPr>
          <w:bCs/>
          <w:sz w:val="22"/>
          <w:lang w:val="hr-HR" w:eastAsia="hr-HR"/>
        </w:rPr>
        <w:t xml:space="preserve"> ACE inhibitorima ili antagonistima receptora angiotenzina II</w:t>
      </w:r>
      <w:r w:rsidR="003E1FEA" w:rsidRPr="006C25A6">
        <w:rPr>
          <w:bCs/>
        </w:rPr>
        <w:t xml:space="preserve">, </w:t>
      </w:r>
      <w:proofErr w:type="spellStart"/>
      <w:r w:rsidR="003E1FEA" w:rsidRPr="006C25A6">
        <w:rPr>
          <w:bCs/>
        </w:rPr>
        <w:t>uključujući</w:t>
      </w:r>
      <w:proofErr w:type="spellEnd"/>
      <w:r w:rsidR="003E1FEA" w:rsidRPr="006C25A6">
        <w:rPr>
          <w:bCs/>
        </w:rPr>
        <w:t xml:space="preserve"> </w:t>
      </w:r>
      <w:r w:rsidR="003E1FEA" w:rsidRPr="006C25A6">
        <w:rPr>
          <w:bCs/>
          <w:lang w:val="hr-HR"/>
        </w:rPr>
        <w:t>valsartan</w:t>
      </w:r>
      <w:r w:rsidR="003E1FEA">
        <w:rPr>
          <w:bCs/>
          <w:lang w:val="hr-HR"/>
        </w:rPr>
        <w:t>/sakubitril</w:t>
      </w:r>
      <w:r w:rsidRPr="001A5E19">
        <w:rPr>
          <w:bCs/>
          <w:sz w:val="22"/>
          <w:lang w:val="hr-HR" w:eastAsia="hr-HR"/>
        </w:rPr>
        <w:t xml:space="preserve">. </w:t>
      </w:r>
      <w:r>
        <w:rPr>
          <w:bCs/>
          <w:sz w:val="22"/>
          <w:lang w:val="hr-HR" w:eastAsia="hr-HR"/>
        </w:rPr>
        <w:t>Zbog toga</w:t>
      </w:r>
      <w:r w:rsidRPr="001A5E19">
        <w:rPr>
          <w:bCs/>
          <w:sz w:val="22"/>
          <w:lang w:val="hr-HR" w:eastAsia="hr-HR"/>
        </w:rPr>
        <w:t xml:space="preserve"> se ova kombinacija ne preporučuje. Ako se </w:t>
      </w:r>
      <w:r>
        <w:rPr>
          <w:bCs/>
          <w:sz w:val="22"/>
          <w:lang w:val="hr-HR" w:eastAsia="hr-HR"/>
        </w:rPr>
        <w:t>d</w:t>
      </w:r>
      <w:r w:rsidRPr="001A5E19">
        <w:rPr>
          <w:bCs/>
          <w:sz w:val="22"/>
          <w:lang w:val="hr-HR" w:eastAsia="hr-HR"/>
        </w:rPr>
        <w:t xml:space="preserve">okaže da je </w:t>
      </w:r>
      <w:r>
        <w:rPr>
          <w:bCs/>
          <w:sz w:val="22"/>
          <w:lang w:val="hr-HR" w:eastAsia="hr-HR"/>
        </w:rPr>
        <w:t>neophodna</w:t>
      </w:r>
      <w:r w:rsidRPr="001A5E19">
        <w:rPr>
          <w:bCs/>
          <w:sz w:val="22"/>
          <w:lang w:val="hr-HR" w:eastAsia="hr-HR"/>
        </w:rPr>
        <w:t xml:space="preserve"> </w:t>
      </w:r>
      <w:r>
        <w:rPr>
          <w:bCs/>
          <w:sz w:val="22"/>
          <w:lang w:val="hr-HR" w:eastAsia="hr-HR"/>
        </w:rPr>
        <w:t>primjen</w:t>
      </w:r>
      <w:r w:rsidRPr="001A5E19">
        <w:rPr>
          <w:bCs/>
          <w:sz w:val="22"/>
          <w:lang w:val="hr-HR" w:eastAsia="hr-HR"/>
        </w:rPr>
        <w:t xml:space="preserve">a kombinacije, preporučuje se pažljivo praćenje </w:t>
      </w:r>
      <w:r>
        <w:rPr>
          <w:bCs/>
          <w:sz w:val="22"/>
          <w:lang w:val="hr-HR" w:eastAsia="hr-HR"/>
        </w:rPr>
        <w:t>nivoa</w:t>
      </w:r>
      <w:r w:rsidRPr="001A5E19">
        <w:rPr>
          <w:bCs/>
          <w:sz w:val="22"/>
          <w:lang w:val="hr-HR" w:eastAsia="hr-HR"/>
        </w:rPr>
        <w:t xml:space="preserve"> litij</w:t>
      </w:r>
      <w:r>
        <w:rPr>
          <w:bCs/>
          <w:sz w:val="22"/>
          <w:lang w:val="hr-HR" w:eastAsia="hr-HR"/>
        </w:rPr>
        <w:t>um</w:t>
      </w:r>
      <w:r w:rsidRPr="001A5E19">
        <w:rPr>
          <w:bCs/>
          <w:sz w:val="22"/>
          <w:lang w:val="hr-HR" w:eastAsia="hr-HR"/>
        </w:rPr>
        <w:t>a u serumu. Ako se koristi i diuretik, rizik od toksičnosti litij</w:t>
      </w:r>
      <w:r>
        <w:rPr>
          <w:bCs/>
          <w:sz w:val="22"/>
          <w:lang w:val="hr-HR" w:eastAsia="hr-HR"/>
        </w:rPr>
        <w:t>um</w:t>
      </w:r>
      <w:r w:rsidRPr="001A5E19">
        <w:rPr>
          <w:bCs/>
          <w:sz w:val="22"/>
          <w:lang w:val="hr-HR" w:eastAsia="hr-HR"/>
        </w:rPr>
        <w:t xml:space="preserve">a može </w:t>
      </w:r>
      <w:r>
        <w:rPr>
          <w:bCs/>
          <w:sz w:val="22"/>
          <w:lang w:val="hr-HR" w:eastAsia="hr-HR"/>
        </w:rPr>
        <w:t xml:space="preserve">da </w:t>
      </w:r>
      <w:r w:rsidRPr="001A5E19">
        <w:rPr>
          <w:bCs/>
          <w:sz w:val="22"/>
          <w:lang w:val="hr-HR" w:eastAsia="hr-HR"/>
        </w:rPr>
        <w:t>se dodatno poveća.</w:t>
      </w:r>
    </w:p>
    <w:p w14:paraId="662114A1" w14:textId="77777777" w:rsidR="00B96A91" w:rsidRPr="001A5E19" w:rsidRDefault="00B96A91" w:rsidP="001B64BC">
      <w:pPr>
        <w:widowControl w:val="0"/>
        <w:jc w:val="both"/>
        <w:rPr>
          <w:sz w:val="22"/>
          <w:szCs w:val="22"/>
          <w:lang w:val="hr-HR" w:eastAsia="hr-HR"/>
        </w:rPr>
      </w:pPr>
    </w:p>
    <w:p w14:paraId="1E213FD4" w14:textId="77777777" w:rsidR="00B96A91" w:rsidRPr="00AB63CB" w:rsidRDefault="00B96A91" w:rsidP="001B64BC">
      <w:pPr>
        <w:keepNext/>
        <w:widowControl w:val="0"/>
        <w:jc w:val="both"/>
        <w:rPr>
          <w:sz w:val="22"/>
          <w:szCs w:val="22"/>
          <w:u w:val="single"/>
          <w:lang w:val="hr-HR" w:eastAsia="hr-HR"/>
        </w:rPr>
      </w:pPr>
      <w:r w:rsidRPr="00AB63CB">
        <w:rPr>
          <w:i/>
          <w:sz w:val="22"/>
          <w:szCs w:val="22"/>
          <w:u w:val="single"/>
          <w:lang w:val="hr-HR" w:eastAsia="hr-HR"/>
        </w:rPr>
        <w:t>Furosemid</w:t>
      </w:r>
    </w:p>
    <w:p w14:paraId="7C9A6B99" w14:textId="77777777" w:rsidR="00B96A91" w:rsidRPr="001A5E19" w:rsidRDefault="00B96A91" w:rsidP="001B64BC">
      <w:pPr>
        <w:widowControl w:val="0"/>
        <w:jc w:val="both"/>
        <w:rPr>
          <w:sz w:val="22"/>
          <w:szCs w:val="22"/>
          <w:lang w:val="hr-HR" w:eastAsia="hr-HR"/>
        </w:rPr>
      </w:pPr>
      <w:r w:rsidRPr="001A5E19">
        <w:rPr>
          <w:sz w:val="22"/>
          <w:szCs w:val="22"/>
          <w:lang w:val="hr-HR" w:eastAsia="hr-HR"/>
        </w:rPr>
        <w:t>Isto</w:t>
      </w:r>
      <w:r>
        <w:rPr>
          <w:sz w:val="22"/>
          <w:szCs w:val="22"/>
          <w:lang w:val="hr-HR" w:eastAsia="hr-HR"/>
        </w:rPr>
        <w:t>vremena primjen</w:t>
      </w:r>
      <w:r w:rsidRPr="001A5E19">
        <w:rPr>
          <w:sz w:val="22"/>
          <w:szCs w:val="22"/>
          <w:lang w:val="hr-HR" w:eastAsia="hr-HR"/>
        </w:rPr>
        <w:t>a</w:t>
      </w:r>
      <w:r>
        <w:rPr>
          <w:sz w:val="22"/>
          <w:szCs w:val="22"/>
          <w:lang w:val="hr-HR" w:eastAsia="hr-HR"/>
        </w:rPr>
        <w:t xml:space="preserve"> </w:t>
      </w:r>
      <w:r>
        <w:rPr>
          <w:bCs/>
          <w:sz w:val="22"/>
          <w:szCs w:val="20"/>
          <w:lang w:val="hr-HR"/>
        </w:rPr>
        <w:t>valsartan/sakubitril</w:t>
      </w:r>
      <w:r w:rsidRPr="001A5E19">
        <w:rPr>
          <w:sz w:val="22"/>
          <w:szCs w:val="22"/>
          <w:lang w:val="hr-HR" w:eastAsia="hr-HR"/>
        </w:rPr>
        <w:t xml:space="preserve"> i furosemida nije imala </w:t>
      </w:r>
      <w:r>
        <w:rPr>
          <w:sz w:val="22"/>
          <w:szCs w:val="22"/>
          <w:lang w:val="hr-HR" w:eastAsia="hr-HR"/>
        </w:rPr>
        <w:t>efekta</w:t>
      </w:r>
      <w:r w:rsidRPr="001A5E19">
        <w:rPr>
          <w:sz w:val="22"/>
          <w:szCs w:val="22"/>
          <w:lang w:val="hr-HR" w:eastAsia="hr-HR"/>
        </w:rPr>
        <w:t xml:space="preserve"> na farmakokinetiku </w:t>
      </w:r>
      <w:r>
        <w:rPr>
          <w:bCs/>
          <w:sz w:val="22"/>
          <w:szCs w:val="20"/>
          <w:lang w:val="hr-HR"/>
        </w:rPr>
        <w:t>valsartan/sakubitril</w:t>
      </w:r>
      <w:r w:rsidRPr="001A5E19">
        <w:rPr>
          <w:sz w:val="22"/>
          <w:szCs w:val="22"/>
          <w:lang w:val="hr-HR" w:eastAsia="hr-HR"/>
        </w:rPr>
        <w:t xml:space="preserve">, ali </w:t>
      </w:r>
      <w:r>
        <w:rPr>
          <w:sz w:val="22"/>
          <w:szCs w:val="22"/>
          <w:lang w:val="hr-HR" w:eastAsia="hr-HR"/>
        </w:rPr>
        <w:t xml:space="preserve">je </w:t>
      </w:r>
      <w:r w:rsidRPr="001A5E19">
        <w:rPr>
          <w:sz w:val="22"/>
          <w:szCs w:val="22"/>
          <w:lang w:val="hr-HR" w:eastAsia="hr-HR"/>
        </w:rPr>
        <w:t>smanjila C</w:t>
      </w:r>
      <w:r w:rsidRPr="001A5E19">
        <w:rPr>
          <w:sz w:val="22"/>
          <w:szCs w:val="22"/>
          <w:vertAlign w:val="subscript"/>
          <w:lang w:val="hr-HR" w:eastAsia="hr-HR"/>
        </w:rPr>
        <w:t>max</w:t>
      </w:r>
      <w:r w:rsidRPr="001A5E19">
        <w:rPr>
          <w:sz w:val="22"/>
          <w:szCs w:val="22"/>
          <w:lang w:val="hr-HR" w:eastAsia="hr-HR"/>
        </w:rPr>
        <w:t xml:space="preserve"> furosemida za 50% i </w:t>
      </w:r>
      <w:r>
        <w:rPr>
          <w:sz w:val="22"/>
          <w:szCs w:val="22"/>
          <w:lang w:val="hr-HR" w:eastAsia="hr-HR"/>
        </w:rPr>
        <w:t>PIK</w:t>
      </w:r>
      <w:r w:rsidRPr="001A5E19">
        <w:rPr>
          <w:sz w:val="22"/>
          <w:szCs w:val="22"/>
          <w:lang w:val="hr-HR" w:eastAsia="hr-HR"/>
        </w:rPr>
        <w:t xml:space="preserve"> za 28%. Iako nije bilo </w:t>
      </w:r>
      <w:r>
        <w:rPr>
          <w:sz w:val="22"/>
          <w:szCs w:val="22"/>
          <w:lang w:val="hr-HR" w:eastAsia="hr-HR"/>
        </w:rPr>
        <w:t>značajne promj</w:t>
      </w:r>
      <w:r w:rsidRPr="001A5E19">
        <w:rPr>
          <w:sz w:val="22"/>
          <w:szCs w:val="22"/>
          <w:lang w:val="hr-HR" w:eastAsia="hr-HR"/>
        </w:rPr>
        <w:t>ene u volumenu urina, izlučivanje natrij</w:t>
      </w:r>
      <w:r>
        <w:rPr>
          <w:sz w:val="22"/>
          <w:szCs w:val="22"/>
          <w:lang w:val="hr-HR" w:eastAsia="hr-HR"/>
        </w:rPr>
        <w:t>um</w:t>
      </w:r>
      <w:r w:rsidRPr="001A5E19">
        <w:rPr>
          <w:sz w:val="22"/>
          <w:szCs w:val="22"/>
          <w:lang w:val="hr-HR" w:eastAsia="hr-HR"/>
        </w:rPr>
        <w:t xml:space="preserve">a putem urina </w:t>
      </w:r>
      <w:r>
        <w:rPr>
          <w:sz w:val="22"/>
          <w:szCs w:val="22"/>
          <w:lang w:val="hr-HR" w:eastAsia="hr-HR"/>
        </w:rPr>
        <w:t xml:space="preserve">se </w:t>
      </w:r>
      <w:r w:rsidRPr="001A5E19">
        <w:rPr>
          <w:sz w:val="22"/>
          <w:szCs w:val="22"/>
          <w:lang w:val="hr-HR" w:eastAsia="hr-HR"/>
        </w:rPr>
        <w:t xml:space="preserve">smanjilo u </w:t>
      </w:r>
      <w:r>
        <w:rPr>
          <w:sz w:val="22"/>
          <w:szCs w:val="22"/>
          <w:lang w:val="hr-HR" w:eastAsia="hr-HR"/>
        </w:rPr>
        <w:t>t</w:t>
      </w:r>
      <w:r w:rsidRPr="001A5E19">
        <w:rPr>
          <w:sz w:val="22"/>
          <w:szCs w:val="22"/>
          <w:lang w:val="hr-HR" w:eastAsia="hr-HR"/>
        </w:rPr>
        <w:t>oku 4 sata i 24 sata nakon isto</w:t>
      </w:r>
      <w:r>
        <w:rPr>
          <w:sz w:val="22"/>
          <w:szCs w:val="22"/>
          <w:lang w:val="hr-HR" w:eastAsia="hr-HR"/>
        </w:rPr>
        <w:t>vremene</w:t>
      </w:r>
      <w:r w:rsidRPr="001A5E19">
        <w:rPr>
          <w:sz w:val="22"/>
          <w:szCs w:val="22"/>
          <w:lang w:val="hr-HR" w:eastAsia="hr-HR"/>
        </w:rPr>
        <w:t xml:space="preserve"> </w:t>
      </w:r>
      <w:r>
        <w:rPr>
          <w:sz w:val="22"/>
          <w:szCs w:val="22"/>
          <w:lang w:val="hr-HR" w:eastAsia="hr-HR"/>
        </w:rPr>
        <w:t>primjene. Prosj</w:t>
      </w:r>
      <w:r w:rsidRPr="001A5E19">
        <w:rPr>
          <w:sz w:val="22"/>
          <w:szCs w:val="22"/>
          <w:lang w:val="hr-HR" w:eastAsia="hr-HR"/>
        </w:rPr>
        <w:t xml:space="preserve">ečna dnevna </w:t>
      </w:r>
      <w:r>
        <w:rPr>
          <w:sz w:val="22"/>
          <w:szCs w:val="22"/>
          <w:lang w:val="hr-HR" w:eastAsia="hr-HR"/>
        </w:rPr>
        <w:t>doza furosemida bila je nepromij</w:t>
      </w:r>
      <w:r w:rsidRPr="001A5E19">
        <w:rPr>
          <w:sz w:val="22"/>
          <w:szCs w:val="22"/>
          <w:lang w:val="hr-HR" w:eastAsia="hr-HR"/>
        </w:rPr>
        <w:t xml:space="preserve">enjena u odnosu na početnu </w:t>
      </w:r>
      <w:r>
        <w:rPr>
          <w:sz w:val="22"/>
          <w:szCs w:val="22"/>
          <w:lang w:val="hr-HR" w:eastAsia="hr-HR"/>
        </w:rPr>
        <w:t xml:space="preserve">dozu </w:t>
      </w:r>
      <w:r w:rsidRPr="001A5E19">
        <w:rPr>
          <w:sz w:val="22"/>
          <w:szCs w:val="22"/>
          <w:lang w:val="hr-HR" w:eastAsia="hr-HR"/>
        </w:rPr>
        <w:t xml:space="preserve">do kraja </w:t>
      </w:r>
      <w:r>
        <w:rPr>
          <w:sz w:val="22"/>
          <w:szCs w:val="22"/>
          <w:lang w:val="hr-HR" w:eastAsia="hr-HR"/>
        </w:rPr>
        <w:t>studije</w:t>
      </w:r>
      <w:r w:rsidRPr="001A5E19">
        <w:rPr>
          <w:sz w:val="22"/>
          <w:szCs w:val="22"/>
          <w:lang w:val="hr-HR" w:eastAsia="hr-HR"/>
        </w:rPr>
        <w:t xml:space="preserve"> PARADIGM-HF </w:t>
      </w:r>
      <w:r>
        <w:rPr>
          <w:sz w:val="22"/>
          <w:szCs w:val="22"/>
          <w:lang w:val="hr-HR" w:eastAsia="hr-HR"/>
        </w:rPr>
        <w:t xml:space="preserve">kod pacijenata liječenih </w:t>
      </w:r>
      <w:r>
        <w:rPr>
          <w:bCs/>
          <w:sz w:val="22"/>
          <w:szCs w:val="20"/>
          <w:lang w:val="hr-HR"/>
        </w:rPr>
        <w:t>valsartan/sakubitril</w:t>
      </w:r>
      <w:r w:rsidRPr="001A5E19">
        <w:rPr>
          <w:sz w:val="22"/>
          <w:szCs w:val="22"/>
          <w:lang w:val="hr-HR" w:eastAsia="hr-HR"/>
        </w:rPr>
        <w:t>.</w:t>
      </w:r>
    </w:p>
    <w:p w14:paraId="4B1EC6A4" w14:textId="77777777" w:rsidR="00B96A91" w:rsidRPr="001A5E19" w:rsidRDefault="00B96A91" w:rsidP="001B64BC">
      <w:pPr>
        <w:widowControl w:val="0"/>
        <w:jc w:val="both"/>
        <w:rPr>
          <w:sz w:val="22"/>
          <w:szCs w:val="22"/>
          <w:lang w:val="hr-HR" w:eastAsia="hr-HR"/>
        </w:rPr>
      </w:pPr>
    </w:p>
    <w:p w14:paraId="76B7575E" w14:textId="77777777" w:rsidR="00B96A91" w:rsidRPr="00AB63CB" w:rsidRDefault="00B96A91" w:rsidP="001B64BC">
      <w:pPr>
        <w:keepNext/>
        <w:widowControl w:val="0"/>
        <w:jc w:val="both"/>
        <w:rPr>
          <w:sz w:val="22"/>
          <w:szCs w:val="22"/>
          <w:u w:val="single"/>
          <w:lang w:val="hr-HR" w:eastAsia="hr-HR"/>
        </w:rPr>
      </w:pPr>
      <w:r w:rsidRPr="00AB63CB">
        <w:rPr>
          <w:i/>
          <w:sz w:val="22"/>
          <w:szCs w:val="22"/>
          <w:u w:val="single"/>
          <w:lang w:val="hr-HR" w:eastAsia="hr-HR"/>
        </w:rPr>
        <w:t>Nitrati, npr. nitroglicerin</w:t>
      </w:r>
    </w:p>
    <w:p w14:paraId="729FB086" w14:textId="77777777" w:rsidR="00B96A91" w:rsidRPr="001A5E19" w:rsidRDefault="00B96A91" w:rsidP="001B64BC">
      <w:pPr>
        <w:widowControl w:val="0"/>
        <w:jc w:val="both"/>
        <w:rPr>
          <w:sz w:val="22"/>
          <w:szCs w:val="22"/>
          <w:lang w:val="hr-HR" w:eastAsia="hr-HR"/>
        </w:rPr>
      </w:pPr>
      <w:r w:rsidRPr="001A5E19">
        <w:rPr>
          <w:sz w:val="22"/>
          <w:szCs w:val="22"/>
          <w:lang w:val="hr-HR" w:eastAsia="hr-HR"/>
        </w:rPr>
        <w:t>Nije bilo interakcije između</w:t>
      </w:r>
      <w:r>
        <w:rPr>
          <w:sz w:val="22"/>
          <w:szCs w:val="22"/>
          <w:lang w:val="hr-HR" w:eastAsia="hr-HR"/>
        </w:rPr>
        <w:t xml:space="preserve"> </w:t>
      </w:r>
      <w:r>
        <w:rPr>
          <w:bCs/>
          <w:sz w:val="22"/>
          <w:szCs w:val="20"/>
          <w:lang w:val="hr-HR"/>
        </w:rPr>
        <w:t>valsartan/sakubitril</w:t>
      </w:r>
      <w:r>
        <w:rPr>
          <w:sz w:val="22"/>
          <w:szCs w:val="22"/>
          <w:lang w:val="hr-HR" w:eastAsia="hr-HR"/>
        </w:rPr>
        <w:t xml:space="preserve"> i intravenski primijen</w:t>
      </w:r>
      <w:r w:rsidRPr="001A5E19">
        <w:rPr>
          <w:sz w:val="22"/>
          <w:szCs w:val="22"/>
          <w:lang w:val="hr-HR" w:eastAsia="hr-HR"/>
        </w:rPr>
        <w:t xml:space="preserve">jenog nitroglicerina </w:t>
      </w:r>
      <w:r>
        <w:rPr>
          <w:sz w:val="22"/>
          <w:szCs w:val="22"/>
          <w:lang w:val="hr-HR" w:eastAsia="hr-HR"/>
        </w:rPr>
        <w:t xml:space="preserve">u odnosu na </w:t>
      </w:r>
      <w:r w:rsidRPr="001A5E19">
        <w:rPr>
          <w:sz w:val="22"/>
          <w:szCs w:val="22"/>
          <w:lang w:val="hr-HR" w:eastAsia="hr-HR"/>
        </w:rPr>
        <w:t xml:space="preserve">smanjenje krvnog </w:t>
      </w:r>
      <w:r>
        <w:rPr>
          <w:sz w:val="22"/>
          <w:szCs w:val="22"/>
          <w:lang w:val="hr-HR" w:eastAsia="hr-HR"/>
        </w:rPr>
        <w:t>pritiska</w:t>
      </w:r>
      <w:r w:rsidRPr="001A5E19">
        <w:rPr>
          <w:sz w:val="22"/>
          <w:szCs w:val="22"/>
          <w:lang w:val="hr-HR" w:eastAsia="hr-HR"/>
        </w:rPr>
        <w:t>. Isto</w:t>
      </w:r>
      <w:r>
        <w:rPr>
          <w:sz w:val="22"/>
          <w:szCs w:val="22"/>
          <w:lang w:val="hr-HR" w:eastAsia="hr-HR"/>
        </w:rPr>
        <w:t>vremena</w:t>
      </w:r>
      <w:r w:rsidRPr="001A5E19">
        <w:rPr>
          <w:sz w:val="22"/>
          <w:szCs w:val="22"/>
          <w:lang w:val="hr-HR" w:eastAsia="hr-HR"/>
        </w:rPr>
        <w:t xml:space="preserve"> </w:t>
      </w:r>
      <w:r>
        <w:rPr>
          <w:sz w:val="22"/>
          <w:szCs w:val="22"/>
          <w:lang w:val="hr-HR" w:eastAsia="hr-HR"/>
        </w:rPr>
        <w:t>primjen</w:t>
      </w:r>
      <w:r w:rsidRPr="001A5E19">
        <w:rPr>
          <w:sz w:val="22"/>
          <w:szCs w:val="22"/>
          <w:lang w:val="hr-HR" w:eastAsia="hr-HR"/>
        </w:rPr>
        <w:t xml:space="preserve">a nitroglicerina i </w:t>
      </w:r>
      <w:r>
        <w:rPr>
          <w:bCs/>
          <w:sz w:val="22"/>
          <w:szCs w:val="20"/>
          <w:lang w:val="hr-HR"/>
        </w:rPr>
        <w:t>valsartan/sakubitril</w:t>
      </w:r>
      <w:r w:rsidRPr="001A5E19">
        <w:rPr>
          <w:sz w:val="22"/>
          <w:szCs w:val="22"/>
          <w:lang w:val="hr-HR" w:eastAsia="hr-HR"/>
        </w:rPr>
        <w:t xml:space="preserve"> bila je povezana s</w:t>
      </w:r>
      <w:r>
        <w:rPr>
          <w:sz w:val="22"/>
          <w:szCs w:val="22"/>
          <w:lang w:val="hr-HR" w:eastAsia="hr-HR"/>
        </w:rPr>
        <w:t>a</w:t>
      </w:r>
      <w:r w:rsidRPr="001A5E19">
        <w:rPr>
          <w:sz w:val="22"/>
          <w:szCs w:val="22"/>
          <w:lang w:val="hr-HR" w:eastAsia="hr-HR"/>
        </w:rPr>
        <w:t xml:space="preserve"> terapijskom razlikom od 5 otkucaja u srčanoj frekvenci</w:t>
      </w:r>
      <w:r>
        <w:rPr>
          <w:sz w:val="22"/>
          <w:szCs w:val="22"/>
          <w:lang w:val="hr-HR" w:eastAsia="hr-HR"/>
        </w:rPr>
        <w:t>ji</w:t>
      </w:r>
      <w:r w:rsidRPr="001A5E19">
        <w:rPr>
          <w:sz w:val="22"/>
          <w:szCs w:val="22"/>
          <w:lang w:val="hr-HR" w:eastAsia="hr-HR"/>
        </w:rPr>
        <w:t xml:space="preserve"> u </w:t>
      </w:r>
      <w:r>
        <w:rPr>
          <w:sz w:val="22"/>
          <w:szCs w:val="22"/>
          <w:lang w:val="hr-HR" w:eastAsia="hr-HR"/>
        </w:rPr>
        <w:t>poređenju sa primjen</w:t>
      </w:r>
      <w:r w:rsidRPr="001A5E19">
        <w:rPr>
          <w:sz w:val="22"/>
          <w:szCs w:val="22"/>
          <w:lang w:val="hr-HR" w:eastAsia="hr-HR"/>
        </w:rPr>
        <w:t xml:space="preserve">om samo nitroglicerina. Sličan </w:t>
      </w:r>
      <w:r>
        <w:rPr>
          <w:sz w:val="22"/>
          <w:szCs w:val="22"/>
          <w:lang w:val="hr-HR" w:eastAsia="hr-HR"/>
        </w:rPr>
        <w:t>efekat</w:t>
      </w:r>
      <w:r w:rsidRPr="001A5E19">
        <w:rPr>
          <w:sz w:val="22"/>
          <w:szCs w:val="22"/>
          <w:lang w:val="hr-HR" w:eastAsia="hr-HR"/>
        </w:rPr>
        <w:t xml:space="preserve"> na srčanu frekvenc</w:t>
      </w:r>
      <w:r>
        <w:rPr>
          <w:sz w:val="22"/>
          <w:szCs w:val="22"/>
          <w:lang w:val="hr-HR" w:eastAsia="hr-HR"/>
        </w:rPr>
        <w:t>ij</w:t>
      </w:r>
      <w:r w:rsidRPr="001A5E19">
        <w:rPr>
          <w:sz w:val="22"/>
          <w:szCs w:val="22"/>
          <w:lang w:val="hr-HR" w:eastAsia="hr-HR"/>
        </w:rPr>
        <w:t xml:space="preserve">u može </w:t>
      </w:r>
      <w:r>
        <w:rPr>
          <w:sz w:val="22"/>
          <w:szCs w:val="22"/>
          <w:lang w:val="hr-HR" w:eastAsia="hr-HR"/>
        </w:rPr>
        <w:t xml:space="preserve">da </w:t>
      </w:r>
      <w:r w:rsidRPr="001A5E19">
        <w:rPr>
          <w:sz w:val="22"/>
          <w:szCs w:val="22"/>
          <w:lang w:val="hr-HR" w:eastAsia="hr-HR"/>
        </w:rPr>
        <w:t>se</w:t>
      </w:r>
      <w:r>
        <w:rPr>
          <w:sz w:val="22"/>
          <w:szCs w:val="22"/>
          <w:lang w:val="hr-HR" w:eastAsia="hr-HR"/>
        </w:rPr>
        <w:t xml:space="preserve"> javi kada se </w:t>
      </w:r>
      <w:r>
        <w:rPr>
          <w:bCs/>
          <w:sz w:val="22"/>
          <w:szCs w:val="20"/>
          <w:lang w:val="hr-HR"/>
        </w:rPr>
        <w:t>valsartan/sakubitril</w:t>
      </w:r>
      <w:r w:rsidRPr="001A5E19">
        <w:rPr>
          <w:sz w:val="22"/>
          <w:szCs w:val="22"/>
          <w:lang w:val="hr-HR" w:eastAsia="hr-HR"/>
        </w:rPr>
        <w:t xml:space="preserve"> isto</w:t>
      </w:r>
      <w:r>
        <w:rPr>
          <w:sz w:val="22"/>
          <w:szCs w:val="22"/>
          <w:lang w:val="hr-HR" w:eastAsia="hr-HR"/>
        </w:rPr>
        <w:t>vremeno primjen</w:t>
      </w:r>
      <w:r w:rsidRPr="001A5E19">
        <w:rPr>
          <w:sz w:val="22"/>
          <w:szCs w:val="22"/>
          <w:lang w:val="hr-HR" w:eastAsia="hr-HR"/>
        </w:rPr>
        <w:t>juje sa subling</w:t>
      </w:r>
      <w:r>
        <w:rPr>
          <w:sz w:val="22"/>
          <w:szCs w:val="22"/>
          <w:lang w:val="hr-HR" w:eastAsia="hr-HR"/>
        </w:rPr>
        <w:t>valnim</w:t>
      </w:r>
      <w:r w:rsidRPr="001A5E19">
        <w:rPr>
          <w:sz w:val="22"/>
          <w:szCs w:val="22"/>
          <w:lang w:val="hr-HR" w:eastAsia="hr-HR"/>
        </w:rPr>
        <w:t>, oralnim ili transdermalnim nitratima. U principu, nije potrebno prilagođavanje doze.</w:t>
      </w:r>
    </w:p>
    <w:p w14:paraId="7343FCC9" w14:textId="77777777" w:rsidR="00B96A91" w:rsidRPr="001A5E19" w:rsidRDefault="00B96A91" w:rsidP="001B64BC">
      <w:pPr>
        <w:widowControl w:val="0"/>
        <w:jc w:val="both"/>
        <w:rPr>
          <w:sz w:val="22"/>
          <w:szCs w:val="22"/>
          <w:lang w:val="hr-HR" w:eastAsia="hr-HR"/>
        </w:rPr>
      </w:pPr>
    </w:p>
    <w:p w14:paraId="1245B1D2" w14:textId="77777777" w:rsidR="00B96A91" w:rsidRPr="00AB63CB" w:rsidRDefault="00B96A91" w:rsidP="001B64BC">
      <w:pPr>
        <w:keepNext/>
        <w:widowControl w:val="0"/>
        <w:jc w:val="both"/>
        <w:rPr>
          <w:bCs/>
          <w:i/>
          <w:sz w:val="22"/>
          <w:u w:val="single"/>
          <w:lang w:val="hr-HR" w:eastAsia="hr-HR"/>
        </w:rPr>
      </w:pPr>
      <w:r w:rsidRPr="00AB63CB">
        <w:rPr>
          <w:bCs/>
          <w:i/>
          <w:sz w:val="22"/>
          <w:u w:val="single"/>
          <w:lang w:val="hr-HR" w:eastAsia="hr-HR"/>
        </w:rPr>
        <w:t>OATP</w:t>
      </w:r>
      <w:r w:rsidRPr="00AB63CB">
        <w:rPr>
          <w:bCs/>
          <w:i/>
          <w:sz w:val="22"/>
          <w:szCs w:val="22"/>
          <w:u w:val="single"/>
          <w:lang w:val="hr-HR" w:eastAsia="hr-HR"/>
        </w:rPr>
        <w:t xml:space="preserve"> i MRP2 transporteri</w:t>
      </w:r>
    </w:p>
    <w:p w14:paraId="16C37013" w14:textId="57613DC8" w:rsidR="00B96A91" w:rsidRPr="001A5E19" w:rsidRDefault="00B96A91" w:rsidP="001B64BC">
      <w:pPr>
        <w:widowControl w:val="0"/>
        <w:jc w:val="both"/>
        <w:rPr>
          <w:bCs/>
          <w:sz w:val="22"/>
          <w:szCs w:val="22"/>
          <w:lang w:val="hr-HR" w:eastAsia="hr-HR"/>
        </w:rPr>
      </w:pPr>
      <w:r w:rsidRPr="001A5E19">
        <w:rPr>
          <w:bCs/>
          <w:sz w:val="22"/>
          <w:szCs w:val="22"/>
          <w:lang w:val="hr-HR" w:eastAsia="hr-HR"/>
        </w:rPr>
        <w:t xml:space="preserve">Aktivni metaboliti sakubitrila (LBQ657) i valsartana su supstrati OATP1B1, OATP1B3, OAT1 i OAT3; valsartan je takođe supstrat MRP2. </w:t>
      </w:r>
      <w:r>
        <w:rPr>
          <w:bCs/>
          <w:sz w:val="22"/>
          <w:szCs w:val="22"/>
          <w:lang w:val="hr-HR" w:eastAsia="hr-HR"/>
        </w:rPr>
        <w:t xml:space="preserve">Zbog toga </w:t>
      </w:r>
      <w:r w:rsidRPr="001A5E19">
        <w:rPr>
          <w:bCs/>
          <w:sz w:val="22"/>
          <w:szCs w:val="22"/>
          <w:lang w:val="hr-HR" w:eastAsia="hr-HR"/>
        </w:rPr>
        <w:t>isto</w:t>
      </w:r>
      <w:r>
        <w:rPr>
          <w:bCs/>
          <w:sz w:val="22"/>
          <w:szCs w:val="22"/>
          <w:lang w:val="hr-HR" w:eastAsia="hr-HR"/>
        </w:rPr>
        <w:t>vremena primjen</w:t>
      </w:r>
      <w:r w:rsidRPr="001A5E19">
        <w:rPr>
          <w:bCs/>
          <w:sz w:val="22"/>
          <w:szCs w:val="22"/>
          <w:lang w:val="hr-HR" w:eastAsia="hr-HR"/>
        </w:rPr>
        <w:t>a</w:t>
      </w:r>
      <w:r>
        <w:rPr>
          <w:bCs/>
          <w:sz w:val="22"/>
          <w:szCs w:val="22"/>
          <w:lang w:val="hr-HR" w:eastAsia="hr-HR"/>
        </w:rPr>
        <w:t xml:space="preserve"> </w:t>
      </w:r>
      <w:r>
        <w:rPr>
          <w:bCs/>
          <w:sz w:val="22"/>
          <w:szCs w:val="20"/>
          <w:lang w:val="hr-HR"/>
        </w:rPr>
        <w:t>valsartan/sakubitril</w:t>
      </w:r>
      <w:r w:rsidRPr="001A5E19">
        <w:rPr>
          <w:bCs/>
          <w:sz w:val="22"/>
          <w:szCs w:val="22"/>
          <w:lang w:val="hr-HR" w:eastAsia="hr-HR"/>
        </w:rPr>
        <w:t xml:space="preserve"> s</w:t>
      </w:r>
      <w:r>
        <w:rPr>
          <w:bCs/>
          <w:sz w:val="22"/>
          <w:szCs w:val="22"/>
          <w:lang w:val="hr-HR" w:eastAsia="hr-HR"/>
        </w:rPr>
        <w:t>a</w:t>
      </w:r>
      <w:r w:rsidRPr="001A5E19">
        <w:rPr>
          <w:bCs/>
          <w:sz w:val="22"/>
          <w:szCs w:val="22"/>
          <w:lang w:val="hr-HR" w:eastAsia="hr-HR"/>
        </w:rPr>
        <w:t xml:space="preserve"> inhibitorima OATP1B1, OATP1B3, OAT3 (npr. rifampicinom, ciklosporinom), OAT1 (npr. tenofovirom, cidofovirom) ili MRP2 (npr. ritonavirom) može </w:t>
      </w:r>
      <w:r>
        <w:rPr>
          <w:bCs/>
          <w:sz w:val="22"/>
          <w:szCs w:val="22"/>
          <w:lang w:val="hr-HR" w:eastAsia="hr-HR"/>
        </w:rPr>
        <w:t xml:space="preserve">da </w:t>
      </w:r>
      <w:r w:rsidRPr="001A5E19">
        <w:rPr>
          <w:bCs/>
          <w:sz w:val="22"/>
          <w:szCs w:val="22"/>
          <w:lang w:val="hr-HR" w:eastAsia="hr-HR"/>
        </w:rPr>
        <w:t>poveća sistemsku izloženost LBQ657 ili valsartanu. Potreb</w:t>
      </w:r>
      <w:r w:rsidR="00D627D0">
        <w:rPr>
          <w:bCs/>
          <w:sz w:val="22"/>
          <w:szCs w:val="22"/>
          <w:lang w:val="hr-HR" w:eastAsia="hr-HR"/>
        </w:rPr>
        <w:t>an</w:t>
      </w:r>
      <w:r w:rsidRPr="001A5E19">
        <w:rPr>
          <w:bCs/>
          <w:sz w:val="22"/>
          <w:szCs w:val="22"/>
          <w:lang w:val="hr-HR" w:eastAsia="hr-HR"/>
        </w:rPr>
        <w:t xml:space="preserve"> je </w:t>
      </w:r>
      <w:r>
        <w:rPr>
          <w:bCs/>
          <w:sz w:val="22"/>
          <w:szCs w:val="22"/>
          <w:lang w:val="hr-HR" w:eastAsia="hr-HR"/>
        </w:rPr>
        <w:t>oprez</w:t>
      </w:r>
      <w:r w:rsidRPr="001A5E19">
        <w:rPr>
          <w:bCs/>
          <w:sz w:val="22"/>
          <w:szCs w:val="22"/>
          <w:lang w:val="hr-HR" w:eastAsia="hr-HR"/>
        </w:rPr>
        <w:t xml:space="preserve"> kod započinjanja ili završavanja isto</w:t>
      </w:r>
      <w:r>
        <w:rPr>
          <w:bCs/>
          <w:sz w:val="22"/>
          <w:szCs w:val="22"/>
          <w:lang w:val="hr-HR" w:eastAsia="hr-HR"/>
        </w:rPr>
        <w:t xml:space="preserve">vremene terapije sa </w:t>
      </w:r>
      <w:r w:rsidRPr="001A5E19">
        <w:rPr>
          <w:bCs/>
          <w:sz w:val="22"/>
          <w:szCs w:val="22"/>
          <w:lang w:val="hr-HR" w:eastAsia="hr-HR"/>
        </w:rPr>
        <w:t>t</w:t>
      </w:r>
      <w:r>
        <w:rPr>
          <w:bCs/>
          <w:sz w:val="22"/>
          <w:szCs w:val="22"/>
          <w:lang w:val="hr-HR" w:eastAsia="hr-HR"/>
        </w:rPr>
        <w:t>im</w:t>
      </w:r>
      <w:r w:rsidRPr="001A5E19">
        <w:rPr>
          <w:bCs/>
          <w:sz w:val="22"/>
          <w:szCs w:val="22"/>
          <w:lang w:val="hr-HR" w:eastAsia="hr-HR"/>
        </w:rPr>
        <w:t xml:space="preserve"> </w:t>
      </w:r>
      <w:r>
        <w:rPr>
          <w:bCs/>
          <w:sz w:val="22"/>
          <w:szCs w:val="22"/>
          <w:lang w:val="hr-HR" w:eastAsia="hr-HR"/>
        </w:rPr>
        <w:t>ljek</w:t>
      </w:r>
      <w:r w:rsidRPr="001A5E19">
        <w:rPr>
          <w:bCs/>
          <w:sz w:val="22"/>
          <w:szCs w:val="22"/>
          <w:lang w:val="hr-HR" w:eastAsia="hr-HR"/>
        </w:rPr>
        <w:t>ovima.</w:t>
      </w:r>
    </w:p>
    <w:p w14:paraId="62AF57E0" w14:textId="77777777" w:rsidR="00B96A91" w:rsidRPr="001A5E19" w:rsidRDefault="00B96A91" w:rsidP="001B64BC">
      <w:pPr>
        <w:widowControl w:val="0"/>
        <w:rPr>
          <w:bCs/>
          <w:sz w:val="22"/>
          <w:szCs w:val="22"/>
          <w:lang w:val="hr-HR" w:eastAsia="hr-HR"/>
        </w:rPr>
      </w:pPr>
    </w:p>
    <w:p w14:paraId="7BCB1772" w14:textId="77777777" w:rsidR="00B96A91" w:rsidRPr="00AB63CB" w:rsidRDefault="00B96A91" w:rsidP="001B64BC">
      <w:pPr>
        <w:keepNext/>
        <w:widowControl w:val="0"/>
        <w:jc w:val="both"/>
        <w:rPr>
          <w:bCs/>
          <w:sz w:val="22"/>
          <w:szCs w:val="22"/>
          <w:u w:val="single"/>
          <w:lang w:val="hr-HR" w:eastAsia="hr-HR"/>
        </w:rPr>
      </w:pPr>
      <w:r w:rsidRPr="00AB63CB">
        <w:rPr>
          <w:bCs/>
          <w:i/>
          <w:sz w:val="22"/>
          <w:szCs w:val="22"/>
          <w:u w:val="single"/>
          <w:lang w:val="hr-HR" w:eastAsia="hr-HR"/>
        </w:rPr>
        <w:t>Metformin</w:t>
      </w:r>
    </w:p>
    <w:p w14:paraId="394F5FE8" w14:textId="77777777" w:rsidR="00B96A91" w:rsidRPr="001A5E19" w:rsidRDefault="00B96A91" w:rsidP="001B64BC">
      <w:pPr>
        <w:widowControl w:val="0"/>
        <w:jc w:val="both"/>
        <w:rPr>
          <w:sz w:val="22"/>
          <w:szCs w:val="22"/>
          <w:lang w:val="hr-HR" w:eastAsia="hr-HR"/>
        </w:rPr>
      </w:pPr>
      <w:r w:rsidRPr="001A5E19">
        <w:rPr>
          <w:sz w:val="22"/>
          <w:szCs w:val="22"/>
          <w:lang w:val="hr-HR" w:eastAsia="hr-HR"/>
        </w:rPr>
        <w:t>Isto</w:t>
      </w:r>
      <w:r>
        <w:rPr>
          <w:sz w:val="22"/>
          <w:szCs w:val="22"/>
          <w:lang w:val="hr-HR" w:eastAsia="hr-HR"/>
        </w:rPr>
        <w:t>vremena</w:t>
      </w:r>
      <w:r w:rsidRPr="001A5E19">
        <w:rPr>
          <w:sz w:val="22"/>
          <w:szCs w:val="22"/>
          <w:lang w:val="hr-HR" w:eastAsia="hr-HR"/>
        </w:rPr>
        <w:t xml:space="preserve"> </w:t>
      </w:r>
      <w:r>
        <w:rPr>
          <w:sz w:val="22"/>
          <w:szCs w:val="22"/>
          <w:lang w:val="hr-HR" w:eastAsia="hr-HR"/>
        </w:rPr>
        <w:t>primjen</w:t>
      </w:r>
      <w:r w:rsidRPr="001A5E19">
        <w:rPr>
          <w:sz w:val="22"/>
          <w:szCs w:val="22"/>
          <w:lang w:val="hr-HR" w:eastAsia="hr-HR"/>
        </w:rPr>
        <w:t>a</w:t>
      </w:r>
      <w:r>
        <w:rPr>
          <w:sz w:val="22"/>
          <w:szCs w:val="22"/>
          <w:lang w:val="hr-HR" w:eastAsia="hr-HR"/>
        </w:rPr>
        <w:t xml:space="preserve"> </w:t>
      </w:r>
      <w:r>
        <w:rPr>
          <w:bCs/>
          <w:sz w:val="22"/>
          <w:szCs w:val="20"/>
          <w:lang w:val="hr-HR"/>
        </w:rPr>
        <w:t>valsartan/sakubitril</w:t>
      </w:r>
      <w:r w:rsidRPr="001A5E19">
        <w:rPr>
          <w:sz w:val="22"/>
          <w:szCs w:val="22"/>
          <w:lang w:val="hr-HR" w:eastAsia="hr-HR"/>
        </w:rPr>
        <w:t xml:space="preserve"> s</w:t>
      </w:r>
      <w:r>
        <w:rPr>
          <w:sz w:val="22"/>
          <w:szCs w:val="22"/>
          <w:lang w:val="hr-HR" w:eastAsia="hr-HR"/>
        </w:rPr>
        <w:t>a</w:t>
      </w:r>
      <w:r w:rsidRPr="001A5E19">
        <w:rPr>
          <w:sz w:val="22"/>
          <w:szCs w:val="22"/>
          <w:lang w:val="hr-HR" w:eastAsia="hr-HR"/>
        </w:rPr>
        <w:t xml:space="preserve"> metforminom smanjila je i C</w:t>
      </w:r>
      <w:r w:rsidRPr="001A5E19">
        <w:rPr>
          <w:sz w:val="22"/>
          <w:szCs w:val="22"/>
          <w:vertAlign w:val="subscript"/>
          <w:lang w:val="hr-HR" w:eastAsia="hr-HR"/>
        </w:rPr>
        <w:t>max</w:t>
      </w:r>
      <w:r w:rsidRPr="001A5E19">
        <w:rPr>
          <w:sz w:val="22"/>
          <w:szCs w:val="22"/>
          <w:lang w:val="hr-HR" w:eastAsia="hr-HR"/>
        </w:rPr>
        <w:t xml:space="preserve"> i </w:t>
      </w:r>
      <w:r>
        <w:rPr>
          <w:sz w:val="22"/>
          <w:szCs w:val="22"/>
          <w:lang w:val="hr-HR" w:eastAsia="hr-HR"/>
        </w:rPr>
        <w:t>PIK</w:t>
      </w:r>
      <w:r w:rsidRPr="001A5E19">
        <w:rPr>
          <w:sz w:val="22"/>
          <w:szCs w:val="22"/>
          <w:lang w:val="hr-HR" w:eastAsia="hr-HR"/>
        </w:rPr>
        <w:t xml:space="preserve"> metformina za 23%. </w:t>
      </w:r>
      <w:r>
        <w:rPr>
          <w:sz w:val="22"/>
          <w:szCs w:val="22"/>
          <w:lang w:val="hr-HR" w:eastAsia="hr-HR"/>
        </w:rPr>
        <w:t>Klinički značaj</w:t>
      </w:r>
      <w:r w:rsidRPr="001A5E19">
        <w:rPr>
          <w:sz w:val="22"/>
          <w:szCs w:val="22"/>
          <w:lang w:val="hr-HR" w:eastAsia="hr-HR"/>
        </w:rPr>
        <w:t xml:space="preserve"> tih nalaza nije poznat. Stoga je potrebno oc</w:t>
      </w:r>
      <w:r>
        <w:rPr>
          <w:sz w:val="22"/>
          <w:szCs w:val="22"/>
          <w:lang w:val="hr-HR" w:eastAsia="hr-HR"/>
        </w:rPr>
        <w:t>ij</w:t>
      </w:r>
      <w:r w:rsidRPr="001A5E19">
        <w:rPr>
          <w:sz w:val="22"/>
          <w:szCs w:val="22"/>
          <w:lang w:val="hr-HR" w:eastAsia="hr-HR"/>
        </w:rPr>
        <w:t xml:space="preserve">eniti klinički status </w:t>
      </w:r>
      <w:r>
        <w:rPr>
          <w:sz w:val="22"/>
          <w:szCs w:val="22"/>
          <w:lang w:val="hr-HR" w:eastAsia="hr-HR"/>
        </w:rPr>
        <w:t>pacijent</w:t>
      </w:r>
      <w:r w:rsidRPr="001A5E19">
        <w:rPr>
          <w:sz w:val="22"/>
          <w:szCs w:val="22"/>
          <w:lang w:val="hr-HR" w:eastAsia="hr-HR"/>
        </w:rPr>
        <w:t>a kada se započinje terapija</w:t>
      </w:r>
      <w:r>
        <w:rPr>
          <w:sz w:val="22"/>
          <w:szCs w:val="22"/>
          <w:lang w:val="hr-HR" w:eastAsia="hr-HR"/>
        </w:rPr>
        <w:t xml:space="preserve"> </w:t>
      </w:r>
      <w:r>
        <w:rPr>
          <w:bCs/>
          <w:sz w:val="22"/>
          <w:szCs w:val="20"/>
          <w:lang w:val="hr-HR"/>
        </w:rPr>
        <w:t>valsartan/sakubitril</w:t>
      </w:r>
      <w:r w:rsidRPr="001A5E19">
        <w:rPr>
          <w:sz w:val="22"/>
          <w:szCs w:val="22"/>
          <w:lang w:val="hr-HR" w:eastAsia="hr-HR"/>
        </w:rPr>
        <w:t xml:space="preserve"> </w:t>
      </w:r>
      <w:r>
        <w:rPr>
          <w:sz w:val="22"/>
          <w:szCs w:val="22"/>
          <w:lang w:val="hr-HR" w:eastAsia="hr-HR"/>
        </w:rPr>
        <w:t>kod</w:t>
      </w:r>
      <w:r w:rsidRPr="001A5E19">
        <w:rPr>
          <w:sz w:val="22"/>
          <w:szCs w:val="22"/>
          <w:lang w:val="hr-HR" w:eastAsia="hr-HR"/>
        </w:rPr>
        <w:t xml:space="preserve"> </w:t>
      </w:r>
      <w:r>
        <w:rPr>
          <w:sz w:val="22"/>
          <w:szCs w:val="22"/>
          <w:lang w:val="hr-HR" w:eastAsia="hr-HR"/>
        </w:rPr>
        <w:t>pacijenata</w:t>
      </w:r>
      <w:r w:rsidRPr="001A5E19">
        <w:rPr>
          <w:sz w:val="22"/>
          <w:szCs w:val="22"/>
          <w:lang w:val="hr-HR" w:eastAsia="hr-HR"/>
        </w:rPr>
        <w:t xml:space="preserve"> koji primaju metformin.</w:t>
      </w:r>
    </w:p>
    <w:p w14:paraId="351F2BE9" w14:textId="77777777" w:rsidR="00B96A91" w:rsidRPr="001A5E19" w:rsidRDefault="00B96A91" w:rsidP="001B64BC">
      <w:pPr>
        <w:widowControl w:val="0"/>
        <w:autoSpaceDE w:val="0"/>
        <w:autoSpaceDN w:val="0"/>
        <w:adjustRightInd w:val="0"/>
        <w:jc w:val="both"/>
        <w:rPr>
          <w:color w:val="000000"/>
          <w:sz w:val="22"/>
          <w:szCs w:val="22"/>
          <w:lang w:val="hr-HR"/>
        </w:rPr>
      </w:pPr>
    </w:p>
    <w:p w14:paraId="07E46150" w14:textId="77777777" w:rsidR="00B96A91" w:rsidRPr="001A5E19" w:rsidRDefault="00B96A91" w:rsidP="001B64BC">
      <w:pPr>
        <w:keepNext/>
        <w:widowControl w:val="0"/>
        <w:jc w:val="both"/>
        <w:rPr>
          <w:sz w:val="22"/>
          <w:szCs w:val="22"/>
          <w:u w:val="single"/>
          <w:lang w:val="hr-HR"/>
        </w:rPr>
      </w:pPr>
      <w:r>
        <w:rPr>
          <w:sz w:val="22"/>
          <w:szCs w:val="22"/>
          <w:u w:val="single"/>
          <w:lang w:val="hr-HR"/>
        </w:rPr>
        <w:t>I</w:t>
      </w:r>
      <w:r w:rsidRPr="001A5E19">
        <w:rPr>
          <w:sz w:val="22"/>
          <w:szCs w:val="22"/>
          <w:u w:val="single"/>
          <w:lang w:val="hr-HR"/>
        </w:rPr>
        <w:t>nterakcije</w:t>
      </w:r>
      <w:r>
        <w:rPr>
          <w:sz w:val="22"/>
          <w:szCs w:val="22"/>
          <w:u w:val="single"/>
          <w:lang w:val="hr-HR"/>
        </w:rPr>
        <w:t xml:space="preserve"> bez značaja</w:t>
      </w:r>
    </w:p>
    <w:p w14:paraId="5F760178" w14:textId="77777777" w:rsidR="00B96A91" w:rsidRPr="001A5E19" w:rsidRDefault="00B96A91" w:rsidP="001B64BC">
      <w:pPr>
        <w:keepNext/>
        <w:widowControl w:val="0"/>
        <w:jc w:val="both"/>
        <w:rPr>
          <w:bCs/>
          <w:sz w:val="22"/>
          <w:lang w:val="hr-HR"/>
        </w:rPr>
      </w:pPr>
    </w:p>
    <w:p w14:paraId="4D233667" w14:textId="77EEA0F1" w:rsidR="00B96A91" w:rsidRPr="001A5E19" w:rsidRDefault="00B96A91" w:rsidP="001B64BC">
      <w:pPr>
        <w:widowControl w:val="0"/>
        <w:jc w:val="both"/>
        <w:rPr>
          <w:bCs/>
          <w:sz w:val="22"/>
          <w:lang w:val="hr-HR" w:eastAsia="hr-HR"/>
        </w:rPr>
      </w:pPr>
      <w:r w:rsidRPr="001A5E19">
        <w:rPr>
          <w:bCs/>
          <w:sz w:val="22"/>
          <w:lang w:val="hr-HR" w:eastAsia="hr-HR"/>
        </w:rPr>
        <w:t>Nije bila uočena klinički</w:t>
      </w:r>
      <w:r>
        <w:rPr>
          <w:bCs/>
          <w:sz w:val="22"/>
          <w:lang w:val="hr-HR" w:eastAsia="hr-HR"/>
        </w:rPr>
        <w:t xml:space="preserve"> značajna interakcija kada se </w:t>
      </w:r>
      <w:r>
        <w:rPr>
          <w:bCs/>
          <w:sz w:val="22"/>
          <w:szCs w:val="20"/>
          <w:lang w:val="hr-HR"/>
        </w:rPr>
        <w:t>valsartan/sakubitril</w:t>
      </w:r>
      <w:r>
        <w:rPr>
          <w:bCs/>
          <w:sz w:val="22"/>
          <w:lang w:val="hr-HR" w:eastAsia="hr-HR"/>
        </w:rPr>
        <w:t xml:space="preserve"> primjen</w:t>
      </w:r>
      <w:r w:rsidRPr="001A5E19">
        <w:rPr>
          <w:bCs/>
          <w:sz w:val="22"/>
          <w:lang w:val="hr-HR" w:eastAsia="hr-HR"/>
        </w:rPr>
        <w:t>jivao isto</w:t>
      </w:r>
      <w:r>
        <w:rPr>
          <w:bCs/>
          <w:sz w:val="22"/>
          <w:lang w:val="hr-HR" w:eastAsia="hr-HR"/>
        </w:rPr>
        <w:t xml:space="preserve">vremeno </w:t>
      </w:r>
      <w:r w:rsidRPr="001A5E19">
        <w:rPr>
          <w:bCs/>
          <w:sz w:val="22"/>
          <w:lang w:val="hr-HR" w:eastAsia="hr-HR"/>
        </w:rPr>
        <w:t>s</w:t>
      </w:r>
      <w:r>
        <w:rPr>
          <w:bCs/>
          <w:sz w:val="22"/>
          <w:lang w:val="hr-HR" w:eastAsia="hr-HR"/>
        </w:rPr>
        <w:t>a</w:t>
      </w:r>
      <w:r w:rsidRPr="001A5E19">
        <w:rPr>
          <w:bCs/>
          <w:sz w:val="22"/>
          <w:lang w:val="hr-HR" w:eastAsia="hr-HR"/>
        </w:rPr>
        <w:t xml:space="preserve"> digoksinom, varfarinom, hidro</w:t>
      </w:r>
      <w:r>
        <w:rPr>
          <w:bCs/>
          <w:sz w:val="22"/>
          <w:lang w:val="hr-HR" w:eastAsia="hr-HR"/>
        </w:rPr>
        <w:t>h</w:t>
      </w:r>
      <w:r w:rsidRPr="001A5E19">
        <w:rPr>
          <w:bCs/>
          <w:sz w:val="22"/>
          <w:lang w:val="hr-HR" w:eastAsia="hr-HR"/>
        </w:rPr>
        <w:t>lorotiazidom, amlodipinom, omeprazolom, karvedilolom ili kombinacijom levonorgestrel/etinil estradiol.</w:t>
      </w:r>
    </w:p>
    <w:p w14:paraId="65872088" w14:textId="77777777" w:rsidR="00B96A91" w:rsidRPr="00786071" w:rsidRDefault="00B96A91" w:rsidP="001B64BC">
      <w:pPr>
        <w:tabs>
          <w:tab w:val="left" w:pos="540"/>
          <w:tab w:val="left" w:pos="569"/>
        </w:tabs>
        <w:rPr>
          <w:bCs/>
          <w:sz w:val="22"/>
          <w:szCs w:val="22"/>
        </w:rPr>
      </w:pPr>
    </w:p>
    <w:p w14:paraId="115728E0" w14:textId="77777777" w:rsidR="0072020E" w:rsidRDefault="0072020E" w:rsidP="001B64BC">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1ADBAA13" w14:textId="77777777" w:rsidR="00B96A91" w:rsidRPr="007A3ECB" w:rsidRDefault="00B96A91" w:rsidP="001B64BC">
      <w:pPr>
        <w:tabs>
          <w:tab w:val="left" w:pos="540"/>
          <w:tab w:val="left" w:pos="569"/>
        </w:tabs>
        <w:rPr>
          <w:sz w:val="22"/>
          <w:szCs w:val="22"/>
          <w:u w:val="single"/>
        </w:rPr>
      </w:pPr>
    </w:p>
    <w:p w14:paraId="0939F9AA" w14:textId="77777777" w:rsidR="00D61C92" w:rsidRPr="001A5E19" w:rsidRDefault="00D61C92" w:rsidP="001B64BC">
      <w:pPr>
        <w:keepNext/>
        <w:widowControl w:val="0"/>
        <w:jc w:val="both"/>
        <w:rPr>
          <w:sz w:val="22"/>
          <w:szCs w:val="20"/>
          <w:u w:val="single"/>
          <w:lang w:val="hr-HR"/>
        </w:rPr>
      </w:pPr>
      <w:r w:rsidRPr="001A5E19">
        <w:rPr>
          <w:sz w:val="22"/>
          <w:szCs w:val="20"/>
          <w:u w:val="single"/>
          <w:lang w:val="hr-HR"/>
        </w:rPr>
        <w:t>Plodnost</w:t>
      </w:r>
    </w:p>
    <w:p w14:paraId="102B9461" w14:textId="77777777" w:rsidR="00D61C92" w:rsidRPr="001A5E19" w:rsidRDefault="00D61C92" w:rsidP="001B64BC">
      <w:pPr>
        <w:keepNext/>
        <w:widowControl w:val="0"/>
        <w:jc w:val="both"/>
        <w:rPr>
          <w:bCs/>
          <w:sz w:val="22"/>
          <w:lang w:val="hr-HR" w:eastAsia="hr-HR"/>
        </w:rPr>
      </w:pPr>
    </w:p>
    <w:p w14:paraId="72E7F863" w14:textId="34E6EA4F" w:rsidR="00D61C92" w:rsidRPr="001A5E19" w:rsidRDefault="00D61C92" w:rsidP="001B64BC">
      <w:pPr>
        <w:widowControl w:val="0"/>
        <w:jc w:val="both"/>
        <w:rPr>
          <w:bCs/>
          <w:sz w:val="22"/>
          <w:lang w:val="hr-HR" w:eastAsia="hr-HR"/>
        </w:rPr>
      </w:pPr>
      <w:r w:rsidRPr="001A5E19">
        <w:rPr>
          <w:bCs/>
          <w:sz w:val="22"/>
          <w:lang w:val="hr-HR" w:eastAsia="hr-HR"/>
        </w:rPr>
        <w:t xml:space="preserve">Nema dostupnih podataka o </w:t>
      </w:r>
      <w:r>
        <w:rPr>
          <w:bCs/>
          <w:sz w:val="22"/>
          <w:lang w:val="hr-HR" w:eastAsia="hr-HR"/>
        </w:rPr>
        <w:t xml:space="preserve">efektu </w:t>
      </w:r>
      <w:r>
        <w:rPr>
          <w:bCs/>
          <w:sz w:val="22"/>
          <w:szCs w:val="20"/>
          <w:lang w:val="hr-HR"/>
        </w:rPr>
        <w:t>valsartan/sakubitril</w:t>
      </w:r>
      <w:r w:rsidRPr="001A5E19">
        <w:rPr>
          <w:bCs/>
          <w:sz w:val="22"/>
          <w:lang w:val="hr-HR" w:eastAsia="hr-HR"/>
        </w:rPr>
        <w:t xml:space="preserve"> na </w:t>
      </w:r>
      <w:r w:rsidR="00FD530B">
        <w:rPr>
          <w:bCs/>
          <w:sz w:val="22"/>
          <w:lang w:val="hr-HR" w:eastAsia="hr-HR"/>
        </w:rPr>
        <w:t>plodnost</w:t>
      </w:r>
      <w:r>
        <w:rPr>
          <w:bCs/>
          <w:sz w:val="22"/>
          <w:lang w:val="hr-HR" w:eastAsia="hr-HR"/>
        </w:rPr>
        <w:t xml:space="preserve"> kod ljudi. Nije dokazan poremećaj fertiliteta </w:t>
      </w:r>
      <w:r w:rsidRPr="001A5E19">
        <w:rPr>
          <w:bCs/>
          <w:sz w:val="22"/>
          <w:lang w:val="hr-HR" w:eastAsia="hr-HR"/>
        </w:rPr>
        <w:t>u</w:t>
      </w:r>
      <w:r>
        <w:rPr>
          <w:bCs/>
          <w:sz w:val="22"/>
          <w:lang w:val="hr-HR" w:eastAsia="hr-HR"/>
        </w:rPr>
        <w:t xml:space="preserve"> studijama sa lijekom na </w:t>
      </w:r>
      <w:r w:rsidRPr="001A5E19">
        <w:rPr>
          <w:bCs/>
          <w:sz w:val="22"/>
          <w:lang w:val="hr-HR" w:eastAsia="hr-HR"/>
        </w:rPr>
        <w:t>mužja</w:t>
      </w:r>
      <w:r>
        <w:rPr>
          <w:bCs/>
          <w:sz w:val="22"/>
          <w:lang w:val="hr-HR" w:eastAsia="hr-HR"/>
        </w:rPr>
        <w:t>cima i ženkama pacova</w:t>
      </w:r>
      <w:r w:rsidRPr="001A5E19">
        <w:rPr>
          <w:bCs/>
          <w:sz w:val="22"/>
          <w:lang w:val="hr-HR" w:eastAsia="hr-HR"/>
        </w:rPr>
        <w:t xml:space="preserve"> (</w:t>
      </w:r>
      <w:r>
        <w:rPr>
          <w:bCs/>
          <w:sz w:val="22"/>
          <w:lang w:val="hr-HR" w:eastAsia="hr-HR"/>
        </w:rPr>
        <w:t xml:space="preserve">vidjeti </w:t>
      </w:r>
      <w:r w:rsidR="007D5FBF">
        <w:rPr>
          <w:bCs/>
          <w:sz w:val="22"/>
          <w:lang w:val="hr-HR" w:eastAsia="hr-HR"/>
        </w:rPr>
        <w:t>dio</w:t>
      </w:r>
      <w:r w:rsidRPr="001A5E19">
        <w:rPr>
          <w:bCs/>
          <w:sz w:val="22"/>
          <w:lang w:val="hr-HR" w:eastAsia="hr-HR"/>
        </w:rPr>
        <w:t> 5.3).</w:t>
      </w:r>
    </w:p>
    <w:p w14:paraId="53B5B02D" w14:textId="77777777" w:rsidR="00D61C92" w:rsidRDefault="00D61C92" w:rsidP="001B64BC">
      <w:pPr>
        <w:tabs>
          <w:tab w:val="left" w:pos="540"/>
          <w:tab w:val="left" w:pos="569"/>
        </w:tabs>
        <w:rPr>
          <w:sz w:val="22"/>
          <w:szCs w:val="22"/>
          <w:u w:val="single"/>
        </w:rPr>
      </w:pPr>
    </w:p>
    <w:p w14:paraId="08F5CFFE" w14:textId="2EA6E541" w:rsidR="007A3ECB" w:rsidRPr="007A3ECB" w:rsidRDefault="007A3ECB" w:rsidP="001B64BC">
      <w:pPr>
        <w:tabs>
          <w:tab w:val="left" w:pos="540"/>
          <w:tab w:val="left" w:pos="569"/>
        </w:tabs>
        <w:rPr>
          <w:sz w:val="22"/>
          <w:szCs w:val="22"/>
          <w:u w:val="single"/>
        </w:rPr>
      </w:pPr>
      <w:proofErr w:type="spellStart"/>
      <w:r w:rsidRPr="007A3ECB">
        <w:rPr>
          <w:sz w:val="22"/>
          <w:szCs w:val="22"/>
          <w:u w:val="single"/>
        </w:rPr>
        <w:t>Trudnoća</w:t>
      </w:r>
      <w:proofErr w:type="spellEnd"/>
    </w:p>
    <w:p w14:paraId="5938EEA8" w14:textId="5B19556C" w:rsidR="002031B3" w:rsidRDefault="002031B3" w:rsidP="001B64BC">
      <w:pPr>
        <w:tabs>
          <w:tab w:val="left" w:pos="540"/>
          <w:tab w:val="left" w:pos="569"/>
        </w:tabs>
        <w:rPr>
          <w:sz w:val="22"/>
          <w:szCs w:val="22"/>
          <w:u w:val="single"/>
        </w:rPr>
      </w:pPr>
    </w:p>
    <w:p w14:paraId="6B851654" w14:textId="26F34DD4" w:rsidR="00B96A91" w:rsidRPr="001A5E19" w:rsidRDefault="00B96A91" w:rsidP="001B64BC">
      <w:pPr>
        <w:widowControl w:val="0"/>
        <w:jc w:val="both"/>
        <w:rPr>
          <w:bCs/>
          <w:sz w:val="22"/>
          <w:lang w:val="hr-HR" w:eastAsia="hr-HR"/>
        </w:rPr>
      </w:pPr>
      <w:r>
        <w:rPr>
          <w:bCs/>
          <w:sz w:val="22"/>
          <w:lang w:val="hr-HR" w:eastAsia="hr-HR"/>
        </w:rPr>
        <w:t>Primjena</w:t>
      </w:r>
      <w:r w:rsidRPr="00C2126A">
        <w:rPr>
          <w:bCs/>
          <w:sz w:val="22"/>
          <w:szCs w:val="20"/>
          <w:lang w:val="hr-HR"/>
        </w:rPr>
        <w:t xml:space="preserve"> </w:t>
      </w:r>
      <w:r>
        <w:rPr>
          <w:bCs/>
          <w:sz w:val="22"/>
          <w:szCs w:val="20"/>
          <w:lang w:val="hr-HR"/>
        </w:rPr>
        <w:t>valsartan/sakubitril</w:t>
      </w:r>
      <w:r w:rsidRPr="001A5E19">
        <w:rPr>
          <w:bCs/>
          <w:sz w:val="22"/>
          <w:lang w:val="hr-HR" w:eastAsia="hr-HR"/>
        </w:rPr>
        <w:t xml:space="preserve"> se ne preporučuje t</w:t>
      </w:r>
      <w:r>
        <w:rPr>
          <w:bCs/>
          <w:sz w:val="22"/>
          <w:lang w:val="hr-HR" w:eastAsia="hr-HR"/>
        </w:rPr>
        <w:t>okom</w:t>
      </w:r>
      <w:r w:rsidRPr="001A5E19">
        <w:rPr>
          <w:bCs/>
          <w:sz w:val="22"/>
          <w:lang w:val="hr-HR" w:eastAsia="hr-HR"/>
        </w:rPr>
        <w:t xml:space="preserve"> prvog tr</w:t>
      </w:r>
      <w:r>
        <w:rPr>
          <w:bCs/>
          <w:sz w:val="22"/>
          <w:lang w:val="hr-HR" w:eastAsia="hr-HR"/>
        </w:rPr>
        <w:t>imestra</w:t>
      </w:r>
      <w:r w:rsidRPr="001A5E19">
        <w:rPr>
          <w:bCs/>
          <w:sz w:val="22"/>
          <w:lang w:val="hr-HR" w:eastAsia="hr-HR"/>
        </w:rPr>
        <w:t xml:space="preserve"> trudnoće </w:t>
      </w:r>
      <w:r>
        <w:rPr>
          <w:bCs/>
          <w:sz w:val="22"/>
          <w:lang w:val="hr-HR" w:eastAsia="hr-HR"/>
        </w:rPr>
        <w:t>i</w:t>
      </w:r>
      <w:r w:rsidRPr="001A5E19">
        <w:rPr>
          <w:bCs/>
          <w:sz w:val="22"/>
          <w:lang w:val="hr-HR" w:eastAsia="hr-HR"/>
        </w:rPr>
        <w:t xml:space="preserve"> kontraindi</w:t>
      </w:r>
      <w:r>
        <w:rPr>
          <w:bCs/>
          <w:sz w:val="22"/>
          <w:lang w:val="hr-HR" w:eastAsia="hr-HR"/>
        </w:rPr>
        <w:t>kovana je tokom</w:t>
      </w:r>
      <w:r w:rsidRPr="001A5E19">
        <w:rPr>
          <w:bCs/>
          <w:sz w:val="22"/>
          <w:lang w:val="hr-HR" w:eastAsia="hr-HR"/>
        </w:rPr>
        <w:t xml:space="preserve"> drugog i trećeg tr</w:t>
      </w:r>
      <w:r>
        <w:rPr>
          <w:bCs/>
          <w:sz w:val="22"/>
          <w:lang w:val="hr-HR" w:eastAsia="hr-HR"/>
        </w:rPr>
        <w:t>imestra</w:t>
      </w:r>
      <w:r w:rsidRPr="001A5E19">
        <w:rPr>
          <w:bCs/>
          <w:sz w:val="22"/>
          <w:lang w:val="hr-HR" w:eastAsia="hr-HR"/>
        </w:rPr>
        <w:t xml:space="preserve"> trudnoće (</w:t>
      </w:r>
      <w:r>
        <w:rPr>
          <w:bCs/>
          <w:sz w:val="22"/>
          <w:lang w:val="hr-HR" w:eastAsia="hr-HR"/>
        </w:rPr>
        <w:t xml:space="preserve">vidjeti </w:t>
      </w:r>
      <w:r w:rsidR="007D5FBF">
        <w:rPr>
          <w:bCs/>
          <w:sz w:val="22"/>
          <w:lang w:val="hr-HR" w:eastAsia="hr-HR"/>
        </w:rPr>
        <w:t>dio</w:t>
      </w:r>
      <w:r w:rsidR="007D5FBF" w:rsidRPr="001A5E19">
        <w:rPr>
          <w:bCs/>
          <w:sz w:val="22"/>
          <w:lang w:val="hr-HR" w:eastAsia="hr-HR"/>
        </w:rPr>
        <w:t> </w:t>
      </w:r>
      <w:r w:rsidRPr="001A5E19">
        <w:rPr>
          <w:bCs/>
          <w:sz w:val="22"/>
          <w:lang w:val="hr-HR" w:eastAsia="hr-HR"/>
        </w:rPr>
        <w:t>4.3).</w:t>
      </w:r>
    </w:p>
    <w:p w14:paraId="6BB68222" w14:textId="77777777" w:rsidR="00B96A91" w:rsidRPr="001A5E19" w:rsidRDefault="00B96A91" w:rsidP="001B64BC">
      <w:pPr>
        <w:widowControl w:val="0"/>
        <w:autoSpaceDE w:val="0"/>
        <w:autoSpaceDN w:val="0"/>
        <w:adjustRightInd w:val="0"/>
        <w:jc w:val="both"/>
        <w:rPr>
          <w:rFonts w:eastAsia="MS Mincho"/>
          <w:sz w:val="22"/>
          <w:szCs w:val="22"/>
          <w:lang w:val="hr-HR" w:eastAsia="ja-JP"/>
        </w:rPr>
      </w:pPr>
    </w:p>
    <w:p w14:paraId="53AB48AA" w14:textId="77777777" w:rsidR="00B96A91" w:rsidRPr="001A5E19" w:rsidRDefault="00B96A91" w:rsidP="001B64BC">
      <w:pPr>
        <w:keepNext/>
        <w:widowControl w:val="0"/>
        <w:jc w:val="both"/>
        <w:rPr>
          <w:sz w:val="22"/>
          <w:szCs w:val="22"/>
          <w:lang w:val="hr-HR"/>
        </w:rPr>
      </w:pPr>
      <w:r w:rsidRPr="001A5E19">
        <w:rPr>
          <w:i/>
          <w:sz w:val="22"/>
          <w:szCs w:val="22"/>
          <w:lang w:val="hr-HR"/>
        </w:rPr>
        <w:t>Valsartan</w:t>
      </w:r>
    </w:p>
    <w:p w14:paraId="6D0F7467" w14:textId="77777777" w:rsidR="00B96A91" w:rsidRPr="001A5E19" w:rsidRDefault="00B96A91" w:rsidP="001B64BC">
      <w:pPr>
        <w:widowControl w:val="0"/>
        <w:tabs>
          <w:tab w:val="left" w:pos="567"/>
          <w:tab w:val="left" w:pos="1560"/>
        </w:tabs>
        <w:jc w:val="both"/>
        <w:rPr>
          <w:sz w:val="22"/>
          <w:szCs w:val="22"/>
          <w:lang w:val="hr-HR"/>
        </w:rPr>
      </w:pPr>
      <w:r>
        <w:rPr>
          <w:sz w:val="22"/>
          <w:szCs w:val="22"/>
          <w:lang w:val="hr-HR"/>
        </w:rPr>
        <w:t>Nije potvrđen e</w:t>
      </w:r>
      <w:r w:rsidRPr="001A5E19">
        <w:rPr>
          <w:sz w:val="22"/>
          <w:szCs w:val="22"/>
          <w:lang w:val="hr-HR"/>
        </w:rPr>
        <w:t>pidemiološki dokaz rizika teratogenosti nakon izlaganja ACE inhibitorima t</w:t>
      </w:r>
      <w:r>
        <w:rPr>
          <w:sz w:val="22"/>
          <w:szCs w:val="22"/>
          <w:lang w:val="hr-HR"/>
        </w:rPr>
        <w:t>okom</w:t>
      </w:r>
      <w:r w:rsidRPr="001A5E19">
        <w:rPr>
          <w:sz w:val="22"/>
          <w:szCs w:val="22"/>
          <w:lang w:val="hr-HR"/>
        </w:rPr>
        <w:t xml:space="preserve"> prvog tr</w:t>
      </w:r>
      <w:r>
        <w:rPr>
          <w:sz w:val="22"/>
          <w:szCs w:val="22"/>
          <w:lang w:val="hr-HR"/>
        </w:rPr>
        <w:t>imestra</w:t>
      </w:r>
      <w:r w:rsidRPr="001A5E19">
        <w:rPr>
          <w:sz w:val="22"/>
          <w:szCs w:val="22"/>
          <w:lang w:val="hr-HR"/>
        </w:rPr>
        <w:t xml:space="preserve"> trudnoće; međutim, mali porast rizika ne može</w:t>
      </w:r>
      <w:r>
        <w:rPr>
          <w:sz w:val="22"/>
          <w:szCs w:val="22"/>
          <w:lang w:val="hr-HR"/>
        </w:rPr>
        <w:t xml:space="preserve"> da se</w:t>
      </w:r>
      <w:r w:rsidRPr="001A5E19">
        <w:rPr>
          <w:sz w:val="22"/>
          <w:szCs w:val="22"/>
          <w:lang w:val="hr-HR"/>
        </w:rPr>
        <w:t xml:space="preserve"> isključi. </w:t>
      </w:r>
      <w:r>
        <w:rPr>
          <w:sz w:val="22"/>
          <w:szCs w:val="22"/>
          <w:lang w:val="hr-HR"/>
        </w:rPr>
        <w:t xml:space="preserve">S obzirom da </w:t>
      </w:r>
      <w:r w:rsidRPr="001A5E19">
        <w:rPr>
          <w:sz w:val="22"/>
          <w:szCs w:val="22"/>
          <w:lang w:val="hr-HR"/>
        </w:rPr>
        <w:t>nema kontroli</w:t>
      </w:r>
      <w:r>
        <w:rPr>
          <w:sz w:val="22"/>
          <w:szCs w:val="22"/>
          <w:lang w:val="hr-HR"/>
        </w:rPr>
        <w:t>s</w:t>
      </w:r>
      <w:r w:rsidRPr="001A5E19">
        <w:rPr>
          <w:sz w:val="22"/>
          <w:szCs w:val="22"/>
          <w:lang w:val="hr-HR"/>
        </w:rPr>
        <w:t>anih epidemioloških podataka o riziku s</w:t>
      </w:r>
      <w:r>
        <w:rPr>
          <w:sz w:val="22"/>
          <w:szCs w:val="22"/>
          <w:lang w:val="hr-HR"/>
        </w:rPr>
        <w:t>a</w:t>
      </w:r>
      <w:r w:rsidRPr="001A5E19">
        <w:rPr>
          <w:sz w:val="22"/>
          <w:szCs w:val="22"/>
          <w:lang w:val="hr-HR"/>
        </w:rPr>
        <w:t xml:space="preserve"> ARB</w:t>
      </w:r>
      <w:r w:rsidRPr="001A5E19">
        <w:rPr>
          <w:sz w:val="22"/>
          <w:szCs w:val="22"/>
          <w:lang w:val="hr-HR"/>
        </w:rPr>
        <w:noBreakHyphen/>
        <w:t xml:space="preserve">ovima, za ovu </w:t>
      </w:r>
      <w:r>
        <w:rPr>
          <w:sz w:val="22"/>
          <w:szCs w:val="22"/>
          <w:lang w:val="hr-HR"/>
        </w:rPr>
        <w:t>grupu ljek</w:t>
      </w:r>
      <w:r w:rsidRPr="001A5E19">
        <w:rPr>
          <w:sz w:val="22"/>
          <w:szCs w:val="22"/>
          <w:lang w:val="hr-HR"/>
        </w:rPr>
        <w:t>ova</w:t>
      </w:r>
      <w:r>
        <w:rPr>
          <w:sz w:val="22"/>
          <w:szCs w:val="22"/>
          <w:lang w:val="hr-HR"/>
        </w:rPr>
        <w:t xml:space="preserve"> mogu da postoje slični rizici.</w:t>
      </w:r>
      <w:r w:rsidRPr="001A5E19">
        <w:rPr>
          <w:sz w:val="22"/>
          <w:szCs w:val="22"/>
          <w:lang w:val="hr-HR"/>
        </w:rPr>
        <w:t xml:space="preserve"> Ukoliko nastavak terapije ARB</w:t>
      </w:r>
      <w:r w:rsidRPr="001A5E19">
        <w:rPr>
          <w:sz w:val="22"/>
          <w:szCs w:val="22"/>
          <w:lang w:val="hr-HR"/>
        </w:rPr>
        <w:noBreakHyphen/>
        <w:t xml:space="preserve">om nije neophodan, </w:t>
      </w:r>
      <w:r>
        <w:rPr>
          <w:sz w:val="22"/>
          <w:szCs w:val="22"/>
          <w:lang w:val="hr-HR"/>
        </w:rPr>
        <w:t xml:space="preserve">pacijentkinje </w:t>
      </w:r>
      <w:r w:rsidRPr="001A5E19">
        <w:rPr>
          <w:sz w:val="22"/>
          <w:szCs w:val="22"/>
          <w:lang w:val="hr-HR"/>
        </w:rPr>
        <w:t xml:space="preserve">koje planiraju trudnoću treba </w:t>
      </w:r>
      <w:r>
        <w:rPr>
          <w:sz w:val="22"/>
          <w:szCs w:val="22"/>
          <w:lang w:val="hr-HR"/>
        </w:rPr>
        <w:t xml:space="preserve">prevesti na terapiju sa </w:t>
      </w:r>
      <w:r w:rsidRPr="001A5E19">
        <w:rPr>
          <w:sz w:val="22"/>
          <w:szCs w:val="22"/>
          <w:lang w:val="hr-HR"/>
        </w:rPr>
        <w:t>alternativn</w:t>
      </w:r>
      <w:r>
        <w:rPr>
          <w:sz w:val="22"/>
          <w:szCs w:val="22"/>
          <w:lang w:val="hr-HR"/>
        </w:rPr>
        <w:t>im</w:t>
      </w:r>
      <w:r w:rsidRPr="001A5E19">
        <w:rPr>
          <w:sz w:val="22"/>
          <w:szCs w:val="22"/>
          <w:lang w:val="hr-HR"/>
        </w:rPr>
        <w:t xml:space="preserve"> antihipertenziv</w:t>
      </w:r>
      <w:r>
        <w:rPr>
          <w:sz w:val="22"/>
          <w:szCs w:val="22"/>
          <w:lang w:val="hr-HR"/>
        </w:rPr>
        <w:t>ima</w:t>
      </w:r>
      <w:r w:rsidRPr="001A5E19">
        <w:rPr>
          <w:sz w:val="22"/>
          <w:szCs w:val="22"/>
          <w:lang w:val="hr-HR"/>
        </w:rPr>
        <w:t xml:space="preserve"> koj</w:t>
      </w:r>
      <w:r>
        <w:rPr>
          <w:sz w:val="22"/>
          <w:szCs w:val="22"/>
          <w:lang w:val="hr-HR"/>
        </w:rPr>
        <w:t>i</w:t>
      </w:r>
      <w:r w:rsidRPr="001A5E19">
        <w:rPr>
          <w:sz w:val="22"/>
          <w:szCs w:val="22"/>
          <w:lang w:val="hr-HR"/>
        </w:rPr>
        <w:t xml:space="preserve"> imaju </w:t>
      </w:r>
      <w:r>
        <w:rPr>
          <w:sz w:val="22"/>
          <w:szCs w:val="22"/>
          <w:lang w:val="hr-HR"/>
        </w:rPr>
        <w:t>pot</w:t>
      </w:r>
      <w:r w:rsidRPr="001A5E19">
        <w:rPr>
          <w:sz w:val="22"/>
          <w:szCs w:val="22"/>
          <w:lang w:val="hr-HR"/>
        </w:rPr>
        <w:t xml:space="preserve">vrđen </w:t>
      </w:r>
      <w:r>
        <w:rPr>
          <w:sz w:val="22"/>
          <w:szCs w:val="22"/>
          <w:lang w:val="hr-HR"/>
        </w:rPr>
        <w:t>bezbjednosni profil za primjen</w:t>
      </w:r>
      <w:r w:rsidRPr="001A5E19">
        <w:rPr>
          <w:sz w:val="22"/>
          <w:szCs w:val="22"/>
          <w:lang w:val="hr-HR"/>
        </w:rPr>
        <w:t>u u trudno</w:t>
      </w:r>
      <w:r>
        <w:rPr>
          <w:sz w:val="22"/>
          <w:szCs w:val="22"/>
          <w:lang w:val="hr-HR"/>
        </w:rPr>
        <w:t>ći. Kada se trudnoća utvrdi, liječenje ARB</w:t>
      </w:r>
      <w:r>
        <w:rPr>
          <w:sz w:val="22"/>
          <w:szCs w:val="22"/>
          <w:lang w:val="hr-HR"/>
        </w:rPr>
        <w:noBreakHyphen/>
        <w:t>om treba odmah prekinuti</w:t>
      </w:r>
      <w:r w:rsidRPr="001A5E19">
        <w:rPr>
          <w:sz w:val="22"/>
          <w:szCs w:val="22"/>
          <w:lang w:val="hr-HR"/>
        </w:rPr>
        <w:t xml:space="preserve">, </w:t>
      </w:r>
      <w:r>
        <w:rPr>
          <w:sz w:val="22"/>
          <w:szCs w:val="22"/>
          <w:lang w:val="hr-HR"/>
        </w:rPr>
        <w:t xml:space="preserve">i </w:t>
      </w:r>
      <w:r w:rsidRPr="001A5E19">
        <w:rPr>
          <w:sz w:val="22"/>
          <w:szCs w:val="22"/>
          <w:lang w:val="hr-HR"/>
        </w:rPr>
        <w:t xml:space="preserve">ako je prikladno, započeti </w:t>
      </w:r>
      <w:r>
        <w:rPr>
          <w:sz w:val="22"/>
          <w:szCs w:val="22"/>
          <w:lang w:val="hr-HR"/>
        </w:rPr>
        <w:t xml:space="preserve">sa </w:t>
      </w:r>
      <w:r w:rsidRPr="001A5E19">
        <w:rPr>
          <w:sz w:val="22"/>
          <w:szCs w:val="22"/>
          <w:lang w:val="hr-HR"/>
        </w:rPr>
        <w:t>alternativn</w:t>
      </w:r>
      <w:r>
        <w:rPr>
          <w:sz w:val="22"/>
          <w:szCs w:val="22"/>
          <w:lang w:val="hr-HR"/>
        </w:rPr>
        <w:t>om</w:t>
      </w:r>
      <w:r w:rsidRPr="001A5E19">
        <w:rPr>
          <w:sz w:val="22"/>
          <w:szCs w:val="22"/>
          <w:lang w:val="hr-HR"/>
        </w:rPr>
        <w:t xml:space="preserve"> terapij</w:t>
      </w:r>
      <w:r>
        <w:rPr>
          <w:sz w:val="22"/>
          <w:szCs w:val="22"/>
          <w:lang w:val="hr-HR"/>
        </w:rPr>
        <w:t>om</w:t>
      </w:r>
      <w:r w:rsidRPr="001A5E19">
        <w:rPr>
          <w:sz w:val="22"/>
          <w:szCs w:val="22"/>
          <w:lang w:val="hr-HR"/>
        </w:rPr>
        <w:t>. Poznato je da izloženost terapiji ARB</w:t>
      </w:r>
      <w:r w:rsidRPr="001A5E19">
        <w:rPr>
          <w:sz w:val="22"/>
          <w:szCs w:val="22"/>
          <w:lang w:val="hr-HR"/>
        </w:rPr>
        <w:noBreakHyphen/>
        <w:t>ovima t</w:t>
      </w:r>
      <w:r>
        <w:rPr>
          <w:sz w:val="22"/>
          <w:szCs w:val="22"/>
          <w:lang w:val="hr-HR"/>
        </w:rPr>
        <w:t>okom</w:t>
      </w:r>
      <w:r w:rsidRPr="001A5E19">
        <w:rPr>
          <w:sz w:val="22"/>
          <w:szCs w:val="22"/>
          <w:lang w:val="hr-HR"/>
        </w:rPr>
        <w:t xml:space="preserve"> drugog i trećeg tr</w:t>
      </w:r>
      <w:r>
        <w:rPr>
          <w:sz w:val="22"/>
          <w:szCs w:val="22"/>
          <w:lang w:val="hr-HR"/>
        </w:rPr>
        <w:t>imestra kod</w:t>
      </w:r>
      <w:r w:rsidRPr="001A5E19">
        <w:rPr>
          <w:sz w:val="22"/>
          <w:szCs w:val="22"/>
          <w:lang w:val="hr-HR"/>
        </w:rPr>
        <w:t xml:space="preserve"> ljudi izaziva fetotoksičnost (smanjenu funkciju bubrega, oligohidramnion, retardaciju okoštavanja l</w:t>
      </w:r>
      <w:r>
        <w:rPr>
          <w:sz w:val="22"/>
          <w:szCs w:val="22"/>
          <w:lang w:val="hr-HR"/>
        </w:rPr>
        <w:t>o</w:t>
      </w:r>
      <w:r w:rsidRPr="001A5E19">
        <w:rPr>
          <w:sz w:val="22"/>
          <w:szCs w:val="22"/>
          <w:lang w:val="hr-HR"/>
        </w:rPr>
        <w:t>banje) i neonatalnu toksičnost (</w:t>
      </w:r>
      <w:r>
        <w:rPr>
          <w:sz w:val="22"/>
          <w:szCs w:val="22"/>
          <w:lang w:val="hr-HR"/>
        </w:rPr>
        <w:t>insuficijenciju</w:t>
      </w:r>
      <w:r w:rsidRPr="001A5E19">
        <w:rPr>
          <w:sz w:val="22"/>
          <w:szCs w:val="22"/>
          <w:lang w:val="hr-HR"/>
        </w:rPr>
        <w:t xml:space="preserve"> bubrega, hipotenzij</w:t>
      </w:r>
      <w:r>
        <w:rPr>
          <w:sz w:val="22"/>
          <w:szCs w:val="22"/>
          <w:lang w:val="hr-HR"/>
        </w:rPr>
        <w:t>u</w:t>
      </w:r>
      <w:r w:rsidRPr="001A5E19">
        <w:rPr>
          <w:sz w:val="22"/>
          <w:szCs w:val="22"/>
          <w:lang w:val="hr-HR"/>
        </w:rPr>
        <w:t>, hiperkalijemiju).</w:t>
      </w:r>
    </w:p>
    <w:p w14:paraId="04F17AAC" w14:textId="77777777" w:rsidR="00B96A91" w:rsidRPr="001A5E19" w:rsidRDefault="00B96A91" w:rsidP="001B64BC">
      <w:pPr>
        <w:widowControl w:val="0"/>
        <w:jc w:val="both"/>
        <w:rPr>
          <w:bCs/>
          <w:sz w:val="22"/>
          <w:lang w:val="hr-HR" w:eastAsia="hr-HR"/>
        </w:rPr>
      </w:pPr>
    </w:p>
    <w:p w14:paraId="3EFBD7A6" w14:textId="67BA20AA" w:rsidR="00B96A91" w:rsidRPr="001A5E19" w:rsidRDefault="00B96A91" w:rsidP="001B64BC">
      <w:pPr>
        <w:widowControl w:val="0"/>
        <w:tabs>
          <w:tab w:val="left" w:pos="567"/>
        </w:tabs>
        <w:jc w:val="both"/>
        <w:rPr>
          <w:sz w:val="22"/>
          <w:szCs w:val="22"/>
          <w:lang w:val="hr-HR"/>
        </w:rPr>
      </w:pPr>
      <w:r w:rsidRPr="001A5E19">
        <w:rPr>
          <w:sz w:val="22"/>
          <w:szCs w:val="22"/>
          <w:lang w:val="hr-HR"/>
        </w:rPr>
        <w:t>Ako je do izloženosti ARB</w:t>
      </w:r>
      <w:r w:rsidRPr="001A5E19">
        <w:rPr>
          <w:sz w:val="22"/>
          <w:szCs w:val="22"/>
          <w:lang w:val="hr-HR"/>
        </w:rPr>
        <w:noBreakHyphen/>
        <w:t>ovima došlo od drugog tr</w:t>
      </w:r>
      <w:r>
        <w:rPr>
          <w:sz w:val="22"/>
          <w:szCs w:val="22"/>
          <w:lang w:val="hr-HR"/>
        </w:rPr>
        <w:t>imestra</w:t>
      </w:r>
      <w:r w:rsidRPr="001A5E19">
        <w:rPr>
          <w:sz w:val="22"/>
          <w:szCs w:val="22"/>
          <w:lang w:val="hr-HR"/>
        </w:rPr>
        <w:t xml:space="preserve"> trudnoće </w:t>
      </w:r>
      <w:r>
        <w:rPr>
          <w:sz w:val="22"/>
          <w:szCs w:val="22"/>
          <w:lang w:val="hr-HR"/>
        </w:rPr>
        <w:t xml:space="preserve">pa </w:t>
      </w:r>
      <w:r w:rsidRPr="001A5E19">
        <w:rPr>
          <w:sz w:val="22"/>
          <w:szCs w:val="22"/>
          <w:lang w:val="hr-HR"/>
        </w:rPr>
        <w:t>nadalje, preporučuje se ultrazvuč</w:t>
      </w:r>
      <w:r>
        <w:rPr>
          <w:sz w:val="22"/>
          <w:szCs w:val="22"/>
          <w:lang w:val="hr-HR"/>
        </w:rPr>
        <w:t>ni pregled funkcije bubrega i lo</w:t>
      </w:r>
      <w:r w:rsidRPr="001A5E19">
        <w:rPr>
          <w:sz w:val="22"/>
          <w:szCs w:val="22"/>
          <w:lang w:val="hr-HR"/>
        </w:rPr>
        <w:t xml:space="preserve">banje. </w:t>
      </w:r>
      <w:r>
        <w:rPr>
          <w:sz w:val="22"/>
          <w:szCs w:val="22"/>
          <w:lang w:val="hr-HR"/>
        </w:rPr>
        <w:t xml:space="preserve">Odojčad </w:t>
      </w:r>
      <w:r w:rsidRPr="001A5E19">
        <w:rPr>
          <w:sz w:val="22"/>
          <w:szCs w:val="22"/>
          <w:lang w:val="hr-HR"/>
        </w:rPr>
        <w:t>čije su majke uzimale ARB</w:t>
      </w:r>
      <w:r w:rsidRPr="001A5E19">
        <w:rPr>
          <w:sz w:val="22"/>
          <w:szCs w:val="22"/>
          <w:lang w:val="hr-HR"/>
        </w:rPr>
        <w:noBreakHyphen/>
        <w:t>ove treba pažljivo pratiti zbog hipotenzije (</w:t>
      </w:r>
      <w:r>
        <w:rPr>
          <w:sz w:val="22"/>
          <w:szCs w:val="22"/>
          <w:lang w:val="hr-HR"/>
        </w:rPr>
        <w:t>vidjeti</w:t>
      </w:r>
      <w:r w:rsidRPr="001A5E19">
        <w:rPr>
          <w:sz w:val="22"/>
          <w:szCs w:val="22"/>
          <w:lang w:val="hr-HR"/>
        </w:rPr>
        <w:t xml:space="preserve"> </w:t>
      </w:r>
      <w:r w:rsidR="00D25AB2">
        <w:rPr>
          <w:sz w:val="22"/>
          <w:szCs w:val="22"/>
          <w:lang w:val="hr-HR"/>
        </w:rPr>
        <w:t>dio</w:t>
      </w:r>
      <w:r w:rsidR="00D25AB2" w:rsidRPr="001A5E19">
        <w:rPr>
          <w:sz w:val="22"/>
          <w:szCs w:val="22"/>
          <w:lang w:val="hr-HR"/>
        </w:rPr>
        <w:t> </w:t>
      </w:r>
      <w:r w:rsidRPr="001A5E19">
        <w:rPr>
          <w:sz w:val="22"/>
          <w:szCs w:val="22"/>
          <w:lang w:val="hr-HR"/>
        </w:rPr>
        <w:t>4.3).</w:t>
      </w:r>
    </w:p>
    <w:p w14:paraId="5E8CD9DD" w14:textId="77777777" w:rsidR="00B96A91" w:rsidRPr="001A5E19" w:rsidRDefault="00B96A91" w:rsidP="001B64BC">
      <w:pPr>
        <w:widowControl w:val="0"/>
        <w:tabs>
          <w:tab w:val="left" w:pos="567"/>
        </w:tabs>
        <w:jc w:val="both"/>
        <w:rPr>
          <w:sz w:val="22"/>
          <w:szCs w:val="22"/>
          <w:lang w:val="hr-HR"/>
        </w:rPr>
      </w:pPr>
    </w:p>
    <w:p w14:paraId="5C8ED5F7" w14:textId="77777777" w:rsidR="00B96A91" w:rsidRPr="00AB63CB" w:rsidRDefault="00B96A91" w:rsidP="001B64BC">
      <w:pPr>
        <w:keepNext/>
        <w:widowControl w:val="0"/>
        <w:jc w:val="both"/>
        <w:rPr>
          <w:bCs/>
          <w:i/>
          <w:sz w:val="22"/>
          <w:u w:val="single"/>
          <w:lang w:val="hr-HR" w:eastAsia="hr-HR"/>
        </w:rPr>
      </w:pPr>
      <w:r w:rsidRPr="00AB63CB">
        <w:rPr>
          <w:bCs/>
          <w:i/>
          <w:sz w:val="22"/>
          <w:u w:val="single"/>
          <w:lang w:val="hr-HR" w:eastAsia="hr-HR"/>
        </w:rPr>
        <w:t>Sakubitril</w:t>
      </w:r>
    </w:p>
    <w:p w14:paraId="6EB34709" w14:textId="29C204B4" w:rsidR="00B96A91" w:rsidRPr="001A5E19" w:rsidRDefault="00B96A91" w:rsidP="001B64BC">
      <w:pPr>
        <w:widowControl w:val="0"/>
        <w:jc w:val="both"/>
        <w:rPr>
          <w:bCs/>
          <w:sz w:val="22"/>
          <w:lang w:val="hr-HR" w:eastAsia="hr-HR"/>
        </w:rPr>
      </w:pPr>
      <w:r>
        <w:rPr>
          <w:bCs/>
          <w:sz w:val="22"/>
          <w:lang w:val="hr-HR" w:eastAsia="hr-HR"/>
        </w:rPr>
        <w:t>Ne postoje podaci o primjen</w:t>
      </w:r>
      <w:r w:rsidRPr="001A5E19">
        <w:rPr>
          <w:bCs/>
          <w:sz w:val="22"/>
          <w:lang w:val="hr-HR" w:eastAsia="hr-HR"/>
        </w:rPr>
        <w:t xml:space="preserve">i sakubitrila </w:t>
      </w:r>
      <w:r>
        <w:rPr>
          <w:bCs/>
          <w:sz w:val="22"/>
          <w:lang w:val="hr-HR" w:eastAsia="hr-HR"/>
        </w:rPr>
        <w:t>kod</w:t>
      </w:r>
      <w:r w:rsidRPr="001A5E19">
        <w:rPr>
          <w:bCs/>
          <w:sz w:val="22"/>
          <w:lang w:val="hr-HR" w:eastAsia="hr-HR"/>
        </w:rPr>
        <w:t xml:space="preserve"> trudnica. </w:t>
      </w:r>
      <w:r>
        <w:rPr>
          <w:bCs/>
          <w:sz w:val="22"/>
          <w:lang w:val="hr-HR" w:eastAsia="hr-HR"/>
        </w:rPr>
        <w:t>Studije na</w:t>
      </w:r>
      <w:r w:rsidRPr="001A5E19">
        <w:rPr>
          <w:bCs/>
          <w:sz w:val="22"/>
          <w:lang w:val="hr-HR" w:eastAsia="hr-HR"/>
        </w:rPr>
        <w:t xml:space="preserve"> životinja</w:t>
      </w:r>
      <w:r>
        <w:rPr>
          <w:bCs/>
          <w:sz w:val="22"/>
          <w:lang w:val="hr-HR" w:eastAsia="hr-HR"/>
        </w:rPr>
        <w:t>ma su pokazale</w:t>
      </w:r>
      <w:r w:rsidRPr="001A5E19">
        <w:rPr>
          <w:bCs/>
          <w:sz w:val="22"/>
          <w:lang w:val="hr-HR" w:eastAsia="hr-HR"/>
        </w:rPr>
        <w:t xml:space="preserve"> reproduktivnu toksičnost (</w:t>
      </w:r>
      <w:r>
        <w:rPr>
          <w:bCs/>
          <w:sz w:val="22"/>
          <w:lang w:val="hr-HR" w:eastAsia="hr-HR"/>
        </w:rPr>
        <w:t xml:space="preserve">vidjeti </w:t>
      </w:r>
      <w:r w:rsidR="00D25AB2">
        <w:rPr>
          <w:bCs/>
          <w:sz w:val="22"/>
          <w:lang w:val="hr-HR" w:eastAsia="hr-HR"/>
        </w:rPr>
        <w:t>dio</w:t>
      </w:r>
      <w:r w:rsidR="00D25AB2" w:rsidRPr="001A5E19">
        <w:rPr>
          <w:bCs/>
          <w:sz w:val="22"/>
          <w:lang w:val="hr-HR" w:eastAsia="hr-HR"/>
        </w:rPr>
        <w:t> </w:t>
      </w:r>
      <w:r w:rsidRPr="001A5E19">
        <w:rPr>
          <w:bCs/>
          <w:sz w:val="22"/>
          <w:lang w:val="hr-HR" w:eastAsia="hr-HR"/>
        </w:rPr>
        <w:t>5.3).</w:t>
      </w:r>
    </w:p>
    <w:p w14:paraId="6EB90A18" w14:textId="77777777" w:rsidR="00B96A91" w:rsidRPr="001A5E19" w:rsidRDefault="00B96A91" w:rsidP="001B64BC">
      <w:pPr>
        <w:widowControl w:val="0"/>
        <w:jc w:val="both"/>
        <w:rPr>
          <w:bCs/>
          <w:sz w:val="22"/>
          <w:lang w:val="hr-HR" w:eastAsia="hr-HR"/>
        </w:rPr>
      </w:pPr>
    </w:p>
    <w:p w14:paraId="4BC5353A" w14:textId="77777777" w:rsidR="00B96A91" w:rsidRPr="00AB63CB" w:rsidRDefault="00B96A91" w:rsidP="001B64BC">
      <w:pPr>
        <w:keepNext/>
        <w:widowControl w:val="0"/>
        <w:jc w:val="both"/>
        <w:rPr>
          <w:bCs/>
          <w:i/>
          <w:sz w:val="22"/>
          <w:u w:val="single"/>
          <w:lang w:val="hr-HR" w:eastAsia="hr-HR"/>
        </w:rPr>
      </w:pPr>
      <w:r w:rsidRPr="00AB63CB">
        <w:rPr>
          <w:bCs/>
          <w:i/>
          <w:sz w:val="22"/>
          <w:u w:val="single"/>
          <w:lang w:val="hr-HR" w:eastAsia="hr-HR"/>
        </w:rPr>
        <w:lastRenderedPageBreak/>
        <w:t>Valsartan/sakubitril</w:t>
      </w:r>
    </w:p>
    <w:p w14:paraId="6797CB4F" w14:textId="25923494" w:rsidR="00B96A91" w:rsidRPr="001A5E19" w:rsidRDefault="00B96A91" w:rsidP="001B64BC">
      <w:pPr>
        <w:widowControl w:val="0"/>
        <w:jc w:val="both"/>
        <w:rPr>
          <w:bCs/>
          <w:sz w:val="22"/>
          <w:szCs w:val="20"/>
          <w:lang w:val="hr-HR"/>
        </w:rPr>
      </w:pPr>
      <w:r w:rsidRPr="001A5E19">
        <w:rPr>
          <w:bCs/>
          <w:sz w:val="22"/>
          <w:szCs w:val="20"/>
          <w:lang w:val="hr-HR"/>
        </w:rPr>
        <w:t xml:space="preserve">Ne postoje podaci o </w:t>
      </w:r>
      <w:r>
        <w:rPr>
          <w:bCs/>
          <w:sz w:val="22"/>
          <w:szCs w:val="20"/>
          <w:lang w:val="hr-HR"/>
        </w:rPr>
        <w:t>primjeni valsartan/sakubitril kod</w:t>
      </w:r>
      <w:r w:rsidRPr="001A5E19">
        <w:rPr>
          <w:bCs/>
          <w:sz w:val="22"/>
          <w:szCs w:val="20"/>
          <w:lang w:val="hr-HR"/>
        </w:rPr>
        <w:t xml:space="preserve"> trudnica. </w:t>
      </w:r>
      <w:r>
        <w:rPr>
          <w:bCs/>
          <w:sz w:val="22"/>
          <w:szCs w:val="20"/>
          <w:lang w:val="hr-HR"/>
        </w:rPr>
        <w:t xml:space="preserve">Studije sa valsartan/sakubitril kod </w:t>
      </w:r>
      <w:r w:rsidRPr="001A5E19">
        <w:rPr>
          <w:bCs/>
          <w:sz w:val="22"/>
          <w:szCs w:val="20"/>
          <w:lang w:val="hr-HR"/>
        </w:rPr>
        <w:t>životinja su pokazal</w:t>
      </w:r>
      <w:r>
        <w:rPr>
          <w:bCs/>
          <w:sz w:val="22"/>
          <w:szCs w:val="20"/>
          <w:lang w:val="hr-HR"/>
        </w:rPr>
        <w:t>e</w:t>
      </w:r>
      <w:r w:rsidRPr="001A5E19">
        <w:rPr>
          <w:bCs/>
          <w:sz w:val="22"/>
          <w:szCs w:val="20"/>
          <w:lang w:val="hr-HR"/>
        </w:rPr>
        <w:t xml:space="preserve"> reproduktivnu toksičnost (</w:t>
      </w:r>
      <w:r>
        <w:rPr>
          <w:bCs/>
          <w:sz w:val="22"/>
          <w:szCs w:val="20"/>
          <w:lang w:val="hr-HR"/>
        </w:rPr>
        <w:t>vidjeti</w:t>
      </w:r>
      <w:r w:rsidRPr="001A5E19">
        <w:rPr>
          <w:bCs/>
          <w:sz w:val="22"/>
          <w:szCs w:val="20"/>
          <w:lang w:val="hr-HR"/>
        </w:rPr>
        <w:t xml:space="preserve"> </w:t>
      </w:r>
      <w:r w:rsidR="00D25AB2">
        <w:rPr>
          <w:bCs/>
          <w:sz w:val="22"/>
          <w:szCs w:val="20"/>
          <w:lang w:val="hr-HR"/>
        </w:rPr>
        <w:t>dio</w:t>
      </w:r>
      <w:r w:rsidR="00D25AB2" w:rsidRPr="001A5E19">
        <w:rPr>
          <w:bCs/>
          <w:sz w:val="22"/>
          <w:szCs w:val="20"/>
          <w:lang w:val="hr-HR"/>
        </w:rPr>
        <w:t> </w:t>
      </w:r>
      <w:r w:rsidRPr="001A5E19">
        <w:rPr>
          <w:bCs/>
          <w:sz w:val="22"/>
          <w:szCs w:val="20"/>
          <w:lang w:val="hr-HR"/>
        </w:rPr>
        <w:t>5.3).</w:t>
      </w:r>
    </w:p>
    <w:p w14:paraId="75EEF6F5" w14:textId="77777777" w:rsidR="00B96A91" w:rsidRDefault="00B96A91" w:rsidP="001B64BC">
      <w:pPr>
        <w:tabs>
          <w:tab w:val="left" w:pos="540"/>
          <w:tab w:val="left" w:pos="569"/>
        </w:tabs>
        <w:rPr>
          <w:sz w:val="22"/>
          <w:szCs w:val="22"/>
          <w:u w:val="single"/>
        </w:rPr>
      </w:pPr>
    </w:p>
    <w:p w14:paraId="78288363" w14:textId="77777777" w:rsidR="0072020E" w:rsidRPr="00786071" w:rsidRDefault="007A3ECB" w:rsidP="001B64BC">
      <w:pPr>
        <w:tabs>
          <w:tab w:val="left" w:pos="540"/>
          <w:tab w:val="left" w:pos="569"/>
        </w:tabs>
        <w:rPr>
          <w:b/>
          <w:bCs/>
          <w:sz w:val="22"/>
          <w:szCs w:val="22"/>
        </w:rPr>
      </w:pPr>
      <w:proofErr w:type="spellStart"/>
      <w:r w:rsidRPr="007A3ECB">
        <w:rPr>
          <w:sz w:val="22"/>
          <w:szCs w:val="22"/>
          <w:u w:val="single"/>
        </w:rPr>
        <w:t>Dojenje</w:t>
      </w:r>
      <w:proofErr w:type="spellEnd"/>
      <w:r w:rsidRPr="007A3ECB">
        <w:rPr>
          <w:sz w:val="22"/>
          <w:szCs w:val="22"/>
          <w:u w:val="single"/>
        </w:rPr>
        <w:t xml:space="preserve"> </w:t>
      </w:r>
    </w:p>
    <w:p w14:paraId="45455D6F" w14:textId="5831505B" w:rsidR="00227BDB" w:rsidRDefault="00227BDB" w:rsidP="001B64BC">
      <w:pPr>
        <w:tabs>
          <w:tab w:val="left" w:pos="540"/>
          <w:tab w:val="left" w:pos="569"/>
        </w:tabs>
        <w:rPr>
          <w:b/>
          <w:bCs/>
          <w:sz w:val="22"/>
          <w:szCs w:val="22"/>
        </w:rPr>
      </w:pPr>
    </w:p>
    <w:p w14:paraId="28DFBC5B" w14:textId="28F0E663" w:rsidR="00B96A91" w:rsidRPr="001A5E19" w:rsidRDefault="00B96A91" w:rsidP="001B64BC">
      <w:pPr>
        <w:widowControl w:val="0"/>
        <w:jc w:val="both"/>
        <w:rPr>
          <w:sz w:val="22"/>
          <w:szCs w:val="20"/>
          <w:lang w:val="hr-HR"/>
        </w:rPr>
      </w:pPr>
      <w:r w:rsidRPr="001A5E19">
        <w:rPr>
          <w:bCs/>
          <w:sz w:val="22"/>
          <w:lang w:val="hr-HR" w:eastAsia="hr-HR"/>
        </w:rPr>
        <w:t xml:space="preserve">Nije poznato </w:t>
      </w:r>
      <w:r>
        <w:rPr>
          <w:bCs/>
          <w:sz w:val="22"/>
          <w:lang w:val="hr-HR" w:eastAsia="hr-HR"/>
        </w:rPr>
        <w:t xml:space="preserve">da li se </w:t>
      </w:r>
      <w:r>
        <w:rPr>
          <w:bCs/>
          <w:sz w:val="22"/>
          <w:szCs w:val="20"/>
          <w:lang w:val="hr-HR"/>
        </w:rPr>
        <w:t>valsartan/sakubitril</w:t>
      </w:r>
      <w:r>
        <w:rPr>
          <w:bCs/>
          <w:sz w:val="22"/>
          <w:lang w:val="hr-HR" w:eastAsia="hr-HR"/>
        </w:rPr>
        <w:t xml:space="preserve"> izlučuje</w:t>
      </w:r>
      <w:r w:rsidRPr="001A5E19">
        <w:rPr>
          <w:bCs/>
          <w:sz w:val="22"/>
          <w:lang w:val="hr-HR" w:eastAsia="hr-HR"/>
        </w:rPr>
        <w:t xml:space="preserve"> u majčino m</w:t>
      </w:r>
      <w:r>
        <w:rPr>
          <w:bCs/>
          <w:sz w:val="22"/>
          <w:lang w:val="hr-HR" w:eastAsia="hr-HR"/>
        </w:rPr>
        <w:t>lijek</w:t>
      </w:r>
      <w:r w:rsidRPr="001A5E19">
        <w:rPr>
          <w:bCs/>
          <w:sz w:val="22"/>
          <w:lang w:val="hr-HR" w:eastAsia="hr-HR"/>
        </w:rPr>
        <w:t xml:space="preserve">o. Sastojci </w:t>
      </w:r>
      <w:r>
        <w:rPr>
          <w:bCs/>
          <w:sz w:val="22"/>
          <w:lang w:val="hr-HR" w:eastAsia="hr-HR"/>
        </w:rPr>
        <w:t>lijeka Entresto</w:t>
      </w:r>
      <w:r w:rsidRPr="001A5E19">
        <w:rPr>
          <w:bCs/>
          <w:sz w:val="22"/>
          <w:lang w:val="hr-HR" w:eastAsia="hr-HR"/>
        </w:rPr>
        <w:t xml:space="preserve">, valsartan </w:t>
      </w:r>
      <w:r>
        <w:rPr>
          <w:bCs/>
          <w:sz w:val="22"/>
          <w:lang w:val="hr-HR" w:eastAsia="hr-HR"/>
        </w:rPr>
        <w:t xml:space="preserve">i </w:t>
      </w:r>
      <w:r w:rsidRPr="001A5E19">
        <w:rPr>
          <w:bCs/>
          <w:sz w:val="22"/>
          <w:lang w:val="hr-HR" w:eastAsia="hr-HR"/>
        </w:rPr>
        <w:t xml:space="preserve">sakubitril, </w:t>
      </w:r>
      <w:r>
        <w:rPr>
          <w:bCs/>
          <w:sz w:val="22"/>
          <w:lang w:val="hr-HR" w:eastAsia="hr-HR"/>
        </w:rPr>
        <w:t xml:space="preserve">su se </w:t>
      </w:r>
      <w:r w:rsidRPr="001A5E19">
        <w:rPr>
          <w:bCs/>
          <w:sz w:val="22"/>
          <w:lang w:val="hr-HR" w:eastAsia="hr-HR"/>
        </w:rPr>
        <w:t>izlučivali u m</w:t>
      </w:r>
      <w:r>
        <w:rPr>
          <w:bCs/>
          <w:sz w:val="22"/>
          <w:lang w:val="hr-HR" w:eastAsia="hr-HR"/>
        </w:rPr>
        <w:t>lijek</w:t>
      </w:r>
      <w:r w:rsidRPr="001A5E19">
        <w:rPr>
          <w:bCs/>
          <w:sz w:val="22"/>
          <w:lang w:val="hr-HR" w:eastAsia="hr-HR"/>
        </w:rPr>
        <w:t xml:space="preserve">o </w:t>
      </w:r>
      <w:r>
        <w:rPr>
          <w:bCs/>
          <w:sz w:val="22"/>
          <w:lang w:val="hr-HR" w:eastAsia="hr-HR"/>
        </w:rPr>
        <w:t>pacova</w:t>
      </w:r>
      <w:r w:rsidRPr="001A5E19">
        <w:rPr>
          <w:bCs/>
          <w:sz w:val="22"/>
          <w:lang w:val="hr-HR" w:eastAsia="hr-HR"/>
        </w:rPr>
        <w:t xml:space="preserve"> u laktaciji (</w:t>
      </w:r>
      <w:r>
        <w:rPr>
          <w:bCs/>
          <w:sz w:val="22"/>
          <w:lang w:val="hr-HR" w:eastAsia="hr-HR"/>
        </w:rPr>
        <w:t xml:space="preserve">vidjeti </w:t>
      </w:r>
      <w:r w:rsidR="00A3416C">
        <w:rPr>
          <w:bCs/>
          <w:sz w:val="22"/>
          <w:lang w:val="hr-HR" w:eastAsia="hr-HR"/>
        </w:rPr>
        <w:t>dio</w:t>
      </w:r>
      <w:r w:rsidR="00A3416C" w:rsidRPr="001A5E19">
        <w:rPr>
          <w:bCs/>
          <w:sz w:val="22"/>
          <w:lang w:val="hr-HR" w:eastAsia="hr-HR"/>
        </w:rPr>
        <w:t> </w:t>
      </w:r>
      <w:r w:rsidRPr="001A5E19">
        <w:rPr>
          <w:bCs/>
          <w:sz w:val="22"/>
          <w:lang w:val="hr-HR" w:eastAsia="hr-HR"/>
        </w:rPr>
        <w:t xml:space="preserve">5.3). </w:t>
      </w:r>
      <w:r>
        <w:rPr>
          <w:bCs/>
          <w:sz w:val="22"/>
          <w:lang w:val="hr-HR" w:eastAsia="hr-HR"/>
        </w:rPr>
        <w:t>Ne preporučuje se primjena tokom dojenja z</w:t>
      </w:r>
      <w:r w:rsidRPr="001A5E19">
        <w:rPr>
          <w:bCs/>
          <w:sz w:val="22"/>
          <w:lang w:val="hr-HR" w:eastAsia="hr-HR"/>
        </w:rPr>
        <w:t xml:space="preserve">bog potencijalnog rizika od </w:t>
      </w:r>
      <w:r>
        <w:rPr>
          <w:bCs/>
          <w:sz w:val="22"/>
          <w:lang w:val="hr-HR" w:eastAsia="hr-HR"/>
        </w:rPr>
        <w:t xml:space="preserve">neželjenih reakcija kod </w:t>
      </w:r>
      <w:r w:rsidRPr="001A5E19">
        <w:rPr>
          <w:bCs/>
          <w:sz w:val="22"/>
          <w:lang w:val="hr-HR" w:eastAsia="hr-HR"/>
        </w:rPr>
        <w:t>dojene novorođenčadi/</w:t>
      </w:r>
      <w:r>
        <w:rPr>
          <w:bCs/>
          <w:sz w:val="22"/>
          <w:lang w:val="hr-HR" w:eastAsia="hr-HR"/>
        </w:rPr>
        <w:t>odojčadi.</w:t>
      </w:r>
      <w:r w:rsidRPr="001A5E19">
        <w:rPr>
          <w:bCs/>
          <w:sz w:val="22"/>
          <w:lang w:val="hr-HR" w:eastAsia="hr-HR"/>
        </w:rPr>
        <w:t xml:space="preserve"> Potrebno je </w:t>
      </w:r>
      <w:r>
        <w:rPr>
          <w:bCs/>
          <w:sz w:val="22"/>
          <w:lang w:val="hr-HR" w:eastAsia="hr-HR"/>
        </w:rPr>
        <w:t xml:space="preserve">donijeti odluku o tome da </w:t>
      </w:r>
      <w:r w:rsidRPr="001A5E19">
        <w:rPr>
          <w:bCs/>
          <w:sz w:val="22"/>
          <w:lang w:val="hr-HR" w:eastAsia="hr-HR"/>
        </w:rPr>
        <w:t xml:space="preserve">li </w:t>
      </w:r>
      <w:r>
        <w:rPr>
          <w:bCs/>
          <w:sz w:val="22"/>
          <w:lang w:val="hr-HR" w:eastAsia="hr-HR"/>
        </w:rPr>
        <w:t xml:space="preserve">se treba </w:t>
      </w:r>
      <w:r w:rsidRPr="001A5E19">
        <w:rPr>
          <w:bCs/>
          <w:sz w:val="22"/>
          <w:lang w:val="hr-HR" w:eastAsia="hr-HR"/>
        </w:rPr>
        <w:t>suzdržat</w:t>
      </w:r>
      <w:r>
        <w:rPr>
          <w:bCs/>
          <w:sz w:val="22"/>
          <w:lang w:val="hr-HR" w:eastAsia="hr-HR"/>
        </w:rPr>
        <w:t>i od dojenja ili prekinuti primjen</w:t>
      </w:r>
      <w:r w:rsidRPr="001A5E19">
        <w:rPr>
          <w:bCs/>
          <w:sz w:val="22"/>
          <w:lang w:val="hr-HR" w:eastAsia="hr-HR"/>
        </w:rPr>
        <w:t>u</w:t>
      </w:r>
      <w:r>
        <w:rPr>
          <w:bCs/>
          <w:sz w:val="22"/>
          <w:lang w:val="hr-HR" w:eastAsia="hr-HR"/>
        </w:rPr>
        <w:t xml:space="preserve"> </w:t>
      </w:r>
      <w:r>
        <w:rPr>
          <w:bCs/>
          <w:sz w:val="22"/>
          <w:szCs w:val="20"/>
          <w:lang w:val="hr-HR"/>
        </w:rPr>
        <w:t>valsartan/sakubitril</w:t>
      </w:r>
      <w:r w:rsidRPr="001A5E19">
        <w:rPr>
          <w:bCs/>
          <w:sz w:val="22"/>
          <w:lang w:val="hr-HR" w:eastAsia="hr-HR"/>
        </w:rPr>
        <w:t xml:space="preserve"> t</w:t>
      </w:r>
      <w:r>
        <w:rPr>
          <w:bCs/>
          <w:sz w:val="22"/>
          <w:lang w:val="hr-HR" w:eastAsia="hr-HR"/>
        </w:rPr>
        <w:t>okom</w:t>
      </w:r>
      <w:r w:rsidRPr="001A5E19">
        <w:rPr>
          <w:bCs/>
          <w:sz w:val="22"/>
          <w:lang w:val="hr-HR" w:eastAsia="hr-HR"/>
        </w:rPr>
        <w:t xml:space="preserve"> dojenja, uzimajući u obzir važnost </w:t>
      </w:r>
      <w:r>
        <w:rPr>
          <w:bCs/>
          <w:sz w:val="22"/>
          <w:lang w:val="hr-HR" w:eastAsia="hr-HR"/>
        </w:rPr>
        <w:t>lijeka Entresto</w:t>
      </w:r>
      <w:r w:rsidRPr="001A5E19">
        <w:rPr>
          <w:bCs/>
          <w:sz w:val="22"/>
          <w:lang w:val="hr-HR" w:eastAsia="hr-HR"/>
        </w:rPr>
        <w:t xml:space="preserve"> za majku.</w:t>
      </w:r>
    </w:p>
    <w:p w14:paraId="76E487F3" w14:textId="77777777" w:rsidR="00B96A91" w:rsidRDefault="00B96A91" w:rsidP="001B64BC">
      <w:pPr>
        <w:tabs>
          <w:tab w:val="left" w:pos="540"/>
          <w:tab w:val="left" w:pos="569"/>
        </w:tabs>
        <w:rPr>
          <w:b/>
          <w:bCs/>
          <w:sz w:val="22"/>
          <w:szCs w:val="22"/>
        </w:rPr>
      </w:pPr>
    </w:p>
    <w:p w14:paraId="111E3788" w14:textId="781865E7" w:rsidR="0072020E" w:rsidRDefault="0072020E" w:rsidP="001B64BC">
      <w:pPr>
        <w:tabs>
          <w:tab w:val="left" w:pos="540"/>
          <w:tab w:val="left" w:pos="569"/>
        </w:tabs>
        <w:rPr>
          <w:b/>
          <w:bCs/>
          <w:sz w:val="22"/>
          <w:szCs w:val="22"/>
        </w:rPr>
      </w:pPr>
      <w:r w:rsidRPr="00786071">
        <w:rPr>
          <w:b/>
          <w:bCs/>
          <w:sz w:val="22"/>
          <w:szCs w:val="22"/>
        </w:rPr>
        <w:t xml:space="preserve">4.7. </w:t>
      </w:r>
      <w:r w:rsidR="00480FB1" w:rsidRPr="00786071">
        <w:rPr>
          <w:b/>
          <w:bCs/>
          <w:sz w:val="22"/>
          <w:szCs w:val="22"/>
        </w:rPr>
        <w:tab/>
      </w:r>
      <w:proofErr w:type="spellStart"/>
      <w:r w:rsidRPr="00786071">
        <w:rPr>
          <w:b/>
          <w:bCs/>
          <w:sz w:val="22"/>
          <w:szCs w:val="22"/>
        </w:rPr>
        <w:t>Uticaj</w:t>
      </w:r>
      <w:proofErr w:type="spellEnd"/>
      <w:r w:rsidRPr="00786071">
        <w:rPr>
          <w:b/>
          <w:bCs/>
          <w:sz w:val="22"/>
          <w:szCs w:val="22"/>
        </w:rPr>
        <w:t xml:space="preserve"> </w:t>
      </w:r>
      <w:proofErr w:type="spellStart"/>
      <w:r w:rsidRPr="00786071">
        <w:rPr>
          <w:b/>
          <w:bCs/>
          <w:sz w:val="22"/>
          <w:szCs w:val="22"/>
        </w:rPr>
        <w:t>na</w:t>
      </w:r>
      <w:proofErr w:type="spellEnd"/>
      <w:r w:rsidRPr="00786071">
        <w:rPr>
          <w:b/>
          <w:bCs/>
          <w:sz w:val="22"/>
          <w:szCs w:val="22"/>
        </w:rPr>
        <w:t xml:space="preserve"> </w:t>
      </w:r>
      <w:proofErr w:type="spellStart"/>
      <w:r w:rsidR="002031B3">
        <w:rPr>
          <w:b/>
          <w:bCs/>
          <w:sz w:val="22"/>
          <w:szCs w:val="22"/>
        </w:rPr>
        <w:t>sposobnost</w:t>
      </w:r>
      <w:proofErr w:type="spellEnd"/>
      <w:r w:rsidR="002031B3">
        <w:rPr>
          <w:b/>
          <w:bCs/>
          <w:sz w:val="22"/>
          <w:szCs w:val="22"/>
        </w:rPr>
        <w:t xml:space="preserve"> </w:t>
      </w:r>
      <w:proofErr w:type="spellStart"/>
      <w:r w:rsidR="00F34554" w:rsidRPr="00786071">
        <w:rPr>
          <w:b/>
          <w:bCs/>
          <w:sz w:val="22"/>
          <w:szCs w:val="22"/>
        </w:rPr>
        <w:t>upravljanja</w:t>
      </w:r>
      <w:proofErr w:type="spellEnd"/>
      <w:r w:rsidR="00F34554" w:rsidRPr="00786071">
        <w:rPr>
          <w:b/>
          <w:bCs/>
          <w:sz w:val="22"/>
          <w:szCs w:val="22"/>
        </w:rPr>
        <w:t xml:space="preserve"> </w:t>
      </w:r>
      <w:proofErr w:type="spellStart"/>
      <w:r w:rsidR="00F34554" w:rsidRPr="00786071">
        <w:rPr>
          <w:b/>
          <w:bCs/>
          <w:sz w:val="22"/>
          <w:szCs w:val="22"/>
        </w:rPr>
        <w:t>vozili</w:t>
      </w:r>
      <w:r w:rsidRPr="00786071">
        <w:rPr>
          <w:b/>
          <w:bCs/>
          <w:sz w:val="22"/>
          <w:szCs w:val="22"/>
        </w:rPr>
        <w:t>m</w:t>
      </w:r>
      <w:r w:rsidR="00F34554" w:rsidRPr="00786071">
        <w:rPr>
          <w:b/>
          <w:bCs/>
          <w:sz w:val="22"/>
          <w:szCs w:val="22"/>
        </w:rPr>
        <w:t>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000D3449" w:rsidRPr="00786071">
        <w:rPr>
          <w:b/>
          <w:bCs/>
          <w:sz w:val="22"/>
          <w:szCs w:val="22"/>
        </w:rPr>
        <w:t>rukovanj</w:t>
      </w:r>
      <w:r w:rsidR="000D3449">
        <w:rPr>
          <w:b/>
          <w:bCs/>
          <w:sz w:val="22"/>
          <w:szCs w:val="22"/>
        </w:rPr>
        <w:t>e</w:t>
      </w:r>
      <w:proofErr w:type="spellEnd"/>
      <w:r w:rsidR="000D3449" w:rsidRPr="00786071">
        <w:rPr>
          <w:b/>
          <w:bCs/>
          <w:sz w:val="22"/>
          <w:szCs w:val="22"/>
        </w:rPr>
        <w:t xml:space="preserve"> </w:t>
      </w:r>
      <w:proofErr w:type="spellStart"/>
      <w:r w:rsidRPr="00786071">
        <w:rPr>
          <w:b/>
          <w:bCs/>
          <w:sz w:val="22"/>
          <w:szCs w:val="22"/>
        </w:rPr>
        <w:t>mašinama</w:t>
      </w:r>
      <w:proofErr w:type="spellEnd"/>
    </w:p>
    <w:p w14:paraId="5B0A484D" w14:textId="348495B4" w:rsidR="00B96A91" w:rsidRDefault="00B96A91" w:rsidP="001B64BC">
      <w:pPr>
        <w:tabs>
          <w:tab w:val="left" w:pos="540"/>
          <w:tab w:val="left" w:pos="569"/>
        </w:tabs>
        <w:rPr>
          <w:b/>
          <w:bCs/>
          <w:sz w:val="22"/>
          <w:szCs w:val="22"/>
        </w:rPr>
      </w:pPr>
    </w:p>
    <w:p w14:paraId="5D6FEB29" w14:textId="50A109E6" w:rsidR="00B96A91" w:rsidRPr="00786071" w:rsidRDefault="00B96A91" w:rsidP="001B64BC">
      <w:pPr>
        <w:widowControl w:val="0"/>
        <w:autoSpaceDE w:val="0"/>
        <w:autoSpaceDN w:val="0"/>
        <w:adjustRightInd w:val="0"/>
        <w:jc w:val="both"/>
        <w:rPr>
          <w:b/>
          <w:bCs/>
          <w:sz w:val="22"/>
          <w:szCs w:val="22"/>
        </w:rPr>
      </w:pPr>
      <w:r>
        <w:rPr>
          <w:rFonts w:eastAsia="SimSun"/>
          <w:sz w:val="22"/>
          <w:szCs w:val="22"/>
          <w:lang w:val="hr-HR"/>
        </w:rPr>
        <w:t>Lijek Entresto ima mali uticaj</w:t>
      </w:r>
      <w:r w:rsidRPr="001A5E19">
        <w:rPr>
          <w:rFonts w:eastAsia="SimSun"/>
          <w:sz w:val="22"/>
          <w:szCs w:val="22"/>
          <w:lang w:val="hr-HR"/>
        </w:rPr>
        <w:t xml:space="preserve"> na sposobnost upravljanja vozilima i </w:t>
      </w:r>
      <w:r>
        <w:rPr>
          <w:rFonts w:eastAsia="SimSun"/>
          <w:sz w:val="22"/>
          <w:szCs w:val="22"/>
          <w:lang w:val="hr-HR"/>
        </w:rPr>
        <w:t>rukovanja</w:t>
      </w:r>
      <w:r w:rsidRPr="001A5E19">
        <w:rPr>
          <w:rFonts w:eastAsia="SimSun"/>
          <w:sz w:val="22"/>
          <w:szCs w:val="22"/>
          <w:lang w:val="hr-HR"/>
        </w:rPr>
        <w:t xml:space="preserve"> </w:t>
      </w:r>
      <w:r>
        <w:rPr>
          <w:rFonts w:eastAsia="SimSun"/>
          <w:sz w:val="22"/>
          <w:szCs w:val="22"/>
          <w:lang w:val="hr-HR"/>
        </w:rPr>
        <w:t>mašinama</w:t>
      </w:r>
      <w:r w:rsidRPr="001A5E19">
        <w:rPr>
          <w:rFonts w:eastAsia="SimSun"/>
          <w:sz w:val="22"/>
          <w:szCs w:val="22"/>
          <w:lang w:val="hr-HR"/>
        </w:rPr>
        <w:t xml:space="preserve">. Kod upravljanja vozilima ili </w:t>
      </w:r>
      <w:r>
        <w:rPr>
          <w:rFonts w:eastAsia="SimSun"/>
          <w:sz w:val="22"/>
          <w:szCs w:val="22"/>
          <w:lang w:val="hr-HR"/>
        </w:rPr>
        <w:t>rukovanja mašinama</w:t>
      </w:r>
      <w:r w:rsidRPr="001A5E19">
        <w:rPr>
          <w:rFonts w:eastAsia="SimSun"/>
          <w:sz w:val="22"/>
          <w:szCs w:val="22"/>
          <w:lang w:val="hr-HR"/>
        </w:rPr>
        <w:t xml:space="preserve"> treba </w:t>
      </w:r>
      <w:r>
        <w:rPr>
          <w:rFonts w:eastAsia="SimSun"/>
          <w:sz w:val="22"/>
          <w:szCs w:val="22"/>
          <w:lang w:val="hr-HR"/>
        </w:rPr>
        <w:t>imati u vidu</w:t>
      </w:r>
      <w:r w:rsidRPr="001A5E19">
        <w:rPr>
          <w:rFonts w:eastAsia="SimSun"/>
          <w:sz w:val="22"/>
          <w:szCs w:val="22"/>
          <w:lang w:val="hr-HR"/>
        </w:rPr>
        <w:t xml:space="preserve"> da povremeno mo</w:t>
      </w:r>
      <w:r>
        <w:rPr>
          <w:rFonts w:eastAsia="SimSun"/>
          <w:sz w:val="22"/>
          <w:szCs w:val="22"/>
          <w:lang w:val="hr-HR"/>
        </w:rPr>
        <w:t>gu da se jave</w:t>
      </w:r>
      <w:r w:rsidRPr="001A5E19">
        <w:rPr>
          <w:rFonts w:eastAsia="SimSun"/>
          <w:sz w:val="22"/>
          <w:szCs w:val="22"/>
          <w:lang w:val="hr-HR"/>
        </w:rPr>
        <w:t xml:space="preserve"> </w:t>
      </w:r>
      <w:r w:rsidR="00943360">
        <w:rPr>
          <w:rFonts w:eastAsia="SimSun"/>
          <w:sz w:val="22"/>
          <w:szCs w:val="22"/>
          <w:lang w:val="hr-HR"/>
        </w:rPr>
        <w:t>vrtoglavica</w:t>
      </w:r>
      <w:r w:rsidRPr="001A5E19">
        <w:rPr>
          <w:rFonts w:eastAsia="SimSun"/>
          <w:sz w:val="22"/>
          <w:szCs w:val="22"/>
          <w:lang w:val="hr-HR"/>
        </w:rPr>
        <w:t xml:space="preserve"> ili umor.</w:t>
      </w:r>
    </w:p>
    <w:p w14:paraId="4F450577" w14:textId="77777777" w:rsidR="0072020E" w:rsidRPr="00786071" w:rsidRDefault="0072020E" w:rsidP="001B64BC">
      <w:pPr>
        <w:tabs>
          <w:tab w:val="left" w:pos="540"/>
          <w:tab w:val="left" w:pos="569"/>
        </w:tabs>
        <w:rPr>
          <w:b/>
          <w:bCs/>
          <w:sz w:val="22"/>
          <w:szCs w:val="22"/>
        </w:rPr>
      </w:pPr>
    </w:p>
    <w:p w14:paraId="25EF94C0" w14:textId="77777777" w:rsidR="0072020E" w:rsidRDefault="0072020E" w:rsidP="001B64BC">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proofErr w:type="spellStart"/>
      <w:r w:rsidRPr="00786071">
        <w:rPr>
          <w:b/>
          <w:bCs/>
          <w:sz w:val="22"/>
          <w:szCs w:val="22"/>
        </w:rPr>
        <w:t>Neželjena</w:t>
      </w:r>
      <w:proofErr w:type="spellEnd"/>
      <w:r w:rsidRPr="00786071">
        <w:rPr>
          <w:b/>
          <w:bCs/>
          <w:sz w:val="22"/>
          <w:szCs w:val="22"/>
        </w:rPr>
        <w:t xml:space="preserve"> </w:t>
      </w:r>
      <w:proofErr w:type="spellStart"/>
      <w:r w:rsidRPr="00786071">
        <w:rPr>
          <w:b/>
          <w:bCs/>
          <w:sz w:val="22"/>
          <w:szCs w:val="22"/>
        </w:rPr>
        <w:t>dejstva</w:t>
      </w:r>
      <w:proofErr w:type="spellEnd"/>
    </w:p>
    <w:p w14:paraId="732A6084" w14:textId="4F9545F2" w:rsidR="004E70AD" w:rsidRDefault="004E70AD" w:rsidP="001B64BC">
      <w:pPr>
        <w:tabs>
          <w:tab w:val="left" w:pos="540"/>
          <w:tab w:val="left" w:pos="569"/>
        </w:tabs>
        <w:rPr>
          <w:b/>
          <w:bCs/>
          <w:sz w:val="22"/>
          <w:szCs w:val="22"/>
        </w:rPr>
      </w:pPr>
    </w:p>
    <w:p w14:paraId="3A67B64F" w14:textId="77777777" w:rsidR="00B96A91" w:rsidRPr="001A5E19" w:rsidRDefault="00B96A91" w:rsidP="001B64BC">
      <w:pPr>
        <w:keepNext/>
        <w:widowControl w:val="0"/>
        <w:jc w:val="both"/>
        <w:outlineLvl w:val="0"/>
        <w:rPr>
          <w:sz w:val="22"/>
          <w:szCs w:val="22"/>
          <w:lang w:val="hr-HR"/>
        </w:rPr>
      </w:pPr>
      <w:r w:rsidRPr="001A5E19">
        <w:rPr>
          <w:sz w:val="22"/>
          <w:szCs w:val="22"/>
          <w:u w:val="single"/>
          <w:lang w:val="hr-HR"/>
        </w:rPr>
        <w:t xml:space="preserve">Sažetak </w:t>
      </w:r>
      <w:r>
        <w:rPr>
          <w:sz w:val="22"/>
          <w:szCs w:val="22"/>
          <w:u w:val="single"/>
          <w:lang w:val="hr-HR"/>
        </w:rPr>
        <w:t xml:space="preserve">bezbjednosnog </w:t>
      </w:r>
      <w:r w:rsidRPr="001A5E19">
        <w:rPr>
          <w:sz w:val="22"/>
          <w:szCs w:val="22"/>
          <w:u w:val="single"/>
          <w:lang w:val="hr-HR"/>
        </w:rPr>
        <w:t>profila</w:t>
      </w:r>
    </w:p>
    <w:p w14:paraId="37C9C420" w14:textId="77777777" w:rsidR="00B96A91" w:rsidRPr="001A5E19" w:rsidRDefault="00B96A91" w:rsidP="001B64BC">
      <w:pPr>
        <w:keepNext/>
        <w:widowControl w:val="0"/>
        <w:jc w:val="both"/>
        <w:rPr>
          <w:sz w:val="22"/>
          <w:szCs w:val="22"/>
          <w:lang w:val="hr-HR"/>
        </w:rPr>
      </w:pPr>
    </w:p>
    <w:p w14:paraId="5275D33F" w14:textId="58478EB3" w:rsidR="00B96A91" w:rsidRPr="001A5E19" w:rsidRDefault="00B96A91" w:rsidP="001B64BC">
      <w:pPr>
        <w:widowControl w:val="0"/>
        <w:jc w:val="both"/>
        <w:rPr>
          <w:sz w:val="22"/>
          <w:szCs w:val="22"/>
          <w:lang w:val="hr-HR"/>
        </w:rPr>
      </w:pPr>
      <w:r>
        <w:rPr>
          <w:bCs/>
          <w:sz w:val="22"/>
          <w:szCs w:val="20"/>
          <w:lang w:val="hr-HR"/>
        </w:rPr>
        <w:t>Najčešće prijavljivane neželjene reakcije</w:t>
      </w:r>
      <w:r w:rsidR="00584F44">
        <w:rPr>
          <w:bCs/>
          <w:sz w:val="22"/>
          <w:szCs w:val="20"/>
          <w:lang w:val="hr-HR"/>
        </w:rPr>
        <w:t xml:space="preserve"> kod odraslih</w:t>
      </w:r>
      <w:r>
        <w:rPr>
          <w:bCs/>
          <w:sz w:val="22"/>
          <w:szCs w:val="20"/>
          <w:lang w:val="hr-HR"/>
        </w:rPr>
        <w:t xml:space="preserve"> tokom</w:t>
      </w:r>
      <w:r w:rsidRPr="001A5E19">
        <w:rPr>
          <w:bCs/>
          <w:sz w:val="22"/>
          <w:szCs w:val="20"/>
          <w:lang w:val="hr-HR"/>
        </w:rPr>
        <w:t xml:space="preserve"> </w:t>
      </w:r>
      <w:r>
        <w:rPr>
          <w:bCs/>
          <w:sz w:val="22"/>
          <w:szCs w:val="20"/>
          <w:lang w:val="hr-HR"/>
        </w:rPr>
        <w:t>liječ</w:t>
      </w:r>
      <w:r w:rsidRPr="001A5E19">
        <w:rPr>
          <w:bCs/>
          <w:sz w:val="22"/>
          <w:szCs w:val="20"/>
          <w:lang w:val="hr-HR"/>
        </w:rPr>
        <w:t>enja</w:t>
      </w:r>
      <w:r>
        <w:rPr>
          <w:bCs/>
          <w:sz w:val="22"/>
          <w:szCs w:val="20"/>
          <w:lang w:val="hr-HR"/>
        </w:rPr>
        <w:t xml:space="preserve"> valsartan/sakubitril</w:t>
      </w:r>
      <w:r w:rsidRPr="001A5E19">
        <w:rPr>
          <w:bCs/>
          <w:sz w:val="22"/>
          <w:szCs w:val="20"/>
          <w:lang w:val="hr-HR"/>
        </w:rPr>
        <w:t xml:space="preserve"> bile su hipotenzija</w:t>
      </w:r>
      <w:r>
        <w:rPr>
          <w:bCs/>
          <w:sz w:val="22"/>
          <w:szCs w:val="20"/>
          <w:lang w:val="hr-HR"/>
        </w:rPr>
        <w:t xml:space="preserve"> (17,6%)</w:t>
      </w:r>
      <w:r w:rsidRPr="001A5E19">
        <w:rPr>
          <w:bCs/>
          <w:sz w:val="22"/>
          <w:szCs w:val="20"/>
          <w:lang w:val="hr-HR"/>
        </w:rPr>
        <w:t xml:space="preserve">, hiperkalijemija </w:t>
      </w:r>
      <w:r>
        <w:rPr>
          <w:bCs/>
          <w:sz w:val="22"/>
          <w:szCs w:val="20"/>
          <w:lang w:val="hr-HR"/>
        </w:rPr>
        <w:t xml:space="preserve">(11,6%) </w:t>
      </w:r>
      <w:r w:rsidRPr="001A5E19">
        <w:rPr>
          <w:bCs/>
          <w:sz w:val="22"/>
          <w:szCs w:val="20"/>
          <w:lang w:val="hr-HR"/>
        </w:rPr>
        <w:t>i oštećenje</w:t>
      </w:r>
      <w:r>
        <w:rPr>
          <w:bCs/>
          <w:sz w:val="22"/>
          <w:szCs w:val="20"/>
          <w:lang w:val="hr-HR"/>
        </w:rPr>
        <w:t xml:space="preserve"> funkcije</w:t>
      </w:r>
      <w:r w:rsidRPr="001A5E19">
        <w:rPr>
          <w:bCs/>
          <w:sz w:val="22"/>
          <w:szCs w:val="20"/>
          <w:lang w:val="hr-HR"/>
        </w:rPr>
        <w:t xml:space="preserve"> bubrega </w:t>
      </w:r>
      <w:r>
        <w:rPr>
          <w:bCs/>
          <w:sz w:val="22"/>
          <w:szCs w:val="20"/>
          <w:lang w:val="hr-HR"/>
        </w:rPr>
        <w:t xml:space="preserve">(10,1%) </w:t>
      </w:r>
      <w:r w:rsidRPr="001A5E19">
        <w:rPr>
          <w:bCs/>
          <w:sz w:val="22"/>
          <w:szCs w:val="20"/>
          <w:lang w:val="hr-HR"/>
        </w:rPr>
        <w:t>(</w:t>
      </w:r>
      <w:r>
        <w:rPr>
          <w:bCs/>
          <w:sz w:val="22"/>
          <w:szCs w:val="20"/>
          <w:lang w:val="hr-HR"/>
        </w:rPr>
        <w:t xml:space="preserve">vidjeti </w:t>
      </w:r>
      <w:r w:rsidR="004B5116">
        <w:rPr>
          <w:bCs/>
          <w:sz w:val="22"/>
          <w:szCs w:val="20"/>
          <w:lang w:val="hr-HR"/>
        </w:rPr>
        <w:t>dio</w:t>
      </w:r>
      <w:r w:rsidR="004B5116" w:rsidRPr="001A5E19">
        <w:rPr>
          <w:bCs/>
          <w:sz w:val="22"/>
          <w:szCs w:val="20"/>
          <w:lang w:val="hr-HR"/>
        </w:rPr>
        <w:t> </w:t>
      </w:r>
      <w:r w:rsidRPr="001A5E19">
        <w:rPr>
          <w:bCs/>
          <w:sz w:val="22"/>
          <w:szCs w:val="20"/>
          <w:lang w:val="hr-HR"/>
        </w:rPr>
        <w:t xml:space="preserve">4.4). Angioedem je prijavljen </w:t>
      </w:r>
      <w:r>
        <w:rPr>
          <w:bCs/>
          <w:sz w:val="22"/>
          <w:szCs w:val="20"/>
          <w:lang w:val="hr-HR"/>
        </w:rPr>
        <w:t>kod</w:t>
      </w:r>
      <w:r w:rsidRPr="001A5E19">
        <w:rPr>
          <w:bCs/>
          <w:sz w:val="22"/>
          <w:szCs w:val="20"/>
          <w:lang w:val="hr-HR"/>
        </w:rPr>
        <w:t xml:space="preserve"> </w:t>
      </w:r>
      <w:r>
        <w:rPr>
          <w:bCs/>
          <w:sz w:val="22"/>
          <w:szCs w:val="20"/>
          <w:lang w:val="hr-HR"/>
        </w:rPr>
        <w:t>pacijenata</w:t>
      </w:r>
      <w:r w:rsidRPr="001A5E19">
        <w:rPr>
          <w:bCs/>
          <w:sz w:val="22"/>
          <w:szCs w:val="20"/>
          <w:lang w:val="hr-HR"/>
        </w:rPr>
        <w:t xml:space="preserve"> </w:t>
      </w:r>
      <w:r>
        <w:rPr>
          <w:bCs/>
          <w:sz w:val="22"/>
          <w:szCs w:val="20"/>
          <w:lang w:val="hr-HR"/>
        </w:rPr>
        <w:t>liječ</w:t>
      </w:r>
      <w:r w:rsidRPr="001A5E19">
        <w:rPr>
          <w:bCs/>
          <w:sz w:val="22"/>
          <w:szCs w:val="20"/>
          <w:lang w:val="hr-HR"/>
        </w:rPr>
        <w:t>enih</w:t>
      </w:r>
      <w:r>
        <w:rPr>
          <w:bCs/>
          <w:sz w:val="22"/>
          <w:szCs w:val="20"/>
          <w:lang w:val="hr-HR"/>
        </w:rPr>
        <w:t xml:space="preserve"> valsartan/sakubitril (0,5%)</w:t>
      </w:r>
      <w:r w:rsidRPr="001A5E19">
        <w:rPr>
          <w:bCs/>
          <w:sz w:val="22"/>
          <w:szCs w:val="20"/>
          <w:lang w:val="hr-HR"/>
        </w:rPr>
        <w:t xml:space="preserve"> (</w:t>
      </w:r>
      <w:r>
        <w:rPr>
          <w:bCs/>
          <w:sz w:val="22"/>
          <w:szCs w:val="20"/>
          <w:lang w:val="hr-HR"/>
        </w:rPr>
        <w:t>vidjeti</w:t>
      </w:r>
      <w:r w:rsidRPr="001A5E19">
        <w:rPr>
          <w:bCs/>
          <w:sz w:val="22"/>
          <w:szCs w:val="20"/>
          <w:lang w:val="hr-HR"/>
        </w:rPr>
        <w:t xml:space="preserve"> opis odabranih </w:t>
      </w:r>
      <w:r>
        <w:rPr>
          <w:bCs/>
          <w:sz w:val="22"/>
          <w:szCs w:val="20"/>
          <w:lang w:val="hr-HR"/>
        </w:rPr>
        <w:t>neželjenih reakcija</w:t>
      </w:r>
      <w:r w:rsidRPr="001A5E19">
        <w:rPr>
          <w:bCs/>
          <w:sz w:val="22"/>
          <w:szCs w:val="20"/>
          <w:lang w:val="hr-HR"/>
        </w:rPr>
        <w:t>).</w:t>
      </w:r>
    </w:p>
    <w:p w14:paraId="43B67218" w14:textId="77777777" w:rsidR="00B96A91" w:rsidRPr="001A5E19" w:rsidRDefault="00B96A91" w:rsidP="001B64BC">
      <w:pPr>
        <w:widowControl w:val="0"/>
        <w:jc w:val="both"/>
        <w:rPr>
          <w:sz w:val="22"/>
          <w:szCs w:val="22"/>
          <w:lang w:val="hr-HR"/>
        </w:rPr>
      </w:pPr>
    </w:p>
    <w:p w14:paraId="4943E639" w14:textId="77777777" w:rsidR="00B96A91" w:rsidRPr="001A5E19" w:rsidRDefault="00B96A91" w:rsidP="001B64BC">
      <w:pPr>
        <w:keepNext/>
        <w:widowControl w:val="0"/>
        <w:jc w:val="both"/>
        <w:rPr>
          <w:sz w:val="22"/>
          <w:szCs w:val="22"/>
          <w:u w:val="single"/>
          <w:lang w:val="hr-HR"/>
        </w:rPr>
      </w:pPr>
      <w:r w:rsidRPr="001A5E19">
        <w:rPr>
          <w:sz w:val="22"/>
          <w:szCs w:val="22"/>
          <w:u w:val="single"/>
          <w:lang w:val="hr-HR"/>
        </w:rPr>
        <w:t>Tab</w:t>
      </w:r>
      <w:r>
        <w:rPr>
          <w:sz w:val="22"/>
          <w:szCs w:val="22"/>
          <w:u w:val="single"/>
          <w:lang w:val="hr-HR"/>
        </w:rPr>
        <w:t>elarni prikaz neželjenih reakcija</w:t>
      </w:r>
    </w:p>
    <w:p w14:paraId="4CE3FAF0" w14:textId="77777777" w:rsidR="00B96A91" w:rsidRPr="001A5E19" w:rsidRDefault="00B96A91" w:rsidP="001B64BC">
      <w:pPr>
        <w:keepNext/>
        <w:widowControl w:val="0"/>
        <w:jc w:val="both"/>
        <w:rPr>
          <w:sz w:val="22"/>
          <w:szCs w:val="22"/>
          <w:lang w:val="hr-HR"/>
        </w:rPr>
      </w:pPr>
    </w:p>
    <w:p w14:paraId="611EA80C" w14:textId="7AD405AE" w:rsidR="00B96A91" w:rsidRDefault="00B96A91" w:rsidP="001B64BC">
      <w:pPr>
        <w:keepNext/>
        <w:widowControl w:val="0"/>
        <w:jc w:val="both"/>
        <w:rPr>
          <w:sz w:val="22"/>
          <w:szCs w:val="22"/>
          <w:lang w:val="hr-HR"/>
        </w:rPr>
      </w:pPr>
      <w:r w:rsidRPr="00D5499C">
        <w:rPr>
          <w:sz w:val="22"/>
          <w:szCs w:val="22"/>
          <w:lang w:val="hr-HR"/>
        </w:rPr>
        <w:t>Neželje</w:t>
      </w:r>
      <w:r>
        <w:rPr>
          <w:sz w:val="22"/>
          <w:szCs w:val="22"/>
          <w:lang w:val="hr-HR"/>
        </w:rPr>
        <w:t>ne reakcije su rangirane prema klasi sistema organa i po učestalosti</w:t>
      </w:r>
      <w:r w:rsidRPr="00D5499C">
        <w:rPr>
          <w:sz w:val="22"/>
          <w:szCs w:val="22"/>
          <w:lang w:val="hr-HR"/>
        </w:rPr>
        <w:t xml:space="preserve">, prvo </w:t>
      </w:r>
      <w:r>
        <w:rPr>
          <w:sz w:val="22"/>
          <w:szCs w:val="22"/>
          <w:lang w:val="hr-HR"/>
        </w:rPr>
        <w:t>su navedena najčešća</w:t>
      </w:r>
      <w:r w:rsidRPr="00D5499C">
        <w:rPr>
          <w:sz w:val="22"/>
          <w:szCs w:val="22"/>
          <w:lang w:val="hr-HR"/>
        </w:rPr>
        <w:t>, prema sl</w:t>
      </w:r>
      <w:r>
        <w:rPr>
          <w:sz w:val="22"/>
          <w:szCs w:val="22"/>
          <w:lang w:val="hr-HR"/>
        </w:rPr>
        <w:t>j</w:t>
      </w:r>
      <w:r w:rsidRPr="00D5499C">
        <w:rPr>
          <w:sz w:val="22"/>
          <w:szCs w:val="22"/>
          <w:lang w:val="hr-HR"/>
        </w:rPr>
        <w:t>edećoj konvenciji: veoma čest</w:t>
      </w:r>
      <w:r w:rsidR="004B5116">
        <w:rPr>
          <w:sz w:val="22"/>
          <w:szCs w:val="22"/>
          <w:lang w:val="hr-HR"/>
        </w:rPr>
        <w:t>o</w:t>
      </w:r>
      <w:r w:rsidRPr="00D5499C">
        <w:rPr>
          <w:sz w:val="22"/>
          <w:szCs w:val="22"/>
          <w:lang w:val="hr-HR"/>
        </w:rPr>
        <w:t xml:space="preserve"> (≥ 1/10), čest</w:t>
      </w:r>
      <w:r w:rsidR="004B5116">
        <w:rPr>
          <w:sz w:val="22"/>
          <w:szCs w:val="22"/>
          <w:lang w:val="hr-HR"/>
        </w:rPr>
        <w:t>o</w:t>
      </w:r>
      <w:r w:rsidRPr="00D5499C">
        <w:rPr>
          <w:sz w:val="22"/>
          <w:szCs w:val="22"/>
          <w:lang w:val="hr-HR"/>
        </w:rPr>
        <w:t xml:space="preserve"> ( ≥1/100,&lt; 1/10), povremen</w:t>
      </w:r>
      <w:r w:rsidR="004B5116">
        <w:rPr>
          <w:sz w:val="22"/>
          <w:szCs w:val="22"/>
          <w:lang w:val="hr-HR"/>
        </w:rPr>
        <w:t>o</w:t>
      </w:r>
      <w:r w:rsidRPr="00D5499C">
        <w:rPr>
          <w:sz w:val="22"/>
          <w:szCs w:val="22"/>
          <w:lang w:val="hr-HR"/>
        </w:rPr>
        <w:t xml:space="preserve"> ( ≥ 1/1000, &lt; 1/100), r</w:t>
      </w:r>
      <w:r>
        <w:rPr>
          <w:sz w:val="22"/>
          <w:szCs w:val="22"/>
          <w:lang w:val="hr-HR"/>
        </w:rPr>
        <w:t>ij</w:t>
      </w:r>
      <w:r w:rsidRPr="00D5499C">
        <w:rPr>
          <w:sz w:val="22"/>
          <w:szCs w:val="22"/>
          <w:lang w:val="hr-HR"/>
        </w:rPr>
        <w:t>etk</w:t>
      </w:r>
      <w:r w:rsidR="004B5116">
        <w:rPr>
          <w:sz w:val="22"/>
          <w:szCs w:val="22"/>
          <w:lang w:val="hr-HR"/>
        </w:rPr>
        <w:t>o</w:t>
      </w:r>
      <w:r w:rsidRPr="00D5499C">
        <w:rPr>
          <w:sz w:val="22"/>
          <w:szCs w:val="22"/>
          <w:lang w:val="hr-HR"/>
        </w:rPr>
        <w:t xml:space="preserve"> (≥ 1/10000,  &lt;1/1000),  veoma r</w:t>
      </w:r>
      <w:r>
        <w:rPr>
          <w:sz w:val="22"/>
          <w:szCs w:val="22"/>
          <w:lang w:val="hr-HR"/>
        </w:rPr>
        <w:t>ij</w:t>
      </w:r>
      <w:r w:rsidRPr="00D5499C">
        <w:rPr>
          <w:sz w:val="22"/>
          <w:szCs w:val="22"/>
          <w:lang w:val="hr-HR"/>
        </w:rPr>
        <w:t>etk</w:t>
      </w:r>
      <w:r w:rsidR="004B5116">
        <w:rPr>
          <w:sz w:val="22"/>
          <w:szCs w:val="22"/>
          <w:lang w:val="hr-HR"/>
        </w:rPr>
        <w:t>o</w:t>
      </w:r>
      <w:r w:rsidRPr="00D5499C">
        <w:rPr>
          <w:sz w:val="22"/>
          <w:szCs w:val="22"/>
          <w:lang w:val="hr-HR"/>
        </w:rPr>
        <w:t xml:space="preserve"> ( &lt; 1/10000)</w:t>
      </w:r>
      <w:r>
        <w:rPr>
          <w:sz w:val="22"/>
          <w:szCs w:val="22"/>
          <w:lang w:val="hr-HR"/>
        </w:rPr>
        <w:t xml:space="preserve">. </w:t>
      </w:r>
      <w:r w:rsidRPr="00D5499C">
        <w:rPr>
          <w:sz w:val="22"/>
          <w:szCs w:val="22"/>
          <w:lang w:val="hr-HR"/>
        </w:rPr>
        <w:t>U okviru svake grupe učestalost</w:t>
      </w:r>
      <w:r w:rsidR="00F47C20">
        <w:rPr>
          <w:sz w:val="22"/>
          <w:szCs w:val="22"/>
          <w:lang w:val="hr-HR"/>
        </w:rPr>
        <w:t xml:space="preserve">i </w:t>
      </w:r>
      <w:r w:rsidRPr="00D5499C">
        <w:rPr>
          <w:sz w:val="22"/>
          <w:szCs w:val="22"/>
          <w:lang w:val="hr-HR"/>
        </w:rPr>
        <w:lastRenderedPageBreak/>
        <w:t>neželjene reakcije su navedene prema opadajućoj težini.</w:t>
      </w:r>
    </w:p>
    <w:p w14:paraId="7021AC8C" w14:textId="77777777" w:rsidR="00B96A91" w:rsidRPr="001A5E19" w:rsidRDefault="00B96A91" w:rsidP="001B64BC">
      <w:pPr>
        <w:keepNext/>
        <w:widowControl w:val="0"/>
        <w:rPr>
          <w:rFonts w:eastAsia="MS Mincho"/>
          <w:sz w:val="22"/>
          <w:szCs w:val="22"/>
          <w:lang w:val="hr-HR"/>
        </w:rPr>
      </w:pPr>
    </w:p>
    <w:p w14:paraId="56E56F0B" w14:textId="18A128C7" w:rsidR="00B96A91" w:rsidRPr="001A5E19" w:rsidRDefault="00B96A91" w:rsidP="001B64BC">
      <w:pPr>
        <w:keepNext/>
        <w:widowControl w:val="0"/>
        <w:outlineLvl w:val="5"/>
        <w:rPr>
          <w:rFonts w:eastAsia="MS Gothic"/>
          <w:sz w:val="22"/>
          <w:szCs w:val="22"/>
          <w:lang w:val="hr-HR"/>
        </w:rPr>
      </w:pPr>
      <w:r w:rsidRPr="001A5E19">
        <w:rPr>
          <w:rFonts w:eastAsia="MS Gothic"/>
          <w:b/>
          <w:sz w:val="22"/>
          <w:szCs w:val="22"/>
          <w:lang w:val="hr-HR"/>
        </w:rPr>
        <w:t>Tab</w:t>
      </w:r>
      <w:r>
        <w:rPr>
          <w:rFonts w:eastAsia="MS Gothic"/>
          <w:b/>
          <w:sz w:val="22"/>
          <w:szCs w:val="22"/>
          <w:lang w:val="hr-HR"/>
        </w:rPr>
        <w:t>ela</w:t>
      </w:r>
      <w:r w:rsidRPr="001A5E19">
        <w:rPr>
          <w:rFonts w:eastAsia="MS Gothic"/>
          <w:b/>
          <w:sz w:val="22"/>
          <w:szCs w:val="22"/>
          <w:lang w:val="hr-HR"/>
        </w:rPr>
        <w:t> </w:t>
      </w:r>
      <w:r w:rsidR="00584F44">
        <w:rPr>
          <w:rFonts w:eastAsia="MS Gothic"/>
          <w:b/>
          <w:sz w:val="22"/>
          <w:szCs w:val="22"/>
          <w:lang w:val="hr-HR"/>
        </w:rPr>
        <w:t>2</w:t>
      </w:r>
      <w:r w:rsidR="00441F90">
        <w:rPr>
          <w:rFonts w:eastAsia="MS Gothic"/>
          <w:b/>
          <w:sz w:val="22"/>
          <w:szCs w:val="22"/>
          <w:lang w:val="hr-HR"/>
        </w:rPr>
        <w:t>.</w:t>
      </w:r>
      <w:r w:rsidRPr="001A5E19">
        <w:rPr>
          <w:rFonts w:eastAsia="MS Gothic"/>
          <w:b/>
          <w:sz w:val="22"/>
          <w:szCs w:val="22"/>
          <w:lang w:val="hr-HR"/>
        </w:rPr>
        <w:tab/>
      </w:r>
      <w:r>
        <w:rPr>
          <w:rFonts w:eastAsia="MS Gothic"/>
          <w:b/>
          <w:sz w:val="22"/>
          <w:szCs w:val="22"/>
          <w:lang w:val="hr-HR"/>
        </w:rPr>
        <w:t>Lista neželjenih reakcija</w:t>
      </w:r>
      <w:r w:rsidRPr="001A5E19">
        <w:rPr>
          <w:rFonts w:eastAsia="MS Gothic"/>
          <w:b/>
          <w:sz w:val="22"/>
          <w:szCs w:val="22"/>
          <w:lang w:val="hr-HR"/>
        </w:rPr>
        <w:t xml:space="preserve"> </w:t>
      </w:r>
    </w:p>
    <w:p w14:paraId="3AE1E053" w14:textId="77777777" w:rsidR="00B96A91" w:rsidRPr="001A5E19" w:rsidRDefault="00B96A91" w:rsidP="001B64BC">
      <w:pPr>
        <w:keepNext/>
        <w:widowControl w:val="0"/>
        <w:rPr>
          <w:rFonts w:eastAsia="MS Mincho"/>
          <w:sz w:val="22"/>
          <w:szCs w:val="22"/>
          <w:lang w:val="hr-HR"/>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385"/>
      </w:tblGrid>
      <w:tr w:rsidR="00B96A91" w:rsidRPr="001A5E19" w14:paraId="0D5CF7D5" w14:textId="77777777" w:rsidTr="00F47C20">
        <w:trPr>
          <w:trHeight w:val="315"/>
          <w:tblHeader/>
        </w:trPr>
        <w:tc>
          <w:tcPr>
            <w:tcW w:w="3420" w:type="dxa"/>
            <w:vAlign w:val="center"/>
          </w:tcPr>
          <w:p w14:paraId="06679624" w14:textId="77777777" w:rsidR="00B96A91" w:rsidRPr="001A5E19" w:rsidRDefault="00B96A91" w:rsidP="001B64BC">
            <w:pPr>
              <w:keepNext/>
              <w:keepLines/>
              <w:widowControl w:val="0"/>
              <w:rPr>
                <w:b/>
                <w:sz w:val="22"/>
                <w:szCs w:val="22"/>
                <w:lang w:val="hr-HR"/>
              </w:rPr>
            </w:pPr>
            <w:r w:rsidRPr="001A5E19">
              <w:rPr>
                <w:b/>
                <w:sz w:val="22"/>
                <w:szCs w:val="22"/>
                <w:lang w:val="hr-HR"/>
              </w:rPr>
              <w:t>Klas</w:t>
            </w:r>
            <w:r>
              <w:rPr>
                <w:b/>
                <w:sz w:val="22"/>
                <w:szCs w:val="22"/>
                <w:lang w:val="hr-HR"/>
              </w:rPr>
              <w:t>a sistema organa</w:t>
            </w:r>
          </w:p>
        </w:tc>
        <w:tc>
          <w:tcPr>
            <w:tcW w:w="2700" w:type="dxa"/>
            <w:vAlign w:val="center"/>
          </w:tcPr>
          <w:p w14:paraId="4EF78937" w14:textId="77777777" w:rsidR="00B96A91" w:rsidRPr="001A5E19" w:rsidRDefault="00B96A91" w:rsidP="001B64BC">
            <w:pPr>
              <w:keepNext/>
              <w:keepLines/>
              <w:widowControl w:val="0"/>
              <w:rPr>
                <w:b/>
                <w:sz w:val="22"/>
                <w:szCs w:val="22"/>
                <w:lang w:val="hr-HR"/>
              </w:rPr>
            </w:pPr>
            <w:r>
              <w:rPr>
                <w:b/>
                <w:sz w:val="22"/>
                <w:szCs w:val="22"/>
                <w:lang w:val="hr-HR"/>
              </w:rPr>
              <w:t>Neželjeno dejstvo</w:t>
            </w:r>
          </w:p>
        </w:tc>
        <w:tc>
          <w:tcPr>
            <w:tcW w:w="2385" w:type="dxa"/>
            <w:vAlign w:val="center"/>
          </w:tcPr>
          <w:p w14:paraId="0957EE48" w14:textId="77777777" w:rsidR="00B96A91" w:rsidRPr="001A5E19" w:rsidRDefault="00B96A91" w:rsidP="001B64BC">
            <w:pPr>
              <w:keepNext/>
              <w:keepLines/>
              <w:widowControl w:val="0"/>
              <w:rPr>
                <w:b/>
                <w:sz w:val="22"/>
                <w:szCs w:val="22"/>
                <w:lang w:val="hr-HR"/>
              </w:rPr>
            </w:pPr>
            <w:r w:rsidRPr="001A5E19">
              <w:rPr>
                <w:b/>
                <w:sz w:val="22"/>
                <w:szCs w:val="22"/>
                <w:lang w:val="hr-HR"/>
              </w:rPr>
              <w:t>Kategorija učestalosti</w:t>
            </w:r>
          </w:p>
        </w:tc>
      </w:tr>
      <w:tr w:rsidR="00B96A91" w:rsidRPr="001A5E19" w14:paraId="57AC809F" w14:textId="77777777" w:rsidTr="00F47C20">
        <w:trPr>
          <w:trHeight w:val="315"/>
          <w:tblHeader/>
        </w:trPr>
        <w:tc>
          <w:tcPr>
            <w:tcW w:w="3420" w:type="dxa"/>
            <w:vAlign w:val="center"/>
          </w:tcPr>
          <w:p w14:paraId="429C5848" w14:textId="77777777" w:rsidR="00B96A91" w:rsidRPr="00C00F2C" w:rsidRDefault="00B96A91" w:rsidP="001B64BC">
            <w:pPr>
              <w:pStyle w:val="Heading21"/>
              <w:keepNext/>
              <w:keepLines/>
              <w:shd w:val="clear" w:color="auto" w:fill="auto"/>
              <w:spacing w:before="0" w:after="0" w:line="240" w:lineRule="auto"/>
              <w:ind w:firstLine="0"/>
              <w:jc w:val="left"/>
              <w:rPr>
                <w:sz w:val="22"/>
                <w:szCs w:val="22"/>
                <w:lang w:val="sr-Latn-CS"/>
              </w:rPr>
            </w:pPr>
            <w:r w:rsidRPr="003D4225">
              <w:rPr>
                <w:sz w:val="22"/>
                <w:szCs w:val="22"/>
                <w:lang w:val="sr-Latn-CS"/>
              </w:rPr>
              <w:t>Poremećaji krvi i limfnog sistema</w:t>
            </w:r>
          </w:p>
        </w:tc>
        <w:tc>
          <w:tcPr>
            <w:tcW w:w="2700" w:type="dxa"/>
            <w:vAlign w:val="center"/>
          </w:tcPr>
          <w:p w14:paraId="02F39AF3" w14:textId="77777777" w:rsidR="00B96A91" w:rsidRPr="001A5E19" w:rsidRDefault="00B96A91" w:rsidP="001B64BC">
            <w:pPr>
              <w:keepNext/>
              <w:keepLines/>
              <w:widowControl w:val="0"/>
              <w:rPr>
                <w:sz w:val="22"/>
                <w:szCs w:val="22"/>
                <w:lang w:val="hr-HR"/>
              </w:rPr>
            </w:pPr>
            <w:r w:rsidRPr="001A5E19">
              <w:rPr>
                <w:sz w:val="22"/>
                <w:szCs w:val="22"/>
                <w:lang w:val="hr-HR"/>
              </w:rPr>
              <w:t>Anemija</w:t>
            </w:r>
          </w:p>
        </w:tc>
        <w:tc>
          <w:tcPr>
            <w:tcW w:w="2385" w:type="dxa"/>
            <w:vAlign w:val="center"/>
          </w:tcPr>
          <w:p w14:paraId="568C191E" w14:textId="77777777" w:rsidR="00B96A91" w:rsidRPr="001A5E19" w:rsidRDefault="00B96A91" w:rsidP="001B64BC">
            <w:pPr>
              <w:keepNext/>
              <w:keepLines/>
              <w:widowControl w:val="0"/>
              <w:rPr>
                <w:sz w:val="22"/>
                <w:szCs w:val="22"/>
                <w:lang w:val="hr-HR"/>
              </w:rPr>
            </w:pPr>
            <w:r w:rsidRPr="001A5E19">
              <w:rPr>
                <w:sz w:val="22"/>
                <w:szCs w:val="22"/>
                <w:lang w:val="hr-HR"/>
              </w:rPr>
              <w:t>Često</w:t>
            </w:r>
          </w:p>
        </w:tc>
      </w:tr>
      <w:tr w:rsidR="00B96A91" w:rsidRPr="001A5E19" w14:paraId="5D39203C" w14:textId="77777777" w:rsidTr="00F47C20">
        <w:trPr>
          <w:trHeight w:val="315"/>
          <w:tblHeader/>
        </w:trPr>
        <w:tc>
          <w:tcPr>
            <w:tcW w:w="3420" w:type="dxa"/>
            <w:vAlign w:val="center"/>
          </w:tcPr>
          <w:p w14:paraId="0FCF33C0" w14:textId="77777777" w:rsidR="00B96A91" w:rsidRPr="001A5E19" w:rsidRDefault="00B96A91" w:rsidP="001B64BC">
            <w:pPr>
              <w:keepNext/>
              <w:keepLines/>
              <w:widowControl w:val="0"/>
              <w:rPr>
                <w:b/>
                <w:sz w:val="22"/>
                <w:szCs w:val="22"/>
                <w:lang w:val="hr-HR"/>
              </w:rPr>
            </w:pPr>
            <w:r w:rsidRPr="001A5E19">
              <w:rPr>
                <w:b/>
                <w:sz w:val="22"/>
                <w:szCs w:val="22"/>
                <w:lang w:val="hr-HR"/>
              </w:rPr>
              <w:t>Poremećaji imuno</w:t>
            </w:r>
            <w:r>
              <w:rPr>
                <w:b/>
                <w:sz w:val="22"/>
                <w:szCs w:val="22"/>
                <w:lang w:val="hr-HR"/>
              </w:rPr>
              <w:t>g sistema</w:t>
            </w:r>
          </w:p>
        </w:tc>
        <w:tc>
          <w:tcPr>
            <w:tcW w:w="2700" w:type="dxa"/>
            <w:vAlign w:val="center"/>
          </w:tcPr>
          <w:p w14:paraId="1B00F404" w14:textId="77777777" w:rsidR="00B96A91" w:rsidRPr="001A5E19" w:rsidRDefault="00B96A91" w:rsidP="001B64BC">
            <w:pPr>
              <w:keepNext/>
              <w:keepLines/>
              <w:widowControl w:val="0"/>
              <w:rPr>
                <w:sz w:val="22"/>
                <w:szCs w:val="22"/>
                <w:lang w:val="hr-HR"/>
              </w:rPr>
            </w:pPr>
            <w:r w:rsidRPr="001A5E19">
              <w:rPr>
                <w:sz w:val="22"/>
                <w:szCs w:val="22"/>
                <w:lang w:val="hr-HR"/>
              </w:rPr>
              <w:t>Preos</w:t>
            </w:r>
            <w:r>
              <w:rPr>
                <w:sz w:val="22"/>
                <w:szCs w:val="22"/>
                <w:lang w:val="hr-HR"/>
              </w:rPr>
              <w:t>j</w:t>
            </w:r>
            <w:r w:rsidRPr="001A5E19">
              <w:rPr>
                <w:sz w:val="22"/>
                <w:szCs w:val="22"/>
                <w:lang w:val="hr-HR"/>
              </w:rPr>
              <w:t>etljivost</w:t>
            </w:r>
          </w:p>
        </w:tc>
        <w:tc>
          <w:tcPr>
            <w:tcW w:w="2385" w:type="dxa"/>
            <w:vAlign w:val="center"/>
          </w:tcPr>
          <w:p w14:paraId="0E9DF7D3" w14:textId="77777777" w:rsidR="00B96A91" w:rsidRPr="001A5E19" w:rsidRDefault="00B96A91" w:rsidP="001B64BC">
            <w:pPr>
              <w:keepNext/>
              <w:keepLines/>
              <w:widowControl w:val="0"/>
              <w:rPr>
                <w:sz w:val="22"/>
                <w:szCs w:val="22"/>
                <w:lang w:val="hr-HR"/>
              </w:rPr>
            </w:pPr>
            <w:r>
              <w:rPr>
                <w:sz w:val="22"/>
                <w:szCs w:val="22"/>
                <w:lang w:val="hr-HR"/>
              </w:rPr>
              <w:t xml:space="preserve">Povremeno </w:t>
            </w:r>
          </w:p>
        </w:tc>
      </w:tr>
      <w:tr w:rsidR="00584F44" w:rsidRPr="001A5E19" w14:paraId="1706D4D0" w14:textId="77777777" w:rsidTr="00F47C20">
        <w:trPr>
          <w:trHeight w:val="140"/>
        </w:trPr>
        <w:tc>
          <w:tcPr>
            <w:tcW w:w="3420" w:type="dxa"/>
            <w:vMerge w:val="restart"/>
          </w:tcPr>
          <w:p w14:paraId="73967BAE" w14:textId="77777777" w:rsidR="00584F44" w:rsidRPr="001A5E19" w:rsidRDefault="00584F44" w:rsidP="001B64BC">
            <w:pPr>
              <w:keepNext/>
              <w:keepLines/>
              <w:widowControl w:val="0"/>
              <w:rPr>
                <w:b/>
                <w:sz w:val="22"/>
                <w:szCs w:val="22"/>
                <w:lang w:val="hr-HR"/>
              </w:rPr>
            </w:pPr>
            <w:r w:rsidRPr="001A5E19">
              <w:rPr>
                <w:b/>
                <w:sz w:val="22"/>
                <w:szCs w:val="22"/>
                <w:lang w:val="hr-HR"/>
              </w:rPr>
              <w:t xml:space="preserve">Poremećaji metabolizma i </w:t>
            </w:r>
            <w:r>
              <w:rPr>
                <w:b/>
                <w:sz w:val="22"/>
                <w:szCs w:val="22"/>
                <w:lang w:val="hr-HR"/>
              </w:rPr>
              <w:t>ishrane</w:t>
            </w:r>
          </w:p>
        </w:tc>
        <w:tc>
          <w:tcPr>
            <w:tcW w:w="2700" w:type="dxa"/>
            <w:shd w:val="clear" w:color="auto" w:fill="auto"/>
            <w:vAlign w:val="center"/>
          </w:tcPr>
          <w:p w14:paraId="6F13B2E7" w14:textId="77777777" w:rsidR="00584F44" w:rsidRPr="001A5E19" w:rsidRDefault="00584F44" w:rsidP="001B64BC">
            <w:pPr>
              <w:widowControl w:val="0"/>
              <w:rPr>
                <w:color w:val="000000"/>
                <w:sz w:val="22"/>
                <w:szCs w:val="22"/>
                <w:lang w:val="hr-HR"/>
              </w:rPr>
            </w:pPr>
            <w:r w:rsidRPr="001A5E19">
              <w:rPr>
                <w:color w:val="000000"/>
                <w:sz w:val="22"/>
                <w:szCs w:val="22"/>
                <w:lang w:val="hr-HR"/>
              </w:rPr>
              <w:t>Hiperkalijemija*</w:t>
            </w:r>
          </w:p>
        </w:tc>
        <w:tc>
          <w:tcPr>
            <w:tcW w:w="2385" w:type="dxa"/>
            <w:shd w:val="clear" w:color="auto" w:fill="auto"/>
            <w:vAlign w:val="center"/>
          </w:tcPr>
          <w:p w14:paraId="61C328F3" w14:textId="77777777" w:rsidR="00584F44" w:rsidRPr="001A5E19" w:rsidRDefault="00584F44" w:rsidP="001B64BC">
            <w:pPr>
              <w:widowControl w:val="0"/>
              <w:rPr>
                <w:color w:val="000000"/>
                <w:sz w:val="22"/>
                <w:szCs w:val="22"/>
                <w:lang w:val="hr-HR"/>
              </w:rPr>
            </w:pPr>
            <w:r w:rsidRPr="001A5E19">
              <w:rPr>
                <w:color w:val="000000"/>
                <w:sz w:val="22"/>
                <w:szCs w:val="22"/>
                <w:lang w:val="hr-HR"/>
              </w:rPr>
              <w:t>V</w:t>
            </w:r>
            <w:r>
              <w:rPr>
                <w:color w:val="000000"/>
                <w:sz w:val="22"/>
                <w:szCs w:val="22"/>
                <w:lang w:val="hr-HR"/>
              </w:rPr>
              <w:t>eoma</w:t>
            </w:r>
            <w:r w:rsidRPr="001A5E19">
              <w:rPr>
                <w:color w:val="000000"/>
                <w:sz w:val="22"/>
                <w:szCs w:val="22"/>
                <w:lang w:val="hr-HR"/>
              </w:rPr>
              <w:t xml:space="preserve"> često</w:t>
            </w:r>
          </w:p>
        </w:tc>
      </w:tr>
      <w:tr w:rsidR="00584F44" w:rsidRPr="001A5E19" w14:paraId="0CA57BDE" w14:textId="77777777" w:rsidTr="00F47C20">
        <w:trPr>
          <w:trHeight w:val="140"/>
        </w:trPr>
        <w:tc>
          <w:tcPr>
            <w:tcW w:w="3420" w:type="dxa"/>
            <w:vMerge/>
          </w:tcPr>
          <w:p w14:paraId="7C1EDD91"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4726F1BF" w14:textId="77777777" w:rsidR="00584F44" w:rsidRPr="001A5E19" w:rsidRDefault="00584F44" w:rsidP="001B64BC">
            <w:pPr>
              <w:widowControl w:val="0"/>
              <w:rPr>
                <w:color w:val="000000"/>
                <w:sz w:val="22"/>
                <w:szCs w:val="22"/>
                <w:lang w:val="hr-HR"/>
              </w:rPr>
            </w:pPr>
            <w:r w:rsidRPr="001A5E19">
              <w:rPr>
                <w:color w:val="000000"/>
                <w:sz w:val="22"/>
                <w:szCs w:val="22"/>
                <w:lang w:val="hr-HR"/>
              </w:rPr>
              <w:t>Hipokalijemija</w:t>
            </w:r>
          </w:p>
        </w:tc>
        <w:tc>
          <w:tcPr>
            <w:tcW w:w="2385" w:type="dxa"/>
            <w:shd w:val="clear" w:color="auto" w:fill="auto"/>
            <w:vAlign w:val="center"/>
          </w:tcPr>
          <w:p w14:paraId="3C14FFC8"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1076D6C0" w14:textId="77777777" w:rsidTr="00F47C20">
        <w:trPr>
          <w:trHeight w:val="140"/>
        </w:trPr>
        <w:tc>
          <w:tcPr>
            <w:tcW w:w="3420" w:type="dxa"/>
            <w:vMerge/>
          </w:tcPr>
          <w:p w14:paraId="438DAFD1"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2D9EB94C" w14:textId="77777777" w:rsidR="00584F44" w:rsidRPr="001A5E19" w:rsidRDefault="00584F44" w:rsidP="001B64BC">
            <w:pPr>
              <w:widowControl w:val="0"/>
              <w:rPr>
                <w:color w:val="000000"/>
                <w:sz w:val="22"/>
                <w:szCs w:val="22"/>
                <w:lang w:val="hr-HR"/>
              </w:rPr>
            </w:pPr>
            <w:r w:rsidRPr="001A5E19">
              <w:rPr>
                <w:color w:val="000000"/>
                <w:sz w:val="22"/>
                <w:szCs w:val="22"/>
                <w:lang w:val="hr-HR"/>
              </w:rPr>
              <w:t>Hipoglikemija</w:t>
            </w:r>
          </w:p>
        </w:tc>
        <w:tc>
          <w:tcPr>
            <w:tcW w:w="2385" w:type="dxa"/>
            <w:shd w:val="clear" w:color="auto" w:fill="auto"/>
            <w:vAlign w:val="center"/>
          </w:tcPr>
          <w:p w14:paraId="3D376051"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39645546" w14:textId="77777777" w:rsidTr="00F47C20">
        <w:trPr>
          <w:trHeight w:val="140"/>
        </w:trPr>
        <w:tc>
          <w:tcPr>
            <w:tcW w:w="3420" w:type="dxa"/>
            <w:vMerge/>
          </w:tcPr>
          <w:p w14:paraId="358B6434"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3F8FF01D" w14:textId="311221D3" w:rsidR="00584F44" w:rsidRPr="001A5E19" w:rsidRDefault="00584F44" w:rsidP="001B64BC">
            <w:pPr>
              <w:widowControl w:val="0"/>
              <w:rPr>
                <w:color w:val="000000"/>
                <w:sz w:val="22"/>
                <w:szCs w:val="22"/>
                <w:lang w:val="hr-HR"/>
              </w:rPr>
            </w:pPr>
            <w:r>
              <w:rPr>
                <w:color w:val="000000"/>
                <w:sz w:val="22"/>
                <w:szCs w:val="22"/>
                <w:lang w:val="hr-HR"/>
              </w:rPr>
              <w:t>Hiponatrijemija</w:t>
            </w:r>
          </w:p>
        </w:tc>
        <w:tc>
          <w:tcPr>
            <w:tcW w:w="2385" w:type="dxa"/>
            <w:shd w:val="clear" w:color="auto" w:fill="auto"/>
            <w:vAlign w:val="center"/>
          </w:tcPr>
          <w:p w14:paraId="0FFB5E7B" w14:textId="67420A45" w:rsidR="00584F44" w:rsidRPr="001A5E19" w:rsidRDefault="00584F44" w:rsidP="001B64BC">
            <w:pPr>
              <w:widowControl w:val="0"/>
              <w:rPr>
                <w:color w:val="000000"/>
                <w:sz w:val="22"/>
                <w:szCs w:val="22"/>
                <w:lang w:val="hr-HR"/>
              </w:rPr>
            </w:pPr>
            <w:r>
              <w:rPr>
                <w:color w:val="000000"/>
                <w:sz w:val="22"/>
                <w:szCs w:val="22"/>
                <w:lang w:val="hr-HR"/>
              </w:rPr>
              <w:t>Povremeno</w:t>
            </w:r>
          </w:p>
        </w:tc>
      </w:tr>
      <w:tr w:rsidR="00584F44" w:rsidRPr="001A5E19" w14:paraId="3D26EF81" w14:textId="77777777" w:rsidTr="00F47C20">
        <w:trPr>
          <w:trHeight w:val="140"/>
        </w:trPr>
        <w:tc>
          <w:tcPr>
            <w:tcW w:w="3420" w:type="dxa"/>
            <w:vMerge w:val="restart"/>
          </w:tcPr>
          <w:p w14:paraId="5C369BAA" w14:textId="4C93802B" w:rsidR="00584F44" w:rsidRPr="00584F44" w:rsidRDefault="00584F44" w:rsidP="001B64BC">
            <w:pPr>
              <w:keepNext/>
              <w:keepLines/>
              <w:widowControl w:val="0"/>
              <w:rPr>
                <w:b/>
                <w:sz w:val="22"/>
                <w:szCs w:val="20"/>
                <w:lang w:val="hr-HR"/>
              </w:rPr>
            </w:pPr>
            <w:r w:rsidRPr="00AB63CB">
              <w:rPr>
                <w:b/>
                <w:sz w:val="22"/>
                <w:szCs w:val="20"/>
              </w:rPr>
              <w:t>Ps</w:t>
            </w:r>
            <w:r w:rsidRPr="00AB63CB">
              <w:rPr>
                <w:b/>
                <w:sz w:val="22"/>
                <w:szCs w:val="20"/>
                <w:lang w:val="hr-HR"/>
              </w:rPr>
              <w:t>ihijatrijski poremećaji</w:t>
            </w:r>
          </w:p>
        </w:tc>
        <w:tc>
          <w:tcPr>
            <w:tcW w:w="2700" w:type="dxa"/>
            <w:shd w:val="clear" w:color="auto" w:fill="auto"/>
            <w:vAlign w:val="center"/>
          </w:tcPr>
          <w:p w14:paraId="35FEA033" w14:textId="51A8CBC2" w:rsidR="00584F44" w:rsidRPr="00584F44" w:rsidRDefault="00584F44" w:rsidP="001B64BC">
            <w:pPr>
              <w:widowControl w:val="0"/>
              <w:rPr>
                <w:color w:val="000000"/>
                <w:sz w:val="22"/>
                <w:szCs w:val="20"/>
                <w:lang w:val="hr-HR"/>
              </w:rPr>
            </w:pPr>
            <w:proofErr w:type="spellStart"/>
            <w:r w:rsidRPr="00AB63CB">
              <w:rPr>
                <w:color w:val="000000"/>
                <w:sz w:val="22"/>
                <w:szCs w:val="20"/>
              </w:rPr>
              <w:t>Halucinacije</w:t>
            </w:r>
            <w:proofErr w:type="spellEnd"/>
            <w:r w:rsidRPr="00AB63CB">
              <w:rPr>
                <w:color w:val="000000"/>
                <w:sz w:val="22"/>
                <w:szCs w:val="20"/>
              </w:rPr>
              <w:t>**</w:t>
            </w:r>
          </w:p>
        </w:tc>
        <w:tc>
          <w:tcPr>
            <w:tcW w:w="2385" w:type="dxa"/>
            <w:shd w:val="clear" w:color="auto" w:fill="auto"/>
            <w:vAlign w:val="center"/>
          </w:tcPr>
          <w:p w14:paraId="04549D65" w14:textId="539DBF05" w:rsidR="00584F44" w:rsidRPr="00584F44" w:rsidRDefault="00584F44" w:rsidP="001B64BC">
            <w:pPr>
              <w:widowControl w:val="0"/>
              <w:rPr>
                <w:color w:val="000000"/>
                <w:sz w:val="22"/>
                <w:szCs w:val="20"/>
                <w:lang w:val="hr-HR"/>
              </w:rPr>
            </w:pPr>
            <w:proofErr w:type="spellStart"/>
            <w:r w:rsidRPr="00AB63CB">
              <w:rPr>
                <w:color w:val="000000"/>
                <w:sz w:val="22"/>
                <w:szCs w:val="20"/>
              </w:rPr>
              <w:t>Rijetko</w:t>
            </w:r>
            <w:proofErr w:type="spellEnd"/>
          </w:p>
        </w:tc>
      </w:tr>
      <w:tr w:rsidR="00584F44" w:rsidRPr="001A5E19" w14:paraId="58B2343E" w14:textId="77777777" w:rsidTr="00F47C20">
        <w:trPr>
          <w:trHeight w:val="140"/>
        </w:trPr>
        <w:tc>
          <w:tcPr>
            <w:tcW w:w="3420" w:type="dxa"/>
            <w:vMerge/>
          </w:tcPr>
          <w:p w14:paraId="19BEEA1A" w14:textId="77777777" w:rsidR="00584F44" w:rsidRPr="00584F44" w:rsidRDefault="00584F44" w:rsidP="001B64BC">
            <w:pPr>
              <w:keepNext/>
              <w:keepLines/>
              <w:widowControl w:val="0"/>
              <w:rPr>
                <w:b/>
                <w:sz w:val="22"/>
                <w:szCs w:val="20"/>
                <w:lang w:val="hr-HR"/>
              </w:rPr>
            </w:pPr>
          </w:p>
        </w:tc>
        <w:tc>
          <w:tcPr>
            <w:tcW w:w="2700" w:type="dxa"/>
            <w:shd w:val="clear" w:color="auto" w:fill="auto"/>
            <w:vAlign w:val="center"/>
          </w:tcPr>
          <w:p w14:paraId="4C27B0CD" w14:textId="65B61215" w:rsidR="00584F44" w:rsidRPr="00584F44" w:rsidRDefault="00584F44" w:rsidP="001B64BC">
            <w:pPr>
              <w:widowControl w:val="0"/>
              <w:rPr>
                <w:color w:val="000000"/>
                <w:sz w:val="22"/>
                <w:szCs w:val="20"/>
                <w:lang w:val="hr-HR"/>
              </w:rPr>
            </w:pPr>
            <w:proofErr w:type="spellStart"/>
            <w:r w:rsidRPr="00AB63CB">
              <w:rPr>
                <w:color w:val="000000"/>
                <w:sz w:val="22"/>
                <w:szCs w:val="20"/>
              </w:rPr>
              <w:t>Poremećaji</w:t>
            </w:r>
            <w:proofErr w:type="spellEnd"/>
            <w:r w:rsidRPr="00AB63CB">
              <w:rPr>
                <w:color w:val="000000"/>
                <w:sz w:val="22"/>
                <w:szCs w:val="20"/>
              </w:rPr>
              <w:t xml:space="preserve"> </w:t>
            </w:r>
            <w:proofErr w:type="spellStart"/>
            <w:r w:rsidRPr="00AB63CB">
              <w:rPr>
                <w:color w:val="000000"/>
                <w:sz w:val="22"/>
                <w:szCs w:val="20"/>
              </w:rPr>
              <w:t>spavanja</w:t>
            </w:r>
            <w:proofErr w:type="spellEnd"/>
          </w:p>
        </w:tc>
        <w:tc>
          <w:tcPr>
            <w:tcW w:w="2385" w:type="dxa"/>
            <w:shd w:val="clear" w:color="auto" w:fill="auto"/>
            <w:vAlign w:val="center"/>
          </w:tcPr>
          <w:p w14:paraId="29B67BA5" w14:textId="14E0A5B8" w:rsidR="00584F44" w:rsidRPr="00584F44" w:rsidRDefault="00584F44" w:rsidP="001B64BC">
            <w:pPr>
              <w:widowControl w:val="0"/>
              <w:rPr>
                <w:color w:val="000000"/>
                <w:sz w:val="22"/>
                <w:szCs w:val="20"/>
                <w:lang w:val="hr-HR"/>
              </w:rPr>
            </w:pPr>
            <w:proofErr w:type="spellStart"/>
            <w:r w:rsidRPr="00AB63CB">
              <w:rPr>
                <w:color w:val="000000"/>
                <w:sz w:val="22"/>
                <w:szCs w:val="20"/>
              </w:rPr>
              <w:t>Rijetko</w:t>
            </w:r>
            <w:proofErr w:type="spellEnd"/>
          </w:p>
        </w:tc>
      </w:tr>
      <w:tr w:rsidR="00584F44" w:rsidRPr="001A5E19" w14:paraId="39D81665" w14:textId="77777777" w:rsidTr="00F47C20">
        <w:trPr>
          <w:trHeight w:val="140"/>
        </w:trPr>
        <w:tc>
          <w:tcPr>
            <w:tcW w:w="3420" w:type="dxa"/>
            <w:vMerge/>
          </w:tcPr>
          <w:p w14:paraId="478B1D6B" w14:textId="77777777" w:rsidR="00584F44" w:rsidRPr="00584F44" w:rsidRDefault="00584F44" w:rsidP="001B64BC">
            <w:pPr>
              <w:keepNext/>
              <w:keepLines/>
              <w:widowControl w:val="0"/>
              <w:rPr>
                <w:b/>
                <w:sz w:val="22"/>
                <w:szCs w:val="20"/>
                <w:lang w:val="hr-HR"/>
              </w:rPr>
            </w:pPr>
          </w:p>
        </w:tc>
        <w:tc>
          <w:tcPr>
            <w:tcW w:w="2700" w:type="dxa"/>
            <w:shd w:val="clear" w:color="auto" w:fill="auto"/>
            <w:vAlign w:val="center"/>
          </w:tcPr>
          <w:p w14:paraId="3EF4651E" w14:textId="09424183" w:rsidR="00584F44" w:rsidRPr="00584F44" w:rsidRDefault="00584F44" w:rsidP="001B64BC">
            <w:pPr>
              <w:widowControl w:val="0"/>
              <w:rPr>
                <w:color w:val="000000"/>
                <w:sz w:val="22"/>
                <w:szCs w:val="20"/>
                <w:lang w:val="hr-HR"/>
              </w:rPr>
            </w:pPr>
            <w:proofErr w:type="spellStart"/>
            <w:r w:rsidRPr="00AB63CB">
              <w:rPr>
                <w:color w:val="000000"/>
                <w:sz w:val="22"/>
                <w:szCs w:val="20"/>
              </w:rPr>
              <w:t>Paranoja</w:t>
            </w:r>
            <w:proofErr w:type="spellEnd"/>
          </w:p>
        </w:tc>
        <w:tc>
          <w:tcPr>
            <w:tcW w:w="2385" w:type="dxa"/>
            <w:shd w:val="clear" w:color="auto" w:fill="auto"/>
            <w:vAlign w:val="center"/>
          </w:tcPr>
          <w:p w14:paraId="40D8022C" w14:textId="4DD804DF" w:rsidR="00584F44" w:rsidRPr="00584F44" w:rsidRDefault="00584F44" w:rsidP="001B64BC">
            <w:pPr>
              <w:widowControl w:val="0"/>
              <w:rPr>
                <w:color w:val="000000"/>
                <w:sz w:val="22"/>
                <w:szCs w:val="20"/>
                <w:lang w:val="hr-HR"/>
              </w:rPr>
            </w:pPr>
            <w:proofErr w:type="spellStart"/>
            <w:r w:rsidRPr="00AB63CB">
              <w:rPr>
                <w:color w:val="000000"/>
                <w:sz w:val="22"/>
                <w:szCs w:val="20"/>
              </w:rPr>
              <w:t>Veoma</w:t>
            </w:r>
            <w:proofErr w:type="spellEnd"/>
            <w:r w:rsidRPr="00AB63CB">
              <w:rPr>
                <w:color w:val="000000"/>
                <w:sz w:val="22"/>
                <w:szCs w:val="20"/>
              </w:rPr>
              <w:t xml:space="preserve"> </w:t>
            </w:r>
            <w:proofErr w:type="spellStart"/>
            <w:r w:rsidRPr="00AB63CB">
              <w:rPr>
                <w:color w:val="000000"/>
                <w:sz w:val="22"/>
                <w:szCs w:val="20"/>
              </w:rPr>
              <w:t>rijetko</w:t>
            </w:r>
            <w:proofErr w:type="spellEnd"/>
          </w:p>
        </w:tc>
      </w:tr>
      <w:tr w:rsidR="00584F44" w:rsidRPr="001A5E19" w14:paraId="4E3C1E2F" w14:textId="77777777" w:rsidTr="00F47C20">
        <w:trPr>
          <w:trHeight w:val="140"/>
        </w:trPr>
        <w:tc>
          <w:tcPr>
            <w:tcW w:w="3420" w:type="dxa"/>
            <w:vMerge w:val="restart"/>
          </w:tcPr>
          <w:p w14:paraId="3A1936A1" w14:textId="77777777" w:rsidR="00584F44" w:rsidRPr="001A5E19" w:rsidRDefault="00584F44" w:rsidP="001B64BC">
            <w:pPr>
              <w:keepNext/>
              <w:keepLines/>
              <w:widowControl w:val="0"/>
              <w:rPr>
                <w:b/>
                <w:sz w:val="22"/>
                <w:szCs w:val="22"/>
                <w:lang w:val="hr-HR"/>
              </w:rPr>
            </w:pPr>
            <w:r w:rsidRPr="003D6F24">
              <w:rPr>
                <w:b/>
                <w:sz w:val="22"/>
                <w:szCs w:val="22"/>
                <w:lang w:val="hr-HR"/>
              </w:rPr>
              <w:t>Poremećaji nervnog sistema</w:t>
            </w:r>
          </w:p>
        </w:tc>
        <w:tc>
          <w:tcPr>
            <w:tcW w:w="2700" w:type="dxa"/>
            <w:shd w:val="clear" w:color="auto" w:fill="auto"/>
            <w:vAlign w:val="center"/>
          </w:tcPr>
          <w:p w14:paraId="74517EC6" w14:textId="4E4AAD8C" w:rsidR="00584F44" w:rsidRPr="001A5E19" w:rsidRDefault="00584F44" w:rsidP="001B64BC">
            <w:pPr>
              <w:widowControl w:val="0"/>
              <w:rPr>
                <w:color w:val="000000"/>
                <w:sz w:val="22"/>
                <w:szCs w:val="22"/>
                <w:lang w:val="hr-HR"/>
              </w:rPr>
            </w:pPr>
            <w:r>
              <w:rPr>
                <w:color w:val="000000"/>
                <w:sz w:val="22"/>
                <w:szCs w:val="22"/>
                <w:lang w:val="hr-HR"/>
              </w:rPr>
              <w:t>Vrtoglavica</w:t>
            </w:r>
          </w:p>
        </w:tc>
        <w:tc>
          <w:tcPr>
            <w:tcW w:w="2385" w:type="dxa"/>
            <w:shd w:val="clear" w:color="auto" w:fill="auto"/>
            <w:vAlign w:val="center"/>
          </w:tcPr>
          <w:p w14:paraId="75796C49"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7E7C5B59" w14:textId="77777777" w:rsidTr="00F47C20">
        <w:trPr>
          <w:trHeight w:val="140"/>
        </w:trPr>
        <w:tc>
          <w:tcPr>
            <w:tcW w:w="3420" w:type="dxa"/>
            <w:vMerge/>
          </w:tcPr>
          <w:p w14:paraId="735EE00A"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19C5E036" w14:textId="77777777" w:rsidR="00584F44" w:rsidRPr="001A5E19" w:rsidRDefault="00584F44" w:rsidP="001B64BC">
            <w:pPr>
              <w:widowControl w:val="0"/>
              <w:rPr>
                <w:color w:val="000000"/>
                <w:sz w:val="22"/>
                <w:szCs w:val="22"/>
                <w:lang w:val="hr-HR"/>
              </w:rPr>
            </w:pPr>
            <w:r w:rsidRPr="001A5E19">
              <w:rPr>
                <w:color w:val="000000"/>
                <w:sz w:val="22"/>
                <w:szCs w:val="22"/>
                <w:lang w:val="hr-HR"/>
              </w:rPr>
              <w:t>Glavobolja</w:t>
            </w:r>
          </w:p>
        </w:tc>
        <w:tc>
          <w:tcPr>
            <w:tcW w:w="2385" w:type="dxa"/>
            <w:shd w:val="clear" w:color="auto" w:fill="auto"/>
            <w:vAlign w:val="center"/>
          </w:tcPr>
          <w:p w14:paraId="573745C4"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1DDFEECF" w14:textId="77777777" w:rsidTr="00F47C20">
        <w:trPr>
          <w:trHeight w:val="140"/>
        </w:trPr>
        <w:tc>
          <w:tcPr>
            <w:tcW w:w="3420" w:type="dxa"/>
            <w:vMerge/>
          </w:tcPr>
          <w:p w14:paraId="03C95BCC"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5ED35B54" w14:textId="77777777" w:rsidR="00584F44" w:rsidRPr="001A5E19" w:rsidRDefault="00584F44" w:rsidP="001B64BC">
            <w:pPr>
              <w:widowControl w:val="0"/>
              <w:rPr>
                <w:color w:val="000000"/>
                <w:sz w:val="22"/>
                <w:szCs w:val="22"/>
                <w:lang w:val="hr-HR"/>
              </w:rPr>
            </w:pPr>
            <w:r w:rsidRPr="001A5E19">
              <w:rPr>
                <w:color w:val="000000"/>
                <w:sz w:val="22"/>
                <w:szCs w:val="22"/>
                <w:lang w:val="hr-HR"/>
              </w:rPr>
              <w:t>Sinkopa</w:t>
            </w:r>
          </w:p>
        </w:tc>
        <w:tc>
          <w:tcPr>
            <w:tcW w:w="2385" w:type="dxa"/>
            <w:shd w:val="clear" w:color="auto" w:fill="auto"/>
            <w:vAlign w:val="center"/>
          </w:tcPr>
          <w:p w14:paraId="6D638486" w14:textId="77777777" w:rsidR="00584F44" w:rsidRPr="001A5E19" w:rsidRDefault="00584F44" w:rsidP="001B64BC">
            <w:pPr>
              <w:widowControl w:val="0"/>
              <w:rPr>
                <w:color w:val="000000"/>
                <w:sz w:val="22"/>
                <w:szCs w:val="22"/>
                <w:lang w:val="hr-HR"/>
              </w:rPr>
            </w:pPr>
            <w:r w:rsidRPr="001A5E19">
              <w:rPr>
                <w:color w:val="000000"/>
                <w:sz w:val="22"/>
                <w:szCs w:val="22"/>
                <w:lang w:val="hr-HR"/>
              </w:rPr>
              <w:t xml:space="preserve">Često </w:t>
            </w:r>
          </w:p>
        </w:tc>
      </w:tr>
      <w:tr w:rsidR="00584F44" w:rsidRPr="001A5E19" w14:paraId="65B608FF" w14:textId="77777777" w:rsidTr="00F47C20">
        <w:trPr>
          <w:trHeight w:val="140"/>
        </w:trPr>
        <w:tc>
          <w:tcPr>
            <w:tcW w:w="3420" w:type="dxa"/>
            <w:vMerge/>
          </w:tcPr>
          <w:p w14:paraId="32D944DB"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54334E3D" w14:textId="2559E453" w:rsidR="00584F44" w:rsidRPr="001A5E19" w:rsidRDefault="00584F44" w:rsidP="001B64BC">
            <w:pPr>
              <w:widowControl w:val="0"/>
              <w:rPr>
                <w:color w:val="000000"/>
                <w:sz w:val="22"/>
                <w:szCs w:val="22"/>
                <w:lang w:val="hr-HR"/>
              </w:rPr>
            </w:pPr>
            <w:r w:rsidRPr="001A5E19">
              <w:rPr>
                <w:color w:val="000000"/>
                <w:sz w:val="22"/>
                <w:szCs w:val="22"/>
                <w:lang w:val="hr-HR"/>
              </w:rPr>
              <w:t xml:space="preserve">Posturalna </w:t>
            </w:r>
            <w:r>
              <w:rPr>
                <w:color w:val="000000"/>
                <w:sz w:val="22"/>
                <w:szCs w:val="22"/>
                <w:lang w:val="hr-HR"/>
              </w:rPr>
              <w:t>vrtoglavica</w:t>
            </w:r>
          </w:p>
        </w:tc>
        <w:tc>
          <w:tcPr>
            <w:tcW w:w="2385" w:type="dxa"/>
            <w:shd w:val="clear" w:color="auto" w:fill="auto"/>
            <w:vAlign w:val="center"/>
          </w:tcPr>
          <w:p w14:paraId="4F4D5B57" w14:textId="77777777" w:rsidR="00584F44" w:rsidRPr="001A5E19" w:rsidRDefault="00584F44" w:rsidP="001B64BC">
            <w:pPr>
              <w:widowControl w:val="0"/>
              <w:rPr>
                <w:color w:val="000000"/>
                <w:sz w:val="22"/>
                <w:szCs w:val="22"/>
                <w:lang w:val="hr-HR"/>
              </w:rPr>
            </w:pPr>
            <w:r>
              <w:rPr>
                <w:color w:val="000000"/>
                <w:sz w:val="22"/>
                <w:szCs w:val="22"/>
                <w:lang w:val="hr-HR"/>
              </w:rPr>
              <w:t xml:space="preserve">Povremeno </w:t>
            </w:r>
          </w:p>
        </w:tc>
      </w:tr>
      <w:tr w:rsidR="00584F44" w:rsidRPr="001A5E19" w14:paraId="60C855D6" w14:textId="77777777" w:rsidTr="00F47C20">
        <w:trPr>
          <w:trHeight w:val="140"/>
        </w:trPr>
        <w:tc>
          <w:tcPr>
            <w:tcW w:w="3420" w:type="dxa"/>
          </w:tcPr>
          <w:p w14:paraId="13840A29" w14:textId="77777777" w:rsidR="00584F44" w:rsidRPr="001A5E19" w:rsidRDefault="00584F44" w:rsidP="001B64BC">
            <w:pPr>
              <w:keepNext/>
              <w:keepLines/>
              <w:widowControl w:val="0"/>
              <w:rPr>
                <w:b/>
                <w:sz w:val="22"/>
                <w:szCs w:val="22"/>
                <w:lang w:val="hr-HR"/>
              </w:rPr>
            </w:pPr>
            <w:r w:rsidRPr="001A5E19">
              <w:rPr>
                <w:b/>
                <w:sz w:val="22"/>
                <w:szCs w:val="22"/>
                <w:lang w:val="hr-HR"/>
              </w:rPr>
              <w:t>Poremećaji u</w:t>
            </w:r>
            <w:r>
              <w:rPr>
                <w:b/>
                <w:sz w:val="22"/>
                <w:szCs w:val="22"/>
                <w:lang w:val="hr-HR"/>
              </w:rPr>
              <w:t>ha</w:t>
            </w:r>
            <w:r w:rsidRPr="001A5E19">
              <w:rPr>
                <w:b/>
                <w:sz w:val="22"/>
                <w:szCs w:val="22"/>
                <w:lang w:val="hr-HR"/>
              </w:rPr>
              <w:t xml:space="preserve"> i labirinta</w:t>
            </w:r>
          </w:p>
        </w:tc>
        <w:tc>
          <w:tcPr>
            <w:tcW w:w="2700" w:type="dxa"/>
            <w:shd w:val="clear" w:color="auto" w:fill="auto"/>
            <w:vAlign w:val="center"/>
          </w:tcPr>
          <w:p w14:paraId="4B869379" w14:textId="67EE61D8" w:rsidR="00584F44" w:rsidRPr="001A5E19" w:rsidRDefault="00584F44" w:rsidP="001B64BC">
            <w:pPr>
              <w:widowControl w:val="0"/>
              <w:rPr>
                <w:color w:val="000000"/>
                <w:sz w:val="22"/>
                <w:szCs w:val="22"/>
                <w:lang w:val="hr-HR"/>
              </w:rPr>
            </w:pPr>
            <w:r>
              <w:rPr>
                <w:color w:val="000000"/>
                <w:sz w:val="22"/>
                <w:szCs w:val="22"/>
                <w:lang w:val="hr-HR"/>
              </w:rPr>
              <w:t>Vertigo</w:t>
            </w:r>
          </w:p>
        </w:tc>
        <w:tc>
          <w:tcPr>
            <w:tcW w:w="2385" w:type="dxa"/>
            <w:shd w:val="clear" w:color="auto" w:fill="auto"/>
            <w:vAlign w:val="center"/>
          </w:tcPr>
          <w:p w14:paraId="04D454DD"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26E4AAE2" w14:textId="77777777" w:rsidTr="00F47C20">
        <w:trPr>
          <w:trHeight w:val="140"/>
        </w:trPr>
        <w:tc>
          <w:tcPr>
            <w:tcW w:w="3420" w:type="dxa"/>
            <w:vMerge w:val="restart"/>
          </w:tcPr>
          <w:p w14:paraId="0091CB63" w14:textId="77777777" w:rsidR="00584F44" w:rsidRPr="001A5E19" w:rsidRDefault="00584F44" w:rsidP="001B64BC">
            <w:pPr>
              <w:keepNext/>
              <w:keepLines/>
              <w:widowControl w:val="0"/>
              <w:rPr>
                <w:b/>
                <w:sz w:val="22"/>
                <w:szCs w:val="22"/>
                <w:lang w:val="hr-HR"/>
              </w:rPr>
            </w:pPr>
            <w:r w:rsidRPr="00966062">
              <w:rPr>
                <w:b/>
                <w:sz w:val="22"/>
                <w:szCs w:val="22"/>
                <w:lang w:val="hr-HR"/>
              </w:rPr>
              <w:t>Vaskularni poremećaji</w:t>
            </w:r>
          </w:p>
        </w:tc>
        <w:tc>
          <w:tcPr>
            <w:tcW w:w="2700" w:type="dxa"/>
            <w:shd w:val="clear" w:color="auto" w:fill="auto"/>
            <w:vAlign w:val="center"/>
          </w:tcPr>
          <w:p w14:paraId="743443DE" w14:textId="77777777" w:rsidR="00584F44" w:rsidRPr="001A5E19" w:rsidRDefault="00584F44" w:rsidP="001B64BC">
            <w:pPr>
              <w:widowControl w:val="0"/>
              <w:rPr>
                <w:color w:val="000000"/>
                <w:sz w:val="22"/>
                <w:szCs w:val="22"/>
                <w:lang w:val="hr-HR"/>
              </w:rPr>
            </w:pPr>
            <w:r w:rsidRPr="001A5E19">
              <w:rPr>
                <w:color w:val="000000"/>
                <w:sz w:val="22"/>
                <w:szCs w:val="22"/>
                <w:lang w:val="hr-HR"/>
              </w:rPr>
              <w:t>Hipotenzija*</w:t>
            </w:r>
          </w:p>
        </w:tc>
        <w:tc>
          <w:tcPr>
            <w:tcW w:w="2385" w:type="dxa"/>
            <w:shd w:val="clear" w:color="auto" w:fill="auto"/>
            <w:vAlign w:val="center"/>
          </w:tcPr>
          <w:p w14:paraId="141C909E" w14:textId="77777777" w:rsidR="00584F44" w:rsidRPr="001A5E19" w:rsidRDefault="00584F44" w:rsidP="001B64BC">
            <w:pPr>
              <w:widowControl w:val="0"/>
              <w:rPr>
                <w:color w:val="000000"/>
                <w:sz w:val="22"/>
                <w:szCs w:val="22"/>
                <w:lang w:val="hr-HR"/>
              </w:rPr>
            </w:pPr>
            <w:r w:rsidRPr="001A5E19">
              <w:rPr>
                <w:color w:val="000000"/>
                <w:sz w:val="22"/>
                <w:szCs w:val="22"/>
                <w:lang w:val="hr-HR"/>
              </w:rPr>
              <w:t>V</w:t>
            </w:r>
            <w:r>
              <w:rPr>
                <w:color w:val="000000"/>
                <w:sz w:val="22"/>
                <w:szCs w:val="22"/>
                <w:lang w:val="hr-HR"/>
              </w:rPr>
              <w:t>eoma</w:t>
            </w:r>
            <w:r w:rsidRPr="001A5E19">
              <w:rPr>
                <w:color w:val="000000"/>
                <w:sz w:val="22"/>
                <w:szCs w:val="22"/>
                <w:lang w:val="hr-HR"/>
              </w:rPr>
              <w:t xml:space="preserve"> često</w:t>
            </w:r>
          </w:p>
        </w:tc>
      </w:tr>
      <w:tr w:rsidR="00584F44" w:rsidRPr="001A5E19" w14:paraId="5DEF880D" w14:textId="77777777" w:rsidTr="00F47C20">
        <w:trPr>
          <w:trHeight w:val="140"/>
        </w:trPr>
        <w:tc>
          <w:tcPr>
            <w:tcW w:w="3420" w:type="dxa"/>
            <w:vMerge/>
          </w:tcPr>
          <w:p w14:paraId="2D7C5D65"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1717B580" w14:textId="77777777" w:rsidR="00584F44" w:rsidRPr="001A5E19" w:rsidRDefault="00584F44" w:rsidP="001B64BC">
            <w:pPr>
              <w:widowControl w:val="0"/>
              <w:rPr>
                <w:color w:val="000000"/>
                <w:sz w:val="22"/>
                <w:szCs w:val="22"/>
                <w:lang w:val="hr-HR"/>
              </w:rPr>
            </w:pPr>
            <w:r w:rsidRPr="001A5E19">
              <w:rPr>
                <w:color w:val="000000"/>
                <w:sz w:val="22"/>
                <w:szCs w:val="22"/>
                <w:lang w:val="hr-HR"/>
              </w:rPr>
              <w:t>Ortostatska hipotenzija</w:t>
            </w:r>
          </w:p>
        </w:tc>
        <w:tc>
          <w:tcPr>
            <w:tcW w:w="2385" w:type="dxa"/>
            <w:shd w:val="clear" w:color="auto" w:fill="auto"/>
            <w:vAlign w:val="center"/>
          </w:tcPr>
          <w:p w14:paraId="039A9FC2"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59F33179" w14:textId="77777777" w:rsidTr="00F47C20">
        <w:trPr>
          <w:trHeight w:val="140"/>
        </w:trPr>
        <w:tc>
          <w:tcPr>
            <w:tcW w:w="3420" w:type="dxa"/>
          </w:tcPr>
          <w:p w14:paraId="49434BDD" w14:textId="77777777" w:rsidR="00584F44" w:rsidRPr="001A5E19" w:rsidRDefault="00584F44" w:rsidP="001B64BC">
            <w:pPr>
              <w:keepNext/>
              <w:keepLines/>
              <w:widowControl w:val="0"/>
              <w:rPr>
                <w:b/>
                <w:sz w:val="22"/>
                <w:szCs w:val="22"/>
                <w:lang w:val="hr-HR"/>
              </w:rPr>
            </w:pPr>
            <w:r w:rsidRPr="00966062">
              <w:rPr>
                <w:b/>
                <w:sz w:val="22"/>
                <w:szCs w:val="22"/>
                <w:lang w:val="hr-HR"/>
              </w:rPr>
              <w:t>Respiratorni, torakalni i medijastinalni poremećaji</w:t>
            </w:r>
          </w:p>
        </w:tc>
        <w:tc>
          <w:tcPr>
            <w:tcW w:w="2700" w:type="dxa"/>
            <w:shd w:val="clear" w:color="auto" w:fill="auto"/>
            <w:vAlign w:val="center"/>
          </w:tcPr>
          <w:p w14:paraId="35C241C4" w14:textId="77777777" w:rsidR="00584F44" w:rsidRPr="001A5E19" w:rsidRDefault="00584F44" w:rsidP="001B64BC">
            <w:pPr>
              <w:widowControl w:val="0"/>
              <w:rPr>
                <w:color w:val="000000"/>
                <w:sz w:val="22"/>
                <w:szCs w:val="22"/>
                <w:lang w:val="hr-HR"/>
              </w:rPr>
            </w:pPr>
            <w:r w:rsidRPr="001A5E19">
              <w:rPr>
                <w:color w:val="000000"/>
                <w:sz w:val="22"/>
                <w:szCs w:val="22"/>
                <w:lang w:val="hr-HR"/>
              </w:rPr>
              <w:t>Kašalj</w:t>
            </w:r>
          </w:p>
        </w:tc>
        <w:tc>
          <w:tcPr>
            <w:tcW w:w="2385" w:type="dxa"/>
            <w:shd w:val="clear" w:color="auto" w:fill="auto"/>
            <w:vAlign w:val="center"/>
          </w:tcPr>
          <w:p w14:paraId="7861C5EE"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25035082" w14:textId="77777777" w:rsidTr="00F47C20">
        <w:trPr>
          <w:trHeight w:val="140"/>
        </w:trPr>
        <w:tc>
          <w:tcPr>
            <w:tcW w:w="3420" w:type="dxa"/>
            <w:vMerge w:val="restart"/>
          </w:tcPr>
          <w:p w14:paraId="61BDCC17" w14:textId="77777777" w:rsidR="00584F44" w:rsidRPr="001A5E19" w:rsidRDefault="00584F44" w:rsidP="001B64BC">
            <w:pPr>
              <w:keepNext/>
              <w:keepLines/>
              <w:widowControl w:val="0"/>
              <w:rPr>
                <w:b/>
                <w:sz w:val="22"/>
                <w:szCs w:val="22"/>
                <w:lang w:val="hr-HR"/>
              </w:rPr>
            </w:pPr>
            <w:r w:rsidRPr="00966062">
              <w:rPr>
                <w:b/>
                <w:sz w:val="22"/>
                <w:szCs w:val="22"/>
                <w:lang w:val="hr-HR"/>
              </w:rPr>
              <w:t>Gastrointestinalni poremećaji</w:t>
            </w:r>
          </w:p>
        </w:tc>
        <w:tc>
          <w:tcPr>
            <w:tcW w:w="2700" w:type="dxa"/>
            <w:shd w:val="clear" w:color="auto" w:fill="auto"/>
            <w:vAlign w:val="center"/>
          </w:tcPr>
          <w:p w14:paraId="494B8617" w14:textId="77777777" w:rsidR="00584F44" w:rsidRPr="001A5E19" w:rsidRDefault="00584F44" w:rsidP="001B64BC">
            <w:pPr>
              <w:widowControl w:val="0"/>
              <w:rPr>
                <w:color w:val="000000"/>
                <w:sz w:val="22"/>
                <w:szCs w:val="22"/>
                <w:lang w:val="hr-HR"/>
              </w:rPr>
            </w:pPr>
            <w:r>
              <w:rPr>
                <w:color w:val="000000"/>
                <w:sz w:val="22"/>
                <w:szCs w:val="22"/>
                <w:lang w:val="hr-HR"/>
              </w:rPr>
              <w:t xml:space="preserve">Dijareja </w:t>
            </w:r>
          </w:p>
        </w:tc>
        <w:tc>
          <w:tcPr>
            <w:tcW w:w="2385" w:type="dxa"/>
            <w:shd w:val="clear" w:color="auto" w:fill="auto"/>
            <w:vAlign w:val="center"/>
          </w:tcPr>
          <w:p w14:paraId="7164043B"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682A52D4" w14:textId="77777777" w:rsidTr="00F47C20">
        <w:trPr>
          <w:trHeight w:val="140"/>
        </w:trPr>
        <w:tc>
          <w:tcPr>
            <w:tcW w:w="3420" w:type="dxa"/>
            <w:vMerge/>
          </w:tcPr>
          <w:p w14:paraId="0B34557C"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71C029BF" w14:textId="77777777" w:rsidR="00584F44" w:rsidRPr="001A5E19" w:rsidRDefault="00584F44" w:rsidP="001B64BC">
            <w:pPr>
              <w:widowControl w:val="0"/>
              <w:rPr>
                <w:color w:val="000000"/>
                <w:sz w:val="22"/>
                <w:szCs w:val="22"/>
                <w:lang w:val="hr-HR"/>
              </w:rPr>
            </w:pPr>
            <w:r w:rsidRPr="001A5E19">
              <w:rPr>
                <w:color w:val="000000"/>
                <w:sz w:val="22"/>
                <w:szCs w:val="22"/>
                <w:lang w:val="hr-HR"/>
              </w:rPr>
              <w:t>Mučnina</w:t>
            </w:r>
          </w:p>
        </w:tc>
        <w:tc>
          <w:tcPr>
            <w:tcW w:w="2385" w:type="dxa"/>
            <w:shd w:val="clear" w:color="auto" w:fill="auto"/>
            <w:vAlign w:val="center"/>
          </w:tcPr>
          <w:p w14:paraId="740E6AF6"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3F1D5E5E" w14:textId="77777777" w:rsidTr="00F47C20">
        <w:trPr>
          <w:trHeight w:val="140"/>
        </w:trPr>
        <w:tc>
          <w:tcPr>
            <w:tcW w:w="3420" w:type="dxa"/>
            <w:vMerge/>
          </w:tcPr>
          <w:p w14:paraId="3AB88BC6"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54D6EEF7" w14:textId="77777777" w:rsidR="00584F44" w:rsidRPr="001A5E19" w:rsidRDefault="00584F44" w:rsidP="001B64BC">
            <w:pPr>
              <w:widowControl w:val="0"/>
              <w:rPr>
                <w:color w:val="000000"/>
                <w:sz w:val="22"/>
                <w:szCs w:val="22"/>
                <w:lang w:val="hr-HR"/>
              </w:rPr>
            </w:pPr>
            <w:r w:rsidRPr="001A5E19">
              <w:rPr>
                <w:color w:val="000000"/>
                <w:sz w:val="22"/>
                <w:szCs w:val="22"/>
                <w:lang w:val="hr-HR"/>
              </w:rPr>
              <w:t>Gastritis</w:t>
            </w:r>
          </w:p>
        </w:tc>
        <w:tc>
          <w:tcPr>
            <w:tcW w:w="2385" w:type="dxa"/>
            <w:shd w:val="clear" w:color="auto" w:fill="auto"/>
            <w:vAlign w:val="center"/>
          </w:tcPr>
          <w:p w14:paraId="549A50DF"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3675228A" w14:textId="77777777" w:rsidTr="00F47C20">
        <w:trPr>
          <w:trHeight w:val="140"/>
        </w:trPr>
        <w:tc>
          <w:tcPr>
            <w:tcW w:w="3420" w:type="dxa"/>
            <w:vMerge w:val="restart"/>
          </w:tcPr>
          <w:p w14:paraId="64BA1071" w14:textId="77777777" w:rsidR="00584F44" w:rsidRPr="001A5E19" w:rsidRDefault="00584F44" w:rsidP="001B64BC">
            <w:pPr>
              <w:keepNext/>
              <w:keepLines/>
              <w:widowControl w:val="0"/>
              <w:rPr>
                <w:b/>
                <w:sz w:val="22"/>
                <w:szCs w:val="22"/>
                <w:lang w:val="hr-HR"/>
              </w:rPr>
            </w:pPr>
            <w:r w:rsidRPr="00966062">
              <w:rPr>
                <w:b/>
                <w:sz w:val="22"/>
                <w:szCs w:val="22"/>
                <w:lang w:val="hr-HR"/>
              </w:rPr>
              <w:t>Poremećaji kože i potkožnog tkiva</w:t>
            </w:r>
          </w:p>
        </w:tc>
        <w:tc>
          <w:tcPr>
            <w:tcW w:w="2700" w:type="dxa"/>
            <w:shd w:val="clear" w:color="auto" w:fill="auto"/>
            <w:vAlign w:val="center"/>
          </w:tcPr>
          <w:p w14:paraId="5115A627" w14:textId="77777777" w:rsidR="00584F44" w:rsidRPr="001A5E19" w:rsidRDefault="00584F44" w:rsidP="001B64BC">
            <w:pPr>
              <w:widowControl w:val="0"/>
              <w:rPr>
                <w:color w:val="000000"/>
                <w:sz w:val="22"/>
                <w:szCs w:val="22"/>
                <w:lang w:val="hr-HR"/>
              </w:rPr>
            </w:pPr>
            <w:r w:rsidRPr="001A5E19">
              <w:rPr>
                <w:color w:val="000000"/>
                <w:sz w:val="22"/>
                <w:szCs w:val="22"/>
                <w:lang w:val="hr-HR"/>
              </w:rPr>
              <w:t>Pruritus</w:t>
            </w:r>
          </w:p>
        </w:tc>
        <w:tc>
          <w:tcPr>
            <w:tcW w:w="2385" w:type="dxa"/>
            <w:shd w:val="clear" w:color="auto" w:fill="auto"/>
            <w:vAlign w:val="center"/>
          </w:tcPr>
          <w:p w14:paraId="4693FD9C" w14:textId="77777777" w:rsidR="00584F44" w:rsidRPr="001A5E19" w:rsidRDefault="00584F44" w:rsidP="001B64BC">
            <w:pPr>
              <w:widowControl w:val="0"/>
              <w:rPr>
                <w:color w:val="000000"/>
                <w:sz w:val="22"/>
                <w:szCs w:val="22"/>
                <w:lang w:val="hr-HR"/>
              </w:rPr>
            </w:pPr>
            <w:r>
              <w:rPr>
                <w:color w:val="000000"/>
                <w:sz w:val="22"/>
                <w:szCs w:val="22"/>
                <w:lang w:val="hr-HR"/>
              </w:rPr>
              <w:t xml:space="preserve">Povremeno </w:t>
            </w:r>
          </w:p>
        </w:tc>
      </w:tr>
      <w:tr w:rsidR="00584F44" w:rsidRPr="001A5E19" w14:paraId="5AF511D9" w14:textId="77777777" w:rsidTr="00F47C20">
        <w:trPr>
          <w:trHeight w:val="140"/>
        </w:trPr>
        <w:tc>
          <w:tcPr>
            <w:tcW w:w="3420" w:type="dxa"/>
            <w:vMerge/>
          </w:tcPr>
          <w:p w14:paraId="46BACBF1"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072EC528" w14:textId="77777777" w:rsidR="00584F44" w:rsidRPr="001A5E19" w:rsidRDefault="00584F44" w:rsidP="001B64BC">
            <w:pPr>
              <w:widowControl w:val="0"/>
              <w:rPr>
                <w:color w:val="000000"/>
                <w:sz w:val="22"/>
                <w:szCs w:val="22"/>
                <w:lang w:val="hr-HR"/>
              </w:rPr>
            </w:pPr>
            <w:r w:rsidRPr="001A5E19">
              <w:rPr>
                <w:color w:val="000000"/>
                <w:sz w:val="22"/>
                <w:szCs w:val="22"/>
                <w:lang w:val="hr-HR"/>
              </w:rPr>
              <w:t>Osip</w:t>
            </w:r>
          </w:p>
        </w:tc>
        <w:tc>
          <w:tcPr>
            <w:tcW w:w="2385" w:type="dxa"/>
            <w:shd w:val="clear" w:color="auto" w:fill="auto"/>
          </w:tcPr>
          <w:p w14:paraId="284E3286" w14:textId="77777777" w:rsidR="00584F44" w:rsidRDefault="00584F44" w:rsidP="001B64BC">
            <w:r w:rsidRPr="002B201C">
              <w:rPr>
                <w:color w:val="000000"/>
                <w:sz w:val="22"/>
                <w:szCs w:val="22"/>
                <w:lang w:val="hr-HR"/>
              </w:rPr>
              <w:t xml:space="preserve">Povremeno </w:t>
            </w:r>
          </w:p>
        </w:tc>
      </w:tr>
      <w:tr w:rsidR="00584F44" w:rsidRPr="001A5E19" w14:paraId="7C7FF670" w14:textId="77777777" w:rsidTr="00F47C20">
        <w:trPr>
          <w:trHeight w:val="140"/>
        </w:trPr>
        <w:tc>
          <w:tcPr>
            <w:tcW w:w="3420" w:type="dxa"/>
            <w:vMerge/>
          </w:tcPr>
          <w:p w14:paraId="06BAA381"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411F2E08" w14:textId="77777777" w:rsidR="00584F44" w:rsidRPr="001A5E19" w:rsidRDefault="00584F44" w:rsidP="001B64BC">
            <w:pPr>
              <w:widowControl w:val="0"/>
              <w:rPr>
                <w:color w:val="000000"/>
                <w:sz w:val="22"/>
                <w:szCs w:val="22"/>
                <w:lang w:val="hr-HR"/>
              </w:rPr>
            </w:pPr>
            <w:r w:rsidRPr="001A5E19">
              <w:rPr>
                <w:color w:val="000000"/>
                <w:sz w:val="22"/>
                <w:szCs w:val="22"/>
                <w:lang w:val="hr-HR"/>
              </w:rPr>
              <w:t>Angioedem*</w:t>
            </w:r>
          </w:p>
        </w:tc>
        <w:tc>
          <w:tcPr>
            <w:tcW w:w="2385" w:type="dxa"/>
            <w:shd w:val="clear" w:color="auto" w:fill="auto"/>
          </w:tcPr>
          <w:p w14:paraId="6435BC26" w14:textId="77777777" w:rsidR="00584F44" w:rsidRDefault="00584F44" w:rsidP="001B64BC">
            <w:r w:rsidRPr="002B201C">
              <w:rPr>
                <w:color w:val="000000"/>
                <w:sz w:val="22"/>
                <w:szCs w:val="22"/>
                <w:lang w:val="hr-HR"/>
              </w:rPr>
              <w:t xml:space="preserve">Povremeno </w:t>
            </w:r>
          </w:p>
        </w:tc>
      </w:tr>
      <w:tr w:rsidR="00584F44" w:rsidRPr="001A5E19" w14:paraId="0616EDF5" w14:textId="77777777" w:rsidTr="00F47C20">
        <w:trPr>
          <w:trHeight w:val="140"/>
        </w:trPr>
        <w:tc>
          <w:tcPr>
            <w:tcW w:w="3420" w:type="dxa"/>
            <w:vMerge w:val="restart"/>
          </w:tcPr>
          <w:p w14:paraId="541E1176" w14:textId="77777777" w:rsidR="00584F44" w:rsidRPr="001A5E19" w:rsidRDefault="00584F44" w:rsidP="001B64BC">
            <w:pPr>
              <w:keepNext/>
              <w:keepLines/>
              <w:widowControl w:val="0"/>
              <w:rPr>
                <w:b/>
                <w:sz w:val="22"/>
                <w:szCs w:val="22"/>
                <w:lang w:val="hr-HR"/>
              </w:rPr>
            </w:pPr>
            <w:r w:rsidRPr="001A5E19">
              <w:rPr>
                <w:b/>
                <w:sz w:val="22"/>
                <w:szCs w:val="22"/>
                <w:lang w:val="hr-HR"/>
              </w:rPr>
              <w:t xml:space="preserve">Poremećaji bubrega i </w:t>
            </w:r>
            <w:r>
              <w:rPr>
                <w:b/>
                <w:sz w:val="22"/>
                <w:szCs w:val="22"/>
                <w:lang w:val="hr-HR"/>
              </w:rPr>
              <w:t xml:space="preserve">urinarnih puteva </w:t>
            </w:r>
          </w:p>
        </w:tc>
        <w:tc>
          <w:tcPr>
            <w:tcW w:w="2700" w:type="dxa"/>
            <w:shd w:val="clear" w:color="auto" w:fill="auto"/>
            <w:vAlign w:val="center"/>
          </w:tcPr>
          <w:p w14:paraId="2090AF90" w14:textId="77777777" w:rsidR="00584F44" w:rsidRPr="001A5E19" w:rsidRDefault="00584F44" w:rsidP="001B64BC">
            <w:pPr>
              <w:widowControl w:val="0"/>
              <w:rPr>
                <w:color w:val="000000"/>
                <w:sz w:val="22"/>
                <w:szCs w:val="22"/>
                <w:lang w:val="hr-HR"/>
              </w:rPr>
            </w:pPr>
            <w:r w:rsidRPr="001A5E19">
              <w:rPr>
                <w:color w:val="000000"/>
                <w:sz w:val="22"/>
                <w:szCs w:val="22"/>
                <w:lang w:val="hr-HR"/>
              </w:rPr>
              <w:t>Oštećenje</w:t>
            </w:r>
            <w:r>
              <w:rPr>
                <w:color w:val="000000"/>
                <w:sz w:val="22"/>
                <w:szCs w:val="22"/>
                <w:lang w:val="hr-HR"/>
              </w:rPr>
              <w:t xml:space="preserve"> funkcije</w:t>
            </w:r>
            <w:r w:rsidRPr="001A5E19">
              <w:rPr>
                <w:color w:val="000000"/>
                <w:sz w:val="22"/>
                <w:szCs w:val="22"/>
                <w:lang w:val="hr-HR"/>
              </w:rPr>
              <w:t xml:space="preserve"> bubrega*</w:t>
            </w:r>
          </w:p>
        </w:tc>
        <w:tc>
          <w:tcPr>
            <w:tcW w:w="2385" w:type="dxa"/>
            <w:shd w:val="clear" w:color="auto" w:fill="auto"/>
            <w:vAlign w:val="center"/>
          </w:tcPr>
          <w:p w14:paraId="69ABFD07" w14:textId="77777777" w:rsidR="00584F44" w:rsidRPr="001A5E19" w:rsidRDefault="00584F44" w:rsidP="001B64BC">
            <w:pPr>
              <w:widowControl w:val="0"/>
              <w:rPr>
                <w:color w:val="000000"/>
                <w:sz w:val="22"/>
                <w:szCs w:val="22"/>
                <w:lang w:val="hr-HR"/>
              </w:rPr>
            </w:pPr>
            <w:r w:rsidRPr="001A5E19">
              <w:rPr>
                <w:color w:val="000000"/>
                <w:sz w:val="22"/>
                <w:szCs w:val="22"/>
                <w:lang w:val="hr-HR"/>
              </w:rPr>
              <w:t>V</w:t>
            </w:r>
            <w:r>
              <w:rPr>
                <w:color w:val="000000"/>
                <w:sz w:val="22"/>
                <w:szCs w:val="22"/>
                <w:lang w:val="hr-HR"/>
              </w:rPr>
              <w:t>eoma</w:t>
            </w:r>
            <w:r w:rsidRPr="001A5E19">
              <w:rPr>
                <w:color w:val="000000"/>
                <w:sz w:val="22"/>
                <w:szCs w:val="22"/>
                <w:lang w:val="hr-HR"/>
              </w:rPr>
              <w:t xml:space="preserve"> često</w:t>
            </w:r>
          </w:p>
        </w:tc>
      </w:tr>
      <w:tr w:rsidR="00584F44" w:rsidRPr="001A5E19" w14:paraId="23FB4A42" w14:textId="77777777" w:rsidTr="00F47C20">
        <w:trPr>
          <w:trHeight w:val="140"/>
        </w:trPr>
        <w:tc>
          <w:tcPr>
            <w:tcW w:w="3420" w:type="dxa"/>
            <w:vMerge/>
          </w:tcPr>
          <w:p w14:paraId="38B37F82"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592F7E35" w14:textId="77777777" w:rsidR="00584F44" w:rsidRPr="001A5E19" w:rsidRDefault="00584F44" w:rsidP="001B64BC">
            <w:pPr>
              <w:widowControl w:val="0"/>
              <w:rPr>
                <w:color w:val="000000"/>
                <w:sz w:val="22"/>
                <w:szCs w:val="22"/>
                <w:lang w:val="hr-HR"/>
              </w:rPr>
            </w:pPr>
            <w:r>
              <w:rPr>
                <w:color w:val="000000"/>
                <w:sz w:val="22"/>
                <w:szCs w:val="22"/>
                <w:lang w:val="hr-HR"/>
              </w:rPr>
              <w:t xml:space="preserve">Insuficijencija </w:t>
            </w:r>
            <w:r w:rsidRPr="001A5E19">
              <w:rPr>
                <w:color w:val="000000"/>
                <w:sz w:val="22"/>
                <w:szCs w:val="22"/>
                <w:lang w:val="hr-HR"/>
              </w:rPr>
              <w:t>bubrega (</w:t>
            </w:r>
            <w:r>
              <w:rPr>
                <w:color w:val="000000"/>
                <w:sz w:val="22"/>
                <w:szCs w:val="22"/>
                <w:lang w:val="hr-HR"/>
              </w:rPr>
              <w:t>insuficijencija</w:t>
            </w:r>
            <w:r w:rsidRPr="001A5E19">
              <w:rPr>
                <w:color w:val="000000"/>
                <w:sz w:val="22"/>
                <w:szCs w:val="22"/>
                <w:lang w:val="hr-HR"/>
              </w:rPr>
              <w:t xml:space="preserve"> bubrega, akutn</w:t>
            </w:r>
            <w:r>
              <w:rPr>
                <w:color w:val="000000"/>
                <w:sz w:val="22"/>
                <w:szCs w:val="22"/>
                <w:lang w:val="hr-HR"/>
              </w:rPr>
              <w:t>a</w:t>
            </w:r>
            <w:r w:rsidRPr="001A5E19">
              <w:rPr>
                <w:color w:val="000000"/>
                <w:sz w:val="22"/>
                <w:szCs w:val="22"/>
                <w:lang w:val="hr-HR"/>
              </w:rPr>
              <w:t xml:space="preserve"> </w:t>
            </w:r>
            <w:r>
              <w:rPr>
                <w:color w:val="000000"/>
                <w:sz w:val="22"/>
                <w:szCs w:val="22"/>
                <w:lang w:val="hr-HR"/>
              </w:rPr>
              <w:t>insuficijencija</w:t>
            </w:r>
            <w:r w:rsidRPr="001A5E19">
              <w:rPr>
                <w:color w:val="000000"/>
                <w:sz w:val="22"/>
                <w:szCs w:val="22"/>
                <w:lang w:val="hr-HR"/>
              </w:rPr>
              <w:t xml:space="preserve"> bubrega)</w:t>
            </w:r>
          </w:p>
        </w:tc>
        <w:tc>
          <w:tcPr>
            <w:tcW w:w="2385" w:type="dxa"/>
            <w:shd w:val="clear" w:color="auto" w:fill="auto"/>
            <w:vAlign w:val="center"/>
          </w:tcPr>
          <w:p w14:paraId="0E09AB3F"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4C80FE71" w14:textId="77777777" w:rsidTr="00F47C20">
        <w:trPr>
          <w:trHeight w:val="140"/>
        </w:trPr>
        <w:tc>
          <w:tcPr>
            <w:tcW w:w="3420" w:type="dxa"/>
            <w:vMerge w:val="restart"/>
          </w:tcPr>
          <w:p w14:paraId="7A5C8C8E" w14:textId="77777777" w:rsidR="00584F44" w:rsidRPr="001A5E19" w:rsidRDefault="00584F44" w:rsidP="001B64BC">
            <w:pPr>
              <w:keepNext/>
              <w:keepLines/>
              <w:widowControl w:val="0"/>
              <w:rPr>
                <w:b/>
                <w:sz w:val="22"/>
                <w:szCs w:val="22"/>
                <w:lang w:val="hr-HR"/>
              </w:rPr>
            </w:pPr>
            <w:r w:rsidRPr="00CB61F3">
              <w:rPr>
                <w:b/>
                <w:sz w:val="22"/>
                <w:szCs w:val="22"/>
                <w:lang w:val="hr-HR"/>
              </w:rPr>
              <w:t>Opšti poremećaji</w:t>
            </w:r>
            <w:r>
              <w:rPr>
                <w:b/>
                <w:sz w:val="22"/>
                <w:szCs w:val="22"/>
                <w:lang w:val="hr-HR"/>
              </w:rPr>
              <w:t xml:space="preserve"> i</w:t>
            </w:r>
            <w:r w:rsidRPr="00CB61F3">
              <w:rPr>
                <w:b/>
                <w:sz w:val="22"/>
                <w:szCs w:val="22"/>
                <w:lang w:val="hr-HR"/>
              </w:rPr>
              <w:t xml:space="preserve"> stanja na m</w:t>
            </w:r>
            <w:r>
              <w:rPr>
                <w:b/>
                <w:sz w:val="22"/>
                <w:szCs w:val="22"/>
                <w:lang w:val="hr-HR"/>
              </w:rPr>
              <w:t>j</w:t>
            </w:r>
            <w:r w:rsidRPr="00CB61F3">
              <w:rPr>
                <w:b/>
                <w:sz w:val="22"/>
                <w:szCs w:val="22"/>
                <w:lang w:val="hr-HR"/>
              </w:rPr>
              <w:t xml:space="preserve">estu </w:t>
            </w:r>
            <w:r>
              <w:rPr>
                <w:b/>
                <w:sz w:val="22"/>
                <w:szCs w:val="22"/>
                <w:lang w:val="hr-HR"/>
              </w:rPr>
              <w:t>primjen</w:t>
            </w:r>
            <w:r w:rsidRPr="00CB61F3">
              <w:rPr>
                <w:b/>
                <w:sz w:val="22"/>
                <w:szCs w:val="22"/>
                <w:lang w:val="hr-HR"/>
              </w:rPr>
              <w:t>e</w:t>
            </w:r>
          </w:p>
        </w:tc>
        <w:tc>
          <w:tcPr>
            <w:tcW w:w="2700" w:type="dxa"/>
            <w:shd w:val="clear" w:color="auto" w:fill="auto"/>
            <w:vAlign w:val="center"/>
          </w:tcPr>
          <w:p w14:paraId="4B8927D6" w14:textId="77777777" w:rsidR="00584F44" w:rsidRPr="001A5E19" w:rsidRDefault="00584F44" w:rsidP="001B64BC">
            <w:pPr>
              <w:widowControl w:val="0"/>
              <w:rPr>
                <w:color w:val="000000"/>
                <w:sz w:val="22"/>
                <w:szCs w:val="22"/>
                <w:lang w:val="hr-HR"/>
              </w:rPr>
            </w:pPr>
            <w:r w:rsidRPr="001A5E19">
              <w:rPr>
                <w:color w:val="000000"/>
                <w:sz w:val="22"/>
                <w:szCs w:val="22"/>
                <w:lang w:val="hr-HR"/>
              </w:rPr>
              <w:t>Umor</w:t>
            </w:r>
          </w:p>
        </w:tc>
        <w:tc>
          <w:tcPr>
            <w:tcW w:w="2385" w:type="dxa"/>
            <w:shd w:val="clear" w:color="auto" w:fill="auto"/>
            <w:vAlign w:val="center"/>
          </w:tcPr>
          <w:p w14:paraId="67CA0725"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r w:rsidR="00584F44" w:rsidRPr="001A5E19" w14:paraId="48047238" w14:textId="77777777" w:rsidTr="00F47C20">
        <w:trPr>
          <w:trHeight w:val="140"/>
        </w:trPr>
        <w:tc>
          <w:tcPr>
            <w:tcW w:w="3420" w:type="dxa"/>
            <w:vMerge/>
          </w:tcPr>
          <w:p w14:paraId="0BAE1364" w14:textId="77777777" w:rsidR="00584F44" w:rsidRPr="001A5E19" w:rsidRDefault="00584F44" w:rsidP="001B64BC">
            <w:pPr>
              <w:keepNext/>
              <w:keepLines/>
              <w:widowControl w:val="0"/>
              <w:rPr>
                <w:b/>
                <w:sz w:val="22"/>
                <w:szCs w:val="22"/>
                <w:lang w:val="hr-HR"/>
              </w:rPr>
            </w:pPr>
          </w:p>
        </w:tc>
        <w:tc>
          <w:tcPr>
            <w:tcW w:w="2700" w:type="dxa"/>
            <w:shd w:val="clear" w:color="auto" w:fill="auto"/>
            <w:vAlign w:val="center"/>
          </w:tcPr>
          <w:p w14:paraId="302A8ABE" w14:textId="77777777" w:rsidR="00584F44" w:rsidRPr="001A5E19" w:rsidRDefault="00584F44" w:rsidP="001B64BC">
            <w:pPr>
              <w:widowControl w:val="0"/>
              <w:rPr>
                <w:color w:val="000000"/>
                <w:sz w:val="22"/>
                <w:szCs w:val="22"/>
                <w:lang w:val="hr-HR"/>
              </w:rPr>
            </w:pPr>
            <w:r w:rsidRPr="001A5E19">
              <w:rPr>
                <w:color w:val="000000"/>
                <w:sz w:val="22"/>
                <w:szCs w:val="22"/>
                <w:lang w:val="hr-HR"/>
              </w:rPr>
              <w:t>Astenija</w:t>
            </w:r>
          </w:p>
        </w:tc>
        <w:tc>
          <w:tcPr>
            <w:tcW w:w="2385" w:type="dxa"/>
            <w:shd w:val="clear" w:color="auto" w:fill="auto"/>
            <w:vAlign w:val="center"/>
          </w:tcPr>
          <w:p w14:paraId="6B196354" w14:textId="77777777" w:rsidR="00584F44" w:rsidRPr="001A5E19" w:rsidRDefault="00584F44" w:rsidP="001B64BC">
            <w:pPr>
              <w:widowControl w:val="0"/>
              <w:rPr>
                <w:color w:val="000000"/>
                <w:sz w:val="22"/>
                <w:szCs w:val="22"/>
                <w:lang w:val="hr-HR"/>
              </w:rPr>
            </w:pPr>
            <w:r w:rsidRPr="001A5E19">
              <w:rPr>
                <w:color w:val="000000"/>
                <w:sz w:val="22"/>
                <w:szCs w:val="22"/>
                <w:lang w:val="hr-HR"/>
              </w:rPr>
              <w:t>Često</w:t>
            </w:r>
          </w:p>
        </w:tc>
      </w:tr>
    </w:tbl>
    <w:p w14:paraId="6D9EACFA" w14:textId="77777777" w:rsidR="00B96A91" w:rsidRPr="002F5B81" w:rsidRDefault="00B96A91" w:rsidP="001B64BC">
      <w:pPr>
        <w:widowControl w:val="0"/>
        <w:outlineLvl w:val="0"/>
        <w:rPr>
          <w:sz w:val="20"/>
          <w:szCs w:val="20"/>
          <w:lang w:val="hr-HR"/>
        </w:rPr>
      </w:pPr>
    </w:p>
    <w:p w14:paraId="7B5EDC77" w14:textId="4FE0E2FC" w:rsidR="00B96A91" w:rsidRPr="002F5B81" w:rsidRDefault="00B96A91" w:rsidP="001B64BC">
      <w:pPr>
        <w:widowControl w:val="0"/>
        <w:outlineLvl w:val="0"/>
        <w:rPr>
          <w:sz w:val="20"/>
          <w:szCs w:val="20"/>
          <w:lang w:val="hr-HR"/>
        </w:rPr>
      </w:pPr>
      <w:r w:rsidRPr="002F5B81">
        <w:rPr>
          <w:sz w:val="20"/>
          <w:szCs w:val="20"/>
          <w:lang w:val="hr-HR"/>
        </w:rPr>
        <w:t>*Vidjeti opis odabranih neželjenih dejstava.</w:t>
      </w:r>
    </w:p>
    <w:p w14:paraId="6963C7B5" w14:textId="77777777" w:rsidR="003E1FEA" w:rsidRPr="002F5B81" w:rsidRDefault="003E1FEA" w:rsidP="001B64BC">
      <w:pPr>
        <w:outlineLvl w:val="0"/>
        <w:rPr>
          <w:sz w:val="20"/>
          <w:szCs w:val="20"/>
          <w:lang w:val="hr-HR"/>
        </w:rPr>
      </w:pPr>
      <w:r w:rsidRPr="002F5B81">
        <w:rPr>
          <w:sz w:val="20"/>
          <w:szCs w:val="20"/>
          <w:lang w:val="hr-HR"/>
        </w:rPr>
        <w:t>**Uključujući slušne i vizuelne halucinacije</w:t>
      </w:r>
    </w:p>
    <w:p w14:paraId="013CC5EF" w14:textId="77777777" w:rsidR="00B96A91" w:rsidRPr="001A5E19" w:rsidRDefault="00B96A91" w:rsidP="001B64BC">
      <w:pPr>
        <w:widowControl w:val="0"/>
        <w:jc w:val="both"/>
        <w:outlineLvl w:val="0"/>
        <w:rPr>
          <w:sz w:val="22"/>
          <w:szCs w:val="22"/>
          <w:lang w:val="hr-HR"/>
        </w:rPr>
      </w:pPr>
    </w:p>
    <w:p w14:paraId="13820951" w14:textId="77777777" w:rsidR="00B96A91" w:rsidRPr="001A5E19" w:rsidRDefault="00B96A91" w:rsidP="001B64BC">
      <w:pPr>
        <w:keepNext/>
        <w:widowControl w:val="0"/>
        <w:jc w:val="both"/>
        <w:outlineLvl w:val="0"/>
        <w:rPr>
          <w:sz w:val="22"/>
          <w:szCs w:val="22"/>
          <w:u w:val="single"/>
          <w:lang w:val="hr-HR"/>
        </w:rPr>
      </w:pPr>
      <w:r w:rsidRPr="001A5E19">
        <w:rPr>
          <w:sz w:val="22"/>
          <w:szCs w:val="22"/>
          <w:u w:val="single"/>
          <w:lang w:val="hr-HR"/>
        </w:rPr>
        <w:t>Opis odabranih n</w:t>
      </w:r>
      <w:r>
        <w:rPr>
          <w:sz w:val="22"/>
          <w:szCs w:val="22"/>
          <w:u w:val="single"/>
          <w:lang w:val="hr-HR"/>
        </w:rPr>
        <w:t>eželjenih dejstava</w:t>
      </w:r>
    </w:p>
    <w:p w14:paraId="7EAC1156" w14:textId="77777777" w:rsidR="00B96A91" w:rsidRPr="001A5E19" w:rsidRDefault="00B96A91" w:rsidP="001B64BC">
      <w:pPr>
        <w:keepNext/>
        <w:widowControl w:val="0"/>
        <w:jc w:val="both"/>
        <w:outlineLvl w:val="0"/>
        <w:rPr>
          <w:sz w:val="22"/>
          <w:szCs w:val="22"/>
          <w:lang w:val="hr-HR"/>
        </w:rPr>
      </w:pPr>
    </w:p>
    <w:p w14:paraId="2A21FC54" w14:textId="77777777" w:rsidR="00B96A91" w:rsidRPr="00AB63CB" w:rsidRDefault="00B96A91" w:rsidP="001B64BC">
      <w:pPr>
        <w:keepNext/>
        <w:widowControl w:val="0"/>
        <w:jc w:val="both"/>
        <w:outlineLvl w:val="0"/>
        <w:rPr>
          <w:i/>
          <w:sz w:val="22"/>
          <w:szCs w:val="22"/>
          <w:u w:val="single"/>
          <w:lang w:val="hr-HR"/>
        </w:rPr>
      </w:pPr>
      <w:r w:rsidRPr="00AB63CB">
        <w:rPr>
          <w:i/>
          <w:sz w:val="22"/>
          <w:szCs w:val="22"/>
          <w:u w:val="single"/>
          <w:lang w:val="hr-HR"/>
        </w:rPr>
        <w:t>Angioedem</w:t>
      </w:r>
    </w:p>
    <w:p w14:paraId="74D9E9EB" w14:textId="5AFCDBB7" w:rsidR="00B96A91" w:rsidRPr="000B657F" w:rsidRDefault="00B96A91" w:rsidP="001B64BC">
      <w:pPr>
        <w:widowControl w:val="0"/>
        <w:jc w:val="both"/>
        <w:outlineLvl w:val="0"/>
        <w:rPr>
          <w:sz w:val="22"/>
          <w:szCs w:val="22"/>
          <w:lang w:val="hr-HR"/>
        </w:rPr>
      </w:pPr>
      <w:r w:rsidRPr="001A5E19">
        <w:rPr>
          <w:sz w:val="22"/>
          <w:szCs w:val="22"/>
          <w:lang w:val="hr-HR"/>
        </w:rPr>
        <w:t xml:space="preserve">Angioedem je prijavljen </w:t>
      </w:r>
      <w:r>
        <w:rPr>
          <w:sz w:val="22"/>
          <w:szCs w:val="22"/>
          <w:lang w:val="hr-HR"/>
        </w:rPr>
        <w:t>kod pacijenata</w:t>
      </w:r>
      <w:r w:rsidRPr="001A5E19">
        <w:rPr>
          <w:sz w:val="22"/>
          <w:szCs w:val="22"/>
          <w:lang w:val="hr-HR"/>
        </w:rPr>
        <w:t xml:space="preserve"> </w:t>
      </w:r>
      <w:r>
        <w:rPr>
          <w:sz w:val="22"/>
          <w:szCs w:val="22"/>
          <w:lang w:val="hr-HR"/>
        </w:rPr>
        <w:t>liječ</w:t>
      </w:r>
      <w:r w:rsidRPr="001A5E19">
        <w:rPr>
          <w:sz w:val="22"/>
          <w:szCs w:val="22"/>
          <w:lang w:val="hr-HR"/>
        </w:rPr>
        <w:t>enih</w:t>
      </w:r>
      <w:r>
        <w:rPr>
          <w:sz w:val="22"/>
          <w:szCs w:val="22"/>
          <w:lang w:val="hr-HR"/>
        </w:rPr>
        <w:t xml:space="preserve"> </w:t>
      </w:r>
      <w:r>
        <w:rPr>
          <w:bCs/>
          <w:sz w:val="22"/>
          <w:szCs w:val="20"/>
          <w:lang w:val="hr-HR"/>
        </w:rPr>
        <w:t>valsartan/sakubitril</w:t>
      </w:r>
      <w:r w:rsidRPr="001A5E19">
        <w:rPr>
          <w:sz w:val="22"/>
          <w:szCs w:val="22"/>
          <w:lang w:val="hr-HR"/>
        </w:rPr>
        <w:t xml:space="preserve">. U </w:t>
      </w:r>
      <w:r>
        <w:rPr>
          <w:sz w:val="22"/>
          <w:szCs w:val="22"/>
          <w:lang w:val="hr-HR"/>
        </w:rPr>
        <w:t xml:space="preserve">studiji PARADIGM-HF, </w:t>
      </w:r>
      <w:r w:rsidRPr="001A5E19">
        <w:rPr>
          <w:sz w:val="22"/>
          <w:szCs w:val="22"/>
          <w:lang w:val="hr-HR"/>
        </w:rPr>
        <w:t xml:space="preserve">angioedem je bio </w:t>
      </w:r>
      <w:r>
        <w:rPr>
          <w:sz w:val="22"/>
          <w:szCs w:val="22"/>
          <w:lang w:val="hr-HR"/>
        </w:rPr>
        <w:t>prijavljen kod</w:t>
      </w:r>
      <w:r w:rsidRPr="001A5E19">
        <w:rPr>
          <w:sz w:val="22"/>
          <w:szCs w:val="22"/>
          <w:lang w:val="hr-HR"/>
        </w:rPr>
        <w:t xml:space="preserve"> 0,5% </w:t>
      </w:r>
      <w:r>
        <w:rPr>
          <w:sz w:val="22"/>
          <w:szCs w:val="22"/>
          <w:lang w:val="hr-HR"/>
        </w:rPr>
        <w:t>pacijenata</w:t>
      </w:r>
      <w:r w:rsidRPr="001A5E19">
        <w:rPr>
          <w:sz w:val="22"/>
          <w:szCs w:val="22"/>
          <w:lang w:val="hr-HR"/>
        </w:rPr>
        <w:t xml:space="preserve"> </w:t>
      </w:r>
      <w:r>
        <w:rPr>
          <w:sz w:val="22"/>
          <w:szCs w:val="22"/>
          <w:lang w:val="hr-HR"/>
        </w:rPr>
        <w:t>liječ</w:t>
      </w:r>
      <w:r w:rsidRPr="001A5E19">
        <w:rPr>
          <w:sz w:val="22"/>
          <w:szCs w:val="22"/>
          <w:lang w:val="hr-HR"/>
        </w:rPr>
        <w:t>enih</w:t>
      </w:r>
      <w:r>
        <w:rPr>
          <w:sz w:val="22"/>
          <w:szCs w:val="22"/>
          <w:lang w:val="hr-HR"/>
        </w:rPr>
        <w:t xml:space="preserve"> </w:t>
      </w:r>
      <w:r>
        <w:rPr>
          <w:bCs/>
          <w:sz w:val="22"/>
          <w:szCs w:val="20"/>
          <w:lang w:val="hr-HR"/>
        </w:rPr>
        <w:t>valsartan/sakubitril</w:t>
      </w:r>
      <w:r w:rsidRPr="001A5E19">
        <w:rPr>
          <w:sz w:val="22"/>
          <w:szCs w:val="22"/>
          <w:lang w:val="hr-HR"/>
        </w:rPr>
        <w:t xml:space="preserve">, u </w:t>
      </w:r>
      <w:r>
        <w:rPr>
          <w:sz w:val="22"/>
          <w:szCs w:val="22"/>
          <w:lang w:val="hr-HR"/>
        </w:rPr>
        <w:t xml:space="preserve">poređenju </w:t>
      </w:r>
      <w:r w:rsidRPr="001A5E19">
        <w:rPr>
          <w:sz w:val="22"/>
          <w:szCs w:val="22"/>
          <w:lang w:val="hr-HR"/>
        </w:rPr>
        <w:t>s</w:t>
      </w:r>
      <w:r>
        <w:rPr>
          <w:sz w:val="22"/>
          <w:szCs w:val="22"/>
          <w:lang w:val="hr-HR"/>
        </w:rPr>
        <w:t>a</w:t>
      </w:r>
      <w:r w:rsidRPr="001A5E19">
        <w:rPr>
          <w:sz w:val="22"/>
          <w:szCs w:val="22"/>
          <w:lang w:val="hr-HR"/>
        </w:rPr>
        <w:t xml:space="preserve"> 0,2% </w:t>
      </w:r>
      <w:r>
        <w:rPr>
          <w:sz w:val="22"/>
          <w:szCs w:val="22"/>
          <w:lang w:val="hr-HR"/>
        </w:rPr>
        <w:t>pacijenata</w:t>
      </w:r>
      <w:r w:rsidRPr="001A5E19">
        <w:rPr>
          <w:sz w:val="22"/>
          <w:szCs w:val="22"/>
          <w:lang w:val="hr-HR"/>
        </w:rPr>
        <w:t xml:space="preserve"> </w:t>
      </w:r>
      <w:r>
        <w:rPr>
          <w:sz w:val="22"/>
          <w:szCs w:val="22"/>
          <w:lang w:val="hr-HR"/>
        </w:rPr>
        <w:t>liječ</w:t>
      </w:r>
      <w:r w:rsidRPr="001A5E19">
        <w:rPr>
          <w:sz w:val="22"/>
          <w:szCs w:val="22"/>
          <w:lang w:val="hr-HR"/>
        </w:rPr>
        <w:t xml:space="preserve">enih enalaprilom. Viša incidenca angioedema bila je uočena </w:t>
      </w:r>
      <w:r>
        <w:rPr>
          <w:sz w:val="22"/>
          <w:szCs w:val="22"/>
          <w:lang w:val="hr-HR"/>
        </w:rPr>
        <w:t>kod</w:t>
      </w:r>
      <w:r w:rsidRPr="001A5E19">
        <w:rPr>
          <w:sz w:val="22"/>
          <w:szCs w:val="22"/>
          <w:lang w:val="hr-HR"/>
        </w:rPr>
        <w:t xml:space="preserve"> </w:t>
      </w:r>
      <w:r>
        <w:rPr>
          <w:sz w:val="22"/>
          <w:szCs w:val="22"/>
          <w:lang w:val="hr-HR"/>
        </w:rPr>
        <w:t>pacijenata</w:t>
      </w:r>
      <w:r w:rsidRPr="001A5E19">
        <w:rPr>
          <w:sz w:val="22"/>
          <w:szCs w:val="22"/>
          <w:lang w:val="hr-HR"/>
        </w:rPr>
        <w:t xml:space="preserve"> crne rase </w:t>
      </w:r>
      <w:r>
        <w:rPr>
          <w:sz w:val="22"/>
          <w:szCs w:val="22"/>
          <w:lang w:val="hr-HR"/>
        </w:rPr>
        <w:t>liječ</w:t>
      </w:r>
      <w:r w:rsidRPr="001A5E19">
        <w:rPr>
          <w:sz w:val="22"/>
          <w:szCs w:val="22"/>
          <w:lang w:val="hr-HR"/>
        </w:rPr>
        <w:t>enih</w:t>
      </w:r>
      <w:r>
        <w:rPr>
          <w:sz w:val="22"/>
          <w:szCs w:val="22"/>
          <w:lang w:val="hr-HR"/>
        </w:rPr>
        <w:t xml:space="preserve"> </w:t>
      </w:r>
      <w:r>
        <w:rPr>
          <w:bCs/>
          <w:sz w:val="22"/>
          <w:szCs w:val="20"/>
          <w:lang w:val="hr-HR"/>
        </w:rPr>
        <w:t>valsartan/sakubitril</w:t>
      </w:r>
      <w:r w:rsidRPr="001A5E19">
        <w:rPr>
          <w:sz w:val="22"/>
          <w:szCs w:val="22"/>
          <w:lang w:val="hr-HR"/>
        </w:rPr>
        <w:t xml:space="preserve"> (2,4%) i enalaprilom (0,5%) (</w:t>
      </w:r>
      <w:r>
        <w:rPr>
          <w:sz w:val="22"/>
          <w:szCs w:val="22"/>
          <w:lang w:val="hr-HR"/>
        </w:rPr>
        <w:t>vidjeti</w:t>
      </w:r>
      <w:r w:rsidRPr="001A5E19">
        <w:rPr>
          <w:sz w:val="22"/>
          <w:szCs w:val="22"/>
          <w:lang w:val="hr-HR"/>
        </w:rPr>
        <w:t xml:space="preserve"> </w:t>
      </w:r>
      <w:r w:rsidR="009A0E5A">
        <w:rPr>
          <w:sz w:val="22"/>
          <w:szCs w:val="22"/>
          <w:lang w:val="hr-HR"/>
        </w:rPr>
        <w:t>dio</w:t>
      </w:r>
      <w:r w:rsidR="009A0E5A" w:rsidRPr="000B657F">
        <w:rPr>
          <w:sz w:val="22"/>
          <w:szCs w:val="22"/>
          <w:lang w:val="hr-HR"/>
        </w:rPr>
        <w:t> </w:t>
      </w:r>
      <w:r w:rsidRPr="000B657F">
        <w:rPr>
          <w:sz w:val="22"/>
          <w:szCs w:val="22"/>
          <w:lang w:val="hr-HR"/>
        </w:rPr>
        <w:t>4.4).</w:t>
      </w:r>
    </w:p>
    <w:p w14:paraId="66EFE08B" w14:textId="77777777" w:rsidR="00B96A91" w:rsidRPr="001A5E19" w:rsidRDefault="00B96A91" w:rsidP="001B64BC">
      <w:pPr>
        <w:widowControl w:val="0"/>
        <w:autoSpaceDE w:val="0"/>
        <w:autoSpaceDN w:val="0"/>
        <w:adjustRightInd w:val="0"/>
        <w:jc w:val="both"/>
        <w:rPr>
          <w:sz w:val="22"/>
          <w:szCs w:val="22"/>
          <w:lang w:val="hr-HR"/>
        </w:rPr>
      </w:pPr>
    </w:p>
    <w:p w14:paraId="1B861E39" w14:textId="77777777" w:rsidR="00B96A91" w:rsidRPr="00AB63CB" w:rsidRDefault="00B96A91" w:rsidP="001B64BC">
      <w:pPr>
        <w:keepNext/>
        <w:widowControl w:val="0"/>
        <w:autoSpaceDE w:val="0"/>
        <w:autoSpaceDN w:val="0"/>
        <w:adjustRightInd w:val="0"/>
        <w:jc w:val="both"/>
        <w:rPr>
          <w:sz w:val="22"/>
          <w:szCs w:val="22"/>
          <w:u w:val="single"/>
          <w:lang w:val="hr-HR"/>
        </w:rPr>
      </w:pPr>
      <w:r w:rsidRPr="00AB63CB">
        <w:rPr>
          <w:i/>
          <w:sz w:val="22"/>
          <w:szCs w:val="22"/>
          <w:u w:val="single"/>
          <w:lang w:val="hr-HR"/>
        </w:rPr>
        <w:t>Hiperkalijemija i kalijum u serumu</w:t>
      </w:r>
    </w:p>
    <w:p w14:paraId="03422F80" w14:textId="77777777" w:rsidR="00B96A91" w:rsidRPr="001A5E19" w:rsidRDefault="00B96A91" w:rsidP="001B64BC">
      <w:pPr>
        <w:widowControl w:val="0"/>
        <w:autoSpaceDE w:val="0"/>
        <w:autoSpaceDN w:val="0"/>
        <w:adjustRightInd w:val="0"/>
        <w:jc w:val="both"/>
        <w:rPr>
          <w:rFonts w:eastAsia="SimSun"/>
          <w:sz w:val="22"/>
          <w:szCs w:val="22"/>
          <w:lang w:val="hr-HR"/>
        </w:rPr>
      </w:pPr>
      <w:r w:rsidRPr="001A5E19">
        <w:rPr>
          <w:sz w:val="22"/>
          <w:szCs w:val="22"/>
          <w:lang w:val="hr-HR"/>
        </w:rPr>
        <w:t xml:space="preserve">U </w:t>
      </w:r>
      <w:r>
        <w:rPr>
          <w:sz w:val="22"/>
          <w:szCs w:val="22"/>
          <w:lang w:val="hr-HR"/>
        </w:rPr>
        <w:t>studiji</w:t>
      </w:r>
      <w:r w:rsidRPr="001A5E19">
        <w:rPr>
          <w:sz w:val="22"/>
          <w:szCs w:val="22"/>
          <w:lang w:val="hr-HR"/>
        </w:rPr>
        <w:t xml:space="preserve"> PARADIGM</w:t>
      </w:r>
      <w:r w:rsidRPr="001A5E19">
        <w:rPr>
          <w:sz w:val="22"/>
          <w:szCs w:val="22"/>
          <w:lang w:val="hr-HR"/>
        </w:rPr>
        <w:noBreakHyphen/>
        <w:t>HF, hiperkalijemija i koncentracije kalij</w:t>
      </w:r>
      <w:r>
        <w:rPr>
          <w:sz w:val="22"/>
          <w:szCs w:val="22"/>
          <w:lang w:val="hr-HR"/>
        </w:rPr>
        <w:t>um</w:t>
      </w:r>
      <w:r w:rsidRPr="001A5E19">
        <w:rPr>
          <w:sz w:val="22"/>
          <w:szCs w:val="22"/>
          <w:lang w:val="hr-HR"/>
        </w:rPr>
        <w:t>a u serumu</w:t>
      </w:r>
      <w:r w:rsidRPr="001A5E19">
        <w:rPr>
          <w:rFonts w:eastAsia="SimSun"/>
          <w:sz w:val="22"/>
          <w:szCs w:val="22"/>
          <w:lang w:val="hr-HR"/>
        </w:rPr>
        <w:t xml:space="preserve"> &gt;5</w:t>
      </w:r>
      <w:r>
        <w:rPr>
          <w:rFonts w:eastAsia="SimSun"/>
          <w:sz w:val="22"/>
          <w:szCs w:val="22"/>
          <w:lang w:val="hr-HR"/>
        </w:rPr>
        <w:t>,</w:t>
      </w:r>
      <w:r w:rsidRPr="001A5E19">
        <w:rPr>
          <w:rFonts w:eastAsia="SimSun"/>
          <w:sz w:val="22"/>
          <w:szCs w:val="22"/>
          <w:lang w:val="hr-HR"/>
        </w:rPr>
        <w:t>4 mmol/l</w:t>
      </w:r>
      <w:r w:rsidRPr="001A5E19">
        <w:rPr>
          <w:sz w:val="22"/>
          <w:szCs w:val="22"/>
          <w:lang w:val="hr-HR"/>
        </w:rPr>
        <w:t xml:space="preserve"> bile su prijavljene </w:t>
      </w:r>
      <w:r>
        <w:rPr>
          <w:sz w:val="22"/>
          <w:szCs w:val="22"/>
          <w:lang w:val="hr-HR"/>
        </w:rPr>
        <w:t>kod</w:t>
      </w:r>
      <w:r w:rsidRPr="001A5E19">
        <w:rPr>
          <w:sz w:val="22"/>
          <w:szCs w:val="22"/>
          <w:lang w:val="hr-HR"/>
        </w:rPr>
        <w:t xml:space="preserve"> 11,6%</w:t>
      </w:r>
      <w:r w:rsidRPr="001A5E19">
        <w:rPr>
          <w:rFonts w:eastAsia="SimSun"/>
          <w:sz w:val="22"/>
          <w:szCs w:val="22"/>
          <w:lang w:val="hr-HR"/>
        </w:rPr>
        <w:t xml:space="preserve"> i 19,7% </w:t>
      </w:r>
      <w:r>
        <w:rPr>
          <w:rFonts w:eastAsia="SimSun"/>
          <w:sz w:val="22"/>
          <w:szCs w:val="22"/>
          <w:lang w:val="hr-HR"/>
        </w:rPr>
        <w:t>pacijenata</w:t>
      </w:r>
      <w:r w:rsidRPr="001A5E19">
        <w:rPr>
          <w:rFonts w:eastAsia="SimSun"/>
          <w:sz w:val="22"/>
          <w:szCs w:val="22"/>
          <w:lang w:val="hr-HR"/>
        </w:rPr>
        <w:t xml:space="preserve"> </w:t>
      </w:r>
      <w:r>
        <w:rPr>
          <w:rFonts w:eastAsia="SimSun"/>
          <w:sz w:val="22"/>
          <w:szCs w:val="22"/>
          <w:lang w:val="hr-HR"/>
        </w:rPr>
        <w:t>liječ</w:t>
      </w:r>
      <w:r w:rsidRPr="001A5E19">
        <w:rPr>
          <w:rFonts w:eastAsia="SimSun"/>
          <w:sz w:val="22"/>
          <w:szCs w:val="22"/>
          <w:lang w:val="hr-HR"/>
        </w:rPr>
        <w:t>enih</w:t>
      </w:r>
      <w:r>
        <w:rPr>
          <w:rFonts w:eastAsia="SimSun"/>
          <w:sz w:val="22"/>
          <w:szCs w:val="22"/>
          <w:lang w:val="hr-HR"/>
        </w:rPr>
        <w:t xml:space="preserve"> </w:t>
      </w:r>
      <w:r>
        <w:rPr>
          <w:bCs/>
          <w:sz w:val="22"/>
          <w:szCs w:val="20"/>
          <w:lang w:val="hr-HR"/>
        </w:rPr>
        <w:t>valsartan/sakubitril</w:t>
      </w:r>
      <w:r w:rsidRPr="001A5E19">
        <w:rPr>
          <w:rFonts w:eastAsia="SimSun"/>
          <w:sz w:val="22"/>
          <w:szCs w:val="22"/>
          <w:lang w:val="hr-HR"/>
        </w:rPr>
        <w:t xml:space="preserve">, odnosno u 14,0% i 21,1% </w:t>
      </w:r>
      <w:r>
        <w:rPr>
          <w:rFonts w:eastAsia="SimSun"/>
          <w:sz w:val="22"/>
          <w:szCs w:val="22"/>
          <w:lang w:val="hr-HR"/>
        </w:rPr>
        <w:t>pacijenata</w:t>
      </w:r>
      <w:r w:rsidRPr="001A5E19">
        <w:rPr>
          <w:rFonts w:eastAsia="SimSun"/>
          <w:sz w:val="22"/>
          <w:szCs w:val="22"/>
          <w:lang w:val="hr-HR"/>
        </w:rPr>
        <w:t xml:space="preserve"> </w:t>
      </w:r>
      <w:r>
        <w:rPr>
          <w:rFonts w:eastAsia="SimSun"/>
          <w:sz w:val="22"/>
          <w:szCs w:val="22"/>
          <w:lang w:val="hr-HR"/>
        </w:rPr>
        <w:t>liječ</w:t>
      </w:r>
      <w:r w:rsidRPr="001A5E19">
        <w:rPr>
          <w:rFonts w:eastAsia="SimSun"/>
          <w:sz w:val="22"/>
          <w:szCs w:val="22"/>
          <w:lang w:val="hr-HR"/>
        </w:rPr>
        <w:t>enih enalaprilom.</w:t>
      </w:r>
    </w:p>
    <w:p w14:paraId="1D24FD38" w14:textId="77777777" w:rsidR="00B96A91" w:rsidRPr="001A5E19" w:rsidRDefault="00B96A91" w:rsidP="001B64BC">
      <w:pPr>
        <w:widowControl w:val="0"/>
        <w:autoSpaceDE w:val="0"/>
        <w:autoSpaceDN w:val="0"/>
        <w:adjustRightInd w:val="0"/>
        <w:jc w:val="both"/>
        <w:rPr>
          <w:rFonts w:eastAsia="SimSun"/>
          <w:sz w:val="22"/>
          <w:szCs w:val="22"/>
          <w:lang w:val="hr-HR"/>
        </w:rPr>
      </w:pPr>
    </w:p>
    <w:p w14:paraId="2F131E45" w14:textId="77777777" w:rsidR="00B96A91" w:rsidRPr="00AB63CB" w:rsidRDefault="00B96A91" w:rsidP="001B64BC">
      <w:pPr>
        <w:keepNext/>
        <w:widowControl w:val="0"/>
        <w:autoSpaceDE w:val="0"/>
        <w:autoSpaceDN w:val="0"/>
        <w:adjustRightInd w:val="0"/>
        <w:jc w:val="both"/>
        <w:rPr>
          <w:i/>
          <w:sz w:val="22"/>
          <w:szCs w:val="22"/>
          <w:u w:val="single"/>
          <w:lang w:val="hr-HR"/>
        </w:rPr>
      </w:pPr>
      <w:r w:rsidRPr="00AB63CB">
        <w:rPr>
          <w:i/>
          <w:sz w:val="22"/>
          <w:szCs w:val="22"/>
          <w:u w:val="single"/>
          <w:lang w:val="hr-HR"/>
        </w:rPr>
        <w:lastRenderedPageBreak/>
        <w:t>Krvni pritisak</w:t>
      </w:r>
    </w:p>
    <w:p w14:paraId="0B7D0E24" w14:textId="77777777" w:rsidR="00B96A91" w:rsidRPr="001A5E19" w:rsidRDefault="00B96A91" w:rsidP="001B64BC">
      <w:pPr>
        <w:widowControl w:val="0"/>
        <w:autoSpaceDE w:val="0"/>
        <w:autoSpaceDN w:val="0"/>
        <w:adjustRightInd w:val="0"/>
        <w:jc w:val="both"/>
        <w:rPr>
          <w:sz w:val="22"/>
          <w:szCs w:val="20"/>
          <w:lang w:val="hr-HR"/>
        </w:rPr>
      </w:pPr>
      <w:r w:rsidRPr="001A5E19">
        <w:rPr>
          <w:sz w:val="22"/>
          <w:szCs w:val="22"/>
          <w:lang w:val="hr-HR"/>
        </w:rPr>
        <w:t xml:space="preserve">U </w:t>
      </w:r>
      <w:r>
        <w:rPr>
          <w:sz w:val="22"/>
          <w:szCs w:val="22"/>
          <w:lang w:val="hr-HR"/>
        </w:rPr>
        <w:t>studiji</w:t>
      </w:r>
      <w:r w:rsidRPr="001A5E19">
        <w:rPr>
          <w:sz w:val="22"/>
          <w:szCs w:val="22"/>
          <w:lang w:val="hr-HR"/>
        </w:rPr>
        <w:t xml:space="preserve"> PARADIGM</w:t>
      </w:r>
      <w:r w:rsidRPr="001A5E19">
        <w:rPr>
          <w:sz w:val="22"/>
          <w:szCs w:val="22"/>
          <w:lang w:val="hr-HR"/>
        </w:rPr>
        <w:noBreakHyphen/>
        <w:t>HF, hipotenzija i klinički značajan ni</w:t>
      </w:r>
      <w:r>
        <w:rPr>
          <w:sz w:val="22"/>
          <w:szCs w:val="22"/>
          <w:lang w:val="hr-HR"/>
        </w:rPr>
        <w:t>zak</w:t>
      </w:r>
      <w:r w:rsidRPr="001A5E19">
        <w:rPr>
          <w:sz w:val="22"/>
          <w:szCs w:val="22"/>
          <w:lang w:val="hr-HR"/>
        </w:rPr>
        <w:t xml:space="preserve"> sistoli</w:t>
      </w:r>
      <w:r>
        <w:rPr>
          <w:sz w:val="22"/>
          <w:szCs w:val="22"/>
          <w:lang w:val="hr-HR"/>
        </w:rPr>
        <w:t xml:space="preserve">ni </w:t>
      </w:r>
      <w:r w:rsidRPr="001A5E19">
        <w:rPr>
          <w:sz w:val="22"/>
          <w:szCs w:val="22"/>
          <w:lang w:val="hr-HR"/>
        </w:rPr>
        <w:t xml:space="preserve">krvni </w:t>
      </w:r>
      <w:r>
        <w:rPr>
          <w:sz w:val="22"/>
          <w:szCs w:val="22"/>
          <w:lang w:val="hr-HR"/>
        </w:rPr>
        <w:t xml:space="preserve">pritisak </w:t>
      </w:r>
      <w:r w:rsidRPr="001A5E19">
        <w:rPr>
          <w:sz w:val="22"/>
          <w:szCs w:val="20"/>
          <w:lang w:val="hr-HR"/>
        </w:rPr>
        <w:t>(&lt;90</w:t>
      </w:r>
      <w:r>
        <w:rPr>
          <w:sz w:val="22"/>
          <w:szCs w:val="20"/>
          <w:lang w:val="hr-HR"/>
        </w:rPr>
        <w:t> mmHg i smanjenje od početne vrijednost</w:t>
      </w:r>
      <w:r w:rsidRPr="001A5E19">
        <w:rPr>
          <w:sz w:val="22"/>
          <w:szCs w:val="20"/>
          <w:lang w:val="hr-HR"/>
        </w:rPr>
        <w:t xml:space="preserve">i </w:t>
      </w:r>
      <w:r>
        <w:rPr>
          <w:sz w:val="22"/>
          <w:szCs w:val="20"/>
          <w:lang w:val="hr-HR"/>
        </w:rPr>
        <w:t xml:space="preserve">za </w:t>
      </w:r>
      <w:r w:rsidRPr="001A5E19">
        <w:rPr>
          <w:sz w:val="22"/>
          <w:szCs w:val="20"/>
          <w:lang w:val="hr-HR"/>
        </w:rPr>
        <w:t>&gt;20 mmHg)</w:t>
      </w:r>
      <w:r w:rsidRPr="001A5E19">
        <w:rPr>
          <w:sz w:val="22"/>
          <w:szCs w:val="22"/>
          <w:lang w:val="hr-HR"/>
        </w:rPr>
        <w:t xml:space="preserve"> bili su prijavljeni </w:t>
      </w:r>
      <w:r>
        <w:rPr>
          <w:sz w:val="22"/>
          <w:szCs w:val="22"/>
          <w:lang w:val="hr-HR"/>
        </w:rPr>
        <w:t>kod</w:t>
      </w:r>
      <w:r w:rsidRPr="001A5E19">
        <w:rPr>
          <w:sz w:val="22"/>
          <w:szCs w:val="20"/>
          <w:lang w:val="hr-HR"/>
        </w:rPr>
        <w:t xml:space="preserve"> 17,6% </w:t>
      </w:r>
      <w:r>
        <w:rPr>
          <w:sz w:val="22"/>
          <w:szCs w:val="20"/>
          <w:lang w:val="hr-HR"/>
        </w:rPr>
        <w:t>odnosno</w:t>
      </w:r>
      <w:r w:rsidRPr="001A5E19">
        <w:rPr>
          <w:sz w:val="22"/>
          <w:szCs w:val="20"/>
          <w:lang w:val="hr-HR"/>
        </w:rPr>
        <w:t xml:space="preserve"> 4,76% </w:t>
      </w:r>
      <w:r>
        <w:rPr>
          <w:rFonts w:eastAsia="SimSun"/>
          <w:sz w:val="22"/>
          <w:szCs w:val="22"/>
          <w:lang w:val="hr-HR"/>
        </w:rPr>
        <w:t>pacijenata</w:t>
      </w:r>
      <w:r w:rsidRPr="001A5E19">
        <w:rPr>
          <w:rFonts w:eastAsia="SimSun"/>
          <w:sz w:val="22"/>
          <w:szCs w:val="22"/>
          <w:lang w:val="hr-HR"/>
        </w:rPr>
        <w:t xml:space="preserve"> </w:t>
      </w:r>
      <w:r>
        <w:rPr>
          <w:rFonts w:eastAsia="SimSun"/>
          <w:sz w:val="22"/>
          <w:szCs w:val="22"/>
          <w:lang w:val="hr-HR"/>
        </w:rPr>
        <w:t>liječ</w:t>
      </w:r>
      <w:r w:rsidRPr="001A5E19">
        <w:rPr>
          <w:rFonts w:eastAsia="SimSun"/>
          <w:sz w:val="22"/>
          <w:szCs w:val="22"/>
          <w:lang w:val="hr-HR"/>
        </w:rPr>
        <w:t>enih</w:t>
      </w:r>
      <w:r>
        <w:rPr>
          <w:rFonts w:eastAsia="SimSun"/>
          <w:sz w:val="22"/>
          <w:szCs w:val="22"/>
          <w:lang w:val="hr-HR"/>
        </w:rPr>
        <w:t xml:space="preserve"> </w:t>
      </w:r>
      <w:r>
        <w:rPr>
          <w:bCs/>
          <w:sz w:val="22"/>
          <w:szCs w:val="20"/>
          <w:lang w:val="hr-HR"/>
        </w:rPr>
        <w:t>valsartan/sakubitril</w:t>
      </w:r>
      <w:r w:rsidRPr="001A5E19">
        <w:rPr>
          <w:rFonts w:eastAsia="SimSun"/>
          <w:sz w:val="22"/>
          <w:szCs w:val="22"/>
          <w:lang w:val="hr-HR"/>
        </w:rPr>
        <w:t xml:space="preserve">, </w:t>
      </w:r>
      <w:r>
        <w:rPr>
          <w:rFonts w:eastAsia="SimSun"/>
          <w:sz w:val="22"/>
          <w:szCs w:val="22"/>
          <w:lang w:val="hr-HR"/>
        </w:rPr>
        <w:t xml:space="preserve">u poređenju sa </w:t>
      </w:r>
      <w:r w:rsidRPr="001A5E19">
        <w:rPr>
          <w:rFonts w:eastAsia="SimSun"/>
          <w:sz w:val="22"/>
          <w:szCs w:val="22"/>
          <w:lang w:val="hr-HR"/>
        </w:rPr>
        <w:t xml:space="preserve">11,9% </w:t>
      </w:r>
      <w:r>
        <w:rPr>
          <w:rFonts w:eastAsia="SimSun"/>
          <w:sz w:val="22"/>
          <w:szCs w:val="22"/>
          <w:lang w:val="hr-HR"/>
        </w:rPr>
        <w:t>odnosno</w:t>
      </w:r>
      <w:r w:rsidRPr="001A5E19">
        <w:rPr>
          <w:rFonts w:eastAsia="SimSun"/>
          <w:sz w:val="22"/>
          <w:szCs w:val="22"/>
          <w:lang w:val="hr-HR"/>
        </w:rPr>
        <w:t xml:space="preserve"> 2,67% </w:t>
      </w:r>
      <w:r>
        <w:rPr>
          <w:rFonts w:eastAsia="SimSun"/>
          <w:sz w:val="22"/>
          <w:szCs w:val="22"/>
          <w:lang w:val="hr-HR"/>
        </w:rPr>
        <w:t>pacijenata</w:t>
      </w:r>
      <w:r w:rsidRPr="001A5E19">
        <w:rPr>
          <w:rFonts w:eastAsia="SimSun"/>
          <w:sz w:val="22"/>
          <w:szCs w:val="22"/>
          <w:lang w:val="hr-HR"/>
        </w:rPr>
        <w:t xml:space="preserve"> </w:t>
      </w:r>
      <w:r>
        <w:rPr>
          <w:rFonts w:eastAsia="SimSun"/>
          <w:sz w:val="22"/>
          <w:szCs w:val="22"/>
          <w:lang w:val="hr-HR"/>
        </w:rPr>
        <w:t>liječ</w:t>
      </w:r>
      <w:r w:rsidRPr="001A5E19">
        <w:rPr>
          <w:rFonts w:eastAsia="SimSun"/>
          <w:sz w:val="22"/>
          <w:szCs w:val="22"/>
          <w:lang w:val="hr-HR"/>
        </w:rPr>
        <w:t>enih enalaprilom.</w:t>
      </w:r>
    </w:p>
    <w:p w14:paraId="57944315" w14:textId="77777777" w:rsidR="00B96A91" w:rsidRPr="001A5E19" w:rsidRDefault="00B96A91" w:rsidP="001B64BC">
      <w:pPr>
        <w:widowControl w:val="0"/>
        <w:autoSpaceDE w:val="0"/>
        <w:autoSpaceDN w:val="0"/>
        <w:adjustRightInd w:val="0"/>
        <w:jc w:val="both"/>
        <w:rPr>
          <w:sz w:val="22"/>
          <w:szCs w:val="22"/>
          <w:lang w:val="hr-HR"/>
        </w:rPr>
      </w:pPr>
    </w:p>
    <w:p w14:paraId="6DDE6BD2" w14:textId="77777777" w:rsidR="00B96A91" w:rsidRPr="00AB63CB" w:rsidRDefault="00B96A91" w:rsidP="001B64BC">
      <w:pPr>
        <w:keepNext/>
        <w:widowControl w:val="0"/>
        <w:autoSpaceDE w:val="0"/>
        <w:autoSpaceDN w:val="0"/>
        <w:adjustRightInd w:val="0"/>
        <w:jc w:val="both"/>
        <w:rPr>
          <w:i/>
          <w:sz w:val="22"/>
          <w:szCs w:val="22"/>
          <w:u w:val="single"/>
          <w:lang w:val="hr-HR"/>
        </w:rPr>
      </w:pPr>
      <w:r w:rsidRPr="00AB63CB">
        <w:rPr>
          <w:i/>
          <w:sz w:val="22"/>
          <w:szCs w:val="22"/>
          <w:u w:val="single"/>
          <w:lang w:val="hr-HR"/>
        </w:rPr>
        <w:t>Oštećenje funkcije bubrega</w:t>
      </w:r>
    </w:p>
    <w:p w14:paraId="08DB4669" w14:textId="77777777" w:rsidR="00B96A91" w:rsidRPr="001A5E19" w:rsidRDefault="00B96A91" w:rsidP="001B64BC">
      <w:pPr>
        <w:widowControl w:val="0"/>
        <w:autoSpaceDE w:val="0"/>
        <w:autoSpaceDN w:val="0"/>
        <w:adjustRightInd w:val="0"/>
        <w:jc w:val="both"/>
        <w:rPr>
          <w:sz w:val="22"/>
          <w:szCs w:val="20"/>
          <w:lang w:val="hr-HR"/>
        </w:rPr>
      </w:pPr>
      <w:r w:rsidRPr="001A5E19">
        <w:rPr>
          <w:sz w:val="22"/>
          <w:szCs w:val="22"/>
          <w:lang w:val="hr-HR"/>
        </w:rPr>
        <w:t xml:space="preserve">U </w:t>
      </w:r>
      <w:r>
        <w:rPr>
          <w:sz w:val="22"/>
          <w:szCs w:val="22"/>
          <w:lang w:val="hr-HR"/>
        </w:rPr>
        <w:t>studiji</w:t>
      </w:r>
      <w:r w:rsidRPr="001A5E19">
        <w:rPr>
          <w:sz w:val="22"/>
          <w:szCs w:val="22"/>
          <w:lang w:val="hr-HR"/>
        </w:rPr>
        <w:t xml:space="preserve"> PARADIGM</w:t>
      </w:r>
      <w:r w:rsidRPr="001A5E19">
        <w:rPr>
          <w:sz w:val="22"/>
          <w:szCs w:val="22"/>
          <w:lang w:val="hr-HR"/>
        </w:rPr>
        <w:noBreakHyphen/>
        <w:t xml:space="preserve">HF, oštećenje </w:t>
      </w:r>
      <w:r>
        <w:rPr>
          <w:sz w:val="22"/>
          <w:szCs w:val="22"/>
          <w:lang w:val="hr-HR"/>
        </w:rPr>
        <w:t xml:space="preserve">funkcije </w:t>
      </w:r>
      <w:r w:rsidRPr="001A5E19">
        <w:rPr>
          <w:sz w:val="22"/>
          <w:szCs w:val="22"/>
          <w:lang w:val="hr-HR"/>
        </w:rPr>
        <w:t xml:space="preserve">bubrega je prijavljeno </w:t>
      </w:r>
      <w:r>
        <w:rPr>
          <w:sz w:val="22"/>
          <w:szCs w:val="22"/>
          <w:lang w:val="hr-HR"/>
        </w:rPr>
        <w:t>kod</w:t>
      </w:r>
      <w:r w:rsidRPr="001A5E19">
        <w:rPr>
          <w:sz w:val="22"/>
          <w:szCs w:val="22"/>
          <w:lang w:val="hr-HR"/>
        </w:rPr>
        <w:t xml:space="preserve"> 10,1% </w:t>
      </w:r>
      <w:r>
        <w:rPr>
          <w:rFonts w:eastAsia="SimSun"/>
          <w:sz w:val="22"/>
          <w:szCs w:val="22"/>
          <w:lang w:val="hr-HR"/>
        </w:rPr>
        <w:t>pacijenata</w:t>
      </w:r>
      <w:r w:rsidRPr="001A5E19">
        <w:rPr>
          <w:rFonts w:eastAsia="SimSun"/>
          <w:sz w:val="22"/>
          <w:szCs w:val="22"/>
          <w:lang w:val="hr-HR"/>
        </w:rPr>
        <w:t xml:space="preserve"> </w:t>
      </w:r>
      <w:r>
        <w:rPr>
          <w:rFonts w:eastAsia="SimSun"/>
          <w:sz w:val="22"/>
          <w:szCs w:val="22"/>
          <w:lang w:val="hr-HR"/>
        </w:rPr>
        <w:t>liječ</w:t>
      </w:r>
      <w:r w:rsidRPr="001A5E19">
        <w:rPr>
          <w:rFonts w:eastAsia="SimSun"/>
          <w:sz w:val="22"/>
          <w:szCs w:val="22"/>
          <w:lang w:val="hr-HR"/>
        </w:rPr>
        <w:t>enih</w:t>
      </w:r>
      <w:r>
        <w:rPr>
          <w:rFonts w:eastAsia="SimSun"/>
          <w:sz w:val="22"/>
          <w:szCs w:val="22"/>
          <w:lang w:val="hr-HR"/>
        </w:rPr>
        <w:t xml:space="preserve"> </w:t>
      </w:r>
      <w:r>
        <w:rPr>
          <w:bCs/>
          <w:sz w:val="22"/>
          <w:szCs w:val="20"/>
          <w:lang w:val="hr-HR"/>
        </w:rPr>
        <w:t>valsartan/sakubitril</w:t>
      </w:r>
      <w:r>
        <w:rPr>
          <w:rFonts w:eastAsia="SimSun"/>
          <w:sz w:val="22"/>
          <w:szCs w:val="22"/>
          <w:lang w:val="hr-HR"/>
        </w:rPr>
        <w:t xml:space="preserve"> i kod</w:t>
      </w:r>
      <w:r w:rsidRPr="001A5E19">
        <w:rPr>
          <w:rFonts w:eastAsia="SimSun"/>
          <w:sz w:val="22"/>
          <w:szCs w:val="22"/>
          <w:lang w:val="hr-HR"/>
        </w:rPr>
        <w:t xml:space="preserve"> </w:t>
      </w:r>
      <w:r w:rsidRPr="001A5E19">
        <w:rPr>
          <w:sz w:val="22"/>
          <w:szCs w:val="22"/>
          <w:lang w:val="hr-HR"/>
        </w:rPr>
        <w:t xml:space="preserve">11,5% </w:t>
      </w:r>
      <w:r>
        <w:rPr>
          <w:rFonts w:eastAsia="SimSun"/>
          <w:sz w:val="22"/>
          <w:szCs w:val="22"/>
          <w:lang w:val="hr-HR"/>
        </w:rPr>
        <w:t>pacijenata liječ</w:t>
      </w:r>
      <w:r w:rsidRPr="001A5E19">
        <w:rPr>
          <w:rFonts w:eastAsia="SimSun"/>
          <w:sz w:val="22"/>
          <w:szCs w:val="22"/>
          <w:lang w:val="hr-HR"/>
        </w:rPr>
        <w:t>enih enalaprilom</w:t>
      </w:r>
      <w:r w:rsidRPr="001A5E19">
        <w:rPr>
          <w:sz w:val="22"/>
          <w:szCs w:val="22"/>
          <w:lang w:val="hr-HR"/>
        </w:rPr>
        <w:t>.</w:t>
      </w:r>
    </w:p>
    <w:p w14:paraId="2CA93BDE" w14:textId="7CA3C18A" w:rsidR="00B96A91" w:rsidRDefault="00B96A91" w:rsidP="001B64BC">
      <w:pPr>
        <w:tabs>
          <w:tab w:val="left" w:pos="540"/>
          <w:tab w:val="left" w:pos="569"/>
        </w:tabs>
        <w:jc w:val="both"/>
        <w:rPr>
          <w:b/>
          <w:bCs/>
          <w:sz w:val="22"/>
          <w:szCs w:val="22"/>
        </w:rPr>
      </w:pPr>
    </w:p>
    <w:p w14:paraId="3EC8EBA9" w14:textId="77777777" w:rsidR="00B67A57" w:rsidRPr="00AB63CB" w:rsidRDefault="00B67A57" w:rsidP="001B64BC">
      <w:pPr>
        <w:jc w:val="both"/>
        <w:rPr>
          <w:sz w:val="22"/>
          <w:szCs w:val="20"/>
          <w:u w:val="single"/>
          <w:lang w:val="hr-HR"/>
        </w:rPr>
      </w:pPr>
      <w:r w:rsidRPr="00AB63CB">
        <w:rPr>
          <w:sz w:val="22"/>
          <w:szCs w:val="20"/>
          <w:u w:val="single"/>
          <w:lang w:val="hr-HR"/>
        </w:rPr>
        <w:t>Pedijatrijska populacija</w:t>
      </w:r>
    </w:p>
    <w:p w14:paraId="3D05954D" w14:textId="77777777" w:rsidR="00B67A57" w:rsidRPr="00AB63CB" w:rsidRDefault="00B67A57" w:rsidP="001B64BC">
      <w:pPr>
        <w:jc w:val="both"/>
        <w:rPr>
          <w:sz w:val="22"/>
          <w:szCs w:val="20"/>
          <w:u w:val="single"/>
          <w:lang w:val="hr-HR"/>
        </w:rPr>
      </w:pPr>
    </w:p>
    <w:p w14:paraId="1A3D7BD3" w14:textId="28C3EB8C" w:rsidR="00B67A57" w:rsidRPr="00AB63CB" w:rsidRDefault="00B67A57" w:rsidP="001B64BC">
      <w:pPr>
        <w:jc w:val="both"/>
        <w:rPr>
          <w:sz w:val="22"/>
          <w:szCs w:val="20"/>
          <w:lang w:val="hr-HR"/>
        </w:rPr>
      </w:pPr>
      <w:r w:rsidRPr="00AB63CB">
        <w:rPr>
          <w:sz w:val="22"/>
          <w:szCs w:val="20"/>
          <w:lang w:val="hr-HR"/>
        </w:rPr>
        <w:t>U studiji PANORAMA-HF, bezb</w:t>
      </w:r>
      <w:r w:rsidR="002637F8">
        <w:rPr>
          <w:sz w:val="22"/>
          <w:szCs w:val="20"/>
          <w:lang w:val="hr-HR"/>
        </w:rPr>
        <w:t>j</w:t>
      </w:r>
      <w:r w:rsidRPr="00AB63CB">
        <w:rPr>
          <w:sz w:val="22"/>
          <w:szCs w:val="20"/>
          <w:lang w:val="hr-HR"/>
        </w:rPr>
        <w:t>ednost valsartan/sakubitrila proc</w:t>
      </w:r>
      <w:r w:rsidR="002637F8">
        <w:rPr>
          <w:sz w:val="22"/>
          <w:szCs w:val="20"/>
          <w:lang w:val="hr-HR"/>
        </w:rPr>
        <w:t>j</w:t>
      </w:r>
      <w:r w:rsidRPr="00AB63CB">
        <w:rPr>
          <w:sz w:val="22"/>
          <w:szCs w:val="20"/>
          <w:lang w:val="hr-HR"/>
        </w:rPr>
        <w:t>enjivana je u randomizovanom, aktivno kontrolisanom, 52-ned</w:t>
      </w:r>
      <w:r w:rsidR="002637F8">
        <w:rPr>
          <w:sz w:val="22"/>
          <w:szCs w:val="20"/>
          <w:lang w:val="hr-HR"/>
        </w:rPr>
        <w:t>j</w:t>
      </w:r>
      <w:r w:rsidRPr="00AB63CB">
        <w:rPr>
          <w:sz w:val="22"/>
          <w:szCs w:val="20"/>
          <w:lang w:val="hr-HR"/>
        </w:rPr>
        <w:t xml:space="preserve">eljnom ispitivanju kod 375 pedijatrijskih pacijenata sa insuficijencijom srca (engl. </w:t>
      </w:r>
      <w:r w:rsidRPr="00AB63CB">
        <w:rPr>
          <w:i/>
          <w:sz w:val="22"/>
          <w:szCs w:val="20"/>
          <w:lang w:val="hr-HR"/>
        </w:rPr>
        <w:t>heart failure</w:t>
      </w:r>
      <w:r w:rsidRPr="00AB63CB">
        <w:rPr>
          <w:sz w:val="22"/>
          <w:szCs w:val="20"/>
          <w:lang w:val="hr-HR"/>
        </w:rPr>
        <w:t xml:space="preserve">, HF) </w:t>
      </w:r>
      <w:r w:rsidR="002E6863">
        <w:rPr>
          <w:sz w:val="22"/>
          <w:szCs w:val="20"/>
          <w:lang w:val="hr-HR"/>
        </w:rPr>
        <w:t>uzrasta</w:t>
      </w:r>
      <w:r w:rsidR="002E6863" w:rsidRPr="00AB63CB">
        <w:rPr>
          <w:sz w:val="22"/>
          <w:szCs w:val="20"/>
          <w:lang w:val="hr-HR"/>
        </w:rPr>
        <w:t xml:space="preserve"> </w:t>
      </w:r>
      <w:r w:rsidRPr="00AB63CB">
        <w:rPr>
          <w:sz w:val="22"/>
          <w:szCs w:val="20"/>
          <w:lang w:val="hr-HR"/>
        </w:rPr>
        <w:t>od 1 m</w:t>
      </w:r>
      <w:r w:rsidR="002637F8">
        <w:rPr>
          <w:sz w:val="22"/>
          <w:szCs w:val="20"/>
          <w:lang w:val="hr-HR"/>
        </w:rPr>
        <w:t>j</w:t>
      </w:r>
      <w:r w:rsidRPr="00AB63CB">
        <w:rPr>
          <w:sz w:val="22"/>
          <w:szCs w:val="20"/>
          <w:lang w:val="hr-HR"/>
        </w:rPr>
        <w:t>eseca do &lt;</w:t>
      </w:r>
      <w:r w:rsidR="006070A0">
        <w:rPr>
          <w:sz w:val="22"/>
          <w:szCs w:val="20"/>
          <w:lang w:val="hr-HR"/>
        </w:rPr>
        <w:t xml:space="preserve"> </w:t>
      </w:r>
      <w:r w:rsidRPr="00AB63CB">
        <w:rPr>
          <w:sz w:val="22"/>
          <w:szCs w:val="20"/>
          <w:lang w:val="hr-HR"/>
        </w:rPr>
        <w:t xml:space="preserve">18 godina, u poređenju s enalaprilom. </w:t>
      </w:r>
      <w:r w:rsidR="005F0AB3">
        <w:rPr>
          <w:sz w:val="22"/>
          <w:szCs w:val="20"/>
          <w:lang w:val="hr-HR"/>
        </w:rPr>
        <w:t>215 pacijenata koji su prešli u otvoreni, dugoročni produžetak studije (PANORAMA-HF OLE) bilo je l</w:t>
      </w:r>
      <w:r w:rsidR="00B273A5">
        <w:rPr>
          <w:sz w:val="22"/>
          <w:szCs w:val="20"/>
          <w:lang w:val="hr-HR"/>
        </w:rPr>
        <w:t>ij</w:t>
      </w:r>
      <w:r w:rsidR="005F0AB3">
        <w:rPr>
          <w:sz w:val="22"/>
          <w:szCs w:val="20"/>
          <w:lang w:val="hr-HR"/>
        </w:rPr>
        <w:t>ečeno u pros</w:t>
      </w:r>
      <w:r w:rsidR="002E6863">
        <w:rPr>
          <w:sz w:val="22"/>
          <w:szCs w:val="20"/>
          <w:lang w:val="hr-HR"/>
        </w:rPr>
        <w:t>j</w:t>
      </w:r>
      <w:r w:rsidR="005F0AB3">
        <w:rPr>
          <w:sz w:val="22"/>
          <w:szCs w:val="20"/>
          <w:lang w:val="hr-HR"/>
        </w:rPr>
        <w:t xml:space="preserve">eku 2,5 godine, do najviše 4,5 godine. </w:t>
      </w:r>
      <w:r w:rsidRPr="00AB63CB">
        <w:rPr>
          <w:sz w:val="22"/>
          <w:szCs w:val="20"/>
          <w:lang w:val="hr-HR"/>
        </w:rPr>
        <w:t>Bezb</w:t>
      </w:r>
      <w:r w:rsidR="002637F8">
        <w:rPr>
          <w:sz w:val="22"/>
          <w:szCs w:val="20"/>
          <w:lang w:val="hr-HR"/>
        </w:rPr>
        <w:t>j</w:t>
      </w:r>
      <w:r w:rsidRPr="00AB63CB">
        <w:rPr>
          <w:sz w:val="22"/>
          <w:szCs w:val="20"/>
          <w:lang w:val="hr-HR"/>
        </w:rPr>
        <w:t xml:space="preserve">ednosni profil zapažen kod </w:t>
      </w:r>
      <w:r w:rsidR="005F0AB3">
        <w:rPr>
          <w:sz w:val="22"/>
          <w:szCs w:val="20"/>
          <w:lang w:val="hr-HR"/>
        </w:rPr>
        <w:t>ob</w:t>
      </w:r>
      <w:r w:rsidR="00B273A5">
        <w:rPr>
          <w:sz w:val="22"/>
          <w:szCs w:val="20"/>
          <w:lang w:val="hr-HR"/>
        </w:rPr>
        <w:t>j</w:t>
      </w:r>
      <w:r w:rsidR="005F0AB3">
        <w:rPr>
          <w:sz w:val="22"/>
          <w:szCs w:val="20"/>
          <w:lang w:val="hr-HR"/>
        </w:rPr>
        <w:t>e studije</w:t>
      </w:r>
      <w:r w:rsidRPr="00AB63CB">
        <w:rPr>
          <w:sz w:val="22"/>
          <w:szCs w:val="20"/>
          <w:lang w:val="hr-HR"/>
        </w:rPr>
        <w:t xml:space="preserve"> bio je sličan profilu zapaženom kod odraslih pacijenata. Bezb</w:t>
      </w:r>
      <w:r w:rsidR="002637F8">
        <w:rPr>
          <w:sz w:val="22"/>
          <w:szCs w:val="20"/>
          <w:lang w:val="hr-HR"/>
        </w:rPr>
        <w:t>j</w:t>
      </w:r>
      <w:r w:rsidRPr="00AB63CB">
        <w:rPr>
          <w:sz w:val="22"/>
          <w:szCs w:val="20"/>
          <w:lang w:val="hr-HR"/>
        </w:rPr>
        <w:t>ednosni podaci kod pacijenata uzrasta od 1 m</w:t>
      </w:r>
      <w:r w:rsidR="002637F8">
        <w:rPr>
          <w:sz w:val="22"/>
          <w:szCs w:val="20"/>
          <w:lang w:val="hr-HR"/>
        </w:rPr>
        <w:t>j</w:t>
      </w:r>
      <w:r w:rsidRPr="00AB63CB">
        <w:rPr>
          <w:sz w:val="22"/>
          <w:szCs w:val="20"/>
          <w:lang w:val="hr-HR"/>
        </w:rPr>
        <w:t>esec</w:t>
      </w:r>
      <w:r w:rsidR="002E6863">
        <w:rPr>
          <w:sz w:val="22"/>
          <w:szCs w:val="20"/>
          <w:lang w:val="hr-HR"/>
        </w:rPr>
        <w:t>a</w:t>
      </w:r>
      <w:r w:rsidRPr="00AB63CB">
        <w:rPr>
          <w:sz w:val="22"/>
          <w:szCs w:val="20"/>
          <w:lang w:val="hr-HR"/>
        </w:rPr>
        <w:t xml:space="preserve"> do &lt;</w:t>
      </w:r>
      <w:r w:rsidR="00916BB1">
        <w:rPr>
          <w:sz w:val="22"/>
          <w:szCs w:val="20"/>
          <w:lang w:val="hr-HR"/>
        </w:rPr>
        <w:t xml:space="preserve"> </w:t>
      </w:r>
      <w:r w:rsidRPr="00AB63CB">
        <w:rPr>
          <w:sz w:val="22"/>
          <w:szCs w:val="20"/>
          <w:lang w:val="hr-HR"/>
        </w:rPr>
        <w:t>1 godine su ograničeni.</w:t>
      </w:r>
    </w:p>
    <w:p w14:paraId="43C400C1" w14:textId="77777777" w:rsidR="00B67A57" w:rsidRPr="00AB63CB" w:rsidRDefault="00B67A57" w:rsidP="001B64BC">
      <w:pPr>
        <w:jc w:val="both"/>
        <w:rPr>
          <w:sz w:val="22"/>
          <w:szCs w:val="20"/>
          <w:lang w:val="hr-HR"/>
        </w:rPr>
      </w:pPr>
    </w:p>
    <w:p w14:paraId="515DC14E" w14:textId="2F345352" w:rsidR="00B67A57" w:rsidRPr="00AB63CB" w:rsidRDefault="00B67A57" w:rsidP="001B64BC">
      <w:pPr>
        <w:jc w:val="both"/>
        <w:rPr>
          <w:sz w:val="22"/>
          <w:szCs w:val="20"/>
          <w:lang w:val="hr-HR"/>
        </w:rPr>
      </w:pPr>
      <w:r w:rsidRPr="00AB63CB">
        <w:rPr>
          <w:sz w:val="22"/>
          <w:szCs w:val="20"/>
          <w:lang w:val="hr-HR"/>
        </w:rPr>
        <w:t>Dostupni su ograničeni bezb</w:t>
      </w:r>
      <w:r w:rsidR="002637F8">
        <w:rPr>
          <w:sz w:val="22"/>
          <w:szCs w:val="20"/>
          <w:lang w:val="hr-HR"/>
        </w:rPr>
        <w:t>j</w:t>
      </w:r>
      <w:r w:rsidRPr="00AB63CB">
        <w:rPr>
          <w:sz w:val="22"/>
          <w:szCs w:val="20"/>
          <w:lang w:val="hr-HR"/>
        </w:rPr>
        <w:t>ednosni podaci kod pedijatrijskih pacijenata s um</w:t>
      </w:r>
      <w:r w:rsidR="002637F8">
        <w:rPr>
          <w:sz w:val="22"/>
          <w:szCs w:val="20"/>
          <w:lang w:val="hr-HR"/>
        </w:rPr>
        <w:t>j</w:t>
      </w:r>
      <w:r w:rsidRPr="00AB63CB">
        <w:rPr>
          <w:sz w:val="22"/>
          <w:szCs w:val="20"/>
          <w:lang w:val="hr-HR"/>
        </w:rPr>
        <w:t>erenim oštećenjem jetre ili um</w:t>
      </w:r>
      <w:r w:rsidR="002637F8">
        <w:rPr>
          <w:sz w:val="22"/>
          <w:szCs w:val="20"/>
          <w:lang w:val="hr-HR"/>
        </w:rPr>
        <w:t>j</w:t>
      </w:r>
      <w:r w:rsidRPr="00AB63CB">
        <w:rPr>
          <w:sz w:val="22"/>
          <w:szCs w:val="20"/>
          <w:lang w:val="hr-HR"/>
        </w:rPr>
        <w:t>erenim do teškim oštećenjem bubrega.</w:t>
      </w:r>
    </w:p>
    <w:p w14:paraId="3144BFA6" w14:textId="77777777" w:rsidR="00B67A57" w:rsidRPr="00786071" w:rsidRDefault="00B67A57" w:rsidP="001B64BC">
      <w:pPr>
        <w:tabs>
          <w:tab w:val="left" w:pos="540"/>
          <w:tab w:val="left" w:pos="569"/>
        </w:tabs>
        <w:jc w:val="both"/>
        <w:rPr>
          <w:b/>
          <w:bCs/>
          <w:sz w:val="22"/>
          <w:szCs w:val="22"/>
        </w:rPr>
      </w:pPr>
    </w:p>
    <w:p w14:paraId="3BC58ED5" w14:textId="77777777" w:rsidR="005A23D2" w:rsidRPr="00786071" w:rsidRDefault="005A23D2" w:rsidP="001B64BC">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250543FE" w14:textId="77777777" w:rsidR="005A23D2" w:rsidRPr="00786071" w:rsidRDefault="005A23D2" w:rsidP="001B64BC">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560E2D1B" w14:textId="77777777" w:rsidR="005A23D2" w:rsidRPr="00786071" w:rsidRDefault="004E70AD" w:rsidP="001B64BC">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78E549BC" w14:textId="77777777" w:rsidR="005A23D2" w:rsidRPr="00786071" w:rsidRDefault="005A23D2" w:rsidP="001B64BC">
      <w:pPr>
        <w:pStyle w:val="NoSpacing"/>
        <w:jc w:val="both"/>
        <w:rPr>
          <w:rFonts w:eastAsia="Calibri"/>
          <w:sz w:val="22"/>
          <w:szCs w:val="22"/>
          <w:lang w:val="sr-Latn-RS"/>
        </w:rPr>
      </w:pPr>
      <w:r w:rsidRPr="00786071">
        <w:rPr>
          <w:rFonts w:eastAsia="Calibri"/>
          <w:sz w:val="22"/>
          <w:szCs w:val="22"/>
          <w:lang w:val="sr-Latn-RS"/>
        </w:rPr>
        <w:t>Odjeljenje za farmakovigilancu</w:t>
      </w:r>
    </w:p>
    <w:p w14:paraId="0F4AA4D7" w14:textId="77777777" w:rsidR="00EA5765" w:rsidRPr="00786071" w:rsidRDefault="005A23D2" w:rsidP="001B64BC">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3DA2832E" w14:textId="77777777" w:rsidR="00EA5765" w:rsidRPr="00786071" w:rsidRDefault="00EA5765" w:rsidP="001B64BC">
      <w:pPr>
        <w:pStyle w:val="NoSpacing"/>
        <w:rPr>
          <w:rFonts w:eastAsia="Calibri"/>
          <w:sz w:val="22"/>
          <w:szCs w:val="22"/>
          <w:lang w:val="sr-Latn-RS"/>
        </w:rPr>
      </w:pPr>
    </w:p>
    <w:p w14:paraId="1E8F4298" w14:textId="77777777" w:rsidR="005A23D2" w:rsidRPr="00786071" w:rsidRDefault="005A23D2" w:rsidP="001B64BC">
      <w:pPr>
        <w:pStyle w:val="NoSpacing"/>
        <w:jc w:val="both"/>
        <w:rPr>
          <w:rFonts w:eastAsia="Calibri"/>
          <w:sz w:val="22"/>
          <w:szCs w:val="22"/>
          <w:lang w:val="sr-Latn-RS"/>
        </w:rPr>
      </w:pPr>
      <w:r w:rsidRPr="00786071">
        <w:rPr>
          <w:rFonts w:eastAsia="Calibri"/>
          <w:sz w:val="22"/>
          <w:szCs w:val="22"/>
          <w:lang w:val="sr-Latn-RS"/>
        </w:rPr>
        <w:t>tel: +382 (0) 20 310 280</w:t>
      </w:r>
    </w:p>
    <w:p w14:paraId="78FA949C" w14:textId="77777777" w:rsidR="00EA5765" w:rsidRPr="00786071" w:rsidRDefault="005A23D2" w:rsidP="001B64BC">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40242B3E" w14:textId="77777777" w:rsidR="005A23D2" w:rsidRPr="00786071" w:rsidRDefault="007C02C1" w:rsidP="001B64BC">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469BCC0E" w14:textId="77777777" w:rsidR="00EA5765" w:rsidRPr="00786071" w:rsidRDefault="007C02C1" w:rsidP="001B64BC">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61F00974" w14:textId="354A38A1" w:rsidR="005A23D2" w:rsidRDefault="005A23D2" w:rsidP="001B64BC">
      <w:pPr>
        <w:pStyle w:val="NoSpacing"/>
        <w:jc w:val="both"/>
        <w:rPr>
          <w:rFonts w:eastAsia="Calibri"/>
          <w:sz w:val="22"/>
          <w:szCs w:val="22"/>
          <w:lang w:val="sr-Latn-RS"/>
        </w:rPr>
      </w:pPr>
      <w:r w:rsidRPr="00786071">
        <w:rPr>
          <w:rFonts w:eastAsia="Calibri"/>
          <w:sz w:val="22"/>
          <w:szCs w:val="22"/>
          <w:lang w:val="sr-Latn-RS"/>
        </w:rPr>
        <w:t>putem IS zdravstvene zaštite</w:t>
      </w:r>
    </w:p>
    <w:p w14:paraId="7B6B44C3" w14:textId="541EC20E" w:rsidR="00784003" w:rsidRDefault="00784003" w:rsidP="001B64BC">
      <w:pPr>
        <w:pStyle w:val="NoSpacing"/>
        <w:jc w:val="both"/>
        <w:rPr>
          <w:rFonts w:eastAsia="Calibri"/>
          <w:sz w:val="22"/>
          <w:szCs w:val="22"/>
          <w:lang w:val="sr-Latn-RS"/>
        </w:rPr>
      </w:pPr>
    </w:p>
    <w:p w14:paraId="2DE90127" w14:textId="77777777" w:rsidR="00784003" w:rsidRDefault="00784003" w:rsidP="001B64BC">
      <w:pPr>
        <w:rPr>
          <w:sz w:val="22"/>
          <w:szCs w:val="22"/>
          <w:lang w:val="pt-PT"/>
        </w:rPr>
      </w:pPr>
      <w:r>
        <w:rPr>
          <w:sz w:val="22"/>
          <w:szCs w:val="22"/>
          <w:lang w:val="pt-PT"/>
        </w:rPr>
        <w:t>QR kod za online prijavu sumnje na neželjeno dejstvo lijeka:</w:t>
      </w:r>
    </w:p>
    <w:p w14:paraId="5EDDF036" w14:textId="77777777" w:rsidR="00784003" w:rsidRDefault="00784003" w:rsidP="001B64BC">
      <w:pPr>
        <w:pStyle w:val="NoSpacing"/>
        <w:rPr>
          <w:rFonts w:eastAsia="Calibri"/>
          <w:spacing w:val="-5"/>
          <w:sz w:val="22"/>
          <w:szCs w:val="22"/>
          <w:lang w:val="sr-Latn-RS"/>
        </w:rPr>
      </w:pPr>
    </w:p>
    <w:p w14:paraId="3B077AA3" w14:textId="4AF9974D" w:rsidR="00784003" w:rsidRPr="00786071" w:rsidRDefault="001B64BC" w:rsidP="001B64BC">
      <w:pPr>
        <w:pStyle w:val="NoSpacing"/>
        <w:jc w:val="both"/>
        <w:rPr>
          <w:rFonts w:eastAsia="Calibri"/>
          <w:sz w:val="22"/>
          <w:szCs w:val="22"/>
          <w:lang w:val="sr-Latn-RS"/>
        </w:rPr>
      </w:pPr>
      <w:r w:rsidRPr="007F661E">
        <w:rPr>
          <w:b/>
          <w:bCs/>
          <w:noProof/>
          <w:sz w:val="22"/>
          <w:szCs w:val="22"/>
        </w:rPr>
        <w:drawing>
          <wp:inline distT="0" distB="0" distL="0" distR="0" wp14:anchorId="642E4541" wp14:editId="7F302D1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A79536" w14:textId="77777777" w:rsidR="00836B35" w:rsidRPr="00786071" w:rsidRDefault="00836B35" w:rsidP="001B64BC">
      <w:pPr>
        <w:tabs>
          <w:tab w:val="left" w:pos="540"/>
          <w:tab w:val="left" w:pos="569"/>
        </w:tabs>
        <w:rPr>
          <w:b/>
          <w:bCs/>
          <w:sz w:val="22"/>
          <w:szCs w:val="22"/>
        </w:rPr>
      </w:pPr>
    </w:p>
    <w:p w14:paraId="48140BF0" w14:textId="77777777" w:rsidR="00CD6F02" w:rsidRPr="00786071" w:rsidRDefault="0072020E" w:rsidP="001B64BC">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proofErr w:type="spellStart"/>
      <w:r w:rsidRPr="00786071">
        <w:rPr>
          <w:b/>
          <w:bCs/>
          <w:sz w:val="22"/>
          <w:szCs w:val="22"/>
        </w:rPr>
        <w:t>Predoziranje</w:t>
      </w:r>
      <w:proofErr w:type="spellEnd"/>
      <w:r w:rsidR="002846DB" w:rsidRPr="00786071">
        <w:rPr>
          <w:b/>
          <w:bCs/>
          <w:sz w:val="22"/>
          <w:szCs w:val="22"/>
        </w:rPr>
        <w:t xml:space="preserve"> </w:t>
      </w:r>
    </w:p>
    <w:p w14:paraId="441ACF6D" w14:textId="77777777" w:rsidR="00CD6F02" w:rsidRDefault="00CD6F02" w:rsidP="001B64BC">
      <w:pPr>
        <w:tabs>
          <w:tab w:val="left" w:pos="540"/>
          <w:tab w:val="left" w:pos="569"/>
        </w:tabs>
        <w:jc w:val="both"/>
        <w:rPr>
          <w:b/>
          <w:bCs/>
          <w:sz w:val="22"/>
          <w:szCs w:val="22"/>
        </w:rPr>
      </w:pPr>
    </w:p>
    <w:p w14:paraId="54AFA69A" w14:textId="4971E61E" w:rsidR="00B96A91" w:rsidRPr="001A5E19" w:rsidRDefault="00B96A91" w:rsidP="001B64BC">
      <w:pPr>
        <w:widowControl w:val="0"/>
        <w:jc w:val="both"/>
        <w:rPr>
          <w:bCs/>
          <w:sz w:val="22"/>
          <w:lang w:val="hr-HR"/>
        </w:rPr>
      </w:pPr>
      <w:r w:rsidRPr="001A5E19">
        <w:rPr>
          <w:bCs/>
          <w:sz w:val="22"/>
          <w:lang w:val="hr-HR"/>
        </w:rPr>
        <w:t xml:space="preserve">Dostupni su ograničeni podaci o predoziranju </w:t>
      </w:r>
      <w:r>
        <w:rPr>
          <w:bCs/>
          <w:sz w:val="22"/>
          <w:lang w:val="hr-HR"/>
        </w:rPr>
        <w:t xml:space="preserve">kod ljudi. Pojedinačna doza </w:t>
      </w:r>
      <w:r>
        <w:rPr>
          <w:bCs/>
          <w:sz w:val="22"/>
          <w:szCs w:val="20"/>
          <w:lang w:val="hr-HR"/>
        </w:rPr>
        <w:t>valsartan/sakubitril</w:t>
      </w:r>
      <w:r w:rsidRPr="001A5E19">
        <w:rPr>
          <w:bCs/>
          <w:sz w:val="22"/>
          <w:lang w:val="hr-HR"/>
        </w:rPr>
        <w:t xml:space="preserve"> od 617 mg valsartana</w:t>
      </w:r>
      <w:r>
        <w:rPr>
          <w:bCs/>
          <w:sz w:val="22"/>
          <w:lang w:val="hr-HR"/>
        </w:rPr>
        <w:t>/</w:t>
      </w:r>
      <w:r w:rsidRPr="001A5E19">
        <w:rPr>
          <w:bCs/>
          <w:sz w:val="22"/>
          <w:lang w:val="hr-HR"/>
        </w:rPr>
        <w:t xml:space="preserve"> 583 mg sakubitrila i višestruke doze od 463 mg valsartana</w:t>
      </w:r>
      <w:r>
        <w:rPr>
          <w:bCs/>
          <w:sz w:val="22"/>
          <w:lang w:val="hr-HR"/>
        </w:rPr>
        <w:t>/</w:t>
      </w:r>
      <w:r w:rsidRPr="001A5E19">
        <w:rPr>
          <w:bCs/>
          <w:sz w:val="22"/>
          <w:lang w:val="hr-HR"/>
        </w:rPr>
        <w:t xml:space="preserve">437 mg sakubitrila (14 dana) bile su ispitivane </w:t>
      </w:r>
      <w:r>
        <w:rPr>
          <w:bCs/>
          <w:sz w:val="22"/>
          <w:lang w:val="hr-HR"/>
        </w:rPr>
        <w:t>kod</w:t>
      </w:r>
      <w:r w:rsidRPr="001A5E19">
        <w:rPr>
          <w:bCs/>
          <w:sz w:val="22"/>
          <w:lang w:val="hr-HR"/>
        </w:rPr>
        <w:t xml:space="preserve"> zdravih </w:t>
      </w:r>
      <w:r w:rsidR="00B67A57">
        <w:rPr>
          <w:bCs/>
          <w:sz w:val="22"/>
          <w:lang w:val="hr-HR"/>
        </w:rPr>
        <w:t xml:space="preserve">odraslih </w:t>
      </w:r>
      <w:r w:rsidRPr="001A5E19">
        <w:rPr>
          <w:bCs/>
          <w:sz w:val="22"/>
          <w:lang w:val="hr-HR"/>
        </w:rPr>
        <w:t xml:space="preserve">dobrovoljaca i </w:t>
      </w:r>
      <w:r>
        <w:rPr>
          <w:bCs/>
          <w:sz w:val="22"/>
          <w:lang w:val="hr-HR"/>
        </w:rPr>
        <w:t>dobro su se podnosile</w:t>
      </w:r>
      <w:r w:rsidRPr="001A5E19">
        <w:rPr>
          <w:bCs/>
          <w:sz w:val="22"/>
          <w:lang w:val="hr-HR"/>
        </w:rPr>
        <w:t>.</w:t>
      </w:r>
    </w:p>
    <w:p w14:paraId="71974E97" w14:textId="77777777" w:rsidR="00B96A91" w:rsidRPr="001A5E19" w:rsidRDefault="00B96A91" w:rsidP="001B64BC">
      <w:pPr>
        <w:widowControl w:val="0"/>
        <w:jc w:val="both"/>
        <w:rPr>
          <w:bCs/>
          <w:sz w:val="22"/>
          <w:lang w:val="hr-HR"/>
        </w:rPr>
      </w:pPr>
    </w:p>
    <w:p w14:paraId="54AEDF3B" w14:textId="7EBBC1CF" w:rsidR="00B96A91" w:rsidRPr="001A5E19" w:rsidRDefault="00B96A91" w:rsidP="001B64BC">
      <w:pPr>
        <w:widowControl w:val="0"/>
        <w:jc w:val="both"/>
        <w:rPr>
          <w:bCs/>
          <w:sz w:val="22"/>
          <w:lang w:val="hr-HR"/>
        </w:rPr>
      </w:pPr>
      <w:r>
        <w:rPr>
          <w:sz w:val="22"/>
          <w:szCs w:val="20"/>
          <w:lang w:val="hr-HR"/>
        </w:rPr>
        <w:t>Hipotenzija je najv</w:t>
      </w:r>
      <w:r w:rsidR="009A0E5A">
        <w:rPr>
          <w:sz w:val="22"/>
          <w:szCs w:val="20"/>
          <w:lang w:val="hr-HR"/>
        </w:rPr>
        <w:t>j</w:t>
      </w:r>
      <w:r>
        <w:rPr>
          <w:sz w:val="22"/>
          <w:szCs w:val="20"/>
          <w:lang w:val="hr-HR"/>
        </w:rPr>
        <w:t>erov</w:t>
      </w:r>
      <w:r w:rsidRPr="001A5E19">
        <w:rPr>
          <w:sz w:val="22"/>
          <w:szCs w:val="20"/>
          <w:lang w:val="hr-HR"/>
        </w:rPr>
        <w:t xml:space="preserve">atniji simptom predoziranja zbog </w:t>
      </w:r>
      <w:r>
        <w:rPr>
          <w:sz w:val="22"/>
          <w:szCs w:val="20"/>
          <w:lang w:val="hr-HR"/>
        </w:rPr>
        <w:t xml:space="preserve">efekta </w:t>
      </w:r>
      <w:r>
        <w:rPr>
          <w:bCs/>
          <w:sz w:val="22"/>
          <w:szCs w:val="20"/>
          <w:lang w:val="hr-HR"/>
        </w:rPr>
        <w:t>valsartan/sakubitril</w:t>
      </w:r>
      <w:r>
        <w:rPr>
          <w:sz w:val="22"/>
          <w:szCs w:val="20"/>
          <w:lang w:val="hr-HR"/>
        </w:rPr>
        <w:t xml:space="preserve"> na sniženje krvnog pritiska.</w:t>
      </w:r>
      <w:r w:rsidRPr="001A5E19">
        <w:rPr>
          <w:sz w:val="22"/>
          <w:szCs w:val="20"/>
          <w:lang w:val="hr-HR"/>
        </w:rPr>
        <w:t xml:space="preserve"> Potrebno je o</w:t>
      </w:r>
      <w:r>
        <w:rPr>
          <w:sz w:val="22"/>
          <w:szCs w:val="20"/>
          <w:lang w:val="hr-HR"/>
        </w:rPr>
        <w:t>bezbijediti simptomatsko liječ</w:t>
      </w:r>
      <w:r w:rsidRPr="001A5E19">
        <w:rPr>
          <w:sz w:val="22"/>
          <w:szCs w:val="20"/>
          <w:lang w:val="hr-HR"/>
        </w:rPr>
        <w:t>enje.</w:t>
      </w:r>
    </w:p>
    <w:p w14:paraId="53B6B552" w14:textId="77777777" w:rsidR="00B96A91" w:rsidRPr="001A5E19" w:rsidRDefault="00B96A91" w:rsidP="001B64BC">
      <w:pPr>
        <w:widowControl w:val="0"/>
        <w:jc w:val="both"/>
        <w:rPr>
          <w:bCs/>
          <w:sz w:val="22"/>
          <w:lang w:val="hr-HR"/>
        </w:rPr>
      </w:pPr>
    </w:p>
    <w:p w14:paraId="2356F14B" w14:textId="77D15FFE" w:rsidR="00B96A91" w:rsidRPr="003943C6" w:rsidRDefault="00B96A91" w:rsidP="001B64BC">
      <w:pPr>
        <w:widowControl w:val="0"/>
        <w:jc w:val="both"/>
        <w:rPr>
          <w:bCs/>
          <w:sz w:val="22"/>
          <w:lang w:val="hr-HR"/>
        </w:rPr>
      </w:pPr>
      <w:r>
        <w:rPr>
          <w:bCs/>
          <w:sz w:val="22"/>
          <w:szCs w:val="20"/>
          <w:lang w:val="hr-HR"/>
        </w:rPr>
        <w:t>Vjerovatnije je da se lijek neće eliminisati</w:t>
      </w:r>
      <w:r w:rsidRPr="001A5E19">
        <w:rPr>
          <w:bCs/>
          <w:sz w:val="22"/>
          <w:lang w:val="hr-HR"/>
        </w:rPr>
        <w:t xml:space="preserve"> hemodijalizom zbog visokog st</w:t>
      </w:r>
      <w:r>
        <w:rPr>
          <w:bCs/>
          <w:sz w:val="22"/>
          <w:lang w:val="hr-HR"/>
        </w:rPr>
        <w:t>epena</w:t>
      </w:r>
      <w:r w:rsidRPr="001A5E19">
        <w:rPr>
          <w:bCs/>
          <w:sz w:val="22"/>
          <w:lang w:val="hr-HR"/>
        </w:rPr>
        <w:t xml:space="preserve"> vez</w:t>
      </w:r>
      <w:r>
        <w:rPr>
          <w:bCs/>
          <w:sz w:val="22"/>
          <w:lang w:val="hr-HR"/>
        </w:rPr>
        <w:t xml:space="preserve">ivanja za </w:t>
      </w:r>
      <w:r w:rsidRPr="001A5E19">
        <w:rPr>
          <w:bCs/>
          <w:sz w:val="22"/>
          <w:lang w:val="hr-HR"/>
        </w:rPr>
        <w:t>proteine</w:t>
      </w:r>
      <w:r>
        <w:rPr>
          <w:bCs/>
          <w:sz w:val="22"/>
          <w:lang w:val="hr-HR"/>
        </w:rPr>
        <w:t xml:space="preserve"> </w:t>
      </w:r>
      <w:r>
        <w:rPr>
          <w:bCs/>
          <w:sz w:val="22"/>
          <w:lang w:val="hr-HR"/>
        </w:rPr>
        <w:lastRenderedPageBreak/>
        <w:t xml:space="preserve">(vidjeti </w:t>
      </w:r>
      <w:r w:rsidR="009A0E5A">
        <w:rPr>
          <w:bCs/>
          <w:sz w:val="22"/>
          <w:lang w:val="hr-HR"/>
        </w:rPr>
        <w:t xml:space="preserve">dio </w:t>
      </w:r>
      <w:r>
        <w:rPr>
          <w:bCs/>
          <w:sz w:val="22"/>
          <w:lang w:val="hr-HR"/>
        </w:rPr>
        <w:t>5.2)</w:t>
      </w:r>
      <w:r w:rsidRPr="001A5E19">
        <w:rPr>
          <w:bCs/>
          <w:sz w:val="22"/>
          <w:lang w:val="hr-HR"/>
        </w:rPr>
        <w:t>.</w:t>
      </w:r>
    </w:p>
    <w:p w14:paraId="53946F40" w14:textId="08EAD942" w:rsidR="00227BDB" w:rsidRDefault="00227BDB" w:rsidP="001B64BC">
      <w:pPr>
        <w:tabs>
          <w:tab w:val="left" w:pos="540"/>
          <w:tab w:val="left" w:pos="569"/>
        </w:tabs>
        <w:rPr>
          <w:b/>
          <w:bCs/>
          <w:sz w:val="22"/>
          <w:szCs w:val="22"/>
        </w:rPr>
      </w:pPr>
    </w:p>
    <w:p w14:paraId="349D5F6A" w14:textId="77777777" w:rsidR="00B96A91" w:rsidRPr="00786071" w:rsidRDefault="00B96A91" w:rsidP="001B64BC">
      <w:pPr>
        <w:tabs>
          <w:tab w:val="left" w:pos="540"/>
          <w:tab w:val="left" w:pos="569"/>
        </w:tabs>
        <w:rPr>
          <w:b/>
          <w:bCs/>
          <w:sz w:val="22"/>
          <w:szCs w:val="22"/>
        </w:rPr>
      </w:pPr>
    </w:p>
    <w:p w14:paraId="007CBE40" w14:textId="77777777" w:rsidR="0072020E" w:rsidRPr="00786071" w:rsidRDefault="0072020E" w:rsidP="001B64BC">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4C9B421D" w14:textId="77777777" w:rsidR="0072020E" w:rsidRPr="00786071" w:rsidRDefault="0072020E" w:rsidP="001B64BC">
      <w:pPr>
        <w:tabs>
          <w:tab w:val="left" w:pos="540"/>
          <w:tab w:val="left" w:pos="569"/>
        </w:tabs>
        <w:rPr>
          <w:b/>
          <w:bCs/>
          <w:sz w:val="22"/>
          <w:szCs w:val="22"/>
        </w:rPr>
      </w:pPr>
    </w:p>
    <w:p w14:paraId="7B443A75" w14:textId="77777777" w:rsidR="0072020E" w:rsidRPr="00786071" w:rsidRDefault="0072020E" w:rsidP="001B64BC">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proofErr w:type="spellStart"/>
      <w:r w:rsidRPr="00786071">
        <w:rPr>
          <w:b/>
          <w:bCs/>
          <w:sz w:val="22"/>
          <w:szCs w:val="22"/>
        </w:rPr>
        <w:t>Farmakodinamski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14:paraId="0383A3B4" w14:textId="77777777" w:rsidR="00F45F77" w:rsidRPr="00786071" w:rsidRDefault="00F45F77" w:rsidP="001B64BC">
      <w:pPr>
        <w:tabs>
          <w:tab w:val="left" w:pos="540"/>
          <w:tab w:val="left" w:pos="569"/>
        </w:tabs>
        <w:rPr>
          <w:b/>
          <w:bCs/>
          <w:sz w:val="22"/>
          <w:szCs w:val="22"/>
        </w:rPr>
      </w:pPr>
    </w:p>
    <w:p w14:paraId="6C2BD3FB" w14:textId="3C5DDD0B" w:rsidR="0072020E" w:rsidRPr="00786071" w:rsidRDefault="0072020E" w:rsidP="001B64BC">
      <w:pPr>
        <w:tabs>
          <w:tab w:val="left" w:pos="540"/>
          <w:tab w:val="left" w:pos="569"/>
        </w:tabs>
        <w:jc w:val="both"/>
        <w:rPr>
          <w:bCs/>
          <w:sz w:val="22"/>
          <w:szCs w:val="22"/>
        </w:rPr>
      </w:pPr>
      <w:proofErr w:type="spellStart"/>
      <w:r w:rsidRPr="00786071">
        <w:rPr>
          <w:bCs/>
          <w:sz w:val="22"/>
          <w:szCs w:val="22"/>
        </w:rPr>
        <w:t>Farmakoterapijska</w:t>
      </w:r>
      <w:proofErr w:type="spellEnd"/>
      <w:r w:rsidRPr="00786071">
        <w:rPr>
          <w:bCs/>
          <w:sz w:val="22"/>
          <w:szCs w:val="22"/>
        </w:rPr>
        <w:t xml:space="preserve"> </w:t>
      </w:r>
      <w:proofErr w:type="spellStart"/>
      <w:r w:rsidRPr="00786071">
        <w:rPr>
          <w:bCs/>
          <w:sz w:val="22"/>
          <w:szCs w:val="22"/>
        </w:rPr>
        <w:t>grupa</w:t>
      </w:r>
      <w:proofErr w:type="spellEnd"/>
      <w:r w:rsidRPr="00786071">
        <w:rPr>
          <w:bCs/>
          <w:sz w:val="22"/>
          <w:szCs w:val="22"/>
        </w:rPr>
        <w:t>:</w:t>
      </w:r>
      <w:r w:rsidR="00B96A91" w:rsidRPr="003943C6">
        <w:rPr>
          <w:sz w:val="22"/>
          <w:szCs w:val="22"/>
          <w:lang w:val="hr-HR"/>
        </w:rPr>
        <w:t xml:space="preserve"> </w:t>
      </w:r>
      <w:r w:rsidR="00B96A91" w:rsidRPr="00DF0AC1">
        <w:rPr>
          <w:sz w:val="22"/>
          <w:szCs w:val="22"/>
          <w:lang w:val="hr-HR"/>
        </w:rPr>
        <w:t>l</w:t>
      </w:r>
      <w:r w:rsidR="00B96A91">
        <w:rPr>
          <w:sz w:val="22"/>
          <w:szCs w:val="22"/>
          <w:lang w:val="hr-HR"/>
        </w:rPr>
        <w:t>j</w:t>
      </w:r>
      <w:r w:rsidR="00B96A91" w:rsidRPr="00DF0AC1">
        <w:rPr>
          <w:sz w:val="22"/>
          <w:szCs w:val="22"/>
          <w:lang w:val="hr-HR"/>
        </w:rPr>
        <w:t>ekovi koji d</w:t>
      </w:r>
      <w:r w:rsidR="00B96A91">
        <w:rPr>
          <w:sz w:val="22"/>
          <w:szCs w:val="22"/>
          <w:lang w:val="hr-HR"/>
        </w:rPr>
        <w:t>j</w:t>
      </w:r>
      <w:r w:rsidR="00B96A91" w:rsidRPr="00DF0AC1">
        <w:rPr>
          <w:sz w:val="22"/>
          <w:szCs w:val="22"/>
          <w:lang w:val="hr-HR"/>
        </w:rPr>
        <w:t>eluju na sistem renin-angiotenzi</w:t>
      </w:r>
      <w:r w:rsidR="00B96A91">
        <w:rPr>
          <w:sz w:val="22"/>
          <w:szCs w:val="22"/>
          <w:lang w:val="hr-HR"/>
        </w:rPr>
        <w:t xml:space="preserve">n; antagonisti receptora angiotenzina II, </w:t>
      </w:r>
      <w:r w:rsidR="00B96A91" w:rsidRPr="00DF0AC1">
        <w:rPr>
          <w:sz w:val="22"/>
          <w:szCs w:val="22"/>
          <w:lang w:val="hr-HR"/>
        </w:rPr>
        <w:t>druge kombinacije</w:t>
      </w:r>
    </w:p>
    <w:p w14:paraId="687028BC" w14:textId="77777777" w:rsidR="0072020E" w:rsidRPr="00786071" w:rsidRDefault="0072020E" w:rsidP="001B64BC">
      <w:pPr>
        <w:tabs>
          <w:tab w:val="left" w:pos="540"/>
          <w:tab w:val="left" w:pos="569"/>
        </w:tabs>
        <w:jc w:val="both"/>
        <w:rPr>
          <w:bCs/>
          <w:sz w:val="22"/>
          <w:szCs w:val="22"/>
        </w:rPr>
      </w:pPr>
    </w:p>
    <w:p w14:paraId="31D7AB82" w14:textId="1370F79A" w:rsidR="0072020E" w:rsidRPr="00786071" w:rsidRDefault="0072020E" w:rsidP="001B64BC">
      <w:pPr>
        <w:tabs>
          <w:tab w:val="left" w:pos="540"/>
          <w:tab w:val="left" w:pos="569"/>
        </w:tabs>
        <w:jc w:val="both"/>
        <w:rPr>
          <w:bCs/>
          <w:sz w:val="22"/>
          <w:szCs w:val="22"/>
        </w:rPr>
      </w:pPr>
      <w:r w:rsidRPr="00786071">
        <w:rPr>
          <w:bCs/>
          <w:sz w:val="22"/>
          <w:szCs w:val="22"/>
        </w:rPr>
        <w:t xml:space="preserve">ATC </w:t>
      </w:r>
      <w:proofErr w:type="spellStart"/>
      <w:r w:rsidRPr="00786071">
        <w:rPr>
          <w:bCs/>
          <w:sz w:val="22"/>
          <w:szCs w:val="22"/>
        </w:rPr>
        <w:t>kod</w:t>
      </w:r>
      <w:proofErr w:type="spellEnd"/>
      <w:r w:rsidRPr="00786071">
        <w:rPr>
          <w:bCs/>
          <w:sz w:val="22"/>
          <w:szCs w:val="22"/>
        </w:rPr>
        <w:t>:</w:t>
      </w:r>
      <w:r w:rsidR="00B96A91" w:rsidRPr="00B96A91">
        <w:rPr>
          <w:sz w:val="22"/>
          <w:szCs w:val="20"/>
          <w:lang w:val="hr-HR"/>
        </w:rPr>
        <w:t xml:space="preserve"> </w:t>
      </w:r>
      <w:r w:rsidR="00B96A91" w:rsidRPr="001A5E19">
        <w:rPr>
          <w:sz w:val="22"/>
          <w:szCs w:val="20"/>
          <w:lang w:val="hr-HR"/>
        </w:rPr>
        <w:t>C09DX04</w:t>
      </w:r>
    </w:p>
    <w:p w14:paraId="537A289A" w14:textId="77777777" w:rsidR="00B96A91" w:rsidRDefault="00B96A91" w:rsidP="001B64BC">
      <w:pPr>
        <w:tabs>
          <w:tab w:val="left" w:pos="540"/>
          <w:tab w:val="left" w:pos="569"/>
        </w:tabs>
        <w:jc w:val="both"/>
        <w:rPr>
          <w:bCs/>
          <w:sz w:val="22"/>
          <w:szCs w:val="22"/>
        </w:rPr>
      </w:pPr>
    </w:p>
    <w:p w14:paraId="171ECA27" w14:textId="1CDFA9A8" w:rsidR="00B96A91" w:rsidRPr="00E745DB" w:rsidRDefault="00B96A91" w:rsidP="001B64BC">
      <w:pPr>
        <w:keepNext/>
        <w:widowControl w:val="0"/>
        <w:autoSpaceDE w:val="0"/>
        <w:autoSpaceDN w:val="0"/>
        <w:adjustRightInd w:val="0"/>
        <w:jc w:val="both"/>
        <w:rPr>
          <w:sz w:val="22"/>
          <w:szCs w:val="22"/>
          <w:lang w:val="hr-HR"/>
        </w:rPr>
      </w:pPr>
      <w:r>
        <w:rPr>
          <w:sz w:val="22"/>
          <w:szCs w:val="22"/>
          <w:u w:val="single"/>
          <w:lang w:val="hr-HR"/>
        </w:rPr>
        <w:t>Mehanizam d</w:t>
      </w:r>
      <w:r w:rsidR="009B6453">
        <w:rPr>
          <w:sz w:val="22"/>
          <w:szCs w:val="22"/>
          <w:u w:val="single"/>
          <w:lang w:val="hr-HR"/>
        </w:rPr>
        <w:t>j</w:t>
      </w:r>
      <w:r w:rsidRPr="00E745DB">
        <w:rPr>
          <w:sz w:val="22"/>
          <w:szCs w:val="22"/>
          <w:u w:val="single"/>
          <w:lang w:val="hr-HR"/>
        </w:rPr>
        <w:t>elovanja</w:t>
      </w:r>
    </w:p>
    <w:p w14:paraId="133E09E5" w14:textId="77777777" w:rsidR="00B96A91" w:rsidRPr="00E745DB" w:rsidRDefault="00B96A91" w:rsidP="001B64BC">
      <w:pPr>
        <w:keepNext/>
        <w:widowControl w:val="0"/>
        <w:autoSpaceDE w:val="0"/>
        <w:autoSpaceDN w:val="0"/>
        <w:adjustRightInd w:val="0"/>
        <w:jc w:val="both"/>
        <w:rPr>
          <w:bCs/>
          <w:sz w:val="22"/>
          <w:lang w:val="hr-HR"/>
        </w:rPr>
      </w:pPr>
    </w:p>
    <w:p w14:paraId="4E0E53DB" w14:textId="77777777" w:rsidR="00B96A91" w:rsidRPr="00E745DB" w:rsidRDefault="00B96A91" w:rsidP="001B64BC">
      <w:pPr>
        <w:widowControl w:val="0"/>
        <w:autoSpaceDE w:val="0"/>
        <w:autoSpaceDN w:val="0"/>
        <w:adjustRightInd w:val="0"/>
        <w:jc w:val="both"/>
        <w:rPr>
          <w:bCs/>
          <w:sz w:val="22"/>
          <w:lang w:val="hr-HR"/>
        </w:rPr>
      </w:pPr>
      <w:r>
        <w:rPr>
          <w:bCs/>
          <w:sz w:val="22"/>
          <w:szCs w:val="20"/>
          <w:lang w:val="hr-HR"/>
        </w:rPr>
        <w:t>Valsartan/sakubitril</w:t>
      </w:r>
      <w:r>
        <w:rPr>
          <w:bCs/>
          <w:sz w:val="22"/>
          <w:lang w:val="hr-HR"/>
        </w:rPr>
        <w:t xml:space="preserve"> </w:t>
      </w:r>
      <w:r w:rsidRPr="00E745DB">
        <w:rPr>
          <w:bCs/>
          <w:sz w:val="22"/>
          <w:lang w:val="hr-HR"/>
        </w:rPr>
        <w:t>pokazuje mehanizam d</w:t>
      </w:r>
      <w:r>
        <w:rPr>
          <w:bCs/>
          <w:sz w:val="22"/>
          <w:lang w:val="hr-HR"/>
        </w:rPr>
        <w:t>j</w:t>
      </w:r>
      <w:r w:rsidRPr="00E745DB">
        <w:rPr>
          <w:bCs/>
          <w:sz w:val="22"/>
          <w:lang w:val="hr-HR"/>
        </w:rPr>
        <w:t xml:space="preserve">elovanja inhibitora angiotenzinskog receptora neprilizina tako što </w:t>
      </w:r>
      <w:r>
        <w:rPr>
          <w:bCs/>
          <w:sz w:val="22"/>
          <w:lang w:val="hr-HR"/>
        </w:rPr>
        <w:t>simultano</w:t>
      </w:r>
      <w:r w:rsidRPr="00E745DB">
        <w:rPr>
          <w:bCs/>
          <w:sz w:val="22"/>
          <w:lang w:val="hr-HR"/>
        </w:rPr>
        <w:t xml:space="preserve"> inhibira neprilizin (neutralna endopeptidaza; NEP) putem LBQ657, aktivnog metabolita pro</w:t>
      </w:r>
      <w:r>
        <w:rPr>
          <w:bCs/>
          <w:sz w:val="22"/>
          <w:lang w:val="hr-HR"/>
        </w:rPr>
        <w:t>lijek</w:t>
      </w:r>
      <w:r w:rsidRPr="00E745DB">
        <w:rPr>
          <w:bCs/>
          <w:sz w:val="22"/>
          <w:lang w:val="hr-HR"/>
        </w:rPr>
        <w:t xml:space="preserve">a sakubitrila, </w:t>
      </w:r>
      <w:r>
        <w:rPr>
          <w:bCs/>
          <w:sz w:val="22"/>
          <w:lang w:val="hr-HR"/>
        </w:rPr>
        <w:t>i</w:t>
      </w:r>
      <w:r w:rsidRPr="00E745DB">
        <w:rPr>
          <w:bCs/>
          <w:sz w:val="22"/>
          <w:lang w:val="hr-HR"/>
        </w:rPr>
        <w:t xml:space="preserve"> blokira</w:t>
      </w:r>
      <w:r>
        <w:rPr>
          <w:bCs/>
          <w:sz w:val="22"/>
          <w:lang w:val="hr-HR"/>
        </w:rPr>
        <w:t>njem</w:t>
      </w:r>
      <w:r w:rsidRPr="00E745DB">
        <w:rPr>
          <w:bCs/>
          <w:sz w:val="22"/>
          <w:lang w:val="hr-HR"/>
        </w:rPr>
        <w:t xml:space="preserve"> receptor</w:t>
      </w:r>
      <w:r>
        <w:rPr>
          <w:bCs/>
          <w:sz w:val="22"/>
          <w:lang w:val="hr-HR"/>
        </w:rPr>
        <w:t>a</w:t>
      </w:r>
      <w:r w:rsidRPr="00E745DB">
        <w:rPr>
          <w:bCs/>
          <w:sz w:val="22"/>
          <w:lang w:val="hr-HR"/>
        </w:rPr>
        <w:t xml:space="preserve"> angiotenzina I</w:t>
      </w:r>
      <w:r>
        <w:rPr>
          <w:bCs/>
          <w:sz w:val="22"/>
          <w:lang w:val="hr-HR"/>
        </w:rPr>
        <w:t xml:space="preserve">I tip 1 (AT1) putem valsartana. </w:t>
      </w:r>
      <w:r w:rsidRPr="00E745DB">
        <w:rPr>
          <w:bCs/>
          <w:sz w:val="22"/>
          <w:lang w:val="hr-HR"/>
        </w:rPr>
        <w:t xml:space="preserve">Komplementarne </w:t>
      </w:r>
      <w:r>
        <w:rPr>
          <w:bCs/>
          <w:sz w:val="22"/>
          <w:lang w:val="hr-HR"/>
        </w:rPr>
        <w:t xml:space="preserve">kardiovaskularne koristi </w:t>
      </w:r>
      <w:r>
        <w:rPr>
          <w:bCs/>
          <w:sz w:val="22"/>
          <w:szCs w:val="20"/>
          <w:lang w:val="hr-HR"/>
        </w:rPr>
        <w:t>valsartan/sakubitril</w:t>
      </w:r>
      <w:r>
        <w:rPr>
          <w:bCs/>
          <w:sz w:val="22"/>
          <w:lang w:val="hr-HR"/>
        </w:rPr>
        <w:t xml:space="preserve"> kod</w:t>
      </w:r>
      <w:r w:rsidRPr="00E745DB">
        <w:rPr>
          <w:bCs/>
          <w:sz w:val="22"/>
          <w:lang w:val="hr-HR"/>
        </w:rPr>
        <w:t xml:space="preserve"> </w:t>
      </w:r>
      <w:r>
        <w:rPr>
          <w:bCs/>
          <w:sz w:val="22"/>
          <w:lang w:val="hr-HR"/>
        </w:rPr>
        <w:t>pacijenata</w:t>
      </w:r>
      <w:r w:rsidRPr="00E745DB">
        <w:rPr>
          <w:bCs/>
          <w:sz w:val="22"/>
          <w:lang w:val="hr-HR"/>
        </w:rPr>
        <w:t xml:space="preserve"> sa </w:t>
      </w:r>
      <w:r>
        <w:rPr>
          <w:bCs/>
          <w:sz w:val="22"/>
          <w:lang w:val="hr-HR"/>
        </w:rPr>
        <w:t>insuficijencijom</w:t>
      </w:r>
      <w:r w:rsidRPr="00E745DB">
        <w:rPr>
          <w:bCs/>
          <w:sz w:val="22"/>
          <w:lang w:val="hr-HR"/>
        </w:rPr>
        <w:t xml:space="preserve"> srca pripisuju s</w:t>
      </w:r>
      <w:r>
        <w:rPr>
          <w:bCs/>
          <w:sz w:val="22"/>
          <w:lang w:val="hr-HR"/>
        </w:rPr>
        <w:t>e povećanju količine peptida koje</w:t>
      </w:r>
      <w:r w:rsidRPr="00E745DB">
        <w:rPr>
          <w:bCs/>
          <w:sz w:val="22"/>
          <w:lang w:val="hr-HR"/>
        </w:rPr>
        <w:t xml:space="preserve"> neprilizin razgrađuje, kao što su natriuretski peptidi (NP), pomoću LBQ657 i </w:t>
      </w:r>
      <w:r>
        <w:rPr>
          <w:bCs/>
          <w:sz w:val="22"/>
          <w:lang w:val="hr-HR"/>
        </w:rPr>
        <w:t>simultanoj</w:t>
      </w:r>
      <w:r w:rsidRPr="00E745DB">
        <w:rPr>
          <w:bCs/>
          <w:sz w:val="22"/>
          <w:lang w:val="hr-HR"/>
        </w:rPr>
        <w:t xml:space="preserve"> inhibiciji </w:t>
      </w:r>
      <w:r>
        <w:rPr>
          <w:bCs/>
          <w:sz w:val="22"/>
          <w:lang w:val="hr-HR"/>
        </w:rPr>
        <w:t xml:space="preserve">efekata </w:t>
      </w:r>
      <w:r w:rsidRPr="00E745DB">
        <w:rPr>
          <w:bCs/>
          <w:sz w:val="22"/>
          <w:lang w:val="hr-HR"/>
        </w:rPr>
        <w:t>angiotenzina II od strane valsartana. NP</w:t>
      </w:r>
      <w:r w:rsidRPr="00E745DB">
        <w:rPr>
          <w:bCs/>
          <w:sz w:val="22"/>
          <w:lang w:val="hr-HR"/>
        </w:rPr>
        <w:noBreakHyphen/>
        <w:t xml:space="preserve">i ostvaruju svoje </w:t>
      </w:r>
      <w:r>
        <w:rPr>
          <w:bCs/>
          <w:sz w:val="22"/>
          <w:lang w:val="hr-HR"/>
        </w:rPr>
        <w:t>efekte</w:t>
      </w:r>
      <w:r w:rsidRPr="00E745DB">
        <w:rPr>
          <w:bCs/>
          <w:sz w:val="22"/>
          <w:lang w:val="hr-HR"/>
        </w:rPr>
        <w:t xml:space="preserve"> aktiviranjem za membranu vezanih receptora sparenih s</w:t>
      </w:r>
      <w:r>
        <w:rPr>
          <w:bCs/>
          <w:sz w:val="22"/>
          <w:lang w:val="hr-HR"/>
        </w:rPr>
        <w:t>a</w:t>
      </w:r>
      <w:r w:rsidRPr="00E745DB">
        <w:rPr>
          <w:bCs/>
          <w:sz w:val="22"/>
          <w:lang w:val="hr-HR"/>
        </w:rPr>
        <w:t xml:space="preserve"> guanilil ciklazom, što </w:t>
      </w:r>
      <w:r>
        <w:rPr>
          <w:bCs/>
          <w:sz w:val="22"/>
          <w:lang w:val="hr-HR"/>
        </w:rPr>
        <w:t>dovodi do povećane</w:t>
      </w:r>
      <w:r w:rsidRPr="00E745DB">
        <w:rPr>
          <w:bCs/>
          <w:sz w:val="22"/>
          <w:lang w:val="hr-HR"/>
        </w:rPr>
        <w:t xml:space="preserve"> koncentracij</w:t>
      </w:r>
      <w:r>
        <w:rPr>
          <w:bCs/>
          <w:sz w:val="22"/>
          <w:lang w:val="hr-HR"/>
        </w:rPr>
        <w:t>e</w:t>
      </w:r>
      <w:r w:rsidRPr="00E745DB">
        <w:rPr>
          <w:bCs/>
          <w:sz w:val="22"/>
          <w:lang w:val="hr-HR"/>
        </w:rPr>
        <w:t xml:space="preserve"> drugog glasnika ciklič</w:t>
      </w:r>
      <w:r>
        <w:rPr>
          <w:bCs/>
          <w:sz w:val="22"/>
          <w:lang w:val="hr-HR"/>
        </w:rPr>
        <w:t>n</w:t>
      </w:r>
      <w:r w:rsidRPr="00E745DB">
        <w:rPr>
          <w:bCs/>
          <w:sz w:val="22"/>
          <w:lang w:val="hr-HR"/>
        </w:rPr>
        <w:t xml:space="preserve">og guanozin monofosfata (cGMP), što bi moglo </w:t>
      </w:r>
      <w:r>
        <w:rPr>
          <w:bCs/>
          <w:sz w:val="22"/>
          <w:lang w:val="hr-HR"/>
        </w:rPr>
        <w:t>da dovede do</w:t>
      </w:r>
      <w:r w:rsidRPr="00E745DB">
        <w:rPr>
          <w:bCs/>
          <w:sz w:val="22"/>
          <w:lang w:val="hr-HR"/>
        </w:rPr>
        <w:t xml:space="preserve"> vazodilatacij</w:t>
      </w:r>
      <w:r>
        <w:rPr>
          <w:bCs/>
          <w:sz w:val="22"/>
          <w:lang w:val="hr-HR"/>
        </w:rPr>
        <w:t>e</w:t>
      </w:r>
      <w:r w:rsidRPr="00E745DB">
        <w:rPr>
          <w:bCs/>
          <w:sz w:val="22"/>
          <w:lang w:val="hr-HR"/>
        </w:rPr>
        <w:t>, natriurez</w:t>
      </w:r>
      <w:r>
        <w:rPr>
          <w:bCs/>
          <w:sz w:val="22"/>
          <w:lang w:val="hr-HR"/>
        </w:rPr>
        <w:t>e</w:t>
      </w:r>
      <w:r w:rsidRPr="00E745DB">
        <w:rPr>
          <w:bCs/>
          <w:sz w:val="22"/>
          <w:lang w:val="hr-HR"/>
        </w:rPr>
        <w:t xml:space="preserve"> i diurez</w:t>
      </w:r>
      <w:r>
        <w:rPr>
          <w:bCs/>
          <w:sz w:val="22"/>
          <w:lang w:val="hr-HR"/>
        </w:rPr>
        <w:t>e</w:t>
      </w:r>
      <w:r w:rsidRPr="00E745DB">
        <w:rPr>
          <w:bCs/>
          <w:sz w:val="22"/>
          <w:lang w:val="hr-HR"/>
        </w:rPr>
        <w:t>, povećanj</w:t>
      </w:r>
      <w:r>
        <w:rPr>
          <w:bCs/>
          <w:sz w:val="22"/>
          <w:lang w:val="hr-HR"/>
        </w:rPr>
        <w:t>a</w:t>
      </w:r>
      <w:r w:rsidRPr="00E745DB">
        <w:rPr>
          <w:bCs/>
          <w:sz w:val="22"/>
          <w:lang w:val="hr-HR"/>
        </w:rPr>
        <w:t xml:space="preserve"> </w:t>
      </w:r>
      <w:r>
        <w:rPr>
          <w:bCs/>
          <w:sz w:val="22"/>
          <w:lang w:val="hr-HR"/>
        </w:rPr>
        <w:t xml:space="preserve">stepena </w:t>
      </w:r>
      <w:r w:rsidRPr="00E745DB">
        <w:rPr>
          <w:bCs/>
          <w:sz w:val="22"/>
          <w:lang w:val="hr-HR"/>
        </w:rPr>
        <w:t>glomerularne filtracije i protoka krvi kroz bubrege, inhibicij</w:t>
      </w:r>
      <w:r>
        <w:rPr>
          <w:bCs/>
          <w:sz w:val="22"/>
          <w:lang w:val="hr-HR"/>
        </w:rPr>
        <w:t>e</w:t>
      </w:r>
      <w:r w:rsidRPr="00E745DB">
        <w:rPr>
          <w:bCs/>
          <w:sz w:val="22"/>
          <w:lang w:val="hr-HR"/>
        </w:rPr>
        <w:t xml:space="preserve"> o</w:t>
      </w:r>
      <w:r>
        <w:rPr>
          <w:bCs/>
          <w:sz w:val="22"/>
          <w:lang w:val="hr-HR"/>
        </w:rPr>
        <w:t>slobađanja</w:t>
      </w:r>
      <w:r w:rsidRPr="00E745DB">
        <w:rPr>
          <w:bCs/>
          <w:sz w:val="22"/>
          <w:lang w:val="hr-HR"/>
        </w:rPr>
        <w:t xml:space="preserve"> renina i aldosterona, smanjenj</w:t>
      </w:r>
      <w:r>
        <w:rPr>
          <w:bCs/>
          <w:sz w:val="22"/>
          <w:lang w:val="hr-HR"/>
        </w:rPr>
        <w:t>a</w:t>
      </w:r>
      <w:r w:rsidRPr="00E745DB">
        <w:rPr>
          <w:bCs/>
          <w:sz w:val="22"/>
          <w:lang w:val="hr-HR"/>
        </w:rPr>
        <w:t xml:space="preserve"> simpatičke aktivnosti </w:t>
      </w:r>
      <w:r>
        <w:rPr>
          <w:bCs/>
          <w:sz w:val="22"/>
          <w:lang w:val="hr-HR"/>
        </w:rPr>
        <w:t>i</w:t>
      </w:r>
      <w:r w:rsidRPr="00E745DB">
        <w:rPr>
          <w:bCs/>
          <w:sz w:val="22"/>
          <w:lang w:val="hr-HR"/>
        </w:rPr>
        <w:t xml:space="preserve"> antihipertrofič</w:t>
      </w:r>
      <w:r>
        <w:rPr>
          <w:bCs/>
          <w:sz w:val="22"/>
          <w:lang w:val="hr-HR"/>
        </w:rPr>
        <w:t>kih</w:t>
      </w:r>
      <w:r w:rsidRPr="00E745DB">
        <w:rPr>
          <w:bCs/>
          <w:sz w:val="22"/>
          <w:lang w:val="hr-HR"/>
        </w:rPr>
        <w:t xml:space="preserve"> i antifibrotički</w:t>
      </w:r>
      <w:r>
        <w:rPr>
          <w:bCs/>
          <w:sz w:val="22"/>
          <w:lang w:val="hr-HR"/>
        </w:rPr>
        <w:t>h</w:t>
      </w:r>
      <w:r w:rsidRPr="00E745DB">
        <w:rPr>
          <w:bCs/>
          <w:sz w:val="22"/>
          <w:lang w:val="hr-HR"/>
        </w:rPr>
        <w:t xml:space="preserve"> </w:t>
      </w:r>
      <w:r>
        <w:rPr>
          <w:bCs/>
          <w:sz w:val="22"/>
          <w:lang w:val="hr-HR"/>
        </w:rPr>
        <w:t>efekata</w:t>
      </w:r>
      <w:r w:rsidRPr="00E745DB">
        <w:rPr>
          <w:bCs/>
          <w:sz w:val="22"/>
          <w:lang w:val="hr-HR"/>
        </w:rPr>
        <w:t>.</w:t>
      </w:r>
    </w:p>
    <w:p w14:paraId="16B3E535" w14:textId="77777777" w:rsidR="00B96A91" w:rsidRPr="00E745DB" w:rsidRDefault="00B96A91" w:rsidP="001B64BC">
      <w:pPr>
        <w:widowControl w:val="0"/>
        <w:autoSpaceDE w:val="0"/>
        <w:autoSpaceDN w:val="0"/>
        <w:adjustRightInd w:val="0"/>
        <w:jc w:val="both"/>
        <w:rPr>
          <w:bCs/>
          <w:sz w:val="22"/>
          <w:lang w:val="hr-HR"/>
        </w:rPr>
      </w:pPr>
    </w:p>
    <w:p w14:paraId="0E6CE445" w14:textId="77777777" w:rsidR="00B96A91" w:rsidRPr="00E745DB" w:rsidRDefault="00B96A91" w:rsidP="001B64BC">
      <w:pPr>
        <w:widowControl w:val="0"/>
        <w:autoSpaceDE w:val="0"/>
        <w:autoSpaceDN w:val="0"/>
        <w:adjustRightInd w:val="0"/>
        <w:jc w:val="both"/>
        <w:rPr>
          <w:bCs/>
          <w:sz w:val="22"/>
          <w:lang w:val="hr-HR"/>
        </w:rPr>
      </w:pPr>
      <w:r w:rsidRPr="00E745DB">
        <w:rPr>
          <w:bCs/>
          <w:sz w:val="22"/>
          <w:lang w:val="hr-HR"/>
        </w:rPr>
        <w:t xml:space="preserve">Valsartan inhibira štetne </w:t>
      </w:r>
      <w:r>
        <w:rPr>
          <w:bCs/>
          <w:sz w:val="22"/>
          <w:lang w:val="hr-HR"/>
        </w:rPr>
        <w:t>kardio</w:t>
      </w:r>
      <w:r w:rsidRPr="00E745DB">
        <w:rPr>
          <w:bCs/>
          <w:sz w:val="22"/>
          <w:lang w:val="hr-HR"/>
        </w:rPr>
        <w:t xml:space="preserve">vaskularne i renalne </w:t>
      </w:r>
      <w:r>
        <w:rPr>
          <w:bCs/>
          <w:sz w:val="22"/>
          <w:lang w:val="hr-HR"/>
        </w:rPr>
        <w:t>efekte</w:t>
      </w:r>
      <w:r w:rsidRPr="00E745DB">
        <w:rPr>
          <w:bCs/>
          <w:sz w:val="22"/>
          <w:lang w:val="hr-HR"/>
        </w:rPr>
        <w:t xml:space="preserve"> angiotenzina II tako što selektivno blokira AT1 receptor </w:t>
      </w:r>
      <w:r>
        <w:rPr>
          <w:bCs/>
          <w:sz w:val="22"/>
          <w:lang w:val="hr-HR"/>
        </w:rPr>
        <w:t>i</w:t>
      </w:r>
      <w:r w:rsidRPr="00E745DB">
        <w:rPr>
          <w:bCs/>
          <w:sz w:val="22"/>
          <w:lang w:val="hr-HR"/>
        </w:rPr>
        <w:t xml:space="preserve"> takođe inhibira o</w:t>
      </w:r>
      <w:r>
        <w:rPr>
          <w:bCs/>
          <w:sz w:val="22"/>
          <w:lang w:val="hr-HR"/>
        </w:rPr>
        <w:t>slobađanje</w:t>
      </w:r>
      <w:r w:rsidRPr="00E745DB">
        <w:rPr>
          <w:bCs/>
          <w:sz w:val="22"/>
          <w:lang w:val="hr-HR"/>
        </w:rPr>
        <w:t xml:space="preserve"> aldosterona </w:t>
      </w:r>
      <w:r>
        <w:rPr>
          <w:bCs/>
          <w:sz w:val="22"/>
          <w:lang w:val="hr-HR"/>
        </w:rPr>
        <w:t>zavisno</w:t>
      </w:r>
      <w:r w:rsidRPr="00E745DB">
        <w:rPr>
          <w:bCs/>
          <w:sz w:val="22"/>
          <w:lang w:val="hr-HR"/>
        </w:rPr>
        <w:t xml:space="preserve"> o</w:t>
      </w:r>
      <w:r>
        <w:rPr>
          <w:bCs/>
          <w:sz w:val="22"/>
          <w:lang w:val="hr-HR"/>
        </w:rPr>
        <w:t>d</w:t>
      </w:r>
      <w:r w:rsidRPr="00E745DB">
        <w:rPr>
          <w:bCs/>
          <w:sz w:val="22"/>
          <w:lang w:val="hr-HR"/>
        </w:rPr>
        <w:t xml:space="preserve"> angiotenzin</w:t>
      </w:r>
      <w:r>
        <w:rPr>
          <w:bCs/>
          <w:sz w:val="22"/>
          <w:lang w:val="hr-HR"/>
        </w:rPr>
        <w:t>a</w:t>
      </w:r>
      <w:r w:rsidRPr="00E745DB">
        <w:rPr>
          <w:bCs/>
          <w:sz w:val="22"/>
          <w:lang w:val="hr-HR"/>
        </w:rPr>
        <w:t xml:space="preserve"> II. </w:t>
      </w:r>
      <w:r>
        <w:rPr>
          <w:bCs/>
          <w:sz w:val="22"/>
          <w:lang w:val="hr-HR"/>
        </w:rPr>
        <w:t xml:space="preserve">Ovo </w:t>
      </w:r>
      <w:r w:rsidRPr="00E745DB">
        <w:rPr>
          <w:bCs/>
          <w:sz w:val="22"/>
          <w:lang w:val="hr-HR"/>
        </w:rPr>
        <w:t>sprečava održa</w:t>
      </w:r>
      <w:r>
        <w:rPr>
          <w:bCs/>
          <w:sz w:val="22"/>
          <w:lang w:val="hr-HR"/>
        </w:rPr>
        <w:t>vanje</w:t>
      </w:r>
      <w:r w:rsidRPr="00E745DB">
        <w:rPr>
          <w:bCs/>
          <w:sz w:val="22"/>
          <w:lang w:val="hr-HR"/>
        </w:rPr>
        <w:t xml:space="preserve"> aktivacij</w:t>
      </w:r>
      <w:r>
        <w:rPr>
          <w:bCs/>
          <w:sz w:val="22"/>
          <w:lang w:val="hr-HR"/>
        </w:rPr>
        <w:t>e</w:t>
      </w:r>
      <w:r w:rsidRPr="00E745DB">
        <w:rPr>
          <w:bCs/>
          <w:sz w:val="22"/>
          <w:lang w:val="hr-HR"/>
        </w:rPr>
        <w:t xml:space="preserve"> renin-angiotenzin-aldosteronskog s</w:t>
      </w:r>
      <w:r>
        <w:rPr>
          <w:bCs/>
          <w:sz w:val="22"/>
          <w:lang w:val="hr-HR"/>
        </w:rPr>
        <w:t xml:space="preserve">istema koji bi doveo do </w:t>
      </w:r>
      <w:r w:rsidRPr="00E745DB">
        <w:rPr>
          <w:bCs/>
          <w:sz w:val="22"/>
          <w:lang w:val="hr-HR"/>
        </w:rPr>
        <w:t>vazokonstrikcij</w:t>
      </w:r>
      <w:r>
        <w:rPr>
          <w:bCs/>
          <w:sz w:val="22"/>
          <w:lang w:val="hr-HR"/>
        </w:rPr>
        <w:t>e</w:t>
      </w:r>
      <w:r w:rsidRPr="00E745DB">
        <w:rPr>
          <w:bCs/>
          <w:sz w:val="22"/>
          <w:lang w:val="hr-HR"/>
        </w:rPr>
        <w:t>, zadržavanj</w:t>
      </w:r>
      <w:r>
        <w:rPr>
          <w:bCs/>
          <w:sz w:val="22"/>
          <w:lang w:val="hr-HR"/>
        </w:rPr>
        <w:t>a</w:t>
      </w:r>
      <w:r w:rsidRPr="00E745DB">
        <w:rPr>
          <w:bCs/>
          <w:sz w:val="22"/>
          <w:lang w:val="hr-HR"/>
        </w:rPr>
        <w:t xml:space="preserve"> natrij</w:t>
      </w:r>
      <w:r>
        <w:rPr>
          <w:bCs/>
          <w:sz w:val="22"/>
          <w:lang w:val="hr-HR"/>
        </w:rPr>
        <w:t>um</w:t>
      </w:r>
      <w:r w:rsidRPr="00E745DB">
        <w:rPr>
          <w:bCs/>
          <w:sz w:val="22"/>
          <w:lang w:val="hr-HR"/>
        </w:rPr>
        <w:t>a i te</w:t>
      </w:r>
      <w:r>
        <w:rPr>
          <w:bCs/>
          <w:sz w:val="22"/>
          <w:lang w:val="hr-HR"/>
        </w:rPr>
        <w:t>čnosti</w:t>
      </w:r>
      <w:r w:rsidRPr="00E745DB">
        <w:rPr>
          <w:bCs/>
          <w:sz w:val="22"/>
          <w:lang w:val="hr-HR"/>
        </w:rPr>
        <w:t xml:space="preserve"> putem bubrega, aktivacij</w:t>
      </w:r>
      <w:r>
        <w:rPr>
          <w:bCs/>
          <w:sz w:val="22"/>
          <w:lang w:val="hr-HR"/>
        </w:rPr>
        <w:t>e</w:t>
      </w:r>
      <w:r w:rsidRPr="00E745DB">
        <w:rPr>
          <w:bCs/>
          <w:sz w:val="22"/>
          <w:lang w:val="hr-HR"/>
        </w:rPr>
        <w:t xml:space="preserve"> </w:t>
      </w:r>
      <w:r>
        <w:rPr>
          <w:bCs/>
          <w:sz w:val="22"/>
          <w:lang w:val="hr-HR"/>
        </w:rPr>
        <w:t>ćelijskog</w:t>
      </w:r>
      <w:r w:rsidRPr="00E745DB">
        <w:rPr>
          <w:bCs/>
          <w:sz w:val="22"/>
          <w:lang w:val="hr-HR"/>
        </w:rPr>
        <w:t xml:space="preserve"> rasta i proliferacije</w:t>
      </w:r>
      <w:r>
        <w:rPr>
          <w:bCs/>
          <w:sz w:val="22"/>
          <w:lang w:val="hr-HR"/>
        </w:rPr>
        <w:t xml:space="preserve">, i posljedičnog </w:t>
      </w:r>
      <w:r w:rsidRPr="00E745DB">
        <w:rPr>
          <w:bCs/>
          <w:sz w:val="22"/>
          <w:lang w:val="hr-HR"/>
        </w:rPr>
        <w:t>maladaptivn</w:t>
      </w:r>
      <w:r>
        <w:rPr>
          <w:bCs/>
          <w:sz w:val="22"/>
          <w:lang w:val="hr-HR"/>
        </w:rPr>
        <w:t>og</w:t>
      </w:r>
      <w:r w:rsidRPr="00E745DB">
        <w:rPr>
          <w:bCs/>
          <w:sz w:val="22"/>
          <w:lang w:val="hr-HR"/>
        </w:rPr>
        <w:t xml:space="preserve"> kardiovaskularn</w:t>
      </w:r>
      <w:r>
        <w:rPr>
          <w:bCs/>
          <w:sz w:val="22"/>
          <w:lang w:val="hr-HR"/>
        </w:rPr>
        <w:t>og</w:t>
      </w:r>
      <w:r w:rsidRPr="00E745DB">
        <w:rPr>
          <w:bCs/>
          <w:sz w:val="22"/>
          <w:lang w:val="hr-HR"/>
        </w:rPr>
        <w:t xml:space="preserve"> </w:t>
      </w:r>
      <w:r>
        <w:rPr>
          <w:bCs/>
          <w:sz w:val="22"/>
          <w:lang w:val="hr-HR"/>
        </w:rPr>
        <w:t>remodelovanja</w:t>
      </w:r>
      <w:r w:rsidRPr="00E745DB">
        <w:rPr>
          <w:bCs/>
          <w:sz w:val="22"/>
          <w:lang w:val="hr-HR"/>
        </w:rPr>
        <w:t>.</w:t>
      </w:r>
    </w:p>
    <w:p w14:paraId="027DDF85" w14:textId="77777777" w:rsidR="00B96A91" w:rsidRPr="00E745DB" w:rsidRDefault="00B96A91" w:rsidP="001B64BC">
      <w:pPr>
        <w:widowControl w:val="0"/>
        <w:autoSpaceDE w:val="0"/>
        <w:autoSpaceDN w:val="0"/>
        <w:adjustRightInd w:val="0"/>
        <w:rPr>
          <w:sz w:val="22"/>
          <w:szCs w:val="22"/>
          <w:lang w:val="hr-HR"/>
        </w:rPr>
      </w:pPr>
    </w:p>
    <w:p w14:paraId="31F4AA7D" w14:textId="77777777" w:rsidR="00B96A91" w:rsidRPr="00E745DB" w:rsidRDefault="00B96A91" w:rsidP="001B64BC">
      <w:pPr>
        <w:keepNext/>
        <w:widowControl w:val="0"/>
        <w:autoSpaceDE w:val="0"/>
        <w:autoSpaceDN w:val="0"/>
        <w:adjustRightInd w:val="0"/>
        <w:rPr>
          <w:sz w:val="22"/>
          <w:szCs w:val="22"/>
          <w:lang w:val="hr-HR"/>
        </w:rPr>
      </w:pPr>
      <w:r w:rsidRPr="00E745DB">
        <w:rPr>
          <w:sz w:val="22"/>
          <w:szCs w:val="22"/>
          <w:u w:val="single"/>
          <w:lang w:val="hr-HR"/>
        </w:rPr>
        <w:t>Farmakodinam</w:t>
      </w:r>
      <w:r>
        <w:rPr>
          <w:sz w:val="22"/>
          <w:szCs w:val="22"/>
          <w:u w:val="single"/>
          <w:lang w:val="hr-HR"/>
        </w:rPr>
        <w:t>ski efekti</w:t>
      </w:r>
    </w:p>
    <w:p w14:paraId="123D4798" w14:textId="77777777" w:rsidR="00B96A91" w:rsidRPr="00E745DB" w:rsidRDefault="00B96A91" w:rsidP="001B64BC">
      <w:pPr>
        <w:keepNext/>
        <w:widowControl w:val="0"/>
        <w:jc w:val="both"/>
        <w:rPr>
          <w:sz w:val="22"/>
          <w:szCs w:val="20"/>
          <w:lang w:val="hr-HR"/>
        </w:rPr>
      </w:pPr>
    </w:p>
    <w:p w14:paraId="53F055F4" w14:textId="643D14B0" w:rsidR="00B96A91" w:rsidRPr="00E745DB" w:rsidRDefault="00B96A91" w:rsidP="001B64BC">
      <w:pPr>
        <w:widowControl w:val="0"/>
        <w:jc w:val="both"/>
        <w:rPr>
          <w:bCs/>
          <w:sz w:val="22"/>
          <w:lang w:val="hr-HR"/>
        </w:rPr>
      </w:pPr>
      <w:r w:rsidRPr="00E745DB">
        <w:rPr>
          <w:sz w:val="22"/>
          <w:szCs w:val="20"/>
          <w:lang w:val="hr-HR"/>
        </w:rPr>
        <w:t>Farmakodinam</w:t>
      </w:r>
      <w:r>
        <w:rPr>
          <w:sz w:val="22"/>
          <w:szCs w:val="20"/>
          <w:lang w:val="hr-HR"/>
        </w:rPr>
        <w:t xml:space="preserve">ski efekti </w:t>
      </w:r>
      <w:r>
        <w:rPr>
          <w:bCs/>
          <w:sz w:val="22"/>
          <w:szCs w:val="20"/>
          <w:lang w:val="hr-HR"/>
        </w:rPr>
        <w:t>valsartan/sakubitril</w:t>
      </w:r>
      <w:r w:rsidRPr="00E745DB">
        <w:rPr>
          <w:sz w:val="22"/>
          <w:szCs w:val="20"/>
          <w:lang w:val="hr-HR"/>
        </w:rPr>
        <w:t xml:space="preserve"> </w:t>
      </w:r>
      <w:r>
        <w:rPr>
          <w:sz w:val="22"/>
          <w:szCs w:val="20"/>
          <w:lang w:val="hr-HR"/>
        </w:rPr>
        <w:t>su procjenjivani nakon primjen</w:t>
      </w:r>
      <w:r w:rsidRPr="00E745DB">
        <w:rPr>
          <w:sz w:val="22"/>
          <w:szCs w:val="20"/>
          <w:lang w:val="hr-HR"/>
        </w:rPr>
        <w:t xml:space="preserve">e </w:t>
      </w:r>
      <w:r>
        <w:rPr>
          <w:sz w:val="22"/>
          <w:szCs w:val="20"/>
          <w:lang w:val="hr-HR"/>
        </w:rPr>
        <w:t>pojedinačnih</w:t>
      </w:r>
      <w:r w:rsidRPr="00E745DB">
        <w:rPr>
          <w:sz w:val="22"/>
          <w:szCs w:val="20"/>
          <w:lang w:val="hr-HR"/>
        </w:rPr>
        <w:t xml:space="preserve"> i </w:t>
      </w:r>
      <w:r>
        <w:rPr>
          <w:sz w:val="22"/>
          <w:szCs w:val="20"/>
          <w:lang w:val="hr-HR"/>
        </w:rPr>
        <w:t>ponovljenih</w:t>
      </w:r>
      <w:r w:rsidRPr="00E745DB">
        <w:rPr>
          <w:sz w:val="22"/>
          <w:szCs w:val="20"/>
          <w:lang w:val="hr-HR"/>
        </w:rPr>
        <w:t xml:space="preserve"> doza </w:t>
      </w:r>
      <w:r>
        <w:rPr>
          <w:sz w:val="22"/>
          <w:szCs w:val="20"/>
          <w:lang w:val="hr-HR"/>
        </w:rPr>
        <w:t>kod</w:t>
      </w:r>
      <w:r w:rsidRPr="00E745DB">
        <w:rPr>
          <w:sz w:val="22"/>
          <w:szCs w:val="20"/>
          <w:lang w:val="hr-HR"/>
        </w:rPr>
        <w:t xml:space="preserve"> zdravih ispitanika i </w:t>
      </w:r>
      <w:r>
        <w:rPr>
          <w:sz w:val="22"/>
          <w:szCs w:val="20"/>
          <w:lang w:val="hr-HR"/>
        </w:rPr>
        <w:t>kod</w:t>
      </w:r>
      <w:r w:rsidRPr="00E745DB">
        <w:rPr>
          <w:sz w:val="22"/>
          <w:szCs w:val="20"/>
          <w:lang w:val="hr-HR"/>
        </w:rPr>
        <w:t xml:space="preserve"> </w:t>
      </w:r>
      <w:r>
        <w:rPr>
          <w:sz w:val="22"/>
          <w:szCs w:val="20"/>
          <w:lang w:val="hr-HR"/>
        </w:rPr>
        <w:t>pacijenata</w:t>
      </w:r>
      <w:r w:rsidRPr="00E745DB">
        <w:rPr>
          <w:sz w:val="22"/>
          <w:szCs w:val="20"/>
          <w:lang w:val="hr-HR"/>
        </w:rPr>
        <w:t xml:space="preserve"> sa </w:t>
      </w:r>
      <w:r>
        <w:rPr>
          <w:sz w:val="22"/>
          <w:szCs w:val="20"/>
          <w:lang w:val="hr-HR"/>
        </w:rPr>
        <w:t>insuficijencijom</w:t>
      </w:r>
      <w:r w:rsidRPr="00E745DB">
        <w:rPr>
          <w:sz w:val="22"/>
          <w:szCs w:val="20"/>
          <w:lang w:val="hr-HR"/>
        </w:rPr>
        <w:t xml:space="preserve"> srca, </w:t>
      </w:r>
      <w:r>
        <w:rPr>
          <w:sz w:val="22"/>
          <w:szCs w:val="20"/>
          <w:lang w:val="hr-HR"/>
        </w:rPr>
        <w:t>i</w:t>
      </w:r>
      <w:r w:rsidRPr="00E745DB">
        <w:rPr>
          <w:sz w:val="22"/>
          <w:szCs w:val="20"/>
          <w:lang w:val="hr-HR"/>
        </w:rPr>
        <w:t xml:space="preserve"> u skladu s</w:t>
      </w:r>
      <w:r>
        <w:rPr>
          <w:sz w:val="22"/>
          <w:szCs w:val="20"/>
          <w:lang w:val="hr-HR"/>
        </w:rPr>
        <w:t>u sa simultanom</w:t>
      </w:r>
      <w:r w:rsidRPr="00E745DB">
        <w:rPr>
          <w:sz w:val="22"/>
          <w:szCs w:val="20"/>
          <w:lang w:val="hr-HR"/>
        </w:rPr>
        <w:t xml:space="preserve"> inhibicijom neprilizina i blokadom RAAS</w:t>
      </w:r>
      <w:r w:rsidRPr="00E745DB">
        <w:rPr>
          <w:sz w:val="22"/>
          <w:szCs w:val="20"/>
          <w:lang w:val="hr-HR"/>
        </w:rPr>
        <w:noBreakHyphen/>
        <w:t>a. U 7</w:t>
      </w:r>
      <w:r w:rsidRPr="00E745DB">
        <w:rPr>
          <w:sz w:val="22"/>
          <w:szCs w:val="20"/>
          <w:lang w:val="hr-HR"/>
        </w:rPr>
        <w:noBreakHyphen/>
        <w:t>dnevno</w:t>
      </w:r>
      <w:r>
        <w:rPr>
          <w:sz w:val="22"/>
          <w:szCs w:val="20"/>
          <w:lang w:val="hr-HR"/>
        </w:rPr>
        <w:t>j</w:t>
      </w:r>
      <w:r w:rsidRPr="00E745DB">
        <w:rPr>
          <w:sz w:val="22"/>
          <w:szCs w:val="20"/>
          <w:lang w:val="hr-HR"/>
        </w:rPr>
        <w:t xml:space="preserve"> </w:t>
      </w:r>
      <w:r>
        <w:rPr>
          <w:sz w:val="22"/>
          <w:szCs w:val="20"/>
          <w:lang w:val="hr-HR"/>
        </w:rPr>
        <w:t>k</w:t>
      </w:r>
      <w:r w:rsidRPr="00E745DB">
        <w:rPr>
          <w:sz w:val="22"/>
          <w:szCs w:val="20"/>
          <w:lang w:val="hr-HR"/>
        </w:rPr>
        <w:t>ontroli</w:t>
      </w:r>
      <w:r>
        <w:rPr>
          <w:sz w:val="22"/>
          <w:szCs w:val="20"/>
          <w:lang w:val="hr-HR"/>
        </w:rPr>
        <w:t>sanoj studiji sa valsartanom</w:t>
      </w:r>
      <w:r w:rsidRPr="00E745DB">
        <w:rPr>
          <w:sz w:val="22"/>
          <w:szCs w:val="20"/>
          <w:lang w:val="hr-HR"/>
        </w:rPr>
        <w:t xml:space="preserve"> </w:t>
      </w:r>
      <w:r>
        <w:rPr>
          <w:sz w:val="22"/>
          <w:szCs w:val="20"/>
          <w:lang w:val="hr-HR"/>
        </w:rPr>
        <w:t>kod</w:t>
      </w:r>
      <w:r w:rsidRPr="00E745DB">
        <w:rPr>
          <w:sz w:val="22"/>
          <w:szCs w:val="20"/>
          <w:lang w:val="hr-HR"/>
        </w:rPr>
        <w:t xml:space="preserve"> </w:t>
      </w:r>
      <w:r>
        <w:rPr>
          <w:sz w:val="22"/>
          <w:szCs w:val="20"/>
          <w:lang w:val="hr-HR"/>
        </w:rPr>
        <w:t>pacijenata</w:t>
      </w:r>
      <w:r w:rsidRPr="00E745DB">
        <w:rPr>
          <w:sz w:val="22"/>
          <w:szCs w:val="20"/>
          <w:lang w:val="hr-HR"/>
        </w:rPr>
        <w:t xml:space="preserve"> sa sniženom ejekci</w:t>
      </w:r>
      <w:r>
        <w:rPr>
          <w:sz w:val="22"/>
          <w:szCs w:val="20"/>
          <w:lang w:val="hr-HR"/>
        </w:rPr>
        <w:t>onom</w:t>
      </w:r>
      <w:r w:rsidRPr="00E745DB">
        <w:rPr>
          <w:sz w:val="22"/>
          <w:szCs w:val="20"/>
          <w:lang w:val="hr-HR"/>
        </w:rPr>
        <w:t xml:space="preserve"> frakcijom (HFrEF), </w:t>
      </w:r>
      <w:r>
        <w:rPr>
          <w:sz w:val="22"/>
          <w:szCs w:val="20"/>
          <w:lang w:val="hr-HR"/>
        </w:rPr>
        <w:t>primjen</w:t>
      </w:r>
      <w:r w:rsidRPr="00E745DB">
        <w:rPr>
          <w:sz w:val="22"/>
          <w:szCs w:val="20"/>
          <w:lang w:val="hr-HR"/>
        </w:rPr>
        <w:t>a</w:t>
      </w:r>
      <w:r>
        <w:rPr>
          <w:sz w:val="22"/>
          <w:szCs w:val="20"/>
          <w:lang w:val="hr-HR"/>
        </w:rPr>
        <w:t xml:space="preserve"> </w:t>
      </w:r>
      <w:r>
        <w:rPr>
          <w:bCs/>
          <w:sz w:val="22"/>
          <w:szCs w:val="20"/>
          <w:lang w:val="hr-HR"/>
        </w:rPr>
        <w:t>valsartan/sakubitril</w:t>
      </w:r>
      <w:r>
        <w:rPr>
          <w:sz w:val="22"/>
          <w:szCs w:val="20"/>
          <w:lang w:val="hr-HR"/>
        </w:rPr>
        <w:t xml:space="preserve"> je dovela do</w:t>
      </w:r>
      <w:r w:rsidRPr="00E745DB">
        <w:rPr>
          <w:sz w:val="22"/>
          <w:szCs w:val="20"/>
          <w:lang w:val="hr-HR"/>
        </w:rPr>
        <w:t xml:space="preserve"> početn</w:t>
      </w:r>
      <w:r>
        <w:rPr>
          <w:sz w:val="22"/>
          <w:szCs w:val="20"/>
          <w:lang w:val="hr-HR"/>
        </w:rPr>
        <w:t>og</w:t>
      </w:r>
      <w:r w:rsidRPr="00E745DB">
        <w:rPr>
          <w:sz w:val="22"/>
          <w:szCs w:val="20"/>
          <w:lang w:val="hr-HR"/>
        </w:rPr>
        <w:t xml:space="preserve"> povećanj</w:t>
      </w:r>
      <w:r>
        <w:rPr>
          <w:sz w:val="22"/>
          <w:szCs w:val="20"/>
          <w:lang w:val="hr-HR"/>
        </w:rPr>
        <w:t>a</w:t>
      </w:r>
      <w:r w:rsidRPr="00E745DB">
        <w:rPr>
          <w:sz w:val="22"/>
          <w:szCs w:val="20"/>
          <w:lang w:val="hr-HR"/>
        </w:rPr>
        <w:t xml:space="preserve">  natriureze, povećanj</w:t>
      </w:r>
      <w:r>
        <w:rPr>
          <w:sz w:val="22"/>
          <w:szCs w:val="20"/>
          <w:lang w:val="hr-HR"/>
        </w:rPr>
        <w:t>a</w:t>
      </w:r>
      <w:r w:rsidRPr="00E745DB">
        <w:rPr>
          <w:sz w:val="22"/>
          <w:szCs w:val="20"/>
          <w:lang w:val="hr-HR"/>
        </w:rPr>
        <w:t xml:space="preserve"> koncentracije cGMP</w:t>
      </w:r>
      <w:r w:rsidRPr="00E745DB">
        <w:rPr>
          <w:sz w:val="22"/>
          <w:szCs w:val="20"/>
          <w:lang w:val="hr-HR"/>
        </w:rPr>
        <w:noBreakHyphen/>
        <w:t xml:space="preserve">a u </w:t>
      </w:r>
      <w:r>
        <w:rPr>
          <w:sz w:val="22"/>
          <w:szCs w:val="20"/>
          <w:lang w:val="hr-HR"/>
        </w:rPr>
        <w:t xml:space="preserve">urinu i </w:t>
      </w:r>
      <w:r w:rsidRPr="00E745DB">
        <w:rPr>
          <w:sz w:val="22"/>
          <w:szCs w:val="20"/>
          <w:lang w:val="hr-HR"/>
        </w:rPr>
        <w:t>smanjen</w:t>
      </w:r>
      <w:r>
        <w:rPr>
          <w:sz w:val="22"/>
          <w:szCs w:val="20"/>
          <w:lang w:val="hr-HR"/>
        </w:rPr>
        <w:t>ja</w:t>
      </w:r>
      <w:r w:rsidRPr="00E745DB">
        <w:rPr>
          <w:sz w:val="22"/>
          <w:szCs w:val="20"/>
          <w:lang w:val="hr-HR"/>
        </w:rPr>
        <w:t xml:space="preserve"> </w:t>
      </w:r>
      <w:r>
        <w:rPr>
          <w:sz w:val="22"/>
          <w:szCs w:val="20"/>
          <w:lang w:val="hr-HR"/>
        </w:rPr>
        <w:t>nivoa u plazmi</w:t>
      </w:r>
      <w:r w:rsidRPr="00E745DB">
        <w:rPr>
          <w:sz w:val="22"/>
          <w:szCs w:val="20"/>
          <w:lang w:val="hr-HR"/>
        </w:rPr>
        <w:t xml:space="preserve"> srednje-regionalnog proatrijalnog natriuretskog peptida (MR</w:t>
      </w:r>
      <w:r w:rsidRPr="00E745DB">
        <w:rPr>
          <w:sz w:val="22"/>
          <w:szCs w:val="20"/>
          <w:lang w:val="hr-HR"/>
        </w:rPr>
        <w:noBreakHyphen/>
        <w:t>proANP) i N</w:t>
      </w:r>
      <w:r w:rsidRPr="00E745DB">
        <w:rPr>
          <w:sz w:val="22"/>
          <w:szCs w:val="20"/>
          <w:lang w:val="hr-HR"/>
        </w:rPr>
        <w:noBreakHyphen/>
        <w:t>terminalnog prohormona moždanog natriuretskog peptida (NT</w:t>
      </w:r>
      <w:r w:rsidRPr="00E745DB">
        <w:rPr>
          <w:sz w:val="22"/>
          <w:szCs w:val="20"/>
          <w:lang w:val="hr-HR"/>
        </w:rPr>
        <w:noBreakHyphen/>
        <w:t xml:space="preserve">proBNP) u </w:t>
      </w:r>
      <w:r>
        <w:rPr>
          <w:sz w:val="22"/>
          <w:szCs w:val="20"/>
          <w:lang w:val="hr-HR"/>
        </w:rPr>
        <w:t xml:space="preserve">poređenju sa </w:t>
      </w:r>
      <w:r w:rsidRPr="00E745DB">
        <w:rPr>
          <w:sz w:val="22"/>
          <w:szCs w:val="20"/>
          <w:lang w:val="hr-HR"/>
        </w:rPr>
        <w:t>valsartanom. U 21</w:t>
      </w:r>
      <w:r w:rsidRPr="00E745DB">
        <w:rPr>
          <w:sz w:val="22"/>
          <w:szCs w:val="20"/>
          <w:lang w:val="hr-HR"/>
        </w:rPr>
        <w:noBreakHyphen/>
        <w:t>dnevno</w:t>
      </w:r>
      <w:r>
        <w:rPr>
          <w:sz w:val="22"/>
          <w:szCs w:val="20"/>
          <w:lang w:val="hr-HR"/>
        </w:rPr>
        <w:t>j studiji kod</w:t>
      </w:r>
      <w:r w:rsidRPr="00E745DB">
        <w:rPr>
          <w:sz w:val="22"/>
          <w:szCs w:val="20"/>
          <w:lang w:val="hr-HR"/>
        </w:rPr>
        <w:t xml:space="preserve"> </w:t>
      </w:r>
      <w:r>
        <w:rPr>
          <w:sz w:val="22"/>
          <w:szCs w:val="20"/>
          <w:lang w:val="hr-HR"/>
        </w:rPr>
        <w:t>pacijenta</w:t>
      </w:r>
      <w:r w:rsidRPr="00E745DB">
        <w:rPr>
          <w:sz w:val="22"/>
          <w:szCs w:val="20"/>
          <w:lang w:val="hr-HR"/>
        </w:rPr>
        <w:t xml:space="preserve"> s</w:t>
      </w:r>
      <w:r>
        <w:rPr>
          <w:sz w:val="22"/>
          <w:szCs w:val="20"/>
          <w:lang w:val="hr-HR"/>
        </w:rPr>
        <w:t>a</w:t>
      </w:r>
      <w:r w:rsidRPr="00E745DB">
        <w:rPr>
          <w:sz w:val="22"/>
          <w:szCs w:val="20"/>
          <w:lang w:val="hr-HR"/>
        </w:rPr>
        <w:t xml:space="preserve"> HFrEF</w:t>
      </w:r>
      <w:r w:rsidRPr="00E745DB">
        <w:rPr>
          <w:sz w:val="22"/>
          <w:szCs w:val="20"/>
          <w:lang w:val="hr-HR"/>
        </w:rPr>
        <w:noBreakHyphen/>
        <w:t>om,</w:t>
      </w:r>
      <w:r>
        <w:rPr>
          <w:bCs/>
          <w:sz w:val="22"/>
          <w:lang w:val="hr-HR"/>
        </w:rPr>
        <w:t xml:space="preserve"> </w:t>
      </w:r>
      <w:r>
        <w:rPr>
          <w:bCs/>
          <w:sz w:val="22"/>
          <w:szCs w:val="20"/>
          <w:lang w:val="hr-HR"/>
        </w:rPr>
        <w:t>valsartan/sakubitril</w:t>
      </w:r>
      <w:r w:rsidRPr="00E745DB">
        <w:rPr>
          <w:sz w:val="22"/>
          <w:szCs w:val="20"/>
          <w:lang w:val="hr-HR"/>
        </w:rPr>
        <w:t xml:space="preserve"> je značajno povećao ANP i cGMP u </w:t>
      </w:r>
      <w:r>
        <w:rPr>
          <w:sz w:val="22"/>
          <w:szCs w:val="20"/>
          <w:lang w:val="hr-HR"/>
        </w:rPr>
        <w:t xml:space="preserve">urinu i </w:t>
      </w:r>
      <w:r w:rsidRPr="00E745DB">
        <w:rPr>
          <w:sz w:val="22"/>
          <w:szCs w:val="20"/>
          <w:lang w:val="hr-HR"/>
        </w:rPr>
        <w:t>cGMP u plazmi, a smanjio NT</w:t>
      </w:r>
      <w:r w:rsidRPr="00E745DB">
        <w:rPr>
          <w:sz w:val="22"/>
          <w:szCs w:val="20"/>
          <w:lang w:val="hr-HR"/>
        </w:rPr>
        <w:noBreakHyphen/>
        <w:t>proBNP, aldosteron i endotelin</w:t>
      </w:r>
      <w:r w:rsidRPr="00E745DB">
        <w:rPr>
          <w:sz w:val="22"/>
          <w:szCs w:val="20"/>
          <w:lang w:val="hr-HR"/>
        </w:rPr>
        <w:noBreakHyphen/>
        <w:t xml:space="preserve">1 u plazmi u </w:t>
      </w:r>
      <w:r>
        <w:rPr>
          <w:sz w:val="22"/>
          <w:szCs w:val="20"/>
          <w:lang w:val="hr-HR"/>
        </w:rPr>
        <w:t>poređenju</w:t>
      </w:r>
      <w:r w:rsidRPr="00E745DB">
        <w:rPr>
          <w:sz w:val="22"/>
          <w:szCs w:val="20"/>
          <w:lang w:val="hr-HR"/>
        </w:rPr>
        <w:t xml:space="preserve"> s</w:t>
      </w:r>
      <w:r>
        <w:rPr>
          <w:sz w:val="22"/>
          <w:szCs w:val="20"/>
          <w:lang w:val="hr-HR"/>
        </w:rPr>
        <w:t>a</w:t>
      </w:r>
      <w:r w:rsidRPr="00E745DB">
        <w:rPr>
          <w:sz w:val="22"/>
          <w:szCs w:val="20"/>
          <w:lang w:val="hr-HR"/>
        </w:rPr>
        <w:t xml:space="preserve"> početnim </w:t>
      </w:r>
      <w:r>
        <w:rPr>
          <w:sz w:val="22"/>
          <w:szCs w:val="20"/>
          <w:lang w:val="hr-HR"/>
        </w:rPr>
        <w:t>vrijednost</w:t>
      </w:r>
      <w:r w:rsidRPr="00E745DB">
        <w:rPr>
          <w:sz w:val="22"/>
          <w:szCs w:val="20"/>
          <w:lang w:val="hr-HR"/>
        </w:rPr>
        <w:t xml:space="preserve">ima. </w:t>
      </w:r>
      <w:r w:rsidRPr="00E745DB">
        <w:rPr>
          <w:sz w:val="22"/>
          <w:szCs w:val="20"/>
          <w:lang w:val="hr-HR" w:eastAsia="ja-JP"/>
        </w:rPr>
        <w:t>AT1 receptor je takođe blokiran što je dokazano povećanom aktivno</w:t>
      </w:r>
      <w:r>
        <w:rPr>
          <w:sz w:val="22"/>
          <w:szCs w:val="20"/>
          <w:lang w:val="hr-HR" w:eastAsia="ja-JP"/>
        </w:rPr>
        <w:t>šću</w:t>
      </w:r>
      <w:r w:rsidRPr="00E745DB">
        <w:rPr>
          <w:sz w:val="22"/>
          <w:szCs w:val="20"/>
          <w:lang w:val="hr-HR" w:eastAsia="ja-JP"/>
        </w:rPr>
        <w:t xml:space="preserve"> renina u plazmi i koncentracijama renina u plazmi. U </w:t>
      </w:r>
      <w:r>
        <w:rPr>
          <w:sz w:val="22"/>
          <w:szCs w:val="20"/>
          <w:lang w:val="hr-HR" w:eastAsia="ja-JP"/>
        </w:rPr>
        <w:t>studiji</w:t>
      </w:r>
      <w:r w:rsidRPr="00E745DB">
        <w:rPr>
          <w:sz w:val="22"/>
          <w:szCs w:val="20"/>
          <w:lang w:val="hr-HR" w:eastAsia="ja-JP"/>
        </w:rPr>
        <w:t xml:space="preserve"> </w:t>
      </w:r>
      <w:r w:rsidRPr="00E745DB">
        <w:rPr>
          <w:sz w:val="22"/>
          <w:szCs w:val="20"/>
          <w:lang w:val="hr-HR"/>
        </w:rPr>
        <w:t>PARADIGM</w:t>
      </w:r>
      <w:r w:rsidRPr="00E745DB">
        <w:rPr>
          <w:sz w:val="22"/>
          <w:szCs w:val="20"/>
          <w:lang w:val="hr-HR"/>
        </w:rPr>
        <w:noBreakHyphen/>
        <w:t>HF,</w:t>
      </w:r>
      <w:r>
        <w:rPr>
          <w:sz w:val="22"/>
          <w:szCs w:val="20"/>
          <w:lang w:val="hr-HR"/>
        </w:rPr>
        <w:t xml:space="preserve"> </w:t>
      </w:r>
      <w:r>
        <w:rPr>
          <w:bCs/>
          <w:sz w:val="22"/>
          <w:szCs w:val="20"/>
          <w:lang w:val="hr-HR"/>
        </w:rPr>
        <w:t>valsartan/sakubitril</w:t>
      </w:r>
      <w:r w:rsidRPr="00E745DB">
        <w:rPr>
          <w:sz w:val="22"/>
          <w:szCs w:val="20"/>
          <w:lang w:val="hr-HR"/>
        </w:rPr>
        <w:t xml:space="preserve"> je smanjio NT</w:t>
      </w:r>
      <w:r w:rsidRPr="00E745DB">
        <w:rPr>
          <w:sz w:val="22"/>
          <w:szCs w:val="20"/>
          <w:lang w:val="hr-HR"/>
        </w:rPr>
        <w:noBreakHyphen/>
        <w:t xml:space="preserve">proBNP u plazmi i povećao BNP u plazmi i cGMP u </w:t>
      </w:r>
      <w:r>
        <w:rPr>
          <w:sz w:val="22"/>
          <w:szCs w:val="20"/>
          <w:lang w:val="hr-HR"/>
        </w:rPr>
        <w:t xml:space="preserve">urinu </w:t>
      </w:r>
      <w:r w:rsidRPr="00E745DB">
        <w:rPr>
          <w:sz w:val="22"/>
          <w:szCs w:val="20"/>
          <w:lang w:val="hr-HR"/>
        </w:rPr>
        <w:t xml:space="preserve">u </w:t>
      </w:r>
      <w:r>
        <w:rPr>
          <w:sz w:val="22"/>
          <w:szCs w:val="20"/>
          <w:lang w:val="hr-HR"/>
        </w:rPr>
        <w:t>poređenju</w:t>
      </w:r>
      <w:r w:rsidRPr="00E745DB">
        <w:rPr>
          <w:sz w:val="22"/>
          <w:szCs w:val="20"/>
          <w:lang w:val="hr-HR"/>
        </w:rPr>
        <w:t xml:space="preserve"> s</w:t>
      </w:r>
      <w:r>
        <w:rPr>
          <w:sz w:val="22"/>
          <w:szCs w:val="20"/>
          <w:lang w:val="hr-HR"/>
        </w:rPr>
        <w:t>a</w:t>
      </w:r>
      <w:r w:rsidRPr="00E745DB">
        <w:rPr>
          <w:sz w:val="22"/>
          <w:szCs w:val="20"/>
          <w:lang w:val="hr-HR"/>
        </w:rPr>
        <w:t xml:space="preserve"> enalaprilom. </w:t>
      </w:r>
      <w:r w:rsidR="00B67A57" w:rsidRPr="00AB63CB">
        <w:rPr>
          <w:sz w:val="22"/>
          <w:szCs w:val="22"/>
          <w:lang w:val="hr-HR"/>
        </w:rPr>
        <w:t>U studiji PANORAMA-HF, smanjeni NT</w:t>
      </w:r>
      <w:r w:rsidR="00B67A57" w:rsidRPr="00AB63CB">
        <w:rPr>
          <w:sz w:val="22"/>
          <w:szCs w:val="22"/>
          <w:lang w:val="hr-HR"/>
        </w:rPr>
        <w:noBreakHyphen/>
        <w:t>proBNP bio je zapažen u 4. i 12. ned</w:t>
      </w:r>
      <w:r w:rsidR="002637F8">
        <w:rPr>
          <w:sz w:val="22"/>
          <w:szCs w:val="22"/>
          <w:lang w:val="hr-HR"/>
        </w:rPr>
        <w:t>j</w:t>
      </w:r>
      <w:r w:rsidR="00B67A57" w:rsidRPr="00AB63CB">
        <w:rPr>
          <w:sz w:val="22"/>
          <w:szCs w:val="22"/>
          <w:lang w:val="hr-HR"/>
        </w:rPr>
        <w:t>elji za valsartan/sakubitril (40,2% i 49,8%) i enalapril (18,0% i 44,9%) u poređenju s početnim vr</w:t>
      </w:r>
      <w:r w:rsidR="002637F8">
        <w:rPr>
          <w:sz w:val="22"/>
          <w:szCs w:val="22"/>
          <w:lang w:val="hr-HR"/>
        </w:rPr>
        <w:t>ij</w:t>
      </w:r>
      <w:r w:rsidR="00B67A57" w:rsidRPr="00AB63CB">
        <w:rPr>
          <w:sz w:val="22"/>
          <w:szCs w:val="22"/>
          <w:lang w:val="hr-HR"/>
        </w:rPr>
        <w:t>ednostima. Koncentracije NT</w:t>
      </w:r>
      <w:r w:rsidR="00B67A57" w:rsidRPr="00AB63CB">
        <w:rPr>
          <w:sz w:val="22"/>
          <w:szCs w:val="22"/>
          <w:lang w:val="hr-HR"/>
        </w:rPr>
        <w:noBreakHyphen/>
        <w:t>proBNP-a su nastavile da se smanjuju tokom trajanja ispitivanja uz smanjenje od 65,1% za valsartan/sakubitril i 61,6% za enalapril u 52. ned</w:t>
      </w:r>
      <w:r w:rsidR="002637F8">
        <w:rPr>
          <w:sz w:val="22"/>
          <w:szCs w:val="22"/>
          <w:lang w:val="hr-HR"/>
        </w:rPr>
        <w:t>j</w:t>
      </w:r>
      <w:r w:rsidR="00B67A57" w:rsidRPr="00AB63CB">
        <w:rPr>
          <w:sz w:val="22"/>
          <w:szCs w:val="22"/>
          <w:lang w:val="hr-HR"/>
        </w:rPr>
        <w:t>elji u poređenju s početnim vr</w:t>
      </w:r>
      <w:r w:rsidR="002637F8">
        <w:rPr>
          <w:sz w:val="22"/>
          <w:szCs w:val="22"/>
          <w:lang w:val="hr-HR"/>
        </w:rPr>
        <w:t>ij</w:t>
      </w:r>
      <w:r w:rsidR="00B67A57" w:rsidRPr="00AB63CB">
        <w:rPr>
          <w:sz w:val="22"/>
          <w:szCs w:val="22"/>
          <w:lang w:val="hr-HR"/>
        </w:rPr>
        <w:t>ednostima.</w:t>
      </w:r>
      <w:r w:rsidR="00B67A57" w:rsidRPr="00B53AB0">
        <w:rPr>
          <w:lang w:val="hr-HR"/>
        </w:rPr>
        <w:t xml:space="preserve"> </w:t>
      </w:r>
      <w:r w:rsidRPr="00E745DB">
        <w:rPr>
          <w:sz w:val="22"/>
          <w:szCs w:val="20"/>
          <w:lang w:val="hr-HR"/>
        </w:rPr>
        <w:t xml:space="preserve">BNP nije </w:t>
      </w:r>
      <w:r>
        <w:rPr>
          <w:sz w:val="22"/>
          <w:szCs w:val="20"/>
          <w:lang w:val="hr-HR"/>
        </w:rPr>
        <w:t>odgovarajući</w:t>
      </w:r>
      <w:r w:rsidRPr="00E745DB">
        <w:rPr>
          <w:sz w:val="22"/>
          <w:szCs w:val="20"/>
          <w:lang w:val="hr-HR"/>
        </w:rPr>
        <w:t xml:space="preserve"> biomarker </w:t>
      </w:r>
      <w:r>
        <w:rPr>
          <w:sz w:val="22"/>
          <w:szCs w:val="20"/>
          <w:lang w:val="hr-HR"/>
        </w:rPr>
        <w:t xml:space="preserve">insuficijencije </w:t>
      </w:r>
      <w:r w:rsidRPr="00E745DB">
        <w:rPr>
          <w:sz w:val="22"/>
          <w:szCs w:val="20"/>
          <w:lang w:val="hr-HR"/>
        </w:rPr>
        <w:t xml:space="preserve">srca </w:t>
      </w:r>
      <w:r>
        <w:rPr>
          <w:sz w:val="22"/>
          <w:szCs w:val="20"/>
          <w:lang w:val="hr-HR"/>
        </w:rPr>
        <w:t>kod</w:t>
      </w:r>
      <w:r w:rsidRPr="00E745DB">
        <w:rPr>
          <w:sz w:val="22"/>
          <w:szCs w:val="20"/>
          <w:lang w:val="hr-HR"/>
        </w:rPr>
        <w:t xml:space="preserve"> </w:t>
      </w:r>
      <w:r>
        <w:rPr>
          <w:sz w:val="22"/>
          <w:szCs w:val="20"/>
          <w:lang w:val="hr-HR"/>
        </w:rPr>
        <w:t xml:space="preserve">pacijenata na terapiji </w:t>
      </w:r>
      <w:r>
        <w:rPr>
          <w:bCs/>
          <w:sz w:val="22"/>
          <w:szCs w:val="20"/>
          <w:lang w:val="hr-HR"/>
        </w:rPr>
        <w:t>valsartan/sakubitril</w:t>
      </w:r>
      <w:r w:rsidRPr="00E745DB">
        <w:rPr>
          <w:sz w:val="22"/>
          <w:szCs w:val="20"/>
          <w:lang w:val="hr-HR"/>
        </w:rPr>
        <w:t xml:space="preserve"> zato što je BNP supstrat neprilizina (</w:t>
      </w:r>
      <w:r>
        <w:rPr>
          <w:sz w:val="22"/>
          <w:szCs w:val="20"/>
          <w:lang w:val="hr-HR"/>
        </w:rPr>
        <w:t>vidjeti</w:t>
      </w:r>
      <w:r w:rsidRPr="00E745DB">
        <w:rPr>
          <w:sz w:val="22"/>
          <w:szCs w:val="20"/>
          <w:lang w:val="hr-HR"/>
        </w:rPr>
        <w:t xml:space="preserve"> </w:t>
      </w:r>
      <w:r>
        <w:rPr>
          <w:sz w:val="22"/>
          <w:szCs w:val="20"/>
          <w:lang w:val="hr-HR"/>
        </w:rPr>
        <w:t xml:space="preserve"> </w:t>
      </w:r>
      <w:r w:rsidR="00B726B3">
        <w:rPr>
          <w:sz w:val="22"/>
          <w:szCs w:val="20"/>
          <w:lang w:val="hr-HR"/>
        </w:rPr>
        <w:t>dio</w:t>
      </w:r>
      <w:r w:rsidR="00B726B3" w:rsidRPr="00E745DB">
        <w:rPr>
          <w:sz w:val="22"/>
          <w:szCs w:val="20"/>
          <w:lang w:val="hr-HR"/>
        </w:rPr>
        <w:t> </w:t>
      </w:r>
      <w:r w:rsidRPr="00E745DB">
        <w:rPr>
          <w:sz w:val="22"/>
          <w:szCs w:val="20"/>
          <w:lang w:val="hr-HR"/>
        </w:rPr>
        <w:t xml:space="preserve">4.4). NT-proBNP nije supstrat neprilizina i </w:t>
      </w:r>
      <w:r>
        <w:rPr>
          <w:sz w:val="22"/>
          <w:szCs w:val="20"/>
          <w:lang w:val="hr-HR"/>
        </w:rPr>
        <w:t xml:space="preserve">zbog toga je </w:t>
      </w:r>
      <w:r w:rsidRPr="00E745DB">
        <w:rPr>
          <w:sz w:val="22"/>
          <w:szCs w:val="20"/>
          <w:lang w:val="hr-HR"/>
        </w:rPr>
        <w:t>prikladniji biomarker.</w:t>
      </w:r>
    </w:p>
    <w:p w14:paraId="461E5346" w14:textId="77777777" w:rsidR="00B96A91" w:rsidRPr="00E745DB" w:rsidRDefault="00B96A91" w:rsidP="001B64BC">
      <w:pPr>
        <w:widowControl w:val="0"/>
        <w:jc w:val="both"/>
        <w:rPr>
          <w:bCs/>
          <w:sz w:val="22"/>
          <w:lang w:val="hr-HR"/>
        </w:rPr>
      </w:pPr>
    </w:p>
    <w:p w14:paraId="146D71E9" w14:textId="77777777" w:rsidR="00B96A91" w:rsidRPr="00E745DB" w:rsidRDefault="00B96A91" w:rsidP="001B64BC">
      <w:pPr>
        <w:widowControl w:val="0"/>
        <w:jc w:val="both"/>
        <w:rPr>
          <w:sz w:val="22"/>
          <w:lang w:val="hr-HR" w:eastAsia="ja-JP"/>
        </w:rPr>
      </w:pPr>
      <w:r w:rsidRPr="00E745DB">
        <w:rPr>
          <w:sz w:val="22"/>
          <w:lang w:val="hr-HR" w:eastAsia="ja-JP"/>
        </w:rPr>
        <w:t>U temelj</w:t>
      </w:r>
      <w:r>
        <w:rPr>
          <w:sz w:val="22"/>
          <w:lang w:val="hr-HR" w:eastAsia="ja-JP"/>
        </w:rPr>
        <w:t>noj</w:t>
      </w:r>
      <w:r w:rsidRPr="00E745DB">
        <w:rPr>
          <w:sz w:val="22"/>
          <w:lang w:val="hr-HR" w:eastAsia="ja-JP"/>
        </w:rPr>
        <w:t xml:space="preserve"> kliničko</w:t>
      </w:r>
      <w:r>
        <w:rPr>
          <w:sz w:val="22"/>
          <w:lang w:val="hr-HR" w:eastAsia="ja-JP"/>
        </w:rPr>
        <w:t>j studiji</w:t>
      </w:r>
      <w:r w:rsidRPr="00E745DB">
        <w:rPr>
          <w:sz w:val="22"/>
          <w:lang w:val="hr-HR" w:eastAsia="ja-JP"/>
        </w:rPr>
        <w:t xml:space="preserve"> QTc intervala </w:t>
      </w:r>
      <w:r>
        <w:rPr>
          <w:sz w:val="22"/>
          <w:lang w:val="hr-HR" w:eastAsia="ja-JP"/>
        </w:rPr>
        <w:t xml:space="preserve">kod </w:t>
      </w:r>
      <w:r w:rsidRPr="00E745DB">
        <w:rPr>
          <w:sz w:val="22"/>
          <w:lang w:val="hr-HR" w:eastAsia="ja-JP"/>
        </w:rPr>
        <w:t xml:space="preserve">zdravih muških ispitanika, </w:t>
      </w:r>
      <w:r>
        <w:rPr>
          <w:sz w:val="22"/>
          <w:lang w:val="hr-HR" w:eastAsia="ja-JP"/>
        </w:rPr>
        <w:t>pojedinačne</w:t>
      </w:r>
      <w:r w:rsidRPr="00E745DB">
        <w:rPr>
          <w:sz w:val="22"/>
          <w:lang w:val="hr-HR" w:eastAsia="ja-JP"/>
        </w:rPr>
        <w:t xml:space="preserve"> doze</w:t>
      </w:r>
      <w:r>
        <w:rPr>
          <w:sz w:val="22"/>
          <w:lang w:val="hr-HR" w:eastAsia="ja-JP"/>
        </w:rPr>
        <w:t xml:space="preserve"> </w:t>
      </w:r>
      <w:r>
        <w:rPr>
          <w:bCs/>
          <w:sz w:val="22"/>
          <w:szCs w:val="20"/>
          <w:lang w:val="hr-HR"/>
        </w:rPr>
        <w:t>valsartan/sakubitril</w:t>
      </w:r>
      <w:r w:rsidRPr="00E745DB">
        <w:rPr>
          <w:sz w:val="22"/>
          <w:lang w:val="hr-HR" w:eastAsia="ja-JP"/>
        </w:rPr>
        <w:t xml:space="preserve"> od 206 mg valsartana</w:t>
      </w:r>
      <w:r>
        <w:rPr>
          <w:sz w:val="22"/>
          <w:lang w:val="hr-HR" w:eastAsia="ja-JP"/>
        </w:rPr>
        <w:t>/</w:t>
      </w:r>
      <w:r w:rsidRPr="00E745DB">
        <w:rPr>
          <w:sz w:val="22"/>
          <w:lang w:val="hr-HR" w:eastAsia="ja-JP"/>
        </w:rPr>
        <w:t xml:space="preserve">194 mg sakubitrila </w:t>
      </w:r>
      <w:r>
        <w:rPr>
          <w:sz w:val="22"/>
          <w:lang w:val="hr-HR" w:eastAsia="ja-JP"/>
        </w:rPr>
        <w:t>i</w:t>
      </w:r>
      <w:r w:rsidRPr="00E745DB">
        <w:rPr>
          <w:sz w:val="22"/>
          <w:lang w:val="hr-HR" w:eastAsia="ja-JP"/>
        </w:rPr>
        <w:t xml:space="preserve"> 617 mg valsartana</w:t>
      </w:r>
      <w:r>
        <w:rPr>
          <w:sz w:val="22"/>
          <w:lang w:val="hr-HR" w:eastAsia="ja-JP"/>
        </w:rPr>
        <w:t>/</w:t>
      </w:r>
      <w:r w:rsidRPr="00E745DB">
        <w:rPr>
          <w:sz w:val="22"/>
          <w:lang w:val="hr-HR" w:eastAsia="ja-JP"/>
        </w:rPr>
        <w:t xml:space="preserve">583 mg sakubitrila </w:t>
      </w:r>
      <w:r w:rsidRPr="00E745DB">
        <w:rPr>
          <w:bCs/>
          <w:sz w:val="22"/>
          <w:lang w:val="hr-HR"/>
        </w:rPr>
        <w:t>ni</w:t>
      </w:r>
      <w:r>
        <w:rPr>
          <w:bCs/>
          <w:sz w:val="22"/>
          <w:lang w:val="hr-HR"/>
        </w:rPr>
        <w:t>je</w:t>
      </w:r>
      <w:r w:rsidRPr="00E745DB">
        <w:rPr>
          <w:bCs/>
          <w:sz w:val="22"/>
          <w:lang w:val="hr-HR"/>
        </w:rPr>
        <w:t xml:space="preserve">su imale </w:t>
      </w:r>
      <w:r>
        <w:rPr>
          <w:bCs/>
          <w:sz w:val="22"/>
          <w:lang w:val="hr-HR"/>
        </w:rPr>
        <w:t>uticaj</w:t>
      </w:r>
      <w:r w:rsidRPr="00E745DB">
        <w:rPr>
          <w:bCs/>
          <w:sz w:val="22"/>
          <w:lang w:val="hr-HR"/>
        </w:rPr>
        <w:t xml:space="preserve"> na repolarizaciju</w:t>
      </w:r>
      <w:r>
        <w:rPr>
          <w:bCs/>
          <w:sz w:val="22"/>
          <w:lang w:val="hr-HR"/>
        </w:rPr>
        <w:t xml:space="preserve"> srca</w:t>
      </w:r>
      <w:r w:rsidRPr="00E745DB">
        <w:rPr>
          <w:sz w:val="22"/>
          <w:lang w:val="hr-HR" w:eastAsia="ja-JP"/>
        </w:rPr>
        <w:t>.</w:t>
      </w:r>
    </w:p>
    <w:p w14:paraId="45B7A414" w14:textId="77777777" w:rsidR="00B96A91" w:rsidRPr="00E745DB" w:rsidRDefault="00B96A91" w:rsidP="001B64BC">
      <w:pPr>
        <w:widowControl w:val="0"/>
        <w:jc w:val="both"/>
        <w:rPr>
          <w:sz w:val="22"/>
          <w:lang w:val="hr-HR" w:eastAsia="ja-JP"/>
        </w:rPr>
      </w:pPr>
    </w:p>
    <w:p w14:paraId="311E6217" w14:textId="5B1ED2FD" w:rsidR="00B96A91" w:rsidRPr="00E745DB" w:rsidRDefault="00B96A91" w:rsidP="001B64BC">
      <w:pPr>
        <w:widowControl w:val="0"/>
        <w:jc w:val="both"/>
        <w:rPr>
          <w:sz w:val="22"/>
          <w:lang w:val="hr-HR" w:eastAsia="ja-JP"/>
        </w:rPr>
      </w:pPr>
      <w:r w:rsidRPr="00E745DB">
        <w:rPr>
          <w:bCs/>
          <w:sz w:val="22"/>
          <w:lang w:val="hr-HR"/>
        </w:rPr>
        <w:lastRenderedPageBreak/>
        <w:t>Neprilizin je jedan od mnogih enzima uključenih u klirens β</w:t>
      </w:r>
      <w:r>
        <w:rPr>
          <w:bCs/>
          <w:sz w:val="22"/>
          <w:lang w:val="hr-HR"/>
        </w:rPr>
        <w:t>-</w:t>
      </w:r>
      <w:r w:rsidRPr="00E745DB">
        <w:rPr>
          <w:bCs/>
          <w:sz w:val="22"/>
          <w:lang w:val="hr-HR"/>
        </w:rPr>
        <w:t>amiloida (Aβ) iz mozga i cerebrospinalne te</w:t>
      </w:r>
      <w:r>
        <w:rPr>
          <w:bCs/>
          <w:sz w:val="22"/>
          <w:lang w:val="hr-HR"/>
        </w:rPr>
        <w:t>čnosti (CSF)</w:t>
      </w:r>
      <w:r w:rsidRPr="00E745DB">
        <w:rPr>
          <w:bCs/>
          <w:sz w:val="22"/>
          <w:lang w:val="hr-HR"/>
        </w:rPr>
        <w:t xml:space="preserve">. </w:t>
      </w:r>
      <w:r>
        <w:rPr>
          <w:bCs/>
          <w:sz w:val="22"/>
          <w:lang w:val="hr-HR"/>
        </w:rPr>
        <w:t>Primjen</w:t>
      </w:r>
      <w:r w:rsidRPr="00E745DB">
        <w:rPr>
          <w:bCs/>
          <w:sz w:val="22"/>
          <w:lang w:val="hr-HR"/>
        </w:rPr>
        <w:t>a</w:t>
      </w:r>
      <w:r>
        <w:rPr>
          <w:bCs/>
          <w:sz w:val="22"/>
          <w:lang w:val="hr-HR"/>
        </w:rPr>
        <w:t xml:space="preserve"> </w:t>
      </w:r>
      <w:r>
        <w:rPr>
          <w:bCs/>
          <w:sz w:val="22"/>
          <w:szCs w:val="20"/>
          <w:lang w:val="hr-HR"/>
        </w:rPr>
        <w:t>valsartan/sakubitril</w:t>
      </w:r>
      <w:r w:rsidRPr="00E745DB">
        <w:rPr>
          <w:bCs/>
          <w:sz w:val="22"/>
          <w:lang w:val="hr-HR"/>
        </w:rPr>
        <w:t xml:space="preserve"> 206 mg valsartana</w:t>
      </w:r>
      <w:r>
        <w:rPr>
          <w:bCs/>
          <w:sz w:val="22"/>
          <w:lang w:val="hr-HR"/>
        </w:rPr>
        <w:t>/</w:t>
      </w:r>
      <w:r w:rsidRPr="00E745DB">
        <w:rPr>
          <w:bCs/>
          <w:sz w:val="22"/>
          <w:lang w:val="hr-HR"/>
        </w:rPr>
        <w:t xml:space="preserve">194 mg sakubitrila </w:t>
      </w:r>
      <w:r>
        <w:rPr>
          <w:bCs/>
          <w:sz w:val="22"/>
          <w:lang w:val="hr-HR"/>
        </w:rPr>
        <w:t>jednom dnevno</w:t>
      </w:r>
      <w:r w:rsidRPr="00E745DB">
        <w:rPr>
          <w:bCs/>
          <w:sz w:val="22"/>
          <w:lang w:val="hr-HR"/>
        </w:rPr>
        <w:t xml:space="preserve"> t</w:t>
      </w:r>
      <w:r>
        <w:rPr>
          <w:bCs/>
          <w:sz w:val="22"/>
          <w:lang w:val="hr-HR"/>
        </w:rPr>
        <w:t xml:space="preserve">okom </w:t>
      </w:r>
      <w:r w:rsidRPr="00E745DB">
        <w:rPr>
          <w:bCs/>
          <w:sz w:val="22"/>
          <w:lang w:val="hr-HR"/>
        </w:rPr>
        <w:t>dv</w:t>
      </w:r>
      <w:r>
        <w:rPr>
          <w:bCs/>
          <w:sz w:val="22"/>
          <w:lang w:val="hr-HR"/>
        </w:rPr>
        <w:t xml:space="preserve">ije nedjelje kod </w:t>
      </w:r>
      <w:r w:rsidRPr="00E745DB">
        <w:rPr>
          <w:bCs/>
          <w:sz w:val="22"/>
          <w:lang w:val="hr-HR"/>
        </w:rPr>
        <w:t>zdravih ispitanika bila je povezana s</w:t>
      </w:r>
      <w:r>
        <w:rPr>
          <w:bCs/>
          <w:sz w:val="22"/>
          <w:lang w:val="hr-HR"/>
        </w:rPr>
        <w:t>a</w:t>
      </w:r>
      <w:r w:rsidRPr="00E745DB">
        <w:rPr>
          <w:bCs/>
          <w:sz w:val="22"/>
          <w:lang w:val="hr-HR"/>
        </w:rPr>
        <w:t xml:space="preserve"> povećanjem Aβ1</w:t>
      </w:r>
      <w:r w:rsidRPr="00E745DB">
        <w:rPr>
          <w:bCs/>
          <w:sz w:val="22"/>
          <w:lang w:val="hr-HR"/>
        </w:rPr>
        <w:noBreakHyphen/>
        <w:t>38 u cerebrospinalnoj te</w:t>
      </w:r>
      <w:r>
        <w:rPr>
          <w:bCs/>
          <w:sz w:val="22"/>
          <w:lang w:val="hr-HR"/>
        </w:rPr>
        <w:t>čnosti</w:t>
      </w:r>
      <w:r w:rsidRPr="00E745DB" w:rsidDel="003C03C5">
        <w:rPr>
          <w:bCs/>
          <w:sz w:val="22"/>
          <w:lang w:val="hr-HR"/>
        </w:rPr>
        <w:t xml:space="preserve"> </w:t>
      </w:r>
      <w:r w:rsidRPr="00E745DB">
        <w:rPr>
          <w:bCs/>
          <w:sz w:val="22"/>
          <w:lang w:val="hr-HR"/>
        </w:rPr>
        <w:t xml:space="preserve">u </w:t>
      </w:r>
      <w:r>
        <w:rPr>
          <w:bCs/>
          <w:sz w:val="22"/>
          <w:lang w:val="hr-HR"/>
        </w:rPr>
        <w:t>poređenju</w:t>
      </w:r>
      <w:r w:rsidRPr="00E745DB">
        <w:rPr>
          <w:bCs/>
          <w:sz w:val="22"/>
          <w:lang w:val="hr-HR"/>
        </w:rPr>
        <w:t xml:space="preserve"> s</w:t>
      </w:r>
      <w:r>
        <w:rPr>
          <w:bCs/>
          <w:sz w:val="22"/>
          <w:lang w:val="hr-HR"/>
        </w:rPr>
        <w:t>a placebom; nije bilo promj</w:t>
      </w:r>
      <w:r w:rsidRPr="00E745DB">
        <w:rPr>
          <w:bCs/>
          <w:sz w:val="22"/>
          <w:lang w:val="hr-HR"/>
        </w:rPr>
        <w:t>ena u koncentracijama Aβ1</w:t>
      </w:r>
      <w:r w:rsidRPr="00E745DB">
        <w:rPr>
          <w:bCs/>
          <w:sz w:val="22"/>
          <w:lang w:val="hr-HR"/>
        </w:rPr>
        <w:noBreakHyphen/>
        <w:t>40 i 1</w:t>
      </w:r>
      <w:r w:rsidRPr="00E745DB">
        <w:rPr>
          <w:bCs/>
          <w:sz w:val="22"/>
          <w:lang w:val="hr-HR"/>
        </w:rPr>
        <w:noBreakHyphen/>
        <w:t>42 u cerebrospinalnoj te</w:t>
      </w:r>
      <w:r>
        <w:rPr>
          <w:bCs/>
          <w:sz w:val="22"/>
          <w:lang w:val="hr-HR"/>
        </w:rPr>
        <w:t>čnosti</w:t>
      </w:r>
      <w:r w:rsidRPr="00E745DB">
        <w:rPr>
          <w:bCs/>
          <w:sz w:val="22"/>
          <w:lang w:val="hr-HR"/>
        </w:rPr>
        <w:t>. Kliničk</w:t>
      </w:r>
      <w:r>
        <w:rPr>
          <w:bCs/>
          <w:sz w:val="22"/>
          <w:lang w:val="hr-HR"/>
        </w:rPr>
        <w:t>i</w:t>
      </w:r>
      <w:r w:rsidRPr="00E745DB">
        <w:rPr>
          <w:bCs/>
          <w:sz w:val="22"/>
          <w:lang w:val="hr-HR"/>
        </w:rPr>
        <w:t xml:space="preserve"> </w:t>
      </w:r>
      <w:r>
        <w:rPr>
          <w:bCs/>
          <w:sz w:val="22"/>
          <w:lang w:val="hr-HR"/>
        </w:rPr>
        <w:t>značaj</w:t>
      </w:r>
      <w:r w:rsidRPr="00E745DB">
        <w:rPr>
          <w:bCs/>
          <w:sz w:val="22"/>
          <w:lang w:val="hr-HR"/>
        </w:rPr>
        <w:t xml:space="preserve"> ovog nalaza nije poznat (</w:t>
      </w:r>
      <w:r>
        <w:rPr>
          <w:bCs/>
          <w:sz w:val="22"/>
          <w:lang w:val="hr-HR"/>
        </w:rPr>
        <w:t>vidjeti</w:t>
      </w:r>
      <w:r w:rsidRPr="00E745DB">
        <w:rPr>
          <w:bCs/>
          <w:sz w:val="22"/>
          <w:lang w:val="hr-HR"/>
        </w:rPr>
        <w:t xml:space="preserve"> </w:t>
      </w:r>
      <w:r w:rsidR="00B726B3">
        <w:rPr>
          <w:bCs/>
          <w:sz w:val="22"/>
          <w:lang w:val="hr-HR"/>
        </w:rPr>
        <w:t>dio</w:t>
      </w:r>
      <w:r w:rsidR="00B726B3" w:rsidRPr="00E745DB">
        <w:rPr>
          <w:bCs/>
          <w:sz w:val="22"/>
          <w:lang w:val="hr-HR"/>
        </w:rPr>
        <w:t> </w:t>
      </w:r>
      <w:r w:rsidRPr="00E745DB">
        <w:rPr>
          <w:bCs/>
          <w:sz w:val="22"/>
          <w:lang w:val="hr-HR"/>
        </w:rPr>
        <w:t>5.3).</w:t>
      </w:r>
    </w:p>
    <w:p w14:paraId="75A5E97D" w14:textId="77777777" w:rsidR="00B96A91" w:rsidRPr="00E745DB" w:rsidRDefault="00B96A91" w:rsidP="001B64BC">
      <w:pPr>
        <w:widowControl w:val="0"/>
        <w:autoSpaceDE w:val="0"/>
        <w:autoSpaceDN w:val="0"/>
        <w:adjustRightInd w:val="0"/>
        <w:rPr>
          <w:sz w:val="22"/>
          <w:szCs w:val="22"/>
          <w:lang w:val="hr-HR"/>
        </w:rPr>
      </w:pPr>
    </w:p>
    <w:p w14:paraId="78FB5824" w14:textId="77777777" w:rsidR="00B96A91" w:rsidRPr="00E745DB" w:rsidRDefault="00B96A91" w:rsidP="001B64BC">
      <w:pPr>
        <w:keepNext/>
        <w:widowControl w:val="0"/>
        <w:autoSpaceDE w:val="0"/>
        <w:autoSpaceDN w:val="0"/>
        <w:adjustRightInd w:val="0"/>
        <w:rPr>
          <w:sz w:val="22"/>
          <w:szCs w:val="22"/>
          <w:u w:val="single"/>
          <w:lang w:val="hr-HR"/>
        </w:rPr>
      </w:pPr>
      <w:r w:rsidRPr="00E745DB">
        <w:rPr>
          <w:sz w:val="22"/>
          <w:szCs w:val="22"/>
          <w:u w:val="single"/>
          <w:lang w:val="hr-HR"/>
        </w:rPr>
        <w:t>Klinička</w:t>
      </w:r>
      <w:r>
        <w:rPr>
          <w:sz w:val="22"/>
          <w:szCs w:val="22"/>
          <w:u w:val="single"/>
          <w:lang w:val="hr-HR"/>
        </w:rPr>
        <w:t xml:space="preserve"> efikasnost i bezbjednost</w:t>
      </w:r>
    </w:p>
    <w:p w14:paraId="5D716778" w14:textId="77777777" w:rsidR="00B96A91" w:rsidRPr="00E745DB" w:rsidRDefault="00B96A91" w:rsidP="001B64BC">
      <w:pPr>
        <w:keepNext/>
        <w:widowControl w:val="0"/>
        <w:autoSpaceDE w:val="0"/>
        <w:autoSpaceDN w:val="0"/>
        <w:adjustRightInd w:val="0"/>
        <w:rPr>
          <w:sz w:val="22"/>
          <w:szCs w:val="22"/>
          <w:u w:val="single"/>
          <w:lang w:val="hr-HR"/>
        </w:rPr>
      </w:pPr>
    </w:p>
    <w:p w14:paraId="629B5350" w14:textId="25D413BD" w:rsidR="00B96A91" w:rsidRPr="00E745DB" w:rsidRDefault="00B96A91" w:rsidP="001B64BC">
      <w:pPr>
        <w:widowControl w:val="0"/>
        <w:autoSpaceDE w:val="0"/>
        <w:autoSpaceDN w:val="0"/>
        <w:adjustRightInd w:val="0"/>
        <w:rPr>
          <w:sz w:val="22"/>
          <w:szCs w:val="22"/>
          <w:lang w:val="hr-HR"/>
        </w:rPr>
      </w:pPr>
      <w:r w:rsidRPr="00E745DB">
        <w:rPr>
          <w:sz w:val="22"/>
          <w:szCs w:val="22"/>
          <w:lang w:val="hr-HR"/>
        </w:rPr>
        <w:t xml:space="preserve">Doze od </w:t>
      </w:r>
      <w:r>
        <w:rPr>
          <w:sz w:val="22"/>
          <w:szCs w:val="22"/>
          <w:lang w:val="hr-HR"/>
        </w:rPr>
        <w:t>26</w:t>
      </w:r>
      <w:r w:rsidRPr="00E745DB">
        <w:rPr>
          <w:sz w:val="22"/>
          <w:szCs w:val="22"/>
          <w:lang w:val="hr-HR"/>
        </w:rPr>
        <w:t> mg</w:t>
      </w:r>
      <w:r w:rsidR="00360067">
        <w:rPr>
          <w:sz w:val="22"/>
          <w:szCs w:val="22"/>
          <w:lang w:val="hr-HR"/>
        </w:rPr>
        <w:t>+</w:t>
      </w:r>
      <w:r>
        <w:rPr>
          <w:sz w:val="22"/>
          <w:szCs w:val="22"/>
          <w:lang w:val="hr-HR"/>
        </w:rPr>
        <w:t>24</w:t>
      </w:r>
      <w:r w:rsidRPr="00E745DB">
        <w:rPr>
          <w:sz w:val="22"/>
          <w:szCs w:val="22"/>
          <w:lang w:val="hr-HR"/>
        </w:rPr>
        <w:t xml:space="preserve"> mg, </w:t>
      </w:r>
      <w:r>
        <w:rPr>
          <w:sz w:val="22"/>
          <w:szCs w:val="22"/>
          <w:lang w:val="hr-HR"/>
        </w:rPr>
        <w:t>51</w:t>
      </w:r>
      <w:r w:rsidRPr="00E745DB">
        <w:rPr>
          <w:sz w:val="22"/>
          <w:szCs w:val="22"/>
          <w:lang w:val="hr-HR"/>
        </w:rPr>
        <w:t> mg</w:t>
      </w:r>
      <w:r w:rsidR="00360067">
        <w:rPr>
          <w:sz w:val="22"/>
          <w:szCs w:val="22"/>
          <w:lang w:val="hr-HR"/>
        </w:rPr>
        <w:t>+</w:t>
      </w:r>
      <w:r>
        <w:rPr>
          <w:sz w:val="22"/>
          <w:szCs w:val="22"/>
          <w:lang w:val="hr-HR"/>
        </w:rPr>
        <w:t>49</w:t>
      </w:r>
      <w:r w:rsidRPr="00E745DB">
        <w:rPr>
          <w:sz w:val="22"/>
          <w:szCs w:val="22"/>
          <w:lang w:val="hr-HR"/>
        </w:rPr>
        <w:t xml:space="preserve"> mg i </w:t>
      </w:r>
      <w:r>
        <w:rPr>
          <w:sz w:val="22"/>
          <w:szCs w:val="22"/>
          <w:lang w:val="hr-HR"/>
        </w:rPr>
        <w:t>103</w:t>
      </w:r>
      <w:r w:rsidRPr="00E745DB">
        <w:rPr>
          <w:sz w:val="22"/>
          <w:szCs w:val="22"/>
          <w:lang w:val="hr-HR"/>
        </w:rPr>
        <w:t> mg</w:t>
      </w:r>
      <w:r w:rsidR="00360067">
        <w:rPr>
          <w:sz w:val="22"/>
          <w:szCs w:val="22"/>
          <w:lang w:val="hr-HR"/>
        </w:rPr>
        <w:t>+</w:t>
      </w:r>
      <w:r>
        <w:rPr>
          <w:sz w:val="22"/>
          <w:szCs w:val="22"/>
          <w:lang w:val="hr-HR"/>
        </w:rPr>
        <w:t>97</w:t>
      </w:r>
      <w:r w:rsidRPr="00E745DB">
        <w:rPr>
          <w:sz w:val="22"/>
          <w:szCs w:val="22"/>
          <w:lang w:val="hr-HR"/>
        </w:rPr>
        <w:t> mg se u nekim publikacijama nazivaju 50, 100 ili 200 mg.</w:t>
      </w:r>
    </w:p>
    <w:p w14:paraId="7BD81367" w14:textId="77777777" w:rsidR="00B96A91" w:rsidRPr="00E745DB" w:rsidRDefault="00B96A91" w:rsidP="001B64BC">
      <w:pPr>
        <w:widowControl w:val="0"/>
        <w:rPr>
          <w:bCs/>
          <w:sz w:val="22"/>
          <w:lang w:val="hr-HR" w:eastAsia="ja-JP"/>
        </w:rPr>
      </w:pPr>
    </w:p>
    <w:p w14:paraId="2B6D537A" w14:textId="77777777" w:rsidR="00B96A91" w:rsidRPr="00AB63CB" w:rsidRDefault="00B96A91" w:rsidP="001B64BC">
      <w:pPr>
        <w:keepNext/>
        <w:widowControl w:val="0"/>
        <w:jc w:val="both"/>
        <w:rPr>
          <w:bCs/>
          <w:i/>
          <w:sz w:val="22"/>
          <w:u w:val="single"/>
          <w:lang w:val="hr-HR" w:eastAsia="ja-JP"/>
        </w:rPr>
      </w:pPr>
      <w:r w:rsidRPr="00AB63CB">
        <w:rPr>
          <w:bCs/>
          <w:i/>
          <w:sz w:val="22"/>
          <w:u w:val="single"/>
          <w:lang w:val="hr-HR" w:eastAsia="ja-JP"/>
        </w:rPr>
        <w:t>PARADIGM</w:t>
      </w:r>
      <w:r w:rsidRPr="00AB63CB">
        <w:rPr>
          <w:bCs/>
          <w:i/>
          <w:sz w:val="22"/>
          <w:u w:val="single"/>
          <w:lang w:val="hr-HR" w:eastAsia="ja-JP"/>
        </w:rPr>
        <w:noBreakHyphen/>
        <w:t>HF</w:t>
      </w:r>
    </w:p>
    <w:p w14:paraId="1C2828F1" w14:textId="404AEE8F" w:rsidR="00B96A91" w:rsidRPr="00E745DB" w:rsidRDefault="00B96A91" w:rsidP="001B64BC">
      <w:pPr>
        <w:widowControl w:val="0"/>
        <w:jc w:val="both"/>
        <w:rPr>
          <w:bCs/>
          <w:sz w:val="22"/>
          <w:lang w:val="hr-HR" w:eastAsia="ja-JP"/>
        </w:rPr>
      </w:pPr>
      <w:r w:rsidRPr="00E745DB">
        <w:rPr>
          <w:bCs/>
          <w:sz w:val="22"/>
          <w:lang w:val="hr-HR"/>
        </w:rPr>
        <w:t>PARADIGM</w:t>
      </w:r>
      <w:r w:rsidRPr="00E745DB">
        <w:rPr>
          <w:bCs/>
          <w:sz w:val="22"/>
          <w:lang w:val="hr-HR"/>
        </w:rPr>
        <w:noBreakHyphen/>
        <w:t>HF</w:t>
      </w:r>
      <w:r>
        <w:rPr>
          <w:bCs/>
          <w:sz w:val="22"/>
          <w:lang w:val="hr-HR"/>
        </w:rPr>
        <w:t>, pivotalna studija faze III</w:t>
      </w:r>
      <w:r w:rsidRPr="00E745DB">
        <w:rPr>
          <w:bCs/>
          <w:sz w:val="22"/>
          <w:lang w:val="hr-HR"/>
        </w:rPr>
        <w:t xml:space="preserve"> je bil</w:t>
      </w:r>
      <w:r>
        <w:rPr>
          <w:bCs/>
          <w:sz w:val="22"/>
          <w:lang w:val="hr-HR"/>
        </w:rPr>
        <w:t>a</w:t>
      </w:r>
      <w:r w:rsidRPr="00E745DB">
        <w:rPr>
          <w:bCs/>
          <w:sz w:val="22"/>
          <w:lang w:val="hr-HR"/>
        </w:rPr>
        <w:t xml:space="preserve"> multinacionaln</w:t>
      </w:r>
      <w:r>
        <w:rPr>
          <w:bCs/>
          <w:sz w:val="22"/>
          <w:lang w:val="hr-HR"/>
        </w:rPr>
        <w:t>a</w:t>
      </w:r>
      <w:r w:rsidRPr="00E745DB">
        <w:rPr>
          <w:bCs/>
          <w:sz w:val="22"/>
          <w:lang w:val="hr-HR"/>
        </w:rPr>
        <w:t>, randomiz</w:t>
      </w:r>
      <w:r>
        <w:rPr>
          <w:bCs/>
          <w:sz w:val="22"/>
          <w:lang w:val="hr-HR"/>
        </w:rPr>
        <w:t>ovana</w:t>
      </w:r>
      <w:r w:rsidRPr="00E745DB">
        <w:rPr>
          <w:bCs/>
          <w:sz w:val="22"/>
          <w:lang w:val="hr-HR"/>
        </w:rPr>
        <w:t>, dvostruko sl</w:t>
      </w:r>
      <w:r>
        <w:rPr>
          <w:bCs/>
          <w:sz w:val="22"/>
          <w:lang w:val="hr-HR"/>
        </w:rPr>
        <w:t xml:space="preserve">ijepa studija sa </w:t>
      </w:r>
      <w:r w:rsidRPr="00E745DB">
        <w:rPr>
          <w:bCs/>
          <w:sz w:val="22"/>
          <w:lang w:val="hr-HR"/>
        </w:rPr>
        <w:t>8442 </w:t>
      </w:r>
      <w:r>
        <w:rPr>
          <w:bCs/>
          <w:sz w:val="22"/>
          <w:lang w:val="hr-HR"/>
        </w:rPr>
        <w:t>pacijenta</w:t>
      </w:r>
      <w:r w:rsidRPr="00E745DB">
        <w:rPr>
          <w:bCs/>
          <w:sz w:val="22"/>
          <w:lang w:val="hr-HR"/>
        </w:rPr>
        <w:t xml:space="preserve"> u koj</w:t>
      </w:r>
      <w:r>
        <w:rPr>
          <w:bCs/>
          <w:sz w:val="22"/>
          <w:lang w:val="hr-HR"/>
        </w:rPr>
        <w:t>oj</w:t>
      </w:r>
      <w:r w:rsidRPr="00E745DB">
        <w:rPr>
          <w:bCs/>
          <w:sz w:val="22"/>
          <w:lang w:val="hr-HR"/>
        </w:rPr>
        <w:t xml:space="preserve"> se upoređivao</w:t>
      </w:r>
      <w:r>
        <w:rPr>
          <w:bCs/>
          <w:sz w:val="22"/>
          <w:lang w:val="hr-HR"/>
        </w:rPr>
        <w:t xml:space="preserve"> valsartan/sakubitril</w:t>
      </w:r>
      <w:r w:rsidR="00B726B3">
        <w:rPr>
          <w:bCs/>
          <w:sz w:val="22"/>
          <w:lang w:val="hr-HR"/>
        </w:rPr>
        <w:t xml:space="preserve"> </w:t>
      </w:r>
      <w:r w:rsidRPr="00E745DB">
        <w:rPr>
          <w:bCs/>
          <w:sz w:val="22"/>
          <w:lang w:val="hr-HR"/>
        </w:rPr>
        <w:t>s</w:t>
      </w:r>
      <w:r>
        <w:rPr>
          <w:bCs/>
          <w:sz w:val="22"/>
          <w:lang w:val="hr-HR"/>
        </w:rPr>
        <w:t>a</w:t>
      </w:r>
      <w:r w:rsidRPr="00E745DB">
        <w:rPr>
          <w:bCs/>
          <w:sz w:val="22"/>
          <w:lang w:val="hr-HR"/>
        </w:rPr>
        <w:t xml:space="preserve"> enalaprilom, gd</w:t>
      </w:r>
      <w:r>
        <w:rPr>
          <w:bCs/>
          <w:sz w:val="22"/>
          <w:lang w:val="hr-HR"/>
        </w:rPr>
        <w:t>j</w:t>
      </w:r>
      <w:r w:rsidRPr="00E745DB">
        <w:rPr>
          <w:bCs/>
          <w:sz w:val="22"/>
          <w:lang w:val="hr-HR"/>
        </w:rPr>
        <w:t xml:space="preserve">e su oba </w:t>
      </w:r>
      <w:r>
        <w:rPr>
          <w:bCs/>
          <w:sz w:val="22"/>
          <w:lang w:val="hr-HR"/>
        </w:rPr>
        <w:t>lijeka primjen</w:t>
      </w:r>
      <w:r w:rsidRPr="00E745DB">
        <w:rPr>
          <w:bCs/>
          <w:sz w:val="22"/>
          <w:lang w:val="hr-HR"/>
        </w:rPr>
        <w:t xml:space="preserve">jivana </w:t>
      </w:r>
      <w:r>
        <w:rPr>
          <w:bCs/>
          <w:sz w:val="22"/>
          <w:lang w:val="hr-HR"/>
        </w:rPr>
        <w:t>kod</w:t>
      </w:r>
      <w:r w:rsidRPr="00E745DB">
        <w:rPr>
          <w:bCs/>
          <w:sz w:val="22"/>
          <w:lang w:val="hr-HR"/>
        </w:rPr>
        <w:t xml:space="preserve"> odraslih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w:t>
      </w:r>
      <w:r>
        <w:rPr>
          <w:bCs/>
          <w:sz w:val="22"/>
          <w:lang w:val="hr-HR"/>
        </w:rPr>
        <w:t>h</w:t>
      </w:r>
      <w:r w:rsidRPr="00E745DB">
        <w:rPr>
          <w:bCs/>
          <w:sz w:val="22"/>
          <w:lang w:val="hr-HR"/>
        </w:rPr>
        <w:t>roničn</w:t>
      </w:r>
      <w:r>
        <w:rPr>
          <w:bCs/>
          <w:sz w:val="22"/>
          <w:lang w:val="hr-HR"/>
        </w:rPr>
        <w:t xml:space="preserve">om insuficijencijom </w:t>
      </w:r>
      <w:r w:rsidRPr="00E745DB">
        <w:rPr>
          <w:bCs/>
          <w:sz w:val="22"/>
          <w:lang w:val="hr-HR"/>
        </w:rPr>
        <w:t>srca, NYHA klase II</w:t>
      </w:r>
      <w:r w:rsidRPr="00E745DB">
        <w:rPr>
          <w:bCs/>
          <w:sz w:val="22"/>
          <w:lang w:val="hr-HR"/>
        </w:rPr>
        <w:noBreakHyphen/>
        <w:t>IV i smanjenom ejekci</w:t>
      </w:r>
      <w:r>
        <w:rPr>
          <w:bCs/>
          <w:sz w:val="22"/>
          <w:lang w:val="hr-HR"/>
        </w:rPr>
        <w:t>onom</w:t>
      </w:r>
      <w:r w:rsidRPr="00E745DB">
        <w:rPr>
          <w:bCs/>
          <w:sz w:val="22"/>
          <w:lang w:val="hr-HR"/>
        </w:rPr>
        <w:t xml:space="preserve"> frakcijom (ejekci</w:t>
      </w:r>
      <w:r>
        <w:rPr>
          <w:bCs/>
          <w:sz w:val="22"/>
          <w:lang w:val="hr-HR"/>
        </w:rPr>
        <w:t>ona</w:t>
      </w:r>
      <w:r w:rsidRPr="00E745DB">
        <w:rPr>
          <w:bCs/>
          <w:sz w:val="22"/>
          <w:lang w:val="hr-HR"/>
        </w:rPr>
        <w:t xml:space="preserve"> frakcija l</w:t>
      </w:r>
      <w:r>
        <w:rPr>
          <w:bCs/>
          <w:sz w:val="22"/>
          <w:lang w:val="hr-HR"/>
        </w:rPr>
        <w:t>ijeve komore [LVEF] ≤40%, kasnije izmij</w:t>
      </w:r>
      <w:r w:rsidRPr="00E745DB">
        <w:rPr>
          <w:bCs/>
          <w:sz w:val="22"/>
          <w:lang w:val="hr-HR"/>
        </w:rPr>
        <w:t xml:space="preserve">enjeno u ≤35%) uz druge terapije za </w:t>
      </w:r>
      <w:r>
        <w:rPr>
          <w:bCs/>
          <w:sz w:val="22"/>
          <w:lang w:val="hr-HR"/>
        </w:rPr>
        <w:t>insuficijenciju</w:t>
      </w:r>
      <w:r w:rsidRPr="00E745DB">
        <w:rPr>
          <w:bCs/>
          <w:sz w:val="22"/>
          <w:lang w:val="hr-HR"/>
        </w:rPr>
        <w:t xml:space="preserve"> srca. Primarni </w:t>
      </w:r>
      <w:r>
        <w:rPr>
          <w:bCs/>
          <w:sz w:val="22"/>
          <w:lang w:val="hr-HR"/>
        </w:rPr>
        <w:t>parametar je bio</w:t>
      </w:r>
      <w:r w:rsidRPr="00E745DB">
        <w:rPr>
          <w:bCs/>
          <w:sz w:val="22"/>
          <w:lang w:val="hr-HR"/>
        </w:rPr>
        <w:t xml:space="preserve"> </w:t>
      </w:r>
      <w:r>
        <w:rPr>
          <w:bCs/>
          <w:sz w:val="22"/>
          <w:lang w:val="hr-HR"/>
        </w:rPr>
        <w:t>kardio</w:t>
      </w:r>
      <w:r w:rsidRPr="00E745DB">
        <w:rPr>
          <w:bCs/>
          <w:sz w:val="22"/>
          <w:lang w:val="hr-HR"/>
        </w:rPr>
        <w:t>vaskularn</w:t>
      </w:r>
      <w:r>
        <w:rPr>
          <w:bCs/>
          <w:sz w:val="22"/>
          <w:lang w:val="hr-HR"/>
        </w:rPr>
        <w:t>a</w:t>
      </w:r>
      <w:r w:rsidRPr="00E745DB">
        <w:rPr>
          <w:bCs/>
          <w:sz w:val="22"/>
          <w:lang w:val="hr-HR"/>
        </w:rPr>
        <w:t xml:space="preserve"> (KV) smrt ili hospitalizaciju zbog </w:t>
      </w:r>
      <w:r>
        <w:rPr>
          <w:bCs/>
          <w:sz w:val="22"/>
          <w:lang w:val="hr-HR"/>
        </w:rPr>
        <w:t>insuficijencije</w:t>
      </w:r>
      <w:r w:rsidRPr="00E745DB">
        <w:rPr>
          <w:bCs/>
          <w:sz w:val="22"/>
          <w:lang w:val="hr-HR"/>
        </w:rPr>
        <w:t xml:space="preserve"> srca. </w:t>
      </w:r>
      <w:r>
        <w:rPr>
          <w:bCs/>
          <w:sz w:val="22"/>
          <w:lang w:val="hr-HR"/>
        </w:rPr>
        <w:t>Pacijent</w:t>
      </w:r>
      <w:r w:rsidRPr="00E745DB">
        <w:rPr>
          <w:bCs/>
          <w:sz w:val="22"/>
          <w:lang w:val="hr-HR"/>
        </w:rPr>
        <w:t>i koji su imali S</w:t>
      </w:r>
      <w:r>
        <w:rPr>
          <w:bCs/>
          <w:sz w:val="22"/>
          <w:lang w:val="hr-HR"/>
        </w:rPr>
        <w:t>TA</w:t>
      </w:r>
      <w:r w:rsidRPr="00E745DB">
        <w:rPr>
          <w:bCs/>
          <w:sz w:val="22"/>
          <w:lang w:val="hr-HR"/>
        </w:rPr>
        <w:t xml:space="preserve"> &lt;100 mmHg, teško oštećenje </w:t>
      </w:r>
      <w:r>
        <w:rPr>
          <w:bCs/>
          <w:sz w:val="22"/>
          <w:lang w:val="hr-HR"/>
        </w:rPr>
        <w:t xml:space="preserve">funkcije </w:t>
      </w:r>
      <w:r w:rsidRPr="00E745DB">
        <w:rPr>
          <w:bCs/>
          <w:sz w:val="22"/>
          <w:lang w:val="hr-HR"/>
        </w:rPr>
        <w:t>bubrega (eGFR &lt;30 ml/min/1,73 m</w:t>
      </w:r>
      <w:r w:rsidRPr="00E745DB">
        <w:rPr>
          <w:bCs/>
          <w:sz w:val="22"/>
          <w:vertAlign w:val="superscript"/>
          <w:lang w:val="hr-HR"/>
        </w:rPr>
        <w:t>2</w:t>
      </w:r>
      <w:r w:rsidRPr="00E745DB">
        <w:rPr>
          <w:bCs/>
          <w:sz w:val="22"/>
          <w:lang w:val="hr-HR"/>
        </w:rPr>
        <w:t xml:space="preserve">) i teško oštećenje </w:t>
      </w:r>
      <w:r>
        <w:rPr>
          <w:bCs/>
          <w:sz w:val="22"/>
          <w:lang w:val="hr-HR"/>
        </w:rPr>
        <w:t xml:space="preserve">funkcije </w:t>
      </w:r>
      <w:r w:rsidRPr="00E745DB">
        <w:rPr>
          <w:bCs/>
          <w:sz w:val="22"/>
          <w:lang w:val="hr-HR"/>
        </w:rPr>
        <w:t xml:space="preserve">jetre bili su isključeni </w:t>
      </w:r>
      <w:r>
        <w:rPr>
          <w:bCs/>
          <w:sz w:val="22"/>
          <w:lang w:val="hr-HR"/>
        </w:rPr>
        <w:t>pri skriningu</w:t>
      </w:r>
      <w:r w:rsidRPr="00E745DB">
        <w:rPr>
          <w:bCs/>
          <w:sz w:val="22"/>
          <w:lang w:val="hr-HR"/>
        </w:rPr>
        <w:t xml:space="preserve"> i </w:t>
      </w:r>
      <w:r>
        <w:rPr>
          <w:bCs/>
          <w:sz w:val="22"/>
          <w:lang w:val="hr-HR"/>
        </w:rPr>
        <w:t>zbog toga nijesu i</w:t>
      </w:r>
      <w:r w:rsidRPr="00E745DB">
        <w:rPr>
          <w:bCs/>
          <w:sz w:val="22"/>
          <w:lang w:val="hr-HR"/>
        </w:rPr>
        <w:t>spitivani</w:t>
      </w:r>
      <w:r>
        <w:rPr>
          <w:bCs/>
          <w:sz w:val="22"/>
          <w:lang w:val="hr-HR"/>
        </w:rPr>
        <w:t xml:space="preserve"> prospektivno</w:t>
      </w:r>
      <w:r w:rsidRPr="00E745DB">
        <w:rPr>
          <w:bCs/>
          <w:sz w:val="22"/>
          <w:lang w:val="hr-HR"/>
        </w:rPr>
        <w:t>.</w:t>
      </w:r>
    </w:p>
    <w:p w14:paraId="4BB7732D" w14:textId="77777777" w:rsidR="00B96A91" w:rsidRPr="00E745DB" w:rsidRDefault="00B96A91" w:rsidP="001B64BC">
      <w:pPr>
        <w:widowControl w:val="0"/>
        <w:jc w:val="both"/>
        <w:rPr>
          <w:sz w:val="22"/>
          <w:lang w:val="hr-HR" w:eastAsia="ja-JP"/>
        </w:rPr>
      </w:pPr>
    </w:p>
    <w:p w14:paraId="57CA6614" w14:textId="77777777" w:rsidR="00B96A91" w:rsidRPr="00E745DB" w:rsidRDefault="00B96A91" w:rsidP="001B64BC">
      <w:pPr>
        <w:widowControl w:val="0"/>
        <w:jc w:val="both"/>
        <w:rPr>
          <w:sz w:val="22"/>
          <w:szCs w:val="20"/>
          <w:lang w:val="hr-HR"/>
        </w:rPr>
      </w:pPr>
      <w:r w:rsidRPr="00E745DB">
        <w:rPr>
          <w:bCs/>
          <w:sz w:val="22"/>
          <w:lang w:val="hr-HR"/>
        </w:rPr>
        <w:t>Pr</w:t>
      </w:r>
      <w:r>
        <w:rPr>
          <w:bCs/>
          <w:sz w:val="22"/>
          <w:lang w:val="hr-HR"/>
        </w:rPr>
        <w:t>ij</w:t>
      </w:r>
      <w:r w:rsidRPr="00E745DB">
        <w:rPr>
          <w:bCs/>
          <w:sz w:val="22"/>
          <w:lang w:val="hr-HR"/>
        </w:rPr>
        <w:t xml:space="preserve">e </w:t>
      </w:r>
      <w:r>
        <w:rPr>
          <w:bCs/>
          <w:sz w:val="22"/>
          <w:lang w:val="hr-HR"/>
        </w:rPr>
        <w:t>učestovanja u studiji</w:t>
      </w:r>
      <w:r w:rsidRPr="00E745DB">
        <w:rPr>
          <w:bCs/>
          <w:sz w:val="22"/>
          <w:lang w:val="hr-HR"/>
        </w:rPr>
        <w:t xml:space="preserve"> </w:t>
      </w:r>
      <w:r>
        <w:rPr>
          <w:bCs/>
          <w:sz w:val="22"/>
          <w:lang w:val="hr-HR"/>
        </w:rPr>
        <w:t>pacijenti su bili dobro liječ</w:t>
      </w:r>
      <w:r w:rsidRPr="00E745DB">
        <w:rPr>
          <w:bCs/>
          <w:sz w:val="22"/>
          <w:lang w:val="hr-HR"/>
        </w:rPr>
        <w:t>eni standardnom terapijom koja je uključivala ACE inhibitore/ARB</w:t>
      </w:r>
      <w:r w:rsidRPr="00E745DB">
        <w:rPr>
          <w:bCs/>
          <w:sz w:val="22"/>
          <w:lang w:val="hr-HR"/>
        </w:rPr>
        <w:noBreakHyphen/>
        <w:t xml:space="preserve">ove (&gt;99%), beta blokatore (94%), </w:t>
      </w:r>
      <w:r w:rsidRPr="00E745DB">
        <w:rPr>
          <w:sz w:val="22"/>
          <w:szCs w:val="20"/>
          <w:lang w:val="hr-HR"/>
        </w:rPr>
        <w:t xml:space="preserve">mineralokortikoidne </w:t>
      </w:r>
      <w:r w:rsidRPr="00E745DB">
        <w:rPr>
          <w:bCs/>
          <w:sz w:val="22"/>
          <w:lang w:val="hr-HR"/>
        </w:rPr>
        <w:t>antagoniste (58%) i diuretike (82%). Medijan</w:t>
      </w:r>
      <w:r>
        <w:rPr>
          <w:bCs/>
          <w:sz w:val="22"/>
          <w:lang w:val="hr-HR"/>
        </w:rPr>
        <w:t>a</w:t>
      </w:r>
      <w:r w:rsidRPr="00E745DB">
        <w:rPr>
          <w:bCs/>
          <w:sz w:val="22"/>
          <w:lang w:val="hr-HR"/>
        </w:rPr>
        <w:t xml:space="preserve"> trajanja praćenja </w:t>
      </w:r>
      <w:r>
        <w:rPr>
          <w:bCs/>
          <w:sz w:val="22"/>
          <w:lang w:val="hr-HR"/>
        </w:rPr>
        <w:t>je bila</w:t>
      </w:r>
      <w:r w:rsidRPr="00E745DB">
        <w:rPr>
          <w:bCs/>
          <w:sz w:val="22"/>
          <w:lang w:val="hr-HR"/>
        </w:rPr>
        <w:t xml:space="preserve"> 27 </w:t>
      </w:r>
      <w:r>
        <w:rPr>
          <w:bCs/>
          <w:sz w:val="22"/>
          <w:lang w:val="hr-HR"/>
        </w:rPr>
        <w:t>mjesec</w:t>
      </w:r>
      <w:r w:rsidRPr="00E745DB">
        <w:rPr>
          <w:bCs/>
          <w:sz w:val="22"/>
          <w:lang w:val="hr-HR"/>
        </w:rPr>
        <w:t xml:space="preserve">i, a </w:t>
      </w:r>
      <w:r>
        <w:rPr>
          <w:bCs/>
          <w:sz w:val="22"/>
          <w:lang w:val="hr-HR"/>
        </w:rPr>
        <w:t>pacijent</w:t>
      </w:r>
      <w:r w:rsidRPr="00E745DB">
        <w:rPr>
          <w:bCs/>
          <w:sz w:val="22"/>
          <w:lang w:val="hr-HR"/>
        </w:rPr>
        <w:t xml:space="preserve">i su se </w:t>
      </w:r>
      <w:r>
        <w:rPr>
          <w:bCs/>
          <w:sz w:val="22"/>
          <w:lang w:val="hr-HR"/>
        </w:rPr>
        <w:t>liječ</w:t>
      </w:r>
      <w:r w:rsidRPr="00E745DB">
        <w:rPr>
          <w:bCs/>
          <w:sz w:val="22"/>
          <w:lang w:val="hr-HR"/>
        </w:rPr>
        <w:t>ili do 4,3 godine.</w:t>
      </w:r>
    </w:p>
    <w:p w14:paraId="0ABAFA37" w14:textId="77777777" w:rsidR="00B96A91" w:rsidRPr="00E745DB" w:rsidRDefault="00B96A91" w:rsidP="001B64BC">
      <w:pPr>
        <w:widowControl w:val="0"/>
        <w:jc w:val="both"/>
        <w:rPr>
          <w:sz w:val="22"/>
          <w:lang w:val="hr-HR"/>
        </w:rPr>
      </w:pPr>
    </w:p>
    <w:p w14:paraId="421DC781" w14:textId="150C0F42" w:rsidR="00B96A91" w:rsidRPr="00E745DB" w:rsidRDefault="00B96A91" w:rsidP="001B64BC">
      <w:pPr>
        <w:widowControl w:val="0"/>
        <w:jc w:val="both"/>
        <w:rPr>
          <w:bCs/>
          <w:sz w:val="22"/>
          <w:lang w:val="hr-HR"/>
        </w:rPr>
      </w:pPr>
      <w:r>
        <w:rPr>
          <w:bCs/>
          <w:sz w:val="22"/>
          <w:lang w:val="hr-HR"/>
        </w:rPr>
        <w:t xml:space="preserve">Od pacijenata je zahtijevano da </w:t>
      </w:r>
      <w:r w:rsidRPr="00E745DB">
        <w:rPr>
          <w:bCs/>
          <w:sz w:val="22"/>
          <w:lang w:val="hr-HR"/>
        </w:rPr>
        <w:t>prekinu postojeću terapiju ACE inhibitorom ili ARB</w:t>
      </w:r>
      <w:r w:rsidRPr="00E745DB">
        <w:rPr>
          <w:bCs/>
          <w:sz w:val="22"/>
          <w:lang w:val="hr-HR"/>
        </w:rPr>
        <w:noBreakHyphen/>
        <w:t xml:space="preserve">om </w:t>
      </w:r>
      <w:r>
        <w:rPr>
          <w:bCs/>
          <w:sz w:val="22"/>
          <w:lang w:val="hr-HR"/>
        </w:rPr>
        <w:t>i da uđu u uzastopni jednostruki slij</w:t>
      </w:r>
      <w:r w:rsidRPr="00E745DB">
        <w:rPr>
          <w:bCs/>
          <w:sz w:val="22"/>
          <w:lang w:val="hr-HR"/>
        </w:rPr>
        <w:t>ep</w:t>
      </w:r>
      <w:r>
        <w:rPr>
          <w:bCs/>
          <w:sz w:val="22"/>
          <w:lang w:val="hr-HR"/>
        </w:rPr>
        <w:t>i</w:t>
      </w:r>
      <w:r w:rsidRPr="00E745DB">
        <w:rPr>
          <w:bCs/>
          <w:sz w:val="22"/>
          <w:lang w:val="hr-HR"/>
        </w:rPr>
        <w:t xml:space="preserve"> ulazn</w:t>
      </w:r>
      <w:r>
        <w:rPr>
          <w:bCs/>
          <w:sz w:val="22"/>
          <w:lang w:val="hr-HR"/>
        </w:rPr>
        <w:t>i period</w:t>
      </w:r>
      <w:r w:rsidRPr="00E745DB">
        <w:rPr>
          <w:bCs/>
          <w:sz w:val="22"/>
          <w:lang w:val="hr-HR"/>
        </w:rPr>
        <w:t xml:space="preserve"> t</w:t>
      </w:r>
      <w:r>
        <w:rPr>
          <w:bCs/>
          <w:sz w:val="22"/>
          <w:lang w:val="hr-HR"/>
        </w:rPr>
        <w:t xml:space="preserve">okom </w:t>
      </w:r>
      <w:r w:rsidRPr="00E745DB">
        <w:rPr>
          <w:bCs/>
          <w:sz w:val="22"/>
          <w:lang w:val="hr-HR"/>
        </w:rPr>
        <w:t>ko</w:t>
      </w:r>
      <w:r>
        <w:rPr>
          <w:bCs/>
          <w:sz w:val="22"/>
          <w:lang w:val="hr-HR"/>
        </w:rPr>
        <w:t>ga</w:t>
      </w:r>
      <w:r w:rsidRPr="00E745DB">
        <w:rPr>
          <w:bCs/>
          <w:sz w:val="22"/>
          <w:lang w:val="hr-HR"/>
        </w:rPr>
        <w:t xml:space="preserve"> su primali terapiju enalaprilom 10 mg dva</w:t>
      </w:r>
      <w:r>
        <w:rPr>
          <w:bCs/>
          <w:sz w:val="22"/>
          <w:lang w:val="hr-HR"/>
        </w:rPr>
        <w:t xml:space="preserve"> </w:t>
      </w:r>
      <w:r w:rsidRPr="00E745DB">
        <w:rPr>
          <w:bCs/>
          <w:sz w:val="22"/>
          <w:lang w:val="hr-HR"/>
        </w:rPr>
        <w:t>put</w:t>
      </w:r>
      <w:r>
        <w:rPr>
          <w:bCs/>
          <w:sz w:val="22"/>
          <w:lang w:val="hr-HR"/>
        </w:rPr>
        <w:t>a</w:t>
      </w:r>
      <w:r w:rsidRPr="00E745DB">
        <w:rPr>
          <w:bCs/>
          <w:sz w:val="22"/>
          <w:lang w:val="hr-HR"/>
        </w:rPr>
        <w:t xml:space="preserve"> </w:t>
      </w:r>
      <w:r>
        <w:rPr>
          <w:bCs/>
          <w:sz w:val="22"/>
          <w:lang w:val="hr-HR"/>
        </w:rPr>
        <w:t>dnevno</w:t>
      </w:r>
      <w:r w:rsidRPr="00E745DB">
        <w:rPr>
          <w:bCs/>
          <w:sz w:val="22"/>
          <w:lang w:val="hr-HR"/>
        </w:rPr>
        <w:t>, nakon čega je sl</w:t>
      </w:r>
      <w:r>
        <w:rPr>
          <w:bCs/>
          <w:sz w:val="22"/>
          <w:lang w:val="hr-HR"/>
        </w:rPr>
        <w:t>ij</w:t>
      </w:r>
      <w:r w:rsidRPr="00E745DB">
        <w:rPr>
          <w:bCs/>
          <w:sz w:val="22"/>
          <w:lang w:val="hr-HR"/>
        </w:rPr>
        <w:t>edilo jednostruko sl</w:t>
      </w:r>
      <w:r>
        <w:rPr>
          <w:bCs/>
          <w:sz w:val="22"/>
          <w:lang w:val="hr-HR"/>
        </w:rPr>
        <w:t>ij</w:t>
      </w:r>
      <w:r w:rsidRPr="00E745DB">
        <w:rPr>
          <w:bCs/>
          <w:sz w:val="22"/>
          <w:lang w:val="hr-HR"/>
        </w:rPr>
        <w:t xml:space="preserve">epo </w:t>
      </w:r>
      <w:r>
        <w:rPr>
          <w:bCs/>
          <w:sz w:val="22"/>
          <w:lang w:val="hr-HR"/>
        </w:rPr>
        <w:t>liječ</w:t>
      </w:r>
      <w:r w:rsidRPr="00E745DB">
        <w:rPr>
          <w:bCs/>
          <w:sz w:val="22"/>
          <w:lang w:val="hr-HR"/>
        </w:rPr>
        <w:t>enje</w:t>
      </w:r>
      <w:r>
        <w:rPr>
          <w:bCs/>
          <w:sz w:val="22"/>
          <w:lang w:val="hr-HR"/>
        </w:rPr>
        <w:t xml:space="preserve"> valsartan/sakubitril</w:t>
      </w:r>
      <w:r w:rsidRPr="00E745DB">
        <w:rPr>
          <w:bCs/>
          <w:sz w:val="22"/>
          <w:lang w:val="hr-HR"/>
        </w:rPr>
        <w:t xml:space="preserve"> 100 mg dva</w:t>
      </w:r>
      <w:r>
        <w:rPr>
          <w:bCs/>
          <w:sz w:val="22"/>
          <w:lang w:val="hr-HR"/>
        </w:rPr>
        <w:t xml:space="preserve"> </w:t>
      </w:r>
      <w:r w:rsidRPr="00E745DB">
        <w:rPr>
          <w:bCs/>
          <w:sz w:val="22"/>
          <w:lang w:val="hr-HR"/>
        </w:rPr>
        <w:t>put</w:t>
      </w:r>
      <w:r>
        <w:rPr>
          <w:bCs/>
          <w:sz w:val="22"/>
          <w:lang w:val="hr-HR"/>
        </w:rPr>
        <w:t>a</w:t>
      </w:r>
      <w:r w:rsidRPr="00E745DB">
        <w:rPr>
          <w:bCs/>
          <w:sz w:val="22"/>
          <w:lang w:val="hr-HR"/>
        </w:rPr>
        <w:t xml:space="preserve"> na dan, povećano na 200 mg dva</w:t>
      </w:r>
      <w:r>
        <w:rPr>
          <w:bCs/>
          <w:sz w:val="22"/>
          <w:lang w:val="hr-HR"/>
        </w:rPr>
        <w:t xml:space="preserve"> </w:t>
      </w:r>
      <w:r w:rsidRPr="00E745DB">
        <w:rPr>
          <w:bCs/>
          <w:sz w:val="22"/>
          <w:lang w:val="hr-HR"/>
        </w:rPr>
        <w:t>put</w:t>
      </w:r>
      <w:r>
        <w:rPr>
          <w:bCs/>
          <w:sz w:val="22"/>
          <w:lang w:val="hr-HR"/>
        </w:rPr>
        <w:t>a</w:t>
      </w:r>
      <w:r w:rsidRPr="00E745DB">
        <w:rPr>
          <w:bCs/>
          <w:sz w:val="22"/>
          <w:lang w:val="hr-HR"/>
        </w:rPr>
        <w:t xml:space="preserve"> na dan (</w:t>
      </w:r>
      <w:r>
        <w:rPr>
          <w:bCs/>
          <w:sz w:val="22"/>
          <w:lang w:val="hr-HR"/>
        </w:rPr>
        <w:t>vidjeti</w:t>
      </w:r>
      <w:r w:rsidRPr="00E745DB">
        <w:rPr>
          <w:bCs/>
          <w:sz w:val="22"/>
          <w:lang w:val="hr-HR"/>
        </w:rPr>
        <w:t xml:space="preserve"> </w:t>
      </w:r>
      <w:r w:rsidR="00B726B3">
        <w:rPr>
          <w:bCs/>
          <w:sz w:val="22"/>
          <w:lang w:val="hr-HR"/>
        </w:rPr>
        <w:t>dio</w:t>
      </w:r>
      <w:r w:rsidR="00B726B3" w:rsidRPr="00E745DB">
        <w:rPr>
          <w:bCs/>
          <w:sz w:val="22"/>
          <w:lang w:val="hr-HR"/>
        </w:rPr>
        <w:t> </w:t>
      </w:r>
      <w:r w:rsidRPr="00E745DB">
        <w:rPr>
          <w:bCs/>
          <w:sz w:val="22"/>
          <w:lang w:val="hr-HR"/>
        </w:rPr>
        <w:t>4.8 za prekide t</w:t>
      </w:r>
      <w:r>
        <w:rPr>
          <w:bCs/>
          <w:sz w:val="22"/>
          <w:lang w:val="hr-HR"/>
        </w:rPr>
        <w:t>okom ovog perioda</w:t>
      </w:r>
      <w:r w:rsidRPr="00E745DB">
        <w:rPr>
          <w:bCs/>
          <w:sz w:val="22"/>
          <w:lang w:val="hr-HR"/>
        </w:rPr>
        <w:t>). Zatim su bili randomiz</w:t>
      </w:r>
      <w:r>
        <w:rPr>
          <w:bCs/>
          <w:sz w:val="22"/>
          <w:lang w:val="hr-HR"/>
        </w:rPr>
        <w:t>ovani</w:t>
      </w:r>
      <w:r w:rsidRPr="00E745DB">
        <w:rPr>
          <w:bCs/>
          <w:sz w:val="22"/>
          <w:lang w:val="hr-HR"/>
        </w:rPr>
        <w:t xml:space="preserve"> u dvostruko sl</w:t>
      </w:r>
      <w:r>
        <w:rPr>
          <w:bCs/>
          <w:sz w:val="22"/>
          <w:lang w:val="hr-HR"/>
        </w:rPr>
        <w:t>ij</w:t>
      </w:r>
      <w:r w:rsidRPr="00E745DB">
        <w:rPr>
          <w:bCs/>
          <w:sz w:val="22"/>
          <w:lang w:val="hr-HR"/>
        </w:rPr>
        <w:t>ep</w:t>
      </w:r>
      <w:r>
        <w:rPr>
          <w:bCs/>
          <w:sz w:val="22"/>
          <w:lang w:val="hr-HR"/>
        </w:rPr>
        <w:t>i period studije</w:t>
      </w:r>
      <w:r w:rsidRPr="00E745DB">
        <w:rPr>
          <w:bCs/>
          <w:sz w:val="22"/>
          <w:lang w:val="hr-HR"/>
        </w:rPr>
        <w:t xml:space="preserve"> t</w:t>
      </w:r>
      <w:r>
        <w:rPr>
          <w:bCs/>
          <w:sz w:val="22"/>
          <w:lang w:val="hr-HR"/>
        </w:rPr>
        <w:t>okom</w:t>
      </w:r>
      <w:r w:rsidRPr="00E745DB">
        <w:rPr>
          <w:bCs/>
          <w:sz w:val="22"/>
          <w:lang w:val="hr-HR"/>
        </w:rPr>
        <w:t xml:space="preserve"> ko</w:t>
      </w:r>
      <w:r>
        <w:rPr>
          <w:bCs/>
          <w:sz w:val="22"/>
          <w:lang w:val="hr-HR"/>
        </w:rPr>
        <w:t>ga su primali ili valsartan/sakubitril</w:t>
      </w:r>
      <w:r w:rsidRPr="00E745DB">
        <w:rPr>
          <w:bCs/>
          <w:sz w:val="22"/>
          <w:lang w:val="hr-HR"/>
        </w:rPr>
        <w:t xml:space="preserve"> 200 mg ili enalapril 10 mg dva</w:t>
      </w:r>
      <w:r>
        <w:rPr>
          <w:bCs/>
          <w:sz w:val="22"/>
          <w:lang w:val="hr-HR"/>
        </w:rPr>
        <w:t xml:space="preserve"> </w:t>
      </w:r>
      <w:r w:rsidRPr="00E745DB">
        <w:rPr>
          <w:bCs/>
          <w:sz w:val="22"/>
          <w:lang w:val="hr-HR"/>
        </w:rPr>
        <w:t>put</w:t>
      </w:r>
      <w:r>
        <w:rPr>
          <w:bCs/>
          <w:sz w:val="22"/>
          <w:lang w:val="hr-HR"/>
        </w:rPr>
        <w:t>a</w:t>
      </w:r>
      <w:r w:rsidRPr="00E745DB">
        <w:rPr>
          <w:bCs/>
          <w:sz w:val="22"/>
          <w:lang w:val="hr-HR"/>
        </w:rPr>
        <w:t xml:space="preserve"> na dan [</w:t>
      </w:r>
      <w:r>
        <w:rPr>
          <w:bCs/>
          <w:sz w:val="22"/>
          <w:lang w:val="hr-HR"/>
        </w:rPr>
        <w:t>valsartan/sakubitril</w:t>
      </w:r>
      <w:r w:rsidRPr="00E745DB">
        <w:rPr>
          <w:bCs/>
          <w:sz w:val="22"/>
          <w:lang w:val="hr-HR"/>
        </w:rPr>
        <w:t xml:space="preserve"> (n=4209); enalapril (n=4233)].</w:t>
      </w:r>
    </w:p>
    <w:p w14:paraId="0B7B6A32" w14:textId="77777777" w:rsidR="00B96A91" w:rsidRPr="00E745DB" w:rsidRDefault="00B96A91" w:rsidP="001B64BC">
      <w:pPr>
        <w:widowControl w:val="0"/>
        <w:jc w:val="both"/>
        <w:rPr>
          <w:sz w:val="22"/>
          <w:lang w:val="hr-HR"/>
        </w:rPr>
      </w:pPr>
    </w:p>
    <w:p w14:paraId="18A5BAD6" w14:textId="77777777" w:rsidR="00B96A91" w:rsidRPr="00E745DB" w:rsidRDefault="00B96A91" w:rsidP="001B64BC">
      <w:pPr>
        <w:widowControl w:val="0"/>
        <w:jc w:val="both"/>
        <w:rPr>
          <w:bCs/>
          <w:sz w:val="22"/>
          <w:lang w:val="hr-HR"/>
        </w:rPr>
      </w:pPr>
      <w:r w:rsidRPr="00E745DB">
        <w:rPr>
          <w:bCs/>
          <w:sz w:val="22"/>
          <w:lang w:val="hr-HR"/>
        </w:rPr>
        <w:t xml:space="preserve">Srednja </w:t>
      </w:r>
      <w:r>
        <w:rPr>
          <w:bCs/>
          <w:sz w:val="22"/>
          <w:lang w:val="hr-HR"/>
        </w:rPr>
        <w:t>starost</w:t>
      </w:r>
      <w:r w:rsidRPr="00E745DB">
        <w:rPr>
          <w:bCs/>
          <w:sz w:val="22"/>
          <w:lang w:val="hr-HR"/>
        </w:rPr>
        <w:t xml:space="preserve"> ispitivane populacije bila je 64 godine, a 19% imalo je 75 godina ili više. Kod randomizacije je 70% </w:t>
      </w:r>
      <w:r>
        <w:rPr>
          <w:bCs/>
          <w:sz w:val="22"/>
          <w:lang w:val="hr-HR"/>
        </w:rPr>
        <w:t>pacijenata</w:t>
      </w:r>
      <w:r w:rsidRPr="00E745DB">
        <w:rPr>
          <w:bCs/>
          <w:sz w:val="22"/>
          <w:lang w:val="hr-HR"/>
        </w:rPr>
        <w:t xml:space="preserve"> bilo NYHA klase II, 24% je bilo klase III, a 0,7% je bilo klase IV. Srednja LVEF bila je 29% i bilo je 963 (11,4%)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početnom LVEF &gt;35% i ≤40%.</w:t>
      </w:r>
    </w:p>
    <w:p w14:paraId="28FD5FD6" w14:textId="77777777" w:rsidR="00B96A91" w:rsidRPr="00E745DB" w:rsidRDefault="00B96A91" w:rsidP="001B64BC">
      <w:pPr>
        <w:widowControl w:val="0"/>
        <w:tabs>
          <w:tab w:val="left" w:pos="567"/>
        </w:tabs>
        <w:jc w:val="both"/>
        <w:rPr>
          <w:sz w:val="22"/>
          <w:szCs w:val="20"/>
          <w:lang w:val="hr-HR"/>
        </w:rPr>
      </w:pPr>
    </w:p>
    <w:p w14:paraId="1B526225" w14:textId="77777777" w:rsidR="00B96A91" w:rsidRPr="00E745DB" w:rsidRDefault="00B96A91" w:rsidP="001B64BC">
      <w:pPr>
        <w:widowControl w:val="0"/>
        <w:tabs>
          <w:tab w:val="left" w:pos="567"/>
        </w:tabs>
        <w:jc w:val="both"/>
        <w:rPr>
          <w:sz w:val="22"/>
          <w:szCs w:val="20"/>
          <w:lang w:val="hr-HR"/>
        </w:rPr>
      </w:pPr>
      <w:r w:rsidRPr="00E745DB">
        <w:rPr>
          <w:sz w:val="22"/>
          <w:szCs w:val="20"/>
          <w:lang w:val="hr-HR"/>
        </w:rPr>
        <w:t xml:space="preserve">U </w:t>
      </w:r>
      <w:r>
        <w:rPr>
          <w:sz w:val="22"/>
          <w:szCs w:val="20"/>
          <w:lang w:val="hr-HR"/>
        </w:rPr>
        <w:t>grupi</w:t>
      </w:r>
      <w:r w:rsidRPr="00E745DB">
        <w:rPr>
          <w:sz w:val="22"/>
          <w:szCs w:val="20"/>
          <w:lang w:val="hr-HR"/>
        </w:rPr>
        <w:t xml:space="preserve"> koja je primala </w:t>
      </w:r>
      <w:r>
        <w:rPr>
          <w:bCs/>
          <w:sz w:val="22"/>
          <w:lang w:val="hr-HR"/>
        </w:rPr>
        <w:t>valsartan/sakubitril</w:t>
      </w:r>
      <w:r w:rsidRPr="00E745DB">
        <w:rPr>
          <w:sz w:val="22"/>
          <w:szCs w:val="20"/>
          <w:lang w:val="hr-HR"/>
        </w:rPr>
        <w:t xml:space="preserve">, 76% </w:t>
      </w:r>
      <w:r>
        <w:rPr>
          <w:sz w:val="22"/>
          <w:szCs w:val="20"/>
          <w:lang w:val="hr-HR"/>
        </w:rPr>
        <w:t>pacijenata je</w:t>
      </w:r>
      <w:r w:rsidRPr="00E745DB">
        <w:rPr>
          <w:sz w:val="22"/>
          <w:szCs w:val="20"/>
          <w:lang w:val="hr-HR"/>
        </w:rPr>
        <w:t xml:space="preserve"> ostalo na ciljnoj dozi od 200 mg dva</w:t>
      </w:r>
      <w:r>
        <w:rPr>
          <w:sz w:val="22"/>
          <w:szCs w:val="20"/>
          <w:lang w:val="hr-HR"/>
        </w:rPr>
        <w:t xml:space="preserve"> </w:t>
      </w:r>
      <w:r w:rsidRPr="00E745DB">
        <w:rPr>
          <w:sz w:val="22"/>
          <w:szCs w:val="20"/>
          <w:lang w:val="hr-HR"/>
        </w:rPr>
        <w:t>put</w:t>
      </w:r>
      <w:r>
        <w:rPr>
          <w:sz w:val="22"/>
          <w:szCs w:val="20"/>
          <w:lang w:val="hr-HR"/>
        </w:rPr>
        <w:t>a</w:t>
      </w:r>
      <w:r w:rsidRPr="00E745DB">
        <w:rPr>
          <w:sz w:val="22"/>
          <w:szCs w:val="20"/>
          <w:lang w:val="hr-HR"/>
        </w:rPr>
        <w:t xml:space="preserve"> na dan na kraju </w:t>
      </w:r>
      <w:r>
        <w:rPr>
          <w:sz w:val="22"/>
          <w:szCs w:val="20"/>
          <w:lang w:val="hr-HR"/>
        </w:rPr>
        <w:t>studije</w:t>
      </w:r>
      <w:r w:rsidRPr="00E745DB">
        <w:rPr>
          <w:sz w:val="22"/>
          <w:szCs w:val="20"/>
          <w:lang w:val="hr-HR"/>
        </w:rPr>
        <w:t xml:space="preserve"> (srednja dnevna doza od 375 mg). U </w:t>
      </w:r>
      <w:r>
        <w:rPr>
          <w:sz w:val="22"/>
          <w:szCs w:val="20"/>
          <w:lang w:val="hr-HR"/>
        </w:rPr>
        <w:t>grupi</w:t>
      </w:r>
      <w:r w:rsidRPr="00E745DB">
        <w:rPr>
          <w:sz w:val="22"/>
          <w:szCs w:val="20"/>
          <w:lang w:val="hr-HR"/>
        </w:rPr>
        <w:t xml:space="preserve"> koja je primala enalapril, 75% </w:t>
      </w:r>
      <w:r>
        <w:rPr>
          <w:sz w:val="22"/>
          <w:szCs w:val="20"/>
          <w:lang w:val="hr-HR"/>
        </w:rPr>
        <w:t>pacijenata</w:t>
      </w:r>
      <w:r w:rsidRPr="00E745DB">
        <w:rPr>
          <w:sz w:val="22"/>
          <w:szCs w:val="20"/>
          <w:lang w:val="hr-HR"/>
        </w:rPr>
        <w:t xml:space="preserve"> ostalo je na ciljnoj dozi od 10 mg dva</w:t>
      </w:r>
      <w:r>
        <w:rPr>
          <w:sz w:val="22"/>
          <w:szCs w:val="20"/>
          <w:lang w:val="hr-HR"/>
        </w:rPr>
        <w:t xml:space="preserve"> </w:t>
      </w:r>
      <w:r w:rsidRPr="00E745DB">
        <w:rPr>
          <w:sz w:val="22"/>
          <w:szCs w:val="20"/>
          <w:lang w:val="hr-HR"/>
        </w:rPr>
        <w:t>put</w:t>
      </w:r>
      <w:r>
        <w:rPr>
          <w:sz w:val="22"/>
          <w:szCs w:val="20"/>
          <w:lang w:val="hr-HR"/>
        </w:rPr>
        <w:t>a</w:t>
      </w:r>
      <w:r w:rsidRPr="00E745DB">
        <w:rPr>
          <w:sz w:val="22"/>
          <w:szCs w:val="20"/>
          <w:lang w:val="hr-HR"/>
        </w:rPr>
        <w:t xml:space="preserve"> na dan na kraju </w:t>
      </w:r>
      <w:r>
        <w:rPr>
          <w:sz w:val="22"/>
          <w:szCs w:val="20"/>
          <w:lang w:val="hr-HR"/>
        </w:rPr>
        <w:t>studije</w:t>
      </w:r>
      <w:r w:rsidRPr="00E745DB">
        <w:rPr>
          <w:sz w:val="22"/>
          <w:szCs w:val="20"/>
          <w:lang w:val="hr-HR"/>
        </w:rPr>
        <w:t xml:space="preserve"> (srednja dnevna doza od 18,9 mg).</w:t>
      </w:r>
    </w:p>
    <w:p w14:paraId="428BF145" w14:textId="77777777" w:rsidR="00B96A91" w:rsidRPr="00E745DB" w:rsidRDefault="00B96A91" w:rsidP="001B64BC">
      <w:pPr>
        <w:widowControl w:val="0"/>
        <w:jc w:val="both"/>
        <w:rPr>
          <w:sz w:val="22"/>
          <w:szCs w:val="20"/>
          <w:lang w:val="hr-HR"/>
        </w:rPr>
      </w:pPr>
    </w:p>
    <w:p w14:paraId="0DB3B704" w14:textId="16ED4224" w:rsidR="00B96A91" w:rsidRPr="00E745DB" w:rsidRDefault="00B96A91" w:rsidP="001B64BC">
      <w:pPr>
        <w:widowControl w:val="0"/>
        <w:jc w:val="both"/>
        <w:rPr>
          <w:bCs/>
          <w:sz w:val="22"/>
          <w:lang w:val="hr-HR"/>
        </w:rPr>
      </w:pPr>
      <w:r>
        <w:rPr>
          <w:bCs/>
          <w:sz w:val="22"/>
          <w:lang w:val="hr-HR"/>
        </w:rPr>
        <w:t>Valsartan/sakubitril</w:t>
      </w:r>
      <w:r w:rsidRPr="00E745DB">
        <w:rPr>
          <w:bCs/>
          <w:sz w:val="22"/>
          <w:lang w:val="hr-HR"/>
        </w:rPr>
        <w:t xml:space="preserve"> je bio superior</w:t>
      </w:r>
      <w:r>
        <w:rPr>
          <w:bCs/>
          <w:sz w:val="22"/>
          <w:lang w:val="hr-HR"/>
        </w:rPr>
        <w:t>niji</w:t>
      </w:r>
      <w:r w:rsidRPr="00E745DB">
        <w:rPr>
          <w:bCs/>
          <w:sz w:val="22"/>
          <w:lang w:val="hr-HR"/>
        </w:rPr>
        <w:t xml:space="preserve"> u odnosu na enalapril, smanjujući rizik od kardiovaskularne smrti ili hospitalizacija zbog </w:t>
      </w:r>
      <w:r>
        <w:rPr>
          <w:bCs/>
          <w:sz w:val="22"/>
          <w:lang w:val="hr-HR"/>
        </w:rPr>
        <w:t>insuficijencije</w:t>
      </w:r>
      <w:r w:rsidRPr="00E745DB">
        <w:rPr>
          <w:bCs/>
          <w:sz w:val="22"/>
          <w:lang w:val="hr-HR"/>
        </w:rPr>
        <w:t xml:space="preserve"> srca na 21,8% u </w:t>
      </w:r>
      <w:r>
        <w:rPr>
          <w:bCs/>
          <w:sz w:val="22"/>
          <w:lang w:val="hr-HR"/>
        </w:rPr>
        <w:t>poređenju</w:t>
      </w:r>
      <w:r w:rsidRPr="00E745DB">
        <w:rPr>
          <w:bCs/>
          <w:sz w:val="22"/>
          <w:lang w:val="hr-HR"/>
        </w:rPr>
        <w:t xml:space="preserve"> s</w:t>
      </w:r>
      <w:r>
        <w:rPr>
          <w:bCs/>
          <w:sz w:val="22"/>
          <w:lang w:val="hr-HR"/>
        </w:rPr>
        <w:t>a</w:t>
      </w:r>
      <w:r w:rsidRPr="00E745DB">
        <w:rPr>
          <w:bCs/>
          <w:sz w:val="22"/>
          <w:lang w:val="hr-HR"/>
        </w:rPr>
        <w:t xml:space="preserve"> 26,5% kod </w:t>
      </w:r>
      <w:r>
        <w:rPr>
          <w:bCs/>
          <w:sz w:val="22"/>
          <w:lang w:val="hr-HR"/>
        </w:rPr>
        <w:t>pacijenata liječ</w:t>
      </w:r>
      <w:r w:rsidRPr="00E745DB">
        <w:rPr>
          <w:bCs/>
          <w:sz w:val="22"/>
          <w:lang w:val="hr-HR"/>
        </w:rPr>
        <w:t xml:space="preserve">enih enalaprilom. Apsolutna smanjenja rizika bila su 4,7% za </w:t>
      </w:r>
      <w:r>
        <w:rPr>
          <w:bCs/>
          <w:sz w:val="22"/>
          <w:lang w:val="hr-HR"/>
        </w:rPr>
        <w:t>udruženi</w:t>
      </w:r>
      <w:r w:rsidRPr="00E745DB">
        <w:rPr>
          <w:bCs/>
          <w:sz w:val="22"/>
          <w:lang w:val="hr-HR"/>
        </w:rPr>
        <w:t xml:space="preserve"> ishod KV smrti ili hospitalizacije zbog </w:t>
      </w:r>
      <w:r>
        <w:rPr>
          <w:bCs/>
          <w:sz w:val="22"/>
          <w:lang w:val="hr-HR"/>
        </w:rPr>
        <w:t>insuficijencije</w:t>
      </w:r>
      <w:r w:rsidRPr="00E745DB">
        <w:rPr>
          <w:bCs/>
          <w:sz w:val="22"/>
          <w:lang w:val="hr-HR"/>
        </w:rPr>
        <w:t xml:space="preserve"> srca, 3,1% samo za KV smrt</w:t>
      </w:r>
      <w:r>
        <w:rPr>
          <w:bCs/>
          <w:sz w:val="22"/>
          <w:lang w:val="hr-HR"/>
        </w:rPr>
        <w:t>, i</w:t>
      </w:r>
      <w:r w:rsidRPr="00E745DB">
        <w:rPr>
          <w:bCs/>
          <w:sz w:val="22"/>
          <w:lang w:val="hr-HR"/>
        </w:rPr>
        <w:t xml:space="preserve"> 2,8% samo za prvu hospitalizaciju zbog </w:t>
      </w:r>
      <w:r>
        <w:rPr>
          <w:bCs/>
          <w:sz w:val="22"/>
          <w:lang w:val="hr-HR"/>
        </w:rPr>
        <w:t>insuficijencije</w:t>
      </w:r>
      <w:r w:rsidRPr="00E745DB">
        <w:rPr>
          <w:bCs/>
          <w:sz w:val="22"/>
          <w:lang w:val="hr-HR"/>
        </w:rPr>
        <w:t xml:space="preserve"> srca. Relativno smanjenje rizika iznosilo je 20% u odnosu na enalapril (</w:t>
      </w:r>
      <w:r>
        <w:rPr>
          <w:bCs/>
          <w:sz w:val="22"/>
          <w:lang w:val="hr-HR"/>
        </w:rPr>
        <w:t>vidjeti</w:t>
      </w:r>
      <w:r w:rsidRPr="00E745DB">
        <w:rPr>
          <w:bCs/>
          <w:sz w:val="22"/>
          <w:lang w:val="hr-HR"/>
        </w:rPr>
        <w:t xml:space="preserve"> Tab</w:t>
      </w:r>
      <w:r>
        <w:rPr>
          <w:bCs/>
          <w:sz w:val="22"/>
          <w:lang w:val="hr-HR"/>
        </w:rPr>
        <w:t>elu</w:t>
      </w:r>
      <w:r w:rsidRPr="00E745DB">
        <w:rPr>
          <w:bCs/>
          <w:sz w:val="22"/>
          <w:lang w:val="hr-HR"/>
        </w:rPr>
        <w:t> </w:t>
      </w:r>
      <w:r w:rsidR="00B67A57">
        <w:rPr>
          <w:bCs/>
          <w:sz w:val="22"/>
          <w:lang w:val="hr-HR"/>
        </w:rPr>
        <w:t>3</w:t>
      </w:r>
      <w:r w:rsidRPr="00E745DB">
        <w:rPr>
          <w:bCs/>
          <w:sz w:val="22"/>
          <w:lang w:val="hr-HR"/>
        </w:rPr>
        <w:t xml:space="preserve">). Ovaj </w:t>
      </w:r>
      <w:r>
        <w:rPr>
          <w:bCs/>
          <w:sz w:val="22"/>
          <w:lang w:val="hr-HR"/>
        </w:rPr>
        <w:t>efekat je bio zapažen</w:t>
      </w:r>
      <w:r w:rsidRPr="00E745DB">
        <w:rPr>
          <w:bCs/>
          <w:sz w:val="22"/>
          <w:lang w:val="hr-HR"/>
        </w:rPr>
        <w:t xml:space="preserve"> rano i održao se za </w:t>
      </w:r>
      <w:r>
        <w:rPr>
          <w:bCs/>
          <w:sz w:val="22"/>
          <w:lang w:val="hr-HR"/>
        </w:rPr>
        <w:t xml:space="preserve">cjelokupno </w:t>
      </w:r>
      <w:r w:rsidRPr="00E745DB">
        <w:rPr>
          <w:bCs/>
          <w:sz w:val="22"/>
          <w:lang w:val="hr-HR"/>
        </w:rPr>
        <w:t>vr</w:t>
      </w:r>
      <w:r>
        <w:rPr>
          <w:bCs/>
          <w:sz w:val="22"/>
          <w:lang w:val="hr-HR"/>
        </w:rPr>
        <w:t>ij</w:t>
      </w:r>
      <w:r w:rsidRPr="00E745DB">
        <w:rPr>
          <w:bCs/>
          <w:sz w:val="22"/>
          <w:lang w:val="hr-HR"/>
        </w:rPr>
        <w:t xml:space="preserve">eme trajanja </w:t>
      </w:r>
      <w:r>
        <w:rPr>
          <w:bCs/>
          <w:sz w:val="22"/>
          <w:lang w:val="hr-HR"/>
        </w:rPr>
        <w:t>studije</w:t>
      </w:r>
      <w:r w:rsidRPr="00E745DB">
        <w:rPr>
          <w:bCs/>
          <w:sz w:val="22"/>
          <w:lang w:val="hr-HR"/>
        </w:rPr>
        <w:t xml:space="preserve"> (</w:t>
      </w:r>
      <w:r>
        <w:rPr>
          <w:bCs/>
          <w:sz w:val="22"/>
          <w:lang w:val="hr-HR"/>
        </w:rPr>
        <w:t>vidjeti</w:t>
      </w:r>
      <w:r w:rsidRPr="00E745DB">
        <w:rPr>
          <w:bCs/>
          <w:sz w:val="22"/>
          <w:lang w:val="hr-HR"/>
        </w:rPr>
        <w:t xml:space="preserve"> Sliku 1). Ob</w:t>
      </w:r>
      <w:r>
        <w:rPr>
          <w:bCs/>
          <w:sz w:val="22"/>
          <w:lang w:val="hr-HR"/>
        </w:rPr>
        <w:t>j</w:t>
      </w:r>
      <w:r w:rsidRPr="00E745DB">
        <w:rPr>
          <w:bCs/>
          <w:sz w:val="22"/>
          <w:lang w:val="hr-HR"/>
        </w:rPr>
        <w:t>e komponente</w:t>
      </w:r>
      <w:r>
        <w:rPr>
          <w:bCs/>
          <w:sz w:val="22"/>
          <w:lang w:val="hr-HR"/>
        </w:rPr>
        <w:t xml:space="preserve"> su</w:t>
      </w:r>
      <w:r w:rsidRPr="00E745DB">
        <w:rPr>
          <w:bCs/>
          <w:sz w:val="22"/>
          <w:lang w:val="hr-HR"/>
        </w:rPr>
        <w:t xml:space="preserve"> doprin</w:t>
      </w:r>
      <w:r>
        <w:rPr>
          <w:bCs/>
          <w:sz w:val="22"/>
          <w:lang w:val="hr-HR"/>
        </w:rPr>
        <w:t>ij</w:t>
      </w:r>
      <w:r w:rsidRPr="00E745DB">
        <w:rPr>
          <w:bCs/>
          <w:sz w:val="22"/>
          <w:lang w:val="hr-HR"/>
        </w:rPr>
        <w:t xml:space="preserve">ele smanjenju rizika. Iznenadna smrt predstavljala je 45% kardiovaskularnih smrti i bila je smanjena za 20% </w:t>
      </w:r>
      <w:r>
        <w:rPr>
          <w:bCs/>
          <w:sz w:val="22"/>
          <w:lang w:val="hr-HR"/>
        </w:rPr>
        <w:t>kod pacijenata</w:t>
      </w:r>
      <w:r w:rsidRPr="00E745DB">
        <w:rPr>
          <w:bCs/>
          <w:sz w:val="22"/>
          <w:lang w:val="hr-HR"/>
        </w:rPr>
        <w:t xml:space="preserve"> </w:t>
      </w:r>
      <w:r>
        <w:rPr>
          <w:bCs/>
          <w:sz w:val="22"/>
          <w:lang w:val="hr-HR"/>
        </w:rPr>
        <w:t>liječ</w:t>
      </w:r>
      <w:r w:rsidRPr="00E745DB">
        <w:rPr>
          <w:bCs/>
          <w:sz w:val="22"/>
          <w:lang w:val="hr-HR"/>
        </w:rPr>
        <w:t>enih</w:t>
      </w:r>
      <w:r>
        <w:rPr>
          <w:bCs/>
          <w:sz w:val="22"/>
          <w:lang w:val="hr-HR"/>
        </w:rPr>
        <w:t xml:space="preserve"> valsartan/sakubitril</w:t>
      </w:r>
      <w:r w:rsidRPr="00E745DB">
        <w:rPr>
          <w:bCs/>
          <w:sz w:val="22"/>
          <w:lang w:val="hr-HR"/>
        </w:rPr>
        <w:t xml:space="preserve">  u </w:t>
      </w:r>
      <w:r>
        <w:rPr>
          <w:bCs/>
          <w:sz w:val="22"/>
          <w:lang w:val="hr-HR"/>
        </w:rPr>
        <w:t>poređenju</w:t>
      </w:r>
      <w:r w:rsidRPr="00E745DB">
        <w:rPr>
          <w:bCs/>
          <w:sz w:val="22"/>
          <w:lang w:val="hr-HR"/>
        </w:rPr>
        <w:t xml:space="preserve"> s</w:t>
      </w:r>
      <w:r>
        <w:rPr>
          <w:bCs/>
          <w:sz w:val="22"/>
          <w:lang w:val="hr-HR"/>
        </w:rPr>
        <w:t>a</w:t>
      </w:r>
      <w:r w:rsidRPr="00E745DB">
        <w:rPr>
          <w:bCs/>
          <w:sz w:val="22"/>
          <w:lang w:val="hr-HR"/>
        </w:rPr>
        <w:t xml:space="preserve"> </w:t>
      </w:r>
      <w:r>
        <w:rPr>
          <w:bCs/>
          <w:sz w:val="22"/>
          <w:lang w:val="hr-HR"/>
        </w:rPr>
        <w:t>pacijent</w:t>
      </w:r>
      <w:r w:rsidRPr="00E745DB">
        <w:rPr>
          <w:bCs/>
          <w:sz w:val="22"/>
          <w:lang w:val="hr-HR"/>
        </w:rPr>
        <w:t xml:space="preserve">ima </w:t>
      </w:r>
      <w:r>
        <w:rPr>
          <w:bCs/>
          <w:sz w:val="22"/>
          <w:lang w:val="hr-HR"/>
        </w:rPr>
        <w:t>liječ</w:t>
      </w:r>
      <w:r w:rsidRPr="00E745DB">
        <w:rPr>
          <w:bCs/>
          <w:sz w:val="22"/>
          <w:lang w:val="hr-HR"/>
        </w:rPr>
        <w:t>enim enalaprilom (</w:t>
      </w:r>
      <w:r w:rsidR="00B67A57">
        <w:rPr>
          <w:bCs/>
          <w:sz w:val="22"/>
          <w:lang w:val="hr-HR"/>
        </w:rPr>
        <w:t>proc</w:t>
      </w:r>
      <w:r w:rsidR="002637F8">
        <w:rPr>
          <w:bCs/>
          <w:sz w:val="22"/>
          <w:lang w:val="hr-HR"/>
        </w:rPr>
        <w:t>j</w:t>
      </w:r>
      <w:r w:rsidR="00B67A57">
        <w:rPr>
          <w:bCs/>
          <w:sz w:val="22"/>
          <w:lang w:val="hr-HR"/>
        </w:rPr>
        <w:t xml:space="preserve">ena rizika </w:t>
      </w:r>
      <w:r w:rsidR="00B67A57">
        <w:rPr>
          <w:bCs/>
          <w:sz w:val="22"/>
          <w:lang w:val="en-GB"/>
        </w:rPr>
        <w:t>[</w:t>
      </w:r>
      <w:r w:rsidRPr="00E745DB">
        <w:rPr>
          <w:bCs/>
          <w:sz w:val="22"/>
          <w:lang w:val="hr-HR"/>
        </w:rPr>
        <w:t>HR</w:t>
      </w:r>
      <w:r w:rsidR="00B67A57">
        <w:rPr>
          <w:bCs/>
          <w:sz w:val="22"/>
          <w:lang w:val="hr-HR"/>
        </w:rPr>
        <w:t>]</w:t>
      </w:r>
      <w:r w:rsidRPr="00E745DB">
        <w:rPr>
          <w:bCs/>
          <w:sz w:val="22"/>
          <w:lang w:val="hr-HR"/>
        </w:rPr>
        <w:t xml:space="preserve"> 0,80, p=0,0082). </w:t>
      </w:r>
      <w:r>
        <w:rPr>
          <w:bCs/>
          <w:sz w:val="22"/>
          <w:lang w:val="hr-HR"/>
        </w:rPr>
        <w:t>Insuficijencija srca</w:t>
      </w:r>
      <w:r w:rsidRPr="00E745DB">
        <w:rPr>
          <w:bCs/>
          <w:sz w:val="22"/>
          <w:lang w:val="hr-HR"/>
        </w:rPr>
        <w:t xml:space="preserve"> kao pumpe predstavlja 26% kardiovaskularnih smrti i bil</w:t>
      </w:r>
      <w:r w:rsidR="00360067">
        <w:rPr>
          <w:bCs/>
          <w:sz w:val="22"/>
          <w:lang w:val="hr-HR"/>
        </w:rPr>
        <w:t>a</w:t>
      </w:r>
      <w:r w:rsidRPr="00E745DB">
        <w:rPr>
          <w:bCs/>
          <w:sz w:val="22"/>
          <w:lang w:val="hr-HR"/>
        </w:rPr>
        <w:t xml:space="preserve"> je smanjen</w:t>
      </w:r>
      <w:r w:rsidR="00360067">
        <w:rPr>
          <w:bCs/>
          <w:sz w:val="22"/>
          <w:lang w:val="hr-HR"/>
        </w:rPr>
        <w:t>a</w:t>
      </w:r>
      <w:r w:rsidRPr="00E745DB">
        <w:rPr>
          <w:bCs/>
          <w:sz w:val="22"/>
          <w:lang w:val="hr-HR"/>
        </w:rPr>
        <w:t xml:space="preserve"> za 21%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w:t>
      </w:r>
      <w:r>
        <w:rPr>
          <w:bCs/>
          <w:sz w:val="22"/>
          <w:lang w:val="hr-HR"/>
        </w:rPr>
        <w:t>liječ</w:t>
      </w:r>
      <w:r w:rsidRPr="00E745DB">
        <w:rPr>
          <w:bCs/>
          <w:sz w:val="22"/>
          <w:lang w:val="hr-HR"/>
        </w:rPr>
        <w:t>enih</w:t>
      </w:r>
      <w:r>
        <w:rPr>
          <w:bCs/>
          <w:sz w:val="22"/>
          <w:lang w:val="hr-HR"/>
        </w:rPr>
        <w:t xml:space="preserve"> valsartan/sakubitril</w:t>
      </w:r>
      <w:r w:rsidRPr="00E745DB">
        <w:rPr>
          <w:bCs/>
          <w:sz w:val="22"/>
          <w:lang w:val="hr-HR"/>
        </w:rPr>
        <w:t xml:space="preserve"> u </w:t>
      </w:r>
      <w:r>
        <w:rPr>
          <w:bCs/>
          <w:sz w:val="22"/>
          <w:lang w:val="hr-HR"/>
        </w:rPr>
        <w:t>poređenju</w:t>
      </w:r>
      <w:r w:rsidRPr="00E745DB">
        <w:rPr>
          <w:bCs/>
          <w:sz w:val="22"/>
          <w:lang w:val="hr-HR"/>
        </w:rPr>
        <w:t xml:space="preserve"> s</w:t>
      </w:r>
      <w:r>
        <w:rPr>
          <w:bCs/>
          <w:sz w:val="22"/>
          <w:lang w:val="hr-HR"/>
        </w:rPr>
        <w:t>a</w:t>
      </w:r>
      <w:r w:rsidRPr="00E745DB">
        <w:rPr>
          <w:bCs/>
          <w:sz w:val="22"/>
          <w:lang w:val="hr-HR"/>
        </w:rPr>
        <w:t xml:space="preserve"> </w:t>
      </w:r>
      <w:r>
        <w:rPr>
          <w:bCs/>
          <w:sz w:val="22"/>
          <w:lang w:val="hr-HR"/>
        </w:rPr>
        <w:t>pacijent</w:t>
      </w:r>
      <w:r w:rsidRPr="00E745DB">
        <w:rPr>
          <w:bCs/>
          <w:sz w:val="22"/>
          <w:lang w:val="hr-HR"/>
        </w:rPr>
        <w:t xml:space="preserve">ima </w:t>
      </w:r>
      <w:r>
        <w:rPr>
          <w:bCs/>
          <w:sz w:val="22"/>
          <w:lang w:val="hr-HR"/>
        </w:rPr>
        <w:t>liječ</w:t>
      </w:r>
      <w:r w:rsidRPr="00E745DB">
        <w:rPr>
          <w:bCs/>
          <w:sz w:val="22"/>
          <w:lang w:val="hr-HR"/>
        </w:rPr>
        <w:t>enima enalaprilom (HR 0,79, p=0,0338).</w:t>
      </w:r>
    </w:p>
    <w:p w14:paraId="4280CADA" w14:textId="77777777" w:rsidR="00B96A91" w:rsidRPr="00E745DB" w:rsidRDefault="00B96A91" w:rsidP="001B64BC">
      <w:pPr>
        <w:widowControl w:val="0"/>
        <w:rPr>
          <w:bCs/>
          <w:sz w:val="22"/>
          <w:lang w:val="hr-HR"/>
        </w:rPr>
      </w:pPr>
    </w:p>
    <w:p w14:paraId="61F2E216" w14:textId="77777777" w:rsidR="00B96A91" w:rsidRPr="00E745DB" w:rsidRDefault="00B96A91" w:rsidP="001B64BC">
      <w:pPr>
        <w:widowControl w:val="0"/>
        <w:jc w:val="both"/>
        <w:rPr>
          <w:bCs/>
          <w:sz w:val="22"/>
          <w:lang w:val="hr-HR"/>
        </w:rPr>
      </w:pPr>
      <w:r>
        <w:rPr>
          <w:bCs/>
          <w:sz w:val="22"/>
          <w:lang w:val="hr-HR"/>
        </w:rPr>
        <w:t>Smanjenje rizika bilo je doslj</w:t>
      </w:r>
      <w:r w:rsidRPr="00E745DB">
        <w:rPr>
          <w:bCs/>
          <w:sz w:val="22"/>
          <w:lang w:val="hr-HR"/>
        </w:rPr>
        <w:t xml:space="preserve">edno </w:t>
      </w:r>
      <w:r>
        <w:rPr>
          <w:bCs/>
          <w:sz w:val="22"/>
          <w:lang w:val="hr-HR"/>
        </w:rPr>
        <w:t>zapažano</w:t>
      </w:r>
      <w:r w:rsidRPr="00E745DB">
        <w:rPr>
          <w:bCs/>
          <w:sz w:val="22"/>
          <w:lang w:val="hr-HR"/>
        </w:rPr>
        <w:t xml:space="preserve"> u pod</w:t>
      </w:r>
      <w:r>
        <w:rPr>
          <w:bCs/>
          <w:sz w:val="22"/>
          <w:lang w:val="hr-HR"/>
        </w:rPr>
        <w:t xml:space="preserve">grupama koje su uključivale: </w:t>
      </w:r>
      <w:r w:rsidRPr="00E745DB">
        <w:rPr>
          <w:bCs/>
          <w:sz w:val="22"/>
          <w:lang w:val="hr-HR"/>
        </w:rPr>
        <w:t xml:space="preserve">pol, </w:t>
      </w:r>
      <w:r>
        <w:rPr>
          <w:bCs/>
          <w:sz w:val="22"/>
          <w:lang w:val="hr-HR"/>
        </w:rPr>
        <w:t>starost</w:t>
      </w:r>
      <w:r w:rsidRPr="00E745DB">
        <w:rPr>
          <w:bCs/>
          <w:sz w:val="22"/>
          <w:lang w:val="hr-HR"/>
        </w:rPr>
        <w:t>, rasu, geografiju, NYHA klasu (II/III), ejekci</w:t>
      </w:r>
      <w:r>
        <w:rPr>
          <w:bCs/>
          <w:sz w:val="22"/>
          <w:lang w:val="hr-HR"/>
        </w:rPr>
        <w:t>onu</w:t>
      </w:r>
      <w:r w:rsidRPr="00E745DB">
        <w:rPr>
          <w:bCs/>
          <w:sz w:val="22"/>
          <w:lang w:val="hr-HR"/>
        </w:rPr>
        <w:t xml:space="preserve"> frakciju, bubrežnu funkciju, </w:t>
      </w:r>
      <w:r>
        <w:rPr>
          <w:bCs/>
          <w:sz w:val="22"/>
          <w:lang w:val="hr-HR"/>
        </w:rPr>
        <w:t>anamnestičke podatke o diabetes mellitus-u</w:t>
      </w:r>
      <w:r w:rsidRPr="00E745DB">
        <w:rPr>
          <w:bCs/>
          <w:sz w:val="22"/>
          <w:lang w:val="hr-HR"/>
        </w:rPr>
        <w:t xml:space="preserve"> ili hipertenzij</w:t>
      </w:r>
      <w:r>
        <w:rPr>
          <w:bCs/>
          <w:sz w:val="22"/>
          <w:lang w:val="hr-HR"/>
        </w:rPr>
        <w:t>i</w:t>
      </w:r>
      <w:r w:rsidRPr="00E745DB">
        <w:rPr>
          <w:bCs/>
          <w:sz w:val="22"/>
          <w:lang w:val="hr-HR"/>
        </w:rPr>
        <w:t>, pr</w:t>
      </w:r>
      <w:r>
        <w:rPr>
          <w:bCs/>
          <w:sz w:val="22"/>
          <w:lang w:val="hr-HR"/>
        </w:rPr>
        <w:t>ethodnu</w:t>
      </w:r>
      <w:r w:rsidRPr="00E745DB">
        <w:rPr>
          <w:bCs/>
          <w:sz w:val="22"/>
          <w:lang w:val="hr-HR"/>
        </w:rPr>
        <w:t xml:space="preserve"> terapiju za </w:t>
      </w:r>
      <w:r>
        <w:rPr>
          <w:bCs/>
          <w:sz w:val="22"/>
          <w:lang w:val="hr-HR"/>
        </w:rPr>
        <w:t>insuficijenciju</w:t>
      </w:r>
      <w:r w:rsidRPr="00E745DB">
        <w:rPr>
          <w:bCs/>
          <w:sz w:val="22"/>
          <w:lang w:val="hr-HR"/>
        </w:rPr>
        <w:t xml:space="preserve"> srca i </w:t>
      </w:r>
      <w:r>
        <w:rPr>
          <w:bCs/>
          <w:sz w:val="22"/>
          <w:lang w:val="hr-HR"/>
        </w:rPr>
        <w:t xml:space="preserve">atrijalnu </w:t>
      </w:r>
      <w:r w:rsidRPr="00E745DB">
        <w:rPr>
          <w:bCs/>
          <w:sz w:val="22"/>
          <w:lang w:val="hr-HR"/>
        </w:rPr>
        <w:t>fibrilaciju.</w:t>
      </w:r>
    </w:p>
    <w:p w14:paraId="3DD85E7A" w14:textId="77777777" w:rsidR="00B96A91" w:rsidRPr="00E745DB" w:rsidRDefault="00B96A91" w:rsidP="001B64BC">
      <w:pPr>
        <w:widowControl w:val="0"/>
        <w:jc w:val="both"/>
        <w:rPr>
          <w:sz w:val="22"/>
          <w:lang w:val="hr-HR" w:eastAsia="ja-JP"/>
        </w:rPr>
      </w:pPr>
    </w:p>
    <w:p w14:paraId="30AD4B28" w14:textId="270F2570" w:rsidR="00B96A91" w:rsidRPr="00E745DB" w:rsidRDefault="00B96A91" w:rsidP="001B64BC">
      <w:pPr>
        <w:widowControl w:val="0"/>
        <w:jc w:val="both"/>
        <w:rPr>
          <w:sz w:val="22"/>
          <w:szCs w:val="20"/>
          <w:lang w:val="hr-HR" w:eastAsia="ja-JP"/>
        </w:rPr>
      </w:pPr>
      <w:r>
        <w:rPr>
          <w:bCs/>
          <w:sz w:val="22"/>
          <w:lang w:val="hr-HR"/>
        </w:rPr>
        <w:lastRenderedPageBreak/>
        <w:t>Valsartan/sakubitril</w:t>
      </w:r>
      <w:r w:rsidRPr="00E745DB">
        <w:rPr>
          <w:bCs/>
          <w:sz w:val="22"/>
          <w:lang w:val="hr-HR"/>
        </w:rPr>
        <w:t xml:space="preserve"> je poboljšao preživlj</w:t>
      </w:r>
      <w:r>
        <w:rPr>
          <w:bCs/>
          <w:sz w:val="22"/>
          <w:lang w:val="hr-HR"/>
        </w:rPr>
        <w:t>avanje</w:t>
      </w:r>
      <w:r w:rsidRPr="00E745DB">
        <w:rPr>
          <w:bCs/>
          <w:sz w:val="22"/>
          <w:lang w:val="hr-HR"/>
        </w:rPr>
        <w:t xml:space="preserve"> uz značajno smanjenje smrtnosti od svih uzroka od 2,8% (</w:t>
      </w:r>
      <w:r>
        <w:rPr>
          <w:bCs/>
          <w:sz w:val="22"/>
          <w:lang w:val="hr-HR"/>
        </w:rPr>
        <w:t>valsartan/sakubitril</w:t>
      </w:r>
      <w:r w:rsidRPr="00E745DB">
        <w:rPr>
          <w:bCs/>
          <w:sz w:val="22"/>
          <w:lang w:val="hr-HR"/>
        </w:rPr>
        <w:t xml:space="preserve">, 17%, enalapril, 19,8%). Relativno smanjenje rizika bilo je </w:t>
      </w:r>
      <w:r w:rsidRPr="00E745DB">
        <w:rPr>
          <w:sz w:val="22"/>
          <w:szCs w:val="20"/>
          <w:lang w:val="hr-HR" w:eastAsia="ja-JP"/>
        </w:rPr>
        <w:t xml:space="preserve">16% u </w:t>
      </w:r>
      <w:r>
        <w:rPr>
          <w:sz w:val="22"/>
          <w:szCs w:val="20"/>
          <w:lang w:val="hr-HR" w:eastAsia="ja-JP"/>
        </w:rPr>
        <w:t>poređenju</w:t>
      </w:r>
      <w:r w:rsidRPr="00E745DB">
        <w:rPr>
          <w:sz w:val="22"/>
          <w:szCs w:val="20"/>
          <w:lang w:val="hr-HR" w:eastAsia="ja-JP"/>
        </w:rPr>
        <w:t xml:space="preserve"> s</w:t>
      </w:r>
      <w:r>
        <w:rPr>
          <w:sz w:val="22"/>
          <w:szCs w:val="20"/>
          <w:lang w:val="hr-HR" w:eastAsia="ja-JP"/>
        </w:rPr>
        <w:t>a</w:t>
      </w:r>
      <w:r w:rsidRPr="00E745DB">
        <w:rPr>
          <w:sz w:val="22"/>
          <w:szCs w:val="20"/>
          <w:lang w:val="hr-HR" w:eastAsia="ja-JP"/>
        </w:rPr>
        <w:t xml:space="preserve"> enalaprilom (</w:t>
      </w:r>
      <w:r>
        <w:rPr>
          <w:sz w:val="22"/>
          <w:szCs w:val="20"/>
          <w:lang w:val="hr-HR" w:eastAsia="ja-JP"/>
        </w:rPr>
        <w:t>vidjeti</w:t>
      </w:r>
      <w:r w:rsidRPr="00E745DB">
        <w:rPr>
          <w:sz w:val="22"/>
          <w:szCs w:val="20"/>
          <w:lang w:val="hr-HR" w:eastAsia="ja-JP"/>
        </w:rPr>
        <w:t xml:space="preserve"> Tab</w:t>
      </w:r>
      <w:r>
        <w:rPr>
          <w:sz w:val="22"/>
          <w:szCs w:val="20"/>
          <w:lang w:val="hr-HR" w:eastAsia="ja-JP"/>
        </w:rPr>
        <w:t>elu</w:t>
      </w:r>
      <w:r w:rsidRPr="00E745DB">
        <w:rPr>
          <w:sz w:val="22"/>
          <w:szCs w:val="20"/>
          <w:lang w:val="hr-HR" w:eastAsia="ja-JP"/>
        </w:rPr>
        <w:t> </w:t>
      </w:r>
      <w:r w:rsidR="00B67A57">
        <w:rPr>
          <w:sz w:val="22"/>
          <w:szCs w:val="20"/>
          <w:lang w:val="hr-HR" w:eastAsia="ja-JP"/>
        </w:rPr>
        <w:t>3</w:t>
      </w:r>
      <w:r w:rsidRPr="00E745DB">
        <w:rPr>
          <w:sz w:val="22"/>
          <w:szCs w:val="20"/>
          <w:lang w:val="hr-HR" w:eastAsia="ja-JP"/>
        </w:rPr>
        <w:t>).</w:t>
      </w:r>
    </w:p>
    <w:p w14:paraId="03291966" w14:textId="77777777" w:rsidR="00B96A91" w:rsidRPr="00E745DB" w:rsidRDefault="00B96A91" w:rsidP="001B64BC">
      <w:pPr>
        <w:widowControl w:val="0"/>
        <w:rPr>
          <w:sz w:val="22"/>
          <w:lang w:val="hr-HR" w:eastAsia="ja-JP"/>
        </w:rPr>
      </w:pPr>
    </w:p>
    <w:p w14:paraId="5AC005B1" w14:textId="0B1C02AC" w:rsidR="00B96A91" w:rsidRPr="00E745DB" w:rsidRDefault="00B96A91" w:rsidP="001B64BC">
      <w:pPr>
        <w:keepNext/>
        <w:keepLines/>
        <w:widowControl w:val="0"/>
        <w:jc w:val="both"/>
        <w:outlineLvl w:val="5"/>
        <w:rPr>
          <w:b/>
          <w:bCs/>
          <w:sz w:val="22"/>
          <w:szCs w:val="22"/>
          <w:lang w:val="hr-HR" w:eastAsia="hr-HR"/>
        </w:rPr>
      </w:pPr>
      <w:r w:rsidRPr="00E745DB">
        <w:rPr>
          <w:b/>
          <w:bCs/>
          <w:sz w:val="22"/>
          <w:szCs w:val="22"/>
          <w:lang w:val="hr-HR" w:eastAsia="hr-HR"/>
        </w:rPr>
        <w:t>Tab</w:t>
      </w:r>
      <w:r>
        <w:rPr>
          <w:b/>
          <w:bCs/>
          <w:sz w:val="22"/>
          <w:szCs w:val="22"/>
          <w:lang w:val="hr-HR" w:eastAsia="hr-HR"/>
        </w:rPr>
        <w:t>ela</w:t>
      </w:r>
      <w:r w:rsidRPr="00E745DB">
        <w:rPr>
          <w:b/>
          <w:bCs/>
          <w:sz w:val="22"/>
          <w:szCs w:val="22"/>
          <w:lang w:val="hr-HR" w:eastAsia="hr-HR"/>
        </w:rPr>
        <w:t> </w:t>
      </w:r>
      <w:r w:rsidR="00B67A57">
        <w:rPr>
          <w:b/>
          <w:bCs/>
          <w:sz w:val="22"/>
          <w:szCs w:val="22"/>
          <w:lang w:val="hr-HR" w:eastAsia="hr-HR"/>
        </w:rPr>
        <w:t>3</w:t>
      </w:r>
      <w:r w:rsidR="00441F90">
        <w:rPr>
          <w:b/>
          <w:bCs/>
          <w:sz w:val="22"/>
          <w:szCs w:val="22"/>
          <w:lang w:val="hr-HR" w:eastAsia="hr-HR"/>
        </w:rPr>
        <w:t>.</w:t>
      </w:r>
      <w:r w:rsidRPr="00E745DB">
        <w:rPr>
          <w:b/>
          <w:bCs/>
          <w:sz w:val="22"/>
          <w:szCs w:val="22"/>
          <w:lang w:val="hr-HR" w:eastAsia="hr-HR"/>
        </w:rPr>
        <w:tab/>
      </w:r>
      <w:r>
        <w:rPr>
          <w:b/>
          <w:bCs/>
          <w:sz w:val="22"/>
          <w:szCs w:val="22"/>
          <w:lang w:val="hr-HR" w:eastAsia="hr-HR"/>
        </w:rPr>
        <w:t>Efekat terapije</w:t>
      </w:r>
      <w:r w:rsidRPr="00E745DB">
        <w:rPr>
          <w:b/>
          <w:bCs/>
          <w:sz w:val="22"/>
          <w:szCs w:val="22"/>
          <w:lang w:val="hr-HR" w:eastAsia="hr-HR"/>
        </w:rPr>
        <w:t xml:space="preserve"> za primarni </w:t>
      </w:r>
      <w:r>
        <w:rPr>
          <w:b/>
          <w:bCs/>
          <w:sz w:val="22"/>
          <w:szCs w:val="22"/>
          <w:lang w:val="hr-HR" w:eastAsia="hr-HR"/>
        </w:rPr>
        <w:t>udruženi</w:t>
      </w:r>
      <w:r w:rsidRPr="00E745DB">
        <w:rPr>
          <w:b/>
          <w:bCs/>
          <w:sz w:val="22"/>
          <w:szCs w:val="22"/>
          <w:lang w:val="hr-HR" w:eastAsia="hr-HR"/>
        </w:rPr>
        <w:t xml:space="preserve"> </w:t>
      </w:r>
      <w:r>
        <w:rPr>
          <w:b/>
          <w:bCs/>
          <w:sz w:val="22"/>
          <w:szCs w:val="22"/>
          <w:lang w:val="hr-HR" w:eastAsia="hr-HR"/>
        </w:rPr>
        <w:t>parametar</w:t>
      </w:r>
      <w:r w:rsidRPr="00E745DB">
        <w:rPr>
          <w:b/>
          <w:bCs/>
          <w:sz w:val="22"/>
          <w:szCs w:val="22"/>
          <w:lang w:val="hr-HR" w:eastAsia="hr-HR"/>
        </w:rPr>
        <w:t>, njegove komponente i smrtnost od svih uzroka t</w:t>
      </w:r>
      <w:r>
        <w:rPr>
          <w:b/>
          <w:bCs/>
          <w:sz w:val="22"/>
          <w:szCs w:val="22"/>
          <w:lang w:val="hr-HR" w:eastAsia="hr-HR"/>
        </w:rPr>
        <w:t>okom</w:t>
      </w:r>
      <w:r w:rsidRPr="00E745DB">
        <w:rPr>
          <w:b/>
          <w:bCs/>
          <w:sz w:val="22"/>
          <w:szCs w:val="22"/>
          <w:lang w:val="hr-HR" w:eastAsia="hr-HR"/>
        </w:rPr>
        <w:t xml:space="preserve"> medijan</w:t>
      </w:r>
      <w:r>
        <w:rPr>
          <w:b/>
          <w:bCs/>
          <w:sz w:val="22"/>
          <w:szCs w:val="22"/>
          <w:lang w:val="hr-HR" w:eastAsia="hr-HR"/>
        </w:rPr>
        <w:t>e</w:t>
      </w:r>
      <w:r w:rsidRPr="00E745DB">
        <w:rPr>
          <w:b/>
          <w:bCs/>
          <w:sz w:val="22"/>
          <w:szCs w:val="22"/>
          <w:lang w:val="hr-HR" w:eastAsia="hr-HR"/>
        </w:rPr>
        <w:t xml:space="preserve"> p</w:t>
      </w:r>
      <w:r>
        <w:rPr>
          <w:b/>
          <w:bCs/>
          <w:sz w:val="22"/>
          <w:szCs w:val="22"/>
          <w:lang w:val="hr-HR" w:eastAsia="hr-HR"/>
        </w:rPr>
        <w:t>raćenja od 27 mjesec</w:t>
      </w:r>
      <w:r w:rsidRPr="00E745DB">
        <w:rPr>
          <w:b/>
          <w:bCs/>
          <w:sz w:val="22"/>
          <w:szCs w:val="22"/>
          <w:lang w:val="hr-HR" w:eastAsia="hr-HR"/>
        </w:rPr>
        <w:t>i</w:t>
      </w:r>
    </w:p>
    <w:p w14:paraId="13A73484" w14:textId="77777777" w:rsidR="00B96A91" w:rsidRPr="00E745DB" w:rsidRDefault="00B96A91" w:rsidP="001B64BC">
      <w:pPr>
        <w:keepNext/>
        <w:keepLines/>
        <w:widowControl w:val="0"/>
        <w:rPr>
          <w:sz w:val="22"/>
          <w:szCs w:val="20"/>
          <w:lang w:val="hr-HR"/>
        </w:rPr>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9"/>
        <w:gridCol w:w="1275"/>
        <w:gridCol w:w="1418"/>
        <w:gridCol w:w="1701"/>
        <w:gridCol w:w="1276"/>
        <w:gridCol w:w="1496"/>
      </w:tblGrid>
      <w:tr w:rsidR="00B96A91" w:rsidRPr="00E745DB" w14:paraId="7336D24D" w14:textId="77777777" w:rsidTr="00784003">
        <w:tc>
          <w:tcPr>
            <w:tcW w:w="2119" w:type="dxa"/>
            <w:tcBorders>
              <w:top w:val="single" w:sz="4" w:space="0" w:color="auto"/>
              <w:left w:val="single" w:sz="4" w:space="0" w:color="auto"/>
              <w:bottom w:val="single" w:sz="4" w:space="0" w:color="auto"/>
              <w:right w:val="single" w:sz="4" w:space="0" w:color="auto"/>
            </w:tcBorders>
            <w:shd w:val="clear" w:color="auto" w:fill="FFFFFF"/>
          </w:tcPr>
          <w:p w14:paraId="109674F0" w14:textId="77777777" w:rsidR="00B96A91" w:rsidRPr="00E745DB" w:rsidRDefault="00B96A91" w:rsidP="001B64BC">
            <w:pPr>
              <w:keepNext/>
              <w:keepLines/>
              <w:widowControl w:val="0"/>
              <w:rPr>
                <w:sz w:val="22"/>
                <w:szCs w:val="22"/>
                <w:lang w:val="hr-HR" w:eastAsia="hr-HR"/>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10CB83" w14:textId="77777777" w:rsidR="00B96A91" w:rsidRPr="00E745DB" w:rsidRDefault="00B96A91" w:rsidP="001B64BC">
            <w:pPr>
              <w:keepNext/>
              <w:keepLines/>
              <w:widowControl w:val="0"/>
              <w:rPr>
                <w:b/>
                <w:bCs/>
                <w:sz w:val="22"/>
                <w:szCs w:val="22"/>
                <w:lang w:val="hr-HR" w:eastAsia="hr-HR"/>
              </w:rPr>
            </w:pPr>
            <w:r>
              <w:rPr>
                <w:b/>
                <w:bCs/>
                <w:sz w:val="22"/>
                <w:szCs w:val="22"/>
                <w:lang w:val="hr-HR" w:eastAsia="hr-HR"/>
              </w:rPr>
              <w:t>Valsartan/sakubitril</w:t>
            </w:r>
          </w:p>
          <w:p w14:paraId="5A5C66DC" w14:textId="77777777" w:rsidR="00B96A91" w:rsidRPr="00E745DB" w:rsidRDefault="00B96A91" w:rsidP="001B64BC">
            <w:pPr>
              <w:keepNext/>
              <w:keepLines/>
              <w:widowControl w:val="0"/>
              <w:rPr>
                <w:b/>
                <w:sz w:val="22"/>
                <w:szCs w:val="22"/>
                <w:lang w:val="hr-HR" w:eastAsia="hr-HR"/>
              </w:rPr>
            </w:pPr>
            <w:r w:rsidRPr="00E745DB">
              <w:rPr>
                <w:b/>
                <w:bCs/>
                <w:sz w:val="22"/>
                <w:szCs w:val="22"/>
                <w:lang w:val="hr-HR" w:eastAsia="hr-HR"/>
              </w:rPr>
              <w:t>N</w:t>
            </w:r>
            <w:r w:rsidRPr="00E745DB">
              <w:rPr>
                <w:b/>
                <w:sz w:val="22"/>
                <w:szCs w:val="22"/>
                <w:lang w:val="hr-HR" w:eastAsia="hr-HR"/>
              </w:rPr>
              <w:t>=4187</w:t>
            </w:r>
            <w:r w:rsidRPr="00E745DB">
              <w:rPr>
                <w:b/>
                <w:sz w:val="22"/>
                <w:szCs w:val="22"/>
                <w:vertAlign w:val="superscript"/>
                <w:lang w:val="hr-HR" w:eastAsia="hr-HR"/>
              </w:rPr>
              <w:t>♯</w:t>
            </w:r>
          </w:p>
          <w:p w14:paraId="25E2F2F2"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n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8EEC68"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Enalapril</w:t>
            </w:r>
          </w:p>
          <w:p w14:paraId="1C1017FE"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N=4212</w:t>
            </w:r>
            <w:r w:rsidRPr="00E745DB">
              <w:rPr>
                <w:b/>
                <w:sz w:val="22"/>
                <w:szCs w:val="22"/>
                <w:vertAlign w:val="superscript"/>
                <w:lang w:val="hr-HR" w:eastAsia="hr-HR"/>
              </w:rPr>
              <w:t>♯</w:t>
            </w:r>
          </w:p>
          <w:p w14:paraId="30752651"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n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4BD05D" w14:textId="77777777" w:rsidR="00B96A91" w:rsidRPr="00E745DB" w:rsidRDefault="00B96A91" w:rsidP="001B64BC">
            <w:pPr>
              <w:keepNext/>
              <w:keepLines/>
              <w:widowControl w:val="0"/>
              <w:rPr>
                <w:b/>
                <w:sz w:val="22"/>
                <w:szCs w:val="22"/>
                <w:lang w:val="hr-HR" w:eastAsia="hr-HR"/>
              </w:rPr>
            </w:pPr>
            <w:r>
              <w:rPr>
                <w:b/>
                <w:sz w:val="22"/>
                <w:szCs w:val="22"/>
                <w:lang w:val="hr-HR" w:eastAsia="hr-HR"/>
              </w:rPr>
              <w:t>Procjena</w:t>
            </w:r>
            <w:r w:rsidRPr="00E745DB">
              <w:rPr>
                <w:b/>
                <w:sz w:val="22"/>
                <w:szCs w:val="22"/>
                <w:lang w:val="hr-HR" w:eastAsia="hr-HR"/>
              </w:rPr>
              <w:t xml:space="preserve"> rizika</w:t>
            </w:r>
          </w:p>
          <w:p w14:paraId="0C853896"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(95% CI)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D879D4" w14:textId="377639E5" w:rsidR="00B96A91" w:rsidRPr="00E745DB" w:rsidRDefault="00B96A91" w:rsidP="001B64BC">
            <w:pPr>
              <w:keepNext/>
              <w:keepLines/>
              <w:widowControl w:val="0"/>
              <w:rPr>
                <w:b/>
                <w:sz w:val="22"/>
                <w:szCs w:val="22"/>
                <w:lang w:val="hr-HR" w:eastAsia="hr-HR"/>
              </w:rPr>
            </w:pPr>
            <w:r w:rsidRPr="00E745DB">
              <w:rPr>
                <w:b/>
                <w:bCs/>
                <w:sz w:val="22"/>
                <w:szCs w:val="22"/>
                <w:lang w:val="hr-HR" w:eastAsia="hr-HR"/>
              </w:rPr>
              <w:t>Relativno smanjenje rizika</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24C6A1B8" w14:textId="77777777" w:rsidR="00B96A91" w:rsidRPr="00E745DB" w:rsidRDefault="00B96A91" w:rsidP="001B64BC">
            <w:pPr>
              <w:keepNext/>
              <w:keepLines/>
              <w:widowControl w:val="0"/>
              <w:rPr>
                <w:b/>
                <w:sz w:val="22"/>
                <w:szCs w:val="22"/>
                <w:lang w:val="hr-HR" w:eastAsia="hr-HR"/>
              </w:rPr>
            </w:pPr>
            <w:r w:rsidRPr="00E745DB">
              <w:rPr>
                <w:b/>
                <w:sz w:val="22"/>
                <w:szCs w:val="22"/>
                <w:lang w:val="hr-HR" w:eastAsia="hr-HR"/>
              </w:rPr>
              <w:t>p</w:t>
            </w:r>
            <w:r w:rsidRPr="00E745DB">
              <w:rPr>
                <w:b/>
                <w:sz w:val="22"/>
                <w:szCs w:val="22"/>
                <w:lang w:val="hr-HR" w:eastAsia="hr-HR"/>
              </w:rPr>
              <w:noBreakHyphen/>
            </w:r>
            <w:r>
              <w:rPr>
                <w:b/>
                <w:sz w:val="22"/>
                <w:szCs w:val="22"/>
                <w:lang w:val="hr-HR" w:eastAsia="hr-HR"/>
              </w:rPr>
              <w:t>vrijednost</w:t>
            </w:r>
            <w:r w:rsidRPr="00E745DB">
              <w:rPr>
                <w:b/>
                <w:sz w:val="22"/>
                <w:szCs w:val="22"/>
                <w:lang w:val="hr-HR" w:eastAsia="hr-HR"/>
              </w:rPr>
              <w:t xml:space="preserve"> ***</w:t>
            </w:r>
          </w:p>
        </w:tc>
      </w:tr>
      <w:tr w:rsidR="00B96A91" w:rsidRPr="00E745DB" w14:paraId="33C01F91" w14:textId="77777777" w:rsidTr="00784003">
        <w:tc>
          <w:tcPr>
            <w:tcW w:w="2119" w:type="dxa"/>
            <w:tcBorders>
              <w:top w:val="single" w:sz="4" w:space="0" w:color="auto"/>
              <w:left w:val="single" w:sz="4" w:space="0" w:color="auto"/>
              <w:bottom w:val="single" w:sz="4" w:space="0" w:color="auto"/>
              <w:right w:val="single" w:sz="4" w:space="0" w:color="auto"/>
            </w:tcBorders>
            <w:shd w:val="clear" w:color="auto" w:fill="FFFFFF"/>
          </w:tcPr>
          <w:p w14:paraId="192ED899" w14:textId="7BAD373B" w:rsidR="00B96A91" w:rsidRPr="00E745DB" w:rsidRDefault="00B96A91" w:rsidP="001B64BC">
            <w:pPr>
              <w:keepNext/>
              <w:keepLines/>
              <w:widowControl w:val="0"/>
              <w:rPr>
                <w:sz w:val="22"/>
                <w:szCs w:val="22"/>
                <w:lang w:val="hr-HR" w:eastAsia="hr-HR"/>
              </w:rPr>
            </w:pPr>
            <w:r w:rsidRPr="00E745DB">
              <w:rPr>
                <w:sz w:val="22"/>
                <w:szCs w:val="22"/>
                <w:lang w:val="hr-HR" w:eastAsia="hr-HR"/>
              </w:rPr>
              <w:t xml:space="preserve">Primarni </w:t>
            </w:r>
            <w:r>
              <w:rPr>
                <w:sz w:val="22"/>
                <w:szCs w:val="22"/>
                <w:lang w:val="hr-HR" w:eastAsia="hr-HR"/>
              </w:rPr>
              <w:t>udruženi  parametar</w:t>
            </w:r>
            <w:r w:rsidR="000B657F">
              <w:rPr>
                <w:sz w:val="22"/>
                <w:szCs w:val="22"/>
                <w:lang w:val="hr-HR" w:eastAsia="hr-HR"/>
              </w:rPr>
              <w:t xml:space="preserve"> </w:t>
            </w:r>
            <w:r w:rsidR="009520F2">
              <w:rPr>
                <w:sz w:val="22"/>
                <w:szCs w:val="22"/>
                <w:lang w:val="hr-HR" w:eastAsia="hr-HR"/>
              </w:rPr>
              <w:t xml:space="preserve"> kardiovaskularne</w:t>
            </w:r>
            <w:r w:rsidRPr="00E745DB">
              <w:rPr>
                <w:sz w:val="22"/>
                <w:szCs w:val="22"/>
                <w:lang w:val="hr-HR" w:eastAsia="hr-HR"/>
              </w:rPr>
              <w:t xml:space="preserve"> smrti i hospitalizacija zbog </w:t>
            </w:r>
            <w:r>
              <w:rPr>
                <w:sz w:val="22"/>
                <w:szCs w:val="22"/>
                <w:lang w:val="hr-HR" w:eastAsia="hr-HR"/>
              </w:rPr>
              <w:t>insuficijencije</w:t>
            </w:r>
            <w:r w:rsidRPr="00E745DB">
              <w:rPr>
                <w:sz w:val="22"/>
                <w:szCs w:val="22"/>
                <w:lang w:val="hr-HR" w:eastAsia="hr-HR"/>
              </w:rPr>
              <w:t xml:space="preserve"> srca*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382C8A"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914 (21,83)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11847F"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1117 (26,52)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14D83A"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0,80 (0,73, 0,87)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B7E59C"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20%</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71F088E1"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0,0000002</w:t>
            </w:r>
          </w:p>
        </w:tc>
      </w:tr>
      <w:tr w:rsidR="00B96A91" w:rsidRPr="00E745DB" w14:paraId="31B73C63" w14:textId="77777777" w:rsidTr="00F47C20">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6C87D304" w14:textId="32E1D17D" w:rsidR="00B96A91" w:rsidRPr="00E745DB" w:rsidRDefault="00B96A91" w:rsidP="001B64BC">
            <w:pPr>
              <w:keepNext/>
              <w:keepLines/>
              <w:widowControl w:val="0"/>
              <w:rPr>
                <w:b/>
                <w:sz w:val="22"/>
                <w:szCs w:val="22"/>
                <w:lang w:val="hr-HR" w:eastAsia="hr-HR"/>
              </w:rPr>
            </w:pPr>
            <w:r w:rsidRPr="00E745DB">
              <w:rPr>
                <w:b/>
                <w:sz w:val="22"/>
                <w:szCs w:val="22"/>
                <w:lang w:val="hr-HR" w:eastAsia="hr-HR"/>
              </w:rPr>
              <w:t xml:space="preserve">Pojedinačne komponente primarnog </w:t>
            </w:r>
            <w:r>
              <w:rPr>
                <w:b/>
                <w:sz w:val="22"/>
                <w:szCs w:val="22"/>
                <w:lang w:val="hr-HR" w:eastAsia="hr-HR"/>
              </w:rPr>
              <w:t>udruženog</w:t>
            </w:r>
            <w:r w:rsidR="00CF401C">
              <w:rPr>
                <w:b/>
                <w:sz w:val="22"/>
                <w:szCs w:val="22"/>
                <w:lang w:val="hr-HR" w:eastAsia="hr-HR"/>
              </w:rPr>
              <w:t xml:space="preserve"> </w:t>
            </w:r>
            <w:r w:rsidRPr="00E745DB">
              <w:rPr>
                <w:b/>
                <w:sz w:val="22"/>
                <w:szCs w:val="22"/>
                <w:lang w:val="hr-HR" w:eastAsia="hr-HR"/>
              </w:rPr>
              <w:t>ishoda</w:t>
            </w:r>
          </w:p>
        </w:tc>
      </w:tr>
      <w:tr w:rsidR="00B96A91" w:rsidRPr="00E745DB" w14:paraId="769852E1" w14:textId="77777777" w:rsidTr="00784003">
        <w:tc>
          <w:tcPr>
            <w:tcW w:w="2119" w:type="dxa"/>
            <w:tcBorders>
              <w:top w:val="single" w:sz="4" w:space="0" w:color="auto"/>
              <w:left w:val="single" w:sz="4" w:space="0" w:color="auto"/>
              <w:bottom w:val="single" w:sz="4" w:space="0" w:color="auto"/>
              <w:right w:val="single" w:sz="4" w:space="0" w:color="auto"/>
            </w:tcBorders>
            <w:shd w:val="clear" w:color="auto" w:fill="FFFFFF"/>
          </w:tcPr>
          <w:p w14:paraId="5D946639" w14:textId="3F2CCD9E" w:rsidR="00B96A91" w:rsidRPr="00E745DB" w:rsidRDefault="00B96A91" w:rsidP="001B64BC">
            <w:pPr>
              <w:keepNext/>
              <w:keepLines/>
              <w:widowControl w:val="0"/>
              <w:rPr>
                <w:sz w:val="22"/>
                <w:szCs w:val="22"/>
                <w:lang w:val="hr-HR" w:eastAsia="hr-HR"/>
              </w:rPr>
            </w:pPr>
            <w:r w:rsidRPr="00E745DB">
              <w:rPr>
                <w:sz w:val="22"/>
                <w:szCs w:val="22"/>
                <w:lang w:val="hr-HR" w:eastAsia="hr-HR"/>
              </w:rPr>
              <w:t>K</w:t>
            </w:r>
            <w:r w:rsidR="009520F2">
              <w:rPr>
                <w:sz w:val="22"/>
                <w:szCs w:val="22"/>
                <w:lang w:val="hr-HR" w:eastAsia="hr-HR"/>
              </w:rPr>
              <w:t>ardiovaskularna</w:t>
            </w:r>
            <w:r w:rsidRPr="00E745DB">
              <w:rPr>
                <w:sz w:val="22"/>
                <w:szCs w:val="22"/>
                <w:lang w:val="hr-HR" w:eastAsia="hr-HR"/>
              </w:rPr>
              <w:t xml:space="preserve"> smrt**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2284C1"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558 (13,33)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4BB71B"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693 (16,45)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BC5C3B"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0,80 (0,71, 0,89)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2AF99C"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20%</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0BB695AA"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0,00004</w:t>
            </w:r>
          </w:p>
        </w:tc>
      </w:tr>
      <w:tr w:rsidR="00B96A91" w:rsidRPr="00E745DB" w14:paraId="1232AFEC" w14:textId="77777777" w:rsidTr="00784003">
        <w:tc>
          <w:tcPr>
            <w:tcW w:w="2119" w:type="dxa"/>
            <w:tcBorders>
              <w:top w:val="single" w:sz="4" w:space="0" w:color="auto"/>
              <w:left w:val="single" w:sz="4" w:space="0" w:color="auto"/>
              <w:bottom w:val="single" w:sz="4" w:space="0" w:color="auto"/>
              <w:right w:val="single" w:sz="4" w:space="0" w:color="auto"/>
            </w:tcBorders>
            <w:shd w:val="clear" w:color="auto" w:fill="FFFFFF"/>
          </w:tcPr>
          <w:p w14:paraId="4CB06BD4"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 xml:space="preserve">Prva hospitalizacija zbog </w:t>
            </w:r>
            <w:r>
              <w:rPr>
                <w:sz w:val="22"/>
                <w:szCs w:val="22"/>
                <w:lang w:val="hr-HR" w:eastAsia="hr-HR"/>
              </w:rPr>
              <w:t xml:space="preserve">insuficijencije </w:t>
            </w:r>
            <w:r w:rsidRPr="00E745DB">
              <w:rPr>
                <w:sz w:val="22"/>
                <w:szCs w:val="22"/>
                <w:lang w:val="hr-HR" w:eastAsia="hr-HR"/>
              </w:rPr>
              <w:t>srca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257683"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537 (12,83)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4058E7"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658 (15,62)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69F838A"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0,79 (0,71, 0,89)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861502"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21%</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52E0B954"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0,00004</w:t>
            </w:r>
          </w:p>
        </w:tc>
      </w:tr>
      <w:tr w:rsidR="00B96A91" w:rsidRPr="00E745DB" w14:paraId="6659E2E8" w14:textId="77777777" w:rsidTr="00F47C20">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3D93B37F" w14:textId="258EAD76" w:rsidR="00B96A91" w:rsidRPr="00E745DB" w:rsidRDefault="00B96A91" w:rsidP="001B64BC">
            <w:pPr>
              <w:keepNext/>
              <w:keepLines/>
              <w:widowControl w:val="0"/>
              <w:rPr>
                <w:sz w:val="22"/>
                <w:szCs w:val="22"/>
                <w:lang w:val="hr-HR" w:eastAsia="hr-HR"/>
              </w:rPr>
            </w:pPr>
            <w:r w:rsidRPr="00E745DB">
              <w:rPr>
                <w:b/>
                <w:sz w:val="22"/>
                <w:szCs w:val="22"/>
                <w:lang w:val="hr-HR" w:eastAsia="hr-HR"/>
              </w:rPr>
              <w:t xml:space="preserve">Sekundarni </w:t>
            </w:r>
            <w:r>
              <w:rPr>
                <w:b/>
                <w:sz w:val="22"/>
                <w:szCs w:val="22"/>
                <w:lang w:val="hr-HR" w:eastAsia="hr-HR"/>
              </w:rPr>
              <w:t>parametar</w:t>
            </w:r>
          </w:p>
        </w:tc>
      </w:tr>
      <w:tr w:rsidR="00B96A91" w:rsidRPr="00E745DB" w14:paraId="453FB924" w14:textId="77777777" w:rsidTr="00784003">
        <w:tc>
          <w:tcPr>
            <w:tcW w:w="2119" w:type="dxa"/>
            <w:tcBorders>
              <w:top w:val="single" w:sz="4" w:space="0" w:color="auto"/>
              <w:left w:val="single" w:sz="4" w:space="0" w:color="auto"/>
              <w:bottom w:val="single" w:sz="4" w:space="0" w:color="auto"/>
              <w:right w:val="single" w:sz="4" w:space="0" w:color="auto"/>
            </w:tcBorders>
            <w:shd w:val="clear" w:color="auto" w:fill="FFFFFF"/>
          </w:tcPr>
          <w:p w14:paraId="2162BAF8"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Smrtnost od svih uzroka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AB8A04"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711 (16,98)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DAB80F"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835 (19,82)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D3F3E9"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0,84 (0,76, 0,93)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411108"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16%</w:t>
            </w: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08371C27" w14:textId="77777777" w:rsidR="00B96A91" w:rsidRPr="00E745DB" w:rsidRDefault="00B96A91" w:rsidP="001B64BC">
            <w:pPr>
              <w:keepNext/>
              <w:keepLines/>
              <w:widowControl w:val="0"/>
              <w:rPr>
                <w:sz w:val="22"/>
                <w:szCs w:val="22"/>
                <w:lang w:val="hr-HR" w:eastAsia="hr-HR"/>
              </w:rPr>
            </w:pPr>
            <w:r w:rsidRPr="00E745DB">
              <w:rPr>
                <w:sz w:val="22"/>
                <w:szCs w:val="22"/>
                <w:lang w:val="hr-HR" w:eastAsia="hr-HR"/>
              </w:rPr>
              <w:t>0,0005</w:t>
            </w:r>
          </w:p>
        </w:tc>
      </w:tr>
    </w:tbl>
    <w:p w14:paraId="38AE8407" w14:textId="34D8F18D" w:rsidR="00B96A91" w:rsidRPr="00EE203B" w:rsidRDefault="00B96A91" w:rsidP="001B64BC">
      <w:pPr>
        <w:keepNext/>
        <w:keepLines/>
        <w:widowControl w:val="0"/>
        <w:jc w:val="both"/>
        <w:rPr>
          <w:sz w:val="22"/>
          <w:szCs w:val="22"/>
          <w:lang w:val="hr-HR" w:eastAsia="hr-HR"/>
        </w:rPr>
      </w:pPr>
      <w:r w:rsidRPr="00EE203B">
        <w:rPr>
          <w:sz w:val="22"/>
          <w:szCs w:val="22"/>
          <w:lang w:val="hr-HR" w:eastAsia="hr-HR"/>
        </w:rPr>
        <w:t xml:space="preserve">*Primarni parametar bio je definisan kao vrijeme do prvog događaja </w:t>
      </w:r>
      <w:r w:rsidR="009520F2">
        <w:rPr>
          <w:sz w:val="22"/>
          <w:szCs w:val="22"/>
          <w:lang w:val="hr-HR" w:eastAsia="hr-HR"/>
        </w:rPr>
        <w:t>kardiovaskularne</w:t>
      </w:r>
      <w:r w:rsidRPr="00EE203B">
        <w:rPr>
          <w:sz w:val="22"/>
          <w:szCs w:val="22"/>
          <w:lang w:val="hr-HR" w:eastAsia="hr-HR"/>
        </w:rPr>
        <w:t xml:space="preserve"> smrti ili hospitalizacije zbog insuficijencije srca.</w:t>
      </w:r>
    </w:p>
    <w:p w14:paraId="1A0BD43E" w14:textId="01B78F2F" w:rsidR="00B96A91" w:rsidRPr="00EE203B" w:rsidRDefault="00B96A91" w:rsidP="001B64BC">
      <w:pPr>
        <w:keepNext/>
        <w:keepLines/>
        <w:widowControl w:val="0"/>
        <w:jc w:val="both"/>
        <w:rPr>
          <w:sz w:val="22"/>
          <w:szCs w:val="22"/>
          <w:lang w:val="hr-HR" w:eastAsia="hr-HR"/>
        </w:rPr>
      </w:pPr>
      <w:r w:rsidRPr="00EE203B">
        <w:rPr>
          <w:sz w:val="22"/>
          <w:szCs w:val="22"/>
          <w:lang w:val="hr-HR" w:eastAsia="hr-HR"/>
        </w:rPr>
        <w:t>**K</w:t>
      </w:r>
      <w:r w:rsidR="009520F2">
        <w:rPr>
          <w:sz w:val="22"/>
          <w:szCs w:val="22"/>
          <w:lang w:val="hr-HR" w:eastAsia="hr-HR"/>
        </w:rPr>
        <w:t>ardiovaskularna</w:t>
      </w:r>
      <w:r w:rsidRPr="00EE203B">
        <w:rPr>
          <w:sz w:val="22"/>
          <w:szCs w:val="22"/>
          <w:lang w:val="hr-HR" w:eastAsia="hr-HR"/>
        </w:rPr>
        <w:t xml:space="preserve"> smrt uključuje sve pacijente koji su umrli do datuma isključivanja bez obzira na prethodnu hospitalizaciju.</w:t>
      </w:r>
    </w:p>
    <w:p w14:paraId="52D9FDE1" w14:textId="77777777" w:rsidR="00B96A91" w:rsidRPr="00EE203B" w:rsidRDefault="00B96A91" w:rsidP="001B64BC">
      <w:pPr>
        <w:keepNext/>
        <w:keepLines/>
        <w:widowControl w:val="0"/>
        <w:jc w:val="both"/>
        <w:rPr>
          <w:sz w:val="22"/>
          <w:szCs w:val="22"/>
          <w:lang w:val="hr-HR" w:eastAsia="hr-HR"/>
        </w:rPr>
      </w:pPr>
      <w:r w:rsidRPr="00EE203B">
        <w:rPr>
          <w:sz w:val="22"/>
          <w:szCs w:val="22"/>
          <w:lang w:val="hr-HR" w:eastAsia="hr-HR"/>
        </w:rPr>
        <w:t>***Jednostrana p</w:t>
      </w:r>
      <w:r w:rsidRPr="00EE203B">
        <w:rPr>
          <w:sz w:val="22"/>
          <w:szCs w:val="22"/>
          <w:lang w:val="hr-HR" w:eastAsia="hr-HR"/>
        </w:rPr>
        <w:noBreakHyphen/>
        <w:t>vrijednost</w:t>
      </w:r>
    </w:p>
    <w:p w14:paraId="0FED72CA" w14:textId="77777777" w:rsidR="00B96A91" w:rsidRPr="00E745DB" w:rsidRDefault="00B96A91" w:rsidP="001B64BC">
      <w:pPr>
        <w:keepNext/>
        <w:keepLines/>
        <w:widowControl w:val="0"/>
        <w:jc w:val="both"/>
        <w:rPr>
          <w:sz w:val="22"/>
          <w:szCs w:val="22"/>
          <w:lang w:val="hr-HR" w:eastAsia="hr-HR"/>
        </w:rPr>
      </w:pPr>
      <w:r w:rsidRPr="00EE203B">
        <w:rPr>
          <w:b/>
          <w:bCs/>
          <w:sz w:val="22"/>
          <w:szCs w:val="22"/>
          <w:vertAlign w:val="superscript"/>
          <w:lang w:val="hr-HR" w:eastAsia="hr-HR"/>
        </w:rPr>
        <w:t xml:space="preserve">♯ </w:t>
      </w:r>
      <w:r w:rsidRPr="00EE203B">
        <w:rPr>
          <w:sz w:val="22"/>
          <w:szCs w:val="22"/>
          <w:lang w:val="hr-HR" w:eastAsia="hr-HR"/>
        </w:rPr>
        <w:t>Potpuni set za analizu</w:t>
      </w:r>
    </w:p>
    <w:p w14:paraId="23595EE4" w14:textId="77777777" w:rsidR="00B96A91" w:rsidRPr="00E745DB" w:rsidRDefault="00B96A91" w:rsidP="001B64BC">
      <w:pPr>
        <w:widowControl w:val="0"/>
        <w:rPr>
          <w:sz w:val="22"/>
          <w:szCs w:val="22"/>
          <w:lang w:val="hr-HR" w:eastAsia="hr-HR"/>
        </w:rPr>
      </w:pPr>
    </w:p>
    <w:p w14:paraId="369A0A73" w14:textId="79FCB332" w:rsidR="00B96A91" w:rsidRPr="00E745DB" w:rsidRDefault="00B96A91" w:rsidP="001B64BC">
      <w:pPr>
        <w:keepNext/>
        <w:widowControl w:val="0"/>
        <w:rPr>
          <w:b/>
          <w:sz w:val="22"/>
          <w:szCs w:val="22"/>
          <w:lang w:val="hr-HR"/>
        </w:rPr>
      </w:pPr>
      <w:r w:rsidRPr="00E745DB">
        <w:rPr>
          <w:b/>
          <w:sz w:val="22"/>
          <w:szCs w:val="22"/>
          <w:lang w:val="hr-HR"/>
        </w:rPr>
        <w:t>Slika 1</w:t>
      </w:r>
      <w:r w:rsidRPr="00E745DB">
        <w:rPr>
          <w:b/>
          <w:sz w:val="22"/>
          <w:szCs w:val="22"/>
          <w:lang w:val="hr-HR"/>
        </w:rPr>
        <w:tab/>
        <w:t>Kaplan</w:t>
      </w:r>
      <w:r w:rsidRPr="00E745DB">
        <w:rPr>
          <w:b/>
          <w:sz w:val="22"/>
          <w:szCs w:val="22"/>
          <w:lang w:val="hr-HR"/>
        </w:rPr>
        <w:noBreakHyphen/>
        <w:t>Meierov</w:t>
      </w:r>
      <w:r>
        <w:rPr>
          <w:b/>
          <w:sz w:val="22"/>
          <w:szCs w:val="22"/>
          <w:lang w:val="hr-HR"/>
        </w:rPr>
        <w:t>a</w:t>
      </w:r>
      <w:r w:rsidRPr="00E745DB">
        <w:rPr>
          <w:b/>
          <w:sz w:val="22"/>
          <w:szCs w:val="22"/>
          <w:lang w:val="hr-HR"/>
        </w:rPr>
        <w:t xml:space="preserve"> kriv</w:t>
      </w:r>
      <w:r>
        <w:rPr>
          <w:b/>
          <w:sz w:val="22"/>
          <w:szCs w:val="22"/>
          <w:lang w:val="hr-HR"/>
        </w:rPr>
        <w:t>a</w:t>
      </w:r>
      <w:r w:rsidRPr="00E745DB">
        <w:rPr>
          <w:b/>
          <w:sz w:val="22"/>
          <w:szCs w:val="22"/>
          <w:lang w:val="hr-HR"/>
        </w:rPr>
        <w:t xml:space="preserve"> za primarni </w:t>
      </w:r>
      <w:r>
        <w:rPr>
          <w:b/>
          <w:sz w:val="22"/>
          <w:szCs w:val="22"/>
          <w:lang w:val="hr-HR"/>
        </w:rPr>
        <w:t>udruženi parametar</w:t>
      </w:r>
      <w:r w:rsidRPr="00E745DB">
        <w:rPr>
          <w:b/>
          <w:sz w:val="22"/>
          <w:szCs w:val="22"/>
          <w:lang w:val="hr-HR"/>
        </w:rPr>
        <w:t xml:space="preserve"> i komponentu </w:t>
      </w:r>
      <w:r w:rsidR="009520F2">
        <w:rPr>
          <w:b/>
          <w:sz w:val="22"/>
          <w:szCs w:val="22"/>
          <w:lang w:val="hr-HR"/>
        </w:rPr>
        <w:t>kardiovaskularne</w:t>
      </w:r>
      <w:r w:rsidRPr="00E745DB">
        <w:rPr>
          <w:b/>
          <w:sz w:val="22"/>
          <w:szCs w:val="22"/>
          <w:lang w:val="hr-HR"/>
        </w:rPr>
        <w:t xml:space="preserve"> smrti</w:t>
      </w:r>
    </w:p>
    <w:p w14:paraId="4E8FAB67" w14:textId="77777777" w:rsidR="00B96A91" w:rsidRPr="00E745DB" w:rsidRDefault="00B96A91" w:rsidP="001B64BC">
      <w:pPr>
        <w:keepNext/>
        <w:widowControl w:val="0"/>
        <w:rPr>
          <w:sz w:val="22"/>
          <w:szCs w:val="22"/>
          <w:lang w:val="hr-HR"/>
        </w:rPr>
      </w:pPr>
    </w:p>
    <w:p w14:paraId="78AF6F26" w14:textId="5A73519C" w:rsidR="00B96A91" w:rsidRPr="00E745DB" w:rsidRDefault="00360067" w:rsidP="001B64BC">
      <w:pPr>
        <w:widowControl w:val="0"/>
        <w:rPr>
          <w:sz w:val="22"/>
          <w:szCs w:val="22"/>
          <w:lang w:val="hr-HR" w:eastAsia="ja-JP"/>
        </w:rPr>
      </w:pPr>
      <w:r>
        <w:rPr>
          <w:rFonts w:ascii="TimesNewRoman" w:hAnsi="TimesNewRoman"/>
          <w:iCs/>
          <w:noProof/>
          <w:sz w:val="22"/>
        </w:rPr>
        <mc:AlternateContent>
          <mc:Choice Requires="wps">
            <w:drawing>
              <wp:anchor distT="0" distB="0" distL="114300" distR="114300" simplePos="0" relativeHeight="251662336" behindDoc="0" locked="0" layoutInCell="1" allowOverlap="1" wp14:anchorId="1ECD637A" wp14:editId="0E125412">
                <wp:simplePos x="0" y="0"/>
                <wp:positionH relativeFrom="margin">
                  <wp:align>right</wp:align>
                </wp:positionH>
                <wp:positionV relativeFrom="paragraph">
                  <wp:posOffset>51435</wp:posOffset>
                </wp:positionV>
                <wp:extent cx="2924175" cy="297180"/>
                <wp:effectExtent l="0" t="0" r="2857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97180"/>
                        </a:xfrm>
                        <a:prstGeom prst="rect">
                          <a:avLst/>
                        </a:prstGeom>
                        <a:solidFill>
                          <a:srgbClr val="FFFFFF"/>
                        </a:solidFill>
                        <a:ln w="9525">
                          <a:solidFill>
                            <a:srgbClr val="000000"/>
                          </a:solidFill>
                          <a:miter lim="800000"/>
                          <a:headEnd/>
                          <a:tailEnd/>
                        </a:ln>
                      </wps:spPr>
                      <wps:txbx>
                        <w:txbxContent>
                          <w:p w14:paraId="58616396" w14:textId="109BE045" w:rsidR="00984B8C" w:rsidRPr="00EE699A" w:rsidRDefault="00984B8C" w:rsidP="00B96A91">
                            <w:pPr>
                              <w:rPr>
                                <w:sz w:val="16"/>
                                <w:szCs w:val="16"/>
                                <w:lang w:val="sr-Latn-CS"/>
                              </w:rPr>
                            </w:pPr>
                            <w:r>
                              <w:rPr>
                                <w:sz w:val="16"/>
                                <w:szCs w:val="16"/>
                                <w:lang w:val="sr-Latn-CS"/>
                              </w:rPr>
                              <w:t>Vrijeme do pojave kardiovaskularne smrti u PARADIGM-HF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CD637A" id="_x0000_t202" coordsize="21600,21600" o:spt="202" path="m,l,21600r21600,l21600,xe">
                <v:stroke joinstyle="miter"/>
                <v:path gradientshapeok="t" o:connecttype="rect"/>
              </v:shapetype>
              <v:shape id="Text Box 5" o:spid="_x0000_s1026" type="#_x0000_t202" style="position:absolute;margin-left:179.05pt;margin-top:4.05pt;width:230.25pt;height:23.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">
                <v:textbox>
                  <w:txbxContent>
                    <w:p w14:paraId="58616396" w14:textId="109BE045" w:rsidR="00984B8C" w:rsidRPr="00EE699A" w:rsidRDefault="00984B8C" w:rsidP="00B96A91">
                      <w:pPr>
                        <w:rPr>
                          <w:sz w:val="16"/>
                          <w:szCs w:val="16"/>
                          <w:lang w:val="sr-Latn-CS"/>
                        </w:rPr>
                      </w:pPr>
                      <w:r>
                        <w:rPr>
                          <w:sz w:val="16"/>
                          <w:szCs w:val="16"/>
                          <w:lang w:val="sr-Latn-CS"/>
                        </w:rPr>
                        <w:t>Vrijeme do pojave kardiovaskularne smrti u PARADIGM-HF</w:t>
                      </w:r>
                    </w:p>
                  </w:txbxContent>
                </v:textbox>
                <w10:wrap anchorx="margin"/>
              </v:shape>
            </w:pict>
          </mc:Fallback>
        </mc:AlternateContent>
      </w:r>
      <w:r w:rsidR="00B96A91">
        <w:rPr>
          <w:rFonts w:ascii="TimesNewRoman" w:hAnsi="TimesNewRoman"/>
          <w:iCs/>
          <w:noProof/>
          <w:sz w:val="22"/>
        </w:rPr>
        <mc:AlternateContent>
          <mc:Choice Requires="wps">
            <w:drawing>
              <wp:anchor distT="0" distB="0" distL="114300" distR="114300" simplePos="0" relativeHeight="251663360" behindDoc="0" locked="0" layoutInCell="1" allowOverlap="1" wp14:anchorId="1FA6854F" wp14:editId="51B42A4A">
                <wp:simplePos x="0" y="0"/>
                <wp:positionH relativeFrom="column">
                  <wp:posOffset>3826510</wp:posOffset>
                </wp:positionH>
                <wp:positionV relativeFrom="paragraph">
                  <wp:posOffset>1350645</wp:posOffset>
                </wp:positionV>
                <wp:extent cx="1367790" cy="192405"/>
                <wp:effectExtent l="6985" t="7620" r="635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92405"/>
                        </a:xfrm>
                        <a:prstGeom prst="rect">
                          <a:avLst/>
                        </a:prstGeom>
                        <a:solidFill>
                          <a:srgbClr val="FFFFFF"/>
                        </a:solidFill>
                        <a:ln w="9525">
                          <a:solidFill>
                            <a:srgbClr val="000000"/>
                          </a:solidFill>
                          <a:miter lim="800000"/>
                          <a:headEnd/>
                          <a:tailEnd/>
                        </a:ln>
                      </wps:spPr>
                      <wps:txbx>
                        <w:txbxContent>
                          <w:p w14:paraId="0A13EBB9" w14:textId="7BAC9A79" w:rsidR="00984B8C" w:rsidRPr="00EE699A" w:rsidRDefault="00984B8C" w:rsidP="00B96A91">
                            <w:pPr>
                              <w:rPr>
                                <w:sz w:val="12"/>
                                <w:szCs w:val="12"/>
                                <w:lang w:val="sr-Latn-CS"/>
                              </w:rPr>
                            </w:pPr>
                            <w:r w:rsidRPr="00EE699A">
                              <w:rPr>
                                <w:sz w:val="12"/>
                                <w:szCs w:val="12"/>
                                <w:lang w:val="sr-Latn-CS"/>
                              </w:rPr>
                              <w:t>Vr</w:t>
                            </w:r>
                            <w:r>
                              <w:rPr>
                                <w:sz w:val="12"/>
                                <w:szCs w:val="12"/>
                                <w:lang w:val="sr-Latn-CS"/>
                              </w:rPr>
                              <w:t>ij</w:t>
                            </w:r>
                            <w:r w:rsidRPr="00EE699A">
                              <w:rPr>
                                <w:sz w:val="12"/>
                                <w:szCs w:val="12"/>
                                <w:lang w:val="sr-Latn-CS"/>
                              </w:rPr>
                              <w:t xml:space="preserve">eme </w:t>
                            </w:r>
                            <w:r>
                              <w:rPr>
                                <w:sz w:val="12"/>
                                <w:szCs w:val="12"/>
                                <w:lang w:val="sr-Latn-CS"/>
                              </w:rPr>
                              <w:t>od</w:t>
                            </w:r>
                            <w:r w:rsidRPr="00EE699A">
                              <w:rPr>
                                <w:sz w:val="12"/>
                                <w:szCs w:val="12"/>
                                <w:lang w:val="sr-Latn-CS"/>
                              </w:rPr>
                              <w:t xml:space="preserve"> randomizacije (dani)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6854F" id="Text Box 7" o:spid="_x0000_s1027" type="#_x0000_t202" style="position:absolute;margin-left:301.3pt;margin-top:106.35pt;width:107.7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AMGAIAADI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">
                <v:textbox>
                  <w:txbxContent>
                    <w:p w14:paraId="0A13EBB9" w14:textId="7BAC9A79" w:rsidR="00984B8C" w:rsidRPr="00EE699A" w:rsidRDefault="00984B8C" w:rsidP="00B96A91">
                      <w:pPr>
                        <w:rPr>
                          <w:sz w:val="12"/>
                          <w:szCs w:val="12"/>
                          <w:lang w:val="sr-Latn-CS"/>
                        </w:rPr>
                      </w:pPr>
                      <w:r w:rsidRPr="00EE699A">
                        <w:rPr>
                          <w:sz w:val="12"/>
                          <w:szCs w:val="12"/>
                          <w:lang w:val="sr-Latn-CS"/>
                        </w:rPr>
                        <w:t>Vr</w:t>
                      </w:r>
                      <w:r>
                        <w:rPr>
                          <w:sz w:val="12"/>
                          <w:szCs w:val="12"/>
                          <w:lang w:val="sr-Latn-CS"/>
                        </w:rPr>
                        <w:t>ij</w:t>
                      </w:r>
                      <w:r w:rsidRPr="00EE699A">
                        <w:rPr>
                          <w:sz w:val="12"/>
                          <w:szCs w:val="12"/>
                          <w:lang w:val="sr-Latn-CS"/>
                        </w:rPr>
                        <w:t xml:space="preserve">eme </w:t>
                      </w:r>
                      <w:r>
                        <w:rPr>
                          <w:sz w:val="12"/>
                          <w:szCs w:val="12"/>
                          <w:lang w:val="sr-Latn-CS"/>
                        </w:rPr>
                        <w:t>od</w:t>
                      </w:r>
                      <w:r w:rsidRPr="00EE699A">
                        <w:rPr>
                          <w:sz w:val="12"/>
                          <w:szCs w:val="12"/>
                          <w:lang w:val="sr-Latn-CS"/>
                        </w:rPr>
                        <w:t xml:space="preserve"> randomizacije (dani)</w:t>
                      </w:r>
                    </w:p>
                  </w:txbxContent>
                </v:textbox>
              </v:shape>
            </w:pict>
          </mc:Fallback>
        </mc:AlternateContent>
      </w:r>
      <w:r w:rsidR="00B96A91">
        <w:rPr>
          <w:rFonts w:ascii="TimesNewRoman" w:hAnsi="TimesNewRoman"/>
          <w:iCs/>
          <w:noProof/>
          <w:sz w:val="22"/>
        </w:rPr>
        <mc:AlternateContent>
          <mc:Choice Requires="wps">
            <w:drawing>
              <wp:anchor distT="0" distB="0" distL="114300" distR="114300" simplePos="0" relativeHeight="251664384" behindDoc="0" locked="0" layoutInCell="1" allowOverlap="1" wp14:anchorId="5254EB22" wp14:editId="579442D3">
                <wp:simplePos x="0" y="0"/>
                <wp:positionH relativeFrom="column">
                  <wp:posOffset>2800350</wp:posOffset>
                </wp:positionH>
                <wp:positionV relativeFrom="paragraph">
                  <wp:posOffset>363220</wp:posOffset>
                </wp:positionV>
                <wp:extent cx="395605" cy="949960"/>
                <wp:effectExtent l="9525" t="10795"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949960"/>
                        </a:xfrm>
                        <a:prstGeom prst="rect">
                          <a:avLst/>
                        </a:prstGeom>
                        <a:solidFill>
                          <a:srgbClr val="FFFFFF"/>
                        </a:solidFill>
                        <a:ln w="9525">
                          <a:solidFill>
                            <a:srgbClr val="000000"/>
                          </a:solidFill>
                          <a:miter lim="800000"/>
                          <a:headEnd/>
                          <a:tailEnd/>
                        </a:ln>
                      </wps:spPr>
                      <wps:txbx>
                        <w:txbxContent>
                          <w:p w14:paraId="6B4032E9" w14:textId="77777777" w:rsidR="00984B8C" w:rsidRPr="00BF31E1" w:rsidRDefault="00984B8C" w:rsidP="00B96A91">
                            <w:pPr>
                              <w:rPr>
                                <w:sz w:val="12"/>
                                <w:szCs w:val="12"/>
                                <w:lang w:val="sr-Latn-CS"/>
                              </w:rPr>
                            </w:pPr>
                            <w:r w:rsidRPr="00BF31E1">
                              <w:rPr>
                                <w:sz w:val="12"/>
                                <w:szCs w:val="12"/>
                                <w:lang w:val="sr-Latn-CS"/>
                              </w:rPr>
                              <w:t xml:space="preserve">KM procena kumulativne stope </w:t>
                            </w:r>
                            <w:r>
                              <w:rPr>
                                <w:sz w:val="12"/>
                                <w:szCs w:val="12"/>
                                <w:lang w:val="sr-Latn-CS"/>
                              </w:rPr>
                              <w:t>neuspjeha</w:t>
                            </w:r>
                            <w:r w:rsidRPr="00BF31E1">
                              <w:rPr>
                                <w:sz w:val="12"/>
                                <w:szCs w:val="12"/>
                                <w:lang w:val="sr-Latn-CS"/>
                              </w:rPr>
                              <w:t xml:space="preserve"> (%)</w:t>
                            </w:r>
                          </w:p>
                          <w:p w14:paraId="18EDF59B" w14:textId="77777777" w:rsidR="00984B8C" w:rsidRDefault="00984B8C" w:rsidP="00B96A9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4EB22" id="Text Box 6" o:spid="_x0000_s1028" type="#_x0000_t202" style="position:absolute;margin-left:220.5pt;margin-top:28.6pt;width:31.1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">
                <v:textbox style="layout-flow:vertical;mso-layout-flow-alt:bottom-to-top">
                  <w:txbxContent>
                    <w:p w14:paraId="6B4032E9" w14:textId="77777777" w:rsidR="00984B8C" w:rsidRPr="00BF31E1" w:rsidRDefault="00984B8C" w:rsidP="00B96A91">
                      <w:pPr>
                        <w:rPr>
                          <w:sz w:val="12"/>
                          <w:szCs w:val="12"/>
                          <w:lang w:val="sr-Latn-CS"/>
                        </w:rPr>
                      </w:pPr>
                      <w:r w:rsidRPr="00BF31E1">
                        <w:rPr>
                          <w:sz w:val="12"/>
                          <w:szCs w:val="12"/>
                          <w:lang w:val="sr-Latn-CS"/>
                        </w:rPr>
                        <w:t xml:space="preserve">KM procena kumulativne stope </w:t>
                      </w:r>
                      <w:r>
                        <w:rPr>
                          <w:sz w:val="12"/>
                          <w:szCs w:val="12"/>
                          <w:lang w:val="sr-Latn-CS"/>
                        </w:rPr>
                        <w:t>neuspjeha</w:t>
                      </w:r>
                      <w:r w:rsidRPr="00BF31E1">
                        <w:rPr>
                          <w:sz w:val="12"/>
                          <w:szCs w:val="12"/>
                          <w:lang w:val="sr-Latn-CS"/>
                        </w:rPr>
                        <w:t xml:space="preserve"> (%)</w:t>
                      </w:r>
                    </w:p>
                    <w:p w14:paraId="18EDF59B" w14:textId="77777777" w:rsidR="00984B8C" w:rsidRDefault="00984B8C" w:rsidP="00B96A91"/>
                  </w:txbxContent>
                </v:textbox>
              </v:shape>
            </w:pict>
          </mc:Fallback>
        </mc:AlternateContent>
      </w:r>
      <w:r w:rsidR="00B96A91">
        <w:rPr>
          <w:rFonts w:ascii="TimesNewRoman" w:hAnsi="TimesNewRoman"/>
          <w:iCs/>
          <w:noProof/>
          <w:sz w:val="22"/>
        </w:rPr>
        <mc:AlternateContent>
          <mc:Choice Requires="wps">
            <w:drawing>
              <wp:anchor distT="0" distB="0" distL="114300" distR="114300" simplePos="0" relativeHeight="251661312" behindDoc="0" locked="0" layoutInCell="1" allowOverlap="1" wp14:anchorId="486DF6EB" wp14:editId="194EECE3">
                <wp:simplePos x="0" y="0"/>
                <wp:positionH relativeFrom="column">
                  <wp:posOffset>-91440</wp:posOffset>
                </wp:positionH>
                <wp:positionV relativeFrom="paragraph">
                  <wp:posOffset>320675</wp:posOffset>
                </wp:positionV>
                <wp:extent cx="387985" cy="924560"/>
                <wp:effectExtent l="13335" t="6350" r="825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924560"/>
                        </a:xfrm>
                        <a:prstGeom prst="rect">
                          <a:avLst/>
                        </a:prstGeom>
                        <a:solidFill>
                          <a:srgbClr val="FFFFFF"/>
                        </a:solidFill>
                        <a:ln w="9525">
                          <a:solidFill>
                            <a:srgbClr val="000000"/>
                          </a:solidFill>
                          <a:miter lim="800000"/>
                          <a:headEnd/>
                          <a:tailEnd/>
                        </a:ln>
                      </wps:spPr>
                      <wps:txbx>
                        <w:txbxContent>
                          <w:p w14:paraId="5F563222" w14:textId="77777777" w:rsidR="00984B8C" w:rsidRPr="00BF31E1" w:rsidRDefault="00984B8C" w:rsidP="00B96A91">
                            <w:pPr>
                              <w:rPr>
                                <w:sz w:val="12"/>
                                <w:szCs w:val="12"/>
                                <w:lang w:val="sr-Latn-CS"/>
                              </w:rPr>
                            </w:pPr>
                            <w:r w:rsidRPr="00BF31E1">
                              <w:rPr>
                                <w:sz w:val="12"/>
                                <w:szCs w:val="12"/>
                                <w:lang w:val="sr-Latn-CS"/>
                              </w:rPr>
                              <w:t xml:space="preserve">KM procena kumulativne stope </w:t>
                            </w:r>
                            <w:r>
                              <w:rPr>
                                <w:sz w:val="12"/>
                                <w:szCs w:val="12"/>
                                <w:lang w:val="sr-Latn-CS"/>
                              </w:rPr>
                              <w:t>neuspjeha</w:t>
                            </w:r>
                            <w:r w:rsidRPr="00BF31E1">
                              <w:rPr>
                                <w:sz w:val="12"/>
                                <w:szCs w:val="12"/>
                                <w:lang w:val="sr-Latn-CS"/>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6DF6EB" id="Text Box 4" o:spid="_x0000_s1029" type="#_x0000_t202" style="position:absolute;margin-left:-7.2pt;margin-top:25.25pt;width:30.55pt;height: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">
                <v:textbox style="layout-flow:vertical;mso-layout-flow-alt:bottom-to-top">
                  <w:txbxContent>
                    <w:p w14:paraId="5F563222" w14:textId="77777777" w:rsidR="00984B8C" w:rsidRPr="00BF31E1" w:rsidRDefault="00984B8C" w:rsidP="00B96A91">
                      <w:pPr>
                        <w:rPr>
                          <w:sz w:val="12"/>
                          <w:szCs w:val="12"/>
                          <w:lang w:val="sr-Latn-CS"/>
                        </w:rPr>
                      </w:pPr>
                      <w:r w:rsidRPr="00BF31E1">
                        <w:rPr>
                          <w:sz w:val="12"/>
                          <w:szCs w:val="12"/>
                          <w:lang w:val="sr-Latn-CS"/>
                        </w:rPr>
                        <w:t xml:space="preserve">KM procena kumulativne stope </w:t>
                      </w:r>
                      <w:r>
                        <w:rPr>
                          <w:sz w:val="12"/>
                          <w:szCs w:val="12"/>
                          <w:lang w:val="sr-Latn-CS"/>
                        </w:rPr>
                        <w:t>neuspjeha</w:t>
                      </w:r>
                      <w:r w:rsidRPr="00BF31E1">
                        <w:rPr>
                          <w:sz w:val="12"/>
                          <w:szCs w:val="12"/>
                          <w:lang w:val="sr-Latn-CS"/>
                        </w:rPr>
                        <w:t xml:space="preserve"> (%)</w:t>
                      </w:r>
                    </w:p>
                  </w:txbxContent>
                </v:textbox>
              </v:shape>
            </w:pict>
          </mc:Fallback>
        </mc:AlternateContent>
      </w:r>
      <w:r w:rsidR="00B96A91">
        <w:rPr>
          <w:rFonts w:ascii="TimesNewRoman" w:hAnsi="TimesNewRoman"/>
          <w:iCs/>
          <w:noProof/>
          <w:sz w:val="22"/>
        </w:rPr>
        <mc:AlternateContent>
          <mc:Choice Requires="wps">
            <w:drawing>
              <wp:anchor distT="0" distB="0" distL="114300" distR="114300" simplePos="0" relativeHeight="251659264" behindDoc="0" locked="0" layoutInCell="1" allowOverlap="1" wp14:anchorId="3DA666AB" wp14:editId="63717A10">
                <wp:simplePos x="0" y="0"/>
                <wp:positionH relativeFrom="column">
                  <wp:posOffset>45720</wp:posOffset>
                </wp:positionH>
                <wp:positionV relativeFrom="paragraph">
                  <wp:posOffset>13970</wp:posOffset>
                </wp:positionV>
                <wp:extent cx="2275840" cy="277495"/>
                <wp:effectExtent l="7620" t="13970" r="1206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77495"/>
                        </a:xfrm>
                        <a:prstGeom prst="rect">
                          <a:avLst/>
                        </a:prstGeom>
                        <a:solidFill>
                          <a:srgbClr val="FFFFFF"/>
                        </a:solidFill>
                        <a:ln w="9525">
                          <a:solidFill>
                            <a:srgbClr val="000000"/>
                          </a:solidFill>
                          <a:miter lim="800000"/>
                          <a:headEnd/>
                          <a:tailEnd/>
                        </a:ln>
                      </wps:spPr>
                      <wps:txbx>
                        <w:txbxContent>
                          <w:p w14:paraId="6758873F" w14:textId="46F773D5" w:rsidR="00984B8C" w:rsidRPr="00B26793" w:rsidRDefault="00984B8C" w:rsidP="00B96A91">
                            <w:pPr>
                              <w:rPr>
                                <w:sz w:val="12"/>
                                <w:szCs w:val="12"/>
                                <w:lang w:val="sr-Latn-CS"/>
                              </w:rPr>
                            </w:pPr>
                            <w:r w:rsidRPr="00B26793">
                              <w:rPr>
                                <w:sz w:val="12"/>
                                <w:szCs w:val="12"/>
                                <w:lang w:val="sr-Latn-CS"/>
                              </w:rPr>
                              <w:t>Vr</w:t>
                            </w:r>
                            <w:r>
                              <w:rPr>
                                <w:sz w:val="12"/>
                                <w:szCs w:val="12"/>
                                <w:lang w:val="sr-Latn-CS"/>
                              </w:rPr>
                              <w:t>ij</w:t>
                            </w:r>
                            <w:r w:rsidRPr="00B26793">
                              <w:rPr>
                                <w:sz w:val="12"/>
                                <w:szCs w:val="12"/>
                                <w:lang w:val="sr-Latn-CS"/>
                              </w:rPr>
                              <w:t xml:space="preserve">eme do pojave prve </w:t>
                            </w:r>
                            <w:r>
                              <w:rPr>
                                <w:sz w:val="12"/>
                                <w:szCs w:val="12"/>
                                <w:lang w:val="sr-Latn-CS"/>
                              </w:rPr>
                              <w:t>kardiovaskularne</w:t>
                            </w:r>
                            <w:r w:rsidRPr="00B26793">
                              <w:rPr>
                                <w:sz w:val="12"/>
                                <w:szCs w:val="12"/>
                                <w:lang w:val="sr-Latn-CS"/>
                              </w:rPr>
                              <w:t xml:space="preserve"> smrti ili hospitalizacije zbog insuficijencije srca u PARADIGM-HF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A666AB" id="Text Box 3" o:spid="_x0000_s1030" type="#_x0000_t202" style="position:absolute;margin-left:3.6pt;margin-top:1.1pt;width:179.2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">
                <v:textbox>
                  <w:txbxContent>
                    <w:p w14:paraId="6758873F" w14:textId="46F773D5" w:rsidR="00984B8C" w:rsidRPr="00B26793" w:rsidRDefault="00984B8C" w:rsidP="00B96A91">
                      <w:pPr>
                        <w:rPr>
                          <w:sz w:val="12"/>
                          <w:szCs w:val="12"/>
                          <w:lang w:val="sr-Latn-CS"/>
                        </w:rPr>
                      </w:pPr>
                      <w:r w:rsidRPr="00B26793">
                        <w:rPr>
                          <w:sz w:val="12"/>
                          <w:szCs w:val="12"/>
                          <w:lang w:val="sr-Latn-CS"/>
                        </w:rPr>
                        <w:t>Vr</w:t>
                      </w:r>
                      <w:r>
                        <w:rPr>
                          <w:sz w:val="12"/>
                          <w:szCs w:val="12"/>
                          <w:lang w:val="sr-Latn-CS"/>
                        </w:rPr>
                        <w:t>ij</w:t>
                      </w:r>
                      <w:r w:rsidRPr="00B26793">
                        <w:rPr>
                          <w:sz w:val="12"/>
                          <w:szCs w:val="12"/>
                          <w:lang w:val="sr-Latn-CS"/>
                        </w:rPr>
                        <w:t xml:space="preserve">eme do pojave prve </w:t>
                      </w:r>
                      <w:r>
                        <w:rPr>
                          <w:sz w:val="12"/>
                          <w:szCs w:val="12"/>
                          <w:lang w:val="sr-Latn-CS"/>
                        </w:rPr>
                        <w:t>kardiovaskularne</w:t>
                      </w:r>
                      <w:r w:rsidRPr="00B26793">
                        <w:rPr>
                          <w:sz w:val="12"/>
                          <w:szCs w:val="12"/>
                          <w:lang w:val="sr-Latn-CS"/>
                        </w:rPr>
                        <w:t xml:space="preserve"> smrti ili hospitalizacije zbog insuficijencije srca u PARADIGM-HF</w:t>
                      </w:r>
                    </w:p>
                  </w:txbxContent>
                </v:textbox>
              </v:shape>
            </w:pict>
          </mc:Fallback>
        </mc:AlternateContent>
      </w:r>
      <w:r w:rsidR="00B96A91">
        <w:rPr>
          <w:rFonts w:ascii="TimesNewRoman" w:hAnsi="TimesNewRoman"/>
          <w:iCs/>
          <w:noProof/>
          <w:sz w:val="22"/>
        </w:rPr>
        <mc:AlternateContent>
          <mc:Choice Requires="wps">
            <w:drawing>
              <wp:anchor distT="0" distB="0" distL="114300" distR="114300" simplePos="0" relativeHeight="251660288" behindDoc="0" locked="0" layoutInCell="1" allowOverlap="1" wp14:anchorId="33BD8B09" wp14:editId="6ED4CB2A">
                <wp:simplePos x="0" y="0"/>
                <wp:positionH relativeFrom="column">
                  <wp:posOffset>864870</wp:posOffset>
                </wp:positionH>
                <wp:positionV relativeFrom="paragraph">
                  <wp:posOffset>1352550</wp:posOffset>
                </wp:positionV>
                <wp:extent cx="1247775" cy="194310"/>
                <wp:effectExtent l="7620" t="9525"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4310"/>
                        </a:xfrm>
                        <a:prstGeom prst="rect">
                          <a:avLst/>
                        </a:prstGeom>
                        <a:solidFill>
                          <a:srgbClr val="FFFFFF"/>
                        </a:solidFill>
                        <a:ln w="9525">
                          <a:solidFill>
                            <a:srgbClr val="000000"/>
                          </a:solidFill>
                          <a:miter lim="800000"/>
                          <a:headEnd/>
                          <a:tailEnd/>
                        </a:ln>
                      </wps:spPr>
                      <wps:txbx>
                        <w:txbxContent>
                          <w:p w14:paraId="7B6786DC" w14:textId="26CA7569" w:rsidR="00984B8C" w:rsidRPr="00BF31E1" w:rsidRDefault="00984B8C" w:rsidP="00B96A91">
                            <w:pPr>
                              <w:rPr>
                                <w:sz w:val="12"/>
                                <w:szCs w:val="12"/>
                                <w:lang w:val="sr-Latn-CS"/>
                              </w:rPr>
                            </w:pPr>
                            <w:r w:rsidRPr="00BF31E1">
                              <w:rPr>
                                <w:sz w:val="12"/>
                                <w:szCs w:val="12"/>
                                <w:lang w:val="sr-Latn-CS"/>
                              </w:rPr>
                              <w:t>Vr</w:t>
                            </w:r>
                            <w:r>
                              <w:rPr>
                                <w:sz w:val="12"/>
                                <w:szCs w:val="12"/>
                                <w:lang w:val="sr-Latn-CS"/>
                              </w:rPr>
                              <w:t>ij</w:t>
                            </w:r>
                            <w:r w:rsidRPr="00BF31E1">
                              <w:rPr>
                                <w:sz w:val="12"/>
                                <w:szCs w:val="12"/>
                                <w:lang w:val="sr-Latn-CS"/>
                              </w:rPr>
                              <w:t xml:space="preserve">eme </w:t>
                            </w:r>
                            <w:r>
                              <w:rPr>
                                <w:sz w:val="12"/>
                                <w:szCs w:val="12"/>
                                <w:lang w:val="sr-Latn-CS"/>
                              </w:rPr>
                              <w:t>od</w:t>
                            </w:r>
                            <w:r w:rsidRPr="00BF31E1">
                              <w:rPr>
                                <w:sz w:val="12"/>
                                <w:szCs w:val="12"/>
                                <w:lang w:val="sr-Latn-CS"/>
                              </w:rPr>
                              <w:t xml:space="preserve"> randomizacije (dani)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BD8B09" id="Text Box 2" o:spid="_x0000_s1031" type="#_x0000_t202" style="position:absolute;margin-left:68.1pt;margin-top:106.5pt;width:98.25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">
                <v:textbox>
                  <w:txbxContent>
                    <w:p w14:paraId="7B6786DC" w14:textId="26CA7569" w:rsidR="00984B8C" w:rsidRPr="00BF31E1" w:rsidRDefault="00984B8C" w:rsidP="00B96A91">
                      <w:pPr>
                        <w:rPr>
                          <w:sz w:val="12"/>
                          <w:szCs w:val="12"/>
                          <w:lang w:val="sr-Latn-CS"/>
                        </w:rPr>
                      </w:pPr>
                      <w:r w:rsidRPr="00BF31E1">
                        <w:rPr>
                          <w:sz w:val="12"/>
                          <w:szCs w:val="12"/>
                          <w:lang w:val="sr-Latn-CS"/>
                        </w:rPr>
                        <w:t>Vr</w:t>
                      </w:r>
                      <w:r>
                        <w:rPr>
                          <w:sz w:val="12"/>
                          <w:szCs w:val="12"/>
                          <w:lang w:val="sr-Latn-CS"/>
                        </w:rPr>
                        <w:t>ij</w:t>
                      </w:r>
                      <w:r w:rsidRPr="00BF31E1">
                        <w:rPr>
                          <w:sz w:val="12"/>
                          <w:szCs w:val="12"/>
                          <w:lang w:val="sr-Latn-CS"/>
                        </w:rPr>
                        <w:t xml:space="preserve">eme </w:t>
                      </w:r>
                      <w:r>
                        <w:rPr>
                          <w:sz w:val="12"/>
                          <w:szCs w:val="12"/>
                          <w:lang w:val="sr-Latn-CS"/>
                        </w:rPr>
                        <w:t>od</w:t>
                      </w:r>
                      <w:r w:rsidRPr="00BF31E1">
                        <w:rPr>
                          <w:sz w:val="12"/>
                          <w:szCs w:val="12"/>
                          <w:lang w:val="sr-Latn-CS"/>
                        </w:rPr>
                        <w:t xml:space="preserve"> randomizacije (dani)</w:t>
                      </w:r>
                    </w:p>
                  </w:txbxContent>
                </v:textbox>
              </v:shape>
            </w:pict>
          </mc:Fallback>
        </mc:AlternateContent>
      </w:r>
      <w:r w:rsidR="00BC46CA">
        <w:rPr>
          <w:rFonts w:ascii="TimesNewRoman" w:hAnsi="TimesNewRoman"/>
          <w:iCs/>
          <w:sz w:val="22"/>
          <w:lang w:val="hr-HR" w:eastAsia="hr-HR"/>
        </w:rPr>
        <w:pict w14:anchorId="098B94BE">
          <v:shape id="_x0000_i1026" type="#_x0000_t75" style="width:227.3pt;height:142.4pt">
            <v:imagedata r:id="rId12" o:title=""/>
          </v:shape>
        </w:pict>
      </w:r>
      <w:r w:rsidR="00BC46CA">
        <w:rPr>
          <w:rFonts w:ascii="TimesNewRoman" w:hAnsi="TimesNewRoman"/>
          <w:iCs/>
          <w:sz w:val="22"/>
          <w:lang w:val="hr-HR" w:eastAsia="hr-HR"/>
        </w:rPr>
        <w:pict w14:anchorId="4AD5E08A">
          <v:shape id="_x0000_i1027" type="#_x0000_t75" style="width:224.6pt;height:142.95pt">
            <v:imagedata r:id="rId13" o:title=""/>
          </v:shape>
        </w:pict>
      </w:r>
    </w:p>
    <w:p w14:paraId="7D47F1BF" w14:textId="77777777" w:rsidR="00B96A91" w:rsidRPr="00E745DB" w:rsidRDefault="00B96A91" w:rsidP="001B64BC">
      <w:pPr>
        <w:widowControl w:val="0"/>
        <w:rPr>
          <w:sz w:val="22"/>
          <w:szCs w:val="22"/>
          <w:lang w:val="hr-HR"/>
        </w:rPr>
      </w:pPr>
    </w:p>
    <w:p w14:paraId="4C1230C9" w14:textId="77777777" w:rsidR="00B96A91" w:rsidRPr="00AB63CB" w:rsidRDefault="00B96A91" w:rsidP="001B64BC">
      <w:pPr>
        <w:keepNext/>
        <w:widowControl w:val="0"/>
        <w:jc w:val="both"/>
        <w:rPr>
          <w:bCs/>
          <w:i/>
          <w:sz w:val="22"/>
          <w:u w:val="single"/>
          <w:lang w:val="hr-HR" w:eastAsia="ja-JP"/>
        </w:rPr>
      </w:pPr>
      <w:r w:rsidRPr="00AB63CB">
        <w:rPr>
          <w:bCs/>
          <w:i/>
          <w:sz w:val="22"/>
          <w:u w:val="single"/>
          <w:lang w:val="hr-HR" w:eastAsia="ja-JP"/>
        </w:rPr>
        <w:t>TITRATION</w:t>
      </w:r>
    </w:p>
    <w:p w14:paraId="70E6675B" w14:textId="77777777" w:rsidR="00B96A91" w:rsidRPr="00E745DB" w:rsidRDefault="00B96A91" w:rsidP="001B64BC">
      <w:pPr>
        <w:widowControl w:val="0"/>
        <w:jc w:val="both"/>
        <w:rPr>
          <w:color w:val="000000"/>
          <w:sz w:val="22"/>
          <w:szCs w:val="20"/>
          <w:lang w:val="hr-HR" w:eastAsia="ja-JP"/>
        </w:rPr>
      </w:pPr>
      <w:r w:rsidRPr="00E745DB">
        <w:rPr>
          <w:color w:val="000000"/>
          <w:sz w:val="22"/>
          <w:szCs w:val="20"/>
          <w:lang w:val="hr-HR" w:eastAsia="ja-JP"/>
        </w:rPr>
        <w:t>TITRATION je bil</w:t>
      </w:r>
      <w:r>
        <w:rPr>
          <w:color w:val="000000"/>
          <w:sz w:val="22"/>
          <w:szCs w:val="20"/>
          <w:lang w:val="hr-HR" w:eastAsia="ja-JP"/>
        </w:rPr>
        <w:t>a</w:t>
      </w:r>
      <w:r w:rsidRPr="00E745DB">
        <w:rPr>
          <w:color w:val="000000"/>
          <w:sz w:val="22"/>
          <w:szCs w:val="20"/>
          <w:lang w:val="hr-HR" w:eastAsia="ja-JP"/>
        </w:rPr>
        <w:t xml:space="preserve"> 12</w:t>
      </w:r>
      <w:r w:rsidRPr="00E745DB">
        <w:rPr>
          <w:color w:val="000000"/>
          <w:sz w:val="22"/>
          <w:szCs w:val="20"/>
          <w:lang w:val="hr-HR" w:eastAsia="ja-JP"/>
        </w:rPr>
        <w:noBreakHyphen/>
      </w:r>
      <w:r>
        <w:rPr>
          <w:color w:val="000000"/>
          <w:sz w:val="22"/>
          <w:szCs w:val="20"/>
          <w:lang w:val="hr-HR" w:eastAsia="ja-JP"/>
        </w:rPr>
        <w:t>nedjeljna studija o bezbjednosti i podnošljivosti sa</w:t>
      </w:r>
      <w:r w:rsidRPr="00E745DB">
        <w:rPr>
          <w:color w:val="000000"/>
          <w:sz w:val="22"/>
          <w:szCs w:val="20"/>
          <w:lang w:val="hr-HR" w:eastAsia="ja-JP"/>
        </w:rPr>
        <w:t xml:space="preserve"> 538 </w:t>
      </w:r>
      <w:r>
        <w:rPr>
          <w:color w:val="000000"/>
          <w:sz w:val="22"/>
          <w:szCs w:val="20"/>
          <w:lang w:val="hr-HR" w:eastAsia="ja-JP"/>
        </w:rPr>
        <w:t>pacijenata</w:t>
      </w:r>
      <w:r w:rsidRPr="00E745DB">
        <w:rPr>
          <w:color w:val="000000"/>
          <w:sz w:val="22"/>
          <w:szCs w:val="20"/>
          <w:lang w:val="hr-HR" w:eastAsia="ja-JP"/>
        </w:rPr>
        <w:t xml:space="preserve"> s</w:t>
      </w:r>
      <w:r>
        <w:rPr>
          <w:color w:val="000000"/>
          <w:sz w:val="22"/>
          <w:szCs w:val="20"/>
          <w:lang w:val="hr-HR" w:eastAsia="ja-JP"/>
        </w:rPr>
        <w:t>a</w:t>
      </w:r>
      <w:r w:rsidRPr="00E745DB">
        <w:rPr>
          <w:color w:val="000000"/>
          <w:sz w:val="22"/>
          <w:szCs w:val="20"/>
          <w:lang w:val="hr-HR" w:eastAsia="ja-JP"/>
        </w:rPr>
        <w:t xml:space="preserve"> </w:t>
      </w:r>
      <w:r>
        <w:rPr>
          <w:color w:val="000000"/>
          <w:sz w:val="22"/>
          <w:szCs w:val="20"/>
          <w:lang w:val="hr-HR" w:eastAsia="ja-JP"/>
        </w:rPr>
        <w:t>h</w:t>
      </w:r>
      <w:r w:rsidRPr="00E745DB">
        <w:rPr>
          <w:color w:val="000000"/>
          <w:sz w:val="22"/>
          <w:szCs w:val="20"/>
          <w:lang w:val="hr-HR" w:eastAsia="ja-JP"/>
        </w:rPr>
        <w:t>roničn</w:t>
      </w:r>
      <w:r>
        <w:rPr>
          <w:color w:val="000000"/>
          <w:sz w:val="22"/>
          <w:szCs w:val="20"/>
          <w:lang w:val="hr-HR" w:eastAsia="ja-JP"/>
        </w:rPr>
        <w:t>om</w:t>
      </w:r>
      <w:r w:rsidRPr="00E745DB">
        <w:rPr>
          <w:color w:val="000000"/>
          <w:sz w:val="22"/>
          <w:szCs w:val="20"/>
          <w:lang w:val="hr-HR" w:eastAsia="ja-JP"/>
        </w:rPr>
        <w:t xml:space="preserve"> </w:t>
      </w:r>
      <w:r>
        <w:rPr>
          <w:color w:val="000000"/>
          <w:sz w:val="22"/>
          <w:szCs w:val="20"/>
          <w:lang w:val="hr-HR" w:eastAsia="ja-JP"/>
        </w:rPr>
        <w:t>insuficijencijom</w:t>
      </w:r>
      <w:r w:rsidRPr="00E745DB">
        <w:rPr>
          <w:color w:val="000000"/>
          <w:sz w:val="22"/>
          <w:szCs w:val="20"/>
          <w:lang w:val="hr-HR" w:eastAsia="ja-JP"/>
        </w:rPr>
        <w:t xml:space="preserve"> srca (NYHA klasa II–IV) i sistol</w:t>
      </w:r>
      <w:r>
        <w:rPr>
          <w:color w:val="000000"/>
          <w:sz w:val="22"/>
          <w:szCs w:val="20"/>
          <w:lang w:val="hr-HR" w:eastAsia="ja-JP"/>
        </w:rPr>
        <w:t>nom</w:t>
      </w:r>
      <w:r w:rsidRPr="00E745DB">
        <w:rPr>
          <w:color w:val="000000"/>
          <w:sz w:val="22"/>
          <w:szCs w:val="20"/>
          <w:lang w:val="hr-HR" w:eastAsia="ja-JP"/>
        </w:rPr>
        <w:t xml:space="preserve"> disfunkcijom (ejekci</w:t>
      </w:r>
      <w:r>
        <w:rPr>
          <w:color w:val="000000"/>
          <w:sz w:val="22"/>
          <w:szCs w:val="20"/>
          <w:lang w:val="hr-HR" w:eastAsia="ja-JP"/>
        </w:rPr>
        <w:t>ona</w:t>
      </w:r>
      <w:r w:rsidRPr="00E745DB">
        <w:rPr>
          <w:color w:val="000000"/>
          <w:sz w:val="22"/>
          <w:szCs w:val="20"/>
          <w:lang w:val="hr-HR" w:eastAsia="ja-JP"/>
        </w:rPr>
        <w:t xml:space="preserve"> frakcija l</w:t>
      </w:r>
      <w:r>
        <w:rPr>
          <w:color w:val="000000"/>
          <w:sz w:val="22"/>
          <w:szCs w:val="20"/>
          <w:lang w:val="hr-HR" w:eastAsia="ja-JP"/>
        </w:rPr>
        <w:t>ijeve komore</w:t>
      </w:r>
      <w:r w:rsidRPr="00E745DB">
        <w:rPr>
          <w:color w:val="000000"/>
          <w:sz w:val="22"/>
          <w:szCs w:val="20"/>
          <w:lang w:val="hr-HR" w:eastAsia="ja-JP"/>
        </w:rPr>
        <w:t xml:space="preserve"> ≤35%) koji </w:t>
      </w:r>
      <w:r>
        <w:rPr>
          <w:color w:val="000000"/>
          <w:sz w:val="22"/>
          <w:szCs w:val="20"/>
          <w:lang w:val="hr-HR" w:eastAsia="ja-JP"/>
        </w:rPr>
        <w:t xml:space="preserve">nikada </w:t>
      </w:r>
      <w:r w:rsidRPr="00E745DB">
        <w:rPr>
          <w:color w:val="000000"/>
          <w:sz w:val="22"/>
          <w:szCs w:val="20"/>
          <w:lang w:val="hr-HR" w:eastAsia="ja-JP"/>
        </w:rPr>
        <w:t>ni</w:t>
      </w:r>
      <w:r>
        <w:rPr>
          <w:color w:val="000000"/>
          <w:sz w:val="22"/>
          <w:szCs w:val="20"/>
          <w:lang w:val="hr-HR" w:eastAsia="ja-JP"/>
        </w:rPr>
        <w:t>je</w:t>
      </w:r>
      <w:r w:rsidRPr="00E745DB">
        <w:rPr>
          <w:color w:val="000000"/>
          <w:sz w:val="22"/>
          <w:szCs w:val="20"/>
          <w:lang w:val="hr-HR" w:eastAsia="ja-JP"/>
        </w:rPr>
        <w:t xml:space="preserve">su primali </w:t>
      </w:r>
      <w:r w:rsidRPr="00FA7776">
        <w:rPr>
          <w:color w:val="000000"/>
          <w:sz w:val="22"/>
          <w:szCs w:val="22"/>
          <w:lang w:val="hr-HR" w:eastAsia="ja-JP"/>
        </w:rPr>
        <w:t>terapiju</w:t>
      </w:r>
      <w:r w:rsidRPr="00E745DB">
        <w:rPr>
          <w:color w:val="000000"/>
          <w:sz w:val="22"/>
          <w:szCs w:val="20"/>
          <w:lang w:val="hr-HR" w:eastAsia="ja-JP"/>
        </w:rPr>
        <w:t xml:space="preserve"> ACE inhibitorom ili ARB</w:t>
      </w:r>
      <w:r w:rsidRPr="00E745DB">
        <w:rPr>
          <w:color w:val="000000"/>
          <w:sz w:val="22"/>
          <w:szCs w:val="20"/>
          <w:lang w:val="hr-HR" w:eastAsia="ja-JP"/>
        </w:rPr>
        <w:noBreakHyphen/>
        <w:t>om ili na različitim dozama ACE inhibitora ili ARB</w:t>
      </w:r>
      <w:r w:rsidRPr="00E745DB">
        <w:rPr>
          <w:color w:val="000000"/>
          <w:sz w:val="22"/>
          <w:szCs w:val="20"/>
          <w:lang w:val="hr-HR" w:eastAsia="ja-JP"/>
        </w:rPr>
        <w:noBreakHyphen/>
        <w:t>a pr</w:t>
      </w:r>
      <w:r>
        <w:rPr>
          <w:color w:val="000000"/>
          <w:sz w:val="22"/>
          <w:szCs w:val="20"/>
          <w:lang w:val="hr-HR" w:eastAsia="ja-JP"/>
        </w:rPr>
        <w:t>ij</w:t>
      </w:r>
      <w:r w:rsidRPr="00E745DB">
        <w:rPr>
          <w:color w:val="000000"/>
          <w:sz w:val="22"/>
          <w:szCs w:val="20"/>
          <w:lang w:val="hr-HR" w:eastAsia="ja-JP"/>
        </w:rPr>
        <w:t xml:space="preserve">e ulaska u </w:t>
      </w:r>
      <w:r>
        <w:rPr>
          <w:color w:val="000000"/>
          <w:sz w:val="22"/>
          <w:szCs w:val="20"/>
          <w:lang w:val="hr-HR" w:eastAsia="ja-JP"/>
        </w:rPr>
        <w:t>studiju</w:t>
      </w:r>
      <w:r w:rsidRPr="00E745DB">
        <w:rPr>
          <w:color w:val="000000"/>
          <w:sz w:val="22"/>
          <w:szCs w:val="20"/>
          <w:lang w:val="hr-HR" w:eastAsia="ja-JP"/>
        </w:rPr>
        <w:t xml:space="preserve">. </w:t>
      </w:r>
      <w:r>
        <w:rPr>
          <w:color w:val="000000"/>
          <w:sz w:val="22"/>
          <w:szCs w:val="20"/>
          <w:lang w:val="hr-HR" w:eastAsia="ja-JP"/>
        </w:rPr>
        <w:t>Pacijent</w:t>
      </w:r>
      <w:r w:rsidRPr="00E745DB">
        <w:rPr>
          <w:color w:val="000000"/>
          <w:sz w:val="22"/>
          <w:szCs w:val="20"/>
          <w:lang w:val="hr-HR" w:eastAsia="ja-JP"/>
        </w:rPr>
        <w:t xml:space="preserve">i su primali početnu dozu </w:t>
      </w:r>
      <w:r>
        <w:rPr>
          <w:bCs/>
          <w:sz w:val="22"/>
          <w:lang w:val="hr-HR"/>
        </w:rPr>
        <w:t>valsartan/sakubitril</w:t>
      </w:r>
      <w:r w:rsidRPr="00E745DB">
        <w:rPr>
          <w:color w:val="000000"/>
          <w:sz w:val="22"/>
          <w:szCs w:val="20"/>
          <w:lang w:val="hr-HR" w:eastAsia="ja-JP"/>
        </w:rPr>
        <w:t xml:space="preserve"> od 50 mg dva</w:t>
      </w:r>
      <w:r>
        <w:rPr>
          <w:color w:val="000000"/>
          <w:sz w:val="22"/>
          <w:szCs w:val="20"/>
          <w:lang w:val="hr-HR" w:eastAsia="ja-JP"/>
        </w:rPr>
        <w:t xml:space="preserve"> </w:t>
      </w:r>
      <w:r w:rsidRPr="00E745DB">
        <w:rPr>
          <w:color w:val="000000"/>
          <w:sz w:val="22"/>
          <w:szCs w:val="20"/>
          <w:lang w:val="hr-HR" w:eastAsia="ja-JP"/>
        </w:rPr>
        <w:t>put</w:t>
      </w:r>
      <w:r>
        <w:rPr>
          <w:color w:val="000000"/>
          <w:sz w:val="22"/>
          <w:szCs w:val="20"/>
          <w:lang w:val="hr-HR" w:eastAsia="ja-JP"/>
        </w:rPr>
        <w:t>a</w:t>
      </w:r>
      <w:r w:rsidRPr="00E745DB">
        <w:rPr>
          <w:color w:val="000000"/>
          <w:sz w:val="22"/>
          <w:szCs w:val="20"/>
          <w:lang w:val="hr-HR" w:eastAsia="ja-JP"/>
        </w:rPr>
        <w:t xml:space="preserve"> na dan </w:t>
      </w:r>
      <w:r>
        <w:rPr>
          <w:color w:val="000000"/>
          <w:sz w:val="22"/>
          <w:szCs w:val="20"/>
          <w:lang w:val="hr-HR" w:eastAsia="ja-JP"/>
        </w:rPr>
        <w:t>i</w:t>
      </w:r>
      <w:r w:rsidRPr="00E745DB">
        <w:rPr>
          <w:color w:val="000000"/>
          <w:sz w:val="22"/>
          <w:szCs w:val="20"/>
          <w:lang w:val="hr-HR" w:eastAsia="ja-JP"/>
        </w:rPr>
        <w:t xml:space="preserve"> bili</w:t>
      </w:r>
      <w:r>
        <w:rPr>
          <w:color w:val="000000"/>
          <w:sz w:val="22"/>
          <w:szCs w:val="20"/>
          <w:lang w:val="hr-HR" w:eastAsia="ja-JP"/>
        </w:rPr>
        <w:t xml:space="preserve"> su</w:t>
      </w:r>
      <w:r w:rsidRPr="00E745DB">
        <w:rPr>
          <w:color w:val="000000"/>
          <w:sz w:val="22"/>
          <w:szCs w:val="20"/>
          <w:lang w:val="hr-HR" w:eastAsia="ja-JP"/>
        </w:rPr>
        <w:t xml:space="preserve"> titrirani </w:t>
      </w:r>
      <w:r>
        <w:rPr>
          <w:color w:val="000000"/>
          <w:sz w:val="22"/>
          <w:szCs w:val="20"/>
          <w:lang w:val="hr-HR" w:eastAsia="ja-JP"/>
        </w:rPr>
        <w:t>do</w:t>
      </w:r>
      <w:r w:rsidRPr="00E745DB">
        <w:rPr>
          <w:color w:val="000000"/>
          <w:sz w:val="22"/>
          <w:szCs w:val="20"/>
          <w:lang w:val="hr-HR" w:eastAsia="ja-JP"/>
        </w:rPr>
        <w:t xml:space="preserve"> 100 mg dva</w:t>
      </w:r>
      <w:r>
        <w:rPr>
          <w:color w:val="000000"/>
          <w:sz w:val="22"/>
          <w:szCs w:val="20"/>
          <w:lang w:val="hr-HR" w:eastAsia="ja-JP"/>
        </w:rPr>
        <w:t xml:space="preserve"> </w:t>
      </w:r>
      <w:r w:rsidRPr="00E745DB">
        <w:rPr>
          <w:color w:val="000000"/>
          <w:sz w:val="22"/>
          <w:szCs w:val="20"/>
          <w:lang w:val="hr-HR" w:eastAsia="ja-JP"/>
        </w:rPr>
        <w:t>put</w:t>
      </w:r>
      <w:r>
        <w:rPr>
          <w:color w:val="000000"/>
          <w:sz w:val="22"/>
          <w:szCs w:val="20"/>
          <w:lang w:val="hr-HR" w:eastAsia="ja-JP"/>
        </w:rPr>
        <w:t>a</w:t>
      </w:r>
      <w:r w:rsidRPr="00E745DB">
        <w:rPr>
          <w:color w:val="000000"/>
          <w:sz w:val="22"/>
          <w:szCs w:val="20"/>
          <w:lang w:val="hr-HR" w:eastAsia="ja-JP"/>
        </w:rPr>
        <w:t xml:space="preserve"> na dan, zatim na ciljnu dozu od 200 mg dva</w:t>
      </w:r>
      <w:r>
        <w:rPr>
          <w:color w:val="000000"/>
          <w:sz w:val="22"/>
          <w:szCs w:val="20"/>
          <w:lang w:val="hr-HR" w:eastAsia="ja-JP"/>
        </w:rPr>
        <w:t xml:space="preserve"> </w:t>
      </w:r>
      <w:r w:rsidRPr="00E745DB">
        <w:rPr>
          <w:color w:val="000000"/>
          <w:sz w:val="22"/>
          <w:szCs w:val="20"/>
          <w:lang w:val="hr-HR" w:eastAsia="ja-JP"/>
        </w:rPr>
        <w:t>put</w:t>
      </w:r>
      <w:r>
        <w:rPr>
          <w:color w:val="000000"/>
          <w:sz w:val="22"/>
          <w:szCs w:val="20"/>
          <w:lang w:val="hr-HR" w:eastAsia="ja-JP"/>
        </w:rPr>
        <w:t>a</w:t>
      </w:r>
      <w:r w:rsidRPr="00E745DB">
        <w:rPr>
          <w:color w:val="000000"/>
          <w:sz w:val="22"/>
          <w:szCs w:val="20"/>
          <w:lang w:val="hr-HR" w:eastAsia="ja-JP"/>
        </w:rPr>
        <w:t xml:space="preserve"> na dan, s</w:t>
      </w:r>
      <w:r>
        <w:rPr>
          <w:color w:val="000000"/>
          <w:sz w:val="22"/>
          <w:szCs w:val="20"/>
          <w:lang w:val="hr-HR" w:eastAsia="ja-JP"/>
        </w:rPr>
        <w:t>a</w:t>
      </w:r>
      <w:r w:rsidRPr="00E745DB">
        <w:rPr>
          <w:color w:val="000000"/>
          <w:sz w:val="22"/>
          <w:szCs w:val="20"/>
          <w:lang w:val="hr-HR" w:eastAsia="ja-JP"/>
        </w:rPr>
        <w:t xml:space="preserve"> režimom doziranja od 3 </w:t>
      </w:r>
      <w:r>
        <w:rPr>
          <w:color w:val="000000"/>
          <w:sz w:val="22"/>
          <w:szCs w:val="20"/>
          <w:lang w:val="hr-HR" w:eastAsia="ja-JP"/>
        </w:rPr>
        <w:t>nedjelje</w:t>
      </w:r>
      <w:r w:rsidRPr="00E745DB">
        <w:rPr>
          <w:color w:val="000000"/>
          <w:sz w:val="22"/>
          <w:szCs w:val="20"/>
          <w:lang w:val="hr-HR" w:eastAsia="ja-JP"/>
        </w:rPr>
        <w:t xml:space="preserve"> ili od 6 </w:t>
      </w:r>
      <w:r>
        <w:rPr>
          <w:color w:val="000000"/>
          <w:sz w:val="22"/>
          <w:szCs w:val="20"/>
          <w:lang w:val="hr-HR" w:eastAsia="ja-JP"/>
        </w:rPr>
        <w:t>nedjelja</w:t>
      </w:r>
      <w:r w:rsidRPr="00E745DB">
        <w:rPr>
          <w:color w:val="000000"/>
          <w:sz w:val="22"/>
          <w:szCs w:val="20"/>
          <w:lang w:val="hr-HR" w:eastAsia="ja-JP"/>
        </w:rPr>
        <w:t>.</w:t>
      </w:r>
    </w:p>
    <w:p w14:paraId="5218142E" w14:textId="77777777" w:rsidR="00B96A91" w:rsidRPr="00E745DB" w:rsidRDefault="00B96A91" w:rsidP="001B64BC">
      <w:pPr>
        <w:widowControl w:val="0"/>
        <w:jc w:val="both"/>
        <w:rPr>
          <w:color w:val="000000"/>
          <w:sz w:val="22"/>
          <w:szCs w:val="20"/>
          <w:lang w:val="hr-HR" w:eastAsia="ja-JP"/>
        </w:rPr>
      </w:pPr>
    </w:p>
    <w:p w14:paraId="5E3D6E09" w14:textId="77777777" w:rsidR="00D050E8" w:rsidRDefault="00B96A91" w:rsidP="001B64BC">
      <w:pPr>
        <w:widowControl w:val="0"/>
        <w:jc w:val="both"/>
        <w:rPr>
          <w:color w:val="000000"/>
          <w:sz w:val="22"/>
          <w:szCs w:val="20"/>
          <w:lang w:val="hr-HR" w:eastAsia="ja-JP"/>
        </w:rPr>
      </w:pPr>
      <w:r w:rsidRPr="00E745DB">
        <w:rPr>
          <w:color w:val="000000"/>
          <w:sz w:val="22"/>
          <w:szCs w:val="20"/>
          <w:lang w:val="hr-HR" w:eastAsia="ja-JP"/>
        </w:rPr>
        <w:lastRenderedPageBreak/>
        <w:t xml:space="preserve">Više </w:t>
      </w:r>
      <w:r>
        <w:rPr>
          <w:color w:val="000000"/>
          <w:sz w:val="22"/>
          <w:szCs w:val="20"/>
          <w:lang w:val="hr-HR" w:eastAsia="ja-JP"/>
        </w:rPr>
        <w:t>pacijenata</w:t>
      </w:r>
      <w:r w:rsidRPr="00E745DB">
        <w:rPr>
          <w:color w:val="000000"/>
          <w:sz w:val="22"/>
          <w:szCs w:val="20"/>
          <w:lang w:val="hr-HR" w:eastAsia="ja-JP"/>
        </w:rPr>
        <w:t xml:space="preserve"> koji nikada pr</w:t>
      </w:r>
      <w:r>
        <w:rPr>
          <w:color w:val="000000"/>
          <w:sz w:val="22"/>
          <w:szCs w:val="20"/>
          <w:lang w:val="hr-HR" w:eastAsia="ja-JP"/>
        </w:rPr>
        <w:t>ij</w:t>
      </w:r>
      <w:r w:rsidRPr="00E745DB">
        <w:rPr>
          <w:color w:val="000000"/>
          <w:sz w:val="22"/>
          <w:szCs w:val="20"/>
          <w:lang w:val="hr-HR" w:eastAsia="ja-JP"/>
        </w:rPr>
        <w:t>e nisu primali terapiju ACE inhibitorom ili ARB</w:t>
      </w:r>
      <w:r w:rsidRPr="00E745DB">
        <w:rPr>
          <w:color w:val="000000"/>
          <w:sz w:val="22"/>
          <w:szCs w:val="20"/>
          <w:lang w:val="hr-HR" w:eastAsia="ja-JP"/>
        </w:rPr>
        <w:noBreakHyphen/>
        <w:t xml:space="preserve">om ili koji su bili na terapiji niskom dozom (ekvivalentno &lt;10 mg enalaprila/dan) moglo </w:t>
      </w:r>
      <w:r>
        <w:rPr>
          <w:color w:val="000000"/>
          <w:sz w:val="22"/>
          <w:szCs w:val="20"/>
          <w:lang w:val="hr-HR" w:eastAsia="ja-JP"/>
        </w:rPr>
        <w:t xml:space="preserve">je da postigne i održi dozu od </w:t>
      </w:r>
    </w:p>
    <w:p w14:paraId="00CB07F3" w14:textId="2A9982D8" w:rsidR="00B96A91" w:rsidRPr="00E745DB" w:rsidRDefault="00B96A91" w:rsidP="001B64BC">
      <w:pPr>
        <w:widowControl w:val="0"/>
        <w:jc w:val="both"/>
        <w:rPr>
          <w:color w:val="000000"/>
          <w:sz w:val="22"/>
          <w:szCs w:val="20"/>
          <w:lang w:val="hr-HR" w:eastAsia="ja-JP"/>
        </w:rPr>
      </w:pPr>
      <w:r>
        <w:rPr>
          <w:color w:val="000000"/>
          <w:sz w:val="22"/>
          <w:szCs w:val="20"/>
          <w:lang w:val="hr-HR" w:eastAsia="ja-JP"/>
        </w:rPr>
        <w:t xml:space="preserve">200 mg </w:t>
      </w:r>
      <w:r>
        <w:rPr>
          <w:bCs/>
          <w:sz w:val="22"/>
          <w:lang w:val="hr-HR"/>
        </w:rPr>
        <w:t>valsartan/sakubitril</w:t>
      </w:r>
      <w:r>
        <w:rPr>
          <w:color w:val="000000"/>
          <w:sz w:val="22"/>
          <w:szCs w:val="20"/>
          <w:lang w:val="hr-HR" w:eastAsia="ja-JP"/>
        </w:rPr>
        <w:t xml:space="preserve"> </w:t>
      </w:r>
      <w:r w:rsidRPr="00E745DB">
        <w:rPr>
          <w:color w:val="000000"/>
          <w:sz w:val="22"/>
          <w:szCs w:val="20"/>
          <w:lang w:val="hr-HR" w:eastAsia="ja-JP"/>
        </w:rPr>
        <w:t xml:space="preserve">kada se doza titrirala prema većoj </w:t>
      </w:r>
      <w:r>
        <w:rPr>
          <w:color w:val="000000"/>
          <w:sz w:val="22"/>
          <w:szCs w:val="20"/>
          <w:lang w:val="hr-HR" w:eastAsia="ja-JP"/>
        </w:rPr>
        <w:t xml:space="preserve">dozi </w:t>
      </w:r>
      <w:r w:rsidRPr="00E745DB">
        <w:rPr>
          <w:color w:val="000000"/>
          <w:sz w:val="22"/>
          <w:szCs w:val="20"/>
          <w:lang w:val="hr-HR" w:eastAsia="ja-JP"/>
        </w:rPr>
        <w:t>t</w:t>
      </w:r>
      <w:r>
        <w:rPr>
          <w:color w:val="000000"/>
          <w:sz w:val="22"/>
          <w:szCs w:val="20"/>
          <w:lang w:val="hr-HR" w:eastAsia="ja-JP"/>
        </w:rPr>
        <w:t xml:space="preserve">okom </w:t>
      </w:r>
      <w:r w:rsidRPr="00E745DB">
        <w:rPr>
          <w:color w:val="000000"/>
          <w:sz w:val="22"/>
          <w:szCs w:val="20"/>
          <w:lang w:val="hr-HR" w:eastAsia="ja-JP"/>
        </w:rPr>
        <w:t>6 </w:t>
      </w:r>
      <w:r>
        <w:rPr>
          <w:color w:val="000000"/>
          <w:sz w:val="22"/>
          <w:szCs w:val="20"/>
          <w:lang w:val="hr-HR" w:eastAsia="ja-JP"/>
        </w:rPr>
        <w:t>nedjelja</w:t>
      </w:r>
      <w:r w:rsidRPr="00E745DB">
        <w:rPr>
          <w:color w:val="000000"/>
          <w:sz w:val="22"/>
          <w:szCs w:val="20"/>
          <w:lang w:val="hr-HR" w:eastAsia="ja-JP"/>
        </w:rPr>
        <w:t xml:space="preserve"> (84,8%) </w:t>
      </w:r>
      <w:r>
        <w:rPr>
          <w:color w:val="000000"/>
          <w:sz w:val="22"/>
          <w:szCs w:val="20"/>
          <w:lang w:val="hr-HR" w:eastAsia="ja-JP"/>
        </w:rPr>
        <w:t>nasuprot</w:t>
      </w:r>
      <w:r w:rsidRPr="00E745DB">
        <w:rPr>
          <w:color w:val="000000"/>
          <w:sz w:val="22"/>
          <w:szCs w:val="20"/>
          <w:lang w:val="hr-HR" w:eastAsia="ja-JP"/>
        </w:rPr>
        <w:t xml:space="preserve"> 3 </w:t>
      </w:r>
      <w:r>
        <w:rPr>
          <w:color w:val="000000"/>
          <w:sz w:val="22"/>
          <w:szCs w:val="20"/>
          <w:lang w:val="hr-HR" w:eastAsia="ja-JP"/>
        </w:rPr>
        <w:t>nedjelje</w:t>
      </w:r>
      <w:r w:rsidRPr="00E745DB">
        <w:rPr>
          <w:color w:val="000000"/>
          <w:sz w:val="22"/>
          <w:szCs w:val="20"/>
          <w:lang w:val="hr-HR" w:eastAsia="ja-JP"/>
        </w:rPr>
        <w:t xml:space="preserve"> (73,6%). Ukupno je 76% </w:t>
      </w:r>
      <w:r>
        <w:rPr>
          <w:color w:val="000000"/>
          <w:sz w:val="22"/>
          <w:szCs w:val="20"/>
          <w:lang w:val="hr-HR" w:eastAsia="ja-JP"/>
        </w:rPr>
        <w:t>pacijenata</w:t>
      </w:r>
      <w:r w:rsidRPr="00E745DB">
        <w:rPr>
          <w:color w:val="000000"/>
          <w:sz w:val="22"/>
          <w:szCs w:val="20"/>
          <w:lang w:val="hr-HR" w:eastAsia="ja-JP"/>
        </w:rPr>
        <w:t xml:space="preserve"> postiglo i održalo ciljnu dozu </w:t>
      </w:r>
      <w:r>
        <w:rPr>
          <w:bCs/>
          <w:sz w:val="22"/>
          <w:lang w:val="hr-HR"/>
        </w:rPr>
        <w:t>valsartan/sakubitril</w:t>
      </w:r>
      <w:r w:rsidRPr="00E745DB">
        <w:rPr>
          <w:color w:val="000000"/>
          <w:sz w:val="22"/>
          <w:szCs w:val="20"/>
          <w:lang w:val="hr-HR" w:eastAsia="ja-JP"/>
        </w:rPr>
        <w:t xml:space="preserve"> 200 mg dvaput na dan bez </w:t>
      </w:r>
      <w:r>
        <w:rPr>
          <w:color w:val="000000"/>
          <w:sz w:val="22"/>
          <w:szCs w:val="20"/>
          <w:lang w:val="hr-HR" w:eastAsia="ja-JP"/>
        </w:rPr>
        <w:t>bilo kakvog</w:t>
      </w:r>
      <w:r w:rsidRPr="00E745DB">
        <w:rPr>
          <w:color w:val="000000"/>
          <w:sz w:val="22"/>
          <w:szCs w:val="20"/>
          <w:lang w:val="hr-HR" w:eastAsia="ja-JP"/>
        </w:rPr>
        <w:t xml:space="preserve"> prekida u doziranju ili </w:t>
      </w:r>
      <w:r w:rsidRPr="00E745DB">
        <w:rPr>
          <w:bCs/>
          <w:sz w:val="22"/>
          <w:lang w:val="hr-HR"/>
        </w:rPr>
        <w:t>post</w:t>
      </w:r>
      <w:r>
        <w:rPr>
          <w:bCs/>
          <w:sz w:val="22"/>
          <w:lang w:val="hr-HR"/>
        </w:rPr>
        <w:t>epeno</w:t>
      </w:r>
      <w:r w:rsidRPr="00E745DB">
        <w:rPr>
          <w:bCs/>
          <w:sz w:val="22"/>
          <w:lang w:val="hr-HR"/>
        </w:rPr>
        <w:t xml:space="preserve"> sniženje doze </w:t>
      </w:r>
      <w:r w:rsidRPr="00E745DB">
        <w:rPr>
          <w:color w:val="000000"/>
          <w:sz w:val="22"/>
          <w:szCs w:val="20"/>
          <w:lang w:val="hr-HR" w:eastAsia="ja-JP"/>
        </w:rPr>
        <w:t>t</w:t>
      </w:r>
      <w:r>
        <w:rPr>
          <w:color w:val="000000"/>
          <w:sz w:val="22"/>
          <w:szCs w:val="20"/>
          <w:lang w:val="hr-HR" w:eastAsia="ja-JP"/>
        </w:rPr>
        <w:t>okom</w:t>
      </w:r>
      <w:r w:rsidRPr="00E745DB">
        <w:rPr>
          <w:color w:val="000000"/>
          <w:sz w:val="22"/>
          <w:szCs w:val="20"/>
          <w:lang w:val="hr-HR" w:eastAsia="ja-JP"/>
        </w:rPr>
        <w:t xml:space="preserve"> 12 </w:t>
      </w:r>
      <w:r>
        <w:rPr>
          <w:color w:val="000000"/>
          <w:sz w:val="22"/>
          <w:szCs w:val="20"/>
          <w:lang w:val="hr-HR" w:eastAsia="ja-JP"/>
        </w:rPr>
        <w:t>nedjelja</w:t>
      </w:r>
      <w:r w:rsidRPr="00E745DB">
        <w:rPr>
          <w:color w:val="000000"/>
          <w:sz w:val="22"/>
          <w:szCs w:val="20"/>
          <w:lang w:val="hr-HR" w:eastAsia="ja-JP"/>
        </w:rPr>
        <w:t>.</w:t>
      </w:r>
    </w:p>
    <w:p w14:paraId="07FCA396" w14:textId="77777777" w:rsidR="00B96A91" w:rsidRPr="00E745DB" w:rsidRDefault="00B96A91" w:rsidP="001B64BC">
      <w:pPr>
        <w:widowControl w:val="0"/>
        <w:rPr>
          <w:color w:val="000000"/>
          <w:sz w:val="22"/>
          <w:szCs w:val="20"/>
          <w:lang w:val="hr-HR" w:eastAsia="ja-JP"/>
        </w:rPr>
      </w:pPr>
    </w:p>
    <w:p w14:paraId="021C6EB7" w14:textId="77777777" w:rsidR="00B96A91" w:rsidRPr="00E745DB" w:rsidRDefault="00B96A91" w:rsidP="001B64BC">
      <w:pPr>
        <w:keepNext/>
        <w:widowControl w:val="0"/>
        <w:jc w:val="both"/>
        <w:rPr>
          <w:bCs/>
          <w:iCs/>
          <w:sz w:val="22"/>
          <w:szCs w:val="22"/>
          <w:lang w:val="hr-HR"/>
        </w:rPr>
      </w:pPr>
      <w:r w:rsidRPr="00E745DB">
        <w:rPr>
          <w:bCs/>
          <w:iCs/>
          <w:sz w:val="22"/>
          <w:szCs w:val="22"/>
          <w:u w:val="single"/>
          <w:lang w:val="hr-HR"/>
        </w:rPr>
        <w:t>Pedijatrijska populacija</w:t>
      </w:r>
    </w:p>
    <w:p w14:paraId="17D00A75" w14:textId="0322A837" w:rsidR="00B96A91" w:rsidRDefault="00B96A91" w:rsidP="001B64BC">
      <w:pPr>
        <w:keepNext/>
        <w:widowControl w:val="0"/>
        <w:jc w:val="both"/>
        <w:outlineLvl w:val="0"/>
        <w:rPr>
          <w:sz w:val="22"/>
          <w:szCs w:val="22"/>
          <w:lang w:val="hr-HR"/>
        </w:rPr>
      </w:pPr>
    </w:p>
    <w:p w14:paraId="11D4FB43" w14:textId="77777777" w:rsidR="00B67A57" w:rsidRPr="00AB63CB" w:rsidRDefault="00B67A57" w:rsidP="001B64BC">
      <w:pPr>
        <w:keepNext/>
        <w:keepLines/>
        <w:jc w:val="both"/>
        <w:rPr>
          <w:i/>
          <w:sz w:val="22"/>
          <w:szCs w:val="20"/>
          <w:u w:val="single"/>
          <w:lang w:val="hr-HR"/>
        </w:rPr>
      </w:pPr>
      <w:r w:rsidRPr="00AB63CB">
        <w:rPr>
          <w:i/>
          <w:sz w:val="22"/>
          <w:szCs w:val="20"/>
          <w:u w:val="single"/>
          <w:lang w:val="hr-HR"/>
        </w:rPr>
        <w:t>PANORAMA-HF</w:t>
      </w:r>
    </w:p>
    <w:p w14:paraId="32B7EE51" w14:textId="7FC91B63" w:rsidR="00B67A57" w:rsidRPr="00AB63CB" w:rsidRDefault="00B67A57" w:rsidP="001B64BC">
      <w:pPr>
        <w:jc w:val="both"/>
        <w:rPr>
          <w:color w:val="000000" w:themeColor="text1"/>
          <w:sz w:val="22"/>
          <w:szCs w:val="22"/>
          <w:lang w:val="hr-HR" w:eastAsia="ja-JP"/>
        </w:rPr>
      </w:pPr>
      <w:r w:rsidRPr="00AB63CB">
        <w:rPr>
          <w:color w:val="000000" w:themeColor="text1"/>
          <w:sz w:val="22"/>
          <w:szCs w:val="22"/>
          <w:lang w:val="hr-HR" w:eastAsia="ja-JP"/>
        </w:rPr>
        <w:t>PANORAMA-HF, studija faze 3, bila je multinacionalna, randomizovana, dvostruko sl</w:t>
      </w:r>
      <w:r w:rsidR="002637F8">
        <w:rPr>
          <w:color w:val="000000" w:themeColor="text1"/>
          <w:sz w:val="22"/>
          <w:szCs w:val="22"/>
          <w:lang w:val="hr-HR" w:eastAsia="ja-JP"/>
        </w:rPr>
        <w:t>ij</w:t>
      </w:r>
      <w:r w:rsidRPr="00AB63CB">
        <w:rPr>
          <w:color w:val="000000" w:themeColor="text1"/>
          <w:sz w:val="22"/>
          <w:szCs w:val="22"/>
          <w:lang w:val="hr-HR" w:eastAsia="ja-JP"/>
        </w:rPr>
        <w:t>epa studija u kojoj su se upoređivali valsartan/sakubitril</w:t>
      </w:r>
      <w:r w:rsidRPr="00AB63CB">
        <w:rPr>
          <w:sz w:val="22"/>
          <w:szCs w:val="22"/>
          <w:lang w:val="hr-HR"/>
        </w:rPr>
        <w:t xml:space="preserve"> i</w:t>
      </w:r>
      <w:r w:rsidRPr="00AB63CB">
        <w:rPr>
          <w:color w:val="000000" w:themeColor="text1"/>
          <w:sz w:val="22"/>
          <w:szCs w:val="22"/>
          <w:lang w:val="hr-HR" w:eastAsia="ja-JP"/>
        </w:rPr>
        <w:t xml:space="preserve"> enalapril kod 375 pedijatrijskih pacijenata uzrasta od 1 m</w:t>
      </w:r>
      <w:r w:rsidR="002637F8">
        <w:rPr>
          <w:color w:val="000000" w:themeColor="text1"/>
          <w:sz w:val="22"/>
          <w:szCs w:val="22"/>
          <w:lang w:val="hr-HR" w:eastAsia="ja-JP"/>
        </w:rPr>
        <w:t>j</w:t>
      </w:r>
      <w:r w:rsidRPr="00AB63CB">
        <w:rPr>
          <w:color w:val="000000" w:themeColor="text1"/>
          <w:sz w:val="22"/>
          <w:szCs w:val="22"/>
          <w:lang w:val="hr-HR" w:eastAsia="ja-JP"/>
        </w:rPr>
        <w:t>eseca do &lt;18 godina sa insuficijencijom srca zbog sistemske sistolne disfunkcije l</w:t>
      </w:r>
      <w:r w:rsidR="002637F8">
        <w:rPr>
          <w:color w:val="000000" w:themeColor="text1"/>
          <w:sz w:val="22"/>
          <w:szCs w:val="22"/>
          <w:lang w:val="hr-HR" w:eastAsia="ja-JP"/>
        </w:rPr>
        <w:t>ij</w:t>
      </w:r>
      <w:r w:rsidRPr="00AB63CB">
        <w:rPr>
          <w:color w:val="000000" w:themeColor="text1"/>
          <w:sz w:val="22"/>
          <w:szCs w:val="22"/>
          <w:lang w:val="hr-HR" w:eastAsia="ja-JP"/>
        </w:rPr>
        <w:t xml:space="preserve">eve komore (LVEF ≤45% ili frakcionalno skraćenje ≤22,5%). Primarni cilj bio je da se utvrdi da li je </w:t>
      </w:r>
      <w:r w:rsidRPr="00AB63CB">
        <w:rPr>
          <w:sz w:val="22"/>
          <w:szCs w:val="22"/>
          <w:lang w:val="hr-HR"/>
        </w:rPr>
        <w:t xml:space="preserve">valsartan/sakubitril superioran u odnosu na </w:t>
      </w:r>
      <w:r w:rsidRPr="00AB63CB">
        <w:rPr>
          <w:color w:val="000000" w:themeColor="text1"/>
          <w:sz w:val="22"/>
          <w:szCs w:val="22"/>
          <w:lang w:val="hr-HR" w:eastAsia="ja-JP"/>
        </w:rPr>
        <w:t>enalapril kod pedijatrijskih pacijenata s HF-om za vr</w:t>
      </w:r>
      <w:r w:rsidR="002637F8">
        <w:rPr>
          <w:color w:val="000000" w:themeColor="text1"/>
          <w:sz w:val="22"/>
          <w:szCs w:val="22"/>
          <w:lang w:val="hr-HR" w:eastAsia="ja-JP"/>
        </w:rPr>
        <w:t>ij</w:t>
      </w:r>
      <w:r w:rsidRPr="00AB63CB">
        <w:rPr>
          <w:color w:val="000000" w:themeColor="text1"/>
          <w:sz w:val="22"/>
          <w:szCs w:val="22"/>
          <w:lang w:val="hr-HR" w:eastAsia="ja-JP"/>
        </w:rPr>
        <w:t>eme trajanja l</w:t>
      </w:r>
      <w:r w:rsidR="002637F8">
        <w:rPr>
          <w:color w:val="000000" w:themeColor="text1"/>
          <w:sz w:val="22"/>
          <w:szCs w:val="22"/>
          <w:lang w:val="hr-HR" w:eastAsia="ja-JP"/>
        </w:rPr>
        <w:t>ij</w:t>
      </w:r>
      <w:r w:rsidRPr="00AB63CB">
        <w:rPr>
          <w:color w:val="000000" w:themeColor="text1"/>
          <w:sz w:val="22"/>
          <w:szCs w:val="22"/>
          <w:lang w:val="hr-HR" w:eastAsia="ja-JP"/>
        </w:rPr>
        <w:t>ečenja od 52 ned</w:t>
      </w:r>
      <w:r w:rsidR="002637F8">
        <w:rPr>
          <w:color w:val="000000" w:themeColor="text1"/>
          <w:sz w:val="22"/>
          <w:szCs w:val="22"/>
          <w:lang w:val="hr-HR" w:eastAsia="ja-JP"/>
        </w:rPr>
        <w:t>j</w:t>
      </w:r>
      <w:r w:rsidRPr="00AB63CB">
        <w:rPr>
          <w:color w:val="000000" w:themeColor="text1"/>
          <w:sz w:val="22"/>
          <w:szCs w:val="22"/>
          <w:lang w:val="hr-HR" w:eastAsia="ja-JP"/>
        </w:rPr>
        <w:t>elje na osnovu m</w:t>
      </w:r>
      <w:r w:rsidR="002637F8">
        <w:rPr>
          <w:color w:val="000000" w:themeColor="text1"/>
          <w:sz w:val="22"/>
          <w:szCs w:val="22"/>
          <w:lang w:val="hr-HR" w:eastAsia="ja-JP"/>
        </w:rPr>
        <w:t>j</w:t>
      </w:r>
      <w:r w:rsidRPr="00AB63CB">
        <w:rPr>
          <w:color w:val="000000" w:themeColor="text1"/>
          <w:sz w:val="22"/>
          <w:szCs w:val="22"/>
          <w:lang w:val="hr-HR" w:eastAsia="ja-JP"/>
        </w:rPr>
        <w:t>ere ishoda u vidu globalnog ranga. Primarna m</w:t>
      </w:r>
      <w:r w:rsidR="002637F8">
        <w:rPr>
          <w:color w:val="000000" w:themeColor="text1"/>
          <w:sz w:val="22"/>
          <w:szCs w:val="22"/>
          <w:lang w:val="hr-HR" w:eastAsia="ja-JP"/>
        </w:rPr>
        <w:t>j</w:t>
      </w:r>
      <w:r w:rsidRPr="00AB63CB">
        <w:rPr>
          <w:color w:val="000000" w:themeColor="text1"/>
          <w:sz w:val="22"/>
          <w:szCs w:val="22"/>
          <w:lang w:val="hr-HR" w:eastAsia="ja-JP"/>
        </w:rPr>
        <w:t>era ishoda u vidu globalnog ranga izvedena je rangiranjem pacijenata (od najgoreg do najboljeg ishoda) na osnovu kliničkih događaja kao što su smrt, uvođenje mehaničkog održavanja života, uvrštavanje na listu za hitnu transplantaciju srca, pogoršanje HF-a, m</w:t>
      </w:r>
      <w:r w:rsidR="002637F8">
        <w:rPr>
          <w:color w:val="000000" w:themeColor="text1"/>
          <w:sz w:val="22"/>
          <w:szCs w:val="22"/>
          <w:lang w:val="hr-HR" w:eastAsia="ja-JP"/>
        </w:rPr>
        <w:t>j</w:t>
      </w:r>
      <w:r w:rsidRPr="00AB63CB">
        <w:rPr>
          <w:color w:val="000000" w:themeColor="text1"/>
          <w:sz w:val="22"/>
          <w:szCs w:val="22"/>
          <w:lang w:val="hr-HR" w:eastAsia="ja-JP"/>
        </w:rPr>
        <w:t>ere funkcionalnog kapaciteta (rezultati za N</w:t>
      </w:r>
      <w:r w:rsidRPr="00AB63CB">
        <w:rPr>
          <w:sz w:val="22"/>
          <w:szCs w:val="22"/>
          <w:lang w:val="hr-HR"/>
        </w:rPr>
        <w:t xml:space="preserve">YHA/ROSS) i simptomi HF-a prema prijavama pacijenata (Skala opšteg utiska pacijenta [PGIS, od engl. </w:t>
      </w:r>
      <w:r w:rsidRPr="00AB63CB">
        <w:rPr>
          <w:i/>
          <w:sz w:val="22"/>
          <w:szCs w:val="22"/>
          <w:lang w:val="hr-HR"/>
        </w:rPr>
        <w:t>Patient Global Impression Scale</w:t>
      </w:r>
      <w:r w:rsidRPr="00AB63CB">
        <w:rPr>
          <w:sz w:val="22"/>
          <w:szCs w:val="22"/>
          <w:lang w:val="hr-HR"/>
        </w:rPr>
        <w:t>]). Pacijenti sa sistemskom desnom komorom ili jednom komorom i pacijenti s restriktivnom ili hipertrofičnom kardiomiopatijom bili su isključeni iz ispitivanja</w:t>
      </w:r>
      <w:r w:rsidRPr="00AB63CB">
        <w:rPr>
          <w:color w:val="000000" w:themeColor="text1"/>
          <w:sz w:val="22"/>
          <w:szCs w:val="22"/>
          <w:lang w:val="hr-HR" w:eastAsia="ja-JP"/>
        </w:rPr>
        <w:t>. Ciljna doza održavanja valsartan/sakubitril</w:t>
      </w:r>
      <w:r w:rsidRPr="00AB63CB">
        <w:rPr>
          <w:sz w:val="22"/>
          <w:szCs w:val="22"/>
          <w:lang w:val="hr-HR"/>
        </w:rPr>
        <w:t>a bila je</w:t>
      </w:r>
      <w:r w:rsidRPr="00AB63CB">
        <w:rPr>
          <w:color w:val="000000" w:themeColor="text1"/>
          <w:sz w:val="22"/>
          <w:szCs w:val="22"/>
          <w:lang w:val="hr-HR" w:eastAsia="ja-JP"/>
        </w:rPr>
        <w:t xml:space="preserve"> 2,3 mg/kg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 kod pedijatrijskih pacijenata uzrasta od 1 m</w:t>
      </w:r>
      <w:r w:rsidR="002637F8">
        <w:rPr>
          <w:color w:val="000000" w:themeColor="text1"/>
          <w:sz w:val="22"/>
          <w:szCs w:val="22"/>
          <w:lang w:val="hr-HR" w:eastAsia="ja-JP"/>
        </w:rPr>
        <w:t>j</w:t>
      </w:r>
      <w:r w:rsidRPr="00AB63CB">
        <w:rPr>
          <w:color w:val="000000" w:themeColor="text1"/>
          <w:sz w:val="22"/>
          <w:szCs w:val="22"/>
          <w:lang w:val="hr-HR" w:eastAsia="ja-JP"/>
        </w:rPr>
        <w:t xml:space="preserve">eseca do </w:t>
      </w:r>
      <w:bookmarkStart w:id="2" w:name="_Hlk90855041"/>
      <w:r w:rsidRPr="00AB63CB">
        <w:rPr>
          <w:color w:val="000000" w:themeColor="text1"/>
          <w:sz w:val="22"/>
          <w:szCs w:val="22"/>
          <w:lang w:val="hr-HR" w:eastAsia="ja-JP"/>
        </w:rPr>
        <w:t xml:space="preserve">&lt;1 godine, odnosno </w:t>
      </w:r>
      <w:bookmarkStart w:id="3" w:name="_Hlk90855062"/>
      <w:bookmarkEnd w:id="2"/>
      <w:r w:rsidRPr="00AB63CB">
        <w:rPr>
          <w:color w:val="000000" w:themeColor="text1"/>
          <w:sz w:val="22"/>
          <w:szCs w:val="22"/>
          <w:lang w:val="hr-HR" w:eastAsia="ja-JP"/>
        </w:rPr>
        <w:t>3,1 mg/kg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 kod pacijenata uzrasta od 1 do</w:t>
      </w:r>
      <w:bookmarkEnd w:id="3"/>
      <w:r w:rsidRPr="00AB63CB">
        <w:rPr>
          <w:color w:val="000000" w:themeColor="text1"/>
          <w:sz w:val="22"/>
          <w:szCs w:val="22"/>
          <w:lang w:val="hr-HR" w:eastAsia="ja-JP"/>
        </w:rPr>
        <w:t xml:space="preserve"> &lt;18 godina uz najveću dozu od 200 mg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 Ciljna doza održavanja enalaprila bila je 0,15 mg/kg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 kod pedijatrijskih pacijenata uzrasta od 1 m</w:t>
      </w:r>
      <w:r w:rsidR="002637F8">
        <w:rPr>
          <w:color w:val="000000" w:themeColor="text1"/>
          <w:sz w:val="22"/>
          <w:szCs w:val="22"/>
          <w:lang w:val="hr-HR" w:eastAsia="ja-JP"/>
        </w:rPr>
        <w:t>j</w:t>
      </w:r>
      <w:r w:rsidRPr="00AB63CB">
        <w:rPr>
          <w:color w:val="000000" w:themeColor="text1"/>
          <w:sz w:val="22"/>
          <w:szCs w:val="22"/>
          <w:lang w:val="hr-HR" w:eastAsia="ja-JP"/>
        </w:rPr>
        <w:t>eseca do &lt;1 godine odnosno 0,2 mg/kg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 kod pacijenata uzrasta od 1 do &lt;18 godina uz najveću dozu od 10 mg dva</w:t>
      </w:r>
      <w:r w:rsidR="00DC0965">
        <w:rPr>
          <w:color w:val="000000" w:themeColor="text1"/>
          <w:sz w:val="22"/>
          <w:szCs w:val="22"/>
          <w:lang w:val="hr-HR" w:eastAsia="ja-JP"/>
        </w:rPr>
        <w:t xml:space="preserve"> </w:t>
      </w:r>
      <w:r w:rsidRPr="00AB63CB">
        <w:rPr>
          <w:color w:val="000000" w:themeColor="text1"/>
          <w:sz w:val="22"/>
          <w:szCs w:val="22"/>
          <w:lang w:val="hr-HR" w:eastAsia="ja-JP"/>
        </w:rPr>
        <w:t>put</w:t>
      </w:r>
      <w:r w:rsidR="00DC0965">
        <w:rPr>
          <w:color w:val="000000" w:themeColor="text1"/>
          <w:sz w:val="22"/>
          <w:szCs w:val="22"/>
          <w:lang w:val="hr-HR" w:eastAsia="ja-JP"/>
        </w:rPr>
        <w:t>a</w:t>
      </w:r>
      <w:r w:rsidRPr="00AB63CB">
        <w:rPr>
          <w:color w:val="000000" w:themeColor="text1"/>
          <w:sz w:val="22"/>
          <w:szCs w:val="22"/>
          <w:lang w:val="hr-HR" w:eastAsia="ja-JP"/>
        </w:rPr>
        <w:t xml:space="preserve"> na dan.</w:t>
      </w:r>
    </w:p>
    <w:p w14:paraId="553E5D03" w14:textId="77777777" w:rsidR="00B67A57" w:rsidRPr="00AB63CB" w:rsidRDefault="00B67A57" w:rsidP="001B64BC">
      <w:pPr>
        <w:jc w:val="both"/>
        <w:rPr>
          <w:color w:val="000000"/>
          <w:sz w:val="22"/>
          <w:szCs w:val="22"/>
          <w:lang w:val="hr-HR" w:eastAsia="ja-JP"/>
        </w:rPr>
      </w:pPr>
    </w:p>
    <w:p w14:paraId="54830FC9" w14:textId="578D114C" w:rsidR="00B67A57" w:rsidRPr="00AB63CB" w:rsidRDefault="00B67A57" w:rsidP="001B64BC">
      <w:pPr>
        <w:jc w:val="both"/>
        <w:rPr>
          <w:color w:val="000000"/>
          <w:sz w:val="22"/>
          <w:szCs w:val="22"/>
          <w:lang w:val="hr-HR" w:eastAsia="ja-JP"/>
        </w:rPr>
      </w:pPr>
      <w:bookmarkStart w:id="4" w:name="_Hlk90855096"/>
      <w:r w:rsidRPr="00AB63CB">
        <w:rPr>
          <w:color w:val="000000" w:themeColor="text1"/>
          <w:sz w:val="22"/>
          <w:szCs w:val="22"/>
          <w:lang w:val="hr-HR" w:eastAsia="ja-JP"/>
        </w:rPr>
        <w:t>U ispitivanju je 9 pacijenata bilo uzrasta od 1 m</w:t>
      </w:r>
      <w:r w:rsidR="009F418C">
        <w:rPr>
          <w:color w:val="000000" w:themeColor="text1"/>
          <w:sz w:val="22"/>
          <w:szCs w:val="22"/>
          <w:lang w:val="hr-HR" w:eastAsia="ja-JP"/>
        </w:rPr>
        <w:t>j</w:t>
      </w:r>
      <w:r w:rsidRPr="00AB63CB">
        <w:rPr>
          <w:color w:val="000000" w:themeColor="text1"/>
          <w:sz w:val="22"/>
          <w:szCs w:val="22"/>
          <w:lang w:val="hr-HR" w:eastAsia="ja-JP"/>
        </w:rPr>
        <w:t xml:space="preserve">eseca do &lt;1 godine, 61 pacijent je bio uzrasta od 1 godine do &lt;2 godine, 85 pacijenata je bilo uzrasta od 2 do &lt;6 godina, a 220 pacijenata je bilo uzrasta od 6 do &lt;18 godina. Na početku je </w:t>
      </w:r>
      <w:r w:rsidRPr="00AB63CB">
        <w:rPr>
          <w:sz w:val="22"/>
          <w:szCs w:val="22"/>
          <w:lang w:val="hr-HR"/>
        </w:rPr>
        <w:t>15,7% pacijenata bilo NYHA/ROSS klase I, 69,3% bilo je klase II, 14,4% bilo je klase III, a 0,5% bilo je klase IV. Srednja vr</w:t>
      </w:r>
      <w:r w:rsidR="009F418C">
        <w:rPr>
          <w:sz w:val="22"/>
          <w:szCs w:val="22"/>
          <w:lang w:val="hr-HR"/>
        </w:rPr>
        <w:t>ij</w:t>
      </w:r>
      <w:r w:rsidRPr="00AB63CB">
        <w:rPr>
          <w:sz w:val="22"/>
          <w:szCs w:val="22"/>
          <w:lang w:val="hr-HR"/>
        </w:rPr>
        <w:t xml:space="preserve">ednost </w:t>
      </w:r>
      <w:r w:rsidRPr="00AB63CB">
        <w:rPr>
          <w:color w:val="000000" w:themeColor="text1"/>
          <w:sz w:val="22"/>
          <w:szCs w:val="22"/>
          <w:lang w:val="hr-HR" w:eastAsia="ja-JP"/>
        </w:rPr>
        <w:t>LVEF-a bila je 32%. Najčešći osnovni uzroci insuficijencije srca bili su povezani s kardiomiopatijom (63,5%). Pr</w:t>
      </w:r>
      <w:r w:rsidR="009F418C">
        <w:rPr>
          <w:color w:val="000000" w:themeColor="text1"/>
          <w:sz w:val="22"/>
          <w:szCs w:val="22"/>
          <w:lang w:val="hr-HR" w:eastAsia="ja-JP"/>
        </w:rPr>
        <w:t>ij</w:t>
      </w:r>
      <w:r w:rsidRPr="00AB63CB">
        <w:rPr>
          <w:color w:val="000000" w:themeColor="text1"/>
          <w:sz w:val="22"/>
          <w:szCs w:val="22"/>
          <w:lang w:val="hr-HR" w:eastAsia="ja-JP"/>
        </w:rPr>
        <w:t>e učestvovanja u ispitivanju pacijenti su se najčešće l</w:t>
      </w:r>
      <w:r w:rsidR="009F418C">
        <w:rPr>
          <w:color w:val="000000" w:themeColor="text1"/>
          <w:sz w:val="22"/>
          <w:szCs w:val="22"/>
          <w:lang w:val="hr-HR" w:eastAsia="ja-JP"/>
        </w:rPr>
        <w:t>ij</w:t>
      </w:r>
      <w:r w:rsidRPr="00AB63CB">
        <w:rPr>
          <w:color w:val="000000" w:themeColor="text1"/>
          <w:sz w:val="22"/>
          <w:szCs w:val="22"/>
          <w:lang w:val="hr-HR" w:eastAsia="ja-JP"/>
        </w:rPr>
        <w:t>ečili ACE inhibitorima/ARB-ovima (93%), beta-blokatorima (70%), antagonistima aldosterona (70%) i diureticima (84%).</w:t>
      </w:r>
    </w:p>
    <w:bookmarkEnd w:id="4"/>
    <w:p w14:paraId="430167BD" w14:textId="77777777" w:rsidR="00B67A57" w:rsidRPr="00AB63CB" w:rsidRDefault="00B67A57" w:rsidP="001B64BC">
      <w:pPr>
        <w:jc w:val="both"/>
        <w:rPr>
          <w:color w:val="000000" w:themeColor="text1"/>
          <w:sz w:val="22"/>
          <w:szCs w:val="22"/>
          <w:lang w:val="hr-HR" w:eastAsia="ja-JP"/>
        </w:rPr>
      </w:pPr>
    </w:p>
    <w:p w14:paraId="27F58FB5" w14:textId="798D1AAA" w:rsidR="00B67A57" w:rsidRPr="00AB63CB" w:rsidRDefault="00B67A57" w:rsidP="001B64BC">
      <w:pPr>
        <w:tabs>
          <w:tab w:val="left" w:pos="6228"/>
        </w:tabs>
        <w:jc w:val="both"/>
        <w:rPr>
          <w:color w:val="000000" w:themeColor="text1"/>
          <w:sz w:val="22"/>
          <w:szCs w:val="22"/>
          <w:lang w:val="hr-HR" w:eastAsia="ja-JP"/>
        </w:rPr>
      </w:pPr>
      <w:r w:rsidRPr="00AB63CB">
        <w:rPr>
          <w:color w:val="000000" w:themeColor="text1"/>
          <w:sz w:val="22"/>
          <w:szCs w:val="22"/>
          <w:lang w:val="hr-HR" w:eastAsia="ja-JP"/>
        </w:rPr>
        <w:t xml:space="preserve">Izgledi prema </w:t>
      </w:r>
      <w:r w:rsidRPr="00AB63CB">
        <w:rPr>
          <w:i/>
          <w:iCs/>
          <w:sz w:val="22"/>
          <w:szCs w:val="22"/>
          <w:lang w:val="hr-HR"/>
        </w:rPr>
        <w:t>Mann-Whitney</w:t>
      </w:r>
      <w:r w:rsidRPr="00AB63CB">
        <w:rPr>
          <w:sz w:val="22"/>
          <w:szCs w:val="22"/>
          <w:lang w:val="hr-HR"/>
        </w:rPr>
        <w:t>-u za primarnu m</w:t>
      </w:r>
      <w:r w:rsidR="009F418C">
        <w:rPr>
          <w:sz w:val="22"/>
          <w:szCs w:val="22"/>
          <w:lang w:val="hr-HR"/>
        </w:rPr>
        <w:t>j</w:t>
      </w:r>
      <w:r w:rsidRPr="00AB63CB">
        <w:rPr>
          <w:sz w:val="22"/>
          <w:szCs w:val="22"/>
          <w:lang w:val="hr-HR"/>
        </w:rPr>
        <w:t xml:space="preserve">eru ishoda u vidu globalnog ranga bio je </w:t>
      </w:r>
      <w:r w:rsidRPr="00AB63CB">
        <w:rPr>
          <w:color w:val="000000" w:themeColor="text1"/>
          <w:sz w:val="22"/>
          <w:szCs w:val="22"/>
          <w:lang w:val="hr-HR" w:eastAsia="ja-JP"/>
        </w:rPr>
        <w:t>0,907 (95% CI 0,72; 1,14), numerički u korist valsartan/sakubitrila (vidjeti Tab</w:t>
      </w:r>
      <w:r w:rsidR="00DC0965">
        <w:rPr>
          <w:color w:val="000000" w:themeColor="text1"/>
          <w:sz w:val="22"/>
          <w:szCs w:val="22"/>
          <w:lang w:val="hr-HR" w:eastAsia="ja-JP"/>
        </w:rPr>
        <w:t>elu</w:t>
      </w:r>
      <w:r w:rsidRPr="00AB63CB">
        <w:rPr>
          <w:color w:val="000000" w:themeColor="text1"/>
          <w:sz w:val="22"/>
          <w:szCs w:val="22"/>
          <w:lang w:val="hr-HR" w:eastAsia="ja-JP"/>
        </w:rPr>
        <w:t xml:space="preserve"> 4). </w:t>
      </w:r>
      <w:r w:rsidRPr="00AB63CB">
        <w:rPr>
          <w:sz w:val="22"/>
          <w:szCs w:val="22"/>
          <w:lang w:val="hr-HR"/>
        </w:rPr>
        <w:t>Valsartan/sakubitril i</w:t>
      </w:r>
      <w:r w:rsidRPr="00AB63CB">
        <w:rPr>
          <w:color w:val="000000" w:themeColor="text1"/>
          <w:sz w:val="22"/>
          <w:szCs w:val="22"/>
          <w:lang w:val="hr-HR" w:eastAsia="ja-JP"/>
        </w:rPr>
        <w:t xml:space="preserve"> enalapril pokazali su uporediva klinički relevantna poboljšanja sekundarnih m</w:t>
      </w:r>
      <w:r w:rsidR="009F418C">
        <w:rPr>
          <w:color w:val="000000" w:themeColor="text1"/>
          <w:sz w:val="22"/>
          <w:szCs w:val="22"/>
          <w:lang w:val="hr-HR" w:eastAsia="ja-JP"/>
        </w:rPr>
        <w:t>j</w:t>
      </w:r>
      <w:r w:rsidRPr="00AB63CB">
        <w:rPr>
          <w:color w:val="000000" w:themeColor="text1"/>
          <w:sz w:val="22"/>
          <w:szCs w:val="22"/>
          <w:lang w:val="hr-HR" w:eastAsia="ja-JP"/>
        </w:rPr>
        <w:t>era ishoda u vidu prom</w:t>
      </w:r>
      <w:r w:rsidR="009F418C">
        <w:rPr>
          <w:color w:val="000000" w:themeColor="text1"/>
          <w:sz w:val="22"/>
          <w:szCs w:val="22"/>
          <w:lang w:val="hr-HR" w:eastAsia="ja-JP"/>
        </w:rPr>
        <w:t>j</w:t>
      </w:r>
      <w:r w:rsidRPr="00AB63CB">
        <w:rPr>
          <w:color w:val="000000" w:themeColor="text1"/>
          <w:sz w:val="22"/>
          <w:szCs w:val="22"/>
          <w:lang w:val="hr-HR" w:eastAsia="ja-JP"/>
        </w:rPr>
        <w:t>ene NYHA/ROSS klase i rezultata za PGIS u odnosu na početne. U 52. ned</w:t>
      </w:r>
      <w:r w:rsidR="009F418C">
        <w:rPr>
          <w:color w:val="000000" w:themeColor="text1"/>
          <w:sz w:val="22"/>
          <w:szCs w:val="22"/>
          <w:lang w:val="hr-HR" w:eastAsia="ja-JP"/>
        </w:rPr>
        <w:t>j</w:t>
      </w:r>
      <w:r w:rsidRPr="00AB63CB">
        <w:rPr>
          <w:color w:val="000000" w:themeColor="text1"/>
          <w:sz w:val="22"/>
          <w:szCs w:val="22"/>
          <w:lang w:val="hr-HR" w:eastAsia="ja-JP"/>
        </w:rPr>
        <w:t>elji su prom</w:t>
      </w:r>
      <w:r w:rsidR="009F418C">
        <w:rPr>
          <w:color w:val="000000" w:themeColor="text1"/>
          <w:sz w:val="22"/>
          <w:szCs w:val="22"/>
          <w:lang w:val="hr-HR" w:eastAsia="ja-JP"/>
        </w:rPr>
        <w:t>j</w:t>
      </w:r>
      <w:r w:rsidRPr="00AB63CB">
        <w:rPr>
          <w:color w:val="000000" w:themeColor="text1"/>
          <w:sz w:val="22"/>
          <w:szCs w:val="22"/>
          <w:lang w:val="hr-HR" w:eastAsia="ja-JP"/>
        </w:rPr>
        <w:t>ene NYHA/ROSS funkcionalne klase u odnosu na početnu bile sl</w:t>
      </w:r>
      <w:r w:rsidR="009F418C">
        <w:rPr>
          <w:color w:val="000000" w:themeColor="text1"/>
          <w:sz w:val="22"/>
          <w:szCs w:val="22"/>
          <w:lang w:val="hr-HR" w:eastAsia="ja-JP"/>
        </w:rPr>
        <w:t>j</w:t>
      </w:r>
      <w:r w:rsidRPr="00AB63CB">
        <w:rPr>
          <w:color w:val="000000" w:themeColor="text1"/>
          <w:sz w:val="22"/>
          <w:szCs w:val="22"/>
          <w:lang w:val="hr-HR" w:eastAsia="ja-JP"/>
        </w:rPr>
        <w:t>edeće: poboljšana kod 37,7% odnosno 34,0%; neprom</w:t>
      </w:r>
      <w:r w:rsidR="009F418C">
        <w:rPr>
          <w:color w:val="000000" w:themeColor="text1"/>
          <w:sz w:val="22"/>
          <w:szCs w:val="22"/>
          <w:lang w:val="hr-HR" w:eastAsia="ja-JP"/>
        </w:rPr>
        <w:t>ij</w:t>
      </w:r>
      <w:r w:rsidRPr="00AB63CB">
        <w:rPr>
          <w:color w:val="000000" w:themeColor="text1"/>
          <w:sz w:val="22"/>
          <w:szCs w:val="22"/>
          <w:lang w:val="hr-HR" w:eastAsia="ja-JP"/>
        </w:rPr>
        <w:t>enjena kod 50,6% odnosno 56,6%; pogoršana kod 11,7% odnosno 9,4% pacijenata za valsartan/sakubitril</w:t>
      </w:r>
      <w:r w:rsidRPr="00AB63CB">
        <w:rPr>
          <w:sz w:val="22"/>
          <w:szCs w:val="22"/>
          <w:lang w:val="hr-HR"/>
        </w:rPr>
        <w:t xml:space="preserve"> odnosno</w:t>
      </w:r>
      <w:r w:rsidRPr="00AB63CB">
        <w:rPr>
          <w:color w:val="000000" w:themeColor="text1"/>
          <w:sz w:val="22"/>
          <w:szCs w:val="22"/>
          <w:lang w:val="hr-HR" w:eastAsia="ja-JP"/>
        </w:rPr>
        <w:t xml:space="preserve"> enalapril. Slično tome, prom</w:t>
      </w:r>
      <w:r w:rsidR="009F418C">
        <w:rPr>
          <w:color w:val="000000" w:themeColor="text1"/>
          <w:sz w:val="22"/>
          <w:szCs w:val="22"/>
          <w:lang w:val="hr-HR" w:eastAsia="ja-JP"/>
        </w:rPr>
        <w:t>j</w:t>
      </w:r>
      <w:r w:rsidRPr="00AB63CB">
        <w:rPr>
          <w:color w:val="000000" w:themeColor="text1"/>
          <w:sz w:val="22"/>
          <w:szCs w:val="22"/>
          <w:lang w:val="hr-HR" w:eastAsia="ja-JP"/>
        </w:rPr>
        <w:t>ene rezultata za PGIS u odnosu na početni bile su: poboljšani kod 35,5% odnosno 34,8%; neprom</w:t>
      </w:r>
      <w:r w:rsidR="009F418C">
        <w:rPr>
          <w:color w:val="000000" w:themeColor="text1"/>
          <w:sz w:val="22"/>
          <w:szCs w:val="22"/>
          <w:lang w:val="hr-HR" w:eastAsia="ja-JP"/>
        </w:rPr>
        <w:t>ij</w:t>
      </w:r>
      <w:r w:rsidRPr="00AB63CB">
        <w:rPr>
          <w:color w:val="000000" w:themeColor="text1"/>
          <w:sz w:val="22"/>
          <w:szCs w:val="22"/>
          <w:lang w:val="hr-HR" w:eastAsia="ja-JP"/>
        </w:rPr>
        <w:t>enjeni kod 48,0% odnosno 47,5%; pogoršani kod 16,5% odnosno 17,7% pacijenata za valsartan/sakubitril</w:t>
      </w:r>
      <w:r w:rsidRPr="00AB63CB">
        <w:rPr>
          <w:sz w:val="22"/>
          <w:szCs w:val="22"/>
          <w:lang w:val="hr-HR"/>
        </w:rPr>
        <w:t xml:space="preserve"> odnosno</w:t>
      </w:r>
      <w:r w:rsidRPr="00AB63CB">
        <w:rPr>
          <w:color w:val="000000" w:themeColor="text1"/>
          <w:sz w:val="22"/>
          <w:szCs w:val="22"/>
          <w:lang w:val="hr-HR" w:eastAsia="ja-JP"/>
        </w:rPr>
        <w:t xml:space="preserve"> enalapril. </w:t>
      </w:r>
      <w:r w:rsidRPr="00AB63CB">
        <w:rPr>
          <w:color w:val="000000"/>
          <w:sz w:val="22"/>
          <w:szCs w:val="22"/>
          <w:lang w:val="hr-HR" w:eastAsia="ja-JP"/>
        </w:rPr>
        <w:t>NT</w:t>
      </w:r>
      <w:r w:rsidRPr="00AB63CB">
        <w:rPr>
          <w:color w:val="000000"/>
          <w:sz w:val="22"/>
          <w:szCs w:val="22"/>
          <w:lang w:val="hr-HR" w:eastAsia="ja-JP"/>
        </w:rPr>
        <w:noBreakHyphen/>
        <w:t>proBNP je bio znatno smanjen u odnosu na početni u obe terapijske grupe. Razm</w:t>
      </w:r>
      <w:r w:rsidR="00DC0965">
        <w:rPr>
          <w:color w:val="000000"/>
          <w:sz w:val="22"/>
          <w:szCs w:val="22"/>
          <w:lang w:val="hr-HR" w:eastAsia="ja-JP"/>
        </w:rPr>
        <w:t>j</w:t>
      </w:r>
      <w:r w:rsidRPr="00AB63CB">
        <w:rPr>
          <w:color w:val="000000"/>
          <w:sz w:val="22"/>
          <w:szCs w:val="22"/>
          <w:lang w:val="hr-HR" w:eastAsia="ja-JP"/>
        </w:rPr>
        <w:t>era smanjenja NT-proBNP-a sa l</w:t>
      </w:r>
      <w:r w:rsidR="009F418C">
        <w:rPr>
          <w:color w:val="000000"/>
          <w:sz w:val="22"/>
          <w:szCs w:val="22"/>
          <w:lang w:val="hr-HR" w:eastAsia="ja-JP"/>
        </w:rPr>
        <w:t>ij</w:t>
      </w:r>
      <w:r w:rsidRPr="00AB63CB">
        <w:rPr>
          <w:color w:val="000000"/>
          <w:sz w:val="22"/>
          <w:szCs w:val="22"/>
          <w:lang w:val="hr-HR" w:eastAsia="ja-JP"/>
        </w:rPr>
        <w:t>ekom Entresto bila je slična razm</w:t>
      </w:r>
      <w:r w:rsidR="009F418C">
        <w:rPr>
          <w:color w:val="000000"/>
          <w:sz w:val="22"/>
          <w:szCs w:val="22"/>
          <w:lang w:val="hr-HR" w:eastAsia="ja-JP"/>
        </w:rPr>
        <w:t>j</w:t>
      </w:r>
      <w:r w:rsidRPr="00AB63CB">
        <w:rPr>
          <w:color w:val="000000"/>
          <w:sz w:val="22"/>
          <w:szCs w:val="22"/>
          <w:lang w:val="hr-HR" w:eastAsia="ja-JP"/>
        </w:rPr>
        <w:t>eri zapaženoj kod odraslih pacijenata sa insuficijencijom srca u studiji PARADIGM-HF. Budući da je valsartan/sakubitril poboljšao ishode i smanjio NT-proBNP u studiji PARADIGM-HF, smanjeni NT-proBNP uz simptomatska i funkcionalna poboljšanja u odnosu na početak zapažena u studiji PANORAMA-HF smatrala su se razumnom osnovom za donošenje zaključka o kliničkim koristima kod pedijatrijskih pacijenata sa insuficijencijom srca. Bilo je premalo pacijenata mlađih od 1 godine da bi se mogla oc</w:t>
      </w:r>
      <w:r w:rsidR="009F418C">
        <w:rPr>
          <w:color w:val="000000"/>
          <w:sz w:val="22"/>
          <w:szCs w:val="22"/>
          <w:lang w:val="hr-HR" w:eastAsia="ja-JP"/>
        </w:rPr>
        <w:t>ij</w:t>
      </w:r>
      <w:r w:rsidRPr="00AB63CB">
        <w:rPr>
          <w:color w:val="000000"/>
          <w:sz w:val="22"/>
          <w:szCs w:val="22"/>
          <w:lang w:val="hr-HR" w:eastAsia="ja-JP"/>
        </w:rPr>
        <w:t>eniti efikasnost valsartan/sakubitril</w:t>
      </w:r>
      <w:r w:rsidRPr="00AB63CB">
        <w:rPr>
          <w:color w:val="000000" w:themeColor="text1"/>
          <w:sz w:val="22"/>
          <w:szCs w:val="22"/>
          <w:lang w:val="hr-HR" w:eastAsia="ja-JP"/>
        </w:rPr>
        <w:t>a u toj uzrasnoj grupi.</w:t>
      </w:r>
    </w:p>
    <w:p w14:paraId="1832BC51" w14:textId="358E70C5" w:rsidR="00B67A57" w:rsidRPr="00AB63CB" w:rsidRDefault="00B67A57" w:rsidP="001B64BC">
      <w:pPr>
        <w:tabs>
          <w:tab w:val="left" w:pos="6228"/>
        </w:tabs>
        <w:rPr>
          <w:color w:val="000000" w:themeColor="text1"/>
          <w:sz w:val="22"/>
          <w:szCs w:val="22"/>
          <w:lang w:val="hr-HR" w:eastAsia="ja-JP"/>
        </w:rPr>
      </w:pPr>
    </w:p>
    <w:p w14:paraId="5A651608" w14:textId="664E7C31" w:rsidR="00B67A57" w:rsidRPr="00AB63CB" w:rsidRDefault="00B67A57" w:rsidP="001B64BC">
      <w:pPr>
        <w:keepNext/>
        <w:rPr>
          <w:b/>
          <w:sz w:val="22"/>
          <w:szCs w:val="22"/>
          <w:lang w:val="hr-HR" w:eastAsia="ja-JP"/>
        </w:rPr>
      </w:pPr>
      <w:r w:rsidRPr="00AB63CB">
        <w:rPr>
          <w:b/>
          <w:sz w:val="22"/>
          <w:szCs w:val="22"/>
          <w:lang w:val="hr-HR" w:eastAsia="ja-JP"/>
        </w:rPr>
        <w:lastRenderedPageBreak/>
        <w:t>Tabela 4</w:t>
      </w:r>
      <w:r>
        <w:rPr>
          <w:b/>
          <w:sz w:val="22"/>
          <w:szCs w:val="22"/>
          <w:lang w:val="hr-HR" w:eastAsia="ja-JP"/>
        </w:rPr>
        <w:t>.</w:t>
      </w:r>
      <w:r w:rsidRPr="00AB63CB">
        <w:rPr>
          <w:b/>
          <w:sz w:val="22"/>
          <w:szCs w:val="22"/>
          <w:lang w:val="hr-HR" w:eastAsia="ja-JP"/>
        </w:rPr>
        <w:tab/>
        <w:t>Efekat l</w:t>
      </w:r>
      <w:r w:rsidR="009F418C">
        <w:rPr>
          <w:b/>
          <w:sz w:val="22"/>
          <w:szCs w:val="22"/>
          <w:lang w:val="hr-HR" w:eastAsia="ja-JP"/>
        </w:rPr>
        <w:t>ij</w:t>
      </w:r>
      <w:r w:rsidRPr="00AB63CB">
        <w:rPr>
          <w:b/>
          <w:sz w:val="22"/>
          <w:szCs w:val="22"/>
          <w:lang w:val="hr-HR" w:eastAsia="ja-JP"/>
        </w:rPr>
        <w:t>ečenja na primarnu m</w:t>
      </w:r>
      <w:r w:rsidR="009F418C">
        <w:rPr>
          <w:b/>
          <w:sz w:val="22"/>
          <w:szCs w:val="22"/>
          <w:lang w:val="hr-HR" w:eastAsia="ja-JP"/>
        </w:rPr>
        <w:t>j</w:t>
      </w:r>
      <w:r w:rsidRPr="00AB63CB">
        <w:rPr>
          <w:b/>
          <w:sz w:val="22"/>
          <w:szCs w:val="22"/>
          <w:lang w:val="hr-HR" w:eastAsia="ja-JP"/>
        </w:rPr>
        <w:t>eru ishoda u vidu globalnog ranga u ispitivanju PANORAMA-HF</w:t>
      </w:r>
    </w:p>
    <w:p w14:paraId="730B2664" w14:textId="77777777" w:rsidR="00B67A57" w:rsidRPr="00AB63CB" w:rsidRDefault="00B67A57" w:rsidP="001B64BC">
      <w:pPr>
        <w:keepNext/>
        <w:rPr>
          <w:bCs/>
          <w:sz w:val="22"/>
          <w:szCs w:val="22"/>
          <w:lang w:val="hr-HR" w:eastAsia="ja-JP"/>
        </w:rPr>
      </w:pPr>
    </w:p>
    <w:tbl>
      <w:tblPr>
        <w:tblW w:w="0" w:type="auto"/>
        <w:tblCellMar>
          <w:left w:w="0" w:type="dxa"/>
          <w:right w:w="0" w:type="dxa"/>
        </w:tblCellMar>
        <w:tblLook w:val="04A0" w:firstRow="1" w:lastRow="0" w:firstColumn="1" w:lastColumn="0" w:noHBand="0" w:noVBand="1"/>
      </w:tblPr>
      <w:tblGrid>
        <w:gridCol w:w="3186"/>
        <w:gridCol w:w="2263"/>
        <w:gridCol w:w="1401"/>
        <w:gridCol w:w="2213"/>
      </w:tblGrid>
      <w:tr w:rsidR="00B67A57" w:rsidRPr="00B67A57" w14:paraId="22A7839C" w14:textId="77777777" w:rsidTr="00560D16">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CCC357" w14:textId="77777777" w:rsidR="00B67A57" w:rsidRPr="00AB63CB" w:rsidRDefault="00B67A57" w:rsidP="001B64BC">
            <w:pPr>
              <w:keepNext/>
              <w:rPr>
                <w:b/>
                <w:bCs/>
                <w:sz w:val="22"/>
                <w:szCs w:val="20"/>
                <w:lang w:val="hr-HR"/>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36EA193" w14:textId="77777777" w:rsidR="00B67A57" w:rsidRPr="00AB63CB" w:rsidRDefault="00B67A57" w:rsidP="001B64BC">
            <w:pPr>
              <w:keepNext/>
              <w:rPr>
                <w:b/>
                <w:bCs/>
                <w:sz w:val="22"/>
                <w:szCs w:val="20"/>
                <w:lang w:val="hr-HR"/>
              </w:rPr>
            </w:pPr>
            <w:r w:rsidRPr="00AB63CB">
              <w:rPr>
                <w:b/>
                <w:bCs/>
                <w:sz w:val="22"/>
                <w:szCs w:val="22"/>
                <w:lang w:val="hr-HR"/>
              </w:rPr>
              <w:t>Valsartan/sakubitril</w:t>
            </w:r>
          </w:p>
          <w:p w14:paraId="46392406" w14:textId="77777777" w:rsidR="00B67A57" w:rsidRPr="00AB63CB" w:rsidRDefault="00B67A57" w:rsidP="001B64BC">
            <w:pPr>
              <w:keepNext/>
              <w:rPr>
                <w:b/>
                <w:bCs/>
                <w:sz w:val="22"/>
                <w:szCs w:val="20"/>
                <w:lang w:val="hr-HR"/>
              </w:rPr>
            </w:pPr>
            <w:r w:rsidRPr="00AB63CB">
              <w:rPr>
                <w:b/>
                <w:bCs/>
                <w:sz w:val="22"/>
                <w:szCs w:val="20"/>
                <w:lang w:val="hr-HR"/>
              </w:rPr>
              <w:t>N=187</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27C6AF" w14:textId="77777777" w:rsidR="00B67A57" w:rsidRPr="00AB63CB" w:rsidRDefault="00B67A57" w:rsidP="001B64BC">
            <w:pPr>
              <w:keepNext/>
              <w:rPr>
                <w:b/>
                <w:bCs/>
                <w:sz w:val="22"/>
                <w:szCs w:val="20"/>
                <w:lang w:val="hr-HR"/>
              </w:rPr>
            </w:pPr>
            <w:r w:rsidRPr="00AB63CB">
              <w:rPr>
                <w:b/>
                <w:bCs/>
                <w:sz w:val="22"/>
                <w:szCs w:val="20"/>
                <w:lang w:val="hr-HR"/>
              </w:rPr>
              <w:t>Enalapril</w:t>
            </w:r>
          </w:p>
          <w:p w14:paraId="25FDEC83" w14:textId="77777777" w:rsidR="00B67A57" w:rsidRPr="00AB63CB" w:rsidRDefault="00B67A57" w:rsidP="001B64BC">
            <w:pPr>
              <w:keepNext/>
              <w:rPr>
                <w:b/>
                <w:bCs/>
                <w:sz w:val="22"/>
                <w:szCs w:val="20"/>
                <w:lang w:val="hr-HR"/>
              </w:rPr>
            </w:pPr>
            <w:r w:rsidRPr="00AB63CB">
              <w:rPr>
                <w:b/>
                <w:bCs/>
                <w:sz w:val="22"/>
                <w:szCs w:val="20"/>
                <w:lang w:val="hr-HR"/>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671544" w14:textId="350F9D51" w:rsidR="00B67A57" w:rsidRPr="00AB63CB" w:rsidRDefault="00B67A57" w:rsidP="001B64BC">
            <w:pPr>
              <w:keepNext/>
              <w:rPr>
                <w:b/>
                <w:bCs/>
                <w:sz w:val="22"/>
                <w:szCs w:val="20"/>
                <w:lang w:val="hr-HR"/>
              </w:rPr>
            </w:pPr>
            <w:r w:rsidRPr="00AB63CB">
              <w:rPr>
                <w:b/>
                <w:bCs/>
                <w:sz w:val="22"/>
                <w:szCs w:val="20"/>
                <w:lang w:val="hr-HR"/>
              </w:rPr>
              <w:t>Efekat l</w:t>
            </w:r>
            <w:r w:rsidR="009F418C">
              <w:rPr>
                <w:b/>
                <w:bCs/>
                <w:sz w:val="22"/>
                <w:szCs w:val="20"/>
                <w:lang w:val="hr-HR"/>
              </w:rPr>
              <w:t>ij</w:t>
            </w:r>
            <w:r w:rsidRPr="00AB63CB">
              <w:rPr>
                <w:b/>
                <w:bCs/>
                <w:sz w:val="22"/>
                <w:szCs w:val="20"/>
                <w:lang w:val="hr-HR"/>
              </w:rPr>
              <w:t>ečenja</w:t>
            </w:r>
          </w:p>
        </w:tc>
      </w:tr>
      <w:tr w:rsidR="00B67A57" w:rsidRPr="00B67A57" w14:paraId="58DD1062" w14:textId="77777777" w:rsidTr="00560D16">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0F70AA1A" w14:textId="351E2391" w:rsidR="00B67A57" w:rsidRPr="00AB63CB" w:rsidRDefault="00B67A57" w:rsidP="001B64BC">
            <w:pPr>
              <w:keepNext/>
              <w:rPr>
                <w:b/>
                <w:sz w:val="22"/>
                <w:szCs w:val="20"/>
                <w:lang w:val="hr-HR"/>
              </w:rPr>
            </w:pPr>
            <w:r w:rsidRPr="00AB63CB">
              <w:rPr>
                <w:b/>
                <w:sz w:val="22"/>
                <w:szCs w:val="20"/>
                <w:lang w:val="hr-HR"/>
              </w:rPr>
              <w:t>Primarna m</w:t>
            </w:r>
            <w:r w:rsidR="009F418C">
              <w:rPr>
                <w:b/>
                <w:sz w:val="22"/>
                <w:szCs w:val="20"/>
                <w:lang w:val="hr-HR"/>
              </w:rPr>
              <w:t>j</w:t>
            </w:r>
            <w:r w:rsidRPr="00AB63CB">
              <w:rPr>
                <w:b/>
                <w:sz w:val="22"/>
                <w:szCs w:val="20"/>
                <w:lang w:val="hr-HR"/>
              </w:rPr>
              <w:t>era ishoda u vidu globalnog ranga</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03A6449" w14:textId="62043860" w:rsidR="00B67A57" w:rsidRPr="00AB63CB" w:rsidRDefault="00B67A57" w:rsidP="001B64BC">
            <w:pPr>
              <w:keepNext/>
              <w:rPr>
                <w:sz w:val="22"/>
                <w:szCs w:val="20"/>
                <w:lang w:val="hr-HR"/>
              </w:rPr>
            </w:pPr>
            <w:r w:rsidRPr="00AB63CB">
              <w:rPr>
                <w:sz w:val="22"/>
                <w:szCs w:val="20"/>
                <w:lang w:val="hr-HR"/>
              </w:rPr>
              <w:t>V</w:t>
            </w:r>
            <w:r w:rsidR="009F418C">
              <w:rPr>
                <w:sz w:val="22"/>
                <w:szCs w:val="20"/>
                <w:lang w:val="hr-HR"/>
              </w:rPr>
              <w:t>j</w:t>
            </w:r>
            <w:r w:rsidRPr="00AB63CB">
              <w:rPr>
                <w:sz w:val="22"/>
                <w:szCs w:val="20"/>
                <w:lang w:val="hr-HR"/>
              </w:rPr>
              <w:t>erovatnoća povoljnog ishoda (%)*</w:t>
            </w:r>
          </w:p>
        </w:tc>
        <w:tc>
          <w:tcPr>
            <w:tcW w:w="12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B26313E" w14:textId="76742493" w:rsidR="00B67A57" w:rsidRPr="00AB63CB" w:rsidRDefault="00B67A57" w:rsidP="001B64BC">
            <w:pPr>
              <w:keepNext/>
              <w:rPr>
                <w:sz w:val="22"/>
                <w:szCs w:val="20"/>
                <w:lang w:val="hr-HR"/>
              </w:rPr>
            </w:pPr>
            <w:r w:rsidRPr="00AB63CB">
              <w:rPr>
                <w:sz w:val="22"/>
                <w:szCs w:val="20"/>
                <w:lang w:val="hr-HR"/>
              </w:rPr>
              <w:t>V</w:t>
            </w:r>
            <w:r w:rsidR="009F418C">
              <w:rPr>
                <w:sz w:val="22"/>
                <w:szCs w:val="20"/>
                <w:lang w:val="hr-HR"/>
              </w:rPr>
              <w:t>j</w:t>
            </w:r>
            <w:r w:rsidRPr="00AB63CB">
              <w:rPr>
                <w:sz w:val="22"/>
                <w:szCs w:val="20"/>
                <w:lang w:val="hr-HR"/>
              </w:rPr>
              <w:t>erovatnoća povoljnog ishoda (%)*</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33BE094" w14:textId="77777777" w:rsidR="00B67A57" w:rsidRPr="00AB63CB" w:rsidRDefault="00B67A57" w:rsidP="001B64BC">
            <w:pPr>
              <w:keepNext/>
              <w:rPr>
                <w:sz w:val="22"/>
                <w:szCs w:val="20"/>
                <w:lang w:val="hr-HR"/>
              </w:rPr>
            </w:pPr>
            <w:r w:rsidRPr="00AB63CB">
              <w:rPr>
                <w:sz w:val="22"/>
                <w:szCs w:val="20"/>
                <w:lang w:val="hr-HR"/>
              </w:rPr>
              <w:t>Izgledi**</w:t>
            </w:r>
          </w:p>
          <w:p w14:paraId="3B236B6D" w14:textId="77777777" w:rsidR="00B67A57" w:rsidRPr="00AB63CB" w:rsidRDefault="00B67A57" w:rsidP="001B64BC">
            <w:pPr>
              <w:keepNext/>
              <w:rPr>
                <w:sz w:val="22"/>
                <w:szCs w:val="20"/>
                <w:lang w:val="hr-HR"/>
              </w:rPr>
            </w:pPr>
            <w:r w:rsidRPr="00AB63CB">
              <w:rPr>
                <w:sz w:val="22"/>
                <w:szCs w:val="20"/>
                <w:lang w:val="hr-HR"/>
              </w:rPr>
              <w:t>(95% CI)</w:t>
            </w:r>
          </w:p>
        </w:tc>
      </w:tr>
      <w:tr w:rsidR="00B67A57" w:rsidRPr="00B67A57" w14:paraId="13251E01" w14:textId="77777777" w:rsidTr="00560D16">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CA6CFF" w14:textId="77777777" w:rsidR="00B67A57" w:rsidRPr="00AB63CB" w:rsidRDefault="00B67A57" w:rsidP="001B64BC">
            <w:pPr>
              <w:keepNext/>
              <w:rPr>
                <w:sz w:val="22"/>
                <w:szCs w:val="20"/>
                <w:lang w:val="hr-H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C453F7" w14:textId="77777777" w:rsidR="00B67A57" w:rsidRPr="00AB63CB" w:rsidRDefault="00B67A57" w:rsidP="001B64BC">
            <w:pPr>
              <w:keepNext/>
              <w:rPr>
                <w:sz w:val="22"/>
                <w:szCs w:val="20"/>
                <w:lang w:val="hr-HR"/>
              </w:rPr>
            </w:pPr>
            <w:r w:rsidRPr="00AB63CB">
              <w:rPr>
                <w:sz w:val="22"/>
                <w:szCs w:val="20"/>
                <w:lang w:val="hr-HR"/>
              </w:rPr>
              <w:t>52,4</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D6290F" w14:textId="77777777" w:rsidR="00B67A57" w:rsidRPr="00AB63CB" w:rsidRDefault="00B67A57" w:rsidP="001B64BC">
            <w:pPr>
              <w:keepNext/>
              <w:rPr>
                <w:sz w:val="22"/>
                <w:szCs w:val="20"/>
                <w:lang w:val="hr-HR"/>
              </w:rPr>
            </w:pPr>
            <w:r w:rsidRPr="00AB63CB">
              <w:rPr>
                <w:sz w:val="22"/>
                <w:szCs w:val="20"/>
                <w:lang w:val="hr-HR"/>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207E1" w14:textId="77777777" w:rsidR="00B67A57" w:rsidRPr="00AB63CB" w:rsidRDefault="00B67A57" w:rsidP="001B64BC">
            <w:pPr>
              <w:keepNext/>
              <w:rPr>
                <w:sz w:val="22"/>
                <w:szCs w:val="20"/>
                <w:lang w:val="hr-HR"/>
              </w:rPr>
            </w:pPr>
            <w:r w:rsidRPr="00AB63CB">
              <w:rPr>
                <w:bCs/>
                <w:sz w:val="22"/>
                <w:szCs w:val="20"/>
                <w:lang w:val="hr-HR"/>
              </w:rPr>
              <w:t>0,907 (0,72; 1,14)</w:t>
            </w:r>
          </w:p>
        </w:tc>
      </w:tr>
    </w:tbl>
    <w:p w14:paraId="11FCC8FC" w14:textId="5DB8B995" w:rsidR="00B67A57" w:rsidRPr="00AB63CB" w:rsidRDefault="00B67A57" w:rsidP="001B64BC">
      <w:pPr>
        <w:keepNext/>
        <w:rPr>
          <w:sz w:val="22"/>
          <w:szCs w:val="20"/>
          <w:lang w:val="hr-HR"/>
        </w:rPr>
      </w:pPr>
      <w:r w:rsidRPr="00AB63CB">
        <w:rPr>
          <w:sz w:val="22"/>
          <w:szCs w:val="20"/>
          <w:lang w:val="hr-HR"/>
        </w:rPr>
        <w:t>*% v</w:t>
      </w:r>
      <w:r w:rsidR="009F418C">
        <w:rPr>
          <w:sz w:val="22"/>
          <w:szCs w:val="20"/>
          <w:lang w:val="hr-HR"/>
        </w:rPr>
        <w:t>j</w:t>
      </w:r>
      <w:r w:rsidRPr="00AB63CB">
        <w:rPr>
          <w:sz w:val="22"/>
          <w:szCs w:val="20"/>
          <w:lang w:val="hr-HR"/>
        </w:rPr>
        <w:t xml:space="preserve">erovatnoće povoljnog ishoda ili </w:t>
      </w:r>
      <w:r w:rsidRPr="00AB63CB">
        <w:rPr>
          <w:i/>
          <w:iCs/>
          <w:sz w:val="22"/>
          <w:szCs w:val="20"/>
          <w:lang w:val="hr-HR"/>
        </w:rPr>
        <w:t>Mann-Whitney</w:t>
      </w:r>
      <w:r w:rsidRPr="00AB63CB">
        <w:rPr>
          <w:sz w:val="22"/>
          <w:szCs w:val="20"/>
          <w:lang w:val="hr-HR"/>
        </w:rPr>
        <w:t xml:space="preserve"> v</w:t>
      </w:r>
      <w:r w:rsidR="009F418C">
        <w:rPr>
          <w:sz w:val="22"/>
          <w:szCs w:val="20"/>
          <w:lang w:val="hr-HR"/>
        </w:rPr>
        <w:t>j</w:t>
      </w:r>
      <w:r w:rsidRPr="00AB63CB">
        <w:rPr>
          <w:sz w:val="22"/>
          <w:szCs w:val="20"/>
          <w:lang w:val="hr-HR"/>
        </w:rPr>
        <w:t>erovatnoća (MWP) za prim</w:t>
      </w:r>
      <w:r w:rsidR="009F418C">
        <w:rPr>
          <w:sz w:val="22"/>
          <w:szCs w:val="20"/>
          <w:lang w:val="hr-HR"/>
        </w:rPr>
        <w:t>ij</w:t>
      </w:r>
      <w:r w:rsidRPr="00AB63CB">
        <w:rPr>
          <w:sz w:val="22"/>
          <w:szCs w:val="20"/>
          <w:lang w:val="hr-HR"/>
        </w:rPr>
        <w:t>enjeno l</w:t>
      </w:r>
      <w:r w:rsidR="009F418C">
        <w:rPr>
          <w:sz w:val="22"/>
          <w:szCs w:val="20"/>
          <w:lang w:val="hr-HR"/>
        </w:rPr>
        <w:t>ij</w:t>
      </w:r>
      <w:r w:rsidRPr="00AB63CB">
        <w:rPr>
          <w:sz w:val="22"/>
          <w:szCs w:val="20"/>
          <w:lang w:val="hr-HR"/>
        </w:rPr>
        <w:t>ečenje proc</w:t>
      </w:r>
      <w:r w:rsidR="009F418C">
        <w:rPr>
          <w:sz w:val="22"/>
          <w:szCs w:val="20"/>
          <w:lang w:val="hr-HR"/>
        </w:rPr>
        <w:t>ij</w:t>
      </w:r>
      <w:r w:rsidRPr="00AB63CB">
        <w:rPr>
          <w:sz w:val="22"/>
          <w:szCs w:val="20"/>
          <w:lang w:val="hr-HR"/>
        </w:rPr>
        <w:t>enjeno je na osnovu procenta dobitaka poređenja parova globalnog ranga između pacijenata l</w:t>
      </w:r>
      <w:r w:rsidR="009F418C">
        <w:rPr>
          <w:sz w:val="22"/>
          <w:szCs w:val="20"/>
          <w:lang w:val="hr-HR"/>
        </w:rPr>
        <w:t>ij</w:t>
      </w:r>
      <w:r w:rsidRPr="00AB63CB">
        <w:rPr>
          <w:sz w:val="22"/>
          <w:szCs w:val="20"/>
          <w:lang w:val="hr-HR"/>
        </w:rPr>
        <w:t>ečenih valsartan/sakubitril</w:t>
      </w:r>
      <w:r w:rsidRPr="00AB63CB">
        <w:rPr>
          <w:bCs/>
          <w:sz w:val="22"/>
          <w:szCs w:val="20"/>
          <w:lang w:val="hr-HR"/>
        </w:rPr>
        <w:t>om naspram pacijenata l</w:t>
      </w:r>
      <w:r w:rsidR="009F418C">
        <w:rPr>
          <w:bCs/>
          <w:sz w:val="22"/>
          <w:szCs w:val="20"/>
          <w:lang w:val="hr-HR"/>
        </w:rPr>
        <w:t>ij</w:t>
      </w:r>
      <w:r w:rsidRPr="00AB63CB">
        <w:rPr>
          <w:bCs/>
          <w:sz w:val="22"/>
          <w:szCs w:val="20"/>
          <w:lang w:val="hr-HR"/>
        </w:rPr>
        <w:t>ečenih enalaprilom</w:t>
      </w:r>
      <w:r w:rsidRPr="00AB63CB">
        <w:rPr>
          <w:sz w:val="22"/>
          <w:szCs w:val="20"/>
          <w:lang w:val="hr-HR"/>
        </w:rPr>
        <w:t xml:space="preserve"> (svaki viši rezultat računa se kao jedan dobitak, a svaki jednaki rezultat računa se kao pola dobitka).</w:t>
      </w:r>
    </w:p>
    <w:p w14:paraId="2CA63F23" w14:textId="7AD574B3" w:rsidR="00DC0965" w:rsidRPr="00B73B68" w:rsidRDefault="00DC0965" w:rsidP="001B64BC">
      <w:pPr>
        <w:tabs>
          <w:tab w:val="left" w:pos="6228"/>
        </w:tabs>
        <w:rPr>
          <w:sz w:val="22"/>
          <w:szCs w:val="20"/>
          <w:lang w:val="hr-HR"/>
        </w:rPr>
      </w:pPr>
      <w:r w:rsidRPr="00B73B68">
        <w:rPr>
          <w:sz w:val="22"/>
          <w:szCs w:val="20"/>
          <w:lang w:val="hr-HR"/>
        </w:rPr>
        <w:t>**Odnos izgleda prema Mann-Whitney-u izračunat je kao procijenjeni MWP za enalapril podijeljen s</w:t>
      </w:r>
    </w:p>
    <w:p w14:paraId="00D0E1DC" w14:textId="77777777" w:rsidR="00DC0965" w:rsidRPr="00B73B68" w:rsidRDefault="00DC0965" w:rsidP="001B64BC">
      <w:pPr>
        <w:tabs>
          <w:tab w:val="left" w:pos="6228"/>
        </w:tabs>
        <w:rPr>
          <w:sz w:val="22"/>
          <w:szCs w:val="20"/>
          <w:lang w:val="hr-HR"/>
        </w:rPr>
      </w:pPr>
      <w:r w:rsidRPr="00B73B68">
        <w:rPr>
          <w:sz w:val="22"/>
          <w:szCs w:val="20"/>
          <w:lang w:val="hr-HR"/>
        </w:rPr>
        <w:t>procijenjenim MWP za sakubitril/valsartan, pri čemu su izgledi &lt;1 bili u korist sakubitril/valsartana, a</w:t>
      </w:r>
    </w:p>
    <w:p w14:paraId="3488F4CF" w14:textId="6875549D" w:rsidR="00B67A57" w:rsidRPr="00B73B68" w:rsidRDefault="00DC0965" w:rsidP="001B64BC">
      <w:pPr>
        <w:tabs>
          <w:tab w:val="left" w:pos="6228"/>
        </w:tabs>
        <w:rPr>
          <w:sz w:val="22"/>
          <w:szCs w:val="20"/>
          <w:lang w:val="hr-HR"/>
        </w:rPr>
      </w:pPr>
      <w:r w:rsidRPr="00B73B68">
        <w:rPr>
          <w:sz w:val="22"/>
          <w:szCs w:val="20"/>
          <w:lang w:val="hr-HR"/>
        </w:rPr>
        <w:t>&gt;1 u korist enalaprila</w:t>
      </w:r>
    </w:p>
    <w:p w14:paraId="0396371C" w14:textId="7958DD70" w:rsidR="00B96A91" w:rsidRPr="00B73B68" w:rsidRDefault="00B96A91" w:rsidP="001B64BC">
      <w:pPr>
        <w:tabs>
          <w:tab w:val="left" w:pos="540"/>
          <w:tab w:val="left" w:pos="569"/>
        </w:tabs>
        <w:rPr>
          <w:sz w:val="22"/>
          <w:szCs w:val="20"/>
          <w:lang w:val="hr-HR"/>
        </w:rPr>
      </w:pPr>
    </w:p>
    <w:p w14:paraId="2396574A" w14:textId="77777777" w:rsidR="00B96A91" w:rsidRPr="00786071" w:rsidRDefault="00B96A91" w:rsidP="001B64BC">
      <w:pPr>
        <w:tabs>
          <w:tab w:val="left" w:pos="540"/>
          <w:tab w:val="left" w:pos="569"/>
        </w:tabs>
        <w:rPr>
          <w:b/>
          <w:bCs/>
          <w:sz w:val="22"/>
          <w:szCs w:val="22"/>
        </w:rPr>
      </w:pPr>
      <w:r w:rsidRPr="00786071">
        <w:rPr>
          <w:b/>
          <w:bCs/>
          <w:sz w:val="22"/>
          <w:szCs w:val="22"/>
        </w:rPr>
        <w:t xml:space="preserve">5.2. </w:t>
      </w:r>
      <w:r w:rsidRPr="00786071">
        <w:rPr>
          <w:b/>
          <w:bCs/>
          <w:sz w:val="22"/>
          <w:szCs w:val="22"/>
        </w:rPr>
        <w:tab/>
      </w:r>
      <w:proofErr w:type="spellStart"/>
      <w:r w:rsidRPr="00786071">
        <w:rPr>
          <w:b/>
          <w:bCs/>
          <w:sz w:val="22"/>
          <w:szCs w:val="22"/>
        </w:rPr>
        <w:t>Farmakokinetički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w:t>
      </w:r>
    </w:p>
    <w:p w14:paraId="6133FDCF" w14:textId="46A376EF" w:rsidR="00B96A91" w:rsidRDefault="00B96A91" w:rsidP="001B64BC">
      <w:pPr>
        <w:tabs>
          <w:tab w:val="left" w:pos="540"/>
          <w:tab w:val="left" w:pos="569"/>
        </w:tabs>
        <w:rPr>
          <w:bCs/>
          <w:sz w:val="22"/>
          <w:szCs w:val="22"/>
        </w:rPr>
      </w:pPr>
    </w:p>
    <w:p w14:paraId="5A909860" w14:textId="77777777" w:rsidR="00B96A91" w:rsidRPr="00E745DB" w:rsidRDefault="00B96A91" w:rsidP="001B64BC">
      <w:pPr>
        <w:widowControl w:val="0"/>
        <w:autoSpaceDE w:val="0"/>
        <w:autoSpaceDN w:val="0"/>
        <w:adjustRightInd w:val="0"/>
        <w:jc w:val="both"/>
        <w:rPr>
          <w:sz w:val="22"/>
          <w:szCs w:val="20"/>
          <w:lang w:val="hr-HR"/>
        </w:rPr>
      </w:pPr>
      <w:r w:rsidRPr="00E745DB">
        <w:rPr>
          <w:bCs/>
          <w:sz w:val="22"/>
          <w:szCs w:val="20"/>
          <w:lang w:val="hr-HR"/>
        </w:rPr>
        <w:t xml:space="preserve">Valsartan </w:t>
      </w:r>
      <w:r>
        <w:rPr>
          <w:bCs/>
          <w:sz w:val="22"/>
          <w:szCs w:val="20"/>
          <w:lang w:val="hr-HR"/>
        </w:rPr>
        <w:t xml:space="preserve">koji se nalazi u </w:t>
      </w:r>
      <w:r>
        <w:rPr>
          <w:bCs/>
          <w:sz w:val="22"/>
          <w:lang w:val="hr-HR"/>
        </w:rPr>
        <w:t>valsartan/sakubitril</w:t>
      </w:r>
      <w:r w:rsidRPr="00E745DB">
        <w:rPr>
          <w:bCs/>
          <w:sz w:val="22"/>
          <w:szCs w:val="20"/>
          <w:lang w:val="hr-HR"/>
        </w:rPr>
        <w:t xml:space="preserve"> više je bioraspoloživ nego valsartan u drugim formulacijama tableta koje se nalaze na tržištu; 26 mg, 51 mg i 103 mg valsartana u</w:t>
      </w:r>
      <w:r>
        <w:rPr>
          <w:bCs/>
          <w:sz w:val="22"/>
          <w:szCs w:val="20"/>
          <w:lang w:val="hr-HR"/>
        </w:rPr>
        <w:t xml:space="preserve"> </w:t>
      </w:r>
      <w:r>
        <w:rPr>
          <w:bCs/>
          <w:sz w:val="22"/>
          <w:lang w:val="hr-HR"/>
        </w:rPr>
        <w:t>valsartan/sakubitril</w:t>
      </w:r>
      <w:r w:rsidRPr="00E745DB">
        <w:rPr>
          <w:sz w:val="22"/>
          <w:szCs w:val="20"/>
          <w:lang w:val="hr-HR"/>
        </w:rPr>
        <w:t xml:space="preserve"> ekvivalentno je 40 mg, 80 mg, odnosno 160 mg valsartana u drugim formulacijama tableta na tržištu.</w:t>
      </w:r>
      <w:bookmarkStart w:id="5" w:name="_87101482Table_34519Doses_of_LCZ69"/>
      <w:bookmarkStart w:id="6" w:name="_8899546Table_34519Doses_of_LCZ696"/>
      <w:bookmarkStart w:id="7" w:name="_8899653Table_34519Doses_of_LCZ696"/>
      <w:bookmarkStart w:id="8" w:name="_8899601Table_34519Doses_of_LCZ696"/>
      <w:bookmarkStart w:id="9" w:name="_8497868Table_34519Doses_of_LCZ696"/>
      <w:bookmarkStart w:id="10" w:name="_8497832Table_34519Doses_of_LCZ696"/>
      <w:bookmarkStart w:id="11" w:name="_8697880Table_34519Doses_of_LCZ696"/>
      <w:bookmarkStart w:id="12" w:name="_8697889Table_34519Doses_of_LCZ696"/>
      <w:bookmarkStart w:id="13" w:name="_8697898Table_34519Doses_of_LCZ696"/>
      <w:bookmarkStart w:id="14" w:name="_8697907Table_34519Doses_of_LCZ696"/>
      <w:bookmarkStart w:id="15" w:name="_8697963Table_34519Doses_of_LCZ696"/>
      <w:bookmarkStart w:id="16" w:name="_8697972Table_34519Doses_of_LCZ696"/>
      <w:bookmarkStart w:id="17" w:name="_8698028Table_34519Doses_of_LCZ696"/>
      <w:bookmarkStart w:id="18" w:name="_8698037Table_34519Doses_of_LCZ696"/>
      <w:bookmarkStart w:id="19" w:name="_8698046Table_34519Doses_of_LCZ696"/>
      <w:bookmarkStart w:id="20" w:name="_8698049Table_34519Doses_of_LCZ696"/>
      <w:bookmarkStart w:id="21" w:name="_8698052Table_34519Doses_of_LCZ696"/>
      <w:bookmarkStart w:id="22" w:name="_8698055Table_34519Doses_of_LCZ696"/>
      <w:bookmarkStart w:id="23" w:name="_8698058Table_34519Doses_of_LCZ696"/>
      <w:bookmarkStart w:id="24" w:name="_8698060Table_34519Doses_of_LCZ696"/>
      <w:bookmarkStart w:id="25" w:name="_8698062Table_34519Doses_of_LCZ696"/>
      <w:bookmarkStart w:id="26" w:name="_8698118Table_34519Doses_of_LCZ696"/>
      <w:bookmarkStart w:id="27" w:name="_8698174Table_34519Doses_of_LCZ696"/>
      <w:bookmarkStart w:id="28" w:name="_8698176Table_34519Doses_of_LCZ696"/>
      <w:bookmarkStart w:id="29" w:name="_8698178Table_34519Doses_of_LCZ696"/>
      <w:bookmarkStart w:id="30" w:name="_8698180Table_34519Doses_of_LCZ696"/>
      <w:bookmarkStart w:id="31" w:name="_8698187Table_34519Doses_of_LCZ696"/>
      <w:bookmarkStart w:id="32" w:name="_8698243Table_34519Doses_of_LCZ696"/>
      <w:bookmarkStart w:id="33" w:name="_8698245Table_34519Doses_of_LCZ696"/>
      <w:bookmarkStart w:id="34" w:name="_8698296Table_34519Doses_of_LCZ696"/>
      <w:bookmarkStart w:id="35" w:name="_8698352Table_34519Doses_of_LCZ696"/>
      <w:bookmarkStart w:id="36" w:name="_8698408Table_34519Doses_of_LCZ696"/>
      <w:bookmarkStart w:id="37" w:name="_8698464Table_34519Doses_of_LCZ696"/>
      <w:bookmarkStart w:id="38" w:name="_8698520Table_34519Doses_of_LCZ696"/>
      <w:bookmarkStart w:id="39" w:name="_8698576Table_34519Doses_of_LCZ696"/>
      <w:bookmarkStart w:id="40" w:name="_8698632Table_34519Doses_of_LCZ696"/>
      <w:bookmarkStart w:id="41" w:name="_8698688Table_34519Doses_of_LCZ696"/>
      <w:bookmarkStart w:id="42" w:name="_8698744Table_34519Doses_of_LCZ696"/>
      <w:bookmarkStart w:id="43" w:name="_8698800Table_34519Doses_of_LCZ696"/>
      <w:bookmarkStart w:id="44" w:name="_8698856Table_34519Doses_of_LCZ696"/>
      <w:bookmarkStart w:id="45" w:name="_8698912Table_34519Doses_of_LCZ696"/>
      <w:bookmarkStart w:id="46" w:name="_8698930Table_34519Doses_of_LCZ696"/>
      <w:bookmarkStart w:id="47" w:name="_8698932Table_34519Doses_of_LCZ696"/>
      <w:bookmarkStart w:id="48" w:name="_8698988Table_34519Doses_of_LCZ696"/>
      <w:bookmarkStart w:id="49" w:name="_8699044Table_34519Doses_of_LCZ696"/>
      <w:bookmarkStart w:id="50" w:name="_8699100Table_34519Doses_of_LCZ696"/>
      <w:bookmarkStart w:id="51" w:name="_8699156Table_34519Doses_of_LCZ696"/>
      <w:bookmarkStart w:id="52" w:name="_8699207Table_34519Doses_of_LCZ696"/>
      <w:bookmarkStart w:id="53" w:name="_8699209Table_34519Doses_of_LCZ696"/>
      <w:bookmarkStart w:id="54" w:name="_8699212Table_34519Doses_of_LCZ696"/>
      <w:bookmarkStart w:id="55" w:name="_8699263Table_34519Doses_of_LCZ696"/>
      <w:bookmarkStart w:id="56" w:name="_8699319Table_34519Doses_of_LCZ696"/>
      <w:bookmarkStart w:id="57" w:name="_8699375Table_34519Doses_of_LCZ696"/>
      <w:bookmarkStart w:id="58" w:name="_8699431Table_34519Doses_of_LCZ696"/>
      <w:bookmarkStart w:id="59" w:name="_8699487Table_34519Doses_of_LCZ696"/>
      <w:bookmarkStart w:id="60" w:name="_8699543Table_34519Doses_of_LCZ696"/>
      <w:bookmarkStart w:id="61" w:name="_8699599Table_34519Doses_of_LCZ696"/>
      <w:bookmarkStart w:id="62" w:name="_8699655Table_34519Doses_of_LCZ696"/>
      <w:bookmarkStart w:id="63" w:name="_8699711Table_34519Doses_of_LCZ696"/>
      <w:bookmarkStart w:id="64" w:name="_8699767Table_34519Doses_of_LCZ696"/>
      <w:bookmarkStart w:id="65" w:name="_8699823Table_34519Doses_of_LCZ696"/>
      <w:bookmarkStart w:id="66" w:name="_8699879Table_34519Doses_of_LCZ696"/>
      <w:bookmarkStart w:id="67" w:name="_8699935Table_34519Doses_of_LCZ696"/>
      <w:bookmarkStart w:id="68" w:name="_8699991Table_34519Doses_of_LCZ696"/>
      <w:bookmarkStart w:id="69" w:name="_86100047Table_34519Doses_of_LCZ69"/>
      <w:bookmarkStart w:id="70" w:name="_86100103Table_34519Doses_of_LCZ69"/>
      <w:bookmarkStart w:id="71" w:name="_86100159Table_34519Doses_of_LCZ69"/>
      <w:bookmarkStart w:id="72" w:name="_86100215Table_34519Doses_of_LCZ69"/>
      <w:bookmarkStart w:id="73" w:name="_86100271Table_34519Doses_of_LCZ69"/>
      <w:bookmarkStart w:id="74" w:name="_86100327Table_34519Doses_of_LCZ69"/>
      <w:bookmarkStart w:id="75" w:name="_86100383Table_34519Doses_of_LCZ69"/>
      <w:bookmarkStart w:id="76" w:name="_86100439Table_34519Doses_of_LCZ69"/>
      <w:bookmarkStart w:id="77" w:name="_86100495Table_34519Doses_of_LCZ69"/>
      <w:bookmarkStart w:id="78" w:name="_86100497Table_34519Doses_of_LCZ69"/>
      <w:bookmarkStart w:id="79" w:name="_86100553Table_34519Doses_of_LCZ69"/>
      <w:bookmarkStart w:id="80" w:name="_86100609Table_34519Doses_of_LCZ69"/>
      <w:bookmarkStart w:id="81" w:name="_86100665Table_34519Doses_of_LCZ69"/>
      <w:bookmarkStart w:id="82" w:name="_86100721Table_34519Doses_of_LCZ69"/>
      <w:bookmarkStart w:id="83" w:name="_86100777Table_34519Doses_of_LCZ69"/>
      <w:bookmarkStart w:id="84" w:name="_86100833Table_34519Doses_of_LCZ69"/>
      <w:bookmarkStart w:id="85" w:name="_86100889Table_34519Doses_of_LCZ69"/>
      <w:bookmarkStart w:id="86" w:name="_86100945Table_34519Doses_of_LCZ69"/>
      <w:bookmarkStart w:id="87" w:name="_86101001Table_34519Doses_of_LCZ69"/>
      <w:bookmarkStart w:id="88" w:name="_86101057Table_34519Doses_of_LCZ69"/>
      <w:bookmarkStart w:id="89" w:name="_86101063Table_34519Doses_of_LCZ69"/>
      <w:bookmarkStart w:id="90" w:name="_86101119Table_34519Doses_of_LCZ69"/>
      <w:bookmarkStart w:id="91" w:name="_86101175Table_34519Doses_of_LCZ69"/>
      <w:bookmarkStart w:id="92" w:name="_86101177Table_34519Doses_of_LCZ69"/>
      <w:bookmarkStart w:id="93" w:name="_86101179Table_34519Doses_of_LCZ69"/>
      <w:bookmarkStart w:id="94" w:name="_86101235Table_34519Doses_of_LCZ69"/>
      <w:bookmarkStart w:id="95" w:name="_86101244Table_34519Doses_of_LCZ69"/>
      <w:bookmarkStart w:id="96" w:name="_86101251Table_34519Doses_of_LCZ69"/>
      <w:bookmarkStart w:id="97" w:name="_86101307Table_34519Doses_of_LCZ69"/>
      <w:bookmarkStart w:id="98" w:name="_86100989Table_34519Doses_of_LCZ6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832771C" w14:textId="6D7F35F9" w:rsidR="00B96A91" w:rsidRDefault="00B96A91" w:rsidP="001B64BC">
      <w:pPr>
        <w:widowControl w:val="0"/>
        <w:outlineLvl w:val="0"/>
        <w:rPr>
          <w:sz w:val="22"/>
          <w:szCs w:val="22"/>
          <w:lang w:val="hr-HR"/>
        </w:rPr>
      </w:pPr>
    </w:p>
    <w:p w14:paraId="444678EF" w14:textId="0FDD0211" w:rsidR="00B67A57" w:rsidRDefault="00B67A57" w:rsidP="001B64BC">
      <w:pPr>
        <w:widowControl w:val="0"/>
        <w:outlineLvl w:val="0"/>
        <w:rPr>
          <w:sz w:val="22"/>
          <w:szCs w:val="22"/>
          <w:u w:val="single"/>
          <w:lang w:val="hr-HR"/>
        </w:rPr>
      </w:pPr>
      <w:r>
        <w:rPr>
          <w:sz w:val="22"/>
          <w:szCs w:val="22"/>
          <w:u w:val="single"/>
          <w:lang w:val="hr-HR"/>
        </w:rPr>
        <w:t>Odrasla populacija</w:t>
      </w:r>
    </w:p>
    <w:p w14:paraId="2CA4FCE0" w14:textId="77777777" w:rsidR="00B67A57" w:rsidRPr="00AB63CB" w:rsidRDefault="00B67A57" w:rsidP="001B64BC">
      <w:pPr>
        <w:widowControl w:val="0"/>
        <w:outlineLvl w:val="0"/>
        <w:rPr>
          <w:sz w:val="22"/>
          <w:szCs w:val="22"/>
          <w:u w:val="single"/>
          <w:lang w:val="hr-HR"/>
        </w:rPr>
      </w:pPr>
    </w:p>
    <w:p w14:paraId="43105E04" w14:textId="77777777" w:rsidR="00B96A91" w:rsidRPr="00AB63CB" w:rsidRDefault="00B96A91" w:rsidP="001B64BC">
      <w:pPr>
        <w:keepNext/>
        <w:widowControl w:val="0"/>
        <w:jc w:val="both"/>
        <w:rPr>
          <w:i/>
          <w:iCs/>
          <w:sz w:val="22"/>
          <w:szCs w:val="22"/>
          <w:u w:val="single"/>
          <w:lang w:val="hr-HR"/>
        </w:rPr>
      </w:pPr>
      <w:r w:rsidRPr="00AB63CB">
        <w:rPr>
          <w:i/>
          <w:iCs/>
          <w:sz w:val="22"/>
          <w:szCs w:val="22"/>
          <w:u w:val="single"/>
          <w:lang w:val="hr-HR"/>
        </w:rPr>
        <w:t>Resorpcija</w:t>
      </w:r>
    </w:p>
    <w:p w14:paraId="65F38835" w14:textId="77777777" w:rsidR="00B96A91" w:rsidRPr="00E745DB" w:rsidRDefault="00B96A91" w:rsidP="001B64BC">
      <w:pPr>
        <w:keepNext/>
        <w:widowControl w:val="0"/>
        <w:jc w:val="both"/>
        <w:rPr>
          <w:bCs/>
          <w:sz w:val="22"/>
          <w:lang w:val="hr-HR"/>
        </w:rPr>
      </w:pPr>
    </w:p>
    <w:p w14:paraId="4ABD4167" w14:textId="77777777" w:rsidR="00B96A91" w:rsidRPr="00E745DB" w:rsidRDefault="00B96A91" w:rsidP="001B64BC">
      <w:pPr>
        <w:widowControl w:val="0"/>
        <w:jc w:val="both"/>
        <w:rPr>
          <w:bCs/>
          <w:sz w:val="22"/>
          <w:lang w:val="hr-HR"/>
        </w:rPr>
      </w:pPr>
      <w:r>
        <w:rPr>
          <w:bCs/>
          <w:sz w:val="22"/>
          <w:lang w:val="hr-HR"/>
        </w:rPr>
        <w:t>Nakon oralne primjen</w:t>
      </w:r>
      <w:r w:rsidRPr="00E745DB">
        <w:rPr>
          <w:bCs/>
          <w:sz w:val="22"/>
          <w:lang w:val="hr-HR"/>
        </w:rPr>
        <w:t>e,</w:t>
      </w:r>
      <w:r>
        <w:rPr>
          <w:bCs/>
          <w:sz w:val="22"/>
          <w:lang w:val="hr-HR"/>
        </w:rPr>
        <w:t xml:space="preserve"> valsartan/sakubitril</w:t>
      </w:r>
      <w:r w:rsidRPr="00E745DB">
        <w:rPr>
          <w:bCs/>
          <w:sz w:val="22"/>
          <w:lang w:val="hr-HR"/>
        </w:rPr>
        <w:t xml:space="preserve"> se </w:t>
      </w:r>
      <w:r>
        <w:rPr>
          <w:bCs/>
          <w:sz w:val="22"/>
          <w:lang w:val="hr-HR"/>
        </w:rPr>
        <w:t xml:space="preserve">razdvaja na </w:t>
      </w:r>
      <w:r w:rsidRPr="00E745DB">
        <w:rPr>
          <w:bCs/>
          <w:sz w:val="22"/>
          <w:lang w:val="hr-HR"/>
        </w:rPr>
        <w:t>valsartan i pro</w:t>
      </w:r>
      <w:r>
        <w:rPr>
          <w:bCs/>
          <w:sz w:val="22"/>
          <w:lang w:val="hr-HR"/>
        </w:rPr>
        <w:t>lijek</w:t>
      </w:r>
      <w:r w:rsidRPr="00E745DB">
        <w:rPr>
          <w:bCs/>
          <w:sz w:val="22"/>
          <w:lang w:val="hr-HR"/>
        </w:rPr>
        <w:t xml:space="preserve"> sakubitril. Sakubitril se dalje metaboli</w:t>
      </w:r>
      <w:r>
        <w:rPr>
          <w:bCs/>
          <w:sz w:val="22"/>
          <w:lang w:val="hr-HR"/>
        </w:rPr>
        <w:t>še</w:t>
      </w:r>
      <w:r w:rsidRPr="00E745DB">
        <w:rPr>
          <w:bCs/>
          <w:sz w:val="22"/>
          <w:lang w:val="hr-HR"/>
        </w:rPr>
        <w:t xml:space="preserve"> u aktivni metabolit LBQ657. Oni </w:t>
      </w:r>
      <w:r>
        <w:rPr>
          <w:bCs/>
          <w:sz w:val="22"/>
          <w:lang w:val="hr-HR"/>
        </w:rPr>
        <w:t>d</w:t>
      </w:r>
      <w:r w:rsidRPr="00E745DB">
        <w:rPr>
          <w:bCs/>
          <w:sz w:val="22"/>
          <w:lang w:val="hr-HR"/>
        </w:rPr>
        <w:t xml:space="preserve">ostižu </w:t>
      </w:r>
      <w:r>
        <w:rPr>
          <w:bCs/>
          <w:sz w:val="22"/>
          <w:lang w:val="hr-HR"/>
        </w:rPr>
        <w:t xml:space="preserve">maksimalne </w:t>
      </w:r>
      <w:r w:rsidRPr="00E745DB">
        <w:rPr>
          <w:bCs/>
          <w:sz w:val="22"/>
          <w:lang w:val="hr-HR"/>
        </w:rPr>
        <w:t>koncentracije u plazmi za 2 sa</w:t>
      </w:r>
      <w:r>
        <w:rPr>
          <w:bCs/>
          <w:sz w:val="22"/>
          <w:lang w:val="hr-HR"/>
        </w:rPr>
        <w:t>ta, 1 sat, odnosno 2 sata. Procij</w:t>
      </w:r>
      <w:r w:rsidRPr="00E745DB">
        <w:rPr>
          <w:bCs/>
          <w:sz w:val="22"/>
          <w:lang w:val="hr-HR"/>
        </w:rPr>
        <w:t>enj</w:t>
      </w:r>
      <w:r>
        <w:rPr>
          <w:bCs/>
          <w:sz w:val="22"/>
          <w:lang w:val="hr-HR"/>
        </w:rPr>
        <w:t xml:space="preserve">eno je da je </w:t>
      </w:r>
      <w:r w:rsidRPr="00E745DB">
        <w:rPr>
          <w:bCs/>
          <w:sz w:val="22"/>
          <w:lang w:val="hr-HR"/>
        </w:rPr>
        <w:t xml:space="preserve">apsolutna bioraspoloživost nakon </w:t>
      </w:r>
      <w:r>
        <w:rPr>
          <w:bCs/>
          <w:sz w:val="22"/>
          <w:lang w:val="hr-HR"/>
        </w:rPr>
        <w:t>oralne primjen</w:t>
      </w:r>
      <w:r w:rsidRPr="00E745DB">
        <w:rPr>
          <w:bCs/>
          <w:sz w:val="22"/>
          <w:lang w:val="hr-HR"/>
        </w:rPr>
        <w:t>e sakubitrila i valsartana više od 60%, odnosno 23%.</w:t>
      </w:r>
    </w:p>
    <w:p w14:paraId="5982F8B0" w14:textId="77777777" w:rsidR="00B96A91" w:rsidRPr="00E745DB" w:rsidRDefault="00B96A91" w:rsidP="001B64BC">
      <w:pPr>
        <w:widowControl w:val="0"/>
        <w:rPr>
          <w:sz w:val="22"/>
          <w:szCs w:val="20"/>
          <w:lang w:val="hr-HR"/>
        </w:rPr>
      </w:pPr>
    </w:p>
    <w:p w14:paraId="108B63D6" w14:textId="77777777" w:rsidR="00B96A91" w:rsidRPr="00E745DB" w:rsidRDefault="00B96A91" w:rsidP="001B64BC">
      <w:pPr>
        <w:widowControl w:val="0"/>
        <w:jc w:val="both"/>
        <w:rPr>
          <w:bCs/>
          <w:sz w:val="22"/>
          <w:lang w:val="hr-HR" w:eastAsia="ja-JP"/>
        </w:rPr>
      </w:pPr>
      <w:r>
        <w:rPr>
          <w:bCs/>
          <w:sz w:val="22"/>
          <w:lang w:val="hr-HR"/>
        </w:rPr>
        <w:t>Nakon doziranja valsartan/sakubitril</w:t>
      </w:r>
      <w:r w:rsidRPr="00E745DB">
        <w:rPr>
          <w:bCs/>
          <w:sz w:val="22"/>
          <w:lang w:val="hr-HR"/>
        </w:rPr>
        <w:t xml:space="preserve"> dva</w:t>
      </w:r>
      <w:r>
        <w:rPr>
          <w:bCs/>
          <w:sz w:val="22"/>
          <w:lang w:val="hr-HR"/>
        </w:rPr>
        <w:t xml:space="preserve"> </w:t>
      </w:r>
      <w:r w:rsidRPr="00E745DB">
        <w:rPr>
          <w:bCs/>
          <w:sz w:val="22"/>
          <w:lang w:val="hr-HR"/>
        </w:rPr>
        <w:t>put</w:t>
      </w:r>
      <w:r>
        <w:rPr>
          <w:bCs/>
          <w:sz w:val="22"/>
          <w:lang w:val="hr-HR"/>
        </w:rPr>
        <w:t>a</w:t>
      </w:r>
      <w:r w:rsidRPr="00E745DB">
        <w:rPr>
          <w:bCs/>
          <w:sz w:val="22"/>
          <w:lang w:val="hr-HR"/>
        </w:rPr>
        <w:t xml:space="preserve"> na dan, </w:t>
      </w:r>
      <w:r>
        <w:rPr>
          <w:bCs/>
          <w:sz w:val="22"/>
          <w:lang w:val="hr-HR"/>
        </w:rPr>
        <w:t xml:space="preserve">koncentracije </w:t>
      </w:r>
      <w:r w:rsidRPr="00E745DB">
        <w:rPr>
          <w:bCs/>
          <w:sz w:val="22"/>
          <w:lang w:val="hr-HR"/>
        </w:rPr>
        <w:t xml:space="preserve">sakubitrila, LBQ657 i valsartana u </w:t>
      </w:r>
      <w:r>
        <w:rPr>
          <w:bCs/>
          <w:sz w:val="22"/>
          <w:lang w:val="hr-HR"/>
        </w:rPr>
        <w:t>ravnotežnom stanju se p</w:t>
      </w:r>
      <w:r w:rsidRPr="00E745DB">
        <w:rPr>
          <w:bCs/>
          <w:sz w:val="22"/>
          <w:lang w:val="hr-HR"/>
        </w:rPr>
        <w:t xml:space="preserve">ostižu se za tri dana. U </w:t>
      </w:r>
      <w:r>
        <w:rPr>
          <w:bCs/>
          <w:sz w:val="22"/>
          <w:lang w:val="hr-HR"/>
        </w:rPr>
        <w:t xml:space="preserve">ravnotežnom </w:t>
      </w:r>
      <w:r w:rsidRPr="00E745DB">
        <w:rPr>
          <w:bCs/>
          <w:sz w:val="22"/>
          <w:lang w:val="hr-HR"/>
        </w:rPr>
        <w:t xml:space="preserve">stanju, sakubitril i valsartan </w:t>
      </w:r>
      <w:r>
        <w:rPr>
          <w:bCs/>
          <w:sz w:val="22"/>
          <w:lang w:val="hr-HR"/>
        </w:rPr>
        <w:t xml:space="preserve">se </w:t>
      </w:r>
      <w:r w:rsidRPr="00E745DB">
        <w:rPr>
          <w:bCs/>
          <w:sz w:val="22"/>
          <w:lang w:val="hr-HR"/>
        </w:rPr>
        <w:t>ne akumuli</w:t>
      </w:r>
      <w:r>
        <w:rPr>
          <w:bCs/>
          <w:sz w:val="22"/>
          <w:lang w:val="hr-HR"/>
        </w:rPr>
        <w:t>raju</w:t>
      </w:r>
      <w:r w:rsidRPr="00E745DB">
        <w:rPr>
          <w:bCs/>
          <w:sz w:val="22"/>
          <w:lang w:val="hr-HR"/>
        </w:rPr>
        <w:t xml:space="preserve"> značajno, dok se </w:t>
      </w:r>
      <w:r>
        <w:rPr>
          <w:bCs/>
          <w:sz w:val="22"/>
          <w:lang w:val="hr-HR"/>
        </w:rPr>
        <w:t>LBQ657 akumulira 1,6 puta. Primjen</w:t>
      </w:r>
      <w:r w:rsidRPr="00E745DB">
        <w:rPr>
          <w:bCs/>
          <w:sz w:val="22"/>
          <w:lang w:val="hr-HR"/>
        </w:rPr>
        <w:t>a s</w:t>
      </w:r>
      <w:r>
        <w:rPr>
          <w:bCs/>
          <w:sz w:val="22"/>
          <w:lang w:val="hr-HR"/>
        </w:rPr>
        <w:t>a</w:t>
      </w:r>
      <w:r w:rsidRPr="00E745DB">
        <w:rPr>
          <w:bCs/>
          <w:sz w:val="22"/>
          <w:lang w:val="hr-HR"/>
        </w:rPr>
        <w:t xml:space="preserve"> hranom nema </w:t>
      </w:r>
      <w:r>
        <w:rPr>
          <w:bCs/>
          <w:sz w:val="22"/>
          <w:lang w:val="hr-HR"/>
        </w:rPr>
        <w:t>značajan klinički uticaj</w:t>
      </w:r>
      <w:r w:rsidRPr="00E745DB">
        <w:rPr>
          <w:bCs/>
          <w:sz w:val="22"/>
          <w:lang w:val="hr-HR"/>
        </w:rPr>
        <w:t xml:space="preserve"> na sistemsk</w:t>
      </w:r>
      <w:r>
        <w:rPr>
          <w:bCs/>
          <w:sz w:val="22"/>
          <w:lang w:val="hr-HR"/>
        </w:rPr>
        <w:t>u</w:t>
      </w:r>
      <w:r w:rsidRPr="00E745DB">
        <w:rPr>
          <w:bCs/>
          <w:sz w:val="22"/>
          <w:lang w:val="hr-HR"/>
        </w:rPr>
        <w:t xml:space="preserve"> izloženost sakubitrila, LBQ657 i valsartana.</w:t>
      </w:r>
      <w:r>
        <w:rPr>
          <w:bCs/>
          <w:sz w:val="22"/>
          <w:lang w:val="hr-HR"/>
        </w:rPr>
        <w:t xml:space="preserve"> Valsartan/sakubitril</w:t>
      </w:r>
      <w:r w:rsidRPr="00E745DB">
        <w:rPr>
          <w:bCs/>
          <w:sz w:val="22"/>
          <w:lang w:val="hr-HR"/>
        </w:rPr>
        <w:t xml:space="preserve"> se može primjenjivati </w:t>
      </w:r>
      <w:r>
        <w:rPr>
          <w:bCs/>
          <w:sz w:val="22"/>
          <w:lang w:val="hr-HR"/>
        </w:rPr>
        <w:t>sa</w:t>
      </w:r>
      <w:r w:rsidRPr="00E745DB">
        <w:rPr>
          <w:bCs/>
          <w:sz w:val="22"/>
          <w:lang w:val="hr-HR"/>
        </w:rPr>
        <w:t xml:space="preserve"> hran</w:t>
      </w:r>
      <w:r>
        <w:rPr>
          <w:bCs/>
          <w:sz w:val="22"/>
          <w:lang w:val="hr-HR"/>
        </w:rPr>
        <w:t>om</w:t>
      </w:r>
      <w:r w:rsidRPr="00E745DB">
        <w:rPr>
          <w:bCs/>
          <w:sz w:val="22"/>
          <w:lang w:val="hr-HR"/>
        </w:rPr>
        <w:t xml:space="preserve"> ili bez nje.</w:t>
      </w:r>
    </w:p>
    <w:p w14:paraId="4E81D1CC" w14:textId="77777777" w:rsidR="00B96A91" w:rsidRPr="00E745DB" w:rsidRDefault="00B96A91" w:rsidP="001B64BC">
      <w:pPr>
        <w:widowControl w:val="0"/>
        <w:jc w:val="both"/>
        <w:rPr>
          <w:bCs/>
          <w:sz w:val="22"/>
          <w:lang w:val="hr-HR" w:eastAsia="ja-JP"/>
        </w:rPr>
      </w:pPr>
    </w:p>
    <w:p w14:paraId="655A5CC5" w14:textId="5B477BB0" w:rsidR="00B96A91" w:rsidRPr="00AB63CB" w:rsidRDefault="000373C8" w:rsidP="001B64BC">
      <w:pPr>
        <w:keepNext/>
        <w:widowControl w:val="0"/>
        <w:rPr>
          <w:i/>
          <w:iCs/>
          <w:sz w:val="22"/>
          <w:u w:val="single"/>
          <w:lang w:val="hr-HR" w:eastAsia="ja-JP"/>
        </w:rPr>
      </w:pPr>
      <w:r w:rsidRPr="00AB63CB">
        <w:rPr>
          <w:i/>
          <w:iCs/>
          <w:sz w:val="22"/>
          <w:szCs w:val="22"/>
          <w:u w:val="single"/>
          <w:lang w:val="hr-HR"/>
        </w:rPr>
        <w:t xml:space="preserve">Distribucija </w:t>
      </w:r>
    </w:p>
    <w:p w14:paraId="56A5CD5A" w14:textId="77777777" w:rsidR="00B96A91" w:rsidRPr="00E745DB" w:rsidRDefault="00B96A91" w:rsidP="001B64BC">
      <w:pPr>
        <w:keepNext/>
        <w:widowControl w:val="0"/>
        <w:jc w:val="both"/>
        <w:rPr>
          <w:bCs/>
          <w:sz w:val="22"/>
          <w:lang w:val="hr-HR"/>
        </w:rPr>
      </w:pPr>
    </w:p>
    <w:p w14:paraId="31C3E318" w14:textId="77777777" w:rsidR="00B96A91" w:rsidRPr="00E745DB" w:rsidRDefault="00B96A91" w:rsidP="001B64BC">
      <w:pPr>
        <w:widowControl w:val="0"/>
        <w:jc w:val="both"/>
        <w:rPr>
          <w:sz w:val="22"/>
          <w:lang w:val="hr-HR" w:eastAsia="ja-JP"/>
        </w:rPr>
      </w:pPr>
      <w:r w:rsidRPr="00E745DB">
        <w:rPr>
          <w:bCs/>
          <w:sz w:val="22"/>
          <w:lang w:val="hr-HR"/>
        </w:rPr>
        <w:t>Sakubitril, LBQ657 i valsartan se u velikoj m</w:t>
      </w:r>
      <w:r>
        <w:rPr>
          <w:bCs/>
          <w:sz w:val="22"/>
          <w:lang w:val="hr-HR"/>
        </w:rPr>
        <w:t>j</w:t>
      </w:r>
      <w:r w:rsidRPr="00E745DB">
        <w:rPr>
          <w:bCs/>
          <w:sz w:val="22"/>
          <w:lang w:val="hr-HR"/>
        </w:rPr>
        <w:t>eri ve</w:t>
      </w:r>
      <w:r>
        <w:rPr>
          <w:bCs/>
          <w:sz w:val="22"/>
          <w:lang w:val="hr-HR"/>
        </w:rPr>
        <w:t>zuju za proteine plazme</w:t>
      </w:r>
      <w:r w:rsidRPr="00E745DB">
        <w:rPr>
          <w:bCs/>
          <w:sz w:val="22"/>
          <w:lang w:val="hr-HR"/>
        </w:rPr>
        <w:t xml:space="preserve"> (94</w:t>
      </w:r>
      <w:r w:rsidRPr="00E745DB">
        <w:rPr>
          <w:bCs/>
          <w:sz w:val="22"/>
          <w:lang w:val="hr-HR"/>
        </w:rPr>
        <w:noBreakHyphen/>
        <w:t xml:space="preserve">97%). Na </w:t>
      </w:r>
      <w:r>
        <w:rPr>
          <w:bCs/>
          <w:sz w:val="22"/>
          <w:lang w:val="hr-HR"/>
        </w:rPr>
        <w:t xml:space="preserve">osnovu poređenja </w:t>
      </w:r>
      <w:r w:rsidRPr="00E745DB">
        <w:rPr>
          <w:bCs/>
          <w:sz w:val="22"/>
          <w:lang w:val="hr-HR"/>
        </w:rPr>
        <w:t>izloženosti plazme i cerebrospinalne te</w:t>
      </w:r>
      <w:r>
        <w:rPr>
          <w:bCs/>
          <w:sz w:val="22"/>
          <w:lang w:val="hr-HR"/>
        </w:rPr>
        <w:t>čnosti</w:t>
      </w:r>
      <w:r w:rsidRPr="00E745DB">
        <w:rPr>
          <w:bCs/>
          <w:sz w:val="22"/>
          <w:lang w:val="hr-HR"/>
        </w:rPr>
        <w:t>, LBQ657 prelazi krvno</w:t>
      </w:r>
      <w:r w:rsidRPr="00E745DB">
        <w:rPr>
          <w:bCs/>
          <w:sz w:val="22"/>
          <w:lang w:val="hr-HR"/>
        </w:rPr>
        <w:noBreakHyphen/>
        <w:t>m</w:t>
      </w:r>
      <w:r>
        <w:rPr>
          <w:bCs/>
          <w:sz w:val="22"/>
          <w:lang w:val="hr-HR"/>
        </w:rPr>
        <w:t>oždanu barijeru u ograničenoj mj</w:t>
      </w:r>
      <w:r w:rsidRPr="00E745DB">
        <w:rPr>
          <w:bCs/>
          <w:sz w:val="22"/>
          <w:lang w:val="hr-HR"/>
        </w:rPr>
        <w:t xml:space="preserve">eri (0,28%). </w:t>
      </w:r>
      <w:r>
        <w:rPr>
          <w:sz w:val="22"/>
          <w:szCs w:val="20"/>
          <w:lang w:val="hr-HR"/>
        </w:rPr>
        <w:t>Prosj</w:t>
      </w:r>
      <w:r w:rsidRPr="00E745DB">
        <w:rPr>
          <w:sz w:val="22"/>
          <w:szCs w:val="20"/>
          <w:lang w:val="hr-HR"/>
        </w:rPr>
        <w:t>ečni</w:t>
      </w:r>
      <w:r w:rsidRPr="00E745DB">
        <w:rPr>
          <w:bCs/>
          <w:sz w:val="22"/>
          <w:lang w:val="hr-HR"/>
        </w:rPr>
        <w:t xml:space="preserve"> prividni volumen distribucije valsartana i sakubitrila bio je 75 </w:t>
      </w:r>
      <w:r>
        <w:rPr>
          <w:bCs/>
          <w:sz w:val="22"/>
          <w:lang w:val="hr-HR"/>
        </w:rPr>
        <w:t>l</w:t>
      </w:r>
      <w:r w:rsidRPr="00E745DB">
        <w:rPr>
          <w:bCs/>
          <w:sz w:val="22"/>
          <w:lang w:val="hr-HR"/>
        </w:rPr>
        <w:t xml:space="preserve"> odnosno 103 </w:t>
      </w:r>
      <w:r>
        <w:rPr>
          <w:bCs/>
          <w:sz w:val="22"/>
          <w:lang w:val="hr-HR"/>
        </w:rPr>
        <w:t>l</w:t>
      </w:r>
      <w:r w:rsidRPr="00E745DB">
        <w:rPr>
          <w:bCs/>
          <w:sz w:val="22"/>
          <w:lang w:val="hr-HR"/>
        </w:rPr>
        <w:t>.</w:t>
      </w:r>
    </w:p>
    <w:p w14:paraId="42EBCAB0" w14:textId="77777777" w:rsidR="00B96A91" w:rsidRPr="00E745DB" w:rsidRDefault="00B96A91" w:rsidP="001B64BC">
      <w:pPr>
        <w:widowControl w:val="0"/>
        <w:rPr>
          <w:bCs/>
          <w:sz w:val="22"/>
          <w:lang w:val="hr-HR" w:eastAsia="ja-JP"/>
        </w:rPr>
      </w:pPr>
    </w:p>
    <w:p w14:paraId="6ACB99E7" w14:textId="77777777" w:rsidR="00B96A91" w:rsidRPr="00AB63CB" w:rsidRDefault="00B96A91" w:rsidP="001B64BC">
      <w:pPr>
        <w:keepNext/>
        <w:widowControl w:val="0"/>
        <w:outlineLvl w:val="0"/>
        <w:rPr>
          <w:i/>
          <w:iCs/>
          <w:sz w:val="22"/>
          <w:szCs w:val="22"/>
          <w:u w:val="single"/>
          <w:lang w:val="hr-HR"/>
        </w:rPr>
      </w:pPr>
      <w:r w:rsidRPr="00AB63CB">
        <w:rPr>
          <w:i/>
          <w:iCs/>
          <w:sz w:val="22"/>
          <w:szCs w:val="22"/>
          <w:u w:val="single"/>
          <w:lang w:val="hr-HR"/>
        </w:rPr>
        <w:t>Biotransformacija</w:t>
      </w:r>
    </w:p>
    <w:p w14:paraId="1FDC1633" w14:textId="77777777" w:rsidR="00B96A91" w:rsidRPr="00E745DB" w:rsidRDefault="00B96A91" w:rsidP="001B64BC">
      <w:pPr>
        <w:keepNext/>
        <w:widowControl w:val="0"/>
        <w:rPr>
          <w:bCs/>
          <w:sz w:val="22"/>
          <w:lang w:val="hr-HR"/>
        </w:rPr>
      </w:pPr>
    </w:p>
    <w:p w14:paraId="594C6FED" w14:textId="77777777" w:rsidR="00B96A91" w:rsidRPr="00E745DB" w:rsidRDefault="00B96A91" w:rsidP="001B64BC">
      <w:pPr>
        <w:widowControl w:val="0"/>
        <w:jc w:val="both"/>
        <w:rPr>
          <w:bCs/>
          <w:sz w:val="22"/>
          <w:lang w:val="hr-HR"/>
        </w:rPr>
      </w:pPr>
      <w:r w:rsidRPr="00E745DB">
        <w:rPr>
          <w:bCs/>
          <w:sz w:val="22"/>
          <w:lang w:val="hr-HR"/>
        </w:rPr>
        <w:t>Sakubitril lako prelazi u LBQ657 pomoću karboksilesteraza 1b i 1c; LBQ657 se dalje ne metaboli</w:t>
      </w:r>
      <w:r>
        <w:rPr>
          <w:bCs/>
          <w:sz w:val="22"/>
          <w:lang w:val="hr-HR"/>
        </w:rPr>
        <w:t>še</w:t>
      </w:r>
      <w:r w:rsidRPr="00E745DB">
        <w:rPr>
          <w:bCs/>
          <w:sz w:val="22"/>
          <w:lang w:val="hr-HR"/>
        </w:rPr>
        <w:t xml:space="preserve"> u značajnom opsegu. Valsartan se minimalno metaboli</w:t>
      </w:r>
      <w:r>
        <w:rPr>
          <w:bCs/>
          <w:sz w:val="22"/>
          <w:lang w:val="hr-HR"/>
        </w:rPr>
        <w:t>še</w:t>
      </w:r>
      <w:r w:rsidRPr="00E745DB">
        <w:rPr>
          <w:bCs/>
          <w:sz w:val="22"/>
          <w:lang w:val="hr-HR"/>
        </w:rPr>
        <w:t xml:space="preserve">, </w:t>
      </w:r>
      <w:r>
        <w:rPr>
          <w:bCs/>
          <w:sz w:val="22"/>
          <w:lang w:val="hr-HR"/>
        </w:rPr>
        <w:t xml:space="preserve">s obzirom da se samo </w:t>
      </w:r>
      <w:r w:rsidRPr="00E745DB">
        <w:rPr>
          <w:bCs/>
          <w:sz w:val="22"/>
          <w:lang w:val="hr-HR"/>
        </w:rPr>
        <w:t xml:space="preserve">oko 20% doze vraća u obliku metabolita. </w:t>
      </w:r>
      <w:r>
        <w:rPr>
          <w:bCs/>
          <w:sz w:val="22"/>
          <w:lang w:val="hr-HR"/>
        </w:rPr>
        <w:t xml:space="preserve">Potvrđen </w:t>
      </w:r>
      <w:r w:rsidRPr="00E745DB">
        <w:rPr>
          <w:bCs/>
          <w:sz w:val="22"/>
          <w:lang w:val="hr-HR"/>
        </w:rPr>
        <w:t xml:space="preserve">je hidroksilni metabolit valsartana u plazmi </w:t>
      </w:r>
      <w:r>
        <w:rPr>
          <w:bCs/>
          <w:sz w:val="22"/>
          <w:lang w:val="hr-HR"/>
        </w:rPr>
        <w:t>sa</w:t>
      </w:r>
      <w:r w:rsidRPr="00E745DB">
        <w:rPr>
          <w:bCs/>
          <w:sz w:val="22"/>
          <w:lang w:val="hr-HR"/>
        </w:rPr>
        <w:t xml:space="preserve"> niskim koncentracijama (&lt;10%).</w:t>
      </w:r>
    </w:p>
    <w:p w14:paraId="646EC949" w14:textId="77777777" w:rsidR="00B96A91" w:rsidRPr="00E745DB" w:rsidRDefault="00B96A91" w:rsidP="001B64BC">
      <w:pPr>
        <w:widowControl w:val="0"/>
        <w:jc w:val="both"/>
        <w:rPr>
          <w:bCs/>
          <w:sz w:val="22"/>
          <w:lang w:val="hr-HR"/>
        </w:rPr>
      </w:pPr>
    </w:p>
    <w:p w14:paraId="092CEED5" w14:textId="77777777" w:rsidR="00B96A91" w:rsidRDefault="00B96A91" w:rsidP="001B64BC">
      <w:pPr>
        <w:widowControl w:val="0"/>
        <w:jc w:val="both"/>
        <w:rPr>
          <w:bCs/>
          <w:sz w:val="22"/>
          <w:lang w:val="hr-HR"/>
        </w:rPr>
      </w:pPr>
      <w:r>
        <w:rPr>
          <w:bCs/>
          <w:sz w:val="22"/>
          <w:lang w:val="hr-HR"/>
        </w:rPr>
        <w:t>S obzirom</w:t>
      </w:r>
      <w:r w:rsidRPr="00E745DB">
        <w:rPr>
          <w:bCs/>
          <w:sz w:val="22"/>
          <w:lang w:val="hr-HR"/>
        </w:rPr>
        <w:t xml:space="preserve"> da je metabolizam sakubitrila i valsartana posredovan CYP450 enzimima minimalan, ne očekuje se da će isto</w:t>
      </w:r>
      <w:r>
        <w:rPr>
          <w:bCs/>
          <w:sz w:val="22"/>
          <w:lang w:val="hr-HR"/>
        </w:rPr>
        <w:t>vremena primjen</w:t>
      </w:r>
      <w:r w:rsidRPr="00E745DB">
        <w:rPr>
          <w:bCs/>
          <w:sz w:val="22"/>
          <w:lang w:val="hr-HR"/>
        </w:rPr>
        <w:t xml:space="preserve">a </w:t>
      </w:r>
      <w:r>
        <w:rPr>
          <w:bCs/>
          <w:sz w:val="22"/>
          <w:lang w:val="hr-HR"/>
        </w:rPr>
        <w:t>lijek</w:t>
      </w:r>
      <w:r w:rsidRPr="00E745DB">
        <w:rPr>
          <w:bCs/>
          <w:sz w:val="22"/>
          <w:lang w:val="hr-HR"/>
        </w:rPr>
        <w:t>ova koji ut</w:t>
      </w:r>
      <w:r>
        <w:rPr>
          <w:bCs/>
          <w:sz w:val="22"/>
          <w:lang w:val="hr-HR"/>
        </w:rPr>
        <w:t xml:space="preserve">iču na CYP450 enzime imati uticaj </w:t>
      </w:r>
      <w:r w:rsidRPr="00E745DB">
        <w:rPr>
          <w:bCs/>
          <w:sz w:val="22"/>
          <w:lang w:val="hr-HR"/>
        </w:rPr>
        <w:t>na farmakokinetiku.</w:t>
      </w:r>
    </w:p>
    <w:p w14:paraId="1BD317C8" w14:textId="77777777" w:rsidR="00B96A91" w:rsidRDefault="00B96A91" w:rsidP="001B64BC">
      <w:pPr>
        <w:widowControl w:val="0"/>
        <w:jc w:val="both"/>
        <w:rPr>
          <w:bCs/>
          <w:sz w:val="22"/>
          <w:lang w:val="hr-HR"/>
        </w:rPr>
      </w:pPr>
    </w:p>
    <w:p w14:paraId="0C440231" w14:textId="77777777" w:rsidR="00B96A91" w:rsidRPr="00784003" w:rsidRDefault="00B96A91" w:rsidP="001B64BC">
      <w:pPr>
        <w:widowControl w:val="0"/>
        <w:jc w:val="both"/>
        <w:rPr>
          <w:sz w:val="22"/>
          <w:szCs w:val="22"/>
          <w:lang w:val="hr-HR" w:eastAsia="ja-JP"/>
        </w:rPr>
      </w:pPr>
      <w:r w:rsidRPr="00784003">
        <w:rPr>
          <w:bCs/>
          <w:i/>
          <w:sz w:val="22"/>
          <w:szCs w:val="22"/>
          <w:lang w:val="hr-HR"/>
        </w:rPr>
        <w:t>In vitro</w:t>
      </w:r>
      <w:r w:rsidRPr="00784003">
        <w:rPr>
          <w:bCs/>
          <w:sz w:val="22"/>
          <w:szCs w:val="22"/>
          <w:lang w:val="hr-HR"/>
        </w:rPr>
        <w:t xml:space="preserve"> studije metabolizma ukazuju na to da je potencijal za interakcije sa ljekovima zasnovane na </w:t>
      </w:r>
      <w:r w:rsidRPr="00784003">
        <w:rPr>
          <w:bCs/>
          <w:sz w:val="22"/>
          <w:szCs w:val="22"/>
          <w:lang w:val="hr-HR"/>
        </w:rPr>
        <w:lastRenderedPageBreak/>
        <w:t>CYP450 nizak budući da je metabolizam valsartan/sakubitril putem CYP450 enzima ograničen. Valsartan/sakubitril ne indukuje niti inhibira CYP450 enzime.</w:t>
      </w:r>
    </w:p>
    <w:p w14:paraId="3EB8F3C9" w14:textId="77777777" w:rsidR="00B96A91" w:rsidRPr="00E745DB" w:rsidRDefault="00B96A91" w:rsidP="001B64BC">
      <w:pPr>
        <w:widowControl w:val="0"/>
        <w:outlineLvl w:val="0"/>
        <w:rPr>
          <w:sz w:val="22"/>
          <w:szCs w:val="22"/>
          <w:lang w:val="hr-HR"/>
        </w:rPr>
      </w:pPr>
    </w:p>
    <w:p w14:paraId="586D41E1" w14:textId="77777777" w:rsidR="00B96A91" w:rsidRPr="00AB63CB" w:rsidRDefault="00B96A91" w:rsidP="001B64BC">
      <w:pPr>
        <w:keepNext/>
        <w:widowControl w:val="0"/>
        <w:jc w:val="both"/>
        <w:outlineLvl w:val="0"/>
        <w:rPr>
          <w:i/>
          <w:iCs/>
          <w:sz w:val="22"/>
          <w:szCs w:val="22"/>
          <w:u w:val="single"/>
          <w:lang w:val="hr-HR"/>
        </w:rPr>
      </w:pPr>
      <w:r w:rsidRPr="00AB63CB">
        <w:rPr>
          <w:i/>
          <w:iCs/>
          <w:sz w:val="22"/>
          <w:szCs w:val="22"/>
          <w:u w:val="single"/>
          <w:lang w:val="hr-HR"/>
        </w:rPr>
        <w:t>Eliminacija</w:t>
      </w:r>
    </w:p>
    <w:p w14:paraId="72854919" w14:textId="77777777" w:rsidR="00B96A91" w:rsidRPr="00E745DB" w:rsidRDefault="00B96A91" w:rsidP="001B64BC">
      <w:pPr>
        <w:keepNext/>
        <w:widowControl w:val="0"/>
        <w:jc w:val="both"/>
        <w:rPr>
          <w:sz w:val="22"/>
          <w:szCs w:val="20"/>
          <w:lang w:val="hr-HR"/>
        </w:rPr>
      </w:pPr>
    </w:p>
    <w:p w14:paraId="7E5247A7" w14:textId="77777777" w:rsidR="00B96A91" w:rsidRPr="00E745DB" w:rsidRDefault="00B96A91" w:rsidP="001B64BC">
      <w:pPr>
        <w:widowControl w:val="0"/>
        <w:jc w:val="both"/>
        <w:rPr>
          <w:sz w:val="22"/>
          <w:szCs w:val="20"/>
          <w:lang w:val="hr-HR"/>
        </w:rPr>
      </w:pPr>
      <w:r w:rsidRPr="00E745DB">
        <w:rPr>
          <w:sz w:val="22"/>
          <w:szCs w:val="20"/>
          <w:lang w:val="hr-HR"/>
        </w:rPr>
        <w:t xml:space="preserve">Nakon </w:t>
      </w:r>
      <w:r>
        <w:rPr>
          <w:sz w:val="22"/>
          <w:szCs w:val="20"/>
          <w:lang w:val="hr-HR"/>
        </w:rPr>
        <w:t>oralne primjen</w:t>
      </w:r>
      <w:r w:rsidRPr="00E745DB">
        <w:rPr>
          <w:sz w:val="22"/>
          <w:szCs w:val="20"/>
          <w:lang w:val="hr-HR"/>
        </w:rPr>
        <w:t>e, 52</w:t>
      </w:r>
      <w:r w:rsidRPr="00E745DB">
        <w:rPr>
          <w:sz w:val="22"/>
          <w:szCs w:val="20"/>
          <w:lang w:val="hr-HR"/>
        </w:rPr>
        <w:noBreakHyphen/>
        <w:t xml:space="preserve">68% sakubitrila (prvenstveno kao LBQ657) i ~13% valsartana i njegovih metabolita </w:t>
      </w:r>
      <w:r>
        <w:rPr>
          <w:sz w:val="22"/>
          <w:szCs w:val="20"/>
          <w:lang w:val="hr-HR"/>
        </w:rPr>
        <w:t xml:space="preserve">se </w:t>
      </w:r>
      <w:r w:rsidRPr="00E745DB">
        <w:rPr>
          <w:sz w:val="22"/>
          <w:szCs w:val="20"/>
          <w:lang w:val="hr-HR"/>
        </w:rPr>
        <w:t>izlučuje</w:t>
      </w:r>
      <w:r>
        <w:rPr>
          <w:sz w:val="22"/>
          <w:szCs w:val="20"/>
          <w:lang w:val="hr-HR"/>
        </w:rPr>
        <w:t xml:space="preserve"> urinom;</w:t>
      </w:r>
      <w:r w:rsidRPr="00E745DB">
        <w:rPr>
          <w:sz w:val="22"/>
          <w:szCs w:val="20"/>
          <w:lang w:val="hr-HR"/>
        </w:rPr>
        <w:t xml:space="preserve"> 37</w:t>
      </w:r>
      <w:r w:rsidRPr="00E745DB">
        <w:rPr>
          <w:sz w:val="22"/>
          <w:szCs w:val="20"/>
          <w:lang w:val="hr-HR"/>
        </w:rPr>
        <w:noBreakHyphen/>
        <w:t>48% sakubitrila (prvenstveno kao LBQ657) i 86% valsartana i njegovih metabolita izlučuje se stolicom.</w:t>
      </w:r>
    </w:p>
    <w:p w14:paraId="3593D05F" w14:textId="77777777" w:rsidR="00B96A91" w:rsidRPr="00E745DB" w:rsidRDefault="00B96A91" w:rsidP="001B64BC">
      <w:pPr>
        <w:widowControl w:val="0"/>
        <w:rPr>
          <w:sz w:val="22"/>
          <w:lang w:val="hr-HR" w:eastAsia="ja-JP"/>
        </w:rPr>
      </w:pPr>
    </w:p>
    <w:p w14:paraId="02ADAC59" w14:textId="77777777" w:rsidR="00B96A91" w:rsidRPr="00E745DB" w:rsidRDefault="00B96A91" w:rsidP="001B64BC">
      <w:pPr>
        <w:widowControl w:val="0"/>
        <w:jc w:val="both"/>
        <w:rPr>
          <w:bCs/>
          <w:sz w:val="22"/>
          <w:lang w:val="hr-HR" w:eastAsia="ja-JP"/>
        </w:rPr>
      </w:pPr>
      <w:r w:rsidRPr="00E745DB">
        <w:rPr>
          <w:sz w:val="22"/>
          <w:lang w:val="hr-HR" w:eastAsia="ja-JP"/>
        </w:rPr>
        <w:t xml:space="preserve">Sakubitril, LBQ657 i valsartan </w:t>
      </w:r>
      <w:r>
        <w:rPr>
          <w:sz w:val="22"/>
          <w:lang w:val="hr-HR" w:eastAsia="ja-JP"/>
        </w:rPr>
        <w:t xml:space="preserve">se </w:t>
      </w:r>
      <w:r w:rsidRPr="00E745DB">
        <w:rPr>
          <w:sz w:val="22"/>
          <w:lang w:val="hr-HR" w:eastAsia="ja-JP"/>
        </w:rPr>
        <w:t>elimini</w:t>
      </w:r>
      <w:r>
        <w:rPr>
          <w:sz w:val="22"/>
          <w:lang w:val="hr-HR" w:eastAsia="ja-JP"/>
        </w:rPr>
        <w:t>šu</w:t>
      </w:r>
      <w:r w:rsidRPr="00E745DB">
        <w:rPr>
          <w:sz w:val="22"/>
          <w:lang w:val="hr-HR" w:eastAsia="ja-JP"/>
        </w:rPr>
        <w:t xml:space="preserve"> iz plazme sa srednjim </w:t>
      </w:r>
      <w:r>
        <w:rPr>
          <w:sz w:val="22"/>
          <w:lang w:val="hr-HR" w:eastAsia="ja-JP"/>
        </w:rPr>
        <w:t>polu</w:t>
      </w:r>
      <w:r w:rsidRPr="00E745DB">
        <w:rPr>
          <w:sz w:val="22"/>
          <w:lang w:val="hr-HR" w:eastAsia="ja-JP"/>
        </w:rPr>
        <w:t>vremenom eliminacije (T</w:t>
      </w:r>
      <w:r w:rsidRPr="00E745DB">
        <w:rPr>
          <w:sz w:val="22"/>
          <w:vertAlign w:val="subscript"/>
          <w:lang w:val="hr-HR" w:eastAsia="ja-JP"/>
        </w:rPr>
        <w:t>½</w:t>
      </w:r>
      <w:r w:rsidRPr="00E745DB">
        <w:rPr>
          <w:sz w:val="22"/>
          <w:lang w:val="hr-HR" w:eastAsia="ja-JP"/>
        </w:rPr>
        <w:t xml:space="preserve">) od otprilike </w:t>
      </w:r>
      <w:r w:rsidRPr="00E745DB">
        <w:rPr>
          <w:sz w:val="22"/>
          <w:szCs w:val="20"/>
          <w:lang w:val="hr-HR"/>
        </w:rPr>
        <w:t>1,43 sata, 11,48 sati, odnosno 9,90 sati</w:t>
      </w:r>
      <w:r w:rsidRPr="00E745DB">
        <w:rPr>
          <w:sz w:val="22"/>
          <w:lang w:val="hr-HR" w:eastAsia="ja-JP"/>
        </w:rPr>
        <w:t>.</w:t>
      </w:r>
    </w:p>
    <w:p w14:paraId="5BB99205" w14:textId="77777777" w:rsidR="00B96A91" w:rsidRPr="00E745DB" w:rsidRDefault="00B96A91" w:rsidP="001B64BC">
      <w:pPr>
        <w:widowControl w:val="0"/>
        <w:rPr>
          <w:bCs/>
          <w:sz w:val="22"/>
          <w:lang w:val="hr-HR" w:eastAsia="ja-JP"/>
        </w:rPr>
      </w:pPr>
    </w:p>
    <w:p w14:paraId="7923B2CA" w14:textId="77777777" w:rsidR="00B96A91" w:rsidRPr="00AB63CB" w:rsidRDefault="00B96A91" w:rsidP="001B64BC">
      <w:pPr>
        <w:keepNext/>
        <w:widowControl w:val="0"/>
        <w:outlineLvl w:val="0"/>
        <w:rPr>
          <w:i/>
          <w:iCs/>
          <w:sz w:val="22"/>
          <w:szCs w:val="22"/>
          <w:u w:val="single"/>
          <w:lang w:val="hr-HR"/>
        </w:rPr>
      </w:pPr>
      <w:r w:rsidRPr="00AB63CB">
        <w:rPr>
          <w:i/>
          <w:iCs/>
          <w:sz w:val="22"/>
          <w:szCs w:val="22"/>
          <w:u w:val="single"/>
          <w:lang w:val="hr-HR"/>
        </w:rPr>
        <w:t>Linearnost/nelinearnost</w:t>
      </w:r>
    </w:p>
    <w:p w14:paraId="698EF294" w14:textId="77777777" w:rsidR="00B96A91" w:rsidRPr="00E745DB" w:rsidRDefault="00B96A91" w:rsidP="001B64BC">
      <w:pPr>
        <w:keepNext/>
        <w:widowControl w:val="0"/>
        <w:jc w:val="both"/>
        <w:rPr>
          <w:sz w:val="22"/>
          <w:szCs w:val="20"/>
          <w:lang w:val="hr-HR"/>
        </w:rPr>
      </w:pPr>
    </w:p>
    <w:p w14:paraId="27DDD325" w14:textId="670776AA" w:rsidR="00B96A91" w:rsidRPr="00E745DB" w:rsidRDefault="00B96A91" w:rsidP="001B64BC">
      <w:pPr>
        <w:widowControl w:val="0"/>
        <w:jc w:val="both"/>
        <w:rPr>
          <w:iCs/>
          <w:sz w:val="22"/>
          <w:szCs w:val="22"/>
          <w:lang w:val="hr-HR"/>
        </w:rPr>
      </w:pPr>
      <w:r w:rsidRPr="00E745DB">
        <w:rPr>
          <w:sz w:val="22"/>
          <w:szCs w:val="20"/>
          <w:lang w:val="hr-HR"/>
        </w:rPr>
        <w:t xml:space="preserve">Farmakokinetika sakubitrila, LBQ657 i valsartana bila je </w:t>
      </w:r>
      <w:r>
        <w:rPr>
          <w:sz w:val="22"/>
          <w:szCs w:val="20"/>
          <w:lang w:val="hr-HR"/>
        </w:rPr>
        <w:t xml:space="preserve">približno </w:t>
      </w:r>
      <w:r w:rsidRPr="00E745DB">
        <w:rPr>
          <w:sz w:val="22"/>
          <w:szCs w:val="20"/>
          <w:lang w:val="hr-HR"/>
        </w:rPr>
        <w:t>linearna u rasponu doza</w:t>
      </w:r>
      <w:r>
        <w:rPr>
          <w:sz w:val="22"/>
          <w:szCs w:val="20"/>
          <w:lang w:val="hr-HR"/>
        </w:rPr>
        <w:t xml:space="preserve"> valsartan/sakubitril</w:t>
      </w:r>
      <w:r w:rsidRPr="00E745DB">
        <w:rPr>
          <w:sz w:val="22"/>
          <w:szCs w:val="20"/>
          <w:lang w:val="hr-HR"/>
        </w:rPr>
        <w:t xml:space="preserve"> od 26 mg valsartana</w:t>
      </w:r>
      <w:r>
        <w:rPr>
          <w:sz w:val="22"/>
          <w:szCs w:val="20"/>
          <w:lang w:val="hr-HR"/>
        </w:rPr>
        <w:t>/</w:t>
      </w:r>
      <w:r w:rsidRPr="00E745DB">
        <w:rPr>
          <w:sz w:val="22"/>
          <w:szCs w:val="20"/>
          <w:lang w:val="hr-HR"/>
        </w:rPr>
        <w:t>24 mg sakubitrila do 103 mg valsartana</w:t>
      </w:r>
      <w:r>
        <w:rPr>
          <w:sz w:val="22"/>
          <w:szCs w:val="20"/>
          <w:lang w:val="hr-HR"/>
        </w:rPr>
        <w:t>/</w:t>
      </w:r>
      <w:r w:rsidRPr="00E745DB">
        <w:rPr>
          <w:sz w:val="22"/>
          <w:szCs w:val="20"/>
          <w:lang w:val="hr-HR"/>
        </w:rPr>
        <w:t>97 mg sakubitrila.</w:t>
      </w:r>
    </w:p>
    <w:p w14:paraId="03FA0B89" w14:textId="77777777" w:rsidR="00B96A91" w:rsidRDefault="00B96A91" w:rsidP="001B64BC">
      <w:pPr>
        <w:keepNext/>
        <w:widowControl w:val="0"/>
        <w:jc w:val="both"/>
        <w:rPr>
          <w:iCs/>
          <w:sz w:val="22"/>
          <w:szCs w:val="22"/>
          <w:u w:val="single"/>
          <w:lang w:val="hr-HR"/>
        </w:rPr>
      </w:pPr>
    </w:p>
    <w:p w14:paraId="2A99391F" w14:textId="77777777" w:rsidR="00B96A91" w:rsidRPr="00E745DB" w:rsidRDefault="00B96A91" w:rsidP="001B64BC">
      <w:pPr>
        <w:keepNext/>
        <w:widowControl w:val="0"/>
        <w:jc w:val="both"/>
        <w:rPr>
          <w:iCs/>
          <w:sz w:val="22"/>
          <w:szCs w:val="22"/>
          <w:u w:val="single"/>
          <w:lang w:val="hr-HR"/>
        </w:rPr>
      </w:pPr>
      <w:r w:rsidRPr="00E745DB">
        <w:rPr>
          <w:iCs/>
          <w:sz w:val="22"/>
          <w:szCs w:val="22"/>
          <w:u w:val="single"/>
          <w:lang w:val="hr-HR"/>
        </w:rPr>
        <w:t>Posebne populacije</w:t>
      </w:r>
    </w:p>
    <w:p w14:paraId="5331367F" w14:textId="77777777" w:rsidR="00B96A91" w:rsidRPr="00E745DB" w:rsidRDefault="00B96A91" w:rsidP="001B64BC">
      <w:pPr>
        <w:keepNext/>
        <w:widowControl w:val="0"/>
        <w:jc w:val="both"/>
        <w:outlineLvl w:val="0"/>
        <w:rPr>
          <w:sz w:val="22"/>
          <w:szCs w:val="22"/>
          <w:lang w:val="hr-HR"/>
        </w:rPr>
      </w:pPr>
    </w:p>
    <w:p w14:paraId="220496FB" w14:textId="0B243591" w:rsidR="00B96A91" w:rsidRPr="00E745DB" w:rsidRDefault="00B96A91" w:rsidP="001B64BC">
      <w:pPr>
        <w:keepNext/>
        <w:widowControl w:val="0"/>
        <w:outlineLvl w:val="0"/>
        <w:rPr>
          <w:i/>
          <w:sz w:val="22"/>
          <w:szCs w:val="22"/>
          <w:lang w:val="hr-HR"/>
        </w:rPr>
      </w:pPr>
      <w:r w:rsidRPr="00E745DB">
        <w:rPr>
          <w:i/>
          <w:sz w:val="22"/>
          <w:szCs w:val="22"/>
          <w:lang w:val="hr-HR"/>
        </w:rPr>
        <w:t>Starij</w:t>
      </w:r>
      <w:r w:rsidR="00B67A57">
        <w:rPr>
          <w:i/>
          <w:sz w:val="22"/>
          <w:szCs w:val="22"/>
          <w:lang w:val="hr-HR"/>
        </w:rPr>
        <w:t>e osobe</w:t>
      </w:r>
    </w:p>
    <w:p w14:paraId="2520E3CB" w14:textId="77777777" w:rsidR="00B96A91" w:rsidRPr="00E745DB" w:rsidRDefault="00B96A91" w:rsidP="001B64BC">
      <w:pPr>
        <w:widowControl w:val="0"/>
        <w:rPr>
          <w:bCs/>
          <w:sz w:val="22"/>
          <w:lang w:val="hr-HR"/>
        </w:rPr>
      </w:pPr>
      <w:r w:rsidRPr="00E745DB">
        <w:rPr>
          <w:bCs/>
          <w:sz w:val="22"/>
          <w:lang w:val="hr-HR"/>
        </w:rPr>
        <w:t>Izloženost LBQ657 i valsartan</w:t>
      </w:r>
      <w:r>
        <w:rPr>
          <w:bCs/>
          <w:sz w:val="22"/>
          <w:lang w:val="hr-HR"/>
        </w:rPr>
        <w:t>a</w:t>
      </w:r>
      <w:r w:rsidRPr="00E745DB">
        <w:rPr>
          <w:bCs/>
          <w:sz w:val="22"/>
          <w:lang w:val="hr-HR"/>
        </w:rPr>
        <w:t xml:space="preserve"> povećava se </w:t>
      </w:r>
      <w:r>
        <w:rPr>
          <w:bCs/>
          <w:sz w:val="22"/>
          <w:lang w:val="hr-HR"/>
        </w:rPr>
        <w:t>kod</w:t>
      </w:r>
      <w:r w:rsidRPr="00E745DB">
        <w:rPr>
          <w:bCs/>
          <w:sz w:val="22"/>
          <w:lang w:val="hr-HR"/>
        </w:rPr>
        <w:t xml:space="preserve"> ispitanika starijih od 65 godina za 42%, odnosno 30% u </w:t>
      </w:r>
      <w:r>
        <w:rPr>
          <w:bCs/>
          <w:sz w:val="22"/>
          <w:lang w:val="hr-HR"/>
        </w:rPr>
        <w:t xml:space="preserve">poređenju sa </w:t>
      </w:r>
      <w:r w:rsidRPr="00E745DB">
        <w:rPr>
          <w:bCs/>
          <w:sz w:val="22"/>
          <w:lang w:val="hr-HR"/>
        </w:rPr>
        <w:t>mlađim ispitanicima.</w:t>
      </w:r>
    </w:p>
    <w:p w14:paraId="79CF9698" w14:textId="77777777" w:rsidR="00B96A91" w:rsidRPr="00E745DB" w:rsidRDefault="00B96A91" w:rsidP="001B64BC">
      <w:pPr>
        <w:widowControl w:val="0"/>
        <w:outlineLvl w:val="0"/>
        <w:rPr>
          <w:sz w:val="22"/>
          <w:szCs w:val="22"/>
          <w:lang w:val="hr-HR"/>
        </w:rPr>
      </w:pPr>
    </w:p>
    <w:p w14:paraId="2BD139BC" w14:textId="1B73DA71" w:rsidR="00B96A91" w:rsidRPr="00E745DB" w:rsidRDefault="00B96A91" w:rsidP="001B64BC">
      <w:pPr>
        <w:keepNext/>
        <w:widowControl w:val="0"/>
        <w:outlineLvl w:val="0"/>
        <w:rPr>
          <w:i/>
          <w:sz w:val="22"/>
          <w:szCs w:val="22"/>
          <w:lang w:val="hr-HR"/>
        </w:rPr>
      </w:pPr>
      <w:r w:rsidRPr="00E745DB">
        <w:rPr>
          <w:i/>
          <w:sz w:val="22"/>
          <w:szCs w:val="22"/>
          <w:lang w:val="hr-HR"/>
        </w:rPr>
        <w:t>Oštećen</w:t>
      </w:r>
      <w:r w:rsidR="00B67A57">
        <w:rPr>
          <w:i/>
          <w:sz w:val="22"/>
          <w:szCs w:val="22"/>
          <w:lang w:val="hr-HR"/>
        </w:rPr>
        <w:t>je</w:t>
      </w:r>
      <w:r w:rsidRPr="00E745DB">
        <w:rPr>
          <w:i/>
          <w:sz w:val="22"/>
          <w:szCs w:val="22"/>
          <w:lang w:val="hr-HR"/>
        </w:rPr>
        <w:t xml:space="preserve"> bubre</w:t>
      </w:r>
      <w:r w:rsidR="00B67A57">
        <w:rPr>
          <w:i/>
          <w:sz w:val="22"/>
          <w:szCs w:val="22"/>
          <w:lang w:val="hr-HR"/>
        </w:rPr>
        <w:t>ga</w:t>
      </w:r>
    </w:p>
    <w:p w14:paraId="14A0A629" w14:textId="77777777" w:rsidR="00B96A91" w:rsidRPr="00E745DB" w:rsidRDefault="00B96A91" w:rsidP="001B64BC">
      <w:pPr>
        <w:widowControl w:val="0"/>
        <w:jc w:val="both"/>
        <w:rPr>
          <w:sz w:val="22"/>
          <w:lang w:val="hr-HR" w:eastAsia="ja-JP"/>
        </w:rPr>
      </w:pPr>
      <w:r w:rsidRPr="00E745DB">
        <w:rPr>
          <w:bCs/>
          <w:sz w:val="22"/>
          <w:lang w:val="hr-HR"/>
        </w:rPr>
        <w:t xml:space="preserve">Uočena je korelacija između bubrežne funkcije i sistemske izloženosti LBQ657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blagim do teškim oštećenjem </w:t>
      </w:r>
      <w:r>
        <w:rPr>
          <w:bCs/>
          <w:sz w:val="22"/>
          <w:lang w:val="hr-HR"/>
        </w:rPr>
        <w:t xml:space="preserve">funkcije </w:t>
      </w:r>
      <w:r w:rsidRPr="00E745DB">
        <w:rPr>
          <w:bCs/>
          <w:sz w:val="22"/>
          <w:lang w:val="hr-HR"/>
        </w:rPr>
        <w:t xml:space="preserve">bubrega. Izloženost LBQ657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um</w:t>
      </w:r>
      <w:r>
        <w:rPr>
          <w:bCs/>
          <w:sz w:val="22"/>
          <w:lang w:val="hr-HR"/>
        </w:rPr>
        <w:t>j</w:t>
      </w:r>
      <w:r w:rsidRPr="00E745DB">
        <w:rPr>
          <w:bCs/>
          <w:sz w:val="22"/>
          <w:lang w:val="hr-HR"/>
        </w:rPr>
        <w:t>erenim (30 ml/min/1,73 m</w:t>
      </w:r>
      <w:r w:rsidRPr="00E745DB">
        <w:rPr>
          <w:bCs/>
          <w:sz w:val="22"/>
          <w:vertAlign w:val="superscript"/>
          <w:lang w:val="hr-HR"/>
        </w:rPr>
        <w:t>2</w:t>
      </w:r>
      <w:r w:rsidRPr="00E745DB">
        <w:rPr>
          <w:bCs/>
          <w:sz w:val="22"/>
          <w:lang w:val="hr-HR"/>
        </w:rPr>
        <w:t xml:space="preserve"> ≤ eGFR &lt;60 ml/min/1,73 m</w:t>
      </w:r>
      <w:r w:rsidRPr="00E745DB">
        <w:rPr>
          <w:bCs/>
          <w:sz w:val="22"/>
          <w:vertAlign w:val="superscript"/>
          <w:lang w:val="hr-HR"/>
        </w:rPr>
        <w:t>2</w:t>
      </w:r>
      <w:r w:rsidRPr="00E745DB">
        <w:rPr>
          <w:bCs/>
          <w:sz w:val="22"/>
          <w:lang w:val="hr-HR"/>
        </w:rPr>
        <w:t>) i teškim oštećenjem</w:t>
      </w:r>
      <w:r>
        <w:rPr>
          <w:bCs/>
          <w:sz w:val="22"/>
          <w:lang w:val="hr-HR"/>
        </w:rPr>
        <w:t xml:space="preserve"> funkcije</w:t>
      </w:r>
      <w:r w:rsidRPr="00E745DB">
        <w:rPr>
          <w:bCs/>
          <w:sz w:val="22"/>
          <w:lang w:val="hr-HR"/>
        </w:rPr>
        <w:t xml:space="preserve"> bubrega (15 ml/min/1,73 m</w:t>
      </w:r>
      <w:r w:rsidRPr="00E745DB">
        <w:rPr>
          <w:bCs/>
          <w:sz w:val="22"/>
          <w:vertAlign w:val="superscript"/>
          <w:lang w:val="hr-HR"/>
        </w:rPr>
        <w:t>2</w:t>
      </w:r>
      <w:r w:rsidRPr="00E745DB">
        <w:rPr>
          <w:bCs/>
          <w:sz w:val="22"/>
          <w:lang w:val="hr-HR"/>
        </w:rPr>
        <w:t xml:space="preserve"> ≤ eGFR &lt;30 ml/min/1,73 m</w:t>
      </w:r>
      <w:r w:rsidRPr="00E745DB">
        <w:rPr>
          <w:bCs/>
          <w:sz w:val="22"/>
          <w:vertAlign w:val="superscript"/>
          <w:lang w:val="hr-HR"/>
        </w:rPr>
        <w:t>2</w:t>
      </w:r>
      <w:r w:rsidRPr="00E745DB">
        <w:rPr>
          <w:bCs/>
          <w:sz w:val="22"/>
          <w:lang w:val="hr-HR"/>
        </w:rPr>
        <w:t>) bila je 1,4</w:t>
      </w:r>
      <w:r>
        <w:rPr>
          <w:bCs/>
          <w:sz w:val="22"/>
          <w:lang w:val="hr-HR"/>
        </w:rPr>
        <w:t xml:space="preserve"> </w:t>
      </w:r>
      <w:r w:rsidRPr="00E745DB">
        <w:rPr>
          <w:bCs/>
          <w:sz w:val="22"/>
          <w:lang w:val="hr-HR"/>
        </w:rPr>
        <w:t>puta odnosno 2,2</w:t>
      </w:r>
      <w:r>
        <w:rPr>
          <w:bCs/>
          <w:sz w:val="22"/>
          <w:lang w:val="hr-HR"/>
        </w:rPr>
        <w:t xml:space="preserve"> </w:t>
      </w:r>
      <w:r w:rsidRPr="00E745DB">
        <w:rPr>
          <w:bCs/>
          <w:sz w:val="22"/>
          <w:lang w:val="hr-HR"/>
        </w:rPr>
        <w:t xml:space="preserve">puta viša u </w:t>
      </w:r>
      <w:r>
        <w:rPr>
          <w:bCs/>
          <w:sz w:val="22"/>
          <w:lang w:val="hr-HR"/>
        </w:rPr>
        <w:t>poređenju</w:t>
      </w:r>
      <w:r w:rsidRPr="00E745DB">
        <w:rPr>
          <w:bCs/>
          <w:sz w:val="22"/>
          <w:lang w:val="hr-HR"/>
        </w:rPr>
        <w:t xml:space="preserve"> s</w:t>
      </w:r>
      <w:r>
        <w:rPr>
          <w:bCs/>
          <w:sz w:val="22"/>
          <w:lang w:val="hr-HR"/>
        </w:rPr>
        <w:t>a</w:t>
      </w:r>
      <w:r w:rsidRPr="00E745DB">
        <w:rPr>
          <w:bCs/>
          <w:sz w:val="22"/>
          <w:lang w:val="hr-HR"/>
        </w:rPr>
        <w:t xml:space="preserve"> </w:t>
      </w:r>
      <w:r>
        <w:rPr>
          <w:bCs/>
          <w:sz w:val="22"/>
          <w:lang w:val="hr-HR"/>
        </w:rPr>
        <w:t>pacijent</w:t>
      </w:r>
      <w:r w:rsidRPr="00E745DB">
        <w:rPr>
          <w:bCs/>
          <w:sz w:val="22"/>
          <w:lang w:val="hr-HR"/>
        </w:rPr>
        <w:t>ima s</w:t>
      </w:r>
      <w:r>
        <w:rPr>
          <w:bCs/>
          <w:sz w:val="22"/>
          <w:lang w:val="hr-HR"/>
        </w:rPr>
        <w:t>a</w:t>
      </w:r>
      <w:r w:rsidRPr="00E745DB">
        <w:rPr>
          <w:bCs/>
          <w:sz w:val="22"/>
          <w:lang w:val="hr-HR"/>
        </w:rPr>
        <w:t xml:space="preserve"> blagim oštećenjem </w:t>
      </w:r>
      <w:r>
        <w:rPr>
          <w:bCs/>
          <w:sz w:val="22"/>
          <w:lang w:val="hr-HR"/>
        </w:rPr>
        <w:t xml:space="preserve">funkcije </w:t>
      </w:r>
      <w:r w:rsidRPr="00E745DB">
        <w:rPr>
          <w:bCs/>
          <w:sz w:val="22"/>
          <w:lang w:val="hr-HR"/>
        </w:rPr>
        <w:t>bubrega (60 ml/min/1,73 m</w:t>
      </w:r>
      <w:r w:rsidRPr="00E745DB">
        <w:rPr>
          <w:bCs/>
          <w:sz w:val="22"/>
          <w:vertAlign w:val="superscript"/>
          <w:lang w:val="hr-HR"/>
        </w:rPr>
        <w:t>2</w:t>
      </w:r>
      <w:r w:rsidRPr="00E745DB">
        <w:rPr>
          <w:bCs/>
          <w:sz w:val="22"/>
          <w:lang w:val="hr-HR"/>
        </w:rPr>
        <w:t xml:space="preserve"> ≤ eGFR &lt;90 ml/min/1,73 m</w:t>
      </w:r>
      <w:r w:rsidRPr="00E745DB">
        <w:rPr>
          <w:bCs/>
          <w:sz w:val="22"/>
          <w:vertAlign w:val="superscript"/>
          <w:lang w:val="hr-HR"/>
        </w:rPr>
        <w:t>2</w:t>
      </w:r>
      <w:r w:rsidRPr="00E745DB">
        <w:rPr>
          <w:bCs/>
          <w:sz w:val="22"/>
          <w:lang w:val="hr-HR"/>
        </w:rPr>
        <w:t xml:space="preserve">) koji su bili najveća </w:t>
      </w:r>
      <w:r>
        <w:rPr>
          <w:bCs/>
          <w:sz w:val="22"/>
          <w:lang w:val="hr-HR"/>
        </w:rPr>
        <w:t>grupa</w:t>
      </w:r>
      <w:r w:rsidRPr="00E745DB">
        <w:rPr>
          <w:bCs/>
          <w:sz w:val="22"/>
          <w:lang w:val="hr-HR"/>
        </w:rPr>
        <w:t xml:space="preserve"> </w:t>
      </w:r>
      <w:r>
        <w:rPr>
          <w:bCs/>
          <w:sz w:val="22"/>
          <w:lang w:val="hr-HR"/>
        </w:rPr>
        <w:t>pacijenata</w:t>
      </w:r>
      <w:r w:rsidRPr="00E745DB">
        <w:rPr>
          <w:bCs/>
          <w:sz w:val="22"/>
          <w:lang w:val="hr-HR"/>
        </w:rPr>
        <w:t xml:space="preserve"> uključen</w:t>
      </w:r>
      <w:r>
        <w:rPr>
          <w:bCs/>
          <w:sz w:val="22"/>
          <w:lang w:val="hr-HR"/>
        </w:rPr>
        <w:t>ih</w:t>
      </w:r>
      <w:r w:rsidRPr="00E745DB">
        <w:rPr>
          <w:bCs/>
          <w:sz w:val="22"/>
          <w:lang w:val="hr-HR"/>
        </w:rPr>
        <w:t xml:space="preserve"> u PARADIGM-HF. </w:t>
      </w:r>
      <w:r>
        <w:rPr>
          <w:bCs/>
          <w:sz w:val="22"/>
          <w:lang w:val="hr-HR"/>
        </w:rPr>
        <w:t xml:space="preserve">Izloženost valsartanu je bila slična kod pacijenata sa umjerenim i teškim oštećenjem bubrega u poređenju sa pacijentima sa blagim oštećenjem bubrega. </w:t>
      </w:r>
      <w:r w:rsidRPr="00E745DB">
        <w:rPr>
          <w:bCs/>
          <w:sz w:val="22"/>
          <w:lang w:val="hr-HR"/>
        </w:rPr>
        <w:t>Ni</w:t>
      </w:r>
      <w:r>
        <w:rPr>
          <w:bCs/>
          <w:sz w:val="22"/>
          <w:lang w:val="hr-HR"/>
        </w:rPr>
        <w:t>je</w:t>
      </w:r>
      <w:r w:rsidRPr="00E745DB">
        <w:rPr>
          <w:bCs/>
          <w:sz w:val="22"/>
          <w:lang w:val="hr-HR"/>
        </w:rPr>
        <w:t xml:space="preserve">su </w:t>
      </w:r>
      <w:r>
        <w:rPr>
          <w:bCs/>
          <w:sz w:val="22"/>
          <w:lang w:val="hr-HR"/>
        </w:rPr>
        <w:t>s</w:t>
      </w:r>
      <w:r w:rsidRPr="00E745DB">
        <w:rPr>
          <w:bCs/>
          <w:sz w:val="22"/>
          <w:lang w:val="hr-HR"/>
        </w:rPr>
        <w:t xml:space="preserve">provedena ispitivanja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koji su na dijalizi. Međutim, LBQ657 i valsartan </w:t>
      </w:r>
      <w:r>
        <w:rPr>
          <w:bCs/>
          <w:sz w:val="22"/>
          <w:lang w:val="hr-HR"/>
        </w:rPr>
        <w:t xml:space="preserve">se u </w:t>
      </w:r>
      <w:r w:rsidRPr="00E745DB">
        <w:rPr>
          <w:bCs/>
          <w:sz w:val="22"/>
          <w:lang w:val="hr-HR"/>
        </w:rPr>
        <w:t xml:space="preserve">velikoj </w:t>
      </w:r>
      <w:r>
        <w:rPr>
          <w:bCs/>
          <w:sz w:val="22"/>
          <w:lang w:val="hr-HR"/>
        </w:rPr>
        <w:t>mj</w:t>
      </w:r>
      <w:r w:rsidRPr="00E745DB">
        <w:rPr>
          <w:bCs/>
          <w:sz w:val="22"/>
          <w:lang w:val="hr-HR"/>
        </w:rPr>
        <w:t>eri ve</w:t>
      </w:r>
      <w:r>
        <w:rPr>
          <w:bCs/>
          <w:sz w:val="22"/>
          <w:lang w:val="hr-HR"/>
        </w:rPr>
        <w:t>zuju</w:t>
      </w:r>
      <w:r w:rsidRPr="00E745DB">
        <w:rPr>
          <w:bCs/>
          <w:sz w:val="22"/>
          <w:lang w:val="hr-HR"/>
        </w:rPr>
        <w:t xml:space="preserve"> za protein</w:t>
      </w:r>
      <w:r>
        <w:rPr>
          <w:bCs/>
          <w:sz w:val="22"/>
          <w:lang w:val="hr-HR"/>
        </w:rPr>
        <w:t>e</w:t>
      </w:r>
      <w:r w:rsidRPr="00E745DB">
        <w:rPr>
          <w:bCs/>
          <w:sz w:val="22"/>
          <w:lang w:val="hr-HR"/>
        </w:rPr>
        <w:t xml:space="preserve"> plazm</w:t>
      </w:r>
      <w:r>
        <w:rPr>
          <w:bCs/>
          <w:sz w:val="22"/>
          <w:lang w:val="hr-HR"/>
        </w:rPr>
        <w:t>e</w:t>
      </w:r>
      <w:r w:rsidRPr="00E745DB">
        <w:rPr>
          <w:bCs/>
          <w:sz w:val="22"/>
          <w:lang w:val="hr-HR"/>
        </w:rPr>
        <w:t xml:space="preserve"> i </w:t>
      </w:r>
      <w:r>
        <w:rPr>
          <w:bCs/>
          <w:sz w:val="22"/>
          <w:lang w:val="hr-HR"/>
        </w:rPr>
        <w:t xml:space="preserve">zbog toga </w:t>
      </w:r>
      <w:r w:rsidRPr="00E745DB">
        <w:rPr>
          <w:bCs/>
          <w:sz w:val="22"/>
          <w:lang w:val="hr-HR"/>
        </w:rPr>
        <w:t>je malo v</w:t>
      </w:r>
      <w:r>
        <w:rPr>
          <w:bCs/>
          <w:sz w:val="22"/>
          <w:lang w:val="hr-HR"/>
        </w:rPr>
        <w:t>j</w:t>
      </w:r>
      <w:r w:rsidRPr="00E745DB">
        <w:rPr>
          <w:bCs/>
          <w:sz w:val="22"/>
          <w:lang w:val="hr-HR"/>
        </w:rPr>
        <w:t>ero</w:t>
      </w:r>
      <w:r>
        <w:rPr>
          <w:bCs/>
          <w:sz w:val="22"/>
          <w:lang w:val="hr-HR"/>
        </w:rPr>
        <w:t>v</w:t>
      </w:r>
      <w:r w:rsidRPr="00E745DB">
        <w:rPr>
          <w:bCs/>
          <w:sz w:val="22"/>
          <w:lang w:val="hr-HR"/>
        </w:rPr>
        <w:t>atno da će se ukloniti dijalizom.</w:t>
      </w:r>
    </w:p>
    <w:p w14:paraId="72132398" w14:textId="77777777" w:rsidR="00B96A91" w:rsidRPr="00E745DB" w:rsidRDefault="00B96A91" w:rsidP="001B64BC">
      <w:pPr>
        <w:widowControl w:val="0"/>
        <w:rPr>
          <w:sz w:val="22"/>
          <w:szCs w:val="22"/>
          <w:lang w:val="hr-HR"/>
        </w:rPr>
      </w:pPr>
    </w:p>
    <w:p w14:paraId="634980F7" w14:textId="72B2C6B0" w:rsidR="00B96A91" w:rsidRPr="00E745DB" w:rsidRDefault="00B96A91" w:rsidP="001B64BC">
      <w:pPr>
        <w:keepNext/>
        <w:widowControl w:val="0"/>
        <w:jc w:val="both"/>
        <w:outlineLvl w:val="0"/>
        <w:rPr>
          <w:i/>
          <w:sz w:val="22"/>
          <w:szCs w:val="22"/>
          <w:lang w:val="hr-HR"/>
        </w:rPr>
      </w:pPr>
      <w:r w:rsidRPr="00E745DB">
        <w:rPr>
          <w:i/>
          <w:sz w:val="22"/>
          <w:szCs w:val="22"/>
          <w:lang w:val="hr-HR"/>
        </w:rPr>
        <w:t>Oštećen</w:t>
      </w:r>
      <w:r w:rsidR="00B67A57">
        <w:rPr>
          <w:i/>
          <w:sz w:val="22"/>
          <w:szCs w:val="22"/>
          <w:lang w:val="hr-HR"/>
        </w:rPr>
        <w:t>je</w:t>
      </w:r>
      <w:r w:rsidRPr="00E745DB">
        <w:rPr>
          <w:i/>
          <w:sz w:val="22"/>
          <w:szCs w:val="22"/>
          <w:lang w:val="hr-HR"/>
        </w:rPr>
        <w:t xml:space="preserve"> </w:t>
      </w:r>
      <w:r>
        <w:rPr>
          <w:i/>
          <w:sz w:val="22"/>
          <w:szCs w:val="22"/>
          <w:lang w:val="hr-HR"/>
        </w:rPr>
        <w:t>jetre</w:t>
      </w:r>
    </w:p>
    <w:p w14:paraId="15E58296" w14:textId="4141098B" w:rsidR="00B96A91" w:rsidRPr="00E745DB" w:rsidRDefault="00B96A91" w:rsidP="001B64BC">
      <w:pPr>
        <w:widowControl w:val="0"/>
        <w:jc w:val="both"/>
        <w:rPr>
          <w:color w:val="000000"/>
          <w:sz w:val="23"/>
          <w:szCs w:val="23"/>
          <w:lang w:val="hr-HR"/>
        </w:rPr>
      </w:pPr>
      <w:r>
        <w:rPr>
          <w:bCs/>
          <w:sz w:val="22"/>
          <w:lang w:val="hr-HR"/>
        </w:rPr>
        <w:t>Kod pacijenata</w:t>
      </w:r>
      <w:r w:rsidRPr="00E745DB">
        <w:rPr>
          <w:bCs/>
          <w:sz w:val="22"/>
          <w:lang w:val="hr-HR"/>
        </w:rPr>
        <w:t xml:space="preserve"> s</w:t>
      </w:r>
      <w:r>
        <w:rPr>
          <w:bCs/>
          <w:sz w:val="22"/>
          <w:lang w:val="hr-HR"/>
        </w:rPr>
        <w:t>a blagim do umj</w:t>
      </w:r>
      <w:r w:rsidRPr="00E745DB">
        <w:rPr>
          <w:bCs/>
          <w:sz w:val="22"/>
          <w:lang w:val="hr-HR"/>
        </w:rPr>
        <w:t>erenim oštećenjem jetre, izloženost</w:t>
      </w:r>
      <w:r>
        <w:rPr>
          <w:bCs/>
          <w:sz w:val="22"/>
          <w:lang w:val="hr-HR"/>
        </w:rPr>
        <w:t xml:space="preserve"> sakubitrilu povećala se </w:t>
      </w:r>
      <w:r w:rsidRPr="00E745DB">
        <w:rPr>
          <w:bCs/>
          <w:sz w:val="22"/>
          <w:lang w:val="hr-HR"/>
        </w:rPr>
        <w:t>za 1,5, odnosno 3,4 puta, LB</w:t>
      </w:r>
      <w:r>
        <w:rPr>
          <w:bCs/>
          <w:sz w:val="22"/>
          <w:lang w:val="hr-HR"/>
        </w:rPr>
        <w:t>Q657 za 1,5, odnosno 1,9 puta, i</w:t>
      </w:r>
      <w:r w:rsidRPr="00E745DB">
        <w:rPr>
          <w:bCs/>
          <w:sz w:val="22"/>
          <w:lang w:val="hr-HR"/>
        </w:rPr>
        <w:t xml:space="preserve"> valsartanu za 1,2, odnosno 2,1 puta, u </w:t>
      </w:r>
      <w:r>
        <w:rPr>
          <w:bCs/>
          <w:sz w:val="22"/>
          <w:lang w:val="hr-HR"/>
        </w:rPr>
        <w:t xml:space="preserve">poređenju </w:t>
      </w:r>
      <w:r w:rsidRPr="00E745DB">
        <w:rPr>
          <w:bCs/>
          <w:sz w:val="22"/>
          <w:lang w:val="hr-HR"/>
        </w:rPr>
        <w:t>s</w:t>
      </w:r>
      <w:r>
        <w:rPr>
          <w:bCs/>
          <w:sz w:val="22"/>
          <w:lang w:val="hr-HR"/>
        </w:rPr>
        <w:t>a</w:t>
      </w:r>
      <w:r w:rsidRPr="00E745DB">
        <w:rPr>
          <w:bCs/>
          <w:sz w:val="22"/>
          <w:lang w:val="hr-HR"/>
        </w:rPr>
        <w:t xml:space="preserve"> odgovarajućim zdravim ispitanicima. Međutim,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blagim do um</w:t>
      </w:r>
      <w:r>
        <w:rPr>
          <w:bCs/>
          <w:sz w:val="22"/>
          <w:lang w:val="hr-HR"/>
        </w:rPr>
        <w:t>j</w:t>
      </w:r>
      <w:r w:rsidRPr="00E745DB">
        <w:rPr>
          <w:bCs/>
          <w:sz w:val="22"/>
          <w:lang w:val="hr-HR"/>
        </w:rPr>
        <w:t>erenim oštećenjem jetre</w:t>
      </w:r>
      <w:r>
        <w:rPr>
          <w:bCs/>
          <w:sz w:val="22"/>
          <w:lang w:val="hr-HR"/>
        </w:rPr>
        <w:t>,</w:t>
      </w:r>
      <w:r w:rsidRPr="00E745DB">
        <w:rPr>
          <w:bCs/>
          <w:sz w:val="22"/>
          <w:lang w:val="hr-HR"/>
        </w:rPr>
        <w:t xml:space="preserve"> izloženost</w:t>
      </w:r>
      <w:r>
        <w:rPr>
          <w:bCs/>
          <w:sz w:val="22"/>
          <w:lang w:val="hr-HR"/>
        </w:rPr>
        <w:t>i</w:t>
      </w:r>
      <w:r w:rsidRPr="00E745DB">
        <w:rPr>
          <w:bCs/>
          <w:sz w:val="22"/>
          <w:lang w:val="hr-HR"/>
        </w:rPr>
        <w:t xml:space="preserve"> slobodnih koncentracija LBQ657 </w:t>
      </w:r>
      <w:r>
        <w:rPr>
          <w:bCs/>
          <w:sz w:val="22"/>
          <w:lang w:val="hr-HR"/>
        </w:rPr>
        <w:t xml:space="preserve">su se </w:t>
      </w:r>
      <w:r w:rsidRPr="00E745DB">
        <w:rPr>
          <w:bCs/>
          <w:sz w:val="22"/>
          <w:lang w:val="hr-HR"/>
        </w:rPr>
        <w:t xml:space="preserve">povećale za 1,47 odnosno 3,08 puta, a izloženosti slobodnih koncentracija valsartana povećale su se za 1,09 odnosno 2,20 puta, u </w:t>
      </w:r>
      <w:r>
        <w:rPr>
          <w:bCs/>
          <w:sz w:val="22"/>
          <w:lang w:val="hr-HR"/>
        </w:rPr>
        <w:t>poređenju</w:t>
      </w:r>
      <w:r w:rsidRPr="00E745DB">
        <w:rPr>
          <w:bCs/>
          <w:sz w:val="22"/>
          <w:lang w:val="hr-HR"/>
        </w:rPr>
        <w:t xml:space="preserve"> s</w:t>
      </w:r>
      <w:r>
        <w:rPr>
          <w:bCs/>
          <w:sz w:val="22"/>
          <w:lang w:val="hr-HR"/>
        </w:rPr>
        <w:t>a</w:t>
      </w:r>
      <w:r w:rsidRPr="00E745DB">
        <w:rPr>
          <w:bCs/>
          <w:sz w:val="22"/>
          <w:lang w:val="hr-HR"/>
        </w:rPr>
        <w:t xml:space="preserve"> odgovarajućim zdravim ispitanicima. </w:t>
      </w:r>
      <w:r>
        <w:rPr>
          <w:bCs/>
          <w:sz w:val="22"/>
          <w:lang w:val="hr-HR"/>
        </w:rPr>
        <w:t>Valsartan/sakubitril</w:t>
      </w:r>
      <w:r w:rsidRPr="00E745DB">
        <w:rPr>
          <w:bCs/>
          <w:sz w:val="22"/>
          <w:lang w:val="hr-HR"/>
        </w:rPr>
        <w:t xml:space="preserve"> nije bio ispitivan </w:t>
      </w:r>
      <w:r>
        <w:rPr>
          <w:bCs/>
          <w:sz w:val="22"/>
          <w:lang w:val="hr-HR"/>
        </w:rPr>
        <w:t>kod</w:t>
      </w:r>
      <w:r w:rsidRPr="00E745DB">
        <w:rPr>
          <w:bCs/>
          <w:sz w:val="22"/>
          <w:lang w:val="hr-HR"/>
        </w:rPr>
        <w:t xml:space="preserve"> </w:t>
      </w:r>
      <w:r>
        <w:rPr>
          <w:bCs/>
          <w:sz w:val="22"/>
          <w:lang w:val="hr-HR"/>
        </w:rPr>
        <w:t>pacijenata</w:t>
      </w:r>
      <w:r w:rsidRPr="00E745DB">
        <w:rPr>
          <w:bCs/>
          <w:sz w:val="22"/>
          <w:lang w:val="hr-HR"/>
        </w:rPr>
        <w:t xml:space="preserve"> s</w:t>
      </w:r>
      <w:r>
        <w:rPr>
          <w:bCs/>
          <w:sz w:val="22"/>
          <w:lang w:val="hr-HR"/>
        </w:rPr>
        <w:t>a</w:t>
      </w:r>
      <w:r w:rsidRPr="00E745DB">
        <w:rPr>
          <w:bCs/>
          <w:sz w:val="22"/>
          <w:lang w:val="hr-HR"/>
        </w:rPr>
        <w:t xml:space="preserve"> teškim oštećenjem jetre, bilijarnom cirozom ili </w:t>
      </w:r>
      <w:r>
        <w:rPr>
          <w:bCs/>
          <w:sz w:val="22"/>
          <w:lang w:val="hr-HR"/>
        </w:rPr>
        <w:t>h</w:t>
      </w:r>
      <w:r w:rsidRPr="00E745DB">
        <w:rPr>
          <w:bCs/>
          <w:sz w:val="22"/>
          <w:lang w:val="hr-HR"/>
        </w:rPr>
        <w:t>olestazom (</w:t>
      </w:r>
      <w:r>
        <w:rPr>
          <w:bCs/>
          <w:sz w:val="22"/>
          <w:lang w:val="hr-HR"/>
        </w:rPr>
        <w:t>vidjeti</w:t>
      </w:r>
      <w:r w:rsidRPr="00E745DB">
        <w:rPr>
          <w:bCs/>
          <w:sz w:val="22"/>
          <w:lang w:val="hr-HR"/>
        </w:rPr>
        <w:t xml:space="preserve"> </w:t>
      </w:r>
      <w:r w:rsidR="00DC06D6">
        <w:rPr>
          <w:bCs/>
          <w:sz w:val="22"/>
          <w:lang w:val="hr-HR"/>
        </w:rPr>
        <w:t>djelove</w:t>
      </w:r>
      <w:r w:rsidR="00DC06D6" w:rsidRPr="00E745DB">
        <w:rPr>
          <w:bCs/>
          <w:sz w:val="22"/>
          <w:lang w:val="hr-HR"/>
        </w:rPr>
        <w:t> </w:t>
      </w:r>
      <w:r w:rsidRPr="00E745DB">
        <w:rPr>
          <w:bCs/>
          <w:sz w:val="22"/>
          <w:lang w:val="hr-HR"/>
        </w:rPr>
        <w:t>4.3 i 4.4).</w:t>
      </w:r>
    </w:p>
    <w:p w14:paraId="20CF7BD3" w14:textId="77777777" w:rsidR="00B96A91" w:rsidRPr="00E745DB" w:rsidRDefault="00B96A91" w:rsidP="001B64BC">
      <w:pPr>
        <w:widowControl w:val="0"/>
        <w:jc w:val="both"/>
        <w:rPr>
          <w:sz w:val="22"/>
          <w:lang w:val="hr-HR" w:eastAsia="ja-JP"/>
        </w:rPr>
      </w:pPr>
    </w:p>
    <w:p w14:paraId="52CE247E" w14:textId="77777777" w:rsidR="00B96A91" w:rsidRPr="00E745DB" w:rsidRDefault="00B96A91" w:rsidP="001B64BC">
      <w:pPr>
        <w:keepNext/>
        <w:widowControl w:val="0"/>
        <w:jc w:val="both"/>
        <w:outlineLvl w:val="0"/>
        <w:rPr>
          <w:i/>
          <w:sz w:val="22"/>
          <w:szCs w:val="22"/>
          <w:lang w:val="hr-HR"/>
        </w:rPr>
      </w:pPr>
      <w:r>
        <w:rPr>
          <w:i/>
          <w:sz w:val="22"/>
          <w:szCs w:val="22"/>
          <w:lang w:val="hr-HR"/>
        </w:rPr>
        <w:t xml:space="preserve">Pol </w:t>
      </w:r>
    </w:p>
    <w:p w14:paraId="495AE39E" w14:textId="77777777" w:rsidR="00B96A91" w:rsidRPr="00E745DB" w:rsidRDefault="00B96A91" w:rsidP="001B64BC">
      <w:pPr>
        <w:widowControl w:val="0"/>
        <w:jc w:val="both"/>
        <w:rPr>
          <w:bCs/>
          <w:sz w:val="22"/>
          <w:lang w:val="hr-HR"/>
        </w:rPr>
      </w:pPr>
      <w:r w:rsidRPr="00E745DB">
        <w:rPr>
          <w:bCs/>
          <w:sz w:val="22"/>
          <w:lang w:val="hr-HR"/>
        </w:rPr>
        <w:t>Farmakokinetika</w:t>
      </w:r>
      <w:r>
        <w:rPr>
          <w:bCs/>
          <w:sz w:val="22"/>
          <w:lang w:val="hr-HR"/>
        </w:rPr>
        <w:t xml:space="preserve"> valsartan/sakubitril</w:t>
      </w:r>
      <w:r w:rsidRPr="00E745DB">
        <w:rPr>
          <w:bCs/>
          <w:sz w:val="22"/>
          <w:lang w:val="hr-HR"/>
        </w:rPr>
        <w:t xml:space="preserve"> (sakubitrila, LBQ657 i valsartana) slična je između muških i ženskih ispitanika.</w:t>
      </w:r>
    </w:p>
    <w:p w14:paraId="081683DF" w14:textId="1632294D" w:rsidR="00B96A91" w:rsidRPr="00AB63CB" w:rsidRDefault="00B96A91" w:rsidP="001B64BC">
      <w:pPr>
        <w:tabs>
          <w:tab w:val="left" w:pos="540"/>
          <w:tab w:val="left" w:pos="569"/>
        </w:tabs>
        <w:rPr>
          <w:bCs/>
          <w:sz w:val="20"/>
          <w:szCs w:val="20"/>
        </w:rPr>
      </w:pPr>
    </w:p>
    <w:p w14:paraId="6ACE050A" w14:textId="77777777" w:rsidR="00B67A57" w:rsidRPr="00AB63CB" w:rsidRDefault="00B67A57" w:rsidP="001B64BC">
      <w:pPr>
        <w:keepNext/>
        <w:keepLines/>
        <w:jc w:val="both"/>
        <w:rPr>
          <w:bCs/>
          <w:sz w:val="22"/>
          <w:szCs w:val="22"/>
          <w:u w:val="single"/>
          <w:lang w:val="hr-HR"/>
        </w:rPr>
      </w:pPr>
      <w:r w:rsidRPr="00AB63CB">
        <w:rPr>
          <w:bCs/>
          <w:sz w:val="22"/>
          <w:szCs w:val="22"/>
          <w:u w:val="single"/>
          <w:lang w:val="hr-HR"/>
        </w:rPr>
        <w:t>Pedijatrijska populacija</w:t>
      </w:r>
    </w:p>
    <w:p w14:paraId="7CA43A0E" w14:textId="77777777" w:rsidR="00B67A57" w:rsidRPr="00AB63CB" w:rsidRDefault="00B67A57" w:rsidP="001B64BC">
      <w:pPr>
        <w:keepNext/>
        <w:keepLines/>
        <w:jc w:val="both"/>
        <w:rPr>
          <w:bCs/>
          <w:sz w:val="22"/>
          <w:szCs w:val="22"/>
          <w:lang w:val="hr-HR"/>
        </w:rPr>
      </w:pPr>
    </w:p>
    <w:p w14:paraId="0C952416" w14:textId="492221D5" w:rsidR="00B67A57" w:rsidRPr="00AB63CB" w:rsidRDefault="00B67A57" w:rsidP="001B64BC">
      <w:pPr>
        <w:jc w:val="both"/>
        <w:rPr>
          <w:bCs/>
          <w:sz w:val="22"/>
          <w:szCs w:val="22"/>
          <w:lang w:val="hr-HR"/>
        </w:rPr>
      </w:pPr>
      <w:r w:rsidRPr="00AB63CB">
        <w:rPr>
          <w:sz w:val="22"/>
          <w:szCs w:val="22"/>
          <w:lang w:val="hr-HR" w:eastAsia="ja-JP"/>
        </w:rPr>
        <w:t>Farmakokinetika valsartan/sakubitril</w:t>
      </w:r>
      <w:r w:rsidRPr="00AB63CB">
        <w:rPr>
          <w:sz w:val="22"/>
          <w:szCs w:val="22"/>
          <w:lang w:val="hr-HR"/>
        </w:rPr>
        <w:t>a je oc</w:t>
      </w:r>
      <w:r w:rsidR="009F418C">
        <w:rPr>
          <w:sz w:val="22"/>
          <w:szCs w:val="22"/>
          <w:lang w:val="hr-HR"/>
        </w:rPr>
        <w:t>j</w:t>
      </w:r>
      <w:r w:rsidRPr="00AB63CB">
        <w:rPr>
          <w:sz w:val="22"/>
          <w:szCs w:val="22"/>
          <w:lang w:val="hr-HR"/>
        </w:rPr>
        <w:t>enjivana kod pedijatrijskih pacijenata sa insuficijencijom srca uzrasta od 1 m</w:t>
      </w:r>
      <w:r w:rsidR="009F418C">
        <w:rPr>
          <w:sz w:val="22"/>
          <w:szCs w:val="22"/>
          <w:lang w:val="hr-HR"/>
        </w:rPr>
        <w:t>j</w:t>
      </w:r>
      <w:r w:rsidRPr="00AB63CB">
        <w:rPr>
          <w:sz w:val="22"/>
          <w:szCs w:val="22"/>
          <w:lang w:val="hr-HR"/>
        </w:rPr>
        <w:t xml:space="preserve">eseca do </w:t>
      </w:r>
      <w:r w:rsidRPr="00AB63CB">
        <w:rPr>
          <w:sz w:val="22"/>
          <w:szCs w:val="22"/>
          <w:lang w:val="hr-HR" w:eastAsia="ja-JP"/>
        </w:rPr>
        <w:t>&lt;1 godine i od 1 godine do &lt;18 godina i ukazala je da je farmakokinetički profil valsartan/sakubitril</w:t>
      </w:r>
      <w:r w:rsidRPr="00AB63CB">
        <w:rPr>
          <w:sz w:val="22"/>
          <w:szCs w:val="22"/>
          <w:lang w:val="hr-HR"/>
        </w:rPr>
        <w:t>a kod pedijatrijskih i odraslih pacijenata sličan</w:t>
      </w:r>
      <w:r w:rsidRPr="00AB63CB">
        <w:rPr>
          <w:sz w:val="22"/>
          <w:szCs w:val="22"/>
          <w:lang w:val="hr-HR" w:eastAsia="ja-JP"/>
        </w:rPr>
        <w:t>.</w:t>
      </w:r>
    </w:p>
    <w:p w14:paraId="1D673BA0" w14:textId="77777777" w:rsidR="00B67A57" w:rsidRPr="00786071" w:rsidRDefault="00B67A57" w:rsidP="001B64BC">
      <w:pPr>
        <w:tabs>
          <w:tab w:val="left" w:pos="540"/>
          <w:tab w:val="left" w:pos="569"/>
        </w:tabs>
        <w:jc w:val="both"/>
        <w:rPr>
          <w:bCs/>
          <w:sz w:val="22"/>
          <w:szCs w:val="22"/>
        </w:rPr>
      </w:pPr>
    </w:p>
    <w:p w14:paraId="4FA936EB" w14:textId="77777777" w:rsidR="0072020E" w:rsidRPr="00786071" w:rsidRDefault="0072020E" w:rsidP="001B64BC">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proofErr w:type="spellStart"/>
      <w:r w:rsidRPr="00786071">
        <w:rPr>
          <w:b/>
          <w:bCs/>
          <w:sz w:val="22"/>
          <w:szCs w:val="22"/>
        </w:rPr>
        <w:t>Pretklinički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o </w:t>
      </w:r>
      <w:proofErr w:type="spellStart"/>
      <w:r w:rsidRPr="00786071">
        <w:rPr>
          <w:b/>
          <w:bCs/>
          <w:sz w:val="22"/>
          <w:szCs w:val="22"/>
        </w:rPr>
        <w:t>bezbjednosti</w:t>
      </w:r>
      <w:proofErr w:type="spellEnd"/>
      <w:r w:rsidRPr="00786071">
        <w:rPr>
          <w:b/>
          <w:bCs/>
          <w:sz w:val="22"/>
          <w:szCs w:val="22"/>
        </w:rPr>
        <w:t xml:space="preserve"> </w:t>
      </w:r>
    </w:p>
    <w:p w14:paraId="29ACB2BC" w14:textId="77777777" w:rsidR="00836B35" w:rsidRPr="00786071" w:rsidRDefault="00836B35" w:rsidP="001B64BC">
      <w:pPr>
        <w:tabs>
          <w:tab w:val="left" w:pos="540"/>
          <w:tab w:val="left" w:pos="569"/>
        </w:tabs>
        <w:rPr>
          <w:bCs/>
          <w:sz w:val="22"/>
          <w:szCs w:val="22"/>
        </w:rPr>
      </w:pPr>
    </w:p>
    <w:p w14:paraId="59B63A2A" w14:textId="620E180E" w:rsidR="00B96A91" w:rsidRPr="00E745DB" w:rsidRDefault="00B96A91" w:rsidP="001B64BC">
      <w:pPr>
        <w:widowControl w:val="0"/>
        <w:jc w:val="both"/>
        <w:rPr>
          <w:bCs/>
          <w:sz w:val="22"/>
          <w:lang w:val="hr-HR"/>
        </w:rPr>
      </w:pPr>
      <w:r>
        <w:rPr>
          <w:bCs/>
          <w:sz w:val="22"/>
          <w:lang w:val="sr-Latn-CS"/>
        </w:rPr>
        <w:t>Pret</w:t>
      </w:r>
      <w:r w:rsidRPr="00E745DB">
        <w:rPr>
          <w:bCs/>
          <w:sz w:val="22"/>
          <w:lang w:val="hr-HR"/>
        </w:rPr>
        <w:t>klinički podaci (uključujući ispitivanja s</w:t>
      </w:r>
      <w:r>
        <w:rPr>
          <w:bCs/>
          <w:sz w:val="22"/>
          <w:lang w:val="hr-HR"/>
        </w:rPr>
        <w:t>a</w:t>
      </w:r>
      <w:r w:rsidRPr="00E745DB">
        <w:rPr>
          <w:bCs/>
          <w:sz w:val="22"/>
          <w:lang w:val="hr-HR"/>
        </w:rPr>
        <w:t xml:space="preserve"> komponentama s</w:t>
      </w:r>
      <w:r>
        <w:rPr>
          <w:bCs/>
          <w:sz w:val="22"/>
          <w:lang w:val="hr-HR"/>
        </w:rPr>
        <w:t xml:space="preserve">akubitrilom i valsartanom i/ili </w:t>
      </w:r>
      <w:r>
        <w:rPr>
          <w:bCs/>
          <w:sz w:val="22"/>
          <w:lang w:val="hr-HR"/>
        </w:rPr>
        <w:lastRenderedPageBreak/>
        <w:t>valsartan/sakubitril</w:t>
      </w:r>
      <w:r w:rsidRPr="00E745DB">
        <w:rPr>
          <w:bCs/>
          <w:sz w:val="22"/>
          <w:lang w:val="hr-HR"/>
        </w:rPr>
        <w:t xml:space="preserve">) ne ukazuju na poseban rizik za ljude na </w:t>
      </w:r>
      <w:r>
        <w:rPr>
          <w:bCs/>
          <w:sz w:val="22"/>
          <w:lang w:val="hr-HR"/>
        </w:rPr>
        <w:t xml:space="preserve">osnovu </w:t>
      </w:r>
      <w:r w:rsidRPr="00E745DB">
        <w:rPr>
          <w:bCs/>
          <w:sz w:val="22"/>
          <w:lang w:val="hr-HR"/>
        </w:rPr>
        <w:t xml:space="preserve">konvencionalnih ispitivanja </w:t>
      </w:r>
      <w:r>
        <w:rPr>
          <w:bCs/>
          <w:sz w:val="22"/>
          <w:lang w:val="hr-HR"/>
        </w:rPr>
        <w:t>bezbjednosne</w:t>
      </w:r>
      <w:r w:rsidRPr="00E745DB">
        <w:rPr>
          <w:bCs/>
          <w:sz w:val="22"/>
          <w:lang w:val="hr-HR"/>
        </w:rPr>
        <w:t xml:space="preserve"> farmakologije, toksičnosti ponovljenih doza, genotoksičnosti, ka</w:t>
      </w:r>
      <w:r w:rsidR="009520F2">
        <w:rPr>
          <w:bCs/>
          <w:sz w:val="22"/>
          <w:lang w:val="hr-HR"/>
        </w:rPr>
        <w:t>rcinogenosti</w:t>
      </w:r>
      <w:r w:rsidRPr="00E745DB">
        <w:rPr>
          <w:bCs/>
          <w:sz w:val="22"/>
          <w:lang w:val="hr-HR"/>
        </w:rPr>
        <w:t xml:space="preserve"> i </w:t>
      </w:r>
      <w:r w:rsidR="00CD599F">
        <w:rPr>
          <w:bCs/>
          <w:sz w:val="22"/>
          <w:lang w:val="hr-HR"/>
        </w:rPr>
        <w:t>plodnosti</w:t>
      </w:r>
      <w:r w:rsidRPr="00E745DB">
        <w:rPr>
          <w:bCs/>
          <w:sz w:val="22"/>
          <w:lang w:val="hr-HR"/>
        </w:rPr>
        <w:t>.</w:t>
      </w:r>
    </w:p>
    <w:p w14:paraId="3EE255E5" w14:textId="77777777" w:rsidR="00B96A91" w:rsidRPr="00E745DB" w:rsidRDefault="00B96A91" w:rsidP="001B64BC">
      <w:pPr>
        <w:widowControl w:val="0"/>
        <w:rPr>
          <w:bCs/>
          <w:sz w:val="22"/>
          <w:lang w:val="hr-HR"/>
        </w:rPr>
      </w:pPr>
    </w:p>
    <w:p w14:paraId="0C05F69B" w14:textId="04C3A5DC" w:rsidR="00B96A91" w:rsidRPr="00E745DB" w:rsidRDefault="00CD599F" w:rsidP="001B64BC">
      <w:pPr>
        <w:keepNext/>
        <w:widowControl w:val="0"/>
        <w:jc w:val="both"/>
        <w:outlineLvl w:val="0"/>
        <w:rPr>
          <w:sz w:val="22"/>
          <w:szCs w:val="22"/>
          <w:u w:val="single"/>
          <w:lang w:val="hr-HR"/>
        </w:rPr>
      </w:pPr>
      <w:r>
        <w:rPr>
          <w:sz w:val="22"/>
          <w:szCs w:val="22"/>
          <w:u w:val="single"/>
          <w:lang w:val="hr-HR"/>
        </w:rPr>
        <w:t>Plodnost</w:t>
      </w:r>
      <w:r w:rsidR="00B96A91">
        <w:rPr>
          <w:sz w:val="22"/>
          <w:szCs w:val="22"/>
          <w:u w:val="single"/>
          <w:lang w:val="hr-HR"/>
        </w:rPr>
        <w:t>,</w:t>
      </w:r>
      <w:r w:rsidR="00B96A91" w:rsidRPr="00E745DB">
        <w:rPr>
          <w:sz w:val="22"/>
          <w:szCs w:val="22"/>
          <w:u w:val="single"/>
          <w:lang w:val="hr-HR"/>
        </w:rPr>
        <w:t xml:space="preserve"> </w:t>
      </w:r>
      <w:r w:rsidR="00B96A91">
        <w:rPr>
          <w:sz w:val="22"/>
          <w:szCs w:val="22"/>
          <w:u w:val="single"/>
          <w:lang w:val="hr-HR"/>
        </w:rPr>
        <w:t>reprodukcija</w:t>
      </w:r>
      <w:r w:rsidR="00B96A91" w:rsidRPr="00E745DB">
        <w:rPr>
          <w:sz w:val="22"/>
          <w:szCs w:val="22"/>
          <w:u w:val="single"/>
          <w:lang w:val="hr-HR"/>
        </w:rPr>
        <w:t xml:space="preserve"> i razvoj</w:t>
      </w:r>
    </w:p>
    <w:p w14:paraId="5BD24590" w14:textId="77777777" w:rsidR="00B96A91" w:rsidRPr="00E745DB" w:rsidRDefault="00B96A91" w:rsidP="001B64BC">
      <w:pPr>
        <w:keepNext/>
        <w:widowControl w:val="0"/>
        <w:rPr>
          <w:bCs/>
          <w:sz w:val="22"/>
          <w:lang w:val="hr-HR"/>
        </w:rPr>
      </w:pPr>
    </w:p>
    <w:p w14:paraId="2CC39A6D" w14:textId="51BDC620" w:rsidR="00B96A91" w:rsidRPr="00E745DB" w:rsidRDefault="00B96A91" w:rsidP="001B64BC">
      <w:pPr>
        <w:widowControl w:val="0"/>
        <w:jc w:val="both"/>
        <w:rPr>
          <w:bCs/>
          <w:sz w:val="22"/>
          <w:szCs w:val="22"/>
          <w:lang w:val="hr-HR"/>
        </w:rPr>
      </w:pPr>
      <w:r>
        <w:rPr>
          <w:bCs/>
          <w:sz w:val="22"/>
          <w:lang w:val="hr-HR"/>
        </w:rPr>
        <w:t>Liječ</w:t>
      </w:r>
      <w:r w:rsidRPr="00E745DB">
        <w:rPr>
          <w:bCs/>
          <w:sz w:val="22"/>
          <w:lang w:val="hr-HR"/>
        </w:rPr>
        <w:t>enje</w:t>
      </w:r>
      <w:r>
        <w:rPr>
          <w:bCs/>
          <w:sz w:val="22"/>
          <w:lang w:val="hr-HR"/>
        </w:rPr>
        <w:t xml:space="preserve"> valsartan/sakubitril tokom</w:t>
      </w:r>
      <w:r w:rsidRPr="00E745DB">
        <w:rPr>
          <w:bCs/>
          <w:sz w:val="22"/>
          <w:lang w:val="hr-HR"/>
        </w:rPr>
        <w:t xml:space="preserve"> organogeneze </w:t>
      </w:r>
      <w:r>
        <w:rPr>
          <w:bCs/>
          <w:sz w:val="22"/>
          <w:lang w:val="hr-HR"/>
        </w:rPr>
        <w:t>je dovelo do</w:t>
      </w:r>
      <w:r w:rsidRPr="00E745DB">
        <w:rPr>
          <w:bCs/>
          <w:sz w:val="22"/>
          <w:lang w:val="hr-HR"/>
        </w:rPr>
        <w:t xml:space="preserve"> povećan</w:t>
      </w:r>
      <w:r>
        <w:rPr>
          <w:bCs/>
          <w:sz w:val="22"/>
          <w:lang w:val="hr-HR"/>
        </w:rPr>
        <w:t>e</w:t>
      </w:r>
      <w:r w:rsidRPr="00E745DB">
        <w:rPr>
          <w:bCs/>
          <w:sz w:val="22"/>
          <w:lang w:val="hr-HR"/>
        </w:rPr>
        <w:t xml:space="preserve"> embriofetaln</w:t>
      </w:r>
      <w:r>
        <w:rPr>
          <w:bCs/>
          <w:sz w:val="22"/>
          <w:lang w:val="hr-HR"/>
        </w:rPr>
        <w:t>e</w:t>
      </w:r>
      <w:r w:rsidRPr="00E745DB">
        <w:rPr>
          <w:bCs/>
          <w:sz w:val="22"/>
          <w:lang w:val="hr-HR"/>
        </w:rPr>
        <w:t xml:space="preserve"> smrtnosti </w:t>
      </w:r>
      <w:r>
        <w:rPr>
          <w:bCs/>
          <w:sz w:val="22"/>
          <w:lang w:val="hr-HR"/>
        </w:rPr>
        <w:t>kod pacova</w:t>
      </w:r>
      <w:r w:rsidRPr="00E745DB">
        <w:rPr>
          <w:bCs/>
          <w:sz w:val="22"/>
          <w:szCs w:val="22"/>
          <w:lang w:val="hr-HR"/>
        </w:rPr>
        <w:t xml:space="preserve"> pri dozama </w:t>
      </w:r>
      <w:r w:rsidRPr="00E745DB">
        <w:rPr>
          <w:sz w:val="22"/>
          <w:szCs w:val="22"/>
          <w:lang w:val="hr-HR"/>
        </w:rPr>
        <w:t>≥</w:t>
      </w:r>
      <w:r w:rsidRPr="00E745DB">
        <w:rPr>
          <w:bCs/>
          <w:sz w:val="22"/>
          <w:szCs w:val="22"/>
          <w:lang w:val="hr-HR"/>
        </w:rPr>
        <w:t>51 mg valsartana</w:t>
      </w:r>
      <w:r>
        <w:rPr>
          <w:bCs/>
          <w:sz w:val="22"/>
          <w:szCs w:val="22"/>
          <w:lang w:val="hr-HR"/>
        </w:rPr>
        <w:t>/</w:t>
      </w:r>
      <w:r w:rsidRPr="00E745DB">
        <w:rPr>
          <w:bCs/>
          <w:sz w:val="22"/>
          <w:szCs w:val="22"/>
          <w:lang w:val="hr-HR"/>
        </w:rPr>
        <w:t>49 mg sakubitrila</w:t>
      </w:r>
      <w:r w:rsidRPr="00E745DB" w:rsidDel="00130691">
        <w:rPr>
          <w:bCs/>
          <w:sz w:val="22"/>
          <w:szCs w:val="22"/>
          <w:lang w:val="hr-HR"/>
        </w:rPr>
        <w:t xml:space="preserve"> </w:t>
      </w:r>
      <w:r w:rsidRPr="00E745DB">
        <w:rPr>
          <w:bCs/>
          <w:sz w:val="22"/>
          <w:szCs w:val="22"/>
          <w:lang w:val="hr-HR"/>
        </w:rPr>
        <w:t xml:space="preserve">/kg/dan (≤0,72 puta </w:t>
      </w:r>
      <w:r>
        <w:rPr>
          <w:bCs/>
          <w:sz w:val="22"/>
          <w:szCs w:val="22"/>
          <w:lang w:val="hr-HR"/>
        </w:rPr>
        <w:t xml:space="preserve">od </w:t>
      </w:r>
      <w:r w:rsidRPr="00E745DB">
        <w:rPr>
          <w:bCs/>
          <w:sz w:val="22"/>
          <w:szCs w:val="22"/>
          <w:lang w:val="hr-HR"/>
        </w:rPr>
        <w:t>najveće preporučene doze za ljude [</w:t>
      </w:r>
      <w:proofErr w:type="spellStart"/>
      <w:r w:rsidR="00CD599F" w:rsidRPr="00784003">
        <w:rPr>
          <w:rStyle w:val="markedcontent"/>
          <w:i/>
          <w:sz w:val="22"/>
          <w:szCs w:val="22"/>
        </w:rPr>
        <w:t>engl.</w:t>
      </w:r>
      <w:proofErr w:type="spellEnd"/>
      <w:r w:rsidR="00CD599F" w:rsidRPr="00784003">
        <w:rPr>
          <w:rStyle w:val="markedcontent"/>
          <w:i/>
          <w:sz w:val="22"/>
          <w:szCs w:val="22"/>
        </w:rPr>
        <w:t xml:space="preserve"> maximum recommended human dose,</w:t>
      </w:r>
      <w:r w:rsidR="00CD599F">
        <w:rPr>
          <w:rStyle w:val="markedcontent"/>
          <w:rFonts w:ascii="Arial" w:hAnsi="Arial" w:cs="Arial"/>
        </w:rPr>
        <w:t xml:space="preserve"> </w:t>
      </w:r>
      <w:r w:rsidRPr="00E745DB">
        <w:rPr>
          <w:bCs/>
          <w:sz w:val="22"/>
          <w:szCs w:val="22"/>
          <w:lang w:val="hr-HR"/>
        </w:rPr>
        <w:t xml:space="preserve">MRHD] na </w:t>
      </w:r>
      <w:r>
        <w:rPr>
          <w:bCs/>
          <w:sz w:val="22"/>
          <w:szCs w:val="22"/>
          <w:lang w:val="hr-HR"/>
        </w:rPr>
        <w:t>osnovu PIK-a</w:t>
      </w:r>
      <w:r w:rsidRPr="00E745DB">
        <w:rPr>
          <w:bCs/>
          <w:sz w:val="22"/>
          <w:szCs w:val="22"/>
          <w:lang w:val="hr-HR"/>
        </w:rPr>
        <w:t xml:space="preserve">) i </w:t>
      </w:r>
      <w:r>
        <w:rPr>
          <w:bCs/>
          <w:sz w:val="22"/>
          <w:szCs w:val="22"/>
          <w:lang w:val="hr-HR"/>
        </w:rPr>
        <w:t>kod kunića</w:t>
      </w:r>
      <w:r w:rsidRPr="00E745DB">
        <w:rPr>
          <w:bCs/>
          <w:sz w:val="22"/>
          <w:szCs w:val="22"/>
          <w:lang w:val="hr-HR"/>
        </w:rPr>
        <w:t xml:space="preserve"> pri dozama </w:t>
      </w:r>
      <w:r w:rsidRPr="00E745DB">
        <w:rPr>
          <w:sz w:val="22"/>
          <w:szCs w:val="22"/>
          <w:lang w:val="hr-HR"/>
        </w:rPr>
        <w:t>≥</w:t>
      </w:r>
      <w:r w:rsidRPr="00E745DB">
        <w:rPr>
          <w:bCs/>
          <w:sz w:val="22"/>
          <w:szCs w:val="22"/>
          <w:lang w:val="hr-HR"/>
        </w:rPr>
        <w:t>5,1 mg valsartana</w:t>
      </w:r>
      <w:r>
        <w:rPr>
          <w:sz w:val="22"/>
          <w:szCs w:val="22"/>
          <w:lang w:val="hr-HR"/>
        </w:rPr>
        <w:t>/</w:t>
      </w:r>
      <w:r w:rsidRPr="00E745DB">
        <w:rPr>
          <w:sz w:val="22"/>
          <w:szCs w:val="22"/>
          <w:lang w:val="hr-HR"/>
        </w:rPr>
        <w:t>4,9</w:t>
      </w:r>
      <w:r w:rsidRPr="00E745DB">
        <w:rPr>
          <w:bCs/>
          <w:sz w:val="22"/>
          <w:szCs w:val="22"/>
          <w:lang w:val="hr-HR"/>
        </w:rPr>
        <w:t> mg sakubitrila/kg/dan (2 odnosno 0,03 puta MRHD</w:t>
      </w:r>
      <w:r w:rsidRPr="00E745DB">
        <w:rPr>
          <w:bCs/>
          <w:sz w:val="22"/>
          <w:szCs w:val="22"/>
          <w:lang w:val="hr-HR"/>
        </w:rPr>
        <w:noBreakHyphen/>
        <w:t xml:space="preserve">a na </w:t>
      </w:r>
      <w:r>
        <w:rPr>
          <w:bCs/>
          <w:sz w:val="22"/>
          <w:szCs w:val="22"/>
          <w:lang w:val="hr-HR"/>
        </w:rPr>
        <w:t>osnovu PIK-a</w:t>
      </w:r>
      <w:r w:rsidRPr="00E745DB">
        <w:rPr>
          <w:bCs/>
          <w:sz w:val="22"/>
          <w:szCs w:val="22"/>
          <w:lang w:val="hr-HR"/>
        </w:rPr>
        <w:t xml:space="preserve"> valsartana, odnosno LBQ657). On je teratogen na </w:t>
      </w:r>
      <w:r>
        <w:rPr>
          <w:bCs/>
          <w:sz w:val="22"/>
          <w:szCs w:val="22"/>
          <w:lang w:val="hr-HR"/>
        </w:rPr>
        <w:t>osnovu</w:t>
      </w:r>
      <w:r w:rsidRPr="00E745DB">
        <w:rPr>
          <w:bCs/>
          <w:sz w:val="22"/>
          <w:szCs w:val="22"/>
          <w:lang w:val="hr-HR"/>
        </w:rPr>
        <w:t xml:space="preserve"> niske incidence fetalne hidrocefalije, povezan</w:t>
      </w:r>
      <w:r>
        <w:rPr>
          <w:bCs/>
          <w:sz w:val="22"/>
          <w:szCs w:val="22"/>
          <w:lang w:val="hr-HR"/>
        </w:rPr>
        <w:t>e</w:t>
      </w:r>
      <w:r w:rsidRPr="00E745DB">
        <w:rPr>
          <w:bCs/>
          <w:sz w:val="22"/>
          <w:szCs w:val="22"/>
          <w:lang w:val="hr-HR"/>
        </w:rPr>
        <w:t xml:space="preserve"> s</w:t>
      </w:r>
      <w:r>
        <w:rPr>
          <w:bCs/>
          <w:sz w:val="22"/>
          <w:szCs w:val="22"/>
          <w:lang w:val="hr-HR"/>
        </w:rPr>
        <w:t>a</w:t>
      </w:r>
      <w:r w:rsidRPr="00E745DB">
        <w:rPr>
          <w:bCs/>
          <w:sz w:val="22"/>
          <w:szCs w:val="22"/>
          <w:lang w:val="hr-HR"/>
        </w:rPr>
        <w:t xml:space="preserve"> toksičnim dozama za majku, što je bilo uočeno </w:t>
      </w:r>
      <w:r>
        <w:rPr>
          <w:bCs/>
          <w:sz w:val="22"/>
          <w:szCs w:val="22"/>
          <w:lang w:val="hr-HR"/>
        </w:rPr>
        <w:t xml:space="preserve">kod kunića uz dozu valsartan/sakubitril </w:t>
      </w:r>
      <w:r w:rsidRPr="00E745DB">
        <w:rPr>
          <w:sz w:val="22"/>
          <w:szCs w:val="22"/>
          <w:lang w:val="hr-HR"/>
        </w:rPr>
        <w:t>≥</w:t>
      </w:r>
      <w:r w:rsidRPr="00E745DB">
        <w:rPr>
          <w:bCs/>
          <w:sz w:val="22"/>
          <w:szCs w:val="22"/>
          <w:lang w:val="hr-HR"/>
        </w:rPr>
        <w:t xml:space="preserve">5,1 mg valsartana/4,9 mg sakubitrila/kg/dan. Kardiovaskularne abnormalnosti (uglavnom kardiomegalija) uočene su </w:t>
      </w:r>
      <w:r>
        <w:rPr>
          <w:bCs/>
          <w:sz w:val="22"/>
          <w:szCs w:val="22"/>
          <w:lang w:val="hr-HR"/>
        </w:rPr>
        <w:t>kod fetusa kunića</w:t>
      </w:r>
      <w:r w:rsidRPr="00E745DB">
        <w:rPr>
          <w:bCs/>
          <w:sz w:val="22"/>
          <w:szCs w:val="22"/>
          <w:lang w:val="hr-HR"/>
        </w:rPr>
        <w:t xml:space="preserve"> pri dozama koje ni</w:t>
      </w:r>
      <w:r>
        <w:rPr>
          <w:bCs/>
          <w:sz w:val="22"/>
          <w:szCs w:val="22"/>
          <w:lang w:val="hr-HR"/>
        </w:rPr>
        <w:t>je</w:t>
      </w:r>
      <w:r w:rsidRPr="00E745DB">
        <w:rPr>
          <w:bCs/>
          <w:sz w:val="22"/>
          <w:szCs w:val="22"/>
          <w:lang w:val="hr-HR"/>
        </w:rPr>
        <w:t>su toksične za majku (</w:t>
      </w:r>
      <w:r w:rsidRPr="00E745DB">
        <w:rPr>
          <w:bCs/>
          <w:sz w:val="22"/>
          <w:lang w:val="hr-HR"/>
        </w:rPr>
        <w:t>1,54 mg valsartana/1,46 mg sakubitrila/kg/dan).</w:t>
      </w:r>
      <w:r>
        <w:rPr>
          <w:bCs/>
          <w:sz w:val="22"/>
          <w:lang w:val="hr-HR"/>
        </w:rPr>
        <w:t xml:space="preserve"> Zapaženo je b</w:t>
      </w:r>
      <w:r w:rsidRPr="00E745DB">
        <w:rPr>
          <w:bCs/>
          <w:sz w:val="22"/>
          <w:lang w:val="hr-HR"/>
        </w:rPr>
        <w:t>lago povećanje dv</w:t>
      </w:r>
      <w:r>
        <w:rPr>
          <w:bCs/>
          <w:sz w:val="22"/>
          <w:lang w:val="hr-HR"/>
        </w:rPr>
        <w:t>ije varijacije fetusnog skeleta (deformisa</w:t>
      </w:r>
      <w:r w:rsidRPr="00E745DB">
        <w:rPr>
          <w:bCs/>
          <w:sz w:val="22"/>
          <w:lang w:val="hr-HR"/>
        </w:rPr>
        <w:t xml:space="preserve">na sternebra, dvostrana osifikacija sternebre) </w:t>
      </w:r>
      <w:r>
        <w:rPr>
          <w:bCs/>
          <w:sz w:val="22"/>
          <w:lang w:val="hr-HR"/>
        </w:rPr>
        <w:t xml:space="preserve">koje je </w:t>
      </w:r>
      <w:r w:rsidRPr="00E745DB">
        <w:rPr>
          <w:bCs/>
          <w:sz w:val="22"/>
          <w:lang w:val="hr-HR"/>
        </w:rPr>
        <w:t xml:space="preserve">bilo uočeno </w:t>
      </w:r>
      <w:r>
        <w:rPr>
          <w:bCs/>
          <w:sz w:val="22"/>
          <w:lang w:val="hr-HR"/>
        </w:rPr>
        <w:t>kod kunića</w:t>
      </w:r>
      <w:r w:rsidRPr="00E745DB">
        <w:rPr>
          <w:bCs/>
          <w:sz w:val="22"/>
          <w:lang w:val="hr-HR"/>
        </w:rPr>
        <w:t xml:space="preserve"> pri dozi</w:t>
      </w:r>
      <w:r>
        <w:rPr>
          <w:bCs/>
          <w:sz w:val="22"/>
          <w:lang w:val="hr-HR"/>
        </w:rPr>
        <w:t xml:space="preserve"> valsartan/sakubitril</w:t>
      </w:r>
      <w:r w:rsidRPr="00E745DB">
        <w:rPr>
          <w:bCs/>
          <w:sz w:val="22"/>
          <w:lang w:val="hr-HR"/>
        </w:rPr>
        <w:t xml:space="preserve"> od 5,1 mg valsartana/4,9 mg sakubitrila/kg/dan. </w:t>
      </w:r>
      <w:r w:rsidRPr="00E745DB">
        <w:rPr>
          <w:bCs/>
          <w:sz w:val="22"/>
          <w:szCs w:val="22"/>
          <w:lang w:val="hr-HR"/>
        </w:rPr>
        <w:t xml:space="preserve">Štetni embriofetalni </w:t>
      </w:r>
      <w:r>
        <w:rPr>
          <w:bCs/>
          <w:sz w:val="22"/>
          <w:szCs w:val="22"/>
          <w:lang w:val="hr-HR"/>
        </w:rPr>
        <w:t>efekti valsartan/sakubitril</w:t>
      </w:r>
      <w:r w:rsidRPr="00E745DB">
        <w:rPr>
          <w:bCs/>
          <w:sz w:val="22"/>
          <w:szCs w:val="22"/>
          <w:lang w:val="hr-HR"/>
        </w:rPr>
        <w:t xml:space="preserve"> pripisuju se antagonističkoj aktivnosti prema angiotenzinskom receptoru (</w:t>
      </w:r>
      <w:r>
        <w:rPr>
          <w:bCs/>
          <w:sz w:val="22"/>
          <w:szCs w:val="22"/>
          <w:lang w:val="hr-HR"/>
        </w:rPr>
        <w:t>vidjet</w:t>
      </w:r>
      <w:r w:rsidRPr="00E745DB">
        <w:rPr>
          <w:bCs/>
          <w:sz w:val="22"/>
          <w:szCs w:val="22"/>
          <w:lang w:val="hr-HR"/>
        </w:rPr>
        <w:t>i</w:t>
      </w:r>
      <w:r>
        <w:rPr>
          <w:bCs/>
          <w:sz w:val="22"/>
          <w:szCs w:val="22"/>
          <w:lang w:val="hr-HR"/>
        </w:rPr>
        <w:t xml:space="preserve"> </w:t>
      </w:r>
      <w:r w:rsidR="001A00F5">
        <w:rPr>
          <w:bCs/>
          <w:sz w:val="22"/>
          <w:szCs w:val="22"/>
          <w:lang w:val="hr-HR"/>
        </w:rPr>
        <w:t>dio</w:t>
      </w:r>
      <w:r w:rsidR="001A00F5" w:rsidRPr="00E745DB">
        <w:rPr>
          <w:bCs/>
          <w:sz w:val="22"/>
          <w:szCs w:val="22"/>
          <w:lang w:val="hr-HR"/>
        </w:rPr>
        <w:t> </w:t>
      </w:r>
      <w:r w:rsidRPr="00E745DB">
        <w:rPr>
          <w:bCs/>
          <w:sz w:val="22"/>
          <w:szCs w:val="22"/>
          <w:lang w:val="hr-HR"/>
        </w:rPr>
        <w:t>4.6).</w:t>
      </w:r>
    </w:p>
    <w:p w14:paraId="67081DC3" w14:textId="77777777" w:rsidR="00B96A91" w:rsidRPr="00E745DB" w:rsidRDefault="00B96A91" w:rsidP="001B64BC">
      <w:pPr>
        <w:widowControl w:val="0"/>
        <w:rPr>
          <w:bCs/>
          <w:sz w:val="22"/>
          <w:szCs w:val="22"/>
          <w:lang w:val="hr-HR"/>
        </w:rPr>
      </w:pPr>
    </w:p>
    <w:p w14:paraId="3D6ABDB2" w14:textId="77777777" w:rsidR="00B96A91" w:rsidRPr="00E745DB" w:rsidRDefault="00B96A91" w:rsidP="001B64BC">
      <w:pPr>
        <w:widowControl w:val="0"/>
        <w:jc w:val="both"/>
        <w:rPr>
          <w:bCs/>
          <w:sz w:val="22"/>
          <w:szCs w:val="22"/>
          <w:lang w:val="hr-HR"/>
        </w:rPr>
      </w:pPr>
      <w:r>
        <w:rPr>
          <w:bCs/>
          <w:sz w:val="22"/>
          <w:szCs w:val="22"/>
          <w:lang w:val="hr-HR"/>
        </w:rPr>
        <w:t>Liječ</w:t>
      </w:r>
      <w:r w:rsidRPr="00E745DB">
        <w:rPr>
          <w:bCs/>
          <w:sz w:val="22"/>
          <w:szCs w:val="22"/>
          <w:lang w:val="hr-HR"/>
        </w:rPr>
        <w:t>enje sakubitrilom t</w:t>
      </w:r>
      <w:r>
        <w:rPr>
          <w:bCs/>
          <w:sz w:val="22"/>
          <w:szCs w:val="22"/>
          <w:lang w:val="hr-HR"/>
        </w:rPr>
        <w:t>okom</w:t>
      </w:r>
      <w:r w:rsidRPr="00E745DB">
        <w:rPr>
          <w:bCs/>
          <w:sz w:val="22"/>
          <w:szCs w:val="22"/>
          <w:lang w:val="hr-HR"/>
        </w:rPr>
        <w:t xml:space="preserve"> organogeneze </w:t>
      </w:r>
      <w:r>
        <w:rPr>
          <w:bCs/>
          <w:sz w:val="22"/>
          <w:szCs w:val="22"/>
          <w:lang w:val="hr-HR"/>
        </w:rPr>
        <w:t>dovelo je do</w:t>
      </w:r>
      <w:r w:rsidRPr="00E745DB">
        <w:rPr>
          <w:bCs/>
          <w:sz w:val="22"/>
          <w:szCs w:val="22"/>
          <w:lang w:val="hr-HR"/>
        </w:rPr>
        <w:t xml:space="preserve"> embriofetaln</w:t>
      </w:r>
      <w:r>
        <w:rPr>
          <w:bCs/>
          <w:sz w:val="22"/>
          <w:szCs w:val="22"/>
          <w:lang w:val="hr-HR"/>
        </w:rPr>
        <w:t>e</w:t>
      </w:r>
      <w:r w:rsidRPr="00E745DB">
        <w:rPr>
          <w:bCs/>
          <w:sz w:val="22"/>
          <w:szCs w:val="22"/>
          <w:lang w:val="hr-HR"/>
        </w:rPr>
        <w:t xml:space="preserve"> smrtno</w:t>
      </w:r>
      <w:r>
        <w:rPr>
          <w:bCs/>
          <w:sz w:val="22"/>
          <w:szCs w:val="22"/>
          <w:lang w:val="hr-HR"/>
        </w:rPr>
        <w:t>sti</w:t>
      </w:r>
      <w:r w:rsidRPr="00E745DB">
        <w:rPr>
          <w:bCs/>
          <w:sz w:val="22"/>
          <w:szCs w:val="22"/>
          <w:lang w:val="hr-HR"/>
        </w:rPr>
        <w:t xml:space="preserve"> i embriofetaln</w:t>
      </w:r>
      <w:r>
        <w:rPr>
          <w:bCs/>
          <w:sz w:val="22"/>
          <w:szCs w:val="22"/>
          <w:lang w:val="hr-HR"/>
        </w:rPr>
        <w:t xml:space="preserve">e </w:t>
      </w:r>
      <w:r w:rsidRPr="00E745DB">
        <w:rPr>
          <w:bCs/>
          <w:sz w:val="22"/>
          <w:szCs w:val="22"/>
          <w:lang w:val="hr-HR"/>
        </w:rPr>
        <w:t>toksično</w:t>
      </w:r>
      <w:r>
        <w:rPr>
          <w:bCs/>
          <w:sz w:val="22"/>
          <w:szCs w:val="22"/>
          <w:lang w:val="hr-HR"/>
        </w:rPr>
        <w:t>sti</w:t>
      </w:r>
      <w:r w:rsidRPr="00E745DB">
        <w:rPr>
          <w:bCs/>
          <w:sz w:val="22"/>
          <w:szCs w:val="22"/>
          <w:lang w:val="hr-HR"/>
        </w:rPr>
        <w:t xml:space="preserve"> (smanjena fe</w:t>
      </w:r>
      <w:r>
        <w:rPr>
          <w:bCs/>
          <w:sz w:val="22"/>
          <w:szCs w:val="22"/>
          <w:lang w:val="hr-HR"/>
        </w:rPr>
        <w:t>talna tj</w:t>
      </w:r>
      <w:r w:rsidRPr="00E745DB">
        <w:rPr>
          <w:bCs/>
          <w:sz w:val="22"/>
          <w:szCs w:val="22"/>
          <w:lang w:val="hr-HR"/>
        </w:rPr>
        <w:t xml:space="preserve">elesna </w:t>
      </w:r>
      <w:r>
        <w:rPr>
          <w:bCs/>
          <w:sz w:val="22"/>
          <w:szCs w:val="22"/>
          <w:lang w:val="hr-HR"/>
        </w:rPr>
        <w:t>masa</w:t>
      </w:r>
      <w:r w:rsidRPr="00E745DB">
        <w:rPr>
          <w:bCs/>
          <w:sz w:val="22"/>
          <w:szCs w:val="22"/>
          <w:lang w:val="hr-HR"/>
        </w:rPr>
        <w:t xml:space="preserve"> i malformacije skeleta) </w:t>
      </w:r>
      <w:r>
        <w:rPr>
          <w:bCs/>
          <w:sz w:val="22"/>
          <w:szCs w:val="22"/>
          <w:lang w:val="hr-HR"/>
        </w:rPr>
        <w:t>kod kunića</w:t>
      </w:r>
      <w:r w:rsidRPr="00E745DB">
        <w:rPr>
          <w:bCs/>
          <w:sz w:val="22"/>
          <w:szCs w:val="22"/>
          <w:lang w:val="hr-HR"/>
        </w:rPr>
        <w:t xml:space="preserve"> pri dozama povezanim s</w:t>
      </w:r>
      <w:r>
        <w:rPr>
          <w:bCs/>
          <w:sz w:val="22"/>
          <w:szCs w:val="22"/>
          <w:lang w:val="hr-HR"/>
        </w:rPr>
        <w:t>a</w:t>
      </w:r>
      <w:r w:rsidRPr="00E745DB">
        <w:rPr>
          <w:bCs/>
          <w:sz w:val="22"/>
          <w:szCs w:val="22"/>
          <w:lang w:val="hr-HR"/>
        </w:rPr>
        <w:t xml:space="preserve"> maternalnom toksičnošću (500 mg/kg/dan; 5,7 puta MRHD-a na </w:t>
      </w:r>
      <w:r>
        <w:rPr>
          <w:bCs/>
          <w:sz w:val="22"/>
          <w:szCs w:val="22"/>
          <w:lang w:val="hr-HR"/>
        </w:rPr>
        <w:t>osnovu PIK-</w:t>
      </w:r>
      <w:r w:rsidRPr="00E745DB">
        <w:rPr>
          <w:bCs/>
          <w:sz w:val="22"/>
          <w:szCs w:val="22"/>
          <w:lang w:val="hr-HR"/>
        </w:rPr>
        <w:t>a LBQ657). Blago generaliz</w:t>
      </w:r>
      <w:r>
        <w:rPr>
          <w:bCs/>
          <w:sz w:val="22"/>
          <w:szCs w:val="22"/>
          <w:lang w:val="hr-HR"/>
        </w:rPr>
        <w:t>ovana</w:t>
      </w:r>
      <w:r w:rsidRPr="00E745DB">
        <w:rPr>
          <w:bCs/>
          <w:sz w:val="22"/>
          <w:szCs w:val="22"/>
          <w:lang w:val="hr-HR"/>
        </w:rPr>
        <w:t xml:space="preserve"> od</w:t>
      </w:r>
      <w:r>
        <w:rPr>
          <w:bCs/>
          <w:sz w:val="22"/>
          <w:szCs w:val="22"/>
          <w:lang w:val="hr-HR"/>
        </w:rPr>
        <w:t>ložena</w:t>
      </w:r>
      <w:r w:rsidRPr="00E745DB">
        <w:rPr>
          <w:bCs/>
          <w:sz w:val="22"/>
          <w:szCs w:val="22"/>
          <w:lang w:val="hr-HR"/>
        </w:rPr>
        <w:t xml:space="preserve"> osifikacij</w:t>
      </w:r>
      <w:r>
        <w:rPr>
          <w:bCs/>
          <w:sz w:val="22"/>
          <w:szCs w:val="22"/>
          <w:lang w:val="hr-HR"/>
        </w:rPr>
        <w:t>a</w:t>
      </w:r>
      <w:r w:rsidRPr="00E745DB">
        <w:rPr>
          <w:bCs/>
          <w:sz w:val="22"/>
          <w:szCs w:val="22"/>
          <w:lang w:val="hr-HR"/>
        </w:rPr>
        <w:t xml:space="preserve"> je </w:t>
      </w:r>
      <w:r>
        <w:rPr>
          <w:bCs/>
          <w:sz w:val="22"/>
          <w:szCs w:val="22"/>
          <w:lang w:val="hr-HR"/>
        </w:rPr>
        <w:t>bila zapažena pri</w:t>
      </w:r>
      <w:r w:rsidRPr="00E745DB">
        <w:rPr>
          <w:bCs/>
          <w:sz w:val="22"/>
          <w:szCs w:val="22"/>
          <w:lang w:val="hr-HR"/>
        </w:rPr>
        <w:t xml:space="preserve"> dozama </w:t>
      </w:r>
      <w:r w:rsidRPr="00E745DB">
        <w:rPr>
          <w:bCs/>
          <w:sz w:val="22"/>
          <w:szCs w:val="20"/>
          <w:lang w:val="hr-HR"/>
        </w:rPr>
        <w:t xml:space="preserve">&gt;50 mg/kg/dan. </w:t>
      </w:r>
      <w:r>
        <w:rPr>
          <w:bCs/>
          <w:sz w:val="22"/>
          <w:szCs w:val="20"/>
          <w:lang w:val="hr-HR"/>
        </w:rPr>
        <w:t xml:space="preserve">Ovaj </w:t>
      </w:r>
      <w:r w:rsidRPr="00E745DB">
        <w:rPr>
          <w:bCs/>
          <w:sz w:val="22"/>
          <w:szCs w:val="20"/>
          <w:lang w:val="hr-HR"/>
        </w:rPr>
        <w:t>nalaz se ne smatra štetnim.</w:t>
      </w:r>
      <w:r w:rsidRPr="00E745DB">
        <w:rPr>
          <w:bCs/>
          <w:sz w:val="22"/>
          <w:szCs w:val="22"/>
          <w:lang w:val="hr-HR"/>
        </w:rPr>
        <w:t xml:space="preserve"> Nisu uočeni dokazi embriofetalne toksičnosti ili teratogenosti </w:t>
      </w:r>
      <w:r>
        <w:rPr>
          <w:bCs/>
          <w:sz w:val="22"/>
          <w:szCs w:val="22"/>
          <w:lang w:val="hr-HR"/>
        </w:rPr>
        <w:t>kod pacova</w:t>
      </w:r>
      <w:r w:rsidRPr="00E745DB">
        <w:rPr>
          <w:bCs/>
          <w:sz w:val="22"/>
          <w:szCs w:val="22"/>
          <w:lang w:val="hr-HR"/>
        </w:rPr>
        <w:t xml:space="preserve"> </w:t>
      </w:r>
      <w:r>
        <w:rPr>
          <w:bCs/>
          <w:sz w:val="22"/>
          <w:szCs w:val="22"/>
          <w:lang w:val="hr-HR"/>
        </w:rPr>
        <w:t>tretiranih</w:t>
      </w:r>
      <w:r w:rsidRPr="00E745DB">
        <w:rPr>
          <w:bCs/>
          <w:sz w:val="22"/>
          <w:szCs w:val="22"/>
          <w:lang w:val="hr-HR"/>
        </w:rPr>
        <w:t xml:space="preserve"> sakubitrilom.</w:t>
      </w:r>
      <w:r>
        <w:rPr>
          <w:bCs/>
          <w:sz w:val="22"/>
          <w:szCs w:val="22"/>
          <w:lang w:val="hr-HR"/>
        </w:rPr>
        <w:t xml:space="preserve"> Doza pri kojoj nema uočenih štetnih dejstva u embriofetalnom razvoju</w:t>
      </w:r>
      <w:r w:rsidRPr="00E745DB">
        <w:rPr>
          <w:bCs/>
          <w:sz w:val="22"/>
          <w:szCs w:val="22"/>
          <w:lang w:val="hr-HR"/>
        </w:rPr>
        <w:t xml:space="preserve"> (NOAEL) za sakubitril </w:t>
      </w:r>
      <w:r>
        <w:rPr>
          <w:bCs/>
          <w:sz w:val="22"/>
          <w:szCs w:val="22"/>
          <w:lang w:val="hr-HR"/>
        </w:rPr>
        <w:t xml:space="preserve">je </w:t>
      </w:r>
      <w:r w:rsidRPr="00E745DB">
        <w:rPr>
          <w:bCs/>
          <w:sz w:val="22"/>
          <w:szCs w:val="22"/>
          <w:lang w:val="hr-HR"/>
        </w:rPr>
        <w:t xml:space="preserve">bila najmanje 750 mg/kg/dan </w:t>
      </w:r>
      <w:r>
        <w:rPr>
          <w:bCs/>
          <w:sz w:val="22"/>
          <w:szCs w:val="22"/>
          <w:lang w:val="hr-HR"/>
        </w:rPr>
        <w:t>kod pacova</w:t>
      </w:r>
      <w:r w:rsidRPr="00E745DB">
        <w:rPr>
          <w:bCs/>
          <w:sz w:val="22"/>
          <w:szCs w:val="22"/>
          <w:lang w:val="hr-HR"/>
        </w:rPr>
        <w:t xml:space="preserve"> i 200 mg/kg/dan </w:t>
      </w:r>
      <w:r>
        <w:rPr>
          <w:bCs/>
          <w:sz w:val="22"/>
          <w:szCs w:val="22"/>
          <w:lang w:val="hr-HR"/>
        </w:rPr>
        <w:t>kod kunića</w:t>
      </w:r>
      <w:r w:rsidRPr="00E745DB">
        <w:rPr>
          <w:bCs/>
          <w:sz w:val="22"/>
          <w:szCs w:val="22"/>
          <w:lang w:val="hr-HR"/>
        </w:rPr>
        <w:t xml:space="preserve"> (2,2 puta MRHD-a na </w:t>
      </w:r>
      <w:r>
        <w:rPr>
          <w:bCs/>
          <w:sz w:val="22"/>
          <w:szCs w:val="22"/>
          <w:lang w:val="hr-HR"/>
        </w:rPr>
        <w:t>osnovu PIK</w:t>
      </w:r>
      <w:r w:rsidRPr="00E745DB">
        <w:rPr>
          <w:bCs/>
          <w:sz w:val="22"/>
          <w:szCs w:val="22"/>
          <w:lang w:val="hr-HR"/>
        </w:rPr>
        <w:t>-a LBQ657).</w:t>
      </w:r>
    </w:p>
    <w:p w14:paraId="42FC392B" w14:textId="77777777" w:rsidR="00B96A91" w:rsidRPr="00E745DB" w:rsidRDefault="00B96A91" w:rsidP="001B64BC">
      <w:pPr>
        <w:widowControl w:val="0"/>
        <w:jc w:val="both"/>
        <w:rPr>
          <w:bCs/>
          <w:sz w:val="22"/>
          <w:szCs w:val="22"/>
          <w:lang w:val="hr-HR"/>
        </w:rPr>
      </w:pPr>
    </w:p>
    <w:p w14:paraId="612A08DA" w14:textId="77777777" w:rsidR="00B96A91" w:rsidRPr="00E745DB" w:rsidRDefault="00B96A91" w:rsidP="001B64BC">
      <w:pPr>
        <w:widowControl w:val="0"/>
        <w:jc w:val="both"/>
        <w:rPr>
          <w:bCs/>
          <w:sz w:val="22"/>
          <w:szCs w:val="22"/>
          <w:lang w:val="hr-HR"/>
        </w:rPr>
      </w:pPr>
      <w:r>
        <w:rPr>
          <w:bCs/>
          <w:sz w:val="22"/>
          <w:szCs w:val="22"/>
          <w:lang w:val="hr-HR"/>
        </w:rPr>
        <w:t>P</w:t>
      </w:r>
      <w:r w:rsidRPr="00E745DB">
        <w:rPr>
          <w:bCs/>
          <w:sz w:val="22"/>
          <w:szCs w:val="22"/>
          <w:lang w:val="hr-HR"/>
        </w:rPr>
        <w:t>r</w:t>
      </w:r>
      <w:r>
        <w:rPr>
          <w:bCs/>
          <w:sz w:val="22"/>
          <w:szCs w:val="22"/>
          <w:lang w:val="hr-HR"/>
        </w:rPr>
        <w:t>ij</w:t>
      </w:r>
      <w:r w:rsidRPr="00E745DB">
        <w:rPr>
          <w:bCs/>
          <w:sz w:val="22"/>
          <w:szCs w:val="22"/>
          <w:lang w:val="hr-HR"/>
        </w:rPr>
        <w:t>e i postnataln</w:t>
      </w:r>
      <w:r>
        <w:rPr>
          <w:bCs/>
          <w:sz w:val="22"/>
          <w:szCs w:val="22"/>
          <w:lang w:val="hr-HR"/>
        </w:rPr>
        <w:t>e razvojne studije</w:t>
      </w:r>
      <w:r w:rsidRPr="00E745DB">
        <w:rPr>
          <w:bCs/>
          <w:sz w:val="22"/>
          <w:szCs w:val="22"/>
          <w:lang w:val="hr-HR"/>
        </w:rPr>
        <w:t xml:space="preserve"> </w:t>
      </w:r>
      <w:r>
        <w:rPr>
          <w:bCs/>
          <w:sz w:val="22"/>
          <w:szCs w:val="22"/>
          <w:lang w:val="hr-HR"/>
        </w:rPr>
        <w:t>kod pacova</w:t>
      </w:r>
      <w:r w:rsidRPr="00E745DB">
        <w:rPr>
          <w:bCs/>
          <w:sz w:val="22"/>
          <w:szCs w:val="22"/>
          <w:lang w:val="hr-HR"/>
        </w:rPr>
        <w:t xml:space="preserve"> </w:t>
      </w:r>
      <w:r>
        <w:rPr>
          <w:bCs/>
          <w:sz w:val="22"/>
          <w:szCs w:val="22"/>
          <w:lang w:val="hr-HR"/>
        </w:rPr>
        <w:t>s</w:t>
      </w:r>
      <w:r w:rsidRPr="00E745DB">
        <w:rPr>
          <w:bCs/>
          <w:sz w:val="22"/>
          <w:szCs w:val="22"/>
          <w:lang w:val="hr-HR"/>
        </w:rPr>
        <w:t>proveden</w:t>
      </w:r>
      <w:r>
        <w:rPr>
          <w:bCs/>
          <w:sz w:val="22"/>
          <w:szCs w:val="22"/>
          <w:lang w:val="hr-HR"/>
        </w:rPr>
        <w:t xml:space="preserve">e sa visokim dozama </w:t>
      </w:r>
      <w:r w:rsidRPr="00E745DB">
        <w:rPr>
          <w:bCs/>
          <w:sz w:val="22"/>
          <w:szCs w:val="22"/>
          <w:lang w:val="hr-HR"/>
        </w:rPr>
        <w:t>sakubitril</w:t>
      </w:r>
      <w:r>
        <w:rPr>
          <w:bCs/>
          <w:sz w:val="22"/>
          <w:szCs w:val="22"/>
          <w:lang w:val="hr-HR"/>
        </w:rPr>
        <w:t>a</w:t>
      </w:r>
      <w:r w:rsidRPr="00E745DB">
        <w:rPr>
          <w:bCs/>
          <w:sz w:val="22"/>
          <w:szCs w:val="22"/>
          <w:lang w:val="hr-HR"/>
        </w:rPr>
        <w:t xml:space="preserve"> do 750 mg/kg/dan (2,2 puta MRHD</w:t>
      </w:r>
      <w:r w:rsidRPr="00E745DB">
        <w:rPr>
          <w:bCs/>
          <w:sz w:val="22"/>
          <w:szCs w:val="22"/>
          <w:lang w:val="hr-HR"/>
        </w:rPr>
        <w:noBreakHyphen/>
        <w:t xml:space="preserve">a na </w:t>
      </w:r>
      <w:r>
        <w:rPr>
          <w:bCs/>
          <w:sz w:val="22"/>
          <w:szCs w:val="22"/>
          <w:lang w:val="hr-HR"/>
        </w:rPr>
        <w:t>osnovu PIK</w:t>
      </w:r>
      <w:r w:rsidRPr="00E745DB">
        <w:rPr>
          <w:bCs/>
          <w:sz w:val="22"/>
          <w:szCs w:val="22"/>
          <w:lang w:val="hr-HR"/>
        </w:rPr>
        <w:noBreakHyphen/>
        <w:t xml:space="preserve">a) i </w:t>
      </w:r>
      <w:r>
        <w:rPr>
          <w:bCs/>
          <w:sz w:val="22"/>
          <w:szCs w:val="22"/>
          <w:lang w:val="hr-HR"/>
        </w:rPr>
        <w:t xml:space="preserve">sa </w:t>
      </w:r>
      <w:r w:rsidRPr="00E745DB">
        <w:rPr>
          <w:bCs/>
          <w:sz w:val="22"/>
          <w:szCs w:val="22"/>
          <w:lang w:val="hr-HR"/>
        </w:rPr>
        <w:t>valsartanom u dozama do 600 mg/kg/dan (0,86 puta MRHD</w:t>
      </w:r>
      <w:r w:rsidRPr="00E745DB">
        <w:rPr>
          <w:bCs/>
          <w:sz w:val="22"/>
          <w:szCs w:val="22"/>
          <w:lang w:val="hr-HR"/>
        </w:rPr>
        <w:noBreakHyphen/>
        <w:t xml:space="preserve">a na </w:t>
      </w:r>
      <w:r>
        <w:rPr>
          <w:bCs/>
          <w:sz w:val="22"/>
          <w:szCs w:val="22"/>
          <w:lang w:val="hr-HR"/>
        </w:rPr>
        <w:t>osnovu PIK-a) ukazuju na to da liječ</w:t>
      </w:r>
      <w:r w:rsidRPr="00E745DB">
        <w:rPr>
          <w:bCs/>
          <w:sz w:val="22"/>
          <w:szCs w:val="22"/>
          <w:lang w:val="hr-HR"/>
        </w:rPr>
        <w:t>enje</w:t>
      </w:r>
      <w:r>
        <w:rPr>
          <w:bCs/>
          <w:sz w:val="22"/>
          <w:szCs w:val="22"/>
          <w:lang w:val="hr-HR"/>
        </w:rPr>
        <w:t xml:space="preserve"> valsartan/sakubitril</w:t>
      </w:r>
      <w:r w:rsidRPr="00E745DB">
        <w:rPr>
          <w:bCs/>
          <w:sz w:val="22"/>
          <w:szCs w:val="22"/>
          <w:lang w:val="hr-HR"/>
        </w:rPr>
        <w:t xml:space="preserve"> t</w:t>
      </w:r>
      <w:r>
        <w:rPr>
          <w:bCs/>
          <w:sz w:val="22"/>
          <w:szCs w:val="22"/>
          <w:lang w:val="hr-HR"/>
        </w:rPr>
        <w:t xml:space="preserve">okom </w:t>
      </w:r>
      <w:r w:rsidRPr="00E745DB">
        <w:rPr>
          <w:bCs/>
          <w:sz w:val="22"/>
          <w:szCs w:val="22"/>
          <w:lang w:val="hr-HR"/>
        </w:rPr>
        <w:t xml:space="preserve">organogeneze, gestacije i laktacije može </w:t>
      </w:r>
      <w:r>
        <w:rPr>
          <w:bCs/>
          <w:sz w:val="22"/>
          <w:szCs w:val="22"/>
          <w:lang w:val="hr-HR"/>
        </w:rPr>
        <w:t xml:space="preserve">da ima uticaj na </w:t>
      </w:r>
      <w:r w:rsidRPr="00E745DB">
        <w:rPr>
          <w:bCs/>
          <w:sz w:val="22"/>
          <w:szCs w:val="22"/>
          <w:lang w:val="hr-HR"/>
        </w:rPr>
        <w:t>razvoj i preživlj</w:t>
      </w:r>
      <w:r>
        <w:rPr>
          <w:bCs/>
          <w:sz w:val="22"/>
          <w:szCs w:val="22"/>
          <w:lang w:val="hr-HR"/>
        </w:rPr>
        <w:t>avanje potomaka</w:t>
      </w:r>
      <w:r w:rsidRPr="00E745DB">
        <w:rPr>
          <w:bCs/>
          <w:sz w:val="22"/>
          <w:szCs w:val="22"/>
          <w:lang w:val="hr-HR"/>
        </w:rPr>
        <w:t>.</w:t>
      </w:r>
    </w:p>
    <w:p w14:paraId="24A2720E" w14:textId="77777777" w:rsidR="00B96A91" w:rsidRPr="00E745DB" w:rsidRDefault="00B96A91" w:rsidP="001B64BC">
      <w:pPr>
        <w:widowControl w:val="0"/>
        <w:rPr>
          <w:bCs/>
          <w:sz w:val="22"/>
          <w:szCs w:val="22"/>
          <w:lang w:val="hr-HR"/>
        </w:rPr>
      </w:pPr>
    </w:p>
    <w:p w14:paraId="06FE5B48" w14:textId="77777777" w:rsidR="00B96A91" w:rsidRPr="00E745DB" w:rsidRDefault="00B96A91" w:rsidP="001B64BC">
      <w:pPr>
        <w:keepNext/>
        <w:widowControl w:val="0"/>
        <w:outlineLvl w:val="0"/>
        <w:rPr>
          <w:sz w:val="22"/>
          <w:szCs w:val="22"/>
          <w:u w:val="single"/>
          <w:lang w:val="hr-HR"/>
        </w:rPr>
      </w:pPr>
      <w:r w:rsidRPr="00E745DB">
        <w:rPr>
          <w:sz w:val="22"/>
          <w:szCs w:val="22"/>
          <w:u w:val="single"/>
          <w:lang w:val="hr-HR"/>
        </w:rPr>
        <w:t xml:space="preserve">Ostali </w:t>
      </w:r>
      <w:r>
        <w:rPr>
          <w:sz w:val="22"/>
          <w:szCs w:val="22"/>
          <w:u w:val="single"/>
          <w:lang w:val="hr-HR"/>
        </w:rPr>
        <w:t>pret</w:t>
      </w:r>
      <w:r w:rsidRPr="00E745DB">
        <w:rPr>
          <w:sz w:val="22"/>
          <w:szCs w:val="22"/>
          <w:u w:val="single"/>
          <w:lang w:val="hr-HR"/>
        </w:rPr>
        <w:t>klinički nalazi</w:t>
      </w:r>
    </w:p>
    <w:p w14:paraId="6700849D" w14:textId="77777777" w:rsidR="00B96A91" w:rsidRPr="00E745DB" w:rsidRDefault="00B96A91" w:rsidP="001B64BC">
      <w:pPr>
        <w:keepNext/>
        <w:widowControl w:val="0"/>
        <w:rPr>
          <w:bCs/>
          <w:sz w:val="22"/>
          <w:szCs w:val="22"/>
          <w:lang w:val="hr-HR"/>
        </w:rPr>
      </w:pPr>
    </w:p>
    <w:p w14:paraId="19EC625D" w14:textId="77777777" w:rsidR="00B96A91" w:rsidRPr="00AB63CB" w:rsidRDefault="00B96A91" w:rsidP="001B64BC">
      <w:pPr>
        <w:keepNext/>
        <w:widowControl w:val="0"/>
        <w:rPr>
          <w:bCs/>
          <w:i/>
          <w:sz w:val="22"/>
          <w:szCs w:val="20"/>
          <w:u w:val="single"/>
          <w:lang w:val="hr-HR"/>
        </w:rPr>
      </w:pPr>
      <w:r w:rsidRPr="00AB63CB">
        <w:rPr>
          <w:bCs/>
          <w:i/>
          <w:sz w:val="22"/>
          <w:szCs w:val="20"/>
          <w:u w:val="single"/>
          <w:lang w:val="hr-HR"/>
        </w:rPr>
        <w:t>Valsartan/sakubitril</w:t>
      </w:r>
    </w:p>
    <w:p w14:paraId="1C864FC5" w14:textId="70F67103" w:rsidR="00B96A91" w:rsidRPr="00E745DB" w:rsidRDefault="00B96A91" w:rsidP="001B64BC">
      <w:pPr>
        <w:widowControl w:val="0"/>
        <w:jc w:val="both"/>
        <w:rPr>
          <w:bCs/>
          <w:sz w:val="22"/>
          <w:szCs w:val="22"/>
          <w:lang w:val="hr-HR"/>
        </w:rPr>
      </w:pPr>
      <w:r>
        <w:rPr>
          <w:bCs/>
          <w:sz w:val="22"/>
          <w:szCs w:val="22"/>
          <w:lang w:val="hr-HR"/>
        </w:rPr>
        <w:t>Efekti valsartan/sakubitril</w:t>
      </w:r>
      <w:r w:rsidRPr="00E745DB">
        <w:rPr>
          <w:bCs/>
          <w:sz w:val="22"/>
          <w:szCs w:val="22"/>
          <w:lang w:val="hr-HR"/>
        </w:rPr>
        <w:t xml:space="preserve"> na koncentracije β</w:t>
      </w:r>
      <w:r>
        <w:rPr>
          <w:bCs/>
          <w:sz w:val="22"/>
          <w:szCs w:val="22"/>
          <w:lang w:val="hr-HR"/>
        </w:rPr>
        <w:t>-</w:t>
      </w:r>
      <w:r w:rsidRPr="00E745DB">
        <w:rPr>
          <w:bCs/>
          <w:sz w:val="22"/>
          <w:szCs w:val="22"/>
          <w:lang w:val="hr-HR"/>
        </w:rPr>
        <w:t>amiloida u cerebrospinalnoj t</w:t>
      </w:r>
      <w:r>
        <w:rPr>
          <w:bCs/>
          <w:sz w:val="22"/>
          <w:szCs w:val="22"/>
          <w:lang w:val="hr-HR"/>
        </w:rPr>
        <w:t xml:space="preserve">ečnosti </w:t>
      </w:r>
      <w:r w:rsidRPr="00E745DB">
        <w:rPr>
          <w:bCs/>
          <w:sz w:val="22"/>
          <w:szCs w:val="22"/>
          <w:lang w:val="hr-HR"/>
        </w:rPr>
        <w:t xml:space="preserve">i moždanom tkivu </w:t>
      </w:r>
      <w:r>
        <w:rPr>
          <w:bCs/>
          <w:sz w:val="22"/>
          <w:szCs w:val="22"/>
          <w:lang w:val="hr-HR"/>
        </w:rPr>
        <w:t xml:space="preserve">procijenjeni su kod </w:t>
      </w:r>
      <w:r w:rsidRPr="00E745DB">
        <w:rPr>
          <w:bCs/>
          <w:sz w:val="22"/>
          <w:szCs w:val="22"/>
          <w:lang w:val="hr-HR"/>
        </w:rPr>
        <w:t>mladih (2</w:t>
      </w:r>
      <w:r w:rsidRPr="00E745DB">
        <w:rPr>
          <w:bCs/>
          <w:sz w:val="22"/>
          <w:szCs w:val="22"/>
          <w:lang w:val="hr-HR"/>
        </w:rPr>
        <w:noBreakHyphen/>
        <w:t xml:space="preserve">4 godine starosti) </w:t>
      </w:r>
      <w:r w:rsidRPr="009A092C">
        <w:rPr>
          <w:bCs/>
          <w:i/>
          <w:sz w:val="22"/>
          <w:szCs w:val="22"/>
          <w:lang w:val="hr-HR"/>
        </w:rPr>
        <w:t>cynomolgus</w:t>
      </w:r>
      <w:r w:rsidRPr="00E745DB">
        <w:rPr>
          <w:bCs/>
          <w:sz w:val="22"/>
          <w:szCs w:val="22"/>
          <w:lang w:val="hr-HR"/>
        </w:rPr>
        <w:t xml:space="preserve"> majmuna </w:t>
      </w:r>
      <w:r>
        <w:rPr>
          <w:bCs/>
          <w:sz w:val="22"/>
          <w:szCs w:val="22"/>
          <w:lang w:val="hr-HR"/>
        </w:rPr>
        <w:t>tretiranih valsartan/sakubitril</w:t>
      </w:r>
      <w:r w:rsidRPr="00E745DB">
        <w:rPr>
          <w:bCs/>
          <w:sz w:val="22"/>
          <w:szCs w:val="22"/>
          <w:lang w:val="hr-HR"/>
        </w:rPr>
        <w:t xml:space="preserve"> (26 mg valsartana/24 mg sakubitrila/kg/dan) t</w:t>
      </w:r>
      <w:r>
        <w:rPr>
          <w:bCs/>
          <w:sz w:val="22"/>
          <w:szCs w:val="22"/>
          <w:lang w:val="hr-HR"/>
        </w:rPr>
        <w:t>okom dvije nedjelje</w:t>
      </w:r>
      <w:r w:rsidRPr="00E745DB">
        <w:rPr>
          <w:bCs/>
          <w:sz w:val="22"/>
          <w:szCs w:val="22"/>
          <w:lang w:val="hr-HR"/>
        </w:rPr>
        <w:t xml:space="preserve">. U ovom ispitivanju klirens </w:t>
      </w:r>
      <w:r w:rsidRPr="007D4800">
        <w:rPr>
          <w:bCs/>
          <w:sz w:val="22"/>
          <w:szCs w:val="22"/>
          <w:lang w:val="hr-HR"/>
        </w:rPr>
        <w:t xml:space="preserve">β-amiloida </w:t>
      </w:r>
      <w:r w:rsidRPr="00E745DB">
        <w:rPr>
          <w:bCs/>
          <w:sz w:val="22"/>
          <w:szCs w:val="22"/>
          <w:lang w:val="hr-HR"/>
        </w:rPr>
        <w:t>u cerebrospinalnoj t</w:t>
      </w:r>
      <w:r>
        <w:rPr>
          <w:bCs/>
          <w:sz w:val="22"/>
          <w:szCs w:val="22"/>
          <w:lang w:val="hr-HR"/>
        </w:rPr>
        <w:t>ečnosti</w:t>
      </w:r>
      <w:r w:rsidRPr="00E745DB">
        <w:rPr>
          <w:bCs/>
          <w:sz w:val="22"/>
          <w:szCs w:val="22"/>
          <w:lang w:val="hr-HR"/>
        </w:rPr>
        <w:t xml:space="preserve"> </w:t>
      </w:r>
      <w:r>
        <w:rPr>
          <w:bCs/>
          <w:sz w:val="22"/>
          <w:szCs w:val="22"/>
          <w:lang w:val="hr-HR"/>
        </w:rPr>
        <w:t>kod</w:t>
      </w:r>
      <w:r w:rsidRPr="00E745DB">
        <w:rPr>
          <w:bCs/>
          <w:sz w:val="22"/>
          <w:szCs w:val="22"/>
          <w:lang w:val="hr-HR"/>
        </w:rPr>
        <w:t xml:space="preserve"> </w:t>
      </w:r>
      <w:r w:rsidRPr="009A092C">
        <w:rPr>
          <w:bCs/>
          <w:i/>
          <w:sz w:val="22"/>
          <w:szCs w:val="22"/>
          <w:lang w:val="hr-HR"/>
        </w:rPr>
        <w:t>cynomolgus</w:t>
      </w:r>
      <w:r w:rsidRPr="00E745DB">
        <w:rPr>
          <w:bCs/>
          <w:sz w:val="22"/>
          <w:szCs w:val="22"/>
          <w:lang w:val="hr-HR"/>
        </w:rPr>
        <w:t xml:space="preserve"> majmuna </w:t>
      </w:r>
      <w:r>
        <w:rPr>
          <w:bCs/>
          <w:sz w:val="22"/>
          <w:szCs w:val="22"/>
          <w:lang w:val="hr-HR"/>
        </w:rPr>
        <w:t xml:space="preserve">je </w:t>
      </w:r>
      <w:r w:rsidRPr="00E745DB">
        <w:rPr>
          <w:bCs/>
          <w:sz w:val="22"/>
          <w:szCs w:val="22"/>
          <w:lang w:val="hr-HR"/>
        </w:rPr>
        <w:t xml:space="preserve">bio smanjen, povećavajući </w:t>
      </w:r>
      <w:r>
        <w:rPr>
          <w:bCs/>
          <w:sz w:val="22"/>
          <w:szCs w:val="22"/>
          <w:lang w:val="hr-HR"/>
        </w:rPr>
        <w:t>nivoe</w:t>
      </w:r>
      <w:r w:rsidRPr="00E745DB">
        <w:rPr>
          <w:bCs/>
          <w:sz w:val="22"/>
          <w:szCs w:val="22"/>
          <w:lang w:val="hr-HR"/>
        </w:rPr>
        <w:t xml:space="preserve"> </w:t>
      </w:r>
      <w:r w:rsidRPr="007D4800">
        <w:rPr>
          <w:bCs/>
          <w:sz w:val="22"/>
          <w:szCs w:val="22"/>
          <w:lang w:val="hr-HR"/>
        </w:rPr>
        <w:t xml:space="preserve">β-amiloida </w:t>
      </w:r>
      <w:r w:rsidRPr="00E745DB">
        <w:rPr>
          <w:bCs/>
          <w:sz w:val="22"/>
          <w:szCs w:val="22"/>
          <w:lang w:val="hr-HR"/>
        </w:rPr>
        <w:t>1</w:t>
      </w:r>
      <w:r w:rsidRPr="00E745DB">
        <w:rPr>
          <w:bCs/>
          <w:sz w:val="22"/>
          <w:szCs w:val="22"/>
          <w:lang w:val="hr-HR"/>
        </w:rPr>
        <w:noBreakHyphen/>
        <w:t>40, 1</w:t>
      </w:r>
      <w:r w:rsidRPr="00E745DB">
        <w:rPr>
          <w:bCs/>
          <w:sz w:val="22"/>
          <w:szCs w:val="22"/>
          <w:lang w:val="hr-HR"/>
        </w:rPr>
        <w:noBreakHyphen/>
        <w:t>42 i 1</w:t>
      </w:r>
      <w:r w:rsidRPr="00E745DB">
        <w:rPr>
          <w:bCs/>
          <w:sz w:val="22"/>
          <w:szCs w:val="22"/>
          <w:lang w:val="hr-HR"/>
        </w:rPr>
        <w:noBreakHyphen/>
        <w:t>38 u cerebrospinalnoj te</w:t>
      </w:r>
      <w:r>
        <w:rPr>
          <w:bCs/>
          <w:sz w:val="22"/>
          <w:szCs w:val="22"/>
          <w:lang w:val="hr-HR"/>
        </w:rPr>
        <w:t>čnosti</w:t>
      </w:r>
      <w:r w:rsidRPr="00E745DB">
        <w:rPr>
          <w:bCs/>
          <w:sz w:val="22"/>
          <w:szCs w:val="22"/>
          <w:lang w:val="hr-HR"/>
        </w:rPr>
        <w:t>; ni</w:t>
      </w:r>
      <w:r>
        <w:rPr>
          <w:bCs/>
          <w:sz w:val="22"/>
          <w:szCs w:val="22"/>
          <w:lang w:val="hr-HR"/>
        </w:rPr>
        <w:t>je bilo odgovarajućeg povećanja</w:t>
      </w:r>
      <w:r w:rsidRPr="00E745DB">
        <w:rPr>
          <w:bCs/>
          <w:sz w:val="22"/>
          <w:szCs w:val="22"/>
          <w:lang w:val="hr-HR"/>
        </w:rPr>
        <w:t xml:space="preserve"> </w:t>
      </w:r>
      <w:r>
        <w:rPr>
          <w:bCs/>
          <w:sz w:val="22"/>
          <w:szCs w:val="22"/>
          <w:lang w:val="hr-HR"/>
        </w:rPr>
        <w:t xml:space="preserve">nivoa </w:t>
      </w:r>
      <w:r w:rsidRPr="007D4800">
        <w:rPr>
          <w:bCs/>
          <w:sz w:val="22"/>
          <w:szCs w:val="22"/>
          <w:lang w:val="hr-HR"/>
        </w:rPr>
        <w:t>β-amiloida</w:t>
      </w:r>
      <w:r w:rsidRPr="00E745DB">
        <w:rPr>
          <w:bCs/>
          <w:sz w:val="22"/>
          <w:szCs w:val="22"/>
          <w:lang w:val="hr-HR"/>
        </w:rPr>
        <w:t xml:space="preserve"> u mozgu. Povećanja </w:t>
      </w:r>
      <w:r w:rsidRPr="007D4800">
        <w:rPr>
          <w:bCs/>
          <w:sz w:val="22"/>
          <w:szCs w:val="22"/>
          <w:lang w:val="hr-HR"/>
        </w:rPr>
        <w:t xml:space="preserve">β-amiloida </w:t>
      </w:r>
      <w:r w:rsidRPr="00E745DB">
        <w:rPr>
          <w:bCs/>
          <w:sz w:val="22"/>
          <w:szCs w:val="22"/>
          <w:lang w:val="hr-HR"/>
        </w:rPr>
        <w:t>1</w:t>
      </w:r>
      <w:r w:rsidRPr="00E745DB">
        <w:rPr>
          <w:bCs/>
          <w:sz w:val="22"/>
          <w:szCs w:val="22"/>
          <w:lang w:val="hr-HR"/>
        </w:rPr>
        <w:noBreakHyphen/>
        <w:t>40 i 1</w:t>
      </w:r>
      <w:r w:rsidRPr="00E745DB">
        <w:rPr>
          <w:bCs/>
          <w:sz w:val="22"/>
          <w:szCs w:val="22"/>
          <w:lang w:val="hr-HR"/>
        </w:rPr>
        <w:noBreakHyphen/>
        <w:t>42 u cerebrospinalnoj te</w:t>
      </w:r>
      <w:r>
        <w:rPr>
          <w:bCs/>
          <w:sz w:val="22"/>
          <w:szCs w:val="22"/>
          <w:lang w:val="hr-HR"/>
        </w:rPr>
        <w:t>čnosti</w:t>
      </w:r>
      <w:r w:rsidRPr="00E745DB">
        <w:rPr>
          <w:bCs/>
          <w:sz w:val="22"/>
          <w:szCs w:val="22"/>
          <w:lang w:val="hr-HR"/>
        </w:rPr>
        <w:t xml:space="preserve"> ni</w:t>
      </w:r>
      <w:r>
        <w:rPr>
          <w:bCs/>
          <w:sz w:val="22"/>
          <w:szCs w:val="22"/>
          <w:lang w:val="hr-HR"/>
        </w:rPr>
        <w:t>je</w:t>
      </w:r>
      <w:r w:rsidRPr="00E745DB">
        <w:rPr>
          <w:bCs/>
          <w:sz w:val="22"/>
          <w:szCs w:val="22"/>
          <w:lang w:val="hr-HR"/>
        </w:rPr>
        <w:t>su bila uočena u dvo</w:t>
      </w:r>
      <w:r>
        <w:rPr>
          <w:bCs/>
          <w:sz w:val="22"/>
          <w:szCs w:val="22"/>
          <w:lang w:val="hr-HR"/>
        </w:rPr>
        <w:t>nedjeljnom</w:t>
      </w:r>
      <w:r w:rsidRPr="00E745DB">
        <w:rPr>
          <w:bCs/>
          <w:sz w:val="22"/>
          <w:szCs w:val="22"/>
          <w:lang w:val="hr-HR"/>
        </w:rPr>
        <w:t xml:space="preserve"> ispitivanju na zdravim dobrovoljcima (</w:t>
      </w:r>
      <w:r>
        <w:rPr>
          <w:bCs/>
          <w:sz w:val="22"/>
          <w:szCs w:val="22"/>
          <w:lang w:val="hr-HR"/>
        </w:rPr>
        <w:t>vidjeti</w:t>
      </w:r>
      <w:r w:rsidRPr="00E745DB">
        <w:rPr>
          <w:bCs/>
          <w:sz w:val="22"/>
          <w:szCs w:val="22"/>
          <w:lang w:val="hr-HR"/>
        </w:rPr>
        <w:t xml:space="preserve"> </w:t>
      </w:r>
      <w:r w:rsidR="001A00F5">
        <w:rPr>
          <w:bCs/>
          <w:sz w:val="22"/>
          <w:szCs w:val="22"/>
          <w:lang w:val="hr-HR"/>
        </w:rPr>
        <w:t>dio</w:t>
      </w:r>
      <w:r w:rsidR="001A00F5" w:rsidRPr="00E745DB">
        <w:rPr>
          <w:bCs/>
          <w:sz w:val="22"/>
          <w:szCs w:val="22"/>
          <w:lang w:val="hr-HR"/>
        </w:rPr>
        <w:t> </w:t>
      </w:r>
      <w:r w:rsidRPr="00E745DB">
        <w:rPr>
          <w:bCs/>
          <w:sz w:val="22"/>
          <w:szCs w:val="22"/>
          <w:lang w:val="hr-HR"/>
        </w:rPr>
        <w:t>5.1). Uz to, u toksikološko</w:t>
      </w:r>
      <w:r>
        <w:rPr>
          <w:bCs/>
          <w:sz w:val="22"/>
          <w:szCs w:val="22"/>
          <w:lang w:val="hr-HR"/>
        </w:rPr>
        <w:t>j studiji kod</w:t>
      </w:r>
      <w:r w:rsidRPr="00E745DB">
        <w:rPr>
          <w:bCs/>
          <w:sz w:val="22"/>
          <w:szCs w:val="22"/>
          <w:lang w:val="hr-HR"/>
        </w:rPr>
        <w:t xml:space="preserve"> </w:t>
      </w:r>
      <w:r w:rsidRPr="009A092C">
        <w:rPr>
          <w:bCs/>
          <w:i/>
          <w:sz w:val="22"/>
          <w:szCs w:val="22"/>
          <w:lang w:val="hr-HR"/>
        </w:rPr>
        <w:t>cynomolgus</w:t>
      </w:r>
      <w:r w:rsidRPr="00E745DB">
        <w:rPr>
          <w:bCs/>
          <w:sz w:val="22"/>
          <w:szCs w:val="22"/>
          <w:lang w:val="hr-HR"/>
        </w:rPr>
        <w:t xml:space="preserve"> majmuna </w:t>
      </w:r>
      <w:r>
        <w:rPr>
          <w:bCs/>
          <w:sz w:val="22"/>
          <w:szCs w:val="22"/>
          <w:lang w:val="hr-HR"/>
        </w:rPr>
        <w:t>tretiranih valsartan/sakubitril</w:t>
      </w:r>
      <w:r w:rsidRPr="00E745DB">
        <w:rPr>
          <w:bCs/>
          <w:sz w:val="22"/>
          <w:szCs w:val="22"/>
          <w:lang w:val="hr-HR"/>
        </w:rPr>
        <w:t xml:space="preserve"> u dozi od 154 mg valsartana/146 mg sakubitrila/kg/dan t</w:t>
      </w:r>
      <w:r>
        <w:rPr>
          <w:bCs/>
          <w:sz w:val="22"/>
          <w:szCs w:val="22"/>
          <w:lang w:val="hr-HR"/>
        </w:rPr>
        <w:t>okom</w:t>
      </w:r>
      <w:r w:rsidRPr="00E745DB">
        <w:rPr>
          <w:bCs/>
          <w:sz w:val="22"/>
          <w:szCs w:val="22"/>
          <w:lang w:val="hr-HR"/>
        </w:rPr>
        <w:t xml:space="preserve"> 39 </w:t>
      </w:r>
      <w:r>
        <w:rPr>
          <w:bCs/>
          <w:sz w:val="22"/>
          <w:szCs w:val="22"/>
          <w:lang w:val="hr-HR"/>
        </w:rPr>
        <w:t>nedjelja</w:t>
      </w:r>
      <w:r w:rsidRPr="00E745DB">
        <w:rPr>
          <w:bCs/>
          <w:sz w:val="22"/>
          <w:szCs w:val="22"/>
          <w:lang w:val="hr-HR"/>
        </w:rPr>
        <w:t xml:space="preserve">, nije bilo dokaza </w:t>
      </w:r>
      <w:r>
        <w:rPr>
          <w:bCs/>
          <w:sz w:val="22"/>
          <w:szCs w:val="22"/>
          <w:lang w:val="hr-HR"/>
        </w:rPr>
        <w:t xml:space="preserve">o </w:t>
      </w:r>
      <w:r w:rsidRPr="00E745DB">
        <w:rPr>
          <w:bCs/>
          <w:sz w:val="22"/>
          <w:szCs w:val="22"/>
          <w:lang w:val="hr-HR"/>
        </w:rPr>
        <w:t>prisutn</w:t>
      </w:r>
      <w:r>
        <w:rPr>
          <w:bCs/>
          <w:sz w:val="22"/>
          <w:szCs w:val="22"/>
          <w:lang w:val="hr-HR"/>
        </w:rPr>
        <w:t xml:space="preserve">im amiloidnim </w:t>
      </w:r>
      <w:r w:rsidRPr="00E745DB">
        <w:rPr>
          <w:bCs/>
          <w:sz w:val="22"/>
          <w:szCs w:val="22"/>
          <w:lang w:val="hr-HR"/>
        </w:rPr>
        <w:t>plakov</w:t>
      </w:r>
      <w:r>
        <w:rPr>
          <w:bCs/>
          <w:sz w:val="22"/>
          <w:szCs w:val="22"/>
          <w:lang w:val="hr-HR"/>
        </w:rPr>
        <w:t>im</w:t>
      </w:r>
      <w:r w:rsidRPr="00E745DB">
        <w:rPr>
          <w:bCs/>
          <w:sz w:val="22"/>
          <w:szCs w:val="22"/>
          <w:lang w:val="hr-HR"/>
        </w:rPr>
        <w:t xml:space="preserve">a u mozgu. </w:t>
      </w:r>
      <w:r>
        <w:rPr>
          <w:bCs/>
          <w:sz w:val="22"/>
          <w:szCs w:val="22"/>
          <w:lang w:val="hr-HR"/>
        </w:rPr>
        <w:t>Sadržaj a</w:t>
      </w:r>
      <w:r w:rsidRPr="00E745DB">
        <w:rPr>
          <w:bCs/>
          <w:sz w:val="22"/>
          <w:szCs w:val="22"/>
          <w:lang w:val="hr-HR"/>
        </w:rPr>
        <w:t>miloid</w:t>
      </w:r>
      <w:r>
        <w:rPr>
          <w:bCs/>
          <w:sz w:val="22"/>
          <w:szCs w:val="22"/>
          <w:lang w:val="hr-HR"/>
        </w:rPr>
        <w:t>a</w:t>
      </w:r>
      <w:r w:rsidRPr="00E745DB">
        <w:rPr>
          <w:bCs/>
          <w:sz w:val="22"/>
          <w:szCs w:val="22"/>
          <w:lang w:val="hr-HR"/>
        </w:rPr>
        <w:t xml:space="preserve"> nije, međutim, bio </w:t>
      </w:r>
      <w:r>
        <w:rPr>
          <w:bCs/>
          <w:sz w:val="22"/>
          <w:szCs w:val="22"/>
          <w:lang w:val="hr-HR"/>
        </w:rPr>
        <w:t xml:space="preserve">mjeren </w:t>
      </w:r>
      <w:r w:rsidRPr="00E745DB">
        <w:rPr>
          <w:bCs/>
          <w:sz w:val="22"/>
          <w:szCs w:val="22"/>
          <w:lang w:val="hr-HR"/>
        </w:rPr>
        <w:t>kvantitativno u ovo</w:t>
      </w:r>
      <w:r>
        <w:rPr>
          <w:bCs/>
          <w:sz w:val="22"/>
          <w:szCs w:val="22"/>
          <w:lang w:val="hr-HR"/>
        </w:rPr>
        <w:t>j studiji</w:t>
      </w:r>
      <w:r w:rsidRPr="00E745DB">
        <w:rPr>
          <w:bCs/>
          <w:sz w:val="22"/>
          <w:szCs w:val="22"/>
          <w:lang w:val="hr-HR"/>
        </w:rPr>
        <w:t>.</w:t>
      </w:r>
    </w:p>
    <w:p w14:paraId="67AF0511" w14:textId="77777777" w:rsidR="00B96A91" w:rsidRPr="00E745DB" w:rsidRDefault="00B96A91" w:rsidP="001B64BC">
      <w:pPr>
        <w:widowControl w:val="0"/>
        <w:rPr>
          <w:bCs/>
          <w:sz w:val="22"/>
          <w:szCs w:val="22"/>
          <w:lang w:val="hr-HR"/>
        </w:rPr>
      </w:pPr>
    </w:p>
    <w:p w14:paraId="40624879" w14:textId="77777777" w:rsidR="00B96A91" w:rsidRPr="00AB63CB" w:rsidRDefault="00B96A91" w:rsidP="001B64BC">
      <w:pPr>
        <w:keepNext/>
        <w:widowControl w:val="0"/>
        <w:rPr>
          <w:bCs/>
          <w:i/>
          <w:sz w:val="22"/>
          <w:szCs w:val="20"/>
          <w:u w:val="single"/>
          <w:lang w:val="hr-HR"/>
        </w:rPr>
      </w:pPr>
      <w:r w:rsidRPr="00AB63CB">
        <w:rPr>
          <w:bCs/>
          <w:i/>
          <w:sz w:val="22"/>
          <w:szCs w:val="20"/>
          <w:u w:val="single"/>
          <w:lang w:val="hr-HR"/>
        </w:rPr>
        <w:t>Sakubitril</w:t>
      </w:r>
    </w:p>
    <w:p w14:paraId="158327FF" w14:textId="515B0437" w:rsidR="00B96A91" w:rsidRPr="00E745DB" w:rsidRDefault="00B96A91" w:rsidP="001B64BC">
      <w:pPr>
        <w:widowControl w:val="0"/>
        <w:jc w:val="both"/>
        <w:rPr>
          <w:bCs/>
          <w:sz w:val="22"/>
          <w:szCs w:val="22"/>
          <w:lang w:val="hr-HR"/>
        </w:rPr>
      </w:pPr>
      <w:r>
        <w:rPr>
          <w:bCs/>
          <w:sz w:val="22"/>
          <w:szCs w:val="22"/>
          <w:lang w:val="hr-HR"/>
        </w:rPr>
        <w:t xml:space="preserve">Kod </w:t>
      </w:r>
      <w:r w:rsidRPr="00E745DB">
        <w:rPr>
          <w:bCs/>
          <w:sz w:val="22"/>
          <w:szCs w:val="22"/>
          <w:lang w:val="hr-HR"/>
        </w:rPr>
        <w:t xml:space="preserve">juvenilnih </w:t>
      </w:r>
      <w:r>
        <w:rPr>
          <w:bCs/>
          <w:sz w:val="22"/>
          <w:szCs w:val="22"/>
          <w:lang w:val="hr-HR"/>
        </w:rPr>
        <w:t>pacova tretiranih</w:t>
      </w:r>
      <w:r w:rsidRPr="00E745DB">
        <w:rPr>
          <w:bCs/>
          <w:sz w:val="22"/>
          <w:szCs w:val="22"/>
          <w:lang w:val="hr-HR"/>
        </w:rPr>
        <w:t xml:space="preserve"> sakubitrilom (postnatalni dani od 7. do 70.), d</w:t>
      </w:r>
      <w:r>
        <w:rPr>
          <w:bCs/>
          <w:sz w:val="22"/>
          <w:szCs w:val="22"/>
          <w:lang w:val="hr-HR"/>
        </w:rPr>
        <w:t>ošlo je do smanjenja razvoja kos</w:t>
      </w:r>
      <w:r w:rsidRPr="00E745DB">
        <w:rPr>
          <w:bCs/>
          <w:sz w:val="22"/>
          <w:szCs w:val="22"/>
          <w:lang w:val="hr-HR"/>
        </w:rPr>
        <w:t xml:space="preserve">tne mase i </w:t>
      </w:r>
      <w:r>
        <w:rPr>
          <w:bCs/>
          <w:sz w:val="22"/>
          <w:szCs w:val="22"/>
          <w:lang w:val="hr-HR"/>
        </w:rPr>
        <w:t xml:space="preserve">izduženja </w:t>
      </w:r>
      <w:r w:rsidRPr="00E745DB">
        <w:rPr>
          <w:bCs/>
          <w:sz w:val="22"/>
          <w:szCs w:val="22"/>
          <w:lang w:val="hr-HR"/>
        </w:rPr>
        <w:t>kosti</w:t>
      </w:r>
      <w:r>
        <w:rPr>
          <w:bCs/>
          <w:sz w:val="22"/>
          <w:szCs w:val="22"/>
          <w:lang w:val="hr-HR"/>
        </w:rPr>
        <w:t>ju</w:t>
      </w:r>
      <w:r w:rsidRPr="00E745DB">
        <w:rPr>
          <w:bCs/>
          <w:sz w:val="22"/>
          <w:szCs w:val="22"/>
          <w:lang w:val="hr-HR"/>
        </w:rPr>
        <w:t xml:space="preserve"> povezanih s</w:t>
      </w:r>
      <w:r>
        <w:rPr>
          <w:bCs/>
          <w:sz w:val="22"/>
          <w:szCs w:val="22"/>
          <w:lang w:val="hr-HR"/>
        </w:rPr>
        <w:t>a starošću</w:t>
      </w:r>
      <w:r w:rsidR="00B67A57">
        <w:rPr>
          <w:bCs/>
          <w:sz w:val="22"/>
          <w:szCs w:val="22"/>
          <w:lang w:val="hr-HR"/>
        </w:rPr>
        <w:t xml:space="preserve"> </w:t>
      </w:r>
      <w:r w:rsidR="00B67A57" w:rsidRPr="00AB63CB">
        <w:rPr>
          <w:bCs/>
          <w:sz w:val="22"/>
          <w:szCs w:val="22"/>
          <w:lang w:val="hr-HR"/>
        </w:rPr>
        <w:t xml:space="preserve">uz otprilike dvostruku PIK izloženost aktivnom metabolitu sakubitrila, </w:t>
      </w:r>
      <w:r w:rsidR="00B67A57" w:rsidRPr="00AB63CB">
        <w:rPr>
          <w:sz w:val="22"/>
          <w:szCs w:val="22"/>
          <w:lang w:val="hr-HR"/>
        </w:rPr>
        <w:t>LBQ657, na osnovu pedijatrijske kliničke doze valsartan/sakubitril</w:t>
      </w:r>
      <w:r w:rsidR="00B67A57" w:rsidRPr="00AB63CB">
        <w:rPr>
          <w:bCs/>
          <w:sz w:val="22"/>
          <w:szCs w:val="22"/>
          <w:lang w:val="hr-HR"/>
        </w:rPr>
        <w:t xml:space="preserve">a od </w:t>
      </w:r>
      <w:r w:rsidR="00B67A57" w:rsidRPr="00AB63CB">
        <w:rPr>
          <w:sz w:val="22"/>
          <w:szCs w:val="22"/>
          <w:lang w:val="hr-HR"/>
        </w:rPr>
        <w:t>3,1 mg/kg dva</w:t>
      </w:r>
      <w:r w:rsidR="00E36CD9">
        <w:rPr>
          <w:sz w:val="22"/>
          <w:szCs w:val="22"/>
          <w:lang w:val="hr-HR"/>
        </w:rPr>
        <w:t xml:space="preserve"> </w:t>
      </w:r>
      <w:r w:rsidR="00B67A57" w:rsidRPr="00AB63CB">
        <w:rPr>
          <w:sz w:val="22"/>
          <w:szCs w:val="22"/>
          <w:lang w:val="hr-HR"/>
        </w:rPr>
        <w:t>put</w:t>
      </w:r>
      <w:r w:rsidR="00E36CD9">
        <w:rPr>
          <w:sz w:val="22"/>
          <w:szCs w:val="22"/>
          <w:lang w:val="hr-HR"/>
        </w:rPr>
        <w:t>a</w:t>
      </w:r>
      <w:r w:rsidR="00B67A57" w:rsidRPr="00AB63CB">
        <w:rPr>
          <w:sz w:val="22"/>
          <w:szCs w:val="22"/>
          <w:lang w:val="hr-HR"/>
        </w:rPr>
        <w:t xml:space="preserve"> na dan</w:t>
      </w:r>
      <w:r w:rsidR="00B67A57" w:rsidRPr="00AB63CB">
        <w:rPr>
          <w:bCs/>
          <w:sz w:val="22"/>
          <w:szCs w:val="22"/>
          <w:lang w:val="hr-HR"/>
        </w:rPr>
        <w:t>. Mehanizam tih nalaza kod juvenilnih pacova pa time i relevantnost za ljudsku pedijatrijsku populaciju ni</w:t>
      </w:r>
      <w:r w:rsidR="00E36CD9">
        <w:rPr>
          <w:bCs/>
          <w:sz w:val="22"/>
          <w:szCs w:val="22"/>
          <w:lang w:val="hr-HR"/>
        </w:rPr>
        <w:t>je</w:t>
      </w:r>
      <w:r w:rsidR="00B67A57" w:rsidRPr="00AB63CB">
        <w:rPr>
          <w:bCs/>
          <w:sz w:val="22"/>
          <w:szCs w:val="22"/>
          <w:lang w:val="hr-HR"/>
        </w:rPr>
        <w:t>su poznati</w:t>
      </w:r>
      <w:r w:rsidRPr="00B67A57">
        <w:rPr>
          <w:bCs/>
          <w:sz w:val="22"/>
          <w:szCs w:val="22"/>
          <w:lang w:val="hr-HR"/>
        </w:rPr>
        <w:t>.</w:t>
      </w:r>
      <w:r w:rsidRPr="00E745DB">
        <w:rPr>
          <w:bCs/>
          <w:sz w:val="22"/>
          <w:szCs w:val="22"/>
          <w:lang w:val="hr-HR"/>
        </w:rPr>
        <w:t xml:space="preserve"> Ispitivanje </w:t>
      </w:r>
      <w:r>
        <w:rPr>
          <w:bCs/>
          <w:sz w:val="22"/>
          <w:szCs w:val="22"/>
          <w:lang w:val="hr-HR"/>
        </w:rPr>
        <w:t xml:space="preserve">kod </w:t>
      </w:r>
      <w:r w:rsidRPr="00E745DB">
        <w:rPr>
          <w:bCs/>
          <w:sz w:val="22"/>
          <w:szCs w:val="22"/>
          <w:lang w:val="hr-HR"/>
        </w:rPr>
        <w:t xml:space="preserve">odraslih </w:t>
      </w:r>
      <w:r>
        <w:rPr>
          <w:bCs/>
          <w:sz w:val="22"/>
          <w:szCs w:val="22"/>
          <w:lang w:val="hr-HR"/>
        </w:rPr>
        <w:t>pacova</w:t>
      </w:r>
      <w:r w:rsidRPr="00E745DB">
        <w:rPr>
          <w:bCs/>
          <w:sz w:val="22"/>
          <w:szCs w:val="22"/>
          <w:lang w:val="hr-HR"/>
        </w:rPr>
        <w:t xml:space="preserve"> pokazalo je samo minimalan prolazan inhibitorni </w:t>
      </w:r>
      <w:r>
        <w:rPr>
          <w:bCs/>
          <w:sz w:val="22"/>
          <w:szCs w:val="22"/>
          <w:lang w:val="hr-HR"/>
        </w:rPr>
        <w:t>efekat</w:t>
      </w:r>
      <w:r w:rsidRPr="00E745DB">
        <w:rPr>
          <w:bCs/>
          <w:sz w:val="22"/>
          <w:szCs w:val="22"/>
          <w:lang w:val="hr-HR"/>
        </w:rPr>
        <w:t xml:space="preserve"> na mineralnu gust</w:t>
      </w:r>
      <w:r>
        <w:rPr>
          <w:bCs/>
          <w:sz w:val="22"/>
          <w:szCs w:val="22"/>
          <w:lang w:val="hr-HR"/>
        </w:rPr>
        <w:t>inu</w:t>
      </w:r>
      <w:r w:rsidRPr="00E745DB">
        <w:rPr>
          <w:bCs/>
          <w:sz w:val="22"/>
          <w:szCs w:val="22"/>
          <w:lang w:val="hr-HR"/>
        </w:rPr>
        <w:t xml:space="preserve"> kostiju, ali ne </w:t>
      </w:r>
      <w:r>
        <w:rPr>
          <w:bCs/>
          <w:sz w:val="22"/>
          <w:szCs w:val="22"/>
          <w:lang w:val="hr-HR"/>
        </w:rPr>
        <w:t xml:space="preserve">i </w:t>
      </w:r>
      <w:r w:rsidRPr="00E745DB">
        <w:rPr>
          <w:bCs/>
          <w:sz w:val="22"/>
          <w:szCs w:val="22"/>
          <w:lang w:val="hr-HR"/>
        </w:rPr>
        <w:t xml:space="preserve">na bilo koje druge parametre </w:t>
      </w:r>
      <w:r>
        <w:rPr>
          <w:bCs/>
          <w:sz w:val="22"/>
          <w:szCs w:val="22"/>
          <w:lang w:val="hr-HR"/>
        </w:rPr>
        <w:t>značajne</w:t>
      </w:r>
      <w:r w:rsidRPr="00E745DB">
        <w:rPr>
          <w:bCs/>
          <w:sz w:val="22"/>
          <w:szCs w:val="22"/>
          <w:lang w:val="hr-HR"/>
        </w:rPr>
        <w:t xml:space="preserve"> za rast kostiju, što ukazuje da ne</w:t>
      </w:r>
      <w:r>
        <w:rPr>
          <w:bCs/>
          <w:sz w:val="22"/>
          <w:szCs w:val="22"/>
          <w:lang w:val="hr-HR"/>
        </w:rPr>
        <w:t xml:space="preserve"> postoji značajan efekat</w:t>
      </w:r>
      <w:r w:rsidRPr="00E745DB">
        <w:rPr>
          <w:bCs/>
          <w:sz w:val="22"/>
          <w:szCs w:val="22"/>
          <w:lang w:val="hr-HR"/>
        </w:rPr>
        <w:t xml:space="preserve"> sakubitrila na kosti u populacijama odraslih </w:t>
      </w:r>
      <w:r>
        <w:rPr>
          <w:bCs/>
          <w:sz w:val="22"/>
          <w:szCs w:val="22"/>
          <w:lang w:val="hr-HR"/>
        </w:rPr>
        <w:t>pacijenata u</w:t>
      </w:r>
      <w:r w:rsidRPr="00E745DB">
        <w:rPr>
          <w:bCs/>
          <w:sz w:val="22"/>
          <w:szCs w:val="22"/>
          <w:lang w:val="hr-HR"/>
        </w:rPr>
        <w:t xml:space="preserve"> normalnim </w:t>
      </w:r>
      <w:r>
        <w:rPr>
          <w:bCs/>
          <w:sz w:val="22"/>
          <w:szCs w:val="22"/>
          <w:lang w:val="hr-HR"/>
        </w:rPr>
        <w:t>okolnostima</w:t>
      </w:r>
      <w:r w:rsidRPr="00E745DB">
        <w:rPr>
          <w:bCs/>
          <w:sz w:val="22"/>
          <w:szCs w:val="22"/>
          <w:lang w:val="hr-HR"/>
        </w:rPr>
        <w:t>. Međutim, blaga prolazna interferencija sakubitrila s</w:t>
      </w:r>
      <w:r>
        <w:rPr>
          <w:bCs/>
          <w:sz w:val="22"/>
          <w:szCs w:val="22"/>
          <w:lang w:val="hr-HR"/>
        </w:rPr>
        <w:t>a</w:t>
      </w:r>
      <w:r w:rsidRPr="00E745DB">
        <w:rPr>
          <w:bCs/>
          <w:sz w:val="22"/>
          <w:szCs w:val="22"/>
          <w:lang w:val="hr-HR"/>
        </w:rPr>
        <w:t xml:space="preserve"> ranom fazom za</w:t>
      </w:r>
      <w:r>
        <w:rPr>
          <w:bCs/>
          <w:sz w:val="22"/>
          <w:szCs w:val="22"/>
          <w:lang w:val="hr-HR"/>
        </w:rPr>
        <w:t>rastanja</w:t>
      </w:r>
      <w:r w:rsidRPr="00E745DB">
        <w:rPr>
          <w:bCs/>
          <w:sz w:val="22"/>
          <w:szCs w:val="22"/>
          <w:lang w:val="hr-HR"/>
        </w:rPr>
        <w:t xml:space="preserve"> pr</w:t>
      </w:r>
      <w:r>
        <w:rPr>
          <w:bCs/>
          <w:sz w:val="22"/>
          <w:szCs w:val="22"/>
          <w:lang w:val="hr-HR"/>
        </w:rPr>
        <w:t>eloma kod</w:t>
      </w:r>
      <w:r w:rsidRPr="00E745DB">
        <w:rPr>
          <w:bCs/>
          <w:sz w:val="22"/>
          <w:szCs w:val="22"/>
          <w:lang w:val="hr-HR"/>
        </w:rPr>
        <w:t xml:space="preserve"> odraslih </w:t>
      </w:r>
      <w:r>
        <w:rPr>
          <w:bCs/>
          <w:sz w:val="22"/>
          <w:szCs w:val="22"/>
          <w:lang w:val="hr-HR"/>
        </w:rPr>
        <w:t xml:space="preserve">se </w:t>
      </w:r>
      <w:r w:rsidRPr="00E745DB">
        <w:rPr>
          <w:bCs/>
          <w:sz w:val="22"/>
          <w:szCs w:val="22"/>
          <w:lang w:val="hr-HR"/>
        </w:rPr>
        <w:t>ne može isključiti.</w:t>
      </w:r>
      <w:r w:rsidR="00B67A57">
        <w:rPr>
          <w:bCs/>
          <w:sz w:val="22"/>
          <w:szCs w:val="22"/>
          <w:lang w:val="hr-HR"/>
        </w:rPr>
        <w:t xml:space="preserve"> </w:t>
      </w:r>
      <w:r w:rsidR="00B67A57" w:rsidRPr="00AB63CB">
        <w:rPr>
          <w:bCs/>
          <w:sz w:val="22"/>
          <w:szCs w:val="20"/>
          <w:lang w:val="hr-HR"/>
        </w:rPr>
        <w:t xml:space="preserve">Klinički podaci kod pedijatrijskih </w:t>
      </w:r>
      <w:r w:rsidR="00B67A57" w:rsidRPr="00AB63CB">
        <w:rPr>
          <w:bCs/>
          <w:sz w:val="22"/>
          <w:szCs w:val="20"/>
          <w:lang w:val="hr-HR"/>
        </w:rPr>
        <w:lastRenderedPageBreak/>
        <w:t>pacijenata (ispitivanje PANORAMA-HF) ni</w:t>
      </w:r>
      <w:r w:rsidR="00E36CD9">
        <w:rPr>
          <w:bCs/>
          <w:sz w:val="22"/>
          <w:szCs w:val="20"/>
          <w:lang w:val="hr-HR"/>
        </w:rPr>
        <w:t>je</w:t>
      </w:r>
      <w:r w:rsidR="00B67A57" w:rsidRPr="00AB63CB">
        <w:rPr>
          <w:bCs/>
          <w:sz w:val="22"/>
          <w:szCs w:val="20"/>
          <w:lang w:val="hr-HR"/>
        </w:rPr>
        <w:t>su pokazali dokaze da valsartan/sakubitril utiče na t</w:t>
      </w:r>
      <w:r w:rsidR="009F418C">
        <w:rPr>
          <w:bCs/>
          <w:sz w:val="22"/>
          <w:szCs w:val="20"/>
          <w:lang w:val="hr-HR"/>
        </w:rPr>
        <w:t>j</w:t>
      </w:r>
      <w:r w:rsidR="00B67A57" w:rsidRPr="00AB63CB">
        <w:rPr>
          <w:bCs/>
          <w:sz w:val="22"/>
          <w:szCs w:val="20"/>
          <w:lang w:val="hr-HR"/>
        </w:rPr>
        <w:t xml:space="preserve">elesnu </w:t>
      </w:r>
      <w:r w:rsidR="00E36CD9">
        <w:rPr>
          <w:bCs/>
          <w:sz w:val="22"/>
          <w:szCs w:val="20"/>
          <w:lang w:val="hr-HR"/>
        </w:rPr>
        <w:t>masu</w:t>
      </w:r>
      <w:r w:rsidR="00B67A57" w:rsidRPr="00AB63CB">
        <w:rPr>
          <w:bCs/>
          <w:sz w:val="22"/>
          <w:szCs w:val="20"/>
          <w:lang w:val="hr-HR"/>
        </w:rPr>
        <w:t>, visinu, opseg glave i stopu preloma. Gustina kostiju nije bila m</w:t>
      </w:r>
      <w:r w:rsidR="009F418C">
        <w:rPr>
          <w:bCs/>
          <w:sz w:val="22"/>
          <w:szCs w:val="20"/>
          <w:lang w:val="hr-HR"/>
        </w:rPr>
        <w:t>j</w:t>
      </w:r>
      <w:r w:rsidR="00B67A57" w:rsidRPr="00AB63CB">
        <w:rPr>
          <w:bCs/>
          <w:sz w:val="22"/>
          <w:szCs w:val="20"/>
          <w:lang w:val="hr-HR"/>
        </w:rPr>
        <w:t xml:space="preserve">erena u ispitivanju. </w:t>
      </w:r>
      <w:r w:rsidR="005F0AB3" w:rsidRPr="005F0AB3">
        <w:rPr>
          <w:bCs/>
          <w:sz w:val="22"/>
          <w:szCs w:val="20"/>
          <w:lang w:val="hr-HR"/>
        </w:rPr>
        <w:t>Dugoročni podaci kod pedijatrijskih pacijenata (PANORAMA-HF OLE) ni</w:t>
      </w:r>
      <w:r w:rsidR="002468CF">
        <w:rPr>
          <w:bCs/>
          <w:sz w:val="22"/>
          <w:szCs w:val="20"/>
          <w:lang w:val="hr-HR"/>
        </w:rPr>
        <w:t>je</w:t>
      </w:r>
      <w:r w:rsidR="005F0AB3" w:rsidRPr="005F0AB3">
        <w:rPr>
          <w:bCs/>
          <w:sz w:val="22"/>
          <w:szCs w:val="20"/>
          <w:lang w:val="hr-HR"/>
        </w:rPr>
        <w:t>su pokazali dokaze o štetnim uticajima sakubitrila/valsartana na rast (kostiju) ili stope preloma.</w:t>
      </w:r>
    </w:p>
    <w:p w14:paraId="63A2138A" w14:textId="77777777" w:rsidR="00B96A91" w:rsidRPr="00E745DB" w:rsidRDefault="00B96A91" w:rsidP="001B64BC">
      <w:pPr>
        <w:widowControl w:val="0"/>
        <w:rPr>
          <w:bCs/>
          <w:sz w:val="22"/>
          <w:szCs w:val="22"/>
          <w:lang w:val="hr-HR"/>
        </w:rPr>
      </w:pPr>
    </w:p>
    <w:p w14:paraId="5BD46DEC" w14:textId="77777777" w:rsidR="00B96A91" w:rsidRPr="00E745DB" w:rsidRDefault="00B96A91" w:rsidP="001B64BC">
      <w:pPr>
        <w:keepNext/>
        <w:widowControl w:val="0"/>
        <w:rPr>
          <w:bCs/>
          <w:i/>
          <w:sz w:val="22"/>
          <w:szCs w:val="20"/>
          <w:lang w:val="hr-HR"/>
        </w:rPr>
      </w:pPr>
      <w:r w:rsidRPr="00E745DB">
        <w:rPr>
          <w:bCs/>
          <w:i/>
          <w:sz w:val="22"/>
          <w:szCs w:val="20"/>
          <w:lang w:val="hr-HR"/>
        </w:rPr>
        <w:t>Valsartan</w:t>
      </w:r>
    </w:p>
    <w:p w14:paraId="0AE87478" w14:textId="6B6C0D69" w:rsidR="00A416D4" w:rsidRPr="00A416D4" w:rsidRDefault="00B96A91" w:rsidP="001B64BC">
      <w:pPr>
        <w:widowControl w:val="0"/>
        <w:jc w:val="both"/>
        <w:rPr>
          <w:sz w:val="22"/>
          <w:szCs w:val="20"/>
          <w:lang w:val="hr-HR"/>
        </w:rPr>
      </w:pPr>
      <w:r>
        <w:rPr>
          <w:bCs/>
          <w:sz w:val="22"/>
          <w:szCs w:val="22"/>
          <w:lang w:val="hr-HR"/>
        </w:rPr>
        <w:t xml:space="preserve">Kod </w:t>
      </w:r>
      <w:r w:rsidRPr="00E745DB">
        <w:rPr>
          <w:bCs/>
          <w:sz w:val="22"/>
          <w:szCs w:val="22"/>
          <w:lang w:val="hr-HR"/>
        </w:rPr>
        <w:t xml:space="preserve">juvenilnih </w:t>
      </w:r>
      <w:r>
        <w:rPr>
          <w:bCs/>
          <w:sz w:val="22"/>
          <w:szCs w:val="22"/>
          <w:lang w:val="hr-HR"/>
        </w:rPr>
        <w:t>pacova tretiranih</w:t>
      </w:r>
      <w:r w:rsidRPr="00E745DB">
        <w:rPr>
          <w:bCs/>
          <w:sz w:val="22"/>
          <w:szCs w:val="22"/>
          <w:lang w:val="hr-HR"/>
        </w:rPr>
        <w:t xml:space="preserve"> valsartanom (postnatalni dani od 7. do 70.), doze već od 1 mg/kg/dan proizve</w:t>
      </w:r>
      <w:r>
        <w:rPr>
          <w:bCs/>
          <w:sz w:val="22"/>
          <w:szCs w:val="22"/>
          <w:lang w:val="hr-HR"/>
        </w:rPr>
        <w:t>le su trajne ireverzibilne promj</w:t>
      </w:r>
      <w:r w:rsidRPr="00E745DB">
        <w:rPr>
          <w:bCs/>
          <w:sz w:val="22"/>
          <w:szCs w:val="22"/>
          <w:lang w:val="hr-HR"/>
        </w:rPr>
        <w:t xml:space="preserve">ene na bubrezima </w:t>
      </w:r>
      <w:r>
        <w:rPr>
          <w:bCs/>
          <w:sz w:val="22"/>
          <w:szCs w:val="22"/>
          <w:lang w:val="hr-HR"/>
        </w:rPr>
        <w:t xml:space="preserve">kao što su </w:t>
      </w:r>
      <w:r w:rsidRPr="00E745DB">
        <w:rPr>
          <w:bCs/>
          <w:sz w:val="22"/>
          <w:szCs w:val="22"/>
          <w:lang w:val="hr-HR"/>
        </w:rPr>
        <w:t>tubularn</w:t>
      </w:r>
      <w:r>
        <w:rPr>
          <w:bCs/>
          <w:sz w:val="22"/>
          <w:szCs w:val="22"/>
          <w:lang w:val="hr-HR"/>
        </w:rPr>
        <w:t>a</w:t>
      </w:r>
      <w:r w:rsidRPr="00E745DB">
        <w:rPr>
          <w:bCs/>
          <w:sz w:val="22"/>
          <w:szCs w:val="22"/>
          <w:lang w:val="hr-HR"/>
        </w:rPr>
        <w:t xml:space="preserve"> nefropatij</w:t>
      </w:r>
      <w:r>
        <w:rPr>
          <w:bCs/>
          <w:sz w:val="22"/>
          <w:szCs w:val="22"/>
          <w:lang w:val="hr-HR"/>
        </w:rPr>
        <w:t>a</w:t>
      </w:r>
      <w:r w:rsidRPr="00E745DB">
        <w:rPr>
          <w:bCs/>
          <w:sz w:val="22"/>
          <w:szCs w:val="22"/>
          <w:lang w:val="hr-HR"/>
        </w:rPr>
        <w:t xml:space="preserve"> (ponekad </w:t>
      </w:r>
      <w:r>
        <w:rPr>
          <w:bCs/>
          <w:sz w:val="22"/>
          <w:szCs w:val="22"/>
          <w:lang w:val="hr-HR"/>
        </w:rPr>
        <w:t>udružena sa</w:t>
      </w:r>
      <w:r w:rsidRPr="00E745DB">
        <w:rPr>
          <w:bCs/>
          <w:sz w:val="22"/>
          <w:szCs w:val="22"/>
          <w:lang w:val="hr-HR"/>
        </w:rPr>
        <w:t xml:space="preserve"> nekrozom tubularnog epitela) i dilatacij</w:t>
      </w:r>
      <w:r>
        <w:rPr>
          <w:bCs/>
          <w:sz w:val="22"/>
          <w:szCs w:val="22"/>
          <w:lang w:val="hr-HR"/>
        </w:rPr>
        <w:t>a</w:t>
      </w:r>
      <w:r w:rsidRPr="00E745DB">
        <w:rPr>
          <w:bCs/>
          <w:sz w:val="22"/>
          <w:szCs w:val="22"/>
          <w:lang w:val="hr-HR"/>
        </w:rPr>
        <w:t xml:space="preserve"> </w:t>
      </w:r>
      <w:r>
        <w:rPr>
          <w:bCs/>
          <w:sz w:val="22"/>
          <w:szCs w:val="22"/>
          <w:lang w:val="hr-HR"/>
        </w:rPr>
        <w:t>bubrežne karlice</w:t>
      </w:r>
      <w:r w:rsidRPr="00E745DB">
        <w:rPr>
          <w:bCs/>
          <w:sz w:val="22"/>
          <w:szCs w:val="22"/>
          <w:lang w:val="hr-HR"/>
        </w:rPr>
        <w:t xml:space="preserve">. </w:t>
      </w:r>
      <w:r>
        <w:rPr>
          <w:bCs/>
          <w:sz w:val="22"/>
          <w:szCs w:val="22"/>
          <w:lang w:val="hr-HR"/>
        </w:rPr>
        <w:t>Ove promj</w:t>
      </w:r>
      <w:r w:rsidRPr="00E745DB">
        <w:rPr>
          <w:bCs/>
          <w:sz w:val="22"/>
          <w:szCs w:val="22"/>
          <w:lang w:val="hr-HR"/>
        </w:rPr>
        <w:t>ene na bubrezima predstavljaju očekivani pret</w:t>
      </w:r>
      <w:r>
        <w:rPr>
          <w:bCs/>
          <w:sz w:val="22"/>
          <w:szCs w:val="22"/>
          <w:lang w:val="hr-HR"/>
        </w:rPr>
        <w:t>j</w:t>
      </w:r>
      <w:r w:rsidRPr="00E745DB">
        <w:rPr>
          <w:bCs/>
          <w:sz w:val="22"/>
          <w:szCs w:val="22"/>
          <w:lang w:val="hr-HR"/>
        </w:rPr>
        <w:t xml:space="preserve">erani farmakološki </w:t>
      </w:r>
      <w:r>
        <w:rPr>
          <w:bCs/>
          <w:sz w:val="22"/>
          <w:szCs w:val="22"/>
          <w:lang w:val="hr-HR"/>
        </w:rPr>
        <w:t>efekat</w:t>
      </w:r>
      <w:r w:rsidRPr="00E745DB">
        <w:rPr>
          <w:bCs/>
          <w:sz w:val="22"/>
          <w:szCs w:val="22"/>
          <w:lang w:val="hr-HR"/>
        </w:rPr>
        <w:t xml:space="preserve"> inhibitora angiotenzin konvertirajućeg enzima i blokatora angiotenzina II tipa 1; takvi </w:t>
      </w:r>
      <w:r>
        <w:rPr>
          <w:bCs/>
          <w:sz w:val="22"/>
          <w:szCs w:val="22"/>
          <w:lang w:val="hr-HR"/>
        </w:rPr>
        <w:t>efekti su primijećeni</w:t>
      </w:r>
      <w:r w:rsidRPr="00E745DB">
        <w:rPr>
          <w:bCs/>
          <w:sz w:val="22"/>
          <w:szCs w:val="22"/>
          <w:lang w:val="hr-HR"/>
        </w:rPr>
        <w:t xml:space="preserve"> ako </w:t>
      </w:r>
      <w:r>
        <w:rPr>
          <w:bCs/>
          <w:sz w:val="22"/>
          <w:szCs w:val="22"/>
          <w:lang w:val="hr-HR"/>
        </w:rPr>
        <w:t>su pacovi tretirani tokom</w:t>
      </w:r>
      <w:r w:rsidRPr="00E745DB">
        <w:rPr>
          <w:bCs/>
          <w:sz w:val="22"/>
          <w:szCs w:val="22"/>
          <w:lang w:val="hr-HR"/>
        </w:rPr>
        <w:t xml:space="preserve"> prvih 13</w:t>
      </w:r>
      <w:r w:rsidRPr="00E745DB">
        <w:rPr>
          <w:sz w:val="22"/>
          <w:szCs w:val="20"/>
          <w:lang w:val="hr-HR"/>
        </w:rPr>
        <w:t> dana života. Ov</w:t>
      </w:r>
      <w:r>
        <w:rPr>
          <w:sz w:val="22"/>
          <w:szCs w:val="20"/>
          <w:lang w:val="hr-HR"/>
        </w:rPr>
        <w:t xml:space="preserve">aj period se poklapa sa </w:t>
      </w:r>
      <w:r w:rsidRPr="00E745DB">
        <w:rPr>
          <w:sz w:val="22"/>
          <w:szCs w:val="20"/>
          <w:lang w:val="hr-HR"/>
        </w:rPr>
        <w:t>36 </w:t>
      </w:r>
      <w:r>
        <w:rPr>
          <w:sz w:val="22"/>
          <w:szCs w:val="20"/>
          <w:lang w:val="hr-HR"/>
        </w:rPr>
        <w:t>nedjelja</w:t>
      </w:r>
      <w:r w:rsidRPr="00E745DB">
        <w:rPr>
          <w:sz w:val="22"/>
          <w:szCs w:val="20"/>
          <w:lang w:val="hr-HR"/>
        </w:rPr>
        <w:t xml:space="preserve"> gestacije </w:t>
      </w:r>
      <w:r>
        <w:rPr>
          <w:sz w:val="22"/>
          <w:szCs w:val="20"/>
          <w:lang w:val="hr-HR"/>
        </w:rPr>
        <w:t>kod</w:t>
      </w:r>
      <w:r w:rsidRPr="00E745DB">
        <w:rPr>
          <w:sz w:val="22"/>
          <w:szCs w:val="20"/>
          <w:lang w:val="hr-HR"/>
        </w:rPr>
        <w:t xml:space="preserve"> ljudi, koj</w:t>
      </w:r>
      <w:r>
        <w:rPr>
          <w:sz w:val="22"/>
          <w:szCs w:val="20"/>
          <w:lang w:val="hr-HR"/>
        </w:rPr>
        <w:t>i</w:t>
      </w:r>
      <w:r w:rsidRPr="00E745DB">
        <w:rPr>
          <w:sz w:val="22"/>
          <w:szCs w:val="20"/>
          <w:lang w:val="hr-HR"/>
        </w:rPr>
        <w:t xml:space="preserve"> </w:t>
      </w:r>
      <w:r>
        <w:rPr>
          <w:sz w:val="22"/>
          <w:szCs w:val="20"/>
          <w:lang w:val="hr-HR"/>
        </w:rPr>
        <w:t xml:space="preserve">se ponekad produži do </w:t>
      </w:r>
      <w:r w:rsidRPr="00E745DB">
        <w:rPr>
          <w:sz w:val="22"/>
          <w:szCs w:val="20"/>
          <w:lang w:val="hr-HR"/>
        </w:rPr>
        <w:t>44</w:t>
      </w:r>
      <w:r>
        <w:rPr>
          <w:sz w:val="22"/>
          <w:szCs w:val="20"/>
          <w:lang w:val="hr-HR"/>
        </w:rPr>
        <w:t xml:space="preserve"> nedjelj</w:t>
      </w:r>
      <w:r w:rsidR="001A00F5">
        <w:rPr>
          <w:sz w:val="22"/>
          <w:szCs w:val="20"/>
          <w:lang w:val="hr-HR"/>
        </w:rPr>
        <w:t>e</w:t>
      </w:r>
      <w:r>
        <w:rPr>
          <w:sz w:val="22"/>
          <w:szCs w:val="20"/>
          <w:lang w:val="hr-HR"/>
        </w:rPr>
        <w:t xml:space="preserve"> nakon </w:t>
      </w:r>
      <w:r w:rsidRPr="00E745DB">
        <w:rPr>
          <w:sz w:val="22"/>
          <w:szCs w:val="20"/>
          <w:lang w:val="hr-HR"/>
        </w:rPr>
        <w:t xml:space="preserve">začeća </w:t>
      </w:r>
      <w:r>
        <w:rPr>
          <w:sz w:val="22"/>
          <w:szCs w:val="20"/>
          <w:lang w:val="hr-HR"/>
        </w:rPr>
        <w:t>kod</w:t>
      </w:r>
      <w:r w:rsidRPr="00E745DB">
        <w:rPr>
          <w:sz w:val="22"/>
          <w:szCs w:val="20"/>
          <w:lang w:val="hr-HR"/>
        </w:rPr>
        <w:t xml:space="preserve"> ljudi.</w:t>
      </w:r>
      <w:r w:rsidR="00B67A57" w:rsidRPr="00AB63CB">
        <w:rPr>
          <w:sz w:val="20"/>
          <w:szCs w:val="18"/>
          <w:lang w:val="hr-HR"/>
        </w:rPr>
        <w:t xml:space="preserve"> </w:t>
      </w:r>
      <w:r w:rsidR="00B67A57" w:rsidRPr="00AB63CB">
        <w:rPr>
          <w:sz w:val="22"/>
          <w:szCs w:val="18"/>
          <w:lang w:val="hr-HR"/>
        </w:rPr>
        <w:t>Funkcionalno sazr</w:t>
      </w:r>
      <w:r w:rsidR="009F418C">
        <w:rPr>
          <w:sz w:val="22"/>
          <w:szCs w:val="18"/>
          <w:lang w:val="hr-HR"/>
        </w:rPr>
        <w:t>ij</w:t>
      </w:r>
      <w:r w:rsidR="00B67A57" w:rsidRPr="00AB63CB">
        <w:rPr>
          <w:sz w:val="22"/>
          <w:szCs w:val="18"/>
          <w:lang w:val="hr-HR"/>
        </w:rPr>
        <w:t>evanje bubrega je proces koji se odvija tokom prve godine života kod ljudi. Posl</w:t>
      </w:r>
      <w:r w:rsidR="009F418C">
        <w:rPr>
          <w:sz w:val="22"/>
          <w:szCs w:val="18"/>
          <w:lang w:val="hr-HR"/>
        </w:rPr>
        <w:t>j</w:t>
      </w:r>
      <w:r w:rsidR="00B67A57" w:rsidRPr="00AB63CB">
        <w:rPr>
          <w:sz w:val="22"/>
          <w:szCs w:val="18"/>
          <w:lang w:val="hr-HR"/>
        </w:rPr>
        <w:t>edično, ne može se isključiti klinička relevantnost kod pedijatrijskih pacijenata mlađih od 1 godine, dok pretklinički podaci ne ukazuju na bezb</w:t>
      </w:r>
      <w:r w:rsidR="009F418C">
        <w:rPr>
          <w:sz w:val="22"/>
          <w:szCs w:val="18"/>
          <w:lang w:val="hr-HR"/>
        </w:rPr>
        <w:t>j</w:t>
      </w:r>
      <w:r w:rsidR="00B67A57" w:rsidRPr="00AB63CB">
        <w:rPr>
          <w:sz w:val="22"/>
          <w:szCs w:val="18"/>
          <w:lang w:val="hr-HR"/>
        </w:rPr>
        <w:t>ednosni problem za pedijatrijske pacijente starije od 1 godine.</w:t>
      </w:r>
    </w:p>
    <w:p w14:paraId="2031CA10" w14:textId="77777777" w:rsidR="00A416D4" w:rsidRDefault="00A416D4" w:rsidP="001B64BC">
      <w:pPr>
        <w:tabs>
          <w:tab w:val="left" w:pos="540"/>
          <w:tab w:val="left" w:pos="569"/>
        </w:tabs>
        <w:rPr>
          <w:b/>
          <w:bCs/>
          <w:sz w:val="22"/>
          <w:szCs w:val="22"/>
        </w:rPr>
      </w:pPr>
    </w:p>
    <w:p w14:paraId="75406A35" w14:textId="77777777" w:rsidR="00A416D4" w:rsidRDefault="00A416D4" w:rsidP="001B64BC">
      <w:pPr>
        <w:tabs>
          <w:tab w:val="left" w:pos="540"/>
          <w:tab w:val="left" w:pos="569"/>
        </w:tabs>
        <w:rPr>
          <w:b/>
          <w:bCs/>
          <w:sz w:val="22"/>
          <w:szCs w:val="22"/>
        </w:rPr>
      </w:pPr>
    </w:p>
    <w:p w14:paraId="11FC6D23" w14:textId="12983BF2" w:rsidR="0072020E" w:rsidRPr="00786071" w:rsidRDefault="0072020E" w:rsidP="001B64BC">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1BF39130" w14:textId="77777777" w:rsidR="00836B35" w:rsidRPr="00786071" w:rsidRDefault="00836B35" w:rsidP="001B64BC">
      <w:pPr>
        <w:tabs>
          <w:tab w:val="left" w:pos="540"/>
          <w:tab w:val="left" w:pos="569"/>
        </w:tabs>
        <w:rPr>
          <w:bCs/>
          <w:sz w:val="22"/>
          <w:szCs w:val="22"/>
        </w:rPr>
      </w:pPr>
    </w:p>
    <w:p w14:paraId="6A159E20" w14:textId="77777777" w:rsidR="0072020E" w:rsidRPr="00786071" w:rsidRDefault="0072020E" w:rsidP="001B64BC">
      <w:pPr>
        <w:tabs>
          <w:tab w:val="left" w:pos="540"/>
          <w:tab w:val="left" w:pos="569"/>
        </w:tabs>
        <w:jc w:val="both"/>
        <w:rPr>
          <w:b/>
          <w:bCs/>
          <w:sz w:val="22"/>
          <w:szCs w:val="22"/>
        </w:rPr>
      </w:pPr>
      <w:r w:rsidRPr="00786071">
        <w:rPr>
          <w:b/>
          <w:bCs/>
          <w:sz w:val="22"/>
          <w:szCs w:val="22"/>
        </w:rPr>
        <w:t xml:space="preserve">6.1. </w:t>
      </w:r>
      <w:r w:rsidR="00480FB1" w:rsidRPr="00786071">
        <w:rPr>
          <w:b/>
          <w:bCs/>
          <w:sz w:val="22"/>
          <w:szCs w:val="22"/>
        </w:rPr>
        <w:tab/>
      </w:r>
      <w:proofErr w:type="spellStart"/>
      <w:r w:rsidRPr="00786071">
        <w:rPr>
          <w:b/>
          <w:bCs/>
          <w:sz w:val="22"/>
          <w:szCs w:val="22"/>
        </w:rPr>
        <w:t>Lista</w:t>
      </w:r>
      <w:proofErr w:type="spellEnd"/>
      <w:r w:rsidRPr="00786071">
        <w:rPr>
          <w:b/>
          <w:bCs/>
          <w:sz w:val="22"/>
          <w:szCs w:val="22"/>
        </w:rPr>
        <w:t xml:space="preserve"> </w:t>
      </w:r>
      <w:proofErr w:type="spellStart"/>
      <w:r w:rsidRPr="00786071">
        <w:rPr>
          <w:b/>
          <w:bCs/>
          <w:sz w:val="22"/>
          <w:szCs w:val="22"/>
        </w:rPr>
        <w:t>pomoćnih</w:t>
      </w:r>
      <w:proofErr w:type="spellEnd"/>
      <w:r w:rsidRPr="00786071">
        <w:rPr>
          <w:b/>
          <w:bCs/>
          <w:sz w:val="22"/>
          <w:szCs w:val="22"/>
        </w:rPr>
        <w:t xml:space="preserve"> </w:t>
      </w:r>
      <w:proofErr w:type="spellStart"/>
      <w:r w:rsidRPr="00786071">
        <w:rPr>
          <w:b/>
          <w:bCs/>
          <w:sz w:val="22"/>
          <w:szCs w:val="22"/>
        </w:rPr>
        <w:t>supstanci</w:t>
      </w:r>
      <w:proofErr w:type="spellEnd"/>
      <w:r w:rsidR="002E0135" w:rsidRPr="00786071">
        <w:rPr>
          <w:b/>
          <w:bCs/>
          <w:sz w:val="22"/>
          <w:szCs w:val="22"/>
        </w:rPr>
        <w:t xml:space="preserve"> (</w:t>
      </w:r>
      <w:proofErr w:type="spellStart"/>
      <w:r w:rsidR="002E0135" w:rsidRPr="00786071">
        <w:rPr>
          <w:b/>
          <w:bCs/>
          <w:sz w:val="22"/>
          <w:szCs w:val="22"/>
        </w:rPr>
        <w:t>ekscipijenasa</w:t>
      </w:r>
      <w:proofErr w:type="spellEnd"/>
      <w:r w:rsidR="002E0135" w:rsidRPr="00786071">
        <w:rPr>
          <w:b/>
          <w:bCs/>
          <w:sz w:val="22"/>
          <w:szCs w:val="22"/>
        </w:rPr>
        <w:t>)</w:t>
      </w:r>
    </w:p>
    <w:p w14:paraId="5A601A99" w14:textId="3C007181" w:rsidR="0072020E" w:rsidRDefault="0072020E" w:rsidP="001B64BC">
      <w:pPr>
        <w:tabs>
          <w:tab w:val="left" w:pos="540"/>
          <w:tab w:val="left" w:pos="569"/>
        </w:tabs>
        <w:jc w:val="both"/>
        <w:rPr>
          <w:bCs/>
          <w:sz w:val="22"/>
          <w:szCs w:val="22"/>
        </w:rPr>
      </w:pPr>
    </w:p>
    <w:p w14:paraId="26EF2F57" w14:textId="77777777" w:rsidR="00B96A91" w:rsidRPr="009A092C" w:rsidRDefault="00B96A91" w:rsidP="001B64BC">
      <w:pPr>
        <w:widowControl w:val="0"/>
        <w:autoSpaceDE w:val="0"/>
        <w:autoSpaceDN w:val="0"/>
        <w:adjustRightInd w:val="0"/>
        <w:spacing w:line="260" w:lineRule="exact"/>
        <w:jc w:val="both"/>
        <w:rPr>
          <w:rFonts w:eastAsia="SimSun"/>
          <w:b/>
          <w:color w:val="000000"/>
          <w:sz w:val="22"/>
          <w:szCs w:val="22"/>
          <w:u w:val="single"/>
          <w:lang w:val="hr-HR"/>
        </w:rPr>
      </w:pPr>
      <w:r w:rsidRPr="009A092C">
        <w:rPr>
          <w:rFonts w:eastAsia="SimSun"/>
          <w:b/>
          <w:color w:val="000000"/>
          <w:sz w:val="22"/>
          <w:szCs w:val="22"/>
          <w:u w:val="single"/>
          <w:lang w:val="hr-HR"/>
        </w:rPr>
        <w:t>Entresto 26</w:t>
      </w:r>
      <w:r>
        <w:rPr>
          <w:rFonts w:eastAsia="SimSun"/>
          <w:b/>
          <w:color w:val="000000"/>
          <w:sz w:val="22"/>
          <w:szCs w:val="22"/>
          <w:u w:val="single"/>
          <w:lang w:val="hr-HR"/>
        </w:rPr>
        <w:t xml:space="preserve"> mg + </w:t>
      </w:r>
      <w:r w:rsidRPr="009A092C">
        <w:rPr>
          <w:rFonts w:eastAsia="SimSun"/>
          <w:b/>
          <w:color w:val="000000"/>
          <w:sz w:val="22"/>
          <w:szCs w:val="22"/>
          <w:u w:val="single"/>
          <w:lang w:val="hr-HR"/>
        </w:rPr>
        <w:t>24 mg</w:t>
      </w:r>
    </w:p>
    <w:p w14:paraId="40F7D7CD" w14:textId="77777777" w:rsidR="00B96A91"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p>
    <w:p w14:paraId="7F1E99FA" w14:textId="77777777" w:rsidR="00B96A91" w:rsidRPr="00963B0C"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r w:rsidRPr="00963B0C">
        <w:rPr>
          <w:rFonts w:eastAsia="SimSun"/>
          <w:color w:val="000000"/>
          <w:sz w:val="22"/>
          <w:szCs w:val="22"/>
          <w:u w:val="single"/>
          <w:lang w:val="hr-HR"/>
        </w:rPr>
        <w:t>Jezgro tablete</w:t>
      </w:r>
    </w:p>
    <w:p w14:paraId="54060919"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w:t>
      </w:r>
      <w:r w:rsidRPr="00D05DC7">
        <w:rPr>
          <w:rFonts w:eastAsia="SimSun"/>
          <w:color w:val="000000"/>
          <w:sz w:val="22"/>
          <w:szCs w:val="22"/>
          <w:lang w:val="hr-HR"/>
        </w:rPr>
        <w:t>mikrokristal</w:t>
      </w:r>
      <w:r>
        <w:rPr>
          <w:rFonts w:eastAsia="SimSun"/>
          <w:color w:val="000000"/>
          <w:sz w:val="22"/>
          <w:szCs w:val="22"/>
          <w:lang w:val="hr-HR"/>
        </w:rPr>
        <w:t>na</w:t>
      </w:r>
      <w:r w:rsidRPr="00D05DC7">
        <w:rPr>
          <w:rFonts w:eastAsia="SimSun"/>
          <w:color w:val="000000"/>
          <w:sz w:val="22"/>
          <w:szCs w:val="22"/>
          <w:lang w:val="hr-HR"/>
        </w:rPr>
        <w:t xml:space="preserve"> </w:t>
      </w:r>
    </w:p>
    <w:p w14:paraId="0697F8E6"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0F3449DA"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krospovidon, tip A</w:t>
      </w:r>
      <w:r w:rsidRPr="00D05DC7">
        <w:rPr>
          <w:rFonts w:eastAsia="SimSun"/>
          <w:color w:val="000000"/>
          <w:sz w:val="22"/>
          <w:szCs w:val="22"/>
          <w:lang w:val="hr-HR"/>
        </w:rPr>
        <w:t xml:space="preserve"> </w:t>
      </w:r>
    </w:p>
    <w:p w14:paraId="6401EFCF"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magnezij</w:t>
      </w:r>
      <w:r>
        <w:rPr>
          <w:rFonts w:eastAsia="SimSun"/>
          <w:color w:val="000000"/>
          <w:sz w:val="22"/>
          <w:szCs w:val="22"/>
          <w:lang w:val="hr-HR"/>
        </w:rPr>
        <w:t>um stearat</w:t>
      </w:r>
      <w:r w:rsidRPr="00D05DC7">
        <w:rPr>
          <w:rFonts w:eastAsia="SimSun"/>
          <w:color w:val="000000"/>
          <w:sz w:val="22"/>
          <w:szCs w:val="22"/>
          <w:lang w:val="hr-HR"/>
        </w:rPr>
        <w:t xml:space="preserve"> </w:t>
      </w:r>
    </w:p>
    <w:p w14:paraId="3959BA3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 xml:space="preserve">talk </w:t>
      </w:r>
    </w:p>
    <w:p w14:paraId="42494D35" w14:textId="3EF13B51"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963B0C">
        <w:rPr>
          <w:rFonts w:eastAsia="SimSun"/>
          <w:color w:val="000000"/>
          <w:sz w:val="22"/>
          <w:szCs w:val="22"/>
          <w:lang w:val="hr-HR"/>
        </w:rPr>
        <w:t>silicijum</w:t>
      </w:r>
      <w:r w:rsidR="0008251C">
        <w:rPr>
          <w:rFonts w:eastAsia="SimSun"/>
          <w:color w:val="000000"/>
          <w:sz w:val="22"/>
          <w:szCs w:val="22"/>
          <w:lang w:val="hr-HR"/>
        </w:rPr>
        <w:t xml:space="preserve"> </w:t>
      </w:r>
      <w:r w:rsidRPr="00963B0C">
        <w:rPr>
          <w:rFonts w:eastAsia="SimSun"/>
          <w:color w:val="000000"/>
          <w:sz w:val="22"/>
          <w:szCs w:val="22"/>
          <w:lang w:val="hr-HR"/>
        </w:rPr>
        <w:t>dioksid, koloidni, bezvodni</w:t>
      </w:r>
    </w:p>
    <w:p w14:paraId="1123CED0" w14:textId="77777777" w:rsidR="00B96A91"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p>
    <w:p w14:paraId="25C1ABE6"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B11080">
        <w:rPr>
          <w:rFonts w:eastAsia="SimSun"/>
          <w:color w:val="000000"/>
          <w:sz w:val="22"/>
          <w:szCs w:val="22"/>
          <w:u w:val="single"/>
          <w:lang w:val="hr-HR"/>
        </w:rPr>
        <w:t>Omotač tablete</w:t>
      </w:r>
    </w:p>
    <w:p w14:paraId="11EC6216" w14:textId="77777777" w:rsidR="00B96A91" w:rsidRPr="009A092C" w:rsidRDefault="00B96A91" w:rsidP="001B64BC">
      <w:pPr>
        <w:widowControl w:val="0"/>
        <w:autoSpaceDE w:val="0"/>
        <w:autoSpaceDN w:val="0"/>
        <w:adjustRightInd w:val="0"/>
        <w:spacing w:line="260" w:lineRule="exact"/>
        <w:jc w:val="both"/>
        <w:rPr>
          <w:rFonts w:eastAsia="SimSun"/>
          <w:color w:val="000000"/>
          <w:sz w:val="22"/>
          <w:szCs w:val="22"/>
          <w:lang w:val="sr-Latn-RS"/>
        </w:rPr>
      </w:pPr>
      <w:r>
        <w:rPr>
          <w:rFonts w:eastAsia="SimSun"/>
          <w:color w:val="000000"/>
          <w:sz w:val="22"/>
          <w:szCs w:val="22"/>
          <w:lang w:val="hr-HR"/>
        </w:rPr>
        <w:t xml:space="preserve">hipromeloza, supstitucijski tip 2910 </w:t>
      </w:r>
      <w:r>
        <w:rPr>
          <w:rFonts w:eastAsia="SimSun"/>
          <w:color w:val="000000"/>
          <w:sz w:val="22"/>
          <w:szCs w:val="22"/>
          <w:lang w:val="sr-Latn-RS"/>
        </w:rPr>
        <w:t>(3 mPa‧s)</w:t>
      </w:r>
    </w:p>
    <w:p w14:paraId="347B9D11"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titan</w:t>
      </w:r>
      <w:r>
        <w:rPr>
          <w:rFonts w:eastAsia="SimSun"/>
          <w:color w:val="000000"/>
          <w:sz w:val="22"/>
          <w:szCs w:val="22"/>
          <w:lang w:val="hr-HR"/>
        </w:rPr>
        <w:t xml:space="preserve"> dioksid (E171)</w:t>
      </w:r>
    </w:p>
    <w:p w14:paraId="05455C10"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makrogol 4000</w:t>
      </w:r>
    </w:p>
    <w:p w14:paraId="50E97ED8"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talk</w:t>
      </w:r>
    </w:p>
    <w:p w14:paraId="28B404AE" w14:textId="77777777" w:rsidR="00B96A91" w:rsidRDefault="00B96A91" w:rsidP="001B64BC">
      <w:pPr>
        <w:shd w:val="clear" w:color="auto" w:fill="FFFFFF"/>
        <w:jc w:val="both"/>
        <w:rPr>
          <w:sz w:val="22"/>
          <w:szCs w:val="22"/>
          <w:lang w:val="sr-Latn-CS"/>
        </w:rPr>
      </w:pPr>
      <w:r>
        <w:rPr>
          <w:sz w:val="22"/>
          <w:szCs w:val="22"/>
          <w:lang w:val="sr-Latn-CS"/>
        </w:rPr>
        <w:t xml:space="preserve">gvožđe (III) </w:t>
      </w:r>
      <w:r w:rsidRPr="00745044">
        <w:rPr>
          <w:sz w:val="22"/>
          <w:szCs w:val="22"/>
          <w:lang w:val="sr-Latn-CS"/>
        </w:rPr>
        <w:t>oksid, crveni (E172)</w:t>
      </w:r>
    </w:p>
    <w:p w14:paraId="1D244361" w14:textId="77777777" w:rsidR="00B96A91" w:rsidRDefault="00B96A91" w:rsidP="001B64BC">
      <w:pPr>
        <w:shd w:val="clear" w:color="auto" w:fill="FFFFFF"/>
        <w:jc w:val="both"/>
        <w:rPr>
          <w:sz w:val="22"/>
          <w:szCs w:val="22"/>
          <w:lang w:val="sr-Latn-CS"/>
        </w:rPr>
      </w:pPr>
      <w:r w:rsidRPr="00745044">
        <w:rPr>
          <w:sz w:val="22"/>
          <w:szCs w:val="22"/>
          <w:lang w:val="sr-Latn-CS"/>
        </w:rPr>
        <w:t>gvožđe</w:t>
      </w:r>
      <w:r>
        <w:rPr>
          <w:sz w:val="22"/>
          <w:szCs w:val="22"/>
          <w:lang w:val="sr-Latn-CS"/>
        </w:rPr>
        <w:t xml:space="preserve"> (III) </w:t>
      </w:r>
      <w:r w:rsidRPr="00745044">
        <w:rPr>
          <w:sz w:val="22"/>
          <w:szCs w:val="22"/>
          <w:lang w:val="sr-Latn-CS"/>
        </w:rPr>
        <w:t xml:space="preserve">oksid, </w:t>
      </w:r>
      <w:r>
        <w:rPr>
          <w:sz w:val="22"/>
          <w:szCs w:val="22"/>
          <w:lang w:val="sr-Latn-CS"/>
        </w:rPr>
        <w:t>crni</w:t>
      </w:r>
      <w:r w:rsidRPr="00745044">
        <w:rPr>
          <w:sz w:val="22"/>
          <w:szCs w:val="22"/>
          <w:lang w:val="sr-Latn-CS"/>
        </w:rPr>
        <w:t xml:space="preserve"> (E172)</w:t>
      </w:r>
    </w:p>
    <w:p w14:paraId="1339B49C" w14:textId="77777777" w:rsidR="00B96A91" w:rsidRPr="00B11080" w:rsidRDefault="00B96A91" w:rsidP="001B64BC">
      <w:pPr>
        <w:widowControl w:val="0"/>
        <w:autoSpaceDE w:val="0"/>
        <w:autoSpaceDN w:val="0"/>
        <w:adjustRightInd w:val="0"/>
        <w:spacing w:line="260" w:lineRule="exact"/>
        <w:jc w:val="both"/>
        <w:rPr>
          <w:rFonts w:eastAsia="SimSun"/>
          <w:color w:val="000000"/>
          <w:sz w:val="22"/>
          <w:szCs w:val="22"/>
          <w:lang w:val="sr-Latn-CS"/>
        </w:rPr>
      </w:pPr>
    </w:p>
    <w:p w14:paraId="27D28C61" w14:textId="77777777" w:rsidR="00B96A91" w:rsidRPr="009A092C" w:rsidRDefault="00B96A91" w:rsidP="001B64BC">
      <w:pPr>
        <w:widowControl w:val="0"/>
        <w:autoSpaceDE w:val="0"/>
        <w:autoSpaceDN w:val="0"/>
        <w:adjustRightInd w:val="0"/>
        <w:spacing w:line="260" w:lineRule="exact"/>
        <w:jc w:val="both"/>
        <w:rPr>
          <w:rFonts w:eastAsia="SimSun"/>
          <w:b/>
          <w:color w:val="000000"/>
          <w:sz w:val="22"/>
          <w:szCs w:val="22"/>
          <w:u w:val="single"/>
          <w:lang w:val="hr-HR"/>
        </w:rPr>
      </w:pPr>
      <w:r w:rsidRPr="009A092C">
        <w:rPr>
          <w:rFonts w:eastAsia="SimSun"/>
          <w:b/>
          <w:color w:val="000000"/>
          <w:sz w:val="22"/>
          <w:szCs w:val="22"/>
          <w:u w:val="single"/>
          <w:lang w:val="hr-HR"/>
        </w:rPr>
        <w:t>Entresto 51 mg</w:t>
      </w:r>
      <w:r>
        <w:rPr>
          <w:rFonts w:eastAsia="SimSun"/>
          <w:b/>
          <w:color w:val="000000"/>
          <w:sz w:val="22"/>
          <w:szCs w:val="22"/>
          <w:u w:val="single"/>
          <w:lang w:val="hr-HR"/>
        </w:rPr>
        <w:t xml:space="preserve"> + </w:t>
      </w:r>
      <w:r w:rsidRPr="009A092C">
        <w:rPr>
          <w:rFonts w:eastAsia="SimSun"/>
          <w:b/>
          <w:color w:val="000000"/>
          <w:sz w:val="22"/>
          <w:szCs w:val="22"/>
          <w:u w:val="single"/>
          <w:lang w:val="hr-HR"/>
        </w:rPr>
        <w:t>49 mg</w:t>
      </w:r>
    </w:p>
    <w:p w14:paraId="5360388F" w14:textId="77777777" w:rsidR="00B96A91"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p>
    <w:p w14:paraId="2D669F31" w14:textId="77777777" w:rsidR="00B96A91" w:rsidRPr="00963B0C"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r w:rsidRPr="00963B0C">
        <w:rPr>
          <w:rFonts w:eastAsia="SimSun"/>
          <w:color w:val="000000"/>
          <w:sz w:val="22"/>
          <w:szCs w:val="22"/>
          <w:u w:val="single"/>
          <w:lang w:val="hr-HR"/>
        </w:rPr>
        <w:t>Jezgro tablete</w:t>
      </w:r>
    </w:p>
    <w:p w14:paraId="54F5DB17"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w:t>
      </w:r>
      <w:r w:rsidRPr="00D05DC7">
        <w:rPr>
          <w:rFonts w:eastAsia="SimSun"/>
          <w:color w:val="000000"/>
          <w:sz w:val="22"/>
          <w:szCs w:val="22"/>
          <w:lang w:val="hr-HR"/>
        </w:rPr>
        <w:t>mikrokristal</w:t>
      </w:r>
      <w:r>
        <w:rPr>
          <w:rFonts w:eastAsia="SimSun"/>
          <w:color w:val="000000"/>
          <w:sz w:val="22"/>
          <w:szCs w:val="22"/>
          <w:lang w:val="hr-HR"/>
        </w:rPr>
        <w:t>na</w:t>
      </w:r>
      <w:r w:rsidRPr="00D05DC7">
        <w:rPr>
          <w:rFonts w:eastAsia="SimSun"/>
          <w:color w:val="000000"/>
          <w:sz w:val="22"/>
          <w:szCs w:val="22"/>
          <w:lang w:val="hr-HR"/>
        </w:rPr>
        <w:t xml:space="preserve"> </w:t>
      </w:r>
    </w:p>
    <w:p w14:paraId="76E2D559"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771FA8EC"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krospovidon</w:t>
      </w:r>
      <w:r w:rsidRPr="00D05DC7">
        <w:rPr>
          <w:rFonts w:eastAsia="SimSun"/>
          <w:color w:val="000000"/>
          <w:sz w:val="22"/>
          <w:szCs w:val="22"/>
          <w:lang w:val="hr-HR"/>
        </w:rPr>
        <w:t xml:space="preserve"> </w:t>
      </w:r>
      <w:r>
        <w:rPr>
          <w:rFonts w:eastAsia="SimSun"/>
          <w:color w:val="000000"/>
          <w:sz w:val="22"/>
          <w:szCs w:val="22"/>
          <w:lang w:val="hr-HR"/>
        </w:rPr>
        <w:t>tip A</w:t>
      </w:r>
    </w:p>
    <w:p w14:paraId="14A04DAA"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magnezij</w:t>
      </w:r>
      <w:r>
        <w:rPr>
          <w:rFonts w:eastAsia="SimSun"/>
          <w:color w:val="000000"/>
          <w:sz w:val="22"/>
          <w:szCs w:val="22"/>
          <w:lang w:val="hr-HR"/>
        </w:rPr>
        <w:t>um stearat</w:t>
      </w:r>
      <w:r w:rsidRPr="00D05DC7">
        <w:rPr>
          <w:rFonts w:eastAsia="SimSun"/>
          <w:color w:val="000000"/>
          <w:sz w:val="22"/>
          <w:szCs w:val="22"/>
          <w:lang w:val="hr-HR"/>
        </w:rPr>
        <w:t xml:space="preserve"> </w:t>
      </w:r>
    </w:p>
    <w:p w14:paraId="64D023D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 xml:space="preserve">talk </w:t>
      </w:r>
    </w:p>
    <w:p w14:paraId="1FFBA19C" w14:textId="17D28E48"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963B0C">
        <w:rPr>
          <w:rFonts w:eastAsia="SimSun"/>
          <w:color w:val="000000"/>
          <w:sz w:val="22"/>
          <w:szCs w:val="22"/>
          <w:lang w:val="hr-HR"/>
        </w:rPr>
        <w:t>silicijum</w:t>
      </w:r>
      <w:r w:rsidR="0008251C">
        <w:rPr>
          <w:rFonts w:eastAsia="SimSun"/>
          <w:color w:val="000000"/>
          <w:sz w:val="22"/>
          <w:szCs w:val="22"/>
          <w:lang w:val="hr-HR"/>
        </w:rPr>
        <w:t xml:space="preserve"> </w:t>
      </w:r>
      <w:r w:rsidRPr="00963B0C">
        <w:rPr>
          <w:rFonts w:eastAsia="SimSun"/>
          <w:color w:val="000000"/>
          <w:sz w:val="22"/>
          <w:szCs w:val="22"/>
          <w:lang w:val="hr-HR"/>
        </w:rPr>
        <w:t>dioksid, koloidni, bezvodni</w:t>
      </w:r>
    </w:p>
    <w:p w14:paraId="1373A17C" w14:textId="77777777" w:rsidR="00B96A91" w:rsidRDefault="00B96A91" w:rsidP="001B64BC">
      <w:pPr>
        <w:widowControl w:val="0"/>
        <w:autoSpaceDE w:val="0"/>
        <w:autoSpaceDN w:val="0"/>
        <w:adjustRightInd w:val="0"/>
        <w:spacing w:line="260" w:lineRule="exact"/>
        <w:jc w:val="both"/>
        <w:rPr>
          <w:rFonts w:eastAsia="SimSun"/>
          <w:i/>
          <w:color w:val="000000"/>
          <w:sz w:val="22"/>
          <w:szCs w:val="22"/>
          <w:lang w:val="hr-HR"/>
        </w:rPr>
      </w:pPr>
    </w:p>
    <w:p w14:paraId="5606D448"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75439C">
        <w:rPr>
          <w:rFonts w:eastAsia="SimSun"/>
          <w:color w:val="000000"/>
          <w:sz w:val="22"/>
          <w:szCs w:val="22"/>
          <w:u w:val="single"/>
          <w:lang w:val="hr-HR"/>
        </w:rPr>
        <w:t>Omotač tablete</w:t>
      </w:r>
      <w:r>
        <w:rPr>
          <w:rFonts w:eastAsia="SimSun"/>
          <w:color w:val="000000"/>
          <w:sz w:val="22"/>
          <w:szCs w:val="22"/>
          <w:lang w:val="hr-HR"/>
        </w:rPr>
        <w:t xml:space="preserve"> </w:t>
      </w:r>
      <w:r w:rsidRPr="00D05DC7">
        <w:rPr>
          <w:rFonts w:eastAsia="SimSun"/>
          <w:color w:val="000000"/>
          <w:sz w:val="22"/>
          <w:szCs w:val="22"/>
          <w:lang w:val="hr-HR"/>
        </w:rPr>
        <w:t xml:space="preserve"> </w:t>
      </w:r>
    </w:p>
    <w:p w14:paraId="5F0ABDDF"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w:t>
      </w:r>
      <w:r w:rsidRPr="00D05DC7">
        <w:rPr>
          <w:rFonts w:eastAsia="SimSun"/>
          <w:color w:val="000000"/>
          <w:sz w:val="22"/>
          <w:szCs w:val="22"/>
          <w:lang w:val="hr-HR"/>
        </w:rPr>
        <w:t>ipromeloz</w:t>
      </w:r>
      <w:r>
        <w:rPr>
          <w:rFonts w:eastAsia="SimSun"/>
          <w:color w:val="000000"/>
          <w:sz w:val="22"/>
          <w:szCs w:val="22"/>
          <w:lang w:val="hr-HR"/>
        </w:rPr>
        <w:t xml:space="preserve">a, supstitucijski tip 2910 </w:t>
      </w:r>
      <w:r>
        <w:rPr>
          <w:rFonts w:eastAsia="SimSun"/>
          <w:color w:val="000000"/>
          <w:sz w:val="22"/>
          <w:szCs w:val="22"/>
          <w:lang w:val="sr-Latn-RS"/>
        </w:rPr>
        <w:t>(3 mPa‧s)</w:t>
      </w:r>
    </w:p>
    <w:p w14:paraId="3A230D8C"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titan</w:t>
      </w:r>
      <w:r>
        <w:rPr>
          <w:rFonts w:eastAsia="SimSun"/>
          <w:color w:val="000000"/>
          <w:sz w:val="22"/>
          <w:szCs w:val="22"/>
          <w:lang w:val="hr-HR"/>
        </w:rPr>
        <w:t xml:space="preserve"> dioksid (E171)</w:t>
      </w:r>
    </w:p>
    <w:p w14:paraId="6DCB7F29"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makrogol 4000</w:t>
      </w:r>
    </w:p>
    <w:p w14:paraId="32DA36CA"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talk</w:t>
      </w:r>
    </w:p>
    <w:p w14:paraId="7874B6A0" w14:textId="77777777" w:rsidR="00B96A91" w:rsidRDefault="00B96A91" w:rsidP="001B64BC">
      <w:pPr>
        <w:shd w:val="clear" w:color="auto" w:fill="FFFFFF"/>
        <w:jc w:val="both"/>
        <w:rPr>
          <w:sz w:val="22"/>
          <w:szCs w:val="22"/>
          <w:lang w:val="sr-Latn-CS"/>
        </w:rPr>
      </w:pPr>
      <w:r w:rsidRPr="00745044">
        <w:rPr>
          <w:sz w:val="22"/>
          <w:szCs w:val="22"/>
          <w:lang w:val="sr-Latn-CS"/>
        </w:rPr>
        <w:t>gvožđe</w:t>
      </w:r>
      <w:r>
        <w:rPr>
          <w:sz w:val="22"/>
          <w:szCs w:val="22"/>
          <w:lang w:val="sr-Latn-CS"/>
        </w:rPr>
        <w:t xml:space="preserve"> (III) </w:t>
      </w:r>
      <w:r w:rsidRPr="00745044">
        <w:rPr>
          <w:sz w:val="22"/>
          <w:szCs w:val="22"/>
          <w:lang w:val="sr-Latn-CS"/>
        </w:rPr>
        <w:t>oksid, crveni (E172)</w:t>
      </w:r>
    </w:p>
    <w:p w14:paraId="308F10C3" w14:textId="77777777" w:rsidR="00B96A91" w:rsidRDefault="00B96A91" w:rsidP="001B64BC">
      <w:pPr>
        <w:shd w:val="clear" w:color="auto" w:fill="FFFFFF"/>
        <w:jc w:val="both"/>
        <w:rPr>
          <w:sz w:val="22"/>
          <w:szCs w:val="22"/>
          <w:lang w:val="sr-Latn-CS"/>
        </w:rPr>
      </w:pPr>
      <w:r w:rsidRPr="00745044">
        <w:rPr>
          <w:sz w:val="22"/>
          <w:szCs w:val="22"/>
          <w:lang w:val="sr-Latn-CS"/>
        </w:rPr>
        <w:lastRenderedPageBreak/>
        <w:t>gvožđe</w:t>
      </w:r>
      <w:r>
        <w:rPr>
          <w:sz w:val="22"/>
          <w:szCs w:val="22"/>
          <w:lang w:val="sr-Latn-CS"/>
        </w:rPr>
        <w:t xml:space="preserve"> (III) </w:t>
      </w:r>
      <w:r w:rsidRPr="00745044">
        <w:rPr>
          <w:sz w:val="22"/>
          <w:szCs w:val="22"/>
          <w:lang w:val="sr-Latn-CS"/>
        </w:rPr>
        <w:t>oksid, žuti (E172)</w:t>
      </w:r>
    </w:p>
    <w:p w14:paraId="7B82CD6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sr-Latn-CS"/>
        </w:rPr>
      </w:pPr>
    </w:p>
    <w:p w14:paraId="640EA39C" w14:textId="77777777" w:rsidR="00B96A91" w:rsidRPr="009A092C" w:rsidRDefault="00B96A91" w:rsidP="001B64BC">
      <w:pPr>
        <w:widowControl w:val="0"/>
        <w:autoSpaceDE w:val="0"/>
        <w:autoSpaceDN w:val="0"/>
        <w:adjustRightInd w:val="0"/>
        <w:spacing w:line="260" w:lineRule="exact"/>
        <w:jc w:val="both"/>
        <w:rPr>
          <w:rFonts w:eastAsia="SimSun"/>
          <w:b/>
          <w:color w:val="000000"/>
          <w:sz w:val="22"/>
          <w:szCs w:val="22"/>
          <w:u w:val="single"/>
          <w:lang w:val="hr-HR"/>
        </w:rPr>
      </w:pPr>
      <w:r w:rsidRPr="009A092C">
        <w:rPr>
          <w:rFonts w:eastAsia="SimSun"/>
          <w:b/>
          <w:color w:val="000000"/>
          <w:sz w:val="22"/>
          <w:szCs w:val="22"/>
          <w:u w:val="single"/>
          <w:lang w:val="hr-HR"/>
        </w:rPr>
        <w:t>Entresto 103 mg</w:t>
      </w:r>
      <w:r>
        <w:rPr>
          <w:rFonts w:eastAsia="SimSun"/>
          <w:b/>
          <w:color w:val="000000"/>
          <w:sz w:val="22"/>
          <w:szCs w:val="22"/>
          <w:u w:val="single"/>
          <w:lang w:val="hr-HR"/>
        </w:rPr>
        <w:t xml:space="preserve"> + </w:t>
      </w:r>
      <w:r w:rsidRPr="009A092C">
        <w:rPr>
          <w:rFonts w:eastAsia="SimSun"/>
          <w:b/>
          <w:color w:val="000000"/>
          <w:sz w:val="22"/>
          <w:szCs w:val="22"/>
          <w:u w:val="single"/>
          <w:lang w:val="hr-HR"/>
        </w:rPr>
        <w:t>97 mg</w:t>
      </w:r>
    </w:p>
    <w:p w14:paraId="20A784B2" w14:textId="77777777" w:rsidR="00B96A91"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p>
    <w:p w14:paraId="559A5F27" w14:textId="77777777" w:rsidR="00B96A91" w:rsidRPr="00963B0C" w:rsidRDefault="00B96A91" w:rsidP="001B64BC">
      <w:pPr>
        <w:widowControl w:val="0"/>
        <w:autoSpaceDE w:val="0"/>
        <w:autoSpaceDN w:val="0"/>
        <w:adjustRightInd w:val="0"/>
        <w:spacing w:line="260" w:lineRule="exact"/>
        <w:jc w:val="both"/>
        <w:rPr>
          <w:rFonts w:eastAsia="SimSun"/>
          <w:color w:val="000000"/>
          <w:sz w:val="22"/>
          <w:szCs w:val="22"/>
          <w:u w:val="single"/>
          <w:lang w:val="hr-HR"/>
        </w:rPr>
      </w:pPr>
      <w:r w:rsidRPr="00963B0C">
        <w:rPr>
          <w:rFonts w:eastAsia="SimSun"/>
          <w:color w:val="000000"/>
          <w:sz w:val="22"/>
          <w:szCs w:val="22"/>
          <w:u w:val="single"/>
          <w:lang w:val="hr-HR"/>
        </w:rPr>
        <w:t>Jezgro tablete</w:t>
      </w:r>
    </w:p>
    <w:p w14:paraId="1E4147BE"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celuloza, </w:t>
      </w:r>
      <w:r w:rsidRPr="00D05DC7">
        <w:rPr>
          <w:rFonts w:eastAsia="SimSun"/>
          <w:color w:val="000000"/>
          <w:sz w:val="22"/>
          <w:szCs w:val="22"/>
          <w:lang w:val="hr-HR"/>
        </w:rPr>
        <w:t>mikrokristal</w:t>
      </w:r>
      <w:r>
        <w:rPr>
          <w:rFonts w:eastAsia="SimSun"/>
          <w:color w:val="000000"/>
          <w:sz w:val="22"/>
          <w:szCs w:val="22"/>
          <w:lang w:val="hr-HR"/>
        </w:rPr>
        <w:t>na</w:t>
      </w:r>
      <w:r w:rsidRPr="00D05DC7">
        <w:rPr>
          <w:rFonts w:eastAsia="SimSun"/>
          <w:color w:val="000000"/>
          <w:sz w:val="22"/>
          <w:szCs w:val="22"/>
          <w:lang w:val="hr-HR"/>
        </w:rPr>
        <w:t xml:space="preserve"> </w:t>
      </w:r>
    </w:p>
    <w:p w14:paraId="4969FF11"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hidroksipropil celuloza, niskosupstituisana</w:t>
      </w:r>
    </w:p>
    <w:p w14:paraId="026B0E1D"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krospovidon, tip A</w:t>
      </w:r>
      <w:r w:rsidRPr="00D05DC7">
        <w:rPr>
          <w:rFonts w:eastAsia="SimSun"/>
          <w:color w:val="000000"/>
          <w:sz w:val="22"/>
          <w:szCs w:val="22"/>
          <w:lang w:val="hr-HR"/>
        </w:rPr>
        <w:t xml:space="preserve"> </w:t>
      </w:r>
    </w:p>
    <w:p w14:paraId="60092754"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magnezij</w:t>
      </w:r>
      <w:r>
        <w:rPr>
          <w:rFonts w:eastAsia="SimSun"/>
          <w:color w:val="000000"/>
          <w:sz w:val="22"/>
          <w:szCs w:val="22"/>
          <w:lang w:val="hr-HR"/>
        </w:rPr>
        <w:t>um stearat</w:t>
      </w:r>
      <w:r w:rsidRPr="00D05DC7">
        <w:rPr>
          <w:rFonts w:eastAsia="SimSun"/>
          <w:color w:val="000000"/>
          <w:sz w:val="22"/>
          <w:szCs w:val="22"/>
          <w:lang w:val="hr-HR"/>
        </w:rPr>
        <w:t xml:space="preserve"> </w:t>
      </w:r>
    </w:p>
    <w:p w14:paraId="5A36B59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 xml:space="preserve">talk </w:t>
      </w:r>
    </w:p>
    <w:p w14:paraId="7FE0ED77" w14:textId="5810B168"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963B0C">
        <w:rPr>
          <w:rFonts w:eastAsia="SimSun"/>
          <w:color w:val="000000"/>
          <w:sz w:val="22"/>
          <w:szCs w:val="22"/>
          <w:lang w:val="hr-HR"/>
        </w:rPr>
        <w:t>silicijum</w:t>
      </w:r>
      <w:r w:rsidR="0008251C">
        <w:rPr>
          <w:rFonts w:eastAsia="SimSun"/>
          <w:color w:val="000000"/>
          <w:sz w:val="22"/>
          <w:szCs w:val="22"/>
          <w:lang w:val="hr-HR"/>
        </w:rPr>
        <w:t xml:space="preserve"> </w:t>
      </w:r>
      <w:r w:rsidRPr="00963B0C">
        <w:rPr>
          <w:rFonts w:eastAsia="SimSun"/>
          <w:color w:val="000000"/>
          <w:sz w:val="22"/>
          <w:szCs w:val="22"/>
          <w:lang w:val="hr-HR"/>
        </w:rPr>
        <w:t>dioksid, koloidni, bezvodni</w:t>
      </w:r>
    </w:p>
    <w:p w14:paraId="7302F459"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p>
    <w:p w14:paraId="5364FFEE"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75439C">
        <w:rPr>
          <w:rFonts w:eastAsia="SimSun"/>
          <w:color w:val="000000"/>
          <w:sz w:val="22"/>
          <w:szCs w:val="22"/>
          <w:u w:val="single"/>
          <w:lang w:val="hr-HR"/>
        </w:rPr>
        <w:t>Omotač tablete</w:t>
      </w:r>
      <w:r>
        <w:rPr>
          <w:rFonts w:eastAsia="SimSun"/>
          <w:color w:val="000000"/>
          <w:sz w:val="22"/>
          <w:szCs w:val="22"/>
          <w:lang w:val="hr-HR"/>
        </w:rPr>
        <w:t xml:space="preserve"> </w:t>
      </w:r>
    </w:p>
    <w:p w14:paraId="64BB2234"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 xml:space="preserve">hipromeloza, supstitucijski tip 2910 </w:t>
      </w:r>
      <w:r>
        <w:rPr>
          <w:rFonts w:eastAsia="SimSun"/>
          <w:color w:val="000000"/>
          <w:sz w:val="22"/>
          <w:szCs w:val="22"/>
          <w:lang w:val="sr-Latn-RS"/>
        </w:rPr>
        <w:t>(3 mPa‧s)</w:t>
      </w:r>
    </w:p>
    <w:p w14:paraId="7A1C0F6F"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titan</w:t>
      </w:r>
      <w:r>
        <w:rPr>
          <w:rFonts w:eastAsia="SimSun"/>
          <w:color w:val="000000"/>
          <w:sz w:val="22"/>
          <w:szCs w:val="22"/>
          <w:lang w:val="hr-HR"/>
        </w:rPr>
        <w:t xml:space="preserve"> dioksid (E171)</w:t>
      </w:r>
    </w:p>
    <w:p w14:paraId="218920C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sidRPr="00D05DC7">
        <w:rPr>
          <w:rFonts w:eastAsia="SimSun"/>
          <w:color w:val="000000"/>
          <w:sz w:val="22"/>
          <w:szCs w:val="22"/>
          <w:lang w:val="hr-HR"/>
        </w:rPr>
        <w:t>makrogol 4000</w:t>
      </w:r>
    </w:p>
    <w:p w14:paraId="24BADA65" w14:textId="77777777" w:rsidR="00B96A91" w:rsidRDefault="00B96A91" w:rsidP="001B64BC">
      <w:pPr>
        <w:widowControl w:val="0"/>
        <w:autoSpaceDE w:val="0"/>
        <w:autoSpaceDN w:val="0"/>
        <w:adjustRightInd w:val="0"/>
        <w:spacing w:line="260" w:lineRule="exact"/>
        <w:jc w:val="both"/>
        <w:rPr>
          <w:rFonts w:eastAsia="SimSun"/>
          <w:color w:val="000000"/>
          <w:sz w:val="22"/>
          <w:szCs w:val="22"/>
          <w:lang w:val="hr-HR"/>
        </w:rPr>
      </w:pPr>
      <w:r>
        <w:rPr>
          <w:rFonts w:eastAsia="SimSun"/>
          <w:color w:val="000000"/>
          <w:sz w:val="22"/>
          <w:szCs w:val="22"/>
          <w:lang w:val="hr-HR"/>
        </w:rPr>
        <w:t>talk</w:t>
      </w:r>
    </w:p>
    <w:p w14:paraId="2F590A57" w14:textId="77777777" w:rsidR="00B96A91" w:rsidRDefault="00B96A91" w:rsidP="001B64BC">
      <w:pPr>
        <w:shd w:val="clear" w:color="auto" w:fill="FFFFFF"/>
        <w:jc w:val="both"/>
        <w:rPr>
          <w:sz w:val="22"/>
          <w:szCs w:val="22"/>
          <w:lang w:val="sr-Latn-CS"/>
        </w:rPr>
      </w:pPr>
      <w:r>
        <w:rPr>
          <w:sz w:val="22"/>
          <w:szCs w:val="22"/>
          <w:lang w:val="sr-Latn-CS"/>
        </w:rPr>
        <w:t xml:space="preserve">gvožđe (III) </w:t>
      </w:r>
      <w:r w:rsidRPr="00745044">
        <w:rPr>
          <w:sz w:val="22"/>
          <w:szCs w:val="22"/>
          <w:lang w:val="sr-Latn-CS"/>
        </w:rPr>
        <w:t>oksid, crveni (E172)</w:t>
      </w:r>
    </w:p>
    <w:p w14:paraId="05EE878C" w14:textId="77777777" w:rsidR="00B96A91" w:rsidRDefault="00B96A91" w:rsidP="001B64BC">
      <w:pPr>
        <w:shd w:val="clear" w:color="auto" w:fill="FFFFFF"/>
        <w:jc w:val="both"/>
        <w:rPr>
          <w:sz w:val="22"/>
          <w:szCs w:val="22"/>
          <w:lang w:val="sr-Latn-CS"/>
        </w:rPr>
      </w:pPr>
      <w:r>
        <w:rPr>
          <w:sz w:val="22"/>
          <w:szCs w:val="22"/>
          <w:lang w:val="sr-Latn-CS"/>
        </w:rPr>
        <w:t xml:space="preserve">gvožđe (III) </w:t>
      </w:r>
      <w:r w:rsidRPr="00745044">
        <w:rPr>
          <w:sz w:val="22"/>
          <w:szCs w:val="22"/>
          <w:lang w:val="sr-Latn-CS"/>
        </w:rPr>
        <w:t xml:space="preserve">oksid, </w:t>
      </w:r>
      <w:r>
        <w:rPr>
          <w:sz w:val="22"/>
          <w:szCs w:val="22"/>
          <w:lang w:val="sr-Latn-CS"/>
        </w:rPr>
        <w:t>crni</w:t>
      </w:r>
      <w:r w:rsidRPr="00745044">
        <w:rPr>
          <w:sz w:val="22"/>
          <w:szCs w:val="22"/>
          <w:lang w:val="sr-Latn-CS"/>
        </w:rPr>
        <w:t xml:space="preserve"> (E172)</w:t>
      </w:r>
    </w:p>
    <w:p w14:paraId="780F39E7" w14:textId="77777777" w:rsidR="00B96A91" w:rsidRDefault="00B96A91" w:rsidP="001B64BC">
      <w:pPr>
        <w:tabs>
          <w:tab w:val="left" w:pos="540"/>
          <w:tab w:val="left" w:pos="569"/>
        </w:tabs>
        <w:jc w:val="both"/>
        <w:rPr>
          <w:bCs/>
          <w:sz w:val="22"/>
          <w:szCs w:val="22"/>
        </w:rPr>
      </w:pPr>
    </w:p>
    <w:p w14:paraId="33E94BC8" w14:textId="35D9D404" w:rsidR="0072020E" w:rsidRPr="00786071" w:rsidRDefault="0072020E" w:rsidP="001B64BC">
      <w:pPr>
        <w:tabs>
          <w:tab w:val="left" w:pos="540"/>
          <w:tab w:val="left" w:pos="569"/>
        </w:tabs>
        <w:jc w:val="both"/>
        <w:rPr>
          <w:b/>
          <w:bCs/>
          <w:sz w:val="22"/>
          <w:szCs w:val="22"/>
        </w:rPr>
      </w:pPr>
      <w:r w:rsidRPr="00786071">
        <w:rPr>
          <w:b/>
          <w:bCs/>
          <w:sz w:val="22"/>
          <w:szCs w:val="22"/>
        </w:rPr>
        <w:t xml:space="preserve">6.2. </w:t>
      </w:r>
      <w:r w:rsidR="00480FB1" w:rsidRPr="00786071">
        <w:rPr>
          <w:b/>
          <w:bCs/>
          <w:sz w:val="22"/>
          <w:szCs w:val="22"/>
        </w:rPr>
        <w:tab/>
      </w:r>
      <w:proofErr w:type="spellStart"/>
      <w:r w:rsidRPr="00786071">
        <w:rPr>
          <w:b/>
          <w:bCs/>
          <w:sz w:val="22"/>
          <w:szCs w:val="22"/>
        </w:rPr>
        <w:t>Inkompatibilnost</w:t>
      </w:r>
      <w:r w:rsidR="002846DB" w:rsidRPr="00786071">
        <w:rPr>
          <w:b/>
          <w:bCs/>
          <w:sz w:val="22"/>
          <w:szCs w:val="22"/>
        </w:rPr>
        <w:t>i</w:t>
      </w:r>
      <w:proofErr w:type="spellEnd"/>
    </w:p>
    <w:p w14:paraId="180CF639" w14:textId="00B56629" w:rsidR="0072020E" w:rsidRDefault="0072020E" w:rsidP="001B64BC">
      <w:pPr>
        <w:tabs>
          <w:tab w:val="left" w:pos="540"/>
          <w:tab w:val="left" w:pos="569"/>
        </w:tabs>
        <w:jc w:val="both"/>
        <w:rPr>
          <w:bCs/>
          <w:sz w:val="22"/>
          <w:szCs w:val="22"/>
        </w:rPr>
      </w:pPr>
    </w:p>
    <w:p w14:paraId="51516119" w14:textId="77777777" w:rsidR="00B96A91" w:rsidRDefault="00B96A91" w:rsidP="001B64BC">
      <w:pPr>
        <w:tabs>
          <w:tab w:val="left" w:pos="540"/>
          <w:tab w:val="left" w:pos="569"/>
        </w:tabs>
        <w:jc w:val="both"/>
        <w:rPr>
          <w:sz w:val="22"/>
          <w:szCs w:val="22"/>
        </w:rPr>
      </w:pPr>
      <w:proofErr w:type="spellStart"/>
      <w:r>
        <w:rPr>
          <w:sz w:val="22"/>
          <w:szCs w:val="22"/>
        </w:rPr>
        <w:t>Nije</w:t>
      </w:r>
      <w:proofErr w:type="spellEnd"/>
      <w:r>
        <w:rPr>
          <w:sz w:val="22"/>
          <w:szCs w:val="22"/>
        </w:rPr>
        <w:t xml:space="preserve"> </w:t>
      </w:r>
      <w:proofErr w:type="spellStart"/>
      <w:r>
        <w:rPr>
          <w:sz w:val="22"/>
          <w:szCs w:val="22"/>
        </w:rPr>
        <w:t>primjenljivo</w:t>
      </w:r>
      <w:proofErr w:type="spellEnd"/>
      <w:r>
        <w:rPr>
          <w:sz w:val="22"/>
          <w:szCs w:val="22"/>
        </w:rPr>
        <w:t>.</w:t>
      </w:r>
    </w:p>
    <w:p w14:paraId="4A1CE386" w14:textId="77777777" w:rsidR="00B96A91" w:rsidRPr="00786071" w:rsidRDefault="00B96A91" w:rsidP="001B64BC">
      <w:pPr>
        <w:tabs>
          <w:tab w:val="left" w:pos="540"/>
          <w:tab w:val="left" w:pos="569"/>
        </w:tabs>
        <w:jc w:val="both"/>
        <w:rPr>
          <w:bCs/>
          <w:sz w:val="22"/>
          <w:szCs w:val="22"/>
        </w:rPr>
      </w:pPr>
    </w:p>
    <w:p w14:paraId="444EB5E2" w14:textId="6E3898C5" w:rsidR="0072020E" w:rsidRPr="00786071" w:rsidRDefault="0072020E" w:rsidP="001B64BC">
      <w:pPr>
        <w:tabs>
          <w:tab w:val="left" w:pos="540"/>
          <w:tab w:val="left" w:pos="569"/>
        </w:tabs>
        <w:jc w:val="both"/>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proofErr w:type="spellStart"/>
      <w:r w:rsidRPr="00786071">
        <w:rPr>
          <w:b/>
          <w:bCs/>
          <w:sz w:val="22"/>
          <w:szCs w:val="22"/>
        </w:rPr>
        <w:t>Rok</w:t>
      </w:r>
      <w:proofErr w:type="spellEnd"/>
      <w:r w:rsidRPr="00786071">
        <w:rPr>
          <w:b/>
          <w:bCs/>
          <w:sz w:val="22"/>
          <w:szCs w:val="22"/>
        </w:rPr>
        <w:t xml:space="preserve"> </w:t>
      </w:r>
      <w:proofErr w:type="spellStart"/>
      <w:r w:rsidRPr="00786071">
        <w:rPr>
          <w:b/>
          <w:bCs/>
          <w:sz w:val="22"/>
          <w:szCs w:val="22"/>
        </w:rPr>
        <w:t>upotrebe</w:t>
      </w:r>
      <w:proofErr w:type="spellEnd"/>
    </w:p>
    <w:p w14:paraId="064030F3" w14:textId="77777777" w:rsidR="00A416D4" w:rsidRDefault="00A416D4" w:rsidP="001B64BC">
      <w:pPr>
        <w:pStyle w:val="Header"/>
        <w:tabs>
          <w:tab w:val="left" w:pos="284"/>
        </w:tabs>
        <w:jc w:val="both"/>
        <w:rPr>
          <w:sz w:val="22"/>
          <w:szCs w:val="22"/>
        </w:rPr>
      </w:pPr>
    </w:p>
    <w:p w14:paraId="3D34EEB5" w14:textId="1F07B890" w:rsidR="00B96A91" w:rsidRPr="00B96A91" w:rsidRDefault="00B96A91" w:rsidP="001B64BC">
      <w:pPr>
        <w:pStyle w:val="Header"/>
        <w:tabs>
          <w:tab w:val="left" w:pos="284"/>
        </w:tabs>
        <w:jc w:val="both"/>
        <w:rPr>
          <w:sz w:val="22"/>
          <w:szCs w:val="22"/>
        </w:rPr>
      </w:pPr>
      <w:r>
        <w:rPr>
          <w:sz w:val="22"/>
          <w:szCs w:val="22"/>
        </w:rPr>
        <w:t xml:space="preserve">3 </w:t>
      </w:r>
      <w:proofErr w:type="spellStart"/>
      <w:r>
        <w:rPr>
          <w:sz w:val="22"/>
          <w:szCs w:val="22"/>
        </w:rPr>
        <w:t>godine</w:t>
      </w:r>
      <w:proofErr w:type="spellEnd"/>
    </w:p>
    <w:p w14:paraId="28C65250" w14:textId="77777777" w:rsidR="00A416D4" w:rsidRDefault="00A416D4" w:rsidP="001B64BC">
      <w:pPr>
        <w:tabs>
          <w:tab w:val="left" w:pos="540"/>
          <w:tab w:val="left" w:pos="569"/>
        </w:tabs>
        <w:jc w:val="both"/>
        <w:rPr>
          <w:b/>
          <w:bCs/>
          <w:sz w:val="22"/>
          <w:szCs w:val="22"/>
        </w:rPr>
      </w:pPr>
    </w:p>
    <w:p w14:paraId="3344C146" w14:textId="49825A12" w:rsidR="0072020E" w:rsidRPr="00786071" w:rsidRDefault="0072020E" w:rsidP="001B64BC">
      <w:pPr>
        <w:tabs>
          <w:tab w:val="left" w:pos="540"/>
          <w:tab w:val="left" w:pos="569"/>
        </w:tabs>
        <w:jc w:val="both"/>
        <w:rPr>
          <w:b/>
          <w:bCs/>
          <w:sz w:val="22"/>
          <w:szCs w:val="22"/>
        </w:rPr>
      </w:pPr>
      <w:r w:rsidRPr="00786071">
        <w:rPr>
          <w:b/>
          <w:bCs/>
          <w:sz w:val="22"/>
          <w:szCs w:val="22"/>
        </w:rPr>
        <w:t xml:space="preserve">6.4. </w:t>
      </w:r>
      <w:r w:rsidR="00480FB1" w:rsidRPr="00786071">
        <w:rPr>
          <w:b/>
          <w:bCs/>
          <w:sz w:val="22"/>
          <w:szCs w:val="22"/>
        </w:rPr>
        <w:tab/>
      </w:r>
      <w:proofErr w:type="spellStart"/>
      <w:r w:rsidRPr="00786071">
        <w:rPr>
          <w:b/>
          <w:bCs/>
          <w:sz w:val="22"/>
          <w:szCs w:val="22"/>
        </w:rPr>
        <w:t>Posebne</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čuvanju</w:t>
      </w:r>
      <w:proofErr w:type="spellEnd"/>
      <w:r w:rsidR="00F8570A" w:rsidRPr="00786071">
        <w:rPr>
          <w:b/>
          <w:bCs/>
          <w:sz w:val="22"/>
          <w:szCs w:val="22"/>
        </w:rPr>
        <w:t xml:space="preserve"> </w:t>
      </w:r>
      <w:proofErr w:type="spellStart"/>
      <w:r w:rsidR="00F8570A" w:rsidRPr="00786071">
        <w:rPr>
          <w:b/>
          <w:bCs/>
          <w:sz w:val="22"/>
          <w:szCs w:val="22"/>
        </w:rPr>
        <w:t>lijeka</w:t>
      </w:r>
      <w:proofErr w:type="spellEnd"/>
    </w:p>
    <w:p w14:paraId="6FB77610" w14:textId="1851A8A1" w:rsidR="00EC2532" w:rsidRDefault="00EC2532" w:rsidP="001B64BC">
      <w:pPr>
        <w:tabs>
          <w:tab w:val="left" w:pos="540"/>
          <w:tab w:val="left" w:pos="569"/>
        </w:tabs>
        <w:rPr>
          <w:bCs/>
          <w:sz w:val="22"/>
          <w:szCs w:val="22"/>
        </w:rPr>
      </w:pPr>
    </w:p>
    <w:p w14:paraId="57090537" w14:textId="4683FEC7" w:rsidR="00B96A91" w:rsidRPr="00D05DC7" w:rsidRDefault="00B96A91" w:rsidP="001B64BC">
      <w:pPr>
        <w:widowControl w:val="0"/>
        <w:autoSpaceDE w:val="0"/>
        <w:autoSpaceDN w:val="0"/>
        <w:adjustRightInd w:val="0"/>
        <w:jc w:val="both"/>
        <w:rPr>
          <w:rFonts w:eastAsia="SimSun"/>
          <w:color w:val="000000"/>
          <w:sz w:val="22"/>
          <w:szCs w:val="22"/>
          <w:lang w:val="hr-HR"/>
        </w:rPr>
      </w:pPr>
      <w:r>
        <w:rPr>
          <w:rFonts w:eastAsia="SimSun"/>
          <w:color w:val="000000"/>
          <w:sz w:val="22"/>
          <w:szCs w:val="22"/>
          <w:lang w:val="hr-HR"/>
        </w:rPr>
        <w:t>Lijek</w:t>
      </w:r>
      <w:r w:rsidRPr="00D05DC7">
        <w:rPr>
          <w:rFonts w:eastAsia="SimSun"/>
          <w:color w:val="000000"/>
          <w:sz w:val="22"/>
          <w:szCs w:val="22"/>
          <w:lang w:val="hr-HR"/>
        </w:rPr>
        <w:t xml:space="preserve"> ne zaht</w:t>
      </w:r>
      <w:r w:rsidR="0008251C">
        <w:rPr>
          <w:rFonts w:eastAsia="SimSun"/>
          <w:color w:val="000000"/>
          <w:sz w:val="22"/>
          <w:szCs w:val="22"/>
          <w:lang w:val="hr-HR"/>
        </w:rPr>
        <w:t>i</w:t>
      </w:r>
      <w:r>
        <w:rPr>
          <w:rFonts w:eastAsia="SimSun"/>
          <w:color w:val="000000"/>
          <w:sz w:val="22"/>
          <w:szCs w:val="22"/>
          <w:lang w:val="hr-HR"/>
        </w:rPr>
        <w:t>j</w:t>
      </w:r>
      <w:r w:rsidRPr="00D05DC7">
        <w:rPr>
          <w:rFonts w:eastAsia="SimSun"/>
          <w:color w:val="000000"/>
          <w:sz w:val="22"/>
          <w:szCs w:val="22"/>
          <w:lang w:val="hr-HR"/>
        </w:rPr>
        <w:t xml:space="preserve">eva posebne </w:t>
      </w:r>
      <w:r>
        <w:rPr>
          <w:rFonts w:eastAsia="SimSun"/>
          <w:color w:val="000000"/>
          <w:sz w:val="22"/>
          <w:szCs w:val="22"/>
          <w:lang w:val="hr-HR"/>
        </w:rPr>
        <w:t>temperaturne uslove čuvanja</w:t>
      </w:r>
      <w:r w:rsidRPr="00D05DC7">
        <w:rPr>
          <w:rFonts w:eastAsia="SimSun"/>
          <w:color w:val="000000"/>
          <w:sz w:val="22"/>
          <w:szCs w:val="22"/>
          <w:lang w:val="hr-HR"/>
        </w:rPr>
        <w:t>.</w:t>
      </w:r>
    </w:p>
    <w:p w14:paraId="1019FE07" w14:textId="77777777" w:rsidR="00B96A91" w:rsidRPr="00D05DC7" w:rsidRDefault="00B96A91" w:rsidP="001B64BC">
      <w:pPr>
        <w:widowControl w:val="0"/>
        <w:autoSpaceDE w:val="0"/>
        <w:autoSpaceDN w:val="0"/>
        <w:adjustRightInd w:val="0"/>
        <w:jc w:val="both"/>
        <w:rPr>
          <w:rFonts w:eastAsia="SimSun"/>
          <w:color w:val="000000"/>
          <w:sz w:val="22"/>
          <w:szCs w:val="22"/>
          <w:lang w:val="hr-HR"/>
        </w:rPr>
      </w:pPr>
      <w:r w:rsidRPr="00D05DC7">
        <w:rPr>
          <w:rFonts w:eastAsia="SimSun"/>
          <w:color w:val="000000"/>
          <w:sz w:val="22"/>
          <w:szCs w:val="22"/>
          <w:lang w:val="hr-HR"/>
        </w:rPr>
        <w:t>Čuvati u originalnom pak</w:t>
      </w:r>
      <w:r>
        <w:rPr>
          <w:rFonts w:eastAsia="SimSun"/>
          <w:color w:val="000000"/>
          <w:sz w:val="22"/>
          <w:szCs w:val="22"/>
          <w:lang w:val="hr-HR"/>
        </w:rPr>
        <w:t>ovanju</w:t>
      </w:r>
      <w:r w:rsidRPr="00D05DC7">
        <w:rPr>
          <w:rFonts w:eastAsia="SimSun"/>
          <w:color w:val="000000"/>
          <w:sz w:val="22"/>
          <w:szCs w:val="22"/>
          <w:lang w:val="hr-HR"/>
        </w:rPr>
        <w:t xml:space="preserve"> radi zaštite od vlage.</w:t>
      </w:r>
    </w:p>
    <w:p w14:paraId="0FBEE123" w14:textId="77777777" w:rsidR="00B96A91" w:rsidRPr="00786071" w:rsidRDefault="00B96A91" w:rsidP="001B64BC">
      <w:pPr>
        <w:tabs>
          <w:tab w:val="left" w:pos="540"/>
          <w:tab w:val="left" w:pos="569"/>
        </w:tabs>
        <w:rPr>
          <w:bCs/>
          <w:sz w:val="22"/>
          <w:szCs w:val="22"/>
        </w:rPr>
      </w:pPr>
    </w:p>
    <w:p w14:paraId="6C3949A2" w14:textId="77777777" w:rsidR="0072020E" w:rsidRPr="00786071" w:rsidRDefault="0072020E" w:rsidP="001B64BC">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proofErr w:type="spellStart"/>
      <w:r w:rsidR="002846DB" w:rsidRPr="00786071">
        <w:rPr>
          <w:b/>
          <w:bCs/>
          <w:sz w:val="22"/>
          <w:szCs w:val="22"/>
        </w:rPr>
        <w:t>Vrsta</w:t>
      </w:r>
      <w:proofErr w:type="spellEnd"/>
      <w:r w:rsidR="002846DB" w:rsidRPr="00786071">
        <w:rPr>
          <w:b/>
          <w:bCs/>
          <w:sz w:val="22"/>
          <w:szCs w:val="22"/>
        </w:rPr>
        <w:t xml:space="preserve"> </w:t>
      </w:r>
      <w:proofErr w:type="spellStart"/>
      <w:r w:rsidR="002846DB" w:rsidRPr="00786071">
        <w:rPr>
          <w:b/>
          <w:bCs/>
          <w:sz w:val="22"/>
          <w:szCs w:val="22"/>
        </w:rPr>
        <w:t>i</w:t>
      </w:r>
      <w:proofErr w:type="spellEnd"/>
      <w:r w:rsidR="002846DB" w:rsidRPr="00786071">
        <w:rPr>
          <w:b/>
          <w:bCs/>
          <w:sz w:val="22"/>
          <w:szCs w:val="22"/>
        </w:rPr>
        <w:t xml:space="preserve"> </w:t>
      </w:r>
      <w:proofErr w:type="spellStart"/>
      <w:r w:rsidR="002846DB" w:rsidRPr="00786071">
        <w:rPr>
          <w:b/>
          <w:bCs/>
          <w:sz w:val="22"/>
          <w:szCs w:val="22"/>
        </w:rPr>
        <w:t>sadržaj</w:t>
      </w:r>
      <w:proofErr w:type="spellEnd"/>
      <w:r w:rsidR="002846DB" w:rsidRPr="00786071">
        <w:rPr>
          <w:b/>
          <w:bCs/>
          <w:sz w:val="22"/>
          <w:szCs w:val="22"/>
        </w:rPr>
        <w:t xml:space="preserve"> </w:t>
      </w:r>
      <w:proofErr w:type="spellStart"/>
      <w:r w:rsidR="00F8570A" w:rsidRPr="00786071">
        <w:rPr>
          <w:b/>
          <w:bCs/>
          <w:sz w:val="22"/>
          <w:szCs w:val="22"/>
        </w:rPr>
        <w:t>pakovanja</w:t>
      </w:r>
      <w:proofErr w:type="spellEnd"/>
      <w:r w:rsidR="00C06864" w:rsidRPr="00786071">
        <w:rPr>
          <w:b/>
          <w:bCs/>
          <w:sz w:val="22"/>
          <w:szCs w:val="22"/>
        </w:rPr>
        <w:t xml:space="preserve"> </w:t>
      </w:r>
    </w:p>
    <w:p w14:paraId="6CCAB593" w14:textId="610208EE" w:rsidR="0072020E" w:rsidRDefault="0072020E" w:rsidP="001B64BC">
      <w:pPr>
        <w:tabs>
          <w:tab w:val="left" w:pos="540"/>
          <w:tab w:val="left" w:pos="569"/>
        </w:tabs>
        <w:rPr>
          <w:bCs/>
          <w:sz w:val="22"/>
          <w:szCs w:val="22"/>
        </w:rPr>
      </w:pPr>
    </w:p>
    <w:p w14:paraId="5C6AC5F8" w14:textId="48808B19" w:rsidR="00B96A91" w:rsidRDefault="00B96A91" w:rsidP="001B64BC">
      <w:pPr>
        <w:widowControl w:val="0"/>
        <w:tabs>
          <w:tab w:val="left" w:pos="567"/>
        </w:tabs>
        <w:jc w:val="both"/>
        <w:rPr>
          <w:sz w:val="22"/>
          <w:szCs w:val="20"/>
          <w:lang w:val="hr-HR"/>
        </w:rPr>
      </w:pPr>
      <w:r>
        <w:rPr>
          <w:sz w:val="22"/>
          <w:szCs w:val="20"/>
          <w:lang w:val="hr-HR"/>
        </w:rPr>
        <w:t xml:space="preserve">Pakovanje </w:t>
      </w:r>
      <w:r w:rsidRPr="00D05DC7">
        <w:rPr>
          <w:sz w:val="22"/>
          <w:szCs w:val="20"/>
          <w:lang w:val="hr-HR"/>
        </w:rPr>
        <w:t>PVC/PVDC</w:t>
      </w:r>
      <w:r>
        <w:rPr>
          <w:sz w:val="22"/>
          <w:szCs w:val="20"/>
          <w:lang w:val="hr-HR"/>
        </w:rPr>
        <w:t xml:space="preserve"> </w:t>
      </w:r>
      <w:r w:rsidRPr="00D05DC7">
        <w:rPr>
          <w:sz w:val="22"/>
          <w:szCs w:val="20"/>
          <w:lang w:val="hr-HR"/>
        </w:rPr>
        <w:t>blister</w:t>
      </w:r>
      <w:r>
        <w:rPr>
          <w:sz w:val="22"/>
          <w:szCs w:val="20"/>
          <w:lang w:val="hr-HR"/>
        </w:rPr>
        <w:t>.</w:t>
      </w:r>
    </w:p>
    <w:p w14:paraId="0739B35C" w14:textId="77777777" w:rsidR="00B96A91" w:rsidRDefault="00B96A91" w:rsidP="001B64BC">
      <w:pPr>
        <w:widowControl w:val="0"/>
        <w:tabs>
          <w:tab w:val="left" w:pos="567"/>
        </w:tabs>
        <w:jc w:val="both"/>
        <w:rPr>
          <w:sz w:val="22"/>
          <w:szCs w:val="20"/>
          <w:lang w:val="hr-HR"/>
        </w:rPr>
      </w:pPr>
    </w:p>
    <w:p w14:paraId="4BA271FD" w14:textId="18C391C2" w:rsidR="00B96A91" w:rsidRPr="00891EED" w:rsidRDefault="00B96A91" w:rsidP="001B64BC">
      <w:pPr>
        <w:widowControl w:val="0"/>
        <w:tabs>
          <w:tab w:val="left" w:pos="567"/>
        </w:tabs>
        <w:jc w:val="both"/>
        <w:rPr>
          <w:sz w:val="22"/>
          <w:szCs w:val="20"/>
          <w:lang w:val="hr-HR"/>
        </w:rPr>
      </w:pPr>
      <w:r>
        <w:rPr>
          <w:sz w:val="22"/>
          <w:szCs w:val="20"/>
          <w:lang w:val="hr-HR"/>
        </w:rPr>
        <w:t>Pakovanje lijeka Entresto, film tableta, 26 mg + 24</w:t>
      </w:r>
      <w:r w:rsidRPr="00891EED">
        <w:rPr>
          <w:sz w:val="22"/>
          <w:szCs w:val="20"/>
          <w:lang w:val="hr-HR"/>
        </w:rPr>
        <w:t> mg</w:t>
      </w:r>
      <w:r>
        <w:rPr>
          <w:sz w:val="22"/>
          <w:szCs w:val="20"/>
          <w:lang w:val="hr-HR"/>
        </w:rPr>
        <w:t>, sadrži</w:t>
      </w:r>
      <w:r w:rsidRPr="00891EED">
        <w:rPr>
          <w:sz w:val="22"/>
          <w:szCs w:val="20"/>
          <w:lang w:val="hr-HR"/>
        </w:rPr>
        <w:t xml:space="preserve"> 28</w:t>
      </w:r>
      <w:r>
        <w:rPr>
          <w:sz w:val="22"/>
          <w:szCs w:val="20"/>
          <w:lang w:val="hr-HR"/>
        </w:rPr>
        <w:t xml:space="preserve"> (2 x 14) film tableta u blisteru.</w:t>
      </w:r>
    </w:p>
    <w:p w14:paraId="31FBDF23" w14:textId="786688D2" w:rsidR="00B96A91" w:rsidRPr="00891EED" w:rsidRDefault="00B96A91" w:rsidP="001B64BC">
      <w:pPr>
        <w:widowControl w:val="0"/>
        <w:tabs>
          <w:tab w:val="left" w:pos="567"/>
        </w:tabs>
        <w:jc w:val="both"/>
        <w:rPr>
          <w:sz w:val="22"/>
          <w:szCs w:val="20"/>
          <w:lang w:val="hr-HR"/>
        </w:rPr>
      </w:pPr>
      <w:r>
        <w:rPr>
          <w:sz w:val="22"/>
          <w:szCs w:val="20"/>
          <w:lang w:val="hr-HR"/>
        </w:rPr>
        <w:t>Pakovanje</w:t>
      </w:r>
      <w:r w:rsidRPr="00F101CC">
        <w:rPr>
          <w:sz w:val="22"/>
          <w:szCs w:val="20"/>
          <w:lang w:val="hr-HR"/>
        </w:rPr>
        <w:t xml:space="preserve"> </w:t>
      </w:r>
      <w:r>
        <w:rPr>
          <w:sz w:val="22"/>
          <w:szCs w:val="20"/>
          <w:lang w:val="hr-HR"/>
        </w:rPr>
        <w:t>lijeka Entrest</w:t>
      </w:r>
      <w:r w:rsidR="009D7F53">
        <w:rPr>
          <w:sz w:val="22"/>
          <w:szCs w:val="20"/>
          <w:lang w:val="hr-HR"/>
        </w:rPr>
        <w:t>o</w:t>
      </w:r>
      <w:r>
        <w:rPr>
          <w:sz w:val="22"/>
          <w:szCs w:val="20"/>
          <w:lang w:val="hr-HR"/>
        </w:rPr>
        <w:t>, film tableta, 51 mg + 49</w:t>
      </w:r>
      <w:r w:rsidRPr="00891EED">
        <w:rPr>
          <w:sz w:val="22"/>
          <w:szCs w:val="20"/>
          <w:lang w:val="hr-HR"/>
        </w:rPr>
        <w:t> mg</w:t>
      </w:r>
      <w:r>
        <w:rPr>
          <w:sz w:val="22"/>
          <w:szCs w:val="20"/>
          <w:lang w:val="hr-HR"/>
        </w:rPr>
        <w:t>,</w:t>
      </w:r>
      <w:r w:rsidRPr="00891EED">
        <w:rPr>
          <w:sz w:val="22"/>
          <w:szCs w:val="20"/>
          <w:lang w:val="hr-HR"/>
        </w:rPr>
        <w:t xml:space="preserve"> </w:t>
      </w:r>
      <w:r>
        <w:rPr>
          <w:sz w:val="22"/>
          <w:szCs w:val="20"/>
          <w:lang w:val="hr-HR"/>
        </w:rPr>
        <w:t>sadrži</w:t>
      </w:r>
      <w:r w:rsidRPr="00891EED">
        <w:rPr>
          <w:sz w:val="22"/>
          <w:szCs w:val="20"/>
          <w:lang w:val="hr-HR"/>
        </w:rPr>
        <w:t xml:space="preserve"> </w:t>
      </w:r>
      <w:r>
        <w:rPr>
          <w:sz w:val="22"/>
          <w:szCs w:val="20"/>
          <w:lang w:val="hr-HR"/>
        </w:rPr>
        <w:t>56 (4 x 14) film tableta u blisteru.</w:t>
      </w:r>
    </w:p>
    <w:p w14:paraId="26AC0E98" w14:textId="4BFA2240" w:rsidR="00B96A91" w:rsidRPr="00891EED" w:rsidRDefault="00B96A91" w:rsidP="001B64BC">
      <w:pPr>
        <w:widowControl w:val="0"/>
        <w:tabs>
          <w:tab w:val="left" w:pos="567"/>
        </w:tabs>
        <w:jc w:val="both"/>
        <w:rPr>
          <w:i/>
          <w:sz w:val="22"/>
          <w:szCs w:val="22"/>
          <w:lang w:val="bs-Latn-BA"/>
        </w:rPr>
      </w:pPr>
      <w:r>
        <w:rPr>
          <w:sz w:val="22"/>
          <w:szCs w:val="20"/>
          <w:lang w:val="hr-HR"/>
        </w:rPr>
        <w:t>Pakovanje</w:t>
      </w:r>
      <w:r w:rsidRPr="00F101CC">
        <w:rPr>
          <w:sz w:val="22"/>
          <w:szCs w:val="20"/>
          <w:lang w:val="hr-HR"/>
        </w:rPr>
        <w:t xml:space="preserve"> </w:t>
      </w:r>
      <w:r>
        <w:rPr>
          <w:sz w:val="22"/>
          <w:szCs w:val="20"/>
          <w:lang w:val="hr-HR"/>
        </w:rPr>
        <w:t>lijeka Entresto, film tableta, 103 mg + 97</w:t>
      </w:r>
      <w:r w:rsidRPr="00891EED">
        <w:rPr>
          <w:sz w:val="22"/>
          <w:szCs w:val="20"/>
          <w:lang w:val="hr-HR"/>
        </w:rPr>
        <w:t> mg</w:t>
      </w:r>
      <w:r>
        <w:rPr>
          <w:sz w:val="22"/>
          <w:szCs w:val="20"/>
          <w:lang w:val="hr-HR"/>
        </w:rPr>
        <w:t>,</w:t>
      </w:r>
      <w:r w:rsidRPr="00F101CC">
        <w:rPr>
          <w:sz w:val="22"/>
          <w:szCs w:val="20"/>
          <w:lang w:val="hr-HR"/>
        </w:rPr>
        <w:t xml:space="preserve"> </w:t>
      </w:r>
      <w:r>
        <w:rPr>
          <w:sz w:val="22"/>
          <w:szCs w:val="20"/>
          <w:lang w:val="hr-HR"/>
        </w:rPr>
        <w:t>sadrži</w:t>
      </w:r>
      <w:r w:rsidRPr="00891EED">
        <w:rPr>
          <w:sz w:val="22"/>
          <w:szCs w:val="20"/>
          <w:lang w:val="hr-HR"/>
        </w:rPr>
        <w:t xml:space="preserve"> </w:t>
      </w:r>
      <w:r>
        <w:rPr>
          <w:sz w:val="22"/>
          <w:szCs w:val="20"/>
          <w:lang w:val="hr-HR"/>
        </w:rPr>
        <w:t>56 (4 x 14) film tableta u blisteru.</w:t>
      </w:r>
    </w:p>
    <w:p w14:paraId="261D8EFE" w14:textId="77777777" w:rsidR="00B96A91" w:rsidRPr="00786071" w:rsidRDefault="00B96A91" w:rsidP="001B64BC">
      <w:pPr>
        <w:tabs>
          <w:tab w:val="left" w:pos="540"/>
          <w:tab w:val="left" w:pos="569"/>
        </w:tabs>
        <w:rPr>
          <w:bCs/>
          <w:sz w:val="22"/>
          <w:szCs w:val="22"/>
        </w:rPr>
      </w:pPr>
    </w:p>
    <w:p w14:paraId="37A4ADA2" w14:textId="035CF45B" w:rsidR="002846DB" w:rsidRDefault="0072020E" w:rsidP="001B64BC">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proofErr w:type="spellStart"/>
      <w:r w:rsidRPr="00D47634">
        <w:rPr>
          <w:b/>
          <w:bCs/>
          <w:color w:val="000000"/>
          <w:sz w:val="22"/>
          <w:szCs w:val="22"/>
        </w:rPr>
        <w:t>Posebne</w:t>
      </w:r>
      <w:proofErr w:type="spellEnd"/>
      <w:r w:rsidRPr="00D47634">
        <w:rPr>
          <w:b/>
          <w:bCs/>
          <w:color w:val="000000"/>
          <w:sz w:val="22"/>
          <w:szCs w:val="22"/>
        </w:rPr>
        <w:t xml:space="preserve"> </w:t>
      </w:r>
      <w:proofErr w:type="spellStart"/>
      <w:r w:rsidRPr="00D47634">
        <w:rPr>
          <w:b/>
          <w:bCs/>
          <w:color w:val="000000"/>
          <w:sz w:val="22"/>
          <w:szCs w:val="22"/>
        </w:rPr>
        <w:t>mjere</w:t>
      </w:r>
      <w:proofErr w:type="spellEnd"/>
      <w:r w:rsidRPr="00D47634">
        <w:rPr>
          <w:b/>
          <w:bCs/>
          <w:color w:val="000000"/>
          <w:sz w:val="22"/>
          <w:szCs w:val="22"/>
        </w:rPr>
        <w:t xml:space="preserve"> </w:t>
      </w:r>
      <w:proofErr w:type="spellStart"/>
      <w:r w:rsidRPr="00D47634">
        <w:rPr>
          <w:b/>
          <w:bCs/>
          <w:color w:val="000000"/>
          <w:sz w:val="22"/>
          <w:szCs w:val="22"/>
        </w:rPr>
        <w:t>opreza</w:t>
      </w:r>
      <w:proofErr w:type="spellEnd"/>
      <w:r w:rsidRPr="00D47634">
        <w:rPr>
          <w:b/>
          <w:bCs/>
          <w:color w:val="000000"/>
          <w:sz w:val="22"/>
          <w:szCs w:val="22"/>
        </w:rPr>
        <w:t xml:space="preserve"> </w:t>
      </w:r>
      <w:proofErr w:type="spellStart"/>
      <w:r w:rsidRPr="00D47634">
        <w:rPr>
          <w:b/>
          <w:bCs/>
          <w:color w:val="000000"/>
          <w:sz w:val="22"/>
          <w:szCs w:val="22"/>
        </w:rPr>
        <w:t>pri</w:t>
      </w:r>
      <w:proofErr w:type="spellEnd"/>
      <w:r w:rsidRPr="00D47634">
        <w:rPr>
          <w:b/>
          <w:bCs/>
          <w:color w:val="000000"/>
          <w:sz w:val="22"/>
          <w:szCs w:val="22"/>
        </w:rPr>
        <w:t xml:space="preserve"> </w:t>
      </w:r>
      <w:proofErr w:type="spellStart"/>
      <w:r w:rsidRPr="00D47634">
        <w:rPr>
          <w:b/>
          <w:bCs/>
          <w:color w:val="000000"/>
          <w:sz w:val="22"/>
          <w:szCs w:val="22"/>
        </w:rPr>
        <w:t>odlaganju</w:t>
      </w:r>
      <w:proofErr w:type="spellEnd"/>
      <w:r w:rsidRPr="00D47634">
        <w:rPr>
          <w:b/>
          <w:bCs/>
          <w:color w:val="000000"/>
          <w:sz w:val="22"/>
          <w:szCs w:val="22"/>
        </w:rPr>
        <w:t xml:space="preserve"> </w:t>
      </w:r>
      <w:proofErr w:type="spellStart"/>
      <w:r w:rsidRPr="00D47634">
        <w:rPr>
          <w:b/>
          <w:bCs/>
          <w:color w:val="000000"/>
          <w:sz w:val="22"/>
          <w:szCs w:val="22"/>
        </w:rPr>
        <w:t>materijala</w:t>
      </w:r>
      <w:proofErr w:type="spellEnd"/>
      <w:r w:rsidRPr="00D47634">
        <w:rPr>
          <w:b/>
          <w:bCs/>
          <w:color w:val="000000"/>
          <w:sz w:val="22"/>
          <w:szCs w:val="22"/>
        </w:rPr>
        <w:t xml:space="preserve"> </w:t>
      </w:r>
      <w:proofErr w:type="spellStart"/>
      <w:r w:rsidRPr="00D47634">
        <w:rPr>
          <w:b/>
          <w:bCs/>
          <w:color w:val="000000"/>
          <w:sz w:val="22"/>
          <w:szCs w:val="22"/>
        </w:rPr>
        <w:t>koji</w:t>
      </w:r>
      <w:proofErr w:type="spellEnd"/>
      <w:r w:rsidRPr="00D47634">
        <w:rPr>
          <w:b/>
          <w:bCs/>
          <w:color w:val="000000"/>
          <w:sz w:val="22"/>
          <w:szCs w:val="22"/>
        </w:rPr>
        <w:t xml:space="preserve"> </w:t>
      </w:r>
      <w:proofErr w:type="spellStart"/>
      <w:r w:rsidRPr="00D47634">
        <w:rPr>
          <w:b/>
          <w:bCs/>
          <w:color w:val="000000"/>
          <w:sz w:val="22"/>
          <w:szCs w:val="22"/>
        </w:rPr>
        <w:t>treba</w:t>
      </w:r>
      <w:proofErr w:type="spellEnd"/>
      <w:r w:rsidRPr="00D47634">
        <w:rPr>
          <w:b/>
          <w:bCs/>
          <w:color w:val="000000"/>
          <w:sz w:val="22"/>
          <w:szCs w:val="22"/>
        </w:rPr>
        <w:t xml:space="preserve"> </w:t>
      </w:r>
      <w:proofErr w:type="spellStart"/>
      <w:r w:rsidRPr="00D47634">
        <w:rPr>
          <w:b/>
          <w:bCs/>
          <w:color w:val="000000"/>
          <w:sz w:val="22"/>
          <w:szCs w:val="22"/>
        </w:rPr>
        <w:t>odbaciti</w:t>
      </w:r>
      <w:proofErr w:type="spellEnd"/>
      <w:r w:rsidRPr="00D47634">
        <w:rPr>
          <w:b/>
          <w:bCs/>
          <w:color w:val="000000"/>
          <w:sz w:val="22"/>
          <w:szCs w:val="22"/>
        </w:rPr>
        <w:t xml:space="preserve"> </w:t>
      </w:r>
      <w:proofErr w:type="spellStart"/>
      <w:r w:rsidRPr="00D47634">
        <w:rPr>
          <w:b/>
          <w:bCs/>
          <w:color w:val="000000"/>
          <w:sz w:val="22"/>
          <w:szCs w:val="22"/>
        </w:rPr>
        <w:t>nakon</w:t>
      </w:r>
      <w:proofErr w:type="spellEnd"/>
      <w:r w:rsidRPr="00D47634">
        <w:rPr>
          <w:b/>
          <w:bCs/>
          <w:color w:val="000000"/>
          <w:sz w:val="22"/>
          <w:szCs w:val="22"/>
        </w:rPr>
        <w:t xml:space="preserve"> </w:t>
      </w:r>
      <w:proofErr w:type="spellStart"/>
      <w:r w:rsidRPr="00D47634">
        <w:rPr>
          <w:b/>
          <w:bCs/>
          <w:color w:val="000000"/>
          <w:sz w:val="22"/>
          <w:szCs w:val="22"/>
        </w:rPr>
        <w:t>primjene</w:t>
      </w:r>
      <w:proofErr w:type="spellEnd"/>
      <w:r w:rsidRPr="00D47634">
        <w:rPr>
          <w:b/>
          <w:bCs/>
          <w:color w:val="000000"/>
          <w:sz w:val="22"/>
          <w:szCs w:val="22"/>
        </w:rPr>
        <w:t xml:space="preserve"> </w:t>
      </w:r>
      <w:proofErr w:type="spellStart"/>
      <w:r w:rsidRPr="00D47634">
        <w:rPr>
          <w:b/>
          <w:bCs/>
          <w:color w:val="000000"/>
          <w:sz w:val="22"/>
          <w:szCs w:val="22"/>
        </w:rPr>
        <w:t>lijeka</w:t>
      </w:r>
      <w:proofErr w:type="spellEnd"/>
      <w:r w:rsidRPr="00786071">
        <w:rPr>
          <w:b/>
          <w:bCs/>
          <w:sz w:val="22"/>
          <w:szCs w:val="22"/>
        </w:rPr>
        <w:t xml:space="preserve"> </w:t>
      </w:r>
    </w:p>
    <w:p w14:paraId="6A8B76E4" w14:textId="77777777" w:rsidR="00B96A91" w:rsidRDefault="00B96A91" w:rsidP="001B64BC">
      <w:pPr>
        <w:tabs>
          <w:tab w:val="left" w:pos="540"/>
          <w:tab w:val="left" w:pos="569"/>
        </w:tabs>
        <w:rPr>
          <w:b/>
          <w:bCs/>
          <w:sz w:val="22"/>
          <w:szCs w:val="22"/>
        </w:rPr>
      </w:pPr>
    </w:p>
    <w:p w14:paraId="58003843" w14:textId="77777777" w:rsidR="00B96A91" w:rsidRDefault="00B96A91" w:rsidP="001B64BC">
      <w:pPr>
        <w:tabs>
          <w:tab w:val="left" w:pos="540"/>
          <w:tab w:val="left" w:pos="569"/>
        </w:tabs>
        <w:jc w:val="both"/>
        <w:rPr>
          <w:rFonts w:cs="Arial"/>
          <w:sz w:val="22"/>
          <w:lang w:val="pt-BR"/>
        </w:rPr>
      </w:pPr>
      <w:r w:rsidRPr="006C6173">
        <w:rPr>
          <w:rFonts w:cs="Arial"/>
          <w:sz w:val="22"/>
          <w:lang w:val="pt-BR"/>
        </w:rPr>
        <w:t>Neupotr</w:t>
      </w:r>
      <w:r>
        <w:rPr>
          <w:rFonts w:cs="Arial"/>
          <w:sz w:val="22"/>
          <w:lang w:val="pt-BR"/>
        </w:rPr>
        <w:t>ij</w:t>
      </w:r>
      <w:r w:rsidRPr="006C6173">
        <w:rPr>
          <w:rFonts w:cs="Arial"/>
          <w:sz w:val="22"/>
          <w:lang w:val="pt-BR"/>
        </w:rPr>
        <w:t xml:space="preserve">ebljeni </w:t>
      </w:r>
      <w:r>
        <w:rPr>
          <w:rFonts w:cs="Arial"/>
          <w:sz w:val="22"/>
          <w:lang w:val="pt-BR"/>
        </w:rPr>
        <w:t>lijek</w:t>
      </w:r>
      <w:r w:rsidRPr="006C6173">
        <w:rPr>
          <w:rFonts w:cs="Arial"/>
          <w:sz w:val="22"/>
          <w:lang w:val="pt-BR"/>
        </w:rPr>
        <w:t xml:space="preserve"> se uništava u skladu sa važećim propisima.</w:t>
      </w:r>
    </w:p>
    <w:p w14:paraId="4DF374CE" w14:textId="75F54A7B" w:rsidR="0072020E" w:rsidRDefault="0072020E" w:rsidP="001B64BC">
      <w:pPr>
        <w:tabs>
          <w:tab w:val="left" w:pos="540"/>
          <w:tab w:val="left" w:pos="569"/>
        </w:tabs>
        <w:rPr>
          <w:bCs/>
          <w:sz w:val="22"/>
          <w:szCs w:val="22"/>
        </w:rPr>
      </w:pPr>
    </w:p>
    <w:p w14:paraId="5E3741F9" w14:textId="77777777" w:rsidR="001B64BC" w:rsidRPr="00786071" w:rsidRDefault="001B64BC" w:rsidP="001B64BC">
      <w:pPr>
        <w:tabs>
          <w:tab w:val="left" w:pos="540"/>
          <w:tab w:val="left" w:pos="569"/>
        </w:tabs>
        <w:rPr>
          <w:bCs/>
          <w:sz w:val="22"/>
          <w:szCs w:val="22"/>
        </w:rPr>
      </w:pPr>
    </w:p>
    <w:p w14:paraId="0FD4DF87" w14:textId="77777777" w:rsidR="00F8570A" w:rsidRPr="00786071" w:rsidRDefault="0072020E" w:rsidP="001B64BC">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5EC2A16C" w14:textId="77777777" w:rsidR="00B96A91" w:rsidRDefault="00B96A91" w:rsidP="001B64BC">
      <w:pPr>
        <w:pStyle w:val="Header"/>
        <w:rPr>
          <w:bCs/>
          <w:sz w:val="22"/>
          <w:szCs w:val="22"/>
          <w:lang w:val="pt-BR"/>
        </w:rPr>
      </w:pPr>
    </w:p>
    <w:p w14:paraId="7BCD2AFE" w14:textId="4FF33007" w:rsidR="00B96A91" w:rsidRPr="003943C6" w:rsidRDefault="00B96A91" w:rsidP="001B64BC">
      <w:pPr>
        <w:pStyle w:val="Header"/>
        <w:jc w:val="both"/>
        <w:rPr>
          <w:bCs/>
          <w:sz w:val="22"/>
          <w:szCs w:val="22"/>
          <w:lang w:val="it-IT"/>
        </w:rPr>
      </w:pPr>
      <w:r>
        <w:rPr>
          <w:bCs/>
          <w:sz w:val="22"/>
          <w:szCs w:val="22"/>
          <w:lang w:val="pt-BR"/>
        </w:rPr>
        <w:t xml:space="preserve">“Novartis Pharma </w:t>
      </w:r>
      <w:r w:rsidRPr="005B18EF">
        <w:rPr>
          <w:bCs/>
          <w:sz w:val="22"/>
          <w:szCs w:val="22"/>
          <w:lang w:val="pt-BR"/>
        </w:rPr>
        <w:t>Se</w:t>
      </w:r>
      <w:r>
        <w:rPr>
          <w:bCs/>
          <w:sz w:val="22"/>
          <w:szCs w:val="22"/>
          <w:lang w:val="pt-BR"/>
        </w:rPr>
        <w:t xml:space="preserve">rvices AG” dio stranog društva </w:t>
      </w:r>
      <w:r w:rsidRPr="005B18EF">
        <w:rPr>
          <w:bCs/>
          <w:sz w:val="22"/>
          <w:szCs w:val="22"/>
          <w:lang w:val="pt-BR"/>
        </w:rPr>
        <w:t>Podgorica</w:t>
      </w:r>
      <w:r w:rsidR="00F07E82">
        <w:rPr>
          <w:bCs/>
          <w:sz w:val="22"/>
          <w:szCs w:val="22"/>
          <w:lang w:val="pt-BR"/>
        </w:rPr>
        <w:t xml:space="preserve">, </w:t>
      </w:r>
      <w:r w:rsidRPr="005B18EF">
        <w:rPr>
          <w:bCs/>
          <w:sz w:val="22"/>
          <w:szCs w:val="22"/>
          <w:lang w:val="pt-BR"/>
        </w:rPr>
        <w:t xml:space="preserve">Ul. Svetlane Kane Radević </w:t>
      </w:r>
      <w:r w:rsidR="004B0D0A">
        <w:rPr>
          <w:bCs/>
          <w:sz w:val="22"/>
          <w:szCs w:val="22"/>
          <w:lang w:val="pt-BR"/>
        </w:rPr>
        <w:t xml:space="preserve">br. </w:t>
      </w:r>
      <w:r w:rsidRPr="005B18EF">
        <w:rPr>
          <w:bCs/>
          <w:sz w:val="22"/>
          <w:szCs w:val="22"/>
          <w:lang w:val="pt-BR"/>
        </w:rPr>
        <w:t>3, Podgorica, Crna Gora</w:t>
      </w:r>
    </w:p>
    <w:p w14:paraId="4F68418D" w14:textId="31C1E757" w:rsidR="00C37FD7" w:rsidRDefault="00C37FD7" w:rsidP="001B64BC">
      <w:pPr>
        <w:tabs>
          <w:tab w:val="left" w:pos="540"/>
          <w:tab w:val="left" w:pos="569"/>
        </w:tabs>
        <w:rPr>
          <w:bCs/>
          <w:sz w:val="22"/>
          <w:szCs w:val="22"/>
        </w:rPr>
      </w:pPr>
    </w:p>
    <w:p w14:paraId="76D4C453" w14:textId="77777777" w:rsidR="001B64BC" w:rsidRPr="00786071" w:rsidRDefault="001B64BC" w:rsidP="001B64BC">
      <w:pPr>
        <w:tabs>
          <w:tab w:val="left" w:pos="540"/>
          <w:tab w:val="left" w:pos="569"/>
        </w:tabs>
        <w:rPr>
          <w:bCs/>
          <w:sz w:val="22"/>
          <w:szCs w:val="22"/>
        </w:rPr>
      </w:pPr>
    </w:p>
    <w:p w14:paraId="6DA79AC2" w14:textId="77777777" w:rsidR="0072020E" w:rsidRPr="00786071" w:rsidRDefault="0072020E" w:rsidP="001B64BC">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51E8EAD4" w14:textId="77777777" w:rsidR="0072020E" w:rsidRPr="001B64BC" w:rsidRDefault="0072020E" w:rsidP="001B64BC">
      <w:pPr>
        <w:tabs>
          <w:tab w:val="left" w:pos="540"/>
          <w:tab w:val="left" w:pos="569"/>
        </w:tabs>
        <w:rPr>
          <w:bCs/>
          <w:sz w:val="22"/>
          <w:szCs w:val="22"/>
        </w:rPr>
      </w:pPr>
    </w:p>
    <w:p w14:paraId="79FA0EBD" w14:textId="464F89B9" w:rsidR="00B96A91" w:rsidRPr="001B64BC" w:rsidRDefault="00B96A91" w:rsidP="001B64BC">
      <w:pPr>
        <w:widowControl w:val="0"/>
        <w:tabs>
          <w:tab w:val="left" w:pos="567"/>
        </w:tabs>
        <w:jc w:val="both"/>
        <w:rPr>
          <w:sz w:val="22"/>
          <w:szCs w:val="20"/>
          <w:lang w:val="hr-HR"/>
        </w:rPr>
      </w:pPr>
      <w:r w:rsidRPr="001B64BC">
        <w:rPr>
          <w:sz w:val="22"/>
          <w:szCs w:val="20"/>
          <w:lang w:val="hr-HR"/>
        </w:rPr>
        <w:t xml:space="preserve">Entresto, film tableta, 26 mg + 24 mg, blister, 28 (2 x 14) film tableta: </w:t>
      </w:r>
      <w:r w:rsidR="00412C40" w:rsidRPr="001B64BC">
        <w:rPr>
          <w:sz w:val="22"/>
          <w:szCs w:val="20"/>
          <w:lang w:val="hr-HR"/>
        </w:rPr>
        <w:t>2030/23/1809 - 32</w:t>
      </w:r>
    </w:p>
    <w:p w14:paraId="091469C4" w14:textId="60915A00" w:rsidR="00B96A91" w:rsidRPr="001B64BC" w:rsidRDefault="00B96A91" w:rsidP="001B64BC">
      <w:pPr>
        <w:widowControl w:val="0"/>
        <w:tabs>
          <w:tab w:val="left" w:pos="567"/>
        </w:tabs>
        <w:jc w:val="both"/>
        <w:rPr>
          <w:sz w:val="22"/>
          <w:szCs w:val="20"/>
          <w:lang w:val="hr-HR"/>
        </w:rPr>
      </w:pPr>
      <w:r w:rsidRPr="001B64BC">
        <w:rPr>
          <w:sz w:val="22"/>
          <w:szCs w:val="20"/>
          <w:lang w:val="hr-HR"/>
        </w:rPr>
        <w:t xml:space="preserve">Entresto, film tableta, 51 mg + 49 mg, blister, 56 (4 x 14) film tableta: </w:t>
      </w:r>
      <w:r w:rsidR="001412E3" w:rsidRPr="001B64BC">
        <w:rPr>
          <w:sz w:val="22"/>
          <w:szCs w:val="22"/>
          <w:lang w:eastAsia="sr-Latn-ME"/>
        </w:rPr>
        <w:t>2030/23/1810 - 33</w:t>
      </w:r>
    </w:p>
    <w:p w14:paraId="6F2A367A" w14:textId="42A45CA4" w:rsidR="00B96A91" w:rsidRPr="001B64BC" w:rsidRDefault="00B96A91" w:rsidP="001B64BC">
      <w:pPr>
        <w:widowControl w:val="0"/>
        <w:tabs>
          <w:tab w:val="left" w:pos="567"/>
        </w:tabs>
        <w:jc w:val="both"/>
        <w:rPr>
          <w:sz w:val="22"/>
          <w:szCs w:val="20"/>
          <w:lang w:val="hr-HR"/>
        </w:rPr>
      </w:pPr>
      <w:r w:rsidRPr="001B64BC">
        <w:rPr>
          <w:sz w:val="22"/>
          <w:szCs w:val="20"/>
          <w:lang w:val="hr-HR"/>
        </w:rPr>
        <w:t xml:space="preserve">Entresto, film tableta, 103 mg + 97 mg, blister, 56 (4 x 14) film tableta: </w:t>
      </w:r>
      <w:r w:rsidR="00896CED" w:rsidRPr="001B64BC">
        <w:rPr>
          <w:sz w:val="22"/>
          <w:szCs w:val="22"/>
          <w:lang w:eastAsia="sr-Latn-ME"/>
        </w:rPr>
        <w:t>2030/23/1812 - 34</w:t>
      </w:r>
    </w:p>
    <w:p w14:paraId="6F85A5A6" w14:textId="4D2C73EA" w:rsidR="00F45F77" w:rsidRDefault="00F45F77" w:rsidP="001B64BC">
      <w:pPr>
        <w:tabs>
          <w:tab w:val="left" w:pos="540"/>
          <w:tab w:val="left" w:pos="569"/>
        </w:tabs>
        <w:jc w:val="both"/>
        <w:rPr>
          <w:bCs/>
          <w:sz w:val="22"/>
          <w:szCs w:val="22"/>
        </w:rPr>
      </w:pPr>
    </w:p>
    <w:p w14:paraId="3D67A389" w14:textId="77777777" w:rsidR="001B64BC" w:rsidRPr="00786071" w:rsidRDefault="001B64BC" w:rsidP="001B64BC">
      <w:pPr>
        <w:tabs>
          <w:tab w:val="left" w:pos="540"/>
          <w:tab w:val="left" w:pos="569"/>
        </w:tabs>
        <w:rPr>
          <w:bCs/>
          <w:sz w:val="22"/>
          <w:szCs w:val="22"/>
        </w:rPr>
      </w:pPr>
    </w:p>
    <w:p w14:paraId="7530BAF3" w14:textId="77777777" w:rsidR="0072020E" w:rsidRPr="00786071" w:rsidRDefault="0072020E" w:rsidP="001B64BC">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698100F9" w14:textId="35994274" w:rsidR="0072020E" w:rsidRDefault="0072020E" w:rsidP="001B64BC">
      <w:pPr>
        <w:tabs>
          <w:tab w:val="left" w:pos="540"/>
          <w:tab w:val="left" w:pos="569"/>
        </w:tabs>
        <w:rPr>
          <w:bCs/>
          <w:sz w:val="22"/>
          <w:szCs w:val="22"/>
        </w:rPr>
      </w:pPr>
    </w:p>
    <w:p w14:paraId="5397300F" w14:textId="2715B77A" w:rsidR="00412C40" w:rsidRPr="00412C40" w:rsidRDefault="00412C40" w:rsidP="001B64BC">
      <w:pPr>
        <w:autoSpaceDE w:val="0"/>
        <w:autoSpaceDN w:val="0"/>
        <w:adjustRightInd w:val="0"/>
        <w:jc w:val="both"/>
        <w:rPr>
          <w:sz w:val="22"/>
          <w:szCs w:val="22"/>
          <w:lang w:eastAsia="sr-Latn-ME"/>
        </w:rPr>
      </w:pPr>
      <w:r w:rsidRPr="00C166A2">
        <w:rPr>
          <w:sz w:val="22"/>
          <w:szCs w:val="22"/>
          <w:lang w:val="sr-Latn-ME"/>
        </w:rPr>
        <w:t>Datum prve dozvole:</w:t>
      </w:r>
      <w:r>
        <w:rPr>
          <w:sz w:val="22"/>
          <w:szCs w:val="22"/>
          <w:lang w:val="sr-Latn-ME"/>
        </w:rPr>
        <w:t xml:space="preserve"> </w:t>
      </w:r>
      <w:r w:rsidRPr="00412C40">
        <w:rPr>
          <w:sz w:val="22"/>
          <w:szCs w:val="22"/>
          <w:lang w:val="sr-Latn-ME"/>
        </w:rPr>
        <w:t>11.10.2017. godine</w:t>
      </w:r>
    </w:p>
    <w:p w14:paraId="150F44AC" w14:textId="18521D8A" w:rsidR="00836B35" w:rsidRDefault="00836B35" w:rsidP="001B64BC">
      <w:pPr>
        <w:tabs>
          <w:tab w:val="left" w:pos="540"/>
          <w:tab w:val="left" w:pos="569"/>
        </w:tabs>
        <w:jc w:val="both"/>
        <w:rPr>
          <w:bCs/>
          <w:sz w:val="22"/>
          <w:szCs w:val="22"/>
        </w:rPr>
      </w:pPr>
    </w:p>
    <w:p w14:paraId="22E1CE68" w14:textId="2050B24E" w:rsidR="00412C40" w:rsidRPr="00C166A2" w:rsidRDefault="00412C40" w:rsidP="001B64BC">
      <w:pPr>
        <w:tabs>
          <w:tab w:val="left" w:pos="540"/>
          <w:tab w:val="left" w:pos="569"/>
        </w:tabs>
        <w:jc w:val="both"/>
        <w:rPr>
          <w:sz w:val="22"/>
          <w:szCs w:val="22"/>
          <w:lang w:val="sr-Latn-ME"/>
        </w:rPr>
      </w:pPr>
      <w:r w:rsidRPr="009605D1">
        <w:rPr>
          <w:sz w:val="22"/>
          <w:szCs w:val="22"/>
          <w:lang w:val="sr-Latn-ME"/>
        </w:rPr>
        <w:t>Datum poslednje obnove dozvole:</w:t>
      </w:r>
      <w:r>
        <w:rPr>
          <w:sz w:val="22"/>
          <w:szCs w:val="22"/>
          <w:lang w:val="sr-Latn-ME"/>
        </w:rPr>
        <w:t xml:space="preserve"> </w:t>
      </w:r>
      <w:r w:rsidRPr="00412C40">
        <w:rPr>
          <w:sz w:val="22"/>
          <w:szCs w:val="22"/>
          <w:lang w:val="sr-Latn-ME"/>
        </w:rPr>
        <w:t>09.05.2023. godine</w:t>
      </w:r>
    </w:p>
    <w:p w14:paraId="2143E358" w14:textId="2CCF5DA7" w:rsidR="00412C40" w:rsidRDefault="00412C40" w:rsidP="001B64BC">
      <w:pPr>
        <w:tabs>
          <w:tab w:val="left" w:pos="540"/>
          <w:tab w:val="left" w:pos="569"/>
        </w:tabs>
        <w:rPr>
          <w:bCs/>
          <w:sz w:val="22"/>
          <w:szCs w:val="22"/>
        </w:rPr>
      </w:pPr>
    </w:p>
    <w:p w14:paraId="2A48A23E" w14:textId="77777777" w:rsidR="00412C40" w:rsidRPr="00786071" w:rsidRDefault="00412C40" w:rsidP="001B64BC">
      <w:pPr>
        <w:tabs>
          <w:tab w:val="left" w:pos="540"/>
          <w:tab w:val="left" w:pos="569"/>
        </w:tabs>
        <w:rPr>
          <w:bCs/>
          <w:sz w:val="22"/>
          <w:szCs w:val="22"/>
        </w:rPr>
      </w:pPr>
    </w:p>
    <w:p w14:paraId="05CA49C3" w14:textId="77777777" w:rsidR="003F6A59" w:rsidRPr="00786071" w:rsidRDefault="0072020E" w:rsidP="001B64BC">
      <w:pPr>
        <w:tabs>
          <w:tab w:val="left" w:pos="540"/>
          <w:tab w:val="left" w:pos="569"/>
        </w:tabs>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3CBC2A2C" w14:textId="372E4684" w:rsidR="003F6A59" w:rsidRDefault="003F6A59" w:rsidP="001B64BC">
      <w:pPr>
        <w:rPr>
          <w:sz w:val="22"/>
          <w:szCs w:val="22"/>
          <w:lang w:val="pl-PL"/>
        </w:rPr>
      </w:pPr>
    </w:p>
    <w:p w14:paraId="0553FA84" w14:textId="376672B7" w:rsidR="00412C40" w:rsidRPr="00786071" w:rsidRDefault="00BC46CA" w:rsidP="001B64BC">
      <w:pPr>
        <w:jc w:val="both"/>
        <w:rPr>
          <w:sz w:val="22"/>
          <w:szCs w:val="22"/>
          <w:lang w:val="pl-PL"/>
        </w:rPr>
      </w:pPr>
      <w:r>
        <w:rPr>
          <w:sz w:val="22"/>
          <w:szCs w:val="22"/>
          <w:lang w:val="pl-PL"/>
        </w:rPr>
        <w:t>April, 2025. godine</w:t>
      </w:r>
      <w:bookmarkStart w:id="99" w:name="_GoBack"/>
      <w:bookmarkEnd w:id="99"/>
    </w:p>
    <w:sectPr w:rsidR="00412C40" w:rsidRPr="00786071"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F491D" w14:textId="77777777" w:rsidR="007C02C1" w:rsidRDefault="007C02C1">
      <w:r>
        <w:separator/>
      </w:r>
    </w:p>
  </w:endnote>
  <w:endnote w:type="continuationSeparator" w:id="0">
    <w:p w14:paraId="1DD7396F" w14:textId="77777777" w:rsidR="007C02C1" w:rsidRDefault="007C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841B" w14:textId="54549768" w:rsidR="00984B8C" w:rsidRPr="00B23F69" w:rsidRDefault="00984B8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C46CA">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C46CA">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32E5B" w14:textId="77777777" w:rsidR="007C02C1" w:rsidRDefault="007C02C1">
      <w:r>
        <w:separator/>
      </w:r>
    </w:p>
  </w:footnote>
  <w:footnote w:type="continuationSeparator" w:id="0">
    <w:p w14:paraId="520EA62A" w14:textId="77777777" w:rsidR="007C02C1" w:rsidRDefault="007C0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1pt;height:12.9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865FA7"/>
    <w:multiLevelType w:val="hybridMultilevel"/>
    <w:tmpl w:val="8A521050"/>
    <w:lvl w:ilvl="0" w:tplc="3CD64B20">
      <w:numFmt w:val="bullet"/>
      <w:lvlText w:val=""/>
      <w:lvlJc w:val="left"/>
      <w:pPr>
        <w:ind w:left="720" w:hanging="360"/>
      </w:pPr>
      <w:rPr>
        <w:rFonts w:ascii="Symbol" w:eastAsia="Times New Roman" w:hAnsi="Symbol" w:cs="Arial" w:hint="default"/>
        <w:color w:val="1F497D"/>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0B2"/>
    <w:rsid w:val="00036FA0"/>
    <w:rsid w:val="000373C8"/>
    <w:rsid w:val="0003793F"/>
    <w:rsid w:val="00057E35"/>
    <w:rsid w:val="00076726"/>
    <w:rsid w:val="00080303"/>
    <w:rsid w:val="0008251C"/>
    <w:rsid w:val="000A3F58"/>
    <w:rsid w:val="000B657F"/>
    <w:rsid w:val="000D2343"/>
    <w:rsid w:val="000D3449"/>
    <w:rsid w:val="000D425A"/>
    <w:rsid w:val="000D60CC"/>
    <w:rsid w:val="000E2084"/>
    <w:rsid w:val="000E6F55"/>
    <w:rsid w:val="000F7543"/>
    <w:rsid w:val="000F77FA"/>
    <w:rsid w:val="00107BF7"/>
    <w:rsid w:val="00126F53"/>
    <w:rsid w:val="001412E3"/>
    <w:rsid w:val="0014766D"/>
    <w:rsid w:val="001536CC"/>
    <w:rsid w:val="00161A53"/>
    <w:rsid w:val="001633A3"/>
    <w:rsid w:val="001658B8"/>
    <w:rsid w:val="001A00F5"/>
    <w:rsid w:val="001A1B1B"/>
    <w:rsid w:val="001A3FBA"/>
    <w:rsid w:val="001A5518"/>
    <w:rsid w:val="001B1C6A"/>
    <w:rsid w:val="001B64BC"/>
    <w:rsid w:val="001C1263"/>
    <w:rsid w:val="001C1417"/>
    <w:rsid w:val="001E390B"/>
    <w:rsid w:val="001F42FB"/>
    <w:rsid w:val="001F719A"/>
    <w:rsid w:val="002031B3"/>
    <w:rsid w:val="00215931"/>
    <w:rsid w:val="00224C91"/>
    <w:rsid w:val="00227BDB"/>
    <w:rsid w:val="00234806"/>
    <w:rsid w:val="00234CB1"/>
    <w:rsid w:val="002352F8"/>
    <w:rsid w:val="002468CF"/>
    <w:rsid w:val="002510A5"/>
    <w:rsid w:val="00254A0A"/>
    <w:rsid w:val="002637F8"/>
    <w:rsid w:val="00266046"/>
    <w:rsid w:val="00275D2E"/>
    <w:rsid w:val="002846DB"/>
    <w:rsid w:val="00284CCD"/>
    <w:rsid w:val="0028705C"/>
    <w:rsid w:val="002C6637"/>
    <w:rsid w:val="002E0135"/>
    <w:rsid w:val="002E37A5"/>
    <w:rsid w:val="002E6863"/>
    <w:rsid w:val="002F5B81"/>
    <w:rsid w:val="002F771F"/>
    <w:rsid w:val="003035EC"/>
    <w:rsid w:val="00310F03"/>
    <w:rsid w:val="003247D2"/>
    <w:rsid w:val="003321DF"/>
    <w:rsid w:val="003445C1"/>
    <w:rsid w:val="00355B61"/>
    <w:rsid w:val="00360067"/>
    <w:rsid w:val="00362686"/>
    <w:rsid w:val="00371510"/>
    <w:rsid w:val="00396DFD"/>
    <w:rsid w:val="003A4006"/>
    <w:rsid w:val="003A6267"/>
    <w:rsid w:val="003A7059"/>
    <w:rsid w:val="003B65E4"/>
    <w:rsid w:val="003B7A36"/>
    <w:rsid w:val="003C17AB"/>
    <w:rsid w:val="003C62F2"/>
    <w:rsid w:val="003C7823"/>
    <w:rsid w:val="003E1DCC"/>
    <w:rsid w:val="003E1FEA"/>
    <w:rsid w:val="003E4569"/>
    <w:rsid w:val="003F11A1"/>
    <w:rsid w:val="003F6A59"/>
    <w:rsid w:val="004065C8"/>
    <w:rsid w:val="004109FA"/>
    <w:rsid w:val="00411B4B"/>
    <w:rsid w:val="00412C40"/>
    <w:rsid w:val="00415BEE"/>
    <w:rsid w:val="00427F85"/>
    <w:rsid w:val="00436F42"/>
    <w:rsid w:val="004378B4"/>
    <w:rsid w:val="00441F90"/>
    <w:rsid w:val="00447FDF"/>
    <w:rsid w:val="00451314"/>
    <w:rsid w:val="00452E9D"/>
    <w:rsid w:val="004534C7"/>
    <w:rsid w:val="004671AA"/>
    <w:rsid w:val="00480FB1"/>
    <w:rsid w:val="00483928"/>
    <w:rsid w:val="0048618A"/>
    <w:rsid w:val="00490630"/>
    <w:rsid w:val="004A3F59"/>
    <w:rsid w:val="004B0D0A"/>
    <w:rsid w:val="004B5116"/>
    <w:rsid w:val="004B78BD"/>
    <w:rsid w:val="004C331F"/>
    <w:rsid w:val="004D6103"/>
    <w:rsid w:val="004E1A38"/>
    <w:rsid w:val="004E3BCE"/>
    <w:rsid w:val="004E70AD"/>
    <w:rsid w:val="004F0E97"/>
    <w:rsid w:val="004F5BE8"/>
    <w:rsid w:val="004F5F60"/>
    <w:rsid w:val="00501DD1"/>
    <w:rsid w:val="0051441D"/>
    <w:rsid w:val="00515C21"/>
    <w:rsid w:val="00530BD7"/>
    <w:rsid w:val="00532FF3"/>
    <w:rsid w:val="00545CD2"/>
    <w:rsid w:val="005476F3"/>
    <w:rsid w:val="00560D16"/>
    <w:rsid w:val="00572527"/>
    <w:rsid w:val="00573E40"/>
    <w:rsid w:val="00575A40"/>
    <w:rsid w:val="00576348"/>
    <w:rsid w:val="00584F44"/>
    <w:rsid w:val="005A0B2E"/>
    <w:rsid w:val="005A23D2"/>
    <w:rsid w:val="005A36CB"/>
    <w:rsid w:val="005B49B8"/>
    <w:rsid w:val="005C0741"/>
    <w:rsid w:val="005C5EF4"/>
    <w:rsid w:val="005D4C86"/>
    <w:rsid w:val="005D54D6"/>
    <w:rsid w:val="005E2E0B"/>
    <w:rsid w:val="005E45A9"/>
    <w:rsid w:val="005E7A7D"/>
    <w:rsid w:val="005F0AB3"/>
    <w:rsid w:val="00602457"/>
    <w:rsid w:val="006070A0"/>
    <w:rsid w:val="006251EA"/>
    <w:rsid w:val="00644FC3"/>
    <w:rsid w:val="00646BD1"/>
    <w:rsid w:val="006561C2"/>
    <w:rsid w:val="00663A86"/>
    <w:rsid w:val="00671CB3"/>
    <w:rsid w:val="00674BAF"/>
    <w:rsid w:val="00682200"/>
    <w:rsid w:val="00692BF6"/>
    <w:rsid w:val="006A1497"/>
    <w:rsid w:val="006B0BD1"/>
    <w:rsid w:val="006B5404"/>
    <w:rsid w:val="006B77D2"/>
    <w:rsid w:val="006D20A5"/>
    <w:rsid w:val="006D37BF"/>
    <w:rsid w:val="006D3EF5"/>
    <w:rsid w:val="006F0C44"/>
    <w:rsid w:val="00702E22"/>
    <w:rsid w:val="0072020E"/>
    <w:rsid w:val="00747938"/>
    <w:rsid w:val="00747D53"/>
    <w:rsid w:val="00784003"/>
    <w:rsid w:val="00786071"/>
    <w:rsid w:val="007A3ECB"/>
    <w:rsid w:val="007B3B9A"/>
    <w:rsid w:val="007B3E95"/>
    <w:rsid w:val="007B7B49"/>
    <w:rsid w:val="007C02C1"/>
    <w:rsid w:val="007C10E3"/>
    <w:rsid w:val="007D5FBF"/>
    <w:rsid w:val="007D7BB3"/>
    <w:rsid w:val="00824AB9"/>
    <w:rsid w:val="00836B35"/>
    <w:rsid w:val="00843BDE"/>
    <w:rsid w:val="008506EE"/>
    <w:rsid w:val="0087588C"/>
    <w:rsid w:val="0088149C"/>
    <w:rsid w:val="00896CED"/>
    <w:rsid w:val="0089705C"/>
    <w:rsid w:val="008A6D43"/>
    <w:rsid w:val="008B491E"/>
    <w:rsid w:val="008C1A28"/>
    <w:rsid w:val="008C2E98"/>
    <w:rsid w:val="008D0FFF"/>
    <w:rsid w:val="008E49BD"/>
    <w:rsid w:val="008E53E9"/>
    <w:rsid w:val="008E5771"/>
    <w:rsid w:val="008F4ACF"/>
    <w:rsid w:val="00912204"/>
    <w:rsid w:val="00916BB1"/>
    <w:rsid w:val="00924166"/>
    <w:rsid w:val="00940B9B"/>
    <w:rsid w:val="00943360"/>
    <w:rsid w:val="009472B7"/>
    <w:rsid w:val="009520F2"/>
    <w:rsid w:val="0095676E"/>
    <w:rsid w:val="00956983"/>
    <w:rsid w:val="00963CF0"/>
    <w:rsid w:val="00964BB1"/>
    <w:rsid w:val="009775D9"/>
    <w:rsid w:val="00984B8C"/>
    <w:rsid w:val="00997175"/>
    <w:rsid w:val="009A0E5A"/>
    <w:rsid w:val="009A1847"/>
    <w:rsid w:val="009B062A"/>
    <w:rsid w:val="009B2A6D"/>
    <w:rsid w:val="009B6453"/>
    <w:rsid w:val="009B66C3"/>
    <w:rsid w:val="009D7F53"/>
    <w:rsid w:val="009E0EC2"/>
    <w:rsid w:val="009E7C6F"/>
    <w:rsid w:val="009F1793"/>
    <w:rsid w:val="009F2D23"/>
    <w:rsid w:val="009F418C"/>
    <w:rsid w:val="00A01D69"/>
    <w:rsid w:val="00A02335"/>
    <w:rsid w:val="00A04F54"/>
    <w:rsid w:val="00A058EE"/>
    <w:rsid w:val="00A13261"/>
    <w:rsid w:val="00A2375C"/>
    <w:rsid w:val="00A3416C"/>
    <w:rsid w:val="00A416D4"/>
    <w:rsid w:val="00A46C9A"/>
    <w:rsid w:val="00A537E4"/>
    <w:rsid w:val="00A619F3"/>
    <w:rsid w:val="00A62A73"/>
    <w:rsid w:val="00A75223"/>
    <w:rsid w:val="00A87FF6"/>
    <w:rsid w:val="00AA0A3B"/>
    <w:rsid w:val="00AA2763"/>
    <w:rsid w:val="00AA2D96"/>
    <w:rsid w:val="00AA33B6"/>
    <w:rsid w:val="00AB50CA"/>
    <w:rsid w:val="00AB63CB"/>
    <w:rsid w:val="00AB6D64"/>
    <w:rsid w:val="00AC53CE"/>
    <w:rsid w:val="00AD2193"/>
    <w:rsid w:val="00AD5898"/>
    <w:rsid w:val="00AE005C"/>
    <w:rsid w:val="00AE1005"/>
    <w:rsid w:val="00AF0EFB"/>
    <w:rsid w:val="00AF2AC7"/>
    <w:rsid w:val="00AF74CE"/>
    <w:rsid w:val="00B208DB"/>
    <w:rsid w:val="00B23F69"/>
    <w:rsid w:val="00B273A5"/>
    <w:rsid w:val="00B469F4"/>
    <w:rsid w:val="00B564CE"/>
    <w:rsid w:val="00B60619"/>
    <w:rsid w:val="00B61FF1"/>
    <w:rsid w:val="00B66A70"/>
    <w:rsid w:val="00B67366"/>
    <w:rsid w:val="00B6754A"/>
    <w:rsid w:val="00B67A57"/>
    <w:rsid w:val="00B726B3"/>
    <w:rsid w:val="00B73B68"/>
    <w:rsid w:val="00B77685"/>
    <w:rsid w:val="00B80EE1"/>
    <w:rsid w:val="00B84135"/>
    <w:rsid w:val="00B86DE0"/>
    <w:rsid w:val="00B96A91"/>
    <w:rsid w:val="00BC3D87"/>
    <w:rsid w:val="00BC46CA"/>
    <w:rsid w:val="00BD16F7"/>
    <w:rsid w:val="00BD5FEF"/>
    <w:rsid w:val="00C04D34"/>
    <w:rsid w:val="00C05DF8"/>
    <w:rsid w:val="00C06864"/>
    <w:rsid w:val="00C10F54"/>
    <w:rsid w:val="00C22FB6"/>
    <w:rsid w:val="00C23D8D"/>
    <w:rsid w:val="00C37AA3"/>
    <w:rsid w:val="00C37FD7"/>
    <w:rsid w:val="00C43419"/>
    <w:rsid w:val="00C44CF3"/>
    <w:rsid w:val="00C61BE0"/>
    <w:rsid w:val="00C6707E"/>
    <w:rsid w:val="00C70B0E"/>
    <w:rsid w:val="00C773CA"/>
    <w:rsid w:val="00C83785"/>
    <w:rsid w:val="00C94C0D"/>
    <w:rsid w:val="00CA1FEB"/>
    <w:rsid w:val="00CD4F85"/>
    <w:rsid w:val="00CD599F"/>
    <w:rsid w:val="00CD6F02"/>
    <w:rsid w:val="00CE246D"/>
    <w:rsid w:val="00CF07A0"/>
    <w:rsid w:val="00CF3E03"/>
    <w:rsid w:val="00CF401C"/>
    <w:rsid w:val="00D0082A"/>
    <w:rsid w:val="00D02D38"/>
    <w:rsid w:val="00D0473C"/>
    <w:rsid w:val="00D050E8"/>
    <w:rsid w:val="00D176D1"/>
    <w:rsid w:val="00D21455"/>
    <w:rsid w:val="00D25AB2"/>
    <w:rsid w:val="00D26ACF"/>
    <w:rsid w:val="00D47634"/>
    <w:rsid w:val="00D61C92"/>
    <w:rsid w:val="00D627D0"/>
    <w:rsid w:val="00D709B3"/>
    <w:rsid w:val="00D84F16"/>
    <w:rsid w:val="00DA2ED6"/>
    <w:rsid w:val="00DB76B8"/>
    <w:rsid w:val="00DC06D6"/>
    <w:rsid w:val="00DC0965"/>
    <w:rsid w:val="00DC2EA1"/>
    <w:rsid w:val="00DD6AAF"/>
    <w:rsid w:val="00DE1D4F"/>
    <w:rsid w:val="00DE3F5C"/>
    <w:rsid w:val="00DF1D20"/>
    <w:rsid w:val="00DF2AD1"/>
    <w:rsid w:val="00E03D09"/>
    <w:rsid w:val="00E21324"/>
    <w:rsid w:val="00E246B9"/>
    <w:rsid w:val="00E31FEA"/>
    <w:rsid w:val="00E36CD9"/>
    <w:rsid w:val="00E40C65"/>
    <w:rsid w:val="00E4254D"/>
    <w:rsid w:val="00E45169"/>
    <w:rsid w:val="00E47787"/>
    <w:rsid w:val="00E51339"/>
    <w:rsid w:val="00E51C30"/>
    <w:rsid w:val="00E64180"/>
    <w:rsid w:val="00E74AEE"/>
    <w:rsid w:val="00E868E5"/>
    <w:rsid w:val="00E87BAF"/>
    <w:rsid w:val="00E9237A"/>
    <w:rsid w:val="00E939FA"/>
    <w:rsid w:val="00EA5765"/>
    <w:rsid w:val="00EC1C2C"/>
    <w:rsid w:val="00EC2532"/>
    <w:rsid w:val="00EC72D7"/>
    <w:rsid w:val="00ED7812"/>
    <w:rsid w:val="00EF3B86"/>
    <w:rsid w:val="00EF7020"/>
    <w:rsid w:val="00F07E82"/>
    <w:rsid w:val="00F317E9"/>
    <w:rsid w:val="00F34554"/>
    <w:rsid w:val="00F37D23"/>
    <w:rsid w:val="00F45F77"/>
    <w:rsid w:val="00F47C20"/>
    <w:rsid w:val="00F5167F"/>
    <w:rsid w:val="00F52258"/>
    <w:rsid w:val="00F55EDC"/>
    <w:rsid w:val="00F8570A"/>
    <w:rsid w:val="00F91C7B"/>
    <w:rsid w:val="00FB3BD2"/>
    <w:rsid w:val="00FD530B"/>
    <w:rsid w:val="00FF531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78BB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rsid w:val="00B96A91"/>
    <w:rPr>
      <w:sz w:val="24"/>
      <w:szCs w:val="24"/>
      <w:lang w:val="en-US" w:eastAsia="en-US"/>
    </w:rPr>
  </w:style>
  <w:style w:type="character" w:customStyle="1" w:styleId="Heading20">
    <w:name w:val="Heading #2_"/>
    <w:link w:val="Heading21"/>
    <w:uiPriority w:val="99"/>
    <w:locked/>
    <w:rsid w:val="00B96A91"/>
    <w:rPr>
      <w:b/>
      <w:bCs/>
      <w:shd w:val="clear" w:color="auto" w:fill="FFFFFF"/>
    </w:rPr>
  </w:style>
  <w:style w:type="paragraph" w:customStyle="1" w:styleId="Heading21">
    <w:name w:val="Heading #2"/>
    <w:basedOn w:val="Normal"/>
    <w:link w:val="Heading20"/>
    <w:uiPriority w:val="99"/>
    <w:rsid w:val="00B96A91"/>
    <w:pPr>
      <w:shd w:val="clear" w:color="auto" w:fill="FFFFFF"/>
      <w:spacing w:before="180" w:after="300" w:line="240" w:lineRule="atLeast"/>
      <w:ind w:hanging="480"/>
      <w:jc w:val="both"/>
      <w:outlineLvl w:val="1"/>
    </w:pPr>
    <w:rPr>
      <w:b/>
      <w:bCs/>
      <w:sz w:val="20"/>
      <w:szCs w:val="20"/>
      <w:lang w:val="sr-Latn-ME" w:eastAsia="sr-Latn-ME"/>
    </w:rPr>
  </w:style>
  <w:style w:type="character" w:customStyle="1" w:styleId="markedcontent">
    <w:name w:val="markedcontent"/>
    <w:basedOn w:val="DefaultParagraphFont"/>
    <w:rsid w:val="00CD599F"/>
  </w:style>
  <w:style w:type="paragraph" w:styleId="Revision">
    <w:name w:val="Revision"/>
    <w:hidden/>
    <w:uiPriority w:val="99"/>
    <w:semiHidden/>
    <w:rsid w:val="009D7F53"/>
    <w:rPr>
      <w:sz w:val="24"/>
      <w:szCs w:val="24"/>
      <w:lang w:val="en-US" w:eastAsia="en-US"/>
    </w:rPr>
  </w:style>
  <w:style w:type="paragraph" w:styleId="ListParagraph">
    <w:name w:val="List Paragraph"/>
    <w:basedOn w:val="Normal"/>
    <w:uiPriority w:val="34"/>
    <w:qFormat/>
    <w:rsid w:val="00D26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A130-82BC-40FE-BA7F-1994E5EF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8990</Words>
  <Characters>51243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60113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2</cp:revision>
  <dcterms:created xsi:type="dcterms:W3CDTF">2025-04-16T10:36:00Z</dcterms:created>
  <dcterms:modified xsi:type="dcterms:W3CDTF">2025-04-16T10:36:00Z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2021-07-13T07:51:11Z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d836e8ce-45d5-451c-a5a8-2de20430f9c4</vt:lpwstr>
  </property>
  <property fmtid="{D5CDD505-2E9C-101B-9397-08002B2CF9AE}" pid="9" name="MSIP_Label_4929bff8-5b33-42aa-95d2-28f72e792cb0_ContentBits">
    <vt:lpwstr>0</vt:lpwstr>
  </property>
</Properties>
</file>