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54201" w14:textId="77777777" w:rsidR="00762652" w:rsidRPr="00777B5C" w:rsidRDefault="00762652" w:rsidP="00CA5510">
      <w:pPr>
        <w:rPr>
          <w:noProof/>
          <w:szCs w:val="22"/>
          <w:lang w:val="sr-Latn-ME"/>
        </w:rPr>
      </w:pPr>
    </w:p>
    <w:p w14:paraId="2BC54202" w14:textId="5ED581D3" w:rsidR="00762652" w:rsidRPr="00777B5C" w:rsidRDefault="00762652" w:rsidP="00160B46">
      <w:pPr>
        <w:jc w:val="center"/>
        <w:rPr>
          <w:b/>
          <w:bCs/>
          <w:iCs/>
          <w:noProof/>
          <w:szCs w:val="22"/>
          <w:u w:val="single"/>
          <w:lang w:val="sr-Latn-ME"/>
        </w:rPr>
      </w:pPr>
      <w:r w:rsidRPr="00777B5C">
        <w:rPr>
          <w:b/>
          <w:bCs/>
          <w:iCs/>
          <w:noProof/>
          <w:szCs w:val="22"/>
          <w:u w:val="single"/>
          <w:lang w:val="sr-Latn-ME"/>
        </w:rPr>
        <w:t>UPUTSTVO ZA L</w:t>
      </w:r>
      <w:r w:rsidR="00D96822" w:rsidRPr="00777B5C">
        <w:rPr>
          <w:b/>
          <w:bCs/>
          <w:iCs/>
          <w:noProof/>
          <w:szCs w:val="22"/>
          <w:u w:val="single"/>
          <w:lang w:val="sr-Latn-ME"/>
        </w:rPr>
        <w:t>IJ</w:t>
      </w:r>
      <w:r w:rsidRPr="00777B5C">
        <w:rPr>
          <w:b/>
          <w:bCs/>
          <w:iCs/>
          <w:noProof/>
          <w:szCs w:val="22"/>
          <w:u w:val="single"/>
          <w:lang w:val="sr-Latn-ME"/>
        </w:rPr>
        <w:t>EK</w:t>
      </w:r>
    </w:p>
    <w:p w14:paraId="3FE27436" w14:textId="77777777" w:rsidR="00160B46" w:rsidRPr="00777B5C" w:rsidRDefault="00160B46">
      <w:pPr>
        <w:jc w:val="center"/>
        <w:rPr>
          <w:b/>
          <w:bCs/>
          <w:iCs/>
          <w:noProof/>
          <w:szCs w:val="22"/>
          <w:u w:val="single"/>
          <w:lang w:val="sr-Latn-ME"/>
        </w:rPr>
      </w:pPr>
    </w:p>
    <w:p w14:paraId="7EFAA52C" w14:textId="5AA79048" w:rsidR="00F56A0E" w:rsidRPr="00777B5C" w:rsidRDefault="00F56A0E" w:rsidP="007B2FC3">
      <w:pPr>
        <w:jc w:val="center"/>
        <w:rPr>
          <w:b/>
          <w:bCs/>
          <w:iCs/>
          <w:noProof/>
          <w:szCs w:val="22"/>
          <w:lang w:val="sr-Latn-ME"/>
        </w:rPr>
      </w:pPr>
      <w:r w:rsidRPr="00777B5C">
        <w:rPr>
          <w:b/>
          <w:bCs/>
          <w:iCs/>
          <w:noProof/>
          <w:szCs w:val="22"/>
          <w:lang w:val="sr-Latn-ME"/>
        </w:rPr>
        <w:t>Tigilin</w:t>
      </w:r>
      <w:r w:rsidR="005915F2" w:rsidRPr="00777B5C">
        <w:rPr>
          <w:b/>
          <w:bCs/>
          <w:iCs/>
          <w:noProof/>
          <w:szCs w:val="22"/>
          <w:lang w:val="sr-Latn-ME"/>
        </w:rPr>
        <w:t xml:space="preserve">, </w:t>
      </w:r>
      <w:r w:rsidR="00B63309" w:rsidRPr="00777B5C">
        <w:rPr>
          <w:b/>
          <w:bCs/>
          <w:iCs/>
          <w:noProof/>
          <w:szCs w:val="22"/>
          <w:lang w:val="sr-Latn-ME"/>
        </w:rPr>
        <w:t xml:space="preserve">50 mg, </w:t>
      </w:r>
      <w:r w:rsidR="005915F2" w:rsidRPr="00777B5C">
        <w:rPr>
          <w:b/>
          <w:bCs/>
          <w:iCs/>
          <w:noProof/>
          <w:szCs w:val="22"/>
          <w:lang w:val="sr-Latn-ME"/>
        </w:rPr>
        <w:t>prašak za rastvor za infuziju</w:t>
      </w:r>
    </w:p>
    <w:p w14:paraId="732BEF8A" w14:textId="13087EF3" w:rsidR="00F56A0E" w:rsidRPr="00777B5C" w:rsidRDefault="00F56A0E" w:rsidP="007B2FC3">
      <w:pPr>
        <w:jc w:val="center"/>
        <w:rPr>
          <w:iCs/>
          <w:noProof/>
          <w:szCs w:val="22"/>
          <w:lang w:val="sr-Latn-ME"/>
        </w:rPr>
      </w:pPr>
      <w:r w:rsidRPr="00777B5C">
        <w:rPr>
          <w:iCs/>
          <w:noProof/>
          <w:szCs w:val="22"/>
          <w:lang w:val="sr-Latn-ME"/>
        </w:rPr>
        <w:t>tigeciklin</w:t>
      </w:r>
    </w:p>
    <w:p w14:paraId="531CAE27" w14:textId="267CB365" w:rsidR="008B3E06" w:rsidRPr="00777B5C" w:rsidRDefault="008B3E06" w:rsidP="008B3E06">
      <w:pPr>
        <w:widowControl w:val="0"/>
        <w:autoSpaceDE w:val="0"/>
        <w:autoSpaceDN w:val="0"/>
        <w:rPr>
          <w:b/>
          <w:bCs/>
          <w:noProof/>
          <w:szCs w:val="22"/>
          <w:lang w:val="sr-Latn-ME"/>
        </w:rPr>
      </w:pPr>
    </w:p>
    <w:p w14:paraId="18FAF6F2" w14:textId="77777777" w:rsidR="00160B46" w:rsidRPr="00777B5C" w:rsidRDefault="00160B46" w:rsidP="008B3E06">
      <w:pPr>
        <w:widowControl w:val="0"/>
        <w:autoSpaceDE w:val="0"/>
        <w:autoSpaceDN w:val="0"/>
        <w:rPr>
          <w:b/>
          <w:bCs/>
          <w:noProof/>
          <w:szCs w:val="22"/>
          <w:lang w:val="sr-Latn-ME"/>
        </w:rPr>
      </w:pPr>
    </w:p>
    <w:p w14:paraId="4065B825" w14:textId="77777777" w:rsidR="00EF4319" w:rsidRPr="00777B5C" w:rsidRDefault="00EF4319" w:rsidP="007B2FC3">
      <w:pPr>
        <w:widowControl w:val="0"/>
        <w:tabs>
          <w:tab w:val="clear" w:pos="284"/>
        </w:tabs>
        <w:autoSpaceDE w:val="0"/>
        <w:autoSpaceDN w:val="0"/>
        <w:ind w:left="360" w:hanging="360"/>
        <w:rPr>
          <w:b/>
          <w:bCs/>
          <w:szCs w:val="22"/>
          <w:lang w:val="sr-Latn-ME"/>
        </w:rPr>
      </w:pPr>
      <w:r w:rsidRPr="00777B5C">
        <w:rPr>
          <w:b/>
          <w:bCs/>
          <w:szCs w:val="22"/>
          <w:lang w:val="sr-Latn-ME"/>
        </w:rPr>
        <w:t>Pažljivo pročitajte ovo uputstvo, prije nego što počnete da koristite ovaj lijek,</w:t>
      </w:r>
      <w:r w:rsidRPr="00777B5C">
        <w:rPr>
          <w:szCs w:val="22"/>
          <w:lang w:val="sr-Latn-ME"/>
        </w:rPr>
        <w:t xml:space="preserve"> </w:t>
      </w:r>
      <w:r w:rsidRPr="00777B5C">
        <w:rPr>
          <w:b/>
          <w:bCs/>
          <w:szCs w:val="22"/>
          <w:lang w:val="sr-Latn-ME"/>
        </w:rPr>
        <w:t xml:space="preserve">jer sadrži </w:t>
      </w:r>
    </w:p>
    <w:p w14:paraId="195647A0" w14:textId="77777777" w:rsidR="00EF4319" w:rsidRPr="00777B5C" w:rsidRDefault="00EF4319" w:rsidP="007B2FC3">
      <w:pPr>
        <w:widowControl w:val="0"/>
        <w:tabs>
          <w:tab w:val="clear" w:pos="284"/>
        </w:tabs>
        <w:autoSpaceDE w:val="0"/>
        <w:autoSpaceDN w:val="0"/>
        <w:ind w:left="360" w:hanging="360"/>
        <w:rPr>
          <w:b/>
          <w:bCs/>
          <w:szCs w:val="22"/>
          <w:lang w:val="sr-Latn-ME"/>
        </w:rPr>
      </w:pPr>
      <w:r w:rsidRPr="00777B5C">
        <w:rPr>
          <w:b/>
          <w:bCs/>
          <w:szCs w:val="22"/>
          <w:lang w:val="sr-Latn-ME"/>
        </w:rPr>
        <w:t>informacije koje su važne za Vas</w:t>
      </w:r>
    </w:p>
    <w:p w14:paraId="1E0672FC" w14:textId="77777777" w:rsidR="00EF4319" w:rsidRPr="00777B5C" w:rsidRDefault="00EF4319" w:rsidP="007B2FC3">
      <w:pPr>
        <w:widowControl w:val="0"/>
        <w:numPr>
          <w:ilvl w:val="0"/>
          <w:numId w:val="9"/>
        </w:numPr>
        <w:tabs>
          <w:tab w:val="clear" w:pos="284"/>
          <w:tab w:val="clear" w:pos="576"/>
          <w:tab w:val="num" w:pos="569"/>
          <w:tab w:val="num" w:pos="600"/>
        </w:tabs>
        <w:autoSpaceDE w:val="0"/>
        <w:autoSpaceDN w:val="0"/>
        <w:rPr>
          <w:szCs w:val="22"/>
          <w:lang w:val="sr-Latn-ME"/>
        </w:rPr>
      </w:pPr>
      <w:r w:rsidRPr="00777B5C">
        <w:rPr>
          <w:szCs w:val="22"/>
          <w:lang w:val="sr-Latn-ME"/>
        </w:rPr>
        <w:t>Uputstvo sačuvajte. Može biti potrebno da ga ponovo pročitate.</w:t>
      </w:r>
    </w:p>
    <w:p w14:paraId="7875E750" w14:textId="77777777" w:rsidR="00EF4319" w:rsidRPr="00777B5C" w:rsidRDefault="00EF4319" w:rsidP="007B2FC3">
      <w:pPr>
        <w:widowControl w:val="0"/>
        <w:numPr>
          <w:ilvl w:val="0"/>
          <w:numId w:val="9"/>
        </w:numPr>
        <w:tabs>
          <w:tab w:val="clear" w:pos="284"/>
          <w:tab w:val="clear" w:pos="576"/>
          <w:tab w:val="num" w:pos="600"/>
        </w:tabs>
        <w:autoSpaceDE w:val="0"/>
        <w:autoSpaceDN w:val="0"/>
        <w:rPr>
          <w:szCs w:val="22"/>
          <w:lang w:val="sr-Latn-ME"/>
        </w:rPr>
      </w:pPr>
      <w:r w:rsidRPr="00777B5C">
        <w:rPr>
          <w:szCs w:val="22"/>
          <w:lang w:val="sr-Latn-ME"/>
        </w:rPr>
        <w:t xml:space="preserve">Ako imate dodatnih pitanja, obratite se svom ljekaru ili farmaceutu </w:t>
      </w:r>
      <w:r w:rsidRPr="00777B5C">
        <w:rPr>
          <w:noProof/>
          <w:szCs w:val="22"/>
          <w:lang w:val="sr-Latn-ME"/>
        </w:rPr>
        <w:t>ili medicinskoj sestri</w:t>
      </w:r>
      <w:r w:rsidRPr="00777B5C">
        <w:rPr>
          <w:szCs w:val="22"/>
          <w:lang w:val="sr-Latn-ME"/>
        </w:rPr>
        <w:t xml:space="preserve">. </w:t>
      </w:r>
    </w:p>
    <w:p w14:paraId="5E37E9FD" w14:textId="77777777" w:rsidR="00EF4319" w:rsidRPr="00777B5C" w:rsidRDefault="00EF4319" w:rsidP="007B2FC3">
      <w:pPr>
        <w:widowControl w:val="0"/>
        <w:numPr>
          <w:ilvl w:val="0"/>
          <w:numId w:val="9"/>
        </w:numPr>
        <w:tabs>
          <w:tab w:val="clear" w:pos="284"/>
          <w:tab w:val="clear" w:pos="576"/>
          <w:tab w:val="num" w:pos="600"/>
        </w:tabs>
        <w:autoSpaceDE w:val="0"/>
        <w:autoSpaceDN w:val="0"/>
        <w:ind w:left="600" w:hanging="600"/>
        <w:rPr>
          <w:szCs w:val="22"/>
          <w:lang w:val="sr-Latn-ME"/>
        </w:rPr>
      </w:pPr>
      <w:r w:rsidRPr="00777B5C">
        <w:rPr>
          <w:szCs w:val="22"/>
          <w:lang w:val="sr-Latn-ME"/>
        </w:rPr>
        <w:t>Ovaj lijek propisan je Vama i ne smijete ga davati drugima. Može da im škodi, čak i kada imaju iste znake bolesti kao i Vi.</w:t>
      </w:r>
    </w:p>
    <w:p w14:paraId="2218678D" w14:textId="77777777" w:rsidR="00EF4319" w:rsidRPr="00777B5C" w:rsidRDefault="00EF4319" w:rsidP="007B2FC3">
      <w:pPr>
        <w:widowControl w:val="0"/>
        <w:numPr>
          <w:ilvl w:val="0"/>
          <w:numId w:val="9"/>
        </w:numPr>
        <w:tabs>
          <w:tab w:val="clear" w:pos="284"/>
          <w:tab w:val="num" w:pos="0"/>
        </w:tabs>
        <w:autoSpaceDE w:val="0"/>
        <w:autoSpaceDN w:val="0"/>
        <w:ind w:left="600" w:hanging="600"/>
        <w:rPr>
          <w:szCs w:val="22"/>
          <w:lang w:val="sr-Latn-ME"/>
        </w:rPr>
      </w:pPr>
      <w:r w:rsidRPr="00777B5C">
        <w:rPr>
          <w:spacing w:val="-5"/>
          <w:szCs w:val="22"/>
          <w:lang w:val="sr-Latn-ME"/>
        </w:rPr>
        <w:t>Ako Vam se javi bilo koje neželjeno dejstvo recite to svom ljekaru, farmaceutu ili medicinskoj sestri. Ovo uključuje i bilo koja neželjena dejstva koja nijesu navedena u ovom uputstvu</w:t>
      </w:r>
      <w:r w:rsidRPr="00777B5C">
        <w:rPr>
          <w:spacing w:val="-4"/>
          <w:szCs w:val="22"/>
          <w:lang w:val="sr-Latn-ME"/>
        </w:rPr>
        <w:t xml:space="preserve">. Pogledajte dio 4. </w:t>
      </w:r>
    </w:p>
    <w:p w14:paraId="2BC54217" w14:textId="77777777" w:rsidR="00762652" w:rsidRPr="00777B5C" w:rsidRDefault="00762652" w:rsidP="0047765A">
      <w:pPr>
        <w:widowControl w:val="0"/>
        <w:autoSpaceDE w:val="0"/>
        <w:autoSpaceDN w:val="0"/>
        <w:rPr>
          <w:noProof/>
          <w:szCs w:val="22"/>
          <w:lang w:val="sr-Latn-ME"/>
        </w:rPr>
      </w:pPr>
    </w:p>
    <w:p w14:paraId="78A2D65C" w14:textId="7C68C156" w:rsidR="008B3E06" w:rsidRPr="00777B5C" w:rsidRDefault="008B3E06">
      <w:pPr>
        <w:widowControl w:val="0"/>
        <w:autoSpaceDE w:val="0"/>
        <w:autoSpaceDN w:val="0"/>
        <w:rPr>
          <w:b/>
          <w:bCs/>
          <w:noProof/>
          <w:szCs w:val="22"/>
          <w:lang w:val="sr-Latn-ME"/>
        </w:rPr>
      </w:pPr>
    </w:p>
    <w:p w14:paraId="42187928" w14:textId="77777777" w:rsidR="00EF4319" w:rsidRPr="00777B5C" w:rsidRDefault="00EF4319" w:rsidP="007B2FC3">
      <w:pPr>
        <w:widowControl w:val="0"/>
        <w:tabs>
          <w:tab w:val="clear" w:pos="284"/>
        </w:tabs>
        <w:autoSpaceDE w:val="0"/>
        <w:autoSpaceDN w:val="0"/>
        <w:rPr>
          <w:b/>
          <w:bCs/>
          <w:szCs w:val="22"/>
          <w:lang w:val="sr-Latn-ME"/>
        </w:rPr>
      </w:pPr>
      <w:r w:rsidRPr="00777B5C">
        <w:rPr>
          <w:b/>
          <w:bCs/>
          <w:szCs w:val="22"/>
          <w:lang w:val="sr-Latn-ME"/>
        </w:rPr>
        <w:t>U ovom uputstvu pročitaćete:</w:t>
      </w:r>
    </w:p>
    <w:p w14:paraId="3FECBEFC" w14:textId="576B0C0A" w:rsidR="00EF4319" w:rsidRPr="00777B5C" w:rsidRDefault="00EF4319" w:rsidP="007B2FC3">
      <w:pPr>
        <w:widowControl w:val="0"/>
        <w:numPr>
          <w:ilvl w:val="0"/>
          <w:numId w:val="4"/>
        </w:numPr>
        <w:tabs>
          <w:tab w:val="clear" w:pos="284"/>
          <w:tab w:val="left" w:pos="569"/>
          <w:tab w:val="left" w:pos="600"/>
        </w:tabs>
        <w:autoSpaceDE w:val="0"/>
        <w:autoSpaceDN w:val="0"/>
        <w:rPr>
          <w:szCs w:val="22"/>
          <w:lang w:val="sr-Latn-ME"/>
        </w:rPr>
      </w:pPr>
      <w:r w:rsidRPr="00777B5C">
        <w:rPr>
          <w:szCs w:val="22"/>
          <w:lang w:val="sr-Latn-ME"/>
        </w:rPr>
        <w:t>Šta je lijek Tigilin i čemu je namijenjen</w:t>
      </w:r>
    </w:p>
    <w:p w14:paraId="7867A003" w14:textId="4C3E7A68" w:rsidR="00EF4319" w:rsidRPr="00777B5C" w:rsidRDefault="00EF4319" w:rsidP="007B2FC3">
      <w:pPr>
        <w:widowControl w:val="0"/>
        <w:numPr>
          <w:ilvl w:val="0"/>
          <w:numId w:val="4"/>
        </w:numPr>
        <w:tabs>
          <w:tab w:val="clear" w:pos="284"/>
          <w:tab w:val="left" w:pos="569"/>
          <w:tab w:val="left" w:pos="600"/>
        </w:tabs>
        <w:autoSpaceDE w:val="0"/>
        <w:autoSpaceDN w:val="0"/>
        <w:rPr>
          <w:szCs w:val="22"/>
          <w:lang w:val="sr-Latn-ME"/>
        </w:rPr>
      </w:pPr>
      <w:r w:rsidRPr="00777B5C">
        <w:rPr>
          <w:szCs w:val="22"/>
          <w:lang w:val="sr-Latn-ME"/>
        </w:rPr>
        <w:t>Šta treba da znate prije nego što uzmete lijek Tigilin</w:t>
      </w:r>
    </w:p>
    <w:p w14:paraId="3A728475" w14:textId="25773873" w:rsidR="00EF4319" w:rsidRPr="00777B5C" w:rsidRDefault="00EF4319" w:rsidP="007B2FC3">
      <w:pPr>
        <w:widowControl w:val="0"/>
        <w:numPr>
          <w:ilvl w:val="0"/>
          <w:numId w:val="4"/>
        </w:numPr>
        <w:tabs>
          <w:tab w:val="clear" w:pos="284"/>
          <w:tab w:val="left" w:pos="569"/>
          <w:tab w:val="left" w:pos="600"/>
        </w:tabs>
        <w:autoSpaceDE w:val="0"/>
        <w:autoSpaceDN w:val="0"/>
        <w:rPr>
          <w:szCs w:val="22"/>
          <w:lang w:val="sr-Latn-ME"/>
        </w:rPr>
      </w:pPr>
      <w:r w:rsidRPr="00777B5C">
        <w:rPr>
          <w:szCs w:val="22"/>
          <w:lang w:val="sr-Latn-ME"/>
        </w:rPr>
        <w:t>Kako se upotrebljava lijek Tigilin</w:t>
      </w:r>
    </w:p>
    <w:p w14:paraId="56504F99" w14:textId="77777777" w:rsidR="00EF4319" w:rsidRPr="00777B5C" w:rsidRDefault="00EF4319" w:rsidP="007B2FC3">
      <w:pPr>
        <w:widowControl w:val="0"/>
        <w:numPr>
          <w:ilvl w:val="0"/>
          <w:numId w:val="4"/>
        </w:numPr>
        <w:tabs>
          <w:tab w:val="clear" w:pos="284"/>
          <w:tab w:val="left" w:pos="569"/>
          <w:tab w:val="left" w:pos="600"/>
        </w:tabs>
        <w:autoSpaceDE w:val="0"/>
        <w:autoSpaceDN w:val="0"/>
        <w:rPr>
          <w:szCs w:val="22"/>
          <w:lang w:val="sr-Latn-ME"/>
        </w:rPr>
      </w:pPr>
      <w:r w:rsidRPr="00777B5C">
        <w:rPr>
          <w:szCs w:val="22"/>
          <w:lang w:val="sr-Latn-ME"/>
        </w:rPr>
        <w:t xml:space="preserve">Moguća neželjena dejstva </w:t>
      </w:r>
    </w:p>
    <w:p w14:paraId="620A8B47" w14:textId="34191DFA" w:rsidR="00EF4319" w:rsidRPr="00777B5C" w:rsidRDefault="00EF4319" w:rsidP="007B2FC3">
      <w:pPr>
        <w:widowControl w:val="0"/>
        <w:numPr>
          <w:ilvl w:val="0"/>
          <w:numId w:val="4"/>
        </w:numPr>
        <w:tabs>
          <w:tab w:val="clear" w:pos="284"/>
          <w:tab w:val="left" w:pos="569"/>
          <w:tab w:val="left" w:pos="600"/>
        </w:tabs>
        <w:autoSpaceDE w:val="0"/>
        <w:autoSpaceDN w:val="0"/>
        <w:rPr>
          <w:szCs w:val="22"/>
          <w:lang w:val="sr-Latn-ME"/>
        </w:rPr>
      </w:pPr>
      <w:r w:rsidRPr="00777B5C">
        <w:rPr>
          <w:szCs w:val="22"/>
          <w:lang w:val="sr-Latn-ME"/>
        </w:rPr>
        <w:t>Kako čuvati lijek Tigilin</w:t>
      </w:r>
    </w:p>
    <w:p w14:paraId="498E15CF" w14:textId="77777777" w:rsidR="00EF4319" w:rsidRPr="00777B5C" w:rsidRDefault="00EF4319" w:rsidP="007B2FC3">
      <w:pPr>
        <w:widowControl w:val="0"/>
        <w:numPr>
          <w:ilvl w:val="0"/>
          <w:numId w:val="4"/>
        </w:numPr>
        <w:tabs>
          <w:tab w:val="clear" w:pos="284"/>
          <w:tab w:val="left" w:pos="569"/>
          <w:tab w:val="left" w:pos="600"/>
        </w:tabs>
        <w:autoSpaceDE w:val="0"/>
        <w:autoSpaceDN w:val="0"/>
        <w:rPr>
          <w:b/>
          <w:bCs/>
          <w:szCs w:val="22"/>
          <w:lang w:val="sr-Latn-ME"/>
        </w:rPr>
      </w:pPr>
      <w:r w:rsidRPr="00777B5C">
        <w:rPr>
          <w:szCs w:val="22"/>
          <w:lang w:val="sr-Latn-ME"/>
        </w:rPr>
        <w:t xml:space="preserve">Sadržaj pakovanja i dodatne informacije </w:t>
      </w:r>
    </w:p>
    <w:p w14:paraId="2BC54228" w14:textId="77777777" w:rsidR="00762652" w:rsidRPr="00777B5C" w:rsidRDefault="00762652" w:rsidP="0047765A">
      <w:pPr>
        <w:widowControl w:val="0"/>
        <w:tabs>
          <w:tab w:val="clear" w:pos="284"/>
        </w:tabs>
        <w:autoSpaceDE w:val="0"/>
        <w:autoSpaceDN w:val="0"/>
        <w:rPr>
          <w:noProof/>
          <w:szCs w:val="22"/>
          <w:lang w:val="sr-Latn-ME"/>
        </w:rPr>
      </w:pPr>
    </w:p>
    <w:p w14:paraId="2BC54229" w14:textId="77777777" w:rsidR="00762652" w:rsidRPr="00777B5C" w:rsidRDefault="00762652">
      <w:pPr>
        <w:rPr>
          <w:noProof/>
          <w:szCs w:val="22"/>
          <w:lang w:val="sr-Latn-ME"/>
        </w:rPr>
      </w:pPr>
      <w:r w:rsidRPr="00777B5C">
        <w:rPr>
          <w:noProof/>
          <w:szCs w:val="22"/>
          <w:lang w:val="sr-Latn-ME"/>
        </w:rPr>
        <w:br w:type="page"/>
      </w:r>
    </w:p>
    <w:p w14:paraId="3239C93F" w14:textId="384DCB93" w:rsidR="00EF4319" w:rsidRPr="00777B5C" w:rsidRDefault="00EF4319" w:rsidP="007B2FC3">
      <w:pPr>
        <w:tabs>
          <w:tab w:val="clear" w:pos="284"/>
          <w:tab w:val="left" w:pos="540"/>
          <w:tab w:val="left" w:pos="569"/>
        </w:tabs>
        <w:rPr>
          <w:b/>
          <w:bCs/>
          <w:szCs w:val="22"/>
          <w:lang w:val="sr-Latn-ME"/>
        </w:rPr>
      </w:pPr>
      <w:r w:rsidRPr="00777B5C">
        <w:rPr>
          <w:b/>
          <w:bCs/>
          <w:szCs w:val="22"/>
          <w:lang w:val="sr-Latn-ME"/>
        </w:rPr>
        <w:lastRenderedPageBreak/>
        <w:t xml:space="preserve">1. </w:t>
      </w:r>
      <w:r w:rsidRPr="00777B5C">
        <w:rPr>
          <w:b/>
          <w:bCs/>
          <w:szCs w:val="22"/>
          <w:lang w:val="sr-Latn-ME"/>
        </w:rPr>
        <w:tab/>
        <w:t>ŠTA JE LIJEK TIGILIN I ČEMU JE NAMIJENJEN</w:t>
      </w:r>
    </w:p>
    <w:p w14:paraId="462ABBE3" w14:textId="66732A5B" w:rsidR="008B3E06" w:rsidRPr="00777B5C" w:rsidRDefault="008B3E06" w:rsidP="0047765A">
      <w:p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L</w:t>
      </w:r>
      <w:r w:rsidR="00D96822" w:rsidRPr="00777B5C">
        <w:rPr>
          <w:rFonts w:eastAsia="TimesNewRoman"/>
          <w:szCs w:val="22"/>
          <w:lang w:val="sr-Latn-ME"/>
        </w:rPr>
        <w:t>ij</w:t>
      </w:r>
      <w:r w:rsidRPr="00777B5C">
        <w:rPr>
          <w:rFonts w:eastAsia="TimesNewRoman"/>
          <w:szCs w:val="22"/>
          <w:lang w:val="sr-Latn-ME"/>
        </w:rPr>
        <w:t>ek Tigilin je antibiotik iz grupe glicilciklina, koji d</w:t>
      </w:r>
      <w:r w:rsidR="00D96822" w:rsidRPr="00777B5C">
        <w:rPr>
          <w:rFonts w:eastAsia="TimesNewRoman"/>
          <w:szCs w:val="22"/>
          <w:lang w:val="sr-Latn-ME"/>
        </w:rPr>
        <w:t>j</w:t>
      </w:r>
      <w:r w:rsidRPr="00777B5C">
        <w:rPr>
          <w:rFonts w:eastAsia="TimesNewRoman"/>
          <w:szCs w:val="22"/>
          <w:lang w:val="sr-Latn-ME"/>
        </w:rPr>
        <w:t>eluje tako što zaustavlja rast bakterija koje dovode do infekcije.</w:t>
      </w:r>
    </w:p>
    <w:p w14:paraId="17C9055B" w14:textId="62A8E3D2" w:rsidR="008B3E06" w:rsidRPr="00777B5C" w:rsidRDefault="008B3E06">
      <w:p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L</w:t>
      </w:r>
      <w:r w:rsidR="00D96822" w:rsidRPr="00777B5C">
        <w:rPr>
          <w:rFonts w:eastAsia="TimesNewRoman"/>
          <w:szCs w:val="22"/>
          <w:lang w:val="sr-Latn-ME"/>
        </w:rPr>
        <w:t>j</w:t>
      </w:r>
      <w:r w:rsidRPr="00777B5C">
        <w:rPr>
          <w:rFonts w:eastAsia="TimesNewRoman"/>
          <w:szCs w:val="22"/>
          <w:lang w:val="sr-Latn-ME"/>
        </w:rPr>
        <w:t>ekar je propisao l</w:t>
      </w:r>
      <w:r w:rsidR="00D96822" w:rsidRPr="00777B5C">
        <w:rPr>
          <w:rFonts w:eastAsia="TimesNewRoman"/>
          <w:szCs w:val="22"/>
          <w:lang w:val="sr-Latn-ME"/>
        </w:rPr>
        <w:t>ij</w:t>
      </w:r>
      <w:r w:rsidRPr="00777B5C">
        <w:rPr>
          <w:rFonts w:eastAsia="TimesNewRoman"/>
          <w:szCs w:val="22"/>
          <w:lang w:val="sr-Latn-ME"/>
        </w:rPr>
        <w:t>ek Tigilin Vama ili Vašem d</w:t>
      </w:r>
      <w:r w:rsidR="00D96822" w:rsidRPr="00777B5C">
        <w:rPr>
          <w:rFonts w:eastAsia="TimesNewRoman"/>
          <w:szCs w:val="22"/>
          <w:lang w:val="sr-Latn-ME"/>
        </w:rPr>
        <w:t>j</w:t>
      </w:r>
      <w:r w:rsidRPr="00777B5C">
        <w:rPr>
          <w:rFonts w:eastAsia="TimesNewRoman"/>
          <w:szCs w:val="22"/>
          <w:lang w:val="sr-Latn-ME"/>
        </w:rPr>
        <w:t>etetu starijem od 8 godina u terapiji nekog od sl</w:t>
      </w:r>
      <w:r w:rsidR="00D96822" w:rsidRPr="00777B5C">
        <w:rPr>
          <w:rFonts w:eastAsia="TimesNewRoman"/>
          <w:szCs w:val="22"/>
          <w:lang w:val="sr-Latn-ME"/>
        </w:rPr>
        <w:t>j</w:t>
      </w:r>
      <w:r w:rsidRPr="00777B5C">
        <w:rPr>
          <w:rFonts w:eastAsia="TimesNewRoman"/>
          <w:szCs w:val="22"/>
          <w:lang w:val="sr-Latn-ME"/>
        </w:rPr>
        <w:t>edećih tipova ozbiljnih infekcija:</w:t>
      </w:r>
    </w:p>
    <w:p w14:paraId="54BD9EB2" w14:textId="53E87930" w:rsidR="00520060" w:rsidRPr="00777B5C" w:rsidRDefault="00520060">
      <w:pPr>
        <w:numPr>
          <w:ilvl w:val="0"/>
          <w:numId w:val="10"/>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k</w:t>
      </w:r>
      <w:r w:rsidR="008B3E06" w:rsidRPr="00777B5C">
        <w:rPr>
          <w:rFonts w:eastAsia="TimesNewRoman"/>
          <w:szCs w:val="22"/>
          <w:lang w:val="sr-Latn-ME"/>
        </w:rPr>
        <w:t>omplikovane infekcije kože i mekih tkiva (tkivo ispod kože)</w:t>
      </w:r>
      <w:r w:rsidRPr="00777B5C">
        <w:rPr>
          <w:rFonts w:eastAsia="TimesNewRoman"/>
          <w:szCs w:val="22"/>
          <w:lang w:val="sr-Latn-ME"/>
        </w:rPr>
        <w:t xml:space="preserve">, osim </w:t>
      </w:r>
      <w:r w:rsidR="008B3E06" w:rsidRPr="00777B5C">
        <w:rPr>
          <w:rFonts w:eastAsia="TimesNewRoman"/>
          <w:szCs w:val="22"/>
          <w:lang w:val="sr-Latn-ME"/>
        </w:rPr>
        <w:t>infekcije dijabetesnog stopala.</w:t>
      </w:r>
    </w:p>
    <w:p w14:paraId="28F5D3A4" w14:textId="36F6FD48" w:rsidR="008B3E06" w:rsidRPr="00777B5C" w:rsidRDefault="00520060">
      <w:pPr>
        <w:numPr>
          <w:ilvl w:val="0"/>
          <w:numId w:val="10"/>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k</w:t>
      </w:r>
      <w:r w:rsidR="008B3E06" w:rsidRPr="00777B5C">
        <w:rPr>
          <w:rFonts w:eastAsia="TimesNewRoman"/>
          <w:szCs w:val="22"/>
          <w:lang w:val="sr-Latn-ME"/>
        </w:rPr>
        <w:t>omplikovane infekcije trbuha.</w:t>
      </w:r>
    </w:p>
    <w:p w14:paraId="2BC5422B" w14:textId="1FAFC906" w:rsidR="00762652" w:rsidRPr="00777B5C" w:rsidRDefault="008B3E06">
      <w:pPr>
        <w:spacing w:before="120" w:after="120"/>
        <w:rPr>
          <w:rFonts w:eastAsia="TimesNewRoman"/>
          <w:szCs w:val="22"/>
          <w:lang w:val="sr-Latn-ME"/>
        </w:rPr>
      </w:pPr>
      <w:r w:rsidRPr="00777B5C">
        <w:rPr>
          <w:rFonts w:eastAsia="TimesNewRoman"/>
          <w:szCs w:val="22"/>
          <w:lang w:val="sr-Latn-ME"/>
        </w:rPr>
        <w:t>L</w:t>
      </w:r>
      <w:r w:rsidR="00D96822" w:rsidRPr="00777B5C">
        <w:rPr>
          <w:rFonts w:eastAsia="TimesNewRoman"/>
          <w:szCs w:val="22"/>
          <w:lang w:val="sr-Latn-ME"/>
        </w:rPr>
        <w:t>ij</w:t>
      </w:r>
      <w:r w:rsidRPr="00777B5C">
        <w:rPr>
          <w:rFonts w:eastAsia="TimesNewRoman"/>
          <w:szCs w:val="22"/>
          <w:lang w:val="sr-Latn-ME"/>
        </w:rPr>
        <w:t xml:space="preserve">ek </w:t>
      </w:r>
      <w:r w:rsidR="00520060" w:rsidRPr="00777B5C">
        <w:rPr>
          <w:rFonts w:eastAsia="TimesNewRoman"/>
          <w:szCs w:val="22"/>
          <w:lang w:val="sr-Latn-ME"/>
        </w:rPr>
        <w:t>Tigilin</w:t>
      </w:r>
      <w:r w:rsidRPr="00777B5C">
        <w:rPr>
          <w:rFonts w:eastAsia="TimesNewRoman"/>
          <w:szCs w:val="22"/>
          <w:lang w:val="sr-Latn-ME"/>
        </w:rPr>
        <w:t xml:space="preserve"> </w:t>
      </w:r>
      <w:r w:rsidR="00520060" w:rsidRPr="00777B5C">
        <w:rPr>
          <w:rFonts w:eastAsia="TimesNewRoman"/>
          <w:szCs w:val="22"/>
          <w:lang w:val="sr-Latn-ME"/>
        </w:rPr>
        <w:t>se</w:t>
      </w:r>
      <w:r w:rsidRPr="00777B5C">
        <w:rPr>
          <w:rFonts w:eastAsia="TimesNewRoman"/>
          <w:szCs w:val="22"/>
          <w:lang w:val="sr-Latn-ME"/>
        </w:rPr>
        <w:t xml:space="preserve"> koristi samo u situacijama kada Vaš l</w:t>
      </w:r>
      <w:r w:rsidR="00D96822" w:rsidRPr="00777B5C">
        <w:rPr>
          <w:rFonts w:eastAsia="TimesNewRoman"/>
          <w:szCs w:val="22"/>
          <w:lang w:val="sr-Latn-ME"/>
        </w:rPr>
        <w:t>j</w:t>
      </w:r>
      <w:r w:rsidRPr="00777B5C">
        <w:rPr>
          <w:rFonts w:eastAsia="TimesNewRoman"/>
          <w:szCs w:val="22"/>
          <w:lang w:val="sr-Latn-ME"/>
        </w:rPr>
        <w:t>ekar smatra da drugi antibiotici nisu pogodni.</w:t>
      </w:r>
    </w:p>
    <w:p w14:paraId="35BF9F7B" w14:textId="77777777" w:rsidR="00EF4319" w:rsidRPr="00777B5C" w:rsidRDefault="00EF4319">
      <w:pPr>
        <w:spacing w:before="120" w:after="120"/>
        <w:rPr>
          <w:noProof/>
          <w:szCs w:val="22"/>
          <w:lang w:val="sr-Latn-ME"/>
        </w:rPr>
      </w:pPr>
    </w:p>
    <w:p w14:paraId="19C81566" w14:textId="75D12BDB" w:rsidR="00EF4319" w:rsidRPr="00777B5C" w:rsidRDefault="00EF4319" w:rsidP="007B2FC3">
      <w:pPr>
        <w:tabs>
          <w:tab w:val="clear" w:pos="284"/>
          <w:tab w:val="left" w:pos="540"/>
          <w:tab w:val="left" w:pos="569"/>
        </w:tabs>
        <w:rPr>
          <w:b/>
          <w:caps/>
          <w:szCs w:val="22"/>
          <w:lang w:val="sr-Latn-ME"/>
        </w:rPr>
      </w:pPr>
      <w:r w:rsidRPr="00777B5C">
        <w:rPr>
          <w:b/>
          <w:bCs/>
          <w:szCs w:val="22"/>
          <w:lang w:val="sr-Latn-ME"/>
        </w:rPr>
        <w:t xml:space="preserve">2. </w:t>
      </w:r>
      <w:r w:rsidRPr="00777B5C">
        <w:rPr>
          <w:b/>
          <w:bCs/>
          <w:szCs w:val="22"/>
          <w:lang w:val="sr-Latn-ME"/>
        </w:rPr>
        <w:tab/>
      </w:r>
      <w:r w:rsidRPr="00777B5C">
        <w:rPr>
          <w:b/>
          <w:caps/>
          <w:szCs w:val="22"/>
          <w:lang w:val="sr-Latn-ME"/>
        </w:rPr>
        <w:t>Šta treba da znate prIJe nego što uzmete lIJek TIGILIN</w:t>
      </w:r>
    </w:p>
    <w:p w14:paraId="1AEA8A7D" w14:textId="748C55EF" w:rsidR="00520060" w:rsidRPr="00777B5C" w:rsidRDefault="00762652" w:rsidP="007B2FC3">
      <w:pPr>
        <w:pStyle w:val="NASLOV123"/>
        <w:jc w:val="both"/>
        <w:rPr>
          <w:caps/>
          <w:noProof/>
          <w:lang w:val="sr-Latn-ME"/>
        </w:rPr>
      </w:pPr>
      <w:r w:rsidRPr="00777B5C">
        <w:rPr>
          <w:noProof/>
          <w:lang w:val="sr-Latn-ME"/>
        </w:rPr>
        <w:t xml:space="preserve"> </w:t>
      </w:r>
      <w:r w:rsidR="00520060" w:rsidRPr="00777B5C">
        <w:rPr>
          <w:rFonts w:eastAsia="TimesNewRoman,Bold"/>
          <w:lang w:val="sr-Latn-ME"/>
        </w:rPr>
        <w:t>L</w:t>
      </w:r>
      <w:r w:rsidR="00D96822" w:rsidRPr="00777B5C">
        <w:rPr>
          <w:rFonts w:eastAsia="TimesNewRoman,Bold"/>
          <w:lang w:val="sr-Latn-ME"/>
        </w:rPr>
        <w:t>ij</w:t>
      </w:r>
      <w:r w:rsidR="00520060" w:rsidRPr="00777B5C">
        <w:rPr>
          <w:rFonts w:eastAsia="TimesNewRoman,Bold"/>
          <w:lang w:val="sr-Latn-ME"/>
        </w:rPr>
        <w:t>ek Tigilin ne sm</w:t>
      </w:r>
      <w:r w:rsidR="00D96822" w:rsidRPr="00777B5C">
        <w:rPr>
          <w:rFonts w:eastAsia="TimesNewRoman,Bold"/>
          <w:lang w:val="sr-Latn-ME"/>
        </w:rPr>
        <w:t>ij</w:t>
      </w:r>
      <w:r w:rsidR="00520060" w:rsidRPr="00777B5C">
        <w:rPr>
          <w:rFonts w:eastAsia="TimesNewRoman,Bold"/>
          <w:lang w:val="sr-Latn-ME"/>
        </w:rPr>
        <w:t xml:space="preserve">ete </w:t>
      </w:r>
      <w:r w:rsidR="00D96822" w:rsidRPr="00777B5C">
        <w:rPr>
          <w:rFonts w:eastAsia="TimesNewRoman,Bold"/>
          <w:lang w:val="sr-Latn-ME"/>
        </w:rPr>
        <w:t>koristiti</w:t>
      </w:r>
      <w:r w:rsidR="00520060" w:rsidRPr="00777B5C">
        <w:rPr>
          <w:rFonts w:eastAsia="TimesNewRoman,Bold"/>
          <w:lang w:val="sr-Latn-ME"/>
        </w:rPr>
        <w:t>:</w:t>
      </w:r>
    </w:p>
    <w:p w14:paraId="3C418ED7" w14:textId="54BA30AF" w:rsidR="00520060" w:rsidRPr="00777B5C" w:rsidRDefault="00520060" w:rsidP="0047765A">
      <w:pPr>
        <w:numPr>
          <w:ilvl w:val="0"/>
          <w:numId w:val="11"/>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ukoliko ste alergični (preos</w:t>
      </w:r>
      <w:r w:rsidR="00D96822" w:rsidRPr="00777B5C">
        <w:rPr>
          <w:rFonts w:eastAsia="TimesNewRoman"/>
          <w:szCs w:val="22"/>
          <w:lang w:val="sr-Latn-ME"/>
        </w:rPr>
        <w:t>j</w:t>
      </w:r>
      <w:r w:rsidRPr="00777B5C">
        <w:rPr>
          <w:rFonts w:eastAsia="TimesNewRoman"/>
          <w:szCs w:val="22"/>
          <w:lang w:val="sr-Latn-ME"/>
        </w:rPr>
        <w:t>etljivi) na tigeciklin ili bilo koju od pomoćnih supstanci ovog l</w:t>
      </w:r>
      <w:r w:rsidR="00D96822" w:rsidRPr="00777B5C">
        <w:rPr>
          <w:rFonts w:eastAsia="TimesNewRoman"/>
          <w:szCs w:val="22"/>
          <w:lang w:val="sr-Latn-ME"/>
        </w:rPr>
        <w:t>ij</w:t>
      </w:r>
      <w:r w:rsidRPr="00777B5C">
        <w:rPr>
          <w:rFonts w:eastAsia="TimesNewRoman"/>
          <w:szCs w:val="22"/>
          <w:lang w:val="sr-Latn-ME"/>
        </w:rPr>
        <w:t xml:space="preserve">eka (navedene u </w:t>
      </w:r>
      <w:r w:rsidR="00D96822" w:rsidRPr="00777B5C">
        <w:rPr>
          <w:rFonts w:eastAsia="TimesNewRoman"/>
          <w:szCs w:val="22"/>
          <w:lang w:val="sr-Latn-ME"/>
        </w:rPr>
        <w:t>dijelu</w:t>
      </w:r>
      <w:r w:rsidRPr="00777B5C">
        <w:rPr>
          <w:rFonts w:eastAsia="TimesNewRoman"/>
          <w:szCs w:val="22"/>
          <w:lang w:val="sr-Latn-ME"/>
        </w:rPr>
        <w:t xml:space="preserve"> 6). Ukoliko ste alergični na antibiotike iz grupe tetraciklina (npr. minociklin, doksiciklin, itd.), možete biti alergični na tigeciklin.</w:t>
      </w:r>
    </w:p>
    <w:p w14:paraId="3A1192F7" w14:textId="05EA9999" w:rsidR="00520060" w:rsidRPr="00777B5C" w:rsidRDefault="00520060">
      <w:pPr>
        <w:tabs>
          <w:tab w:val="clear" w:pos="284"/>
        </w:tabs>
        <w:autoSpaceDE w:val="0"/>
        <w:autoSpaceDN w:val="0"/>
        <w:adjustRightInd w:val="0"/>
        <w:spacing w:before="120" w:after="120"/>
        <w:rPr>
          <w:rFonts w:eastAsia="TimesNewRoman,Bold"/>
          <w:b/>
          <w:bCs/>
          <w:szCs w:val="22"/>
          <w:lang w:val="sr-Latn-ME"/>
        </w:rPr>
      </w:pPr>
      <w:r w:rsidRPr="00777B5C">
        <w:rPr>
          <w:rFonts w:eastAsia="TimesNewRoman,Bold"/>
          <w:b/>
          <w:bCs/>
          <w:szCs w:val="22"/>
          <w:lang w:val="sr-Latn-ME"/>
        </w:rPr>
        <w:t>Upozorenja i m</w:t>
      </w:r>
      <w:r w:rsidR="00D96822" w:rsidRPr="00777B5C">
        <w:rPr>
          <w:rFonts w:eastAsia="TimesNewRoman,Bold"/>
          <w:b/>
          <w:bCs/>
          <w:szCs w:val="22"/>
          <w:lang w:val="sr-Latn-ME"/>
        </w:rPr>
        <w:t>j</w:t>
      </w:r>
      <w:r w:rsidRPr="00777B5C">
        <w:rPr>
          <w:rFonts w:eastAsia="TimesNewRoman,Bold"/>
          <w:b/>
          <w:bCs/>
          <w:szCs w:val="22"/>
          <w:lang w:val="sr-Latn-ME"/>
        </w:rPr>
        <w:t>ere opreza:</w:t>
      </w:r>
    </w:p>
    <w:p w14:paraId="4F3FE4CC" w14:textId="58902B51" w:rsidR="00520060" w:rsidRPr="00777B5C" w:rsidRDefault="00520060">
      <w:pPr>
        <w:tabs>
          <w:tab w:val="clear" w:pos="284"/>
        </w:tabs>
        <w:autoSpaceDE w:val="0"/>
        <w:autoSpaceDN w:val="0"/>
        <w:adjustRightInd w:val="0"/>
        <w:spacing w:before="120" w:after="120"/>
        <w:rPr>
          <w:rFonts w:eastAsia="TimesNewRoman,Bold"/>
          <w:b/>
          <w:bCs/>
          <w:szCs w:val="22"/>
          <w:lang w:val="sr-Latn-ME"/>
        </w:rPr>
      </w:pPr>
      <w:r w:rsidRPr="00777B5C">
        <w:rPr>
          <w:rFonts w:eastAsia="TimesNewRoman,Bold"/>
          <w:b/>
          <w:bCs/>
          <w:szCs w:val="22"/>
          <w:lang w:val="sr-Latn-ME"/>
        </w:rPr>
        <w:t>Razgovarajte sa Vašim l</w:t>
      </w:r>
      <w:r w:rsidR="00D96822" w:rsidRPr="00777B5C">
        <w:rPr>
          <w:rFonts w:eastAsia="TimesNewRoman,Bold"/>
          <w:b/>
          <w:bCs/>
          <w:szCs w:val="22"/>
          <w:lang w:val="sr-Latn-ME"/>
        </w:rPr>
        <w:t>j</w:t>
      </w:r>
      <w:r w:rsidRPr="00777B5C">
        <w:rPr>
          <w:rFonts w:eastAsia="TimesNewRoman,Bold"/>
          <w:b/>
          <w:bCs/>
          <w:szCs w:val="22"/>
          <w:lang w:val="sr-Latn-ME"/>
        </w:rPr>
        <w:t>ekarom ili medicinskom sestrom pr</w:t>
      </w:r>
      <w:r w:rsidR="00D96822" w:rsidRPr="00777B5C">
        <w:rPr>
          <w:rFonts w:eastAsia="TimesNewRoman,Bold"/>
          <w:b/>
          <w:bCs/>
          <w:szCs w:val="22"/>
          <w:lang w:val="sr-Latn-ME"/>
        </w:rPr>
        <w:t>ij</w:t>
      </w:r>
      <w:r w:rsidRPr="00777B5C">
        <w:rPr>
          <w:rFonts w:eastAsia="TimesNewRoman,Bold"/>
          <w:b/>
          <w:bCs/>
          <w:szCs w:val="22"/>
          <w:lang w:val="sr-Latn-ME"/>
        </w:rPr>
        <w:t>e prim</w:t>
      </w:r>
      <w:r w:rsidR="00D96822" w:rsidRPr="00777B5C">
        <w:rPr>
          <w:rFonts w:eastAsia="TimesNewRoman,Bold"/>
          <w:b/>
          <w:bCs/>
          <w:szCs w:val="22"/>
          <w:lang w:val="sr-Latn-ME"/>
        </w:rPr>
        <w:t>j</w:t>
      </w:r>
      <w:r w:rsidRPr="00777B5C">
        <w:rPr>
          <w:rFonts w:eastAsia="TimesNewRoman,Bold"/>
          <w:b/>
          <w:bCs/>
          <w:szCs w:val="22"/>
          <w:lang w:val="sr-Latn-ME"/>
        </w:rPr>
        <w:t>ene l</w:t>
      </w:r>
      <w:r w:rsidR="00D96822" w:rsidRPr="00777B5C">
        <w:rPr>
          <w:rFonts w:eastAsia="TimesNewRoman,Bold"/>
          <w:b/>
          <w:bCs/>
          <w:szCs w:val="22"/>
          <w:lang w:val="sr-Latn-ME"/>
        </w:rPr>
        <w:t>ij</w:t>
      </w:r>
      <w:r w:rsidRPr="00777B5C">
        <w:rPr>
          <w:rFonts w:eastAsia="TimesNewRoman,Bold"/>
          <w:b/>
          <w:bCs/>
          <w:szCs w:val="22"/>
          <w:lang w:val="sr-Latn-ME"/>
        </w:rPr>
        <w:t>eka Tigilin:</w:t>
      </w:r>
    </w:p>
    <w:p w14:paraId="3DF3DFBF" w14:textId="5737CA71" w:rsidR="00520060" w:rsidRPr="00777B5C" w:rsidRDefault="0053181A">
      <w:pPr>
        <w:numPr>
          <w:ilvl w:val="0"/>
          <w:numId w:val="11"/>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a</w:t>
      </w:r>
      <w:r w:rsidR="00520060" w:rsidRPr="00777B5C">
        <w:rPr>
          <w:rFonts w:eastAsia="TimesNewRoman"/>
          <w:szCs w:val="22"/>
          <w:lang w:val="sr-Latn-ME"/>
        </w:rPr>
        <w:t>ko Vam rane slabo ili sporo zarastaju</w:t>
      </w:r>
      <w:r w:rsidRPr="00777B5C">
        <w:rPr>
          <w:rFonts w:eastAsia="TimesNewRoman"/>
          <w:szCs w:val="22"/>
          <w:lang w:val="sr-Latn-ME"/>
        </w:rPr>
        <w:t>;</w:t>
      </w:r>
    </w:p>
    <w:p w14:paraId="10EA802F" w14:textId="47D4625D" w:rsidR="00520060" w:rsidRPr="00777B5C" w:rsidRDefault="0053181A">
      <w:pPr>
        <w:numPr>
          <w:ilvl w:val="0"/>
          <w:numId w:val="11"/>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a</w:t>
      </w:r>
      <w:r w:rsidR="00520060" w:rsidRPr="00777B5C">
        <w:rPr>
          <w:rFonts w:eastAsia="TimesNewRoman"/>
          <w:szCs w:val="22"/>
          <w:lang w:val="sr-Latn-ME"/>
        </w:rPr>
        <w:t>ko ste imali proliv pr</w:t>
      </w:r>
      <w:r w:rsidR="00D96822" w:rsidRPr="00777B5C">
        <w:rPr>
          <w:rFonts w:eastAsia="TimesNewRoman"/>
          <w:szCs w:val="22"/>
          <w:lang w:val="sr-Latn-ME"/>
        </w:rPr>
        <w:t>ij</w:t>
      </w:r>
      <w:r w:rsidR="00520060" w:rsidRPr="00777B5C">
        <w:rPr>
          <w:rFonts w:eastAsia="TimesNewRoman"/>
          <w:szCs w:val="22"/>
          <w:lang w:val="sr-Latn-ME"/>
        </w:rPr>
        <w:t>e prim</w:t>
      </w:r>
      <w:r w:rsidR="00D96822" w:rsidRPr="00777B5C">
        <w:rPr>
          <w:rFonts w:eastAsia="TimesNewRoman"/>
          <w:szCs w:val="22"/>
          <w:lang w:val="sr-Latn-ME"/>
        </w:rPr>
        <w:t>j</w:t>
      </w:r>
      <w:r w:rsidR="00520060" w:rsidRPr="00777B5C">
        <w:rPr>
          <w:rFonts w:eastAsia="TimesNewRoman"/>
          <w:szCs w:val="22"/>
          <w:lang w:val="sr-Latn-ME"/>
        </w:rPr>
        <w:t>ene l</w:t>
      </w:r>
      <w:r w:rsidR="00D96822" w:rsidRPr="00777B5C">
        <w:rPr>
          <w:rFonts w:eastAsia="TimesNewRoman"/>
          <w:szCs w:val="22"/>
          <w:lang w:val="sr-Latn-ME"/>
        </w:rPr>
        <w:t>ij</w:t>
      </w:r>
      <w:r w:rsidR="00520060" w:rsidRPr="00777B5C">
        <w:rPr>
          <w:rFonts w:eastAsia="TimesNewRoman"/>
          <w:szCs w:val="22"/>
          <w:lang w:val="sr-Latn-ME"/>
        </w:rPr>
        <w:t xml:space="preserve">eka </w:t>
      </w:r>
      <w:r w:rsidRPr="00777B5C">
        <w:rPr>
          <w:rFonts w:eastAsia="TimesNewRoman"/>
          <w:szCs w:val="22"/>
          <w:lang w:val="sr-Latn-ME"/>
        </w:rPr>
        <w:t>Tigilin</w:t>
      </w:r>
      <w:r w:rsidR="00520060" w:rsidRPr="00777B5C">
        <w:rPr>
          <w:rFonts w:eastAsia="TimesNewRoman"/>
          <w:szCs w:val="22"/>
          <w:lang w:val="sr-Latn-ME"/>
        </w:rPr>
        <w:t>. Ukoliko Va</w:t>
      </w:r>
      <w:r w:rsidRPr="00777B5C">
        <w:rPr>
          <w:rFonts w:eastAsia="TimesNewRoman"/>
          <w:szCs w:val="22"/>
          <w:lang w:val="sr-Latn-ME"/>
        </w:rPr>
        <w:t>m se javi</w:t>
      </w:r>
      <w:r w:rsidR="00520060" w:rsidRPr="00777B5C">
        <w:rPr>
          <w:rFonts w:eastAsia="TimesNewRoman"/>
          <w:szCs w:val="22"/>
          <w:lang w:val="sr-Latn-ME"/>
        </w:rPr>
        <w:t xml:space="preserve"> proliv za vr</w:t>
      </w:r>
      <w:r w:rsidR="00D96822" w:rsidRPr="00777B5C">
        <w:rPr>
          <w:rFonts w:eastAsia="TimesNewRoman"/>
          <w:szCs w:val="22"/>
          <w:lang w:val="sr-Latn-ME"/>
        </w:rPr>
        <w:t>ij</w:t>
      </w:r>
      <w:r w:rsidR="00520060" w:rsidRPr="00777B5C">
        <w:rPr>
          <w:rFonts w:eastAsia="TimesNewRoman"/>
          <w:szCs w:val="22"/>
          <w:lang w:val="sr-Latn-ME"/>
        </w:rPr>
        <w:t>eme ili nakon terapije, odmah se obratite l</w:t>
      </w:r>
      <w:r w:rsidR="00D96822" w:rsidRPr="00777B5C">
        <w:rPr>
          <w:rFonts w:eastAsia="TimesNewRoman"/>
          <w:szCs w:val="22"/>
          <w:lang w:val="sr-Latn-ME"/>
        </w:rPr>
        <w:t>j</w:t>
      </w:r>
      <w:r w:rsidR="00520060" w:rsidRPr="00777B5C">
        <w:rPr>
          <w:rFonts w:eastAsia="TimesNewRoman"/>
          <w:szCs w:val="22"/>
          <w:lang w:val="sr-Latn-ME"/>
        </w:rPr>
        <w:t>ekaru. Nemojte da uzimate nikakve l</w:t>
      </w:r>
      <w:r w:rsidR="00D96822" w:rsidRPr="00777B5C">
        <w:rPr>
          <w:rFonts w:eastAsia="TimesNewRoman"/>
          <w:szCs w:val="22"/>
          <w:lang w:val="sr-Latn-ME"/>
        </w:rPr>
        <w:t>j</w:t>
      </w:r>
      <w:r w:rsidR="00520060" w:rsidRPr="00777B5C">
        <w:rPr>
          <w:rFonts w:eastAsia="TimesNewRoman"/>
          <w:szCs w:val="22"/>
          <w:lang w:val="sr-Latn-ME"/>
        </w:rPr>
        <w:t>ekove protiv proliva bez prethodne konsultacije sa l</w:t>
      </w:r>
      <w:r w:rsidR="00D96822" w:rsidRPr="00777B5C">
        <w:rPr>
          <w:rFonts w:eastAsia="TimesNewRoman"/>
          <w:szCs w:val="22"/>
          <w:lang w:val="sr-Latn-ME"/>
        </w:rPr>
        <w:t>j</w:t>
      </w:r>
      <w:r w:rsidR="00520060" w:rsidRPr="00777B5C">
        <w:rPr>
          <w:rFonts w:eastAsia="TimesNewRoman"/>
          <w:szCs w:val="22"/>
          <w:lang w:val="sr-Latn-ME"/>
        </w:rPr>
        <w:t>ekarom.</w:t>
      </w:r>
    </w:p>
    <w:p w14:paraId="01A497D2" w14:textId="46C4CD4D" w:rsidR="00520060" w:rsidRPr="00777B5C" w:rsidRDefault="0053181A">
      <w:pPr>
        <w:numPr>
          <w:ilvl w:val="0"/>
          <w:numId w:val="11"/>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a</w:t>
      </w:r>
      <w:r w:rsidR="00520060" w:rsidRPr="00777B5C">
        <w:rPr>
          <w:rFonts w:eastAsia="TimesNewRoman"/>
          <w:szCs w:val="22"/>
          <w:lang w:val="sr-Latn-ME"/>
        </w:rPr>
        <w:t>ko imate ili ste ranije imali bilo kakve neželjene reakcije kada ste koristili antibiotike iz grupe tetraciklina (npr. os</w:t>
      </w:r>
      <w:r w:rsidR="00D96822" w:rsidRPr="00777B5C">
        <w:rPr>
          <w:rFonts w:eastAsia="TimesNewRoman"/>
          <w:szCs w:val="22"/>
          <w:lang w:val="sr-Latn-ME"/>
        </w:rPr>
        <w:t>j</w:t>
      </w:r>
      <w:r w:rsidR="00520060" w:rsidRPr="00777B5C">
        <w:rPr>
          <w:rFonts w:eastAsia="TimesNewRoman"/>
          <w:szCs w:val="22"/>
          <w:lang w:val="sr-Latn-ME"/>
        </w:rPr>
        <w:t>etljivost na sunčevu sv</w:t>
      </w:r>
      <w:r w:rsidR="00D96822" w:rsidRPr="00777B5C">
        <w:rPr>
          <w:rFonts w:eastAsia="TimesNewRoman"/>
          <w:szCs w:val="22"/>
          <w:lang w:val="sr-Latn-ME"/>
        </w:rPr>
        <w:t>j</w:t>
      </w:r>
      <w:r w:rsidR="00520060" w:rsidRPr="00777B5C">
        <w:rPr>
          <w:rFonts w:eastAsia="TimesNewRoman"/>
          <w:szCs w:val="22"/>
          <w:lang w:val="sr-Latn-ME"/>
        </w:rPr>
        <w:t>etlost, prom</w:t>
      </w:r>
      <w:r w:rsidR="00D96822" w:rsidRPr="00777B5C">
        <w:rPr>
          <w:rFonts w:eastAsia="TimesNewRoman"/>
          <w:szCs w:val="22"/>
          <w:lang w:val="sr-Latn-ME"/>
        </w:rPr>
        <w:t>j</w:t>
      </w:r>
      <w:r w:rsidR="00520060" w:rsidRPr="00777B5C">
        <w:rPr>
          <w:rFonts w:eastAsia="TimesNewRoman"/>
          <w:szCs w:val="22"/>
          <w:lang w:val="sr-Latn-ME"/>
        </w:rPr>
        <w:t>ena boje zuba u razvoju, zapaljenje pankreasa, prom</w:t>
      </w:r>
      <w:r w:rsidR="00D96822" w:rsidRPr="00777B5C">
        <w:rPr>
          <w:rFonts w:eastAsia="TimesNewRoman"/>
          <w:szCs w:val="22"/>
          <w:lang w:val="sr-Latn-ME"/>
        </w:rPr>
        <w:t>j</w:t>
      </w:r>
      <w:r w:rsidR="00520060" w:rsidRPr="00777B5C">
        <w:rPr>
          <w:rFonts w:eastAsia="TimesNewRoman"/>
          <w:szCs w:val="22"/>
          <w:lang w:val="sr-Latn-ME"/>
        </w:rPr>
        <w:t>ena određenih laboratorijskih nalaza zgrušavanja krvi)</w:t>
      </w:r>
      <w:r w:rsidR="00E4314A" w:rsidRPr="00777B5C">
        <w:rPr>
          <w:rFonts w:eastAsia="TimesNewRoman"/>
          <w:szCs w:val="22"/>
          <w:lang w:val="sr-Latn-ME"/>
        </w:rPr>
        <w:t>;</w:t>
      </w:r>
    </w:p>
    <w:p w14:paraId="53C1551D" w14:textId="78A702C2" w:rsidR="00520060" w:rsidRPr="00777B5C" w:rsidRDefault="0053181A">
      <w:pPr>
        <w:numPr>
          <w:ilvl w:val="0"/>
          <w:numId w:val="11"/>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a</w:t>
      </w:r>
      <w:r w:rsidR="00520060" w:rsidRPr="00777B5C">
        <w:rPr>
          <w:rFonts w:eastAsia="TimesNewRoman"/>
          <w:szCs w:val="22"/>
          <w:lang w:val="sr-Latn-ME"/>
        </w:rPr>
        <w:t>ko imate, ili ste ranije imali problema sa jetrom. U zavisnosti od stanja Vaše jetre, l</w:t>
      </w:r>
      <w:r w:rsidR="00D96822" w:rsidRPr="00777B5C">
        <w:rPr>
          <w:rFonts w:eastAsia="TimesNewRoman"/>
          <w:szCs w:val="22"/>
          <w:lang w:val="sr-Latn-ME"/>
        </w:rPr>
        <w:t>j</w:t>
      </w:r>
      <w:r w:rsidR="00520060" w:rsidRPr="00777B5C">
        <w:rPr>
          <w:rFonts w:eastAsia="TimesNewRoman"/>
          <w:szCs w:val="22"/>
          <w:lang w:val="sr-Latn-ME"/>
        </w:rPr>
        <w:t>ekar može smanjiti dozu l</w:t>
      </w:r>
      <w:r w:rsidR="00D96822" w:rsidRPr="00777B5C">
        <w:rPr>
          <w:rFonts w:eastAsia="TimesNewRoman"/>
          <w:szCs w:val="22"/>
          <w:lang w:val="sr-Latn-ME"/>
        </w:rPr>
        <w:t>ij</w:t>
      </w:r>
      <w:r w:rsidR="00520060" w:rsidRPr="00777B5C">
        <w:rPr>
          <w:rFonts w:eastAsia="TimesNewRoman"/>
          <w:szCs w:val="22"/>
          <w:lang w:val="sr-Latn-ME"/>
        </w:rPr>
        <w:t>eka</w:t>
      </w:r>
      <w:r w:rsidR="00E4314A" w:rsidRPr="00777B5C">
        <w:rPr>
          <w:rFonts w:eastAsia="TimesNewRoman"/>
          <w:szCs w:val="22"/>
          <w:lang w:val="sr-Latn-ME"/>
        </w:rPr>
        <w:t>,</w:t>
      </w:r>
      <w:r w:rsidR="00520060" w:rsidRPr="00777B5C">
        <w:rPr>
          <w:rFonts w:eastAsia="TimesNewRoman"/>
          <w:szCs w:val="22"/>
          <w:lang w:val="sr-Latn-ME"/>
        </w:rPr>
        <w:t xml:space="preserve"> kako bi se izb</w:t>
      </w:r>
      <w:r w:rsidR="00D96822" w:rsidRPr="00777B5C">
        <w:rPr>
          <w:rFonts w:eastAsia="TimesNewRoman"/>
          <w:szCs w:val="22"/>
          <w:lang w:val="sr-Latn-ME"/>
        </w:rPr>
        <w:t>j</w:t>
      </w:r>
      <w:r w:rsidR="00520060" w:rsidRPr="00777B5C">
        <w:rPr>
          <w:rFonts w:eastAsia="TimesNewRoman"/>
          <w:szCs w:val="22"/>
          <w:lang w:val="sr-Latn-ME"/>
        </w:rPr>
        <w:t>egle eventualne neželjene reakcije.</w:t>
      </w:r>
    </w:p>
    <w:p w14:paraId="41436D63" w14:textId="376235AF" w:rsidR="00520060" w:rsidRPr="00777B5C" w:rsidRDefault="0053181A">
      <w:pPr>
        <w:numPr>
          <w:ilvl w:val="0"/>
          <w:numId w:val="11"/>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a</w:t>
      </w:r>
      <w:r w:rsidR="00520060" w:rsidRPr="00777B5C">
        <w:rPr>
          <w:rFonts w:eastAsia="TimesNewRoman"/>
          <w:szCs w:val="22"/>
          <w:lang w:val="sr-Latn-ME"/>
        </w:rPr>
        <w:t>ko imate opstrukciju žućnih puteva (holestaza)</w:t>
      </w:r>
      <w:r w:rsidR="00E4314A" w:rsidRPr="00777B5C">
        <w:rPr>
          <w:rFonts w:eastAsia="TimesNewRoman"/>
          <w:szCs w:val="22"/>
          <w:lang w:val="sr-Latn-ME"/>
        </w:rPr>
        <w:t>;</w:t>
      </w:r>
    </w:p>
    <w:p w14:paraId="4DB24760" w14:textId="1AA19DB5" w:rsidR="00E4314A" w:rsidRPr="00777B5C" w:rsidRDefault="00E4314A">
      <w:pPr>
        <w:numPr>
          <w:ilvl w:val="0"/>
          <w:numId w:val="11"/>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ako imate poremećaj krvarenja ili koristite antikoagulantne l</w:t>
      </w:r>
      <w:r w:rsidR="00D96822" w:rsidRPr="00777B5C">
        <w:rPr>
          <w:rFonts w:eastAsia="TimesNewRoman"/>
          <w:szCs w:val="22"/>
          <w:lang w:val="sr-Latn-ME"/>
        </w:rPr>
        <w:t>j</w:t>
      </w:r>
      <w:r w:rsidRPr="00777B5C">
        <w:rPr>
          <w:rFonts w:eastAsia="TimesNewRoman"/>
          <w:szCs w:val="22"/>
          <w:lang w:val="sr-Latn-ME"/>
        </w:rPr>
        <w:t>ekove, pošto ovaj l</w:t>
      </w:r>
      <w:r w:rsidR="00D96822" w:rsidRPr="00777B5C">
        <w:rPr>
          <w:rFonts w:eastAsia="TimesNewRoman"/>
          <w:szCs w:val="22"/>
          <w:lang w:val="sr-Latn-ME"/>
        </w:rPr>
        <w:t>ij</w:t>
      </w:r>
      <w:r w:rsidRPr="00777B5C">
        <w:rPr>
          <w:rFonts w:eastAsia="TimesNewRoman"/>
          <w:szCs w:val="22"/>
          <w:lang w:val="sr-Latn-ME"/>
        </w:rPr>
        <w:t>ek može uticati na procese koagulacije krvi.</w:t>
      </w:r>
    </w:p>
    <w:p w14:paraId="2BC5422D" w14:textId="138CFD2E" w:rsidR="00762652" w:rsidRPr="00777B5C" w:rsidRDefault="00520060">
      <w:pPr>
        <w:spacing w:before="120" w:after="120"/>
        <w:rPr>
          <w:noProof/>
          <w:szCs w:val="22"/>
          <w:lang w:val="sr-Latn-ME"/>
        </w:rPr>
      </w:pPr>
      <w:r w:rsidRPr="00777B5C">
        <w:rPr>
          <w:rFonts w:eastAsia="TimesNewRoman,Bold"/>
          <w:b/>
          <w:bCs/>
          <w:szCs w:val="22"/>
          <w:lang w:val="sr-Latn-ME"/>
        </w:rPr>
        <w:t>Tokom l</w:t>
      </w:r>
      <w:r w:rsidR="00D96822" w:rsidRPr="00777B5C">
        <w:rPr>
          <w:rFonts w:eastAsia="TimesNewRoman,Bold"/>
          <w:b/>
          <w:bCs/>
          <w:szCs w:val="22"/>
          <w:lang w:val="sr-Latn-ME"/>
        </w:rPr>
        <w:t>ij</w:t>
      </w:r>
      <w:r w:rsidRPr="00777B5C">
        <w:rPr>
          <w:rFonts w:eastAsia="TimesNewRoman,Bold"/>
          <w:b/>
          <w:bCs/>
          <w:szCs w:val="22"/>
          <w:lang w:val="sr-Latn-ME"/>
        </w:rPr>
        <w:t>ečenja l</w:t>
      </w:r>
      <w:r w:rsidR="00D96822" w:rsidRPr="00777B5C">
        <w:rPr>
          <w:rFonts w:eastAsia="TimesNewRoman,Bold"/>
          <w:b/>
          <w:bCs/>
          <w:szCs w:val="22"/>
          <w:lang w:val="sr-Latn-ME"/>
        </w:rPr>
        <w:t>ij</w:t>
      </w:r>
      <w:r w:rsidRPr="00777B5C">
        <w:rPr>
          <w:rFonts w:eastAsia="TimesNewRoman,Bold"/>
          <w:b/>
          <w:bCs/>
          <w:szCs w:val="22"/>
          <w:lang w:val="sr-Latn-ME"/>
        </w:rPr>
        <w:t xml:space="preserve">ekom </w:t>
      </w:r>
      <w:r w:rsidR="00E4314A" w:rsidRPr="00777B5C">
        <w:rPr>
          <w:rFonts w:eastAsia="TimesNewRoman,Bold"/>
          <w:b/>
          <w:bCs/>
          <w:szCs w:val="22"/>
          <w:lang w:val="sr-Latn-ME"/>
        </w:rPr>
        <w:t>Tigilin</w:t>
      </w:r>
      <w:r w:rsidRPr="00777B5C">
        <w:rPr>
          <w:rFonts w:eastAsia="TimesNewRoman,Bold"/>
          <w:b/>
          <w:bCs/>
          <w:szCs w:val="22"/>
          <w:lang w:val="sr-Latn-ME"/>
        </w:rPr>
        <w:t>:</w:t>
      </w:r>
    </w:p>
    <w:p w14:paraId="53CFA374" w14:textId="22D98BD4" w:rsidR="00E4314A" w:rsidRPr="00777B5C" w:rsidRDefault="00E4314A">
      <w:pPr>
        <w:numPr>
          <w:ilvl w:val="0"/>
          <w:numId w:val="12"/>
        </w:num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odmah se obratite l</w:t>
      </w:r>
      <w:r w:rsidR="00D96822" w:rsidRPr="00777B5C">
        <w:rPr>
          <w:rFonts w:eastAsia="TimesNewRoman"/>
          <w:noProof/>
          <w:szCs w:val="22"/>
          <w:lang w:val="sr-Latn-ME"/>
        </w:rPr>
        <w:t>j</w:t>
      </w:r>
      <w:r w:rsidRPr="00777B5C">
        <w:rPr>
          <w:rFonts w:eastAsia="TimesNewRoman"/>
          <w:noProof/>
          <w:szCs w:val="22"/>
          <w:lang w:val="sr-Latn-ME"/>
        </w:rPr>
        <w:t>ekaru ukoliko se kod Vas pojave simptomi alergijske reakcije</w:t>
      </w:r>
      <w:r w:rsidR="00334EEC" w:rsidRPr="00777B5C">
        <w:rPr>
          <w:rFonts w:eastAsia="TimesNewRoman"/>
          <w:noProof/>
          <w:szCs w:val="22"/>
          <w:lang w:val="sr-Latn-ME"/>
        </w:rPr>
        <w:t>;</w:t>
      </w:r>
    </w:p>
    <w:p w14:paraId="77E60CE8" w14:textId="0ED60DC0" w:rsidR="00E4314A" w:rsidRPr="00777B5C" w:rsidRDefault="00E4314A">
      <w:pPr>
        <w:numPr>
          <w:ilvl w:val="0"/>
          <w:numId w:val="12"/>
        </w:num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odmah se obratite Vašem l</w:t>
      </w:r>
      <w:r w:rsidR="00D96822" w:rsidRPr="00777B5C">
        <w:rPr>
          <w:rFonts w:eastAsia="TimesNewRoman"/>
          <w:noProof/>
          <w:szCs w:val="22"/>
          <w:lang w:val="sr-Latn-ME"/>
        </w:rPr>
        <w:t>j</w:t>
      </w:r>
      <w:r w:rsidRPr="00777B5C">
        <w:rPr>
          <w:rFonts w:eastAsia="TimesNewRoman"/>
          <w:noProof/>
          <w:szCs w:val="22"/>
          <w:lang w:val="sr-Latn-ME"/>
        </w:rPr>
        <w:t>ekaru ukoliko se kod Vas javi jak bol u trbuhu, mučnina i povraćanje. Ovo mogu biti simptomi akutnog pankreatitisa (zapaljenje pankreasa koje može dovesti do jakog bola u trbuhu, mučnine i povraćanja).</w:t>
      </w:r>
    </w:p>
    <w:p w14:paraId="3BEFA28B" w14:textId="02188D49" w:rsidR="00E4314A" w:rsidRPr="00777B5C" w:rsidRDefault="00E4314A">
      <w:pPr>
        <w:numPr>
          <w:ilvl w:val="0"/>
          <w:numId w:val="12"/>
        </w:num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kod određenih ozbiljnih infekcija, l</w:t>
      </w:r>
      <w:r w:rsidR="00D96822" w:rsidRPr="00777B5C">
        <w:rPr>
          <w:rFonts w:eastAsia="TimesNewRoman"/>
          <w:noProof/>
          <w:szCs w:val="22"/>
          <w:lang w:val="sr-Latn-ME"/>
        </w:rPr>
        <w:t>j</w:t>
      </w:r>
      <w:r w:rsidRPr="00777B5C">
        <w:rPr>
          <w:rFonts w:eastAsia="TimesNewRoman"/>
          <w:noProof/>
          <w:szCs w:val="22"/>
          <w:lang w:val="sr-Latn-ME"/>
        </w:rPr>
        <w:t>ekar Vam može propisati l</w:t>
      </w:r>
      <w:r w:rsidR="00D96822" w:rsidRPr="00777B5C">
        <w:rPr>
          <w:rFonts w:eastAsia="TimesNewRoman"/>
          <w:noProof/>
          <w:szCs w:val="22"/>
          <w:lang w:val="sr-Latn-ME"/>
        </w:rPr>
        <w:t>ij</w:t>
      </w:r>
      <w:r w:rsidRPr="00777B5C">
        <w:rPr>
          <w:rFonts w:eastAsia="TimesNewRoman"/>
          <w:noProof/>
          <w:szCs w:val="22"/>
          <w:lang w:val="sr-Latn-ME"/>
        </w:rPr>
        <w:t xml:space="preserve">ek </w:t>
      </w:r>
      <w:r w:rsidR="00334EEC" w:rsidRPr="00777B5C">
        <w:rPr>
          <w:rFonts w:eastAsia="TimesNewRoman"/>
          <w:noProof/>
          <w:szCs w:val="22"/>
          <w:lang w:val="sr-Latn-ME"/>
        </w:rPr>
        <w:t>Tigilin</w:t>
      </w:r>
      <w:r w:rsidRPr="00777B5C">
        <w:rPr>
          <w:rFonts w:eastAsia="TimesNewRoman"/>
          <w:noProof/>
          <w:szCs w:val="22"/>
          <w:lang w:val="sr-Latn-ME"/>
        </w:rPr>
        <w:t xml:space="preserve"> u kombinaciji sa drugim antibioticima</w:t>
      </w:r>
      <w:r w:rsidR="00F56698" w:rsidRPr="00777B5C">
        <w:rPr>
          <w:rFonts w:eastAsia="TimesNewRoman"/>
          <w:noProof/>
          <w:szCs w:val="22"/>
          <w:lang w:val="sr-Latn-ME"/>
        </w:rPr>
        <w:t>;</w:t>
      </w:r>
    </w:p>
    <w:p w14:paraId="70529269" w14:textId="6F7A4A3D" w:rsidR="00E4314A" w:rsidRPr="00777B5C" w:rsidRDefault="00E4314A">
      <w:pPr>
        <w:numPr>
          <w:ilvl w:val="0"/>
          <w:numId w:val="12"/>
        </w:num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l</w:t>
      </w:r>
      <w:r w:rsidR="00D96822" w:rsidRPr="00777B5C">
        <w:rPr>
          <w:rFonts w:eastAsia="TimesNewRoman"/>
          <w:noProof/>
          <w:szCs w:val="22"/>
          <w:lang w:val="sr-Latn-ME"/>
        </w:rPr>
        <w:t>j</w:t>
      </w:r>
      <w:r w:rsidRPr="00777B5C">
        <w:rPr>
          <w:rFonts w:eastAsia="TimesNewRoman"/>
          <w:noProof/>
          <w:szCs w:val="22"/>
          <w:lang w:val="sr-Latn-ME"/>
        </w:rPr>
        <w:t>ekar će Vas pažljivo pratiti zbog razvoja druge bakterijske infekcije. Ukoliko se kod Vas razvije druga bakterijska infekcija, l</w:t>
      </w:r>
      <w:r w:rsidR="00D96822" w:rsidRPr="00777B5C">
        <w:rPr>
          <w:rFonts w:eastAsia="TimesNewRoman"/>
          <w:noProof/>
          <w:szCs w:val="22"/>
          <w:lang w:val="sr-Latn-ME"/>
        </w:rPr>
        <w:t>j</w:t>
      </w:r>
      <w:r w:rsidRPr="00777B5C">
        <w:rPr>
          <w:rFonts w:eastAsia="TimesNewRoman"/>
          <w:noProof/>
          <w:szCs w:val="22"/>
          <w:lang w:val="sr-Latn-ME"/>
        </w:rPr>
        <w:t>ekar Vam može propisati drugi antibiotik specifičan za prisutnu infekciju.</w:t>
      </w:r>
    </w:p>
    <w:p w14:paraId="0D930FEE" w14:textId="3724B4C6" w:rsidR="003E46D3" w:rsidRPr="00777B5C" w:rsidRDefault="00E4314A" w:rsidP="007B2FC3">
      <w:pPr>
        <w:numPr>
          <w:ilvl w:val="0"/>
          <w:numId w:val="12"/>
        </w:numPr>
        <w:tabs>
          <w:tab w:val="clear" w:pos="284"/>
        </w:tabs>
        <w:autoSpaceDE w:val="0"/>
        <w:autoSpaceDN w:val="0"/>
        <w:adjustRightInd w:val="0"/>
        <w:rPr>
          <w:rFonts w:eastAsia="TimesNewRoman"/>
          <w:noProof/>
          <w:szCs w:val="22"/>
          <w:lang w:val="sr-Latn-ME"/>
        </w:rPr>
      </w:pPr>
      <w:r w:rsidRPr="00777B5C">
        <w:rPr>
          <w:rFonts w:eastAsia="TimesNewRoman"/>
          <w:noProof/>
          <w:szCs w:val="22"/>
          <w:lang w:val="sr-Latn-ME"/>
        </w:rPr>
        <w:t>iako se antibiotici, uključujući i l</w:t>
      </w:r>
      <w:r w:rsidR="00D96822" w:rsidRPr="00777B5C">
        <w:rPr>
          <w:rFonts w:eastAsia="TimesNewRoman"/>
          <w:noProof/>
          <w:szCs w:val="22"/>
          <w:lang w:val="sr-Latn-ME"/>
        </w:rPr>
        <w:t>ij</w:t>
      </w:r>
      <w:r w:rsidRPr="00777B5C">
        <w:rPr>
          <w:rFonts w:eastAsia="TimesNewRoman"/>
          <w:noProof/>
          <w:szCs w:val="22"/>
          <w:lang w:val="sr-Latn-ME"/>
        </w:rPr>
        <w:t xml:space="preserve">ek </w:t>
      </w:r>
      <w:r w:rsidR="00F56698" w:rsidRPr="00777B5C">
        <w:rPr>
          <w:rFonts w:eastAsia="TimesNewRoman"/>
          <w:noProof/>
          <w:szCs w:val="22"/>
          <w:lang w:val="sr-Latn-ME"/>
        </w:rPr>
        <w:t>Tigilin</w:t>
      </w:r>
      <w:r w:rsidRPr="00777B5C">
        <w:rPr>
          <w:rFonts w:eastAsia="TimesNewRoman"/>
          <w:noProof/>
          <w:szCs w:val="22"/>
          <w:lang w:val="sr-Latn-ME"/>
        </w:rPr>
        <w:t>, bore protiv određene bakterije, druge bakterije i gljivice mogu nastaviti sa rastom. Ova pojava se naziva prekom</w:t>
      </w:r>
      <w:r w:rsidR="00D96822" w:rsidRPr="00777B5C">
        <w:rPr>
          <w:rFonts w:eastAsia="TimesNewRoman"/>
          <w:noProof/>
          <w:szCs w:val="22"/>
          <w:lang w:val="sr-Latn-ME"/>
        </w:rPr>
        <w:t>j</w:t>
      </w:r>
      <w:r w:rsidRPr="00777B5C">
        <w:rPr>
          <w:rFonts w:eastAsia="TimesNewRoman"/>
          <w:noProof/>
          <w:szCs w:val="22"/>
          <w:lang w:val="sr-Latn-ME"/>
        </w:rPr>
        <w:t xml:space="preserve">erni rast. </w:t>
      </w:r>
      <w:r w:rsidR="00F56698" w:rsidRPr="00777B5C">
        <w:rPr>
          <w:rFonts w:eastAsia="TimesNewRoman"/>
          <w:noProof/>
          <w:szCs w:val="22"/>
          <w:lang w:val="sr-Latn-ME"/>
        </w:rPr>
        <w:t>L</w:t>
      </w:r>
      <w:r w:rsidR="00D96822" w:rsidRPr="00777B5C">
        <w:rPr>
          <w:rFonts w:eastAsia="TimesNewRoman"/>
          <w:noProof/>
          <w:szCs w:val="22"/>
          <w:lang w:val="sr-Latn-ME"/>
        </w:rPr>
        <w:t>j</w:t>
      </w:r>
      <w:r w:rsidRPr="00777B5C">
        <w:rPr>
          <w:rFonts w:eastAsia="TimesNewRoman"/>
          <w:noProof/>
          <w:szCs w:val="22"/>
          <w:lang w:val="sr-Latn-ME"/>
        </w:rPr>
        <w:t>ekar će Vas pažljivo pratiti zbog razvoja potencijalnih infekcija i l</w:t>
      </w:r>
      <w:r w:rsidR="00D96822" w:rsidRPr="00777B5C">
        <w:rPr>
          <w:rFonts w:eastAsia="TimesNewRoman"/>
          <w:noProof/>
          <w:szCs w:val="22"/>
          <w:lang w:val="sr-Latn-ME"/>
        </w:rPr>
        <w:t>ij</w:t>
      </w:r>
      <w:r w:rsidRPr="00777B5C">
        <w:rPr>
          <w:rFonts w:eastAsia="TimesNewRoman"/>
          <w:noProof/>
          <w:szCs w:val="22"/>
          <w:lang w:val="sr-Latn-ME"/>
        </w:rPr>
        <w:t>ečiti ukoliko je neophodno.</w:t>
      </w:r>
    </w:p>
    <w:p w14:paraId="0FCC8D6C" w14:textId="29642251" w:rsidR="00762652" w:rsidRPr="00777B5C" w:rsidRDefault="00762652" w:rsidP="007B2FC3">
      <w:pPr>
        <w:tabs>
          <w:tab w:val="clear" w:pos="284"/>
        </w:tabs>
        <w:autoSpaceDE w:val="0"/>
        <w:autoSpaceDN w:val="0"/>
        <w:adjustRightInd w:val="0"/>
        <w:ind w:left="720"/>
        <w:rPr>
          <w:noProof/>
          <w:szCs w:val="22"/>
          <w:lang w:val="sr-Latn-ME"/>
        </w:rPr>
      </w:pPr>
    </w:p>
    <w:p w14:paraId="1B65748D" w14:textId="77777777" w:rsidR="008B5DD9" w:rsidRDefault="008B5DD9" w:rsidP="007B2FC3">
      <w:pPr>
        <w:tabs>
          <w:tab w:val="clear" w:pos="284"/>
        </w:tabs>
        <w:autoSpaceDE w:val="0"/>
        <w:autoSpaceDN w:val="0"/>
        <w:adjustRightInd w:val="0"/>
        <w:rPr>
          <w:rFonts w:eastAsia="TimesNewRoman,Bold"/>
          <w:b/>
          <w:bCs/>
          <w:noProof/>
          <w:szCs w:val="22"/>
          <w:lang w:val="sr-Latn-ME"/>
        </w:rPr>
      </w:pPr>
    </w:p>
    <w:p w14:paraId="27A21678" w14:textId="77777777" w:rsidR="008B5DD9" w:rsidRDefault="008B5DD9" w:rsidP="007B2FC3">
      <w:pPr>
        <w:tabs>
          <w:tab w:val="clear" w:pos="284"/>
        </w:tabs>
        <w:autoSpaceDE w:val="0"/>
        <w:autoSpaceDN w:val="0"/>
        <w:adjustRightInd w:val="0"/>
        <w:rPr>
          <w:rFonts w:eastAsia="TimesNewRoman,Bold"/>
          <w:b/>
          <w:bCs/>
          <w:noProof/>
          <w:szCs w:val="22"/>
          <w:lang w:val="sr-Latn-ME"/>
        </w:rPr>
      </w:pPr>
    </w:p>
    <w:p w14:paraId="14860B13" w14:textId="77777777" w:rsidR="008B5DD9" w:rsidRDefault="008B5DD9" w:rsidP="007B2FC3">
      <w:pPr>
        <w:tabs>
          <w:tab w:val="clear" w:pos="284"/>
        </w:tabs>
        <w:autoSpaceDE w:val="0"/>
        <w:autoSpaceDN w:val="0"/>
        <w:adjustRightInd w:val="0"/>
        <w:rPr>
          <w:rFonts w:eastAsia="TimesNewRoman,Bold"/>
          <w:b/>
          <w:bCs/>
          <w:noProof/>
          <w:szCs w:val="22"/>
          <w:lang w:val="sr-Latn-ME"/>
        </w:rPr>
      </w:pPr>
    </w:p>
    <w:p w14:paraId="386EFA00" w14:textId="77777777" w:rsidR="008B5DD9" w:rsidRDefault="008B5DD9" w:rsidP="007B2FC3">
      <w:pPr>
        <w:tabs>
          <w:tab w:val="clear" w:pos="284"/>
        </w:tabs>
        <w:autoSpaceDE w:val="0"/>
        <w:autoSpaceDN w:val="0"/>
        <w:adjustRightInd w:val="0"/>
        <w:rPr>
          <w:rFonts w:eastAsia="TimesNewRoman,Bold"/>
          <w:b/>
          <w:bCs/>
          <w:noProof/>
          <w:szCs w:val="22"/>
          <w:lang w:val="sr-Latn-ME"/>
        </w:rPr>
      </w:pPr>
    </w:p>
    <w:p w14:paraId="31761214" w14:textId="4329DF79" w:rsidR="003E46D3" w:rsidRPr="00777B5C" w:rsidRDefault="00F56698" w:rsidP="007B2FC3">
      <w:pPr>
        <w:tabs>
          <w:tab w:val="clear" w:pos="284"/>
        </w:tabs>
        <w:autoSpaceDE w:val="0"/>
        <w:autoSpaceDN w:val="0"/>
        <w:adjustRightInd w:val="0"/>
        <w:rPr>
          <w:rFonts w:eastAsia="TimesNewRoman"/>
          <w:noProof/>
          <w:szCs w:val="22"/>
          <w:lang w:val="sr-Latn-ME"/>
        </w:rPr>
      </w:pPr>
      <w:r w:rsidRPr="00777B5C">
        <w:rPr>
          <w:rFonts w:eastAsia="TimesNewRoman,Bold"/>
          <w:b/>
          <w:bCs/>
          <w:noProof/>
          <w:szCs w:val="22"/>
          <w:lang w:val="sr-Latn-ME"/>
        </w:rPr>
        <w:t>D</w:t>
      </w:r>
      <w:r w:rsidR="00D96822" w:rsidRPr="00777B5C">
        <w:rPr>
          <w:rFonts w:eastAsia="TimesNewRoman,Bold"/>
          <w:b/>
          <w:bCs/>
          <w:noProof/>
          <w:szCs w:val="22"/>
          <w:lang w:val="sr-Latn-ME"/>
        </w:rPr>
        <w:t>j</w:t>
      </w:r>
      <w:r w:rsidRPr="00777B5C">
        <w:rPr>
          <w:rFonts w:eastAsia="TimesNewRoman,Bold"/>
          <w:b/>
          <w:bCs/>
          <w:noProof/>
          <w:szCs w:val="22"/>
          <w:lang w:val="sr-Latn-ME"/>
        </w:rPr>
        <w:t>eca</w:t>
      </w:r>
      <w:r w:rsidR="00EF4319" w:rsidRPr="00777B5C">
        <w:rPr>
          <w:rFonts w:eastAsia="TimesNewRoman,Bold"/>
          <w:b/>
          <w:bCs/>
          <w:noProof/>
          <w:szCs w:val="22"/>
          <w:lang w:val="sr-Latn-ME"/>
        </w:rPr>
        <w:t xml:space="preserve"> i adolescenti</w:t>
      </w:r>
    </w:p>
    <w:p w14:paraId="21E4FF5D" w14:textId="78D3CA76" w:rsidR="00F56698" w:rsidRPr="00777B5C" w:rsidRDefault="00F56698" w:rsidP="007B2FC3">
      <w:pPr>
        <w:tabs>
          <w:tab w:val="clear" w:pos="284"/>
        </w:tabs>
        <w:autoSpaceDE w:val="0"/>
        <w:autoSpaceDN w:val="0"/>
        <w:adjustRightInd w:val="0"/>
        <w:rPr>
          <w:rFonts w:eastAsia="TimesNewRoman"/>
          <w:noProof/>
          <w:szCs w:val="22"/>
          <w:lang w:val="sr-Latn-ME"/>
        </w:rPr>
      </w:pPr>
      <w:r w:rsidRPr="00777B5C">
        <w:rPr>
          <w:rFonts w:eastAsia="TimesNewRoman"/>
          <w:noProof/>
          <w:szCs w:val="22"/>
          <w:lang w:val="sr-Latn-ME"/>
        </w:rPr>
        <w:t>L</w:t>
      </w:r>
      <w:r w:rsidR="00D96822" w:rsidRPr="00777B5C">
        <w:rPr>
          <w:rFonts w:eastAsia="TimesNewRoman"/>
          <w:noProof/>
          <w:szCs w:val="22"/>
          <w:lang w:val="sr-Latn-ME"/>
        </w:rPr>
        <w:t>ij</w:t>
      </w:r>
      <w:r w:rsidRPr="00777B5C">
        <w:rPr>
          <w:rFonts w:eastAsia="TimesNewRoman"/>
          <w:noProof/>
          <w:szCs w:val="22"/>
          <w:lang w:val="sr-Latn-ME"/>
        </w:rPr>
        <w:t xml:space="preserve">ek </w:t>
      </w:r>
      <w:r w:rsidR="00A828B9" w:rsidRPr="00777B5C">
        <w:rPr>
          <w:rFonts w:eastAsia="TimesNewRoman"/>
          <w:noProof/>
          <w:szCs w:val="22"/>
          <w:lang w:val="sr-Latn-ME"/>
        </w:rPr>
        <w:t>Tigilin</w:t>
      </w:r>
      <w:r w:rsidRPr="00777B5C">
        <w:rPr>
          <w:rFonts w:eastAsia="TimesNewRoman"/>
          <w:noProof/>
          <w:szCs w:val="22"/>
          <w:lang w:val="sr-Latn-ME"/>
        </w:rPr>
        <w:t xml:space="preserve"> </w:t>
      </w:r>
      <w:r w:rsidR="0047765A" w:rsidRPr="00777B5C">
        <w:rPr>
          <w:rFonts w:eastAsia="TimesNewRoman"/>
          <w:noProof/>
          <w:szCs w:val="22"/>
          <w:lang w:val="sr-Latn-ME"/>
        </w:rPr>
        <w:t xml:space="preserve">se </w:t>
      </w:r>
      <w:r w:rsidRPr="00777B5C">
        <w:rPr>
          <w:rFonts w:eastAsia="TimesNewRoman"/>
          <w:noProof/>
          <w:szCs w:val="22"/>
          <w:lang w:val="sr-Latn-ME"/>
        </w:rPr>
        <w:t xml:space="preserve">ne </w:t>
      </w:r>
      <w:r w:rsidR="0047765A" w:rsidRPr="00777B5C">
        <w:rPr>
          <w:rFonts w:eastAsia="TimesNewRoman"/>
          <w:noProof/>
          <w:szCs w:val="22"/>
          <w:lang w:val="sr-Latn-ME"/>
        </w:rPr>
        <w:t>smije</w:t>
      </w:r>
      <w:r w:rsidRPr="00777B5C">
        <w:rPr>
          <w:rFonts w:eastAsia="TimesNewRoman"/>
          <w:noProof/>
          <w:szCs w:val="22"/>
          <w:lang w:val="sr-Latn-ME"/>
        </w:rPr>
        <w:t xml:space="preserve"> koristiti kod d</w:t>
      </w:r>
      <w:r w:rsidR="00D96822" w:rsidRPr="00777B5C">
        <w:rPr>
          <w:rFonts w:eastAsia="TimesNewRoman"/>
          <w:noProof/>
          <w:szCs w:val="22"/>
          <w:lang w:val="sr-Latn-ME"/>
        </w:rPr>
        <w:t>j</w:t>
      </w:r>
      <w:r w:rsidRPr="00777B5C">
        <w:rPr>
          <w:rFonts w:eastAsia="TimesNewRoman"/>
          <w:noProof/>
          <w:szCs w:val="22"/>
          <w:lang w:val="sr-Latn-ME"/>
        </w:rPr>
        <w:t>ece mlađe od 8 godina, zbog nedostatka podataka o bezb</w:t>
      </w:r>
      <w:r w:rsidR="00D96822" w:rsidRPr="00777B5C">
        <w:rPr>
          <w:rFonts w:eastAsia="TimesNewRoman"/>
          <w:noProof/>
          <w:szCs w:val="22"/>
          <w:lang w:val="sr-Latn-ME"/>
        </w:rPr>
        <w:t>j</w:t>
      </w:r>
      <w:r w:rsidRPr="00777B5C">
        <w:rPr>
          <w:rFonts w:eastAsia="TimesNewRoman"/>
          <w:noProof/>
          <w:szCs w:val="22"/>
          <w:lang w:val="sr-Latn-ME"/>
        </w:rPr>
        <w:t xml:space="preserve">ednosti </w:t>
      </w:r>
      <w:r w:rsidR="00A828B9" w:rsidRPr="00777B5C">
        <w:rPr>
          <w:rFonts w:eastAsia="TimesNewRoman"/>
          <w:noProof/>
          <w:szCs w:val="22"/>
          <w:lang w:val="sr-Latn-ME"/>
        </w:rPr>
        <w:t>i</w:t>
      </w:r>
      <w:r w:rsidRPr="00777B5C">
        <w:rPr>
          <w:rFonts w:eastAsia="TimesNewRoman"/>
          <w:noProof/>
          <w:szCs w:val="22"/>
          <w:lang w:val="sr-Latn-ME"/>
        </w:rPr>
        <w:t xml:space="preserve"> efikasnosti l</w:t>
      </w:r>
      <w:r w:rsidR="00D96822" w:rsidRPr="00777B5C">
        <w:rPr>
          <w:rFonts w:eastAsia="TimesNewRoman"/>
          <w:noProof/>
          <w:szCs w:val="22"/>
          <w:lang w:val="sr-Latn-ME"/>
        </w:rPr>
        <w:t>ij</w:t>
      </w:r>
      <w:r w:rsidRPr="00777B5C">
        <w:rPr>
          <w:rFonts w:eastAsia="TimesNewRoman"/>
          <w:noProof/>
          <w:szCs w:val="22"/>
          <w:lang w:val="sr-Latn-ME"/>
        </w:rPr>
        <w:t>eka kod ove grupe pacijenata i zato što može prouzrokovati trajna oštećenja zuba</w:t>
      </w:r>
      <w:r w:rsidR="00A828B9" w:rsidRPr="00777B5C">
        <w:rPr>
          <w:rFonts w:eastAsia="TimesNewRoman"/>
          <w:noProof/>
          <w:szCs w:val="22"/>
          <w:lang w:val="sr-Latn-ME"/>
        </w:rPr>
        <w:t>, poput</w:t>
      </w:r>
      <w:r w:rsidRPr="00777B5C">
        <w:rPr>
          <w:rFonts w:eastAsia="TimesNewRoman"/>
          <w:noProof/>
          <w:szCs w:val="22"/>
          <w:lang w:val="sr-Latn-ME"/>
        </w:rPr>
        <w:t xml:space="preserve"> prom</w:t>
      </w:r>
      <w:r w:rsidR="00D96822" w:rsidRPr="00777B5C">
        <w:rPr>
          <w:rFonts w:eastAsia="TimesNewRoman"/>
          <w:noProof/>
          <w:szCs w:val="22"/>
          <w:lang w:val="sr-Latn-ME"/>
        </w:rPr>
        <w:t>j</w:t>
      </w:r>
      <w:r w:rsidRPr="00777B5C">
        <w:rPr>
          <w:rFonts w:eastAsia="TimesNewRoman"/>
          <w:noProof/>
          <w:szCs w:val="22"/>
          <w:lang w:val="sr-Latn-ME"/>
        </w:rPr>
        <w:t>en</w:t>
      </w:r>
      <w:r w:rsidR="00A828B9" w:rsidRPr="00777B5C">
        <w:rPr>
          <w:rFonts w:eastAsia="TimesNewRoman"/>
          <w:noProof/>
          <w:szCs w:val="22"/>
          <w:lang w:val="sr-Latn-ME"/>
        </w:rPr>
        <w:t>e</w:t>
      </w:r>
      <w:r w:rsidRPr="00777B5C">
        <w:rPr>
          <w:rFonts w:eastAsia="TimesNewRoman"/>
          <w:noProof/>
          <w:szCs w:val="22"/>
          <w:lang w:val="sr-Latn-ME"/>
        </w:rPr>
        <w:t xml:space="preserve"> boje zuba u razvoju.</w:t>
      </w:r>
    </w:p>
    <w:p w14:paraId="69255518" w14:textId="16A2467D" w:rsidR="00F56698" w:rsidRPr="00777B5C" w:rsidRDefault="00D96822">
      <w:pPr>
        <w:tabs>
          <w:tab w:val="clear" w:pos="284"/>
        </w:tabs>
        <w:autoSpaceDE w:val="0"/>
        <w:autoSpaceDN w:val="0"/>
        <w:adjustRightInd w:val="0"/>
        <w:spacing w:before="120" w:after="120"/>
        <w:rPr>
          <w:rFonts w:eastAsia="TimesNewRoman,Bold"/>
          <w:b/>
          <w:bCs/>
          <w:noProof/>
          <w:szCs w:val="22"/>
          <w:lang w:val="sr-Latn-ME"/>
        </w:rPr>
      </w:pPr>
      <w:r w:rsidRPr="00777B5C">
        <w:rPr>
          <w:rFonts w:eastAsia="TimesNewRoman,Bold"/>
          <w:b/>
          <w:bCs/>
          <w:noProof/>
          <w:szCs w:val="22"/>
          <w:lang w:val="sr-Latn-ME"/>
        </w:rPr>
        <w:t>Primjena drugih ljekova</w:t>
      </w:r>
    </w:p>
    <w:p w14:paraId="6E6B14D4" w14:textId="40790719" w:rsidR="00F56698" w:rsidRPr="00777B5C" w:rsidRDefault="00F56698">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Obav</w:t>
      </w:r>
      <w:r w:rsidR="006E5BBD" w:rsidRPr="00777B5C">
        <w:rPr>
          <w:rFonts w:eastAsia="TimesNewRoman"/>
          <w:noProof/>
          <w:szCs w:val="22"/>
          <w:lang w:val="sr-Latn-ME"/>
        </w:rPr>
        <w:t>ij</w:t>
      </w:r>
      <w:r w:rsidRPr="00777B5C">
        <w:rPr>
          <w:rFonts w:eastAsia="TimesNewRoman"/>
          <w:noProof/>
          <w:szCs w:val="22"/>
          <w:lang w:val="sr-Latn-ME"/>
        </w:rPr>
        <w:t>estite Vašeg l</w:t>
      </w:r>
      <w:r w:rsidR="006E5BBD" w:rsidRPr="00777B5C">
        <w:rPr>
          <w:rFonts w:eastAsia="TimesNewRoman"/>
          <w:noProof/>
          <w:szCs w:val="22"/>
          <w:lang w:val="sr-Latn-ME"/>
        </w:rPr>
        <w:t>j</w:t>
      </w:r>
      <w:r w:rsidRPr="00777B5C">
        <w:rPr>
          <w:rFonts w:eastAsia="TimesNewRoman"/>
          <w:noProof/>
          <w:szCs w:val="22"/>
          <w:lang w:val="sr-Latn-ME"/>
        </w:rPr>
        <w:t>ekara ukoliko uzimate, donedavno ste uzimali ili ćete možda uzimati bilo koje druge l</w:t>
      </w:r>
      <w:r w:rsidR="006E5BBD" w:rsidRPr="00777B5C">
        <w:rPr>
          <w:rFonts w:eastAsia="TimesNewRoman"/>
          <w:noProof/>
          <w:szCs w:val="22"/>
          <w:lang w:val="sr-Latn-ME"/>
        </w:rPr>
        <w:t>j</w:t>
      </w:r>
      <w:r w:rsidRPr="00777B5C">
        <w:rPr>
          <w:rFonts w:eastAsia="TimesNewRoman"/>
          <w:noProof/>
          <w:szCs w:val="22"/>
          <w:lang w:val="sr-Latn-ME"/>
        </w:rPr>
        <w:t>ekove.</w:t>
      </w:r>
    </w:p>
    <w:p w14:paraId="581EB43F" w14:textId="3B8D824A" w:rsidR="00F56698" w:rsidRPr="00777B5C" w:rsidRDefault="00F56698">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L</w:t>
      </w:r>
      <w:r w:rsidR="006E5BBD" w:rsidRPr="00777B5C">
        <w:rPr>
          <w:rFonts w:eastAsia="TimesNewRoman"/>
          <w:noProof/>
          <w:szCs w:val="22"/>
          <w:lang w:val="sr-Latn-ME"/>
        </w:rPr>
        <w:t>ij</w:t>
      </w:r>
      <w:r w:rsidRPr="00777B5C">
        <w:rPr>
          <w:rFonts w:eastAsia="TimesNewRoman"/>
          <w:noProof/>
          <w:szCs w:val="22"/>
          <w:lang w:val="sr-Latn-ME"/>
        </w:rPr>
        <w:t xml:space="preserve">ek </w:t>
      </w:r>
      <w:r w:rsidR="00CB7310" w:rsidRPr="00777B5C">
        <w:rPr>
          <w:rFonts w:eastAsia="TimesNewRoman"/>
          <w:noProof/>
          <w:szCs w:val="22"/>
          <w:lang w:val="sr-Latn-ME"/>
        </w:rPr>
        <w:t>Tigilin</w:t>
      </w:r>
      <w:r w:rsidRPr="00777B5C">
        <w:rPr>
          <w:rFonts w:eastAsia="TimesNewRoman"/>
          <w:noProof/>
          <w:szCs w:val="22"/>
          <w:lang w:val="sr-Latn-ME"/>
        </w:rPr>
        <w:t xml:space="preserve"> može uticati na rezultate testova koji daju podatke o zgrušavanju krvi. Važno je da obav</w:t>
      </w:r>
      <w:r w:rsidR="006E5BBD" w:rsidRPr="00777B5C">
        <w:rPr>
          <w:rFonts w:eastAsia="TimesNewRoman"/>
          <w:noProof/>
          <w:szCs w:val="22"/>
          <w:lang w:val="sr-Latn-ME"/>
        </w:rPr>
        <w:t>ij</w:t>
      </w:r>
      <w:r w:rsidRPr="00777B5C">
        <w:rPr>
          <w:rFonts w:eastAsia="TimesNewRoman"/>
          <w:noProof/>
          <w:szCs w:val="22"/>
          <w:lang w:val="sr-Latn-ME"/>
        </w:rPr>
        <w:t>estite Vašeg l</w:t>
      </w:r>
      <w:r w:rsidR="006E5BBD" w:rsidRPr="00777B5C">
        <w:rPr>
          <w:rFonts w:eastAsia="TimesNewRoman"/>
          <w:noProof/>
          <w:szCs w:val="22"/>
          <w:lang w:val="sr-Latn-ME"/>
        </w:rPr>
        <w:t>j</w:t>
      </w:r>
      <w:r w:rsidRPr="00777B5C">
        <w:rPr>
          <w:rFonts w:eastAsia="TimesNewRoman"/>
          <w:noProof/>
          <w:szCs w:val="22"/>
          <w:lang w:val="sr-Latn-ME"/>
        </w:rPr>
        <w:t>ekara ukoliko uzimate l</w:t>
      </w:r>
      <w:r w:rsidR="006E5BBD" w:rsidRPr="00777B5C">
        <w:rPr>
          <w:rFonts w:eastAsia="TimesNewRoman"/>
          <w:noProof/>
          <w:szCs w:val="22"/>
          <w:lang w:val="sr-Latn-ME"/>
        </w:rPr>
        <w:t>j</w:t>
      </w:r>
      <w:r w:rsidRPr="00777B5C">
        <w:rPr>
          <w:rFonts w:eastAsia="TimesNewRoman"/>
          <w:noProof/>
          <w:szCs w:val="22"/>
          <w:lang w:val="sr-Latn-ME"/>
        </w:rPr>
        <w:t>ekove koji spr</w:t>
      </w:r>
      <w:r w:rsidR="0047765A" w:rsidRPr="00777B5C">
        <w:rPr>
          <w:rFonts w:eastAsia="TimesNewRoman"/>
          <w:noProof/>
          <w:szCs w:val="22"/>
          <w:lang w:val="sr-Latn-ME"/>
        </w:rPr>
        <w:t>j</w:t>
      </w:r>
      <w:r w:rsidRPr="00777B5C">
        <w:rPr>
          <w:rFonts w:eastAsia="TimesNewRoman"/>
          <w:noProof/>
          <w:szCs w:val="22"/>
          <w:lang w:val="sr-Latn-ME"/>
        </w:rPr>
        <w:t>ečavaju prekom</w:t>
      </w:r>
      <w:r w:rsidR="006E5BBD" w:rsidRPr="00777B5C">
        <w:rPr>
          <w:rFonts w:eastAsia="TimesNewRoman"/>
          <w:noProof/>
          <w:szCs w:val="22"/>
          <w:lang w:val="sr-Latn-ME"/>
        </w:rPr>
        <w:t>j</w:t>
      </w:r>
      <w:r w:rsidRPr="00777B5C">
        <w:rPr>
          <w:rFonts w:eastAsia="TimesNewRoman"/>
          <w:noProof/>
          <w:szCs w:val="22"/>
          <w:lang w:val="sr-Latn-ME"/>
        </w:rPr>
        <w:t>erno zgrušavanje krvi (antikoagulansi). U tom slučaju, l</w:t>
      </w:r>
      <w:r w:rsidR="006E5BBD" w:rsidRPr="00777B5C">
        <w:rPr>
          <w:rFonts w:eastAsia="TimesNewRoman"/>
          <w:noProof/>
          <w:szCs w:val="22"/>
          <w:lang w:val="sr-Latn-ME"/>
        </w:rPr>
        <w:t>j</w:t>
      </w:r>
      <w:r w:rsidRPr="00777B5C">
        <w:rPr>
          <w:rFonts w:eastAsia="TimesNewRoman"/>
          <w:noProof/>
          <w:szCs w:val="22"/>
          <w:lang w:val="sr-Latn-ME"/>
        </w:rPr>
        <w:t>ekar će Vas pažljivo pratiti.</w:t>
      </w:r>
    </w:p>
    <w:p w14:paraId="6BE5FD14" w14:textId="077E1E27" w:rsidR="00F56698" w:rsidRPr="00777B5C" w:rsidRDefault="00F56698">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L</w:t>
      </w:r>
      <w:r w:rsidR="006E5BBD" w:rsidRPr="00777B5C">
        <w:rPr>
          <w:rFonts w:eastAsia="TimesNewRoman"/>
          <w:noProof/>
          <w:szCs w:val="22"/>
          <w:lang w:val="sr-Latn-ME"/>
        </w:rPr>
        <w:t>ij</w:t>
      </w:r>
      <w:r w:rsidRPr="00777B5C">
        <w:rPr>
          <w:rFonts w:eastAsia="TimesNewRoman"/>
          <w:noProof/>
          <w:szCs w:val="22"/>
          <w:lang w:val="sr-Latn-ME"/>
        </w:rPr>
        <w:t>ek T</w:t>
      </w:r>
      <w:r w:rsidR="006E5BBD" w:rsidRPr="00777B5C">
        <w:rPr>
          <w:rFonts w:eastAsia="TimesNewRoman"/>
          <w:noProof/>
          <w:szCs w:val="22"/>
          <w:lang w:val="sr-Latn-ME"/>
        </w:rPr>
        <w:t>igilin</w:t>
      </w:r>
      <w:r w:rsidRPr="00777B5C">
        <w:rPr>
          <w:rFonts w:eastAsia="TimesNewRoman"/>
          <w:noProof/>
          <w:szCs w:val="22"/>
          <w:lang w:val="sr-Latn-ME"/>
        </w:rPr>
        <w:t xml:space="preserve"> može ometati dejstvo kontraceptivne pilule (pilule za spr</w:t>
      </w:r>
      <w:r w:rsidR="0047765A" w:rsidRPr="00777B5C">
        <w:rPr>
          <w:rFonts w:eastAsia="TimesNewRoman"/>
          <w:noProof/>
          <w:szCs w:val="22"/>
          <w:lang w:val="sr-Latn-ME"/>
        </w:rPr>
        <w:t>j</w:t>
      </w:r>
      <w:r w:rsidRPr="00777B5C">
        <w:rPr>
          <w:rFonts w:eastAsia="TimesNewRoman"/>
          <w:noProof/>
          <w:szCs w:val="22"/>
          <w:lang w:val="sr-Latn-ME"/>
        </w:rPr>
        <w:t>ečavanje trudnoće). Razgovarajte sa Vašim l</w:t>
      </w:r>
      <w:r w:rsidR="006E5BBD" w:rsidRPr="00777B5C">
        <w:rPr>
          <w:rFonts w:eastAsia="TimesNewRoman"/>
          <w:noProof/>
          <w:szCs w:val="22"/>
          <w:lang w:val="sr-Latn-ME"/>
        </w:rPr>
        <w:t>j</w:t>
      </w:r>
      <w:r w:rsidRPr="00777B5C">
        <w:rPr>
          <w:rFonts w:eastAsia="TimesNewRoman"/>
          <w:noProof/>
          <w:szCs w:val="22"/>
          <w:lang w:val="sr-Latn-ME"/>
        </w:rPr>
        <w:t xml:space="preserve">ekarom o </w:t>
      </w:r>
      <w:r w:rsidR="00CB7310" w:rsidRPr="00777B5C">
        <w:rPr>
          <w:rFonts w:eastAsia="TimesNewRoman"/>
          <w:noProof/>
          <w:szCs w:val="22"/>
          <w:lang w:val="sr-Latn-ME"/>
        </w:rPr>
        <w:t>prim</w:t>
      </w:r>
      <w:r w:rsidR="006E5BBD" w:rsidRPr="00777B5C">
        <w:rPr>
          <w:rFonts w:eastAsia="TimesNewRoman"/>
          <w:noProof/>
          <w:szCs w:val="22"/>
          <w:lang w:val="sr-Latn-ME"/>
        </w:rPr>
        <w:t>j</w:t>
      </w:r>
      <w:r w:rsidR="00CB7310" w:rsidRPr="00777B5C">
        <w:rPr>
          <w:rFonts w:eastAsia="TimesNewRoman"/>
          <w:noProof/>
          <w:szCs w:val="22"/>
          <w:lang w:val="sr-Latn-ME"/>
        </w:rPr>
        <w:t>eni</w:t>
      </w:r>
      <w:r w:rsidRPr="00777B5C">
        <w:rPr>
          <w:rFonts w:eastAsia="TimesNewRoman"/>
          <w:noProof/>
          <w:szCs w:val="22"/>
          <w:lang w:val="sr-Latn-ME"/>
        </w:rPr>
        <w:t xml:space="preserve"> dodatnog vida kontracepcije dok ste na terapiji l</w:t>
      </w:r>
      <w:r w:rsidR="006E5BBD" w:rsidRPr="00777B5C">
        <w:rPr>
          <w:rFonts w:eastAsia="TimesNewRoman"/>
          <w:noProof/>
          <w:szCs w:val="22"/>
          <w:lang w:val="sr-Latn-ME"/>
        </w:rPr>
        <w:t>ij</w:t>
      </w:r>
      <w:r w:rsidRPr="00777B5C">
        <w:rPr>
          <w:rFonts w:eastAsia="TimesNewRoman"/>
          <w:noProof/>
          <w:szCs w:val="22"/>
          <w:lang w:val="sr-Latn-ME"/>
        </w:rPr>
        <w:t xml:space="preserve">ekom </w:t>
      </w:r>
      <w:r w:rsidR="00CB7310" w:rsidRPr="00777B5C">
        <w:rPr>
          <w:rFonts w:eastAsia="TimesNewRoman"/>
          <w:noProof/>
          <w:szCs w:val="22"/>
          <w:lang w:val="sr-Latn-ME"/>
        </w:rPr>
        <w:t>Tigilin</w:t>
      </w:r>
      <w:r w:rsidRPr="00777B5C">
        <w:rPr>
          <w:rFonts w:eastAsia="TimesNewRoman"/>
          <w:noProof/>
          <w:szCs w:val="22"/>
          <w:lang w:val="sr-Latn-ME"/>
        </w:rPr>
        <w:t>.</w:t>
      </w:r>
    </w:p>
    <w:p w14:paraId="34FD8C2C" w14:textId="45F52035" w:rsidR="00CB7310" w:rsidRPr="00777B5C" w:rsidRDefault="00CB7310">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L</w:t>
      </w:r>
      <w:r w:rsidR="006E5BBD" w:rsidRPr="00777B5C">
        <w:rPr>
          <w:rFonts w:eastAsia="TimesNewRoman"/>
          <w:noProof/>
          <w:szCs w:val="22"/>
          <w:lang w:val="sr-Latn-ME"/>
        </w:rPr>
        <w:t>ij</w:t>
      </w:r>
      <w:r w:rsidRPr="00777B5C">
        <w:rPr>
          <w:rFonts w:eastAsia="TimesNewRoman"/>
          <w:noProof/>
          <w:szCs w:val="22"/>
          <w:lang w:val="sr-Latn-ME"/>
        </w:rPr>
        <w:t>ek Tigilin može pojačati efekat l</w:t>
      </w:r>
      <w:r w:rsidR="006E5BBD" w:rsidRPr="00777B5C">
        <w:rPr>
          <w:rFonts w:eastAsia="TimesNewRoman"/>
          <w:noProof/>
          <w:szCs w:val="22"/>
          <w:lang w:val="sr-Latn-ME"/>
        </w:rPr>
        <w:t>j</w:t>
      </w:r>
      <w:r w:rsidRPr="00777B5C">
        <w:rPr>
          <w:rFonts w:eastAsia="TimesNewRoman"/>
          <w:noProof/>
          <w:szCs w:val="22"/>
          <w:lang w:val="sr-Latn-ME"/>
        </w:rPr>
        <w:t>ekova koji se koriste za smanjenje aktivnosti imunog sistema (kao što su takrolimus ili ciklosporin). Važno je da obav</w:t>
      </w:r>
      <w:r w:rsidR="006E5BBD" w:rsidRPr="00777B5C">
        <w:rPr>
          <w:rFonts w:eastAsia="TimesNewRoman"/>
          <w:noProof/>
          <w:szCs w:val="22"/>
          <w:lang w:val="sr-Latn-ME"/>
        </w:rPr>
        <w:t>ij</w:t>
      </w:r>
      <w:r w:rsidRPr="00777B5C">
        <w:rPr>
          <w:rFonts w:eastAsia="TimesNewRoman"/>
          <w:noProof/>
          <w:szCs w:val="22"/>
          <w:lang w:val="sr-Latn-ME"/>
        </w:rPr>
        <w:t>estite l</w:t>
      </w:r>
      <w:r w:rsidR="006E5BBD" w:rsidRPr="00777B5C">
        <w:rPr>
          <w:rFonts w:eastAsia="TimesNewRoman"/>
          <w:noProof/>
          <w:szCs w:val="22"/>
          <w:lang w:val="sr-Latn-ME"/>
        </w:rPr>
        <w:t>j</w:t>
      </w:r>
      <w:r w:rsidRPr="00777B5C">
        <w:rPr>
          <w:rFonts w:eastAsia="TimesNewRoman"/>
          <w:noProof/>
          <w:szCs w:val="22"/>
          <w:lang w:val="sr-Latn-ME"/>
        </w:rPr>
        <w:t>ekara ako koristite neki od ovih l</w:t>
      </w:r>
      <w:r w:rsidR="006E5BBD" w:rsidRPr="00777B5C">
        <w:rPr>
          <w:rFonts w:eastAsia="TimesNewRoman"/>
          <w:noProof/>
          <w:szCs w:val="22"/>
          <w:lang w:val="sr-Latn-ME"/>
        </w:rPr>
        <w:t>j</w:t>
      </w:r>
      <w:r w:rsidRPr="00777B5C">
        <w:rPr>
          <w:rFonts w:eastAsia="TimesNewRoman"/>
          <w:noProof/>
          <w:szCs w:val="22"/>
          <w:lang w:val="sr-Latn-ME"/>
        </w:rPr>
        <w:t xml:space="preserve">ekova, kako bi mogao pažljivo da prati Vaše stanje. </w:t>
      </w:r>
    </w:p>
    <w:p w14:paraId="712AE744" w14:textId="365C0A04" w:rsidR="00F56698" w:rsidRPr="00777B5C" w:rsidRDefault="00EF4319">
      <w:pPr>
        <w:tabs>
          <w:tab w:val="clear" w:pos="284"/>
        </w:tabs>
        <w:autoSpaceDE w:val="0"/>
        <w:autoSpaceDN w:val="0"/>
        <w:adjustRightInd w:val="0"/>
        <w:spacing w:before="120" w:after="120"/>
        <w:rPr>
          <w:rFonts w:eastAsia="TimesNewRoman,Bold"/>
          <w:b/>
          <w:bCs/>
          <w:noProof/>
          <w:szCs w:val="22"/>
          <w:lang w:val="sr-Latn-ME"/>
        </w:rPr>
      </w:pPr>
      <w:r w:rsidRPr="00777B5C">
        <w:rPr>
          <w:rFonts w:eastAsia="TimesNewRoman,Bold"/>
          <w:b/>
          <w:bCs/>
          <w:noProof/>
          <w:szCs w:val="22"/>
          <w:lang w:val="sr-Latn-ME"/>
        </w:rPr>
        <w:t>Plodnost, t</w:t>
      </w:r>
      <w:r w:rsidR="00F56698" w:rsidRPr="00777B5C">
        <w:rPr>
          <w:rFonts w:eastAsia="TimesNewRoman,Bold"/>
          <w:b/>
          <w:bCs/>
          <w:noProof/>
          <w:szCs w:val="22"/>
          <w:lang w:val="sr-Latn-ME"/>
        </w:rPr>
        <w:t>rudnoća i dojenje</w:t>
      </w:r>
    </w:p>
    <w:p w14:paraId="7F5AAE70" w14:textId="26160564" w:rsidR="00F56698" w:rsidRPr="00777B5C" w:rsidRDefault="00F56698">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L</w:t>
      </w:r>
      <w:r w:rsidR="006E5BBD" w:rsidRPr="00777B5C">
        <w:rPr>
          <w:rFonts w:eastAsia="TimesNewRoman"/>
          <w:noProof/>
          <w:szCs w:val="22"/>
          <w:lang w:val="sr-Latn-ME"/>
        </w:rPr>
        <w:t>ij</w:t>
      </w:r>
      <w:r w:rsidRPr="00777B5C">
        <w:rPr>
          <w:rFonts w:eastAsia="TimesNewRoman"/>
          <w:noProof/>
          <w:szCs w:val="22"/>
          <w:lang w:val="sr-Latn-ME"/>
        </w:rPr>
        <w:t xml:space="preserve">ek </w:t>
      </w:r>
      <w:r w:rsidR="00CB7310" w:rsidRPr="00777B5C">
        <w:rPr>
          <w:rFonts w:eastAsia="TimesNewRoman"/>
          <w:noProof/>
          <w:szCs w:val="22"/>
          <w:lang w:val="sr-Latn-ME"/>
        </w:rPr>
        <w:t>Tigilin</w:t>
      </w:r>
      <w:r w:rsidRPr="00777B5C">
        <w:rPr>
          <w:rFonts w:eastAsia="TimesNewRoman"/>
          <w:noProof/>
          <w:szCs w:val="22"/>
          <w:lang w:val="sr-Latn-ME"/>
        </w:rPr>
        <w:t xml:space="preserve"> može oštetiti plod. Ukoliko ste trudni ili dojite, mislite da ste trudni ili planirate trudnoću, obratite se Vašem l</w:t>
      </w:r>
      <w:r w:rsidR="006E5BBD" w:rsidRPr="00777B5C">
        <w:rPr>
          <w:rFonts w:eastAsia="TimesNewRoman"/>
          <w:noProof/>
          <w:szCs w:val="22"/>
          <w:lang w:val="sr-Latn-ME"/>
        </w:rPr>
        <w:t>j</w:t>
      </w:r>
      <w:r w:rsidRPr="00777B5C">
        <w:rPr>
          <w:rFonts w:eastAsia="TimesNewRoman"/>
          <w:noProof/>
          <w:szCs w:val="22"/>
          <w:lang w:val="sr-Latn-ME"/>
        </w:rPr>
        <w:t>ekaru za sav</w:t>
      </w:r>
      <w:r w:rsidR="006E5BBD" w:rsidRPr="00777B5C">
        <w:rPr>
          <w:rFonts w:eastAsia="TimesNewRoman"/>
          <w:noProof/>
          <w:szCs w:val="22"/>
          <w:lang w:val="sr-Latn-ME"/>
        </w:rPr>
        <w:t>j</w:t>
      </w:r>
      <w:r w:rsidRPr="00777B5C">
        <w:rPr>
          <w:rFonts w:eastAsia="TimesNewRoman"/>
          <w:noProof/>
          <w:szCs w:val="22"/>
          <w:lang w:val="sr-Latn-ME"/>
        </w:rPr>
        <w:t>et pr</w:t>
      </w:r>
      <w:r w:rsidR="006E5BBD" w:rsidRPr="00777B5C">
        <w:rPr>
          <w:rFonts w:eastAsia="TimesNewRoman"/>
          <w:noProof/>
          <w:szCs w:val="22"/>
          <w:lang w:val="sr-Latn-ME"/>
        </w:rPr>
        <w:t>ij</w:t>
      </w:r>
      <w:r w:rsidRPr="00777B5C">
        <w:rPr>
          <w:rFonts w:eastAsia="TimesNewRoman"/>
          <w:noProof/>
          <w:szCs w:val="22"/>
          <w:lang w:val="sr-Latn-ME"/>
        </w:rPr>
        <w:t>e prim</w:t>
      </w:r>
      <w:r w:rsidR="006E5BBD" w:rsidRPr="00777B5C">
        <w:rPr>
          <w:rFonts w:eastAsia="TimesNewRoman"/>
          <w:noProof/>
          <w:szCs w:val="22"/>
          <w:lang w:val="sr-Latn-ME"/>
        </w:rPr>
        <w:t>j</w:t>
      </w:r>
      <w:r w:rsidRPr="00777B5C">
        <w:rPr>
          <w:rFonts w:eastAsia="TimesNewRoman"/>
          <w:noProof/>
          <w:szCs w:val="22"/>
          <w:lang w:val="sr-Latn-ME"/>
        </w:rPr>
        <w:t>ene ovog l</w:t>
      </w:r>
      <w:r w:rsidR="006E5BBD" w:rsidRPr="00777B5C">
        <w:rPr>
          <w:rFonts w:eastAsia="TimesNewRoman"/>
          <w:noProof/>
          <w:szCs w:val="22"/>
          <w:lang w:val="sr-Latn-ME"/>
        </w:rPr>
        <w:t>ij</w:t>
      </w:r>
      <w:r w:rsidRPr="00777B5C">
        <w:rPr>
          <w:rFonts w:eastAsia="TimesNewRoman"/>
          <w:noProof/>
          <w:szCs w:val="22"/>
          <w:lang w:val="sr-Latn-ME"/>
        </w:rPr>
        <w:t>eka.</w:t>
      </w:r>
    </w:p>
    <w:p w14:paraId="5A69A4DB" w14:textId="7301087B" w:rsidR="00F56698" w:rsidRPr="00777B5C" w:rsidRDefault="00F56698">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Nije poznato da li se l</w:t>
      </w:r>
      <w:r w:rsidR="006E5BBD" w:rsidRPr="00777B5C">
        <w:rPr>
          <w:rFonts w:eastAsia="TimesNewRoman"/>
          <w:noProof/>
          <w:szCs w:val="22"/>
          <w:lang w:val="sr-Latn-ME"/>
        </w:rPr>
        <w:t>ij</w:t>
      </w:r>
      <w:r w:rsidRPr="00777B5C">
        <w:rPr>
          <w:rFonts w:eastAsia="TimesNewRoman"/>
          <w:noProof/>
          <w:szCs w:val="22"/>
          <w:lang w:val="sr-Latn-ME"/>
        </w:rPr>
        <w:t xml:space="preserve">ek </w:t>
      </w:r>
      <w:r w:rsidR="00CB7310" w:rsidRPr="00777B5C">
        <w:rPr>
          <w:rFonts w:eastAsia="TimesNewRoman"/>
          <w:noProof/>
          <w:szCs w:val="22"/>
          <w:lang w:val="sr-Latn-ME"/>
        </w:rPr>
        <w:t>Tigilin</w:t>
      </w:r>
      <w:r w:rsidRPr="00777B5C">
        <w:rPr>
          <w:rFonts w:eastAsia="TimesNewRoman"/>
          <w:noProof/>
          <w:szCs w:val="22"/>
          <w:lang w:val="sr-Latn-ME"/>
        </w:rPr>
        <w:t xml:space="preserve"> izlučuje u majčino ml</w:t>
      </w:r>
      <w:r w:rsidR="006E5BBD" w:rsidRPr="00777B5C">
        <w:rPr>
          <w:rFonts w:eastAsia="TimesNewRoman"/>
          <w:noProof/>
          <w:szCs w:val="22"/>
          <w:lang w:val="sr-Latn-ME"/>
        </w:rPr>
        <w:t>ij</w:t>
      </w:r>
      <w:r w:rsidRPr="00777B5C">
        <w:rPr>
          <w:rFonts w:eastAsia="TimesNewRoman"/>
          <w:noProof/>
          <w:szCs w:val="22"/>
          <w:lang w:val="sr-Latn-ME"/>
        </w:rPr>
        <w:t>eko kod ljudi. Pitajte Vašeg l</w:t>
      </w:r>
      <w:r w:rsidR="006E5BBD" w:rsidRPr="00777B5C">
        <w:rPr>
          <w:rFonts w:eastAsia="TimesNewRoman"/>
          <w:noProof/>
          <w:szCs w:val="22"/>
          <w:lang w:val="sr-Latn-ME"/>
        </w:rPr>
        <w:t>j</w:t>
      </w:r>
      <w:r w:rsidRPr="00777B5C">
        <w:rPr>
          <w:rFonts w:eastAsia="TimesNewRoman"/>
          <w:noProof/>
          <w:szCs w:val="22"/>
          <w:lang w:val="sr-Latn-ME"/>
        </w:rPr>
        <w:t>ekara za sav</w:t>
      </w:r>
      <w:r w:rsidR="006E5BBD" w:rsidRPr="00777B5C">
        <w:rPr>
          <w:rFonts w:eastAsia="TimesNewRoman"/>
          <w:noProof/>
          <w:szCs w:val="22"/>
          <w:lang w:val="sr-Latn-ME"/>
        </w:rPr>
        <w:t>j</w:t>
      </w:r>
      <w:r w:rsidRPr="00777B5C">
        <w:rPr>
          <w:rFonts w:eastAsia="TimesNewRoman"/>
          <w:noProof/>
          <w:szCs w:val="22"/>
          <w:lang w:val="sr-Latn-ME"/>
        </w:rPr>
        <w:t>et pr</w:t>
      </w:r>
      <w:r w:rsidR="006E5BBD" w:rsidRPr="00777B5C">
        <w:rPr>
          <w:rFonts w:eastAsia="TimesNewRoman"/>
          <w:noProof/>
          <w:szCs w:val="22"/>
          <w:lang w:val="sr-Latn-ME"/>
        </w:rPr>
        <w:t>ij</w:t>
      </w:r>
      <w:r w:rsidRPr="00777B5C">
        <w:rPr>
          <w:rFonts w:eastAsia="TimesNewRoman"/>
          <w:noProof/>
          <w:szCs w:val="22"/>
          <w:lang w:val="sr-Latn-ME"/>
        </w:rPr>
        <w:t>e nego što počnete da dojite Vašu bebu.</w:t>
      </w:r>
    </w:p>
    <w:p w14:paraId="6B9957CE" w14:textId="13656451" w:rsidR="00EF4319" w:rsidRPr="00777B5C" w:rsidRDefault="00EF4319" w:rsidP="007B2FC3">
      <w:pPr>
        <w:tabs>
          <w:tab w:val="clear" w:pos="284"/>
        </w:tabs>
        <w:rPr>
          <w:b/>
          <w:bCs/>
          <w:szCs w:val="22"/>
          <w:lang w:val="sr-Latn-ME"/>
        </w:rPr>
      </w:pPr>
      <w:r w:rsidRPr="00777B5C">
        <w:rPr>
          <w:b/>
          <w:szCs w:val="22"/>
          <w:lang w:val="sr-Latn-ME"/>
        </w:rPr>
        <w:t>Uticaj lijeka Tigilin na sposobnost upravljanja vozilima i rukovanje mašinama</w:t>
      </w:r>
      <w:r w:rsidRPr="00777B5C">
        <w:rPr>
          <w:b/>
          <w:bCs/>
          <w:szCs w:val="22"/>
          <w:lang w:val="sr-Latn-ME"/>
        </w:rPr>
        <w:t xml:space="preserve"> </w:t>
      </w:r>
    </w:p>
    <w:p w14:paraId="5AC4D41C" w14:textId="0AE93990" w:rsidR="00F56698" w:rsidRPr="00777B5C" w:rsidRDefault="00F56698"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L</w:t>
      </w:r>
      <w:r w:rsidR="006E5BBD" w:rsidRPr="00777B5C">
        <w:rPr>
          <w:rFonts w:eastAsia="TimesNewRoman"/>
          <w:noProof/>
          <w:szCs w:val="22"/>
          <w:lang w:val="sr-Latn-ME"/>
        </w:rPr>
        <w:t>ij</w:t>
      </w:r>
      <w:r w:rsidRPr="00777B5C">
        <w:rPr>
          <w:rFonts w:eastAsia="TimesNewRoman"/>
          <w:noProof/>
          <w:szCs w:val="22"/>
          <w:lang w:val="sr-Latn-ME"/>
        </w:rPr>
        <w:t xml:space="preserve">ek </w:t>
      </w:r>
      <w:r w:rsidR="00CB7310" w:rsidRPr="00777B5C">
        <w:rPr>
          <w:rFonts w:eastAsia="TimesNewRoman"/>
          <w:noProof/>
          <w:szCs w:val="22"/>
          <w:lang w:val="sr-Latn-ME"/>
        </w:rPr>
        <w:t>Tigilin</w:t>
      </w:r>
      <w:r w:rsidRPr="00777B5C">
        <w:rPr>
          <w:rFonts w:eastAsia="TimesNewRoman"/>
          <w:noProof/>
          <w:szCs w:val="22"/>
          <w:lang w:val="sr-Latn-ME"/>
        </w:rPr>
        <w:t xml:space="preserve"> može izazvati neželjene reakcije kao što je vrtoglavica. Ova pojava može smanjiti Vašu sposobnost upravljanja vozilom ili rukovanja mašinama.</w:t>
      </w:r>
    </w:p>
    <w:p w14:paraId="3052057B" w14:textId="35E3C5FE" w:rsidR="0047765A" w:rsidRPr="00777B5C" w:rsidRDefault="00F33530" w:rsidP="00F33530">
      <w:pPr>
        <w:tabs>
          <w:tab w:val="clear" w:pos="284"/>
        </w:tabs>
        <w:autoSpaceDE w:val="0"/>
        <w:autoSpaceDN w:val="0"/>
        <w:adjustRightInd w:val="0"/>
        <w:spacing w:before="120" w:after="120"/>
        <w:rPr>
          <w:b/>
          <w:szCs w:val="22"/>
          <w:lang w:val="sr-Latn-ME"/>
        </w:rPr>
      </w:pPr>
      <w:r w:rsidRPr="00777B5C">
        <w:rPr>
          <w:b/>
          <w:szCs w:val="22"/>
          <w:lang w:val="sr-Latn-ME"/>
        </w:rPr>
        <w:t>Važne informacije o nekim sastojcima lijeka Tigilin</w:t>
      </w:r>
    </w:p>
    <w:p w14:paraId="7E2F6F58" w14:textId="6A577D3F" w:rsidR="00F33530" w:rsidRPr="00777B5C" w:rsidRDefault="00F33530" w:rsidP="00F33530">
      <w:pPr>
        <w:tabs>
          <w:tab w:val="clear" w:pos="284"/>
        </w:tabs>
        <w:autoSpaceDE w:val="0"/>
        <w:autoSpaceDN w:val="0"/>
        <w:adjustRightInd w:val="0"/>
        <w:spacing w:before="120" w:after="120"/>
        <w:rPr>
          <w:szCs w:val="22"/>
          <w:lang w:val="sr-Latn-ME"/>
        </w:rPr>
      </w:pPr>
      <w:r w:rsidRPr="00777B5C">
        <w:rPr>
          <w:szCs w:val="22"/>
          <w:lang w:val="sr-Latn-ME"/>
        </w:rPr>
        <w:t>Lijek Tigilin sadrži manje od 1 mmol (23 mg) natrijuma u 5 ml rastvora, tj. zanemarljive količine natrijuma.</w:t>
      </w:r>
    </w:p>
    <w:p w14:paraId="396CC46F" w14:textId="77777777" w:rsidR="00F33530" w:rsidRPr="00777B5C" w:rsidRDefault="00F33530" w:rsidP="00F33530">
      <w:pPr>
        <w:tabs>
          <w:tab w:val="clear" w:pos="284"/>
        </w:tabs>
        <w:autoSpaceDE w:val="0"/>
        <w:autoSpaceDN w:val="0"/>
        <w:adjustRightInd w:val="0"/>
        <w:spacing w:before="120" w:after="120"/>
        <w:rPr>
          <w:rFonts w:eastAsia="TimesNewRoman"/>
          <w:noProof/>
          <w:szCs w:val="22"/>
          <w:lang w:val="sr-Latn-ME"/>
        </w:rPr>
      </w:pPr>
    </w:p>
    <w:p w14:paraId="4CB43BE0" w14:textId="47262AD1" w:rsidR="00EF4319" w:rsidRPr="00777B5C" w:rsidRDefault="00EF4319" w:rsidP="007B2FC3">
      <w:pPr>
        <w:tabs>
          <w:tab w:val="clear" w:pos="284"/>
          <w:tab w:val="left" w:pos="540"/>
          <w:tab w:val="left" w:pos="569"/>
        </w:tabs>
        <w:spacing w:line="480" w:lineRule="auto"/>
        <w:rPr>
          <w:b/>
          <w:bCs/>
          <w:szCs w:val="22"/>
          <w:lang w:val="sr-Latn-ME"/>
        </w:rPr>
      </w:pPr>
      <w:r w:rsidRPr="00777B5C">
        <w:rPr>
          <w:b/>
          <w:bCs/>
          <w:szCs w:val="22"/>
          <w:lang w:val="sr-Latn-ME"/>
        </w:rPr>
        <w:t xml:space="preserve">3. </w:t>
      </w:r>
      <w:r w:rsidRPr="00777B5C">
        <w:rPr>
          <w:b/>
          <w:bCs/>
          <w:szCs w:val="22"/>
          <w:lang w:val="sr-Latn-ME"/>
        </w:rPr>
        <w:tab/>
        <w:t>KAKO SE UPOTREBLJAVA LIJEK TIGILIN</w:t>
      </w:r>
    </w:p>
    <w:p w14:paraId="608E2720" w14:textId="3A6CC690" w:rsidR="00792E3F" w:rsidRPr="00777B5C" w:rsidRDefault="00792E3F"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L</w:t>
      </w:r>
      <w:r w:rsidR="006E5BBD" w:rsidRPr="00777B5C">
        <w:rPr>
          <w:rFonts w:eastAsia="TimesNewRoman"/>
          <w:noProof/>
          <w:szCs w:val="22"/>
          <w:lang w:val="sr-Latn-ME"/>
        </w:rPr>
        <w:t>ij</w:t>
      </w:r>
      <w:r w:rsidRPr="00777B5C">
        <w:rPr>
          <w:rFonts w:eastAsia="TimesNewRoman"/>
          <w:noProof/>
          <w:szCs w:val="22"/>
          <w:lang w:val="sr-Latn-ME"/>
        </w:rPr>
        <w:t>ek Tigilin će Vam dati l</w:t>
      </w:r>
      <w:r w:rsidR="006E5BBD" w:rsidRPr="00777B5C">
        <w:rPr>
          <w:rFonts w:eastAsia="TimesNewRoman"/>
          <w:noProof/>
          <w:szCs w:val="22"/>
          <w:lang w:val="sr-Latn-ME"/>
        </w:rPr>
        <w:t>j</w:t>
      </w:r>
      <w:r w:rsidRPr="00777B5C">
        <w:rPr>
          <w:rFonts w:eastAsia="TimesNewRoman"/>
          <w:noProof/>
          <w:szCs w:val="22"/>
          <w:lang w:val="sr-Latn-ME"/>
        </w:rPr>
        <w:t>ekar ili medicinska sestra.</w:t>
      </w:r>
    </w:p>
    <w:p w14:paraId="6CAC1D09" w14:textId="1D4947A4" w:rsidR="00792E3F" w:rsidRPr="00777B5C" w:rsidRDefault="00792E3F">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Preporučena početna doza kod odraslih je 100 mg inicijalno, a zatim 50 mg na svakih 12 sati. L</w:t>
      </w:r>
      <w:r w:rsidR="006E5BBD" w:rsidRPr="00777B5C">
        <w:rPr>
          <w:rFonts w:eastAsia="TimesNewRoman"/>
          <w:noProof/>
          <w:szCs w:val="22"/>
          <w:lang w:val="sr-Latn-ME"/>
        </w:rPr>
        <w:t>ij</w:t>
      </w:r>
      <w:r w:rsidRPr="00777B5C">
        <w:rPr>
          <w:rFonts w:eastAsia="TimesNewRoman"/>
          <w:noProof/>
          <w:szCs w:val="22"/>
          <w:lang w:val="sr-Latn-ME"/>
        </w:rPr>
        <w:t>ek se prim</w:t>
      </w:r>
      <w:r w:rsidR="006E5BBD" w:rsidRPr="00777B5C">
        <w:rPr>
          <w:rFonts w:eastAsia="TimesNewRoman"/>
          <w:noProof/>
          <w:szCs w:val="22"/>
          <w:lang w:val="sr-Latn-ME"/>
        </w:rPr>
        <w:t>j</w:t>
      </w:r>
      <w:r w:rsidRPr="00777B5C">
        <w:rPr>
          <w:rFonts w:eastAsia="TimesNewRoman"/>
          <w:noProof/>
          <w:szCs w:val="22"/>
          <w:lang w:val="sr-Latn-ME"/>
        </w:rPr>
        <w:t>enjuje intravenski (direktno u krvotok) tokom 30 do 60 minuta.</w:t>
      </w:r>
    </w:p>
    <w:p w14:paraId="153CEE8E" w14:textId="1F4E1940" w:rsidR="00792E3F" w:rsidRPr="00777B5C" w:rsidRDefault="00792E3F">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Preporučena doza kod d</w:t>
      </w:r>
      <w:r w:rsidR="006E5BBD" w:rsidRPr="00777B5C">
        <w:rPr>
          <w:rFonts w:eastAsia="TimesNewRoman"/>
          <w:noProof/>
          <w:szCs w:val="22"/>
          <w:lang w:val="sr-Latn-ME"/>
        </w:rPr>
        <w:t>j</w:t>
      </w:r>
      <w:r w:rsidRPr="00777B5C">
        <w:rPr>
          <w:rFonts w:eastAsia="TimesNewRoman"/>
          <w:noProof/>
          <w:szCs w:val="22"/>
          <w:lang w:val="sr-Latn-ME"/>
        </w:rPr>
        <w:t>ece uzrasta od 8 do &lt; 12 godina je 1,2 mg/kg na svakih 12 sati intravenski, do maksimalne doze od 50 mg na svakih 12 sati.</w:t>
      </w:r>
    </w:p>
    <w:p w14:paraId="5D988285" w14:textId="05FC9FB7" w:rsidR="00792E3F" w:rsidRPr="00777B5C" w:rsidRDefault="00792E3F">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Preporučena doza kod adolescenata uzrasta od 12 do &lt; 18 godina je 50 mg na svakih 12 sati.</w:t>
      </w:r>
    </w:p>
    <w:p w14:paraId="3ED4065A" w14:textId="122B6858" w:rsidR="00792E3F" w:rsidRPr="00777B5C" w:rsidRDefault="00792E3F">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Terapija obično traje 5 do 14 dana. Vaš l</w:t>
      </w:r>
      <w:r w:rsidR="006E5BBD" w:rsidRPr="00777B5C">
        <w:rPr>
          <w:rFonts w:eastAsia="TimesNewRoman"/>
          <w:noProof/>
          <w:szCs w:val="22"/>
          <w:lang w:val="sr-Latn-ME"/>
        </w:rPr>
        <w:t>j</w:t>
      </w:r>
      <w:r w:rsidRPr="00777B5C">
        <w:rPr>
          <w:rFonts w:eastAsia="TimesNewRoman"/>
          <w:noProof/>
          <w:szCs w:val="22"/>
          <w:lang w:val="sr-Latn-ME"/>
        </w:rPr>
        <w:t>ekar će odrediti dužinu trajanja terapije.</w:t>
      </w:r>
    </w:p>
    <w:p w14:paraId="670482F5" w14:textId="19141BD3" w:rsidR="00792E3F" w:rsidRPr="00777B5C" w:rsidRDefault="00792E3F">
      <w:pPr>
        <w:tabs>
          <w:tab w:val="clear" w:pos="284"/>
        </w:tabs>
        <w:autoSpaceDE w:val="0"/>
        <w:autoSpaceDN w:val="0"/>
        <w:adjustRightInd w:val="0"/>
        <w:spacing w:before="120" w:after="120"/>
        <w:rPr>
          <w:rFonts w:eastAsia="TimesNewRoman,Bold"/>
          <w:b/>
          <w:bCs/>
          <w:noProof/>
          <w:szCs w:val="22"/>
          <w:lang w:val="sr-Latn-ME"/>
        </w:rPr>
      </w:pPr>
      <w:r w:rsidRPr="00777B5C">
        <w:rPr>
          <w:rFonts w:eastAsia="TimesNewRoman,Bold"/>
          <w:b/>
          <w:bCs/>
          <w:noProof/>
          <w:szCs w:val="22"/>
          <w:lang w:val="sr-Latn-ME"/>
        </w:rPr>
        <w:t>Ako ste primili više l</w:t>
      </w:r>
      <w:r w:rsidR="006E5BBD" w:rsidRPr="00777B5C">
        <w:rPr>
          <w:rFonts w:eastAsia="TimesNewRoman,Bold"/>
          <w:b/>
          <w:bCs/>
          <w:noProof/>
          <w:szCs w:val="22"/>
          <w:lang w:val="sr-Latn-ME"/>
        </w:rPr>
        <w:t>ij</w:t>
      </w:r>
      <w:r w:rsidRPr="00777B5C">
        <w:rPr>
          <w:rFonts w:eastAsia="TimesNewRoman,Bold"/>
          <w:b/>
          <w:bCs/>
          <w:noProof/>
          <w:szCs w:val="22"/>
          <w:lang w:val="sr-Latn-ME"/>
        </w:rPr>
        <w:t xml:space="preserve">eka Tigilin nego što </w:t>
      </w:r>
      <w:r w:rsidR="006E5BBD" w:rsidRPr="00777B5C">
        <w:rPr>
          <w:rFonts w:eastAsia="TimesNewRoman,Bold"/>
          <w:b/>
          <w:bCs/>
          <w:noProof/>
          <w:szCs w:val="22"/>
          <w:lang w:val="sr-Latn-ME"/>
        </w:rPr>
        <w:t xml:space="preserve">je </w:t>
      </w:r>
      <w:r w:rsidRPr="00777B5C">
        <w:rPr>
          <w:rFonts w:eastAsia="TimesNewRoman,Bold"/>
          <w:b/>
          <w:bCs/>
          <w:noProof/>
          <w:szCs w:val="22"/>
          <w:lang w:val="sr-Latn-ME"/>
        </w:rPr>
        <w:t>treba</w:t>
      </w:r>
      <w:r w:rsidR="006E5BBD" w:rsidRPr="00777B5C">
        <w:rPr>
          <w:rFonts w:eastAsia="TimesNewRoman,Bold"/>
          <w:b/>
          <w:bCs/>
          <w:noProof/>
          <w:szCs w:val="22"/>
          <w:lang w:val="sr-Latn-ME"/>
        </w:rPr>
        <w:t>lo</w:t>
      </w:r>
    </w:p>
    <w:p w14:paraId="11AA11BD" w14:textId="531281B9" w:rsidR="00792E3F" w:rsidRPr="00777B5C" w:rsidRDefault="00792E3F">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Ako Vas zabrinjava da li ste primili previše l</w:t>
      </w:r>
      <w:r w:rsidR="006E5BBD" w:rsidRPr="00777B5C">
        <w:rPr>
          <w:rFonts w:eastAsia="TimesNewRoman"/>
          <w:noProof/>
          <w:szCs w:val="22"/>
          <w:lang w:val="sr-Latn-ME"/>
        </w:rPr>
        <w:t>ij</w:t>
      </w:r>
      <w:r w:rsidRPr="00777B5C">
        <w:rPr>
          <w:rFonts w:eastAsia="TimesNewRoman"/>
          <w:noProof/>
          <w:szCs w:val="22"/>
          <w:lang w:val="sr-Latn-ME"/>
        </w:rPr>
        <w:t>eka Tigilin, odmah se obratite Vašem l</w:t>
      </w:r>
      <w:r w:rsidR="006E5BBD" w:rsidRPr="00777B5C">
        <w:rPr>
          <w:rFonts w:eastAsia="TimesNewRoman"/>
          <w:noProof/>
          <w:szCs w:val="22"/>
          <w:lang w:val="sr-Latn-ME"/>
        </w:rPr>
        <w:t>j</w:t>
      </w:r>
      <w:r w:rsidRPr="00777B5C">
        <w:rPr>
          <w:rFonts w:eastAsia="TimesNewRoman"/>
          <w:noProof/>
          <w:szCs w:val="22"/>
          <w:lang w:val="sr-Latn-ME"/>
        </w:rPr>
        <w:t>ekaru ili medicinskoj sestri.</w:t>
      </w:r>
    </w:p>
    <w:p w14:paraId="44774605" w14:textId="20372FF9" w:rsidR="00792E3F" w:rsidRPr="00777B5C" w:rsidRDefault="00792E3F">
      <w:pPr>
        <w:tabs>
          <w:tab w:val="clear" w:pos="284"/>
        </w:tabs>
        <w:autoSpaceDE w:val="0"/>
        <w:autoSpaceDN w:val="0"/>
        <w:adjustRightInd w:val="0"/>
        <w:spacing w:before="120" w:after="120"/>
        <w:rPr>
          <w:rFonts w:eastAsia="TimesNewRoman,Bold"/>
          <w:b/>
          <w:bCs/>
          <w:noProof/>
          <w:szCs w:val="22"/>
          <w:lang w:val="sr-Latn-ME"/>
        </w:rPr>
      </w:pPr>
      <w:r w:rsidRPr="00777B5C">
        <w:rPr>
          <w:rFonts w:eastAsia="TimesNewRoman,Bold"/>
          <w:b/>
          <w:bCs/>
          <w:noProof/>
          <w:szCs w:val="22"/>
          <w:lang w:val="sr-Latn-ME"/>
        </w:rPr>
        <w:t>Ako ste zaboravili da primite l</w:t>
      </w:r>
      <w:r w:rsidR="006E5BBD" w:rsidRPr="00777B5C">
        <w:rPr>
          <w:rFonts w:eastAsia="TimesNewRoman,Bold"/>
          <w:b/>
          <w:bCs/>
          <w:noProof/>
          <w:szCs w:val="22"/>
          <w:lang w:val="sr-Latn-ME"/>
        </w:rPr>
        <w:t>ij</w:t>
      </w:r>
      <w:r w:rsidRPr="00777B5C">
        <w:rPr>
          <w:rFonts w:eastAsia="TimesNewRoman,Bold"/>
          <w:b/>
          <w:bCs/>
          <w:noProof/>
          <w:szCs w:val="22"/>
          <w:lang w:val="sr-Latn-ME"/>
        </w:rPr>
        <w:t>ek Tigilin</w:t>
      </w:r>
    </w:p>
    <w:p w14:paraId="016A1556" w14:textId="700B0993" w:rsidR="003E46D3" w:rsidRPr="00777B5C" w:rsidRDefault="00792E3F" w:rsidP="007B2FC3">
      <w:pPr>
        <w:tabs>
          <w:tab w:val="clear" w:pos="284"/>
        </w:tabs>
        <w:autoSpaceDE w:val="0"/>
        <w:autoSpaceDN w:val="0"/>
        <w:adjustRightInd w:val="0"/>
        <w:spacing w:before="120" w:after="120"/>
        <w:rPr>
          <w:b/>
          <w:bCs/>
          <w:noProof/>
          <w:szCs w:val="22"/>
          <w:lang w:val="sr-Latn-ME"/>
        </w:rPr>
      </w:pPr>
      <w:r w:rsidRPr="00777B5C">
        <w:rPr>
          <w:rFonts w:eastAsia="TimesNewRoman"/>
          <w:noProof/>
          <w:szCs w:val="22"/>
          <w:lang w:val="sr-Latn-ME"/>
        </w:rPr>
        <w:t>Ako Vas zabrinjava da ste možda propustili primanje doze l</w:t>
      </w:r>
      <w:r w:rsidR="006E5BBD" w:rsidRPr="00777B5C">
        <w:rPr>
          <w:rFonts w:eastAsia="TimesNewRoman"/>
          <w:noProof/>
          <w:szCs w:val="22"/>
          <w:lang w:val="sr-Latn-ME"/>
        </w:rPr>
        <w:t>ij</w:t>
      </w:r>
      <w:r w:rsidRPr="00777B5C">
        <w:rPr>
          <w:rFonts w:eastAsia="TimesNewRoman"/>
          <w:noProof/>
          <w:szCs w:val="22"/>
          <w:lang w:val="sr-Latn-ME"/>
        </w:rPr>
        <w:t>eka T</w:t>
      </w:r>
      <w:r w:rsidR="006E5BBD" w:rsidRPr="00777B5C">
        <w:rPr>
          <w:rFonts w:eastAsia="TimesNewRoman"/>
          <w:noProof/>
          <w:szCs w:val="22"/>
          <w:lang w:val="sr-Latn-ME"/>
        </w:rPr>
        <w:t>i</w:t>
      </w:r>
      <w:r w:rsidRPr="00777B5C">
        <w:rPr>
          <w:rFonts w:eastAsia="TimesNewRoman"/>
          <w:noProof/>
          <w:szCs w:val="22"/>
          <w:lang w:val="sr-Latn-ME"/>
        </w:rPr>
        <w:t>g</w:t>
      </w:r>
      <w:r w:rsidR="006E5BBD" w:rsidRPr="00777B5C">
        <w:rPr>
          <w:rFonts w:eastAsia="TimesNewRoman"/>
          <w:noProof/>
          <w:szCs w:val="22"/>
          <w:lang w:val="sr-Latn-ME"/>
        </w:rPr>
        <w:t>ilin</w:t>
      </w:r>
      <w:r w:rsidRPr="00777B5C">
        <w:rPr>
          <w:rFonts w:eastAsia="TimesNewRoman"/>
          <w:noProof/>
          <w:szCs w:val="22"/>
          <w:lang w:val="sr-Latn-ME"/>
        </w:rPr>
        <w:t>, odmah se obratite Vašem l</w:t>
      </w:r>
      <w:r w:rsidR="006E5BBD" w:rsidRPr="00777B5C">
        <w:rPr>
          <w:rFonts w:eastAsia="TimesNewRoman"/>
          <w:noProof/>
          <w:szCs w:val="22"/>
          <w:lang w:val="sr-Latn-ME"/>
        </w:rPr>
        <w:t>j</w:t>
      </w:r>
      <w:r w:rsidRPr="00777B5C">
        <w:rPr>
          <w:rFonts w:eastAsia="TimesNewRoman"/>
          <w:noProof/>
          <w:szCs w:val="22"/>
          <w:lang w:val="sr-Latn-ME"/>
        </w:rPr>
        <w:t>ekaru ili medicinskoj sestri.</w:t>
      </w:r>
      <w:r w:rsidR="00762652" w:rsidRPr="00777B5C">
        <w:rPr>
          <w:b/>
          <w:bCs/>
          <w:noProof/>
          <w:szCs w:val="22"/>
          <w:lang w:val="sr-Latn-ME"/>
        </w:rPr>
        <w:t xml:space="preserve"> </w:t>
      </w:r>
    </w:p>
    <w:p w14:paraId="3B45D3A9" w14:textId="77777777" w:rsidR="003E46D3" w:rsidRPr="00777B5C" w:rsidRDefault="003E46D3">
      <w:pPr>
        <w:tabs>
          <w:tab w:val="clear" w:pos="284"/>
        </w:tabs>
        <w:autoSpaceDE w:val="0"/>
        <w:autoSpaceDN w:val="0"/>
        <w:adjustRightInd w:val="0"/>
        <w:spacing w:before="120" w:after="120"/>
        <w:rPr>
          <w:b/>
          <w:bCs/>
          <w:noProof/>
          <w:szCs w:val="22"/>
          <w:lang w:val="sr-Latn-ME"/>
        </w:rPr>
      </w:pPr>
    </w:p>
    <w:p w14:paraId="26B32B0E" w14:textId="7389E805" w:rsidR="00EF4319" w:rsidRPr="00777B5C" w:rsidRDefault="008B5DD9" w:rsidP="007B2FC3">
      <w:pPr>
        <w:tabs>
          <w:tab w:val="clear" w:pos="284"/>
        </w:tabs>
        <w:autoSpaceDE w:val="0"/>
        <w:autoSpaceDN w:val="0"/>
        <w:adjustRightInd w:val="0"/>
        <w:spacing w:before="120" w:after="120"/>
        <w:ind w:hanging="426"/>
        <w:rPr>
          <w:b/>
          <w:bCs/>
          <w:szCs w:val="22"/>
          <w:lang w:val="sr-Latn-ME"/>
        </w:rPr>
      </w:pPr>
      <w:r>
        <w:rPr>
          <w:b/>
          <w:bCs/>
          <w:szCs w:val="22"/>
          <w:lang w:val="sr-Latn-ME"/>
        </w:rPr>
        <w:t xml:space="preserve">        </w:t>
      </w:r>
      <w:r w:rsidR="00EF4319" w:rsidRPr="00777B5C">
        <w:rPr>
          <w:b/>
          <w:bCs/>
          <w:szCs w:val="22"/>
          <w:lang w:val="sr-Latn-ME"/>
        </w:rPr>
        <w:t>4.</w:t>
      </w:r>
      <w:r w:rsidR="003E46D3" w:rsidRPr="00777B5C">
        <w:rPr>
          <w:b/>
          <w:bCs/>
          <w:szCs w:val="22"/>
          <w:lang w:val="sr-Latn-ME"/>
        </w:rPr>
        <w:tab/>
      </w:r>
      <w:r>
        <w:rPr>
          <w:b/>
          <w:bCs/>
          <w:szCs w:val="22"/>
          <w:lang w:val="sr-Latn-ME"/>
        </w:rPr>
        <w:t xml:space="preserve">     </w:t>
      </w:r>
      <w:r w:rsidR="00EF4319" w:rsidRPr="00777B5C">
        <w:rPr>
          <w:b/>
          <w:bCs/>
          <w:szCs w:val="22"/>
          <w:lang w:val="sr-Latn-ME"/>
        </w:rPr>
        <w:t>MOGUĆA NEŽELJENA DEJSTVA</w:t>
      </w:r>
    </w:p>
    <w:p w14:paraId="3CECC8BF" w14:textId="77777777" w:rsidR="00EF4319" w:rsidRPr="00777B5C" w:rsidRDefault="00EF4319" w:rsidP="007B2FC3">
      <w:pPr>
        <w:tabs>
          <w:tab w:val="clear" w:pos="284"/>
          <w:tab w:val="left" w:pos="540"/>
          <w:tab w:val="left" w:pos="569"/>
        </w:tabs>
        <w:rPr>
          <w:b/>
          <w:bCs/>
          <w:szCs w:val="22"/>
          <w:lang w:val="sr-Latn-ME"/>
        </w:rPr>
      </w:pPr>
    </w:p>
    <w:p w14:paraId="6D2D67A7" w14:textId="7DF7D380" w:rsidR="00EF4319" w:rsidRPr="00777B5C" w:rsidRDefault="00EF4319" w:rsidP="007B2FC3">
      <w:pPr>
        <w:numPr>
          <w:ilvl w:val="12"/>
          <w:numId w:val="0"/>
        </w:numPr>
        <w:tabs>
          <w:tab w:val="clear" w:pos="284"/>
          <w:tab w:val="left" w:pos="720"/>
        </w:tabs>
        <w:ind w:right="-29"/>
        <w:rPr>
          <w:szCs w:val="22"/>
          <w:lang w:val="sr-Latn-ME"/>
        </w:rPr>
      </w:pPr>
      <w:r w:rsidRPr="00777B5C">
        <w:rPr>
          <w:szCs w:val="22"/>
          <w:lang w:val="sr-Latn-ME"/>
        </w:rPr>
        <w:t>Kao i svi ljekovi i lijek Tigilin može izazvati neželjena dejstva, iako se ona ne moraju javiti kod svakoga.</w:t>
      </w:r>
    </w:p>
    <w:p w14:paraId="60D5E92A" w14:textId="12DE87B2" w:rsidR="00792E3F" w:rsidRPr="00777B5C" w:rsidRDefault="00792E3F" w:rsidP="0047765A">
      <w:p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Pseudomembranozni kolitis se može javiti prilikom upotrebe većine antibiotika, uključujući i l</w:t>
      </w:r>
      <w:r w:rsidR="006E5BBD" w:rsidRPr="00777B5C">
        <w:rPr>
          <w:rFonts w:eastAsia="TimesNewRoman"/>
          <w:szCs w:val="22"/>
          <w:lang w:val="sr-Latn-ME"/>
        </w:rPr>
        <w:t>ij</w:t>
      </w:r>
      <w:r w:rsidRPr="00777B5C">
        <w:rPr>
          <w:rFonts w:eastAsia="TimesNewRoman"/>
          <w:szCs w:val="22"/>
          <w:lang w:val="sr-Latn-ME"/>
        </w:rPr>
        <w:t xml:space="preserve">ek </w:t>
      </w:r>
      <w:r w:rsidR="004A0CC4" w:rsidRPr="00777B5C">
        <w:rPr>
          <w:rFonts w:eastAsia="TimesNewRoman"/>
          <w:szCs w:val="22"/>
          <w:lang w:val="sr-Latn-ME"/>
        </w:rPr>
        <w:t>Tigilin. Može</w:t>
      </w:r>
      <w:r w:rsidRPr="00777B5C">
        <w:rPr>
          <w:rFonts w:eastAsia="TimesNewRoman"/>
          <w:szCs w:val="22"/>
          <w:lang w:val="sr-Latn-ME"/>
        </w:rPr>
        <w:t xml:space="preserve"> se manifestovati kao težak, uporan ili krvav proliv</w:t>
      </w:r>
      <w:r w:rsidR="0004021E" w:rsidRPr="00777B5C">
        <w:rPr>
          <w:rFonts w:eastAsia="TimesNewRoman"/>
          <w:szCs w:val="22"/>
          <w:lang w:val="sr-Latn-ME"/>
        </w:rPr>
        <w:t>,</w:t>
      </w:r>
      <w:r w:rsidRPr="00777B5C">
        <w:rPr>
          <w:rFonts w:eastAsia="TimesNewRoman"/>
          <w:szCs w:val="22"/>
          <w:lang w:val="sr-Latn-ME"/>
        </w:rPr>
        <w:t xml:space="preserve"> udružen sa bolom u trbuhu ili povišenom</w:t>
      </w:r>
      <w:r w:rsidR="0084234F" w:rsidRPr="00777B5C">
        <w:rPr>
          <w:rFonts w:eastAsia="TimesNewRoman"/>
          <w:szCs w:val="22"/>
          <w:lang w:val="sr-Latn-ME"/>
        </w:rPr>
        <w:t xml:space="preserve"> </w:t>
      </w:r>
      <w:r w:rsidRPr="00777B5C">
        <w:rPr>
          <w:rFonts w:eastAsia="TimesNewRoman"/>
          <w:szCs w:val="22"/>
          <w:lang w:val="sr-Latn-ME"/>
        </w:rPr>
        <w:t>temperaturom, što može biti znak teškog zapaljenja cr</w:t>
      </w:r>
      <w:r w:rsidR="006E5BBD" w:rsidRPr="00777B5C">
        <w:rPr>
          <w:rFonts w:eastAsia="TimesNewRoman"/>
          <w:szCs w:val="22"/>
          <w:lang w:val="sr-Latn-ME"/>
        </w:rPr>
        <w:t>ij</w:t>
      </w:r>
      <w:r w:rsidRPr="00777B5C">
        <w:rPr>
          <w:rFonts w:eastAsia="TimesNewRoman"/>
          <w:szCs w:val="22"/>
          <w:lang w:val="sr-Latn-ME"/>
        </w:rPr>
        <w:t>eva, a može se pojaviti za vr</w:t>
      </w:r>
      <w:r w:rsidR="006E5BBD" w:rsidRPr="00777B5C">
        <w:rPr>
          <w:rFonts w:eastAsia="TimesNewRoman"/>
          <w:szCs w:val="22"/>
          <w:lang w:val="sr-Latn-ME"/>
        </w:rPr>
        <w:t>ij</w:t>
      </w:r>
      <w:r w:rsidRPr="00777B5C">
        <w:rPr>
          <w:rFonts w:eastAsia="TimesNewRoman"/>
          <w:szCs w:val="22"/>
          <w:lang w:val="sr-Latn-ME"/>
        </w:rPr>
        <w:t>eme ili nakon terapije.</w:t>
      </w:r>
    </w:p>
    <w:p w14:paraId="095EC887" w14:textId="26E2F4A5" w:rsidR="00792E3F" w:rsidRPr="00777B5C" w:rsidRDefault="00792E3F">
      <w:pPr>
        <w:tabs>
          <w:tab w:val="clear" w:pos="284"/>
        </w:tabs>
        <w:autoSpaceDE w:val="0"/>
        <w:autoSpaceDN w:val="0"/>
        <w:adjustRightInd w:val="0"/>
        <w:spacing w:before="120" w:after="120"/>
        <w:rPr>
          <w:rFonts w:eastAsia="TimesNewRoman"/>
          <w:szCs w:val="22"/>
          <w:lang w:val="sr-Latn-ME"/>
        </w:rPr>
      </w:pPr>
      <w:r w:rsidRPr="00777B5C">
        <w:rPr>
          <w:rFonts w:eastAsia="TimesNewRoman,Bold"/>
          <w:b/>
          <w:bCs/>
          <w:szCs w:val="22"/>
          <w:lang w:val="sr-Latn-ME"/>
        </w:rPr>
        <w:t xml:space="preserve">Veoma česta </w:t>
      </w:r>
      <w:r w:rsidRPr="00777B5C">
        <w:rPr>
          <w:rFonts w:eastAsia="TimesNewRoman"/>
          <w:szCs w:val="22"/>
          <w:lang w:val="sr-Latn-ME"/>
        </w:rPr>
        <w:t>neželjena dejstva (mogu da se jave kod više od 1 na 10 pacijenata koji uzimaju l</w:t>
      </w:r>
      <w:r w:rsidR="006E5BBD" w:rsidRPr="00777B5C">
        <w:rPr>
          <w:rFonts w:eastAsia="TimesNewRoman"/>
          <w:szCs w:val="22"/>
          <w:lang w:val="sr-Latn-ME"/>
        </w:rPr>
        <w:t>ij</w:t>
      </w:r>
      <w:r w:rsidRPr="00777B5C">
        <w:rPr>
          <w:rFonts w:eastAsia="TimesNewRoman"/>
          <w:szCs w:val="22"/>
          <w:lang w:val="sr-Latn-ME"/>
        </w:rPr>
        <w:t>ek):</w:t>
      </w:r>
    </w:p>
    <w:p w14:paraId="143F9579" w14:textId="30504240" w:rsidR="00792E3F" w:rsidRPr="00777B5C" w:rsidRDefault="00792E3F" w:rsidP="005C4BDD">
      <w:pPr>
        <w:numPr>
          <w:ilvl w:val="0"/>
          <w:numId w:val="13"/>
        </w:numPr>
        <w:tabs>
          <w:tab w:val="clear" w:pos="284"/>
        </w:tabs>
        <w:autoSpaceDE w:val="0"/>
        <w:autoSpaceDN w:val="0"/>
        <w:adjustRightInd w:val="0"/>
        <w:spacing w:before="120" w:after="120"/>
        <w:ind w:left="567" w:hanging="426"/>
        <w:rPr>
          <w:rFonts w:eastAsia="TimesNewRoman"/>
          <w:szCs w:val="22"/>
          <w:lang w:val="sr-Latn-ME"/>
        </w:rPr>
      </w:pPr>
      <w:r w:rsidRPr="00777B5C">
        <w:rPr>
          <w:rFonts w:eastAsia="TimesNewRoman"/>
          <w:szCs w:val="22"/>
          <w:lang w:val="sr-Latn-ME"/>
        </w:rPr>
        <w:t>mučnina, povraćanje, proliv.</w:t>
      </w:r>
    </w:p>
    <w:p w14:paraId="6655FFCC" w14:textId="2B0D66F4" w:rsidR="00792E3F" w:rsidRPr="00777B5C" w:rsidRDefault="00792E3F">
      <w:pPr>
        <w:tabs>
          <w:tab w:val="clear" w:pos="284"/>
        </w:tabs>
        <w:autoSpaceDE w:val="0"/>
        <w:autoSpaceDN w:val="0"/>
        <w:adjustRightInd w:val="0"/>
        <w:spacing w:before="120" w:after="120"/>
        <w:rPr>
          <w:rFonts w:eastAsia="TimesNewRoman"/>
          <w:szCs w:val="22"/>
          <w:lang w:val="sr-Latn-ME"/>
        </w:rPr>
      </w:pPr>
      <w:r w:rsidRPr="00777B5C">
        <w:rPr>
          <w:rFonts w:eastAsia="TimesNewRoman,Bold"/>
          <w:b/>
          <w:bCs/>
          <w:szCs w:val="22"/>
          <w:lang w:val="sr-Latn-ME"/>
        </w:rPr>
        <w:t xml:space="preserve">Česta </w:t>
      </w:r>
      <w:r w:rsidRPr="00777B5C">
        <w:rPr>
          <w:rFonts w:eastAsia="TimesNewRoman"/>
          <w:szCs w:val="22"/>
          <w:lang w:val="sr-Latn-ME"/>
        </w:rPr>
        <w:t>neželjena dejstva (mogu da se jave kod najviše 1 na 10 pacijenata koji uzimaju l</w:t>
      </w:r>
      <w:r w:rsidR="006E5BBD" w:rsidRPr="00777B5C">
        <w:rPr>
          <w:rFonts w:eastAsia="TimesNewRoman"/>
          <w:szCs w:val="22"/>
          <w:lang w:val="sr-Latn-ME"/>
        </w:rPr>
        <w:t>ij</w:t>
      </w:r>
      <w:r w:rsidRPr="00777B5C">
        <w:rPr>
          <w:rFonts w:eastAsia="TimesNewRoman"/>
          <w:szCs w:val="22"/>
          <w:lang w:val="sr-Latn-ME"/>
        </w:rPr>
        <w:t>ek):</w:t>
      </w:r>
    </w:p>
    <w:p w14:paraId="2F8266F6" w14:textId="77777777" w:rsidR="0004021E" w:rsidRPr="00777B5C" w:rsidRDefault="00792E3F">
      <w:pPr>
        <w:numPr>
          <w:ilvl w:val="0"/>
          <w:numId w:val="13"/>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apsces (nakupljanje gnoja), infekcije;</w:t>
      </w:r>
    </w:p>
    <w:p w14:paraId="2EFBF73A" w14:textId="77777777" w:rsidR="0004021E" w:rsidRPr="00777B5C" w:rsidRDefault="00792E3F">
      <w:pPr>
        <w:numPr>
          <w:ilvl w:val="0"/>
          <w:numId w:val="13"/>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smanjena sposobnost stvaranja krvnih ugrušaka, određena laboratorijskim analizama;</w:t>
      </w:r>
    </w:p>
    <w:p w14:paraId="2126B6E0" w14:textId="77777777" w:rsidR="0004021E" w:rsidRPr="00777B5C" w:rsidRDefault="00792E3F">
      <w:pPr>
        <w:numPr>
          <w:ilvl w:val="0"/>
          <w:numId w:val="13"/>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vrtoglavica;</w:t>
      </w:r>
    </w:p>
    <w:p w14:paraId="7FD413A0" w14:textId="77777777" w:rsidR="0004021E" w:rsidRPr="00777B5C" w:rsidRDefault="00792E3F">
      <w:pPr>
        <w:numPr>
          <w:ilvl w:val="0"/>
          <w:numId w:val="13"/>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iritacije vena od injekcije, uključujući bol, zapaljenje, otok i ugruške;</w:t>
      </w:r>
    </w:p>
    <w:p w14:paraId="2AA6F733" w14:textId="77777777" w:rsidR="0004021E" w:rsidRPr="00777B5C" w:rsidRDefault="00792E3F">
      <w:pPr>
        <w:numPr>
          <w:ilvl w:val="0"/>
          <w:numId w:val="13"/>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bol u trbuhu, dispepsija (bol u želucu i probavne smetnje), anoreksija (gubitak apetita);</w:t>
      </w:r>
    </w:p>
    <w:p w14:paraId="2911CF4C" w14:textId="46C325E4" w:rsidR="0004021E" w:rsidRPr="00777B5C" w:rsidRDefault="00792E3F">
      <w:pPr>
        <w:numPr>
          <w:ilvl w:val="0"/>
          <w:numId w:val="13"/>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povišene vr</w:t>
      </w:r>
      <w:r w:rsidR="006E5BBD" w:rsidRPr="00777B5C">
        <w:rPr>
          <w:rFonts w:eastAsia="TimesNewRoman"/>
          <w:szCs w:val="22"/>
          <w:lang w:val="sr-Latn-ME"/>
        </w:rPr>
        <w:t>ij</w:t>
      </w:r>
      <w:r w:rsidRPr="00777B5C">
        <w:rPr>
          <w:rFonts w:eastAsia="TimesNewRoman"/>
          <w:szCs w:val="22"/>
          <w:lang w:val="sr-Latn-ME"/>
        </w:rPr>
        <w:t>ednosti enzima jetre, hiperbilirubinemija (povećane vr</w:t>
      </w:r>
      <w:r w:rsidR="006E5BBD" w:rsidRPr="00777B5C">
        <w:rPr>
          <w:rFonts w:eastAsia="TimesNewRoman"/>
          <w:szCs w:val="22"/>
          <w:lang w:val="sr-Latn-ME"/>
        </w:rPr>
        <w:t>ij</w:t>
      </w:r>
      <w:r w:rsidRPr="00777B5C">
        <w:rPr>
          <w:rFonts w:eastAsia="TimesNewRoman"/>
          <w:szCs w:val="22"/>
          <w:lang w:val="sr-Latn-ME"/>
        </w:rPr>
        <w:t>ednosti žučnih pigmenata u krvi);</w:t>
      </w:r>
    </w:p>
    <w:p w14:paraId="572BB296" w14:textId="77777777" w:rsidR="0004021E" w:rsidRPr="00777B5C" w:rsidRDefault="00792E3F">
      <w:pPr>
        <w:numPr>
          <w:ilvl w:val="0"/>
          <w:numId w:val="13"/>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pruritus (svrab), osip;</w:t>
      </w:r>
    </w:p>
    <w:p w14:paraId="0EECE6BA" w14:textId="77777777" w:rsidR="0004021E" w:rsidRPr="00777B5C" w:rsidRDefault="00792E3F">
      <w:pPr>
        <w:numPr>
          <w:ilvl w:val="0"/>
          <w:numId w:val="13"/>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slabo ili sporo zarastanje rana;</w:t>
      </w:r>
    </w:p>
    <w:p w14:paraId="55F41C20" w14:textId="77777777" w:rsidR="0004021E" w:rsidRPr="00777B5C" w:rsidRDefault="00792E3F">
      <w:pPr>
        <w:numPr>
          <w:ilvl w:val="0"/>
          <w:numId w:val="13"/>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glavobolja;</w:t>
      </w:r>
    </w:p>
    <w:p w14:paraId="2B226960" w14:textId="6263FF92" w:rsidR="0004021E" w:rsidRPr="00777B5C" w:rsidRDefault="00792E3F">
      <w:pPr>
        <w:numPr>
          <w:ilvl w:val="0"/>
          <w:numId w:val="13"/>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povišene vr</w:t>
      </w:r>
      <w:r w:rsidR="006E5BBD" w:rsidRPr="00777B5C">
        <w:rPr>
          <w:rFonts w:eastAsia="TimesNewRoman"/>
          <w:szCs w:val="22"/>
          <w:lang w:val="sr-Latn-ME"/>
        </w:rPr>
        <w:t>ij</w:t>
      </w:r>
      <w:r w:rsidRPr="00777B5C">
        <w:rPr>
          <w:rFonts w:eastAsia="TimesNewRoman"/>
          <w:szCs w:val="22"/>
          <w:lang w:val="sr-Latn-ME"/>
        </w:rPr>
        <w:t>ednosti amilaze, enzima koji se nalazi u pljuvačnim žl</w:t>
      </w:r>
      <w:r w:rsidR="006E5BBD" w:rsidRPr="00777B5C">
        <w:rPr>
          <w:rFonts w:eastAsia="TimesNewRoman"/>
          <w:szCs w:val="22"/>
          <w:lang w:val="sr-Latn-ME"/>
        </w:rPr>
        <w:t>ij</w:t>
      </w:r>
      <w:r w:rsidRPr="00777B5C">
        <w:rPr>
          <w:rFonts w:eastAsia="TimesNewRoman"/>
          <w:szCs w:val="22"/>
          <w:lang w:val="sr-Latn-ME"/>
        </w:rPr>
        <w:t>ezdama i pankreasu, povećana</w:t>
      </w:r>
      <w:r w:rsidR="0004021E" w:rsidRPr="00777B5C">
        <w:rPr>
          <w:rFonts w:eastAsia="TimesNewRoman"/>
          <w:szCs w:val="22"/>
          <w:lang w:val="sr-Latn-ME"/>
        </w:rPr>
        <w:t xml:space="preserve"> </w:t>
      </w:r>
      <w:r w:rsidRPr="00777B5C">
        <w:rPr>
          <w:rFonts w:eastAsia="TimesNewRoman"/>
          <w:szCs w:val="22"/>
          <w:lang w:val="sr-Latn-ME"/>
        </w:rPr>
        <w:t>koncentracija azot</w:t>
      </w:r>
      <w:r w:rsidR="0004021E" w:rsidRPr="00777B5C">
        <w:rPr>
          <w:rFonts w:eastAsia="TimesNewRoman"/>
          <w:szCs w:val="22"/>
          <w:lang w:val="sr-Latn-ME"/>
        </w:rPr>
        <w:t>nih materija</w:t>
      </w:r>
      <w:r w:rsidRPr="00777B5C">
        <w:rPr>
          <w:rFonts w:eastAsia="TimesNewRoman"/>
          <w:szCs w:val="22"/>
          <w:lang w:val="sr-Latn-ME"/>
        </w:rPr>
        <w:t xml:space="preserve"> u krvi;</w:t>
      </w:r>
    </w:p>
    <w:p w14:paraId="287BC6DC" w14:textId="77777777" w:rsidR="0004021E" w:rsidRPr="00777B5C" w:rsidRDefault="00792E3F">
      <w:pPr>
        <w:numPr>
          <w:ilvl w:val="0"/>
          <w:numId w:val="13"/>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zapaljenje pluća;</w:t>
      </w:r>
    </w:p>
    <w:p w14:paraId="7F5D654C" w14:textId="74FA3DB7" w:rsidR="0004021E" w:rsidRPr="00777B5C" w:rsidRDefault="0004021E">
      <w:pPr>
        <w:numPr>
          <w:ilvl w:val="0"/>
          <w:numId w:val="13"/>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niske</w:t>
      </w:r>
      <w:r w:rsidR="00792E3F" w:rsidRPr="00777B5C">
        <w:rPr>
          <w:rFonts w:eastAsia="TimesNewRoman"/>
          <w:szCs w:val="22"/>
          <w:lang w:val="sr-Latn-ME"/>
        </w:rPr>
        <w:t xml:space="preserve"> vr</w:t>
      </w:r>
      <w:r w:rsidR="006E5BBD" w:rsidRPr="00777B5C">
        <w:rPr>
          <w:rFonts w:eastAsia="TimesNewRoman"/>
          <w:szCs w:val="22"/>
          <w:lang w:val="sr-Latn-ME"/>
        </w:rPr>
        <w:t>ij</w:t>
      </w:r>
      <w:r w:rsidR="00792E3F" w:rsidRPr="00777B5C">
        <w:rPr>
          <w:rFonts w:eastAsia="TimesNewRoman"/>
          <w:szCs w:val="22"/>
          <w:lang w:val="sr-Latn-ME"/>
        </w:rPr>
        <w:t>ednosti glukoze u krvi;</w:t>
      </w:r>
    </w:p>
    <w:p w14:paraId="474F735C" w14:textId="21DFF54D" w:rsidR="0004021E" w:rsidRPr="00777B5C" w:rsidRDefault="00792E3F">
      <w:pPr>
        <w:numPr>
          <w:ilvl w:val="0"/>
          <w:numId w:val="13"/>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sepsa (teške infekcije u t</w:t>
      </w:r>
      <w:r w:rsidR="006E5BBD" w:rsidRPr="00777B5C">
        <w:rPr>
          <w:rFonts w:eastAsia="TimesNewRoman"/>
          <w:szCs w:val="22"/>
          <w:lang w:val="sr-Latn-ME"/>
        </w:rPr>
        <w:t>ij</w:t>
      </w:r>
      <w:r w:rsidRPr="00777B5C">
        <w:rPr>
          <w:rFonts w:eastAsia="TimesNewRoman"/>
          <w:szCs w:val="22"/>
          <w:lang w:val="sr-Latn-ME"/>
        </w:rPr>
        <w:t>elu i krvotoku)/septički šok (ozbiljno stanje koje može dovesti do</w:t>
      </w:r>
      <w:r w:rsidR="0004021E" w:rsidRPr="00777B5C">
        <w:rPr>
          <w:rFonts w:eastAsia="TimesNewRoman"/>
          <w:szCs w:val="22"/>
          <w:lang w:val="sr-Latn-ME"/>
        </w:rPr>
        <w:t xml:space="preserve"> </w:t>
      </w:r>
      <w:r w:rsidRPr="00777B5C">
        <w:rPr>
          <w:rFonts w:eastAsia="TimesNewRoman"/>
          <w:szCs w:val="22"/>
          <w:lang w:val="sr-Latn-ME"/>
        </w:rPr>
        <w:t xml:space="preserve">otkazivanja više organa i smrti </w:t>
      </w:r>
      <w:r w:rsidR="0004021E" w:rsidRPr="00777B5C">
        <w:rPr>
          <w:rFonts w:eastAsia="TimesNewRoman"/>
          <w:szCs w:val="22"/>
          <w:lang w:val="sr-Latn-ME"/>
        </w:rPr>
        <w:t>usl</w:t>
      </w:r>
      <w:r w:rsidR="006E5BBD" w:rsidRPr="00777B5C">
        <w:rPr>
          <w:rFonts w:eastAsia="TimesNewRoman"/>
          <w:szCs w:val="22"/>
          <w:lang w:val="sr-Latn-ME"/>
        </w:rPr>
        <w:t>j</w:t>
      </w:r>
      <w:r w:rsidR="0004021E" w:rsidRPr="00777B5C">
        <w:rPr>
          <w:rFonts w:eastAsia="TimesNewRoman"/>
          <w:szCs w:val="22"/>
          <w:lang w:val="sr-Latn-ME"/>
        </w:rPr>
        <w:t>ed</w:t>
      </w:r>
      <w:r w:rsidRPr="00777B5C">
        <w:rPr>
          <w:rFonts w:eastAsia="TimesNewRoman"/>
          <w:szCs w:val="22"/>
          <w:lang w:val="sr-Latn-ME"/>
        </w:rPr>
        <w:t xml:space="preserve"> sepse);</w:t>
      </w:r>
    </w:p>
    <w:p w14:paraId="0D536D41" w14:textId="4B1C6C22" w:rsidR="0004021E" w:rsidRPr="00777B5C" w:rsidRDefault="00792E3F">
      <w:pPr>
        <w:numPr>
          <w:ilvl w:val="0"/>
          <w:numId w:val="13"/>
        </w:num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reakcija na m</w:t>
      </w:r>
      <w:r w:rsidR="006E5BBD" w:rsidRPr="00777B5C">
        <w:rPr>
          <w:rFonts w:eastAsia="TimesNewRoman"/>
          <w:noProof/>
          <w:szCs w:val="22"/>
          <w:lang w:val="sr-Latn-ME"/>
        </w:rPr>
        <w:t>j</w:t>
      </w:r>
      <w:r w:rsidRPr="00777B5C">
        <w:rPr>
          <w:rFonts w:eastAsia="TimesNewRoman"/>
          <w:noProof/>
          <w:szCs w:val="22"/>
          <w:lang w:val="sr-Latn-ME"/>
        </w:rPr>
        <w:t>estu prim</w:t>
      </w:r>
      <w:r w:rsidR="006E5BBD" w:rsidRPr="00777B5C">
        <w:rPr>
          <w:rFonts w:eastAsia="TimesNewRoman"/>
          <w:noProof/>
          <w:szCs w:val="22"/>
          <w:lang w:val="sr-Latn-ME"/>
        </w:rPr>
        <w:t>j</w:t>
      </w:r>
      <w:r w:rsidRPr="00777B5C">
        <w:rPr>
          <w:rFonts w:eastAsia="TimesNewRoman"/>
          <w:noProof/>
          <w:szCs w:val="22"/>
          <w:lang w:val="sr-Latn-ME"/>
        </w:rPr>
        <w:t>ene injekcije (bol, crvenilo, zapaljenje);</w:t>
      </w:r>
    </w:p>
    <w:p w14:paraId="2BC5424E" w14:textId="257A897D" w:rsidR="00762652" w:rsidRPr="00777B5C" w:rsidRDefault="0004021E">
      <w:pPr>
        <w:numPr>
          <w:ilvl w:val="0"/>
          <w:numId w:val="13"/>
        </w:num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niske</w:t>
      </w:r>
      <w:r w:rsidR="00792E3F" w:rsidRPr="00777B5C">
        <w:rPr>
          <w:rFonts w:eastAsia="TimesNewRoman"/>
          <w:noProof/>
          <w:szCs w:val="22"/>
          <w:lang w:val="sr-Latn-ME"/>
        </w:rPr>
        <w:t xml:space="preserve"> vr</w:t>
      </w:r>
      <w:r w:rsidR="006E5BBD" w:rsidRPr="00777B5C">
        <w:rPr>
          <w:rFonts w:eastAsia="TimesNewRoman"/>
          <w:noProof/>
          <w:szCs w:val="22"/>
          <w:lang w:val="sr-Latn-ME"/>
        </w:rPr>
        <w:t>ij</w:t>
      </w:r>
      <w:r w:rsidR="00792E3F" w:rsidRPr="00777B5C">
        <w:rPr>
          <w:rFonts w:eastAsia="TimesNewRoman"/>
          <w:noProof/>
          <w:szCs w:val="22"/>
          <w:lang w:val="sr-Latn-ME"/>
        </w:rPr>
        <w:t>ednosti proteina u krvi.</w:t>
      </w:r>
    </w:p>
    <w:p w14:paraId="770F7BC8" w14:textId="3F75AD07" w:rsidR="0004021E" w:rsidRPr="00777B5C" w:rsidRDefault="0004021E">
      <w:pPr>
        <w:tabs>
          <w:tab w:val="clear" w:pos="284"/>
        </w:tabs>
        <w:autoSpaceDE w:val="0"/>
        <w:autoSpaceDN w:val="0"/>
        <w:adjustRightInd w:val="0"/>
        <w:spacing w:before="120" w:after="120"/>
        <w:rPr>
          <w:rFonts w:eastAsia="TimesNewRoman"/>
          <w:szCs w:val="22"/>
          <w:lang w:val="sr-Latn-ME"/>
        </w:rPr>
      </w:pPr>
      <w:r w:rsidRPr="00777B5C">
        <w:rPr>
          <w:rFonts w:eastAsia="TimesNewRoman,Bold"/>
          <w:b/>
          <w:bCs/>
          <w:szCs w:val="22"/>
          <w:lang w:val="sr-Latn-ME"/>
        </w:rPr>
        <w:t xml:space="preserve">Povremena </w:t>
      </w:r>
      <w:r w:rsidRPr="00777B5C">
        <w:rPr>
          <w:rFonts w:eastAsia="TimesNewRoman"/>
          <w:szCs w:val="22"/>
          <w:lang w:val="sr-Latn-ME"/>
        </w:rPr>
        <w:t>neželjena dejstva (mogu da se jave kod najviše 1 na 100 pacijenata koji uzimaju l</w:t>
      </w:r>
      <w:r w:rsidR="006E5BBD" w:rsidRPr="00777B5C">
        <w:rPr>
          <w:rFonts w:eastAsia="TimesNewRoman"/>
          <w:szCs w:val="22"/>
          <w:lang w:val="sr-Latn-ME"/>
        </w:rPr>
        <w:t>ij</w:t>
      </w:r>
      <w:r w:rsidRPr="00777B5C">
        <w:rPr>
          <w:rFonts w:eastAsia="TimesNewRoman"/>
          <w:szCs w:val="22"/>
          <w:lang w:val="sr-Latn-ME"/>
        </w:rPr>
        <w:t>ek):</w:t>
      </w:r>
    </w:p>
    <w:p w14:paraId="75352945" w14:textId="77777777" w:rsidR="00EC2904" w:rsidRPr="00777B5C" w:rsidRDefault="0004021E" w:rsidP="007B2FC3">
      <w:pPr>
        <w:numPr>
          <w:ilvl w:val="0"/>
          <w:numId w:val="20"/>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akutni pankreatitis (zapaljenje pankreasa koje može uzrokovati jak bol u trbuhu, mučninu i povraćanje);</w:t>
      </w:r>
    </w:p>
    <w:p w14:paraId="5DB7E929" w14:textId="77777777" w:rsidR="00EC2904" w:rsidRPr="00777B5C" w:rsidRDefault="0004021E" w:rsidP="007B2FC3">
      <w:pPr>
        <w:numPr>
          <w:ilvl w:val="0"/>
          <w:numId w:val="20"/>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žutica (žuta prebojenost kože), zapaljenje jetre;</w:t>
      </w:r>
    </w:p>
    <w:p w14:paraId="1D71D785" w14:textId="46922276" w:rsidR="0004021E" w:rsidRPr="00777B5C" w:rsidRDefault="00EC2904" w:rsidP="007B2FC3">
      <w:pPr>
        <w:numPr>
          <w:ilvl w:val="0"/>
          <w:numId w:val="20"/>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niske</w:t>
      </w:r>
      <w:r w:rsidR="0004021E" w:rsidRPr="00777B5C">
        <w:rPr>
          <w:rFonts w:eastAsia="TimesNewRoman"/>
          <w:szCs w:val="22"/>
          <w:lang w:val="sr-Latn-ME"/>
        </w:rPr>
        <w:t xml:space="preserve"> vr</w:t>
      </w:r>
      <w:r w:rsidR="006E5BBD" w:rsidRPr="00777B5C">
        <w:rPr>
          <w:rFonts w:eastAsia="TimesNewRoman"/>
          <w:szCs w:val="22"/>
          <w:lang w:val="sr-Latn-ME"/>
        </w:rPr>
        <w:t>ij</w:t>
      </w:r>
      <w:r w:rsidR="0004021E" w:rsidRPr="00777B5C">
        <w:rPr>
          <w:rFonts w:eastAsia="TimesNewRoman"/>
          <w:szCs w:val="22"/>
          <w:lang w:val="sr-Latn-ME"/>
        </w:rPr>
        <w:t>ednost</w:t>
      </w:r>
      <w:r w:rsidRPr="00777B5C">
        <w:rPr>
          <w:rFonts w:eastAsia="TimesNewRoman"/>
          <w:szCs w:val="22"/>
          <w:lang w:val="sr-Latn-ME"/>
        </w:rPr>
        <w:t>i</w:t>
      </w:r>
      <w:r w:rsidR="0004021E" w:rsidRPr="00777B5C">
        <w:rPr>
          <w:rFonts w:eastAsia="TimesNewRoman"/>
          <w:szCs w:val="22"/>
          <w:lang w:val="sr-Latn-ME"/>
        </w:rPr>
        <w:t xml:space="preserve"> trombocita u krvi (što može povećati sklonost ka krvarenju i nastanaku</w:t>
      </w:r>
      <w:r w:rsidRPr="00777B5C">
        <w:rPr>
          <w:rFonts w:eastAsia="TimesNewRoman"/>
          <w:szCs w:val="22"/>
          <w:lang w:val="sr-Latn-ME"/>
        </w:rPr>
        <w:t xml:space="preserve"> </w:t>
      </w:r>
      <w:r w:rsidR="0004021E" w:rsidRPr="00777B5C">
        <w:rPr>
          <w:rFonts w:eastAsia="TimesNewRoman"/>
          <w:szCs w:val="22"/>
          <w:lang w:val="sr-Latn-ME"/>
        </w:rPr>
        <w:t>modrica/hematoma).</w:t>
      </w:r>
    </w:p>
    <w:p w14:paraId="5FF7CC27" w14:textId="3CB1832A" w:rsidR="00EC2904" w:rsidRPr="00777B5C" w:rsidRDefault="00EC2904">
      <w:pPr>
        <w:tabs>
          <w:tab w:val="clear" w:pos="284"/>
        </w:tabs>
        <w:autoSpaceDE w:val="0"/>
        <w:autoSpaceDN w:val="0"/>
        <w:adjustRightInd w:val="0"/>
        <w:spacing w:before="120" w:after="120"/>
        <w:rPr>
          <w:rFonts w:eastAsia="TimesNewRoman"/>
          <w:szCs w:val="22"/>
          <w:lang w:val="sr-Latn-ME"/>
        </w:rPr>
      </w:pPr>
      <w:r w:rsidRPr="00777B5C">
        <w:rPr>
          <w:rFonts w:eastAsia="TimesNewRoman"/>
          <w:b/>
          <w:bCs/>
          <w:szCs w:val="22"/>
          <w:lang w:val="sr-Latn-ME"/>
        </w:rPr>
        <w:t>R</w:t>
      </w:r>
      <w:r w:rsidR="006E5BBD" w:rsidRPr="00777B5C">
        <w:rPr>
          <w:rFonts w:eastAsia="TimesNewRoman"/>
          <w:b/>
          <w:bCs/>
          <w:szCs w:val="22"/>
          <w:lang w:val="sr-Latn-ME"/>
        </w:rPr>
        <w:t>ij</w:t>
      </w:r>
      <w:r w:rsidRPr="00777B5C">
        <w:rPr>
          <w:rFonts w:eastAsia="TimesNewRoman"/>
          <w:b/>
          <w:bCs/>
          <w:szCs w:val="22"/>
          <w:lang w:val="sr-Latn-ME"/>
        </w:rPr>
        <w:t>etka</w:t>
      </w:r>
      <w:r w:rsidRPr="00777B5C">
        <w:rPr>
          <w:rFonts w:eastAsia="TimesNewRoman"/>
          <w:szCs w:val="22"/>
          <w:lang w:val="sr-Latn-ME"/>
        </w:rPr>
        <w:t xml:space="preserve"> neželjena dejstva (mogu da se jave kod najviše 1 na 1000 pacijenata koji uzimaju l</w:t>
      </w:r>
      <w:r w:rsidR="006E5BBD" w:rsidRPr="00777B5C">
        <w:rPr>
          <w:rFonts w:eastAsia="TimesNewRoman"/>
          <w:szCs w:val="22"/>
          <w:lang w:val="sr-Latn-ME"/>
        </w:rPr>
        <w:t>ij</w:t>
      </w:r>
      <w:r w:rsidRPr="00777B5C">
        <w:rPr>
          <w:rFonts w:eastAsia="TimesNewRoman"/>
          <w:szCs w:val="22"/>
          <w:lang w:val="sr-Latn-ME"/>
        </w:rPr>
        <w:t>ek):</w:t>
      </w:r>
    </w:p>
    <w:p w14:paraId="0E44267E" w14:textId="389A33C6" w:rsidR="00EC2904" w:rsidRPr="00777B5C" w:rsidRDefault="00EC2904">
      <w:pPr>
        <w:numPr>
          <w:ilvl w:val="0"/>
          <w:numId w:val="15"/>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niske vr</w:t>
      </w:r>
      <w:r w:rsidR="006E5BBD" w:rsidRPr="00777B5C">
        <w:rPr>
          <w:rFonts w:eastAsia="TimesNewRoman"/>
          <w:szCs w:val="22"/>
          <w:lang w:val="sr-Latn-ME"/>
        </w:rPr>
        <w:t>ij</w:t>
      </w:r>
      <w:r w:rsidRPr="00777B5C">
        <w:rPr>
          <w:rFonts w:eastAsia="TimesNewRoman"/>
          <w:szCs w:val="22"/>
          <w:lang w:val="sr-Latn-ME"/>
        </w:rPr>
        <w:t>ednosti fibrinogena u krvi (protein koji učestvuje u procesu zgrušavanja krvi).</w:t>
      </w:r>
    </w:p>
    <w:p w14:paraId="3365DAC4" w14:textId="1FB4B776" w:rsidR="0004021E" w:rsidRPr="00777B5C" w:rsidRDefault="0004021E">
      <w:pPr>
        <w:tabs>
          <w:tab w:val="clear" w:pos="284"/>
        </w:tabs>
        <w:autoSpaceDE w:val="0"/>
        <w:autoSpaceDN w:val="0"/>
        <w:adjustRightInd w:val="0"/>
        <w:spacing w:before="120" w:after="120"/>
        <w:rPr>
          <w:rFonts w:eastAsia="TimesNewRoman"/>
          <w:szCs w:val="22"/>
          <w:lang w:val="sr-Latn-ME"/>
        </w:rPr>
      </w:pPr>
      <w:r w:rsidRPr="00777B5C">
        <w:rPr>
          <w:rFonts w:eastAsia="TimesNewRoman,Bold"/>
          <w:b/>
          <w:bCs/>
          <w:szCs w:val="22"/>
          <w:lang w:val="sr-Latn-ME"/>
        </w:rPr>
        <w:t xml:space="preserve">Nepoznata učestalost </w:t>
      </w:r>
      <w:r w:rsidRPr="00777B5C">
        <w:rPr>
          <w:rFonts w:eastAsia="TimesNewRoman"/>
          <w:szCs w:val="22"/>
          <w:lang w:val="sr-Latn-ME"/>
        </w:rPr>
        <w:t>(ne može se proc</w:t>
      </w:r>
      <w:r w:rsidR="006E5BBD" w:rsidRPr="00777B5C">
        <w:rPr>
          <w:rFonts w:eastAsia="TimesNewRoman"/>
          <w:szCs w:val="22"/>
          <w:lang w:val="sr-Latn-ME"/>
        </w:rPr>
        <w:t>ij</w:t>
      </w:r>
      <w:r w:rsidRPr="00777B5C">
        <w:rPr>
          <w:rFonts w:eastAsia="TimesNewRoman"/>
          <w:szCs w:val="22"/>
          <w:lang w:val="sr-Latn-ME"/>
        </w:rPr>
        <w:t>eniti na osnovu dostupnih podataka):</w:t>
      </w:r>
    </w:p>
    <w:p w14:paraId="67EE2320" w14:textId="77777777" w:rsidR="00EC2904" w:rsidRPr="00777B5C" w:rsidRDefault="0004021E">
      <w:pPr>
        <w:numPr>
          <w:ilvl w:val="0"/>
          <w:numId w:val="15"/>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anafilaktičke/anafilaktoidne reakcije (koje mogu biti blage do teške, uključujući iznenadnu, opštu</w:t>
      </w:r>
      <w:r w:rsidR="00EC2904" w:rsidRPr="00777B5C">
        <w:rPr>
          <w:rFonts w:eastAsia="TimesNewRoman"/>
          <w:szCs w:val="22"/>
          <w:lang w:val="sr-Latn-ME"/>
        </w:rPr>
        <w:t xml:space="preserve"> </w:t>
      </w:r>
      <w:r w:rsidRPr="00777B5C">
        <w:rPr>
          <w:rFonts w:eastAsia="TimesNewRoman"/>
          <w:szCs w:val="22"/>
          <w:lang w:val="sr-Latn-ME"/>
        </w:rPr>
        <w:t>alergijsku reakciju koja može dovesti do šoka opasnog po život (npr. teško disanje, pad krvnog</w:t>
      </w:r>
      <w:r w:rsidR="00EC2904" w:rsidRPr="00777B5C">
        <w:rPr>
          <w:rFonts w:eastAsia="TimesNewRoman"/>
          <w:szCs w:val="22"/>
          <w:lang w:val="sr-Latn-ME"/>
        </w:rPr>
        <w:t xml:space="preserve"> </w:t>
      </w:r>
      <w:r w:rsidRPr="00777B5C">
        <w:rPr>
          <w:rFonts w:eastAsia="TimesNewRoman"/>
          <w:szCs w:val="22"/>
          <w:lang w:val="sr-Latn-ME"/>
        </w:rPr>
        <w:t>pritiska, ubrzan puls));</w:t>
      </w:r>
    </w:p>
    <w:p w14:paraId="42AAFBE4" w14:textId="77777777" w:rsidR="00EC2904" w:rsidRPr="00777B5C" w:rsidRDefault="0004021E">
      <w:pPr>
        <w:numPr>
          <w:ilvl w:val="0"/>
          <w:numId w:val="15"/>
        </w:num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insuficijencija jetre;</w:t>
      </w:r>
    </w:p>
    <w:p w14:paraId="0B7029DB" w14:textId="433CF588" w:rsidR="005C4BDD" w:rsidRPr="00777B5C" w:rsidRDefault="0004021E" w:rsidP="007B2FC3">
      <w:pPr>
        <w:numPr>
          <w:ilvl w:val="0"/>
          <w:numId w:val="15"/>
        </w:numPr>
        <w:tabs>
          <w:tab w:val="clear" w:pos="284"/>
        </w:tabs>
        <w:autoSpaceDE w:val="0"/>
        <w:autoSpaceDN w:val="0"/>
        <w:adjustRightInd w:val="0"/>
        <w:rPr>
          <w:rFonts w:eastAsia="TimesNewRoman"/>
          <w:szCs w:val="22"/>
          <w:lang w:val="sr-Latn-ME"/>
        </w:rPr>
      </w:pPr>
      <w:r w:rsidRPr="00777B5C">
        <w:rPr>
          <w:rFonts w:eastAsia="TimesNewRoman"/>
          <w:szCs w:val="22"/>
          <w:lang w:val="sr-Latn-ME"/>
        </w:rPr>
        <w:lastRenderedPageBreak/>
        <w:t>osip, koji može dovesti do teških plikova i ljuštenja kože (</w:t>
      </w:r>
      <w:r w:rsidRPr="00777B5C">
        <w:rPr>
          <w:rFonts w:eastAsia="TimesNewRoman,Bold"/>
          <w:i/>
          <w:iCs/>
          <w:szCs w:val="22"/>
          <w:lang w:val="sr-Latn-ME"/>
        </w:rPr>
        <w:t>Stevens-Johnson</w:t>
      </w:r>
      <w:r w:rsidRPr="00777B5C">
        <w:rPr>
          <w:rFonts w:eastAsia="TimesNewRoman"/>
          <w:szCs w:val="22"/>
          <w:lang w:val="sr-Latn-ME"/>
        </w:rPr>
        <w:t>-ov sindrom);</w:t>
      </w:r>
    </w:p>
    <w:p w14:paraId="2BC5425D" w14:textId="77777777" w:rsidR="00762652" w:rsidRPr="00777B5C" w:rsidRDefault="00762652" w:rsidP="007B2FC3">
      <w:pPr>
        <w:tabs>
          <w:tab w:val="clear" w:pos="284"/>
        </w:tabs>
        <w:autoSpaceDE w:val="0"/>
        <w:autoSpaceDN w:val="0"/>
        <w:adjustRightInd w:val="0"/>
        <w:ind w:left="360"/>
        <w:rPr>
          <w:i/>
          <w:noProof/>
          <w:szCs w:val="22"/>
          <w:lang w:val="sr-Latn-ME"/>
        </w:rPr>
      </w:pPr>
    </w:p>
    <w:p w14:paraId="5C4235D2" w14:textId="77777777" w:rsidR="00916CA9" w:rsidRPr="00777B5C" w:rsidRDefault="00916CA9">
      <w:pPr>
        <w:tabs>
          <w:tab w:val="clear" w:pos="284"/>
        </w:tabs>
        <w:rPr>
          <w:rFonts w:eastAsia="Calibri"/>
          <w:spacing w:val="-5"/>
          <w:szCs w:val="22"/>
          <w:u w:val="single"/>
          <w:lang w:val="sr-Latn-ME"/>
        </w:rPr>
      </w:pPr>
      <w:r w:rsidRPr="00777B5C">
        <w:rPr>
          <w:rFonts w:eastAsia="Calibri"/>
          <w:spacing w:val="-5"/>
          <w:szCs w:val="22"/>
          <w:u w:val="single"/>
          <w:lang w:val="sr-Latn-ME"/>
        </w:rPr>
        <w:t>Prijavljivanje sumnji na neželjena dejstva</w:t>
      </w:r>
    </w:p>
    <w:p w14:paraId="7BF747EE" w14:textId="77777777" w:rsidR="005C4BDD" w:rsidRPr="00777B5C" w:rsidRDefault="005C4BDD" w:rsidP="0047765A">
      <w:pPr>
        <w:tabs>
          <w:tab w:val="clear" w:pos="284"/>
        </w:tabs>
        <w:rPr>
          <w:rFonts w:eastAsia="Calibri"/>
          <w:szCs w:val="22"/>
          <w:lang w:val="sr-Latn-ME"/>
        </w:rPr>
      </w:pPr>
    </w:p>
    <w:p w14:paraId="6D5CA92A" w14:textId="78555052" w:rsidR="00916CA9" w:rsidRPr="00777B5C" w:rsidRDefault="00916CA9" w:rsidP="0047765A">
      <w:pPr>
        <w:tabs>
          <w:tab w:val="clear" w:pos="284"/>
        </w:tabs>
        <w:rPr>
          <w:rFonts w:eastAsia="Calibri"/>
          <w:szCs w:val="22"/>
          <w:lang w:val="sr-Latn-ME"/>
        </w:rPr>
      </w:pPr>
      <w:r w:rsidRPr="00777B5C">
        <w:rPr>
          <w:rFonts w:eastAsia="Calibri"/>
          <w:szCs w:val="22"/>
          <w:lang w:val="sr-Latn-ME"/>
        </w:rPr>
        <w:t>Ako Vam se javi bilo koje neželjeno dejstvo recite to svom ljekaru, farmaceutu ili medicinskoj sestri. Ovo uključuje i bilo koja neželjena dejstva koja nijesu navedena u ovom uputstvu</w:t>
      </w:r>
      <w:r w:rsidRPr="00777B5C">
        <w:rPr>
          <w:rFonts w:eastAsia="Calibri"/>
          <w:spacing w:val="-4"/>
          <w:szCs w:val="22"/>
          <w:lang w:val="sr-Latn-ME"/>
        </w:rPr>
        <w:t>.</w:t>
      </w:r>
      <w:r w:rsidRPr="00777B5C">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16D2908B" w14:textId="77777777" w:rsidR="00916CA9" w:rsidRPr="00777B5C" w:rsidRDefault="00916CA9">
      <w:pPr>
        <w:tabs>
          <w:tab w:val="clear" w:pos="284"/>
        </w:tabs>
        <w:rPr>
          <w:rFonts w:eastAsia="Calibri"/>
          <w:szCs w:val="22"/>
          <w:lang w:val="sr-Latn-ME"/>
        </w:rPr>
      </w:pPr>
    </w:p>
    <w:p w14:paraId="26FFE7B5" w14:textId="77777777" w:rsidR="00916CA9" w:rsidRPr="00777B5C" w:rsidRDefault="00916CA9" w:rsidP="007B2FC3">
      <w:pPr>
        <w:tabs>
          <w:tab w:val="clear" w:pos="284"/>
        </w:tabs>
        <w:rPr>
          <w:szCs w:val="22"/>
          <w:lang w:val="sr-Latn-ME"/>
        </w:rPr>
      </w:pPr>
      <w:r w:rsidRPr="00777B5C">
        <w:rPr>
          <w:szCs w:val="22"/>
          <w:lang w:val="sr-Latn-ME"/>
        </w:rPr>
        <w:t xml:space="preserve">Institut za ljekove i medicinska sredstva </w:t>
      </w:r>
    </w:p>
    <w:p w14:paraId="4268E1F8" w14:textId="77777777" w:rsidR="00916CA9" w:rsidRPr="00777B5C" w:rsidRDefault="00916CA9" w:rsidP="007B2FC3">
      <w:pPr>
        <w:tabs>
          <w:tab w:val="clear" w:pos="284"/>
        </w:tabs>
        <w:rPr>
          <w:szCs w:val="22"/>
          <w:lang w:val="sr-Latn-ME"/>
        </w:rPr>
      </w:pPr>
      <w:r w:rsidRPr="00777B5C">
        <w:rPr>
          <w:szCs w:val="22"/>
          <w:lang w:val="sr-Latn-ME"/>
        </w:rPr>
        <w:t>Odjeljenje za farmakovigilancu</w:t>
      </w:r>
    </w:p>
    <w:p w14:paraId="4CB1D16B" w14:textId="77777777" w:rsidR="00916CA9" w:rsidRPr="00777B5C" w:rsidRDefault="00916CA9" w:rsidP="007B2FC3">
      <w:pPr>
        <w:tabs>
          <w:tab w:val="clear" w:pos="284"/>
        </w:tabs>
        <w:rPr>
          <w:szCs w:val="22"/>
          <w:lang w:val="sr-Latn-ME"/>
        </w:rPr>
      </w:pPr>
      <w:r w:rsidRPr="00777B5C">
        <w:rPr>
          <w:szCs w:val="22"/>
          <w:lang w:val="sr-Latn-ME"/>
        </w:rPr>
        <w:t>Bulevar Ivana Crnojevića 64a, 81000 Podgorica</w:t>
      </w:r>
    </w:p>
    <w:p w14:paraId="5CBBC60B" w14:textId="77777777" w:rsidR="00916CA9" w:rsidRPr="00777B5C" w:rsidRDefault="00916CA9" w:rsidP="007B2FC3">
      <w:pPr>
        <w:tabs>
          <w:tab w:val="clear" w:pos="284"/>
        </w:tabs>
        <w:rPr>
          <w:szCs w:val="22"/>
          <w:lang w:val="sr-Latn-ME"/>
        </w:rPr>
      </w:pPr>
    </w:p>
    <w:p w14:paraId="2AA97B79" w14:textId="77777777" w:rsidR="00916CA9" w:rsidRPr="00777B5C" w:rsidRDefault="00916CA9" w:rsidP="007B2FC3">
      <w:pPr>
        <w:tabs>
          <w:tab w:val="clear" w:pos="284"/>
        </w:tabs>
        <w:rPr>
          <w:szCs w:val="22"/>
          <w:lang w:val="sr-Latn-ME"/>
        </w:rPr>
      </w:pPr>
      <w:r w:rsidRPr="00777B5C">
        <w:rPr>
          <w:szCs w:val="22"/>
          <w:lang w:val="sr-Latn-ME"/>
        </w:rPr>
        <w:t>tel: +382 (0) 20 310 280</w:t>
      </w:r>
    </w:p>
    <w:p w14:paraId="42F2A4E0" w14:textId="77777777" w:rsidR="00916CA9" w:rsidRPr="00777B5C" w:rsidRDefault="00916CA9" w:rsidP="007B2FC3">
      <w:pPr>
        <w:tabs>
          <w:tab w:val="clear" w:pos="284"/>
        </w:tabs>
        <w:rPr>
          <w:szCs w:val="22"/>
          <w:lang w:val="sr-Latn-ME"/>
        </w:rPr>
      </w:pPr>
      <w:r w:rsidRPr="00777B5C">
        <w:rPr>
          <w:szCs w:val="22"/>
          <w:lang w:val="sr-Latn-ME"/>
        </w:rPr>
        <w:t>fax: +382 (0) 20 310 581</w:t>
      </w:r>
    </w:p>
    <w:p w14:paraId="71AC0FFF" w14:textId="77777777" w:rsidR="00916CA9" w:rsidRPr="00777B5C" w:rsidRDefault="008B0435" w:rsidP="007B2FC3">
      <w:pPr>
        <w:tabs>
          <w:tab w:val="clear" w:pos="284"/>
        </w:tabs>
        <w:rPr>
          <w:szCs w:val="22"/>
          <w:lang w:val="sr-Latn-ME"/>
        </w:rPr>
      </w:pPr>
      <w:hyperlink r:id="rId7" w:history="1">
        <w:r w:rsidR="00916CA9" w:rsidRPr="00777B5C">
          <w:rPr>
            <w:color w:val="0563C1"/>
            <w:szCs w:val="22"/>
            <w:u w:val="single"/>
            <w:lang w:val="sr-Latn-ME"/>
          </w:rPr>
          <w:t>www.cinmed.me</w:t>
        </w:r>
      </w:hyperlink>
      <w:r w:rsidR="00916CA9" w:rsidRPr="00777B5C">
        <w:rPr>
          <w:szCs w:val="22"/>
          <w:lang w:val="sr-Latn-ME"/>
        </w:rPr>
        <w:t xml:space="preserve"> </w:t>
      </w:r>
    </w:p>
    <w:p w14:paraId="70EE95AE" w14:textId="77777777" w:rsidR="00916CA9" w:rsidRPr="00777B5C" w:rsidRDefault="008B0435" w:rsidP="007B2FC3">
      <w:pPr>
        <w:tabs>
          <w:tab w:val="clear" w:pos="284"/>
        </w:tabs>
        <w:rPr>
          <w:szCs w:val="22"/>
          <w:lang w:val="sr-Latn-ME"/>
        </w:rPr>
      </w:pPr>
      <w:hyperlink r:id="rId8" w:history="1">
        <w:r w:rsidR="00916CA9" w:rsidRPr="00777B5C">
          <w:rPr>
            <w:color w:val="0563C1"/>
            <w:szCs w:val="22"/>
            <w:u w:val="single"/>
            <w:lang w:val="sr-Latn-ME"/>
          </w:rPr>
          <w:t>nezeljenadejstva@cinmed.me</w:t>
        </w:r>
      </w:hyperlink>
      <w:r w:rsidR="00916CA9" w:rsidRPr="00777B5C">
        <w:rPr>
          <w:szCs w:val="22"/>
          <w:lang w:val="sr-Latn-ME"/>
        </w:rPr>
        <w:t xml:space="preserve"> </w:t>
      </w:r>
    </w:p>
    <w:p w14:paraId="0BF131B8" w14:textId="77777777" w:rsidR="00916CA9" w:rsidRPr="00777B5C" w:rsidRDefault="00916CA9" w:rsidP="007B2FC3">
      <w:pPr>
        <w:tabs>
          <w:tab w:val="clear" w:pos="284"/>
        </w:tabs>
        <w:rPr>
          <w:szCs w:val="22"/>
          <w:lang w:val="sr-Latn-ME"/>
        </w:rPr>
      </w:pPr>
      <w:r w:rsidRPr="00777B5C">
        <w:rPr>
          <w:szCs w:val="22"/>
          <w:lang w:val="sr-Latn-ME"/>
        </w:rPr>
        <w:t>putem IS zdravstvene zaštite</w:t>
      </w:r>
    </w:p>
    <w:p w14:paraId="3F0D1CE9" w14:textId="77777777" w:rsidR="00916CA9" w:rsidRPr="00777B5C" w:rsidRDefault="00916CA9" w:rsidP="007B2FC3">
      <w:pPr>
        <w:tabs>
          <w:tab w:val="clear" w:pos="284"/>
        </w:tabs>
        <w:rPr>
          <w:szCs w:val="22"/>
          <w:lang w:val="sr-Latn-ME"/>
        </w:rPr>
      </w:pPr>
      <w:r w:rsidRPr="00777B5C">
        <w:rPr>
          <w:szCs w:val="22"/>
          <w:lang w:val="sr-Latn-ME"/>
        </w:rPr>
        <w:t>QR kod za online prijavu sumnje na neželjeno dejstvo lijeka:</w:t>
      </w:r>
    </w:p>
    <w:p w14:paraId="751AF1E7" w14:textId="77777777" w:rsidR="00916CA9" w:rsidRPr="00777B5C" w:rsidRDefault="00916CA9" w:rsidP="007B2FC3">
      <w:pPr>
        <w:tabs>
          <w:tab w:val="clear" w:pos="284"/>
        </w:tabs>
        <w:rPr>
          <w:szCs w:val="22"/>
          <w:lang w:val="sr-Latn-ME"/>
        </w:rPr>
      </w:pPr>
    </w:p>
    <w:p w14:paraId="25BF3443" w14:textId="0EA9C59C" w:rsidR="00916CA9" w:rsidRPr="00777B5C" w:rsidRDefault="005C4BDD" w:rsidP="007B2FC3">
      <w:pPr>
        <w:tabs>
          <w:tab w:val="clear" w:pos="284"/>
        </w:tabs>
        <w:rPr>
          <w:szCs w:val="22"/>
          <w:lang w:val="sr-Latn-ME"/>
        </w:rPr>
      </w:pPr>
      <w:r w:rsidRPr="00777B5C">
        <w:rPr>
          <w:b/>
          <w:noProof/>
          <w:szCs w:val="22"/>
        </w:rPr>
        <w:drawing>
          <wp:inline distT="0" distB="0" distL="0" distR="0" wp14:anchorId="5B89C0F3" wp14:editId="454F4F80">
            <wp:extent cx="977900" cy="970280"/>
            <wp:effectExtent l="0" t="0" r="0" b="0"/>
            <wp:docPr id="1"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l="10118" t="9756" r="9299" b="10384"/>
                    <a:stretch>
                      <a:fillRect/>
                    </a:stretch>
                  </pic:blipFill>
                  <pic:spPr bwMode="auto">
                    <a:xfrm>
                      <a:off x="0" y="0"/>
                      <a:ext cx="977900" cy="970280"/>
                    </a:xfrm>
                    <a:prstGeom prst="rect">
                      <a:avLst/>
                    </a:prstGeom>
                    <a:noFill/>
                    <a:ln>
                      <a:noFill/>
                    </a:ln>
                  </pic:spPr>
                </pic:pic>
              </a:graphicData>
            </a:graphic>
          </wp:inline>
        </w:drawing>
      </w:r>
    </w:p>
    <w:p w14:paraId="2BC54268" w14:textId="77777777" w:rsidR="00762652" w:rsidRPr="00777B5C" w:rsidRDefault="00762652" w:rsidP="0047765A">
      <w:pPr>
        <w:rPr>
          <w:noProof/>
          <w:szCs w:val="22"/>
          <w:lang w:val="sr-Latn-ME"/>
        </w:rPr>
      </w:pPr>
    </w:p>
    <w:p w14:paraId="029C2AEE" w14:textId="77777777" w:rsidR="00EF4319" w:rsidRPr="00777B5C" w:rsidRDefault="00EF4319" w:rsidP="007B2FC3">
      <w:pPr>
        <w:tabs>
          <w:tab w:val="clear" w:pos="284"/>
          <w:tab w:val="left" w:pos="540"/>
          <w:tab w:val="left" w:pos="569"/>
        </w:tabs>
        <w:rPr>
          <w:b/>
          <w:bCs/>
          <w:szCs w:val="22"/>
          <w:lang w:val="sr-Latn-ME"/>
        </w:rPr>
      </w:pPr>
    </w:p>
    <w:p w14:paraId="1B79AAD6" w14:textId="69A5B54A" w:rsidR="00EF4319" w:rsidRPr="00777B5C" w:rsidRDefault="00EF4319" w:rsidP="007B2FC3">
      <w:pPr>
        <w:tabs>
          <w:tab w:val="clear" w:pos="284"/>
          <w:tab w:val="left" w:pos="569"/>
        </w:tabs>
        <w:rPr>
          <w:b/>
          <w:bCs/>
          <w:szCs w:val="22"/>
          <w:lang w:val="sr-Latn-ME"/>
        </w:rPr>
      </w:pPr>
      <w:r w:rsidRPr="00777B5C">
        <w:rPr>
          <w:b/>
          <w:bCs/>
          <w:szCs w:val="22"/>
          <w:lang w:val="sr-Latn-ME"/>
        </w:rPr>
        <w:t xml:space="preserve">5. </w:t>
      </w:r>
      <w:r w:rsidRPr="00777B5C">
        <w:rPr>
          <w:b/>
          <w:bCs/>
          <w:szCs w:val="22"/>
          <w:lang w:val="sr-Latn-ME"/>
        </w:rPr>
        <w:tab/>
        <w:t>KAKO ČUVATI LIJEK TIGILIN</w:t>
      </w:r>
    </w:p>
    <w:p w14:paraId="31F471AA" w14:textId="77777777" w:rsidR="00DB46D8" w:rsidRPr="00777B5C" w:rsidRDefault="00DB46D8" w:rsidP="007B2FC3">
      <w:pPr>
        <w:widowControl w:val="0"/>
        <w:autoSpaceDE w:val="0"/>
        <w:autoSpaceDN w:val="0"/>
        <w:rPr>
          <w:noProof/>
          <w:szCs w:val="22"/>
          <w:lang w:val="sr-Latn-ME"/>
        </w:rPr>
      </w:pPr>
    </w:p>
    <w:p w14:paraId="6A8F7031" w14:textId="2DA51A73" w:rsidR="00EF4319" w:rsidRPr="00777B5C" w:rsidRDefault="00EF4319" w:rsidP="007B2FC3">
      <w:pPr>
        <w:widowControl w:val="0"/>
        <w:autoSpaceDE w:val="0"/>
        <w:autoSpaceDN w:val="0"/>
        <w:rPr>
          <w:noProof/>
          <w:szCs w:val="22"/>
          <w:lang w:val="sr-Latn-ME"/>
        </w:rPr>
      </w:pPr>
      <w:r w:rsidRPr="00777B5C">
        <w:rPr>
          <w:noProof/>
          <w:szCs w:val="22"/>
          <w:lang w:val="sr-Latn-ME"/>
        </w:rPr>
        <w:t>Lijek čuvajte van pogleda i domašaja djece.</w:t>
      </w:r>
    </w:p>
    <w:p w14:paraId="0B4974C4" w14:textId="77777777" w:rsidR="00160B46" w:rsidRPr="00777B5C" w:rsidRDefault="00160B46" w:rsidP="007B2FC3">
      <w:pPr>
        <w:numPr>
          <w:ilvl w:val="12"/>
          <w:numId w:val="0"/>
        </w:numPr>
        <w:tabs>
          <w:tab w:val="clear" w:pos="284"/>
          <w:tab w:val="left" w:pos="720"/>
        </w:tabs>
        <w:ind w:right="-2"/>
        <w:rPr>
          <w:szCs w:val="22"/>
          <w:lang w:val="sr-Latn-ME"/>
        </w:rPr>
      </w:pPr>
    </w:p>
    <w:p w14:paraId="1BBB2AF3" w14:textId="552F1BC7" w:rsidR="00EF4319" w:rsidRPr="00777B5C" w:rsidRDefault="00EF4319" w:rsidP="007B2FC3">
      <w:pPr>
        <w:numPr>
          <w:ilvl w:val="12"/>
          <w:numId w:val="0"/>
        </w:numPr>
        <w:tabs>
          <w:tab w:val="clear" w:pos="284"/>
          <w:tab w:val="left" w:pos="720"/>
        </w:tabs>
        <w:ind w:right="-2"/>
        <w:rPr>
          <w:szCs w:val="22"/>
          <w:lang w:val="sr-Latn-ME"/>
        </w:rPr>
      </w:pPr>
      <w:r w:rsidRPr="00777B5C">
        <w:rPr>
          <w:szCs w:val="22"/>
          <w:lang w:val="sr-Latn-ME"/>
        </w:rPr>
        <w:t>Ovaj lijek se ne smije upotrijebiti nakon isteka roka upotrebe navedenog na kutiji. Rok upotrebe odnosi se na poslednji dan navedenog mjeseca.</w:t>
      </w:r>
    </w:p>
    <w:p w14:paraId="7C32C500" w14:textId="77777777" w:rsidR="00160B46" w:rsidRPr="00777B5C" w:rsidRDefault="00160B46" w:rsidP="007B2FC3">
      <w:pPr>
        <w:widowControl w:val="0"/>
        <w:autoSpaceDE w:val="0"/>
        <w:autoSpaceDN w:val="0"/>
        <w:rPr>
          <w:noProof/>
          <w:szCs w:val="22"/>
          <w:lang w:val="sr-Latn-ME"/>
        </w:rPr>
      </w:pPr>
    </w:p>
    <w:p w14:paraId="24F34B1F" w14:textId="14A4495C" w:rsidR="00160B46" w:rsidRPr="00777B5C" w:rsidRDefault="00805DE2" w:rsidP="007B2FC3">
      <w:pPr>
        <w:widowControl w:val="0"/>
        <w:autoSpaceDE w:val="0"/>
        <w:autoSpaceDN w:val="0"/>
        <w:rPr>
          <w:noProof/>
          <w:szCs w:val="22"/>
          <w:lang w:val="sr-Latn-ME"/>
        </w:rPr>
      </w:pPr>
      <w:r w:rsidRPr="00777B5C">
        <w:rPr>
          <w:noProof/>
          <w:szCs w:val="22"/>
          <w:lang w:val="sr-Latn-ME"/>
        </w:rPr>
        <w:t>Čuvati na temperaturi do 30 °C.</w:t>
      </w:r>
    </w:p>
    <w:p w14:paraId="4AC426C2" w14:textId="3CEB2B92" w:rsidR="00B63309" w:rsidRPr="00777B5C" w:rsidRDefault="00B63309">
      <w:pPr>
        <w:widowControl w:val="0"/>
        <w:autoSpaceDE w:val="0"/>
        <w:autoSpaceDN w:val="0"/>
        <w:rPr>
          <w:noProof/>
          <w:szCs w:val="22"/>
          <w:lang w:val="sr-Latn-ME"/>
        </w:rPr>
      </w:pPr>
      <w:r w:rsidRPr="00777B5C">
        <w:rPr>
          <w:noProof/>
          <w:szCs w:val="22"/>
          <w:lang w:val="sr-Latn-ME"/>
        </w:rPr>
        <w:t>Rok upotrebe nakon rekonstitucije i razblaživanja: upotr</w:t>
      </w:r>
      <w:r w:rsidR="006E5BBD" w:rsidRPr="00777B5C">
        <w:rPr>
          <w:noProof/>
          <w:szCs w:val="22"/>
          <w:lang w:val="sr-Latn-ME"/>
        </w:rPr>
        <w:t>ij</w:t>
      </w:r>
      <w:r w:rsidRPr="00777B5C">
        <w:rPr>
          <w:noProof/>
          <w:szCs w:val="22"/>
          <w:lang w:val="sr-Latn-ME"/>
        </w:rPr>
        <w:t>ebiti odmah.</w:t>
      </w:r>
    </w:p>
    <w:p w14:paraId="05E7B1C8" w14:textId="3D53E15E" w:rsidR="0062685E" w:rsidRPr="00777B5C" w:rsidRDefault="0062685E" w:rsidP="007B2FC3">
      <w:pPr>
        <w:widowControl w:val="0"/>
        <w:autoSpaceDE w:val="0"/>
        <w:autoSpaceDN w:val="0"/>
        <w:rPr>
          <w:noProof/>
          <w:szCs w:val="22"/>
          <w:lang w:val="sr-Latn-ME"/>
        </w:rPr>
      </w:pPr>
      <w:r w:rsidRPr="00777B5C">
        <w:rPr>
          <w:noProof/>
          <w:szCs w:val="22"/>
          <w:lang w:val="sr-Latn-ME"/>
        </w:rPr>
        <w:t>Rastvor leka Tigilin treba da bude žute do narandžaste boje nakon rastvaranja. Ukoliko nije, rastvor treba baciti.</w:t>
      </w:r>
    </w:p>
    <w:p w14:paraId="741E7E10" w14:textId="77777777" w:rsidR="00160B46" w:rsidRPr="00777B5C" w:rsidRDefault="00160B46" w:rsidP="007B2FC3">
      <w:pPr>
        <w:tabs>
          <w:tab w:val="clear" w:pos="284"/>
        </w:tabs>
        <w:rPr>
          <w:szCs w:val="22"/>
          <w:lang w:val="sr-Latn-ME" w:eastAsia="hr-HR"/>
        </w:rPr>
      </w:pPr>
    </w:p>
    <w:p w14:paraId="5D9FDA12" w14:textId="2FFC10D5" w:rsidR="00DB46D8" w:rsidRPr="00777B5C" w:rsidRDefault="00DB46D8" w:rsidP="007B2FC3">
      <w:pPr>
        <w:tabs>
          <w:tab w:val="clear" w:pos="284"/>
        </w:tabs>
        <w:rPr>
          <w:szCs w:val="22"/>
          <w:lang w:val="sr-Latn-ME" w:eastAsia="hr-HR"/>
        </w:rPr>
      </w:pPr>
      <w:r w:rsidRPr="00777B5C">
        <w:rPr>
          <w:szCs w:val="22"/>
          <w:lang w:val="sr-Latn-ME" w:eastAsia="hr-HR"/>
        </w:rPr>
        <w:t>Ljekove ne treba bacati u kanalizaciju, niti kućni otpad. Ove mjere pomažu očuvanju životne sredine.</w:t>
      </w:r>
    </w:p>
    <w:p w14:paraId="587DD442" w14:textId="77777777" w:rsidR="00DB46D8" w:rsidRPr="00777B5C" w:rsidRDefault="00DB46D8" w:rsidP="007B2FC3">
      <w:pPr>
        <w:tabs>
          <w:tab w:val="clear" w:pos="284"/>
        </w:tabs>
        <w:rPr>
          <w:b/>
          <w:bCs/>
          <w:szCs w:val="22"/>
          <w:lang w:val="sr-Latn-ME" w:eastAsia="hr-HR"/>
        </w:rPr>
      </w:pPr>
      <w:r w:rsidRPr="00777B5C">
        <w:rPr>
          <w:szCs w:val="22"/>
          <w:lang w:val="sr-Latn-ME" w:eastAsia="hr-HR"/>
        </w:rPr>
        <w:t>Neupotrijebljeni lijek se uništava u skladu sa važećim propisima.</w:t>
      </w:r>
    </w:p>
    <w:p w14:paraId="253D7BF7" w14:textId="02F02D38" w:rsidR="00DB46D8" w:rsidRPr="00777B5C" w:rsidRDefault="00DB46D8" w:rsidP="007B2FC3">
      <w:pPr>
        <w:pStyle w:val="NASLOV123"/>
        <w:spacing w:before="0" w:after="0"/>
        <w:jc w:val="both"/>
        <w:rPr>
          <w:noProof/>
          <w:lang w:val="sr-Latn-ME"/>
        </w:rPr>
      </w:pPr>
    </w:p>
    <w:p w14:paraId="530364FB" w14:textId="77777777" w:rsidR="00160B46" w:rsidRPr="00777B5C" w:rsidRDefault="00160B46" w:rsidP="007B2FC3">
      <w:pPr>
        <w:pStyle w:val="NASLOV123"/>
        <w:spacing w:before="0" w:after="0"/>
        <w:jc w:val="both"/>
        <w:rPr>
          <w:noProof/>
          <w:lang w:val="sr-Latn-ME"/>
        </w:rPr>
      </w:pPr>
    </w:p>
    <w:p w14:paraId="744B4D89" w14:textId="0FE492D5" w:rsidR="00DB46D8" w:rsidRPr="00777B5C" w:rsidRDefault="00DB46D8" w:rsidP="007B2FC3">
      <w:pPr>
        <w:tabs>
          <w:tab w:val="clear" w:pos="284"/>
          <w:tab w:val="left" w:pos="567"/>
        </w:tabs>
        <w:rPr>
          <w:b/>
          <w:bCs/>
          <w:noProof/>
          <w:szCs w:val="22"/>
          <w:lang w:val="sr-Latn-ME"/>
        </w:rPr>
      </w:pPr>
      <w:r w:rsidRPr="00777B5C">
        <w:rPr>
          <w:b/>
          <w:bCs/>
          <w:szCs w:val="22"/>
          <w:lang w:val="sr-Latn-ME"/>
        </w:rPr>
        <w:t xml:space="preserve">6. </w:t>
      </w:r>
      <w:r w:rsidRPr="00777B5C">
        <w:rPr>
          <w:b/>
          <w:bCs/>
          <w:szCs w:val="22"/>
          <w:lang w:val="sr-Latn-ME"/>
        </w:rPr>
        <w:tab/>
        <w:t>SADRŽAJ PAKOVANJA I DODATNE INFORMACIJE</w:t>
      </w:r>
      <w:r w:rsidRPr="00777B5C">
        <w:rPr>
          <w:b/>
          <w:bCs/>
          <w:noProof/>
          <w:szCs w:val="22"/>
          <w:lang w:val="sr-Latn-ME"/>
        </w:rPr>
        <w:t xml:space="preserve"> </w:t>
      </w:r>
    </w:p>
    <w:p w14:paraId="4EE1B272" w14:textId="77777777" w:rsidR="00160B46" w:rsidRPr="00777B5C" w:rsidRDefault="00160B46" w:rsidP="007B2FC3">
      <w:pPr>
        <w:rPr>
          <w:b/>
          <w:bCs/>
          <w:noProof/>
          <w:szCs w:val="22"/>
          <w:lang w:val="sr-Latn-ME"/>
        </w:rPr>
      </w:pPr>
    </w:p>
    <w:p w14:paraId="7A92A578" w14:textId="3DC239E6" w:rsidR="005915F2" w:rsidRPr="00777B5C" w:rsidRDefault="005915F2" w:rsidP="007B2FC3">
      <w:pPr>
        <w:rPr>
          <w:b/>
          <w:bCs/>
          <w:noProof/>
          <w:szCs w:val="22"/>
          <w:lang w:val="sr-Latn-ME"/>
        </w:rPr>
      </w:pPr>
      <w:r w:rsidRPr="00777B5C">
        <w:rPr>
          <w:b/>
          <w:bCs/>
          <w:noProof/>
          <w:szCs w:val="22"/>
          <w:lang w:val="sr-Latn-ME"/>
        </w:rPr>
        <w:t>Šta sadrži l</w:t>
      </w:r>
      <w:r w:rsidR="006E5BBD" w:rsidRPr="00777B5C">
        <w:rPr>
          <w:b/>
          <w:bCs/>
          <w:noProof/>
          <w:szCs w:val="22"/>
          <w:lang w:val="sr-Latn-ME"/>
        </w:rPr>
        <w:t>ij</w:t>
      </w:r>
      <w:r w:rsidRPr="00777B5C">
        <w:rPr>
          <w:b/>
          <w:bCs/>
          <w:noProof/>
          <w:szCs w:val="22"/>
          <w:lang w:val="sr-Latn-ME"/>
        </w:rPr>
        <w:t>ek Tigilin</w:t>
      </w:r>
    </w:p>
    <w:p w14:paraId="5F33FA1B" w14:textId="77777777" w:rsidR="00160B46" w:rsidRPr="00777B5C" w:rsidRDefault="00160B46" w:rsidP="007B2FC3">
      <w:pPr>
        <w:rPr>
          <w:b/>
          <w:bCs/>
          <w:noProof/>
          <w:szCs w:val="22"/>
          <w:lang w:val="sr-Latn-ME"/>
        </w:rPr>
      </w:pPr>
    </w:p>
    <w:p w14:paraId="2A3DDE06" w14:textId="7D9F17EC" w:rsidR="005915F2" w:rsidRPr="00777B5C" w:rsidRDefault="005915F2" w:rsidP="007B2FC3">
      <w:pPr>
        <w:pStyle w:val="NASLOV123"/>
        <w:numPr>
          <w:ilvl w:val="0"/>
          <w:numId w:val="15"/>
        </w:numPr>
        <w:spacing w:before="0" w:after="0"/>
        <w:jc w:val="both"/>
        <w:rPr>
          <w:b w:val="0"/>
          <w:bCs w:val="0"/>
          <w:noProof/>
          <w:lang w:val="sr-Latn-ME"/>
        </w:rPr>
      </w:pPr>
      <w:r w:rsidRPr="00777B5C">
        <w:rPr>
          <w:b w:val="0"/>
          <w:bCs w:val="0"/>
          <w:noProof/>
          <w:lang w:val="sr-Latn-ME"/>
        </w:rPr>
        <w:t xml:space="preserve">Aktivna supstanca je tigeciklin. </w:t>
      </w:r>
    </w:p>
    <w:p w14:paraId="260FDC22" w14:textId="407B561B" w:rsidR="005915F2" w:rsidRPr="00777B5C" w:rsidRDefault="00160B46" w:rsidP="007B2FC3">
      <w:pPr>
        <w:pStyle w:val="NASLOV123"/>
        <w:spacing w:before="0" w:after="0"/>
        <w:jc w:val="both"/>
        <w:rPr>
          <w:b w:val="0"/>
          <w:bCs w:val="0"/>
          <w:noProof/>
          <w:lang w:val="sr-Latn-ME"/>
        </w:rPr>
      </w:pPr>
      <w:r w:rsidRPr="00777B5C">
        <w:rPr>
          <w:b w:val="0"/>
          <w:bCs w:val="0"/>
          <w:noProof/>
          <w:lang w:val="sr-Latn-ME"/>
        </w:rPr>
        <w:tab/>
      </w:r>
      <w:r w:rsidR="005915F2" w:rsidRPr="00777B5C">
        <w:rPr>
          <w:b w:val="0"/>
          <w:bCs w:val="0"/>
          <w:noProof/>
          <w:lang w:val="sr-Latn-ME"/>
        </w:rPr>
        <w:t>Jedna bočica praška za rastvor za infuziju sadrži 50 mg tigeciklina.</w:t>
      </w:r>
    </w:p>
    <w:p w14:paraId="2BC54272" w14:textId="5B65C034" w:rsidR="00762652" w:rsidRPr="00777B5C" w:rsidRDefault="005915F2" w:rsidP="007B2FC3">
      <w:pPr>
        <w:numPr>
          <w:ilvl w:val="0"/>
          <w:numId w:val="15"/>
        </w:numPr>
        <w:ind w:left="284" w:hanging="284"/>
        <w:rPr>
          <w:noProof/>
          <w:szCs w:val="22"/>
          <w:lang w:val="sr-Latn-ME"/>
        </w:rPr>
      </w:pPr>
      <w:r w:rsidRPr="00777B5C">
        <w:rPr>
          <w:noProof/>
          <w:szCs w:val="22"/>
          <w:lang w:val="sr-Latn-ME"/>
        </w:rPr>
        <w:t>Pomoćne supstance su: trehaloza, hlorovodonična kiselina (za podešavanje pH) i natrijum</w:t>
      </w:r>
      <w:r w:rsidR="006E5BBD" w:rsidRPr="00777B5C">
        <w:rPr>
          <w:noProof/>
          <w:szCs w:val="22"/>
          <w:lang w:val="sr-Latn-ME"/>
        </w:rPr>
        <w:t xml:space="preserve"> </w:t>
      </w:r>
      <w:r w:rsidRPr="00777B5C">
        <w:rPr>
          <w:noProof/>
          <w:szCs w:val="22"/>
          <w:lang w:val="sr-Latn-ME"/>
        </w:rPr>
        <w:t>hidroksid (za podešavanje pH)</w:t>
      </w:r>
    </w:p>
    <w:p w14:paraId="214E2F56" w14:textId="77777777" w:rsidR="00160B46" w:rsidRPr="00777B5C" w:rsidRDefault="00160B46" w:rsidP="007B2FC3">
      <w:pPr>
        <w:rPr>
          <w:noProof/>
          <w:szCs w:val="22"/>
          <w:lang w:val="sr-Latn-ME"/>
        </w:rPr>
      </w:pPr>
    </w:p>
    <w:p w14:paraId="0E4615F1" w14:textId="77777777" w:rsidR="008B5DD9" w:rsidRDefault="008B5DD9" w:rsidP="007B2FC3">
      <w:pPr>
        <w:rPr>
          <w:b/>
          <w:noProof/>
          <w:szCs w:val="22"/>
          <w:lang w:val="sr-Latn-ME"/>
        </w:rPr>
      </w:pPr>
    </w:p>
    <w:p w14:paraId="26F465B9" w14:textId="77777777" w:rsidR="008B5DD9" w:rsidRDefault="008B5DD9" w:rsidP="007B2FC3">
      <w:pPr>
        <w:rPr>
          <w:b/>
          <w:noProof/>
          <w:szCs w:val="22"/>
          <w:lang w:val="sr-Latn-ME"/>
        </w:rPr>
      </w:pPr>
    </w:p>
    <w:p w14:paraId="2BC54276" w14:textId="00430A72" w:rsidR="00762652" w:rsidRPr="00777B5C" w:rsidRDefault="00762652" w:rsidP="007B2FC3">
      <w:pPr>
        <w:rPr>
          <w:b/>
          <w:noProof/>
          <w:szCs w:val="22"/>
          <w:lang w:val="sr-Latn-ME"/>
        </w:rPr>
      </w:pPr>
      <w:r w:rsidRPr="00777B5C">
        <w:rPr>
          <w:b/>
          <w:noProof/>
          <w:szCs w:val="22"/>
          <w:lang w:val="sr-Latn-ME"/>
        </w:rPr>
        <w:lastRenderedPageBreak/>
        <w:t>Kako izgleda l</w:t>
      </w:r>
      <w:r w:rsidR="006E5BBD" w:rsidRPr="00777B5C">
        <w:rPr>
          <w:b/>
          <w:noProof/>
          <w:szCs w:val="22"/>
          <w:lang w:val="sr-Latn-ME"/>
        </w:rPr>
        <w:t>ij</w:t>
      </w:r>
      <w:r w:rsidRPr="00777B5C">
        <w:rPr>
          <w:b/>
          <w:noProof/>
          <w:szCs w:val="22"/>
          <w:lang w:val="sr-Latn-ME"/>
        </w:rPr>
        <w:t xml:space="preserve">ek </w:t>
      </w:r>
      <w:r w:rsidR="00220981" w:rsidRPr="00777B5C">
        <w:rPr>
          <w:b/>
          <w:noProof/>
          <w:szCs w:val="22"/>
          <w:lang w:val="sr-Latn-ME"/>
        </w:rPr>
        <w:t>Tigilin</w:t>
      </w:r>
      <w:r w:rsidRPr="00777B5C">
        <w:rPr>
          <w:b/>
          <w:noProof/>
          <w:szCs w:val="22"/>
          <w:lang w:val="sr-Latn-ME"/>
        </w:rPr>
        <w:t xml:space="preserve"> i sadržaj pakovanja</w:t>
      </w:r>
    </w:p>
    <w:p w14:paraId="7CA38284" w14:textId="77777777" w:rsidR="00160B46" w:rsidRPr="00777B5C" w:rsidRDefault="00160B46" w:rsidP="007B2FC3">
      <w:pPr>
        <w:rPr>
          <w:b/>
          <w:noProof/>
          <w:szCs w:val="22"/>
          <w:lang w:val="sr-Latn-ME"/>
        </w:rPr>
      </w:pPr>
    </w:p>
    <w:p w14:paraId="636EACB3" w14:textId="698B7450" w:rsidR="005915F2" w:rsidRPr="00777B5C" w:rsidRDefault="005915F2" w:rsidP="007B2FC3">
      <w:pPr>
        <w:rPr>
          <w:bCs/>
          <w:noProof/>
          <w:szCs w:val="22"/>
          <w:lang w:val="sr-Latn-ME"/>
        </w:rPr>
      </w:pPr>
      <w:r w:rsidRPr="00777B5C">
        <w:rPr>
          <w:bCs/>
          <w:noProof/>
          <w:szCs w:val="22"/>
          <w:lang w:val="sr-Latn-ME"/>
        </w:rPr>
        <w:t>Izgled Tigilin praška za rastvor za infuziju</w:t>
      </w:r>
      <w:r w:rsidRPr="00777B5C">
        <w:rPr>
          <w:b/>
          <w:noProof/>
          <w:szCs w:val="22"/>
          <w:lang w:val="sr-Latn-ME"/>
        </w:rPr>
        <w:t xml:space="preserve">: </w:t>
      </w:r>
      <w:r w:rsidR="006D4A12" w:rsidRPr="00777B5C">
        <w:rPr>
          <w:bCs/>
          <w:noProof/>
          <w:szCs w:val="22"/>
          <w:lang w:val="sr-Latn-ME"/>
        </w:rPr>
        <w:t xml:space="preserve">prašak </w:t>
      </w:r>
      <w:r w:rsidR="00160B46" w:rsidRPr="00777B5C">
        <w:rPr>
          <w:bCs/>
          <w:noProof/>
          <w:szCs w:val="22"/>
          <w:lang w:val="sr-Latn-ME"/>
        </w:rPr>
        <w:t xml:space="preserve">ili kolač </w:t>
      </w:r>
      <w:r w:rsidR="006D4A12" w:rsidRPr="00777B5C">
        <w:rPr>
          <w:bCs/>
          <w:noProof/>
          <w:szCs w:val="22"/>
          <w:lang w:val="sr-Latn-ME"/>
        </w:rPr>
        <w:t>narandžaste boje.</w:t>
      </w:r>
    </w:p>
    <w:p w14:paraId="2BC54277" w14:textId="069C1C00" w:rsidR="00762652" w:rsidRPr="00777B5C" w:rsidRDefault="00AD1F5F" w:rsidP="007B2FC3">
      <w:pPr>
        <w:rPr>
          <w:noProof/>
          <w:szCs w:val="22"/>
          <w:lang w:val="sr-Latn-ME"/>
        </w:rPr>
      </w:pPr>
      <w:r w:rsidRPr="00777B5C">
        <w:rPr>
          <w:noProof/>
          <w:szCs w:val="22"/>
          <w:lang w:val="sr-Latn-ME"/>
        </w:rPr>
        <w:t>Izgled rastvora za infuziju nakon rekonstitucije: bistar rastvor, žutonarandžaste boje.</w:t>
      </w:r>
    </w:p>
    <w:p w14:paraId="52B368DF" w14:textId="77777777" w:rsidR="00160B46" w:rsidRPr="00777B5C" w:rsidRDefault="00160B46" w:rsidP="007B2FC3">
      <w:pPr>
        <w:rPr>
          <w:noProof/>
          <w:szCs w:val="22"/>
          <w:lang w:val="sr-Latn-ME"/>
        </w:rPr>
      </w:pPr>
      <w:bookmarkStart w:id="0" w:name="_Hlk121821614"/>
    </w:p>
    <w:p w14:paraId="6D7FF494" w14:textId="4037C51E" w:rsidR="003B0849" w:rsidRPr="00777B5C" w:rsidRDefault="000061DD" w:rsidP="007B2FC3">
      <w:pPr>
        <w:rPr>
          <w:noProof/>
          <w:szCs w:val="22"/>
          <w:lang w:val="sr-Latn-ME"/>
        </w:rPr>
      </w:pPr>
      <w:r w:rsidRPr="00777B5C">
        <w:rPr>
          <w:noProof/>
          <w:szCs w:val="22"/>
          <w:lang w:val="sr-Latn-ME"/>
        </w:rPr>
        <w:t>Unutrašnje pakovanje je bočica od bezbojnog stakla</w:t>
      </w:r>
      <w:r w:rsidR="00285ECB" w:rsidRPr="00777B5C">
        <w:rPr>
          <w:noProof/>
          <w:szCs w:val="22"/>
          <w:lang w:val="sr-Latn-ME"/>
        </w:rPr>
        <w:t xml:space="preserve"> (</w:t>
      </w:r>
      <w:r w:rsidRPr="00777B5C">
        <w:rPr>
          <w:noProof/>
          <w:szCs w:val="22"/>
          <w:lang w:val="sr-Latn-ME"/>
        </w:rPr>
        <w:t>hidrolitičke otpornosti tip I</w:t>
      </w:r>
      <w:r w:rsidR="000E558D" w:rsidRPr="00777B5C">
        <w:rPr>
          <w:noProof/>
          <w:szCs w:val="22"/>
          <w:lang w:val="sr-Latn-ME"/>
        </w:rPr>
        <w:t>)</w:t>
      </w:r>
      <w:r w:rsidRPr="00777B5C">
        <w:rPr>
          <w:noProof/>
          <w:szCs w:val="22"/>
          <w:lang w:val="sr-Latn-ME"/>
        </w:rPr>
        <w:t xml:space="preserve"> </w:t>
      </w:r>
      <w:r w:rsidR="00160B46" w:rsidRPr="00777B5C">
        <w:rPr>
          <w:lang w:val="sr-Latn-ME"/>
        </w:rPr>
        <w:t xml:space="preserve">sa sivim gumenim </w:t>
      </w:r>
      <w:r w:rsidR="000E558D" w:rsidRPr="00777B5C">
        <w:rPr>
          <w:noProof/>
          <w:szCs w:val="22"/>
          <w:lang w:val="sr-Latn-ME"/>
        </w:rPr>
        <w:t>(bromobutil) zatvaračem</w:t>
      </w:r>
      <w:r w:rsidR="00A22D7C" w:rsidRPr="00777B5C">
        <w:rPr>
          <w:noProof/>
          <w:szCs w:val="22"/>
          <w:lang w:val="sr-Latn-ME"/>
        </w:rPr>
        <w:t xml:space="preserve"> </w:t>
      </w:r>
      <w:r w:rsidR="003B0849" w:rsidRPr="00777B5C">
        <w:rPr>
          <w:noProof/>
          <w:szCs w:val="22"/>
          <w:lang w:val="sr-Latn-ME"/>
        </w:rPr>
        <w:t xml:space="preserve">i aluminijumskim </w:t>
      </w:r>
      <w:bookmarkStart w:id="1" w:name="_Hlk121822740"/>
      <w:r w:rsidR="000E558D" w:rsidRPr="00777B5C">
        <w:rPr>
          <w:szCs w:val="22"/>
          <w:lang w:val="sr-Latn-ME" w:eastAsia="sr-Latn-CS"/>
        </w:rPr>
        <w:t xml:space="preserve">"flip-off" </w:t>
      </w:r>
      <w:r w:rsidR="000E558D" w:rsidRPr="00777B5C">
        <w:rPr>
          <w:noProof/>
          <w:szCs w:val="22"/>
          <w:lang w:val="sr-Latn-ME"/>
        </w:rPr>
        <w:t>poklopcem koji na vrhu imaju plastični d</w:t>
      </w:r>
      <w:r w:rsidR="006E5BBD" w:rsidRPr="00777B5C">
        <w:rPr>
          <w:noProof/>
          <w:szCs w:val="22"/>
          <w:lang w:val="sr-Latn-ME"/>
        </w:rPr>
        <w:t>i</w:t>
      </w:r>
      <w:r w:rsidR="000E558D" w:rsidRPr="00777B5C">
        <w:rPr>
          <w:noProof/>
          <w:szCs w:val="22"/>
          <w:lang w:val="sr-Latn-ME"/>
        </w:rPr>
        <w:t>o b</w:t>
      </w:r>
      <w:r w:rsidR="006E5BBD" w:rsidRPr="00777B5C">
        <w:rPr>
          <w:noProof/>
          <w:szCs w:val="22"/>
          <w:lang w:val="sr-Latn-ME"/>
        </w:rPr>
        <w:t>ij</w:t>
      </w:r>
      <w:r w:rsidR="000E558D" w:rsidRPr="00777B5C">
        <w:rPr>
          <w:noProof/>
          <w:szCs w:val="22"/>
          <w:lang w:val="sr-Latn-ME"/>
        </w:rPr>
        <w:t>ele boje.</w:t>
      </w:r>
      <w:r w:rsidR="003B0849" w:rsidRPr="00777B5C">
        <w:rPr>
          <w:noProof/>
          <w:szCs w:val="22"/>
          <w:lang w:val="sr-Latn-ME"/>
        </w:rPr>
        <w:t xml:space="preserve"> </w:t>
      </w:r>
    </w:p>
    <w:bookmarkEnd w:id="0"/>
    <w:bookmarkEnd w:id="1"/>
    <w:p w14:paraId="5ED57EB3" w14:textId="3691E6AB" w:rsidR="003B0849" w:rsidRPr="00777B5C" w:rsidRDefault="003B0849" w:rsidP="007B2FC3">
      <w:pPr>
        <w:rPr>
          <w:noProof/>
          <w:szCs w:val="22"/>
          <w:lang w:val="sr-Latn-ME"/>
        </w:rPr>
      </w:pPr>
      <w:r w:rsidRPr="00777B5C">
        <w:rPr>
          <w:noProof/>
          <w:szCs w:val="22"/>
          <w:lang w:val="sr-Latn-ME"/>
        </w:rPr>
        <w:t>Spolj</w:t>
      </w:r>
      <w:r w:rsidR="00160B46" w:rsidRPr="00777B5C">
        <w:rPr>
          <w:noProof/>
          <w:szCs w:val="22"/>
          <w:lang w:val="sr-Latn-ME"/>
        </w:rPr>
        <w:t>aš</w:t>
      </w:r>
      <w:r w:rsidRPr="00777B5C">
        <w:rPr>
          <w:noProof/>
          <w:szCs w:val="22"/>
          <w:lang w:val="sr-Latn-ME"/>
        </w:rPr>
        <w:t xml:space="preserve">nje pakovanje je složiva kartonska kutija </w:t>
      </w:r>
      <w:r w:rsidR="00160B46" w:rsidRPr="00777B5C">
        <w:rPr>
          <w:noProof/>
          <w:szCs w:val="22"/>
          <w:lang w:val="sr-Latn-ME"/>
        </w:rPr>
        <w:t>koja sadrži</w:t>
      </w:r>
      <w:r w:rsidRPr="00777B5C">
        <w:rPr>
          <w:noProof/>
          <w:szCs w:val="22"/>
          <w:lang w:val="sr-Latn-ME"/>
        </w:rPr>
        <w:t xml:space="preserve"> </w:t>
      </w:r>
      <w:r w:rsidR="000061DD" w:rsidRPr="00777B5C">
        <w:rPr>
          <w:noProof/>
          <w:szCs w:val="22"/>
          <w:lang w:val="sr-Latn-ME"/>
        </w:rPr>
        <w:t xml:space="preserve">10 </w:t>
      </w:r>
      <w:r w:rsidRPr="00777B5C">
        <w:rPr>
          <w:noProof/>
          <w:szCs w:val="22"/>
          <w:lang w:val="sr-Latn-ME"/>
        </w:rPr>
        <w:t xml:space="preserve">bočica </w:t>
      </w:r>
      <w:r w:rsidR="000E558D" w:rsidRPr="00777B5C">
        <w:rPr>
          <w:noProof/>
          <w:szCs w:val="22"/>
          <w:lang w:val="sr-Latn-ME"/>
        </w:rPr>
        <w:t>sa praškom za infuziju</w:t>
      </w:r>
      <w:r w:rsidR="00160B46" w:rsidRPr="00777B5C">
        <w:rPr>
          <w:noProof/>
          <w:szCs w:val="22"/>
          <w:lang w:val="sr-Latn-ME"/>
        </w:rPr>
        <w:t xml:space="preserve"> </w:t>
      </w:r>
      <w:r w:rsidR="00160B46" w:rsidRPr="00777B5C">
        <w:rPr>
          <w:lang w:val="sr-Latn-ME"/>
        </w:rPr>
        <w:t>(ukupno 10 bočica, 10 x 50 mg)</w:t>
      </w:r>
      <w:r w:rsidR="000E558D" w:rsidRPr="00777B5C">
        <w:rPr>
          <w:noProof/>
          <w:szCs w:val="22"/>
          <w:lang w:val="sr-Latn-ME"/>
        </w:rPr>
        <w:t xml:space="preserve"> </w:t>
      </w:r>
      <w:r w:rsidRPr="00777B5C">
        <w:rPr>
          <w:noProof/>
          <w:szCs w:val="22"/>
          <w:lang w:val="sr-Latn-ME"/>
        </w:rPr>
        <w:t>i Uputstvo za l</w:t>
      </w:r>
      <w:r w:rsidR="006E5BBD" w:rsidRPr="00777B5C">
        <w:rPr>
          <w:noProof/>
          <w:szCs w:val="22"/>
          <w:lang w:val="sr-Latn-ME"/>
        </w:rPr>
        <w:t>ij</w:t>
      </w:r>
      <w:r w:rsidRPr="00777B5C">
        <w:rPr>
          <w:noProof/>
          <w:szCs w:val="22"/>
          <w:lang w:val="sr-Latn-ME"/>
        </w:rPr>
        <w:t>ek.</w:t>
      </w:r>
    </w:p>
    <w:p w14:paraId="0ECB613A" w14:textId="7E425B42" w:rsidR="005C4BDD" w:rsidRPr="00777B5C" w:rsidRDefault="005C4BDD" w:rsidP="007B2FC3">
      <w:pPr>
        <w:rPr>
          <w:noProof/>
          <w:szCs w:val="22"/>
          <w:lang w:val="sr-Latn-ME"/>
        </w:rPr>
      </w:pPr>
    </w:p>
    <w:p w14:paraId="2BC54279" w14:textId="5B12EA81" w:rsidR="00762652" w:rsidRPr="00777B5C" w:rsidRDefault="00762652" w:rsidP="007B2FC3">
      <w:pPr>
        <w:rPr>
          <w:b/>
          <w:noProof/>
          <w:szCs w:val="22"/>
          <w:lang w:val="sr-Latn-ME"/>
        </w:rPr>
      </w:pPr>
      <w:r w:rsidRPr="00777B5C">
        <w:rPr>
          <w:b/>
          <w:noProof/>
          <w:szCs w:val="22"/>
          <w:lang w:val="sr-Latn-ME"/>
        </w:rPr>
        <w:t>Nosilac dozvole i proizvođač</w:t>
      </w:r>
    </w:p>
    <w:p w14:paraId="7FBB5078" w14:textId="77777777" w:rsidR="00160B46" w:rsidRPr="00777B5C" w:rsidRDefault="00160B46" w:rsidP="007B2FC3">
      <w:pPr>
        <w:rPr>
          <w:b/>
          <w:noProof/>
          <w:szCs w:val="22"/>
          <w:lang w:val="sr-Latn-ME"/>
        </w:rPr>
      </w:pPr>
    </w:p>
    <w:p w14:paraId="0D433D3D" w14:textId="698BA9B4" w:rsidR="00A416D9" w:rsidRPr="00777B5C" w:rsidRDefault="00A416D9" w:rsidP="007B2FC3">
      <w:pPr>
        <w:rPr>
          <w:bCs/>
          <w:noProof/>
          <w:szCs w:val="22"/>
          <w:lang w:val="sr-Latn-ME"/>
        </w:rPr>
      </w:pPr>
      <w:r w:rsidRPr="00777B5C">
        <w:rPr>
          <w:bCs/>
          <w:noProof/>
          <w:szCs w:val="22"/>
          <w:lang w:val="sr-Latn-ME"/>
        </w:rPr>
        <w:t>Nosilac dozvole</w:t>
      </w:r>
      <w:r w:rsidR="006E5BBD" w:rsidRPr="00777B5C">
        <w:rPr>
          <w:bCs/>
          <w:noProof/>
          <w:szCs w:val="22"/>
          <w:lang w:val="sr-Latn-ME"/>
        </w:rPr>
        <w:t>:</w:t>
      </w:r>
    </w:p>
    <w:p w14:paraId="2BC5427A" w14:textId="164AEEA3" w:rsidR="00762652" w:rsidRPr="00777B5C" w:rsidRDefault="00805DE2" w:rsidP="00160B46">
      <w:pPr>
        <w:rPr>
          <w:bCs/>
          <w:szCs w:val="22"/>
          <w:lang w:val="sr-Latn-ME"/>
        </w:rPr>
      </w:pPr>
      <w:r w:rsidRPr="00777B5C">
        <w:rPr>
          <w:bCs/>
          <w:szCs w:val="22"/>
          <w:lang w:val="sr-Latn-ME"/>
        </w:rPr>
        <w:t>G</w:t>
      </w:r>
      <w:r w:rsidR="006E5BBD" w:rsidRPr="00777B5C">
        <w:rPr>
          <w:bCs/>
          <w:szCs w:val="22"/>
          <w:lang w:val="sr-Latn-ME"/>
        </w:rPr>
        <w:t>LK pharma d.o.o.</w:t>
      </w:r>
      <w:r w:rsidR="00160B46" w:rsidRPr="00777B5C">
        <w:rPr>
          <w:bCs/>
          <w:szCs w:val="22"/>
          <w:lang w:val="sr-Latn-ME"/>
        </w:rPr>
        <w:t xml:space="preserve"> Podgorica</w:t>
      </w:r>
      <w:r w:rsidR="006E5BBD" w:rsidRPr="00777B5C">
        <w:rPr>
          <w:bCs/>
          <w:szCs w:val="22"/>
          <w:lang w:val="sr-Latn-ME"/>
        </w:rPr>
        <w:t>, Svetozara Markovića</w:t>
      </w:r>
      <w:r w:rsidR="00160B46" w:rsidRPr="00777B5C">
        <w:rPr>
          <w:bCs/>
          <w:szCs w:val="22"/>
          <w:lang w:val="sr-Latn-ME"/>
        </w:rPr>
        <w:t xml:space="preserve"> br.</w:t>
      </w:r>
      <w:r w:rsidR="006E5BBD" w:rsidRPr="00777B5C">
        <w:rPr>
          <w:bCs/>
          <w:szCs w:val="22"/>
          <w:lang w:val="sr-Latn-ME"/>
        </w:rPr>
        <w:t xml:space="preserve"> 46, 81000 Podgorica, Crna Gora</w:t>
      </w:r>
    </w:p>
    <w:p w14:paraId="6E18E546" w14:textId="77777777" w:rsidR="00A416D9" w:rsidRPr="00777B5C" w:rsidRDefault="00A416D9">
      <w:pPr>
        <w:rPr>
          <w:bCs/>
          <w:szCs w:val="22"/>
          <w:lang w:val="sr-Latn-ME"/>
        </w:rPr>
      </w:pPr>
    </w:p>
    <w:p w14:paraId="4F34ED31" w14:textId="0A1CEDE3" w:rsidR="00A416D9" w:rsidRPr="00777B5C" w:rsidRDefault="00A416D9">
      <w:pPr>
        <w:rPr>
          <w:bCs/>
          <w:szCs w:val="22"/>
          <w:lang w:val="sr-Latn-ME"/>
        </w:rPr>
      </w:pPr>
      <w:r w:rsidRPr="00777B5C">
        <w:rPr>
          <w:bCs/>
          <w:szCs w:val="22"/>
          <w:lang w:val="sr-Latn-ME"/>
        </w:rPr>
        <w:t>Proizvođač:</w:t>
      </w:r>
    </w:p>
    <w:p w14:paraId="33482226" w14:textId="77777777" w:rsidR="00A416D9" w:rsidRPr="00777B5C" w:rsidRDefault="00A416D9">
      <w:pPr>
        <w:rPr>
          <w:bCs/>
          <w:szCs w:val="22"/>
          <w:lang w:val="sr-Latn-ME"/>
        </w:rPr>
      </w:pPr>
      <w:r w:rsidRPr="00777B5C">
        <w:rPr>
          <w:bCs/>
          <w:szCs w:val="22"/>
          <w:lang w:val="sr-Latn-ME"/>
        </w:rPr>
        <w:t>Sofarimex – Indústria Química e Farmacêutica, S.A.</w:t>
      </w:r>
    </w:p>
    <w:p w14:paraId="7152E8F0" w14:textId="05F5DCBC" w:rsidR="00A416D9" w:rsidRPr="00777B5C" w:rsidRDefault="00A416D9">
      <w:pPr>
        <w:rPr>
          <w:bCs/>
          <w:szCs w:val="22"/>
          <w:lang w:val="sr-Latn-ME"/>
        </w:rPr>
      </w:pPr>
      <w:r w:rsidRPr="00777B5C">
        <w:rPr>
          <w:bCs/>
          <w:szCs w:val="22"/>
          <w:lang w:val="sr-Latn-ME"/>
        </w:rPr>
        <w:t xml:space="preserve">Av. das Indústrias, Alto do Colaride, </w:t>
      </w:r>
      <w:r w:rsidR="00160B46" w:rsidRPr="00777B5C">
        <w:rPr>
          <w:bCs/>
          <w:szCs w:val="22"/>
          <w:lang w:val="sr-Latn-ME"/>
        </w:rPr>
        <w:t>Cacém,</w:t>
      </w:r>
    </w:p>
    <w:p w14:paraId="2BC5427E" w14:textId="53B1A5C0" w:rsidR="00762652" w:rsidRPr="00777B5C" w:rsidRDefault="00A416D9">
      <w:pPr>
        <w:rPr>
          <w:bCs/>
          <w:szCs w:val="22"/>
          <w:lang w:val="sr-Latn-ME"/>
        </w:rPr>
      </w:pPr>
      <w:r w:rsidRPr="00777B5C">
        <w:rPr>
          <w:bCs/>
          <w:szCs w:val="22"/>
          <w:lang w:val="sr-Latn-ME"/>
        </w:rPr>
        <w:t>2735-213, Portugal</w:t>
      </w:r>
      <w:r w:rsidR="00160B46" w:rsidRPr="00777B5C">
        <w:rPr>
          <w:bCs/>
          <w:szCs w:val="22"/>
          <w:lang w:val="sr-Latn-ME"/>
        </w:rPr>
        <w:t>ija</w:t>
      </w:r>
    </w:p>
    <w:p w14:paraId="0A425044" w14:textId="77777777" w:rsidR="00160B46" w:rsidRPr="00777B5C" w:rsidRDefault="00160B46">
      <w:pPr>
        <w:rPr>
          <w:bCs/>
          <w:szCs w:val="22"/>
          <w:lang w:val="sr-Latn-ME"/>
        </w:rPr>
      </w:pPr>
    </w:p>
    <w:p w14:paraId="2BC5427F" w14:textId="461438A7" w:rsidR="00762652" w:rsidRPr="00777B5C" w:rsidRDefault="00762652" w:rsidP="007B2FC3">
      <w:pPr>
        <w:rPr>
          <w:b/>
          <w:noProof/>
          <w:szCs w:val="22"/>
          <w:lang w:val="sr-Latn-ME"/>
        </w:rPr>
      </w:pPr>
      <w:r w:rsidRPr="00777B5C">
        <w:rPr>
          <w:b/>
          <w:noProof/>
          <w:szCs w:val="22"/>
          <w:lang w:val="sr-Latn-ME"/>
        </w:rPr>
        <w:t>Režim izdavanja l</w:t>
      </w:r>
      <w:r w:rsidR="006E5BBD" w:rsidRPr="00777B5C">
        <w:rPr>
          <w:b/>
          <w:noProof/>
          <w:szCs w:val="22"/>
          <w:lang w:val="sr-Latn-ME"/>
        </w:rPr>
        <w:t>ij</w:t>
      </w:r>
      <w:r w:rsidRPr="00777B5C">
        <w:rPr>
          <w:b/>
          <w:noProof/>
          <w:szCs w:val="22"/>
          <w:lang w:val="sr-Latn-ME"/>
        </w:rPr>
        <w:t>eka:</w:t>
      </w:r>
    </w:p>
    <w:p w14:paraId="10CE2A6C" w14:textId="77777777" w:rsidR="00160B46" w:rsidRPr="00777B5C" w:rsidRDefault="00160B46" w:rsidP="007B2FC3">
      <w:pPr>
        <w:rPr>
          <w:b/>
          <w:noProof/>
          <w:szCs w:val="22"/>
          <w:lang w:val="sr-Latn-ME"/>
        </w:rPr>
      </w:pPr>
    </w:p>
    <w:p w14:paraId="2C51EB96" w14:textId="608F42A2" w:rsidR="00805DE2" w:rsidRPr="00777B5C" w:rsidRDefault="00916CA9" w:rsidP="00160B46">
      <w:pPr>
        <w:widowControl w:val="0"/>
        <w:autoSpaceDE w:val="0"/>
        <w:autoSpaceDN w:val="0"/>
        <w:rPr>
          <w:szCs w:val="22"/>
          <w:lang w:val="sr-Latn-ME"/>
        </w:rPr>
      </w:pPr>
      <w:r w:rsidRPr="00777B5C">
        <w:rPr>
          <w:szCs w:val="22"/>
          <w:lang w:val="sr-Latn-ME"/>
        </w:rPr>
        <w:t>Lijek se izdaje samo na ljekarski recept</w:t>
      </w:r>
      <w:r w:rsidR="00805DE2" w:rsidRPr="00777B5C">
        <w:rPr>
          <w:szCs w:val="22"/>
          <w:lang w:val="sr-Latn-ME"/>
        </w:rPr>
        <w:t>.</w:t>
      </w:r>
    </w:p>
    <w:p w14:paraId="72FC2AB9" w14:textId="77777777" w:rsidR="00160B46" w:rsidRPr="00777B5C" w:rsidRDefault="00160B46">
      <w:pPr>
        <w:widowControl w:val="0"/>
        <w:autoSpaceDE w:val="0"/>
        <w:autoSpaceDN w:val="0"/>
        <w:rPr>
          <w:szCs w:val="22"/>
          <w:lang w:val="sr-Latn-ME"/>
        </w:rPr>
      </w:pPr>
    </w:p>
    <w:p w14:paraId="2BC54282" w14:textId="5CD142D4" w:rsidR="00762652" w:rsidRPr="00777B5C" w:rsidRDefault="00762652" w:rsidP="007B2FC3">
      <w:pPr>
        <w:rPr>
          <w:b/>
          <w:noProof/>
          <w:szCs w:val="22"/>
          <w:lang w:val="sr-Latn-ME"/>
        </w:rPr>
      </w:pPr>
      <w:r w:rsidRPr="00777B5C">
        <w:rPr>
          <w:b/>
          <w:noProof/>
          <w:szCs w:val="22"/>
          <w:lang w:val="sr-Latn-ME"/>
        </w:rPr>
        <w:t>Broj i datum dozvole:</w:t>
      </w:r>
    </w:p>
    <w:p w14:paraId="62FDAB6F" w14:textId="0A714809" w:rsidR="00DB46D8" w:rsidRPr="008B5DD9" w:rsidRDefault="00DB46D8" w:rsidP="007B2FC3">
      <w:pPr>
        <w:rPr>
          <w:b/>
          <w:noProof/>
          <w:szCs w:val="22"/>
          <w:lang w:val="sr-Latn-ME"/>
        </w:rPr>
      </w:pPr>
    </w:p>
    <w:p w14:paraId="36E5277C" w14:textId="0F837D39" w:rsidR="00777B5C" w:rsidRPr="008B5DD9" w:rsidRDefault="00854C10" w:rsidP="007B2FC3">
      <w:pPr>
        <w:rPr>
          <w:rFonts w:eastAsia="TimesNewRoman"/>
          <w:szCs w:val="22"/>
          <w:lang w:val="sr-Latn-ME" w:eastAsia="en-GB"/>
        </w:rPr>
      </w:pPr>
      <w:r>
        <w:rPr>
          <w:rFonts w:eastAsia="TimesNewRoman"/>
          <w:szCs w:val="22"/>
          <w:lang w:val="sr-Latn-ME" w:eastAsia="en-GB"/>
        </w:rPr>
        <w:t>2030/25/1776 – 1741 od 16</w:t>
      </w:r>
      <w:bookmarkStart w:id="2" w:name="_GoBack"/>
      <w:bookmarkEnd w:id="2"/>
      <w:r w:rsidR="00777B5C" w:rsidRPr="008B5DD9">
        <w:rPr>
          <w:rFonts w:eastAsia="TimesNewRoman"/>
          <w:szCs w:val="22"/>
          <w:lang w:val="sr-Latn-ME" w:eastAsia="en-GB"/>
        </w:rPr>
        <w:t>.04.2025. godine</w:t>
      </w:r>
    </w:p>
    <w:p w14:paraId="138A6C6D" w14:textId="77777777" w:rsidR="00777B5C" w:rsidRPr="00777B5C" w:rsidRDefault="00777B5C" w:rsidP="007B2FC3">
      <w:pPr>
        <w:rPr>
          <w:b/>
          <w:noProof/>
          <w:szCs w:val="22"/>
          <w:lang w:val="sr-Latn-ME"/>
        </w:rPr>
      </w:pPr>
    </w:p>
    <w:p w14:paraId="664A2F95" w14:textId="77777777" w:rsidR="00DB46D8" w:rsidRPr="00777B5C" w:rsidRDefault="00DB46D8" w:rsidP="007B2FC3">
      <w:pPr>
        <w:tabs>
          <w:tab w:val="clear" w:pos="284"/>
        </w:tabs>
        <w:rPr>
          <w:b/>
          <w:szCs w:val="22"/>
          <w:lang w:val="sr-Latn-ME"/>
        </w:rPr>
      </w:pPr>
      <w:r w:rsidRPr="00777B5C">
        <w:rPr>
          <w:b/>
          <w:szCs w:val="22"/>
          <w:lang w:val="sr-Latn-ME"/>
        </w:rPr>
        <w:t>Ovo uputstvo je posljednji put odobreno</w:t>
      </w:r>
    </w:p>
    <w:p w14:paraId="2BC54283" w14:textId="3B6AB26F" w:rsidR="00762652" w:rsidRPr="00777B5C" w:rsidRDefault="00762652" w:rsidP="0047765A">
      <w:pPr>
        <w:rPr>
          <w:b/>
          <w:szCs w:val="22"/>
          <w:lang w:val="sr-Latn-ME"/>
        </w:rPr>
      </w:pPr>
    </w:p>
    <w:p w14:paraId="074C2EB5" w14:textId="619ABB9E" w:rsidR="00777B5C" w:rsidRPr="00777B5C" w:rsidRDefault="00777B5C" w:rsidP="0047765A">
      <w:pPr>
        <w:rPr>
          <w:szCs w:val="22"/>
          <w:lang w:val="sr-Latn-ME"/>
        </w:rPr>
      </w:pPr>
      <w:r w:rsidRPr="00777B5C">
        <w:rPr>
          <w:szCs w:val="22"/>
          <w:lang w:val="sr-Latn-ME"/>
        </w:rPr>
        <w:t>April, 2025. godine</w:t>
      </w:r>
    </w:p>
    <w:p w14:paraId="2BC54284" w14:textId="77777777" w:rsidR="00762652" w:rsidRPr="00777B5C" w:rsidRDefault="00762652">
      <w:pPr>
        <w:rPr>
          <w:szCs w:val="22"/>
          <w:lang w:val="sr-Latn-ME"/>
        </w:rPr>
      </w:pPr>
    </w:p>
    <w:p w14:paraId="2BC54285" w14:textId="77777777" w:rsidR="00762652" w:rsidRPr="00777B5C" w:rsidRDefault="00762652">
      <w:pPr>
        <w:rPr>
          <w:i/>
          <w:iCs/>
          <w:szCs w:val="22"/>
          <w:lang w:val="sr-Latn-ME"/>
        </w:rPr>
      </w:pPr>
      <w:r w:rsidRPr="00777B5C">
        <w:rPr>
          <w:caps/>
          <w:szCs w:val="22"/>
          <w:lang w:val="sr-Latn-ME"/>
        </w:rPr>
        <w:t>&lt;</w:t>
      </w:r>
      <w:r w:rsidRPr="00777B5C">
        <w:rPr>
          <w:szCs w:val="22"/>
          <w:lang w:val="sr-Latn-ME"/>
        </w:rPr>
        <w:t>------------------------------------------------------------------------------------------------&gt;</w:t>
      </w:r>
    </w:p>
    <w:p w14:paraId="2BC54286" w14:textId="6F66D4B4" w:rsidR="00762652" w:rsidRPr="00777B5C" w:rsidRDefault="00762652">
      <w:pPr>
        <w:rPr>
          <w:caps/>
          <w:szCs w:val="22"/>
          <w:lang w:val="sr-Latn-ME"/>
        </w:rPr>
      </w:pPr>
      <w:r w:rsidRPr="00777B5C">
        <w:rPr>
          <w:caps/>
          <w:szCs w:val="22"/>
          <w:lang w:val="sr-Latn-ME"/>
        </w:rPr>
        <w:t>&lt;Sl</w:t>
      </w:r>
      <w:r w:rsidR="006E5BBD" w:rsidRPr="00777B5C">
        <w:rPr>
          <w:caps/>
          <w:szCs w:val="22"/>
          <w:lang w:val="sr-Latn-ME"/>
        </w:rPr>
        <w:t>J</w:t>
      </w:r>
      <w:r w:rsidRPr="00777B5C">
        <w:rPr>
          <w:caps/>
          <w:szCs w:val="22"/>
          <w:lang w:val="sr-Latn-ME"/>
        </w:rPr>
        <w:t>edeće informacije nam</w:t>
      </w:r>
      <w:r w:rsidR="00DB46D8" w:rsidRPr="00777B5C">
        <w:rPr>
          <w:caps/>
          <w:szCs w:val="22"/>
          <w:lang w:val="sr-Latn-ME"/>
        </w:rPr>
        <w:t>IJ</w:t>
      </w:r>
      <w:r w:rsidRPr="00777B5C">
        <w:rPr>
          <w:caps/>
          <w:szCs w:val="22"/>
          <w:lang w:val="sr-Latn-ME"/>
        </w:rPr>
        <w:t>enjene su isključivo zdravstvenim stručnjacima:&gt;</w:t>
      </w:r>
    </w:p>
    <w:p w14:paraId="2BC54287" w14:textId="77777777" w:rsidR="00762652" w:rsidRPr="00777B5C" w:rsidRDefault="00762652">
      <w:pPr>
        <w:rPr>
          <w:caps/>
          <w:szCs w:val="22"/>
          <w:lang w:val="sr-Latn-ME"/>
        </w:rPr>
      </w:pPr>
    </w:p>
    <w:p w14:paraId="7A3D8317" w14:textId="15F0B229" w:rsidR="00F412AB" w:rsidRPr="00777B5C" w:rsidRDefault="00F412AB" w:rsidP="007B2FC3">
      <w:pPr>
        <w:tabs>
          <w:tab w:val="clear" w:pos="284"/>
        </w:tabs>
        <w:spacing w:before="120" w:after="120" w:line="259" w:lineRule="auto"/>
        <w:rPr>
          <w:rFonts w:eastAsia="Calibri"/>
          <w:b/>
          <w:bCs/>
          <w:noProof/>
          <w:szCs w:val="22"/>
          <w:lang w:val="sr-Latn-ME"/>
        </w:rPr>
      </w:pPr>
      <w:r w:rsidRPr="00777B5C">
        <w:rPr>
          <w:rFonts w:eastAsia="Calibri"/>
          <w:b/>
          <w:bCs/>
          <w:noProof/>
          <w:szCs w:val="22"/>
          <w:lang w:val="sr-Latn-ME"/>
        </w:rPr>
        <w:t>Terapijske indikacije</w:t>
      </w:r>
    </w:p>
    <w:p w14:paraId="24DAFE78" w14:textId="61309BFA" w:rsidR="00F412AB" w:rsidRPr="00777B5C" w:rsidRDefault="00F412AB" w:rsidP="0047765A">
      <w:pPr>
        <w:tabs>
          <w:tab w:val="clear" w:pos="284"/>
        </w:tabs>
        <w:spacing w:before="120" w:after="120" w:line="259" w:lineRule="auto"/>
        <w:rPr>
          <w:rFonts w:eastAsia="Calibri"/>
          <w:noProof/>
          <w:szCs w:val="22"/>
          <w:lang w:val="sr-Latn-ME"/>
        </w:rPr>
      </w:pPr>
      <w:r w:rsidRPr="00777B5C">
        <w:rPr>
          <w:rFonts w:eastAsia="Calibri"/>
          <w:noProof/>
          <w:szCs w:val="22"/>
          <w:lang w:val="sr-Latn-ME"/>
        </w:rPr>
        <w:t>L</w:t>
      </w:r>
      <w:r w:rsidR="006E5BBD" w:rsidRPr="00777B5C">
        <w:rPr>
          <w:rFonts w:eastAsia="Calibri"/>
          <w:noProof/>
          <w:szCs w:val="22"/>
          <w:lang w:val="sr-Latn-ME"/>
        </w:rPr>
        <w:t>ij</w:t>
      </w:r>
      <w:r w:rsidRPr="00777B5C">
        <w:rPr>
          <w:rFonts w:eastAsia="Calibri"/>
          <w:noProof/>
          <w:szCs w:val="22"/>
          <w:lang w:val="sr-Latn-ME"/>
        </w:rPr>
        <w:t>ek Tigilin je indikovan za prim</w:t>
      </w:r>
      <w:r w:rsidR="006E5BBD" w:rsidRPr="00777B5C">
        <w:rPr>
          <w:rFonts w:eastAsia="Calibri"/>
          <w:noProof/>
          <w:szCs w:val="22"/>
          <w:lang w:val="sr-Latn-ME"/>
        </w:rPr>
        <w:t>j</w:t>
      </w:r>
      <w:r w:rsidRPr="00777B5C">
        <w:rPr>
          <w:rFonts w:eastAsia="Calibri"/>
          <w:noProof/>
          <w:szCs w:val="22"/>
          <w:lang w:val="sr-Latn-ME"/>
        </w:rPr>
        <w:t>enu kod odraslih i d</w:t>
      </w:r>
      <w:r w:rsidR="006E5BBD" w:rsidRPr="00777B5C">
        <w:rPr>
          <w:rFonts w:eastAsia="Calibri"/>
          <w:noProof/>
          <w:szCs w:val="22"/>
          <w:lang w:val="sr-Latn-ME"/>
        </w:rPr>
        <w:t>j</w:t>
      </w:r>
      <w:r w:rsidRPr="00777B5C">
        <w:rPr>
          <w:rFonts w:eastAsia="Calibri"/>
          <w:noProof/>
          <w:szCs w:val="22"/>
          <w:lang w:val="sr-Latn-ME"/>
        </w:rPr>
        <w:t>ece starije od 8 godina i starije u terapiji sl</w:t>
      </w:r>
      <w:r w:rsidR="006E5BBD" w:rsidRPr="00777B5C">
        <w:rPr>
          <w:rFonts w:eastAsia="Calibri"/>
          <w:noProof/>
          <w:szCs w:val="22"/>
          <w:lang w:val="sr-Latn-ME"/>
        </w:rPr>
        <w:t>j</w:t>
      </w:r>
      <w:r w:rsidRPr="00777B5C">
        <w:rPr>
          <w:rFonts w:eastAsia="Calibri"/>
          <w:noProof/>
          <w:szCs w:val="22"/>
          <w:lang w:val="sr-Latn-ME"/>
        </w:rPr>
        <w:t>edećih infekcija (vid</w:t>
      </w:r>
      <w:r w:rsidR="006E5BBD" w:rsidRPr="00777B5C">
        <w:rPr>
          <w:rFonts w:eastAsia="Calibri"/>
          <w:noProof/>
          <w:szCs w:val="22"/>
          <w:lang w:val="sr-Latn-ME"/>
        </w:rPr>
        <w:t>j</w:t>
      </w:r>
      <w:r w:rsidRPr="00777B5C">
        <w:rPr>
          <w:rFonts w:eastAsia="Calibri"/>
          <w:noProof/>
          <w:szCs w:val="22"/>
          <w:lang w:val="sr-Latn-ME"/>
        </w:rPr>
        <w:t xml:space="preserve">eti </w:t>
      </w:r>
      <w:r w:rsidR="006E5BBD" w:rsidRPr="00777B5C">
        <w:rPr>
          <w:rFonts w:eastAsia="Calibri"/>
          <w:noProof/>
          <w:szCs w:val="22"/>
          <w:lang w:val="sr-Latn-ME"/>
        </w:rPr>
        <w:t>djelove</w:t>
      </w:r>
      <w:r w:rsidRPr="00777B5C">
        <w:rPr>
          <w:rFonts w:eastAsia="Calibri"/>
          <w:noProof/>
          <w:szCs w:val="22"/>
          <w:lang w:val="sr-Latn-ME"/>
        </w:rPr>
        <w:t xml:space="preserve"> </w:t>
      </w:r>
      <w:r w:rsidR="00576E42" w:rsidRPr="00777B5C">
        <w:rPr>
          <w:rFonts w:eastAsia="Calibri"/>
          <w:noProof/>
          <w:szCs w:val="22"/>
          <w:lang w:val="sr-Latn-ME"/>
        </w:rPr>
        <w:t>“Posebna upozorenja i mjere opreza pri upotrebi lijeka“ i „</w:t>
      </w:r>
      <w:r w:rsidR="00576E42" w:rsidRPr="00777B5C">
        <w:rPr>
          <w:rFonts w:eastAsia="TimesNewRoman,Bold"/>
          <w:bCs/>
          <w:noProof/>
          <w:lang w:val="sr-Latn-ME"/>
        </w:rPr>
        <w:t>Interakcije sa drugim ljekovima i druge vrste interakcija“</w:t>
      </w:r>
      <w:r w:rsidR="00576E42" w:rsidRPr="00777B5C">
        <w:rPr>
          <w:rFonts w:eastAsia="Calibri"/>
          <w:noProof/>
          <w:szCs w:val="22"/>
          <w:lang w:val="sr-Latn-ME"/>
        </w:rPr>
        <w:t xml:space="preserve"> </w:t>
      </w:r>
      <w:r w:rsidRPr="00777B5C">
        <w:rPr>
          <w:rFonts w:eastAsia="Calibri"/>
          <w:noProof/>
          <w:szCs w:val="22"/>
          <w:lang w:val="sr-Latn-ME"/>
        </w:rPr>
        <w:t>):</w:t>
      </w:r>
    </w:p>
    <w:p w14:paraId="006117D7" w14:textId="20DCAEDF" w:rsidR="00F412AB" w:rsidRPr="00777B5C" w:rsidRDefault="00F412AB" w:rsidP="007B2FC3">
      <w:pPr>
        <w:numPr>
          <w:ilvl w:val="0"/>
          <w:numId w:val="16"/>
        </w:numPr>
        <w:tabs>
          <w:tab w:val="clear" w:pos="284"/>
        </w:tabs>
        <w:spacing w:before="120" w:after="120" w:line="259" w:lineRule="auto"/>
        <w:contextualSpacing/>
        <w:rPr>
          <w:rFonts w:eastAsia="Calibri"/>
          <w:noProof/>
          <w:szCs w:val="22"/>
          <w:lang w:val="sr-Latn-ME"/>
        </w:rPr>
      </w:pPr>
      <w:r w:rsidRPr="00777B5C">
        <w:rPr>
          <w:rFonts w:eastAsia="Calibri"/>
          <w:noProof/>
          <w:szCs w:val="22"/>
          <w:lang w:val="sr-Latn-ME"/>
        </w:rPr>
        <w:t xml:space="preserve">komplikovane infekcije kože i mekog tkiva (engl. </w:t>
      </w:r>
      <w:r w:rsidRPr="00777B5C">
        <w:rPr>
          <w:rFonts w:eastAsia="Calibri"/>
          <w:i/>
          <w:iCs/>
          <w:noProof/>
          <w:szCs w:val="22"/>
          <w:lang w:val="sr-Latn-ME"/>
        </w:rPr>
        <w:t>complicated skin and soft tissue infections</w:t>
      </w:r>
      <w:r w:rsidRPr="00777B5C">
        <w:rPr>
          <w:rFonts w:eastAsia="Calibri"/>
          <w:noProof/>
          <w:szCs w:val="22"/>
          <w:lang w:val="sr-Latn-ME"/>
        </w:rPr>
        <w:t>, cSSTI), isključujući terapiju dijabetesnog stopala (vid</w:t>
      </w:r>
      <w:r w:rsidR="00ED5FE5" w:rsidRPr="00777B5C">
        <w:rPr>
          <w:rFonts w:eastAsia="Calibri"/>
          <w:noProof/>
          <w:szCs w:val="22"/>
          <w:lang w:val="sr-Latn-ME"/>
        </w:rPr>
        <w:t>j</w:t>
      </w:r>
      <w:r w:rsidRPr="00777B5C">
        <w:rPr>
          <w:rFonts w:eastAsia="Calibri"/>
          <w:noProof/>
          <w:szCs w:val="22"/>
          <w:lang w:val="sr-Latn-ME"/>
        </w:rPr>
        <w:t xml:space="preserve">eti </w:t>
      </w:r>
      <w:r w:rsidR="00ED5FE5" w:rsidRPr="00777B5C">
        <w:rPr>
          <w:rFonts w:eastAsia="Calibri"/>
          <w:noProof/>
          <w:szCs w:val="22"/>
          <w:lang w:val="sr-Latn-ME"/>
        </w:rPr>
        <w:t>dio</w:t>
      </w:r>
      <w:r w:rsidRPr="00777B5C">
        <w:rPr>
          <w:rFonts w:eastAsia="Calibri"/>
          <w:noProof/>
          <w:szCs w:val="22"/>
          <w:lang w:val="sr-Latn-ME"/>
        </w:rPr>
        <w:t xml:space="preserve"> </w:t>
      </w:r>
      <w:r w:rsidR="00576E42" w:rsidRPr="00777B5C">
        <w:rPr>
          <w:rFonts w:eastAsia="Calibri"/>
          <w:noProof/>
          <w:szCs w:val="22"/>
          <w:lang w:val="sr-Latn-ME"/>
        </w:rPr>
        <w:t>“Posebna upozorenja i mjere opreza pri upotrebi lijeka“</w:t>
      </w:r>
      <w:r w:rsidRPr="00777B5C">
        <w:rPr>
          <w:rFonts w:eastAsia="Calibri"/>
          <w:noProof/>
          <w:szCs w:val="22"/>
          <w:lang w:val="sr-Latn-ME"/>
        </w:rPr>
        <w:t>):</w:t>
      </w:r>
    </w:p>
    <w:p w14:paraId="27DC4935" w14:textId="77777777" w:rsidR="00F412AB" w:rsidRPr="00777B5C" w:rsidRDefault="00F412AB" w:rsidP="007B2FC3">
      <w:pPr>
        <w:numPr>
          <w:ilvl w:val="0"/>
          <w:numId w:val="16"/>
        </w:numPr>
        <w:tabs>
          <w:tab w:val="clear" w:pos="284"/>
        </w:tabs>
        <w:spacing w:before="120" w:after="120" w:line="259" w:lineRule="auto"/>
        <w:contextualSpacing/>
        <w:rPr>
          <w:rFonts w:eastAsia="Calibri"/>
          <w:noProof/>
          <w:szCs w:val="22"/>
          <w:lang w:val="sr-Latn-ME"/>
        </w:rPr>
      </w:pPr>
      <w:r w:rsidRPr="00777B5C">
        <w:rPr>
          <w:rFonts w:eastAsia="Calibri"/>
          <w:noProof/>
          <w:szCs w:val="22"/>
          <w:lang w:val="sr-Latn-ME"/>
        </w:rPr>
        <w:t xml:space="preserve">komplikovane intraabdominalne infekcije (engl. </w:t>
      </w:r>
      <w:r w:rsidRPr="00777B5C">
        <w:rPr>
          <w:rFonts w:eastAsia="Calibri"/>
          <w:i/>
          <w:iCs/>
          <w:noProof/>
          <w:szCs w:val="22"/>
          <w:lang w:val="sr-Latn-ME"/>
        </w:rPr>
        <w:t>complicated intra-abdominal infections</w:t>
      </w:r>
      <w:r w:rsidRPr="00777B5C">
        <w:rPr>
          <w:rFonts w:eastAsia="Calibri"/>
          <w:noProof/>
          <w:szCs w:val="22"/>
          <w:lang w:val="sr-Latn-ME"/>
        </w:rPr>
        <w:t>, cIAI).</w:t>
      </w:r>
    </w:p>
    <w:p w14:paraId="48F12F47" w14:textId="7906FB0F" w:rsidR="00F412AB" w:rsidRPr="00777B5C" w:rsidRDefault="00F412AB" w:rsidP="007B2FC3">
      <w:pPr>
        <w:autoSpaceDE w:val="0"/>
        <w:autoSpaceDN w:val="0"/>
        <w:adjustRightInd w:val="0"/>
        <w:spacing w:before="120" w:after="120"/>
        <w:rPr>
          <w:rFonts w:eastAsia="TimesNewRoman,Bold"/>
          <w:b/>
          <w:bCs/>
          <w:noProof/>
          <w:lang w:val="sr-Latn-ME"/>
        </w:rPr>
      </w:pPr>
      <w:r w:rsidRPr="00777B5C">
        <w:rPr>
          <w:rFonts w:eastAsia="Calibri"/>
          <w:noProof/>
          <w:szCs w:val="22"/>
          <w:lang w:val="sr-Latn-ME"/>
        </w:rPr>
        <w:t>L</w:t>
      </w:r>
      <w:r w:rsidR="00ED5FE5" w:rsidRPr="00777B5C">
        <w:rPr>
          <w:rFonts w:eastAsia="Calibri"/>
          <w:noProof/>
          <w:szCs w:val="22"/>
          <w:lang w:val="sr-Latn-ME"/>
        </w:rPr>
        <w:t>ij</w:t>
      </w:r>
      <w:r w:rsidRPr="00777B5C">
        <w:rPr>
          <w:rFonts w:eastAsia="Calibri"/>
          <w:noProof/>
          <w:szCs w:val="22"/>
          <w:lang w:val="sr-Latn-ME"/>
        </w:rPr>
        <w:t>ek Tigilin treba koristiti samo u situacijama kada drugi alternativni antibiotici ni</w:t>
      </w:r>
      <w:r w:rsidR="00916CA9" w:rsidRPr="00777B5C">
        <w:rPr>
          <w:rFonts w:eastAsia="Calibri"/>
          <w:noProof/>
          <w:szCs w:val="22"/>
          <w:lang w:val="sr-Latn-ME"/>
        </w:rPr>
        <w:t>je</w:t>
      </w:r>
      <w:r w:rsidRPr="00777B5C">
        <w:rPr>
          <w:rFonts w:eastAsia="Calibri"/>
          <w:noProof/>
          <w:szCs w:val="22"/>
          <w:lang w:val="sr-Latn-ME"/>
        </w:rPr>
        <w:t>su pogodni (vid</w:t>
      </w:r>
      <w:r w:rsidR="00ED5FE5" w:rsidRPr="00777B5C">
        <w:rPr>
          <w:rFonts w:eastAsia="Calibri"/>
          <w:noProof/>
          <w:szCs w:val="22"/>
          <w:lang w:val="sr-Latn-ME"/>
        </w:rPr>
        <w:t>j</w:t>
      </w:r>
      <w:r w:rsidRPr="00777B5C">
        <w:rPr>
          <w:rFonts w:eastAsia="Calibri"/>
          <w:noProof/>
          <w:szCs w:val="22"/>
          <w:lang w:val="sr-Latn-ME"/>
        </w:rPr>
        <w:t xml:space="preserve">eti </w:t>
      </w:r>
      <w:r w:rsidR="00ED5FE5" w:rsidRPr="00777B5C">
        <w:rPr>
          <w:rFonts w:eastAsia="Calibri"/>
          <w:noProof/>
          <w:szCs w:val="22"/>
          <w:lang w:val="sr-Latn-ME"/>
        </w:rPr>
        <w:t>djelove</w:t>
      </w:r>
      <w:r w:rsidRPr="00777B5C">
        <w:rPr>
          <w:rFonts w:eastAsia="Calibri"/>
          <w:noProof/>
          <w:szCs w:val="22"/>
          <w:lang w:val="sr-Latn-ME"/>
        </w:rPr>
        <w:t xml:space="preserve"> </w:t>
      </w:r>
      <w:r w:rsidR="00576E42" w:rsidRPr="00777B5C">
        <w:rPr>
          <w:rFonts w:eastAsia="Calibri"/>
          <w:noProof/>
          <w:szCs w:val="22"/>
          <w:lang w:val="sr-Latn-ME"/>
        </w:rPr>
        <w:t>“Posebna upozorenja i mjere opreza pri upotrebi lijeka“</w:t>
      </w:r>
      <w:r w:rsidRPr="00777B5C">
        <w:rPr>
          <w:rFonts w:eastAsia="Calibri"/>
          <w:noProof/>
          <w:szCs w:val="22"/>
          <w:lang w:val="sr-Latn-ME"/>
        </w:rPr>
        <w:t xml:space="preserve">, </w:t>
      </w:r>
      <w:r w:rsidR="00576E42" w:rsidRPr="00777B5C">
        <w:rPr>
          <w:rFonts w:eastAsia="Calibri"/>
          <w:noProof/>
          <w:szCs w:val="22"/>
          <w:lang w:val="sr-Latn-ME"/>
        </w:rPr>
        <w:t>„</w:t>
      </w:r>
      <w:r w:rsidR="00576E42" w:rsidRPr="00777B5C">
        <w:rPr>
          <w:rFonts w:eastAsia="TimesNewRoman,Bold"/>
          <w:bCs/>
          <w:noProof/>
          <w:lang w:val="sr-Latn-ME"/>
        </w:rPr>
        <w:t>Neželjena dejstva“</w:t>
      </w:r>
      <w:r w:rsidR="00576E42" w:rsidRPr="00777B5C" w:rsidDel="00576E42">
        <w:rPr>
          <w:rFonts w:eastAsia="Calibri"/>
          <w:noProof/>
          <w:szCs w:val="22"/>
          <w:lang w:val="sr-Latn-ME"/>
        </w:rPr>
        <w:t xml:space="preserve"> </w:t>
      </w:r>
      <w:r w:rsidRPr="00777B5C">
        <w:rPr>
          <w:rFonts w:eastAsia="Calibri"/>
          <w:noProof/>
          <w:szCs w:val="22"/>
          <w:lang w:val="sr-Latn-ME"/>
        </w:rPr>
        <w:t xml:space="preserve">i </w:t>
      </w:r>
      <w:r w:rsidR="00576E42" w:rsidRPr="00777B5C">
        <w:rPr>
          <w:rFonts w:eastAsia="TimesNewRoman,Bold"/>
          <w:bCs/>
          <w:noProof/>
          <w:lang w:val="sr-Latn-ME"/>
        </w:rPr>
        <w:t>„Farmakodinamski podaci“</w:t>
      </w:r>
      <w:r w:rsidRPr="00777B5C">
        <w:rPr>
          <w:rFonts w:eastAsia="Calibri"/>
          <w:noProof/>
          <w:szCs w:val="22"/>
          <w:lang w:val="sr-Latn-ME"/>
        </w:rPr>
        <w:t>).</w:t>
      </w:r>
    </w:p>
    <w:p w14:paraId="67AF816B" w14:textId="4A04654E" w:rsidR="00F412AB" w:rsidRPr="00777B5C" w:rsidRDefault="00F412AB">
      <w:pPr>
        <w:tabs>
          <w:tab w:val="clear" w:pos="284"/>
        </w:tabs>
        <w:spacing w:before="120" w:after="120" w:line="259" w:lineRule="auto"/>
        <w:rPr>
          <w:rFonts w:eastAsia="Calibri"/>
          <w:noProof/>
          <w:szCs w:val="22"/>
          <w:lang w:val="sr-Latn-ME"/>
        </w:rPr>
      </w:pPr>
      <w:r w:rsidRPr="00777B5C">
        <w:rPr>
          <w:rFonts w:eastAsia="Calibri"/>
          <w:noProof/>
          <w:szCs w:val="22"/>
          <w:lang w:val="sr-Latn-ME"/>
        </w:rPr>
        <w:t>Treba uzeti u obzir zvanične sm</w:t>
      </w:r>
      <w:r w:rsidR="00ED5FE5" w:rsidRPr="00777B5C">
        <w:rPr>
          <w:rFonts w:eastAsia="Calibri"/>
          <w:noProof/>
          <w:szCs w:val="22"/>
          <w:lang w:val="sr-Latn-ME"/>
        </w:rPr>
        <w:t>j</w:t>
      </w:r>
      <w:r w:rsidRPr="00777B5C">
        <w:rPr>
          <w:rFonts w:eastAsia="Calibri"/>
          <w:noProof/>
          <w:szCs w:val="22"/>
          <w:lang w:val="sr-Latn-ME"/>
        </w:rPr>
        <w:t>ernice o pravilnoj upotrebi antibiotika.</w:t>
      </w:r>
    </w:p>
    <w:p w14:paraId="5BC6334D" w14:textId="77777777" w:rsidR="008B5DD9" w:rsidRDefault="008B5DD9" w:rsidP="007B2FC3">
      <w:pPr>
        <w:tabs>
          <w:tab w:val="clear" w:pos="284"/>
        </w:tabs>
        <w:spacing w:before="120" w:after="120" w:line="259" w:lineRule="auto"/>
        <w:rPr>
          <w:rFonts w:eastAsia="Calibri"/>
          <w:b/>
          <w:bCs/>
          <w:noProof/>
          <w:szCs w:val="22"/>
          <w:lang w:val="sr-Latn-ME"/>
        </w:rPr>
      </w:pPr>
    </w:p>
    <w:p w14:paraId="33989EC5" w14:textId="77777777" w:rsidR="008B5DD9" w:rsidRDefault="008B5DD9" w:rsidP="007B2FC3">
      <w:pPr>
        <w:tabs>
          <w:tab w:val="clear" w:pos="284"/>
        </w:tabs>
        <w:spacing w:before="120" w:after="120" w:line="259" w:lineRule="auto"/>
        <w:rPr>
          <w:rFonts w:eastAsia="Calibri"/>
          <w:b/>
          <w:bCs/>
          <w:noProof/>
          <w:szCs w:val="22"/>
          <w:lang w:val="sr-Latn-ME"/>
        </w:rPr>
      </w:pPr>
    </w:p>
    <w:p w14:paraId="0DE62CF0" w14:textId="77777777" w:rsidR="008B5DD9" w:rsidRDefault="008B5DD9" w:rsidP="007B2FC3">
      <w:pPr>
        <w:tabs>
          <w:tab w:val="clear" w:pos="284"/>
        </w:tabs>
        <w:spacing w:before="120" w:after="120" w:line="259" w:lineRule="auto"/>
        <w:rPr>
          <w:rFonts w:eastAsia="Calibri"/>
          <w:b/>
          <w:bCs/>
          <w:noProof/>
          <w:szCs w:val="22"/>
          <w:lang w:val="sr-Latn-ME"/>
        </w:rPr>
      </w:pPr>
    </w:p>
    <w:p w14:paraId="0DEB80CD" w14:textId="77777777" w:rsidR="008B5DD9" w:rsidRDefault="008B5DD9" w:rsidP="007B2FC3">
      <w:pPr>
        <w:tabs>
          <w:tab w:val="clear" w:pos="284"/>
        </w:tabs>
        <w:spacing w:before="120" w:after="120" w:line="259" w:lineRule="auto"/>
        <w:rPr>
          <w:rFonts w:eastAsia="Calibri"/>
          <w:b/>
          <w:bCs/>
          <w:noProof/>
          <w:szCs w:val="22"/>
          <w:lang w:val="sr-Latn-ME"/>
        </w:rPr>
      </w:pPr>
    </w:p>
    <w:p w14:paraId="5304E2C7" w14:textId="690C0A14" w:rsidR="00F412AB" w:rsidRPr="00777B5C" w:rsidRDefault="00F412AB" w:rsidP="007B2FC3">
      <w:pPr>
        <w:tabs>
          <w:tab w:val="clear" w:pos="284"/>
        </w:tabs>
        <w:spacing w:before="120" w:after="120" w:line="259" w:lineRule="auto"/>
        <w:rPr>
          <w:rFonts w:eastAsia="Calibri"/>
          <w:b/>
          <w:bCs/>
          <w:noProof/>
          <w:szCs w:val="22"/>
          <w:lang w:val="sr-Latn-ME"/>
        </w:rPr>
      </w:pPr>
      <w:r w:rsidRPr="00777B5C">
        <w:rPr>
          <w:rFonts w:eastAsia="Calibri"/>
          <w:b/>
          <w:bCs/>
          <w:noProof/>
          <w:szCs w:val="22"/>
          <w:lang w:val="sr-Latn-ME"/>
        </w:rPr>
        <w:t>Doziranje i način prim</w:t>
      </w:r>
      <w:r w:rsidR="00ED5FE5" w:rsidRPr="00777B5C">
        <w:rPr>
          <w:rFonts w:eastAsia="Calibri"/>
          <w:b/>
          <w:bCs/>
          <w:noProof/>
          <w:szCs w:val="22"/>
          <w:lang w:val="sr-Latn-ME"/>
        </w:rPr>
        <w:t>j</w:t>
      </w:r>
      <w:r w:rsidRPr="00777B5C">
        <w:rPr>
          <w:rFonts w:eastAsia="Calibri"/>
          <w:b/>
          <w:bCs/>
          <w:noProof/>
          <w:szCs w:val="22"/>
          <w:lang w:val="sr-Latn-ME"/>
        </w:rPr>
        <w:t>ene</w:t>
      </w:r>
    </w:p>
    <w:p w14:paraId="7D7CBE43" w14:textId="77777777" w:rsidR="00F412AB" w:rsidRPr="00777B5C" w:rsidRDefault="00F412AB" w:rsidP="007B2FC3">
      <w:pPr>
        <w:tabs>
          <w:tab w:val="clear" w:pos="284"/>
        </w:tabs>
        <w:spacing w:before="120" w:after="120" w:line="259" w:lineRule="auto"/>
        <w:rPr>
          <w:rFonts w:eastAsia="Calibri"/>
          <w:noProof/>
          <w:szCs w:val="22"/>
          <w:u w:val="single"/>
          <w:lang w:val="sr-Latn-ME"/>
        </w:rPr>
      </w:pPr>
      <w:r w:rsidRPr="00777B5C">
        <w:rPr>
          <w:rFonts w:eastAsia="Calibri"/>
          <w:noProof/>
          <w:szCs w:val="22"/>
          <w:u w:val="single"/>
          <w:lang w:val="sr-Latn-ME"/>
        </w:rPr>
        <w:t>Doziranje</w:t>
      </w:r>
    </w:p>
    <w:p w14:paraId="359C059B" w14:textId="77777777" w:rsidR="00F412AB" w:rsidRPr="00777B5C" w:rsidRDefault="00F412AB" w:rsidP="007B2FC3">
      <w:pPr>
        <w:tabs>
          <w:tab w:val="clear" w:pos="284"/>
        </w:tabs>
        <w:spacing w:before="120" w:after="120" w:line="259" w:lineRule="auto"/>
        <w:rPr>
          <w:rFonts w:eastAsia="Calibri"/>
          <w:i/>
          <w:iCs/>
          <w:noProof/>
          <w:szCs w:val="22"/>
          <w:lang w:val="sr-Latn-ME"/>
        </w:rPr>
      </w:pPr>
      <w:r w:rsidRPr="00777B5C">
        <w:rPr>
          <w:rFonts w:eastAsia="Calibri"/>
          <w:i/>
          <w:iCs/>
          <w:noProof/>
          <w:szCs w:val="22"/>
          <w:lang w:val="sr-Latn-ME"/>
        </w:rPr>
        <w:t>Odrasli</w:t>
      </w:r>
    </w:p>
    <w:p w14:paraId="3D8FC920" w14:textId="4FB4710D" w:rsidR="00F412AB" w:rsidRPr="00777B5C" w:rsidRDefault="00F412AB" w:rsidP="0047765A">
      <w:pPr>
        <w:tabs>
          <w:tab w:val="clear" w:pos="284"/>
        </w:tabs>
        <w:spacing w:before="120" w:after="120" w:line="259" w:lineRule="auto"/>
        <w:rPr>
          <w:rFonts w:eastAsia="Calibri"/>
          <w:noProof/>
          <w:szCs w:val="22"/>
          <w:lang w:val="sr-Latn-ME"/>
        </w:rPr>
      </w:pPr>
      <w:r w:rsidRPr="00777B5C">
        <w:rPr>
          <w:rFonts w:eastAsia="Calibri"/>
          <w:noProof/>
          <w:szCs w:val="22"/>
          <w:lang w:val="sr-Latn-ME"/>
        </w:rPr>
        <w:t>Preporučena početna doza za odrasle je 100 mg, nakon koje se prim</w:t>
      </w:r>
      <w:r w:rsidR="00ED5FE5" w:rsidRPr="00777B5C">
        <w:rPr>
          <w:rFonts w:eastAsia="Calibri"/>
          <w:noProof/>
          <w:szCs w:val="22"/>
          <w:lang w:val="sr-Latn-ME"/>
        </w:rPr>
        <w:t>j</w:t>
      </w:r>
      <w:r w:rsidRPr="00777B5C">
        <w:rPr>
          <w:rFonts w:eastAsia="Calibri"/>
          <w:noProof/>
          <w:szCs w:val="22"/>
          <w:lang w:val="sr-Latn-ME"/>
        </w:rPr>
        <w:t>enjuje doza od 50 mg na svakih 12 sati, tokom 5 do 14 dana.</w:t>
      </w:r>
    </w:p>
    <w:p w14:paraId="5023A4D8" w14:textId="5861E865" w:rsidR="00F412AB" w:rsidRPr="00777B5C" w:rsidRDefault="00F412AB" w:rsidP="007B2FC3">
      <w:pPr>
        <w:tabs>
          <w:tab w:val="clear" w:pos="284"/>
        </w:tabs>
        <w:spacing w:before="120" w:after="120" w:line="259" w:lineRule="auto"/>
        <w:rPr>
          <w:rFonts w:eastAsia="Calibri"/>
          <w:noProof/>
          <w:szCs w:val="22"/>
          <w:lang w:val="sr-Latn-ME"/>
        </w:rPr>
      </w:pPr>
      <w:r w:rsidRPr="00777B5C">
        <w:rPr>
          <w:rFonts w:eastAsia="Calibri"/>
          <w:noProof/>
          <w:szCs w:val="22"/>
          <w:lang w:val="sr-Latn-ME"/>
        </w:rPr>
        <w:t>Trajanje terapije treba prilagoditi težini, m</w:t>
      </w:r>
      <w:r w:rsidR="00ED5FE5" w:rsidRPr="00777B5C">
        <w:rPr>
          <w:rFonts w:eastAsia="Calibri"/>
          <w:noProof/>
          <w:szCs w:val="22"/>
          <w:lang w:val="sr-Latn-ME"/>
        </w:rPr>
        <w:t>j</w:t>
      </w:r>
      <w:r w:rsidRPr="00777B5C">
        <w:rPr>
          <w:rFonts w:eastAsia="Calibri"/>
          <w:noProof/>
          <w:szCs w:val="22"/>
          <w:lang w:val="sr-Latn-ME"/>
        </w:rPr>
        <w:t>estu infekcije i kliničkom odgovoru pacijenta.</w:t>
      </w:r>
    </w:p>
    <w:p w14:paraId="0277D29B" w14:textId="3F1D6161" w:rsidR="00F412AB" w:rsidRPr="00777B5C" w:rsidRDefault="00F412AB" w:rsidP="007B2FC3">
      <w:pPr>
        <w:tabs>
          <w:tab w:val="clear" w:pos="284"/>
        </w:tabs>
        <w:spacing w:before="120" w:after="120" w:line="259" w:lineRule="auto"/>
        <w:rPr>
          <w:rFonts w:eastAsia="Calibri"/>
          <w:i/>
          <w:iCs/>
          <w:noProof/>
          <w:szCs w:val="22"/>
          <w:lang w:val="sr-Latn-ME"/>
        </w:rPr>
      </w:pPr>
      <w:r w:rsidRPr="00777B5C">
        <w:rPr>
          <w:rFonts w:eastAsia="Calibri"/>
          <w:i/>
          <w:iCs/>
          <w:noProof/>
          <w:szCs w:val="22"/>
          <w:lang w:val="sr-Latn-ME"/>
        </w:rPr>
        <w:t>D</w:t>
      </w:r>
      <w:r w:rsidR="00ED5FE5" w:rsidRPr="00777B5C">
        <w:rPr>
          <w:rFonts w:eastAsia="Calibri"/>
          <w:i/>
          <w:iCs/>
          <w:noProof/>
          <w:szCs w:val="22"/>
          <w:lang w:val="sr-Latn-ME"/>
        </w:rPr>
        <w:t>j</w:t>
      </w:r>
      <w:r w:rsidRPr="00777B5C">
        <w:rPr>
          <w:rFonts w:eastAsia="Calibri"/>
          <w:i/>
          <w:iCs/>
          <w:noProof/>
          <w:szCs w:val="22"/>
          <w:lang w:val="sr-Latn-ME"/>
        </w:rPr>
        <w:t>eca i adolescenti (8 do 17 godina)</w:t>
      </w:r>
    </w:p>
    <w:p w14:paraId="49D73982" w14:textId="4802E5E4" w:rsidR="00F412AB" w:rsidRPr="00777B5C" w:rsidRDefault="00F412AB" w:rsidP="0047765A">
      <w:pPr>
        <w:tabs>
          <w:tab w:val="clear" w:pos="284"/>
        </w:tabs>
        <w:spacing w:before="120" w:after="120" w:line="259" w:lineRule="auto"/>
        <w:rPr>
          <w:rFonts w:eastAsia="Calibri"/>
          <w:noProof/>
          <w:szCs w:val="22"/>
          <w:lang w:val="sr-Latn-ME"/>
        </w:rPr>
      </w:pPr>
      <w:r w:rsidRPr="00777B5C">
        <w:rPr>
          <w:rFonts w:eastAsia="Calibri"/>
          <w:noProof/>
          <w:szCs w:val="22"/>
          <w:lang w:val="sr-Latn-ME"/>
        </w:rPr>
        <w:t>Tigeciklin se može koristiti za l</w:t>
      </w:r>
      <w:r w:rsidR="00ED5FE5" w:rsidRPr="00777B5C">
        <w:rPr>
          <w:rFonts w:eastAsia="Calibri"/>
          <w:noProof/>
          <w:szCs w:val="22"/>
          <w:lang w:val="sr-Latn-ME"/>
        </w:rPr>
        <w:t>ij</w:t>
      </w:r>
      <w:r w:rsidRPr="00777B5C">
        <w:rPr>
          <w:rFonts w:eastAsia="Calibri"/>
          <w:noProof/>
          <w:szCs w:val="22"/>
          <w:lang w:val="sr-Latn-ME"/>
        </w:rPr>
        <w:t>ečenje pacijenata starijih od 8 godina samo nakon konsultacije sa l</w:t>
      </w:r>
      <w:r w:rsidR="00ED5FE5" w:rsidRPr="00777B5C">
        <w:rPr>
          <w:rFonts w:eastAsia="Calibri"/>
          <w:noProof/>
          <w:szCs w:val="22"/>
          <w:lang w:val="sr-Latn-ME"/>
        </w:rPr>
        <w:t>j</w:t>
      </w:r>
      <w:r w:rsidRPr="00777B5C">
        <w:rPr>
          <w:rFonts w:eastAsia="Calibri"/>
          <w:noProof/>
          <w:szCs w:val="22"/>
          <w:lang w:val="sr-Latn-ME"/>
        </w:rPr>
        <w:t>ekarom koji ima odgovarajuće iskustvo u l</w:t>
      </w:r>
      <w:r w:rsidR="00ED5FE5" w:rsidRPr="00777B5C">
        <w:rPr>
          <w:rFonts w:eastAsia="Calibri"/>
          <w:noProof/>
          <w:szCs w:val="22"/>
          <w:lang w:val="sr-Latn-ME"/>
        </w:rPr>
        <w:t>ij</w:t>
      </w:r>
      <w:r w:rsidRPr="00777B5C">
        <w:rPr>
          <w:rFonts w:eastAsia="Calibri"/>
          <w:noProof/>
          <w:szCs w:val="22"/>
          <w:lang w:val="sr-Latn-ME"/>
        </w:rPr>
        <w:t>ečenju infektivnih bolesti.</w:t>
      </w:r>
    </w:p>
    <w:p w14:paraId="60C608B8" w14:textId="323A3512"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D</w:t>
      </w:r>
      <w:r w:rsidR="00ED5FE5" w:rsidRPr="00777B5C">
        <w:rPr>
          <w:rFonts w:eastAsia="TimesNewRoman"/>
          <w:noProof/>
          <w:szCs w:val="22"/>
          <w:lang w:val="sr-Latn-ME"/>
        </w:rPr>
        <w:t>j</w:t>
      </w:r>
      <w:r w:rsidRPr="00777B5C">
        <w:rPr>
          <w:rFonts w:eastAsia="TimesNewRoman"/>
          <w:noProof/>
          <w:szCs w:val="22"/>
          <w:lang w:val="sr-Latn-ME"/>
        </w:rPr>
        <w:t>eca uzrasta 8 do &lt; 12 godina: 1,2 mg/kg tigeciklina na svakih 12 sati intravenski, do maksimalne doze od 50 mg na svakih 12 sati tokom 5 do 14 dana.</w:t>
      </w:r>
    </w:p>
    <w:p w14:paraId="2849592E" w14:textId="77777777" w:rsidR="00F412AB" w:rsidRPr="00777B5C" w:rsidRDefault="00F412AB" w:rsidP="007B2FC3">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Adolescenti uzrasta 12 do &lt; 18 godina: 50 mg tigeciklina na svakih 12 sati tokom 5 do 14 dana.</w:t>
      </w:r>
    </w:p>
    <w:p w14:paraId="20EF077D" w14:textId="77777777" w:rsidR="00F412AB" w:rsidRPr="00777B5C" w:rsidRDefault="00F412AB" w:rsidP="007B2FC3">
      <w:pPr>
        <w:tabs>
          <w:tab w:val="clear" w:pos="284"/>
        </w:tabs>
        <w:autoSpaceDE w:val="0"/>
        <w:autoSpaceDN w:val="0"/>
        <w:adjustRightInd w:val="0"/>
        <w:spacing w:before="120" w:after="120"/>
        <w:rPr>
          <w:rFonts w:eastAsia="TimesNewRoman"/>
          <w:i/>
          <w:iCs/>
          <w:noProof/>
          <w:szCs w:val="22"/>
          <w:lang w:val="sr-Latn-ME"/>
        </w:rPr>
      </w:pPr>
      <w:r w:rsidRPr="00777B5C">
        <w:rPr>
          <w:rFonts w:eastAsia="TimesNewRoman"/>
          <w:i/>
          <w:iCs/>
          <w:noProof/>
          <w:szCs w:val="22"/>
          <w:lang w:val="sr-Latn-ME"/>
        </w:rPr>
        <w:t>Stariji pacijenti</w:t>
      </w:r>
    </w:p>
    <w:p w14:paraId="0CFF0EB8" w14:textId="1BDA6E94" w:rsidR="00F412AB" w:rsidRPr="00777B5C" w:rsidRDefault="00F412AB" w:rsidP="007B2FC3">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Nije potrebno prilagođavanje doze kod starijih pacijenata (vid</w:t>
      </w:r>
      <w:r w:rsidR="00ED5FE5" w:rsidRPr="00777B5C">
        <w:rPr>
          <w:rFonts w:eastAsia="TimesNewRoman"/>
          <w:noProof/>
          <w:szCs w:val="22"/>
          <w:lang w:val="sr-Latn-ME"/>
        </w:rPr>
        <w:t>j</w:t>
      </w:r>
      <w:r w:rsidRPr="00777B5C">
        <w:rPr>
          <w:rFonts w:eastAsia="TimesNewRoman"/>
          <w:noProof/>
          <w:szCs w:val="22"/>
          <w:lang w:val="sr-Latn-ME"/>
        </w:rPr>
        <w:t xml:space="preserve">eti </w:t>
      </w:r>
      <w:r w:rsidR="00ED5FE5" w:rsidRPr="00777B5C">
        <w:rPr>
          <w:rFonts w:eastAsia="TimesNewRoman"/>
          <w:noProof/>
          <w:szCs w:val="22"/>
          <w:lang w:val="sr-Latn-ME"/>
        </w:rPr>
        <w:t>dio</w:t>
      </w:r>
      <w:r w:rsidRPr="00777B5C">
        <w:rPr>
          <w:rFonts w:eastAsia="TimesNewRoman"/>
          <w:noProof/>
          <w:szCs w:val="22"/>
          <w:lang w:val="sr-Latn-ME"/>
        </w:rPr>
        <w:t xml:space="preserve"> </w:t>
      </w:r>
      <w:r w:rsidR="00576E42" w:rsidRPr="00777B5C">
        <w:rPr>
          <w:rFonts w:eastAsia="TimesNewRoman"/>
          <w:noProof/>
          <w:szCs w:val="22"/>
          <w:lang w:val="sr-Latn-ME"/>
        </w:rPr>
        <w:t>„</w:t>
      </w:r>
      <w:r w:rsidR="00576E42" w:rsidRPr="00777B5C">
        <w:rPr>
          <w:rFonts w:eastAsia="TimesNewRoman,Bold"/>
          <w:bCs/>
          <w:noProof/>
          <w:lang w:val="sr-Latn-ME"/>
        </w:rPr>
        <w:t>Farmakokinetički podaci“</w:t>
      </w:r>
      <w:r w:rsidR="00576E42" w:rsidRPr="00777B5C" w:rsidDel="00576E42">
        <w:rPr>
          <w:rFonts w:eastAsia="TimesNewRoman"/>
          <w:noProof/>
          <w:szCs w:val="22"/>
          <w:lang w:val="sr-Latn-ME"/>
        </w:rPr>
        <w:t xml:space="preserve"> </w:t>
      </w:r>
      <w:r w:rsidRPr="00777B5C">
        <w:rPr>
          <w:rFonts w:eastAsia="TimesNewRoman"/>
          <w:noProof/>
          <w:szCs w:val="22"/>
          <w:lang w:val="sr-Latn-ME"/>
        </w:rPr>
        <w:t>).</w:t>
      </w:r>
    </w:p>
    <w:p w14:paraId="2FE4672F" w14:textId="77777777" w:rsidR="00F412AB" w:rsidRPr="00777B5C" w:rsidRDefault="00F412AB" w:rsidP="007B2FC3">
      <w:pPr>
        <w:tabs>
          <w:tab w:val="clear" w:pos="284"/>
        </w:tabs>
        <w:autoSpaceDE w:val="0"/>
        <w:autoSpaceDN w:val="0"/>
        <w:adjustRightInd w:val="0"/>
        <w:spacing w:before="120" w:after="120"/>
        <w:rPr>
          <w:rFonts w:eastAsia="TimesNewRoman"/>
          <w:i/>
          <w:iCs/>
          <w:noProof/>
          <w:szCs w:val="22"/>
          <w:lang w:val="sr-Latn-ME"/>
        </w:rPr>
      </w:pPr>
      <w:r w:rsidRPr="00777B5C">
        <w:rPr>
          <w:rFonts w:eastAsia="TimesNewRoman"/>
          <w:i/>
          <w:iCs/>
          <w:noProof/>
          <w:szCs w:val="22"/>
          <w:lang w:val="sr-Latn-ME"/>
        </w:rPr>
        <w:t>Oštećenje funkcije jetre</w:t>
      </w:r>
    </w:p>
    <w:p w14:paraId="685754B5" w14:textId="4FDAA0D0"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Nije potrebno prilagođavanje doze kod pacijenata sa blagim do um</w:t>
      </w:r>
      <w:r w:rsidR="00ED5FE5" w:rsidRPr="00777B5C">
        <w:rPr>
          <w:rFonts w:eastAsia="TimesNewRoman"/>
          <w:noProof/>
          <w:szCs w:val="22"/>
          <w:lang w:val="sr-Latn-ME"/>
        </w:rPr>
        <w:t>j</w:t>
      </w:r>
      <w:r w:rsidRPr="00777B5C">
        <w:rPr>
          <w:rFonts w:eastAsia="TimesNewRoman"/>
          <w:noProof/>
          <w:szCs w:val="22"/>
          <w:lang w:val="sr-Latn-ME"/>
        </w:rPr>
        <w:t>erenim oštećenjem funkcije jetre (</w:t>
      </w:r>
      <w:r w:rsidRPr="00777B5C">
        <w:rPr>
          <w:rFonts w:eastAsia="TimesNewRoman"/>
          <w:i/>
          <w:iCs/>
          <w:noProof/>
          <w:szCs w:val="22"/>
          <w:lang w:val="sr-Latn-ME"/>
        </w:rPr>
        <w:t xml:space="preserve">Child Pugh </w:t>
      </w:r>
      <w:r w:rsidRPr="00777B5C">
        <w:rPr>
          <w:rFonts w:eastAsia="TimesNewRoman"/>
          <w:noProof/>
          <w:szCs w:val="22"/>
          <w:lang w:val="sr-Latn-ME"/>
        </w:rPr>
        <w:t xml:space="preserve">A i </w:t>
      </w:r>
      <w:r w:rsidRPr="00777B5C">
        <w:rPr>
          <w:rFonts w:eastAsia="TimesNewRoman"/>
          <w:i/>
          <w:iCs/>
          <w:noProof/>
          <w:szCs w:val="22"/>
          <w:lang w:val="sr-Latn-ME"/>
        </w:rPr>
        <w:t xml:space="preserve">Child Pugh </w:t>
      </w:r>
      <w:r w:rsidRPr="00777B5C">
        <w:rPr>
          <w:rFonts w:eastAsia="TimesNewRoman"/>
          <w:noProof/>
          <w:szCs w:val="22"/>
          <w:lang w:val="sr-Latn-ME"/>
        </w:rPr>
        <w:t>B).</w:t>
      </w:r>
    </w:p>
    <w:p w14:paraId="79598D66" w14:textId="5B5F0ED8"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Kod pacijenata (uključujući i pedijatrijsku populaciju) sa teškim oštećenjem funkcije jetre (</w:t>
      </w:r>
      <w:r w:rsidRPr="00777B5C">
        <w:rPr>
          <w:rFonts w:eastAsia="TimesNewRoman"/>
          <w:i/>
          <w:iCs/>
          <w:noProof/>
          <w:szCs w:val="22"/>
          <w:lang w:val="sr-Latn-ME"/>
        </w:rPr>
        <w:t xml:space="preserve">Child Pugh </w:t>
      </w:r>
      <w:r w:rsidRPr="00777B5C">
        <w:rPr>
          <w:rFonts w:eastAsia="TimesNewRoman"/>
          <w:noProof/>
          <w:szCs w:val="22"/>
          <w:lang w:val="sr-Latn-ME"/>
        </w:rPr>
        <w:t>C), dozu tigeciklina treba smanjiti za 50%. Nakon prim</w:t>
      </w:r>
      <w:r w:rsidR="00ED5FE5" w:rsidRPr="00777B5C">
        <w:rPr>
          <w:rFonts w:eastAsia="TimesNewRoman"/>
          <w:noProof/>
          <w:szCs w:val="22"/>
          <w:lang w:val="sr-Latn-ME"/>
        </w:rPr>
        <w:t>j</w:t>
      </w:r>
      <w:r w:rsidRPr="00777B5C">
        <w:rPr>
          <w:rFonts w:eastAsia="TimesNewRoman"/>
          <w:noProof/>
          <w:szCs w:val="22"/>
          <w:lang w:val="sr-Latn-ME"/>
        </w:rPr>
        <w:t>ene udarne doze od 100 mg, dozu kod odraslih treba smanjiti na 25 mg na svakih 12 sati. Pacijente sa teškim oštećenjem funkcije jetre (</w:t>
      </w:r>
      <w:r w:rsidRPr="00777B5C">
        <w:rPr>
          <w:rFonts w:eastAsia="TimesNewRoman"/>
          <w:i/>
          <w:iCs/>
          <w:noProof/>
          <w:szCs w:val="22"/>
          <w:lang w:val="sr-Latn-ME"/>
        </w:rPr>
        <w:t xml:space="preserve">Child Pugh </w:t>
      </w:r>
      <w:r w:rsidRPr="00777B5C">
        <w:rPr>
          <w:rFonts w:eastAsia="TimesNewRoman"/>
          <w:noProof/>
          <w:szCs w:val="22"/>
          <w:lang w:val="sr-Latn-ME"/>
        </w:rPr>
        <w:t>C) treba l</w:t>
      </w:r>
      <w:r w:rsidR="00ED5FE5" w:rsidRPr="00777B5C">
        <w:rPr>
          <w:rFonts w:eastAsia="TimesNewRoman"/>
          <w:noProof/>
          <w:szCs w:val="22"/>
          <w:lang w:val="sr-Latn-ME"/>
        </w:rPr>
        <w:t>ij</w:t>
      </w:r>
      <w:r w:rsidRPr="00777B5C">
        <w:rPr>
          <w:rFonts w:eastAsia="TimesNewRoman"/>
          <w:noProof/>
          <w:szCs w:val="22"/>
          <w:lang w:val="sr-Latn-ME"/>
        </w:rPr>
        <w:t>ečiti sa oprezom i pratiti njihov odgovor na terapiju (vid</w:t>
      </w:r>
      <w:r w:rsidR="00ED5FE5" w:rsidRPr="00777B5C">
        <w:rPr>
          <w:rFonts w:eastAsia="TimesNewRoman"/>
          <w:noProof/>
          <w:szCs w:val="22"/>
          <w:lang w:val="sr-Latn-ME"/>
        </w:rPr>
        <w:t>j</w:t>
      </w:r>
      <w:r w:rsidRPr="00777B5C">
        <w:rPr>
          <w:rFonts w:eastAsia="TimesNewRoman"/>
          <w:noProof/>
          <w:szCs w:val="22"/>
          <w:lang w:val="sr-Latn-ME"/>
        </w:rPr>
        <w:t>eti</w:t>
      </w:r>
      <w:r w:rsidR="00ED5FE5" w:rsidRPr="00777B5C">
        <w:rPr>
          <w:rFonts w:eastAsia="TimesNewRoman"/>
          <w:noProof/>
          <w:szCs w:val="22"/>
          <w:lang w:val="sr-Latn-ME"/>
        </w:rPr>
        <w:t xml:space="preserve"> djelove</w:t>
      </w:r>
      <w:r w:rsidRPr="00777B5C">
        <w:rPr>
          <w:rFonts w:eastAsia="TimesNewRoman"/>
          <w:noProof/>
          <w:szCs w:val="22"/>
          <w:lang w:val="sr-Latn-ME"/>
        </w:rPr>
        <w:t xml:space="preserve"> </w:t>
      </w:r>
      <w:r w:rsidR="00576E42" w:rsidRPr="00777B5C">
        <w:rPr>
          <w:rFonts w:eastAsia="TimesNewRoman"/>
          <w:noProof/>
          <w:szCs w:val="22"/>
          <w:lang w:val="sr-Latn-ME"/>
        </w:rPr>
        <w:t>„</w:t>
      </w:r>
      <w:r w:rsidR="00576E42" w:rsidRPr="00777B5C">
        <w:rPr>
          <w:rFonts w:eastAsia="Calibri"/>
          <w:noProof/>
          <w:szCs w:val="22"/>
          <w:lang w:val="sr-Latn-ME"/>
        </w:rPr>
        <w:t>Posebna upozorenja i mjere opreza pri upotrebi lijeka“</w:t>
      </w:r>
      <w:r w:rsidR="00576E42" w:rsidRPr="00777B5C" w:rsidDel="00576E42">
        <w:rPr>
          <w:rFonts w:eastAsia="TimesNewRoman"/>
          <w:noProof/>
          <w:szCs w:val="22"/>
          <w:lang w:val="sr-Latn-ME"/>
        </w:rPr>
        <w:t xml:space="preserve"> </w:t>
      </w:r>
      <w:r w:rsidRPr="00777B5C">
        <w:rPr>
          <w:rFonts w:eastAsia="TimesNewRoman"/>
          <w:noProof/>
          <w:szCs w:val="22"/>
          <w:lang w:val="sr-Latn-ME"/>
        </w:rPr>
        <w:t>i</w:t>
      </w:r>
      <w:r w:rsidR="00576E42" w:rsidRPr="00777B5C">
        <w:rPr>
          <w:rFonts w:eastAsia="TimesNewRoman"/>
          <w:noProof/>
          <w:szCs w:val="22"/>
          <w:lang w:val="sr-Latn-ME"/>
        </w:rPr>
        <w:t xml:space="preserve"> „</w:t>
      </w:r>
      <w:r w:rsidR="00576E42" w:rsidRPr="00777B5C">
        <w:rPr>
          <w:rFonts w:eastAsia="TimesNewRoman,Bold"/>
          <w:bCs/>
          <w:noProof/>
          <w:lang w:val="sr-Latn-ME"/>
        </w:rPr>
        <w:t>Farmakokinetički podaci“</w:t>
      </w:r>
      <w:r w:rsidRPr="00777B5C">
        <w:rPr>
          <w:rFonts w:eastAsia="TimesNewRoman"/>
          <w:noProof/>
          <w:szCs w:val="22"/>
          <w:lang w:val="sr-Latn-ME"/>
        </w:rPr>
        <w:t>).</w:t>
      </w:r>
    </w:p>
    <w:p w14:paraId="7B928699" w14:textId="77777777" w:rsidR="00F412AB" w:rsidRPr="00777B5C" w:rsidRDefault="00F412AB" w:rsidP="007B2FC3">
      <w:pPr>
        <w:tabs>
          <w:tab w:val="clear" w:pos="284"/>
        </w:tabs>
        <w:autoSpaceDE w:val="0"/>
        <w:autoSpaceDN w:val="0"/>
        <w:adjustRightInd w:val="0"/>
        <w:spacing w:before="120" w:after="120"/>
        <w:rPr>
          <w:rFonts w:eastAsia="TimesNewRoman"/>
          <w:i/>
          <w:iCs/>
          <w:noProof/>
          <w:szCs w:val="22"/>
          <w:lang w:val="sr-Latn-ME"/>
        </w:rPr>
      </w:pPr>
      <w:r w:rsidRPr="00777B5C">
        <w:rPr>
          <w:rFonts w:eastAsia="TimesNewRoman"/>
          <w:i/>
          <w:iCs/>
          <w:noProof/>
          <w:szCs w:val="22"/>
          <w:lang w:val="sr-Latn-ME"/>
        </w:rPr>
        <w:t>Oštećenje funkcije bubrega</w:t>
      </w:r>
    </w:p>
    <w:p w14:paraId="3F42A839" w14:textId="68C96070"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Nije potrebno prilagođavanje doze kod pacijenata sa oštećenjem funkcije bubrega, niti kod pacijenata koji su na hemodijalizi (vid</w:t>
      </w:r>
      <w:r w:rsidR="00ED5FE5" w:rsidRPr="00777B5C">
        <w:rPr>
          <w:rFonts w:eastAsia="TimesNewRoman"/>
          <w:noProof/>
          <w:szCs w:val="22"/>
          <w:lang w:val="sr-Latn-ME"/>
        </w:rPr>
        <w:t>j</w:t>
      </w:r>
      <w:r w:rsidRPr="00777B5C">
        <w:rPr>
          <w:rFonts w:eastAsia="TimesNewRoman"/>
          <w:noProof/>
          <w:szCs w:val="22"/>
          <w:lang w:val="sr-Latn-ME"/>
        </w:rPr>
        <w:t xml:space="preserve">eti </w:t>
      </w:r>
      <w:r w:rsidR="00ED5FE5" w:rsidRPr="00777B5C">
        <w:rPr>
          <w:rFonts w:eastAsia="TimesNewRoman"/>
          <w:noProof/>
          <w:szCs w:val="22"/>
          <w:lang w:val="sr-Latn-ME"/>
        </w:rPr>
        <w:t>dio</w:t>
      </w:r>
      <w:r w:rsidRPr="00777B5C">
        <w:rPr>
          <w:rFonts w:eastAsia="TimesNewRoman"/>
          <w:noProof/>
          <w:szCs w:val="22"/>
          <w:lang w:val="sr-Latn-ME"/>
        </w:rPr>
        <w:t xml:space="preserve"> </w:t>
      </w:r>
      <w:r w:rsidR="00576E42" w:rsidRPr="00777B5C">
        <w:rPr>
          <w:rFonts w:eastAsia="TimesNewRoman"/>
          <w:noProof/>
          <w:szCs w:val="22"/>
          <w:lang w:val="sr-Latn-ME"/>
        </w:rPr>
        <w:t>„</w:t>
      </w:r>
      <w:r w:rsidR="00576E42" w:rsidRPr="00777B5C">
        <w:rPr>
          <w:rFonts w:eastAsia="TimesNewRoman,Bold"/>
          <w:bCs/>
          <w:noProof/>
          <w:lang w:val="sr-Latn-ME"/>
        </w:rPr>
        <w:t>Farmakokinetički podaci“</w:t>
      </w:r>
      <w:r w:rsidRPr="00777B5C">
        <w:rPr>
          <w:rFonts w:eastAsia="TimesNewRoman"/>
          <w:noProof/>
          <w:szCs w:val="22"/>
          <w:lang w:val="sr-Latn-ME"/>
        </w:rPr>
        <w:t>).</w:t>
      </w:r>
    </w:p>
    <w:p w14:paraId="7B3C6A4B" w14:textId="77777777" w:rsidR="00F412AB" w:rsidRPr="00777B5C" w:rsidRDefault="00F412AB" w:rsidP="007B2FC3">
      <w:pPr>
        <w:tabs>
          <w:tab w:val="clear" w:pos="284"/>
        </w:tabs>
        <w:autoSpaceDE w:val="0"/>
        <w:autoSpaceDN w:val="0"/>
        <w:adjustRightInd w:val="0"/>
        <w:spacing w:before="120" w:after="120"/>
        <w:rPr>
          <w:rFonts w:eastAsia="TimesNewRoman"/>
          <w:i/>
          <w:iCs/>
          <w:noProof/>
          <w:szCs w:val="22"/>
          <w:lang w:val="sr-Latn-ME"/>
        </w:rPr>
      </w:pPr>
      <w:r w:rsidRPr="00777B5C">
        <w:rPr>
          <w:rFonts w:eastAsia="TimesNewRoman"/>
          <w:i/>
          <w:iCs/>
          <w:noProof/>
          <w:szCs w:val="22"/>
          <w:lang w:val="sr-Latn-ME"/>
        </w:rPr>
        <w:t>Pedijatrijska populacija</w:t>
      </w:r>
    </w:p>
    <w:p w14:paraId="57C6CC69" w14:textId="71347570"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Bezb</w:t>
      </w:r>
      <w:r w:rsidR="00ED5FE5" w:rsidRPr="00777B5C">
        <w:rPr>
          <w:rFonts w:eastAsia="TimesNewRoman"/>
          <w:noProof/>
          <w:szCs w:val="22"/>
          <w:lang w:val="sr-Latn-ME"/>
        </w:rPr>
        <w:t>j</w:t>
      </w:r>
      <w:r w:rsidRPr="00777B5C">
        <w:rPr>
          <w:rFonts w:eastAsia="TimesNewRoman"/>
          <w:noProof/>
          <w:szCs w:val="22"/>
          <w:lang w:val="sr-Latn-ME"/>
        </w:rPr>
        <w:t>ednost i efikasnost l</w:t>
      </w:r>
      <w:r w:rsidR="00ED5FE5" w:rsidRPr="00777B5C">
        <w:rPr>
          <w:rFonts w:eastAsia="TimesNewRoman"/>
          <w:noProof/>
          <w:szCs w:val="22"/>
          <w:lang w:val="sr-Latn-ME"/>
        </w:rPr>
        <w:t>ij</w:t>
      </w:r>
      <w:r w:rsidRPr="00777B5C">
        <w:rPr>
          <w:rFonts w:eastAsia="TimesNewRoman"/>
          <w:noProof/>
          <w:szCs w:val="22"/>
          <w:lang w:val="sr-Latn-ME"/>
        </w:rPr>
        <w:t>eka Tigilin kod d</w:t>
      </w:r>
      <w:r w:rsidR="00ED5FE5" w:rsidRPr="00777B5C">
        <w:rPr>
          <w:rFonts w:eastAsia="TimesNewRoman"/>
          <w:noProof/>
          <w:szCs w:val="22"/>
          <w:lang w:val="sr-Latn-ME"/>
        </w:rPr>
        <w:t>j</w:t>
      </w:r>
      <w:r w:rsidRPr="00777B5C">
        <w:rPr>
          <w:rFonts w:eastAsia="TimesNewRoman"/>
          <w:noProof/>
          <w:szCs w:val="22"/>
          <w:lang w:val="sr-Latn-ME"/>
        </w:rPr>
        <w:t>ece mlađe od 8 godina nije utvrđena. Nema dostupnih podataka. L</w:t>
      </w:r>
      <w:r w:rsidR="00ED5FE5" w:rsidRPr="00777B5C">
        <w:rPr>
          <w:rFonts w:eastAsia="TimesNewRoman"/>
          <w:noProof/>
          <w:szCs w:val="22"/>
          <w:lang w:val="sr-Latn-ME"/>
        </w:rPr>
        <w:t>ij</w:t>
      </w:r>
      <w:r w:rsidRPr="00777B5C">
        <w:rPr>
          <w:rFonts w:eastAsia="TimesNewRoman"/>
          <w:noProof/>
          <w:szCs w:val="22"/>
          <w:lang w:val="sr-Latn-ME"/>
        </w:rPr>
        <w:t>ek Tigilin ne treba koristiti kod d</w:t>
      </w:r>
      <w:r w:rsidR="00ED5FE5" w:rsidRPr="00777B5C">
        <w:rPr>
          <w:rFonts w:eastAsia="TimesNewRoman"/>
          <w:noProof/>
          <w:szCs w:val="22"/>
          <w:lang w:val="sr-Latn-ME"/>
        </w:rPr>
        <w:t>j</w:t>
      </w:r>
      <w:r w:rsidRPr="00777B5C">
        <w:rPr>
          <w:rFonts w:eastAsia="TimesNewRoman"/>
          <w:noProof/>
          <w:szCs w:val="22"/>
          <w:lang w:val="sr-Latn-ME"/>
        </w:rPr>
        <w:t>ece mlađe od 8 godina, zbog prom</w:t>
      </w:r>
      <w:r w:rsidR="00ED5FE5" w:rsidRPr="00777B5C">
        <w:rPr>
          <w:rFonts w:eastAsia="TimesNewRoman"/>
          <w:noProof/>
          <w:szCs w:val="22"/>
          <w:lang w:val="sr-Latn-ME"/>
        </w:rPr>
        <w:t>j</w:t>
      </w:r>
      <w:r w:rsidRPr="00777B5C">
        <w:rPr>
          <w:rFonts w:eastAsia="TimesNewRoman"/>
          <w:noProof/>
          <w:szCs w:val="22"/>
          <w:lang w:val="sr-Latn-ME"/>
        </w:rPr>
        <w:t>ene boje zuba (vid</w:t>
      </w:r>
      <w:r w:rsidR="00ED5FE5" w:rsidRPr="00777B5C">
        <w:rPr>
          <w:rFonts w:eastAsia="TimesNewRoman"/>
          <w:noProof/>
          <w:szCs w:val="22"/>
          <w:lang w:val="sr-Latn-ME"/>
        </w:rPr>
        <w:t>j</w:t>
      </w:r>
      <w:r w:rsidRPr="00777B5C">
        <w:rPr>
          <w:rFonts w:eastAsia="TimesNewRoman"/>
          <w:noProof/>
          <w:szCs w:val="22"/>
          <w:lang w:val="sr-Latn-ME"/>
        </w:rPr>
        <w:t xml:space="preserve">eti </w:t>
      </w:r>
      <w:r w:rsidR="00ED5FE5" w:rsidRPr="00777B5C">
        <w:rPr>
          <w:rFonts w:eastAsia="TimesNewRoman"/>
          <w:noProof/>
          <w:szCs w:val="22"/>
          <w:lang w:val="sr-Latn-ME"/>
        </w:rPr>
        <w:t>djelove</w:t>
      </w:r>
      <w:r w:rsidRPr="00777B5C">
        <w:rPr>
          <w:rFonts w:eastAsia="TimesNewRoman"/>
          <w:noProof/>
          <w:szCs w:val="22"/>
          <w:lang w:val="sr-Latn-ME"/>
        </w:rPr>
        <w:t xml:space="preserve"> </w:t>
      </w:r>
      <w:r w:rsidR="00576E42" w:rsidRPr="00777B5C">
        <w:rPr>
          <w:rFonts w:eastAsia="TimesNewRoman"/>
          <w:noProof/>
          <w:szCs w:val="22"/>
          <w:lang w:val="sr-Latn-ME"/>
        </w:rPr>
        <w:t>„</w:t>
      </w:r>
      <w:r w:rsidR="00576E42" w:rsidRPr="00777B5C">
        <w:rPr>
          <w:rFonts w:eastAsia="Calibri"/>
          <w:noProof/>
          <w:szCs w:val="22"/>
          <w:lang w:val="sr-Latn-ME"/>
        </w:rPr>
        <w:t xml:space="preserve">Posebna upozorenja i mjere opreza pri upotrebi lijeka“ </w:t>
      </w:r>
      <w:r w:rsidRPr="00777B5C">
        <w:rPr>
          <w:rFonts w:eastAsia="TimesNewRoman"/>
          <w:noProof/>
          <w:szCs w:val="22"/>
          <w:lang w:val="sr-Latn-ME"/>
        </w:rPr>
        <w:t xml:space="preserve">i </w:t>
      </w:r>
      <w:r w:rsidR="00576E42" w:rsidRPr="00777B5C">
        <w:rPr>
          <w:rFonts w:eastAsia="TimesNewRoman"/>
          <w:noProof/>
          <w:szCs w:val="22"/>
          <w:lang w:val="sr-Latn-ME"/>
        </w:rPr>
        <w:t>„</w:t>
      </w:r>
      <w:r w:rsidR="00576E42" w:rsidRPr="00777B5C">
        <w:rPr>
          <w:bCs/>
          <w:szCs w:val="22"/>
          <w:lang w:val="sr-Latn-ME"/>
        </w:rPr>
        <w:t>Farmakodinamski podaci”</w:t>
      </w:r>
      <w:r w:rsidR="00576E42" w:rsidRPr="00777B5C">
        <w:rPr>
          <w:b/>
          <w:bCs/>
          <w:szCs w:val="22"/>
          <w:lang w:val="sr-Latn-ME"/>
        </w:rPr>
        <w:t xml:space="preserve"> </w:t>
      </w:r>
      <w:r w:rsidRPr="00777B5C">
        <w:rPr>
          <w:rFonts w:eastAsia="TimesNewRoman"/>
          <w:noProof/>
          <w:szCs w:val="22"/>
          <w:lang w:val="sr-Latn-ME"/>
        </w:rPr>
        <w:t>).</w:t>
      </w:r>
    </w:p>
    <w:p w14:paraId="009CBA14" w14:textId="6100D926" w:rsidR="00F412AB" w:rsidRPr="00777B5C" w:rsidRDefault="00F412AB" w:rsidP="007B2FC3">
      <w:pPr>
        <w:tabs>
          <w:tab w:val="clear" w:pos="284"/>
        </w:tabs>
        <w:autoSpaceDE w:val="0"/>
        <w:autoSpaceDN w:val="0"/>
        <w:adjustRightInd w:val="0"/>
        <w:spacing w:before="120" w:after="120"/>
        <w:rPr>
          <w:rFonts w:eastAsia="TimesNewRoman"/>
          <w:noProof/>
          <w:szCs w:val="22"/>
          <w:u w:val="single"/>
          <w:lang w:val="sr-Latn-ME"/>
        </w:rPr>
      </w:pPr>
      <w:r w:rsidRPr="00777B5C">
        <w:rPr>
          <w:rFonts w:eastAsia="TimesNewRoman"/>
          <w:noProof/>
          <w:szCs w:val="22"/>
          <w:u w:val="single"/>
          <w:lang w:val="sr-Latn-ME"/>
        </w:rPr>
        <w:t>Način prim</w:t>
      </w:r>
      <w:r w:rsidR="00ED5FE5" w:rsidRPr="00777B5C">
        <w:rPr>
          <w:rFonts w:eastAsia="TimesNewRoman"/>
          <w:noProof/>
          <w:szCs w:val="22"/>
          <w:u w:val="single"/>
          <w:lang w:val="sr-Latn-ME"/>
        </w:rPr>
        <w:t>j</w:t>
      </w:r>
      <w:r w:rsidRPr="00777B5C">
        <w:rPr>
          <w:rFonts w:eastAsia="TimesNewRoman"/>
          <w:noProof/>
          <w:szCs w:val="22"/>
          <w:u w:val="single"/>
          <w:lang w:val="sr-Latn-ME"/>
        </w:rPr>
        <w:t>ene</w:t>
      </w:r>
    </w:p>
    <w:p w14:paraId="179B5441" w14:textId="6E9E773D"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Tigeciklin se prim</w:t>
      </w:r>
      <w:r w:rsidR="00ED5FE5" w:rsidRPr="00777B5C">
        <w:rPr>
          <w:rFonts w:eastAsia="TimesNewRoman"/>
          <w:noProof/>
          <w:szCs w:val="22"/>
          <w:lang w:val="sr-Latn-ME"/>
        </w:rPr>
        <w:t>j</w:t>
      </w:r>
      <w:r w:rsidRPr="00777B5C">
        <w:rPr>
          <w:rFonts w:eastAsia="TimesNewRoman"/>
          <w:noProof/>
          <w:szCs w:val="22"/>
          <w:lang w:val="sr-Latn-ME"/>
        </w:rPr>
        <w:t>enjuje isključivo putem intravenske infuzije, tokom 30 do 60 minuta (vid</w:t>
      </w:r>
      <w:r w:rsidR="00ED5FE5" w:rsidRPr="00777B5C">
        <w:rPr>
          <w:rFonts w:eastAsia="TimesNewRoman"/>
          <w:noProof/>
          <w:szCs w:val="22"/>
          <w:lang w:val="sr-Latn-ME"/>
        </w:rPr>
        <w:t>j</w:t>
      </w:r>
      <w:r w:rsidRPr="00777B5C">
        <w:rPr>
          <w:rFonts w:eastAsia="TimesNewRoman"/>
          <w:noProof/>
          <w:szCs w:val="22"/>
          <w:lang w:val="sr-Latn-ME"/>
        </w:rPr>
        <w:t xml:space="preserve">eti </w:t>
      </w:r>
      <w:r w:rsidR="00ED5FE5" w:rsidRPr="00777B5C">
        <w:rPr>
          <w:rFonts w:eastAsia="TimesNewRoman"/>
          <w:noProof/>
          <w:szCs w:val="22"/>
          <w:lang w:val="sr-Latn-ME"/>
        </w:rPr>
        <w:t>djelove</w:t>
      </w:r>
      <w:r w:rsidRPr="00777B5C">
        <w:rPr>
          <w:rFonts w:eastAsia="TimesNewRoman"/>
          <w:noProof/>
          <w:szCs w:val="22"/>
          <w:lang w:val="sr-Latn-ME"/>
        </w:rPr>
        <w:t xml:space="preserve"> </w:t>
      </w:r>
      <w:r w:rsidR="00576E42" w:rsidRPr="00777B5C">
        <w:rPr>
          <w:rFonts w:eastAsia="TimesNewRoman"/>
          <w:noProof/>
          <w:szCs w:val="22"/>
          <w:lang w:val="sr-Latn-ME"/>
        </w:rPr>
        <w:t>„</w:t>
      </w:r>
      <w:r w:rsidR="00576E42" w:rsidRPr="00777B5C">
        <w:rPr>
          <w:rFonts w:eastAsia="Calibri"/>
          <w:noProof/>
          <w:szCs w:val="22"/>
          <w:lang w:val="sr-Latn-ME"/>
        </w:rPr>
        <w:t xml:space="preserve">Posebna upozorenja i mjere opreza pri upotrebi lijeka“ </w:t>
      </w:r>
      <w:r w:rsidRPr="00777B5C">
        <w:rPr>
          <w:rFonts w:eastAsia="TimesNewRoman"/>
          <w:noProof/>
          <w:szCs w:val="22"/>
          <w:lang w:val="sr-Latn-ME"/>
        </w:rPr>
        <w:t xml:space="preserve">i </w:t>
      </w:r>
      <w:r w:rsidR="00576E42" w:rsidRPr="00777B5C">
        <w:rPr>
          <w:rFonts w:eastAsia="TimesNewRoman"/>
          <w:noProof/>
          <w:szCs w:val="22"/>
          <w:lang w:val="sr-Latn-ME"/>
        </w:rPr>
        <w:t>„</w:t>
      </w:r>
      <w:r w:rsidR="00576E42" w:rsidRPr="00777B5C">
        <w:rPr>
          <w:bCs/>
          <w:color w:val="000000"/>
          <w:szCs w:val="22"/>
          <w:lang w:val="sr-Latn-ME"/>
        </w:rPr>
        <w:t>Posebne mjere opreza pri odlaganju materijala koji treba odbaciti nakon primjene lijeka</w:t>
      </w:r>
      <w:r w:rsidR="00576E42" w:rsidRPr="00777B5C">
        <w:rPr>
          <w:bCs/>
          <w:szCs w:val="22"/>
          <w:lang w:val="sr-Latn-ME"/>
        </w:rPr>
        <w:t xml:space="preserve"> (i druga uputstva za rukovanje lijekom”</w:t>
      </w:r>
      <w:r w:rsidR="00576E42" w:rsidRPr="00777B5C" w:rsidDel="00576E42">
        <w:rPr>
          <w:rFonts w:eastAsia="TimesNewRoman"/>
          <w:noProof/>
          <w:szCs w:val="22"/>
          <w:lang w:val="sr-Latn-ME"/>
        </w:rPr>
        <w:t xml:space="preserve"> </w:t>
      </w:r>
      <w:r w:rsidRPr="00777B5C">
        <w:rPr>
          <w:rFonts w:eastAsia="TimesNewRoman"/>
          <w:noProof/>
          <w:szCs w:val="22"/>
          <w:lang w:val="sr-Latn-ME"/>
        </w:rPr>
        <w:t>)</w:t>
      </w:r>
      <w:r w:rsidR="001F7B76" w:rsidRPr="00777B5C">
        <w:rPr>
          <w:rFonts w:eastAsia="TimesNewRoman"/>
          <w:noProof/>
          <w:szCs w:val="22"/>
          <w:lang w:val="sr-Latn-ME"/>
        </w:rPr>
        <w:t>)</w:t>
      </w:r>
      <w:r w:rsidRPr="00777B5C">
        <w:rPr>
          <w:rFonts w:eastAsia="TimesNewRoman"/>
          <w:noProof/>
          <w:szCs w:val="22"/>
          <w:lang w:val="sr-Latn-ME"/>
        </w:rPr>
        <w:t>. Kod pedijatrijskih pacijenata, poželjno je prim</w:t>
      </w:r>
      <w:r w:rsidR="00ED5FE5" w:rsidRPr="00777B5C">
        <w:rPr>
          <w:rFonts w:eastAsia="TimesNewRoman"/>
          <w:noProof/>
          <w:szCs w:val="22"/>
          <w:lang w:val="sr-Latn-ME"/>
        </w:rPr>
        <w:t>j</w:t>
      </w:r>
      <w:r w:rsidRPr="00777B5C">
        <w:rPr>
          <w:rFonts w:eastAsia="TimesNewRoman"/>
          <w:noProof/>
          <w:szCs w:val="22"/>
          <w:lang w:val="sr-Latn-ME"/>
        </w:rPr>
        <w:t>enjivati infuziju tigeciklina u trajanju od 60 minuta (vid</w:t>
      </w:r>
      <w:r w:rsidR="00ED5FE5" w:rsidRPr="00777B5C">
        <w:rPr>
          <w:rFonts w:eastAsia="TimesNewRoman"/>
          <w:noProof/>
          <w:szCs w:val="22"/>
          <w:lang w:val="sr-Latn-ME"/>
        </w:rPr>
        <w:t>j</w:t>
      </w:r>
      <w:r w:rsidRPr="00777B5C">
        <w:rPr>
          <w:rFonts w:eastAsia="TimesNewRoman"/>
          <w:noProof/>
          <w:szCs w:val="22"/>
          <w:lang w:val="sr-Latn-ME"/>
        </w:rPr>
        <w:t xml:space="preserve">eti </w:t>
      </w:r>
      <w:r w:rsidR="00ED5FE5" w:rsidRPr="00777B5C">
        <w:rPr>
          <w:rFonts w:eastAsia="TimesNewRoman"/>
          <w:noProof/>
          <w:szCs w:val="22"/>
          <w:lang w:val="sr-Latn-ME"/>
        </w:rPr>
        <w:t>dio</w:t>
      </w:r>
      <w:r w:rsidRPr="00777B5C">
        <w:rPr>
          <w:rFonts w:eastAsia="TimesNewRoman"/>
          <w:noProof/>
          <w:szCs w:val="22"/>
          <w:lang w:val="sr-Latn-ME"/>
        </w:rPr>
        <w:t xml:space="preserve"> </w:t>
      </w:r>
      <w:r w:rsidR="001F7B76" w:rsidRPr="00777B5C">
        <w:rPr>
          <w:rFonts w:eastAsia="TimesNewRoman"/>
          <w:noProof/>
          <w:szCs w:val="22"/>
          <w:lang w:val="sr-Latn-ME"/>
        </w:rPr>
        <w:t>„</w:t>
      </w:r>
      <w:r w:rsidR="001F7B76" w:rsidRPr="00777B5C">
        <w:rPr>
          <w:rFonts w:eastAsia="Calibri"/>
          <w:noProof/>
          <w:szCs w:val="22"/>
          <w:lang w:val="sr-Latn-ME"/>
        </w:rPr>
        <w:t>Posebna upozorenja i mjere opreza pri upotrebi lijeka“</w:t>
      </w:r>
      <w:r w:rsidRPr="00777B5C">
        <w:rPr>
          <w:rFonts w:eastAsia="TimesNewRoman"/>
          <w:noProof/>
          <w:szCs w:val="22"/>
          <w:lang w:val="sr-Latn-ME"/>
        </w:rPr>
        <w:t>).</w:t>
      </w:r>
    </w:p>
    <w:p w14:paraId="3CFC03ED" w14:textId="5051571F" w:rsidR="00F412AB" w:rsidRPr="00777B5C" w:rsidRDefault="00F412AB" w:rsidP="007B2FC3">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Za uputstvo o rekonstituciji i razblaživanju l</w:t>
      </w:r>
      <w:r w:rsidR="00ED5FE5" w:rsidRPr="00777B5C">
        <w:rPr>
          <w:rFonts w:eastAsia="TimesNewRoman"/>
          <w:noProof/>
          <w:szCs w:val="22"/>
          <w:lang w:val="sr-Latn-ME"/>
        </w:rPr>
        <w:t>ij</w:t>
      </w:r>
      <w:r w:rsidRPr="00777B5C">
        <w:rPr>
          <w:rFonts w:eastAsia="TimesNewRoman"/>
          <w:noProof/>
          <w:szCs w:val="22"/>
          <w:lang w:val="sr-Latn-ME"/>
        </w:rPr>
        <w:t>eka pr</w:t>
      </w:r>
      <w:r w:rsidR="00ED5FE5" w:rsidRPr="00777B5C">
        <w:rPr>
          <w:rFonts w:eastAsia="TimesNewRoman"/>
          <w:noProof/>
          <w:szCs w:val="22"/>
          <w:lang w:val="sr-Latn-ME"/>
        </w:rPr>
        <w:t>ij</w:t>
      </w:r>
      <w:r w:rsidRPr="00777B5C">
        <w:rPr>
          <w:rFonts w:eastAsia="TimesNewRoman"/>
          <w:noProof/>
          <w:szCs w:val="22"/>
          <w:lang w:val="sr-Latn-ME"/>
        </w:rPr>
        <w:t>e prim</w:t>
      </w:r>
      <w:r w:rsidR="00ED5FE5" w:rsidRPr="00777B5C">
        <w:rPr>
          <w:rFonts w:eastAsia="TimesNewRoman"/>
          <w:noProof/>
          <w:szCs w:val="22"/>
          <w:lang w:val="sr-Latn-ME"/>
        </w:rPr>
        <w:t>j</w:t>
      </w:r>
      <w:r w:rsidRPr="00777B5C">
        <w:rPr>
          <w:rFonts w:eastAsia="TimesNewRoman"/>
          <w:noProof/>
          <w:szCs w:val="22"/>
          <w:lang w:val="sr-Latn-ME"/>
        </w:rPr>
        <w:t>ene, vid</w:t>
      </w:r>
      <w:r w:rsidR="00ED5FE5" w:rsidRPr="00777B5C">
        <w:rPr>
          <w:rFonts w:eastAsia="TimesNewRoman"/>
          <w:noProof/>
          <w:szCs w:val="22"/>
          <w:lang w:val="sr-Latn-ME"/>
        </w:rPr>
        <w:t>j</w:t>
      </w:r>
      <w:r w:rsidRPr="00777B5C">
        <w:rPr>
          <w:rFonts w:eastAsia="TimesNewRoman"/>
          <w:noProof/>
          <w:szCs w:val="22"/>
          <w:lang w:val="sr-Latn-ME"/>
        </w:rPr>
        <w:t xml:space="preserve">eti </w:t>
      </w:r>
      <w:r w:rsidR="00ED5FE5" w:rsidRPr="00777B5C">
        <w:rPr>
          <w:rFonts w:eastAsia="TimesNewRoman"/>
          <w:noProof/>
          <w:szCs w:val="22"/>
          <w:lang w:val="sr-Latn-ME"/>
        </w:rPr>
        <w:t>dio</w:t>
      </w:r>
      <w:r w:rsidRPr="00777B5C">
        <w:rPr>
          <w:rFonts w:eastAsia="TimesNewRoman"/>
          <w:noProof/>
          <w:szCs w:val="22"/>
          <w:lang w:val="sr-Latn-ME"/>
        </w:rPr>
        <w:t xml:space="preserve"> </w:t>
      </w:r>
      <w:r w:rsidR="001F7B76" w:rsidRPr="00777B5C">
        <w:rPr>
          <w:rFonts w:eastAsia="TimesNewRoman"/>
          <w:noProof/>
          <w:szCs w:val="22"/>
          <w:lang w:val="sr-Latn-ME"/>
        </w:rPr>
        <w:t>„</w:t>
      </w:r>
      <w:r w:rsidR="001F7B76" w:rsidRPr="00777B5C">
        <w:rPr>
          <w:bCs/>
          <w:color w:val="000000"/>
          <w:szCs w:val="22"/>
          <w:lang w:val="sr-Latn-ME"/>
        </w:rPr>
        <w:t>Posebne mjere opreza pri odlaganju materijala koji treba odbaciti nakon primjene lijeka</w:t>
      </w:r>
      <w:r w:rsidR="001F7B76" w:rsidRPr="00777B5C">
        <w:rPr>
          <w:bCs/>
          <w:szCs w:val="22"/>
          <w:lang w:val="sr-Latn-ME"/>
        </w:rPr>
        <w:t xml:space="preserve"> (i druga uputstva za rukovanje lijekom”</w:t>
      </w:r>
      <w:r w:rsidR="001F7B76" w:rsidRPr="00777B5C" w:rsidDel="00576E42">
        <w:rPr>
          <w:rFonts w:eastAsia="TimesNewRoman"/>
          <w:noProof/>
          <w:szCs w:val="22"/>
          <w:lang w:val="sr-Latn-ME"/>
        </w:rPr>
        <w:t xml:space="preserve"> </w:t>
      </w:r>
      <w:r w:rsidR="001F7B76" w:rsidRPr="00777B5C">
        <w:rPr>
          <w:rFonts w:eastAsia="TimesNewRoman"/>
          <w:noProof/>
          <w:szCs w:val="22"/>
          <w:lang w:val="sr-Latn-ME"/>
        </w:rPr>
        <w:t>)</w:t>
      </w:r>
      <w:r w:rsidRPr="00777B5C">
        <w:rPr>
          <w:rFonts w:eastAsia="TimesNewRoman"/>
          <w:noProof/>
          <w:szCs w:val="22"/>
          <w:lang w:val="sr-Latn-ME"/>
        </w:rPr>
        <w:t>.</w:t>
      </w:r>
    </w:p>
    <w:p w14:paraId="2B2F76ED" w14:textId="29E03A78" w:rsidR="00F412AB" w:rsidRPr="00777B5C" w:rsidRDefault="00F412AB" w:rsidP="007B2FC3">
      <w:pPr>
        <w:tabs>
          <w:tab w:val="clear" w:pos="284"/>
        </w:tabs>
        <w:autoSpaceDE w:val="0"/>
        <w:autoSpaceDN w:val="0"/>
        <w:adjustRightInd w:val="0"/>
        <w:spacing w:before="120" w:after="120"/>
        <w:rPr>
          <w:rFonts w:eastAsia="TimesNewRoman,Bold"/>
          <w:b/>
          <w:bCs/>
          <w:noProof/>
          <w:szCs w:val="22"/>
          <w:lang w:val="sr-Latn-ME"/>
        </w:rPr>
      </w:pPr>
      <w:r w:rsidRPr="00777B5C">
        <w:rPr>
          <w:rFonts w:eastAsia="TimesNewRoman,Bold"/>
          <w:b/>
          <w:bCs/>
          <w:noProof/>
          <w:szCs w:val="22"/>
          <w:lang w:val="sr-Latn-ME"/>
        </w:rPr>
        <w:t>Kontraindikacije</w:t>
      </w:r>
    </w:p>
    <w:p w14:paraId="56F21965" w14:textId="5B8812C2" w:rsidR="00F412AB" w:rsidRPr="00777B5C" w:rsidRDefault="00F412AB" w:rsidP="007B2FC3">
      <w:pPr>
        <w:numPr>
          <w:ilvl w:val="0"/>
          <w:numId w:val="17"/>
        </w:numPr>
        <w:tabs>
          <w:tab w:val="clear" w:pos="284"/>
        </w:tabs>
        <w:autoSpaceDE w:val="0"/>
        <w:autoSpaceDN w:val="0"/>
        <w:adjustRightInd w:val="0"/>
        <w:spacing w:before="120" w:after="120" w:line="259" w:lineRule="auto"/>
        <w:contextualSpacing/>
        <w:rPr>
          <w:rFonts w:eastAsia="TimesNewRoman"/>
          <w:noProof/>
          <w:szCs w:val="22"/>
          <w:lang w:val="sr-Latn-ME"/>
        </w:rPr>
      </w:pPr>
      <w:r w:rsidRPr="00777B5C">
        <w:rPr>
          <w:rFonts w:eastAsia="TimesNewRoman"/>
          <w:noProof/>
          <w:szCs w:val="22"/>
          <w:lang w:val="sr-Latn-ME"/>
        </w:rPr>
        <w:t>Preos</w:t>
      </w:r>
      <w:r w:rsidR="00ED5FE5" w:rsidRPr="00777B5C">
        <w:rPr>
          <w:rFonts w:eastAsia="TimesNewRoman"/>
          <w:noProof/>
          <w:szCs w:val="22"/>
          <w:lang w:val="sr-Latn-ME"/>
        </w:rPr>
        <w:t>j</w:t>
      </w:r>
      <w:r w:rsidRPr="00777B5C">
        <w:rPr>
          <w:rFonts w:eastAsia="TimesNewRoman"/>
          <w:noProof/>
          <w:szCs w:val="22"/>
          <w:lang w:val="sr-Latn-ME"/>
        </w:rPr>
        <w:t xml:space="preserve">etljivost na aktivnu supstancu ili bilo koju od pomoćnih supstanci navedenih u </w:t>
      </w:r>
      <w:r w:rsidR="00ED5FE5" w:rsidRPr="00777B5C">
        <w:rPr>
          <w:rFonts w:eastAsia="TimesNewRoman"/>
          <w:noProof/>
          <w:szCs w:val="22"/>
          <w:lang w:val="sr-Latn-ME"/>
        </w:rPr>
        <w:t>dijelu</w:t>
      </w:r>
      <w:r w:rsidRPr="00777B5C">
        <w:rPr>
          <w:rFonts w:eastAsia="TimesNewRoman"/>
          <w:noProof/>
          <w:szCs w:val="22"/>
          <w:lang w:val="sr-Latn-ME"/>
        </w:rPr>
        <w:t xml:space="preserve"> </w:t>
      </w:r>
      <w:r w:rsidR="001F7B76" w:rsidRPr="00777B5C">
        <w:rPr>
          <w:rFonts w:eastAsia="TimesNewRoman"/>
          <w:noProof/>
          <w:szCs w:val="22"/>
          <w:lang w:val="sr-Latn-ME"/>
        </w:rPr>
        <w:t>„</w:t>
      </w:r>
      <w:r w:rsidR="001F7B76" w:rsidRPr="00777B5C">
        <w:rPr>
          <w:bCs/>
          <w:szCs w:val="22"/>
          <w:lang w:val="sr-Latn-ME"/>
        </w:rPr>
        <w:t>Lista pomoćnih supstanci (ekscipijenasa)”</w:t>
      </w:r>
      <w:r w:rsidRPr="00777B5C">
        <w:rPr>
          <w:rFonts w:eastAsia="TimesNewRoman"/>
          <w:noProof/>
          <w:szCs w:val="22"/>
          <w:lang w:val="sr-Latn-ME"/>
        </w:rPr>
        <w:t>.</w:t>
      </w:r>
    </w:p>
    <w:p w14:paraId="20C5137B" w14:textId="56FB022A" w:rsidR="00F412AB" w:rsidRPr="00777B5C" w:rsidRDefault="00F412AB" w:rsidP="007B2FC3">
      <w:pPr>
        <w:numPr>
          <w:ilvl w:val="0"/>
          <w:numId w:val="17"/>
        </w:numPr>
        <w:tabs>
          <w:tab w:val="clear" w:pos="284"/>
        </w:tabs>
        <w:autoSpaceDE w:val="0"/>
        <w:autoSpaceDN w:val="0"/>
        <w:adjustRightInd w:val="0"/>
        <w:spacing w:before="120" w:after="120" w:line="259" w:lineRule="auto"/>
        <w:contextualSpacing/>
        <w:rPr>
          <w:rFonts w:eastAsia="TimesNewRoman"/>
          <w:noProof/>
          <w:szCs w:val="22"/>
          <w:lang w:val="sr-Latn-ME"/>
        </w:rPr>
      </w:pPr>
      <w:r w:rsidRPr="00777B5C">
        <w:rPr>
          <w:rFonts w:eastAsia="TimesNewRoman"/>
          <w:noProof/>
          <w:szCs w:val="22"/>
          <w:lang w:val="sr-Latn-ME"/>
        </w:rPr>
        <w:t>Pacijenti koji su preos</w:t>
      </w:r>
      <w:r w:rsidR="00ED5FE5" w:rsidRPr="00777B5C">
        <w:rPr>
          <w:rFonts w:eastAsia="TimesNewRoman"/>
          <w:noProof/>
          <w:szCs w:val="22"/>
          <w:lang w:val="sr-Latn-ME"/>
        </w:rPr>
        <w:t>j</w:t>
      </w:r>
      <w:r w:rsidRPr="00777B5C">
        <w:rPr>
          <w:rFonts w:eastAsia="TimesNewRoman"/>
          <w:noProof/>
          <w:szCs w:val="22"/>
          <w:lang w:val="sr-Latn-ME"/>
        </w:rPr>
        <w:t>etljivi na tetracikline, mogu biti preos</w:t>
      </w:r>
      <w:r w:rsidR="00ED5FE5" w:rsidRPr="00777B5C">
        <w:rPr>
          <w:rFonts w:eastAsia="TimesNewRoman"/>
          <w:noProof/>
          <w:szCs w:val="22"/>
          <w:lang w:val="sr-Latn-ME"/>
        </w:rPr>
        <w:t>j</w:t>
      </w:r>
      <w:r w:rsidRPr="00777B5C">
        <w:rPr>
          <w:rFonts w:eastAsia="TimesNewRoman"/>
          <w:noProof/>
          <w:szCs w:val="22"/>
          <w:lang w:val="sr-Latn-ME"/>
        </w:rPr>
        <w:t>etljivi na tigeciklin.</w:t>
      </w:r>
    </w:p>
    <w:p w14:paraId="768EDA00" w14:textId="77777777" w:rsidR="00DB46D8" w:rsidRPr="00777B5C" w:rsidRDefault="00DB46D8" w:rsidP="007B2FC3">
      <w:pPr>
        <w:tabs>
          <w:tab w:val="clear" w:pos="284"/>
        </w:tabs>
        <w:autoSpaceDE w:val="0"/>
        <w:autoSpaceDN w:val="0"/>
        <w:adjustRightInd w:val="0"/>
        <w:spacing w:before="120" w:after="120" w:line="259" w:lineRule="auto"/>
        <w:ind w:left="360"/>
        <w:contextualSpacing/>
        <w:rPr>
          <w:rFonts w:eastAsia="TimesNewRoman"/>
          <w:noProof/>
          <w:szCs w:val="22"/>
          <w:lang w:val="sr-Latn-ME"/>
        </w:rPr>
      </w:pPr>
    </w:p>
    <w:p w14:paraId="43891CB7" w14:textId="61DED57E" w:rsidR="00F412AB" w:rsidRPr="00777B5C" w:rsidRDefault="00F412AB" w:rsidP="007B2FC3">
      <w:pPr>
        <w:tabs>
          <w:tab w:val="clear" w:pos="284"/>
        </w:tabs>
        <w:autoSpaceDE w:val="0"/>
        <w:autoSpaceDN w:val="0"/>
        <w:adjustRightInd w:val="0"/>
        <w:spacing w:before="120" w:after="120"/>
        <w:rPr>
          <w:rFonts w:eastAsia="TimesNewRoman,Bold"/>
          <w:b/>
          <w:bCs/>
          <w:noProof/>
          <w:szCs w:val="22"/>
          <w:lang w:val="sr-Latn-ME"/>
        </w:rPr>
      </w:pPr>
      <w:r w:rsidRPr="00777B5C">
        <w:rPr>
          <w:rFonts w:eastAsia="TimesNewRoman,Bold"/>
          <w:b/>
          <w:bCs/>
          <w:noProof/>
          <w:szCs w:val="22"/>
          <w:lang w:val="sr-Latn-ME"/>
        </w:rPr>
        <w:lastRenderedPageBreak/>
        <w:t>Posebna upozorenja i m</w:t>
      </w:r>
      <w:r w:rsidR="00ED5FE5" w:rsidRPr="00777B5C">
        <w:rPr>
          <w:rFonts w:eastAsia="TimesNewRoman,Bold"/>
          <w:b/>
          <w:bCs/>
          <w:noProof/>
          <w:szCs w:val="22"/>
          <w:lang w:val="sr-Latn-ME"/>
        </w:rPr>
        <w:t>j</w:t>
      </w:r>
      <w:r w:rsidRPr="00777B5C">
        <w:rPr>
          <w:rFonts w:eastAsia="TimesNewRoman,Bold"/>
          <w:b/>
          <w:bCs/>
          <w:noProof/>
          <w:szCs w:val="22"/>
          <w:lang w:val="sr-Latn-ME"/>
        </w:rPr>
        <w:t>ere opreza pri upotrebi l</w:t>
      </w:r>
      <w:r w:rsidR="00ED5FE5" w:rsidRPr="00777B5C">
        <w:rPr>
          <w:rFonts w:eastAsia="TimesNewRoman,Bold"/>
          <w:b/>
          <w:bCs/>
          <w:noProof/>
          <w:szCs w:val="22"/>
          <w:lang w:val="sr-Latn-ME"/>
        </w:rPr>
        <w:t>ij</w:t>
      </w:r>
      <w:r w:rsidRPr="00777B5C">
        <w:rPr>
          <w:rFonts w:eastAsia="TimesNewRoman,Bold"/>
          <w:b/>
          <w:bCs/>
          <w:noProof/>
          <w:szCs w:val="22"/>
          <w:lang w:val="sr-Latn-ME"/>
        </w:rPr>
        <w:t>eka</w:t>
      </w:r>
    </w:p>
    <w:p w14:paraId="7E1F79CF" w14:textId="20679E14"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U kliničkim studijama kod komplikovanih infekcija kože i mekih tkiva (cSSTI), komplikovanih intraabdominalnih infekcija (cIAI), infekcija dijabetesnog stopala, nozokomijalne pneumonije i studijama sprovedenim na rezistentnim patogenima, uočena je brojčano veća stopa smrtnosti kod pacijenata koji su primali tigeciklin, u odnosu na pacijente koji su primali alternativnu terapiju. Uzroci ovih nalaza ni</w:t>
      </w:r>
      <w:r w:rsidR="004B1B99" w:rsidRPr="00777B5C">
        <w:rPr>
          <w:rFonts w:eastAsia="TimesNewRoman"/>
          <w:noProof/>
          <w:szCs w:val="22"/>
          <w:lang w:val="sr-Latn-ME"/>
        </w:rPr>
        <w:t>je</w:t>
      </w:r>
      <w:r w:rsidRPr="00777B5C">
        <w:rPr>
          <w:rFonts w:eastAsia="TimesNewRoman"/>
          <w:noProof/>
          <w:szCs w:val="22"/>
          <w:lang w:val="sr-Latn-ME"/>
        </w:rPr>
        <w:t>su poznati, ali se ne mogu isključiti slabija efikasnost i bezb</w:t>
      </w:r>
      <w:r w:rsidR="00ED5FE5" w:rsidRPr="00777B5C">
        <w:rPr>
          <w:rFonts w:eastAsia="TimesNewRoman"/>
          <w:noProof/>
          <w:szCs w:val="22"/>
          <w:lang w:val="sr-Latn-ME"/>
        </w:rPr>
        <w:t>j</w:t>
      </w:r>
      <w:r w:rsidRPr="00777B5C">
        <w:rPr>
          <w:rFonts w:eastAsia="TimesNewRoman"/>
          <w:noProof/>
          <w:szCs w:val="22"/>
          <w:lang w:val="sr-Latn-ME"/>
        </w:rPr>
        <w:t>ednost tigeciklina u odnosu na poredbene l</w:t>
      </w:r>
      <w:r w:rsidR="00ED5FE5" w:rsidRPr="00777B5C">
        <w:rPr>
          <w:rFonts w:eastAsia="TimesNewRoman"/>
          <w:noProof/>
          <w:szCs w:val="22"/>
          <w:lang w:val="sr-Latn-ME"/>
        </w:rPr>
        <w:t>j</w:t>
      </w:r>
      <w:r w:rsidRPr="00777B5C">
        <w:rPr>
          <w:rFonts w:eastAsia="TimesNewRoman"/>
          <w:noProof/>
          <w:szCs w:val="22"/>
          <w:lang w:val="sr-Latn-ME"/>
        </w:rPr>
        <w:t>ekove.</w:t>
      </w:r>
    </w:p>
    <w:p w14:paraId="1890F888" w14:textId="77777777" w:rsidR="00F412AB" w:rsidRPr="00777B5C" w:rsidRDefault="00F412AB" w:rsidP="007B2FC3">
      <w:pPr>
        <w:tabs>
          <w:tab w:val="clear" w:pos="284"/>
        </w:tabs>
        <w:autoSpaceDE w:val="0"/>
        <w:autoSpaceDN w:val="0"/>
        <w:adjustRightInd w:val="0"/>
        <w:spacing w:before="120" w:after="120"/>
        <w:rPr>
          <w:rFonts w:eastAsia="TimesNewRoman"/>
          <w:noProof/>
          <w:szCs w:val="22"/>
          <w:u w:val="single"/>
          <w:lang w:val="sr-Latn-ME"/>
        </w:rPr>
      </w:pPr>
      <w:r w:rsidRPr="00777B5C">
        <w:rPr>
          <w:rFonts w:eastAsia="TimesNewRoman"/>
          <w:noProof/>
          <w:szCs w:val="22"/>
          <w:u w:val="single"/>
          <w:lang w:val="sr-Latn-ME"/>
        </w:rPr>
        <w:t>Superinfekcija</w:t>
      </w:r>
    </w:p>
    <w:p w14:paraId="0C9B367A" w14:textId="0E4475CB"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U kliničkim studijama kod pacijenata sa cIAI, sporije zarastanje hirurških rana je bilo povezano sa superinfekcijom. Pacijente kod kojih rane sporije zarastaju treba pažljivo pratiti u cilju detekcije superinfekcije (vid</w:t>
      </w:r>
      <w:r w:rsidR="00ED5FE5" w:rsidRPr="00777B5C">
        <w:rPr>
          <w:rFonts w:eastAsia="TimesNewRoman"/>
          <w:noProof/>
          <w:szCs w:val="22"/>
          <w:lang w:val="sr-Latn-ME"/>
        </w:rPr>
        <w:t>j</w:t>
      </w:r>
      <w:r w:rsidRPr="00777B5C">
        <w:rPr>
          <w:rFonts w:eastAsia="TimesNewRoman"/>
          <w:noProof/>
          <w:szCs w:val="22"/>
          <w:lang w:val="sr-Latn-ME"/>
        </w:rPr>
        <w:t xml:space="preserve">eti </w:t>
      </w:r>
      <w:r w:rsidR="00ED5FE5" w:rsidRPr="00777B5C">
        <w:rPr>
          <w:rFonts w:eastAsia="TimesNewRoman"/>
          <w:noProof/>
          <w:szCs w:val="22"/>
          <w:lang w:val="sr-Latn-ME"/>
        </w:rPr>
        <w:t>dio</w:t>
      </w:r>
      <w:r w:rsidRPr="00777B5C">
        <w:rPr>
          <w:rFonts w:eastAsia="TimesNewRoman"/>
          <w:noProof/>
          <w:szCs w:val="22"/>
          <w:lang w:val="sr-Latn-ME"/>
        </w:rPr>
        <w:t xml:space="preserve"> </w:t>
      </w:r>
      <w:r w:rsidR="001F7B76" w:rsidRPr="00777B5C">
        <w:rPr>
          <w:rFonts w:eastAsia="TimesNewRoman"/>
          <w:noProof/>
          <w:szCs w:val="22"/>
          <w:lang w:val="sr-Latn-ME"/>
        </w:rPr>
        <w:t>„</w:t>
      </w:r>
      <w:r w:rsidR="001F7B76" w:rsidRPr="00777B5C">
        <w:rPr>
          <w:bCs/>
          <w:szCs w:val="22"/>
          <w:lang w:val="sr-Latn-ME"/>
        </w:rPr>
        <w:t>Neželjena dejstva”).</w:t>
      </w:r>
      <w:r w:rsidR="001F7B76" w:rsidRPr="00777B5C" w:rsidDel="001F7B76">
        <w:rPr>
          <w:rFonts w:eastAsia="TimesNewRoman"/>
          <w:noProof/>
          <w:szCs w:val="22"/>
          <w:lang w:val="sr-Latn-ME"/>
        </w:rPr>
        <w:t xml:space="preserve"> </w:t>
      </w:r>
    </w:p>
    <w:p w14:paraId="39859B38" w14:textId="0C232C5C"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Smatra se je pojava superinfekcije, naročito nozokomijalne pneumonije, povezana sa slabijim ishodom l</w:t>
      </w:r>
      <w:r w:rsidR="00ED5FE5" w:rsidRPr="00777B5C">
        <w:rPr>
          <w:rFonts w:eastAsia="TimesNewRoman"/>
          <w:noProof/>
          <w:szCs w:val="22"/>
          <w:lang w:val="sr-Latn-ME"/>
        </w:rPr>
        <w:t>ij</w:t>
      </w:r>
      <w:r w:rsidRPr="00777B5C">
        <w:rPr>
          <w:rFonts w:eastAsia="TimesNewRoman"/>
          <w:noProof/>
          <w:szCs w:val="22"/>
          <w:lang w:val="sr-Latn-ME"/>
        </w:rPr>
        <w:t>ečenja. Pacijente treba pažljivo pratiti zbog razvoja superinfekcije. Ukoliko se, pored cSSTI ili cIAI, razvije i druga vrsta infekcije nakon uvođenja terapije tigeciklinom, treba razmotriti prim</w:t>
      </w:r>
      <w:r w:rsidR="00ED5FE5" w:rsidRPr="00777B5C">
        <w:rPr>
          <w:rFonts w:eastAsia="TimesNewRoman"/>
          <w:noProof/>
          <w:szCs w:val="22"/>
          <w:lang w:val="sr-Latn-ME"/>
        </w:rPr>
        <w:t>j</w:t>
      </w:r>
      <w:r w:rsidRPr="00777B5C">
        <w:rPr>
          <w:rFonts w:eastAsia="TimesNewRoman"/>
          <w:noProof/>
          <w:szCs w:val="22"/>
          <w:lang w:val="sr-Latn-ME"/>
        </w:rPr>
        <w:t>enu alternativne antibiotske terapije, koja je pokazala efikasnost u terapiji prisutne specifične infekcije (ili više njih).</w:t>
      </w:r>
    </w:p>
    <w:p w14:paraId="55A09653" w14:textId="77777777" w:rsidR="00F412AB" w:rsidRPr="00777B5C" w:rsidRDefault="00F412AB" w:rsidP="007B2FC3">
      <w:pPr>
        <w:tabs>
          <w:tab w:val="clear" w:pos="284"/>
        </w:tabs>
        <w:autoSpaceDE w:val="0"/>
        <w:autoSpaceDN w:val="0"/>
        <w:adjustRightInd w:val="0"/>
        <w:spacing w:before="120" w:after="120"/>
        <w:rPr>
          <w:rFonts w:eastAsia="TimesNewRoman"/>
          <w:noProof/>
          <w:szCs w:val="22"/>
          <w:u w:val="single"/>
          <w:lang w:val="sr-Latn-ME"/>
        </w:rPr>
      </w:pPr>
      <w:r w:rsidRPr="00777B5C">
        <w:rPr>
          <w:rFonts w:eastAsia="TimesNewRoman"/>
          <w:noProof/>
          <w:szCs w:val="22"/>
          <w:u w:val="single"/>
          <w:lang w:val="sr-Latn-ME"/>
        </w:rPr>
        <w:t>Anafilaksa</w:t>
      </w:r>
    </w:p>
    <w:p w14:paraId="0CB3C5F9" w14:textId="6C715A3C"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Prilikom prim</w:t>
      </w:r>
      <w:r w:rsidR="00ED5FE5" w:rsidRPr="00777B5C">
        <w:rPr>
          <w:rFonts w:eastAsia="TimesNewRoman"/>
          <w:noProof/>
          <w:szCs w:val="22"/>
          <w:lang w:val="sr-Latn-ME"/>
        </w:rPr>
        <w:t>j</w:t>
      </w:r>
      <w:r w:rsidRPr="00777B5C">
        <w:rPr>
          <w:rFonts w:eastAsia="TimesNewRoman"/>
          <w:noProof/>
          <w:szCs w:val="22"/>
          <w:lang w:val="sr-Latn-ME"/>
        </w:rPr>
        <w:t>ene tigeciklina, prijavljene su anafilaktičke/anafilaktoidne reakcije koje mogu biti opasne po život (vid</w:t>
      </w:r>
      <w:r w:rsidR="00ED5FE5" w:rsidRPr="00777B5C">
        <w:rPr>
          <w:rFonts w:eastAsia="TimesNewRoman"/>
          <w:noProof/>
          <w:szCs w:val="22"/>
          <w:lang w:val="sr-Latn-ME"/>
        </w:rPr>
        <w:t>j</w:t>
      </w:r>
      <w:r w:rsidRPr="00777B5C">
        <w:rPr>
          <w:rFonts w:eastAsia="TimesNewRoman"/>
          <w:noProof/>
          <w:szCs w:val="22"/>
          <w:lang w:val="sr-Latn-ME"/>
        </w:rPr>
        <w:t xml:space="preserve">eti </w:t>
      </w:r>
      <w:r w:rsidR="00ED5FE5" w:rsidRPr="00777B5C">
        <w:rPr>
          <w:rFonts w:eastAsia="TimesNewRoman"/>
          <w:noProof/>
          <w:szCs w:val="22"/>
          <w:lang w:val="sr-Latn-ME"/>
        </w:rPr>
        <w:t>djelove</w:t>
      </w:r>
      <w:r w:rsidRPr="00777B5C">
        <w:rPr>
          <w:rFonts w:eastAsia="TimesNewRoman"/>
          <w:noProof/>
          <w:szCs w:val="22"/>
          <w:lang w:val="sr-Latn-ME"/>
        </w:rPr>
        <w:t xml:space="preserve"> </w:t>
      </w:r>
      <w:r w:rsidR="001F7B76" w:rsidRPr="00777B5C">
        <w:rPr>
          <w:rFonts w:eastAsia="TimesNewRoman"/>
          <w:noProof/>
          <w:szCs w:val="22"/>
          <w:lang w:val="sr-Latn-ME"/>
        </w:rPr>
        <w:t>„</w:t>
      </w:r>
      <w:r w:rsidR="001F7B76" w:rsidRPr="00777B5C">
        <w:rPr>
          <w:bCs/>
          <w:szCs w:val="22"/>
          <w:lang w:val="sr-Latn-ME"/>
        </w:rPr>
        <w:t>Kontraindikacije”</w:t>
      </w:r>
      <w:r w:rsidR="001F7B76" w:rsidRPr="00777B5C" w:rsidDel="001F7B76">
        <w:rPr>
          <w:rFonts w:eastAsia="TimesNewRoman"/>
          <w:noProof/>
          <w:szCs w:val="22"/>
          <w:lang w:val="sr-Latn-ME"/>
        </w:rPr>
        <w:t xml:space="preserve"> </w:t>
      </w:r>
      <w:r w:rsidRPr="00777B5C">
        <w:rPr>
          <w:rFonts w:eastAsia="TimesNewRoman"/>
          <w:noProof/>
          <w:szCs w:val="22"/>
          <w:lang w:val="sr-Latn-ME"/>
        </w:rPr>
        <w:t xml:space="preserve">i </w:t>
      </w:r>
      <w:r w:rsidR="001F7B76" w:rsidRPr="00777B5C">
        <w:rPr>
          <w:rFonts w:eastAsia="TimesNewRoman"/>
          <w:noProof/>
          <w:szCs w:val="22"/>
          <w:lang w:val="sr-Latn-ME"/>
        </w:rPr>
        <w:t>„</w:t>
      </w:r>
      <w:r w:rsidR="001F7B76" w:rsidRPr="00777B5C">
        <w:rPr>
          <w:bCs/>
          <w:szCs w:val="22"/>
          <w:lang w:val="sr-Latn-ME"/>
        </w:rPr>
        <w:t>Neželjena dejstva”</w:t>
      </w:r>
      <w:r w:rsidRPr="00777B5C">
        <w:rPr>
          <w:rFonts w:eastAsia="TimesNewRoman"/>
          <w:noProof/>
          <w:szCs w:val="22"/>
          <w:lang w:val="sr-Latn-ME"/>
        </w:rPr>
        <w:t>).</w:t>
      </w:r>
    </w:p>
    <w:p w14:paraId="67BE906F" w14:textId="77777777" w:rsidR="00F412AB" w:rsidRPr="00777B5C" w:rsidRDefault="00F412AB" w:rsidP="007B2FC3">
      <w:pPr>
        <w:tabs>
          <w:tab w:val="clear" w:pos="284"/>
        </w:tabs>
        <w:autoSpaceDE w:val="0"/>
        <w:autoSpaceDN w:val="0"/>
        <w:adjustRightInd w:val="0"/>
        <w:spacing w:before="120" w:after="120"/>
        <w:rPr>
          <w:rFonts w:eastAsia="TimesNewRoman"/>
          <w:noProof/>
          <w:szCs w:val="22"/>
          <w:u w:val="single"/>
          <w:lang w:val="sr-Latn-ME"/>
        </w:rPr>
      </w:pPr>
      <w:r w:rsidRPr="00777B5C">
        <w:rPr>
          <w:rFonts w:eastAsia="TimesNewRoman"/>
          <w:noProof/>
          <w:szCs w:val="22"/>
          <w:u w:val="single"/>
          <w:lang w:val="sr-Latn-ME"/>
        </w:rPr>
        <w:t>Insuficijencija jetre</w:t>
      </w:r>
    </w:p>
    <w:p w14:paraId="14B7EE42" w14:textId="539FA1E9"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Zab</w:t>
      </w:r>
      <w:r w:rsidR="00ED5FE5" w:rsidRPr="00777B5C">
        <w:rPr>
          <w:rFonts w:eastAsia="TimesNewRoman"/>
          <w:noProof/>
          <w:szCs w:val="22"/>
          <w:lang w:val="sr-Latn-ME"/>
        </w:rPr>
        <w:t>i</w:t>
      </w:r>
      <w:r w:rsidRPr="00777B5C">
        <w:rPr>
          <w:rFonts w:eastAsia="TimesNewRoman"/>
          <w:noProof/>
          <w:szCs w:val="22"/>
          <w:lang w:val="sr-Latn-ME"/>
        </w:rPr>
        <w:t>l</w:t>
      </w:r>
      <w:r w:rsidR="00ED5FE5" w:rsidRPr="00777B5C">
        <w:rPr>
          <w:rFonts w:eastAsia="TimesNewRoman"/>
          <w:noProof/>
          <w:szCs w:val="22"/>
          <w:lang w:val="sr-Latn-ME"/>
        </w:rPr>
        <w:t>j</w:t>
      </w:r>
      <w:r w:rsidRPr="00777B5C">
        <w:rPr>
          <w:rFonts w:eastAsia="TimesNewRoman"/>
          <w:noProof/>
          <w:szCs w:val="22"/>
          <w:lang w:val="sr-Latn-ME"/>
        </w:rPr>
        <w:t>eženi su slučajevi oštećenja funkcije jetre, pretežno holestatskog tipa, kod pacijenata koji su primali tigeciklin, uključujući i neke slučajeve insuficijencije jetre sa smrtnim ishodom. Iako se insuficijencija jetre kod pacijenata koji primaju tigeciklin može javiti usl</w:t>
      </w:r>
      <w:r w:rsidR="00ED5FE5" w:rsidRPr="00777B5C">
        <w:rPr>
          <w:rFonts w:eastAsia="TimesNewRoman"/>
          <w:noProof/>
          <w:szCs w:val="22"/>
          <w:lang w:val="sr-Latn-ME"/>
        </w:rPr>
        <w:t>j</w:t>
      </w:r>
      <w:r w:rsidRPr="00777B5C">
        <w:rPr>
          <w:rFonts w:eastAsia="TimesNewRoman"/>
          <w:noProof/>
          <w:szCs w:val="22"/>
          <w:lang w:val="sr-Latn-ME"/>
        </w:rPr>
        <w:t>ed prisutnih komorbiditeta ili istovremeno prim</w:t>
      </w:r>
      <w:r w:rsidR="00ED5FE5" w:rsidRPr="00777B5C">
        <w:rPr>
          <w:rFonts w:eastAsia="TimesNewRoman"/>
          <w:noProof/>
          <w:szCs w:val="22"/>
          <w:lang w:val="sr-Latn-ME"/>
        </w:rPr>
        <w:t>ij</w:t>
      </w:r>
      <w:r w:rsidRPr="00777B5C">
        <w:rPr>
          <w:rFonts w:eastAsia="TimesNewRoman"/>
          <w:noProof/>
          <w:szCs w:val="22"/>
          <w:lang w:val="sr-Latn-ME"/>
        </w:rPr>
        <w:t>enjenih l</w:t>
      </w:r>
      <w:r w:rsidR="00ED5FE5" w:rsidRPr="00777B5C">
        <w:rPr>
          <w:rFonts w:eastAsia="TimesNewRoman"/>
          <w:noProof/>
          <w:szCs w:val="22"/>
          <w:lang w:val="sr-Latn-ME"/>
        </w:rPr>
        <w:t>j</w:t>
      </w:r>
      <w:r w:rsidRPr="00777B5C">
        <w:rPr>
          <w:rFonts w:eastAsia="TimesNewRoman"/>
          <w:noProof/>
          <w:szCs w:val="22"/>
          <w:lang w:val="sr-Latn-ME"/>
        </w:rPr>
        <w:t>ekova, mogući doprinos tigeciklina treba uzeti u obzir (vid</w:t>
      </w:r>
      <w:r w:rsidR="00ED5FE5" w:rsidRPr="00777B5C">
        <w:rPr>
          <w:rFonts w:eastAsia="TimesNewRoman"/>
          <w:noProof/>
          <w:szCs w:val="22"/>
          <w:lang w:val="sr-Latn-ME"/>
        </w:rPr>
        <w:t>j</w:t>
      </w:r>
      <w:r w:rsidRPr="00777B5C">
        <w:rPr>
          <w:rFonts w:eastAsia="TimesNewRoman"/>
          <w:noProof/>
          <w:szCs w:val="22"/>
          <w:lang w:val="sr-Latn-ME"/>
        </w:rPr>
        <w:t xml:space="preserve">eti </w:t>
      </w:r>
      <w:r w:rsidR="00ED5FE5" w:rsidRPr="00777B5C">
        <w:rPr>
          <w:rFonts w:eastAsia="TimesNewRoman"/>
          <w:noProof/>
          <w:szCs w:val="22"/>
          <w:lang w:val="sr-Latn-ME"/>
        </w:rPr>
        <w:t>dio</w:t>
      </w:r>
      <w:r w:rsidRPr="00777B5C">
        <w:rPr>
          <w:rFonts w:eastAsia="TimesNewRoman"/>
          <w:noProof/>
          <w:szCs w:val="22"/>
          <w:lang w:val="sr-Latn-ME"/>
        </w:rPr>
        <w:t xml:space="preserve"> </w:t>
      </w:r>
      <w:r w:rsidR="001F7B76" w:rsidRPr="00777B5C">
        <w:rPr>
          <w:rFonts w:eastAsia="TimesNewRoman"/>
          <w:noProof/>
          <w:szCs w:val="22"/>
          <w:lang w:val="sr-Latn-ME"/>
        </w:rPr>
        <w:t>„</w:t>
      </w:r>
      <w:r w:rsidR="001F7B76" w:rsidRPr="00777B5C">
        <w:rPr>
          <w:bCs/>
          <w:szCs w:val="22"/>
          <w:lang w:val="sr-Latn-ME"/>
        </w:rPr>
        <w:t>Neželjena dejstva”</w:t>
      </w:r>
      <w:r w:rsidRPr="00777B5C">
        <w:rPr>
          <w:rFonts w:eastAsia="TimesNewRoman"/>
          <w:noProof/>
          <w:szCs w:val="22"/>
          <w:lang w:val="sr-Latn-ME"/>
        </w:rPr>
        <w:t>).</w:t>
      </w:r>
    </w:p>
    <w:p w14:paraId="6F3C1E15" w14:textId="77777777" w:rsidR="00F412AB" w:rsidRPr="00777B5C" w:rsidRDefault="00F412AB" w:rsidP="007B2FC3">
      <w:pPr>
        <w:tabs>
          <w:tab w:val="clear" w:pos="284"/>
        </w:tabs>
        <w:autoSpaceDE w:val="0"/>
        <w:autoSpaceDN w:val="0"/>
        <w:adjustRightInd w:val="0"/>
        <w:spacing w:before="120" w:after="120"/>
        <w:rPr>
          <w:rFonts w:eastAsia="TimesNewRoman"/>
          <w:noProof/>
          <w:szCs w:val="22"/>
          <w:u w:val="single"/>
          <w:lang w:val="sr-Latn-ME"/>
        </w:rPr>
      </w:pPr>
      <w:r w:rsidRPr="00777B5C">
        <w:rPr>
          <w:rFonts w:eastAsia="TimesNewRoman"/>
          <w:noProof/>
          <w:szCs w:val="22"/>
          <w:u w:val="single"/>
          <w:lang w:val="sr-Latn-ME"/>
        </w:rPr>
        <w:t>Tetraciklinski antibiotici</w:t>
      </w:r>
    </w:p>
    <w:p w14:paraId="705B1019" w14:textId="2E135A10"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 xml:space="preserve">Glicilciklinska grupa antibiotika je strukturno slična tetraciklinima. Tigeciklin može izazvati neželjene reakcije karakteristične za tetracikline. U ove reakcije spadaju fotosenzitivnost, </w:t>
      </w:r>
      <w:r w:rsidRPr="00777B5C">
        <w:rPr>
          <w:rFonts w:eastAsia="TimesNewRoman"/>
          <w:i/>
          <w:iCs/>
          <w:noProof/>
          <w:szCs w:val="22"/>
          <w:lang w:val="sr-Latn-ME"/>
        </w:rPr>
        <w:t>pseudotumor cerebri</w:t>
      </w:r>
      <w:r w:rsidRPr="00777B5C">
        <w:rPr>
          <w:rFonts w:eastAsia="TimesNewRoman"/>
          <w:noProof/>
          <w:szCs w:val="22"/>
          <w:lang w:val="sr-Latn-ME"/>
        </w:rPr>
        <w:t>, pankreatitis i antianaboličko dejstvo, koje dovodi do povećanja vr</w:t>
      </w:r>
      <w:r w:rsidR="00ED5FE5" w:rsidRPr="00777B5C">
        <w:rPr>
          <w:rFonts w:eastAsia="TimesNewRoman"/>
          <w:noProof/>
          <w:szCs w:val="22"/>
          <w:lang w:val="sr-Latn-ME"/>
        </w:rPr>
        <w:t>ij</w:t>
      </w:r>
      <w:r w:rsidRPr="00777B5C">
        <w:rPr>
          <w:rFonts w:eastAsia="TimesNewRoman"/>
          <w:noProof/>
          <w:szCs w:val="22"/>
          <w:lang w:val="sr-Latn-ME"/>
        </w:rPr>
        <w:t xml:space="preserve">ednosti azotnih materija u krvi (engl. </w:t>
      </w:r>
      <w:r w:rsidRPr="00777B5C">
        <w:rPr>
          <w:rFonts w:eastAsia="TimesNewRoman"/>
          <w:i/>
          <w:iCs/>
          <w:noProof/>
          <w:szCs w:val="22"/>
          <w:lang w:val="sr-Latn-ME"/>
        </w:rPr>
        <w:t xml:space="preserve">Blood Urea Nitrogen, </w:t>
      </w:r>
      <w:r w:rsidRPr="00777B5C">
        <w:rPr>
          <w:rFonts w:eastAsia="TimesNewRoman"/>
          <w:noProof/>
          <w:szCs w:val="22"/>
          <w:lang w:val="sr-Latn-ME"/>
        </w:rPr>
        <w:t>BUN), azotemije, acidoze i hiperfosfatemije (vid</w:t>
      </w:r>
      <w:r w:rsidR="00ED5FE5" w:rsidRPr="00777B5C">
        <w:rPr>
          <w:rFonts w:eastAsia="TimesNewRoman"/>
          <w:noProof/>
          <w:szCs w:val="22"/>
          <w:lang w:val="sr-Latn-ME"/>
        </w:rPr>
        <w:t>j</w:t>
      </w:r>
      <w:r w:rsidRPr="00777B5C">
        <w:rPr>
          <w:rFonts w:eastAsia="TimesNewRoman"/>
          <w:noProof/>
          <w:szCs w:val="22"/>
          <w:lang w:val="sr-Latn-ME"/>
        </w:rPr>
        <w:t xml:space="preserve">eti </w:t>
      </w:r>
      <w:r w:rsidR="00ED5FE5" w:rsidRPr="00777B5C">
        <w:rPr>
          <w:rFonts w:eastAsia="TimesNewRoman"/>
          <w:noProof/>
          <w:szCs w:val="22"/>
          <w:lang w:val="sr-Latn-ME"/>
        </w:rPr>
        <w:t>dio</w:t>
      </w:r>
      <w:r w:rsidRPr="00777B5C">
        <w:rPr>
          <w:rFonts w:eastAsia="TimesNewRoman"/>
          <w:noProof/>
          <w:szCs w:val="22"/>
          <w:lang w:val="sr-Latn-ME"/>
        </w:rPr>
        <w:t xml:space="preserve"> </w:t>
      </w:r>
      <w:r w:rsidR="001F7B76" w:rsidRPr="00777B5C">
        <w:rPr>
          <w:rFonts w:eastAsia="TimesNewRoman"/>
          <w:noProof/>
          <w:szCs w:val="22"/>
          <w:lang w:val="sr-Latn-ME"/>
        </w:rPr>
        <w:t>„</w:t>
      </w:r>
      <w:r w:rsidR="001F7B76" w:rsidRPr="00777B5C">
        <w:rPr>
          <w:bCs/>
          <w:szCs w:val="22"/>
          <w:lang w:val="sr-Latn-ME"/>
        </w:rPr>
        <w:t>Neželjena dejstva”</w:t>
      </w:r>
      <w:r w:rsidRPr="00777B5C">
        <w:rPr>
          <w:rFonts w:eastAsia="TimesNewRoman"/>
          <w:noProof/>
          <w:szCs w:val="22"/>
          <w:lang w:val="sr-Latn-ME"/>
        </w:rPr>
        <w:t>).</w:t>
      </w:r>
    </w:p>
    <w:p w14:paraId="708594AD" w14:textId="77777777" w:rsidR="00F412AB" w:rsidRPr="00777B5C" w:rsidRDefault="00F412AB" w:rsidP="007B2FC3">
      <w:pPr>
        <w:tabs>
          <w:tab w:val="clear" w:pos="284"/>
        </w:tabs>
        <w:autoSpaceDE w:val="0"/>
        <w:autoSpaceDN w:val="0"/>
        <w:adjustRightInd w:val="0"/>
        <w:spacing w:before="120" w:after="120"/>
        <w:rPr>
          <w:rFonts w:eastAsia="TimesNewRoman"/>
          <w:noProof/>
          <w:szCs w:val="22"/>
          <w:u w:val="single"/>
          <w:lang w:val="sr-Latn-ME"/>
        </w:rPr>
      </w:pPr>
      <w:r w:rsidRPr="00777B5C">
        <w:rPr>
          <w:rFonts w:eastAsia="TimesNewRoman"/>
          <w:noProof/>
          <w:szCs w:val="22"/>
          <w:u w:val="single"/>
          <w:lang w:val="sr-Latn-ME"/>
        </w:rPr>
        <w:t>Pankreatitis</w:t>
      </w:r>
    </w:p>
    <w:p w14:paraId="4FA5ABF4" w14:textId="4F58BBFC"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Tokom terapije tetraciklinom je prijavljena pojava akutnog pankreatitisa, koji može biti ozbiljnog karaktera, (učestalost nastanka: povremeno) (vid</w:t>
      </w:r>
      <w:r w:rsidR="00ED5FE5" w:rsidRPr="00777B5C">
        <w:rPr>
          <w:rFonts w:eastAsia="TimesNewRoman"/>
          <w:noProof/>
          <w:szCs w:val="22"/>
          <w:lang w:val="sr-Latn-ME"/>
        </w:rPr>
        <w:t>j</w:t>
      </w:r>
      <w:r w:rsidRPr="00777B5C">
        <w:rPr>
          <w:rFonts w:eastAsia="TimesNewRoman"/>
          <w:noProof/>
          <w:szCs w:val="22"/>
          <w:lang w:val="sr-Latn-ME"/>
        </w:rPr>
        <w:t xml:space="preserve">eti </w:t>
      </w:r>
      <w:r w:rsidR="00ED5FE5" w:rsidRPr="00777B5C">
        <w:rPr>
          <w:rFonts w:eastAsia="TimesNewRoman"/>
          <w:noProof/>
          <w:szCs w:val="22"/>
          <w:lang w:val="sr-Latn-ME"/>
        </w:rPr>
        <w:t>dio</w:t>
      </w:r>
      <w:r w:rsidRPr="00777B5C">
        <w:rPr>
          <w:rFonts w:eastAsia="TimesNewRoman"/>
          <w:noProof/>
          <w:szCs w:val="22"/>
          <w:lang w:val="sr-Latn-ME"/>
        </w:rPr>
        <w:t xml:space="preserve"> 4.8). Treba razmotriti dijagnozu akutnog pankreatitisa kod pacijenata koji primaju tigeciklin, a koji su razvili kliničke simptome i znake, ili laboratorijske nalaze koji ukazuju na akutni pankreatitis. Većina prijavljenih slučajeva se razvila posl</w:t>
      </w:r>
      <w:r w:rsidR="00ED5FE5" w:rsidRPr="00777B5C">
        <w:rPr>
          <w:rFonts w:eastAsia="TimesNewRoman"/>
          <w:noProof/>
          <w:szCs w:val="22"/>
          <w:lang w:val="sr-Latn-ME"/>
        </w:rPr>
        <w:t>ij</w:t>
      </w:r>
      <w:r w:rsidRPr="00777B5C">
        <w:rPr>
          <w:rFonts w:eastAsia="TimesNewRoman"/>
          <w:noProof/>
          <w:szCs w:val="22"/>
          <w:lang w:val="sr-Latn-ME"/>
        </w:rPr>
        <w:t>e najmanje jedne ned</w:t>
      </w:r>
      <w:r w:rsidR="00ED5FE5" w:rsidRPr="00777B5C">
        <w:rPr>
          <w:rFonts w:eastAsia="TimesNewRoman"/>
          <w:noProof/>
          <w:szCs w:val="22"/>
          <w:lang w:val="sr-Latn-ME"/>
        </w:rPr>
        <w:t>j</w:t>
      </w:r>
      <w:r w:rsidRPr="00777B5C">
        <w:rPr>
          <w:rFonts w:eastAsia="TimesNewRoman"/>
          <w:noProof/>
          <w:szCs w:val="22"/>
          <w:lang w:val="sr-Latn-ME"/>
        </w:rPr>
        <w:t>elje terapije. Prijavljeni su slučajevi pankreatitisa kod pacijenata koji nisu imali poznate faktore rizika za nastanak pankreatitisa. Stanje pacijenata se obično poboljšava nakon prekida terapije tigeciklinom. Treba razmotriti obustavu terapije tigeciklinom kod pacijenata kod kojih se sumnja na nastanak pankreatitisa.</w:t>
      </w:r>
    </w:p>
    <w:p w14:paraId="21C29A44" w14:textId="77777777" w:rsidR="00F412AB" w:rsidRPr="00777B5C" w:rsidRDefault="00F412AB" w:rsidP="0047765A">
      <w:pPr>
        <w:tabs>
          <w:tab w:val="clear" w:pos="284"/>
        </w:tabs>
        <w:autoSpaceDE w:val="0"/>
        <w:autoSpaceDN w:val="0"/>
        <w:adjustRightInd w:val="0"/>
        <w:spacing w:before="120" w:after="120"/>
        <w:rPr>
          <w:rFonts w:eastAsia="TimesNewRoman"/>
          <w:noProof/>
          <w:szCs w:val="22"/>
          <w:u w:val="single"/>
          <w:lang w:val="sr-Latn-ME"/>
        </w:rPr>
      </w:pPr>
      <w:r w:rsidRPr="00777B5C">
        <w:rPr>
          <w:rFonts w:eastAsia="TimesNewRoman"/>
          <w:noProof/>
          <w:szCs w:val="22"/>
          <w:u w:val="single"/>
          <w:lang w:val="sr-Latn-ME"/>
        </w:rPr>
        <w:t>Koagulopatija</w:t>
      </w:r>
    </w:p>
    <w:p w14:paraId="41A4E863" w14:textId="3772D94D"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Tigeciklin može produžiti protrombinsko vr</w:t>
      </w:r>
      <w:r w:rsidR="00ED5FE5" w:rsidRPr="00777B5C">
        <w:rPr>
          <w:rFonts w:eastAsia="TimesNewRoman"/>
          <w:noProof/>
          <w:szCs w:val="22"/>
          <w:lang w:val="sr-Latn-ME"/>
        </w:rPr>
        <w:t>ij</w:t>
      </w:r>
      <w:r w:rsidRPr="00777B5C">
        <w:rPr>
          <w:rFonts w:eastAsia="TimesNewRoman"/>
          <w:noProof/>
          <w:szCs w:val="22"/>
          <w:lang w:val="sr-Latn-ME"/>
        </w:rPr>
        <w:t>eme (PT) i aktivirano parcijalno tromboplastinsko vr</w:t>
      </w:r>
      <w:r w:rsidR="00ED5FE5" w:rsidRPr="00777B5C">
        <w:rPr>
          <w:rFonts w:eastAsia="TimesNewRoman"/>
          <w:noProof/>
          <w:szCs w:val="22"/>
          <w:lang w:val="sr-Latn-ME"/>
        </w:rPr>
        <w:t>ij</w:t>
      </w:r>
      <w:r w:rsidRPr="00777B5C">
        <w:rPr>
          <w:rFonts w:eastAsia="TimesNewRoman"/>
          <w:noProof/>
          <w:szCs w:val="22"/>
          <w:lang w:val="sr-Latn-ME"/>
        </w:rPr>
        <w:t>eme (aPTT). Takođe je prijavljena hipofibrinogenemija tokom prim</w:t>
      </w:r>
      <w:r w:rsidR="00ED5FE5" w:rsidRPr="00777B5C">
        <w:rPr>
          <w:rFonts w:eastAsia="TimesNewRoman"/>
          <w:noProof/>
          <w:szCs w:val="22"/>
          <w:lang w:val="sr-Latn-ME"/>
        </w:rPr>
        <w:t>j</w:t>
      </w:r>
      <w:r w:rsidRPr="00777B5C">
        <w:rPr>
          <w:rFonts w:eastAsia="TimesNewRoman"/>
          <w:noProof/>
          <w:szCs w:val="22"/>
          <w:lang w:val="sr-Latn-ME"/>
        </w:rPr>
        <w:t>ene tigeciklina. Zbog toga pr</w:t>
      </w:r>
      <w:r w:rsidR="00ED5FE5" w:rsidRPr="00777B5C">
        <w:rPr>
          <w:rFonts w:eastAsia="TimesNewRoman"/>
          <w:noProof/>
          <w:szCs w:val="22"/>
          <w:lang w:val="sr-Latn-ME"/>
        </w:rPr>
        <w:t>ij</w:t>
      </w:r>
      <w:r w:rsidRPr="00777B5C">
        <w:rPr>
          <w:rFonts w:eastAsia="TimesNewRoman"/>
          <w:noProof/>
          <w:szCs w:val="22"/>
          <w:lang w:val="sr-Latn-ME"/>
        </w:rPr>
        <w:t>e uvođenja tigeciklina, kao i redovno tokom terapije, treba pratiti parametre koagulacije, poput PT ili drugog adekvatnog testa koagulacije, uključujući i fibrinogen u krvi. Preporučuje se poseban oprez kod teško bolesnih i pacijenata koji primaju antikoagulanse (vid</w:t>
      </w:r>
      <w:r w:rsidR="00ED5FE5" w:rsidRPr="00777B5C">
        <w:rPr>
          <w:rFonts w:eastAsia="TimesNewRoman"/>
          <w:noProof/>
          <w:szCs w:val="22"/>
          <w:lang w:val="sr-Latn-ME"/>
        </w:rPr>
        <w:t>j</w:t>
      </w:r>
      <w:r w:rsidRPr="00777B5C">
        <w:rPr>
          <w:rFonts w:eastAsia="TimesNewRoman"/>
          <w:noProof/>
          <w:szCs w:val="22"/>
          <w:lang w:val="sr-Latn-ME"/>
        </w:rPr>
        <w:t>et</w:t>
      </w:r>
      <w:r w:rsidR="00ED5FE5" w:rsidRPr="00777B5C">
        <w:rPr>
          <w:rFonts w:eastAsia="TimesNewRoman"/>
          <w:noProof/>
          <w:szCs w:val="22"/>
          <w:lang w:val="sr-Latn-ME"/>
        </w:rPr>
        <w:t>i dio</w:t>
      </w:r>
      <w:r w:rsidRPr="00777B5C">
        <w:rPr>
          <w:rFonts w:eastAsia="TimesNewRoman"/>
          <w:noProof/>
          <w:szCs w:val="22"/>
          <w:lang w:val="sr-Latn-ME"/>
        </w:rPr>
        <w:t xml:space="preserve"> </w:t>
      </w:r>
      <w:r w:rsidR="001F7B76" w:rsidRPr="00777B5C">
        <w:rPr>
          <w:rFonts w:eastAsia="TimesNewRoman"/>
          <w:noProof/>
          <w:szCs w:val="22"/>
          <w:lang w:val="sr-Latn-ME"/>
        </w:rPr>
        <w:t>„</w:t>
      </w:r>
      <w:r w:rsidR="001F7B76" w:rsidRPr="00777B5C">
        <w:rPr>
          <w:bCs/>
          <w:szCs w:val="22"/>
          <w:lang w:val="sr-Latn-ME"/>
        </w:rPr>
        <w:t>Interakcije sa drugim ljekovima i druge vrste interakcija</w:t>
      </w:r>
      <w:r w:rsidR="001F7B76" w:rsidRPr="00777B5C">
        <w:rPr>
          <w:rFonts w:eastAsia="TimesNewRoman"/>
          <w:noProof/>
          <w:szCs w:val="22"/>
          <w:lang w:val="sr-Latn-ME"/>
        </w:rPr>
        <w:t>“</w:t>
      </w:r>
      <w:r w:rsidRPr="00777B5C">
        <w:rPr>
          <w:rFonts w:eastAsia="TimesNewRoman"/>
          <w:noProof/>
          <w:szCs w:val="22"/>
          <w:lang w:val="sr-Latn-ME"/>
        </w:rPr>
        <w:t>).</w:t>
      </w:r>
    </w:p>
    <w:p w14:paraId="6E73F4F4" w14:textId="77777777" w:rsidR="00F412AB" w:rsidRPr="00777B5C" w:rsidRDefault="00F412AB" w:rsidP="007B2FC3">
      <w:pPr>
        <w:tabs>
          <w:tab w:val="clear" w:pos="284"/>
        </w:tabs>
        <w:autoSpaceDE w:val="0"/>
        <w:autoSpaceDN w:val="0"/>
        <w:adjustRightInd w:val="0"/>
        <w:spacing w:before="120" w:after="120"/>
        <w:rPr>
          <w:rFonts w:eastAsia="TimesNewRoman"/>
          <w:noProof/>
          <w:szCs w:val="22"/>
          <w:u w:val="single"/>
          <w:lang w:val="sr-Latn-ME"/>
        </w:rPr>
      </w:pPr>
      <w:r w:rsidRPr="00777B5C">
        <w:rPr>
          <w:rFonts w:eastAsia="TimesNewRoman"/>
          <w:noProof/>
          <w:szCs w:val="22"/>
          <w:u w:val="single"/>
          <w:lang w:val="sr-Latn-ME"/>
        </w:rPr>
        <w:t>Prisutni komorbiditeti</w:t>
      </w:r>
    </w:p>
    <w:p w14:paraId="7189306B" w14:textId="4AB12587" w:rsidR="00F412AB" w:rsidRPr="00777B5C" w:rsidRDefault="00F412AB" w:rsidP="007B2FC3">
      <w:pPr>
        <w:tabs>
          <w:tab w:val="left" w:pos="540"/>
          <w:tab w:val="left" w:pos="569"/>
        </w:tabs>
        <w:rPr>
          <w:b/>
          <w:bCs/>
          <w:szCs w:val="22"/>
          <w:lang w:val="sr-Latn-ME"/>
        </w:rPr>
      </w:pPr>
      <w:r w:rsidRPr="00777B5C">
        <w:rPr>
          <w:rFonts w:eastAsia="TimesNewRoman"/>
          <w:noProof/>
          <w:szCs w:val="22"/>
          <w:lang w:val="sr-Latn-ME"/>
        </w:rPr>
        <w:t>Iskustvo o prim</w:t>
      </w:r>
      <w:r w:rsidR="00ED5FE5" w:rsidRPr="00777B5C">
        <w:rPr>
          <w:rFonts w:eastAsia="TimesNewRoman"/>
          <w:noProof/>
          <w:szCs w:val="22"/>
          <w:lang w:val="sr-Latn-ME"/>
        </w:rPr>
        <w:t>j</w:t>
      </w:r>
      <w:r w:rsidRPr="00777B5C">
        <w:rPr>
          <w:rFonts w:eastAsia="TimesNewRoman"/>
          <w:noProof/>
          <w:szCs w:val="22"/>
          <w:lang w:val="sr-Latn-ME"/>
        </w:rPr>
        <w:t>eni tigeciklina u terapiji infekcija kod pacijenata sa teškim komorbiditetima je ograničeno. U kliničkim ispitivanjima cSSTI, najčešći tip infekcije kod pacijenata na terapiji tigeciklinom bio je celulitis (58,6%), praćen velikim apscesima (24,9%). U studiju nisu bili uključeni pacijenti sa teškim komorbiditetima, kao što su imunokompromitovani pacijenti, pacijenti sa ulceroznim dekubitusnim infekcijama ili pacijenti kod kojih je l</w:t>
      </w:r>
      <w:r w:rsidR="00ED5FE5" w:rsidRPr="00777B5C">
        <w:rPr>
          <w:rFonts w:eastAsia="TimesNewRoman"/>
          <w:noProof/>
          <w:szCs w:val="22"/>
          <w:lang w:val="sr-Latn-ME"/>
        </w:rPr>
        <w:t>ij</w:t>
      </w:r>
      <w:r w:rsidRPr="00777B5C">
        <w:rPr>
          <w:rFonts w:eastAsia="TimesNewRoman"/>
          <w:noProof/>
          <w:szCs w:val="22"/>
          <w:lang w:val="sr-Latn-ME"/>
        </w:rPr>
        <w:t>ečenje infekcije zaht</w:t>
      </w:r>
      <w:r w:rsidR="00ED5FE5" w:rsidRPr="00777B5C">
        <w:rPr>
          <w:rFonts w:eastAsia="TimesNewRoman"/>
          <w:noProof/>
          <w:szCs w:val="22"/>
          <w:lang w:val="sr-Latn-ME"/>
        </w:rPr>
        <w:t>ij</w:t>
      </w:r>
      <w:r w:rsidRPr="00777B5C">
        <w:rPr>
          <w:rFonts w:eastAsia="TimesNewRoman"/>
          <w:noProof/>
          <w:szCs w:val="22"/>
          <w:lang w:val="sr-Latn-ME"/>
        </w:rPr>
        <w:t xml:space="preserve">evalo period duži od 14 dana (npr. </w:t>
      </w:r>
      <w:r w:rsidRPr="00777B5C">
        <w:rPr>
          <w:rFonts w:eastAsia="TimesNewRoman"/>
          <w:noProof/>
          <w:szCs w:val="22"/>
          <w:lang w:val="sr-Latn-ME"/>
        </w:rPr>
        <w:lastRenderedPageBreak/>
        <w:t>nekrotizirajući fasciitis). Ograničen broj pacijenata sa komorbiditetima, kao što su dijabetes (25,8%), periferno vaskularno oboljenje (10,4%), zloupotreba supstanci koje se prim</w:t>
      </w:r>
      <w:r w:rsidR="00ED5FE5" w:rsidRPr="00777B5C">
        <w:rPr>
          <w:rFonts w:eastAsia="TimesNewRoman"/>
          <w:noProof/>
          <w:szCs w:val="22"/>
          <w:lang w:val="sr-Latn-ME"/>
        </w:rPr>
        <w:t>j</w:t>
      </w:r>
      <w:r w:rsidRPr="00777B5C">
        <w:rPr>
          <w:rFonts w:eastAsia="TimesNewRoman"/>
          <w:noProof/>
          <w:szCs w:val="22"/>
          <w:lang w:val="sr-Latn-ME"/>
        </w:rPr>
        <w:t>enjuju intravenski (4,0%) i HIV infekcija (1,2%) je bio uključen u ispitivanje. Takođe, postoji ograničeno iskustvo kod l</w:t>
      </w:r>
      <w:r w:rsidR="00ED5FE5" w:rsidRPr="00777B5C">
        <w:rPr>
          <w:rFonts w:eastAsia="TimesNewRoman"/>
          <w:noProof/>
          <w:szCs w:val="22"/>
          <w:lang w:val="sr-Latn-ME"/>
        </w:rPr>
        <w:t>ij</w:t>
      </w:r>
      <w:r w:rsidRPr="00777B5C">
        <w:rPr>
          <w:rFonts w:eastAsia="TimesNewRoman"/>
          <w:noProof/>
          <w:szCs w:val="22"/>
          <w:lang w:val="sr-Latn-ME"/>
        </w:rPr>
        <w:t>ečenja pacijenata sa istovremenom bakterijemijom (3,4%). Stoga se sav</w:t>
      </w:r>
      <w:r w:rsidR="00ED5FE5" w:rsidRPr="00777B5C">
        <w:rPr>
          <w:rFonts w:eastAsia="TimesNewRoman"/>
          <w:noProof/>
          <w:szCs w:val="22"/>
          <w:lang w:val="sr-Latn-ME"/>
        </w:rPr>
        <w:t>j</w:t>
      </w:r>
      <w:r w:rsidRPr="00777B5C">
        <w:rPr>
          <w:rFonts w:eastAsia="TimesNewRoman"/>
          <w:noProof/>
          <w:szCs w:val="22"/>
          <w:lang w:val="sr-Latn-ME"/>
        </w:rPr>
        <w:t>etuje oprez kod l</w:t>
      </w:r>
      <w:r w:rsidR="00ED5FE5" w:rsidRPr="00777B5C">
        <w:rPr>
          <w:rFonts w:eastAsia="TimesNewRoman"/>
          <w:noProof/>
          <w:szCs w:val="22"/>
          <w:lang w:val="sr-Latn-ME"/>
        </w:rPr>
        <w:t>ij</w:t>
      </w:r>
      <w:r w:rsidRPr="00777B5C">
        <w:rPr>
          <w:rFonts w:eastAsia="TimesNewRoman"/>
          <w:noProof/>
          <w:szCs w:val="22"/>
          <w:lang w:val="sr-Latn-ME"/>
        </w:rPr>
        <w:t>ečenja ovih pacijenata. Rezultati velike studije na pacijentima sa infekcijom dijabetesnog stopala su pokazali da je tigeciklin manje efikasan nego l</w:t>
      </w:r>
      <w:r w:rsidR="00ED5FE5" w:rsidRPr="00777B5C">
        <w:rPr>
          <w:rFonts w:eastAsia="TimesNewRoman"/>
          <w:noProof/>
          <w:szCs w:val="22"/>
          <w:lang w:val="sr-Latn-ME"/>
        </w:rPr>
        <w:t>ij</w:t>
      </w:r>
      <w:r w:rsidRPr="00777B5C">
        <w:rPr>
          <w:rFonts w:eastAsia="TimesNewRoman"/>
          <w:noProof/>
          <w:szCs w:val="22"/>
          <w:lang w:val="sr-Latn-ME"/>
        </w:rPr>
        <w:t>ek sa kojim je poređen, stoga se prim</w:t>
      </w:r>
      <w:r w:rsidR="00ED5FE5" w:rsidRPr="00777B5C">
        <w:rPr>
          <w:rFonts w:eastAsia="TimesNewRoman"/>
          <w:noProof/>
          <w:szCs w:val="22"/>
          <w:lang w:val="sr-Latn-ME"/>
        </w:rPr>
        <w:t>j</w:t>
      </w:r>
      <w:r w:rsidRPr="00777B5C">
        <w:rPr>
          <w:rFonts w:eastAsia="TimesNewRoman"/>
          <w:noProof/>
          <w:szCs w:val="22"/>
          <w:lang w:val="sr-Latn-ME"/>
        </w:rPr>
        <w:t>ena tigeciklina ne preporučuje kod ovih pacijenata (vid</w:t>
      </w:r>
      <w:r w:rsidR="00ED5FE5" w:rsidRPr="00777B5C">
        <w:rPr>
          <w:rFonts w:eastAsia="TimesNewRoman"/>
          <w:noProof/>
          <w:szCs w:val="22"/>
          <w:lang w:val="sr-Latn-ME"/>
        </w:rPr>
        <w:t>j</w:t>
      </w:r>
      <w:r w:rsidRPr="00777B5C">
        <w:rPr>
          <w:rFonts w:eastAsia="TimesNewRoman"/>
          <w:noProof/>
          <w:szCs w:val="22"/>
          <w:lang w:val="sr-Latn-ME"/>
        </w:rPr>
        <w:t xml:space="preserve">eti </w:t>
      </w:r>
      <w:r w:rsidR="00ED5FE5" w:rsidRPr="00777B5C">
        <w:rPr>
          <w:rFonts w:eastAsia="TimesNewRoman"/>
          <w:noProof/>
          <w:szCs w:val="22"/>
          <w:lang w:val="sr-Latn-ME"/>
        </w:rPr>
        <w:t>dio</w:t>
      </w:r>
      <w:r w:rsidR="001F7B76" w:rsidRPr="00777B5C">
        <w:rPr>
          <w:rFonts w:eastAsia="TimesNewRoman"/>
          <w:noProof/>
          <w:szCs w:val="22"/>
          <w:lang w:val="sr-Latn-ME"/>
        </w:rPr>
        <w:t>„</w:t>
      </w:r>
      <w:r w:rsidR="001F7B76" w:rsidRPr="00777B5C">
        <w:rPr>
          <w:bCs/>
          <w:szCs w:val="22"/>
          <w:lang w:val="sr-Latn-ME"/>
        </w:rPr>
        <w:t>Terapijske indikacije</w:t>
      </w:r>
      <w:r w:rsidR="001F7B76" w:rsidRPr="00777B5C">
        <w:rPr>
          <w:rFonts w:eastAsia="TimesNewRoman"/>
          <w:noProof/>
          <w:szCs w:val="22"/>
          <w:lang w:val="sr-Latn-ME"/>
        </w:rPr>
        <w:t>“</w:t>
      </w:r>
      <w:r w:rsidRPr="00777B5C">
        <w:rPr>
          <w:rFonts w:eastAsia="TimesNewRoman"/>
          <w:noProof/>
          <w:szCs w:val="22"/>
          <w:lang w:val="sr-Latn-ME"/>
        </w:rPr>
        <w:t>).</w:t>
      </w:r>
    </w:p>
    <w:p w14:paraId="37137BC6" w14:textId="4A03A4C8"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U kliničkim ispitivanjima cIAI, najčešći oblik infekcije kod pacijenata na terapiji tigeciklinom je bio komplikovani apendicitis (50,3%), praćen drugim dijagnozama koje su r</w:t>
      </w:r>
      <w:r w:rsidR="00387A1C" w:rsidRPr="00777B5C">
        <w:rPr>
          <w:rFonts w:eastAsia="TimesNewRoman"/>
          <w:noProof/>
          <w:szCs w:val="22"/>
          <w:lang w:val="sr-Latn-ME"/>
        </w:rPr>
        <w:t>j</w:t>
      </w:r>
      <w:r w:rsidRPr="00777B5C">
        <w:rPr>
          <w:rFonts w:eastAsia="TimesNewRoman"/>
          <w:noProof/>
          <w:szCs w:val="22"/>
          <w:lang w:val="sr-Latn-ME"/>
        </w:rPr>
        <w:t>eđe prijavljene, kao što su komplikovani holecistitis (9,6%), perforacija cr</w:t>
      </w:r>
      <w:r w:rsidR="00387A1C" w:rsidRPr="00777B5C">
        <w:rPr>
          <w:rFonts w:eastAsia="TimesNewRoman"/>
          <w:noProof/>
          <w:szCs w:val="22"/>
          <w:lang w:val="sr-Latn-ME"/>
        </w:rPr>
        <w:t>ij</w:t>
      </w:r>
      <w:r w:rsidRPr="00777B5C">
        <w:rPr>
          <w:rFonts w:eastAsia="TimesNewRoman"/>
          <w:noProof/>
          <w:szCs w:val="22"/>
          <w:lang w:val="sr-Latn-ME"/>
        </w:rPr>
        <w:t>eva (9,6%), intraabdominalni apsces (8,7%), perforacija čira na želucu ili duodenumu (8,3%), peritonitis (6,2%) i komplikovani divertikulitis (6,0%). U ovoj grupi pacijenata, 77,8% je imalo hirurški-vidljiv peritonitis. Postojao je ograničen broj pacijenata sa teškim komorbiditetima, kao što su imunokompromitovani pacijenti, pacijenti sa APACHE II rezultatima &gt; 15 (3,3%) ili hirurški vidljivim višestrukim intraabdominalnim apscesima (11,4%). Takođe, postoji ograničeno iskustvo kod l</w:t>
      </w:r>
      <w:r w:rsidR="00387A1C" w:rsidRPr="00777B5C">
        <w:rPr>
          <w:rFonts w:eastAsia="TimesNewRoman"/>
          <w:noProof/>
          <w:szCs w:val="22"/>
          <w:lang w:val="sr-Latn-ME"/>
        </w:rPr>
        <w:t>ij</w:t>
      </w:r>
      <w:r w:rsidRPr="00777B5C">
        <w:rPr>
          <w:rFonts w:eastAsia="TimesNewRoman"/>
          <w:noProof/>
          <w:szCs w:val="22"/>
          <w:lang w:val="sr-Latn-ME"/>
        </w:rPr>
        <w:t>ečenja pacijenata sa istovremenom bakterijemijom (5,6%). Stoga se sav</w:t>
      </w:r>
      <w:r w:rsidR="00387A1C" w:rsidRPr="00777B5C">
        <w:rPr>
          <w:rFonts w:eastAsia="TimesNewRoman"/>
          <w:noProof/>
          <w:szCs w:val="22"/>
          <w:lang w:val="sr-Latn-ME"/>
        </w:rPr>
        <w:t>j</w:t>
      </w:r>
      <w:r w:rsidRPr="00777B5C">
        <w:rPr>
          <w:rFonts w:eastAsia="TimesNewRoman"/>
          <w:noProof/>
          <w:szCs w:val="22"/>
          <w:lang w:val="sr-Latn-ME"/>
        </w:rPr>
        <w:t>etuje oprez kod l</w:t>
      </w:r>
      <w:r w:rsidR="00387A1C" w:rsidRPr="00777B5C">
        <w:rPr>
          <w:rFonts w:eastAsia="TimesNewRoman"/>
          <w:noProof/>
          <w:szCs w:val="22"/>
          <w:lang w:val="sr-Latn-ME"/>
        </w:rPr>
        <w:t>ij</w:t>
      </w:r>
      <w:r w:rsidRPr="00777B5C">
        <w:rPr>
          <w:rFonts w:eastAsia="TimesNewRoman"/>
          <w:noProof/>
          <w:szCs w:val="22"/>
          <w:lang w:val="sr-Latn-ME"/>
        </w:rPr>
        <w:t>ečenja ovih pacijenata.</w:t>
      </w:r>
    </w:p>
    <w:p w14:paraId="01801AFF" w14:textId="08F999F7"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Treba razmotiti kombinovanu antibiotsku terapiju, kada se tigeciklin prim</w:t>
      </w:r>
      <w:r w:rsidR="00387A1C" w:rsidRPr="00777B5C">
        <w:rPr>
          <w:rFonts w:eastAsia="TimesNewRoman"/>
          <w:noProof/>
          <w:szCs w:val="22"/>
          <w:lang w:val="sr-Latn-ME"/>
        </w:rPr>
        <w:t>j</w:t>
      </w:r>
      <w:r w:rsidRPr="00777B5C">
        <w:rPr>
          <w:rFonts w:eastAsia="TimesNewRoman"/>
          <w:noProof/>
          <w:szCs w:val="22"/>
          <w:lang w:val="sr-Latn-ME"/>
        </w:rPr>
        <w:t>enjuje kod teško bolesnih pacijenata sa cIAI, nastalim iz klinički vidljive intestinalne perforacije ili kod pacijenata sa početnim stadijumom sepse ili septičkog šoka (vid</w:t>
      </w:r>
      <w:r w:rsidR="00387A1C" w:rsidRPr="00777B5C">
        <w:rPr>
          <w:rFonts w:eastAsia="TimesNewRoman"/>
          <w:noProof/>
          <w:szCs w:val="22"/>
          <w:lang w:val="sr-Latn-ME"/>
        </w:rPr>
        <w:t>j</w:t>
      </w:r>
      <w:r w:rsidRPr="00777B5C">
        <w:rPr>
          <w:rFonts w:eastAsia="TimesNewRoman"/>
          <w:noProof/>
          <w:szCs w:val="22"/>
          <w:lang w:val="sr-Latn-ME"/>
        </w:rPr>
        <w:t>e</w:t>
      </w:r>
      <w:r w:rsidR="00387A1C" w:rsidRPr="00777B5C">
        <w:rPr>
          <w:rFonts w:eastAsia="TimesNewRoman"/>
          <w:noProof/>
          <w:szCs w:val="22"/>
          <w:lang w:val="sr-Latn-ME"/>
        </w:rPr>
        <w:t>ti dio</w:t>
      </w:r>
      <w:r w:rsidRPr="00777B5C">
        <w:rPr>
          <w:rFonts w:eastAsia="TimesNewRoman"/>
          <w:noProof/>
          <w:szCs w:val="22"/>
          <w:lang w:val="sr-Latn-ME"/>
        </w:rPr>
        <w:t xml:space="preserve"> </w:t>
      </w:r>
      <w:r w:rsidR="001F7B76" w:rsidRPr="00777B5C">
        <w:rPr>
          <w:rFonts w:eastAsia="TimesNewRoman"/>
          <w:noProof/>
          <w:szCs w:val="22"/>
          <w:lang w:val="sr-Latn-ME"/>
        </w:rPr>
        <w:t>„</w:t>
      </w:r>
      <w:r w:rsidR="001F7B76" w:rsidRPr="00777B5C">
        <w:rPr>
          <w:bCs/>
          <w:szCs w:val="22"/>
          <w:lang w:val="sr-Latn-ME"/>
        </w:rPr>
        <w:t>Neželjena dejstva”</w:t>
      </w:r>
      <w:r w:rsidRPr="00777B5C">
        <w:rPr>
          <w:rFonts w:eastAsia="TimesNewRoman"/>
          <w:noProof/>
          <w:szCs w:val="22"/>
          <w:lang w:val="sr-Latn-ME"/>
        </w:rPr>
        <w:t>).</w:t>
      </w:r>
    </w:p>
    <w:p w14:paraId="2A9867BA" w14:textId="77777777"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Efekat holestaze na farmakokinetiku tigeciklina nije u potpunosti utvrđen. Eliminacija putem žuči čini približno 50% ukupne ekskrecije tigeciklina. Stoga, treba pažljivo pratiti pacijente kod kojih je prisutna holestaza.</w:t>
      </w:r>
    </w:p>
    <w:p w14:paraId="33D0222A" w14:textId="6A945E1D"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Pseudomembranozni kolitis je zab</w:t>
      </w:r>
      <w:r w:rsidR="00387A1C" w:rsidRPr="00777B5C">
        <w:rPr>
          <w:rFonts w:eastAsia="TimesNewRoman"/>
          <w:noProof/>
          <w:szCs w:val="22"/>
          <w:lang w:val="sr-Latn-ME"/>
        </w:rPr>
        <w:t>i</w:t>
      </w:r>
      <w:r w:rsidRPr="00777B5C">
        <w:rPr>
          <w:rFonts w:eastAsia="TimesNewRoman"/>
          <w:noProof/>
          <w:szCs w:val="22"/>
          <w:lang w:val="sr-Latn-ME"/>
        </w:rPr>
        <w:t>l</w:t>
      </w:r>
      <w:r w:rsidR="00387A1C" w:rsidRPr="00777B5C">
        <w:rPr>
          <w:rFonts w:eastAsia="TimesNewRoman"/>
          <w:noProof/>
          <w:szCs w:val="22"/>
          <w:lang w:val="sr-Latn-ME"/>
        </w:rPr>
        <w:t>j</w:t>
      </w:r>
      <w:r w:rsidRPr="00777B5C">
        <w:rPr>
          <w:rFonts w:eastAsia="TimesNewRoman"/>
          <w:noProof/>
          <w:szCs w:val="22"/>
          <w:lang w:val="sr-Latn-ME"/>
        </w:rPr>
        <w:t>ežen kod skoro svih antibiotskih l</w:t>
      </w:r>
      <w:r w:rsidR="00387A1C" w:rsidRPr="00777B5C">
        <w:rPr>
          <w:rFonts w:eastAsia="TimesNewRoman"/>
          <w:noProof/>
          <w:szCs w:val="22"/>
          <w:lang w:val="sr-Latn-ME"/>
        </w:rPr>
        <w:t>j</w:t>
      </w:r>
      <w:r w:rsidRPr="00777B5C">
        <w:rPr>
          <w:rFonts w:eastAsia="TimesNewRoman"/>
          <w:noProof/>
          <w:szCs w:val="22"/>
          <w:lang w:val="sr-Latn-ME"/>
        </w:rPr>
        <w:t>ekova i može biti različitog intenziteta, od blagog do opasnog po život. Zbog toga je važno uzeti u obzir ovu dijagnozu kod pacijenata kod kojih se javi dijareja tokom ili nakon prim</w:t>
      </w:r>
      <w:r w:rsidR="00387A1C" w:rsidRPr="00777B5C">
        <w:rPr>
          <w:rFonts w:eastAsia="TimesNewRoman"/>
          <w:noProof/>
          <w:szCs w:val="22"/>
          <w:lang w:val="sr-Latn-ME"/>
        </w:rPr>
        <w:t>j</w:t>
      </w:r>
      <w:r w:rsidRPr="00777B5C">
        <w:rPr>
          <w:rFonts w:eastAsia="TimesNewRoman"/>
          <w:noProof/>
          <w:szCs w:val="22"/>
          <w:lang w:val="sr-Latn-ME"/>
        </w:rPr>
        <w:t>ene bilo kog antibiotika (vid</w:t>
      </w:r>
      <w:r w:rsidR="00387A1C" w:rsidRPr="00777B5C">
        <w:rPr>
          <w:rFonts w:eastAsia="TimesNewRoman"/>
          <w:noProof/>
          <w:szCs w:val="22"/>
          <w:lang w:val="sr-Latn-ME"/>
        </w:rPr>
        <w:t>j</w:t>
      </w:r>
      <w:r w:rsidRPr="00777B5C">
        <w:rPr>
          <w:rFonts w:eastAsia="TimesNewRoman"/>
          <w:noProof/>
          <w:szCs w:val="22"/>
          <w:lang w:val="sr-Latn-ME"/>
        </w:rPr>
        <w:t xml:space="preserve">eti </w:t>
      </w:r>
      <w:r w:rsidR="00387A1C" w:rsidRPr="00777B5C">
        <w:rPr>
          <w:rFonts w:eastAsia="TimesNewRoman"/>
          <w:noProof/>
          <w:szCs w:val="22"/>
          <w:lang w:val="sr-Latn-ME"/>
        </w:rPr>
        <w:t>dio</w:t>
      </w:r>
      <w:r w:rsidRPr="00777B5C">
        <w:rPr>
          <w:rFonts w:eastAsia="TimesNewRoman"/>
          <w:noProof/>
          <w:szCs w:val="22"/>
          <w:lang w:val="sr-Latn-ME"/>
        </w:rPr>
        <w:t xml:space="preserve"> </w:t>
      </w:r>
      <w:r w:rsidR="001F7B76" w:rsidRPr="00777B5C">
        <w:rPr>
          <w:rFonts w:eastAsia="TimesNewRoman"/>
          <w:noProof/>
          <w:szCs w:val="22"/>
          <w:lang w:val="sr-Latn-ME"/>
        </w:rPr>
        <w:t>„</w:t>
      </w:r>
      <w:r w:rsidR="001F7B76" w:rsidRPr="00777B5C">
        <w:rPr>
          <w:bCs/>
          <w:szCs w:val="22"/>
          <w:lang w:val="sr-Latn-ME"/>
        </w:rPr>
        <w:t>Neželjena dejstva”</w:t>
      </w:r>
      <w:r w:rsidRPr="00777B5C">
        <w:rPr>
          <w:rFonts w:eastAsia="TimesNewRoman"/>
          <w:noProof/>
          <w:szCs w:val="22"/>
          <w:lang w:val="sr-Latn-ME"/>
        </w:rPr>
        <w:t>).</w:t>
      </w:r>
    </w:p>
    <w:p w14:paraId="52BB7132" w14:textId="58EB6004"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Prim</w:t>
      </w:r>
      <w:r w:rsidR="00387A1C" w:rsidRPr="00777B5C">
        <w:rPr>
          <w:rFonts w:eastAsia="TimesNewRoman"/>
          <w:noProof/>
          <w:szCs w:val="22"/>
          <w:lang w:val="sr-Latn-ME"/>
        </w:rPr>
        <w:t>j</w:t>
      </w:r>
      <w:r w:rsidRPr="00777B5C">
        <w:rPr>
          <w:rFonts w:eastAsia="TimesNewRoman"/>
          <w:noProof/>
          <w:szCs w:val="22"/>
          <w:lang w:val="sr-Latn-ME"/>
        </w:rPr>
        <w:t>ena tigeciklina može dovesti do povećanog rasta neos</w:t>
      </w:r>
      <w:r w:rsidR="00387A1C" w:rsidRPr="00777B5C">
        <w:rPr>
          <w:rFonts w:eastAsia="TimesNewRoman"/>
          <w:noProof/>
          <w:szCs w:val="22"/>
          <w:lang w:val="sr-Latn-ME"/>
        </w:rPr>
        <w:t>j</w:t>
      </w:r>
      <w:r w:rsidRPr="00777B5C">
        <w:rPr>
          <w:rFonts w:eastAsia="TimesNewRoman"/>
          <w:noProof/>
          <w:szCs w:val="22"/>
          <w:lang w:val="sr-Latn-ME"/>
        </w:rPr>
        <w:t>etljivih organizama, uključujući i gljivice. Pacijente treba pažljivo pratiti za vr</w:t>
      </w:r>
      <w:r w:rsidR="00387A1C" w:rsidRPr="00777B5C">
        <w:rPr>
          <w:rFonts w:eastAsia="TimesNewRoman"/>
          <w:noProof/>
          <w:szCs w:val="22"/>
          <w:lang w:val="sr-Latn-ME"/>
        </w:rPr>
        <w:t>ij</w:t>
      </w:r>
      <w:r w:rsidRPr="00777B5C">
        <w:rPr>
          <w:rFonts w:eastAsia="TimesNewRoman"/>
          <w:noProof/>
          <w:szCs w:val="22"/>
          <w:lang w:val="sr-Latn-ME"/>
        </w:rPr>
        <w:t>eme terapije (vid</w:t>
      </w:r>
      <w:r w:rsidR="00387A1C" w:rsidRPr="00777B5C">
        <w:rPr>
          <w:rFonts w:eastAsia="TimesNewRoman"/>
          <w:noProof/>
          <w:szCs w:val="22"/>
          <w:lang w:val="sr-Latn-ME"/>
        </w:rPr>
        <w:t>j</w:t>
      </w:r>
      <w:r w:rsidRPr="00777B5C">
        <w:rPr>
          <w:rFonts w:eastAsia="TimesNewRoman"/>
          <w:noProof/>
          <w:szCs w:val="22"/>
          <w:lang w:val="sr-Latn-ME"/>
        </w:rPr>
        <w:t xml:space="preserve">eti </w:t>
      </w:r>
      <w:r w:rsidR="00387A1C" w:rsidRPr="00777B5C">
        <w:rPr>
          <w:rFonts w:eastAsia="TimesNewRoman"/>
          <w:noProof/>
          <w:szCs w:val="22"/>
          <w:lang w:val="sr-Latn-ME"/>
        </w:rPr>
        <w:t>dio</w:t>
      </w:r>
      <w:r w:rsidRPr="00777B5C">
        <w:rPr>
          <w:rFonts w:eastAsia="TimesNewRoman"/>
          <w:noProof/>
          <w:szCs w:val="22"/>
          <w:lang w:val="sr-Latn-ME"/>
        </w:rPr>
        <w:t xml:space="preserve"> </w:t>
      </w:r>
      <w:r w:rsidR="001F7B76" w:rsidRPr="00777B5C">
        <w:rPr>
          <w:rFonts w:eastAsia="TimesNewRoman"/>
          <w:noProof/>
          <w:szCs w:val="22"/>
          <w:lang w:val="sr-Latn-ME"/>
        </w:rPr>
        <w:t>„</w:t>
      </w:r>
      <w:r w:rsidR="001F7B76" w:rsidRPr="00777B5C">
        <w:rPr>
          <w:bCs/>
          <w:szCs w:val="22"/>
          <w:lang w:val="sr-Latn-ME"/>
        </w:rPr>
        <w:t>Neželjena dejstva”</w:t>
      </w:r>
      <w:r w:rsidRPr="00777B5C">
        <w:rPr>
          <w:rFonts w:eastAsia="TimesNewRoman"/>
          <w:noProof/>
          <w:szCs w:val="22"/>
          <w:lang w:val="sr-Latn-ME"/>
        </w:rPr>
        <w:t>).</w:t>
      </w:r>
    </w:p>
    <w:p w14:paraId="7BF27BBE" w14:textId="58CF5F5B"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Rezultati ispitivanja tigeciklina na pacovima su pokazali pojavu prom</w:t>
      </w:r>
      <w:r w:rsidR="00387A1C" w:rsidRPr="00777B5C">
        <w:rPr>
          <w:rFonts w:eastAsia="TimesNewRoman"/>
          <w:noProof/>
          <w:szCs w:val="22"/>
          <w:lang w:val="sr-Latn-ME"/>
        </w:rPr>
        <w:t>j</w:t>
      </w:r>
      <w:r w:rsidRPr="00777B5C">
        <w:rPr>
          <w:rFonts w:eastAsia="TimesNewRoman"/>
          <w:noProof/>
          <w:szCs w:val="22"/>
          <w:lang w:val="sr-Latn-ME"/>
        </w:rPr>
        <w:t>ene boje kostiju. Tigeciklin može biti povezan sa trajnom prom</w:t>
      </w:r>
      <w:r w:rsidR="00387A1C" w:rsidRPr="00777B5C">
        <w:rPr>
          <w:rFonts w:eastAsia="TimesNewRoman"/>
          <w:noProof/>
          <w:szCs w:val="22"/>
          <w:lang w:val="sr-Latn-ME"/>
        </w:rPr>
        <w:t>j</w:t>
      </w:r>
      <w:r w:rsidRPr="00777B5C">
        <w:rPr>
          <w:rFonts w:eastAsia="TimesNewRoman"/>
          <w:noProof/>
          <w:szCs w:val="22"/>
          <w:lang w:val="sr-Latn-ME"/>
        </w:rPr>
        <w:t>enom boje zuba kod ljudi, ukoliko se koristi za vr</w:t>
      </w:r>
      <w:r w:rsidR="00387A1C" w:rsidRPr="00777B5C">
        <w:rPr>
          <w:rFonts w:eastAsia="TimesNewRoman"/>
          <w:noProof/>
          <w:szCs w:val="22"/>
          <w:lang w:val="sr-Latn-ME"/>
        </w:rPr>
        <w:t>ij</w:t>
      </w:r>
      <w:r w:rsidRPr="00777B5C">
        <w:rPr>
          <w:rFonts w:eastAsia="TimesNewRoman"/>
          <w:noProof/>
          <w:szCs w:val="22"/>
          <w:lang w:val="sr-Latn-ME"/>
        </w:rPr>
        <w:t>eme razvoja zuba (vid</w:t>
      </w:r>
      <w:r w:rsidR="00387A1C" w:rsidRPr="00777B5C">
        <w:rPr>
          <w:rFonts w:eastAsia="TimesNewRoman"/>
          <w:noProof/>
          <w:szCs w:val="22"/>
          <w:lang w:val="sr-Latn-ME"/>
        </w:rPr>
        <w:t>j</w:t>
      </w:r>
      <w:r w:rsidRPr="00777B5C">
        <w:rPr>
          <w:rFonts w:eastAsia="TimesNewRoman"/>
          <w:noProof/>
          <w:szCs w:val="22"/>
          <w:lang w:val="sr-Latn-ME"/>
        </w:rPr>
        <w:t xml:space="preserve">eti </w:t>
      </w:r>
      <w:r w:rsidR="00387A1C" w:rsidRPr="00777B5C">
        <w:rPr>
          <w:rFonts w:eastAsia="TimesNewRoman"/>
          <w:noProof/>
          <w:szCs w:val="22"/>
          <w:lang w:val="sr-Latn-ME"/>
        </w:rPr>
        <w:t>dio</w:t>
      </w:r>
      <w:r w:rsidRPr="00777B5C">
        <w:rPr>
          <w:rFonts w:eastAsia="TimesNewRoman"/>
          <w:noProof/>
          <w:szCs w:val="22"/>
          <w:lang w:val="sr-Latn-ME"/>
        </w:rPr>
        <w:t xml:space="preserve"> </w:t>
      </w:r>
      <w:r w:rsidR="001F7B76" w:rsidRPr="00777B5C">
        <w:rPr>
          <w:rFonts w:eastAsia="TimesNewRoman"/>
          <w:noProof/>
          <w:szCs w:val="22"/>
          <w:lang w:val="sr-Latn-ME"/>
        </w:rPr>
        <w:t>„</w:t>
      </w:r>
      <w:r w:rsidR="001F7B76" w:rsidRPr="00777B5C">
        <w:rPr>
          <w:bCs/>
          <w:szCs w:val="22"/>
          <w:lang w:val="sr-Latn-ME"/>
        </w:rPr>
        <w:t>Neželjena dejstva”</w:t>
      </w:r>
      <w:r w:rsidRPr="00777B5C">
        <w:rPr>
          <w:rFonts w:eastAsia="TimesNewRoman"/>
          <w:noProof/>
          <w:szCs w:val="22"/>
          <w:lang w:val="sr-Latn-ME"/>
        </w:rPr>
        <w:t>).</w:t>
      </w:r>
    </w:p>
    <w:p w14:paraId="208211D3" w14:textId="77777777" w:rsidR="00F412AB" w:rsidRPr="00777B5C" w:rsidRDefault="00F412AB" w:rsidP="007B2FC3">
      <w:pPr>
        <w:tabs>
          <w:tab w:val="clear" w:pos="284"/>
        </w:tabs>
        <w:autoSpaceDE w:val="0"/>
        <w:autoSpaceDN w:val="0"/>
        <w:adjustRightInd w:val="0"/>
        <w:spacing w:before="120" w:after="120"/>
        <w:rPr>
          <w:rFonts w:eastAsia="TimesNewRoman"/>
          <w:noProof/>
          <w:szCs w:val="22"/>
          <w:u w:val="single"/>
          <w:lang w:val="sr-Latn-ME"/>
        </w:rPr>
      </w:pPr>
      <w:r w:rsidRPr="00777B5C">
        <w:rPr>
          <w:rFonts w:eastAsia="TimesNewRoman"/>
          <w:noProof/>
          <w:szCs w:val="22"/>
          <w:u w:val="single"/>
          <w:lang w:val="sr-Latn-ME"/>
        </w:rPr>
        <w:t>Pedijatrijska populacija</w:t>
      </w:r>
    </w:p>
    <w:p w14:paraId="38F29169" w14:textId="1758EA29"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Kliničko iskustvo kod l</w:t>
      </w:r>
      <w:r w:rsidR="00387A1C" w:rsidRPr="00777B5C">
        <w:rPr>
          <w:rFonts w:eastAsia="TimesNewRoman"/>
          <w:noProof/>
          <w:szCs w:val="22"/>
          <w:lang w:val="sr-Latn-ME"/>
        </w:rPr>
        <w:t>ij</w:t>
      </w:r>
      <w:r w:rsidRPr="00777B5C">
        <w:rPr>
          <w:rFonts w:eastAsia="TimesNewRoman"/>
          <w:noProof/>
          <w:szCs w:val="22"/>
          <w:lang w:val="sr-Latn-ME"/>
        </w:rPr>
        <w:t>ečenja infekcija tigeciklinom u populaciji pedijatrijskih pacijenata uzrasta od 8 godina i starijih je veoma ograničeno (vid</w:t>
      </w:r>
      <w:r w:rsidR="00387A1C" w:rsidRPr="00777B5C">
        <w:rPr>
          <w:rFonts w:eastAsia="TimesNewRoman"/>
          <w:noProof/>
          <w:szCs w:val="22"/>
          <w:lang w:val="sr-Latn-ME"/>
        </w:rPr>
        <w:t>j</w:t>
      </w:r>
      <w:r w:rsidRPr="00777B5C">
        <w:rPr>
          <w:rFonts w:eastAsia="TimesNewRoman"/>
          <w:noProof/>
          <w:szCs w:val="22"/>
          <w:lang w:val="sr-Latn-ME"/>
        </w:rPr>
        <w:t xml:space="preserve">eti </w:t>
      </w:r>
      <w:r w:rsidR="00387A1C" w:rsidRPr="00777B5C">
        <w:rPr>
          <w:rFonts w:eastAsia="TimesNewRoman"/>
          <w:noProof/>
          <w:szCs w:val="22"/>
          <w:lang w:val="sr-Latn-ME"/>
        </w:rPr>
        <w:t>djelove</w:t>
      </w:r>
      <w:r w:rsidRPr="00777B5C">
        <w:rPr>
          <w:rFonts w:eastAsia="TimesNewRoman"/>
          <w:noProof/>
          <w:szCs w:val="22"/>
          <w:lang w:val="sr-Latn-ME"/>
        </w:rPr>
        <w:t xml:space="preserve"> </w:t>
      </w:r>
      <w:r w:rsidR="00CB2E84" w:rsidRPr="00777B5C">
        <w:rPr>
          <w:rFonts w:eastAsia="TimesNewRoman"/>
          <w:noProof/>
          <w:szCs w:val="22"/>
          <w:lang w:val="sr-Latn-ME"/>
        </w:rPr>
        <w:t>„</w:t>
      </w:r>
      <w:r w:rsidR="00CB2E84" w:rsidRPr="00777B5C">
        <w:rPr>
          <w:bCs/>
          <w:szCs w:val="22"/>
          <w:lang w:val="sr-Latn-ME"/>
        </w:rPr>
        <w:t xml:space="preserve">Neželjena dejstva” </w:t>
      </w:r>
      <w:r w:rsidRPr="00777B5C">
        <w:rPr>
          <w:rFonts w:eastAsia="TimesNewRoman"/>
          <w:noProof/>
          <w:szCs w:val="22"/>
          <w:lang w:val="sr-Latn-ME"/>
        </w:rPr>
        <w:t xml:space="preserve">i </w:t>
      </w:r>
      <w:r w:rsidR="00CB2E84" w:rsidRPr="00777B5C">
        <w:rPr>
          <w:rFonts w:eastAsia="TimesNewRoman"/>
          <w:noProof/>
          <w:szCs w:val="22"/>
          <w:lang w:val="sr-Latn-ME"/>
        </w:rPr>
        <w:t>„</w:t>
      </w:r>
      <w:r w:rsidR="00CB2E84" w:rsidRPr="00777B5C">
        <w:rPr>
          <w:bCs/>
          <w:szCs w:val="22"/>
          <w:lang w:val="sr-Latn-ME"/>
        </w:rPr>
        <w:t>Farmakodinamski podaci</w:t>
      </w:r>
      <w:r w:rsidR="00CB2E84" w:rsidRPr="00777B5C">
        <w:rPr>
          <w:rFonts w:eastAsia="TimesNewRoman"/>
          <w:noProof/>
          <w:szCs w:val="22"/>
          <w:lang w:val="sr-Latn-ME"/>
        </w:rPr>
        <w:t>“</w:t>
      </w:r>
      <w:r w:rsidRPr="00777B5C">
        <w:rPr>
          <w:rFonts w:eastAsia="TimesNewRoman"/>
          <w:noProof/>
          <w:szCs w:val="22"/>
          <w:lang w:val="sr-Latn-ME"/>
        </w:rPr>
        <w:t>). Posl</w:t>
      </w:r>
      <w:r w:rsidR="00387A1C" w:rsidRPr="00777B5C">
        <w:rPr>
          <w:rFonts w:eastAsia="TimesNewRoman"/>
          <w:noProof/>
          <w:szCs w:val="22"/>
          <w:lang w:val="sr-Latn-ME"/>
        </w:rPr>
        <w:t>j</w:t>
      </w:r>
      <w:r w:rsidRPr="00777B5C">
        <w:rPr>
          <w:rFonts w:eastAsia="TimesNewRoman"/>
          <w:noProof/>
          <w:szCs w:val="22"/>
          <w:lang w:val="sr-Latn-ME"/>
        </w:rPr>
        <w:t>edično, prim</w:t>
      </w:r>
      <w:r w:rsidR="00387A1C" w:rsidRPr="00777B5C">
        <w:rPr>
          <w:rFonts w:eastAsia="TimesNewRoman"/>
          <w:noProof/>
          <w:szCs w:val="22"/>
          <w:lang w:val="sr-Latn-ME"/>
        </w:rPr>
        <w:t>j</w:t>
      </w:r>
      <w:r w:rsidRPr="00777B5C">
        <w:rPr>
          <w:rFonts w:eastAsia="TimesNewRoman"/>
          <w:noProof/>
          <w:szCs w:val="22"/>
          <w:lang w:val="sr-Latn-ME"/>
        </w:rPr>
        <w:t>enu kod d</w:t>
      </w:r>
      <w:r w:rsidR="00387A1C" w:rsidRPr="00777B5C">
        <w:rPr>
          <w:rFonts w:eastAsia="TimesNewRoman"/>
          <w:noProof/>
          <w:szCs w:val="22"/>
          <w:lang w:val="sr-Latn-ME"/>
        </w:rPr>
        <w:t>j</w:t>
      </w:r>
      <w:r w:rsidRPr="00777B5C">
        <w:rPr>
          <w:rFonts w:eastAsia="TimesNewRoman"/>
          <w:noProof/>
          <w:szCs w:val="22"/>
          <w:lang w:val="sr-Latn-ME"/>
        </w:rPr>
        <w:t>ece treba ograničiti na kliničke situacije u kojima alternativna antibakterijska terapija nije dostupna.</w:t>
      </w:r>
    </w:p>
    <w:p w14:paraId="4CC1471B" w14:textId="491BE4B6"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Mučnina i povraćanje su veoma česte neželjene reakcije kod d</w:t>
      </w:r>
      <w:r w:rsidR="00387A1C" w:rsidRPr="00777B5C">
        <w:rPr>
          <w:rFonts w:eastAsia="TimesNewRoman"/>
          <w:noProof/>
          <w:szCs w:val="22"/>
          <w:lang w:val="sr-Latn-ME"/>
        </w:rPr>
        <w:t>j</w:t>
      </w:r>
      <w:r w:rsidRPr="00777B5C">
        <w:rPr>
          <w:rFonts w:eastAsia="TimesNewRoman"/>
          <w:noProof/>
          <w:szCs w:val="22"/>
          <w:lang w:val="sr-Latn-ME"/>
        </w:rPr>
        <w:t>ece i adolescenata (vid</w:t>
      </w:r>
      <w:r w:rsidR="00387A1C" w:rsidRPr="00777B5C">
        <w:rPr>
          <w:rFonts w:eastAsia="TimesNewRoman"/>
          <w:noProof/>
          <w:szCs w:val="22"/>
          <w:lang w:val="sr-Latn-ME"/>
        </w:rPr>
        <w:t>j</w:t>
      </w:r>
      <w:r w:rsidRPr="00777B5C">
        <w:rPr>
          <w:rFonts w:eastAsia="TimesNewRoman"/>
          <w:noProof/>
          <w:szCs w:val="22"/>
          <w:lang w:val="sr-Latn-ME"/>
        </w:rPr>
        <w:t>eti</w:t>
      </w:r>
      <w:r w:rsidR="00387A1C" w:rsidRPr="00777B5C">
        <w:rPr>
          <w:rFonts w:eastAsia="TimesNewRoman"/>
          <w:noProof/>
          <w:szCs w:val="22"/>
          <w:lang w:val="sr-Latn-ME"/>
        </w:rPr>
        <w:t xml:space="preserve"> dio</w:t>
      </w:r>
      <w:r w:rsidRPr="00777B5C">
        <w:rPr>
          <w:rFonts w:eastAsia="TimesNewRoman"/>
          <w:noProof/>
          <w:szCs w:val="22"/>
          <w:lang w:val="sr-Latn-ME"/>
        </w:rPr>
        <w:t xml:space="preserve"> </w:t>
      </w:r>
      <w:r w:rsidR="00CB2E84" w:rsidRPr="00777B5C">
        <w:rPr>
          <w:rFonts w:eastAsia="TimesNewRoman"/>
          <w:noProof/>
          <w:szCs w:val="22"/>
          <w:lang w:val="sr-Latn-ME"/>
        </w:rPr>
        <w:t>„</w:t>
      </w:r>
      <w:r w:rsidR="00CB2E84" w:rsidRPr="00777B5C">
        <w:rPr>
          <w:bCs/>
          <w:szCs w:val="22"/>
          <w:lang w:val="sr-Latn-ME"/>
        </w:rPr>
        <w:t>Neželjena dejstva”</w:t>
      </w:r>
      <w:r w:rsidRPr="00777B5C">
        <w:rPr>
          <w:rFonts w:eastAsia="TimesNewRoman"/>
          <w:noProof/>
          <w:szCs w:val="22"/>
          <w:lang w:val="sr-Latn-ME"/>
        </w:rPr>
        <w:t>). Treba obratiti pažnju na moguću dehidrataciju. Kod pedijatrijskih pacijenata, poželjno je prim</w:t>
      </w:r>
      <w:r w:rsidR="00387A1C" w:rsidRPr="00777B5C">
        <w:rPr>
          <w:rFonts w:eastAsia="TimesNewRoman"/>
          <w:noProof/>
          <w:szCs w:val="22"/>
          <w:lang w:val="sr-Latn-ME"/>
        </w:rPr>
        <w:t>j</w:t>
      </w:r>
      <w:r w:rsidRPr="00777B5C">
        <w:rPr>
          <w:rFonts w:eastAsia="TimesNewRoman"/>
          <w:noProof/>
          <w:szCs w:val="22"/>
          <w:lang w:val="sr-Latn-ME"/>
        </w:rPr>
        <w:t>enjivati infuziju tigeciklina u trajanju od 60 minuta.</w:t>
      </w:r>
    </w:p>
    <w:p w14:paraId="2DD1A81B" w14:textId="6E163691"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Bol u abdomenu je često prijavljivan kod d</w:t>
      </w:r>
      <w:r w:rsidR="00387A1C" w:rsidRPr="00777B5C">
        <w:rPr>
          <w:rFonts w:eastAsia="TimesNewRoman"/>
          <w:noProof/>
          <w:szCs w:val="22"/>
          <w:lang w:val="sr-Latn-ME"/>
        </w:rPr>
        <w:t>j</w:t>
      </w:r>
      <w:r w:rsidRPr="00777B5C">
        <w:rPr>
          <w:rFonts w:eastAsia="TimesNewRoman"/>
          <w:noProof/>
          <w:szCs w:val="22"/>
          <w:lang w:val="sr-Latn-ME"/>
        </w:rPr>
        <w:t>ece i kod odraslih. Bol u abdomenu može ukazati na pankreatitits. Ukoliko se pankreatitis razvije, terapija tigeciklinom se mora prekinuti.</w:t>
      </w:r>
    </w:p>
    <w:p w14:paraId="5F2AF0B8" w14:textId="3938B537"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Pr</w:t>
      </w:r>
      <w:r w:rsidR="00387A1C" w:rsidRPr="00777B5C">
        <w:rPr>
          <w:rFonts w:eastAsia="TimesNewRoman"/>
          <w:noProof/>
          <w:szCs w:val="22"/>
          <w:lang w:val="sr-Latn-ME"/>
        </w:rPr>
        <w:t>ij</w:t>
      </w:r>
      <w:r w:rsidRPr="00777B5C">
        <w:rPr>
          <w:rFonts w:eastAsia="TimesNewRoman"/>
          <w:noProof/>
          <w:szCs w:val="22"/>
          <w:lang w:val="sr-Latn-ME"/>
        </w:rPr>
        <w:t>e uvođenja tigeciklina, kao i redovno tokom terapije, treba pratiti funkciju jetre, parametre koagulacije, hematološke parametre, amilazu i lipazu.</w:t>
      </w:r>
    </w:p>
    <w:p w14:paraId="0D61A5AD" w14:textId="06C13961"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L</w:t>
      </w:r>
      <w:r w:rsidR="00387A1C" w:rsidRPr="00777B5C">
        <w:rPr>
          <w:rFonts w:eastAsia="TimesNewRoman"/>
          <w:noProof/>
          <w:szCs w:val="22"/>
          <w:lang w:val="sr-Latn-ME"/>
        </w:rPr>
        <w:t>ij</w:t>
      </w:r>
      <w:r w:rsidRPr="00777B5C">
        <w:rPr>
          <w:rFonts w:eastAsia="TimesNewRoman"/>
          <w:noProof/>
          <w:szCs w:val="22"/>
          <w:lang w:val="sr-Latn-ME"/>
        </w:rPr>
        <w:t>ek Tigilin ne treba prim</w:t>
      </w:r>
      <w:r w:rsidR="00387A1C" w:rsidRPr="00777B5C">
        <w:rPr>
          <w:rFonts w:eastAsia="TimesNewRoman"/>
          <w:noProof/>
          <w:szCs w:val="22"/>
          <w:lang w:val="sr-Latn-ME"/>
        </w:rPr>
        <w:t>j</w:t>
      </w:r>
      <w:r w:rsidRPr="00777B5C">
        <w:rPr>
          <w:rFonts w:eastAsia="TimesNewRoman"/>
          <w:noProof/>
          <w:szCs w:val="22"/>
          <w:lang w:val="sr-Latn-ME"/>
        </w:rPr>
        <w:t>enjivati kod d</w:t>
      </w:r>
      <w:r w:rsidR="00387A1C" w:rsidRPr="00777B5C">
        <w:rPr>
          <w:rFonts w:eastAsia="TimesNewRoman"/>
          <w:noProof/>
          <w:szCs w:val="22"/>
          <w:lang w:val="sr-Latn-ME"/>
        </w:rPr>
        <w:t>j</w:t>
      </w:r>
      <w:r w:rsidRPr="00777B5C">
        <w:rPr>
          <w:rFonts w:eastAsia="TimesNewRoman"/>
          <w:noProof/>
          <w:szCs w:val="22"/>
          <w:lang w:val="sr-Latn-ME"/>
        </w:rPr>
        <w:t>ece mlađe od 8 godina, zbog nedostatka podataka o bezb</w:t>
      </w:r>
      <w:r w:rsidR="00387A1C" w:rsidRPr="00777B5C">
        <w:rPr>
          <w:rFonts w:eastAsia="TimesNewRoman"/>
          <w:noProof/>
          <w:szCs w:val="22"/>
          <w:lang w:val="sr-Latn-ME"/>
        </w:rPr>
        <w:t>j</w:t>
      </w:r>
      <w:r w:rsidRPr="00777B5C">
        <w:rPr>
          <w:rFonts w:eastAsia="TimesNewRoman"/>
          <w:noProof/>
          <w:szCs w:val="22"/>
          <w:lang w:val="sr-Latn-ME"/>
        </w:rPr>
        <w:t>ednosti i efikasnosti l</w:t>
      </w:r>
      <w:r w:rsidR="00387A1C" w:rsidRPr="00777B5C">
        <w:rPr>
          <w:rFonts w:eastAsia="TimesNewRoman"/>
          <w:noProof/>
          <w:szCs w:val="22"/>
          <w:lang w:val="sr-Latn-ME"/>
        </w:rPr>
        <w:t>ij</w:t>
      </w:r>
      <w:r w:rsidRPr="00777B5C">
        <w:rPr>
          <w:rFonts w:eastAsia="TimesNewRoman"/>
          <w:noProof/>
          <w:szCs w:val="22"/>
          <w:lang w:val="sr-Latn-ME"/>
        </w:rPr>
        <w:t>eka kod ove grupe pacijenata, kao i zbog moguće povezanosti tigeciklina sa trajnom prom</w:t>
      </w:r>
      <w:r w:rsidR="00387A1C" w:rsidRPr="00777B5C">
        <w:rPr>
          <w:rFonts w:eastAsia="TimesNewRoman"/>
          <w:noProof/>
          <w:szCs w:val="22"/>
          <w:lang w:val="sr-Latn-ME"/>
        </w:rPr>
        <w:t>j</w:t>
      </w:r>
      <w:r w:rsidRPr="00777B5C">
        <w:rPr>
          <w:rFonts w:eastAsia="TimesNewRoman"/>
          <w:noProof/>
          <w:szCs w:val="22"/>
          <w:lang w:val="sr-Latn-ME"/>
        </w:rPr>
        <w:t>enom boje zuba (vid</w:t>
      </w:r>
      <w:r w:rsidR="00387A1C" w:rsidRPr="00777B5C">
        <w:rPr>
          <w:rFonts w:eastAsia="TimesNewRoman"/>
          <w:noProof/>
          <w:szCs w:val="22"/>
          <w:lang w:val="sr-Latn-ME"/>
        </w:rPr>
        <w:t>j</w:t>
      </w:r>
      <w:r w:rsidRPr="00777B5C">
        <w:rPr>
          <w:rFonts w:eastAsia="TimesNewRoman"/>
          <w:noProof/>
          <w:szCs w:val="22"/>
          <w:lang w:val="sr-Latn-ME"/>
        </w:rPr>
        <w:t xml:space="preserve">eti </w:t>
      </w:r>
      <w:r w:rsidR="00387A1C" w:rsidRPr="00777B5C">
        <w:rPr>
          <w:rFonts w:eastAsia="TimesNewRoman"/>
          <w:noProof/>
          <w:szCs w:val="22"/>
          <w:lang w:val="sr-Latn-ME"/>
        </w:rPr>
        <w:t>djelove</w:t>
      </w:r>
      <w:r w:rsidRPr="00777B5C">
        <w:rPr>
          <w:rFonts w:eastAsia="TimesNewRoman"/>
          <w:noProof/>
          <w:szCs w:val="22"/>
          <w:lang w:val="sr-Latn-ME"/>
        </w:rPr>
        <w:t xml:space="preserve"> </w:t>
      </w:r>
      <w:r w:rsidR="00CB2E84" w:rsidRPr="00777B5C">
        <w:rPr>
          <w:rFonts w:eastAsia="TimesNewRoman"/>
          <w:noProof/>
          <w:szCs w:val="22"/>
          <w:lang w:val="sr-Latn-ME"/>
        </w:rPr>
        <w:t>„</w:t>
      </w:r>
      <w:r w:rsidR="00CB2E84" w:rsidRPr="00777B5C">
        <w:rPr>
          <w:bCs/>
          <w:szCs w:val="22"/>
          <w:lang w:val="sr-Latn-ME"/>
        </w:rPr>
        <w:t>Doziranje i način primjene”</w:t>
      </w:r>
      <w:r w:rsidR="00CB2E84" w:rsidRPr="00777B5C" w:rsidDel="00CB2E84">
        <w:rPr>
          <w:rFonts w:eastAsia="TimesNewRoman"/>
          <w:noProof/>
          <w:szCs w:val="22"/>
          <w:lang w:val="sr-Latn-ME"/>
        </w:rPr>
        <w:t xml:space="preserve"> </w:t>
      </w:r>
      <w:r w:rsidRPr="00777B5C">
        <w:rPr>
          <w:rFonts w:eastAsia="TimesNewRoman"/>
          <w:noProof/>
          <w:szCs w:val="22"/>
          <w:lang w:val="sr-Latn-ME"/>
        </w:rPr>
        <w:t xml:space="preserve"> i </w:t>
      </w:r>
      <w:r w:rsidR="00CB2E84" w:rsidRPr="00777B5C">
        <w:rPr>
          <w:rFonts w:eastAsia="TimesNewRoman"/>
          <w:noProof/>
          <w:szCs w:val="22"/>
          <w:lang w:val="sr-Latn-ME"/>
        </w:rPr>
        <w:t>„</w:t>
      </w:r>
      <w:r w:rsidR="00CB2E84" w:rsidRPr="00777B5C">
        <w:rPr>
          <w:bCs/>
          <w:szCs w:val="22"/>
          <w:lang w:val="sr-Latn-ME"/>
        </w:rPr>
        <w:t>Neželjena dejstva”</w:t>
      </w:r>
      <w:r w:rsidRPr="00777B5C">
        <w:rPr>
          <w:rFonts w:eastAsia="TimesNewRoman"/>
          <w:noProof/>
          <w:szCs w:val="22"/>
          <w:lang w:val="sr-Latn-ME"/>
        </w:rPr>
        <w:t>).</w:t>
      </w:r>
    </w:p>
    <w:p w14:paraId="10DD4393" w14:textId="77777777" w:rsidR="008B5DD9" w:rsidRDefault="008B5DD9" w:rsidP="007B2FC3">
      <w:pPr>
        <w:tabs>
          <w:tab w:val="clear" w:pos="284"/>
        </w:tabs>
        <w:autoSpaceDE w:val="0"/>
        <w:autoSpaceDN w:val="0"/>
        <w:adjustRightInd w:val="0"/>
        <w:spacing w:before="120" w:after="120"/>
        <w:rPr>
          <w:rFonts w:eastAsia="TimesNewRoman,Bold"/>
          <w:b/>
          <w:bCs/>
          <w:noProof/>
          <w:szCs w:val="22"/>
          <w:lang w:val="sr-Latn-ME"/>
        </w:rPr>
      </w:pPr>
    </w:p>
    <w:p w14:paraId="2115CFC1" w14:textId="77777777" w:rsidR="008B5DD9" w:rsidRDefault="008B5DD9" w:rsidP="007B2FC3">
      <w:pPr>
        <w:tabs>
          <w:tab w:val="clear" w:pos="284"/>
        </w:tabs>
        <w:autoSpaceDE w:val="0"/>
        <w:autoSpaceDN w:val="0"/>
        <w:adjustRightInd w:val="0"/>
        <w:spacing w:before="120" w:after="120"/>
        <w:rPr>
          <w:rFonts w:eastAsia="TimesNewRoman,Bold"/>
          <w:b/>
          <w:bCs/>
          <w:noProof/>
          <w:szCs w:val="22"/>
          <w:lang w:val="sr-Latn-ME"/>
        </w:rPr>
      </w:pPr>
    </w:p>
    <w:p w14:paraId="22B76671" w14:textId="77777777" w:rsidR="008B5DD9" w:rsidRDefault="008B5DD9" w:rsidP="007B2FC3">
      <w:pPr>
        <w:tabs>
          <w:tab w:val="clear" w:pos="284"/>
        </w:tabs>
        <w:autoSpaceDE w:val="0"/>
        <w:autoSpaceDN w:val="0"/>
        <w:adjustRightInd w:val="0"/>
        <w:spacing w:before="120" w:after="120"/>
        <w:rPr>
          <w:rFonts w:eastAsia="TimesNewRoman,Bold"/>
          <w:b/>
          <w:bCs/>
          <w:noProof/>
          <w:szCs w:val="22"/>
          <w:lang w:val="sr-Latn-ME"/>
        </w:rPr>
      </w:pPr>
    </w:p>
    <w:p w14:paraId="761DA7B9" w14:textId="4DFA9F20" w:rsidR="00F412AB" w:rsidRPr="00777B5C" w:rsidRDefault="00F412AB" w:rsidP="007B2FC3">
      <w:pPr>
        <w:tabs>
          <w:tab w:val="clear" w:pos="284"/>
        </w:tabs>
        <w:autoSpaceDE w:val="0"/>
        <w:autoSpaceDN w:val="0"/>
        <w:adjustRightInd w:val="0"/>
        <w:spacing w:before="120" w:after="120"/>
        <w:rPr>
          <w:rFonts w:eastAsia="TimesNewRoman,Bold"/>
          <w:b/>
          <w:bCs/>
          <w:noProof/>
          <w:szCs w:val="22"/>
          <w:lang w:val="sr-Latn-ME"/>
        </w:rPr>
      </w:pPr>
      <w:r w:rsidRPr="00777B5C">
        <w:rPr>
          <w:rFonts w:eastAsia="TimesNewRoman,Bold"/>
          <w:b/>
          <w:bCs/>
          <w:noProof/>
          <w:szCs w:val="22"/>
          <w:lang w:val="sr-Latn-ME"/>
        </w:rPr>
        <w:lastRenderedPageBreak/>
        <w:t>Interakcije sa drugim l</w:t>
      </w:r>
      <w:r w:rsidR="00387A1C" w:rsidRPr="00777B5C">
        <w:rPr>
          <w:rFonts w:eastAsia="TimesNewRoman,Bold"/>
          <w:b/>
          <w:bCs/>
          <w:noProof/>
          <w:szCs w:val="22"/>
          <w:lang w:val="sr-Latn-ME"/>
        </w:rPr>
        <w:t>j</w:t>
      </w:r>
      <w:r w:rsidRPr="00777B5C">
        <w:rPr>
          <w:rFonts w:eastAsia="TimesNewRoman,Bold"/>
          <w:b/>
          <w:bCs/>
          <w:noProof/>
          <w:szCs w:val="22"/>
          <w:lang w:val="sr-Latn-ME"/>
        </w:rPr>
        <w:t>ekovima i druge vrste interakcija</w:t>
      </w:r>
    </w:p>
    <w:p w14:paraId="6AB86827" w14:textId="77777777" w:rsidR="00F412AB" w:rsidRPr="00777B5C" w:rsidRDefault="00F412AB" w:rsidP="007B2FC3">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Studije interakcije su sprovedene samo kod odraslih.</w:t>
      </w:r>
    </w:p>
    <w:p w14:paraId="3F809B6D" w14:textId="3DC2F370"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Istovremena prim</w:t>
      </w:r>
      <w:r w:rsidR="00387A1C" w:rsidRPr="00777B5C">
        <w:rPr>
          <w:rFonts w:eastAsia="TimesNewRoman"/>
          <w:noProof/>
          <w:szCs w:val="22"/>
          <w:lang w:val="sr-Latn-ME"/>
        </w:rPr>
        <w:t>j</w:t>
      </w:r>
      <w:r w:rsidRPr="00777B5C">
        <w:rPr>
          <w:rFonts w:eastAsia="TimesNewRoman"/>
          <w:noProof/>
          <w:szCs w:val="22"/>
          <w:lang w:val="sr-Latn-ME"/>
        </w:rPr>
        <w:t>ena tigeciklina i varfarina (u pojedinačnoj dozi od 25 mg) kod zdravih ispitanika dovela je do smanjenja klirensa R-varfarina i S-varfarina za 40%, odnosno 23%, i povećanja vr</w:t>
      </w:r>
      <w:r w:rsidR="00387A1C" w:rsidRPr="00777B5C">
        <w:rPr>
          <w:rFonts w:eastAsia="TimesNewRoman"/>
          <w:noProof/>
          <w:szCs w:val="22"/>
          <w:lang w:val="sr-Latn-ME"/>
        </w:rPr>
        <w:t>ij</w:t>
      </w:r>
      <w:r w:rsidRPr="00777B5C">
        <w:rPr>
          <w:rFonts w:eastAsia="TimesNewRoman"/>
          <w:noProof/>
          <w:szCs w:val="22"/>
          <w:lang w:val="sr-Latn-ME"/>
        </w:rPr>
        <w:t>ednosti PIK-a za 68%, odnosno 29%. Mehanizam ove interakcije još uv</w:t>
      </w:r>
      <w:r w:rsidR="00387A1C" w:rsidRPr="00777B5C">
        <w:rPr>
          <w:rFonts w:eastAsia="TimesNewRoman"/>
          <w:noProof/>
          <w:szCs w:val="22"/>
          <w:lang w:val="sr-Latn-ME"/>
        </w:rPr>
        <w:t>ij</w:t>
      </w:r>
      <w:r w:rsidRPr="00777B5C">
        <w:rPr>
          <w:rFonts w:eastAsia="TimesNewRoman"/>
          <w:noProof/>
          <w:szCs w:val="22"/>
          <w:lang w:val="sr-Latn-ME"/>
        </w:rPr>
        <w:t>ek nije razjašnjen. Dostupni podaci ne ukazuju da bi ova interakcija mogla dovesti do značajnih prom</w:t>
      </w:r>
      <w:r w:rsidR="00387A1C" w:rsidRPr="00777B5C">
        <w:rPr>
          <w:rFonts w:eastAsia="TimesNewRoman"/>
          <w:noProof/>
          <w:szCs w:val="22"/>
          <w:lang w:val="sr-Latn-ME"/>
        </w:rPr>
        <w:t>j</w:t>
      </w:r>
      <w:r w:rsidRPr="00777B5C">
        <w:rPr>
          <w:rFonts w:eastAsia="TimesNewRoman"/>
          <w:noProof/>
          <w:szCs w:val="22"/>
          <w:lang w:val="sr-Latn-ME"/>
        </w:rPr>
        <w:t>ena vr</w:t>
      </w:r>
      <w:r w:rsidR="00387A1C" w:rsidRPr="00777B5C">
        <w:rPr>
          <w:rFonts w:eastAsia="TimesNewRoman"/>
          <w:noProof/>
          <w:szCs w:val="22"/>
          <w:lang w:val="sr-Latn-ME"/>
        </w:rPr>
        <w:t>ij</w:t>
      </w:r>
      <w:r w:rsidRPr="00777B5C">
        <w:rPr>
          <w:rFonts w:eastAsia="TimesNewRoman"/>
          <w:noProof/>
          <w:szCs w:val="22"/>
          <w:lang w:val="sr-Latn-ME"/>
        </w:rPr>
        <w:t>ednosti INR-a. Međutim, imajući u vidu da tigeciklin može produžiti protrombinsko vr</w:t>
      </w:r>
      <w:r w:rsidR="00387A1C" w:rsidRPr="00777B5C">
        <w:rPr>
          <w:rFonts w:eastAsia="TimesNewRoman"/>
          <w:noProof/>
          <w:szCs w:val="22"/>
          <w:lang w:val="sr-Latn-ME"/>
        </w:rPr>
        <w:t>ij</w:t>
      </w:r>
      <w:r w:rsidRPr="00777B5C">
        <w:rPr>
          <w:rFonts w:eastAsia="TimesNewRoman"/>
          <w:noProof/>
          <w:szCs w:val="22"/>
          <w:lang w:val="sr-Latn-ME"/>
        </w:rPr>
        <w:t>eme (PT) i aktivirano parcijalno tromboplastinsko vr</w:t>
      </w:r>
      <w:r w:rsidR="00387A1C" w:rsidRPr="00777B5C">
        <w:rPr>
          <w:rFonts w:eastAsia="TimesNewRoman"/>
          <w:noProof/>
          <w:szCs w:val="22"/>
          <w:lang w:val="sr-Latn-ME"/>
        </w:rPr>
        <w:t>ij</w:t>
      </w:r>
      <w:r w:rsidRPr="00777B5C">
        <w:rPr>
          <w:rFonts w:eastAsia="TimesNewRoman"/>
          <w:noProof/>
          <w:szCs w:val="22"/>
          <w:lang w:val="sr-Latn-ME"/>
        </w:rPr>
        <w:t>eme (aPTT), odgovarajuće testove koagulacije treba pažljivo pratiti kada se tigeciklin prim</w:t>
      </w:r>
      <w:r w:rsidR="00387A1C" w:rsidRPr="00777B5C">
        <w:rPr>
          <w:rFonts w:eastAsia="TimesNewRoman"/>
          <w:noProof/>
          <w:szCs w:val="22"/>
          <w:lang w:val="sr-Latn-ME"/>
        </w:rPr>
        <w:t>j</w:t>
      </w:r>
      <w:r w:rsidRPr="00777B5C">
        <w:rPr>
          <w:rFonts w:eastAsia="TimesNewRoman"/>
          <w:noProof/>
          <w:szCs w:val="22"/>
          <w:lang w:val="sr-Latn-ME"/>
        </w:rPr>
        <w:t>enjuje zajedno sa antikoagulansima (vid</w:t>
      </w:r>
      <w:r w:rsidR="00387A1C" w:rsidRPr="00777B5C">
        <w:rPr>
          <w:rFonts w:eastAsia="TimesNewRoman"/>
          <w:noProof/>
          <w:szCs w:val="22"/>
          <w:lang w:val="sr-Latn-ME"/>
        </w:rPr>
        <w:t>j</w:t>
      </w:r>
      <w:r w:rsidRPr="00777B5C">
        <w:rPr>
          <w:rFonts w:eastAsia="TimesNewRoman"/>
          <w:noProof/>
          <w:szCs w:val="22"/>
          <w:lang w:val="sr-Latn-ME"/>
        </w:rPr>
        <w:t xml:space="preserve">eti </w:t>
      </w:r>
      <w:r w:rsidR="00387A1C" w:rsidRPr="00777B5C">
        <w:rPr>
          <w:rFonts w:eastAsia="TimesNewRoman"/>
          <w:noProof/>
          <w:szCs w:val="22"/>
          <w:lang w:val="sr-Latn-ME"/>
        </w:rPr>
        <w:t>dio</w:t>
      </w:r>
      <w:r w:rsidRPr="00777B5C">
        <w:rPr>
          <w:rFonts w:eastAsia="TimesNewRoman"/>
          <w:noProof/>
          <w:szCs w:val="22"/>
          <w:lang w:val="sr-Latn-ME"/>
        </w:rPr>
        <w:t xml:space="preserve"> </w:t>
      </w:r>
      <w:r w:rsidR="00CB2E84" w:rsidRPr="00777B5C">
        <w:rPr>
          <w:rFonts w:eastAsia="TimesNewRoman"/>
          <w:noProof/>
          <w:szCs w:val="22"/>
          <w:lang w:val="sr-Latn-ME"/>
        </w:rPr>
        <w:t>„</w:t>
      </w:r>
      <w:r w:rsidR="00CB2E84" w:rsidRPr="00777B5C">
        <w:rPr>
          <w:bCs/>
          <w:szCs w:val="22"/>
          <w:lang w:val="sr-Latn-ME"/>
        </w:rPr>
        <w:t>Posebna upozorenja i mjere opreza pri upotrebi lijeka”</w:t>
      </w:r>
      <w:r w:rsidRPr="00777B5C">
        <w:rPr>
          <w:rFonts w:eastAsia="TimesNewRoman"/>
          <w:noProof/>
          <w:szCs w:val="22"/>
          <w:lang w:val="sr-Latn-ME"/>
        </w:rPr>
        <w:t>). Varfarin nije ispoljio efekat na farmakokinetički profil tigeciklina.</w:t>
      </w:r>
    </w:p>
    <w:p w14:paraId="43D776B8" w14:textId="7B01E82D"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Tigeciklin se ne podleže obilnom metabolizmu. Stoga se ne očekuje da na njegov klirens utiču l</w:t>
      </w:r>
      <w:r w:rsidR="00387A1C" w:rsidRPr="00777B5C">
        <w:rPr>
          <w:rFonts w:eastAsia="TimesNewRoman"/>
          <w:noProof/>
          <w:szCs w:val="22"/>
          <w:lang w:val="sr-Latn-ME"/>
        </w:rPr>
        <w:t>j</w:t>
      </w:r>
      <w:r w:rsidRPr="00777B5C">
        <w:rPr>
          <w:rFonts w:eastAsia="TimesNewRoman"/>
          <w:noProof/>
          <w:szCs w:val="22"/>
          <w:lang w:val="sr-Latn-ME"/>
        </w:rPr>
        <w:t xml:space="preserve">ekovi koji inhibiraju ili indukuju aktivnost CYP450 izoenzima. </w:t>
      </w:r>
      <w:r w:rsidRPr="00777B5C">
        <w:rPr>
          <w:rFonts w:eastAsia="TimesNewRoman"/>
          <w:i/>
          <w:iCs/>
          <w:noProof/>
          <w:szCs w:val="22"/>
          <w:lang w:val="sr-Latn-ME"/>
        </w:rPr>
        <w:t>In vitro</w:t>
      </w:r>
      <w:r w:rsidRPr="00777B5C">
        <w:rPr>
          <w:rFonts w:eastAsia="TimesNewRoman"/>
          <w:noProof/>
          <w:szCs w:val="22"/>
          <w:lang w:val="sr-Latn-ME"/>
        </w:rPr>
        <w:t>, tigeciklin nije ni kompetitivni ni ireverzibilni inhibitor enzima CYP450 (vid</w:t>
      </w:r>
      <w:r w:rsidR="00387A1C" w:rsidRPr="00777B5C">
        <w:rPr>
          <w:rFonts w:eastAsia="TimesNewRoman"/>
          <w:noProof/>
          <w:szCs w:val="22"/>
          <w:lang w:val="sr-Latn-ME"/>
        </w:rPr>
        <w:t>j</w:t>
      </w:r>
      <w:r w:rsidRPr="00777B5C">
        <w:rPr>
          <w:rFonts w:eastAsia="TimesNewRoman"/>
          <w:noProof/>
          <w:szCs w:val="22"/>
          <w:lang w:val="sr-Latn-ME"/>
        </w:rPr>
        <w:t xml:space="preserve">eti </w:t>
      </w:r>
      <w:r w:rsidR="00387A1C" w:rsidRPr="00777B5C">
        <w:rPr>
          <w:rFonts w:eastAsia="TimesNewRoman"/>
          <w:noProof/>
          <w:szCs w:val="22"/>
          <w:lang w:val="sr-Latn-ME"/>
        </w:rPr>
        <w:t>dio</w:t>
      </w:r>
      <w:r w:rsidRPr="00777B5C">
        <w:rPr>
          <w:rFonts w:eastAsia="TimesNewRoman"/>
          <w:noProof/>
          <w:szCs w:val="22"/>
          <w:lang w:val="sr-Latn-ME"/>
        </w:rPr>
        <w:t xml:space="preserve"> </w:t>
      </w:r>
      <w:r w:rsidR="00CB2E84" w:rsidRPr="00777B5C">
        <w:rPr>
          <w:rFonts w:eastAsia="TimesNewRoman"/>
          <w:noProof/>
          <w:szCs w:val="22"/>
          <w:lang w:val="sr-Latn-ME"/>
        </w:rPr>
        <w:t>„</w:t>
      </w:r>
      <w:r w:rsidR="00CB2E84" w:rsidRPr="00777B5C">
        <w:rPr>
          <w:bCs/>
          <w:szCs w:val="22"/>
          <w:lang w:val="sr-Latn-ME"/>
        </w:rPr>
        <w:t>Farmakokinetički podaci”</w:t>
      </w:r>
      <w:r w:rsidR="00CB2E84" w:rsidRPr="00777B5C">
        <w:rPr>
          <w:b/>
          <w:bCs/>
          <w:szCs w:val="22"/>
          <w:lang w:val="sr-Latn-ME"/>
        </w:rPr>
        <w:t xml:space="preserve"> </w:t>
      </w:r>
      <w:r w:rsidRPr="00777B5C">
        <w:rPr>
          <w:rFonts w:eastAsia="TimesNewRoman"/>
          <w:noProof/>
          <w:szCs w:val="22"/>
          <w:lang w:val="sr-Latn-ME"/>
        </w:rPr>
        <w:t>).</w:t>
      </w:r>
    </w:p>
    <w:p w14:paraId="3BF24DAE" w14:textId="2D5998CA"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Tigeciklin, prim</w:t>
      </w:r>
      <w:r w:rsidR="00387A1C" w:rsidRPr="00777B5C">
        <w:rPr>
          <w:rFonts w:eastAsia="TimesNewRoman"/>
          <w:noProof/>
          <w:szCs w:val="22"/>
          <w:lang w:val="sr-Latn-ME"/>
        </w:rPr>
        <w:t>ij</w:t>
      </w:r>
      <w:r w:rsidRPr="00777B5C">
        <w:rPr>
          <w:rFonts w:eastAsia="TimesNewRoman"/>
          <w:noProof/>
          <w:szCs w:val="22"/>
          <w:lang w:val="sr-Latn-ME"/>
        </w:rPr>
        <w:t>enjen u preporučenim dozama kod zdravih odraslih osoba, nije uticao na obim i stepen resorpcije, niti na klirens digoksina (inicijalna doza 0,5 mg, zatim 0,25 mg dnevno). Digoksin nije ispoljio uticaj na farmakokinetički profil tigeciklina. Stoga nije potrebno prilagođavanje doze tigeciklina pri istovremenoj prim</w:t>
      </w:r>
      <w:r w:rsidR="00387A1C" w:rsidRPr="00777B5C">
        <w:rPr>
          <w:rFonts w:eastAsia="TimesNewRoman"/>
          <w:noProof/>
          <w:szCs w:val="22"/>
          <w:lang w:val="sr-Latn-ME"/>
        </w:rPr>
        <w:t>j</w:t>
      </w:r>
      <w:r w:rsidRPr="00777B5C">
        <w:rPr>
          <w:rFonts w:eastAsia="TimesNewRoman"/>
          <w:noProof/>
          <w:szCs w:val="22"/>
          <w:lang w:val="sr-Latn-ME"/>
        </w:rPr>
        <w:t>eni sa digoksinom.</w:t>
      </w:r>
    </w:p>
    <w:p w14:paraId="599AE812" w14:textId="048EA990"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 xml:space="preserve">U </w:t>
      </w:r>
      <w:r w:rsidRPr="00777B5C">
        <w:rPr>
          <w:rFonts w:eastAsia="TimesNewRoman"/>
          <w:i/>
          <w:iCs/>
          <w:noProof/>
          <w:szCs w:val="22"/>
          <w:lang w:val="sr-Latn-ME"/>
        </w:rPr>
        <w:t xml:space="preserve">in vitro </w:t>
      </w:r>
      <w:r w:rsidRPr="00777B5C">
        <w:rPr>
          <w:rFonts w:eastAsia="TimesNewRoman"/>
          <w:noProof/>
          <w:szCs w:val="22"/>
          <w:lang w:val="sr-Latn-ME"/>
        </w:rPr>
        <w:t>studijama nije prim</w:t>
      </w:r>
      <w:r w:rsidR="00387A1C" w:rsidRPr="00777B5C">
        <w:rPr>
          <w:rFonts w:eastAsia="TimesNewRoman"/>
          <w:noProof/>
          <w:szCs w:val="22"/>
          <w:lang w:val="sr-Latn-ME"/>
        </w:rPr>
        <w:t>ij</w:t>
      </w:r>
      <w:r w:rsidRPr="00777B5C">
        <w:rPr>
          <w:rFonts w:eastAsia="TimesNewRoman"/>
          <w:noProof/>
          <w:szCs w:val="22"/>
          <w:lang w:val="sr-Latn-ME"/>
        </w:rPr>
        <w:t>ećen antagonizam između tigeciklina i drugih često korišćenih grupa antibiotika.</w:t>
      </w:r>
    </w:p>
    <w:p w14:paraId="26C5EEE8" w14:textId="700BA00C"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Istovremena prim</w:t>
      </w:r>
      <w:r w:rsidR="00387A1C" w:rsidRPr="00777B5C">
        <w:rPr>
          <w:rFonts w:eastAsia="TimesNewRoman"/>
          <w:noProof/>
          <w:szCs w:val="22"/>
          <w:lang w:val="sr-Latn-ME"/>
        </w:rPr>
        <w:t>j</w:t>
      </w:r>
      <w:r w:rsidRPr="00777B5C">
        <w:rPr>
          <w:rFonts w:eastAsia="TimesNewRoman"/>
          <w:noProof/>
          <w:szCs w:val="22"/>
          <w:lang w:val="sr-Latn-ME"/>
        </w:rPr>
        <w:t>ena antibiotika i oralnih kontraceptiva može dovesti do smanjenja efikasnosti oralnih kontraceptiva.</w:t>
      </w:r>
    </w:p>
    <w:p w14:paraId="126AF122" w14:textId="5272D5EB"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Istovremena prim</w:t>
      </w:r>
      <w:r w:rsidR="00387A1C" w:rsidRPr="00777B5C">
        <w:rPr>
          <w:rFonts w:eastAsia="TimesNewRoman"/>
          <w:noProof/>
          <w:szCs w:val="22"/>
          <w:lang w:val="sr-Latn-ME"/>
        </w:rPr>
        <w:t>j</w:t>
      </w:r>
      <w:r w:rsidRPr="00777B5C">
        <w:rPr>
          <w:rFonts w:eastAsia="TimesNewRoman"/>
          <w:noProof/>
          <w:szCs w:val="22"/>
          <w:lang w:val="sr-Latn-ME"/>
        </w:rPr>
        <w:t>ena tigeciklina i inhibitora kalcineurina, poput takrolimusa ili ciklosporina, može povećati maksimalne koncentracije inhibitora kalcineurina u serumu. Stoga je potrebno praćenje inhibitora kalcineurina u serumu tokom prim</w:t>
      </w:r>
      <w:r w:rsidR="00387A1C" w:rsidRPr="00777B5C">
        <w:rPr>
          <w:rFonts w:eastAsia="TimesNewRoman"/>
          <w:noProof/>
          <w:szCs w:val="22"/>
          <w:lang w:val="sr-Latn-ME"/>
        </w:rPr>
        <w:t>j</w:t>
      </w:r>
      <w:r w:rsidRPr="00777B5C">
        <w:rPr>
          <w:rFonts w:eastAsia="TimesNewRoman"/>
          <w:noProof/>
          <w:szCs w:val="22"/>
          <w:lang w:val="sr-Latn-ME"/>
        </w:rPr>
        <w:t>ene tigeciklina, kako bi se izb</w:t>
      </w:r>
      <w:r w:rsidR="00387A1C" w:rsidRPr="00777B5C">
        <w:rPr>
          <w:rFonts w:eastAsia="TimesNewRoman"/>
          <w:noProof/>
          <w:szCs w:val="22"/>
          <w:lang w:val="sr-Latn-ME"/>
        </w:rPr>
        <w:t>j</w:t>
      </w:r>
      <w:r w:rsidRPr="00777B5C">
        <w:rPr>
          <w:rFonts w:eastAsia="TimesNewRoman"/>
          <w:noProof/>
          <w:szCs w:val="22"/>
          <w:lang w:val="sr-Latn-ME"/>
        </w:rPr>
        <w:t>egla toksičnost l</w:t>
      </w:r>
      <w:r w:rsidR="00387A1C" w:rsidRPr="00777B5C">
        <w:rPr>
          <w:rFonts w:eastAsia="TimesNewRoman"/>
          <w:noProof/>
          <w:szCs w:val="22"/>
          <w:lang w:val="sr-Latn-ME"/>
        </w:rPr>
        <w:t>ij</w:t>
      </w:r>
      <w:r w:rsidRPr="00777B5C">
        <w:rPr>
          <w:rFonts w:eastAsia="TimesNewRoman"/>
          <w:noProof/>
          <w:szCs w:val="22"/>
          <w:lang w:val="sr-Latn-ME"/>
        </w:rPr>
        <w:t>eka.</w:t>
      </w:r>
    </w:p>
    <w:p w14:paraId="2BB15755" w14:textId="1334F40C"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 xml:space="preserve">Podaci </w:t>
      </w:r>
      <w:r w:rsidRPr="00777B5C">
        <w:rPr>
          <w:rFonts w:eastAsia="TimesNewRoman"/>
          <w:i/>
          <w:iCs/>
          <w:noProof/>
          <w:szCs w:val="22"/>
          <w:lang w:val="sr-Latn-ME"/>
        </w:rPr>
        <w:t xml:space="preserve">in vitro </w:t>
      </w:r>
      <w:r w:rsidRPr="00777B5C">
        <w:rPr>
          <w:rFonts w:eastAsia="TimesNewRoman"/>
          <w:noProof/>
          <w:szCs w:val="22"/>
          <w:lang w:val="sr-Latn-ME"/>
        </w:rPr>
        <w:t>studije ukazuju da je tigeciklin supstrat za P-glikoprotein. Istovremena prim</w:t>
      </w:r>
      <w:r w:rsidR="00387A1C" w:rsidRPr="00777B5C">
        <w:rPr>
          <w:rFonts w:eastAsia="TimesNewRoman"/>
          <w:noProof/>
          <w:szCs w:val="22"/>
          <w:lang w:val="sr-Latn-ME"/>
        </w:rPr>
        <w:t>j</w:t>
      </w:r>
      <w:r w:rsidRPr="00777B5C">
        <w:rPr>
          <w:rFonts w:eastAsia="TimesNewRoman"/>
          <w:noProof/>
          <w:szCs w:val="22"/>
          <w:lang w:val="sr-Latn-ME"/>
        </w:rPr>
        <w:t>ena sa inhibitorima (npr. ketokonazol ili ciklosporin) ili induktorima P-glikoproteina (npr. rifampicin) može izm</w:t>
      </w:r>
      <w:r w:rsidR="00387A1C" w:rsidRPr="00777B5C">
        <w:rPr>
          <w:rFonts w:eastAsia="TimesNewRoman"/>
          <w:noProof/>
          <w:szCs w:val="22"/>
          <w:lang w:val="sr-Latn-ME"/>
        </w:rPr>
        <w:t>ij</w:t>
      </w:r>
      <w:r w:rsidRPr="00777B5C">
        <w:rPr>
          <w:rFonts w:eastAsia="TimesNewRoman"/>
          <w:noProof/>
          <w:szCs w:val="22"/>
          <w:lang w:val="sr-Latn-ME"/>
        </w:rPr>
        <w:t>eniti farmakokinetiku tigeciklina (vid</w:t>
      </w:r>
      <w:r w:rsidR="00387A1C" w:rsidRPr="00777B5C">
        <w:rPr>
          <w:rFonts w:eastAsia="TimesNewRoman"/>
          <w:noProof/>
          <w:szCs w:val="22"/>
          <w:lang w:val="sr-Latn-ME"/>
        </w:rPr>
        <w:t>j</w:t>
      </w:r>
      <w:r w:rsidRPr="00777B5C">
        <w:rPr>
          <w:rFonts w:eastAsia="TimesNewRoman"/>
          <w:noProof/>
          <w:szCs w:val="22"/>
          <w:lang w:val="sr-Latn-ME"/>
        </w:rPr>
        <w:t xml:space="preserve">eti </w:t>
      </w:r>
      <w:r w:rsidR="00387A1C" w:rsidRPr="00777B5C">
        <w:rPr>
          <w:rFonts w:eastAsia="TimesNewRoman"/>
          <w:noProof/>
          <w:szCs w:val="22"/>
          <w:lang w:val="sr-Latn-ME"/>
        </w:rPr>
        <w:t>dio</w:t>
      </w:r>
      <w:r w:rsidRPr="00777B5C">
        <w:rPr>
          <w:rFonts w:eastAsia="TimesNewRoman"/>
          <w:noProof/>
          <w:szCs w:val="22"/>
          <w:lang w:val="sr-Latn-ME"/>
        </w:rPr>
        <w:t xml:space="preserve"> </w:t>
      </w:r>
      <w:r w:rsidR="00CB2E84" w:rsidRPr="00777B5C">
        <w:rPr>
          <w:rFonts w:eastAsia="TimesNewRoman"/>
          <w:noProof/>
          <w:szCs w:val="22"/>
          <w:lang w:val="sr-Latn-ME"/>
        </w:rPr>
        <w:t>„</w:t>
      </w:r>
      <w:r w:rsidR="00CB2E84" w:rsidRPr="00777B5C">
        <w:rPr>
          <w:bCs/>
          <w:szCs w:val="22"/>
          <w:lang w:val="sr-Latn-ME"/>
        </w:rPr>
        <w:t>Farmakokinetički podaci”</w:t>
      </w:r>
      <w:r w:rsidR="00CB2E84" w:rsidRPr="00777B5C">
        <w:rPr>
          <w:b/>
          <w:bCs/>
          <w:szCs w:val="22"/>
          <w:lang w:val="sr-Latn-ME"/>
        </w:rPr>
        <w:t xml:space="preserve"> </w:t>
      </w:r>
      <w:r w:rsidRPr="00777B5C">
        <w:rPr>
          <w:rFonts w:eastAsia="TimesNewRoman"/>
          <w:noProof/>
          <w:szCs w:val="22"/>
          <w:lang w:val="sr-Latn-ME"/>
        </w:rPr>
        <w:t>).</w:t>
      </w:r>
    </w:p>
    <w:p w14:paraId="4D701146" w14:textId="38373D51" w:rsidR="00F412AB" w:rsidRPr="00777B5C" w:rsidRDefault="00F412AB" w:rsidP="007B2FC3">
      <w:pPr>
        <w:tabs>
          <w:tab w:val="clear" w:pos="284"/>
        </w:tabs>
        <w:autoSpaceDE w:val="0"/>
        <w:autoSpaceDN w:val="0"/>
        <w:adjustRightInd w:val="0"/>
        <w:spacing w:before="120" w:after="120"/>
        <w:rPr>
          <w:rFonts w:eastAsia="TimesNewRoman,Bold"/>
          <w:b/>
          <w:bCs/>
          <w:noProof/>
          <w:szCs w:val="22"/>
          <w:lang w:val="sr-Latn-ME"/>
        </w:rPr>
      </w:pPr>
      <w:r w:rsidRPr="00777B5C">
        <w:rPr>
          <w:rFonts w:eastAsia="TimesNewRoman,Bold"/>
          <w:b/>
          <w:bCs/>
          <w:noProof/>
          <w:szCs w:val="22"/>
          <w:lang w:val="sr-Latn-ME"/>
        </w:rPr>
        <w:t>Plodnost, trudnoća i dojenje</w:t>
      </w:r>
    </w:p>
    <w:p w14:paraId="038189EB" w14:textId="77777777" w:rsidR="00387A1C" w:rsidRPr="00777B5C" w:rsidRDefault="00387A1C" w:rsidP="007B2FC3">
      <w:pPr>
        <w:tabs>
          <w:tab w:val="clear" w:pos="284"/>
        </w:tabs>
        <w:autoSpaceDE w:val="0"/>
        <w:autoSpaceDN w:val="0"/>
        <w:adjustRightInd w:val="0"/>
        <w:spacing w:before="120" w:after="120"/>
        <w:rPr>
          <w:rFonts w:eastAsia="TimesNewRoman"/>
          <w:noProof/>
          <w:szCs w:val="22"/>
          <w:u w:val="single"/>
          <w:lang w:val="sr-Latn-ME"/>
        </w:rPr>
      </w:pPr>
      <w:r w:rsidRPr="00777B5C">
        <w:rPr>
          <w:rFonts w:eastAsia="TimesNewRoman"/>
          <w:noProof/>
          <w:szCs w:val="22"/>
          <w:u w:val="single"/>
          <w:lang w:val="sr-Latn-ME"/>
        </w:rPr>
        <w:t>Plodnost</w:t>
      </w:r>
    </w:p>
    <w:p w14:paraId="0697AAD6" w14:textId="7F4D418E" w:rsidR="00387A1C" w:rsidRPr="00777B5C" w:rsidRDefault="00387A1C"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Ni</w:t>
      </w:r>
      <w:r w:rsidR="004B1B99" w:rsidRPr="00777B5C">
        <w:rPr>
          <w:rFonts w:eastAsia="TimesNewRoman"/>
          <w:noProof/>
          <w:szCs w:val="22"/>
          <w:lang w:val="sr-Latn-ME"/>
        </w:rPr>
        <w:t>je</w:t>
      </w:r>
      <w:r w:rsidRPr="00777B5C">
        <w:rPr>
          <w:rFonts w:eastAsia="TimesNewRoman"/>
          <w:noProof/>
          <w:szCs w:val="22"/>
          <w:lang w:val="sr-Latn-ME"/>
        </w:rPr>
        <w:t>su ispitani efekti tigeciklina na plodnost kod ljudi.  Pretkliničke studije tigeciklina, sprovedene na pacovima, ni</w:t>
      </w:r>
      <w:r w:rsidR="004B1B99" w:rsidRPr="00777B5C">
        <w:rPr>
          <w:rFonts w:eastAsia="TimesNewRoman"/>
          <w:noProof/>
          <w:szCs w:val="22"/>
          <w:lang w:val="sr-Latn-ME"/>
        </w:rPr>
        <w:t>je</w:t>
      </w:r>
      <w:r w:rsidRPr="00777B5C">
        <w:rPr>
          <w:rFonts w:eastAsia="TimesNewRoman"/>
          <w:noProof/>
          <w:szCs w:val="22"/>
          <w:lang w:val="sr-Latn-ME"/>
        </w:rPr>
        <w:t>su pokazale štetne efekte na plodnost ili reproduktivne performanse. Kod ženki pacova ni</w:t>
      </w:r>
      <w:r w:rsidR="004B1B99" w:rsidRPr="00777B5C">
        <w:rPr>
          <w:rFonts w:eastAsia="TimesNewRoman"/>
          <w:noProof/>
          <w:szCs w:val="22"/>
          <w:lang w:val="sr-Latn-ME"/>
        </w:rPr>
        <w:t>je</w:t>
      </w:r>
      <w:r w:rsidRPr="00777B5C">
        <w:rPr>
          <w:rFonts w:eastAsia="TimesNewRoman"/>
          <w:noProof/>
          <w:szCs w:val="22"/>
          <w:lang w:val="sr-Latn-ME"/>
        </w:rPr>
        <w:t>su zabilježeni efekti na jajnike i hormonski status, povezani sa aktivnom supstancom, pri izloženosti do 4,7 puta većim dnevnim dozama od onih koje se primjenuju kod ljudi na osnovu vrijednosti PIK.</w:t>
      </w:r>
    </w:p>
    <w:p w14:paraId="5F538983" w14:textId="3644C072" w:rsidR="00F412AB" w:rsidRPr="00777B5C" w:rsidRDefault="00F412AB" w:rsidP="007B2FC3">
      <w:pPr>
        <w:tabs>
          <w:tab w:val="clear" w:pos="284"/>
        </w:tabs>
        <w:autoSpaceDE w:val="0"/>
        <w:autoSpaceDN w:val="0"/>
        <w:adjustRightInd w:val="0"/>
        <w:spacing w:before="120" w:after="120"/>
        <w:rPr>
          <w:rFonts w:eastAsia="TimesNewRoman"/>
          <w:noProof/>
          <w:szCs w:val="22"/>
          <w:u w:val="single"/>
          <w:lang w:val="sr-Latn-ME"/>
        </w:rPr>
      </w:pPr>
      <w:r w:rsidRPr="00777B5C">
        <w:rPr>
          <w:rFonts w:eastAsia="TimesNewRoman"/>
          <w:noProof/>
          <w:szCs w:val="22"/>
          <w:u w:val="single"/>
          <w:lang w:val="sr-Latn-ME"/>
        </w:rPr>
        <w:t>Trudnoća</w:t>
      </w:r>
    </w:p>
    <w:p w14:paraId="22CF53B0" w14:textId="4E8F9F96"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O prim</w:t>
      </w:r>
      <w:r w:rsidR="00387A1C" w:rsidRPr="00777B5C">
        <w:rPr>
          <w:rFonts w:eastAsia="TimesNewRoman"/>
          <w:noProof/>
          <w:szCs w:val="22"/>
          <w:lang w:val="sr-Latn-ME"/>
        </w:rPr>
        <w:t>j</w:t>
      </w:r>
      <w:r w:rsidRPr="00777B5C">
        <w:rPr>
          <w:rFonts w:eastAsia="TimesNewRoman"/>
          <w:noProof/>
          <w:szCs w:val="22"/>
          <w:lang w:val="sr-Latn-ME"/>
        </w:rPr>
        <w:t>eni tigeciklina kod trudnica nema podataka, ili je njihov broj ograničen. Ispitivanja na životinjama su pokazala reproduktivnu toksičnost (vid</w:t>
      </w:r>
      <w:r w:rsidR="00387A1C" w:rsidRPr="00777B5C">
        <w:rPr>
          <w:rFonts w:eastAsia="TimesNewRoman"/>
          <w:noProof/>
          <w:szCs w:val="22"/>
          <w:lang w:val="sr-Latn-ME"/>
        </w:rPr>
        <w:t>j</w:t>
      </w:r>
      <w:r w:rsidRPr="00777B5C">
        <w:rPr>
          <w:rFonts w:eastAsia="TimesNewRoman"/>
          <w:noProof/>
          <w:szCs w:val="22"/>
          <w:lang w:val="sr-Latn-ME"/>
        </w:rPr>
        <w:t xml:space="preserve">eti </w:t>
      </w:r>
      <w:r w:rsidR="00387A1C" w:rsidRPr="00777B5C">
        <w:rPr>
          <w:rFonts w:eastAsia="TimesNewRoman"/>
          <w:noProof/>
          <w:szCs w:val="22"/>
          <w:lang w:val="sr-Latn-ME"/>
        </w:rPr>
        <w:t>dio</w:t>
      </w:r>
      <w:r w:rsidRPr="00777B5C">
        <w:rPr>
          <w:rFonts w:eastAsia="TimesNewRoman"/>
          <w:noProof/>
          <w:szCs w:val="22"/>
          <w:lang w:val="sr-Latn-ME"/>
        </w:rPr>
        <w:t xml:space="preserve"> </w:t>
      </w:r>
      <w:r w:rsidR="00CB2E84" w:rsidRPr="00777B5C">
        <w:rPr>
          <w:rFonts w:eastAsia="TimesNewRoman"/>
          <w:noProof/>
          <w:szCs w:val="22"/>
          <w:lang w:val="sr-Latn-ME"/>
        </w:rPr>
        <w:t>„</w:t>
      </w:r>
      <w:r w:rsidR="00CB2E84" w:rsidRPr="00777B5C">
        <w:rPr>
          <w:bCs/>
          <w:szCs w:val="22"/>
          <w:lang w:val="sr-Latn-ME"/>
        </w:rPr>
        <w:t>Pretklinički podaci o bezbjednosti</w:t>
      </w:r>
      <w:r w:rsidR="00CB2E84" w:rsidRPr="00777B5C">
        <w:rPr>
          <w:rFonts w:eastAsia="TimesNewRoman"/>
          <w:noProof/>
          <w:szCs w:val="22"/>
          <w:lang w:val="sr-Latn-ME"/>
        </w:rPr>
        <w:t xml:space="preserve">“ </w:t>
      </w:r>
      <w:r w:rsidRPr="00777B5C">
        <w:rPr>
          <w:rFonts w:eastAsia="TimesNewRoman"/>
          <w:noProof/>
          <w:szCs w:val="22"/>
          <w:lang w:val="sr-Latn-ME"/>
        </w:rPr>
        <w:t>). Potencijalni rizik za ljude nije poznat. Kao i tetraciklinska grupa antibiotika, tigeciklin takođe može indukovati trajna oštećenja zuba (prom</w:t>
      </w:r>
      <w:r w:rsidR="00387A1C" w:rsidRPr="00777B5C">
        <w:rPr>
          <w:rFonts w:eastAsia="TimesNewRoman"/>
          <w:noProof/>
          <w:szCs w:val="22"/>
          <w:lang w:val="sr-Latn-ME"/>
        </w:rPr>
        <w:t>j</w:t>
      </w:r>
      <w:r w:rsidRPr="00777B5C">
        <w:rPr>
          <w:rFonts w:eastAsia="TimesNewRoman"/>
          <w:noProof/>
          <w:szCs w:val="22"/>
          <w:lang w:val="sr-Latn-ME"/>
        </w:rPr>
        <w:t xml:space="preserve">ene boje i oštećenje gleđi) i odložiti procese okoštavanja kod fetusa, izloženih </w:t>
      </w:r>
      <w:r w:rsidRPr="00777B5C">
        <w:rPr>
          <w:rFonts w:eastAsia="TimesNewRoman"/>
          <w:i/>
          <w:iCs/>
          <w:noProof/>
          <w:szCs w:val="22"/>
          <w:lang w:val="sr-Latn-ME"/>
        </w:rPr>
        <w:t xml:space="preserve">in utero </w:t>
      </w:r>
      <w:r w:rsidRPr="00777B5C">
        <w:rPr>
          <w:rFonts w:eastAsia="TimesNewRoman"/>
          <w:noProof/>
          <w:szCs w:val="22"/>
          <w:lang w:val="sr-Latn-ME"/>
        </w:rPr>
        <w:t>u drugoj polovini perioda gestacije, kao i kod d</w:t>
      </w:r>
      <w:r w:rsidR="00387A1C" w:rsidRPr="00777B5C">
        <w:rPr>
          <w:rFonts w:eastAsia="TimesNewRoman"/>
          <w:noProof/>
          <w:szCs w:val="22"/>
          <w:lang w:val="sr-Latn-ME"/>
        </w:rPr>
        <w:t>j</w:t>
      </w:r>
      <w:r w:rsidRPr="00777B5C">
        <w:rPr>
          <w:rFonts w:eastAsia="TimesNewRoman"/>
          <w:noProof/>
          <w:szCs w:val="22"/>
          <w:lang w:val="sr-Latn-ME"/>
        </w:rPr>
        <w:t>ece mlađe od 8 godina, zbog nakupljanja u tkivima sa visokim obrtom kalcijuma i formiranja kalcijumskih helatnih kompleksa (vid</w:t>
      </w:r>
      <w:r w:rsidR="00387A1C" w:rsidRPr="00777B5C">
        <w:rPr>
          <w:rFonts w:eastAsia="TimesNewRoman"/>
          <w:noProof/>
          <w:szCs w:val="22"/>
          <w:lang w:val="sr-Latn-ME"/>
        </w:rPr>
        <w:t>j</w:t>
      </w:r>
      <w:r w:rsidRPr="00777B5C">
        <w:rPr>
          <w:rFonts w:eastAsia="TimesNewRoman"/>
          <w:noProof/>
          <w:szCs w:val="22"/>
          <w:lang w:val="sr-Latn-ME"/>
        </w:rPr>
        <w:t xml:space="preserve">eti </w:t>
      </w:r>
      <w:r w:rsidR="00387A1C" w:rsidRPr="00777B5C">
        <w:rPr>
          <w:rFonts w:eastAsia="TimesNewRoman"/>
          <w:noProof/>
          <w:szCs w:val="22"/>
          <w:lang w:val="sr-Latn-ME"/>
        </w:rPr>
        <w:t>dio</w:t>
      </w:r>
      <w:r w:rsidRPr="00777B5C">
        <w:rPr>
          <w:rFonts w:eastAsia="TimesNewRoman"/>
          <w:noProof/>
          <w:szCs w:val="22"/>
          <w:lang w:val="sr-Latn-ME"/>
        </w:rPr>
        <w:t xml:space="preserve"> </w:t>
      </w:r>
      <w:r w:rsidR="00CB2E84" w:rsidRPr="00777B5C">
        <w:rPr>
          <w:rFonts w:eastAsia="TimesNewRoman"/>
          <w:noProof/>
          <w:szCs w:val="22"/>
          <w:lang w:val="sr-Latn-ME"/>
        </w:rPr>
        <w:t>„</w:t>
      </w:r>
      <w:r w:rsidR="00CB2E84" w:rsidRPr="00777B5C">
        <w:rPr>
          <w:bCs/>
          <w:szCs w:val="22"/>
          <w:lang w:val="sr-Latn-ME"/>
        </w:rPr>
        <w:t>Posebna upozorenja i mjere opreza pri upotrebi lijeka”</w:t>
      </w:r>
      <w:r w:rsidRPr="00777B5C">
        <w:rPr>
          <w:rFonts w:eastAsia="TimesNewRoman"/>
          <w:noProof/>
          <w:szCs w:val="22"/>
          <w:lang w:val="sr-Latn-ME"/>
        </w:rPr>
        <w:t>). Tigeciklin ne treba prim</w:t>
      </w:r>
      <w:r w:rsidR="00387A1C" w:rsidRPr="00777B5C">
        <w:rPr>
          <w:rFonts w:eastAsia="TimesNewRoman"/>
          <w:noProof/>
          <w:szCs w:val="22"/>
          <w:lang w:val="sr-Latn-ME"/>
        </w:rPr>
        <w:t>j</w:t>
      </w:r>
      <w:r w:rsidRPr="00777B5C">
        <w:rPr>
          <w:rFonts w:eastAsia="TimesNewRoman"/>
          <w:noProof/>
          <w:szCs w:val="22"/>
          <w:lang w:val="sr-Latn-ME"/>
        </w:rPr>
        <w:t>enjivati tokom trudnoće, osim ako kliničko stanje žene zaht</w:t>
      </w:r>
      <w:r w:rsidR="00387A1C" w:rsidRPr="00777B5C">
        <w:rPr>
          <w:rFonts w:eastAsia="TimesNewRoman"/>
          <w:noProof/>
          <w:szCs w:val="22"/>
          <w:lang w:val="sr-Latn-ME"/>
        </w:rPr>
        <w:t>ij</w:t>
      </w:r>
      <w:r w:rsidRPr="00777B5C">
        <w:rPr>
          <w:rFonts w:eastAsia="TimesNewRoman"/>
          <w:noProof/>
          <w:szCs w:val="22"/>
          <w:lang w:val="sr-Latn-ME"/>
        </w:rPr>
        <w:t>eva terapiju tigeciklinom.</w:t>
      </w:r>
    </w:p>
    <w:p w14:paraId="06CA4C66" w14:textId="77777777" w:rsidR="00F412AB" w:rsidRPr="00777B5C" w:rsidRDefault="00F412AB" w:rsidP="007B2FC3">
      <w:pPr>
        <w:tabs>
          <w:tab w:val="clear" w:pos="284"/>
        </w:tabs>
        <w:autoSpaceDE w:val="0"/>
        <w:autoSpaceDN w:val="0"/>
        <w:adjustRightInd w:val="0"/>
        <w:spacing w:before="120" w:after="120"/>
        <w:rPr>
          <w:rFonts w:eastAsia="TimesNewRoman"/>
          <w:noProof/>
          <w:szCs w:val="22"/>
          <w:u w:val="single"/>
          <w:lang w:val="sr-Latn-ME"/>
        </w:rPr>
      </w:pPr>
      <w:r w:rsidRPr="00777B5C">
        <w:rPr>
          <w:rFonts w:eastAsia="TimesNewRoman"/>
          <w:noProof/>
          <w:szCs w:val="22"/>
          <w:u w:val="single"/>
          <w:lang w:val="sr-Latn-ME"/>
        </w:rPr>
        <w:t>Dojenje</w:t>
      </w:r>
    </w:p>
    <w:p w14:paraId="19E1A725" w14:textId="76EA226B"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Nije poznato da li se tigeciklin i njegovi metaboliti izlučuju u majčino ml</w:t>
      </w:r>
      <w:r w:rsidR="00387A1C" w:rsidRPr="00777B5C">
        <w:rPr>
          <w:rFonts w:eastAsia="TimesNewRoman"/>
          <w:noProof/>
          <w:szCs w:val="22"/>
          <w:lang w:val="sr-Latn-ME"/>
        </w:rPr>
        <w:t>ij</w:t>
      </w:r>
      <w:r w:rsidRPr="00777B5C">
        <w:rPr>
          <w:rFonts w:eastAsia="TimesNewRoman"/>
          <w:noProof/>
          <w:szCs w:val="22"/>
          <w:lang w:val="sr-Latn-ME"/>
        </w:rPr>
        <w:t>eko. Raspoloživi farmakodinamski/toksikološki podaci dobijeni u animalnim studijama ukazuju da se tigeciklin/njegovi metaboliti izlučuju u ml</w:t>
      </w:r>
      <w:r w:rsidR="00387A1C" w:rsidRPr="00777B5C">
        <w:rPr>
          <w:rFonts w:eastAsia="TimesNewRoman"/>
          <w:noProof/>
          <w:szCs w:val="22"/>
          <w:lang w:val="sr-Latn-ME"/>
        </w:rPr>
        <w:t>ij</w:t>
      </w:r>
      <w:r w:rsidRPr="00777B5C">
        <w:rPr>
          <w:rFonts w:eastAsia="TimesNewRoman"/>
          <w:noProof/>
          <w:szCs w:val="22"/>
          <w:lang w:val="sr-Latn-ME"/>
        </w:rPr>
        <w:t>eko (vid</w:t>
      </w:r>
      <w:r w:rsidR="00387A1C" w:rsidRPr="00777B5C">
        <w:rPr>
          <w:rFonts w:eastAsia="TimesNewRoman"/>
          <w:noProof/>
          <w:szCs w:val="22"/>
          <w:lang w:val="sr-Latn-ME"/>
        </w:rPr>
        <w:t>j</w:t>
      </w:r>
      <w:r w:rsidRPr="00777B5C">
        <w:rPr>
          <w:rFonts w:eastAsia="TimesNewRoman"/>
          <w:noProof/>
          <w:szCs w:val="22"/>
          <w:lang w:val="sr-Latn-ME"/>
        </w:rPr>
        <w:t xml:space="preserve">eti </w:t>
      </w:r>
      <w:r w:rsidR="00387A1C" w:rsidRPr="00777B5C">
        <w:rPr>
          <w:rFonts w:eastAsia="TimesNewRoman"/>
          <w:noProof/>
          <w:szCs w:val="22"/>
          <w:lang w:val="sr-Latn-ME"/>
        </w:rPr>
        <w:t>dio</w:t>
      </w:r>
      <w:r w:rsidRPr="00777B5C">
        <w:rPr>
          <w:rFonts w:eastAsia="TimesNewRoman"/>
          <w:noProof/>
          <w:szCs w:val="22"/>
          <w:lang w:val="sr-Latn-ME"/>
        </w:rPr>
        <w:t xml:space="preserve"> </w:t>
      </w:r>
      <w:r w:rsidR="00CB2E84" w:rsidRPr="00777B5C">
        <w:rPr>
          <w:rFonts w:eastAsia="TimesNewRoman"/>
          <w:noProof/>
          <w:szCs w:val="22"/>
          <w:lang w:val="sr-Latn-ME"/>
        </w:rPr>
        <w:t>„</w:t>
      </w:r>
      <w:r w:rsidR="00CB2E84" w:rsidRPr="00777B5C">
        <w:rPr>
          <w:bCs/>
          <w:szCs w:val="22"/>
          <w:lang w:val="sr-Latn-ME"/>
        </w:rPr>
        <w:t>Pretklinički podaci o bezbjednosti”</w:t>
      </w:r>
      <w:r w:rsidRPr="00777B5C">
        <w:rPr>
          <w:rFonts w:eastAsia="TimesNewRoman"/>
          <w:noProof/>
          <w:szCs w:val="22"/>
          <w:lang w:val="sr-Latn-ME"/>
        </w:rPr>
        <w:t>). Ne može se isključiti rizik po novorođenče/odojče. Odluka o tome da li da se prekine dojenje ili prekine/odloži terapija tigeciklinom mora se don</w:t>
      </w:r>
      <w:r w:rsidR="00387A1C" w:rsidRPr="00777B5C">
        <w:rPr>
          <w:rFonts w:eastAsia="TimesNewRoman"/>
          <w:noProof/>
          <w:szCs w:val="22"/>
          <w:lang w:val="sr-Latn-ME"/>
        </w:rPr>
        <w:t>ij</w:t>
      </w:r>
      <w:r w:rsidRPr="00777B5C">
        <w:rPr>
          <w:rFonts w:eastAsia="TimesNewRoman"/>
          <w:noProof/>
          <w:szCs w:val="22"/>
          <w:lang w:val="sr-Latn-ME"/>
        </w:rPr>
        <w:t>eti uzimajući u obzir korist od dojenja za d</w:t>
      </w:r>
      <w:r w:rsidR="004B1B99" w:rsidRPr="00777B5C">
        <w:rPr>
          <w:rFonts w:eastAsia="TimesNewRoman"/>
          <w:noProof/>
          <w:szCs w:val="22"/>
          <w:lang w:val="sr-Latn-ME"/>
        </w:rPr>
        <w:t>i</w:t>
      </w:r>
      <w:r w:rsidR="00387A1C" w:rsidRPr="00777B5C">
        <w:rPr>
          <w:rFonts w:eastAsia="TimesNewRoman"/>
          <w:noProof/>
          <w:szCs w:val="22"/>
          <w:lang w:val="sr-Latn-ME"/>
        </w:rPr>
        <w:t>j</w:t>
      </w:r>
      <w:r w:rsidRPr="00777B5C">
        <w:rPr>
          <w:rFonts w:eastAsia="TimesNewRoman"/>
          <w:noProof/>
          <w:szCs w:val="22"/>
          <w:lang w:val="sr-Latn-ME"/>
        </w:rPr>
        <w:t>ete i korist od prim</w:t>
      </w:r>
      <w:r w:rsidR="00387A1C" w:rsidRPr="00777B5C">
        <w:rPr>
          <w:rFonts w:eastAsia="TimesNewRoman"/>
          <w:noProof/>
          <w:szCs w:val="22"/>
          <w:lang w:val="sr-Latn-ME"/>
        </w:rPr>
        <w:t>j</w:t>
      </w:r>
      <w:r w:rsidRPr="00777B5C">
        <w:rPr>
          <w:rFonts w:eastAsia="TimesNewRoman"/>
          <w:noProof/>
          <w:szCs w:val="22"/>
          <w:lang w:val="sr-Latn-ME"/>
        </w:rPr>
        <w:t>ene l</w:t>
      </w:r>
      <w:r w:rsidR="00387A1C" w:rsidRPr="00777B5C">
        <w:rPr>
          <w:rFonts w:eastAsia="TimesNewRoman"/>
          <w:noProof/>
          <w:szCs w:val="22"/>
          <w:lang w:val="sr-Latn-ME"/>
        </w:rPr>
        <w:t>ij</w:t>
      </w:r>
      <w:r w:rsidRPr="00777B5C">
        <w:rPr>
          <w:rFonts w:eastAsia="TimesNewRoman"/>
          <w:noProof/>
          <w:szCs w:val="22"/>
          <w:lang w:val="sr-Latn-ME"/>
        </w:rPr>
        <w:t>eka za ženu.</w:t>
      </w:r>
    </w:p>
    <w:p w14:paraId="31F88DCC" w14:textId="0D2C04BA" w:rsidR="00F412AB" w:rsidRPr="00777B5C" w:rsidRDefault="00F412AB" w:rsidP="007B2FC3">
      <w:pPr>
        <w:tabs>
          <w:tab w:val="clear" w:pos="284"/>
        </w:tabs>
        <w:autoSpaceDE w:val="0"/>
        <w:autoSpaceDN w:val="0"/>
        <w:adjustRightInd w:val="0"/>
        <w:spacing w:before="120" w:after="120"/>
        <w:rPr>
          <w:rFonts w:eastAsia="TimesNewRoman,Bold"/>
          <w:b/>
          <w:bCs/>
          <w:noProof/>
          <w:szCs w:val="22"/>
          <w:lang w:val="sr-Latn-ME"/>
        </w:rPr>
      </w:pPr>
      <w:r w:rsidRPr="00777B5C">
        <w:rPr>
          <w:rFonts w:eastAsia="TimesNewRoman,Bold"/>
          <w:b/>
          <w:bCs/>
          <w:noProof/>
          <w:szCs w:val="22"/>
          <w:lang w:val="sr-Latn-ME"/>
        </w:rPr>
        <w:lastRenderedPageBreak/>
        <w:t>Uticaj l</w:t>
      </w:r>
      <w:r w:rsidR="00387A1C" w:rsidRPr="00777B5C">
        <w:rPr>
          <w:rFonts w:eastAsia="TimesNewRoman,Bold"/>
          <w:b/>
          <w:bCs/>
          <w:noProof/>
          <w:szCs w:val="22"/>
          <w:lang w:val="sr-Latn-ME"/>
        </w:rPr>
        <w:t>ij</w:t>
      </w:r>
      <w:r w:rsidRPr="00777B5C">
        <w:rPr>
          <w:rFonts w:eastAsia="TimesNewRoman,Bold"/>
          <w:b/>
          <w:bCs/>
          <w:noProof/>
          <w:szCs w:val="22"/>
          <w:lang w:val="sr-Latn-ME"/>
        </w:rPr>
        <w:t>eka na sposobnost upravljanja vozilima i rukovanja mašinama</w:t>
      </w:r>
    </w:p>
    <w:p w14:paraId="2764A630" w14:textId="0F37566A" w:rsidR="00F412AB" w:rsidRPr="00777B5C" w:rsidRDefault="00F412AB" w:rsidP="007B2FC3">
      <w:pPr>
        <w:tabs>
          <w:tab w:val="clear" w:pos="284"/>
        </w:tabs>
        <w:autoSpaceDE w:val="0"/>
        <w:autoSpaceDN w:val="0"/>
        <w:adjustRightInd w:val="0"/>
        <w:rPr>
          <w:rFonts w:eastAsia="TimesNewRoman"/>
          <w:noProof/>
          <w:szCs w:val="22"/>
          <w:lang w:val="sr-Latn-ME"/>
        </w:rPr>
      </w:pPr>
      <w:r w:rsidRPr="00777B5C">
        <w:rPr>
          <w:rFonts w:eastAsia="TimesNewRoman"/>
          <w:noProof/>
          <w:szCs w:val="22"/>
          <w:lang w:val="sr-Latn-ME"/>
        </w:rPr>
        <w:t>Može se javiti vrtoglavica koja može uticati na upravljanje vozilima ili rukovanje mašinama (vid</w:t>
      </w:r>
      <w:r w:rsidR="008352C8" w:rsidRPr="00777B5C">
        <w:rPr>
          <w:rFonts w:eastAsia="TimesNewRoman"/>
          <w:noProof/>
          <w:szCs w:val="22"/>
          <w:lang w:val="sr-Latn-ME"/>
        </w:rPr>
        <w:t>j</w:t>
      </w:r>
      <w:r w:rsidRPr="00777B5C">
        <w:rPr>
          <w:rFonts w:eastAsia="TimesNewRoman"/>
          <w:noProof/>
          <w:szCs w:val="22"/>
          <w:lang w:val="sr-Latn-ME"/>
        </w:rPr>
        <w:t xml:space="preserve">eti </w:t>
      </w:r>
      <w:r w:rsidR="008352C8" w:rsidRPr="00777B5C">
        <w:rPr>
          <w:rFonts w:eastAsia="TimesNewRoman"/>
          <w:noProof/>
          <w:szCs w:val="22"/>
          <w:lang w:val="sr-Latn-ME"/>
        </w:rPr>
        <w:t>dio</w:t>
      </w:r>
      <w:r w:rsidRPr="00777B5C">
        <w:rPr>
          <w:rFonts w:eastAsia="TimesNewRoman"/>
          <w:noProof/>
          <w:szCs w:val="22"/>
          <w:lang w:val="sr-Latn-ME"/>
        </w:rPr>
        <w:t xml:space="preserve"> </w:t>
      </w:r>
      <w:r w:rsidR="00CB2E84" w:rsidRPr="00777B5C">
        <w:rPr>
          <w:rFonts w:eastAsia="TimesNewRoman"/>
          <w:noProof/>
          <w:szCs w:val="22"/>
          <w:lang w:val="sr-Latn-ME"/>
        </w:rPr>
        <w:t>„</w:t>
      </w:r>
      <w:r w:rsidR="00CB2E84" w:rsidRPr="00777B5C">
        <w:rPr>
          <w:bCs/>
          <w:szCs w:val="22"/>
          <w:lang w:val="sr-Latn-ME"/>
        </w:rPr>
        <w:t>Neželjena dejstva</w:t>
      </w:r>
      <w:r w:rsidR="00CB2E84" w:rsidRPr="00777B5C">
        <w:rPr>
          <w:rFonts w:eastAsia="TimesNewRoman"/>
          <w:noProof/>
          <w:szCs w:val="22"/>
          <w:lang w:val="sr-Latn-ME"/>
        </w:rPr>
        <w:t>“</w:t>
      </w:r>
      <w:r w:rsidRPr="00777B5C">
        <w:rPr>
          <w:rFonts w:eastAsia="TimesNewRoman"/>
          <w:noProof/>
          <w:szCs w:val="22"/>
          <w:lang w:val="sr-Latn-ME"/>
        </w:rPr>
        <w:t>).</w:t>
      </w:r>
    </w:p>
    <w:p w14:paraId="1E248BA0" w14:textId="77777777" w:rsidR="00C147A6" w:rsidRPr="00777B5C" w:rsidRDefault="00C147A6" w:rsidP="007B2FC3">
      <w:pPr>
        <w:tabs>
          <w:tab w:val="clear" w:pos="284"/>
        </w:tabs>
        <w:autoSpaceDE w:val="0"/>
        <w:autoSpaceDN w:val="0"/>
        <w:adjustRightInd w:val="0"/>
        <w:rPr>
          <w:rFonts w:eastAsia="TimesNewRoman"/>
          <w:noProof/>
          <w:szCs w:val="22"/>
          <w:lang w:val="sr-Latn-ME"/>
        </w:rPr>
      </w:pPr>
    </w:p>
    <w:p w14:paraId="5B483DD0" w14:textId="193973C4" w:rsidR="00F412AB" w:rsidRPr="00777B5C" w:rsidRDefault="00F412AB" w:rsidP="007B2FC3">
      <w:pPr>
        <w:tabs>
          <w:tab w:val="clear" w:pos="284"/>
        </w:tabs>
        <w:autoSpaceDE w:val="0"/>
        <w:autoSpaceDN w:val="0"/>
        <w:adjustRightInd w:val="0"/>
        <w:rPr>
          <w:rFonts w:eastAsia="TimesNewRoman,Bold"/>
          <w:b/>
          <w:bCs/>
          <w:noProof/>
          <w:szCs w:val="22"/>
          <w:lang w:val="sr-Latn-ME"/>
        </w:rPr>
      </w:pPr>
      <w:r w:rsidRPr="00777B5C">
        <w:rPr>
          <w:rFonts w:eastAsia="TimesNewRoman,Bold"/>
          <w:b/>
          <w:bCs/>
          <w:noProof/>
          <w:szCs w:val="22"/>
          <w:lang w:val="sr-Latn-ME"/>
        </w:rPr>
        <w:t>Neželjena dejstva</w:t>
      </w:r>
    </w:p>
    <w:p w14:paraId="7D7849DC" w14:textId="603096E2" w:rsidR="00F412AB" w:rsidRPr="00777B5C" w:rsidRDefault="00F412AB" w:rsidP="007B2FC3">
      <w:pPr>
        <w:tabs>
          <w:tab w:val="clear" w:pos="284"/>
        </w:tabs>
        <w:spacing w:before="120" w:after="120" w:line="259" w:lineRule="auto"/>
        <w:rPr>
          <w:rFonts w:eastAsia="TimesNewRoman"/>
          <w:noProof/>
          <w:szCs w:val="22"/>
          <w:u w:val="single"/>
          <w:lang w:val="sr-Latn-ME"/>
        </w:rPr>
      </w:pPr>
      <w:r w:rsidRPr="00777B5C">
        <w:rPr>
          <w:rFonts w:eastAsia="TimesNewRoman"/>
          <w:noProof/>
          <w:szCs w:val="22"/>
          <w:u w:val="single"/>
          <w:lang w:val="sr-Latn-ME"/>
        </w:rPr>
        <w:t>Sažetak bezb</w:t>
      </w:r>
      <w:r w:rsidR="008352C8" w:rsidRPr="00777B5C">
        <w:rPr>
          <w:rFonts w:eastAsia="TimesNewRoman"/>
          <w:noProof/>
          <w:szCs w:val="22"/>
          <w:u w:val="single"/>
          <w:lang w:val="sr-Latn-ME"/>
        </w:rPr>
        <w:t>j</w:t>
      </w:r>
      <w:r w:rsidRPr="00777B5C">
        <w:rPr>
          <w:rFonts w:eastAsia="TimesNewRoman"/>
          <w:noProof/>
          <w:szCs w:val="22"/>
          <w:u w:val="single"/>
          <w:lang w:val="sr-Latn-ME"/>
        </w:rPr>
        <w:t>ednosnog profila</w:t>
      </w:r>
    </w:p>
    <w:p w14:paraId="0AB677A8" w14:textId="77777777" w:rsidR="00F412AB" w:rsidRPr="00777B5C" w:rsidRDefault="00F412AB" w:rsidP="0047765A">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 xml:space="preserve">Ukupan broj pacijenata sa cSSTI i cIAI koji su primali tigeciklin u trećoj i četvrtoj fazi kliničkih studija iznosio je 2393. </w:t>
      </w:r>
    </w:p>
    <w:p w14:paraId="15192FE4" w14:textId="091DCD13"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U kliničkim ispitivanjima, najčešće neželjene reakcije na l</w:t>
      </w:r>
      <w:r w:rsidR="008352C8" w:rsidRPr="00777B5C">
        <w:rPr>
          <w:rFonts w:eastAsia="TimesNewRoman"/>
          <w:noProof/>
          <w:szCs w:val="22"/>
          <w:lang w:val="sr-Latn-ME"/>
        </w:rPr>
        <w:t>ij</w:t>
      </w:r>
      <w:r w:rsidRPr="00777B5C">
        <w:rPr>
          <w:rFonts w:eastAsia="TimesNewRoman"/>
          <w:noProof/>
          <w:szCs w:val="22"/>
          <w:lang w:val="sr-Latn-ME"/>
        </w:rPr>
        <w:t>ek povezane sa terapijom bile su prolazna mučnina (21%) i povraćanje (13%), koji su se najčešće javljali rano (prvog ili drugog dana terapije) i bili su uglavnom slabog do um</w:t>
      </w:r>
      <w:r w:rsidR="008352C8" w:rsidRPr="00777B5C">
        <w:rPr>
          <w:rFonts w:eastAsia="TimesNewRoman"/>
          <w:noProof/>
          <w:szCs w:val="22"/>
          <w:lang w:val="sr-Latn-ME"/>
        </w:rPr>
        <w:t>j</w:t>
      </w:r>
      <w:r w:rsidRPr="00777B5C">
        <w:rPr>
          <w:rFonts w:eastAsia="TimesNewRoman"/>
          <w:noProof/>
          <w:szCs w:val="22"/>
          <w:lang w:val="sr-Latn-ME"/>
        </w:rPr>
        <w:t xml:space="preserve">erenog intenziteta. </w:t>
      </w:r>
    </w:p>
    <w:p w14:paraId="024EF8BA" w14:textId="7C6DFB69" w:rsidR="00F412AB" w:rsidRPr="00777B5C" w:rsidRDefault="00F412AB">
      <w:pPr>
        <w:tabs>
          <w:tab w:val="clear" w:pos="284"/>
        </w:tabs>
        <w:autoSpaceDE w:val="0"/>
        <w:autoSpaceDN w:val="0"/>
        <w:adjustRightInd w:val="0"/>
        <w:spacing w:before="120" w:after="120"/>
        <w:rPr>
          <w:rFonts w:eastAsia="TimesNewRoman"/>
          <w:noProof/>
          <w:szCs w:val="22"/>
          <w:lang w:val="sr-Latn-ME"/>
        </w:rPr>
      </w:pPr>
      <w:r w:rsidRPr="00777B5C">
        <w:rPr>
          <w:rFonts w:eastAsia="TimesNewRoman"/>
          <w:noProof/>
          <w:szCs w:val="22"/>
          <w:lang w:val="sr-Latn-ME"/>
        </w:rPr>
        <w:t>Neželjene reakcije prijavljene tokom upotrebe tigeciklina, uključujući klinička ispitivanja i postmarketinški period, prikazane su tabelarno.</w:t>
      </w:r>
    </w:p>
    <w:p w14:paraId="2252E6C7" w14:textId="77777777" w:rsidR="00C147A6" w:rsidRPr="00777B5C" w:rsidRDefault="00C147A6">
      <w:pPr>
        <w:tabs>
          <w:tab w:val="clear" w:pos="284"/>
        </w:tabs>
        <w:autoSpaceDE w:val="0"/>
        <w:autoSpaceDN w:val="0"/>
        <w:adjustRightInd w:val="0"/>
        <w:spacing w:before="120" w:after="120"/>
        <w:rPr>
          <w:rFonts w:eastAsia="TimesNewRoman"/>
          <w:noProof/>
          <w:szCs w:val="22"/>
          <w:lang w:val="sr-Latn-ME"/>
        </w:rPr>
      </w:pPr>
    </w:p>
    <w:p w14:paraId="2AA8A235" w14:textId="77777777" w:rsidR="00F412AB" w:rsidRPr="00777B5C" w:rsidRDefault="00F412AB" w:rsidP="007B2FC3">
      <w:pPr>
        <w:tabs>
          <w:tab w:val="clear" w:pos="284"/>
        </w:tabs>
        <w:spacing w:before="120" w:after="120" w:line="259" w:lineRule="auto"/>
        <w:rPr>
          <w:rFonts w:eastAsia="TimesNewRoman"/>
          <w:noProof/>
          <w:szCs w:val="22"/>
          <w:u w:val="single"/>
          <w:lang w:val="sr-Latn-ME"/>
        </w:rPr>
      </w:pPr>
      <w:r w:rsidRPr="00777B5C">
        <w:rPr>
          <w:rFonts w:eastAsia="TimesNewRoman"/>
          <w:noProof/>
          <w:szCs w:val="22"/>
          <w:u w:val="single"/>
          <w:lang w:val="sr-Latn-ME"/>
        </w:rPr>
        <w:t>Tabelarni prikaz neželjenih reakcija</w:t>
      </w:r>
    </w:p>
    <w:p w14:paraId="22638C4C" w14:textId="77777777" w:rsidR="00F412AB" w:rsidRPr="00777B5C" w:rsidRDefault="00F412AB" w:rsidP="007B2FC3">
      <w:pPr>
        <w:tabs>
          <w:tab w:val="clear" w:pos="284"/>
        </w:tabs>
        <w:spacing w:before="120" w:after="120" w:line="259" w:lineRule="auto"/>
        <w:rPr>
          <w:rFonts w:eastAsia="TimesNewRoman"/>
          <w:noProof/>
          <w:szCs w:val="22"/>
          <w:u w:val="single"/>
          <w:lang w:val="sr-Latn-ME"/>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1236"/>
        <w:gridCol w:w="1915"/>
        <w:gridCol w:w="1774"/>
        <w:gridCol w:w="2013"/>
        <w:gridCol w:w="1233"/>
      </w:tblGrid>
      <w:tr w:rsidR="00160B46" w:rsidRPr="00777B5C" w14:paraId="6D9F906E" w14:textId="77777777" w:rsidTr="00777B5C">
        <w:tc>
          <w:tcPr>
            <w:tcW w:w="1781" w:type="dxa"/>
            <w:shd w:val="clear" w:color="auto" w:fill="auto"/>
          </w:tcPr>
          <w:p w14:paraId="6009FD33"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Klasa sistema organa</w:t>
            </w:r>
          </w:p>
        </w:tc>
        <w:tc>
          <w:tcPr>
            <w:tcW w:w="1236" w:type="dxa"/>
            <w:shd w:val="clear" w:color="auto" w:fill="auto"/>
          </w:tcPr>
          <w:p w14:paraId="7A437334"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Veoma često</w:t>
            </w:r>
          </w:p>
          <w:p w14:paraId="08A77E64"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 1/10</w:t>
            </w:r>
          </w:p>
        </w:tc>
        <w:tc>
          <w:tcPr>
            <w:tcW w:w="1915" w:type="dxa"/>
            <w:shd w:val="clear" w:color="auto" w:fill="auto"/>
          </w:tcPr>
          <w:p w14:paraId="1CA87668"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Često</w:t>
            </w:r>
          </w:p>
          <w:p w14:paraId="05D3307A"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 1/100 do &lt; 1/10</w:t>
            </w:r>
          </w:p>
        </w:tc>
        <w:tc>
          <w:tcPr>
            <w:tcW w:w="1774" w:type="dxa"/>
            <w:shd w:val="clear" w:color="auto" w:fill="auto"/>
          </w:tcPr>
          <w:p w14:paraId="11F770BF"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Povremeno</w:t>
            </w:r>
          </w:p>
          <w:p w14:paraId="5CACFA3F"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 1/1,000 do &lt; 1/100</w:t>
            </w:r>
          </w:p>
        </w:tc>
        <w:tc>
          <w:tcPr>
            <w:tcW w:w="2013" w:type="dxa"/>
            <w:shd w:val="clear" w:color="auto" w:fill="auto"/>
          </w:tcPr>
          <w:p w14:paraId="730918D4" w14:textId="5C8FB1A8"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R</w:t>
            </w:r>
            <w:r w:rsidR="008352C8" w:rsidRPr="00777B5C">
              <w:rPr>
                <w:rFonts w:eastAsia="Calibri"/>
                <w:noProof/>
                <w:szCs w:val="22"/>
                <w:lang w:val="sr-Latn-ME"/>
              </w:rPr>
              <w:t>ij</w:t>
            </w:r>
            <w:r w:rsidRPr="00777B5C">
              <w:rPr>
                <w:rFonts w:eastAsia="Calibri"/>
                <w:noProof/>
                <w:szCs w:val="22"/>
                <w:lang w:val="sr-Latn-ME"/>
              </w:rPr>
              <w:t>etko</w:t>
            </w:r>
          </w:p>
          <w:p w14:paraId="3F0A63F8" w14:textId="77777777" w:rsidR="00F412AB" w:rsidRPr="00777B5C" w:rsidRDefault="00F412AB" w:rsidP="007B2FC3">
            <w:pPr>
              <w:tabs>
                <w:tab w:val="clear" w:pos="284"/>
              </w:tabs>
              <w:contextualSpacing/>
              <w:rPr>
                <w:rFonts w:eastAsia="Calibri"/>
                <w:noProof/>
                <w:szCs w:val="22"/>
                <w:u w:val="single"/>
                <w:lang w:val="sr-Latn-ME"/>
              </w:rPr>
            </w:pPr>
            <w:r w:rsidRPr="00777B5C">
              <w:rPr>
                <w:rFonts w:eastAsia="Calibri"/>
                <w:noProof/>
                <w:szCs w:val="22"/>
                <w:lang w:val="sr-Latn-ME"/>
              </w:rPr>
              <w:t>≥ 1/10,000 do &lt; 1/1,000</w:t>
            </w:r>
          </w:p>
        </w:tc>
        <w:tc>
          <w:tcPr>
            <w:tcW w:w="1233" w:type="dxa"/>
            <w:shd w:val="clear" w:color="auto" w:fill="auto"/>
          </w:tcPr>
          <w:p w14:paraId="0CA9EAC0" w14:textId="6F6CB7A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Nepoznata učestalost (ne može se proc</w:t>
            </w:r>
            <w:r w:rsidR="008352C8" w:rsidRPr="00777B5C">
              <w:rPr>
                <w:rFonts w:eastAsia="Calibri"/>
                <w:noProof/>
                <w:szCs w:val="22"/>
                <w:lang w:val="sr-Latn-ME"/>
              </w:rPr>
              <w:t>ij</w:t>
            </w:r>
            <w:r w:rsidRPr="00777B5C">
              <w:rPr>
                <w:rFonts w:eastAsia="Calibri"/>
                <w:noProof/>
                <w:szCs w:val="22"/>
                <w:lang w:val="sr-Latn-ME"/>
              </w:rPr>
              <w:t>eniti na osnovu dostupnih podataka)</w:t>
            </w:r>
          </w:p>
        </w:tc>
      </w:tr>
      <w:tr w:rsidR="00160B46" w:rsidRPr="00777B5C" w14:paraId="3A7FC077" w14:textId="77777777" w:rsidTr="00777B5C">
        <w:tc>
          <w:tcPr>
            <w:tcW w:w="1781" w:type="dxa"/>
            <w:shd w:val="clear" w:color="auto" w:fill="auto"/>
          </w:tcPr>
          <w:p w14:paraId="1D74AD25"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Infekcije i infestacije</w:t>
            </w:r>
          </w:p>
        </w:tc>
        <w:tc>
          <w:tcPr>
            <w:tcW w:w="1236" w:type="dxa"/>
            <w:shd w:val="clear" w:color="auto" w:fill="auto"/>
          </w:tcPr>
          <w:p w14:paraId="20232E8C" w14:textId="77777777" w:rsidR="00F412AB" w:rsidRPr="00777B5C" w:rsidRDefault="00F412AB" w:rsidP="007B2FC3">
            <w:pPr>
              <w:tabs>
                <w:tab w:val="clear" w:pos="284"/>
              </w:tabs>
              <w:contextualSpacing/>
              <w:rPr>
                <w:rFonts w:eastAsia="Calibri"/>
                <w:noProof/>
                <w:szCs w:val="22"/>
                <w:u w:val="single"/>
                <w:lang w:val="sr-Latn-ME"/>
              </w:rPr>
            </w:pPr>
          </w:p>
        </w:tc>
        <w:tc>
          <w:tcPr>
            <w:tcW w:w="1915" w:type="dxa"/>
            <w:shd w:val="clear" w:color="auto" w:fill="auto"/>
          </w:tcPr>
          <w:p w14:paraId="00BD7CFE" w14:textId="77777777" w:rsidR="00F412AB" w:rsidRPr="00777B5C" w:rsidRDefault="00F412AB" w:rsidP="007B2FC3">
            <w:pPr>
              <w:tabs>
                <w:tab w:val="clear" w:pos="284"/>
              </w:tabs>
              <w:contextualSpacing/>
              <w:jc w:val="left"/>
              <w:rPr>
                <w:rFonts w:eastAsia="Calibri"/>
                <w:noProof/>
                <w:szCs w:val="22"/>
                <w:lang w:val="sr-Latn-ME"/>
              </w:rPr>
            </w:pPr>
            <w:r w:rsidRPr="00777B5C">
              <w:rPr>
                <w:rFonts w:eastAsia="Calibri"/>
                <w:noProof/>
                <w:szCs w:val="22"/>
                <w:lang w:val="sr-Latn-ME"/>
              </w:rPr>
              <w:t>sepsa/septični šok, pneumonija, apsces, infekcije</w:t>
            </w:r>
          </w:p>
        </w:tc>
        <w:tc>
          <w:tcPr>
            <w:tcW w:w="1774" w:type="dxa"/>
            <w:shd w:val="clear" w:color="auto" w:fill="auto"/>
          </w:tcPr>
          <w:p w14:paraId="0070BE5F" w14:textId="77777777" w:rsidR="00F412AB" w:rsidRPr="00777B5C" w:rsidRDefault="00F412AB">
            <w:pPr>
              <w:tabs>
                <w:tab w:val="clear" w:pos="284"/>
              </w:tabs>
              <w:contextualSpacing/>
              <w:jc w:val="left"/>
              <w:rPr>
                <w:rFonts w:eastAsia="Calibri"/>
                <w:noProof/>
                <w:szCs w:val="22"/>
                <w:u w:val="single"/>
                <w:lang w:val="sr-Latn-ME"/>
              </w:rPr>
            </w:pPr>
          </w:p>
        </w:tc>
        <w:tc>
          <w:tcPr>
            <w:tcW w:w="2013" w:type="dxa"/>
            <w:shd w:val="clear" w:color="auto" w:fill="auto"/>
          </w:tcPr>
          <w:p w14:paraId="0043E86E" w14:textId="77777777" w:rsidR="00F412AB" w:rsidRPr="00777B5C" w:rsidRDefault="00F412AB">
            <w:pPr>
              <w:tabs>
                <w:tab w:val="clear" w:pos="284"/>
              </w:tabs>
              <w:contextualSpacing/>
              <w:jc w:val="left"/>
              <w:rPr>
                <w:rFonts w:eastAsia="Calibri"/>
                <w:noProof/>
                <w:szCs w:val="22"/>
                <w:u w:val="single"/>
                <w:lang w:val="sr-Latn-ME"/>
              </w:rPr>
            </w:pPr>
          </w:p>
        </w:tc>
        <w:tc>
          <w:tcPr>
            <w:tcW w:w="1233" w:type="dxa"/>
            <w:shd w:val="clear" w:color="auto" w:fill="auto"/>
          </w:tcPr>
          <w:p w14:paraId="48387F7D" w14:textId="77777777" w:rsidR="00F412AB" w:rsidRPr="00777B5C" w:rsidRDefault="00F412AB" w:rsidP="007B2FC3">
            <w:pPr>
              <w:tabs>
                <w:tab w:val="clear" w:pos="284"/>
              </w:tabs>
              <w:contextualSpacing/>
              <w:rPr>
                <w:rFonts w:eastAsia="Calibri"/>
                <w:noProof/>
                <w:szCs w:val="22"/>
                <w:u w:val="single"/>
                <w:lang w:val="sr-Latn-ME"/>
              </w:rPr>
            </w:pPr>
          </w:p>
        </w:tc>
      </w:tr>
      <w:tr w:rsidR="00160B46" w:rsidRPr="00777B5C" w14:paraId="2CDF59C9" w14:textId="77777777" w:rsidTr="00777B5C">
        <w:tc>
          <w:tcPr>
            <w:tcW w:w="1781" w:type="dxa"/>
            <w:shd w:val="clear" w:color="auto" w:fill="auto"/>
          </w:tcPr>
          <w:p w14:paraId="5207561E"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Poremećaji krvi i limfnog sistema</w:t>
            </w:r>
          </w:p>
        </w:tc>
        <w:tc>
          <w:tcPr>
            <w:tcW w:w="1236" w:type="dxa"/>
            <w:shd w:val="clear" w:color="auto" w:fill="auto"/>
          </w:tcPr>
          <w:p w14:paraId="7E7FA246" w14:textId="77777777" w:rsidR="00F412AB" w:rsidRPr="00777B5C" w:rsidRDefault="00F412AB" w:rsidP="007B2FC3">
            <w:pPr>
              <w:tabs>
                <w:tab w:val="clear" w:pos="284"/>
              </w:tabs>
              <w:contextualSpacing/>
              <w:rPr>
                <w:rFonts w:eastAsia="Calibri"/>
                <w:noProof/>
                <w:szCs w:val="22"/>
                <w:u w:val="single"/>
                <w:lang w:val="sr-Latn-ME"/>
              </w:rPr>
            </w:pPr>
          </w:p>
        </w:tc>
        <w:tc>
          <w:tcPr>
            <w:tcW w:w="1915" w:type="dxa"/>
            <w:shd w:val="clear" w:color="auto" w:fill="auto"/>
          </w:tcPr>
          <w:p w14:paraId="01814E6C" w14:textId="1FB98089" w:rsidR="00F412AB" w:rsidRPr="00777B5C" w:rsidRDefault="00F412AB" w:rsidP="007B2FC3">
            <w:pPr>
              <w:tabs>
                <w:tab w:val="clear" w:pos="284"/>
              </w:tabs>
              <w:contextualSpacing/>
              <w:jc w:val="left"/>
              <w:rPr>
                <w:rFonts w:eastAsia="Calibri"/>
                <w:noProof/>
                <w:szCs w:val="22"/>
                <w:lang w:val="sr-Latn-ME"/>
              </w:rPr>
            </w:pPr>
            <w:r w:rsidRPr="00777B5C">
              <w:rPr>
                <w:rFonts w:eastAsia="Calibri"/>
                <w:noProof/>
                <w:szCs w:val="22"/>
                <w:lang w:val="sr-Latn-ME"/>
              </w:rPr>
              <w:t>produženo aktivirano parcijalno tromboplastinsko vr</w:t>
            </w:r>
            <w:r w:rsidR="008352C8" w:rsidRPr="00777B5C">
              <w:rPr>
                <w:rFonts w:eastAsia="Calibri"/>
                <w:noProof/>
                <w:szCs w:val="22"/>
                <w:lang w:val="sr-Latn-ME"/>
              </w:rPr>
              <w:t>ij</w:t>
            </w:r>
            <w:r w:rsidRPr="00777B5C">
              <w:rPr>
                <w:rFonts w:eastAsia="Calibri"/>
                <w:noProof/>
                <w:szCs w:val="22"/>
                <w:lang w:val="sr-Latn-ME"/>
              </w:rPr>
              <w:t>eme (aPTT), produženo protrombinsko vr</w:t>
            </w:r>
            <w:r w:rsidR="008352C8" w:rsidRPr="00777B5C">
              <w:rPr>
                <w:rFonts w:eastAsia="Calibri"/>
                <w:noProof/>
                <w:szCs w:val="22"/>
                <w:lang w:val="sr-Latn-ME"/>
              </w:rPr>
              <w:t>ij</w:t>
            </w:r>
            <w:r w:rsidRPr="00777B5C">
              <w:rPr>
                <w:rFonts w:eastAsia="Calibri"/>
                <w:noProof/>
                <w:szCs w:val="22"/>
                <w:lang w:val="sr-Latn-ME"/>
              </w:rPr>
              <w:t>eme</w:t>
            </w:r>
          </w:p>
        </w:tc>
        <w:tc>
          <w:tcPr>
            <w:tcW w:w="1774" w:type="dxa"/>
            <w:shd w:val="clear" w:color="auto" w:fill="auto"/>
          </w:tcPr>
          <w:p w14:paraId="58AA236E" w14:textId="77777777" w:rsidR="00F412AB" w:rsidRPr="00777B5C" w:rsidRDefault="00F412AB" w:rsidP="007B2FC3">
            <w:pPr>
              <w:tabs>
                <w:tab w:val="clear" w:pos="284"/>
              </w:tabs>
              <w:contextualSpacing/>
              <w:jc w:val="left"/>
              <w:rPr>
                <w:rFonts w:eastAsia="Calibri"/>
                <w:noProof/>
                <w:szCs w:val="22"/>
                <w:lang w:val="sr-Latn-ME"/>
              </w:rPr>
            </w:pPr>
            <w:r w:rsidRPr="00777B5C">
              <w:rPr>
                <w:rFonts w:eastAsia="Calibri"/>
                <w:noProof/>
                <w:szCs w:val="22"/>
                <w:lang w:val="sr-Latn-ME"/>
              </w:rPr>
              <w:t xml:space="preserve">trombocitopenija, povećanje internacionalnog normalizovanog odnosa (INR)  </w:t>
            </w:r>
          </w:p>
        </w:tc>
        <w:tc>
          <w:tcPr>
            <w:tcW w:w="2013" w:type="dxa"/>
            <w:shd w:val="clear" w:color="auto" w:fill="auto"/>
          </w:tcPr>
          <w:p w14:paraId="121E1486" w14:textId="606E7E37" w:rsidR="00F412AB" w:rsidRPr="00777B5C" w:rsidRDefault="00F412AB" w:rsidP="007B2FC3">
            <w:pPr>
              <w:tabs>
                <w:tab w:val="clear" w:pos="284"/>
              </w:tabs>
              <w:contextualSpacing/>
              <w:jc w:val="left"/>
              <w:rPr>
                <w:rFonts w:eastAsia="Calibri"/>
                <w:noProof/>
                <w:szCs w:val="22"/>
                <w:lang w:val="sr-Latn-ME"/>
              </w:rPr>
            </w:pPr>
            <w:r w:rsidRPr="00777B5C">
              <w:rPr>
                <w:rFonts w:eastAsia="Calibri"/>
                <w:noProof/>
                <w:szCs w:val="22"/>
                <w:lang w:val="sr-Latn-ME"/>
              </w:rPr>
              <w:t>hipofibrinogenemija</w:t>
            </w:r>
          </w:p>
        </w:tc>
        <w:tc>
          <w:tcPr>
            <w:tcW w:w="1233" w:type="dxa"/>
            <w:shd w:val="clear" w:color="auto" w:fill="auto"/>
          </w:tcPr>
          <w:p w14:paraId="2706044A" w14:textId="77777777" w:rsidR="00F412AB" w:rsidRPr="00777B5C" w:rsidRDefault="00F412AB" w:rsidP="007B2FC3">
            <w:pPr>
              <w:tabs>
                <w:tab w:val="clear" w:pos="284"/>
              </w:tabs>
              <w:contextualSpacing/>
              <w:rPr>
                <w:rFonts w:eastAsia="Calibri"/>
                <w:noProof/>
                <w:szCs w:val="22"/>
                <w:u w:val="single"/>
                <w:lang w:val="sr-Latn-ME"/>
              </w:rPr>
            </w:pPr>
          </w:p>
        </w:tc>
      </w:tr>
      <w:tr w:rsidR="00160B46" w:rsidRPr="00777B5C" w14:paraId="26E7E8CF" w14:textId="77777777" w:rsidTr="00777B5C">
        <w:tc>
          <w:tcPr>
            <w:tcW w:w="1781" w:type="dxa"/>
            <w:shd w:val="clear" w:color="auto" w:fill="auto"/>
          </w:tcPr>
          <w:p w14:paraId="0F8431C4" w14:textId="45576049"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Poremećaji imunog sistema</w:t>
            </w:r>
          </w:p>
        </w:tc>
        <w:tc>
          <w:tcPr>
            <w:tcW w:w="1236" w:type="dxa"/>
            <w:shd w:val="clear" w:color="auto" w:fill="auto"/>
          </w:tcPr>
          <w:p w14:paraId="5D75D317" w14:textId="77777777" w:rsidR="00F412AB" w:rsidRPr="00777B5C" w:rsidRDefault="00F412AB" w:rsidP="007B2FC3">
            <w:pPr>
              <w:tabs>
                <w:tab w:val="clear" w:pos="284"/>
              </w:tabs>
              <w:contextualSpacing/>
              <w:rPr>
                <w:rFonts w:eastAsia="Calibri"/>
                <w:noProof/>
                <w:szCs w:val="22"/>
                <w:u w:val="single"/>
                <w:lang w:val="sr-Latn-ME"/>
              </w:rPr>
            </w:pPr>
          </w:p>
        </w:tc>
        <w:tc>
          <w:tcPr>
            <w:tcW w:w="1915" w:type="dxa"/>
            <w:shd w:val="clear" w:color="auto" w:fill="auto"/>
          </w:tcPr>
          <w:p w14:paraId="0C2FFD9D" w14:textId="77777777" w:rsidR="00F412AB" w:rsidRPr="00777B5C" w:rsidRDefault="00F412AB" w:rsidP="007B2FC3">
            <w:pPr>
              <w:tabs>
                <w:tab w:val="clear" w:pos="284"/>
              </w:tabs>
              <w:contextualSpacing/>
              <w:rPr>
                <w:rFonts w:eastAsia="Calibri"/>
                <w:noProof/>
                <w:szCs w:val="22"/>
                <w:u w:val="single"/>
                <w:lang w:val="sr-Latn-ME"/>
              </w:rPr>
            </w:pPr>
          </w:p>
        </w:tc>
        <w:tc>
          <w:tcPr>
            <w:tcW w:w="1774" w:type="dxa"/>
            <w:shd w:val="clear" w:color="auto" w:fill="auto"/>
          </w:tcPr>
          <w:p w14:paraId="282124DD" w14:textId="77777777" w:rsidR="00F412AB" w:rsidRPr="00777B5C" w:rsidRDefault="00F412AB" w:rsidP="007B2FC3">
            <w:pPr>
              <w:tabs>
                <w:tab w:val="clear" w:pos="284"/>
              </w:tabs>
              <w:contextualSpacing/>
              <w:rPr>
                <w:rFonts w:eastAsia="Calibri"/>
                <w:noProof/>
                <w:szCs w:val="22"/>
                <w:u w:val="single"/>
                <w:lang w:val="sr-Latn-ME"/>
              </w:rPr>
            </w:pPr>
          </w:p>
        </w:tc>
        <w:tc>
          <w:tcPr>
            <w:tcW w:w="2013" w:type="dxa"/>
            <w:shd w:val="clear" w:color="auto" w:fill="auto"/>
          </w:tcPr>
          <w:p w14:paraId="1A8FE7F0" w14:textId="77777777" w:rsidR="00F412AB" w:rsidRPr="00777B5C" w:rsidRDefault="00F412AB" w:rsidP="007B2FC3">
            <w:pPr>
              <w:tabs>
                <w:tab w:val="clear" w:pos="284"/>
              </w:tabs>
              <w:contextualSpacing/>
              <w:rPr>
                <w:rFonts w:eastAsia="Calibri"/>
                <w:noProof/>
                <w:szCs w:val="22"/>
                <w:u w:val="single"/>
                <w:lang w:val="sr-Latn-ME"/>
              </w:rPr>
            </w:pPr>
          </w:p>
        </w:tc>
        <w:tc>
          <w:tcPr>
            <w:tcW w:w="1233" w:type="dxa"/>
            <w:shd w:val="clear" w:color="auto" w:fill="auto"/>
          </w:tcPr>
          <w:p w14:paraId="1DC197C3" w14:textId="2A2D3603" w:rsidR="00F412AB" w:rsidRPr="00777B5C" w:rsidRDefault="00F412AB" w:rsidP="007B2FC3">
            <w:pPr>
              <w:tabs>
                <w:tab w:val="clear" w:pos="284"/>
              </w:tabs>
              <w:contextualSpacing/>
              <w:jc w:val="left"/>
              <w:rPr>
                <w:rFonts w:eastAsia="Calibri"/>
                <w:noProof/>
                <w:szCs w:val="22"/>
                <w:lang w:val="sr-Latn-ME"/>
              </w:rPr>
            </w:pPr>
            <w:r w:rsidRPr="00777B5C">
              <w:rPr>
                <w:rFonts w:eastAsia="Calibri"/>
                <w:noProof/>
                <w:szCs w:val="22"/>
                <w:lang w:val="sr-Latn-ME"/>
              </w:rPr>
              <w:t>anafilaksa/ anafilaktoidne reakcije</w:t>
            </w:r>
            <w:r w:rsidRPr="00777B5C">
              <w:rPr>
                <w:rFonts w:eastAsia="Calibri"/>
                <w:noProof/>
                <w:szCs w:val="22"/>
                <w:vertAlign w:val="superscript"/>
                <w:lang w:val="sr-Latn-ME"/>
              </w:rPr>
              <w:t xml:space="preserve">* </w:t>
            </w:r>
            <w:r w:rsidRPr="00777B5C">
              <w:rPr>
                <w:rFonts w:eastAsia="Calibri"/>
                <w:noProof/>
                <w:szCs w:val="22"/>
                <w:lang w:val="sr-Latn-ME"/>
              </w:rPr>
              <w:t>(vid</w:t>
            </w:r>
            <w:r w:rsidR="008352C8" w:rsidRPr="00777B5C">
              <w:rPr>
                <w:rFonts w:eastAsia="Calibri"/>
                <w:noProof/>
                <w:szCs w:val="22"/>
                <w:lang w:val="sr-Latn-ME"/>
              </w:rPr>
              <w:t>j</w:t>
            </w:r>
            <w:r w:rsidRPr="00777B5C">
              <w:rPr>
                <w:rFonts w:eastAsia="Calibri"/>
                <w:noProof/>
                <w:szCs w:val="22"/>
                <w:lang w:val="sr-Latn-ME"/>
              </w:rPr>
              <w:t xml:space="preserve">eti </w:t>
            </w:r>
            <w:r w:rsidR="008352C8" w:rsidRPr="00777B5C">
              <w:rPr>
                <w:rFonts w:eastAsia="Calibri"/>
                <w:noProof/>
                <w:szCs w:val="22"/>
                <w:lang w:val="sr-Latn-ME"/>
              </w:rPr>
              <w:t>djelove</w:t>
            </w:r>
            <w:r w:rsidRPr="00777B5C">
              <w:rPr>
                <w:rFonts w:eastAsia="Calibri"/>
                <w:noProof/>
                <w:szCs w:val="22"/>
                <w:lang w:val="sr-Latn-ME"/>
              </w:rPr>
              <w:t xml:space="preserve"> </w:t>
            </w:r>
            <w:r w:rsidR="00CB2E84" w:rsidRPr="00777B5C">
              <w:rPr>
                <w:rFonts w:eastAsia="Calibri"/>
                <w:noProof/>
                <w:szCs w:val="22"/>
                <w:lang w:val="sr-Latn-ME"/>
              </w:rPr>
              <w:t>„Kontraindikacije“</w:t>
            </w:r>
            <w:r w:rsidRPr="00777B5C">
              <w:rPr>
                <w:rFonts w:eastAsia="Calibri"/>
                <w:noProof/>
                <w:szCs w:val="22"/>
                <w:lang w:val="sr-Latn-ME"/>
              </w:rPr>
              <w:t xml:space="preserve"> i </w:t>
            </w:r>
            <w:r w:rsidR="00CB2E84" w:rsidRPr="00777B5C">
              <w:rPr>
                <w:rFonts w:eastAsia="TimesNewRoman"/>
                <w:noProof/>
                <w:szCs w:val="22"/>
                <w:lang w:val="sr-Latn-ME"/>
              </w:rPr>
              <w:t>„</w:t>
            </w:r>
            <w:r w:rsidR="00CB2E84" w:rsidRPr="00777B5C">
              <w:rPr>
                <w:bCs/>
                <w:szCs w:val="22"/>
                <w:lang w:val="sr-Latn-ME"/>
              </w:rPr>
              <w:t>Posebna upozorenja i mjere opreza pri upotrebi lijeka”</w:t>
            </w:r>
            <w:r w:rsidRPr="00777B5C">
              <w:rPr>
                <w:rFonts w:eastAsia="Calibri"/>
                <w:noProof/>
                <w:szCs w:val="22"/>
                <w:lang w:val="sr-Latn-ME"/>
              </w:rPr>
              <w:t>)</w:t>
            </w:r>
          </w:p>
        </w:tc>
      </w:tr>
      <w:tr w:rsidR="00160B46" w:rsidRPr="00777B5C" w14:paraId="46C6EEF9" w14:textId="77777777" w:rsidTr="00777B5C">
        <w:tc>
          <w:tcPr>
            <w:tcW w:w="1781" w:type="dxa"/>
            <w:shd w:val="clear" w:color="auto" w:fill="auto"/>
          </w:tcPr>
          <w:p w14:paraId="29DB264A"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lastRenderedPageBreak/>
              <w:t>Poremećaji metabolizma i ishrane</w:t>
            </w:r>
          </w:p>
        </w:tc>
        <w:tc>
          <w:tcPr>
            <w:tcW w:w="1236" w:type="dxa"/>
            <w:shd w:val="clear" w:color="auto" w:fill="auto"/>
          </w:tcPr>
          <w:p w14:paraId="5758BD99" w14:textId="77777777" w:rsidR="00F412AB" w:rsidRPr="00777B5C" w:rsidRDefault="00F412AB" w:rsidP="007B2FC3">
            <w:pPr>
              <w:tabs>
                <w:tab w:val="clear" w:pos="284"/>
              </w:tabs>
              <w:contextualSpacing/>
              <w:rPr>
                <w:rFonts w:eastAsia="Calibri"/>
                <w:noProof/>
                <w:szCs w:val="22"/>
                <w:u w:val="single"/>
                <w:lang w:val="sr-Latn-ME"/>
              </w:rPr>
            </w:pPr>
          </w:p>
        </w:tc>
        <w:tc>
          <w:tcPr>
            <w:tcW w:w="1915" w:type="dxa"/>
            <w:shd w:val="clear" w:color="auto" w:fill="auto"/>
          </w:tcPr>
          <w:p w14:paraId="026E72D3"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hipoglikemija, hipoproteinemija</w:t>
            </w:r>
          </w:p>
        </w:tc>
        <w:tc>
          <w:tcPr>
            <w:tcW w:w="1774" w:type="dxa"/>
            <w:shd w:val="clear" w:color="auto" w:fill="auto"/>
          </w:tcPr>
          <w:p w14:paraId="6237ACC4" w14:textId="77777777" w:rsidR="00F412AB" w:rsidRPr="00777B5C" w:rsidRDefault="00F412AB" w:rsidP="007B2FC3">
            <w:pPr>
              <w:tabs>
                <w:tab w:val="clear" w:pos="284"/>
              </w:tabs>
              <w:contextualSpacing/>
              <w:rPr>
                <w:rFonts w:eastAsia="Calibri"/>
                <w:noProof/>
                <w:szCs w:val="22"/>
                <w:u w:val="single"/>
                <w:lang w:val="sr-Latn-ME"/>
              </w:rPr>
            </w:pPr>
          </w:p>
        </w:tc>
        <w:tc>
          <w:tcPr>
            <w:tcW w:w="2013" w:type="dxa"/>
            <w:shd w:val="clear" w:color="auto" w:fill="auto"/>
          </w:tcPr>
          <w:p w14:paraId="0CEBCA2D" w14:textId="77777777" w:rsidR="00F412AB" w:rsidRPr="00777B5C" w:rsidRDefault="00F412AB" w:rsidP="007B2FC3">
            <w:pPr>
              <w:tabs>
                <w:tab w:val="clear" w:pos="284"/>
              </w:tabs>
              <w:contextualSpacing/>
              <w:rPr>
                <w:rFonts w:eastAsia="Calibri"/>
                <w:noProof/>
                <w:szCs w:val="22"/>
                <w:u w:val="single"/>
                <w:lang w:val="sr-Latn-ME"/>
              </w:rPr>
            </w:pPr>
          </w:p>
        </w:tc>
        <w:tc>
          <w:tcPr>
            <w:tcW w:w="1233" w:type="dxa"/>
            <w:shd w:val="clear" w:color="auto" w:fill="auto"/>
          </w:tcPr>
          <w:p w14:paraId="4CB7EB33" w14:textId="77777777" w:rsidR="00F412AB" w:rsidRPr="00777B5C" w:rsidRDefault="00F412AB" w:rsidP="007B2FC3">
            <w:pPr>
              <w:tabs>
                <w:tab w:val="clear" w:pos="284"/>
              </w:tabs>
              <w:contextualSpacing/>
              <w:rPr>
                <w:rFonts w:eastAsia="Calibri"/>
                <w:noProof/>
                <w:szCs w:val="22"/>
                <w:u w:val="single"/>
                <w:lang w:val="sr-Latn-ME"/>
              </w:rPr>
            </w:pPr>
          </w:p>
        </w:tc>
      </w:tr>
      <w:tr w:rsidR="00160B46" w:rsidRPr="00777B5C" w14:paraId="1C86CF24" w14:textId="77777777" w:rsidTr="00777B5C">
        <w:tc>
          <w:tcPr>
            <w:tcW w:w="1781" w:type="dxa"/>
            <w:shd w:val="clear" w:color="auto" w:fill="auto"/>
          </w:tcPr>
          <w:p w14:paraId="58CAB26D"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Poremećaji nervnog sistema</w:t>
            </w:r>
          </w:p>
        </w:tc>
        <w:tc>
          <w:tcPr>
            <w:tcW w:w="1236" w:type="dxa"/>
            <w:shd w:val="clear" w:color="auto" w:fill="auto"/>
          </w:tcPr>
          <w:p w14:paraId="732BF5FB" w14:textId="77777777" w:rsidR="00F412AB" w:rsidRPr="00777B5C" w:rsidRDefault="00F412AB" w:rsidP="007B2FC3">
            <w:pPr>
              <w:tabs>
                <w:tab w:val="clear" w:pos="284"/>
              </w:tabs>
              <w:contextualSpacing/>
              <w:rPr>
                <w:rFonts w:eastAsia="Calibri"/>
                <w:noProof/>
                <w:szCs w:val="22"/>
                <w:u w:val="single"/>
                <w:lang w:val="sr-Latn-ME"/>
              </w:rPr>
            </w:pPr>
          </w:p>
        </w:tc>
        <w:tc>
          <w:tcPr>
            <w:tcW w:w="1915" w:type="dxa"/>
            <w:shd w:val="clear" w:color="auto" w:fill="auto"/>
          </w:tcPr>
          <w:p w14:paraId="78889E15"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vrtoglavica</w:t>
            </w:r>
          </w:p>
        </w:tc>
        <w:tc>
          <w:tcPr>
            <w:tcW w:w="1774" w:type="dxa"/>
            <w:shd w:val="clear" w:color="auto" w:fill="auto"/>
          </w:tcPr>
          <w:p w14:paraId="2C258E3B" w14:textId="77777777" w:rsidR="00F412AB" w:rsidRPr="00777B5C" w:rsidRDefault="00F412AB" w:rsidP="007B2FC3">
            <w:pPr>
              <w:tabs>
                <w:tab w:val="clear" w:pos="284"/>
              </w:tabs>
              <w:contextualSpacing/>
              <w:rPr>
                <w:rFonts w:eastAsia="Calibri"/>
                <w:noProof/>
                <w:szCs w:val="22"/>
                <w:u w:val="single"/>
                <w:lang w:val="sr-Latn-ME"/>
              </w:rPr>
            </w:pPr>
          </w:p>
        </w:tc>
        <w:tc>
          <w:tcPr>
            <w:tcW w:w="2013" w:type="dxa"/>
            <w:shd w:val="clear" w:color="auto" w:fill="auto"/>
          </w:tcPr>
          <w:p w14:paraId="37CE37FD" w14:textId="77777777" w:rsidR="00F412AB" w:rsidRPr="00777B5C" w:rsidRDefault="00F412AB" w:rsidP="007B2FC3">
            <w:pPr>
              <w:tabs>
                <w:tab w:val="clear" w:pos="284"/>
              </w:tabs>
              <w:contextualSpacing/>
              <w:rPr>
                <w:rFonts w:eastAsia="Calibri"/>
                <w:noProof/>
                <w:szCs w:val="22"/>
                <w:u w:val="single"/>
                <w:lang w:val="sr-Latn-ME"/>
              </w:rPr>
            </w:pPr>
          </w:p>
        </w:tc>
        <w:tc>
          <w:tcPr>
            <w:tcW w:w="1233" w:type="dxa"/>
            <w:shd w:val="clear" w:color="auto" w:fill="auto"/>
          </w:tcPr>
          <w:p w14:paraId="7D46B47B" w14:textId="77777777" w:rsidR="00F412AB" w:rsidRPr="00777B5C" w:rsidRDefault="00F412AB" w:rsidP="007B2FC3">
            <w:pPr>
              <w:tabs>
                <w:tab w:val="clear" w:pos="284"/>
              </w:tabs>
              <w:contextualSpacing/>
              <w:rPr>
                <w:rFonts w:eastAsia="Calibri"/>
                <w:noProof/>
                <w:szCs w:val="22"/>
                <w:u w:val="single"/>
                <w:lang w:val="sr-Latn-ME"/>
              </w:rPr>
            </w:pPr>
          </w:p>
        </w:tc>
      </w:tr>
      <w:tr w:rsidR="00160B46" w:rsidRPr="00777B5C" w14:paraId="1752C739" w14:textId="77777777" w:rsidTr="00777B5C">
        <w:tc>
          <w:tcPr>
            <w:tcW w:w="1781" w:type="dxa"/>
            <w:shd w:val="clear" w:color="auto" w:fill="auto"/>
          </w:tcPr>
          <w:p w14:paraId="7AC566AD"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Vaskularni poremećaji</w:t>
            </w:r>
          </w:p>
        </w:tc>
        <w:tc>
          <w:tcPr>
            <w:tcW w:w="1236" w:type="dxa"/>
            <w:shd w:val="clear" w:color="auto" w:fill="auto"/>
          </w:tcPr>
          <w:p w14:paraId="0200E972" w14:textId="77777777" w:rsidR="00F412AB" w:rsidRPr="00777B5C" w:rsidRDefault="00F412AB" w:rsidP="007B2FC3">
            <w:pPr>
              <w:tabs>
                <w:tab w:val="clear" w:pos="284"/>
              </w:tabs>
              <w:contextualSpacing/>
              <w:rPr>
                <w:rFonts w:eastAsia="Calibri"/>
                <w:noProof/>
                <w:szCs w:val="22"/>
                <w:u w:val="single"/>
                <w:lang w:val="sr-Latn-ME"/>
              </w:rPr>
            </w:pPr>
          </w:p>
        </w:tc>
        <w:tc>
          <w:tcPr>
            <w:tcW w:w="1915" w:type="dxa"/>
            <w:shd w:val="clear" w:color="auto" w:fill="auto"/>
          </w:tcPr>
          <w:p w14:paraId="780871C8"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flebitis</w:t>
            </w:r>
          </w:p>
        </w:tc>
        <w:tc>
          <w:tcPr>
            <w:tcW w:w="1774" w:type="dxa"/>
            <w:shd w:val="clear" w:color="auto" w:fill="auto"/>
          </w:tcPr>
          <w:p w14:paraId="77020EC6"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tromboflebitis</w:t>
            </w:r>
          </w:p>
        </w:tc>
        <w:tc>
          <w:tcPr>
            <w:tcW w:w="2013" w:type="dxa"/>
            <w:shd w:val="clear" w:color="auto" w:fill="auto"/>
          </w:tcPr>
          <w:p w14:paraId="24FDC249" w14:textId="77777777" w:rsidR="00F412AB" w:rsidRPr="00777B5C" w:rsidRDefault="00F412AB" w:rsidP="007B2FC3">
            <w:pPr>
              <w:tabs>
                <w:tab w:val="clear" w:pos="284"/>
              </w:tabs>
              <w:contextualSpacing/>
              <w:rPr>
                <w:rFonts w:eastAsia="Calibri"/>
                <w:noProof/>
                <w:szCs w:val="22"/>
                <w:u w:val="single"/>
                <w:lang w:val="sr-Latn-ME"/>
              </w:rPr>
            </w:pPr>
          </w:p>
        </w:tc>
        <w:tc>
          <w:tcPr>
            <w:tcW w:w="1233" w:type="dxa"/>
            <w:shd w:val="clear" w:color="auto" w:fill="auto"/>
          </w:tcPr>
          <w:p w14:paraId="361323D7" w14:textId="77777777" w:rsidR="00F412AB" w:rsidRPr="00777B5C" w:rsidRDefault="00F412AB" w:rsidP="007B2FC3">
            <w:pPr>
              <w:tabs>
                <w:tab w:val="clear" w:pos="284"/>
              </w:tabs>
              <w:contextualSpacing/>
              <w:rPr>
                <w:rFonts w:eastAsia="Calibri"/>
                <w:noProof/>
                <w:szCs w:val="22"/>
                <w:u w:val="single"/>
                <w:lang w:val="sr-Latn-ME"/>
              </w:rPr>
            </w:pPr>
          </w:p>
        </w:tc>
      </w:tr>
      <w:tr w:rsidR="00160B46" w:rsidRPr="00777B5C" w14:paraId="0AC5CA77" w14:textId="77777777" w:rsidTr="00777B5C">
        <w:tc>
          <w:tcPr>
            <w:tcW w:w="1781" w:type="dxa"/>
            <w:shd w:val="clear" w:color="auto" w:fill="auto"/>
          </w:tcPr>
          <w:p w14:paraId="5DB1A08F"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Gastrointestinalni poremećaji</w:t>
            </w:r>
          </w:p>
        </w:tc>
        <w:tc>
          <w:tcPr>
            <w:tcW w:w="1236" w:type="dxa"/>
            <w:shd w:val="clear" w:color="auto" w:fill="auto"/>
          </w:tcPr>
          <w:p w14:paraId="02697967"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mučnina, povraćanje, dijareja</w:t>
            </w:r>
          </w:p>
        </w:tc>
        <w:tc>
          <w:tcPr>
            <w:tcW w:w="1915" w:type="dxa"/>
            <w:shd w:val="clear" w:color="auto" w:fill="auto"/>
          </w:tcPr>
          <w:p w14:paraId="236303AA"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abdominalni bol, dispepsija, anoreksija</w:t>
            </w:r>
          </w:p>
        </w:tc>
        <w:tc>
          <w:tcPr>
            <w:tcW w:w="1774" w:type="dxa"/>
            <w:shd w:val="clear" w:color="auto" w:fill="auto"/>
          </w:tcPr>
          <w:p w14:paraId="289060C9" w14:textId="237DE47D"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akutni pankreatitis (vid</w:t>
            </w:r>
            <w:r w:rsidR="008352C8" w:rsidRPr="00777B5C">
              <w:rPr>
                <w:rFonts w:eastAsia="Calibri"/>
                <w:noProof/>
                <w:szCs w:val="22"/>
                <w:lang w:val="sr-Latn-ME"/>
              </w:rPr>
              <w:t>j</w:t>
            </w:r>
            <w:r w:rsidRPr="00777B5C">
              <w:rPr>
                <w:rFonts w:eastAsia="Calibri"/>
                <w:noProof/>
                <w:szCs w:val="22"/>
                <w:lang w:val="sr-Latn-ME"/>
              </w:rPr>
              <w:t xml:space="preserve">eti </w:t>
            </w:r>
            <w:r w:rsidR="008352C8" w:rsidRPr="00777B5C">
              <w:rPr>
                <w:rFonts w:eastAsia="Calibri"/>
                <w:noProof/>
                <w:szCs w:val="22"/>
                <w:lang w:val="sr-Latn-ME"/>
              </w:rPr>
              <w:t>dio</w:t>
            </w:r>
            <w:r w:rsidRPr="00777B5C">
              <w:rPr>
                <w:rFonts w:eastAsia="Calibri"/>
                <w:noProof/>
                <w:szCs w:val="22"/>
                <w:lang w:val="sr-Latn-ME"/>
              </w:rPr>
              <w:t xml:space="preserve"> </w:t>
            </w:r>
            <w:r w:rsidR="00CB2E84" w:rsidRPr="00777B5C">
              <w:rPr>
                <w:rFonts w:eastAsia="TimesNewRoman"/>
                <w:noProof/>
                <w:szCs w:val="22"/>
                <w:lang w:val="sr-Latn-ME"/>
              </w:rPr>
              <w:t>„</w:t>
            </w:r>
            <w:r w:rsidR="00CB2E84" w:rsidRPr="00777B5C">
              <w:rPr>
                <w:bCs/>
                <w:szCs w:val="22"/>
                <w:lang w:val="sr-Latn-ME"/>
              </w:rPr>
              <w:t>Posebna upozorenja i mjere opreza pri upotrebi lijeka”</w:t>
            </w:r>
            <w:r w:rsidRPr="00777B5C">
              <w:rPr>
                <w:rFonts w:eastAsia="Calibri"/>
                <w:noProof/>
                <w:szCs w:val="22"/>
                <w:lang w:val="sr-Latn-ME"/>
              </w:rPr>
              <w:t>)</w:t>
            </w:r>
          </w:p>
        </w:tc>
        <w:tc>
          <w:tcPr>
            <w:tcW w:w="2013" w:type="dxa"/>
            <w:shd w:val="clear" w:color="auto" w:fill="auto"/>
          </w:tcPr>
          <w:p w14:paraId="45DDC933" w14:textId="77777777" w:rsidR="00F412AB" w:rsidRPr="00777B5C" w:rsidRDefault="00F412AB" w:rsidP="007B2FC3">
            <w:pPr>
              <w:tabs>
                <w:tab w:val="clear" w:pos="284"/>
              </w:tabs>
              <w:contextualSpacing/>
              <w:rPr>
                <w:rFonts w:eastAsia="Calibri"/>
                <w:noProof/>
                <w:szCs w:val="22"/>
                <w:u w:val="single"/>
                <w:lang w:val="sr-Latn-ME"/>
              </w:rPr>
            </w:pPr>
          </w:p>
        </w:tc>
        <w:tc>
          <w:tcPr>
            <w:tcW w:w="1233" w:type="dxa"/>
            <w:shd w:val="clear" w:color="auto" w:fill="auto"/>
          </w:tcPr>
          <w:p w14:paraId="687C7C9F" w14:textId="77777777" w:rsidR="00F412AB" w:rsidRPr="00777B5C" w:rsidRDefault="00F412AB" w:rsidP="007B2FC3">
            <w:pPr>
              <w:tabs>
                <w:tab w:val="clear" w:pos="284"/>
              </w:tabs>
              <w:contextualSpacing/>
              <w:rPr>
                <w:rFonts w:eastAsia="Calibri"/>
                <w:noProof/>
                <w:szCs w:val="22"/>
                <w:u w:val="single"/>
                <w:lang w:val="sr-Latn-ME"/>
              </w:rPr>
            </w:pPr>
          </w:p>
        </w:tc>
      </w:tr>
      <w:tr w:rsidR="00160B46" w:rsidRPr="00777B5C" w14:paraId="3035E8E3" w14:textId="77777777" w:rsidTr="00777B5C">
        <w:tc>
          <w:tcPr>
            <w:tcW w:w="1781" w:type="dxa"/>
            <w:shd w:val="clear" w:color="auto" w:fill="auto"/>
          </w:tcPr>
          <w:p w14:paraId="60F4DD84"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Hepatobilijarni poremećaji</w:t>
            </w:r>
          </w:p>
        </w:tc>
        <w:tc>
          <w:tcPr>
            <w:tcW w:w="1236" w:type="dxa"/>
            <w:shd w:val="clear" w:color="auto" w:fill="auto"/>
          </w:tcPr>
          <w:p w14:paraId="2CE30A30" w14:textId="77777777" w:rsidR="00F412AB" w:rsidRPr="00777B5C" w:rsidRDefault="00F412AB" w:rsidP="007B2FC3">
            <w:pPr>
              <w:tabs>
                <w:tab w:val="clear" w:pos="284"/>
              </w:tabs>
              <w:contextualSpacing/>
              <w:rPr>
                <w:rFonts w:eastAsia="Calibri"/>
                <w:noProof/>
                <w:szCs w:val="22"/>
                <w:u w:val="single"/>
                <w:lang w:val="sr-Latn-ME"/>
              </w:rPr>
            </w:pPr>
          </w:p>
        </w:tc>
        <w:tc>
          <w:tcPr>
            <w:tcW w:w="1915" w:type="dxa"/>
            <w:shd w:val="clear" w:color="auto" w:fill="auto"/>
          </w:tcPr>
          <w:p w14:paraId="1D0AA93C" w14:textId="74C67AFF"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povećane vr</w:t>
            </w:r>
            <w:r w:rsidR="008352C8" w:rsidRPr="00777B5C">
              <w:rPr>
                <w:rFonts w:eastAsia="Calibri"/>
                <w:noProof/>
                <w:szCs w:val="22"/>
                <w:lang w:val="sr-Latn-ME"/>
              </w:rPr>
              <w:t>ij</w:t>
            </w:r>
            <w:r w:rsidRPr="00777B5C">
              <w:rPr>
                <w:rFonts w:eastAsia="Calibri"/>
                <w:noProof/>
                <w:szCs w:val="22"/>
                <w:lang w:val="sr-Latn-ME"/>
              </w:rPr>
              <w:t>ednosti aspartat aminotransferaze (AST) i alanin aminotransferaze (ALT) u serumu, hiperbilirubinemija</w:t>
            </w:r>
          </w:p>
        </w:tc>
        <w:tc>
          <w:tcPr>
            <w:tcW w:w="1774" w:type="dxa"/>
            <w:shd w:val="clear" w:color="auto" w:fill="auto"/>
          </w:tcPr>
          <w:p w14:paraId="3D0B1573"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žutica, oštećenje jetre, uglavnom holestatskog tipa</w:t>
            </w:r>
          </w:p>
        </w:tc>
        <w:tc>
          <w:tcPr>
            <w:tcW w:w="2013" w:type="dxa"/>
            <w:shd w:val="clear" w:color="auto" w:fill="auto"/>
          </w:tcPr>
          <w:p w14:paraId="6D42AE86" w14:textId="77777777" w:rsidR="00F412AB" w:rsidRPr="00777B5C" w:rsidRDefault="00F412AB" w:rsidP="007B2FC3">
            <w:pPr>
              <w:tabs>
                <w:tab w:val="clear" w:pos="284"/>
              </w:tabs>
              <w:contextualSpacing/>
              <w:rPr>
                <w:rFonts w:eastAsia="Calibri"/>
                <w:noProof/>
                <w:szCs w:val="22"/>
                <w:u w:val="single"/>
                <w:lang w:val="sr-Latn-ME"/>
              </w:rPr>
            </w:pPr>
          </w:p>
        </w:tc>
        <w:tc>
          <w:tcPr>
            <w:tcW w:w="1233" w:type="dxa"/>
            <w:shd w:val="clear" w:color="auto" w:fill="auto"/>
          </w:tcPr>
          <w:p w14:paraId="322E2B0A" w14:textId="0C0E2526" w:rsidR="00F412AB" w:rsidRPr="00777B5C" w:rsidRDefault="00F412AB" w:rsidP="007B2FC3">
            <w:pPr>
              <w:tabs>
                <w:tab w:val="clear" w:pos="284"/>
              </w:tabs>
              <w:contextualSpacing/>
              <w:jc w:val="left"/>
              <w:rPr>
                <w:rFonts w:eastAsia="Calibri"/>
                <w:noProof/>
                <w:szCs w:val="22"/>
                <w:lang w:val="sr-Latn-ME"/>
              </w:rPr>
            </w:pPr>
            <w:r w:rsidRPr="00777B5C">
              <w:rPr>
                <w:rFonts w:eastAsia="Calibri"/>
                <w:noProof/>
                <w:szCs w:val="22"/>
                <w:lang w:val="sr-Latn-ME"/>
              </w:rPr>
              <w:t>Insuficijencija</w:t>
            </w:r>
            <w:r w:rsidR="00160B46" w:rsidRPr="00777B5C">
              <w:rPr>
                <w:rFonts w:eastAsia="Calibri"/>
                <w:noProof/>
                <w:szCs w:val="22"/>
                <w:lang w:val="sr-Latn-ME"/>
              </w:rPr>
              <w:t xml:space="preserve"> </w:t>
            </w:r>
            <w:r w:rsidRPr="00777B5C">
              <w:rPr>
                <w:rFonts w:eastAsia="Calibri"/>
                <w:noProof/>
                <w:szCs w:val="22"/>
                <w:lang w:val="sr-Latn-ME"/>
              </w:rPr>
              <w:t>jetre</w:t>
            </w:r>
            <w:r w:rsidRPr="00777B5C">
              <w:rPr>
                <w:rFonts w:eastAsia="Calibri"/>
                <w:noProof/>
                <w:szCs w:val="22"/>
                <w:vertAlign w:val="superscript"/>
                <w:lang w:val="sr-Latn-ME"/>
              </w:rPr>
              <w:t xml:space="preserve">* </w:t>
            </w:r>
            <w:r w:rsidRPr="00777B5C">
              <w:rPr>
                <w:rFonts w:eastAsia="Calibri"/>
                <w:noProof/>
                <w:szCs w:val="22"/>
                <w:lang w:val="sr-Latn-ME"/>
              </w:rPr>
              <w:t>(vid</w:t>
            </w:r>
            <w:r w:rsidR="008352C8" w:rsidRPr="00777B5C">
              <w:rPr>
                <w:rFonts w:eastAsia="Calibri"/>
                <w:noProof/>
                <w:szCs w:val="22"/>
                <w:lang w:val="sr-Latn-ME"/>
              </w:rPr>
              <w:t>j</w:t>
            </w:r>
            <w:r w:rsidRPr="00777B5C">
              <w:rPr>
                <w:rFonts w:eastAsia="Calibri"/>
                <w:noProof/>
                <w:szCs w:val="22"/>
                <w:lang w:val="sr-Latn-ME"/>
              </w:rPr>
              <w:t xml:space="preserve">eti </w:t>
            </w:r>
            <w:r w:rsidR="008352C8" w:rsidRPr="00777B5C">
              <w:rPr>
                <w:rFonts w:eastAsia="Calibri"/>
                <w:noProof/>
                <w:szCs w:val="22"/>
                <w:lang w:val="sr-Latn-ME"/>
              </w:rPr>
              <w:t>dio</w:t>
            </w:r>
            <w:r w:rsidRPr="00777B5C">
              <w:rPr>
                <w:rFonts w:eastAsia="Calibri"/>
                <w:noProof/>
                <w:szCs w:val="22"/>
                <w:lang w:val="sr-Latn-ME"/>
              </w:rPr>
              <w:t xml:space="preserve"> </w:t>
            </w:r>
            <w:r w:rsidR="00CB2E84" w:rsidRPr="00777B5C">
              <w:rPr>
                <w:rFonts w:eastAsia="TimesNewRoman"/>
                <w:noProof/>
                <w:szCs w:val="22"/>
                <w:lang w:val="sr-Latn-ME"/>
              </w:rPr>
              <w:t>„</w:t>
            </w:r>
            <w:r w:rsidR="00CB2E84" w:rsidRPr="00777B5C">
              <w:rPr>
                <w:bCs/>
                <w:szCs w:val="22"/>
                <w:lang w:val="sr-Latn-ME"/>
              </w:rPr>
              <w:t>Posebna upozorenja i mjere opreza pri upotrebi lijeka”</w:t>
            </w:r>
            <w:r w:rsidRPr="00777B5C">
              <w:rPr>
                <w:rFonts w:eastAsia="Calibri"/>
                <w:noProof/>
                <w:szCs w:val="22"/>
                <w:lang w:val="sr-Latn-ME"/>
              </w:rPr>
              <w:t>)</w:t>
            </w:r>
          </w:p>
        </w:tc>
      </w:tr>
      <w:tr w:rsidR="00160B46" w:rsidRPr="00777B5C" w14:paraId="16D42612" w14:textId="77777777" w:rsidTr="00777B5C">
        <w:tc>
          <w:tcPr>
            <w:tcW w:w="1781" w:type="dxa"/>
            <w:shd w:val="clear" w:color="auto" w:fill="auto"/>
          </w:tcPr>
          <w:p w14:paraId="1F342688"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Poremećaji kože i potkožnog tkiva</w:t>
            </w:r>
          </w:p>
        </w:tc>
        <w:tc>
          <w:tcPr>
            <w:tcW w:w="1236" w:type="dxa"/>
            <w:shd w:val="clear" w:color="auto" w:fill="auto"/>
          </w:tcPr>
          <w:p w14:paraId="2EB6EF9F" w14:textId="77777777" w:rsidR="00F412AB" w:rsidRPr="00777B5C" w:rsidRDefault="00F412AB" w:rsidP="007B2FC3">
            <w:pPr>
              <w:tabs>
                <w:tab w:val="clear" w:pos="284"/>
              </w:tabs>
              <w:contextualSpacing/>
              <w:rPr>
                <w:rFonts w:eastAsia="Calibri"/>
                <w:noProof/>
                <w:szCs w:val="22"/>
                <w:u w:val="single"/>
                <w:lang w:val="sr-Latn-ME"/>
              </w:rPr>
            </w:pPr>
          </w:p>
        </w:tc>
        <w:tc>
          <w:tcPr>
            <w:tcW w:w="1915" w:type="dxa"/>
            <w:shd w:val="clear" w:color="auto" w:fill="auto"/>
          </w:tcPr>
          <w:p w14:paraId="3B1373CA"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pruritus, osip</w:t>
            </w:r>
          </w:p>
        </w:tc>
        <w:tc>
          <w:tcPr>
            <w:tcW w:w="1774" w:type="dxa"/>
            <w:shd w:val="clear" w:color="auto" w:fill="auto"/>
          </w:tcPr>
          <w:p w14:paraId="744DDBBB" w14:textId="77777777" w:rsidR="00F412AB" w:rsidRPr="00777B5C" w:rsidRDefault="00F412AB" w:rsidP="007B2FC3">
            <w:pPr>
              <w:tabs>
                <w:tab w:val="clear" w:pos="284"/>
              </w:tabs>
              <w:contextualSpacing/>
              <w:rPr>
                <w:rFonts w:eastAsia="Calibri"/>
                <w:noProof/>
                <w:szCs w:val="22"/>
                <w:u w:val="single"/>
                <w:lang w:val="sr-Latn-ME"/>
              </w:rPr>
            </w:pPr>
          </w:p>
        </w:tc>
        <w:tc>
          <w:tcPr>
            <w:tcW w:w="2013" w:type="dxa"/>
            <w:shd w:val="clear" w:color="auto" w:fill="auto"/>
          </w:tcPr>
          <w:p w14:paraId="69F37C7B" w14:textId="77777777" w:rsidR="00F412AB" w:rsidRPr="00777B5C" w:rsidRDefault="00F412AB" w:rsidP="007B2FC3">
            <w:pPr>
              <w:tabs>
                <w:tab w:val="clear" w:pos="284"/>
              </w:tabs>
              <w:contextualSpacing/>
              <w:rPr>
                <w:rFonts w:eastAsia="Calibri"/>
                <w:noProof/>
                <w:szCs w:val="22"/>
                <w:u w:val="single"/>
                <w:lang w:val="sr-Latn-ME"/>
              </w:rPr>
            </w:pPr>
          </w:p>
        </w:tc>
        <w:tc>
          <w:tcPr>
            <w:tcW w:w="1233" w:type="dxa"/>
            <w:shd w:val="clear" w:color="auto" w:fill="auto"/>
          </w:tcPr>
          <w:p w14:paraId="3CFB7C16" w14:textId="77777777" w:rsidR="00F412AB" w:rsidRPr="00777B5C" w:rsidRDefault="00F412AB" w:rsidP="007B2FC3">
            <w:pPr>
              <w:tabs>
                <w:tab w:val="clear" w:pos="284"/>
              </w:tabs>
              <w:contextualSpacing/>
              <w:rPr>
                <w:rFonts w:eastAsia="Calibri"/>
                <w:noProof/>
                <w:szCs w:val="22"/>
                <w:vertAlign w:val="superscript"/>
                <w:lang w:val="sr-Latn-ME"/>
              </w:rPr>
            </w:pPr>
            <w:r w:rsidRPr="00777B5C">
              <w:rPr>
                <w:rFonts w:eastAsia="Calibri"/>
                <w:noProof/>
                <w:szCs w:val="22"/>
                <w:lang w:val="sr-Latn-ME"/>
              </w:rPr>
              <w:t xml:space="preserve">teške kožne reakcije, uključujući </w:t>
            </w:r>
            <w:r w:rsidRPr="00777B5C">
              <w:rPr>
                <w:rFonts w:eastAsia="Calibri"/>
                <w:i/>
                <w:iCs/>
                <w:noProof/>
                <w:szCs w:val="22"/>
                <w:lang w:val="sr-Latn-ME"/>
              </w:rPr>
              <w:t>Stevens-Johnson</w:t>
            </w:r>
            <w:r w:rsidRPr="00777B5C">
              <w:rPr>
                <w:rFonts w:eastAsia="Calibri"/>
                <w:noProof/>
                <w:szCs w:val="22"/>
                <w:lang w:val="sr-Latn-ME"/>
              </w:rPr>
              <w:t>-ov sindrom</w:t>
            </w:r>
            <w:r w:rsidRPr="00777B5C">
              <w:rPr>
                <w:rFonts w:eastAsia="Calibri"/>
                <w:noProof/>
                <w:szCs w:val="22"/>
                <w:vertAlign w:val="superscript"/>
                <w:lang w:val="sr-Latn-ME"/>
              </w:rPr>
              <w:t>*</w:t>
            </w:r>
          </w:p>
        </w:tc>
      </w:tr>
      <w:tr w:rsidR="00160B46" w:rsidRPr="00777B5C" w14:paraId="339BF1F4" w14:textId="77777777" w:rsidTr="00777B5C">
        <w:tc>
          <w:tcPr>
            <w:tcW w:w="1781" w:type="dxa"/>
            <w:shd w:val="clear" w:color="auto" w:fill="auto"/>
          </w:tcPr>
          <w:p w14:paraId="63C53E5A" w14:textId="4A9EB3B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Opšti poremećaji i reakcije na m</w:t>
            </w:r>
            <w:r w:rsidR="008352C8" w:rsidRPr="00777B5C">
              <w:rPr>
                <w:rFonts w:eastAsia="Calibri"/>
                <w:noProof/>
                <w:szCs w:val="22"/>
                <w:lang w:val="sr-Latn-ME"/>
              </w:rPr>
              <w:t>j</w:t>
            </w:r>
            <w:r w:rsidRPr="00777B5C">
              <w:rPr>
                <w:rFonts w:eastAsia="Calibri"/>
                <w:noProof/>
                <w:szCs w:val="22"/>
                <w:lang w:val="sr-Latn-ME"/>
              </w:rPr>
              <w:t>estu prim</w:t>
            </w:r>
            <w:r w:rsidR="008352C8" w:rsidRPr="00777B5C">
              <w:rPr>
                <w:rFonts w:eastAsia="Calibri"/>
                <w:noProof/>
                <w:szCs w:val="22"/>
                <w:lang w:val="sr-Latn-ME"/>
              </w:rPr>
              <w:t>j</w:t>
            </w:r>
            <w:r w:rsidRPr="00777B5C">
              <w:rPr>
                <w:rFonts w:eastAsia="Calibri"/>
                <w:noProof/>
                <w:szCs w:val="22"/>
                <w:lang w:val="sr-Latn-ME"/>
              </w:rPr>
              <w:t>ene</w:t>
            </w:r>
          </w:p>
        </w:tc>
        <w:tc>
          <w:tcPr>
            <w:tcW w:w="1236" w:type="dxa"/>
            <w:shd w:val="clear" w:color="auto" w:fill="auto"/>
          </w:tcPr>
          <w:p w14:paraId="20F5FD48" w14:textId="77777777" w:rsidR="00F412AB" w:rsidRPr="00777B5C" w:rsidRDefault="00F412AB" w:rsidP="007B2FC3">
            <w:pPr>
              <w:tabs>
                <w:tab w:val="clear" w:pos="284"/>
              </w:tabs>
              <w:contextualSpacing/>
              <w:rPr>
                <w:rFonts w:eastAsia="Calibri"/>
                <w:noProof/>
                <w:szCs w:val="22"/>
                <w:u w:val="single"/>
                <w:lang w:val="sr-Latn-ME"/>
              </w:rPr>
            </w:pPr>
          </w:p>
        </w:tc>
        <w:tc>
          <w:tcPr>
            <w:tcW w:w="1915" w:type="dxa"/>
            <w:shd w:val="clear" w:color="auto" w:fill="auto"/>
          </w:tcPr>
          <w:p w14:paraId="18026CEE" w14:textId="4324BA56" w:rsidR="00F412AB" w:rsidRPr="00777B5C" w:rsidRDefault="00F412AB" w:rsidP="007B2FC3">
            <w:pPr>
              <w:tabs>
                <w:tab w:val="clear" w:pos="284"/>
              </w:tabs>
              <w:contextualSpacing/>
              <w:jc w:val="left"/>
              <w:rPr>
                <w:rFonts w:eastAsia="Calibri"/>
                <w:noProof/>
                <w:szCs w:val="22"/>
                <w:lang w:val="sr-Latn-ME"/>
              </w:rPr>
            </w:pPr>
            <w:r w:rsidRPr="00777B5C">
              <w:rPr>
                <w:rFonts w:eastAsia="Calibri"/>
                <w:noProof/>
                <w:szCs w:val="22"/>
                <w:lang w:val="sr-Latn-ME"/>
              </w:rPr>
              <w:t>usporeno zarastanje rana, reakcija na m</w:t>
            </w:r>
            <w:r w:rsidR="008352C8" w:rsidRPr="00777B5C">
              <w:rPr>
                <w:rFonts w:eastAsia="Calibri"/>
                <w:noProof/>
                <w:szCs w:val="22"/>
                <w:lang w:val="sr-Latn-ME"/>
              </w:rPr>
              <w:t>j</w:t>
            </w:r>
            <w:r w:rsidRPr="00777B5C">
              <w:rPr>
                <w:rFonts w:eastAsia="Calibri"/>
                <w:noProof/>
                <w:szCs w:val="22"/>
                <w:lang w:val="sr-Latn-ME"/>
              </w:rPr>
              <w:t>estu prim</w:t>
            </w:r>
            <w:r w:rsidR="008352C8" w:rsidRPr="00777B5C">
              <w:rPr>
                <w:rFonts w:eastAsia="Calibri"/>
                <w:noProof/>
                <w:szCs w:val="22"/>
                <w:lang w:val="sr-Latn-ME"/>
              </w:rPr>
              <w:t>j</w:t>
            </w:r>
            <w:r w:rsidRPr="00777B5C">
              <w:rPr>
                <w:rFonts w:eastAsia="Calibri"/>
                <w:noProof/>
                <w:szCs w:val="22"/>
                <w:lang w:val="sr-Latn-ME"/>
              </w:rPr>
              <w:t>ene, glavobolja</w:t>
            </w:r>
          </w:p>
        </w:tc>
        <w:tc>
          <w:tcPr>
            <w:tcW w:w="1774" w:type="dxa"/>
            <w:shd w:val="clear" w:color="auto" w:fill="auto"/>
          </w:tcPr>
          <w:p w14:paraId="30199BA9" w14:textId="62491729" w:rsidR="00F412AB" w:rsidRPr="00777B5C" w:rsidRDefault="00F412AB" w:rsidP="007B2FC3">
            <w:pPr>
              <w:tabs>
                <w:tab w:val="clear" w:pos="284"/>
              </w:tabs>
              <w:contextualSpacing/>
              <w:jc w:val="left"/>
              <w:rPr>
                <w:rFonts w:eastAsia="Calibri"/>
                <w:noProof/>
                <w:szCs w:val="22"/>
                <w:lang w:val="sr-Latn-ME"/>
              </w:rPr>
            </w:pPr>
            <w:r w:rsidRPr="00777B5C">
              <w:rPr>
                <w:rFonts w:eastAsia="Calibri"/>
                <w:noProof/>
                <w:szCs w:val="22"/>
                <w:lang w:val="sr-Latn-ME"/>
              </w:rPr>
              <w:t>inflamacija, bol, edem, flebitis na m</w:t>
            </w:r>
            <w:r w:rsidR="008352C8" w:rsidRPr="00777B5C">
              <w:rPr>
                <w:rFonts w:eastAsia="Calibri"/>
                <w:noProof/>
                <w:szCs w:val="22"/>
                <w:lang w:val="sr-Latn-ME"/>
              </w:rPr>
              <w:t>j</w:t>
            </w:r>
            <w:r w:rsidRPr="00777B5C">
              <w:rPr>
                <w:rFonts w:eastAsia="Calibri"/>
                <w:noProof/>
                <w:szCs w:val="22"/>
                <w:lang w:val="sr-Latn-ME"/>
              </w:rPr>
              <w:t>estu prim</w:t>
            </w:r>
            <w:r w:rsidR="008352C8" w:rsidRPr="00777B5C">
              <w:rPr>
                <w:rFonts w:eastAsia="Calibri"/>
                <w:noProof/>
                <w:szCs w:val="22"/>
                <w:lang w:val="sr-Latn-ME"/>
              </w:rPr>
              <w:t>j</w:t>
            </w:r>
            <w:r w:rsidRPr="00777B5C">
              <w:rPr>
                <w:rFonts w:eastAsia="Calibri"/>
                <w:noProof/>
                <w:szCs w:val="22"/>
                <w:lang w:val="sr-Latn-ME"/>
              </w:rPr>
              <w:t xml:space="preserve">ene injekcije </w:t>
            </w:r>
          </w:p>
        </w:tc>
        <w:tc>
          <w:tcPr>
            <w:tcW w:w="2013" w:type="dxa"/>
            <w:shd w:val="clear" w:color="auto" w:fill="auto"/>
          </w:tcPr>
          <w:p w14:paraId="61757AE2" w14:textId="77777777" w:rsidR="00F412AB" w:rsidRPr="00777B5C" w:rsidRDefault="00F412AB" w:rsidP="007B2FC3">
            <w:pPr>
              <w:tabs>
                <w:tab w:val="clear" w:pos="284"/>
              </w:tabs>
              <w:contextualSpacing/>
              <w:rPr>
                <w:rFonts w:eastAsia="Calibri"/>
                <w:noProof/>
                <w:szCs w:val="22"/>
                <w:u w:val="single"/>
                <w:lang w:val="sr-Latn-ME"/>
              </w:rPr>
            </w:pPr>
          </w:p>
        </w:tc>
        <w:tc>
          <w:tcPr>
            <w:tcW w:w="1233" w:type="dxa"/>
            <w:shd w:val="clear" w:color="auto" w:fill="auto"/>
          </w:tcPr>
          <w:p w14:paraId="72F81DCB" w14:textId="77777777" w:rsidR="00F412AB" w:rsidRPr="00777B5C" w:rsidRDefault="00F412AB" w:rsidP="007B2FC3">
            <w:pPr>
              <w:tabs>
                <w:tab w:val="clear" w:pos="284"/>
              </w:tabs>
              <w:contextualSpacing/>
              <w:rPr>
                <w:rFonts w:eastAsia="Calibri"/>
                <w:noProof/>
                <w:szCs w:val="22"/>
                <w:u w:val="single"/>
                <w:lang w:val="sr-Latn-ME"/>
              </w:rPr>
            </w:pPr>
          </w:p>
        </w:tc>
      </w:tr>
      <w:tr w:rsidR="00160B46" w:rsidRPr="00777B5C" w14:paraId="540FEC98" w14:textId="77777777" w:rsidTr="00777B5C">
        <w:tc>
          <w:tcPr>
            <w:tcW w:w="1781" w:type="dxa"/>
            <w:shd w:val="clear" w:color="auto" w:fill="auto"/>
          </w:tcPr>
          <w:p w14:paraId="009DE534"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lang w:val="sr-Latn-ME"/>
              </w:rPr>
              <w:t>Ispitivanja</w:t>
            </w:r>
          </w:p>
        </w:tc>
        <w:tc>
          <w:tcPr>
            <w:tcW w:w="1236" w:type="dxa"/>
            <w:shd w:val="clear" w:color="auto" w:fill="auto"/>
          </w:tcPr>
          <w:p w14:paraId="446E9AE9" w14:textId="77777777" w:rsidR="00F412AB" w:rsidRPr="00777B5C" w:rsidRDefault="00F412AB" w:rsidP="007B2FC3">
            <w:pPr>
              <w:tabs>
                <w:tab w:val="clear" w:pos="284"/>
              </w:tabs>
              <w:contextualSpacing/>
              <w:rPr>
                <w:rFonts w:eastAsia="Calibri"/>
                <w:noProof/>
                <w:szCs w:val="22"/>
                <w:u w:val="single"/>
                <w:lang w:val="sr-Latn-ME"/>
              </w:rPr>
            </w:pPr>
          </w:p>
        </w:tc>
        <w:tc>
          <w:tcPr>
            <w:tcW w:w="1915" w:type="dxa"/>
            <w:shd w:val="clear" w:color="auto" w:fill="auto"/>
          </w:tcPr>
          <w:p w14:paraId="6239BE20" w14:textId="0DAB4CC4" w:rsidR="00F412AB" w:rsidRPr="00777B5C" w:rsidRDefault="00F412AB" w:rsidP="007B2FC3">
            <w:pPr>
              <w:tabs>
                <w:tab w:val="clear" w:pos="284"/>
              </w:tabs>
              <w:contextualSpacing/>
              <w:jc w:val="left"/>
              <w:rPr>
                <w:rFonts w:eastAsia="Calibri"/>
                <w:noProof/>
                <w:szCs w:val="22"/>
                <w:lang w:val="sr-Latn-ME"/>
              </w:rPr>
            </w:pPr>
            <w:r w:rsidRPr="00777B5C">
              <w:rPr>
                <w:rFonts w:eastAsia="Calibri"/>
                <w:noProof/>
                <w:szCs w:val="22"/>
                <w:lang w:val="sr-Latn-ME"/>
              </w:rPr>
              <w:t>povećane vrednosti amilaze u serumu, povećane vr</w:t>
            </w:r>
            <w:r w:rsidR="008352C8" w:rsidRPr="00777B5C">
              <w:rPr>
                <w:rFonts w:eastAsia="Calibri"/>
                <w:noProof/>
                <w:szCs w:val="22"/>
                <w:lang w:val="sr-Latn-ME"/>
              </w:rPr>
              <w:t>ij</w:t>
            </w:r>
            <w:r w:rsidRPr="00777B5C">
              <w:rPr>
                <w:rFonts w:eastAsia="Calibri"/>
                <w:noProof/>
                <w:szCs w:val="22"/>
                <w:lang w:val="sr-Latn-ME"/>
              </w:rPr>
              <w:t>ednosti azotnih materija u krvi (BUN)</w:t>
            </w:r>
          </w:p>
        </w:tc>
        <w:tc>
          <w:tcPr>
            <w:tcW w:w="1774" w:type="dxa"/>
            <w:shd w:val="clear" w:color="auto" w:fill="auto"/>
          </w:tcPr>
          <w:p w14:paraId="5C3FC2FD" w14:textId="77777777" w:rsidR="00F412AB" w:rsidRPr="00777B5C" w:rsidRDefault="00F412AB">
            <w:pPr>
              <w:tabs>
                <w:tab w:val="clear" w:pos="284"/>
              </w:tabs>
              <w:contextualSpacing/>
              <w:jc w:val="left"/>
              <w:rPr>
                <w:rFonts w:eastAsia="Calibri"/>
                <w:noProof/>
                <w:szCs w:val="22"/>
                <w:u w:val="single"/>
                <w:lang w:val="sr-Latn-ME"/>
              </w:rPr>
            </w:pPr>
          </w:p>
        </w:tc>
        <w:tc>
          <w:tcPr>
            <w:tcW w:w="2013" w:type="dxa"/>
            <w:shd w:val="clear" w:color="auto" w:fill="auto"/>
          </w:tcPr>
          <w:p w14:paraId="15285D4C" w14:textId="77777777" w:rsidR="00F412AB" w:rsidRPr="00777B5C" w:rsidRDefault="00F412AB" w:rsidP="007B2FC3">
            <w:pPr>
              <w:tabs>
                <w:tab w:val="clear" w:pos="284"/>
              </w:tabs>
              <w:contextualSpacing/>
              <w:rPr>
                <w:rFonts w:eastAsia="Calibri"/>
                <w:noProof/>
                <w:szCs w:val="22"/>
                <w:u w:val="single"/>
                <w:lang w:val="sr-Latn-ME"/>
              </w:rPr>
            </w:pPr>
          </w:p>
        </w:tc>
        <w:tc>
          <w:tcPr>
            <w:tcW w:w="1233" w:type="dxa"/>
            <w:shd w:val="clear" w:color="auto" w:fill="auto"/>
          </w:tcPr>
          <w:p w14:paraId="488FE9FA" w14:textId="77777777" w:rsidR="00F412AB" w:rsidRPr="00777B5C" w:rsidRDefault="00F412AB" w:rsidP="007B2FC3">
            <w:pPr>
              <w:tabs>
                <w:tab w:val="clear" w:pos="284"/>
              </w:tabs>
              <w:contextualSpacing/>
              <w:rPr>
                <w:rFonts w:eastAsia="Calibri"/>
                <w:noProof/>
                <w:szCs w:val="22"/>
                <w:u w:val="single"/>
                <w:lang w:val="sr-Latn-ME"/>
              </w:rPr>
            </w:pPr>
          </w:p>
        </w:tc>
      </w:tr>
      <w:tr w:rsidR="00F412AB" w:rsidRPr="00777B5C" w14:paraId="158926CC" w14:textId="77777777" w:rsidTr="00777B5C">
        <w:tc>
          <w:tcPr>
            <w:tcW w:w="9952" w:type="dxa"/>
            <w:gridSpan w:val="6"/>
            <w:shd w:val="clear" w:color="auto" w:fill="auto"/>
          </w:tcPr>
          <w:p w14:paraId="01F455B8" w14:textId="77777777" w:rsidR="00F412AB" w:rsidRPr="00777B5C" w:rsidRDefault="00F412AB" w:rsidP="007B2FC3">
            <w:pPr>
              <w:tabs>
                <w:tab w:val="clear" w:pos="284"/>
              </w:tabs>
              <w:contextualSpacing/>
              <w:rPr>
                <w:rFonts w:eastAsia="Calibri"/>
                <w:noProof/>
                <w:szCs w:val="22"/>
                <w:lang w:val="sr-Latn-ME"/>
              </w:rPr>
            </w:pPr>
            <w:r w:rsidRPr="00777B5C">
              <w:rPr>
                <w:rFonts w:eastAsia="Calibri"/>
                <w:noProof/>
                <w:szCs w:val="22"/>
                <w:vertAlign w:val="superscript"/>
                <w:lang w:val="sr-Latn-ME"/>
              </w:rPr>
              <w:t xml:space="preserve">* </w:t>
            </w:r>
            <w:r w:rsidRPr="00777B5C">
              <w:rPr>
                <w:rFonts w:eastAsia="Calibri"/>
                <w:noProof/>
                <w:szCs w:val="22"/>
                <w:lang w:val="sr-Latn-ME"/>
              </w:rPr>
              <w:t>NRL detektovane postmarketinški</w:t>
            </w:r>
          </w:p>
        </w:tc>
      </w:tr>
    </w:tbl>
    <w:p w14:paraId="49A2275E" w14:textId="77777777" w:rsidR="00F412AB" w:rsidRPr="00777B5C" w:rsidRDefault="00F412AB" w:rsidP="0047765A">
      <w:pPr>
        <w:tabs>
          <w:tab w:val="clear" w:pos="284"/>
        </w:tabs>
        <w:autoSpaceDE w:val="0"/>
        <w:autoSpaceDN w:val="0"/>
        <w:adjustRightInd w:val="0"/>
        <w:spacing w:before="240" w:after="120"/>
        <w:rPr>
          <w:rFonts w:eastAsia="TimesNewRoman"/>
          <w:szCs w:val="22"/>
          <w:u w:val="single"/>
          <w:lang w:val="sr-Latn-ME"/>
        </w:rPr>
      </w:pPr>
      <w:r w:rsidRPr="00777B5C">
        <w:rPr>
          <w:rFonts w:eastAsia="TimesNewRoman"/>
          <w:szCs w:val="22"/>
          <w:u w:val="single"/>
          <w:lang w:val="sr-Latn-ME"/>
        </w:rPr>
        <w:t>Opis odabranih neželjenih reakcija</w:t>
      </w:r>
    </w:p>
    <w:p w14:paraId="6CCD2806" w14:textId="77777777" w:rsidR="00F412AB" w:rsidRPr="00777B5C" w:rsidRDefault="00F412AB">
      <w:pPr>
        <w:tabs>
          <w:tab w:val="clear" w:pos="284"/>
        </w:tabs>
        <w:autoSpaceDE w:val="0"/>
        <w:autoSpaceDN w:val="0"/>
        <w:adjustRightInd w:val="0"/>
        <w:spacing w:before="120" w:after="120"/>
        <w:rPr>
          <w:rFonts w:eastAsia="TimesNewRoman"/>
          <w:i/>
          <w:iCs/>
          <w:szCs w:val="22"/>
          <w:lang w:val="sr-Latn-ME"/>
        </w:rPr>
      </w:pPr>
      <w:r w:rsidRPr="00777B5C">
        <w:rPr>
          <w:rFonts w:eastAsia="TimesNewRoman"/>
          <w:i/>
          <w:iCs/>
          <w:szCs w:val="22"/>
          <w:lang w:val="sr-Latn-ME"/>
        </w:rPr>
        <w:t>Neželjene reakcije karakteristične za antibiotike</w:t>
      </w:r>
    </w:p>
    <w:p w14:paraId="15855715" w14:textId="15B3D0D0" w:rsidR="00F412AB" w:rsidRPr="00777B5C" w:rsidRDefault="00F412AB">
      <w:p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Pseudomembranozni kolitis, koji može biti različitog intenziteta, od blagog do opasnog po život (vid</w:t>
      </w:r>
      <w:r w:rsidR="008352C8" w:rsidRPr="00777B5C">
        <w:rPr>
          <w:rFonts w:eastAsia="TimesNewRoman"/>
          <w:szCs w:val="22"/>
          <w:lang w:val="sr-Latn-ME"/>
        </w:rPr>
        <w:t>j</w:t>
      </w:r>
      <w:r w:rsidRPr="00777B5C">
        <w:rPr>
          <w:rFonts w:eastAsia="TimesNewRoman"/>
          <w:szCs w:val="22"/>
          <w:lang w:val="sr-Latn-ME"/>
        </w:rPr>
        <w:t xml:space="preserve">eti </w:t>
      </w:r>
      <w:r w:rsidR="008352C8" w:rsidRPr="00777B5C">
        <w:rPr>
          <w:rFonts w:eastAsia="TimesNewRoman"/>
          <w:szCs w:val="22"/>
          <w:lang w:val="sr-Latn-ME"/>
        </w:rPr>
        <w:t>dio</w:t>
      </w:r>
      <w:r w:rsidRPr="00777B5C">
        <w:rPr>
          <w:rFonts w:eastAsia="TimesNewRoman"/>
          <w:szCs w:val="22"/>
          <w:lang w:val="sr-Latn-ME"/>
        </w:rPr>
        <w:t xml:space="preserve"> </w:t>
      </w:r>
      <w:r w:rsidR="00CB2E84" w:rsidRPr="00777B5C">
        <w:rPr>
          <w:rFonts w:eastAsia="TimesNewRoman"/>
          <w:noProof/>
          <w:szCs w:val="22"/>
          <w:lang w:val="sr-Latn-ME"/>
        </w:rPr>
        <w:t>„</w:t>
      </w:r>
      <w:r w:rsidR="00CB2E84" w:rsidRPr="00777B5C">
        <w:rPr>
          <w:bCs/>
          <w:szCs w:val="22"/>
          <w:lang w:val="sr-Latn-ME"/>
        </w:rPr>
        <w:t>Posebna upozorenja i mjere opreza pri upotrebi lijeka”</w:t>
      </w:r>
      <w:r w:rsidRPr="00777B5C">
        <w:rPr>
          <w:rFonts w:eastAsia="TimesNewRoman"/>
          <w:szCs w:val="22"/>
          <w:lang w:val="sr-Latn-ME"/>
        </w:rPr>
        <w:t>).</w:t>
      </w:r>
    </w:p>
    <w:p w14:paraId="376A7F7F" w14:textId="2E5E8345" w:rsidR="00F412AB" w:rsidRPr="00777B5C" w:rsidRDefault="00F412AB">
      <w:p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Razvoj povećanog broja neos</w:t>
      </w:r>
      <w:r w:rsidR="008352C8" w:rsidRPr="00777B5C">
        <w:rPr>
          <w:rFonts w:eastAsia="TimesNewRoman"/>
          <w:szCs w:val="22"/>
          <w:lang w:val="sr-Latn-ME"/>
        </w:rPr>
        <w:t>j</w:t>
      </w:r>
      <w:r w:rsidRPr="00777B5C">
        <w:rPr>
          <w:rFonts w:eastAsia="TimesNewRoman"/>
          <w:szCs w:val="22"/>
          <w:lang w:val="sr-Latn-ME"/>
        </w:rPr>
        <w:t>etljivih mikroorganizama, uključujući gljivice (vid</w:t>
      </w:r>
      <w:r w:rsidR="008352C8" w:rsidRPr="00777B5C">
        <w:rPr>
          <w:rFonts w:eastAsia="TimesNewRoman"/>
          <w:szCs w:val="22"/>
          <w:lang w:val="sr-Latn-ME"/>
        </w:rPr>
        <w:t>j</w:t>
      </w:r>
      <w:r w:rsidRPr="00777B5C">
        <w:rPr>
          <w:rFonts w:eastAsia="TimesNewRoman"/>
          <w:szCs w:val="22"/>
          <w:lang w:val="sr-Latn-ME"/>
        </w:rPr>
        <w:t xml:space="preserve">eti </w:t>
      </w:r>
      <w:r w:rsidR="008352C8" w:rsidRPr="00777B5C">
        <w:rPr>
          <w:rFonts w:eastAsia="TimesNewRoman"/>
          <w:szCs w:val="22"/>
          <w:lang w:val="sr-Latn-ME"/>
        </w:rPr>
        <w:t>dio</w:t>
      </w:r>
      <w:r w:rsidRPr="00777B5C">
        <w:rPr>
          <w:rFonts w:eastAsia="TimesNewRoman"/>
          <w:szCs w:val="22"/>
          <w:lang w:val="sr-Latn-ME"/>
        </w:rPr>
        <w:t xml:space="preserve"> </w:t>
      </w:r>
      <w:r w:rsidR="00CB2E84" w:rsidRPr="00777B5C">
        <w:rPr>
          <w:rFonts w:eastAsia="TimesNewRoman"/>
          <w:noProof/>
          <w:szCs w:val="22"/>
          <w:lang w:val="sr-Latn-ME"/>
        </w:rPr>
        <w:t>„</w:t>
      </w:r>
      <w:r w:rsidR="00CB2E84" w:rsidRPr="00777B5C">
        <w:rPr>
          <w:bCs/>
          <w:szCs w:val="22"/>
          <w:lang w:val="sr-Latn-ME"/>
        </w:rPr>
        <w:t>Posebna upozorenja i mjere opreza pri upotrebi lijeka”</w:t>
      </w:r>
      <w:r w:rsidRPr="00777B5C">
        <w:rPr>
          <w:rFonts w:eastAsia="TimesNewRoman"/>
          <w:szCs w:val="22"/>
          <w:lang w:val="sr-Latn-ME"/>
        </w:rPr>
        <w:t>).</w:t>
      </w:r>
    </w:p>
    <w:p w14:paraId="0BA9EDD4" w14:textId="77777777" w:rsidR="00F412AB" w:rsidRPr="00777B5C" w:rsidRDefault="00F412AB">
      <w:pPr>
        <w:tabs>
          <w:tab w:val="clear" w:pos="284"/>
        </w:tabs>
        <w:autoSpaceDE w:val="0"/>
        <w:autoSpaceDN w:val="0"/>
        <w:adjustRightInd w:val="0"/>
        <w:spacing w:before="120" w:after="120"/>
        <w:rPr>
          <w:rFonts w:eastAsia="TimesNewRoman"/>
          <w:i/>
          <w:iCs/>
          <w:szCs w:val="22"/>
          <w:lang w:val="sr-Latn-ME"/>
        </w:rPr>
      </w:pPr>
      <w:r w:rsidRPr="00777B5C">
        <w:rPr>
          <w:rFonts w:eastAsia="TimesNewRoman"/>
          <w:i/>
          <w:iCs/>
          <w:szCs w:val="22"/>
          <w:lang w:val="sr-Latn-ME"/>
        </w:rPr>
        <w:t>Neželjene reakcije karakteristične za tetracikline</w:t>
      </w:r>
    </w:p>
    <w:p w14:paraId="11158475" w14:textId="7ADEC162" w:rsidR="00F412AB" w:rsidRPr="00777B5C" w:rsidRDefault="00F412AB">
      <w:p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lastRenderedPageBreak/>
        <w:t xml:space="preserve">Glicilciklinska grupa antibiotika je strukturno slična tetraciklinima. Neželjene reakcije tetraciklinske klase antibiotika uključuju fotosenzitivnost, </w:t>
      </w:r>
      <w:r w:rsidRPr="00777B5C">
        <w:rPr>
          <w:rFonts w:eastAsia="TimesNewRoman"/>
          <w:i/>
          <w:iCs/>
          <w:szCs w:val="22"/>
          <w:lang w:val="sr-Latn-ME"/>
        </w:rPr>
        <w:t>pseudotumor cerebri</w:t>
      </w:r>
      <w:r w:rsidRPr="00777B5C">
        <w:rPr>
          <w:rFonts w:eastAsia="TimesNewRoman"/>
          <w:szCs w:val="22"/>
          <w:lang w:val="sr-Latn-ME"/>
        </w:rPr>
        <w:t>, pankreatitis, antianabolički efekat koji može dovesti do povećanja koncentracija azotnih materija u krvi (BUN), azotemije, acidoze i hiperfosfatemije (vid</w:t>
      </w:r>
      <w:r w:rsidR="008352C8" w:rsidRPr="00777B5C">
        <w:rPr>
          <w:rFonts w:eastAsia="TimesNewRoman"/>
          <w:szCs w:val="22"/>
          <w:lang w:val="sr-Latn-ME"/>
        </w:rPr>
        <w:t>j</w:t>
      </w:r>
      <w:r w:rsidRPr="00777B5C">
        <w:rPr>
          <w:rFonts w:eastAsia="TimesNewRoman"/>
          <w:szCs w:val="22"/>
          <w:lang w:val="sr-Latn-ME"/>
        </w:rPr>
        <w:t xml:space="preserve">eti </w:t>
      </w:r>
      <w:r w:rsidR="008352C8" w:rsidRPr="00777B5C">
        <w:rPr>
          <w:rFonts w:eastAsia="TimesNewRoman"/>
          <w:szCs w:val="22"/>
          <w:lang w:val="sr-Latn-ME"/>
        </w:rPr>
        <w:t>dio</w:t>
      </w:r>
      <w:r w:rsidRPr="00777B5C">
        <w:rPr>
          <w:rFonts w:eastAsia="TimesNewRoman"/>
          <w:szCs w:val="22"/>
          <w:lang w:val="sr-Latn-ME"/>
        </w:rPr>
        <w:t xml:space="preserve"> </w:t>
      </w:r>
      <w:r w:rsidR="00CB2E84" w:rsidRPr="00777B5C">
        <w:rPr>
          <w:rFonts w:eastAsia="TimesNewRoman"/>
          <w:noProof/>
          <w:szCs w:val="22"/>
          <w:lang w:val="sr-Latn-ME"/>
        </w:rPr>
        <w:t>„</w:t>
      </w:r>
      <w:r w:rsidR="00CB2E84" w:rsidRPr="00777B5C">
        <w:rPr>
          <w:bCs/>
          <w:szCs w:val="22"/>
          <w:lang w:val="sr-Latn-ME"/>
        </w:rPr>
        <w:t>Posebna upozorenja i mjere opreza pri upotrebi lijeka”</w:t>
      </w:r>
      <w:r w:rsidRPr="00777B5C">
        <w:rPr>
          <w:rFonts w:eastAsia="TimesNewRoman"/>
          <w:szCs w:val="22"/>
          <w:lang w:val="sr-Latn-ME"/>
        </w:rPr>
        <w:t>).</w:t>
      </w:r>
    </w:p>
    <w:p w14:paraId="018736F4" w14:textId="4EADCC34" w:rsidR="00F412AB" w:rsidRPr="00777B5C" w:rsidRDefault="00F412AB">
      <w:p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Tigeciklin može biti povezan sa trajnom prom</w:t>
      </w:r>
      <w:r w:rsidR="008352C8" w:rsidRPr="00777B5C">
        <w:rPr>
          <w:rFonts w:eastAsia="TimesNewRoman"/>
          <w:szCs w:val="22"/>
          <w:lang w:val="sr-Latn-ME"/>
        </w:rPr>
        <w:t>j</w:t>
      </w:r>
      <w:r w:rsidRPr="00777B5C">
        <w:rPr>
          <w:rFonts w:eastAsia="TimesNewRoman"/>
          <w:szCs w:val="22"/>
          <w:lang w:val="sr-Latn-ME"/>
        </w:rPr>
        <w:t>enom boje zuba, ukoliko se koristi za vr</w:t>
      </w:r>
      <w:r w:rsidR="008352C8" w:rsidRPr="00777B5C">
        <w:rPr>
          <w:rFonts w:eastAsia="TimesNewRoman"/>
          <w:szCs w:val="22"/>
          <w:lang w:val="sr-Latn-ME"/>
        </w:rPr>
        <w:t>ij</w:t>
      </w:r>
      <w:r w:rsidRPr="00777B5C">
        <w:rPr>
          <w:rFonts w:eastAsia="TimesNewRoman"/>
          <w:szCs w:val="22"/>
          <w:lang w:val="sr-Latn-ME"/>
        </w:rPr>
        <w:t>eme njihovog razvoja (vid</w:t>
      </w:r>
      <w:r w:rsidR="008352C8" w:rsidRPr="00777B5C">
        <w:rPr>
          <w:rFonts w:eastAsia="TimesNewRoman"/>
          <w:szCs w:val="22"/>
          <w:lang w:val="sr-Latn-ME"/>
        </w:rPr>
        <w:t>j</w:t>
      </w:r>
      <w:r w:rsidRPr="00777B5C">
        <w:rPr>
          <w:rFonts w:eastAsia="TimesNewRoman"/>
          <w:szCs w:val="22"/>
          <w:lang w:val="sr-Latn-ME"/>
        </w:rPr>
        <w:t xml:space="preserve">eti </w:t>
      </w:r>
      <w:r w:rsidR="008352C8" w:rsidRPr="00777B5C">
        <w:rPr>
          <w:rFonts w:eastAsia="TimesNewRoman"/>
          <w:szCs w:val="22"/>
          <w:lang w:val="sr-Latn-ME"/>
        </w:rPr>
        <w:t>dio</w:t>
      </w:r>
      <w:r w:rsidRPr="00777B5C">
        <w:rPr>
          <w:rFonts w:eastAsia="TimesNewRoman"/>
          <w:szCs w:val="22"/>
          <w:lang w:val="sr-Latn-ME"/>
        </w:rPr>
        <w:t xml:space="preserve"> </w:t>
      </w:r>
      <w:r w:rsidR="00CB2E84" w:rsidRPr="00777B5C">
        <w:rPr>
          <w:rFonts w:eastAsia="TimesNewRoman"/>
          <w:noProof/>
          <w:szCs w:val="22"/>
          <w:lang w:val="sr-Latn-ME"/>
        </w:rPr>
        <w:t>„</w:t>
      </w:r>
      <w:r w:rsidR="00CB2E84" w:rsidRPr="00777B5C">
        <w:rPr>
          <w:bCs/>
          <w:szCs w:val="22"/>
          <w:lang w:val="sr-Latn-ME"/>
        </w:rPr>
        <w:t>Posebna upozorenja i mjere opreza pri upotrebi lijeka”</w:t>
      </w:r>
      <w:r w:rsidRPr="00777B5C">
        <w:rPr>
          <w:rFonts w:eastAsia="TimesNewRoman"/>
          <w:szCs w:val="22"/>
          <w:lang w:val="sr-Latn-ME"/>
        </w:rPr>
        <w:t>).</w:t>
      </w:r>
    </w:p>
    <w:p w14:paraId="3B53D5D4" w14:textId="05E16855" w:rsidR="00F412AB" w:rsidRPr="00777B5C" w:rsidRDefault="00F412AB">
      <w:p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U trećoj i četvrtoj fazi kliničkih ispitivanja cSSTI i cIAI, ozbiljne neželjene reakcije povezane sa infekcijama češće su se javljale kod ispitanika na terapiji tigeciklinom (7,1%) u odnosu na pacijente na terapiji komparativnim l</w:t>
      </w:r>
      <w:r w:rsidR="008352C8" w:rsidRPr="00777B5C">
        <w:rPr>
          <w:rFonts w:eastAsia="TimesNewRoman"/>
          <w:szCs w:val="22"/>
          <w:lang w:val="sr-Latn-ME"/>
        </w:rPr>
        <w:t>j</w:t>
      </w:r>
      <w:r w:rsidRPr="00777B5C">
        <w:rPr>
          <w:rFonts w:eastAsia="TimesNewRoman"/>
          <w:szCs w:val="22"/>
          <w:lang w:val="sr-Latn-ME"/>
        </w:rPr>
        <w:t>ekovima (5,3%). Prim</w:t>
      </w:r>
      <w:r w:rsidR="008352C8" w:rsidRPr="00777B5C">
        <w:rPr>
          <w:rFonts w:eastAsia="TimesNewRoman"/>
          <w:szCs w:val="22"/>
          <w:lang w:val="sr-Latn-ME"/>
        </w:rPr>
        <w:t>ij</w:t>
      </w:r>
      <w:r w:rsidRPr="00777B5C">
        <w:rPr>
          <w:rFonts w:eastAsia="TimesNewRoman"/>
          <w:szCs w:val="22"/>
          <w:lang w:val="sr-Latn-ME"/>
        </w:rPr>
        <w:t>ećene su značajne razlike u pojavi sepse/septičkog šoka kod pacijenata na terapiji tigeciklinom (2,2%) u odnosu na pacijente na terapiji komparativnim l</w:t>
      </w:r>
      <w:r w:rsidR="008352C8" w:rsidRPr="00777B5C">
        <w:rPr>
          <w:rFonts w:eastAsia="TimesNewRoman"/>
          <w:szCs w:val="22"/>
          <w:lang w:val="sr-Latn-ME"/>
        </w:rPr>
        <w:t>j</w:t>
      </w:r>
      <w:r w:rsidRPr="00777B5C">
        <w:rPr>
          <w:rFonts w:eastAsia="TimesNewRoman"/>
          <w:szCs w:val="22"/>
          <w:lang w:val="sr-Latn-ME"/>
        </w:rPr>
        <w:t>ekovima (1,1%).</w:t>
      </w:r>
    </w:p>
    <w:p w14:paraId="1A3EFFC9" w14:textId="562361CE" w:rsidR="00F412AB" w:rsidRPr="00777B5C" w:rsidRDefault="00F412AB">
      <w:p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Izm</w:t>
      </w:r>
      <w:r w:rsidR="008352C8" w:rsidRPr="00777B5C">
        <w:rPr>
          <w:rFonts w:eastAsia="TimesNewRoman"/>
          <w:szCs w:val="22"/>
          <w:lang w:val="sr-Latn-ME"/>
        </w:rPr>
        <w:t>ij</w:t>
      </w:r>
      <w:r w:rsidRPr="00777B5C">
        <w:rPr>
          <w:rFonts w:eastAsia="TimesNewRoman"/>
          <w:szCs w:val="22"/>
          <w:lang w:val="sr-Latn-ME"/>
        </w:rPr>
        <w:t>enjene vr</w:t>
      </w:r>
      <w:r w:rsidR="008352C8" w:rsidRPr="00777B5C">
        <w:rPr>
          <w:rFonts w:eastAsia="TimesNewRoman"/>
          <w:szCs w:val="22"/>
          <w:lang w:val="sr-Latn-ME"/>
        </w:rPr>
        <w:t>ij</w:t>
      </w:r>
      <w:r w:rsidRPr="00777B5C">
        <w:rPr>
          <w:rFonts w:eastAsia="TimesNewRoman"/>
          <w:szCs w:val="22"/>
          <w:lang w:val="sr-Latn-ME"/>
        </w:rPr>
        <w:t>ednosti AST i ALT, kod pacijenata koji primaju tigeciklin, su se javljale mnogo češće u periodu posl</w:t>
      </w:r>
      <w:r w:rsidR="008352C8" w:rsidRPr="00777B5C">
        <w:rPr>
          <w:rFonts w:eastAsia="TimesNewRoman"/>
          <w:szCs w:val="22"/>
          <w:lang w:val="sr-Latn-ME"/>
        </w:rPr>
        <w:t>ij</w:t>
      </w:r>
      <w:r w:rsidRPr="00777B5C">
        <w:rPr>
          <w:rFonts w:eastAsia="TimesNewRoman"/>
          <w:szCs w:val="22"/>
          <w:lang w:val="sr-Latn-ME"/>
        </w:rPr>
        <w:t>e terapije, nego kod pacijenata na terapiji komparativnim l</w:t>
      </w:r>
      <w:r w:rsidR="008352C8" w:rsidRPr="00777B5C">
        <w:rPr>
          <w:rFonts w:eastAsia="TimesNewRoman"/>
          <w:szCs w:val="22"/>
          <w:lang w:val="sr-Latn-ME"/>
        </w:rPr>
        <w:t>j</w:t>
      </w:r>
      <w:r w:rsidRPr="00777B5C">
        <w:rPr>
          <w:rFonts w:eastAsia="TimesNewRoman"/>
          <w:szCs w:val="22"/>
          <w:lang w:val="sr-Latn-ME"/>
        </w:rPr>
        <w:t>ekovima, kod kojih su se češće javljale u toku terapije.</w:t>
      </w:r>
    </w:p>
    <w:p w14:paraId="7DE771D2" w14:textId="266BF54D" w:rsidR="00F412AB" w:rsidRPr="00777B5C" w:rsidRDefault="00F412AB">
      <w:p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U svim cSSTI i cIAI studijama faze 3 i 4, bilo je 2,4% smrtnih slučajeva (54/2216) kod pacijenata na terapiji tigeciklinom i 1,7% smrtnih slučajeva (37/2206) kod pacijenata na terapiji komparativnim l</w:t>
      </w:r>
      <w:r w:rsidR="008352C8" w:rsidRPr="00777B5C">
        <w:rPr>
          <w:rFonts w:eastAsia="TimesNewRoman"/>
          <w:szCs w:val="22"/>
          <w:lang w:val="sr-Latn-ME"/>
        </w:rPr>
        <w:t>j</w:t>
      </w:r>
      <w:r w:rsidRPr="00777B5C">
        <w:rPr>
          <w:rFonts w:eastAsia="TimesNewRoman"/>
          <w:szCs w:val="22"/>
          <w:lang w:val="sr-Latn-ME"/>
        </w:rPr>
        <w:t>ekovima.</w:t>
      </w:r>
    </w:p>
    <w:p w14:paraId="33068126" w14:textId="77777777" w:rsidR="00F412AB" w:rsidRPr="00777B5C" w:rsidRDefault="00F412AB">
      <w:pPr>
        <w:tabs>
          <w:tab w:val="clear" w:pos="284"/>
        </w:tabs>
        <w:autoSpaceDE w:val="0"/>
        <w:autoSpaceDN w:val="0"/>
        <w:adjustRightInd w:val="0"/>
        <w:spacing w:before="120" w:after="120"/>
        <w:rPr>
          <w:rFonts w:eastAsia="TimesNewRoman"/>
          <w:szCs w:val="22"/>
          <w:u w:val="single"/>
          <w:lang w:val="sr-Latn-ME"/>
        </w:rPr>
      </w:pPr>
      <w:r w:rsidRPr="00777B5C">
        <w:rPr>
          <w:rFonts w:eastAsia="TimesNewRoman"/>
          <w:szCs w:val="22"/>
          <w:u w:val="single"/>
          <w:lang w:val="sr-Latn-ME"/>
        </w:rPr>
        <w:t>Pedijatrijska populacija</w:t>
      </w:r>
    </w:p>
    <w:p w14:paraId="1B954C06" w14:textId="7C7FCD9D" w:rsidR="00F412AB" w:rsidRPr="00777B5C" w:rsidRDefault="00F412AB">
      <w:p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Dostupni su veoma ograničeni podaci o bezb</w:t>
      </w:r>
      <w:r w:rsidR="008352C8" w:rsidRPr="00777B5C">
        <w:rPr>
          <w:rFonts w:eastAsia="TimesNewRoman"/>
          <w:szCs w:val="22"/>
          <w:lang w:val="sr-Latn-ME"/>
        </w:rPr>
        <w:t>j</w:t>
      </w:r>
      <w:r w:rsidRPr="00777B5C">
        <w:rPr>
          <w:rFonts w:eastAsia="TimesNewRoman"/>
          <w:szCs w:val="22"/>
          <w:lang w:val="sr-Latn-ME"/>
        </w:rPr>
        <w:t>ednosti iz dv</w:t>
      </w:r>
      <w:r w:rsidR="008352C8" w:rsidRPr="00777B5C">
        <w:rPr>
          <w:rFonts w:eastAsia="TimesNewRoman"/>
          <w:szCs w:val="22"/>
          <w:lang w:val="sr-Latn-ME"/>
        </w:rPr>
        <w:t>ij</w:t>
      </w:r>
      <w:r w:rsidRPr="00777B5C">
        <w:rPr>
          <w:rFonts w:eastAsia="TimesNewRoman"/>
          <w:szCs w:val="22"/>
          <w:lang w:val="sr-Latn-ME"/>
        </w:rPr>
        <w:t>e farmakokinetičke studije (vid</w:t>
      </w:r>
      <w:r w:rsidR="008352C8" w:rsidRPr="00777B5C">
        <w:rPr>
          <w:rFonts w:eastAsia="TimesNewRoman"/>
          <w:szCs w:val="22"/>
          <w:lang w:val="sr-Latn-ME"/>
        </w:rPr>
        <w:t>j</w:t>
      </w:r>
      <w:r w:rsidRPr="00777B5C">
        <w:rPr>
          <w:rFonts w:eastAsia="TimesNewRoman"/>
          <w:szCs w:val="22"/>
          <w:lang w:val="sr-Latn-ME"/>
        </w:rPr>
        <w:t xml:space="preserve">eti </w:t>
      </w:r>
      <w:r w:rsidR="008352C8" w:rsidRPr="00777B5C">
        <w:rPr>
          <w:rFonts w:eastAsia="TimesNewRoman"/>
          <w:szCs w:val="22"/>
          <w:lang w:val="sr-Latn-ME"/>
        </w:rPr>
        <w:t>dio</w:t>
      </w:r>
      <w:r w:rsidRPr="00777B5C">
        <w:rPr>
          <w:rFonts w:eastAsia="TimesNewRoman"/>
          <w:szCs w:val="22"/>
          <w:lang w:val="sr-Latn-ME"/>
        </w:rPr>
        <w:t xml:space="preserve"> </w:t>
      </w:r>
      <w:r w:rsidR="00CB2E84" w:rsidRPr="00777B5C">
        <w:rPr>
          <w:rFonts w:eastAsia="TimesNewRoman"/>
          <w:szCs w:val="22"/>
          <w:lang w:val="sr-Latn-ME"/>
        </w:rPr>
        <w:t>„</w:t>
      </w:r>
      <w:r w:rsidR="00CB2E84" w:rsidRPr="00777B5C">
        <w:rPr>
          <w:bCs/>
          <w:szCs w:val="22"/>
          <w:lang w:val="sr-Latn-ME"/>
        </w:rPr>
        <w:t>Farmakokinetički podaci”</w:t>
      </w:r>
      <w:r w:rsidRPr="00777B5C">
        <w:rPr>
          <w:rFonts w:eastAsia="TimesNewRoman"/>
          <w:szCs w:val="22"/>
          <w:lang w:val="sr-Latn-ME"/>
        </w:rPr>
        <w:t>). U ovim studijama nisu zapaženi novi ili neočekivani bezb</w:t>
      </w:r>
      <w:r w:rsidR="008352C8" w:rsidRPr="00777B5C">
        <w:rPr>
          <w:rFonts w:eastAsia="TimesNewRoman"/>
          <w:szCs w:val="22"/>
          <w:lang w:val="sr-Latn-ME"/>
        </w:rPr>
        <w:t>j</w:t>
      </w:r>
      <w:r w:rsidRPr="00777B5C">
        <w:rPr>
          <w:rFonts w:eastAsia="TimesNewRoman"/>
          <w:szCs w:val="22"/>
          <w:lang w:val="sr-Latn-ME"/>
        </w:rPr>
        <w:t>ednosni problemi prilikom prim</w:t>
      </w:r>
      <w:r w:rsidR="008352C8" w:rsidRPr="00777B5C">
        <w:rPr>
          <w:rFonts w:eastAsia="TimesNewRoman"/>
          <w:szCs w:val="22"/>
          <w:lang w:val="sr-Latn-ME"/>
        </w:rPr>
        <w:t>j</w:t>
      </w:r>
      <w:r w:rsidRPr="00777B5C">
        <w:rPr>
          <w:rFonts w:eastAsia="TimesNewRoman"/>
          <w:szCs w:val="22"/>
          <w:lang w:val="sr-Latn-ME"/>
        </w:rPr>
        <w:t>ene tigeciklina.</w:t>
      </w:r>
    </w:p>
    <w:p w14:paraId="49924504" w14:textId="3C3E166C" w:rsidR="00F412AB" w:rsidRPr="00777B5C" w:rsidRDefault="00F412AB">
      <w:p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U farmakokinetičkoj studiji sa postupnim povećanjem pojedinačne doze, otvorenog dizajna, bezb</w:t>
      </w:r>
      <w:r w:rsidR="008352C8" w:rsidRPr="00777B5C">
        <w:rPr>
          <w:rFonts w:eastAsia="TimesNewRoman"/>
          <w:szCs w:val="22"/>
          <w:lang w:val="sr-Latn-ME"/>
        </w:rPr>
        <w:t>j</w:t>
      </w:r>
      <w:r w:rsidRPr="00777B5C">
        <w:rPr>
          <w:rFonts w:eastAsia="TimesNewRoman"/>
          <w:szCs w:val="22"/>
          <w:lang w:val="sr-Latn-ME"/>
        </w:rPr>
        <w:t>ednost tigeciklina je ispitana kod 25 d</w:t>
      </w:r>
      <w:r w:rsidR="008352C8" w:rsidRPr="00777B5C">
        <w:rPr>
          <w:rFonts w:eastAsia="TimesNewRoman"/>
          <w:szCs w:val="22"/>
          <w:lang w:val="sr-Latn-ME"/>
        </w:rPr>
        <w:t>j</w:t>
      </w:r>
      <w:r w:rsidRPr="00777B5C">
        <w:rPr>
          <w:rFonts w:eastAsia="TimesNewRoman"/>
          <w:szCs w:val="22"/>
          <w:lang w:val="sr-Latn-ME"/>
        </w:rPr>
        <w:t>ece uzrasta 8 do 16 godina, koja su se nedavno oporavila od infekcija. Profil neželjenih reakcija tigeciklina kod ovih 25 ispitanika uglavnom je bio u skladu sa profilom neželjenih reakcija kod odraslih.</w:t>
      </w:r>
    </w:p>
    <w:p w14:paraId="0B6E8532" w14:textId="62B830F5" w:rsidR="00F412AB" w:rsidRPr="00777B5C" w:rsidRDefault="00F412AB">
      <w:pPr>
        <w:tabs>
          <w:tab w:val="clear" w:pos="284"/>
        </w:tabs>
        <w:autoSpaceDE w:val="0"/>
        <w:autoSpaceDN w:val="0"/>
        <w:adjustRightInd w:val="0"/>
        <w:spacing w:before="120" w:after="120"/>
        <w:rPr>
          <w:rFonts w:eastAsia="TimesNewRoman"/>
          <w:szCs w:val="22"/>
          <w:lang w:val="sr-Latn-ME"/>
        </w:rPr>
      </w:pPr>
      <w:r w:rsidRPr="00777B5C">
        <w:rPr>
          <w:rFonts w:eastAsia="TimesNewRoman"/>
          <w:szCs w:val="22"/>
          <w:lang w:val="sr-Latn-ME"/>
        </w:rPr>
        <w:t>Bezb</w:t>
      </w:r>
      <w:r w:rsidR="008352C8" w:rsidRPr="00777B5C">
        <w:rPr>
          <w:rFonts w:eastAsia="TimesNewRoman"/>
          <w:szCs w:val="22"/>
          <w:lang w:val="sr-Latn-ME"/>
        </w:rPr>
        <w:t>j</w:t>
      </w:r>
      <w:r w:rsidRPr="00777B5C">
        <w:rPr>
          <w:rFonts w:eastAsia="TimesNewRoman"/>
          <w:szCs w:val="22"/>
          <w:lang w:val="sr-Latn-ME"/>
        </w:rPr>
        <w:t>ednost tigeciklina je takođe ispitana u farmakokinetičkoj studiji otvorenog dizajna sa postepenim povećanjem višestrukih doza, kod 58 d</w:t>
      </w:r>
      <w:r w:rsidR="008352C8" w:rsidRPr="00777B5C">
        <w:rPr>
          <w:rFonts w:eastAsia="TimesNewRoman"/>
          <w:szCs w:val="22"/>
          <w:lang w:val="sr-Latn-ME"/>
        </w:rPr>
        <w:t>j</w:t>
      </w:r>
      <w:r w:rsidRPr="00777B5C">
        <w:rPr>
          <w:rFonts w:eastAsia="TimesNewRoman"/>
          <w:szCs w:val="22"/>
          <w:lang w:val="sr-Latn-ME"/>
        </w:rPr>
        <w:t>ece uzrasta 8 do 11 godina, sa cSSTI (n=15), cIAI (n=24) ili vanbolničkom pneumonijom (n=19). Profil neželjenih reakcija tigeciklina kod ovih 58 ispitanika uglavnom je bio u skladu sa profilom neželjenih reakcija kod odraslih, sa izuzetkom mučnine (48,3%), povraćanja (46,6%) i povećanja lipaze u serumu (6,9%) koji su imali veću učestalost kod d</w:t>
      </w:r>
      <w:r w:rsidR="008352C8" w:rsidRPr="00777B5C">
        <w:rPr>
          <w:rFonts w:eastAsia="TimesNewRoman"/>
          <w:szCs w:val="22"/>
          <w:lang w:val="sr-Latn-ME"/>
        </w:rPr>
        <w:t>j</w:t>
      </w:r>
      <w:r w:rsidRPr="00777B5C">
        <w:rPr>
          <w:rFonts w:eastAsia="TimesNewRoman"/>
          <w:szCs w:val="22"/>
          <w:lang w:val="sr-Latn-ME"/>
        </w:rPr>
        <w:t>ece nego kod odraslih.</w:t>
      </w:r>
    </w:p>
    <w:p w14:paraId="6EB7D258" w14:textId="77777777" w:rsidR="004B1B99" w:rsidRPr="00777B5C" w:rsidRDefault="004B1B99" w:rsidP="007B2FC3">
      <w:pPr>
        <w:tabs>
          <w:tab w:val="clear" w:pos="284"/>
        </w:tabs>
        <w:spacing w:after="200" w:line="276" w:lineRule="auto"/>
        <w:rPr>
          <w:rFonts w:eastAsia="Calibri"/>
          <w:szCs w:val="22"/>
          <w:u w:val="single"/>
          <w:lang w:val="sr-Latn-ME"/>
        </w:rPr>
      </w:pPr>
      <w:r w:rsidRPr="00777B5C">
        <w:rPr>
          <w:rFonts w:eastAsia="Calibri"/>
          <w:szCs w:val="22"/>
          <w:u w:val="single"/>
          <w:lang w:val="sr-Latn-ME"/>
        </w:rPr>
        <w:t>Prijavljivanje sumnji na neželjena dejstva</w:t>
      </w:r>
    </w:p>
    <w:p w14:paraId="1D0D6E56" w14:textId="77777777" w:rsidR="004B1B99" w:rsidRPr="00777B5C" w:rsidRDefault="004B1B99" w:rsidP="0047765A">
      <w:pPr>
        <w:tabs>
          <w:tab w:val="clear" w:pos="284"/>
        </w:tabs>
        <w:spacing w:after="200"/>
        <w:rPr>
          <w:rFonts w:eastAsia="Calibri"/>
          <w:szCs w:val="22"/>
          <w:lang w:val="sr-Latn-ME"/>
        </w:rPr>
      </w:pPr>
      <w:r w:rsidRPr="00777B5C">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74E9E8D" w14:textId="77777777" w:rsidR="004B1B99" w:rsidRPr="00777B5C" w:rsidRDefault="004B1B99">
      <w:pPr>
        <w:tabs>
          <w:tab w:val="clear" w:pos="284"/>
        </w:tabs>
        <w:rPr>
          <w:rFonts w:eastAsia="Calibri"/>
          <w:szCs w:val="22"/>
          <w:lang w:val="sr-Latn-ME"/>
        </w:rPr>
      </w:pPr>
      <w:r w:rsidRPr="00777B5C">
        <w:rPr>
          <w:rFonts w:eastAsia="Calibri"/>
          <w:szCs w:val="22"/>
          <w:lang w:val="sr-Latn-ME"/>
        </w:rPr>
        <w:t xml:space="preserve">Institut za ljekove i medicinska sredstva </w:t>
      </w:r>
    </w:p>
    <w:p w14:paraId="0E2561BD" w14:textId="77777777" w:rsidR="004B1B99" w:rsidRPr="00777B5C" w:rsidRDefault="004B1B99">
      <w:pPr>
        <w:tabs>
          <w:tab w:val="clear" w:pos="284"/>
        </w:tabs>
        <w:rPr>
          <w:rFonts w:eastAsia="Calibri"/>
          <w:szCs w:val="22"/>
          <w:lang w:val="sr-Latn-ME"/>
        </w:rPr>
      </w:pPr>
      <w:r w:rsidRPr="00777B5C">
        <w:rPr>
          <w:rFonts w:eastAsia="Calibri"/>
          <w:szCs w:val="22"/>
          <w:lang w:val="sr-Latn-ME"/>
        </w:rPr>
        <w:t>Odjeljenje za farmakovigilancu</w:t>
      </w:r>
    </w:p>
    <w:p w14:paraId="4B235352" w14:textId="77777777" w:rsidR="004B1B99" w:rsidRPr="00777B5C" w:rsidRDefault="004B1B99">
      <w:pPr>
        <w:tabs>
          <w:tab w:val="clear" w:pos="284"/>
        </w:tabs>
        <w:rPr>
          <w:rFonts w:eastAsia="Calibri"/>
          <w:szCs w:val="22"/>
          <w:lang w:val="sr-Latn-ME"/>
        </w:rPr>
      </w:pPr>
      <w:r w:rsidRPr="00777B5C">
        <w:rPr>
          <w:rFonts w:eastAsia="Calibri"/>
          <w:szCs w:val="22"/>
          <w:lang w:val="sr-Latn-ME"/>
        </w:rPr>
        <w:t>Bulevar Ivana Crnojevića 64a, 81000 Podgorica</w:t>
      </w:r>
    </w:p>
    <w:p w14:paraId="25404B74" w14:textId="77777777" w:rsidR="004B1B99" w:rsidRPr="00777B5C" w:rsidRDefault="004B1B99" w:rsidP="007B2FC3">
      <w:pPr>
        <w:tabs>
          <w:tab w:val="clear" w:pos="284"/>
        </w:tabs>
        <w:rPr>
          <w:rFonts w:eastAsia="Calibri"/>
          <w:szCs w:val="22"/>
          <w:lang w:val="sr-Latn-ME"/>
        </w:rPr>
      </w:pPr>
    </w:p>
    <w:p w14:paraId="2E9B72BD" w14:textId="77777777" w:rsidR="004B1B99" w:rsidRPr="00777B5C" w:rsidRDefault="004B1B99" w:rsidP="0047765A">
      <w:pPr>
        <w:tabs>
          <w:tab w:val="clear" w:pos="284"/>
        </w:tabs>
        <w:rPr>
          <w:rFonts w:eastAsia="Calibri"/>
          <w:szCs w:val="22"/>
          <w:lang w:val="sr-Latn-ME"/>
        </w:rPr>
      </w:pPr>
      <w:r w:rsidRPr="00777B5C">
        <w:rPr>
          <w:rFonts w:eastAsia="Calibri"/>
          <w:szCs w:val="22"/>
          <w:lang w:val="sr-Latn-ME"/>
        </w:rPr>
        <w:t>tel: +382 (0) 20 310 280</w:t>
      </w:r>
    </w:p>
    <w:p w14:paraId="1C8D8F15" w14:textId="77777777" w:rsidR="004B1B99" w:rsidRPr="00777B5C" w:rsidRDefault="004B1B99">
      <w:pPr>
        <w:tabs>
          <w:tab w:val="clear" w:pos="284"/>
          <w:tab w:val="left" w:pos="6720"/>
        </w:tabs>
        <w:rPr>
          <w:rFonts w:eastAsia="Calibri"/>
          <w:szCs w:val="22"/>
          <w:lang w:val="sr-Latn-ME"/>
        </w:rPr>
      </w:pPr>
      <w:r w:rsidRPr="00777B5C">
        <w:rPr>
          <w:rFonts w:eastAsia="Calibri"/>
          <w:szCs w:val="22"/>
          <w:lang w:val="sr-Latn-ME"/>
        </w:rPr>
        <w:t>fax: +382 (0) 20 310 581</w:t>
      </w:r>
      <w:r w:rsidRPr="00777B5C">
        <w:rPr>
          <w:rFonts w:eastAsia="Calibri"/>
          <w:szCs w:val="22"/>
          <w:lang w:val="sr-Latn-ME"/>
        </w:rPr>
        <w:tab/>
      </w:r>
    </w:p>
    <w:p w14:paraId="7DB6EAF9" w14:textId="77777777" w:rsidR="004B1B99" w:rsidRPr="00777B5C" w:rsidRDefault="008B0435">
      <w:pPr>
        <w:tabs>
          <w:tab w:val="clear" w:pos="284"/>
        </w:tabs>
        <w:rPr>
          <w:rFonts w:eastAsia="Calibri"/>
          <w:szCs w:val="22"/>
          <w:lang w:val="sr-Latn-ME"/>
        </w:rPr>
      </w:pPr>
      <w:hyperlink r:id="rId11" w:history="1">
        <w:r w:rsidR="004B1B99" w:rsidRPr="00777B5C">
          <w:rPr>
            <w:rFonts w:eastAsia="Calibri"/>
            <w:color w:val="0563C1"/>
            <w:szCs w:val="22"/>
            <w:u w:val="single"/>
            <w:lang w:val="sr-Latn-ME"/>
          </w:rPr>
          <w:t>www.cinmed.me</w:t>
        </w:r>
      </w:hyperlink>
    </w:p>
    <w:p w14:paraId="6D614432" w14:textId="77777777" w:rsidR="004B1B99" w:rsidRPr="00777B5C" w:rsidRDefault="008B0435">
      <w:pPr>
        <w:tabs>
          <w:tab w:val="clear" w:pos="284"/>
        </w:tabs>
        <w:rPr>
          <w:rFonts w:eastAsia="Calibri"/>
          <w:color w:val="0000FF"/>
          <w:szCs w:val="22"/>
          <w:u w:val="single"/>
          <w:lang w:val="sr-Latn-ME"/>
        </w:rPr>
      </w:pPr>
      <w:hyperlink r:id="rId12" w:history="1">
        <w:r w:rsidR="004B1B99" w:rsidRPr="00777B5C">
          <w:rPr>
            <w:rFonts w:eastAsia="Calibri"/>
            <w:color w:val="0563C1"/>
            <w:szCs w:val="22"/>
            <w:u w:val="single"/>
            <w:lang w:val="sr-Latn-ME"/>
          </w:rPr>
          <w:t>nezeljenadejstva@cinmed.me</w:t>
        </w:r>
      </w:hyperlink>
    </w:p>
    <w:p w14:paraId="4782282D" w14:textId="77777777" w:rsidR="004B1B99" w:rsidRPr="00777B5C" w:rsidRDefault="004B1B99">
      <w:pPr>
        <w:tabs>
          <w:tab w:val="clear" w:pos="284"/>
        </w:tabs>
        <w:rPr>
          <w:rFonts w:eastAsia="Calibri"/>
          <w:szCs w:val="22"/>
          <w:lang w:val="sr-Latn-ME"/>
        </w:rPr>
      </w:pPr>
      <w:r w:rsidRPr="00777B5C">
        <w:rPr>
          <w:rFonts w:eastAsia="Calibri"/>
          <w:szCs w:val="22"/>
          <w:lang w:val="sr-Latn-ME"/>
        </w:rPr>
        <w:t>putem IS zdravstvene zaštite</w:t>
      </w:r>
    </w:p>
    <w:p w14:paraId="674C237B" w14:textId="77777777" w:rsidR="004B1B99" w:rsidRPr="00777B5C" w:rsidRDefault="004B1B99">
      <w:pPr>
        <w:tabs>
          <w:tab w:val="clear" w:pos="284"/>
        </w:tabs>
        <w:rPr>
          <w:rFonts w:eastAsia="Calibri"/>
          <w:szCs w:val="22"/>
          <w:lang w:val="sr-Latn-ME"/>
        </w:rPr>
      </w:pPr>
      <w:r w:rsidRPr="00777B5C">
        <w:rPr>
          <w:rFonts w:eastAsia="Calibri"/>
          <w:szCs w:val="22"/>
          <w:lang w:val="sr-Latn-ME"/>
        </w:rPr>
        <w:t>QR kod za online prijavu sumnje na neželjeno dejstvo lijeka:</w:t>
      </w:r>
    </w:p>
    <w:p w14:paraId="6EFA1D6B" w14:textId="77777777" w:rsidR="004B1B99" w:rsidRPr="00777B5C" w:rsidRDefault="004B1B99" w:rsidP="007B2FC3">
      <w:pPr>
        <w:tabs>
          <w:tab w:val="clear" w:pos="284"/>
        </w:tabs>
        <w:rPr>
          <w:rFonts w:eastAsia="Calibri"/>
          <w:szCs w:val="22"/>
          <w:lang w:val="sr-Latn-ME"/>
        </w:rPr>
      </w:pPr>
    </w:p>
    <w:p w14:paraId="27B8F885" w14:textId="4E00015C" w:rsidR="00160B46" w:rsidRPr="00777B5C" w:rsidRDefault="005C4BDD" w:rsidP="007B2FC3">
      <w:pPr>
        <w:tabs>
          <w:tab w:val="clear" w:pos="284"/>
          <w:tab w:val="left" w:pos="540"/>
          <w:tab w:val="left" w:pos="569"/>
        </w:tabs>
        <w:rPr>
          <w:b/>
          <w:bCs/>
          <w:szCs w:val="22"/>
          <w:lang w:val="sr-Latn-ME"/>
        </w:rPr>
      </w:pPr>
      <w:r w:rsidRPr="00777B5C">
        <w:rPr>
          <w:b/>
          <w:noProof/>
          <w:szCs w:val="22"/>
        </w:rPr>
        <w:drawing>
          <wp:inline distT="0" distB="0" distL="0" distR="0" wp14:anchorId="571EC933" wp14:editId="00A3DA0A">
            <wp:extent cx="977900" cy="970280"/>
            <wp:effectExtent l="0" t="0" r="0" b="0"/>
            <wp:docPr id="31" name="Picture 3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l="10118" t="9756" r="9299" b="10384"/>
                    <a:stretch>
                      <a:fillRect/>
                    </a:stretch>
                  </pic:blipFill>
                  <pic:spPr bwMode="auto">
                    <a:xfrm>
                      <a:off x="0" y="0"/>
                      <a:ext cx="977900" cy="970280"/>
                    </a:xfrm>
                    <a:prstGeom prst="rect">
                      <a:avLst/>
                    </a:prstGeom>
                    <a:noFill/>
                    <a:ln>
                      <a:noFill/>
                    </a:ln>
                  </pic:spPr>
                </pic:pic>
              </a:graphicData>
            </a:graphic>
          </wp:inline>
        </w:drawing>
      </w:r>
    </w:p>
    <w:p w14:paraId="061C9B01" w14:textId="77777777" w:rsidR="00DB46D8" w:rsidRPr="00777B5C" w:rsidRDefault="00DB46D8" w:rsidP="007B2FC3">
      <w:pPr>
        <w:tabs>
          <w:tab w:val="clear" w:pos="284"/>
          <w:tab w:val="left" w:pos="540"/>
          <w:tab w:val="left" w:pos="569"/>
        </w:tabs>
        <w:rPr>
          <w:rFonts w:eastAsia="TimesNewRoman,Bold"/>
          <w:b/>
          <w:bCs/>
          <w:noProof/>
          <w:szCs w:val="22"/>
          <w:lang w:val="sr-Latn-ME"/>
        </w:rPr>
      </w:pPr>
    </w:p>
    <w:p w14:paraId="0508E9B1" w14:textId="63065CA2" w:rsidR="00F412AB" w:rsidRPr="00777B5C" w:rsidRDefault="00F412AB">
      <w:pPr>
        <w:tabs>
          <w:tab w:val="clear" w:pos="284"/>
        </w:tabs>
        <w:autoSpaceDE w:val="0"/>
        <w:autoSpaceDN w:val="0"/>
        <w:adjustRightInd w:val="0"/>
        <w:spacing w:before="120" w:after="120"/>
        <w:rPr>
          <w:rFonts w:eastAsia="TimesNewRoman,Bold"/>
          <w:b/>
          <w:bCs/>
          <w:noProof/>
          <w:szCs w:val="22"/>
          <w:lang w:val="sr-Latn-ME"/>
        </w:rPr>
      </w:pPr>
      <w:r w:rsidRPr="00777B5C">
        <w:rPr>
          <w:rFonts w:eastAsia="TimesNewRoman,Bold"/>
          <w:b/>
          <w:bCs/>
          <w:noProof/>
          <w:szCs w:val="22"/>
          <w:lang w:val="sr-Latn-ME"/>
        </w:rPr>
        <w:t>Predoziranje</w:t>
      </w:r>
    </w:p>
    <w:p w14:paraId="41F9E00D" w14:textId="6025057E" w:rsidR="00F412AB" w:rsidRPr="00777B5C" w:rsidRDefault="00F412AB" w:rsidP="007B2FC3">
      <w:pPr>
        <w:tabs>
          <w:tab w:val="clear" w:pos="284"/>
        </w:tabs>
        <w:autoSpaceDE w:val="0"/>
        <w:autoSpaceDN w:val="0"/>
        <w:adjustRightInd w:val="0"/>
        <w:rPr>
          <w:rFonts w:eastAsia="TimesNewRoman"/>
          <w:noProof/>
          <w:szCs w:val="22"/>
          <w:lang w:val="sr-Latn-ME"/>
        </w:rPr>
      </w:pPr>
      <w:r w:rsidRPr="00777B5C">
        <w:rPr>
          <w:rFonts w:eastAsia="TimesNewRoman"/>
          <w:noProof/>
          <w:szCs w:val="22"/>
          <w:lang w:val="sr-Latn-ME"/>
        </w:rPr>
        <w:t>Ne postoje posebne informacije o predoziranju tokom terapije. Intravenska prim</w:t>
      </w:r>
      <w:r w:rsidR="008352C8" w:rsidRPr="00777B5C">
        <w:rPr>
          <w:rFonts w:eastAsia="TimesNewRoman"/>
          <w:noProof/>
          <w:szCs w:val="22"/>
          <w:lang w:val="sr-Latn-ME"/>
        </w:rPr>
        <w:t>j</w:t>
      </w:r>
      <w:r w:rsidRPr="00777B5C">
        <w:rPr>
          <w:rFonts w:eastAsia="TimesNewRoman"/>
          <w:noProof/>
          <w:szCs w:val="22"/>
          <w:lang w:val="sr-Latn-ME"/>
        </w:rPr>
        <w:t>ena tigeciklina u pojedinačnoj dozi od 300 mg tokom 60 minuta, kod zdravih ispitanika, je rezultovala povećanom incidencijom mučnine i povraćanja. Tigeciklin se ne uklanja u značajnoj količini hemodijalizom.</w:t>
      </w:r>
    </w:p>
    <w:p w14:paraId="2F6FEA09" w14:textId="7A074C06" w:rsidR="003E46D3" w:rsidRPr="00777B5C" w:rsidRDefault="003E46D3" w:rsidP="007B2FC3">
      <w:pPr>
        <w:tabs>
          <w:tab w:val="clear" w:pos="284"/>
        </w:tabs>
        <w:autoSpaceDE w:val="0"/>
        <w:autoSpaceDN w:val="0"/>
        <w:adjustRightInd w:val="0"/>
        <w:rPr>
          <w:rFonts w:eastAsia="TimesNewRoman"/>
          <w:noProof/>
          <w:szCs w:val="22"/>
          <w:lang w:val="sr-Latn-ME"/>
        </w:rPr>
      </w:pPr>
    </w:p>
    <w:p w14:paraId="36DD17FD" w14:textId="2CF8DA6B" w:rsidR="00F412AB" w:rsidRPr="00777B5C" w:rsidRDefault="00F412AB" w:rsidP="007B2FC3">
      <w:pPr>
        <w:rPr>
          <w:b/>
          <w:bCs/>
          <w:szCs w:val="22"/>
          <w:lang w:val="sr-Latn-ME"/>
        </w:rPr>
      </w:pPr>
      <w:r w:rsidRPr="00777B5C">
        <w:rPr>
          <w:b/>
          <w:bCs/>
          <w:szCs w:val="22"/>
          <w:lang w:val="sr-Latn-ME"/>
        </w:rPr>
        <w:t>Lista pomoćnih supstanci</w:t>
      </w:r>
      <w:r w:rsidR="008352C8" w:rsidRPr="00777B5C">
        <w:rPr>
          <w:b/>
          <w:bCs/>
          <w:szCs w:val="22"/>
          <w:lang w:val="sr-Latn-ME"/>
        </w:rPr>
        <w:t xml:space="preserve"> (ekscipijenasa)</w:t>
      </w:r>
    </w:p>
    <w:p w14:paraId="61E002CD" w14:textId="77777777" w:rsidR="00160B46" w:rsidRPr="00777B5C" w:rsidRDefault="00160B46" w:rsidP="007B2FC3">
      <w:pPr>
        <w:rPr>
          <w:b/>
          <w:bCs/>
          <w:szCs w:val="22"/>
          <w:lang w:val="sr-Latn-ME"/>
        </w:rPr>
      </w:pPr>
    </w:p>
    <w:p w14:paraId="772E4934" w14:textId="77777777" w:rsidR="000E558D" w:rsidRPr="00777B5C" w:rsidRDefault="000E558D" w:rsidP="007B2FC3">
      <w:pPr>
        <w:rPr>
          <w:szCs w:val="22"/>
          <w:lang w:val="sr-Latn-ME"/>
        </w:rPr>
      </w:pPr>
      <w:r w:rsidRPr="00777B5C">
        <w:rPr>
          <w:szCs w:val="22"/>
          <w:lang w:val="sr-Latn-ME"/>
        </w:rPr>
        <w:t>Trehaloza</w:t>
      </w:r>
    </w:p>
    <w:p w14:paraId="45BB3964" w14:textId="77777777" w:rsidR="000E558D" w:rsidRPr="00777B5C" w:rsidRDefault="000E558D" w:rsidP="007B2FC3">
      <w:pPr>
        <w:rPr>
          <w:szCs w:val="22"/>
          <w:lang w:val="sr-Latn-ME"/>
        </w:rPr>
      </w:pPr>
      <w:r w:rsidRPr="00777B5C">
        <w:rPr>
          <w:szCs w:val="22"/>
          <w:lang w:val="sr-Latn-ME"/>
        </w:rPr>
        <w:t>Hlorovodonična kiselina (za podešavanje pH)</w:t>
      </w:r>
    </w:p>
    <w:p w14:paraId="5AEE0C2A" w14:textId="2780AA38" w:rsidR="00F412AB" w:rsidRPr="00777B5C" w:rsidRDefault="000E558D" w:rsidP="007B2FC3">
      <w:pPr>
        <w:rPr>
          <w:szCs w:val="22"/>
          <w:lang w:val="sr-Latn-ME"/>
        </w:rPr>
      </w:pPr>
      <w:r w:rsidRPr="00777B5C">
        <w:rPr>
          <w:szCs w:val="22"/>
          <w:lang w:val="sr-Latn-ME"/>
        </w:rPr>
        <w:t>Natrijum hidroksid (za podešavanje pH)</w:t>
      </w:r>
    </w:p>
    <w:p w14:paraId="55837DBF" w14:textId="0B0A2AFD" w:rsidR="00160B46" w:rsidRPr="00777B5C" w:rsidRDefault="00160B46" w:rsidP="007B2FC3">
      <w:pPr>
        <w:rPr>
          <w:b/>
          <w:bCs/>
          <w:szCs w:val="22"/>
          <w:lang w:val="sr-Latn-ME"/>
        </w:rPr>
      </w:pPr>
    </w:p>
    <w:p w14:paraId="79559D7E" w14:textId="5C8AD7BE" w:rsidR="00F412AB" w:rsidRPr="00777B5C" w:rsidRDefault="00F412AB" w:rsidP="007B2FC3">
      <w:pPr>
        <w:rPr>
          <w:b/>
          <w:bCs/>
          <w:szCs w:val="22"/>
          <w:lang w:val="sr-Latn-ME"/>
        </w:rPr>
      </w:pPr>
      <w:r w:rsidRPr="00777B5C">
        <w:rPr>
          <w:b/>
          <w:bCs/>
          <w:szCs w:val="22"/>
          <w:lang w:val="sr-Latn-ME"/>
        </w:rPr>
        <w:t>Inkompatibilnost</w:t>
      </w:r>
      <w:r w:rsidR="008352C8" w:rsidRPr="00777B5C">
        <w:rPr>
          <w:b/>
          <w:bCs/>
          <w:szCs w:val="22"/>
          <w:lang w:val="sr-Latn-ME"/>
        </w:rPr>
        <w:t>i</w:t>
      </w:r>
    </w:p>
    <w:p w14:paraId="59CE4480" w14:textId="77777777" w:rsidR="00160B46" w:rsidRPr="00777B5C" w:rsidRDefault="00160B46" w:rsidP="007B2FC3">
      <w:pPr>
        <w:rPr>
          <w:b/>
          <w:bCs/>
          <w:szCs w:val="22"/>
          <w:lang w:val="sr-Latn-ME"/>
        </w:rPr>
      </w:pPr>
    </w:p>
    <w:p w14:paraId="52CBC36C" w14:textId="68AAB9DE" w:rsidR="000E558D" w:rsidRPr="00777B5C" w:rsidRDefault="000E558D" w:rsidP="007B2FC3">
      <w:pPr>
        <w:rPr>
          <w:szCs w:val="22"/>
          <w:lang w:val="sr-Latn-ME"/>
        </w:rPr>
      </w:pPr>
      <w:r w:rsidRPr="00777B5C">
        <w:rPr>
          <w:szCs w:val="22"/>
          <w:lang w:val="sr-Latn-ME"/>
        </w:rPr>
        <w:t>Sl</w:t>
      </w:r>
      <w:r w:rsidR="008352C8" w:rsidRPr="00777B5C">
        <w:rPr>
          <w:szCs w:val="22"/>
          <w:lang w:val="sr-Latn-ME"/>
        </w:rPr>
        <w:t>j</w:t>
      </w:r>
      <w:r w:rsidRPr="00777B5C">
        <w:rPr>
          <w:szCs w:val="22"/>
          <w:lang w:val="sr-Latn-ME"/>
        </w:rPr>
        <w:t>edeće aktivne supstance ne treba prim</w:t>
      </w:r>
      <w:r w:rsidR="008352C8" w:rsidRPr="00777B5C">
        <w:rPr>
          <w:szCs w:val="22"/>
          <w:lang w:val="sr-Latn-ME"/>
        </w:rPr>
        <w:t>j</w:t>
      </w:r>
      <w:r w:rsidRPr="00777B5C">
        <w:rPr>
          <w:szCs w:val="22"/>
          <w:lang w:val="sr-Latn-ME"/>
        </w:rPr>
        <w:t>enjivati istovremeno pomoću istog Y-infuzionog seta sa</w:t>
      </w:r>
      <w:r w:rsidR="00160B46" w:rsidRPr="00777B5C">
        <w:rPr>
          <w:szCs w:val="22"/>
          <w:lang w:val="sr-Latn-ME"/>
        </w:rPr>
        <w:t xml:space="preserve"> </w:t>
      </w:r>
      <w:r w:rsidRPr="00777B5C">
        <w:rPr>
          <w:szCs w:val="22"/>
          <w:lang w:val="sr-Latn-ME"/>
        </w:rPr>
        <w:t>tigeciklinom: amfotericin B, amfotericin B lipidni kompleks, diazepam, esomeprazol, omeprazol i</w:t>
      </w:r>
      <w:r w:rsidR="00160B46" w:rsidRPr="00777B5C">
        <w:rPr>
          <w:szCs w:val="22"/>
          <w:lang w:val="sr-Latn-ME"/>
        </w:rPr>
        <w:t xml:space="preserve"> </w:t>
      </w:r>
      <w:r w:rsidRPr="00777B5C">
        <w:rPr>
          <w:szCs w:val="22"/>
          <w:lang w:val="sr-Latn-ME"/>
        </w:rPr>
        <w:t>intravenske rastvore koji mogu da povećaju pH iznad 7.</w:t>
      </w:r>
    </w:p>
    <w:p w14:paraId="0BDD9042" w14:textId="77777777" w:rsidR="00160B46" w:rsidRPr="00777B5C" w:rsidRDefault="00160B46" w:rsidP="007B2FC3">
      <w:pPr>
        <w:rPr>
          <w:szCs w:val="22"/>
          <w:lang w:val="sr-Latn-ME"/>
        </w:rPr>
      </w:pPr>
    </w:p>
    <w:p w14:paraId="6E14E803" w14:textId="78A96BC3" w:rsidR="000E558D" w:rsidRPr="00777B5C" w:rsidRDefault="000E558D" w:rsidP="007B2FC3">
      <w:pPr>
        <w:rPr>
          <w:szCs w:val="22"/>
          <w:lang w:val="sr-Latn-ME"/>
        </w:rPr>
      </w:pPr>
      <w:r w:rsidRPr="00777B5C">
        <w:rPr>
          <w:szCs w:val="22"/>
          <w:lang w:val="sr-Latn-ME"/>
        </w:rPr>
        <w:t>Ovaj l</w:t>
      </w:r>
      <w:r w:rsidR="008352C8" w:rsidRPr="00777B5C">
        <w:rPr>
          <w:szCs w:val="22"/>
          <w:lang w:val="sr-Latn-ME"/>
        </w:rPr>
        <w:t>ij</w:t>
      </w:r>
      <w:r w:rsidRPr="00777B5C">
        <w:rPr>
          <w:szCs w:val="22"/>
          <w:lang w:val="sr-Latn-ME"/>
        </w:rPr>
        <w:t>ek se ne sm</w:t>
      </w:r>
      <w:r w:rsidR="008352C8" w:rsidRPr="00777B5C">
        <w:rPr>
          <w:szCs w:val="22"/>
          <w:lang w:val="sr-Latn-ME"/>
        </w:rPr>
        <w:t>ij</w:t>
      </w:r>
      <w:r w:rsidRPr="00777B5C">
        <w:rPr>
          <w:szCs w:val="22"/>
          <w:lang w:val="sr-Latn-ME"/>
        </w:rPr>
        <w:t>e m</w:t>
      </w:r>
      <w:r w:rsidR="008352C8" w:rsidRPr="00777B5C">
        <w:rPr>
          <w:szCs w:val="22"/>
          <w:lang w:val="sr-Latn-ME"/>
        </w:rPr>
        <w:t>j</w:t>
      </w:r>
      <w:r w:rsidRPr="00777B5C">
        <w:rPr>
          <w:szCs w:val="22"/>
          <w:lang w:val="sr-Latn-ME"/>
        </w:rPr>
        <w:t>ešati sa drugim l</w:t>
      </w:r>
      <w:r w:rsidR="008352C8" w:rsidRPr="00777B5C">
        <w:rPr>
          <w:szCs w:val="22"/>
          <w:lang w:val="sr-Latn-ME"/>
        </w:rPr>
        <w:t>j</w:t>
      </w:r>
      <w:r w:rsidRPr="00777B5C">
        <w:rPr>
          <w:szCs w:val="22"/>
          <w:lang w:val="sr-Latn-ME"/>
        </w:rPr>
        <w:t xml:space="preserve">ekovima, osim sa onima koji su navedeni u </w:t>
      </w:r>
      <w:r w:rsidR="008352C8" w:rsidRPr="00777B5C">
        <w:rPr>
          <w:szCs w:val="22"/>
          <w:lang w:val="sr-Latn-ME"/>
        </w:rPr>
        <w:t>dijelu</w:t>
      </w:r>
      <w:r w:rsidRPr="00777B5C">
        <w:rPr>
          <w:szCs w:val="22"/>
          <w:lang w:val="sr-Latn-ME"/>
        </w:rPr>
        <w:t xml:space="preserve"> </w:t>
      </w:r>
      <w:r w:rsidR="00876841" w:rsidRPr="00777B5C">
        <w:rPr>
          <w:szCs w:val="22"/>
          <w:lang w:val="sr-Latn-ME"/>
        </w:rPr>
        <w:t>„</w:t>
      </w:r>
      <w:r w:rsidR="00876841" w:rsidRPr="00777B5C">
        <w:rPr>
          <w:bCs/>
          <w:szCs w:val="22"/>
          <w:lang w:val="sr-Latn-ME"/>
        </w:rPr>
        <w:t>Posebne mjere opreza pri odlaganju materijala koji treba odbaciti nakon primjene lijeka (i druga uputstva za rukovanje lijekom)”</w:t>
      </w:r>
      <w:r w:rsidR="00E90431" w:rsidRPr="00777B5C">
        <w:rPr>
          <w:bCs/>
          <w:szCs w:val="22"/>
          <w:lang w:val="sr-Latn-ME"/>
        </w:rPr>
        <w:t>.</w:t>
      </w:r>
    </w:p>
    <w:p w14:paraId="39A5478D" w14:textId="77777777" w:rsidR="00160B46" w:rsidRPr="00777B5C" w:rsidRDefault="00160B46" w:rsidP="007B2FC3">
      <w:pPr>
        <w:rPr>
          <w:szCs w:val="22"/>
          <w:lang w:val="sr-Latn-ME"/>
        </w:rPr>
      </w:pPr>
    </w:p>
    <w:p w14:paraId="4B2C2323" w14:textId="52A2ACEF" w:rsidR="00F412AB" w:rsidRPr="00777B5C" w:rsidRDefault="00F412AB" w:rsidP="007B2FC3">
      <w:pPr>
        <w:rPr>
          <w:b/>
          <w:bCs/>
          <w:szCs w:val="22"/>
          <w:lang w:val="sr-Latn-ME"/>
        </w:rPr>
      </w:pPr>
      <w:r w:rsidRPr="00777B5C">
        <w:rPr>
          <w:b/>
          <w:bCs/>
          <w:szCs w:val="22"/>
          <w:lang w:val="sr-Latn-ME"/>
        </w:rPr>
        <w:t>Rok upotrebe</w:t>
      </w:r>
    </w:p>
    <w:p w14:paraId="45D13EA4" w14:textId="77777777" w:rsidR="00160B46" w:rsidRPr="00777B5C" w:rsidRDefault="00160B46" w:rsidP="007B2FC3">
      <w:pPr>
        <w:rPr>
          <w:b/>
          <w:bCs/>
          <w:szCs w:val="22"/>
          <w:lang w:val="sr-Latn-ME"/>
        </w:rPr>
      </w:pPr>
    </w:p>
    <w:p w14:paraId="2DC022D6" w14:textId="3B09BE1C" w:rsidR="00805DE2" w:rsidRPr="00777B5C" w:rsidRDefault="00805DE2" w:rsidP="007B2FC3">
      <w:pPr>
        <w:pStyle w:val="Header"/>
        <w:tabs>
          <w:tab w:val="clear" w:pos="4536"/>
          <w:tab w:val="clear" w:pos="9072"/>
          <w:tab w:val="left" w:pos="284"/>
        </w:tabs>
        <w:rPr>
          <w:szCs w:val="22"/>
          <w:lang w:val="sr-Latn-ME"/>
        </w:rPr>
      </w:pPr>
      <w:r w:rsidRPr="00777B5C">
        <w:rPr>
          <w:szCs w:val="22"/>
          <w:lang w:val="sr-Latn-ME"/>
        </w:rPr>
        <w:t>Rok upotrebe neotvorenog l</w:t>
      </w:r>
      <w:r w:rsidR="008352C8" w:rsidRPr="00777B5C">
        <w:rPr>
          <w:szCs w:val="22"/>
          <w:lang w:val="sr-Latn-ME"/>
        </w:rPr>
        <w:t>ij</w:t>
      </w:r>
      <w:r w:rsidRPr="00777B5C">
        <w:rPr>
          <w:szCs w:val="22"/>
          <w:lang w:val="sr-Latn-ME"/>
        </w:rPr>
        <w:t>eka: 2 godine</w:t>
      </w:r>
    </w:p>
    <w:p w14:paraId="3F053C4A" w14:textId="18A4B145" w:rsidR="00805DE2" w:rsidRPr="00777B5C" w:rsidRDefault="00805DE2" w:rsidP="007B2FC3">
      <w:pPr>
        <w:pStyle w:val="Header"/>
        <w:tabs>
          <w:tab w:val="left" w:pos="284"/>
        </w:tabs>
        <w:rPr>
          <w:szCs w:val="22"/>
          <w:lang w:val="sr-Latn-ME"/>
        </w:rPr>
      </w:pPr>
      <w:r w:rsidRPr="00777B5C">
        <w:rPr>
          <w:szCs w:val="22"/>
          <w:lang w:val="sr-Latn-ME"/>
        </w:rPr>
        <w:t>Rok upotrebe nakon rekonstitucije: upotr</w:t>
      </w:r>
      <w:r w:rsidR="008352C8" w:rsidRPr="00777B5C">
        <w:rPr>
          <w:szCs w:val="22"/>
          <w:lang w:val="sr-Latn-ME"/>
        </w:rPr>
        <w:t>ij</w:t>
      </w:r>
      <w:r w:rsidRPr="00777B5C">
        <w:rPr>
          <w:szCs w:val="22"/>
          <w:lang w:val="sr-Latn-ME"/>
        </w:rPr>
        <w:t>ebiti odmah.</w:t>
      </w:r>
    </w:p>
    <w:p w14:paraId="013163AF" w14:textId="77777777" w:rsidR="00160B46" w:rsidRPr="00777B5C" w:rsidRDefault="00160B46" w:rsidP="007B2FC3">
      <w:pPr>
        <w:pStyle w:val="Header"/>
        <w:tabs>
          <w:tab w:val="left" w:pos="284"/>
        </w:tabs>
        <w:rPr>
          <w:szCs w:val="22"/>
          <w:lang w:val="sr-Latn-ME"/>
        </w:rPr>
      </w:pPr>
    </w:p>
    <w:p w14:paraId="5C1905D9" w14:textId="28144E21" w:rsidR="00F412AB" w:rsidRPr="00777B5C" w:rsidRDefault="00F412AB" w:rsidP="007B2FC3">
      <w:pPr>
        <w:rPr>
          <w:b/>
          <w:bCs/>
          <w:szCs w:val="22"/>
          <w:lang w:val="sr-Latn-ME"/>
        </w:rPr>
      </w:pPr>
      <w:r w:rsidRPr="00777B5C">
        <w:rPr>
          <w:b/>
          <w:bCs/>
          <w:szCs w:val="22"/>
          <w:lang w:val="sr-Latn-ME"/>
        </w:rPr>
        <w:t>Posebne m</w:t>
      </w:r>
      <w:r w:rsidR="008352C8" w:rsidRPr="00777B5C">
        <w:rPr>
          <w:b/>
          <w:bCs/>
          <w:szCs w:val="22"/>
          <w:lang w:val="sr-Latn-ME"/>
        </w:rPr>
        <w:t>j</w:t>
      </w:r>
      <w:r w:rsidRPr="00777B5C">
        <w:rPr>
          <w:b/>
          <w:bCs/>
          <w:szCs w:val="22"/>
          <w:lang w:val="sr-Latn-ME"/>
        </w:rPr>
        <w:t>ere opreza pri čuvanju</w:t>
      </w:r>
      <w:r w:rsidR="00DB46D8" w:rsidRPr="00777B5C">
        <w:rPr>
          <w:b/>
          <w:bCs/>
          <w:szCs w:val="22"/>
          <w:lang w:val="sr-Latn-ME"/>
        </w:rPr>
        <w:t xml:space="preserve"> lijeka</w:t>
      </w:r>
    </w:p>
    <w:p w14:paraId="2E061C6F" w14:textId="77777777" w:rsidR="00160B46" w:rsidRPr="00777B5C" w:rsidRDefault="00160B46" w:rsidP="007B2FC3">
      <w:pPr>
        <w:rPr>
          <w:b/>
          <w:bCs/>
          <w:szCs w:val="22"/>
          <w:lang w:val="sr-Latn-ME"/>
        </w:rPr>
      </w:pPr>
    </w:p>
    <w:p w14:paraId="5B5C3721" w14:textId="0F54EE92" w:rsidR="00805DE2" w:rsidRPr="00777B5C" w:rsidRDefault="00805DE2" w:rsidP="007B2FC3">
      <w:pPr>
        <w:rPr>
          <w:szCs w:val="22"/>
          <w:lang w:val="sr-Latn-ME"/>
        </w:rPr>
      </w:pPr>
      <w:bookmarkStart w:id="3" w:name="_Hlk121822873"/>
      <w:r w:rsidRPr="00777B5C">
        <w:rPr>
          <w:szCs w:val="22"/>
          <w:lang w:val="sr-Latn-ME"/>
        </w:rPr>
        <w:t xml:space="preserve">Čuvati na temperaturi do </w:t>
      </w:r>
      <w:bookmarkStart w:id="4" w:name="_Hlk121822867"/>
      <w:r w:rsidRPr="00777B5C">
        <w:rPr>
          <w:szCs w:val="22"/>
          <w:lang w:val="sr-Latn-ME"/>
        </w:rPr>
        <w:t>30ºC</w:t>
      </w:r>
      <w:bookmarkEnd w:id="4"/>
      <w:r w:rsidRPr="00777B5C">
        <w:rPr>
          <w:szCs w:val="22"/>
          <w:lang w:val="sr-Latn-ME"/>
        </w:rPr>
        <w:t>, u originalnom pakovanju.</w:t>
      </w:r>
    </w:p>
    <w:bookmarkEnd w:id="3"/>
    <w:p w14:paraId="470232F8" w14:textId="16980A2F" w:rsidR="00F412AB" w:rsidRPr="00777B5C" w:rsidRDefault="000E558D" w:rsidP="007B2FC3">
      <w:pPr>
        <w:rPr>
          <w:szCs w:val="22"/>
          <w:lang w:val="sr-Latn-ME"/>
        </w:rPr>
      </w:pPr>
      <w:r w:rsidRPr="00777B5C">
        <w:rPr>
          <w:szCs w:val="22"/>
          <w:lang w:val="sr-Latn-ME"/>
        </w:rPr>
        <w:t>Za uslove čuvanja nakon rekonstitucije l</w:t>
      </w:r>
      <w:r w:rsidR="008352C8" w:rsidRPr="00777B5C">
        <w:rPr>
          <w:szCs w:val="22"/>
          <w:lang w:val="sr-Latn-ME"/>
        </w:rPr>
        <w:t>ij</w:t>
      </w:r>
      <w:r w:rsidRPr="00777B5C">
        <w:rPr>
          <w:szCs w:val="22"/>
          <w:lang w:val="sr-Latn-ME"/>
        </w:rPr>
        <w:t>eka, vid</w:t>
      </w:r>
      <w:r w:rsidR="008352C8" w:rsidRPr="00777B5C">
        <w:rPr>
          <w:szCs w:val="22"/>
          <w:lang w:val="sr-Latn-ME"/>
        </w:rPr>
        <w:t>j</w:t>
      </w:r>
      <w:r w:rsidRPr="00777B5C">
        <w:rPr>
          <w:szCs w:val="22"/>
          <w:lang w:val="sr-Latn-ME"/>
        </w:rPr>
        <w:t xml:space="preserve">eti </w:t>
      </w:r>
      <w:r w:rsidR="008352C8" w:rsidRPr="00777B5C">
        <w:rPr>
          <w:szCs w:val="22"/>
          <w:lang w:val="sr-Latn-ME"/>
        </w:rPr>
        <w:t>dio</w:t>
      </w:r>
      <w:r w:rsidRPr="00777B5C">
        <w:rPr>
          <w:szCs w:val="22"/>
          <w:lang w:val="sr-Latn-ME"/>
        </w:rPr>
        <w:t xml:space="preserve"> </w:t>
      </w:r>
      <w:r w:rsidR="00876841" w:rsidRPr="00777B5C">
        <w:rPr>
          <w:szCs w:val="22"/>
          <w:lang w:val="sr-Latn-ME"/>
        </w:rPr>
        <w:t>„Rok upotrebe”.</w:t>
      </w:r>
    </w:p>
    <w:p w14:paraId="18AEB8E2" w14:textId="77777777" w:rsidR="00160B46" w:rsidRPr="00777B5C" w:rsidRDefault="00160B46" w:rsidP="007B2FC3">
      <w:pPr>
        <w:rPr>
          <w:szCs w:val="22"/>
          <w:lang w:val="sr-Latn-ME"/>
        </w:rPr>
      </w:pPr>
    </w:p>
    <w:p w14:paraId="3A6A2577" w14:textId="2EA826CB" w:rsidR="00F412AB" w:rsidRPr="00777B5C" w:rsidRDefault="008352C8" w:rsidP="007B2FC3">
      <w:pPr>
        <w:rPr>
          <w:b/>
          <w:bCs/>
          <w:szCs w:val="22"/>
          <w:lang w:val="sr-Latn-ME"/>
        </w:rPr>
      </w:pPr>
      <w:r w:rsidRPr="00777B5C">
        <w:rPr>
          <w:b/>
          <w:bCs/>
          <w:szCs w:val="22"/>
          <w:lang w:val="sr-Latn-ME"/>
        </w:rPr>
        <w:t>Vrsta</w:t>
      </w:r>
      <w:r w:rsidR="00F412AB" w:rsidRPr="00777B5C">
        <w:rPr>
          <w:b/>
          <w:bCs/>
          <w:szCs w:val="22"/>
          <w:lang w:val="sr-Latn-ME"/>
        </w:rPr>
        <w:t xml:space="preserve"> i sadržaj pakovanja </w:t>
      </w:r>
    </w:p>
    <w:p w14:paraId="03E510E4" w14:textId="77777777" w:rsidR="00160B46" w:rsidRPr="00777B5C" w:rsidRDefault="00160B46" w:rsidP="007B2FC3">
      <w:pPr>
        <w:rPr>
          <w:b/>
          <w:bCs/>
          <w:szCs w:val="22"/>
          <w:lang w:val="sr-Latn-ME"/>
        </w:rPr>
      </w:pPr>
    </w:p>
    <w:p w14:paraId="47CBC92D" w14:textId="5357C67A" w:rsidR="000E558D" w:rsidRPr="00777B5C" w:rsidRDefault="000E558D" w:rsidP="007B2FC3">
      <w:pPr>
        <w:rPr>
          <w:szCs w:val="22"/>
          <w:lang w:val="sr-Latn-ME"/>
        </w:rPr>
      </w:pPr>
      <w:r w:rsidRPr="00777B5C">
        <w:rPr>
          <w:szCs w:val="22"/>
          <w:lang w:val="sr-Latn-ME"/>
        </w:rPr>
        <w:t>Unutrašnje pakovanje je bočica od bezbojnog stakla (hidrolitičke otpornosti tip I) sa sivim gumenim (bromobutil) zatvaračem i aluminijumskim "flip-off" poklopcem koji na vrhu imaju plastični d</w:t>
      </w:r>
      <w:r w:rsidR="008352C8" w:rsidRPr="00777B5C">
        <w:rPr>
          <w:szCs w:val="22"/>
          <w:lang w:val="sr-Latn-ME"/>
        </w:rPr>
        <w:t>i</w:t>
      </w:r>
      <w:r w:rsidRPr="00777B5C">
        <w:rPr>
          <w:szCs w:val="22"/>
          <w:lang w:val="sr-Latn-ME"/>
        </w:rPr>
        <w:t>o b</w:t>
      </w:r>
      <w:r w:rsidR="008352C8" w:rsidRPr="00777B5C">
        <w:rPr>
          <w:szCs w:val="22"/>
          <w:lang w:val="sr-Latn-ME"/>
        </w:rPr>
        <w:t>ij</w:t>
      </w:r>
      <w:r w:rsidRPr="00777B5C">
        <w:rPr>
          <w:szCs w:val="22"/>
          <w:lang w:val="sr-Latn-ME"/>
        </w:rPr>
        <w:t>ele boje.</w:t>
      </w:r>
    </w:p>
    <w:p w14:paraId="6D0BBD90" w14:textId="77777777" w:rsidR="00E90431" w:rsidRPr="00777B5C" w:rsidRDefault="00E90431" w:rsidP="007B2FC3">
      <w:pPr>
        <w:rPr>
          <w:szCs w:val="22"/>
          <w:lang w:val="sr-Latn-ME"/>
        </w:rPr>
      </w:pPr>
    </w:p>
    <w:p w14:paraId="250256C6" w14:textId="69662A15" w:rsidR="000E558D" w:rsidRPr="00777B5C" w:rsidRDefault="000E558D" w:rsidP="007B2FC3">
      <w:pPr>
        <w:rPr>
          <w:szCs w:val="22"/>
          <w:lang w:val="sr-Latn-ME"/>
        </w:rPr>
      </w:pPr>
      <w:r w:rsidRPr="00777B5C">
        <w:rPr>
          <w:szCs w:val="22"/>
          <w:lang w:val="sr-Latn-ME"/>
        </w:rPr>
        <w:t>Spolj</w:t>
      </w:r>
      <w:r w:rsidR="00160B46" w:rsidRPr="00777B5C">
        <w:rPr>
          <w:szCs w:val="22"/>
          <w:lang w:val="sr-Latn-ME"/>
        </w:rPr>
        <w:t>aš</w:t>
      </w:r>
      <w:r w:rsidRPr="00777B5C">
        <w:rPr>
          <w:szCs w:val="22"/>
          <w:lang w:val="sr-Latn-ME"/>
        </w:rPr>
        <w:t>nje pakovanje je složiva kartonska kutija koja sadrži 10 bočica sa praškom za rastvor za infuziju</w:t>
      </w:r>
      <w:r w:rsidR="00876841" w:rsidRPr="00777B5C">
        <w:rPr>
          <w:szCs w:val="22"/>
          <w:lang w:val="sr-Latn-ME"/>
        </w:rPr>
        <w:t xml:space="preserve"> </w:t>
      </w:r>
      <w:r w:rsidRPr="00777B5C">
        <w:rPr>
          <w:szCs w:val="22"/>
          <w:lang w:val="sr-Latn-ME"/>
        </w:rPr>
        <w:t>(ukupno 10 bočica, 10 x 50 mg) i Uputstvo za l</w:t>
      </w:r>
      <w:r w:rsidR="008352C8" w:rsidRPr="00777B5C">
        <w:rPr>
          <w:szCs w:val="22"/>
          <w:lang w:val="sr-Latn-ME"/>
        </w:rPr>
        <w:t>ij</w:t>
      </w:r>
      <w:r w:rsidRPr="00777B5C">
        <w:rPr>
          <w:szCs w:val="22"/>
          <w:lang w:val="sr-Latn-ME"/>
        </w:rPr>
        <w:t>ek.</w:t>
      </w:r>
    </w:p>
    <w:p w14:paraId="30AF5B93" w14:textId="77777777" w:rsidR="00160B46" w:rsidRPr="00777B5C" w:rsidRDefault="00160B46" w:rsidP="007B2FC3">
      <w:pPr>
        <w:rPr>
          <w:szCs w:val="22"/>
          <w:lang w:val="sr-Latn-ME"/>
        </w:rPr>
      </w:pPr>
    </w:p>
    <w:p w14:paraId="5A5852E1" w14:textId="7A355044" w:rsidR="00F412AB" w:rsidRPr="00777B5C" w:rsidRDefault="00F412AB">
      <w:pPr>
        <w:spacing w:before="120" w:after="120"/>
        <w:rPr>
          <w:b/>
          <w:bCs/>
          <w:szCs w:val="22"/>
          <w:lang w:val="sr-Latn-ME"/>
        </w:rPr>
      </w:pPr>
      <w:r w:rsidRPr="00777B5C">
        <w:rPr>
          <w:b/>
          <w:bCs/>
          <w:szCs w:val="22"/>
          <w:lang w:val="sr-Latn-ME"/>
        </w:rPr>
        <w:t>Posebne m</w:t>
      </w:r>
      <w:r w:rsidR="008352C8" w:rsidRPr="00777B5C">
        <w:rPr>
          <w:b/>
          <w:bCs/>
          <w:szCs w:val="22"/>
          <w:lang w:val="sr-Latn-ME"/>
        </w:rPr>
        <w:t>j</w:t>
      </w:r>
      <w:r w:rsidRPr="00777B5C">
        <w:rPr>
          <w:b/>
          <w:bCs/>
          <w:szCs w:val="22"/>
          <w:lang w:val="sr-Latn-ME"/>
        </w:rPr>
        <w:t>ere opreza pri odlaganju materijala koji treba odbaciti nakon prim</w:t>
      </w:r>
      <w:r w:rsidR="008352C8" w:rsidRPr="00777B5C">
        <w:rPr>
          <w:b/>
          <w:bCs/>
          <w:szCs w:val="22"/>
          <w:lang w:val="sr-Latn-ME"/>
        </w:rPr>
        <w:t>j</w:t>
      </w:r>
      <w:r w:rsidRPr="00777B5C">
        <w:rPr>
          <w:b/>
          <w:bCs/>
          <w:szCs w:val="22"/>
          <w:lang w:val="sr-Latn-ME"/>
        </w:rPr>
        <w:t>ene l</w:t>
      </w:r>
      <w:r w:rsidR="008352C8" w:rsidRPr="00777B5C">
        <w:rPr>
          <w:b/>
          <w:bCs/>
          <w:szCs w:val="22"/>
          <w:lang w:val="sr-Latn-ME"/>
        </w:rPr>
        <w:t>ij</w:t>
      </w:r>
      <w:r w:rsidRPr="00777B5C">
        <w:rPr>
          <w:b/>
          <w:bCs/>
          <w:szCs w:val="22"/>
          <w:lang w:val="sr-Latn-ME"/>
        </w:rPr>
        <w:t>eka (i druga uputstva za rukovanje l</w:t>
      </w:r>
      <w:r w:rsidR="008352C8" w:rsidRPr="00777B5C">
        <w:rPr>
          <w:b/>
          <w:bCs/>
          <w:szCs w:val="22"/>
          <w:lang w:val="sr-Latn-ME"/>
        </w:rPr>
        <w:t>ij</w:t>
      </w:r>
      <w:r w:rsidRPr="00777B5C">
        <w:rPr>
          <w:b/>
          <w:bCs/>
          <w:szCs w:val="22"/>
          <w:lang w:val="sr-Latn-ME"/>
        </w:rPr>
        <w:t>ekom)</w:t>
      </w:r>
    </w:p>
    <w:p w14:paraId="5477B536" w14:textId="57A7A03C" w:rsidR="00BA6C77" w:rsidRPr="00777B5C" w:rsidRDefault="00BA6C77" w:rsidP="00BA6C77">
      <w:pPr>
        <w:rPr>
          <w:lang w:val="sr-Latn-ME"/>
        </w:rPr>
      </w:pPr>
      <w:r w:rsidRPr="00777B5C">
        <w:rPr>
          <w:lang w:val="sr-Latn-ME"/>
        </w:rPr>
        <w:t>Prašak treba rekonstituisati sa 5,3 ml natrijum</w:t>
      </w:r>
      <w:r w:rsidR="00857F31" w:rsidRPr="00777B5C">
        <w:rPr>
          <w:lang w:val="sr-Latn-ME"/>
        </w:rPr>
        <w:t xml:space="preserve"> </w:t>
      </w:r>
      <w:r w:rsidRPr="00777B5C">
        <w:rPr>
          <w:lang w:val="sr-Latn-ME"/>
        </w:rPr>
        <w:t>hlorida 9 mg/ml (0,9 %) rastvora za injekciju, rastvora glukoze 50 mg/ml (5 %) za injekciju ili Ringer</w:t>
      </w:r>
      <w:r w:rsidR="00857F31" w:rsidRPr="00777B5C">
        <w:rPr>
          <w:lang w:val="sr-Latn-ME"/>
        </w:rPr>
        <w:t xml:space="preserve"> </w:t>
      </w:r>
      <w:r w:rsidRPr="00777B5C">
        <w:rPr>
          <w:lang w:val="sr-Latn-ME"/>
        </w:rPr>
        <w:t>laktata rastvora za injekciju kako bi se postigla koncentracija tigeciklina od 10 mg/ml. Bočicu treba pažljivo vrt</w:t>
      </w:r>
      <w:r w:rsidR="00BC2FE3" w:rsidRPr="00777B5C">
        <w:rPr>
          <w:lang w:val="sr-Latn-ME"/>
        </w:rPr>
        <w:t>j</w:t>
      </w:r>
      <w:r w:rsidRPr="00777B5C">
        <w:rPr>
          <w:lang w:val="sr-Latn-ME"/>
        </w:rPr>
        <w:t>eti dok se l</w:t>
      </w:r>
      <w:r w:rsidR="00857F31" w:rsidRPr="00777B5C">
        <w:rPr>
          <w:lang w:val="sr-Latn-ME"/>
        </w:rPr>
        <w:t>ij</w:t>
      </w:r>
      <w:r w:rsidRPr="00777B5C">
        <w:rPr>
          <w:lang w:val="sr-Latn-ME"/>
        </w:rPr>
        <w:t xml:space="preserve">ek potpuno ne rastvori. Nakon toga, 5 ml rekonstituisanog rastvora treba odmah izvući iz bočice i dodati u infuzionu kesu od 100 ml ili drugu odgovarajuću infuzionu posudu (npr. staklenu bocu). </w:t>
      </w:r>
    </w:p>
    <w:p w14:paraId="0F6FADF7" w14:textId="77777777" w:rsidR="00BA6C77" w:rsidRPr="00777B5C" w:rsidRDefault="00BA6C77" w:rsidP="00BA6C77">
      <w:pPr>
        <w:rPr>
          <w:lang w:val="sr-Latn-ME"/>
        </w:rPr>
      </w:pPr>
    </w:p>
    <w:p w14:paraId="4A718BEF" w14:textId="4D8820AA" w:rsidR="00BA6C77" w:rsidRPr="00777B5C" w:rsidRDefault="00BA6C77" w:rsidP="00BA6C77">
      <w:pPr>
        <w:rPr>
          <w:lang w:val="sr-Latn-ME"/>
        </w:rPr>
      </w:pPr>
      <w:r w:rsidRPr="00777B5C">
        <w:rPr>
          <w:lang w:val="sr-Latn-ME"/>
        </w:rPr>
        <w:t>Za dozu od 100 mg, treba rekonstituisati dv</w:t>
      </w:r>
      <w:r w:rsidR="00857F31" w:rsidRPr="00777B5C">
        <w:rPr>
          <w:lang w:val="sr-Latn-ME"/>
        </w:rPr>
        <w:t>ij</w:t>
      </w:r>
      <w:r w:rsidRPr="00777B5C">
        <w:rPr>
          <w:lang w:val="sr-Latn-ME"/>
        </w:rPr>
        <w:t xml:space="preserve">e bočice u infuzionu kesu od 100 ml ili drugu odgovarajuću infuzionu posudu (npr. staklenu bocu). Napomena: Bočica sadrži 6 % viška, tako da je 5 ml rekonstituisanog rastvora ekvivalentno sa 50 mg aktivne supstance. </w:t>
      </w:r>
    </w:p>
    <w:p w14:paraId="01123A4D" w14:textId="54BAFA8F" w:rsidR="00BA6C77" w:rsidRPr="00777B5C" w:rsidRDefault="00BA6C77" w:rsidP="00BA6C77">
      <w:pPr>
        <w:rPr>
          <w:lang w:val="sr-Latn-ME"/>
        </w:rPr>
      </w:pPr>
      <w:r w:rsidRPr="00777B5C">
        <w:rPr>
          <w:lang w:val="sr-Latn-ME"/>
        </w:rPr>
        <w:lastRenderedPageBreak/>
        <w:t xml:space="preserve">Rekonstituisani rastvor treba da bude žute do narandžaste boje; ukoliko nije, rastvor treba baciti. </w:t>
      </w:r>
      <w:r w:rsidR="00BC2FE3" w:rsidRPr="00777B5C">
        <w:rPr>
          <w:lang w:val="sr-Latn-ME"/>
        </w:rPr>
        <w:t>Ljekove za parenteralnu primjenu</w:t>
      </w:r>
      <w:r w:rsidRPr="00777B5C">
        <w:rPr>
          <w:lang w:val="sr-Latn-ME"/>
        </w:rPr>
        <w:t xml:space="preserve"> treba vizuelno pregledati pr</w:t>
      </w:r>
      <w:r w:rsidR="00857F31" w:rsidRPr="00777B5C">
        <w:rPr>
          <w:lang w:val="sr-Latn-ME"/>
        </w:rPr>
        <w:t>ij</w:t>
      </w:r>
      <w:r w:rsidRPr="00777B5C">
        <w:rPr>
          <w:lang w:val="sr-Latn-ME"/>
        </w:rPr>
        <w:t>e prim</w:t>
      </w:r>
      <w:r w:rsidR="00857F31" w:rsidRPr="00777B5C">
        <w:rPr>
          <w:lang w:val="sr-Latn-ME"/>
        </w:rPr>
        <w:t>j</w:t>
      </w:r>
      <w:r w:rsidRPr="00777B5C">
        <w:rPr>
          <w:lang w:val="sr-Latn-ME"/>
        </w:rPr>
        <w:t>ene, kako bi se uočila eventualna prisutnost čestica i prom</w:t>
      </w:r>
      <w:r w:rsidR="00857F31" w:rsidRPr="00777B5C">
        <w:rPr>
          <w:lang w:val="sr-Latn-ME"/>
        </w:rPr>
        <w:t>j</w:t>
      </w:r>
      <w:r w:rsidRPr="00777B5C">
        <w:rPr>
          <w:lang w:val="sr-Latn-ME"/>
        </w:rPr>
        <w:t>ene boje (npr. zelena ili crna).</w:t>
      </w:r>
    </w:p>
    <w:p w14:paraId="335353B8" w14:textId="77777777" w:rsidR="00BA6C77" w:rsidRPr="00777B5C" w:rsidRDefault="00BA6C77" w:rsidP="00BA6C77">
      <w:pPr>
        <w:rPr>
          <w:lang w:val="sr-Latn-ME"/>
        </w:rPr>
      </w:pPr>
    </w:p>
    <w:p w14:paraId="1EBF9915" w14:textId="64A3E58F" w:rsidR="00BA6C77" w:rsidRPr="00777B5C" w:rsidRDefault="00BA6C77" w:rsidP="00BA6C77">
      <w:pPr>
        <w:rPr>
          <w:lang w:val="sr-Latn-ME"/>
        </w:rPr>
      </w:pPr>
      <w:r w:rsidRPr="00777B5C">
        <w:rPr>
          <w:lang w:val="sr-Latn-ME"/>
        </w:rPr>
        <w:t>Tigeciklin treba prim</w:t>
      </w:r>
      <w:r w:rsidR="00857F31" w:rsidRPr="00777B5C">
        <w:rPr>
          <w:lang w:val="sr-Latn-ME"/>
        </w:rPr>
        <w:t>j</w:t>
      </w:r>
      <w:r w:rsidRPr="00777B5C">
        <w:rPr>
          <w:lang w:val="sr-Latn-ME"/>
        </w:rPr>
        <w:t>enjivati intravenski putem odvojene intravenske linije ili putem Y-infuzionog seta. Ako se ista intravenska linija koristi za uzastopnu infuziju više l</w:t>
      </w:r>
      <w:r w:rsidR="00857F31" w:rsidRPr="00777B5C">
        <w:rPr>
          <w:lang w:val="sr-Latn-ME"/>
        </w:rPr>
        <w:t>j</w:t>
      </w:r>
      <w:r w:rsidRPr="00777B5C">
        <w:rPr>
          <w:lang w:val="sr-Latn-ME"/>
        </w:rPr>
        <w:t>ekova, liniju treba isprati pr</w:t>
      </w:r>
      <w:r w:rsidR="00857F31" w:rsidRPr="00777B5C">
        <w:rPr>
          <w:lang w:val="sr-Latn-ME"/>
        </w:rPr>
        <w:t>ij</w:t>
      </w:r>
      <w:r w:rsidRPr="00777B5C">
        <w:rPr>
          <w:lang w:val="sr-Latn-ME"/>
        </w:rPr>
        <w:t>e i posl</w:t>
      </w:r>
      <w:r w:rsidR="00857F31" w:rsidRPr="00777B5C">
        <w:rPr>
          <w:lang w:val="sr-Latn-ME"/>
        </w:rPr>
        <w:t>ij</w:t>
      </w:r>
      <w:r w:rsidRPr="00777B5C">
        <w:rPr>
          <w:lang w:val="sr-Latn-ME"/>
        </w:rPr>
        <w:t>e prim</w:t>
      </w:r>
      <w:r w:rsidR="00857F31" w:rsidRPr="00777B5C">
        <w:rPr>
          <w:lang w:val="sr-Latn-ME"/>
        </w:rPr>
        <w:t>j</w:t>
      </w:r>
      <w:r w:rsidRPr="00777B5C">
        <w:rPr>
          <w:lang w:val="sr-Latn-ME"/>
        </w:rPr>
        <w:t>ene tigeciklina sa natrijum</w:t>
      </w:r>
      <w:r w:rsidR="00857F31" w:rsidRPr="00777B5C">
        <w:rPr>
          <w:lang w:val="sr-Latn-ME"/>
        </w:rPr>
        <w:t xml:space="preserve"> </w:t>
      </w:r>
      <w:r w:rsidRPr="00777B5C">
        <w:rPr>
          <w:lang w:val="sr-Latn-ME"/>
        </w:rPr>
        <w:t xml:space="preserve">hloridom 9 mg/ml (0,9 %) rastvora za injekciju ili glukozom 50 mg/ml (5 %) rastvora za injekciju. </w:t>
      </w:r>
      <w:r w:rsidR="00BC2FE3" w:rsidRPr="00777B5C">
        <w:rPr>
          <w:lang w:val="sr-Latn-ME"/>
        </w:rPr>
        <w:t>Primjena</w:t>
      </w:r>
      <w:r w:rsidRPr="00777B5C">
        <w:rPr>
          <w:lang w:val="sr-Latn-ME"/>
        </w:rPr>
        <w:t xml:space="preserve"> treba da se vrši pomoću infuzion</w:t>
      </w:r>
      <w:r w:rsidR="00BC2FE3" w:rsidRPr="00777B5C">
        <w:rPr>
          <w:lang w:val="sr-Latn-ME"/>
        </w:rPr>
        <w:t>og rastvora</w:t>
      </w:r>
      <w:r w:rsidRPr="00777B5C">
        <w:rPr>
          <w:lang w:val="sr-Latn-ME"/>
        </w:rPr>
        <w:t xml:space="preserve"> koj</w:t>
      </w:r>
      <w:r w:rsidR="00BC2FE3" w:rsidRPr="00777B5C">
        <w:rPr>
          <w:lang w:val="sr-Latn-ME"/>
        </w:rPr>
        <w:t>i</w:t>
      </w:r>
      <w:r w:rsidRPr="00777B5C">
        <w:rPr>
          <w:lang w:val="sr-Latn-ME"/>
        </w:rPr>
        <w:t xml:space="preserve"> je kompatibil</w:t>
      </w:r>
      <w:r w:rsidR="00BC2FE3" w:rsidRPr="00777B5C">
        <w:rPr>
          <w:lang w:val="sr-Latn-ME"/>
        </w:rPr>
        <w:t>an</w:t>
      </w:r>
      <w:r w:rsidRPr="00777B5C">
        <w:rPr>
          <w:lang w:val="sr-Latn-ME"/>
        </w:rPr>
        <w:t xml:space="preserve"> sa tigeciklinom i bilo kojim drugim l</w:t>
      </w:r>
      <w:r w:rsidR="00857F31" w:rsidRPr="00777B5C">
        <w:rPr>
          <w:lang w:val="sr-Latn-ME"/>
        </w:rPr>
        <w:t>ij</w:t>
      </w:r>
      <w:r w:rsidRPr="00777B5C">
        <w:rPr>
          <w:lang w:val="sr-Latn-ME"/>
        </w:rPr>
        <w:t>ekom koji se prim</w:t>
      </w:r>
      <w:r w:rsidR="00857F31" w:rsidRPr="00777B5C">
        <w:rPr>
          <w:lang w:val="sr-Latn-ME"/>
        </w:rPr>
        <w:t>j</w:t>
      </w:r>
      <w:r w:rsidRPr="00777B5C">
        <w:rPr>
          <w:lang w:val="sr-Latn-ME"/>
        </w:rPr>
        <w:t>enjuje putem iste linije (vid</w:t>
      </w:r>
      <w:r w:rsidR="00857F31" w:rsidRPr="00777B5C">
        <w:rPr>
          <w:lang w:val="sr-Latn-ME"/>
        </w:rPr>
        <w:t>j</w:t>
      </w:r>
      <w:r w:rsidRPr="00777B5C">
        <w:rPr>
          <w:lang w:val="sr-Latn-ME"/>
        </w:rPr>
        <w:t xml:space="preserve">eti </w:t>
      </w:r>
      <w:r w:rsidR="00857F31" w:rsidRPr="00777B5C">
        <w:rPr>
          <w:lang w:val="sr-Latn-ME"/>
        </w:rPr>
        <w:t>dio</w:t>
      </w:r>
      <w:r w:rsidRPr="00777B5C">
        <w:rPr>
          <w:lang w:val="sr-Latn-ME"/>
        </w:rPr>
        <w:t xml:space="preserve"> </w:t>
      </w:r>
      <w:r w:rsidR="00777B5C" w:rsidRPr="00777B5C">
        <w:rPr>
          <w:lang w:val="sr-Latn-ME"/>
        </w:rPr>
        <w:t>„Inkompatibilnosti”</w:t>
      </w:r>
      <w:r w:rsidRPr="00777B5C">
        <w:rPr>
          <w:lang w:val="sr-Latn-ME"/>
        </w:rPr>
        <w:t>).</w:t>
      </w:r>
    </w:p>
    <w:p w14:paraId="37607470" w14:textId="77777777" w:rsidR="00BA6C77" w:rsidRPr="00777B5C" w:rsidRDefault="00BA6C77" w:rsidP="00BA6C77">
      <w:pPr>
        <w:rPr>
          <w:lang w:val="sr-Latn-ME"/>
        </w:rPr>
      </w:pPr>
    </w:p>
    <w:p w14:paraId="0A5FB88E" w14:textId="56A0BE93" w:rsidR="00BA6C77" w:rsidRPr="00777B5C" w:rsidRDefault="00BA6C77" w:rsidP="00BA6C77">
      <w:pPr>
        <w:rPr>
          <w:lang w:val="sr-Latn-ME"/>
        </w:rPr>
      </w:pPr>
      <w:r w:rsidRPr="00777B5C">
        <w:rPr>
          <w:lang w:val="sr-Latn-ME"/>
        </w:rPr>
        <w:t>Ovaj l</w:t>
      </w:r>
      <w:r w:rsidR="00857F31" w:rsidRPr="00777B5C">
        <w:rPr>
          <w:lang w:val="sr-Latn-ME"/>
        </w:rPr>
        <w:t>ij</w:t>
      </w:r>
      <w:r w:rsidRPr="00777B5C">
        <w:rPr>
          <w:lang w:val="sr-Latn-ME"/>
        </w:rPr>
        <w:t>ek je nam</w:t>
      </w:r>
      <w:r w:rsidR="00857F31" w:rsidRPr="00777B5C">
        <w:rPr>
          <w:lang w:val="sr-Latn-ME"/>
        </w:rPr>
        <w:t>ij</w:t>
      </w:r>
      <w:r w:rsidRPr="00777B5C">
        <w:rPr>
          <w:lang w:val="sr-Latn-ME"/>
        </w:rPr>
        <w:t>enjen za jednokratnu upotrebu; bilo koji neiskorišćeni l</w:t>
      </w:r>
      <w:r w:rsidR="00857F31" w:rsidRPr="00777B5C">
        <w:rPr>
          <w:lang w:val="sr-Latn-ME"/>
        </w:rPr>
        <w:t>ij</w:t>
      </w:r>
      <w:r w:rsidRPr="00777B5C">
        <w:rPr>
          <w:lang w:val="sr-Latn-ME"/>
        </w:rPr>
        <w:t>ek ili otpadni materijal treba odložiti u skladu sa lokalnim propisima.</w:t>
      </w:r>
    </w:p>
    <w:p w14:paraId="1537E2E0" w14:textId="77777777" w:rsidR="00BA6C77" w:rsidRPr="00777B5C" w:rsidRDefault="00BA6C77" w:rsidP="00BA6C77">
      <w:pPr>
        <w:rPr>
          <w:lang w:val="sr-Latn-ME"/>
        </w:rPr>
      </w:pPr>
    </w:p>
    <w:p w14:paraId="1C076333" w14:textId="03640C0E" w:rsidR="00BA6C77" w:rsidRPr="00777B5C" w:rsidRDefault="00BA6C77" w:rsidP="00BA6C77">
      <w:pPr>
        <w:rPr>
          <w:lang w:val="sr-Latn-ME"/>
        </w:rPr>
      </w:pPr>
      <w:r w:rsidRPr="00777B5C">
        <w:rPr>
          <w:lang w:val="sr-Latn-ME"/>
        </w:rPr>
        <w:t>Kompatibilni intravenski rastvori uključuju: natrijum</w:t>
      </w:r>
      <w:r w:rsidR="00857F31" w:rsidRPr="00777B5C">
        <w:rPr>
          <w:lang w:val="sr-Latn-ME"/>
        </w:rPr>
        <w:t xml:space="preserve"> </w:t>
      </w:r>
      <w:r w:rsidRPr="00777B5C">
        <w:rPr>
          <w:lang w:val="sr-Latn-ME"/>
        </w:rPr>
        <w:t>hlorid 9 mg/ml (0,9 %) rastvor za injekciju, glukozu 50 mg/ml (5 %) rastvor za injekciju i Ringer</w:t>
      </w:r>
      <w:r w:rsidR="00857F31" w:rsidRPr="00777B5C">
        <w:rPr>
          <w:lang w:val="sr-Latn-ME"/>
        </w:rPr>
        <w:t xml:space="preserve"> </w:t>
      </w:r>
      <w:r w:rsidRPr="00777B5C">
        <w:rPr>
          <w:lang w:val="sr-Latn-ME"/>
        </w:rPr>
        <w:t>laktat rastvor za injekciju.</w:t>
      </w:r>
    </w:p>
    <w:p w14:paraId="62755B5D" w14:textId="77777777" w:rsidR="00BA6C77" w:rsidRPr="00777B5C" w:rsidRDefault="00BA6C77" w:rsidP="00BA6C77">
      <w:pPr>
        <w:rPr>
          <w:lang w:val="sr-Latn-ME"/>
        </w:rPr>
      </w:pPr>
    </w:p>
    <w:p w14:paraId="68D67292" w14:textId="2BDF891F" w:rsidR="00805DE2" w:rsidRPr="00777B5C" w:rsidRDefault="00BA6C77" w:rsidP="00BA6C77">
      <w:pPr>
        <w:spacing w:before="120" w:after="120"/>
        <w:rPr>
          <w:szCs w:val="22"/>
          <w:lang w:val="sr-Latn-ME"/>
        </w:rPr>
      </w:pPr>
      <w:r w:rsidRPr="00777B5C">
        <w:rPr>
          <w:lang w:val="sr-Latn-ME"/>
        </w:rPr>
        <w:t>Kada se prim</w:t>
      </w:r>
      <w:r w:rsidR="00857F31" w:rsidRPr="00777B5C">
        <w:rPr>
          <w:lang w:val="sr-Latn-ME"/>
        </w:rPr>
        <w:t>j</w:t>
      </w:r>
      <w:r w:rsidRPr="00777B5C">
        <w:rPr>
          <w:lang w:val="sr-Latn-ME"/>
        </w:rPr>
        <w:t>enjuje putem Y-infuzionog seta, pokazana je kompatibilnost tigeciklina rastvorenog u natrijum</w:t>
      </w:r>
      <w:r w:rsidR="00857F31" w:rsidRPr="00777B5C">
        <w:rPr>
          <w:lang w:val="sr-Latn-ME"/>
        </w:rPr>
        <w:t xml:space="preserve"> </w:t>
      </w:r>
      <w:r w:rsidRPr="00777B5C">
        <w:rPr>
          <w:lang w:val="sr-Latn-ME"/>
        </w:rPr>
        <w:t>hloridu 0,9 % rastvoru za injekciju sa sl</w:t>
      </w:r>
      <w:r w:rsidR="00857F31" w:rsidRPr="00777B5C">
        <w:rPr>
          <w:lang w:val="sr-Latn-ME"/>
        </w:rPr>
        <w:t>j</w:t>
      </w:r>
      <w:r w:rsidRPr="00777B5C">
        <w:rPr>
          <w:lang w:val="sr-Latn-ME"/>
        </w:rPr>
        <w:t>edećim l</w:t>
      </w:r>
      <w:r w:rsidR="00857F31" w:rsidRPr="00777B5C">
        <w:rPr>
          <w:lang w:val="sr-Latn-ME"/>
        </w:rPr>
        <w:t>j</w:t>
      </w:r>
      <w:r w:rsidRPr="00777B5C">
        <w:rPr>
          <w:lang w:val="sr-Latn-ME"/>
        </w:rPr>
        <w:t>ekovima ili rastvaračima: dobutamin, dopamin</w:t>
      </w:r>
      <w:r w:rsidR="00857F31" w:rsidRPr="00777B5C">
        <w:rPr>
          <w:lang w:val="sr-Latn-ME"/>
        </w:rPr>
        <w:t xml:space="preserve"> </w:t>
      </w:r>
      <w:r w:rsidR="00BC2FE3" w:rsidRPr="00777B5C">
        <w:rPr>
          <w:lang w:val="sr-Latn-ME"/>
        </w:rPr>
        <w:t>hidro</w:t>
      </w:r>
      <w:r w:rsidRPr="00777B5C">
        <w:rPr>
          <w:lang w:val="sr-Latn-ME"/>
        </w:rPr>
        <w:t>hlorid, gentamicin, Ringer</w:t>
      </w:r>
      <w:r w:rsidR="00857F31" w:rsidRPr="00777B5C">
        <w:rPr>
          <w:lang w:val="sr-Latn-ME"/>
        </w:rPr>
        <w:t xml:space="preserve"> </w:t>
      </w:r>
      <w:r w:rsidRPr="00777B5C">
        <w:rPr>
          <w:lang w:val="sr-Latn-ME"/>
        </w:rPr>
        <w:t>laktat, metoklopramid, noradrenalin, piperacilin/tazobaktam (formulacija sa EDTA), kalijum</w:t>
      </w:r>
      <w:r w:rsidR="00857F31" w:rsidRPr="00777B5C">
        <w:rPr>
          <w:lang w:val="sr-Latn-ME"/>
        </w:rPr>
        <w:t xml:space="preserve"> </w:t>
      </w:r>
      <w:r w:rsidRPr="00777B5C">
        <w:rPr>
          <w:lang w:val="sr-Latn-ME"/>
        </w:rPr>
        <w:t>hlorid, propofol i tobramicin</w:t>
      </w:r>
    </w:p>
    <w:p w14:paraId="2BC54289" w14:textId="77777777" w:rsidR="00762652" w:rsidRPr="00777B5C" w:rsidRDefault="00762652">
      <w:pPr>
        <w:rPr>
          <w:szCs w:val="22"/>
          <w:lang w:val="sr-Latn-ME"/>
        </w:rPr>
      </w:pPr>
    </w:p>
    <w:sectPr w:rsidR="00762652" w:rsidRPr="00777B5C" w:rsidSect="008B5DD9">
      <w:footerReference w:type="even" r:id="rId13"/>
      <w:footerReference w:type="default" r:id="rId14"/>
      <w:pgSz w:w="11907" w:h="16840" w:code="9"/>
      <w:pgMar w:top="1162" w:right="1275" w:bottom="1560"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9B2C1" w14:textId="77777777" w:rsidR="008B0435" w:rsidRDefault="008B0435">
      <w:r>
        <w:separator/>
      </w:r>
    </w:p>
  </w:endnote>
  <w:endnote w:type="continuationSeparator" w:id="0">
    <w:p w14:paraId="023FB63D" w14:textId="77777777" w:rsidR="008B0435" w:rsidRDefault="008B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NewRoman">
    <w:altName w:val="Yu Gothic UI"/>
    <w:panose1 w:val="00000000000000000000"/>
    <w:charset w:val="80"/>
    <w:family w:val="auto"/>
    <w:notTrueType/>
    <w:pitch w:val="default"/>
    <w:sig w:usb0="00000005" w:usb1="08070000" w:usb2="00000010" w:usb3="00000000" w:csb0="00020002"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5428F" w14:textId="77777777" w:rsidR="00576E42" w:rsidRDefault="00576E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C54290" w14:textId="77777777" w:rsidR="00576E42" w:rsidRDefault="00576E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54291" w14:textId="306DF737" w:rsidR="00576E42" w:rsidRPr="006C56E9" w:rsidRDefault="00576E42" w:rsidP="00DE43DC">
    <w:pPr>
      <w:pStyle w:val="Footer"/>
      <w:tabs>
        <w:tab w:val="left" w:pos="5448"/>
      </w:tabs>
      <w:spacing w:before="360"/>
      <w:rPr>
        <w:sz w:val="20"/>
        <w:szCs w:val="20"/>
      </w:rPr>
    </w:pPr>
    <w:r>
      <w:tab/>
    </w:r>
    <w:r w:rsidRPr="006C56E9">
      <w:rPr>
        <w:sz w:val="20"/>
        <w:szCs w:val="20"/>
      </w:rPr>
      <w:fldChar w:fldCharType="begin"/>
    </w:r>
    <w:r w:rsidRPr="006C56E9">
      <w:rPr>
        <w:sz w:val="20"/>
        <w:szCs w:val="20"/>
      </w:rPr>
      <w:instrText xml:space="preserve"> PAGE </w:instrText>
    </w:r>
    <w:r w:rsidRPr="006C56E9">
      <w:rPr>
        <w:sz w:val="20"/>
        <w:szCs w:val="20"/>
      </w:rPr>
      <w:fldChar w:fldCharType="separate"/>
    </w:r>
    <w:r w:rsidR="00854C10">
      <w:rPr>
        <w:noProof/>
        <w:sz w:val="20"/>
        <w:szCs w:val="20"/>
      </w:rPr>
      <w:t>6</w:t>
    </w:r>
    <w:r w:rsidRPr="006C56E9">
      <w:rPr>
        <w:sz w:val="20"/>
        <w:szCs w:val="20"/>
      </w:rPr>
      <w:fldChar w:fldCharType="end"/>
    </w:r>
    <w:r w:rsidRPr="006C56E9">
      <w:rPr>
        <w:sz w:val="20"/>
        <w:szCs w:val="20"/>
      </w:rPr>
      <w:t xml:space="preserve"> / </w:t>
    </w:r>
    <w:r w:rsidRPr="006C56E9">
      <w:rPr>
        <w:sz w:val="20"/>
        <w:szCs w:val="20"/>
      </w:rPr>
      <w:fldChar w:fldCharType="begin"/>
    </w:r>
    <w:r w:rsidRPr="006C56E9">
      <w:rPr>
        <w:sz w:val="20"/>
        <w:szCs w:val="20"/>
      </w:rPr>
      <w:instrText xml:space="preserve"> NUMPAGES  </w:instrText>
    </w:r>
    <w:r w:rsidRPr="006C56E9">
      <w:rPr>
        <w:sz w:val="20"/>
        <w:szCs w:val="20"/>
      </w:rPr>
      <w:fldChar w:fldCharType="separate"/>
    </w:r>
    <w:r w:rsidR="00854C10">
      <w:rPr>
        <w:noProof/>
        <w:sz w:val="20"/>
        <w:szCs w:val="20"/>
      </w:rPr>
      <w:t>15</w:t>
    </w:r>
    <w:r w:rsidRPr="006C56E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98541" w14:textId="77777777" w:rsidR="008B0435" w:rsidRDefault="008B0435">
      <w:r>
        <w:separator/>
      </w:r>
    </w:p>
  </w:footnote>
  <w:footnote w:type="continuationSeparator" w:id="0">
    <w:p w14:paraId="23D0069F" w14:textId="77777777" w:rsidR="008B0435" w:rsidRDefault="008B0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954"/>
    <w:multiLevelType w:val="hybridMultilevel"/>
    <w:tmpl w:val="930C9CEA"/>
    <w:lvl w:ilvl="0" w:tplc="E670D55C">
      <w:numFmt w:val="bullet"/>
      <w:lvlText w:val="-"/>
      <w:lvlJc w:val="left"/>
      <w:pPr>
        <w:ind w:left="502" w:hanging="360"/>
      </w:pPr>
      <w:rPr>
        <w:rFonts w:ascii="Tahoma" w:hAnsi="Tahoma" w:hint="default"/>
        <w:i/>
        <w:color w:val="000000"/>
        <w:sz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2"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4" w15:restartNumberingAfterBreak="0">
    <w:nsid w:val="1381703B"/>
    <w:multiLevelType w:val="hybridMultilevel"/>
    <w:tmpl w:val="8CB47E0E"/>
    <w:lvl w:ilvl="0" w:tplc="DD909B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B4729"/>
    <w:multiLevelType w:val="hybridMultilevel"/>
    <w:tmpl w:val="5C3E3440"/>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B02B3"/>
    <w:multiLevelType w:val="hybridMultilevel"/>
    <w:tmpl w:val="48928A4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16AC2"/>
    <w:multiLevelType w:val="hybridMultilevel"/>
    <w:tmpl w:val="DA7E9806"/>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97BD2"/>
    <w:multiLevelType w:val="hybridMultilevel"/>
    <w:tmpl w:val="5DD8932E"/>
    <w:lvl w:ilvl="0" w:tplc="E670D55C">
      <w:numFmt w:val="bullet"/>
      <w:lvlText w:val="-"/>
      <w:lvlJc w:val="left"/>
      <w:pPr>
        <w:ind w:left="36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C6AA1"/>
    <w:multiLevelType w:val="hybridMultilevel"/>
    <w:tmpl w:val="CCC677A0"/>
    <w:lvl w:ilvl="0" w:tplc="30D60432">
      <w:numFmt w:val="bullet"/>
      <w:lvlText w:val="-"/>
      <w:lvlJc w:val="left"/>
      <w:pPr>
        <w:ind w:left="502" w:hanging="360"/>
      </w:pPr>
      <w:rPr>
        <w:rFonts w:ascii="Symbol" w:hAnsi="Symbol"/>
        <w:i/>
        <w:color w:val="008000"/>
        <w:sz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2F575D63"/>
    <w:multiLevelType w:val="hybridMultilevel"/>
    <w:tmpl w:val="C0F40C82"/>
    <w:lvl w:ilvl="0" w:tplc="E670D55C">
      <w:numFmt w:val="bullet"/>
      <w:lvlText w:val="-"/>
      <w:lvlJc w:val="left"/>
      <w:pPr>
        <w:ind w:left="502" w:hanging="360"/>
      </w:pPr>
      <w:rPr>
        <w:rFonts w:ascii="Tahoma" w:hAnsi="Tahoma" w:hint="default"/>
        <w:i/>
        <w:color w:val="000000"/>
        <w:sz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2F6FA9"/>
    <w:multiLevelType w:val="hybridMultilevel"/>
    <w:tmpl w:val="C0122292"/>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817EA3"/>
    <w:multiLevelType w:val="hybridMultilevel"/>
    <w:tmpl w:val="021EAD24"/>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176BB2"/>
    <w:multiLevelType w:val="hybridMultilevel"/>
    <w:tmpl w:val="C738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17"/>
  </w:num>
  <w:num w:numId="2">
    <w:abstractNumId w:val="18"/>
  </w:num>
  <w:num w:numId="3">
    <w:abstractNumId w:val="1"/>
    <w:lvlOverride w:ilvl="0">
      <w:lvl w:ilvl="0">
        <w:numFmt w:val="bullet"/>
        <w:lvlText w:val="-"/>
        <w:lvlJc w:val="left"/>
        <w:pPr>
          <w:tabs>
            <w:tab w:val="num" w:pos="576"/>
          </w:tabs>
        </w:pPr>
        <w:rPr>
          <w:rFonts w:ascii="Symbol" w:hAnsi="Symbol"/>
          <w:i/>
          <w:color w:val="008000"/>
          <w:sz w:val="22"/>
        </w:rPr>
      </w:lvl>
    </w:lvlOverride>
  </w:num>
  <w:num w:numId="4">
    <w:abstractNumId w:val="2"/>
    <w:lvlOverride w:ilvl="0">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1"/>
  </w:num>
  <w:num w:numId="8">
    <w:abstractNumId w:val="15"/>
  </w:num>
  <w:num w:numId="9">
    <w:abstractNumId w:val="12"/>
  </w:num>
  <w:num w:numId="10">
    <w:abstractNumId w:val="14"/>
  </w:num>
  <w:num w:numId="11">
    <w:abstractNumId w:val="13"/>
  </w:num>
  <w:num w:numId="12">
    <w:abstractNumId w:val="7"/>
  </w:num>
  <w:num w:numId="13">
    <w:abstractNumId w:val="0"/>
  </w:num>
  <w:num w:numId="14">
    <w:abstractNumId w:val="9"/>
  </w:num>
  <w:num w:numId="15">
    <w:abstractNumId w:val="8"/>
  </w:num>
  <w:num w:numId="16">
    <w:abstractNumId w:val="5"/>
  </w:num>
  <w:num w:numId="17">
    <w:abstractNumId w:val="4"/>
  </w:num>
  <w:num w:numId="18">
    <w:abstractNumId w:val="6"/>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61DD"/>
    <w:rsid w:val="000236AC"/>
    <w:rsid w:val="00030B1C"/>
    <w:rsid w:val="0004021E"/>
    <w:rsid w:val="000476BA"/>
    <w:rsid w:val="000571D9"/>
    <w:rsid w:val="00071BAE"/>
    <w:rsid w:val="000B0907"/>
    <w:rsid w:val="000C4363"/>
    <w:rsid w:val="000D0B63"/>
    <w:rsid w:val="000E558D"/>
    <w:rsid w:val="000F6677"/>
    <w:rsid w:val="00104D20"/>
    <w:rsid w:val="00120AB0"/>
    <w:rsid w:val="0013658E"/>
    <w:rsid w:val="001561F0"/>
    <w:rsid w:val="00160B46"/>
    <w:rsid w:val="00162536"/>
    <w:rsid w:val="00177D7F"/>
    <w:rsid w:val="00193812"/>
    <w:rsid w:val="00194220"/>
    <w:rsid w:val="001A3C8D"/>
    <w:rsid w:val="001B0570"/>
    <w:rsid w:val="001B2E2A"/>
    <w:rsid w:val="001B5A1A"/>
    <w:rsid w:val="001C6D26"/>
    <w:rsid w:val="001E2662"/>
    <w:rsid w:val="001F016A"/>
    <w:rsid w:val="001F28B0"/>
    <w:rsid w:val="001F7B76"/>
    <w:rsid w:val="002035D8"/>
    <w:rsid w:val="00220981"/>
    <w:rsid w:val="00226FBB"/>
    <w:rsid w:val="00237951"/>
    <w:rsid w:val="00246429"/>
    <w:rsid w:val="00252C40"/>
    <w:rsid w:val="00285ECB"/>
    <w:rsid w:val="00296E21"/>
    <w:rsid w:val="002A2C96"/>
    <w:rsid w:val="002A3BDA"/>
    <w:rsid w:val="002A3F2D"/>
    <w:rsid w:val="002B2D01"/>
    <w:rsid w:val="002C6731"/>
    <w:rsid w:val="002C6A8D"/>
    <w:rsid w:val="002E3B33"/>
    <w:rsid w:val="002F711A"/>
    <w:rsid w:val="002F758F"/>
    <w:rsid w:val="00334EEC"/>
    <w:rsid w:val="003376D1"/>
    <w:rsid w:val="00351647"/>
    <w:rsid w:val="0035209D"/>
    <w:rsid w:val="00375CD6"/>
    <w:rsid w:val="00383195"/>
    <w:rsid w:val="00383C9F"/>
    <w:rsid w:val="00387A1C"/>
    <w:rsid w:val="003A2830"/>
    <w:rsid w:val="003A4D95"/>
    <w:rsid w:val="003B0849"/>
    <w:rsid w:val="003D1A15"/>
    <w:rsid w:val="003D4686"/>
    <w:rsid w:val="003E46D3"/>
    <w:rsid w:val="003E76F2"/>
    <w:rsid w:val="003F755C"/>
    <w:rsid w:val="004072C2"/>
    <w:rsid w:val="00416B80"/>
    <w:rsid w:val="00432913"/>
    <w:rsid w:val="00451FA0"/>
    <w:rsid w:val="004524CF"/>
    <w:rsid w:val="00455BFB"/>
    <w:rsid w:val="00466932"/>
    <w:rsid w:val="00470C55"/>
    <w:rsid w:val="0047765A"/>
    <w:rsid w:val="00480722"/>
    <w:rsid w:val="004A0CC4"/>
    <w:rsid w:val="004A44D9"/>
    <w:rsid w:val="004A4774"/>
    <w:rsid w:val="004A706C"/>
    <w:rsid w:val="004B1AF9"/>
    <w:rsid w:val="004B1B99"/>
    <w:rsid w:val="004D0EE5"/>
    <w:rsid w:val="004D1D48"/>
    <w:rsid w:val="004D1E75"/>
    <w:rsid w:val="004D3ECA"/>
    <w:rsid w:val="004E1289"/>
    <w:rsid w:val="004E7020"/>
    <w:rsid w:val="005053D6"/>
    <w:rsid w:val="00520060"/>
    <w:rsid w:val="00523AA3"/>
    <w:rsid w:val="0053181A"/>
    <w:rsid w:val="0055005C"/>
    <w:rsid w:val="00560F74"/>
    <w:rsid w:val="00562EB8"/>
    <w:rsid w:val="005647B8"/>
    <w:rsid w:val="0057537B"/>
    <w:rsid w:val="00576E42"/>
    <w:rsid w:val="005832B5"/>
    <w:rsid w:val="005915F2"/>
    <w:rsid w:val="005A4234"/>
    <w:rsid w:val="005B0CFD"/>
    <w:rsid w:val="005B3E66"/>
    <w:rsid w:val="005C0012"/>
    <w:rsid w:val="005C4BDD"/>
    <w:rsid w:val="005D6110"/>
    <w:rsid w:val="005F33B2"/>
    <w:rsid w:val="00616B40"/>
    <w:rsid w:val="0062685E"/>
    <w:rsid w:val="00636C49"/>
    <w:rsid w:val="006419B1"/>
    <w:rsid w:val="00645D79"/>
    <w:rsid w:val="00655D1A"/>
    <w:rsid w:val="00656299"/>
    <w:rsid w:val="006816A8"/>
    <w:rsid w:val="00687F94"/>
    <w:rsid w:val="0069417D"/>
    <w:rsid w:val="006971F1"/>
    <w:rsid w:val="006C1982"/>
    <w:rsid w:val="006C56E9"/>
    <w:rsid w:val="006D03F3"/>
    <w:rsid w:val="006D4A12"/>
    <w:rsid w:val="006E47C2"/>
    <w:rsid w:val="006E5BBD"/>
    <w:rsid w:val="006E5F35"/>
    <w:rsid w:val="006F0857"/>
    <w:rsid w:val="006F5D55"/>
    <w:rsid w:val="00702C67"/>
    <w:rsid w:val="00712B9A"/>
    <w:rsid w:val="00723BA6"/>
    <w:rsid w:val="00727CD6"/>
    <w:rsid w:val="00731498"/>
    <w:rsid w:val="00732EFA"/>
    <w:rsid w:val="00736109"/>
    <w:rsid w:val="00762652"/>
    <w:rsid w:val="00767398"/>
    <w:rsid w:val="00777B5C"/>
    <w:rsid w:val="00783328"/>
    <w:rsid w:val="007843EB"/>
    <w:rsid w:val="00792E3F"/>
    <w:rsid w:val="007A6E69"/>
    <w:rsid w:val="007B2FC3"/>
    <w:rsid w:val="00805DE2"/>
    <w:rsid w:val="00812CFE"/>
    <w:rsid w:val="00816D13"/>
    <w:rsid w:val="00816D9D"/>
    <w:rsid w:val="008352C8"/>
    <w:rsid w:val="0084234F"/>
    <w:rsid w:val="0084360B"/>
    <w:rsid w:val="00854C10"/>
    <w:rsid w:val="00857F31"/>
    <w:rsid w:val="00872A03"/>
    <w:rsid w:val="00876841"/>
    <w:rsid w:val="008772D2"/>
    <w:rsid w:val="008937E5"/>
    <w:rsid w:val="008B0435"/>
    <w:rsid w:val="008B3E06"/>
    <w:rsid w:val="008B5DD9"/>
    <w:rsid w:val="008C1940"/>
    <w:rsid w:val="008C536A"/>
    <w:rsid w:val="0090276E"/>
    <w:rsid w:val="00907D6E"/>
    <w:rsid w:val="00915DAA"/>
    <w:rsid w:val="009163F4"/>
    <w:rsid w:val="00916CA9"/>
    <w:rsid w:val="009210AE"/>
    <w:rsid w:val="00922D62"/>
    <w:rsid w:val="00931D2F"/>
    <w:rsid w:val="009357F0"/>
    <w:rsid w:val="00937AF5"/>
    <w:rsid w:val="00947DD0"/>
    <w:rsid w:val="009A5908"/>
    <w:rsid w:val="009B2341"/>
    <w:rsid w:val="009C208E"/>
    <w:rsid w:val="009C2D8E"/>
    <w:rsid w:val="009C7BA2"/>
    <w:rsid w:val="009F23D3"/>
    <w:rsid w:val="009F4557"/>
    <w:rsid w:val="00A0035F"/>
    <w:rsid w:val="00A01E0A"/>
    <w:rsid w:val="00A030A0"/>
    <w:rsid w:val="00A05CBF"/>
    <w:rsid w:val="00A22D7C"/>
    <w:rsid w:val="00A2557D"/>
    <w:rsid w:val="00A33DB7"/>
    <w:rsid w:val="00A416D9"/>
    <w:rsid w:val="00A54700"/>
    <w:rsid w:val="00A828B9"/>
    <w:rsid w:val="00A86897"/>
    <w:rsid w:val="00AA51BE"/>
    <w:rsid w:val="00AB07E3"/>
    <w:rsid w:val="00AB33F2"/>
    <w:rsid w:val="00AD1D9B"/>
    <w:rsid w:val="00AD1F5F"/>
    <w:rsid w:val="00AE1080"/>
    <w:rsid w:val="00AE1215"/>
    <w:rsid w:val="00AE714E"/>
    <w:rsid w:val="00AF28A1"/>
    <w:rsid w:val="00AF311B"/>
    <w:rsid w:val="00B02017"/>
    <w:rsid w:val="00B2301F"/>
    <w:rsid w:val="00B25336"/>
    <w:rsid w:val="00B33235"/>
    <w:rsid w:val="00B43687"/>
    <w:rsid w:val="00B549B7"/>
    <w:rsid w:val="00B63309"/>
    <w:rsid w:val="00B728FF"/>
    <w:rsid w:val="00B755BB"/>
    <w:rsid w:val="00B84D4B"/>
    <w:rsid w:val="00B853A7"/>
    <w:rsid w:val="00B8545D"/>
    <w:rsid w:val="00B965D4"/>
    <w:rsid w:val="00BA6C77"/>
    <w:rsid w:val="00BC2FE3"/>
    <w:rsid w:val="00BE1315"/>
    <w:rsid w:val="00BF61C2"/>
    <w:rsid w:val="00BF6314"/>
    <w:rsid w:val="00C05DB2"/>
    <w:rsid w:val="00C07019"/>
    <w:rsid w:val="00C11F16"/>
    <w:rsid w:val="00C147A6"/>
    <w:rsid w:val="00C20670"/>
    <w:rsid w:val="00C5430C"/>
    <w:rsid w:val="00C56E2E"/>
    <w:rsid w:val="00C707D5"/>
    <w:rsid w:val="00CA5510"/>
    <w:rsid w:val="00CB2E84"/>
    <w:rsid w:val="00CB457C"/>
    <w:rsid w:val="00CB7310"/>
    <w:rsid w:val="00CD5DB8"/>
    <w:rsid w:val="00CE5F29"/>
    <w:rsid w:val="00CE7BD9"/>
    <w:rsid w:val="00CF3B87"/>
    <w:rsid w:val="00D009AB"/>
    <w:rsid w:val="00D26B49"/>
    <w:rsid w:val="00D476BF"/>
    <w:rsid w:val="00D560AA"/>
    <w:rsid w:val="00D66DC6"/>
    <w:rsid w:val="00D741A7"/>
    <w:rsid w:val="00D75B21"/>
    <w:rsid w:val="00D84AD5"/>
    <w:rsid w:val="00D86639"/>
    <w:rsid w:val="00D96620"/>
    <w:rsid w:val="00D96822"/>
    <w:rsid w:val="00DB46D8"/>
    <w:rsid w:val="00DD3650"/>
    <w:rsid w:val="00DE43DC"/>
    <w:rsid w:val="00DF0DDE"/>
    <w:rsid w:val="00E0071E"/>
    <w:rsid w:val="00E4314A"/>
    <w:rsid w:val="00E56840"/>
    <w:rsid w:val="00E65E52"/>
    <w:rsid w:val="00E7512C"/>
    <w:rsid w:val="00E8667B"/>
    <w:rsid w:val="00E901B6"/>
    <w:rsid w:val="00E90431"/>
    <w:rsid w:val="00EA078D"/>
    <w:rsid w:val="00EA3814"/>
    <w:rsid w:val="00EB2DA1"/>
    <w:rsid w:val="00EC2904"/>
    <w:rsid w:val="00ED3FF8"/>
    <w:rsid w:val="00ED425D"/>
    <w:rsid w:val="00ED5FE5"/>
    <w:rsid w:val="00EF4319"/>
    <w:rsid w:val="00EF7A4B"/>
    <w:rsid w:val="00F26893"/>
    <w:rsid w:val="00F301AF"/>
    <w:rsid w:val="00F33530"/>
    <w:rsid w:val="00F34516"/>
    <w:rsid w:val="00F37DE6"/>
    <w:rsid w:val="00F412AB"/>
    <w:rsid w:val="00F44965"/>
    <w:rsid w:val="00F56698"/>
    <w:rsid w:val="00F56A0E"/>
    <w:rsid w:val="00F905A9"/>
    <w:rsid w:val="00F932B0"/>
    <w:rsid w:val="00FB12F6"/>
    <w:rsid w:val="00FB3C0D"/>
    <w:rsid w:val="00FB4B87"/>
    <w:rsid w:val="00FB769D"/>
    <w:rsid w:val="00FD3FCC"/>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C54201"/>
  <w15:docId w15:val="{C6941924-7D90-4FC4-AA76-5C080EDF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lang w:val="en-US" w:eastAsia="en-US"/>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4F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34F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34F9E"/>
    <w:rPr>
      <w:rFonts w:ascii="Cambria" w:eastAsia="Times New Roman" w:hAnsi="Cambria" w:cs="Times New Roman"/>
      <w:b/>
      <w:bCs/>
      <w:sz w:val="26"/>
      <w:szCs w:val="26"/>
    </w:rPr>
  </w:style>
  <w:style w:type="character" w:customStyle="1" w:styleId="Heading4Char">
    <w:name w:val="Heading 4 Char"/>
    <w:link w:val="Heading4"/>
    <w:uiPriority w:val="9"/>
    <w:semiHidden/>
    <w:rsid w:val="00134F9E"/>
    <w:rPr>
      <w:rFonts w:ascii="Calibri" w:eastAsia="Times New Roman" w:hAnsi="Calibri" w:cs="Times New Roman"/>
      <w:b/>
      <w:bCs/>
      <w:sz w:val="28"/>
      <w:szCs w:val="28"/>
    </w:rPr>
  </w:style>
  <w:style w:type="character" w:customStyle="1" w:styleId="Heading5Char">
    <w:name w:val="Heading 5 Char"/>
    <w:link w:val="Heading5"/>
    <w:uiPriority w:val="9"/>
    <w:semiHidden/>
    <w:rsid w:val="00134F9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34F9E"/>
    <w:rPr>
      <w:rFonts w:ascii="Calibri" w:eastAsia="Times New Roman" w:hAnsi="Calibri" w:cs="Times New Roman"/>
      <w:b/>
      <w:bCs/>
    </w:rPr>
  </w:style>
  <w:style w:type="character" w:customStyle="1" w:styleId="Heading7Char">
    <w:name w:val="Heading 7 Char"/>
    <w:link w:val="Heading7"/>
    <w:uiPriority w:val="9"/>
    <w:semiHidden/>
    <w:rsid w:val="00134F9E"/>
    <w:rPr>
      <w:rFonts w:ascii="Calibri" w:eastAsia="Times New Roman"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rsid w:val="00134F9E"/>
    <w:rPr>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rsid w:val="00134F9E"/>
    <w:rPr>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table" w:styleId="TableGrid">
    <w:name w:val="Table Grid"/>
    <w:basedOn w:val="TableNormal"/>
    <w:uiPriority w:val="39"/>
    <w:rsid w:val="00F412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685E"/>
    <w:rPr>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yperlink" Target="mailto:nezeljenadejstva@cinmed.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nmed.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5737</Words>
  <Characters>32706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Jonić-Popović</cp:lastModifiedBy>
  <cp:revision>3</cp:revision>
  <cp:lastPrinted>2016-07-25T08:56:00Z</cp:lastPrinted>
  <dcterms:created xsi:type="dcterms:W3CDTF">2025-04-16T11:23:00Z</dcterms:created>
  <dcterms:modified xsi:type="dcterms:W3CDTF">2025-04-16T11:23:00Z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2025-03-25T14:45:14Z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81b91c1c-10b5-46c3-a69e-a67f83f111e2</vt:lpwstr>
  </property>
  <property fmtid="{D5CDD505-2E9C-101B-9397-08002B2CF9AE}" pid="8" name="MSIP_Label_80e91ba7-203e-4ac0-a045-4c37ad0b383b_ContentBits">
    <vt:lpwstr>1</vt:lpwstr>
  </property>
  <property fmtid="{D5CDD505-2E9C-101B-9397-08002B2CF9AE}" pid="9" name="MSIP_Label_80e91ba7-203e-4ac0-a045-4c37ad0b383b_Tag">
    <vt:lpwstr>10, 3, 0, 1</vt:lpwstr>
  </property>
</Properties>
</file>