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9A7F" w14:textId="77777777" w:rsidR="002510A5" w:rsidRPr="00E75889" w:rsidRDefault="002510A5" w:rsidP="00E75889">
      <w:pPr>
        <w:widowControl w:val="0"/>
        <w:jc w:val="center"/>
        <w:rPr>
          <w:b/>
          <w:bCs/>
          <w:iCs/>
          <w:sz w:val="22"/>
          <w:szCs w:val="22"/>
          <w:u w:val="single"/>
          <w:lang w:val="sr-Latn-RS"/>
        </w:rPr>
      </w:pPr>
      <w:r w:rsidRPr="00E75889">
        <w:rPr>
          <w:b/>
          <w:bCs/>
          <w:iCs/>
          <w:sz w:val="22"/>
          <w:szCs w:val="22"/>
          <w:u w:val="single"/>
          <w:lang w:val="sr-Latn-RS"/>
        </w:rPr>
        <w:t>SAŽETAK KARAKTERISTIKA LIJEKA</w:t>
      </w:r>
    </w:p>
    <w:p w14:paraId="6522F619" w14:textId="77777777" w:rsidR="003C17AB" w:rsidRPr="00E75889" w:rsidRDefault="003C17AB" w:rsidP="00E75889">
      <w:pPr>
        <w:widowControl w:val="0"/>
        <w:tabs>
          <w:tab w:val="left" w:pos="540"/>
          <w:tab w:val="left" w:pos="569"/>
        </w:tabs>
        <w:rPr>
          <w:sz w:val="22"/>
          <w:szCs w:val="22"/>
          <w:lang w:val="sr-Latn-RS"/>
        </w:rPr>
      </w:pPr>
    </w:p>
    <w:p w14:paraId="09481AAA" w14:textId="77777777" w:rsidR="00C37FD7" w:rsidRPr="00E75889" w:rsidRDefault="00C37FD7" w:rsidP="00E75889">
      <w:pPr>
        <w:widowControl w:val="0"/>
        <w:tabs>
          <w:tab w:val="left" w:pos="540"/>
          <w:tab w:val="left" w:pos="569"/>
        </w:tabs>
        <w:rPr>
          <w:bCs/>
          <w:sz w:val="22"/>
          <w:szCs w:val="22"/>
          <w:lang w:val="sr-Latn-RS"/>
        </w:rPr>
      </w:pPr>
    </w:p>
    <w:p w14:paraId="2E33AFB8" w14:textId="77777777" w:rsidR="00411B4B" w:rsidRPr="00E75889" w:rsidRDefault="00411B4B" w:rsidP="00E75889">
      <w:pPr>
        <w:widowControl w:val="0"/>
        <w:tabs>
          <w:tab w:val="left" w:pos="540"/>
          <w:tab w:val="left" w:pos="569"/>
        </w:tabs>
        <w:rPr>
          <w:b/>
          <w:bCs/>
          <w:sz w:val="22"/>
          <w:szCs w:val="22"/>
          <w:lang w:val="sr-Latn-RS"/>
        </w:rPr>
      </w:pPr>
      <w:r w:rsidRPr="00E75889">
        <w:rPr>
          <w:b/>
          <w:bCs/>
          <w:sz w:val="22"/>
          <w:szCs w:val="22"/>
          <w:lang w:val="sr-Latn-RS"/>
        </w:rPr>
        <w:t>1.</w:t>
      </w:r>
      <w:r w:rsidR="00F5167F" w:rsidRPr="00E75889">
        <w:rPr>
          <w:b/>
          <w:bCs/>
          <w:sz w:val="22"/>
          <w:szCs w:val="22"/>
          <w:lang w:val="sr-Latn-RS"/>
        </w:rPr>
        <w:tab/>
      </w:r>
      <w:r w:rsidR="002846DB" w:rsidRPr="00E75889">
        <w:rPr>
          <w:b/>
          <w:bCs/>
          <w:sz w:val="22"/>
          <w:szCs w:val="22"/>
          <w:lang w:val="sr-Latn-RS"/>
        </w:rPr>
        <w:t xml:space="preserve">NAZIV </w:t>
      </w:r>
      <w:r w:rsidRPr="00E75889">
        <w:rPr>
          <w:b/>
          <w:bCs/>
          <w:sz w:val="22"/>
          <w:szCs w:val="22"/>
          <w:lang w:val="sr-Latn-RS"/>
        </w:rPr>
        <w:t>LIJEKA</w:t>
      </w:r>
    </w:p>
    <w:p w14:paraId="0FE8F605" w14:textId="77777777" w:rsidR="00EC2532" w:rsidRPr="00E75889" w:rsidRDefault="00EC2532" w:rsidP="00E75889">
      <w:pPr>
        <w:widowControl w:val="0"/>
        <w:rPr>
          <w:sz w:val="22"/>
          <w:szCs w:val="22"/>
          <w:lang w:val="sr-Latn-RS"/>
        </w:rPr>
      </w:pPr>
    </w:p>
    <w:p w14:paraId="5A2A39B3" w14:textId="0D7A317E" w:rsidR="00EB75FD" w:rsidRPr="00E75889" w:rsidRDefault="00EB75FD" w:rsidP="001A2125">
      <w:pPr>
        <w:widowControl w:val="0"/>
        <w:jc w:val="both"/>
        <w:rPr>
          <w:sz w:val="22"/>
          <w:szCs w:val="22"/>
          <w:lang w:val="sr-Latn-RS"/>
        </w:rPr>
      </w:pPr>
      <w:r w:rsidRPr="00E75889">
        <w:rPr>
          <w:sz w:val="22"/>
          <w:szCs w:val="22"/>
          <w:lang w:val="sr-Latn-RS"/>
        </w:rPr>
        <w:t>Gilenya, 0,5 mg, kapsula, tvrda</w:t>
      </w:r>
    </w:p>
    <w:p w14:paraId="20F47DF7" w14:textId="77777777" w:rsidR="00EB75FD" w:rsidRPr="00E75889" w:rsidRDefault="00EB75FD" w:rsidP="001A2125">
      <w:pPr>
        <w:widowControl w:val="0"/>
        <w:jc w:val="both"/>
        <w:rPr>
          <w:sz w:val="22"/>
          <w:szCs w:val="22"/>
          <w:lang w:val="sr-Latn-RS"/>
        </w:rPr>
      </w:pPr>
    </w:p>
    <w:p w14:paraId="3ABFEF0B" w14:textId="4B077FB5" w:rsidR="006D20A5" w:rsidRPr="00E75889" w:rsidRDefault="00EB75FD" w:rsidP="001A2125">
      <w:pPr>
        <w:widowControl w:val="0"/>
        <w:jc w:val="both"/>
        <w:rPr>
          <w:bCs/>
          <w:sz w:val="22"/>
          <w:szCs w:val="22"/>
          <w:lang w:val="sr-Latn-RS"/>
        </w:rPr>
      </w:pPr>
      <w:r w:rsidRPr="00E75889">
        <w:rPr>
          <w:sz w:val="22"/>
          <w:szCs w:val="22"/>
          <w:lang w:val="sr-Latn-RS"/>
        </w:rPr>
        <w:t>INN: fingolimod</w:t>
      </w:r>
    </w:p>
    <w:p w14:paraId="70425707" w14:textId="77777777" w:rsidR="00530BD7" w:rsidRPr="00E75889" w:rsidRDefault="00530BD7" w:rsidP="00E75889">
      <w:pPr>
        <w:widowControl w:val="0"/>
        <w:rPr>
          <w:bCs/>
          <w:sz w:val="22"/>
          <w:szCs w:val="22"/>
          <w:lang w:val="sr-Latn-RS"/>
        </w:rPr>
      </w:pPr>
    </w:p>
    <w:p w14:paraId="4D827C6C" w14:textId="77777777" w:rsidR="00C866D7" w:rsidRPr="00E75889" w:rsidRDefault="00C866D7" w:rsidP="00E75889">
      <w:pPr>
        <w:widowControl w:val="0"/>
        <w:tabs>
          <w:tab w:val="left" w:pos="540"/>
          <w:tab w:val="left" w:pos="569"/>
        </w:tabs>
        <w:rPr>
          <w:b/>
          <w:bCs/>
          <w:sz w:val="22"/>
          <w:szCs w:val="22"/>
          <w:lang w:val="sr-Latn-RS"/>
        </w:rPr>
      </w:pPr>
    </w:p>
    <w:p w14:paraId="3C11A62C" w14:textId="7C57C08B" w:rsidR="00411B4B" w:rsidRPr="00E75889" w:rsidRDefault="00411B4B" w:rsidP="00E75889">
      <w:pPr>
        <w:widowControl w:val="0"/>
        <w:tabs>
          <w:tab w:val="left" w:pos="540"/>
          <w:tab w:val="left" w:pos="569"/>
        </w:tabs>
        <w:rPr>
          <w:b/>
          <w:bCs/>
          <w:sz w:val="22"/>
          <w:szCs w:val="22"/>
          <w:lang w:val="sr-Latn-RS"/>
        </w:rPr>
      </w:pPr>
      <w:r w:rsidRPr="00E75889">
        <w:rPr>
          <w:b/>
          <w:bCs/>
          <w:sz w:val="22"/>
          <w:szCs w:val="22"/>
          <w:lang w:val="sr-Latn-RS"/>
        </w:rPr>
        <w:t xml:space="preserve">2. </w:t>
      </w:r>
      <w:r w:rsidR="00F5167F" w:rsidRPr="00E75889">
        <w:rPr>
          <w:b/>
          <w:bCs/>
          <w:sz w:val="22"/>
          <w:szCs w:val="22"/>
          <w:lang w:val="sr-Latn-RS"/>
        </w:rPr>
        <w:tab/>
      </w:r>
      <w:r w:rsidRPr="00E75889">
        <w:rPr>
          <w:b/>
          <w:bCs/>
          <w:sz w:val="22"/>
          <w:szCs w:val="22"/>
          <w:lang w:val="sr-Latn-RS"/>
        </w:rPr>
        <w:t>KVALITATIVNI I KVANTITATIVNI SASTAV</w:t>
      </w:r>
    </w:p>
    <w:p w14:paraId="0C20BEEE" w14:textId="77777777" w:rsidR="005A0B2E" w:rsidRPr="00E75889" w:rsidRDefault="005A0B2E" w:rsidP="001A2125">
      <w:pPr>
        <w:widowControl w:val="0"/>
        <w:jc w:val="both"/>
        <w:rPr>
          <w:sz w:val="22"/>
          <w:szCs w:val="22"/>
          <w:lang w:val="sr-Latn-RS"/>
        </w:rPr>
      </w:pPr>
    </w:p>
    <w:p w14:paraId="53A80F1C" w14:textId="77777777" w:rsidR="00EB75FD" w:rsidRPr="00E75889" w:rsidRDefault="00EB75FD" w:rsidP="001A2125">
      <w:pPr>
        <w:widowControl w:val="0"/>
        <w:jc w:val="both"/>
        <w:rPr>
          <w:sz w:val="22"/>
          <w:szCs w:val="22"/>
          <w:lang w:val="sr-Latn-RS"/>
        </w:rPr>
      </w:pPr>
      <w:r w:rsidRPr="00E75889">
        <w:rPr>
          <w:sz w:val="22"/>
          <w:szCs w:val="22"/>
          <w:lang w:val="sr-Latn-RS"/>
        </w:rPr>
        <w:t>Jedna kapsula, tvrda sadrži 0,5 mg fingolimoda (u obliku fingolimod hidrohlorida).</w:t>
      </w:r>
    </w:p>
    <w:p w14:paraId="5F4954E0" w14:textId="17D14DF3" w:rsidR="0003793F" w:rsidRPr="00E75889" w:rsidRDefault="0003793F" w:rsidP="00BF7B1F">
      <w:pPr>
        <w:widowControl w:val="0"/>
        <w:jc w:val="both"/>
        <w:rPr>
          <w:sz w:val="22"/>
          <w:szCs w:val="22"/>
          <w:lang w:val="sr-Latn-RS"/>
        </w:rPr>
      </w:pPr>
      <w:r w:rsidRPr="00E75889">
        <w:rPr>
          <w:sz w:val="22"/>
          <w:szCs w:val="22"/>
          <w:lang w:val="sr-Latn-RS"/>
        </w:rPr>
        <w:t>Za spisak svih ekscipijenasa, pogledati dio 6.1.</w:t>
      </w:r>
    </w:p>
    <w:p w14:paraId="1B49F9DB" w14:textId="77777777" w:rsidR="0003793F" w:rsidRPr="00E75889" w:rsidRDefault="0003793F" w:rsidP="00E75889">
      <w:pPr>
        <w:widowControl w:val="0"/>
        <w:jc w:val="both"/>
        <w:rPr>
          <w:sz w:val="22"/>
          <w:szCs w:val="22"/>
          <w:lang w:val="sr-Latn-RS"/>
        </w:rPr>
      </w:pPr>
    </w:p>
    <w:p w14:paraId="0003104B" w14:textId="77777777" w:rsidR="00C37FD7" w:rsidRPr="00E75889" w:rsidRDefault="00C37FD7" w:rsidP="00E75889">
      <w:pPr>
        <w:widowControl w:val="0"/>
        <w:jc w:val="both"/>
        <w:rPr>
          <w:sz w:val="22"/>
          <w:szCs w:val="22"/>
          <w:lang w:val="sr-Latn-RS"/>
        </w:rPr>
      </w:pPr>
    </w:p>
    <w:p w14:paraId="1094B689"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3. </w:t>
      </w:r>
      <w:r w:rsidR="00F5167F" w:rsidRPr="00E75889">
        <w:rPr>
          <w:b/>
          <w:bCs/>
          <w:sz w:val="22"/>
          <w:szCs w:val="22"/>
          <w:lang w:val="sr-Latn-RS"/>
        </w:rPr>
        <w:tab/>
      </w:r>
      <w:r w:rsidRPr="00E75889">
        <w:rPr>
          <w:b/>
          <w:bCs/>
          <w:sz w:val="22"/>
          <w:szCs w:val="22"/>
          <w:lang w:val="sr-Latn-RS"/>
        </w:rPr>
        <w:t>FARMACEUTSKI OBLIK</w:t>
      </w:r>
      <w:r w:rsidR="009F2D23" w:rsidRPr="00E75889">
        <w:rPr>
          <w:b/>
          <w:bCs/>
          <w:sz w:val="22"/>
          <w:szCs w:val="22"/>
          <w:lang w:val="sr-Latn-RS"/>
        </w:rPr>
        <w:t xml:space="preserve"> </w:t>
      </w:r>
    </w:p>
    <w:p w14:paraId="69102669" w14:textId="77777777" w:rsidR="00900A43" w:rsidRPr="00E75889" w:rsidRDefault="00900A43" w:rsidP="00E75889">
      <w:pPr>
        <w:widowControl w:val="0"/>
        <w:jc w:val="both"/>
        <w:rPr>
          <w:bCs/>
          <w:sz w:val="22"/>
          <w:szCs w:val="22"/>
          <w:lang w:val="sr-Latn-RS"/>
        </w:rPr>
      </w:pPr>
    </w:p>
    <w:p w14:paraId="6C7A5239" w14:textId="095DA859" w:rsidR="00EB75FD" w:rsidRPr="00E75889" w:rsidRDefault="00EB75FD" w:rsidP="00E75889">
      <w:pPr>
        <w:widowControl w:val="0"/>
        <w:jc w:val="both"/>
        <w:rPr>
          <w:bCs/>
          <w:sz w:val="22"/>
          <w:szCs w:val="22"/>
          <w:lang w:val="sr-Latn-RS"/>
        </w:rPr>
      </w:pPr>
      <w:r w:rsidRPr="00E75889">
        <w:rPr>
          <w:bCs/>
          <w:sz w:val="22"/>
          <w:szCs w:val="22"/>
          <w:lang w:val="sr-Latn-RS"/>
        </w:rPr>
        <w:t>Kapsula, tvrda.</w:t>
      </w:r>
    </w:p>
    <w:p w14:paraId="342B5C78" w14:textId="4393D5E5" w:rsidR="00411B4B" w:rsidRPr="00E75889" w:rsidRDefault="00EB75FD" w:rsidP="00E75889">
      <w:pPr>
        <w:widowControl w:val="0"/>
        <w:jc w:val="both"/>
        <w:rPr>
          <w:bCs/>
          <w:sz w:val="22"/>
          <w:szCs w:val="22"/>
          <w:lang w:val="sr-Latn-RS"/>
        </w:rPr>
      </w:pPr>
      <w:r w:rsidRPr="00E75889">
        <w:rPr>
          <w:bCs/>
          <w:sz w:val="22"/>
          <w:szCs w:val="22"/>
          <w:lang w:val="sr-Latn-RS"/>
        </w:rPr>
        <w:t>Tvrde kapsule No. 3, bijelog neprovidnog tijela i svijetložute neprovidne kape, sa utisnutom oznakom "FTY</w:t>
      </w:r>
      <w:r w:rsidR="00900A43" w:rsidRPr="00E75889">
        <w:rPr>
          <w:bCs/>
          <w:sz w:val="22"/>
          <w:szCs w:val="22"/>
          <w:lang w:val="sr-Latn-RS"/>
        </w:rPr>
        <w:t xml:space="preserve"> </w:t>
      </w:r>
      <w:r w:rsidRPr="00E75889">
        <w:rPr>
          <w:bCs/>
          <w:sz w:val="22"/>
          <w:szCs w:val="22"/>
          <w:lang w:val="sr-Latn-RS"/>
        </w:rPr>
        <w:t xml:space="preserve">0.5 mg" </w:t>
      </w:r>
      <w:r w:rsidR="00900A43" w:rsidRPr="00E75889">
        <w:rPr>
          <w:bCs/>
          <w:sz w:val="22"/>
          <w:szCs w:val="22"/>
          <w:lang w:val="sr-Latn-RS"/>
        </w:rPr>
        <w:t xml:space="preserve">crnim mastilom </w:t>
      </w:r>
      <w:r w:rsidRPr="00E75889">
        <w:rPr>
          <w:bCs/>
          <w:sz w:val="22"/>
          <w:szCs w:val="22"/>
          <w:lang w:val="sr-Latn-RS"/>
        </w:rPr>
        <w:t xml:space="preserve">na kapi i utisnutom oznakom </w:t>
      </w:r>
      <w:r w:rsidR="00900A43" w:rsidRPr="00E75889">
        <w:rPr>
          <w:bCs/>
          <w:sz w:val="22"/>
          <w:szCs w:val="22"/>
          <w:lang w:val="sr-Latn-RS"/>
        </w:rPr>
        <w:t>žutim mastilom</w:t>
      </w:r>
      <w:r w:rsidR="00900A43" w:rsidRPr="00E75889" w:rsidDel="00900A43">
        <w:rPr>
          <w:bCs/>
          <w:sz w:val="22"/>
          <w:szCs w:val="22"/>
          <w:lang w:val="sr-Latn-RS"/>
        </w:rPr>
        <w:t xml:space="preserve"> </w:t>
      </w:r>
      <w:r w:rsidRPr="00E75889">
        <w:rPr>
          <w:bCs/>
          <w:sz w:val="22"/>
          <w:szCs w:val="22"/>
          <w:lang w:val="sr-Latn-RS"/>
        </w:rPr>
        <w:t>u obliku dvije kružne linije na tijelu kapsule. Kapsula sadrži bijeli do skoro bijeli prašak.</w:t>
      </w:r>
    </w:p>
    <w:p w14:paraId="7E873FD1" w14:textId="53A79355" w:rsidR="00EC2532" w:rsidRPr="00E75889" w:rsidRDefault="00EC2532" w:rsidP="00E75889">
      <w:pPr>
        <w:widowControl w:val="0"/>
        <w:jc w:val="both"/>
        <w:rPr>
          <w:bCs/>
          <w:sz w:val="22"/>
          <w:szCs w:val="22"/>
          <w:lang w:val="sr-Latn-RS"/>
        </w:rPr>
      </w:pPr>
    </w:p>
    <w:p w14:paraId="5ECC043C" w14:textId="77777777" w:rsidR="00900A43" w:rsidRPr="00E75889" w:rsidRDefault="00900A43" w:rsidP="00E75889">
      <w:pPr>
        <w:widowControl w:val="0"/>
        <w:jc w:val="both"/>
        <w:rPr>
          <w:bCs/>
          <w:sz w:val="22"/>
          <w:szCs w:val="22"/>
          <w:lang w:val="sr-Latn-RS"/>
        </w:rPr>
      </w:pPr>
    </w:p>
    <w:p w14:paraId="25A843C7"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4. </w:t>
      </w:r>
      <w:r w:rsidR="00480FB1" w:rsidRPr="00E75889">
        <w:rPr>
          <w:b/>
          <w:bCs/>
          <w:sz w:val="22"/>
          <w:szCs w:val="22"/>
          <w:lang w:val="sr-Latn-RS"/>
        </w:rPr>
        <w:tab/>
      </w:r>
      <w:r w:rsidRPr="00E75889">
        <w:rPr>
          <w:b/>
          <w:bCs/>
          <w:sz w:val="22"/>
          <w:szCs w:val="22"/>
          <w:lang w:val="sr-Latn-RS"/>
        </w:rPr>
        <w:t>KLINIČKI PODACI</w:t>
      </w:r>
    </w:p>
    <w:p w14:paraId="433CFB7D" w14:textId="77777777" w:rsidR="00CD6F02" w:rsidRPr="00E75889" w:rsidRDefault="00CD6F02" w:rsidP="00E75889">
      <w:pPr>
        <w:widowControl w:val="0"/>
        <w:tabs>
          <w:tab w:val="left" w:pos="540"/>
          <w:tab w:val="left" w:pos="569"/>
        </w:tabs>
        <w:jc w:val="both"/>
        <w:rPr>
          <w:bCs/>
          <w:sz w:val="22"/>
          <w:szCs w:val="22"/>
          <w:lang w:val="sr-Latn-RS"/>
        </w:rPr>
      </w:pPr>
    </w:p>
    <w:p w14:paraId="1588CE38"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4.1. </w:t>
      </w:r>
      <w:r w:rsidR="00480FB1" w:rsidRPr="00E75889">
        <w:rPr>
          <w:b/>
          <w:bCs/>
          <w:sz w:val="22"/>
          <w:szCs w:val="22"/>
          <w:lang w:val="sr-Latn-RS"/>
        </w:rPr>
        <w:tab/>
      </w:r>
      <w:r w:rsidRPr="00E75889">
        <w:rPr>
          <w:b/>
          <w:bCs/>
          <w:sz w:val="22"/>
          <w:szCs w:val="22"/>
          <w:lang w:val="sr-Latn-RS"/>
        </w:rPr>
        <w:t>Terapijske indikacije</w:t>
      </w:r>
    </w:p>
    <w:p w14:paraId="3E24B580" w14:textId="77777777" w:rsidR="00EB75FD" w:rsidRPr="00E75889" w:rsidRDefault="00EB75FD" w:rsidP="00E75889">
      <w:pPr>
        <w:widowControl w:val="0"/>
        <w:tabs>
          <w:tab w:val="left" w:pos="540"/>
          <w:tab w:val="left" w:pos="569"/>
        </w:tabs>
        <w:jc w:val="both"/>
        <w:rPr>
          <w:bCs/>
          <w:sz w:val="22"/>
          <w:szCs w:val="22"/>
          <w:lang w:val="sr-Latn-RS"/>
        </w:rPr>
      </w:pPr>
    </w:p>
    <w:p w14:paraId="40DE13C7" w14:textId="198179E7" w:rsidR="00EB75FD" w:rsidRPr="00E75889" w:rsidRDefault="00282BF1" w:rsidP="00E75889">
      <w:pPr>
        <w:widowControl w:val="0"/>
        <w:tabs>
          <w:tab w:val="left" w:pos="540"/>
          <w:tab w:val="left" w:pos="569"/>
        </w:tabs>
        <w:jc w:val="both"/>
        <w:rPr>
          <w:bCs/>
          <w:sz w:val="22"/>
          <w:szCs w:val="22"/>
          <w:lang w:val="sr-Latn-RS"/>
        </w:rPr>
      </w:pPr>
      <w:r w:rsidRPr="00E75889">
        <w:rPr>
          <w:bCs/>
          <w:sz w:val="22"/>
          <w:szCs w:val="22"/>
          <w:lang w:val="sr-Latn-RS"/>
        </w:rPr>
        <w:t xml:space="preserve">Lijek </w:t>
      </w:r>
      <w:r w:rsidR="00EB75FD" w:rsidRPr="00E75889">
        <w:rPr>
          <w:bCs/>
          <w:sz w:val="22"/>
          <w:szCs w:val="22"/>
          <w:lang w:val="sr-Latn-RS"/>
        </w:rPr>
        <w:t>Gilenya je indikovan kao monoterapija koja utiče na tok bolesti kod visoko aktivne relapsno- remitentne multiple skleroze za sljedeće grupe odraslih pacijenata i pedijatrijskih pacijenata uzrasta 10 godina i starijih:</w:t>
      </w:r>
    </w:p>
    <w:p w14:paraId="22A98AD1" w14:textId="77777777" w:rsidR="00EB75FD" w:rsidRPr="00E75889" w:rsidRDefault="00EB75FD" w:rsidP="00E75889">
      <w:pPr>
        <w:widowControl w:val="0"/>
        <w:tabs>
          <w:tab w:val="left" w:pos="540"/>
          <w:tab w:val="left" w:pos="569"/>
        </w:tabs>
        <w:jc w:val="both"/>
        <w:rPr>
          <w:bCs/>
          <w:sz w:val="22"/>
          <w:szCs w:val="22"/>
          <w:lang w:val="sr-Latn-RS"/>
        </w:rPr>
      </w:pPr>
    </w:p>
    <w:p w14:paraId="5D3F3F61" w14:textId="172E3FE1" w:rsidR="00EB75FD" w:rsidRPr="00E75889" w:rsidRDefault="00EB75FD" w:rsidP="00E75889">
      <w:pPr>
        <w:widowControl w:val="0"/>
        <w:tabs>
          <w:tab w:val="left" w:pos="540"/>
          <w:tab w:val="left" w:pos="569"/>
        </w:tabs>
        <w:jc w:val="both"/>
        <w:rPr>
          <w:bCs/>
          <w:sz w:val="22"/>
          <w:szCs w:val="22"/>
          <w:lang w:val="sr-Latn-RS"/>
        </w:rPr>
      </w:pPr>
      <w:r w:rsidRPr="00E75889">
        <w:rPr>
          <w:bCs/>
          <w:sz w:val="22"/>
          <w:szCs w:val="22"/>
          <w:lang w:val="sr-Latn-RS"/>
        </w:rPr>
        <w:t>-</w:t>
      </w:r>
      <w:r w:rsidRPr="00E75889">
        <w:rPr>
          <w:bCs/>
          <w:sz w:val="22"/>
          <w:szCs w:val="22"/>
          <w:lang w:val="sr-Latn-RS"/>
        </w:rPr>
        <w:tab/>
        <w:t xml:space="preserve">Pacijenti sa visoko aktivnom bolešću, uprkos kompletnom i adekvatnom vođenju terapije najmanje jednom terapijom koja modifikuje tok bolesti (za odstupanja i informacije o periodu eliminisanja lijeka iz organizma vidjeti </w:t>
      </w:r>
      <w:r w:rsidR="00282BF1" w:rsidRPr="00E75889">
        <w:rPr>
          <w:bCs/>
          <w:sz w:val="22"/>
          <w:szCs w:val="22"/>
          <w:lang w:val="sr-Latn-RS"/>
        </w:rPr>
        <w:t>djelove</w:t>
      </w:r>
      <w:r w:rsidRPr="00E75889">
        <w:rPr>
          <w:bCs/>
          <w:sz w:val="22"/>
          <w:szCs w:val="22"/>
          <w:lang w:val="sr-Latn-RS"/>
        </w:rPr>
        <w:t xml:space="preserve"> 4.4 i 5.1).</w:t>
      </w:r>
    </w:p>
    <w:p w14:paraId="5E6F42B4" w14:textId="77777777" w:rsidR="00EB75FD" w:rsidRPr="00E75889" w:rsidRDefault="00EB75FD" w:rsidP="00E75889">
      <w:pPr>
        <w:widowControl w:val="0"/>
        <w:tabs>
          <w:tab w:val="left" w:pos="540"/>
          <w:tab w:val="left" w:pos="569"/>
        </w:tabs>
        <w:jc w:val="both"/>
        <w:rPr>
          <w:bCs/>
          <w:sz w:val="22"/>
          <w:szCs w:val="22"/>
          <w:lang w:val="sr-Latn-RS"/>
        </w:rPr>
      </w:pPr>
    </w:p>
    <w:p w14:paraId="6D5EE4C1" w14:textId="77777777" w:rsidR="00EB75FD" w:rsidRPr="00E75889" w:rsidRDefault="00EB75FD" w:rsidP="00E75889">
      <w:pPr>
        <w:widowControl w:val="0"/>
        <w:tabs>
          <w:tab w:val="left" w:pos="540"/>
          <w:tab w:val="left" w:pos="569"/>
        </w:tabs>
        <w:jc w:val="both"/>
        <w:rPr>
          <w:bCs/>
          <w:sz w:val="22"/>
          <w:szCs w:val="22"/>
          <w:lang w:val="sr-Latn-RS"/>
        </w:rPr>
      </w:pPr>
      <w:r w:rsidRPr="00E75889">
        <w:rPr>
          <w:bCs/>
          <w:sz w:val="22"/>
          <w:szCs w:val="22"/>
          <w:lang w:val="sr-Latn-RS"/>
        </w:rPr>
        <w:t>Ili</w:t>
      </w:r>
    </w:p>
    <w:p w14:paraId="6C7AB97F" w14:textId="77777777" w:rsidR="00EB75FD" w:rsidRPr="00E75889" w:rsidRDefault="00EB75FD" w:rsidP="00E75889">
      <w:pPr>
        <w:widowControl w:val="0"/>
        <w:tabs>
          <w:tab w:val="left" w:pos="540"/>
          <w:tab w:val="left" w:pos="569"/>
        </w:tabs>
        <w:jc w:val="both"/>
        <w:rPr>
          <w:bCs/>
          <w:sz w:val="22"/>
          <w:szCs w:val="22"/>
          <w:lang w:val="sr-Latn-RS"/>
        </w:rPr>
      </w:pPr>
    </w:p>
    <w:p w14:paraId="3B2B20DE" w14:textId="136341EF" w:rsidR="00EB75FD" w:rsidRPr="00E75889" w:rsidRDefault="00EB75FD" w:rsidP="00E75889">
      <w:pPr>
        <w:widowControl w:val="0"/>
        <w:tabs>
          <w:tab w:val="left" w:pos="540"/>
          <w:tab w:val="left" w:pos="569"/>
        </w:tabs>
        <w:jc w:val="both"/>
        <w:rPr>
          <w:bCs/>
          <w:sz w:val="22"/>
          <w:szCs w:val="22"/>
          <w:lang w:val="sr-Latn-RS"/>
        </w:rPr>
      </w:pPr>
      <w:r w:rsidRPr="00E75889">
        <w:rPr>
          <w:bCs/>
          <w:sz w:val="22"/>
          <w:szCs w:val="22"/>
          <w:lang w:val="sr-Latn-RS"/>
        </w:rPr>
        <w:t>-</w:t>
      </w:r>
      <w:r w:rsidRPr="00E75889">
        <w:rPr>
          <w:bCs/>
          <w:sz w:val="22"/>
          <w:szCs w:val="22"/>
          <w:lang w:val="sr-Latn-RS"/>
        </w:rPr>
        <w:tab/>
        <w:t>Pacijenti kod kojih se brzo razvija teška relapsno-remitentna multipla skleroza koja se definiše sa dva ili više onesposobljavajućih relapsa tokom jedne godine ili jednom ili više lezija koje pojačano vezuju</w:t>
      </w:r>
      <w:r w:rsidR="00BF42F0" w:rsidRPr="00E75889">
        <w:rPr>
          <w:bCs/>
          <w:sz w:val="22"/>
          <w:szCs w:val="22"/>
          <w:lang w:val="sr-Latn-RS"/>
        </w:rPr>
        <w:t xml:space="preserve"> </w:t>
      </w:r>
      <w:r w:rsidRPr="00E75889">
        <w:rPr>
          <w:bCs/>
          <w:sz w:val="22"/>
          <w:szCs w:val="22"/>
          <w:lang w:val="sr-Latn-RS"/>
        </w:rPr>
        <w:t>gadolinijum na MR snimku mozga ili značajnim porastom broja T2 lezija u poređenju sa prethodnom skorašnjom MR.</w:t>
      </w:r>
      <w:r w:rsidR="00BF42F0" w:rsidRPr="00E75889">
        <w:rPr>
          <w:bCs/>
          <w:sz w:val="22"/>
          <w:szCs w:val="22"/>
          <w:lang w:val="sr-Latn-RS"/>
        </w:rPr>
        <w:t xml:space="preserve"> </w:t>
      </w:r>
    </w:p>
    <w:p w14:paraId="3C5BEBB9" w14:textId="71A5C323" w:rsidR="00411B4B" w:rsidRPr="00E75889" w:rsidRDefault="00411B4B" w:rsidP="00E75889">
      <w:pPr>
        <w:widowControl w:val="0"/>
        <w:tabs>
          <w:tab w:val="left" w:pos="540"/>
          <w:tab w:val="left" w:pos="569"/>
        </w:tabs>
        <w:jc w:val="both"/>
        <w:rPr>
          <w:bCs/>
          <w:sz w:val="22"/>
          <w:szCs w:val="22"/>
          <w:lang w:val="sr-Latn-RS"/>
        </w:rPr>
      </w:pPr>
    </w:p>
    <w:p w14:paraId="2D6EE695"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4.2. </w:t>
      </w:r>
      <w:r w:rsidR="00480FB1" w:rsidRPr="00E75889">
        <w:rPr>
          <w:b/>
          <w:bCs/>
          <w:sz w:val="22"/>
          <w:szCs w:val="22"/>
          <w:lang w:val="sr-Latn-RS"/>
        </w:rPr>
        <w:tab/>
      </w:r>
      <w:r w:rsidRPr="00E75889">
        <w:rPr>
          <w:b/>
          <w:bCs/>
          <w:sz w:val="22"/>
          <w:szCs w:val="22"/>
          <w:lang w:val="sr-Latn-RS"/>
        </w:rPr>
        <w:t>Doziranje i način primjene</w:t>
      </w:r>
    </w:p>
    <w:p w14:paraId="1290BBD2" w14:textId="77777777" w:rsidR="0072020E" w:rsidRPr="00E75889" w:rsidRDefault="0072020E" w:rsidP="00E75889">
      <w:pPr>
        <w:widowControl w:val="0"/>
        <w:tabs>
          <w:tab w:val="left" w:pos="540"/>
          <w:tab w:val="left" w:pos="569"/>
        </w:tabs>
        <w:jc w:val="both"/>
        <w:rPr>
          <w:bCs/>
          <w:sz w:val="22"/>
          <w:szCs w:val="22"/>
          <w:lang w:val="sr-Latn-RS"/>
        </w:rPr>
      </w:pPr>
    </w:p>
    <w:p w14:paraId="26A957C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Terapiju treba da uvodi i prati ljekar koji ima iskustva sa liječenjem multiple skleroze.</w:t>
      </w:r>
    </w:p>
    <w:p w14:paraId="499A6F2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4A7D60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0"/>
          <w:sz w:val="22"/>
          <w:szCs w:val="22"/>
          <w:lang w:val="sr-Latn-RS"/>
        </w:rPr>
        <w:t>Doziranje</w:t>
      </w:r>
    </w:p>
    <w:p w14:paraId="75CBC69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sr-Latn-RS"/>
        </w:rPr>
      </w:pPr>
      <w:r w:rsidRPr="00E75889">
        <w:rPr>
          <w:sz w:val="22"/>
          <w:szCs w:val="22"/>
          <w:lang w:val="sr-Latn-RS"/>
        </w:rPr>
        <w:t xml:space="preserve">Kod odraslih, preporučena doza fingolimoda je jedna kapsula od 0,5 mg koja se uzima oralno, jednom dnevno. </w:t>
      </w:r>
      <w:r w:rsidRPr="00E75889">
        <w:rPr>
          <w:sz w:val="22"/>
          <w:szCs w:val="22"/>
          <w:lang w:val="sr-Latn-RS" w:eastAsia="sr-Latn-RS"/>
        </w:rPr>
        <w:t>Kod pedijatrijskih pacijenata (uzrasta 10 godina i starijih), preporučena doza zavisi od tjelesne mase:</w:t>
      </w:r>
    </w:p>
    <w:p w14:paraId="258E006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sr-Latn-RS"/>
        </w:rPr>
      </w:pPr>
    </w:p>
    <w:p w14:paraId="53B1FA6E" w14:textId="77777777" w:rsidR="00EB75FD" w:rsidRPr="00E75889" w:rsidRDefault="00EB75FD" w:rsidP="00E75889">
      <w:pPr>
        <w:widowControl w:val="0"/>
        <w:numPr>
          <w:ilvl w:val="0"/>
          <w:numId w:val="12"/>
        </w:numPr>
        <w:jc w:val="both"/>
        <w:rPr>
          <w:sz w:val="22"/>
          <w:szCs w:val="22"/>
          <w:lang w:val="sr-Latn-RS" w:eastAsia="sr-Latn-RS"/>
        </w:rPr>
      </w:pPr>
      <w:r w:rsidRPr="00E75889">
        <w:rPr>
          <w:sz w:val="22"/>
          <w:szCs w:val="22"/>
          <w:lang w:val="sr-Latn-RS" w:eastAsia="sr-Latn-RS"/>
        </w:rPr>
        <w:t>Pedijatrijski pacijenti sa tjelesnom masom ≤40 kg: jedna kapsula od 0,25 mg koja se uzima oralno jednom dnevno.</w:t>
      </w:r>
    </w:p>
    <w:p w14:paraId="6DE142B2" w14:textId="77777777" w:rsidR="00EB75FD" w:rsidRPr="00E75889" w:rsidRDefault="00EB75FD" w:rsidP="00E75889">
      <w:pPr>
        <w:widowControl w:val="0"/>
        <w:numPr>
          <w:ilvl w:val="0"/>
          <w:numId w:val="12"/>
        </w:numPr>
        <w:jc w:val="both"/>
        <w:rPr>
          <w:sz w:val="22"/>
          <w:szCs w:val="22"/>
          <w:lang w:val="sr-Latn-RS" w:eastAsia="sr-Latn-RS"/>
        </w:rPr>
      </w:pPr>
      <w:r w:rsidRPr="00E75889">
        <w:rPr>
          <w:sz w:val="22"/>
          <w:szCs w:val="22"/>
          <w:lang w:val="sr-Latn-RS" w:eastAsia="sr-Latn-RS"/>
        </w:rPr>
        <w:t>Pedijatrijski pacijenti sa tjelesnom masom ≥40 kg: jedna kapsula od 0,5 mg koja se uzima oralno jednom dnevno.</w:t>
      </w:r>
    </w:p>
    <w:p w14:paraId="75C8A6B7" w14:textId="77777777" w:rsidR="00EB75FD" w:rsidRPr="00E75889" w:rsidRDefault="00EB75FD" w:rsidP="00E75889">
      <w:pPr>
        <w:widowControl w:val="0"/>
        <w:jc w:val="both"/>
        <w:rPr>
          <w:sz w:val="22"/>
          <w:szCs w:val="22"/>
          <w:lang w:val="sr-Latn-RS" w:eastAsia="sr-Latn-RS"/>
        </w:rPr>
      </w:pPr>
    </w:p>
    <w:p w14:paraId="2DB0A4A8" w14:textId="77777777" w:rsidR="00EB75FD" w:rsidRPr="00E75889" w:rsidRDefault="00EB75FD" w:rsidP="00E75889">
      <w:pPr>
        <w:widowControl w:val="0"/>
        <w:jc w:val="both"/>
        <w:rPr>
          <w:sz w:val="22"/>
          <w:szCs w:val="22"/>
          <w:lang w:val="sr-Latn-RS" w:eastAsia="sr-Latn-RS"/>
        </w:rPr>
      </w:pPr>
      <w:r w:rsidRPr="00E75889">
        <w:rPr>
          <w:sz w:val="22"/>
          <w:szCs w:val="22"/>
          <w:lang w:val="sr-Latn-RS" w:eastAsia="sr-Latn-RS"/>
        </w:rPr>
        <w:lastRenderedPageBreak/>
        <w:t>Pedijatrijski pacijenti koji započnu terapiju sa kapsulom od 0,25 mg i vremenom dostignu stabilnu tjelesnu masu iznad 40 kg, treba da pređu na kapsulu od 0,5 mg.</w:t>
      </w:r>
    </w:p>
    <w:p w14:paraId="6CA98357" w14:textId="77777777" w:rsidR="00EB75FD" w:rsidRPr="00E75889" w:rsidRDefault="00EB75FD" w:rsidP="00E75889">
      <w:pPr>
        <w:widowControl w:val="0"/>
        <w:jc w:val="both"/>
        <w:rPr>
          <w:sz w:val="22"/>
          <w:szCs w:val="22"/>
          <w:lang w:val="sr-Latn-RS" w:eastAsia="sr-Latn-RS"/>
        </w:rPr>
      </w:pPr>
    </w:p>
    <w:p w14:paraId="3E20974B" w14:textId="77777777" w:rsidR="00EB75FD" w:rsidRPr="00E75889" w:rsidRDefault="00EB75FD" w:rsidP="00E75889">
      <w:pPr>
        <w:widowControl w:val="0"/>
        <w:jc w:val="both"/>
        <w:rPr>
          <w:sz w:val="22"/>
          <w:szCs w:val="22"/>
          <w:lang w:val="sr-Latn-RS" w:eastAsia="sr-Latn-RS"/>
        </w:rPr>
      </w:pPr>
      <w:r w:rsidRPr="00E75889">
        <w:rPr>
          <w:sz w:val="22"/>
          <w:szCs w:val="22"/>
          <w:lang w:val="sr-Latn-RS" w:eastAsia="sr-Latn-RS"/>
        </w:rPr>
        <w:t>Kada se prelazi sa dnevne doze od 0,25 mg na 0,5 mg, preporučuje se ponavljanje istog praćenja primjene prve doze lijeka kao i u inicijalnoj terapiji.</w:t>
      </w:r>
    </w:p>
    <w:p w14:paraId="04AE1A4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6334DE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Preporučuje se isto praćenje prve doze kao i na početku terapije kada se terapija prekida na:</w:t>
      </w:r>
    </w:p>
    <w:p w14:paraId="194008D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89FA786" w14:textId="77777777" w:rsidR="00EB75FD" w:rsidRPr="00E75889" w:rsidRDefault="00EB75FD" w:rsidP="00E75889">
      <w:pPr>
        <w:pStyle w:val="Bodytext1"/>
        <w:widowControl w:val="0"/>
        <w:numPr>
          <w:ilvl w:val="0"/>
          <w:numId w:val="13"/>
        </w:numPr>
        <w:shd w:val="clear" w:color="auto" w:fill="auto"/>
        <w:spacing w:before="0" w:after="0" w:line="240" w:lineRule="auto"/>
        <w:jc w:val="both"/>
        <w:rPr>
          <w:sz w:val="22"/>
          <w:szCs w:val="22"/>
          <w:lang w:val="sr-Latn-RS" w:eastAsia="en-US"/>
        </w:rPr>
      </w:pPr>
      <w:r w:rsidRPr="00E75889">
        <w:rPr>
          <w:sz w:val="22"/>
          <w:szCs w:val="22"/>
          <w:lang w:val="sr-Latn-RS" w:eastAsia="en-US"/>
        </w:rPr>
        <w:t>Jedan ili više dana tokom prve dvije nedjelje terapije</w:t>
      </w:r>
    </w:p>
    <w:p w14:paraId="2FEA98D8" w14:textId="77777777" w:rsidR="00EB75FD" w:rsidRPr="00E75889" w:rsidRDefault="00EB75FD" w:rsidP="00E75889">
      <w:pPr>
        <w:pStyle w:val="Bodytext1"/>
        <w:widowControl w:val="0"/>
        <w:numPr>
          <w:ilvl w:val="0"/>
          <w:numId w:val="13"/>
        </w:numPr>
        <w:shd w:val="clear" w:color="auto" w:fill="auto"/>
        <w:spacing w:before="0" w:after="0" w:line="240" w:lineRule="auto"/>
        <w:jc w:val="both"/>
        <w:rPr>
          <w:sz w:val="22"/>
          <w:szCs w:val="22"/>
          <w:lang w:val="sr-Latn-RS" w:eastAsia="en-US"/>
        </w:rPr>
      </w:pPr>
      <w:r w:rsidRPr="00E75889">
        <w:rPr>
          <w:sz w:val="22"/>
          <w:szCs w:val="22"/>
          <w:lang w:val="sr-Latn-RS" w:eastAsia="en-US"/>
        </w:rPr>
        <w:t>Duže od sedam dana tokom treće i četvrte nedjelje terapije</w:t>
      </w:r>
    </w:p>
    <w:p w14:paraId="55F67627" w14:textId="77777777" w:rsidR="00EB75FD" w:rsidRPr="00E75889" w:rsidRDefault="00EB75FD" w:rsidP="00E75889">
      <w:pPr>
        <w:pStyle w:val="Bodytext1"/>
        <w:widowControl w:val="0"/>
        <w:numPr>
          <w:ilvl w:val="0"/>
          <w:numId w:val="13"/>
        </w:numPr>
        <w:shd w:val="clear" w:color="auto" w:fill="auto"/>
        <w:spacing w:before="0" w:after="0" w:line="240" w:lineRule="auto"/>
        <w:jc w:val="both"/>
        <w:rPr>
          <w:sz w:val="22"/>
          <w:szCs w:val="22"/>
          <w:lang w:val="sr-Latn-RS" w:eastAsia="en-US"/>
        </w:rPr>
      </w:pPr>
      <w:r w:rsidRPr="00E75889">
        <w:rPr>
          <w:sz w:val="22"/>
          <w:szCs w:val="22"/>
          <w:lang w:val="sr-Latn-RS" w:eastAsia="en-US"/>
        </w:rPr>
        <w:t>Duže od dvije nedjelje poslije jednog mjeseca terapije</w:t>
      </w:r>
    </w:p>
    <w:p w14:paraId="6B1F8E48" w14:textId="77777777" w:rsidR="00EB75FD" w:rsidRPr="00E75889" w:rsidRDefault="00EB75FD" w:rsidP="00E75889">
      <w:pPr>
        <w:pStyle w:val="Bodytext1"/>
        <w:widowControl w:val="0"/>
        <w:shd w:val="clear" w:color="auto" w:fill="auto"/>
        <w:spacing w:before="0" w:after="0" w:line="240" w:lineRule="auto"/>
        <w:ind w:left="720" w:firstLine="0"/>
        <w:jc w:val="both"/>
        <w:rPr>
          <w:sz w:val="22"/>
          <w:szCs w:val="22"/>
          <w:lang w:val="sr-Latn-RS" w:eastAsia="en-US"/>
        </w:rPr>
      </w:pPr>
    </w:p>
    <w:p w14:paraId="34A25160" w14:textId="6C9D205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Ako je terapija prekinuta u kraćem trajanju </w:t>
      </w:r>
      <w:r w:rsidR="00282BF1" w:rsidRPr="00E75889">
        <w:rPr>
          <w:sz w:val="22"/>
          <w:szCs w:val="22"/>
          <w:lang w:val="sr-Latn-RS" w:eastAsia="en-US"/>
        </w:rPr>
        <w:t xml:space="preserve">od </w:t>
      </w:r>
      <w:r w:rsidRPr="00E75889">
        <w:rPr>
          <w:sz w:val="22"/>
          <w:szCs w:val="22"/>
          <w:lang w:val="sr-Latn-RS" w:eastAsia="en-US"/>
        </w:rPr>
        <w:t xml:space="preserve">gore navedenog, terapiju treba nastaviti narednom planiranom dozom (vidjeti </w:t>
      </w:r>
      <w:r w:rsidR="00282BF1" w:rsidRPr="00E75889">
        <w:rPr>
          <w:sz w:val="22"/>
          <w:szCs w:val="22"/>
          <w:lang w:val="sr-Latn-RS" w:eastAsia="en-US"/>
        </w:rPr>
        <w:t>dio</w:t>
      </w:r>
      <w:r w:rsidRPr="00E75889">
        <w:rPr>
          <w:sz w:val="22"/>
          <w:szCs w:val="22"/>
          <w:lang w:val="sr-Latn-RS" w:eastAsia="en-US"/>
        </w:rPr>
        <w:t xml:space="preserve"> 4.4).</w:t>
      </w:r>
    </w:p>
    <w:p w14:paraId="141A46D9" w14:textId="77777777" w:rsidR="00EB75FD" w:rsidRPr="00E75889" w:rsidRDefault="00EB75FD" w:rsidP="00E75889">
      <w:pPr>
        <w:pStyle w:val="Bodytext1"/>
        <w:widowControl w:val="0"/>
        <w:shd w:val="clear" w:color="auto" w:fill="auto"/>
        <w:spacing w:before="0" w:after="0" w:line="240" w:lineRule="auto"/>
        <w:ind w:firstLine="0"/>
        <w:jc w:val="both"/>
        <w:rPr>
          <w:rStyle w:val="BodyText10"/>
          <w:sz w:val="22"/>
          <w:szCs w:val="22"/>
          <w:lang w:val="sr-Latn-RS"/>
        </w:rPr>
      </w:pPr>
    </w:p>
    <w:p w14:paraId="4F1CBEBC" w14:textId="77777777" w:rsidR="00EB75FD" w:rsidRPr="00E75889" w:rsidRDefault="00EB75FD" w:rsidP="00E75889">
      <w:pPr>
        <w:pStyle w:val="Bodytext1"/>
        <w:widowControl w:val="0"/>
        <w:shd w:val="clear" w:color="auto" w:fill="auto"/>
        <w:spacing w:before="0" w:after="0" w:line="240" w:lineRule="auto"/>
        <w:ind w:firstLine="0"/>
        <w:jc w:val="both"/>
        <w:rPr>
          <w:rStyle w:val="BodyText10"/>
          <w:sz w:val="22"/>
          <w:szCs w:val="22"/>
          <w:lang w:val="sr-Latn-RS"/>
        </w:rPr>
      </w:pPr>
      <w:r w:rsidRPr="00E75889">
        <w:rPr>
          <w:rStyle w:val="BodyText10"/>
          <w:sz w:val="22"/>
          <w:szCs w:val="22"/>
          <w:lang w:val="sr-Latn-RS"/>
        </w:rPr>
        <w:t>Posebne populacije</w:t>
      </w:r>
    </w:p>
    <w:p w14:paraId="1CCE0C3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7B74C42"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r w:rsidRPr="00E75889">
        <w:rPr>
          <w:sz w:val="22"/>
          <w:szCs w:val="22"/>
          <w:lang w:val="sr-Latn-RS" w:eastAsia="en-US"/>
        </w:rPr>
        <w:t>Stariji pacijenti</w:t>
      </w:r>
    </w:p>
    <w:p w14:paraId="3DF5553F" w14:textId="09D0225B"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Fingolimod</w:t>
      </w:r>
      <w:r w:rsidRPr="00E75889">
        <w:rPr>
          <w:sz w:val="22"/>
          <w:szCs w:val="22"/>
          <w:lang w:val="sr-Latn-RS" w:eastAsia="en-US"/>
        </w:rPr>
        <w:t xml:space="preserve"> treba oprezno koristiti kod pacijenata starosti 65 godina i starijih, zbog nedovoljnih podataka o bezbjednosti i efikasnosti (vidjeti </w:t>
      </w:r>
      <w:r w:rsidR="00282BF1" w:rsidRPr="00E75889">
        <w:rPr>
          <w:sz w:val="22"/>
          <w:szCs w:val="22"/>
          <w:lang w:val="sr-Latn-RS" w:eastAsia="en-US"/>
        </w:rPr>
        <w:t>dio</w:t>
      </w:r>
      <w:r w:rsidRPr="00E75889">
        <w:rPr>
          <w:sz w:val="22"/>
          <w:szCs w:val="22"/>
          <w:lang w:val="sr-Latn-RS" w:eastAsia="en-US"/>
        </w:rPr>
        <w:t xml:space="preserve"> 5.2).</w:t>
      </w:r>
    </w:p>
    <w:p w14:paraId="07D4207E"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6FEF23A3"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r w:rsidRPr="00E75889">
        <w:rPr>
          <w:sz w:val="22"/>
          <w:szCs w:val="22"/>
          <w:lang w:val="sr-Latn-RS" w:eastAsia="en-US"/>
        </w:rPr>
        <w:t>Poremećaj funkcije bubrega</w:t>
      </w:r>
    </w:p>
    <w:p w14:paraId="44372850" w14:textId="1B0EE602" w:rsidR="00EB75FD" w:rsidRPr="00E75889" w:rsidRDefault="00282BF1"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w:t>
      </w:r>
      <w:r w:rsidR="00EB75FD" w:rsidRPr="00E75889">
        <w:rPr>
          <w:sz w:val="22"/>
          <w:szCs w:val="22"/>
          <w:lang w:val="sr-Latn-RS" w:eastAsia="en-US"/>
        </w:rPr>
        <w:t xml:space="preserve"> nije ispitivan kod pacijenata sa poremećajem bubrežne funkcije u pivotalnim studijama sa multiplom sklerozom. Na osnovu kliničkih farmakoloških studija, nije potrebno podešavanje doza kod pacijenata sa blagim do umjerenim oštećenjem bubrega.</w:t>
      </w:r>
    </w:p>
    <w:p w14:paraId="131267E5"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44288612"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r w:rsidRPr="00E75889">
        <w:rPr>
          <w:sz w:val="22"/>
          <w:szCs w:val="22"/>
          <w:lang w:val="sr-Latn-RS" w:eastAsia="en-US"/>
        </w:rPr>
        <w:t>Poremećaj funkcije jetre</w:t>
      </w:r>
    </w:p>
    <w:p w14:paraId="61AC3E1F" w14:textId="084D8B71" w:rsidR="00EB75FD" w:rsidRPr="00E75889" w:rsidRDefault="00282BF1"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eastAsia="en-US"/>
        </w:rPr>
        <w:t xml:space="preserve">Lijek </w:t>
      </w:r>
      <w:r w:rsidR="00EB75FD" w:rsidRPr="00E75889">
        <w:rPr>
          <w:sz w:val="22"/>
          <w:szCs w:val="22"/>
          <w:lang w:val="sr-Latn-RS" w:eastAsia="en-US"/>
        </w:rPr>
        <w:t xml:space="preserve">Gilenya se ne smije primjenjivati kod pacijenata sa teškim poremećajem funkcije jetre (Child-Pugh klasa C) (vidjeti </w:t>
      </w:r>
      <w:r w:rsidRPr="00E75889">
        <w:rPr>
          <w:sz w:val="22"/>
          <w:szCs w:val="22"/>
          <w:lang w:val="sr-Latn-RS" w:eastAsia="en-US"/>
        </w:rPr>
        <w:t>dio</w:t>
      </w:r>
      <w:r w:rsidR="00EB75FD" w:rsidRPr="00E75889">
        <w:rPr>
          <w:sz w:val="22"/>
          <w:szCs w:val="22"/>
          <w:lang w:val="sr-Latn-RS" w:eastAsia="en-US"/>
        </w:rPr>
        <w:t xml:space="preserve"> 4.3). Iako nijesu potrebna podešavanja doze kod pacijenata sa blagim ili umjerenim poremećajem funkcije</w:t>
      </w:r>
      <w:r w:rsidR="00BF42F0" w:rsidRPr="00E75889">
        <w:rPr>
          <w:sz w:val="22"/>
          <w:szCs w:val="22"/>
          <w:lang w:val="sr-Latn-RS" w:eastAsia="en-US"/>
        </w:rPr>
        <w:t xml:space="preserve"> </w:t>
      </w:r>
      <w:r w:rsidR="00EB75FD" w:rsidRPr="00E75889">
        <w:rPr>
          <w:sz w:val="22"/>
          <w:szCs w:val="22"/>
          <w:lang w:val="sr-Latn-RS" w:eastAsia="en-US"/>
        </w:rPr>
        <w:t xml:space="preserve">jetre, potreban je oprez kada se započinje terapija kod ovih pacijenata (vidjeti </w:t>
      </w:r>
      <w:r w:rsidRPr="00E75889">
        <w:rPr>
          <w:sz w:val="22"/>
          <w:szCs w:val="22"/>
          <w:lang w:val="sr-Latn-RS" w:eastAsia="en-US"/>
        </w:rPr>
        <w:t>djelove</w:t>
      </w:r>
      <w:r w:rsidR="00EB75FD" w:rsidRPr="00E75889">
        <w:rPr>
          <w:sz w:val="22"/>
          <w:szCs w:val="22"/>
          <w:lang w:val="sr-Latn-RS" w:eastAsia="en-US"/>
        </w:rPr>
        <w:t xml:space="preserve"> </w:t>
      </w:r>
      <w:r w:rsidR="00EB75FD" w:rsidRPr="00E75889">
        <w:rPr>
          <w:sz w:val="22"/>
          <w:szCs w:val="22"/>
          <w:lang w:val="sr-Latn-RS"/>
        </w:rPr>
        <w:t>4.4 i 5.2).</w:t>
      </w:r>
    </w:p>
    <w:p w14:paraId="27D82672" w14:textId="77777777" w:rsidR="00EB75FD" w:rsidRPr="00E75889" w:rsidRDefault="00EB75FD" w:rsidP="00E75889">
      <w:pPr>
        <w:pStyle w:val="Bodytext20"/>
        <w:widowControl w:val="0"/>
        <w:shd w:val="clear" w:color="auto" w:fill="auto"/>
        <w:spacing w:line="240" w:lineRule="auto"/>
        <w:jc w:val="both"/>
        <w:rPr>
          <w:sz w:val="22"/>
          <w:szCs w:val="22"/>
          <w:lang w:val="sr-Latn-RS"/>
        </w:rPr>
      </w:pPr>
    </w:p>
    <w:p w14:paraId="2A47AE92" w14:textId="77777777" w:rsidR="00EB75FD" w:rsidRPr="00E75889" w:rsidRDefault="00EB75FD" w:rsidP="00E75889">
      <w:pPr>
        <w:pStyle w:val="Bodytext20"/>
        <w:widowControl w:val="0"/>
        <w:shd w:val="clear" w:color="auto" w:fill="auto"/>
        <w:spacing w:line="240" w:lineRule="auto"/>
        <w:jc w:val="both"/>
        <w:rPr>
          <w:sz w:val="22"/>
          <w:szCs w:val="22"/>
          <w:lang w:val="sr-Latn-RS"/>
        </w:rPr>
      </w:pPr>
      <w:r w:rsidRPr="00E75889">
        <w:rPr>
          <w:sz w:val="22"/>
          <w:szCs w:val="22"/>
          <w:lang w:val="sr-Latn-RS"/>
        </w:rPr>
        <w:t>Pedijatrijska populacija</w:t>
      </w:r>
    </w:p>
    <w:p w14:paraId="09770F58" w14:textId="41931D7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Bezbjednost i efikasnost primjene fingolimoda kod djece uzrasta ispod 10 godina nije utvrđena.</w:t>
      </w:r>
    </w:p>
    <w:p w14:paraId="37944E21" w14:textId="0F98C8F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Ni</w:t>
      </w:r>
      <w:r w:rsidR="00282BF1" w:rsidRPr="00E75889">
        <w:rPr>
          <w:sz w:val="22"/>
          <w:szCs w:val="22"/>
          <w:lang w:val="sr-Latn-RS"/>
        </w:rPr>
        <w:t>je</w:t>
      </w:r>
      <w:r w:rsidRPr="00E75889">
        <w:rPr>
          <w:sz w:val="22"/>
          <w:szCs w:val="22"/>
          <w:lang w:val="sr-Latn-RS"/>
        </w:rPr>
        <w:t xml:space="preserve">su dostupni podaci. </w:t>
      </w:r>
    </w:p>
    <w:p w14:paraId="4F861371" w14:textId="43DE4CAD"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Postoje veoma ograničeni podaci koji su trenutno dostupni za djecu uzrasta između 10-12 godina (vidjeti </w:t>
      </w:r>
      <w:r w:rsidR="00282BF1" w:rsidRPr="00E75889">
        <w:rPr>
          <w:sz w:val="22"/>
          <w:szCs w:val="22"/>
          <w:lang w:val="sr-Latn-RS"/>
        </w:rPr>
        <w:t>djelove</w:t>
      </w:r>
      <w:r w:rsidRPr="00E75889">
        <w:rPr>
          <w:sz w:val="22"/>
          <w:szCs w:val="22"/>
          <w:lang w:val="sr-Latn-RS"/>
        </w:rPr>
        <w:t xml:space="preserve"> 4.4, 4.8 i 5.1).</w:t>
      </w:r>
    </w:p>
    <w:p w14:paraId="65A4AC8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797B355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r w:rsidRPr="00E75889">
        <w:rPr>
          <w:sz w:val="22"/>
          <w:szCs w:val="22"/>
          <w:u w:val="single"/>
          <w:lang w:val="sr-Latn-RS"/>
        </w:rPr>
        <w:t>Način primjene</w:t>
      </w:r>
    </w:p>
    <w:p w14:paraId="06B95DD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p>
    <w:p w14:paraId="1050B1EF" w14:textId="77777777" w:rsidR="00EB75FD" w:rsidRPr="00E75889" w:rsidRDefault="00EB75FD" w:rsidP="00E75889">
      <w:pPr>
        <w:widowControl w:val="0"/>
        <w:jc w:val="both"/>
        <w:rPr>
          <w:sz w:val="22"/>
          <w:szCs w:val="22"/>
          <w:lang w:val="sr-Latn-RS" w:eastAsia="x-none"/>
        </w:rPr>
      </w:pPr>
      <w:r w:rsidRPr="00E75889">
        <w:rPr>
          <w:sz w:val="22"/>
          <w:szCs w:val="22"/>
          <w:lang w:val="sr-Latn-RS" w:eastAsia="x-none"/>
        </w:rPr>
        <w:t>Ovaj lijek se primjenjuje oralno.</w:t>
      </w:r>
    </w:p>
    <w:p w14:paraId="02C6C83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EFC784C" w14:textId="3EB63406" w:rsidR="00EB75FD" w:rsidRPr="00E75889" w:rsidRDefault="00282BF1"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eastAsia="en-US"/>
        </w:rPr>
        <w:t xml:space="preserve">Lijek </w:t>
      </w:r>
      <w:r w:rsidR="00EB75FD" w:rsidRPr="00E75889">
        <w:rPr>
          <w:sz w:val="22"/>
          <w:szCs w:val="22"/>
          <w:lang w:val="sr-Latn-RS" w:eastAsia="en-US"/>
        </w:rPr>
        <w:t xml:space="preserve">Gilenya može da se uzima sa hranom ili bez nje </w:t>
      </w:r>
      <w:r w:rsidR="00EB75FD" w:rsidRPr="00E75889">
        <w:rPr>
          <w:sz w:val="22"/>
          <w:szCs w:val="22"/>
          <w:lang w:val="sr-Latn-RS"/>
        </w:rPr>
        <w:t xml:space="preserve">(vidjeti </w:t>
      </w:r>
      <w:r w:rsidRPr="00E75889">
        <w:rPr>
          <w:sz w:val="22"/>
          <w:szCs w:val="22"/>
          <w:lang w:val="sr-Latn-RS"/>
        </w:rPr>
        <w:t>dio</w:t>
      </w:r>
      <w:r w:rsidR="00EB75FD" w:rsidRPr="00E75889">
        <w:rPr>
          <w:sz w:val="22"/>
          <w:szCs w:val="22"/>
          <w:lang w:val="sr-Latn-RS"/>
        </w:rPr>
        <w:t xml:space="preserve"> 5.2).</w:t>
      </w:r>
    </w:p>
    <w:p w14:paraId="569FAE9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6F8A89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Kapsule treba uvijek progutati cijele, bez prethodnog otvaranja.</w:t>
      </w:r>
    </w:p>
    <w:p w14:paraId="4C44C55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12D5388"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4.3. </w:t>
      </w:r>
      <w:r w:rsidR="00480FB1" w:rsidRPr="00E75889">
        <w:rPr>
          <w:b/>
          <w:bCs/>
          <w:sz w:val="22"/>
          <w:szCs w:val="22"/>
          <w:lang w:val="sr-Latn-RS"/>
        </w:rPr>
        <w:tab/>
      </w:r>
      <w:r w:rsidRPr="00E75889">
        <w:rPr>
          <w:b/>
          <w:bCs/>
          <w:sz w:val="22"/>
          <w:szCs w:val="22"/>
          <w:lang w:val="sr-Latn-RS"/>
        </w:rPr>
        <w:t>Kontraindikacije</w:t>
      </w:r>
    </w:p>
    <w:p w14:paraId="378B1551" w14:textId="77777777" w:rsidR="00EB75FD" w:rsidRPr="00E75889" w:rsidRDefault="00EB75FD" w:rsidP="00E75889">
      <w:pPr>
        <w:widowControl w:val="0"/>
        <w:tabs>
          <w:tab w:val="left" w:pos="540"/>
          <w:tab w:val="left" w:pos="569"/>
        </w:tabs>
        <w:jc w:val="both"/>
        <w:rPr>
          <w:b/>
          <w:bCs/>
          <w:sz w:val="22"/>
          <w:szCs w:val="22"/>
          <w:lang w:val="sr-Latn-RS"/>
        </w:rPr>
      </w:pPr>
    </w:p>
    <w:p w14:paraId="6B84AF94" w14:textId="779BE129"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Preosjetljivost na aktivnu supstancu ili bilo koju pomoćnu supstancu navedenu u </w:t>
      </w:r>
      <w:r w:rsidR="00282BF1" w:rsidRPr="00E75889">
        <w:rPr>
          <w:rFonts w:ascii="Times New Roman" w:hAnsi="Times New Roman"/>
          <w:bCs/>
          <w:sz w:val="22"/>
          <w:lang w:val="sr-Latn-RS"/>
        </w:rPr>
        <w:t>dijelu</w:t>
      </w:r>
      <w:r w:rsidRPr="00E75889">
        <w:rPr>
          <w:rFonts w:ascii="Times New Roman" w:hAnsi="Times New Roman"/>
          <w:bCs/>
          <w:sz w:val="22"/>
          <w:lang w:val="sr-Latn-RS"/>
        </w:rPr>
        <w:t xml:space="preserve"> 6.1.</w:t>
      </w:r>
    </w:p>
    <w:p w14:paraId="5C50B846" w14:textId="5521D911" w:rsidR="00EB75FD" w:rsidRPr="00E75889" w:rsidRDefault="00027241"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S</w:t>
      </w:r>
      <w:r w:rsidR="00EB75FD" w:rsidRPr="00E75889">
        <w:rPr>
          <w:rFonts w:ascii="Times New Roman" w:hAnsi="Times New Roman"/>
          <w:bCs/>
          <w:sz w:val="22"/>
          <w:lang w:val="sr-Latn-RS"/>
        </w:rPr>
        <w:t>indrom imunodeficijencije.</w:t>
      </w:r>
    </w:p>
    <w:p w14:paraId="36309AD3" w14:textId="77777777" w:rsidR="00177BA4" w:rsidRDefault="00EB75FD" w:rsidP="00177BA4">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Pacijenti sa povećanim rizikom od oportunističkih infekcija, uključujući imunokompromitovane pacijente (uključujući one koji trenutno primaju imunosupresivnu terapiju ili one koji su</w:t>
      </w:r>
      <w:r w:rsidR="00BF42F0" w:rsidRPr="00E75889">
        <w:rPr>
          <w:rFonts w:ascii="Times New Roman" w:hAnsi="Times New Roman"/>
          <w:bCs/>
          <w:sz w:val="22"/>
          <w:lang w:val="sr-Latn-RS"/>
        </w:rPr>
        <w:t xml:space="preserve"> </w:t>
      </w:r>
      <w:r w:rsidRPr="00E75889">
        <w:rPr>
          <w:rFonts w:ascii="Times New Roman" w:hAnsi="Times New Roman"/>
          <w:bCs/>
          <w:sz w:val="22"/>
          <w:lang w:val="sr-Latn-RS"/>
        </w:rPr>
        <w:t>imunokompromitovani zbog prethodne terapije).</w:t>
      </w:r>
    </w:p>
    <w:p w14:paraId="27711F7F" w14:textId="33507FA4" w:rsidR="00177BA4" w:rsidRPr="003B0530" w:rsidRDefault="00177BA4" w:rsidP="00177BA4">
      <w:pPr>
        <w:pStyle w:val="ListParagraph"/>
        <w:widowControl w:val="0"/>
        <w:numPr>
          <w:ilvl w:val="0"/>
          <w:numId w:val="18"/>
        </w:numPr>
        <w:ind w:left="426"/>
        <w:jc w:val="both"/>
        <w:rPr>
          <w:rFonts w:ascii="Times New Roman" w:hAnsi="Times New Roman"/>
          <w:bCs/>
          <w:sz w:val="22"/>
          <w:lang w:val="sr-Latn-RS"/>
        </w:rPr>
      </w:pPr>
      <w:r w:rsidRPr="003B0530">
        <w:rPr>
          <w:rFonts w:ascii="Times New Roman" w:hAnsi="Times New Roman"/>
          <w:bCs/>
          <w:sz w:val="22"/>
          <w:lang w:val="sr-Latn-RS"/>
        </w:rPr>
        <w:t>Pacijenti kod kojih se sumnja ili imaju potvrđenu progresivnu multifokalnu leukoencefalopatiju (PML) (vid</w:t>
      </w:r>
      <w:r w:rsidR="0018726B">
        <w:rPr>
          <w:rFonts w:ascii="Times New Roman" w:hAnsi="Times New Roman"/>
          <w:bCs/>
          <w:sz w:val="22"/>
          <w:lang w:val="sr-Latn-RS"/>
        </w:rPr>
        <w:t>j</w:t>
      </w:r>
      <w:r w:rsidRPr="003B0530">
        <w:rPr>
          <w:rFonts w:ascii="Times New Roman" w:hAnsi="Times New Roman"/>
          <w:bCs/>
          <w:sz w:val="22"/>
          <w:lang w:val="sr-Latn-RS"/>
        </w:rPr>
        <w:t xml:space="preserve">eti </w:t>
      </w:r>
      <w:r w:rsidR="004C71A8">
        <w:rPr>
          <w:rFonts w:ascii="Times New Roman" w:hAnsi="Times New Roman"/>
          <w:bCs/>
          <w:sz w:val="22"/>
          <w:lang w:val="sr-Latn-RS"/>
        </w:rPr>
        <w:t>dio</w:t>
      </w:r>
      <w:r w:rsidRPr="003B0530">
        <w:rPr>
          <w:rFonts w:ascii="Times New Roman" w:hAnsi="Times New Roman"/>
          <w:bCs/>
          <w:sz w:val="22"/>
          <w:lang w:val="sr-Latn-RS"/>
        </w:rPr>
        <w:t xml:space="preserve"> 4.4).</w:t>
      </w:r>
    </w:p>
    <w:p w14:paraId="48D60C25" w14:textId="619893DA"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Teške aktivne infekcije, aktivne hronične infekcije (hepatitis, tuberkuloza). </w:t>
      </w:r>
    </w:p>
    <w:p w14:paraId="569CD2D0" w14:textId="3A4761B8" w:rsidR="00EB75FD" w:rsidRPr="00E75889" w:rsidRDefault="00027241"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lastRenderedPageBreak/>
        <w:t>A</w:t>
      </w:r>
      <w:r w:rsidR="00EB75FD" w:rsidRPr="00E75889">
        <w:rPr>
          <w:rFonts w:ascii="Times New Roman" w:hAnsi="Times New Roman"/>
          <w:bCs/>
          <w:sz w:val="22"/>
          <w:lang w:val="sr-Latn-RS"/>
        </w:rPr>
        <w:t>ktivni maligniteti.</w:t>
      </w:r>
    </w:p>
    <w:p w14:paraId="59505A91" w14:textId="1B7F133F"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Tešk</w:t>
      </w:r>
      <w:r w:rsidR="00027241" w:rsidRPr="00E75889">
        <w:rPr>
          <w:rFonts w:ascii="Times New Roman" w:hAnsi="Times New Roman"/>
          <w:bCs/>
          <w:sz w:val="22"/>
          <w:lang w:val="sr-Latn-RS"/>
        </w:rPr>
        <w:t>o oštećenje funkcije</w:t>
      </w:r>
      <w:r w:rsidRPr="00E75889">
        <w:rPr>
          <w:rFonts w:ascii="Times New Roman" w:hAnsi="Times New Roman"/>
          <w:bCs/>
          <w:sz w:val="22"/>
          <w:lang w:val="sr-Latn-RS"/>
        </w:rPr>
        <w:t xml:space="preserve"> jetre (Child-Pugh klasa C). </w:t>
      </w:r>
    </w:p>
    <w:p w14:paraId="7AAF40D1" w14:textId="5796BD48"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Pacijenti sa infarktom miokarda (MI), nestabilnom anginom pektoris, moždanim udarom / tranzitornim ishemijskim napadom (TIA), dekompenzovanom srčanom insuficijencijom (koja zahtijeva hospitalizaciju) ili srčanom insuficijencijom klase III/IV prema NYHA klasifikaciji (engl. </w:t>
      </w:r>
      <w:r w:rsidRPr="00E75889">
        <w:rPr>
          <w:rFonts w:ascii="Times New Roman" w:hAnsi="Times New Roman"/>
          <w:bCs/>
          <w:i/>
          <w:iCs/>
          <w:sz w:val="22"/>
          <w:lang w:val="sr-Latn-RS"/>
        </w:rPr>
        <w:t>New York Heart Association</w:t>
      </w:r>
      <w:r w:rsidRPr="00E75889">
        <w:rPr>
          <w:rFonts w:ascii="Times New Roman" w:hAnsi="Times New Roman"/>
          <w:bCs/>
          <w:sz w:val="22"/>
          <w:lang w:val="sr-Latn-RS"/>
        </w:rPr>
        <w:t xml:space="preserve">) u toku prethodnih 6 mjeseci (vidjeti </w:t>
      </w:r>
      <w:r w:rsidR="00282BF1" w:rsidRPr="00E75889">
        <w:rPr>
          <w:rFonts w:ascii="Times New Roman" w:hAnsi="Times New Roman"/>
          <w:bCs/>
          <w:sz w:val="22"/>
          <w:lang w:val="sr-Latn-RS"/>
        </w:rPr>
        <w:t>dio</w:t>
      </w:r>
      <w:r w:rsidRPr="00E75889">
        <w:rPr>
          <w:rFonts w:ascii="Times New Roman" w:hAnsi="Times New Roman"/>
          <w:bCs/>
          <w:sz w:val="22"/>
          <w:lang w:val="sr-Latn-RS"/>
        </w:rPr>
        <w:t xml:space="preserve"> 4.4).</w:t>
      </w:r>
    </w:p>
    <w:p w14:paraId="30569174" w14:textId="63727A92"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Pacijenti sa teškim srčanim aritmijama koje zahtijevaju antiaritmičku terapiju antiaritmicima klase Ia ili klase III (vidjeti </w:t>
      </w:r>
      <w:r w:rsidR="00282BF1" w:rsidRPr="00E75889">
        <w:rPr>
          <w:rFonts w:ascii="Times New Roman" w:hAnsi="Times New Roman"/>
          <w:bCs/>
          <w:sz w:val="22"/>
          <w:lang w:val="sr-Latn-RS"/>
        </w:rPr>
        <w:t>dio</w:t>
      </w:r>
      <w:r w:rsidRPr="00E75889">
        <w:rPr>
          <w:rFonts w:ascii="Times New Roman" w:hAnsi="Times New Roman"/>
          <w:bCs/>
          <w:sz w:val="22"/>
          <w:lang w:val="sr-Latn-RS"/>
        </w:rPr>
        <w:t xml:space="preserve"> 4.4).</w:t>
      </w:r>
    </w:p>
    <w:p w14:paraId="0416EEFA" w14:textId="316A60DF"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Pacijenti sa atrioventrikularnim (AV) blokom drugog stepena Mobitz tip II ili AV blokom trećeg stepena ili sa sick-sinus sindromom, ukoliko ne nose pejsmejker (engl. </w:t>
      </w:r>
      <w:r w:rsidRPr="00E75889">
        <w:rPr>
          <w:rFonts w:ascii="Times New Roman" w:hAnsi="Times New Roman"/>
          <w:bCs/>
          <w:i/>
          <w:sz w:val="22"/>
          <w:lang w:val="sr-Latn-RS"/>
        </w:rPr>
        <w:t>pacemaker</w:t>
      </w:r>
      <w:r w:rsidRPr="00E75889">
        <w:rPr>
          <w:rFonts w:ascii="Times New Roman" w:hAnsi="Times New Roman"/>
          <w:bCs/>
          <w:sz w:val="22"/>
          <w:lang w:val="sr-Latn-RS"/>
        </w:rPr>
        <w:t xml:space="preserve">) (vidjeti </w:t>
      </w:r>
      <w:r w:rsidR="00282BF1" w:rsidRPr="00E75889">
        <w:rPr>
          <w:rFonts w:ascii="Times New Roman" w:hAnsi="Times New Roman"/>
          <w:bCs/>
          <w:sz w:val="22"/>
          <w:lang w:val="sr-Latn-RS"/>
        </w:rPr>
        <w:t>dio</w:t>
      </w:r>
      <w:r w:rsidRPr="00E75889">
        <w:rPr>
          <w:rFonts w:ascii="Times New Roman" w:hAnsi="Times New Roman"/>
          <w:bCs/>
          <w:sz w:val="22"/>
          <w:lang w:val="sr-Latn-RS"/>
        </w:rPr>
        <w:t xml:space="preserve"> 4.4).</w:t>
      </w:r>
    </w:p>
    <w:p w14:paraId="7EDAAC81" w14:textId="7CEDDCA9" w:rsidR="00EB75FD"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Pacijenti sa početnom vrijednošću QTc intervala ≥ 500 msec (vidjeti </w:t>
      </w:r>
      <w:r w:rsidR="00282BF1" w:rsidRPr="00E75889">
        <w:rPr>
          <w:rFonts w:ascii="Times New Roman" w:hAnsi="Times New Roman"/>
          <w:bCs/>
          <w:sz w:val="22"/>
          <w:lang w:val="sr-Latn-RS"/>
        </w:rPr>
        <w:t>dio</w:t>
      </w:r>
      <w:r w:rsidRPr="00E75889">
        <w:rPr>
          <w:rFonts w:ascii="Times New Roman" w:hAnsi="Times New Roman"/>
          <w:bCs/>
          <w:sz w:val="22"/>
          <w:lang w:val="sr-Latn-RS"/>
        </w:rPr>
        <w:t xml:space="preserve"> 4.4).</w:t>
      </w:r>
    </w:p>
    <w:p w14:paraId="42EA36F0" w14:textId="5EA9149F" w:rsidR="0072020E" w:rsidRPr="00E75889" w:rsidRDefault="00EB75FD" w:rsidP="00E75889">
      <w:pPr>
        <w:pStyle w:val="ListParagraph"/>
        <w:widowControl w:val="0"/>
        <w:numPr>
          <w:ilvl w:val="0"/>
          <w:numId w:val="18"/>
        </w:numPr>
        <w:ind w:left="426"/>
        <w:jc w:val="both"/>
        <w:rPr>
          <w:rFonts w:ascii="Times New Roman" w:hAnsi="Times New Roman"/>
          <w:bCs/>
          <w:sz w:val="22"/>
          <w:lang w:val="sr-Latn-RS"/>
        </w:rPr>
      </w:pPr>
      <w:r w:rsidRPr="00E75889">
        <w:rPr>
          <w:rFonts w:ascii="Times New Roman" w:hAnsi="Times New Roman"/>
          <w:bCs/>
          <w:sz w:val="22"/>
          <w:lang w:val="sr-Latn-RS"/>
        </w:rPr>
        <w:t xml:space="preserve">Tokom trudnoće i kod žena u reproduktivnom periodu koje ne koriste efektivnu kontracepciju (vidjeti </w:t>
      </w:r>
      <w:r w:rsidR="00282BF1" w:rsidRPr="00E75889">
        <w:rPr>
          <w:rFonts w:ascii="Times New Roman" w:hAnsi="Times New Roman"/>
          <w:bCs/>
          <w:sz w:val="22"/>
          <w:lang w:val="sr-Latn-RS"/>
        </w:rPr>
        <w:t>djelove</w:t>
      </w:r>
      <w:r w:rsidRPr="00E75889">
        <w:rPr>
          <w:rFonts w:ascii="Times New Roman" w:hAnsi="Times New Roman"/>
          <w:bCs/>
          <w:sz w:val="22"/>
          <w:lang w:val="sr-Latn-RS"/>
        </w:rPr>
        <w:t xml:space="preserve"> 4.4 i 4.6).</w:t>
      </w:r>
    </w:p>
    <w:p w14:paraId="65EBAE01" w14:textId="77777777" w:rsidR="00EB75FD" w:rsidRPr="00E75889" w:rsidRDefault="00EB75FD" w:rsidP="00E75889">
      <w:pPr>
        <w:widowControl w:val="0"/>
        <w:tabs>
          <w:tab w:val="left" w:pos="540"/>
          <w:tab w:val="left" w:pos="569"/>
        </w:tabs>
        <w:jc w:val="both"/>
        <w:rPr>
          <w:bCs/>
          <w:sz w:val="22"/>
          <w:szCs w:val="22"/>
          <w:lang w:val="sr-Latn-RS"/>
        </w:rPr>
      </w:pPr>
    </w:p>
    <w:p w14:paraId="2E4A6750" w14:textId="77777777"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 xml:space="preserve">4.4. </w:t>
      </w:r>
      <w:r w:rsidR="00480FB1" w:rsidRPr="00E75889">
        <w:rPr>
          <w:b/>
          <w:bCs/>
          <w:sz w:val="22"/>
          <w:szCs w:val="22"/>
          <w:lang w:val="sr-Latn-RS"/>
        </w:rPr>
        <w:tab/>
      </w:r>
      <w:r w:rsidRPr="00E75889">
        <w:rPr>
          <w:b/>
          <w:bCs/>
          <w:sz w:val="22"/>
          <w:szCs w:val="22"/>
          <w:lang w:val="sr-Latn-RS"/>
        </w:rPr>
        <w:t>Posebna upozorenja i mjere opreza pri upotrebi lijeka</w:t>
      </w:r>
    </w:p>
    <w:p w14:paraId="776A29FF" w14:textId="77777777" w:rsidR="0072020E" w:rsidRPr="00E75889" w:rsidRDefault="0072020E" w:rsidP="00E75889">
      <w:pPr>
        <w:widowControl w:val="0"/>
        <w:tabs>
          <w:tab w:val="left" w:pos="540"/>
          <w:tab w:val="left" w:pos="569"/>
        </w:tabs>
        <w:jc w:val="both"/>
        <w:rPr>
          <w:bCs/>
          <w:sz w:val="22"/>
          <w:szCs w:val="22"/>
          <w:lang w:val="sr-Latn-RS"/>
        </w:rPr>
      </w:pPr>
    </w:p>
    <w:p w14:paraId="03E26D63" w14:textId="410E50B5" w:rsidR="00EB75FD" w:rsidRPr="00E75889" w:rsidRDefault="00EB75FD" w:rsidP="00E75889">
      <w:pPr>
        <w:pStyle w:val="Bodytext1"/>
        <w:widowControl w:val="0"/>
        <w:shd w:val="clear" w:color="auto" w:fill="auto"/>
        <w:spacing w:before="0" w:after="0" w:line="240" w:lineRule="auto"/>
        <w:ind w:firstLine="0"/>
        <w:jc w:val="both"/>
        <w:rPr>
          <w:rStyle w:val="Bodytext15"/>
          <w:sz w:val="22"/>
          <w:szCs w:val="22"/>
          <w:lang w:val="sr-Latn-RS" w:eastAsia="en-US"/>
        </w:rPr>
      </w:pPr>
      <w:r w:rsidRPr="00E75889">
        <w:rPr>
          <w:rStyle w:val="Bodytext15"/>
          <w:sz w:val="22"/>
          <w:szCs w:val="22"/>
          <w:lang w:val="sr-Latn-RS" w:eastAsia="en-US"/>
        </w:rPr>
        <w:t>Bradiaritmija</w:t>
      </w:r>
    </w:p>
    <w:p w14:paraId="5D3AF882" w14:textId="77777777" w:rsidR="00F65898" w:rsidRPr="00E75889" w:rsidRDefault="00F65898" w:rsidP="00E75889">
      <w:pPr>
        <w:pStyle w:val="Bodytext1"/>
        <w:widowControl w:val="0"/>
        <w:shd w:val="clear" w:color="auto" w:fill="auto"/>
        <w:spacing w:before="0" w:after="0" w:line="240" w:lineRule="auto"/>
        <w:ind w:firstLine="0"/>
        <w:jc w:val="both"/>
        <w:rPr>
          <w:sz w:val="22"/>
          <w:szCs w:val="22"/>
          <w:lang w:val="sr-Latn-RS" w:eastAsia="en-US"/>
        </w:rPr>
      </w:pPr>
    </w:p>
    <w:p w14:paraId="208B0F30" w14:textId="6C5B8B7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Započinjanje terapije dovodi do prolaznog usporavanja </w:t>
      </w:r>
      <w:r w:rsidR="008D44FE" w:rsidRPr="00E75889">
        <w:rPr>
          <w:sz w:val="22"/>
          <w:szCs w:val="22"/>
          <w:lang w:val="sr-Latn-RS" w:eastAsia="en-US"/>
        </w:rPr>
        <w:t xml:space="preserve">srčanog </w:t>
      </w:r>
      <w:r w:rsidRPr="00E75889">
        <w:rPr>
          <w:sz w:val="22"/>
          <w:szCs w:val="22"/>
          <w:lang w:val="sr-Latn-RS" w:eastAsia="en-US"/>
        </w:rPr>
        <w:t xml:space="preserve">pulsa, a može da bude povezano i sa odlaganjem u atrioventrikularnom sprovođenju, što uključuje pojavu izolovanih slučajeva prolaznog kompletnog atrioventrikularnog bloka, koji se spontano povukao (vidjeti </w:t>
      </w:r>
      <w:r w:rsidR="00282BF1" w:rsidRPr="00E75889">
        <w:rPr>
          <w:sz w:val="22"/>
          <w:szCs w:val="22"/>
          <w:lang w:val="sr-Latn-RS" w:eastAsia="en-US"/>
        </w:rPr>
        <w:t>djelove</w:t>
      </w:r>
      <w:r w:rsidRPr="00E75889">
        <w:rPr>
          <w:sz w:val="22"/>
          <w:szCs w:val="22"/>
          <w:lang w:val="sr-Latn-RS" w:eastAsia="en-US"/>
        </w:rPr>
        <w:t xml:space="preserve"> 4.8 i 5.1).</w:t>
      </w:r>
    </w:p>
    <w:p w14:paraId="11D25BF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E1EB6B2" w14:textId="2048D23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Nakon prve doze, puls počinje da opada u toku 1</w:t>
      </w:r>
      <w:r w:rsidR="00570214" w:rsidRPr="00E75889">
        <w:rPr>
          <w:sz w:val="22"/>
          <w:szCs w:val="22"/>
          <w:lang w:val="sr-Latn-RS" w:eastAsia="en-US"/>
        </w:rPr>
        <w:t xml:space="preserve"> sata</w:t>
      </w:r>
      <w:r w:rsidRPr="00E75889">
        <w:rPr>
          <w:sz w:val="22"/>
          <w:szCs w:val="22"/>
          <w:lang w:val="sr-Latn-RS" w:eastAsia="en-US"/>
        </w:rPr>
        <w:t xml:space="preserve"> i maksimalno opada u toku 6 </w:t>
      </w:r>
      <w:r w:rsidR="00570214" w:rsidRPr="00E75889">
        <w:rPr>
          <w:sz w:val="22"/>
          <w:szCs w:val="22"/>
          <w:lang w:val="sr-Latn-RS" w:eastAsia="en-US"/>
        </w:rPr>
        <w:t>sati</w:t>
      </w:r>
      <w:r w:rsidRPr="00E75889">
        <w:rPr>
          <w:sz w:val="22"/>
          <w:szCs w:val="22"/>
          <w:lang w:val="sr-Latn-RS" w:eastAsia="en-US"/>
        </w:rPr>
        <w:t xml:space="preserve">. Ovaj efekat nakon doze traje tokom narednh nekoliko dana, mada obično u blažem obliku, i najčešće se smanjuje tokom narednih nedjelja. Sa nastavkom uzimanja lijeka, prosječna vrijednost pulsa se vraća na početne vrijednosti u toku 1 mjeseca. Međutim, kod pojedinih pacijenata, postoji mogućnost da se puls ne vrati na početnu vrijednost na kraju prvog mjeseca. Poremećaji sprovođenja su tipično prolazni i asimptomatski. Obično nijesu zahtijevali terapiju i nestajali su u toku prvih 24 </w:t>
      </w:r>
      <w:r w:rsidR="008D44FE" w:rsidRPr="00E75889">
        <w:rPr>
          <w:sz w:val="22"/>
          <w:szCs w:val="22"/>
          <w:lang w:val="sr-Latn-RS" w:eastAsia="en-US"/>
        </w:rPr>
        <w:t>sata</w:t>
      </w:r>
      <w:r w:rsidRPr="00E75889">
        <w:rPr>
          <w:sz w:val="22"/>
          <w:szCs w:val="22"/>
          <w:lang w:val="sr-Latn-RS" w:eastAsia="en-US"/>
        </w:rPr>
        <w:t xml:space="preserve"> terapije. Ako je potrebno, smanjenje pulsa izazvano fingolimodom se može liječiti parenteralnom primjenom atropina ili izoprenalina.</w:t>
      </w:r>
      <w:r w:rsidR="00BF42F0" w:rsidRPr="00E75889">
        <w:rPr>
          <w:sz w:val="22"/>
          <w:szCs w:val="22"/>
          <w:lang w:val="sr-Latn-RS" w:eastAsia="en-US"/>
        </w:rPr>
        <w:t xml:space="preserve"> </w:t>
      </w:r>
    </w:p>
    <w:p w14:paraId="0B53ABB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3EEAE1F" w14:textId="367C4E3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Svim pacijentima treba da bude urađen EKG i izmjeren krvni pritisak prije i 6 </w:t>
      </w:r>
      <w:r w:rsidR="00570214" w:rsidRPr="00E75889">
        <w:rPr>
          <w:sz w:val="22"/>
          <w:szCs w:val="22"/>
          <w:lang w:val="sr-Latn-RS" w:eastAsia="en-US"/>
        </w:rPr>
        <w:t>sati</w:t>
      </w:r>
      <w:r w:rsidRPr="00E75889">
        <w:rPr>
          <w:sz w:val="22"/>
          <w:szCs w:val="22"/>
          <w:lang w:val="sr-Latn-RS" w:eastAsia="en-US"/>
        </w:rPr>
        <w:t xml:space="preserve"> poslije prve doze lijeka Gilenya. Sve pacijente treba pratiti 6 </w:t>
      </w:r>
      <w:r w:rsidR="00570214" w:rsidRPr="00E75889">
        <w:rPr>
          <w:sz w:val="22"/>
          <w:szCs w:val="22"/>
          <w:lang w:val="sr-Latn-RS" w:eastAsia="en-US"/>
        </w:rPr>
        <w:t>sati</w:t>
      </w:r>
      <w:r w:rsidRPr="00E75889">
        <w:rPr>
          <w:sz w:val="22"/>
          <w:szCs w:val="22"/>
          <w:lang w:val="sr-Latn-RS" w:eastAsia="en-US"/>
        </w:rPr>
        <w:t xml:space="preserve"> zbog znakova i simptoma bradikardije uz mjerenje </w:t>
      </w:r>
      <w:r w:rsidR="008D44FE" w:rsidRPr="00E75889">
        <w:rPr>
          <w:sz w:val="22"/>
          <w:szCs w:val="22"/>
          <w:lang w:val="sr-Latn-RS" w:eastAsia="en-US"/>
        </w:rPr>
        <w:t xml:space="preserve">srčanog </w:t>
      </w:r>
      <w:r w:rsidRPr="00E75889">
        <w:rPr>
          <w:sz w:val="22"/>
          <w:szCs w:val="22"/>
          <w:lang w:val="sr-Latn-RS" w:eastAsia="en-US"/>
        </w:rPr>
        <w:t>pulsa i krvnog pririska na sat vremena. Preporučuje se kontinuirani (</w:t>
      </w:r>
      <w:r w:rsidRPr="00E75889">
        <w:rPr>
          <w:i/>
          <w:sz w:val="22"/>
          <w:szCs w:val="22"/>
          <w:lang w:val="sr-Latn-RS" w:eastAsia="en-US"/>
        </w:rPr>
        <w:t>real time</w:t>
      </w:r>
      <w:r w:rsidRPr="00E75889">
        <w:rPr>
          <w:sz w:val="22"/>
          <w:szCs w:val="22"/>
          <w:lang w:val="sr-Latn-RS" w:eastAsia="en-US"/>
        </w:rPr>
        <w:t xml:space="preserve">) EKG monitoring tokom ovog perioda od 6 </w:t>
      </w:r>
      <w:r w:rsidR="00570214" w:rsidRPr="00E75889">
        <w:rPr>
          <w:sz w:val="22"/>
          <w:szCs w:val="22"/>
          <w:lang w:val="sr-Latn-RS" w:eastAsia="en-US"/>
        </w:rPr>
        <w:t>sati</w:t>
      </w:r>
      <w:r w:rsidRPr="00E75889">
        <w:rPr>
          <w:sz w:val="22"/>
          <w:szCs w:val="22"/>
          <w:lang w:val="sr-Latn-RS" w:eastAsia="en-US"/>
        </w:rPr>
        <w:t>.</w:t>
      </w:r>
    </w:p>
    <w:p w14:paraId="169AA8A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BBE466F" w14:textId="716E1406"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Preporučuju se iste mjere opreza kao kod prve doze kada pacijenti prelaze sa dnevne doze od 0,25 mg na 0,5 mg. </w:t>
      </w:r>
    </w:p>
    <w:p w14:paraId="7DA1137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773F7D3" w14:textId="59D1209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Ako po davanju doze dođe do pojave simptoma povezanih sa bradiaritmijom, treba primijeniti prikladnu terapiju, i treba nastaviti sa praćenjem sve dok</w:t>
      </w:r>
      <w:r w:rsidR="00C839B7" w:rsidRPr="00E75889">
        <w:rPr>
          <w:sz w:val="22"/>
          <w:szCs w:val="22"/>
          <w:lang w:val="sr-Latn-RS" w:eastAsia="en-US"/>
        </w:rPr>
        <w:t xml:space="preserve"> se</w:t>
      </w:r>
      <w:r w:rsidRPr="00E75889">
        <w:rPr>
          <w:sz w:val="22"/>
          <w:szCs w:val="22"/>
          <w:lang w:val="sr-Latn-RS" w:eastAsia="en-US"/>
        </w:rPr>
        <w:t xml:space="preserve"> ovi simptomi ne </w:t>
      </w:r>
      <w:r w:rsidR="00570214" w:rsidRPr="00E75889">
        <w:rPr>
          <w:sz w:val="22"/>
          <w:szCs w:val="22"/>
          <w:lang w:val="sr-Latn-RS" w:eastAsia="en-US"/>
        </w:rPr>
        <w:t>povuku</w:t>
      </w:r>
      <w:r w:rsidRPr="00E75889">
        <w:rPr>
          <w:sz w:val="22"/>
          <w:szCs w:val="22"/>
          <w:lang w:val="sr-Latn-RS" w:eastAsia="en-US"/>
        </w:rPr>
        <w:t>. Ako je pacijentu potrebno davati ljekove tokom praćenja prve doze, treba nastaviti praćenje preko noći u medicinskoj ustanovi, a praćenje prve doze treba ponoviti poslije druge doze lijeka Gilenya.</w:t>
      </w:r>
    </w:p>
    <w:p w14:paraId="26F7136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FB0F1CB" w14:textId="46DB484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Ako je puls najniži u 6. satu od uzimanja prve doze (ukazujući na to da se maksimalni farmakodinamski efekat na srce još uvek nije manifestovao), praćenje treba produžiti na bar još 2 </w:t>
      </w:r>
      <w:r w:rsidR="00570214" w:rsidRPr="00E75889">
        <w:rPr>
          <w:sz w:val="22"/>
          <w:szCs w:val="22"/>
          <w:lang w:val="sr-Latn-RS" w:eastAsia="en-US"/>
        </w:rPr>
        <w:t>sata</w:t>
      </w:r>
      <w:r w:rsidRPr="00E75889">
        <w:rPr>
          <w:sz w:val="22"/>
          <w:szCs w:val="22"/>
          <w:lang w:val="sr-Latn-RS" w:eastAsia="en-US"/>
        </w:rPr>
        <w:t xml:space="preserve"> i dok srčana frekvenca opet ne poraste. </w:t>
      </w:r>
      <w:r w:rsidRPr="00E75889">
        <w:rPr>
          <w:sz w:val="22"/>
          <w:szCs w:val="22"/>
          <w:lang w:val="sr-Latn-RS"/>
        </w:rPr>
        <w:t xml:space="preserve">Dodatno, ako je poslije 6 sati srčana frekvenca &lt; 45 otkucaja u minuti kod odraslih, &lt;55 otkucaja u minuti kod pedijatrijskih pacijenata uzrasta 12 godina i starijih, ili &lt;60 otkucaja u minuti kod pedijatrijskih pacijenata uzrasta od 10 do ispod 12 godina, ili EKG pokazuje novonastali AV blok drugog ili višeg stepena ili je QTc interval ≥ 500 milisekundi, neophodno je sprovesti produženi nadzor (bar tokom cijele noći), i dok se nalazi ne stabilizuju. </w:t>
      </w:r>
      <w:r w:rsidRPr="00E75889">
        <w:rPr>
          <w:sz w:val="22"/>
          <w:szCs w:val="22"/>
          <w:lang w:val="sr-Latn-RS" w:eastAsia="en-US"/>
        </w:rPr>
        <w:t>Pojava AV bloka trećeg stepena u bilo kom periodu takođe zahtijeva produženo praćenje (barem preko noći).</w:t>
      </w:r>
      <w:r w:rsidR="00BF42F0" w:rsidRPr="00E75889">
        <w:rPr>
          <w:sz w:val="22"/>
          <w:szCs w:val="22"/>
          <w:lang w:val="sr-Latn-RS" w:eastAsia="en-US"/>
        </w:rPr>
        <w:t xml:space="preserve"> </w:t>
      </w:r>
    </w:p>
    <w:p w14:paraId="7238F79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E7F965B" w14:textId="1DB126F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Uticaj na srčanu frekvencu i atrioventrikularnu sprovodljivost može se ponovo javiti pri ponovnom uvođenju fingolimoda u terapiju, zavisno od vremena prekida terapije i vremena </w:t>
      </w:r>
      <w:r w:rsidR="00570214" w:rsidRPr="00E75889">
        <w:rPr>
          <w:sz w:val="22"/>
          <w:szCs w:val="22"/>
          <w:lang w:val="sr-Latn-RS"/>
        </w:rPr>
        <w:t xml:space="preserve">proteklog </w:t>
      </w:r>
      <w:r w:rsidRPr="00E75889">
        <w:rPr>
          <w:sz w:val="22"/>
          <w:szCs w:val="22"/>
          <w:lang w:val="sr-Latn-RS"/>
        </w:rPr>
        <w:t xml:space="preserve">od početka </w:t>
      </w:r>
      <w:r w:rsidRPr="00E75889">
        <w:rPr>
          <w:sz w:val="22"/>
          <w:szCs w:val="22"/>
          <w:lang w:val="sr-Latn-RS"/>
        </w:rPr>
        <w:lastRenderedPageBreak/>
        <w:t xml:space="preserve">terapije fingolimodom. Preporučuje se isti nadzor poslije prve doze kao i na početku terapije kada se terapija prekida (vidjeti </w:t>
      </w:r>
      <w:r w:rsidR="00282BF1" w:rsidRPr="00E75889">
        <w:rPr>
          <w:sz w:val="22"/>
          <w:szCs w:val="22"/>
          <w:lang w:val="sr-Latn-RS"/>
        </w:rPr>
        <w:t>dio</w:t>
      </w:r>
      <w:r w:rsidRPr="00E75889">
        <w:rPr>
          <w:sz w:val="22"/>
          <w:szCs w:val="22"/>
          <w:lang w:val="sr-Latn-RS"/>
        </w:rPr>
        <w:t xml:space="preserve"> 4.2). </w:t>
      </w:r>
    </w:p>
    <w:p w14:paraId="4FB7D89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AFC9675" w14:textId="47498A7A" w:rsidR="00EB75FD" w:rsidRPr="00E75889" w:rsidRDefault="00EB75FD" w:rsidP="00E75889">
      <w:pPr>
        <w:widowControl w:val="0"/>
        <w:spacing w:line="260" w:lineRule="exact"/>
        <w:jc w:val="both"/>
        <w:rPr>
          <w:sz w:val="22"/>
          <w:szCs w:val="22"/>
          <w:lang w:val="sr-Latn-RS"/>
        </w:rPr>
      </w:pPr>
      <w:r w:rsidRPr="00E75889">
        <w:rPr>
          <w:sz w:val="22"/>
          <w:szCs w:val="22"/>
          <w:lang w:val="sr-Latn-RS"/>
        </w:rPr>
        <w:t xml:space="preserve">Kod odraslih pacijenata liječenih fingolimodom prijavljeni su veoma rijetki slučajevi inverzije T-talasa. U slučaju inverzije T-talasa ljekar koji je propisao lijek treba </w:t>
      </w:r>
      <w:r w:rsidR="008B3CFC" w:rsidRPr="00E75889">
        <w:rPr>
          <w:sz w:val="22"/>
          <w:szCs w:val="22"/>
          <w:lang w:val="sr-Latn-RS"/>
        </w:rPr>
        <w:t xml:space="preserve">da provjeri </w:t>
      </w:r>
      <w:r w:rsidRPr="00E75889">
        <w:rPr>
          <w:sz w:val="22"/>
          <w:szCs w:val="22"/>
          <w:lang w:val="sr-Latn-RS"/>
        </w:rPr>
        <w:t>da nema povezanih znakova ili simptoma ishemije miokarda. Ukoliko se sumnja na ishemiju miokarda, preporučuje se da se zatraži savjet kardiologa.</w:t>
      </w:r>
    </w:p>
    <w:p w14:paraId="2724E78A" w14:textId="77777777" w:rsidR="00EB75FD" w:rsidRPr="00E75889" w:rsidRDefault="00EB75FD" w:rsidP="00E75889">
      <w:pPr>
        <w:widowControl w:val="0"/>
        <w:spacing w:line="260" w:lineRule="exact"/>
        <w:jc w:val="both"/>
        <w:rPr>
          <w:sz w:val="22"/>
          <w:szCs w:val="22"/>
          <w:lang w:val="sr-Latn-RS"/>
        </w:rPr>
      </w:pPr>
    </w:p>
    <w:p w14:paraId="3F795F79" w14:textId="48CF6FA6" w:rsidR="00EB75FD" w:rsidRPr="00E75889" w:rsidRDefault="00EB75FD" w:rsidP="00E75889">
      <w:pPr>
        <w:widowControl w:val="0"/>
        <w:spacing w:line="260" w:lineRule="exact"/>
        <w:jc w:val="both"/>
        <w:rPr>
          <w:sz w:val="22"/>
          <w:szCs w:val="22"/>
          <w:lang w:val="sr-Latn-RS"/>
        </w:rPr>
      </w:pPr>
      <w:r w:rsidRPr="00E75889">
        <w:rPr>
          <w:sz w:val="22"/>
          <w:szCs w:val="22"/>
          <w:lang w:val="sr-Latn-RS"/>
        </w:rPr>
        <w:t xml:space="preserve">Zbog rizika od ozbiljnih poremećaja srčanog ritma ili izraženih bradikardija, lijek Gilenya se ne smije primjenjivati kod pacijenata sa sino-atrijalnim srčanim blokom, sa simptomatskom bradikardijom, i rekurentnom sinkopom ili srčanim zastojem u anamnezi, ili kod pacijenata sa značajnim produženjem QT intervala (QTc &gt; 470 milisekundi [odrasle osobe ženskog pola], QTc &gt;460 </w:t>
      </w:r>
      <w:r w:rsidR="008D44FE" w:rsidRPr="00E75889">
        <w:rPr>
          <w:sz w:val="22"/>
          <w:szCs w:val="22"/>
          <w:lang w:val="sr-Latn-RS"/>
        </w:rPr>
        <w:t>milisekundi</w:t>
      </w:r>
      <w:r w:rsidRPr="00E75889">
        <w:rPr>
          <w:sz w:val="22"/>
          <w:szCs w:val="22"/>
          <w:lang w:val="sr-Latn-RS"/>
        </w:rPr>
        <w:t xml:space="preserve"> [djeca ženskog pola]</w:t>
      </w:r>
      <w:r w:rsidR="00BF42F0" w:rsidRPr="00E75889">
        <w:rPr>
          <w:sz w:val="22"/>
          <w:szCs w:val="22"/>
          <w:lang w:val="sr-Latn-RS"/>
        </w:rPr>
        <w:t xml:space="preserve"> </w:t>
      </w:r>
      <w:r w:rsidRPr="00E75889">
        <w:rPr>
          <w:sz w:val="22"/>
          <w:szCs w:val="22"/>
          <w:lang w:val="sr-Latn-RS"/>
        </w:rPr>
        <w:t xml:space="preserve">ili &gt; 450 milisekundi [odrasle osobe i djeca muškog pola]), nekontrolisanom hipertenzijom ili teškom apneom u toku spavanja (vidjeti takođe </w:t>
      </w:r>
      <w:r w:rsidR="00282BF1" w:rsidRPr="00E75889">
        <w:rPr>
          <w:sz w:val="22"/>
          <w:szCs w:val="22"/>
          <w:lang w:val="sr-Latn-RS"/>
        </w:rPr>
        <w:t>dio</w:t>
      </w:r>
      <w:r w:rsidRPr="00E75889">
        <w:rPr>
          <w:sz w:val="22"/>
          <w:szCs w:val="22"/>
          <w:lang w:val="sr-Latn-RS"/>
        </w:rPr>
        <w:t xml:space="preserve"> 4.3). Kod ovih pacijenata, terapiju lijekom Gilenya treba razmatrati samo ako </w:t>
      </w:r>
      <w:r w:rsidR="00AD4D0F" w:rsidRPr="00E75889">
        <w:rPr>
          <w:sz w:val="22"/>
          <w:szCs w:val="22"/>
          <w:lang w:val="sr-Latn-RS"/>
        </w:rPr>
        <w:t>očekivana</w:t>
      </w:r>
      <w:r w:rsidRPr="00E75889">
        <w:rPr>
          <w:sz w:val="22"/>
          <w:szCs w:val="22"/>
          <w:lang w:val="sr-Latn-RS"/>
        </w:rPr>
        <w:t xml:space="preserve"> korist prevazilazi potencijalne rizike i potražiti savjet od kardiologa prije započinjanja terapije da bi se odredilo najprikladnije praćenje pacijenta. Za početak terapije se preporučuje nadzor bar tokom cijele noći (vidjeti takođe </w:t>
      </w:r>
      <w:r w:rsidR="00282BF1" w:rsidRPr="00E75889">
        <w:rPr>
          <w:sz w:val="22"/>
          <w:szCs w:val="22"/>
          <w:lang w:val="sr-Latn-RS"/>
        </w:rPr>
        <w:t>dio</w:t>
      </w:r>
      <w:r w:rsidRPr="00E75889">
        <w:rPr>
          <w:sz w:val="22"/>
          <w:szCs w:val="22"/>
          <w:lang w:val="sr-Latn-RS"/>
        </w:rPr>
        <w:t xml:space="preserve"> 4.5).</w:t>
      </w:r>
    </w:p>
    <w:p w14:paraId="2E5070C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F03A1F7" w14:textId="7B22EF26" w:rsidR="00EB75FD" w:rsidRPr="00E75889" w:rsidRDefault="00EB75FD" w:rsidP="00E75889">
      <w:pPr>
        <w:widowControl w:val="0"/>
        <w:tabs>
          <w:tab w:val="center" w:pos="4536"/>
          <w:tab w:val="right" w:pos="9072"/>
        </w:tabs>
        <w:jc w:val="both"/>
        <w:rPr>
          <w:sz w:val="22"/>
          <w:szCs w:val="22"/>
          <w:lang w:val="sr-Latn-RS"/>
        </w:rPr>
      </w:pPr>
      <w:r w:rsidRPr="00E75889">
        <w:rPr>
          <w:sz w:val="22"/>
          <w:szCs w:val="22"/>
          <w:lang w:val="sr-Latn-RS"/>
        </w:rPr>
        <w:t xml:space="preserve">Fingolimod nije ispitivan kod pacijenata sa aritmijama koje zahtijevaju terapiju antiaritmicima klase Ia (npr. hinidin, dizopiramid) ili klase III (npr. amjodaron, sotalol). Antiaritmici klase Ia i klase III povezani su sa slučajevima </w:t>
      </w:r>
      <w:r w:rsidRPr="00E75889">
        <w:rPr>
          <w:i/>
          <w:sz w:val="22"/>
          <w:szCs w:val="22"/>
          <w:lang w:val="sr-Latn-RS"/>
        </w:rPr>
        <w:t>torsades de pointes</w:t>
      </w:r>
      <w:r w:rsidRPr="00E75889">
        <w:rPr>
          <w:sz w:val="22"/>
          <w:szCs w:val="22"/>
          <w:lang w:val="sr-Latn-RS"/>
        </w:rPr>
        <w:t xml:space="preserve"> kod pacijenata sa bradikardijom (vidjeti </w:t>
      </w:r>
      <w:r w:rsidR="00282BF1" w:rsidRPr="00E75889">
        <w:rPr>
          <w:sz w:val="22"/>
          <w:szCs w:val="22"/>
          <w:lang w:val="sr-Latn-RS"/>
        </w:rPr>
        <w:t>dio</w:t>
      </w:r>
      <w:r w:rsidRPr="00E75889">
        <w:rPr>
          <w:sz w:val="22"/>
          <w:szCs w:val="22"/>
          <w:lang w:val="sr-Latn-RS"/>
        </w:rPr>
        <w:t xml:space="preserve"> 4.3). </w:t>
      </w:r>
    </w:p>
    <w:p w14:paraId="29695D7E" w14:textId="77777777" w:rsidR="00EB75FD" w:rsidRPr="00E75889" w:rsidRDefault="00EB75FD" w:rsidP="00E75889">
      <w:pPr>
        <w:widowControl w:val="0"/>
        <w:tabs>
          <w:tab w:val="center" w:pos="4536"/>
          <w:tab w:val="right" w:pos="9072"/>
        </w:tabs>
        <w:jc w:val="both"/>
        <w:rPr>
          <w:b/>
          <w:sz w:val="22"/>
          <w:szCs w:val="22"/>
          <w:lang w:val="sr-Latn-RS"/>
        </w:rPr>
      </w:pPr>
    </w:p>
    <w:p w14:paraId="4A347FAB" w14:textId="58FB17B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 xml:space="preserve">Iskustvo sa lijekom Gilenya je ograničeno kod pacijenata koji imaju istovremenu terapiju beta blokatorima, blokatorima kalcijumskih kanala koji smanjuju srčanu frekvencu (kao što su verapamil ili diltiazem), ili drugim ljekovima koji mogu smanjiti srčanu frekvencu (npr. ivabradin, digoksin, antiholinesterazni ljekovi ili pilokarpin). </w:t>
      </w:r>
      <w:r w:rsidRPr="00E75889">
        <w:rPr>
          <w:sz w:val="22"/>
          <w:szCs w:val="22"/>
          <w:lang w:val="sr-Latn-RS" w:eastAsia="en-US"/>
        </w:rPr>
        <w:t>S obzirom da je započinjanje terapije fingolimodom takođe povezano sa uspor</w:t>
      </w:r>
      <w:r w:rsidR="00EE3AB9" w:rsidRPr="00E75889">
        <w:rPr>
          <w:sz w:val="22"/>
          <w:szCs w:val="22"/>
          <w:lang w:val="sr-Latn-RS" w:eastAsia="en-US"/>
        </w:rPr>
        <w:t>ava</w:t>
      </w:r>
      <w:r w:rsidRPr="00E75889">
        <w:rPr>
          <w:sz w:val="22"/>
          <w:szCs w:val="22"/>
          <w:lang w:val="sr-Latn-RS" w:eastAsia="en-US"/>
        </w:rPr>
        <w:t xml:space="preserve">njem pulsa (vidjeti takođe </w:t>
      </w:r>
      <w:r w:rsidR="00282BF1" w:rsidRPr="00E75889">
        <w:rPr>
          <w:sz w:val="22"/>
          <w:szCs w:val="22"/>
          <w:lang w:val="sr-Latn-RS" w:eastAsia="en-US"/>
        </w:rPr>
        <w:t>dio</w:t>
      </w:r>
      <w:r w:rsidRPr="00E75889">
        <w:rPr>
          <w:sz w:val="22"/>
          <w:szCs w:val="22"/>
          <w:lang w:val="sr-Latn-RS" w:eastAsia="en-US"/>
        </w:rPr>
        <w:t xml:space="preserve"> 4.8, </w:t>
      </w:r>
      <w:r w:rsidR="006F65C0" w:rsidRPr="00E75889">
        <w:rPr>
          <w:sz w:val="22"/>
          <w:szCs w:val="22"/>
          <w:lang w:val="sr-Latn-RS" w:eastAsia="en-US"/>
        </w:rPr>
        <w:t>„</w:t>
      </w:r>
      <w:r w:rsidRPr="00E75889">
        <w:rPr>
          <w:sz w:val="22"/>
          <w:szCs w:val="22"/>
          <w:lang w:val="sr-Latn-RS" w:eastAsia="en-US"/>
        </w:rPr>
        <w:t>Bradiaritmija</w:t>
      </w:r>
      <w:r w:rsidR="006F65C0" w:rsidRPr="00E75889">
        <w:rPr>
          <w:sz w:val="22"/>
          <w:szCs w:val="22"/>
          <w:lang w:val="sr-Latn-RS" w:eastAsia="en-US"/>
        </w:rPr>
        <w:t>“</w:t>
      </w:r>
      <w:r w:rsidRPr="00E75889">
        <w:rPr>
          <w:sz w:val="22"/>
          <w:szCs w:val="22"/>
          <w:lang w:val="sr-Latn-RS" w:eastAsia="en-US"/>
        </w:rPr>
        <w:t xml:space="preserve">), istovremena primjena ovih ljekova tokom započinjanja terapije fingolimodom može biti povezana sa teškom bradikardijom i srčanim blokom. Zbog mogućih aditivnih efekata na </w:t>
      </w:r>
      <w:r w:rsidR="00797386" w:rsidRPr="00E75889">
        <w:rPr>
          <w:sz w:val="22"/>
          <w:szCs w:val="22"/>
          <w:lang w:val="sr-Latn-RS" w:eastAsia="en-US"/>
        </w:rPr>
        <w:t xml:space="preserve">srčani </w:t>
      </w:r>
      <w:r w:rsidRPr="00E75889">
        <w:rPr>
          <w:sz w:val="22"/>
          <w:szCs w:val="22"/>
          <w:lang w:val="sr-Latn-RS" w:eastAsia="en-US"/>
        </w:rPr>
        <w:t xml:space="preserve">puls, terapiju lijekom Gilenya ne treba započinjati kod pacijenata koji se istovremeno liječe ovim ljekovima (vidjeti </w:t>
      </w:r>
      <w:r w:rsidR="00282BF1" w:rsidRPr="00E75889">
        <w:rPr>
          <w:sz w:val="22"/>
          <w:szCs w:val="22"/>
          <w:lang w:val="sr-Latn-RS" w:eastAsia="en-US"/>
        </w:rPr>
        <w:t>dio</w:t>
      </w:r>
      <w:r w:rsidRPr="00E75889">
        <w:rPr>
          <w:sz w:val="22"/>
          <w:szCs w:val="22"/>
          <w:lang w:val="sr-Latn-RS" w:eastAsia="en-US"/>
        </w:rPr>
        <w:t xml:space="preserve"> 4.5). Kod ovih pacijenata, terapiju lijekom Gilenya treba uzeti u obzir samo ako </w:t>
      </w:r>
      <w:r w:rsidR="00797386" w:rsidRPr="00E75889">
        <w:rPr>
          <w:sz w:val="22"/>
          <w:szCs w:val="22"/>
          <w:lang w:val="sr-Latn-RS" w:eastAsia="en-US"/>
        </w:rPr>
        <w:t>očekivana</w:t>
      </w:r>
      <w:r w:rsidRPr="00E75889">
        <w:rPr>
          <w:sz w:val="22"/>
          <w:szCs w:val="22"/>
          <w:lang w:val="sr-Latn-RS" w:eastAsia="en-US"/>
        </w:rPr>
        <w:t xml:space="preserve"> korist prevazilazi potencijalne rizike. Ako se razmatra terapija lijekom Gilenya, treba potražiti sav</w:t>
      </w:r>
      <w:r w:rsidR="00EE3AB9" w:rsidRPr="00E75889">
        <w:rPr>
          <w:sz w:val="22"/>
          <w:szCs w:val="22"/>
          <w:lang w:val="sr-Latn-RS" w:eastAsia="en-US"/>
        </w:rPr>
        <w:t>j</w:t>
      </w:r>
      <w:r w:rsidRPr="00E75889">
        <w:rPr>
          <w:sz w:val="22"/>
          <w:szCs w:val="22"/>
          <w:lang w:val="sr-Latn-RS" w:eastAsia="en-US"/>
        </w:rPr>
        <w:t xml:space="preserve">et od kardiologa u vezi prelaska na ljekove koji ne usporavaju puls prije započinjanja terapije. Ako ne može da se prekine terapija ljekovima koji usporavaju puls, treba potražiti savjet od kardiologa kako bi se odredilo praćenje poslije prve doze, preporučuje se produženo praćenje bar tokom cijele noći (vidjeti </w:t>
      </w:r>
      <w:r w:rsidR="00282BF1" w:rsidRPr="00E75889">
        <w:rPr>
          <w:sz w:val="22"/>
          <w:szCs w:val="22"/>
          <w:lang w:val="sr-Latn-RS" w:eastAsia="en-US"/>
        </w:rPr>
        <w:t>dio</w:t>
      </w:r>
      <w:r w:rsidRPr="00E75889">
        <w:rPr>
          <w:sz w:val="22"/>
          <w:szCs w:val="22"/>
          <w:lang w:val="sr-Latn-RS" w:eastAsia="en-US"/>
        </w:rPr>
        <w:t xml:space="preserve"> 4.5).</w:t>
      </w:r>
    </w:p>
    <w:p w14:paraId="5B12953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2F4485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4"/>
          <w:sz w:val="22"/>
          <w:szCs w:val="22"/>
          <w:shd w:val="clear" w:color="auto" w:fill="auto"/>
          <w:lang w:val="sr-Latn-RS" w:eastAsia="en-US"/>
        </w:rPr>
        <w:t>QT interval</w:t>
      </w:r>
    </w:p>
    <w:p w14:paraId="2088CD49" w14:textId="208AE0C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jednoj opsežnoj studiji QT intervala sa dozama od 1,25</w:t>
      </w:r>
      <w:r w:rsidR="00B7370C" w:rsidRPr="00E75889">
        <w:rPr>
          <w:sz w:val="22"/>
          <w:szCs w:val="22"/>
          <w:lang w:val="sr-Latn-RS" w:eastAsia="en-US"/>
        </w:rPr>
        <w:t xml:space="preserve"> mg</w:t>
      </w:r>
      <w:r w:rsidRPr="00E75889">
        <w:rPr>
          <w:sz w:val="22"/>
          <w:szCs w:val="22"/>
          <w:lang w:val="sr-Latn-RS" w:eastAsia="en-US"/>
        </w:rPr>
        <w:t xml:space="preserve"> ili 2,5 mg fingolimoda u ravnotežnom stanju, kada je</w:t>
      </w:r>
      <w:r w:rsidR="00BF42F0" w:rsidRPr="00E75889">
        <w:rPr>
          <w:sz w:val="22"/>
          <w:szCs w:val="22"/>
          <w:lang w:val="sr-Latn-RS" w:eastAsia="en-US"/>
        </w:rPr>
        <w:t xml:space="preserve"> </w:t>
      </w:r>
      <w:r w:rsidRPr="00E75889">
        <w:rPr>
          <w:sz w:val="22"/>
          <w:szCs w:val="22"/>
          <w:lang w:val="sr-Latn-RS" w:eastAsia="en-US"/>
        </w:rPr>
        <w:t>negativno hronotropno dejstvo fingolimoda i dalje prisutno, terapija fingolimodom dovela je do produženja QTcI, sa gornjom granicom 90% CI ≤13,0 ms. Ne postoji povezanost između odgovora na dozu ili izloženost fingolimodu i produženja QTcI. Nije bilo pravih signala za povećanu incidencu izraženih vrijednosti QTcI, ili kao apsolutnih vrijednosti ili u odnosu na početne vrijednosti,</w:t>
      </w:r>
      <w:r w:rsidR="00BF42F0" w:rsidRPr="00E75889">
        <w:rPr>
          <w:sz w:val="22"/>
          <w:szCs w:val="22"/>
          <w:lang w:val="sr-Latn-RS" w:eastAsia="en-US"/>
        </w:rPr>
        <w:t xml:space="preserve"> </w:t>
      </w:r>
      <w:r w:rsidRPr="00E75889">
        <w:rPr>
          <w:sz w:val="22"/>
          <w:szCs w:val="22"/>
          <w:lang w:val="sr-Latn-RS" w:eastAsia="en-US"/>
        </w:rPr>
        <w:t>koja se dovodi u vezu sa terapijom fingolimodom.</w:t>
      </w:r>
    </w:p>
    <w:p w14:paraId="3B3837A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6BC8644" w14:textId="3C9264F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Klinički značaj ovog nalaza nije poznat. U studijama sa multiplom sklerozom, klinički značajna dejstva na produženje QTc-intervala nijesu zabilježena, ali pacijenti sa rizikom od produženja QT nijesu bili uključeni u kliničke studije. </w:t>
      </w:r>
    </w:p>
    <w:p w14:paraId="3977D52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5398CD7" w14:textId="508D0E0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Stoga je najbolje da se ljekovi koji mogu da produže QTc interval izbjegavaju kod pacijenata koji imaju značajne faktore rizika, npr.</w:t>
      </w:r>
      <w:r w:rsidR="00BF42F0" w:rsidRPr="00E75889">
        <w:rPr>
          <w:sz w:val="22"/>
          <w:szCs w:val="22"/>
          <w:lang w:val="sr-Latn-RS" w:eastAsia="en-US"/>
        </w:rPr>
        <w:t xml:space="preserve"> </w:t>
      </w:r>
      <w:r w:rsidRPr="00E75889">
        <w:rPr>
          <w:sz w:val="22"/>
          <w:szCs w:val="22"/>
          <w:lang w:val="sr-Latn-RS" w:eastAsia="en-US"/>
        </w:rPr>
        <w:t>hipokalijemiju ili kongenitalno produženje QT intervala.</w:t>
      </w:r>
    </w:p>
    <w:p w14:paraId="4BDCF31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66785A9" w14:textId="77777777" w:rsidR="00EB75FD" w:rsidRPr="00E75889" w:rsidRDefault="00EB75FD" w:rsidP="00E75889">
      <w:pPr>
        <w:pStyle w:val="Bodytext1"/>
        <w:widowControl w:val="0"/>
        <w:shd w:val="clear" w:color="auto" w:fill="auto"/>
        <w:spacing w:before="0" w:after="0" w:line="240" w:lineRule="auto"/>
        <w:ind w:firstLine="0"/>
        <w:jc w:val="both"/>
        <w:rPr>
          <w:rStyle w:val="Bodytext14"/>
          <w:sz w:val="22"/>
          <w:szCs w:val="22"/>
          <w:shd w:val="clear" w:color="auto" w:fill="auto"/>
          <w:lang w:val="sr-Latn-RS"/>
        </w:rPr>
      </w:pPr>
      <w:r w:rsidRPr="00E75889">
        <w:rPr>
          <w:rStyle w:val="Bodytext14"/>
          <w:sz w:val="22"/>
          <w:szCs w:val="22"/>
          <w:shd w:val="clear" w:color="auto" w:fill="auto"/>
          <w:lang w:val="sr-Latn-RS"/>
        </w:rPr>
        <w:t>Imunosupresivni efekti</w:t>
      </w:r>
    </w:p>
    <w:p w14:paraId="7C7F9456" w14:textId="1D4A8BF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rStyle w:val="Bodytext14"/>
          <w:sz w:val="22"/>
          <w:szCs w:val="22"/>
          <w:u w:val="none"/>
          <w:shd w:val="clear" w:color="auto" w:fill="auto"/>
          <w:lang w:val="sr-Latn-RS"/>
        </w:rPr>
        <w:t>Fingolimod ima imunosupresivni efekat, koji kod pacijenata dovodi do predispozicije za rizik od nastanka infekcije, uključujući potencijalno oportunističke infekcije</w:t>
      </w:r>
      <w:r w:rsidR="00C321A3" w:rsidRPr="00E75889">
        <w:rPr>
          <w:rStyle w:val="Bodytext14"/>
          <w:sz w:val="22"/>
          <w:szCs w:val="22"/>
          <w:u w:val="none"/>
          <w:shd w:val="clear" w:color="auto" w:fill="auto"/>
          <w:lang w:val="sr-Latn-RS"/>
        </w:rPr>
        <w:t xml:space="preserve"> sa smrtnim ishodom</w:t>
      </w:r>
      <w:r w:rsidRPr="00E75889">
        <w:rPr>
          <w:rStyle w:val="Bodytext14"/>
          <w:sz w:val="22"/>
          <w:szCs w:val="22"/>
          <w:u w:val="none"/>
          <w:shd w:val="clear" w:color="auto" w:fill="auto"/>
          <w:lang w:val="sr-Latn-RS"/>
        </w:rPr>
        <w:t>, i povećava rizik od razvoja limfoma i drugih malignih bolesti, posebno kož</w:t>
      </w:r>
      <w:r w:rsidR="00B7370C" w:rsidRPr="00E75889">
        <w:rPr>
          <w:rStyle w:val="Bodytext14"/>
          <w:sz w:val="22"/>
          <w:szCs w:val="22"/>
          <w:u w:val="none"/>
          <w:shd w:val="clear" w:color="auto" w:fill="auto"/>
          <w:lang w:val="sr-Latn-RS"/>
        </w:rPr>
        <w:t>e</w:t>
      </w:r>
      <w:r w:rsidRPr="00E75889">
        <w:rPr>
          <w:rStyle w:val="Bodytext14"/>
          <w:sz w:val="22"/>
          <w:szCs w:val="22"/>
          <w:u w:val="none"/>
          <w:shd w:val="clear" w:color="auto" w:fill="auto"/>
          <w:lang w:val="sr-Latn-RS"/>
        </w:rPr>
        <w:t xml:space="preserve">. Ljekari treba pažljivo da prate pacijente, posebno one sa prisutnim dodatnim oboljenjima ili poznatim faktorima, kao što je prethodno primana imunosupresivna terapija. Ukoliko se sumnja na ovaj rizik, prekid terapije ljekar treba da </w:t>
      </w:r>
      <w:r w:rsidRPr="00E75889">
        <w:rPr>
          <w:rStyle w:val="Bodytext14"/>
          <w:sz w:val="22"/>
          <w:szCs w:val="22"/>
          <w:u w:val="none"/>
          <w:shd w:val="clear" w:color="auto" w:fill="auto"/>
          <w:lang w:val="sr-Latn-RS"/>
        </w:rPr>
        <w:lastRenderedPageBreak/>
        <w:t xml:space="preserve">razmotri od slučaja do slučaja (vidjeti takođe </w:t>
      </w:r>
      <w:r w:rsidR="00282BF1" w:rsidRPr="00E75889">
        <w:rPr>
          <w:rStyle w:val="Bodytext14"/>
          <w:sz w:val="22"/>
          <w:szCs w:val="22"/>
          <w:u w:val="none"/>
          <w:shd w:val="clear" w:color="auto" w:fill="auto"/>
          <w:lang w:val="sr-Latn-RS"/>
        </w:rPr>
        <w:t>dio</w:t>
      </w:r>
      <w:r w:rsidRPr="00E75889">
        <w:rPr>
          <w:rStyle w:val="Bodytext14"/>
          <w:sz w:val="22"/>
          <w:szCs w:val="22"/>
          <w:u w:val="none"/>
          <w:shd w:val="clear" w:color="auto" w:fill="auto"/>
          <w:lang w:val="sr-Latn-RS"/>
        </w:rPr>
        <w:t xml:space="preserve"> 4.4 </w:t>
      </w:r>
      <w:r w:rsidRPr="00E75889">
        <w:rPr>
          <w:sz w:val="22"/>
          <w:szCs w:val="22"/>
          <w:lang w:val="sr-Latn-RS"/>
        </w:rPr>
        <w:t>„</w:t>
      </w:r>
      <w:r w:rsidRPr="00E75889">
        <w:rPr>
          <w:rStyle w:val="Bodytext14"/>
          <w:sz w:val="22"/>
          <w:szCs w:val="22"/>
          <w:u w:val="none"/>
          <w:shd w:val="clear" w:color="auto" w:fill="auto"/>
          <w:lang w:val="sr-Latn-RS"/>
        </w:rPr>
        <w:t>Infekcije</w:t>
      </w:r>
      <w:r w:rsidRPr="00E75889">
        <w:rPr>
          <w:sz w:val="22"/>
          <w:szCs w:val="22"/>
          <w:lang w:val="sr-Latn-RS"/>
        </w:rPr>
        <w:t>“</w:t>
      </w:r>
      <w:r w:rsidRPr="00E75889">
        <w:rPr>
          <w:rStyle w:val="Bodytext14"/>
          <w:sz w:val="22"/>
          <w:szCs w:val="22"/>
          <w:u w:val="none"/>
          <w:shd w:val="clear" w:color="auto" w:fill="auto"/>
          <w:lang w:val="sr-Latn-RS"/>
        </w:rPr>
        <w:t xml:space="preserve"> i </w:t>
      </w:r>
      <w:r w:rsidRPr="00E75889">
        <w:rPr>
          <w:sz w:val="22"/>
          <w:szCs w:val="22"/>
          <w:lang w:val="sr-Latn-RS"/>
        </w:rPr>
        <w:t>„</w:t>
      </w:r>
      <w:r w:rsidR="00797386" w:rsidRPr="00E75889">
        <w:rPr>
          <w:sz w:val="22"/>
          <w:szCs w:val="22"/>
          <w:lang w:val="sr-Latn-RS"/>
        </w:rPr>
        <w:t>Maligne bolesti kože</w:t>
      </w:r>
      <w:r w:rsidRPr="00E75889">
        <w:rPr>
          <w:sz w:val="22"/>
          <w:szCs w:val="22"/>
          <w:lang w:val="sr-Latn-RS"/>
        </w:rPr>
        <w:t>“</w:t>
      </w:r>
      <w:r w:rsidRPr="00E75889">
        <w:rPr>
          <w:rStyle w:val="Bodytext14"/>
          <w:sz w:val="22"/>
          <w:szCs w:val="22"/>
          <w:u w:val="none"/>
          <w:shd w:val="clear" w:color="auto" w:fill="auto"/>
          <w:lang w:val="sr-Latn-RS"/>
        </w:rPr>
        <w:t xml:space="preserve">, kao i </w:t>
      </w:r>
      <w:r w:rsidR="00282BF1" w:rsidRPr="00E75889">
        <w:rPr>
          <w:rStyle w:val="Bodytext14"/>
          <w:sz w:val="22"/>
          <w:szCs w:val="22"/>
          <w:u w:val="none"/>
          <w:shd w:val="clear" w:color="auto" w:fill="auto"/>
          <w:lang w:val="sr-Latn-RS"/>
        </w:rPr>
        <w:t>dio</w:t>
      </w:r>
      <w:r w:rsidRPr="00E75889">
        <w:rPr>
          <w:rStyle w:val="Bodytext14"/>
          <w:sz w:val="22"/>
          <w:szCs w:val="22"/>
          <w:u w:val="none"/>
          <w:shd w:val="clear" w:color="auto" w:fill="auto"/>
          <w:lang w:val="sr-Latn-RS"/>
        </w:rPr>
        <w:t xml:space="preserve"> 4.8 </w:t>
      </w:r>
      <w:r w:rsidRPr="00E75889">
        <w:rPr>
          <w:sz w:val="22"/>
          <w:szCs w:val="22"/>
          <w:lang w:val="sr-Latn-RS"/>
        </w:rPr>
        <w:t>„</w:t>
      </w:r>
      <w:r w:rsidRPr="00E75889">
        <w:rPr>
          <w:rStyle w:val="Bodytext14"/>
          <w:sz w:val="22"/>
          <w:szCs w:val="22"/>
          <w:u w:val="none"/>
          <w:shd w:val="clear" w:color="auto" w:fill="auto"/>
          <w:lang w:val="sr-Latn-RS"/>
        </w:rPr>
        <w:t>Limfomi</w:t>
      </w:r>
      <w:r w:rsidRPr="00E75889">
        <w:rPr>
          <w:sz w:val="22"/>
          <w:szCs w:val="22"/>
          <w:lang w:val="sr-Latn-RS"/>
        </w:rPr>
        <w:t>“).</w:t>
      </w:r>
    </w:p>
    <w:p w14:paraId="240EBB8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4"/>
          <w:sz w:val="22"/>
          <w:szCs w:val="22"/>
          <w:shd w:val="clear" w:color="auto" w:fill="auto"/>
          <w:lang w:val="sr-Latn-RS" w:eastAsia="en-US"/>
        </w:rPr>
        <w:t>Infekcije</w:t>
      </w:r>
    </w:p>
    <w:p w14:paraId="643DB23D" w14:textId="4BFC9CAF"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Ključno farmakološko dejstvo fingolimoda je dozno zavisno smanjenje broja limfocita u perifernoj krvi za oko 20-30% od početnih vrijednosti. Ovo je posljedica reverzibilne sekvestracije limfocita u limfoidnim tkivima (vidjeti </w:t>
      </w:r>
      <w:r w:rsidR="00282BF1" w:rsidRPr="00E75889">
        <w:rPr>
          <w:sz w:val="22"/>
          <w:szCs w:val="22"/>
          <w:lang w:val="sr-Latn-RS" w:eastAsia="en-US"/>
        </w:rPr>
        <w:t>dio</w:t>
      </w:r>
      <w:r w:rsidRPr="00E75889">
        <w:rPr>
          <w:sz w:val="22"/>
          <w:szCs w:val="22"/>
          <w:lang w:val="sr-Latn-RS" w:eastAsia="en-US"/>
        </w:rPr>
        <w:t xml:space="preserve"> 5.1).</w:t>
      </w:r>
    </w:p>
    <w:p w14:paraId="2DEBB9D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744FAE4" w14:textId="5190457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Prije započinjanja terapije lijekom Gilenya, treba imati najnoviju kompletnu krvnu sliku</w:t>
      </w:r>
      <w:r w:rsidR="00BF42F0" w:rsidRPr="00E75889">
        <w:rPr>
          <w:sz w:val="22"/>
          <w:szCs w:val="22"/>
          <w:lang w:val="sr-Latn-RS" w:eastAsia="en-US"/>
        </w:rPr>
        <w:t xml:space="preserve"> </w:t>
      </w:r>
      <w:r w:rsidRPr="00E75889">
        <w:rPr>
          <w:sz w:val="22"/>
          <w:szCs w:val="22"/>
          <w:lang w:val="sr-Latn-RS" w:eastAsia="en-US"/>
        </w:rPr>
        <w:t>(tj. rađena unutar posljednjih 6 mjeseci ili nakon prekida prethodne terapije). Procjena kompletne krvne slike preporučuje se i periodično tokom terapije, nakon tri mjeseca i najmanje jednom godišnje nakon toga, i u slučaju znakova infekcije. Ako se potvrdi da je apsolutni broj limfocita &lt;0,2x10</w:t>
      </w:r>
      <w:r w:rsidRPr="00E75889">
        <w:rPr>
          <w:sz w:val="22"/>
          <w:szCs w:val="22"/>
          <w:vertAlign w:val="superscript"/>
          <w:lang w:val="sr-Latn-RS" w:eastAsia="en-US"/>
        </w:rPr>
        <w:t>9</w:t>
      </w:r>
      <w:r w:rsidRPr="00E75889">
        <w:rPr>
          <w:sz w:val="22"/>
          <w:szCs w:val="22"/>
          <w:lang w:val="sr-Latn-RS" w:eastAsia="en-US"/>
        </w:rPr>
        <w:t>/l, terapiju treba prekinuti, sve do oporavka,</w:t>
      </w:r>
      <w:r w:rsidR="00BF42F0" w:rsidRPr="00E75889">
        <w:rPr>
          <w:sz w:val="22"/>
          <w:szCs w:val="22"/>
          <w:lang w:val="sr-Latn-RS" w:eastAsia="en-US"/>
        </w:rPr>
        <w:t xml:space="preserve"> </w:t>
      </w:r>
      <w:r w:rsidRPr="00E75889">
        <w:rPr>
          <w:sz w:val="22"/>
          <w:szCs w:val="22"/>
          <w:lang w:val="sr-Latn-RS" w:eastAsia="en-US"/>
        </w:rPr>
        <w:t>jer je u kliničkim studijama terapija fingolimodom obustavljana kod pacijenata sa apsolutnim brojem limfocita &lt;0,2x10</w:t>
      </w:r>
      <w:r w:rsidRPr="00E75889">
        <w:rPr>
          <w:sz w:val="22"/>
          <w:szCs w:val="22"/>
          <w:vertAlign w:val="superscript"/>
          <w:lang w:val="sr-Latn-RS" w:eastAsia="en-US"/>
        </w:rPr>
        <w:t>9</w:t>
      </w:r>
      <w:r w:rsidRPr="00E75889">
        <w:rPr>
          <w:sz w:val="22"/>
          <w:szCs w:val="22"/>
          <w:lang w:val="sr-Latn-RS" w:eastAsia="en-US"/>
        </w:rPr>
        <w:t>/l.</w:t>
      </w:r>
    </w:p>
    <w:p w14:paraId="3C59E6D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FFA13D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Započinjanje terapije lijekom Gilenya treba odložiti kod pacijenata sa teškom aktivnom infekcijom dok se infekcija ne izliječi.</w:t>
      </w:r>
    </w:p>
    <w:p w14:paraId="17D8B08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EF8B0BC" w14:textId="3CBB16B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Efekti lijeka Gilenya na imuni sistem mogli bi povećati rizik od infekcije, uključujući oportunističke infekcije (vidjeti </w:t>
      </w:r>
      <w:r w:rsidR="00282BF1" w:rsidRPr="00E75889">
        <w:rPr>
          <w:sz w:val="22"/>
          <w:szCs w:val="22"/>
          <w:lang w:val="sr-Latn-RS"/>
        </w:rPr>
        <w:t>dio</w:t>
      </w:r>
      <w:r w:rsidRPr="00E75889">
        <w:rPr>
          <w:sz w:val="22"/>
          <w:szCs w:val="22"/>
          <w:lang w:val="sr-Latn-RS"/>
        </w:rPr>
        <w:t xml:space="preserve"> 4.8). Kod pacijenata sa simptomima infekcije dok su na terapiji treba primijeniti efikasne dijagnostičke i terapijske procedure. Prilikom procjene pacijenta sa suspektnom infekcijom koja može biti ozbiljna, treba razmotriti upućivanje pacijenta ljekaru sa iskustvom u liječenju infekcija. Tokom same terapije, pacijente treba uputiti da svom ljekaru odmah prijave simptome infekcije.</w:t>
      </w:r>
    </w:p>
    <w:p w14:paraId="55A1150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1FAFB92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Ako se kod pacijenta razvije teška infekcija, treba razmotriti prekid terapije lijekom Gilenya i treba uzeti u obzir odnos korist-rizik prije ponovnog uvođenja terapije.</w:t>
      </w:r>
    </w:p>
    <w:p w14:paraId="335FF02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028DDFB8" w14:textId="0E1D3A5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Po obustavi terapije, za eliminaciju fingolimoda može da bude potrebno i do dva mjeseca, pa se praćenje pojave infekcije mora nastaviti i tokom ovog perioda. Pacijent</w:t>
      </w:r>
      <w:r w:rsidR="00EE3AB9" w:rsidRPr="00E75889">
        <w:rPr>
          <w:sz w:val="22"/>
          <w:szCs w:val="22"/>
          <w:lang w:val="sr-Latn-RS"/>
        </w:rPr>
        <w:t>e</w:t>
      </w:r>
      <w:r w:rsidRPr="00E75889">
        <w:rPr>
          <w:sz w:val="22"/>
          <w:szCs w:val="22"/>
          <w:lang w:val="sr-Latn-RS"/>
        </w:rPr>
        <w:t xml:space="preserve"> treba </w:t>
      </w:r>
      <w:r w:rsidR="00EE3AB9" w:rsidRPr="00E75889">
        <w:rPr>
          <w:sz w:val="22"/>
          <w:szCs w:val="22"/>
          <w:lang w:val="sr-Latn-RS"/>
        </w:rPr>
        <w:t xml:space="preserve">uputiti </w:t>
      </w:r>
      <w:r w:rsidRPr="00E75889">
        <w:rPr>
          <w:sz w:val="22"/>
          <w:szCs w:val="22"/>
          <w:lang w:val="sr-Latn-RS"/>
        </w:rPr>
        <w:t>da prijave simptome infekcije i do 2 mjeseca po prekidu terapije fingolimodom.</w:t>
      </w:r>
    </w:p>
    <w:p w14:paraId="17CC428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72821B35" w14:textId="5738821E"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rPr>
      </w:pPr>
      <w:r w:rsidRPr="00E75889">
        <w:rPr>
          <w:i/>
          <w:sz w:val="22"/>
          <w:szCs w:val="22"/>
          <w:lang w:val="sr-Latn-RS"/>
        </w:rPr>
        <w:t>Herpes virusna infekcija</w:t>
      </w:r>
    </w:p>
    <w:p w14:paraId="045AB00D" w14:textId="63F34EC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U bilo kom trenutku tokom terapije lijekom Gilenya javljali su se slučajevi encefalitisa, meningitisa ili meningoencefalitisa koji su ozbiljni, životno ugrožavajući, i ponekad sa smrtni</w:t>
      </w:r>
      <w:r w:rsidR="00EE3AB9" w:rsidRPr="00E75889">
        <w:rPr>
          <w:sz w:val="22"/>
          <w:szCs w:val="22"/>
          <w:lang w:val="sr-Latn-RS"/>
        </w:rPr>
        <w:t>m</w:t>
      </w:r>
      <w:r w:rsidRPr="00E75889">
        <w:rPr>
          <w:sz w:val="22"/>
          <w:szCs w:val="22"/>
          <w:lang w:val="sr-Latn-RS"/>
        </w:rPr>
        <w:t xml:space="preserve"> ishodom a koji su izazvani virusima </w:t>
      </w:r>
      <w:r w:rsidRPr="00E75889">
        <w:rPr>
          <w:i/>
          <w:iCs/>
          <w:sz w:val="22"/>
          <w:szCs w:val="22"/>
          <w:lang w:val="sr-Latn-RS"/>
        </w:rPr>
        <w:t>herpes simplex</w:t>
      </w:r>
      <w:r w:rsidRPr="00E75889">
        <w:rPr>
          <w:sz w:val="22"/>
          <w:szCs w:val="22"/>
          <w:lang w:val="sr-Latn-RS"/>
        </w:rPr>
        <w:t xml:space="preserve"> i </w:t>
      </w:r>
      <w:r w:rsidRPr="00E75889">
        <w:rPr>
          <w:i/>
          <w:iCs/>
          <w:sz w:val="22"/>
          <w:szCs w:val="22"/>
          <w:lang w:val="sr-Latn-RS"/>
        </w:rPr>
        <w:t>varicella zoster</w:t>
      </w:r>
      <w:r w:rsidRPr="00E75889">
        <w:rPr>
          <w:sz w:val="22"/>
          <w:szCs w:val="22"/>
          <w:lang w:val="sr-Latn-RS"/>
        </w:rPr>
        <w:t>. Ako se jave herpesni encefalitis, meningitis ili meningoencefalitis, terapiju lijekom Gilenya treba obustaviti i primijeniti odgovarajuću terapiju za navedenu infekciju.</w:t>
      </w:r>
    </w:p>
    <w:p w14:paraId="2620968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B3A73AE" w14:textId="38CF32C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Prije početka terapije lijekom Gilenya, potrebno je provjeriti postojanje antitijela na </w:t>
      </w:r>
      <w:r w:rsidRPr="00E75889">
        <w:rPr>
          <w:i/>
          <w:sz w:val="22"/>
          <w:szCs w:val="22"/>
          <w:lang w:val="sr-Latn-RS"/>
        </w:rPr>
        <w:t>varicellu</w:t>
      </w:r>
      <w:r w:rsidRPr="00E75889">
        <w:rPr>
          <w:sz w:val="22"/>
          <w:szCs w:val="22"/>
          <w:lang w:val="sr-Latn-RS"/>
        </w:rPr>
        <w:t xml:space="preserve"> (ovčije boginje). Preporučuje se da se pacijenti koji nemaju ovčije boginje u anamnezi koju je potvrdio zdravstveni radnik ili nemaju dokumentaciju o potpunom ciklusu vakcinacije protiv </w:t>
      </w:r>
      <w:r w:rsidRPr="00E75889">
        <w:rPr>
          <w:i/>
          <w:sz w:val="22"/>
          <w:szCs w:val="22"/>
          <w:lang w:val="sr-Latn-RS"/>
        </w:rPr>
        <w:t>varicelle</w:t>
      </w:r>
      <w:r w:rsidRPr="00E75889">
        <w:rPr>
          <w:sz w:val="22"/>
          <w:szCs w:val="22"/>
          <w:lang w:val="sr-Latn-RS"/>
        </w:rPr>
        <w:t xml:space="preserve">, testiraju na antitijela na </w:t>
      </w:r>
      <w:r w:rsidRPr="00E75889">
        <w:rPr>
          <w:i/>
          <w:sz w:val="22"/>
          <w:szCs w:val="22"/>
          <w:lang w:val="sr-Latn-RS"/>
        </w:rPr>
        <w:t>varicella zoster virus (VZV)</w:t>
      </w:r>
      <w:r w:rsidRPr="00E75889">
        <w:rPr>
          <w:sz w:val="22"/>
          <w:szCs w:val="22"/>
          <w:lang w:val="sr-Latn-RS"/>
        </w:rPr>
        <w:t xml:space="preserve"> prije početka terapije fingolimodom. Prije početka terapije lijekom Gilenya preporučuje se cjelokupan ciklus vakcinacije protiv</w:t>
      </w:r>
      <w:r w:rsidRPr="00E75889">
        <w:rPr>
          <w:i/>
          <w:sz w:val="22"/>
          <w:szCs w:val="22"/>
          <w:lang w:val="sr-Latn-RS"/>
        </w:rPr>
        <w:t xml:space="preserve"> varicelle</w:t>
      </w:r>
      <w:r w:rsidRPr="00E75889">
        <w:rPr>
          <w:sz w:val="22"/>
          <w:szCs w:val="22"/>
          <w:lang w:val="sr-Latn-RS"/>
        </w:rPr>
        <w:t xml:space="preserve"> za pacijente sa negativnim nalazom na prisustvo antitijela (vidjeti </w:t>
      </w:r>
      <w:r w:rsidR="00282BF1" w:rsidRPr="00E75889">
        <w:rPr>
          <w:sz w:val="22"/>
          <w:szCs w:val="22"/>
          <w:lang w:val="sr-Latn-RS"/>
        </w:rPr>
        <w:t>dio</w:t>
      </w:r>
      <w:r w:rsidRPr="00E75889">
        <w:rPr>
          <w:sz w:val="22"/>
          <w:szCs w:val="22"/>
          <w:lang w:val="sr-Latn-RS"/>
        </w:rPr>
        <w:t> 4.8). Početak terapije fingolimodom treba odložiti za 1 mjesec kako bi se omogućio potpuni efekat vakcinacije.</w:t>
      </w:r>
    </w:p>
    <w:p w14:paraId="1C74C97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1FC0D0D0" w14:textId="77777777"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rPr>
      </w:pPr>
      <w:r w:rsidRPr="00E75889">
        <w:rPr>
          <w:i/>
          <w:sz w:val="22"/>
          <w:szCs w:val="22"/>
          <w:lang w:val="sr-Latn-RS"/>
        </w:rPr>
        <w:t>Kriptokokni meningitis</w:t>
      </w:r>
    </w:p>
    <w:p w14:paraId="431781D8" w14:textId="71AC36A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Slučajevi kriptokoknog meningitisa (gljivične infekcije), ponekad </w:t>
      </w:r>
      <w:r w:rsidR="008A40CC" w:rsidRPr="00E75889">
        <w:rPr>
          <w:sz w:val="22"/>
          <w:szCs w:val="22"/>
          <w:lang w:val="sr-Latn-RS"/>
        </w:rPr>
        <w:t>sa smrtnim ishodom</w:t>
      </w:r>
      <w:r w:rsidRPr="00E75889">
        <w:rPr>
          <w:sz w:val="22"/>
          <w:szCs w:val="22"/>
          <w:lang w:val="sr-Latn-RS"/>
        </w:rPr>
        <w:t xml:space="preserve">, zabilježeni su u postmarketinškom periodu nakon približno 2-3 godine liječenja, mada tačna povezanost sa trajanjem liječenja nije poznata (vidjeti </w:t>
      </w:r>
      <w:r w:rsidR="00282BF1" w:rsidRPr="00E75889">
        <w:rPr>
          <w:sz w:val="22"/>
          <w:szCs w:val="22"/>
          <w:lang w:val="sr-Latn-RS"/>
        </w:rPr>
        <w:t>dio</w:t>
      </w:r>
      <w:r w:rsidRPr="00E75889">
        <w:rPr>
          <w:sz w:val="22"/>
          <w:szCs w:val="22"/>
          <w:lang w:val="sr-Latn-RS"/>
        </w:rPr>
        <w:t xml:space="preserve"> 4.8). Pacijente koji imaju simptome i znakove koji odgovaraju kriptokoknom meninigitisu (npr. glavobolja udružena sa psihičkim promjenama kao što su konfuzija, halucinacije i/ili izmjene ličnosti) treba odmah dijagnostički procijeniti. Ako se dijagnostikuje kriptokokni meningitis, primjenu fingolimoda treba obustaviti i započeti odgovarajuću terapiju. Potrebno je konsultovati više ljekara specijalista (npr. infektologa) ako je opravdano ponovno započinjanje terapije fingolimodom. </w:t>
      </w:r>
    </w:p>
    <w:p w14:paraId="71CEE690" w14:textId="77777777" w:rsidR="00EB75FD" w:rsidRPr="00E75889" w:rsidRDefault="00EB75FD" w:rsidP="00E75889">
      <w:pPr>
        <w:widowControl w:val="0"/>
        <w:jc w:val="both"/>
        <w:rPr>
          <w:i/>
          <w:sz w:val="22"/>
          <w:szCs w:val="22"/>
          <w:lang w:val="sr-Latn-RS"/>
        </w:rPr>
      </w:pPr>
    </w:p>
    <w:p w14:paraId="79B4F047" w14:textId="7DCB0D6C" w:rsidR="00EB75FD" w:rsidRPr="00E75889" w:rsidRDefault="00EB75FD" w:rsidP="00E75889">
      <w:pPr>
        <w:widowControl w:val="0"/>
        <w:jc w:val="both"/>
        <w:rPr>
          <w:i/>
          <w:sz w:val="22"/>
          <w:szCs w:val="22"/>
          <w:lang w:val="sr-Latn-RS"/>
        </w:rPr>
      </w:pPr>
      <w:r w:rsidRPr="00E75889">
        <w:rPr>
          <w:i/>
          <w:sz w:val="22"/>
          <w:szCs w:val="22"/>
          <w:lang w:val="sr-Latn-RS"/>
        </w:rPr>
        <w:t>Progresivna multifokalna leukoencefalopatija</w:t>
      </w:r>
    </w:p>
    <w:p w14:paraId="4CC4D6A6" w14:textId="2A5179C2" w:rsidR="00CA71A3" w:rsidRPr="00CA71A3" w:rsidRDefault="00EB75FD" w:rsidP="00CA71A3">
      <w:pPr>
        <w:widowControl w:val="0"/>
        <w:jc w:val="both"/>
        <w:rPr>
          <w:sz w:val="22"/>
          <w:szCs w:val="22"/>
          <w:lang w:val="sr-Latn-RS"/>
        </w:rPr>
      </w:pPr>
      <w:r w:rsidRPr="00E75889">
        <w:rPr>
          <w:sz w:val="22"/>
          <w:szCs w:val="22"/>
          <w:lang w:val="sr-Latn-RS"/>
        </w:rPr>
        <w:t xml:space="preserve">PML </w:t>
      </w:r>
      <w:r w:rsidR="00CA71A3">
        <w:rPr>
          <w:sz w:val="22"/>
          <w:szCs w:val="22"/>
          <w:lang w:val="sr-Latn-RS"/>
        </w:rPr>
        <w:t xml:space="preserve">je </w:t>
      </w:r>
      <w:r w:rsidRPr="00E75889">
        <w:rPr>
          <w:sz w:val="22"/>
          <w:szCs w:val="22"/>
          <w:lang w:val="sr-Latn-RS"/>
        </w:rPr>
        <w:t xml:space="preserve">zabilježena tokom liječenja fingolimodom nakon registracije lijeka (vidjeti </w:t>
      </w:r>
      <w:r w:rsidR="00282BF1" w:rsidRPr="00E75889">
        <w:rPr>
          <w:sz w:val="22"/>
          <w:szCs w:val="22"/>
          <w:lang w:val="sr-Latn-RS"/>
        </w:rPr>
        <w:t>dio</w:t>
      </w:r>
      <w:r w:rsidRPr="00E75889">
        <w:rPr>
          <w:sz w:val="22"/>
          <w:szCs w:val="22"/>
          <w:lang w:val="sr-Latn-RS"/>
        </w:rPr>
        <w:t xml:space="preserve"> 4.8).</w:t>
      </w:r>
      <w:r w:rsidR="00BF42F0" w:rsidRPr="00E75889">
        <w:rPr>
          <w:sz w:val="22"/>
          <w:szCs w:val="22"/>
          <w:lang w:val="sr-Latn-RS"/>
        </w:rPr>
        <w:t xml:space="preserve"> </w:t>
      </w:r>
      <w:r w:rsidRPr="00E75889">
        <w:rPr>
          <w:sz w:val="22"/>
          <w:szCs w:val="22"/>
          <w:lang w:val="sr-Latn-RS"/>
        </w:rPr>
        <w:t xml:space="preserve">PML je </w:t>
      </w:r>
      <w:r w:rsidRPr="00E75889">
        <w:rPr>
          <w:sz w:val="22"/>
          <w:szCs w:val="22"/>
          <w:lang w:val="sr-Latn-RS"/>
        </w:rPr>
        <w:lastRenderedPageBreak/>
        <w:t xml:space="preserve">oportunistička infekcija koju uzrokuje </w:t>
      </w:r>
      <w:r w:rsidRPr="00E75889">
        <w:rPr>
          <w:i/>
          <w:sz w:val="22"/>
          <w:szCs w:val="22"/>
          <w:lang w:val="sr-Latn-RS"/>
        </w:rPr>
        <w:t>John Cunningham</w:t>
      </w:r>
      <w:r w:rsidRPr="00E75889">
        <w:rPr>
          <w:sz w:val="22"/>
          <w:szCs w:val="22"/>
          <w:lang w:val="sr-Latn-RS"/>
        </w:rPr>
        <w:t xml:space="preserve"> virusom (JCV) i koja može biti </w:t>
      </w:r>
      <w:r w:rsidR="008A40CC" w:rsidRPr="00E75889">
        <w:rPr>
          <w:sz w:val="22"/>
          <w:szCs w:val="22"/>
          <w:lang w:val="sr-Latn-RS"/>
        </w:rPr>
        <w:t>sa smrtnim ishodom</w:t>
      </w:r>
      <w:r w:rsidRPr="00E75889">
        <w:rPr>
          <w:sz w:val="22"/>
          <w:szCs w:val="22"/>
          <w:lang w:val="sr-Latn-RS"/>
        </w:rPr>
        <w:t xml:space="preserve"> ili može dovesti do teške onesposobljenosti. </w:t>
      </w:r>
      <w:r w:rsidR="00CA71A3">
        <w:rPr>
          <w:sz w:val="22"/>
          <w:szCs w:val="22"/>
          <w:lang w:val="sr-Latn-RS"/>
        </w:rPr>
        <w:t>Većina s</w:t>
      </w:r>
      <w:r w:rsidRPr="00E75889">
        <w:rPr>
          <w:sz w:val="22"/>
          <w:szCs w:val="22"/>
          <w:lang w:val="sr-Latn-RS"/>
        </w:rPr>
        <w:t>lučajev</w:t>
      </w:r>
      <w:r w:rsidR="00CA71A3">
        <w:rPr>
          <w:sz w:val="22"/>
          <w:szCs w:val="22"/>
          <w:lang w:val="sr-Latn-RS"/>
        </w:rPr>
        <w:t>a</w:t>
      </w:r>
      <w:r w:rsidRPr="00E75889">
        <w:rPr>
          <w:sz w:val="22"/>
          <w:szCs w:val="22"/>
          <w:lang w:val="sr-Latn-RS"/>
        </w:rPr>
        <w:t xml:space="preserve"> PML su se događal</w:t>
      </w:r>
      <w:r w:rsidR="00CA71A3">
        <w:rPr>
          <w:sz w:val="22"/>
          <w:szCs w:val="22"/>
          <w:lang w:val="sr-Latn-RS"/>
        </w:rPr>
        <w:t>a</w:t>
      </w:r>
      <w:r w:rsidRPr="00E75889">
        <w:rPr>
          <w:sz w:val="22"/>
          <w:szCs w:val="22"/>
          <w:lang w:val="sr-Latn-RS"/>
        </w:rPr>
        <w:t xml:space="preserve"> nakon 2</w:t>
      </w:r>
      <w:r w:rsidR="00CA71A3">
        <w:rPr>
          <w:sz w:val="22"/>
          <w:szCs w:val="22"/>
          <w:lang w:val="sr-Latn-RS"/>
        </w:rPr>
        <w:t xml:space="preserve"> ili više</w:t>
      </w:r>
      <w:r w:rsidRPr="00E75889">
        <w:rPr>
          <w:sz w:val="22"/>
          <w:szCs w:val="22"/>
          <w:lang w:val="sr-Latn-RS"/>
        </w:rPr>
        <w:t xml:space="preserve"> godin</w:t>
      </w:r>
      <w:r w:rsidR="00CA71A3">
        <w:rPr>
          <w:sz w:val="22"/>
          <w:szCs w:val="22"/>
          <w:lang w:val="sr-Latn-RS"/>
        </w:rPr>
        <w:t>a</w:t>
      </w:r>
      <w:r w:rsidRPr="00E75889">
        <w:rPr>
          <w:sz w:val="22"/>
          <w:szCs w:val="22"/>
          <w:lang w:val="sr-Latn-RS"/>
        </w:rPr>
        <w:t xml:space="preserve"> liječenja </w:t>
      </w:r>
      <w:r w:rsidR="00CA71A3">
        <w:rPr>
          <w:sz w:val="22"/>
          <w:szCs w:val="22"/>
          <w:lang w:val="sr-Latn-RS"/>
        </w:rPr>
        <w:t>fingolimodom</w:t>
      </w:r>
      <w:r w:rsidRPr="00E75889">
        <w:rPr>
          <w:sz w:val="22"/>
          <w:szCs w:val="22"/>
          <w:lang w:val="sr-Latn-RS"/>
        </w:rPr>
        <w:t>.</w:t>
      </w:r>
      <w:r w:rsidR="00BF42F0" w:rsidRPr="00E75889">
        <w:rPr>
          <w:sz w:val="22"/>
          <w:szCs w:val="22"/>
          <w:lang w:val="sr-Latn-RS"/>
        </w:rPr>
        <w:t xml:space="preserve"> </w:t>
      </w:r>
      <w:r w:rsidR="00CA71A3">
        <w:rPr>
          <w:sz w:val="22"/>
          <w:szCs w:val="22"/>
          <w:lang w:val="sr-Latn-CS"/>
        </w:rPr>
        <w:t>Dodatno uz trajanje izloženosti fingolimodu, drugi potencijalni faktori za PML uključuju prethodnu terapiju imunosupresivima ili imunomodulatorima, i/ili teška limfopenija (</w:t>
      </w:r>
      <w:r w:rsidR="00CA71A3" w:rsidRPr="000473C9">
        <w:rPr>
          <w:sz w:val="22"/>
          <w:szCs w:val="22"/>
          <w:lang w:val="sr-Latn-CS"/>
        </w:rPr>
        <w:t>&lt;</w:t>
      </w:r>
      <w:r w:rsidR="004C71A8">
        <w:rPr>
          <w:sz w:val="22"/>
          <w:szCs w:val="22"/>
          <w:lang w:val="sr-Latn-CS"/>
        </w:rPr>
        <w:t xml:space="preserve"> </w:t>
      </w:r>
      <w:r w:rsidR="00CA71A3" w:rsidRPr="000473C9">
        <w:rPr>
          <w:sz w:val="22"/>
          <w:szCs w:val="22"/>
          <w:lang w:val="sr-Latn-CS"/>
        </w:rPr>
        <w:t>0</w:t>
      </w:r>
      <w:r w:rsidR="00CA71A3">
        <w:rPr>
          <w:sz w:val="22"/>
          <w:szCs w:val="22"/>
          <w:lang w:val="sr-Latn-CS"/>
        </w:rPr>
        <w:t>,</w:t>
      </w:r>
      <w:r w:rsidR="00CA71A3" w:rsidRPr="000473C9">
        <w:rPr>
          <w:sz w:val="22"/>
          <w:szCs w:val="22"/>
          <w:lang w:val="sr-Latn-CS"/>
        </w:rPr>
        <w:t>5x10</w:t>
      </w:r>
      <w:r w:rsidR="00CA71A3" w:rsidRPr="00CE20A8">
        <w:rPr>
          <w:sz w:val="22"/>
          <w:szCs w:val="22"/>
          <w:vertAlign w:val="superscript"/>
          <w:lang w:val="sr-Latn-CS"/>
        </w:rPr>
        <w:t>9</w:t>
      </w:r>
      <w:r w:rsidR="00CA71A3" w:rsidRPr="000473C9">
        <w:rPr>
          <w:sz w:val="22"/>
          <w:szCs w:val="22"/>
          <w:lang w:val="sr-Latn-CS"/>
        </w:rPr>
        <w:t>/</w:t>
      </w:r>
      <w:r w:rsidR="004C71A8">
        <w:rPr>
          <w:sz w:val="22"/>
          <w:szCs w:val="22"/>
          <w:lang w:val="sr-Latn-CS"/>
        </w:rPr>
        <w:t>l</w:t>
      </w:r>
      <w:r w:rsidR="00CA71A3">
        <w:rPr>
          <w:sz w:val="22"/>
          <w:szCs w:val="22"/>
          <w:lang w:val="sr-Latn-CS"/>
        </w:rPr>
        <w:t>). Bilo koji znaci ili simptomi PML-a treba da budu pažljivo praćeni kod pacijenata sa povećanim rizikom.</w:t>
      </w:r>
      <w:r w:rsidRPr="00E75889">
        <w:rPr>
          <w:sz w:val="22"/>
          <w:szCs w:val="22"/>
          <w:lang w:val="sr-Latn-RS"/>
        </w:rPr>
        <w:t xml:space="preserve"> PML se može javiti samo u prisustvu infekcije JC virusom. Ako se sprovodi testiranje na JC virus, potrebno je imati u vidu da uticaj limfopenije na tačnost testiranja na anti – JCV antitijela nije bio ispitan kod pacijenata liječenih fingolimodom. </w:t>
      </w:r>
      <w:r w:rsidR="00CA71A3">
        <w:rPr>
          <w:sz w:val="22"/>
          <w:szCs w:val="22"/>
          <w:lang w:val="sr-Latn-RS"/>
        </w:rPr>
        <w:t>N</w:t>
      </w:r>
      <w:r w:rsidRPr="00E75889">
        <w:rPr>
          <w:sz w:val="22"/>
          <w:szCs w:val="22"/>
          <w:lang w:val="sr-Latn-RS"/>
        </w:rPr>
        <w:t>egativan test na anti-JCV antitijela ne isključuje mogućnost naknadne infekcije JC virusom. Prije započinjanja terapije fingolimodom, potrebno je imati početni snimak MR-om (obično napravljen u okviru tri mjeseca) kao referencu. Tokom rutinskog snimanja MR</w:t>
      </w:r>
      <w:r w:rsidR="00BF42F0" w:rsidRPr="00E75889">
        <w:rPr>
          <w:sz w:val="22"/>
          <w:szCs w:val="22"/>
          <w:lang w:val="sr-Latn-RS"/>
        </w:rPr>
        <w:t xml:space="preserve"> </w:t>
      </w:r>
      <w:r w:rsidRPr="00E75889">
        <w:rPr>
          <w:sz w:val="22"/>
          <w:szCs w:val="22"/>
          <w:lang w:val="sr-Latn-RS"/>
        </w:rPr>
        <w:t xml:space="preserve">(u skladu sa nacionalnim i lokalnim preporukama), ljekari treba da obrate pažnju na lezije koje upućuju na PML. </w:t>
      </w:r>
      <w:r w:rsidR="00CA71A3" w:rsidRPr="00812BD2">
        <w:rPr>
          <w:sz w:val="22"/>
          <w:szCs w:val="22"/>
          <w:lang w:val="sr-Latn-CS"/>
        </w:rPr>
        <w:t xml:space="preserve">Nalazi </w:t>
      </w:r>
      <w:r w:rsidR="00CA71A3" w:rsidRPr="00771BC1">
        <w:rPr>
          <w:sz w:val="22"/>
          <w:szCs w:val="22"/>
          <w:lang w:val="sr-Latn-CS"/>
        </w:rPr>
        <w:t>MRI</w:t>
      </w:r>
      <w:r w:rsidR="00CA71A3" w:rsidRPr="00812BD2">
        <w:rPr>
          <w:sz w:val="22"/>
          <w:szCs w:val="22"/>
          <w:lang w:val="sr-Latn-CS"/>
        </w:rPr>
        <w:t xml:space="preserve"> mogu da se pojave pr</w:t>
      </w:r>
      <w:r w:rsidR="0018726B">
        <w:rPr>
          <w:sz w:val="22"/>
          <w:szCs w:val="22"/>
          <w:lang w:val="sr-Latn-CS"/>
        </w:rPr>
        <w:t>ij</w:t>
      </w:r>
      <w:r w:rsidR="00CA71A3" w:rsidRPr="00812BD2">
        <w:rPr>
          <w:sz w:val="22"/>
          <w:szCs w:val="22"/>
          <w:lang w:val="sr-Latn-CS"/>
        </w:rPr>
        <w:t xml:space="preserve">e kliničkih znakova ili simptoma. </w:t>
      </w:r>
      <w:r w:rsidR="00CA71A3">
        <w:rPr>
          <w:sz w:val="22"/>
          <w:szCs w:val="22"/>
          <w:lang w:val="sr-Latn-CS"/>
        </w:rPr>
        <w:t xml:space="preserve">Godišnji </w:t>
      </w:r>
      <w:r w:rsidRPr="00E75889">
        <w:rPr>
          <w:sz w:val="22"/>
          <w:szCs w:val="22"/>
          <w:lang w:val="sr-Latn-RS"/>
        </w:rPr>
        <w:t>MR se može smatrati kao dio povećan</w:t>
      </w:r>
      <w:r w:rsidR="00CA71A3">
        <w:rPr>
          <w:sz w:val="22"/>
          <w:szCs w:val="22"/>
          <w:lang w:val="sr-Latn-RS"/>
        </w:rPr>
        <w:t>e</w:t>
      </w:r>
      <w:r w:rsidRPr="00E75889">
        <w:rPr>
          <w:sz w:val="22"/>
          <w:szCs w:val="22"/>
          <w:lang w:val="sr-Latn-RS"/>
        </w:rPr>
        <w:t xml:space="preserve"> oprez</w:t>
      </w:r>
      <w:r w:rsidR="00CA71A3">
        <w:rPr>
          <w:sz w:val="22"/>
          <w:szCs w:val="22"/>
          <w:lang w:val="sr-Latn-RS"/>
        </w:rPr>
        <w:t>nosti</w:t>
      </w:r>
      <w:r w:rsidRPr="00E75889">
        <w:rPr>
          <w:sz w:val="22"/>
          <w:szCs w:val="22"/>
          <w:lang w:val="sr-Latn-RS"/>
        </w:rPr>
        <w:t xml:space="preserve"> </w:t>
      </w:r>
      <w:r w:rsidR="00CA71A3">
        <w:rPr>
          <w:sz w:val="22"/>
          <w:szCs w:val="22"/>
          <w:lang w:val="sr-Latn-RS"/>
        </w:rPr>
        <w:t xml:space="preserve">posebno </w:t>
      </w:r>
      <w:r w:rsidRPr="00E75889">
        <w:rPr>
          <w:sz w:val="22"/>
          <w:szCs w:val="22"/>
          <w:lang w:val="sr-Latn-RS"/>
        </w:rPr>
        <w:t xml:space="preserve">kod pacijenata </w:t>
      </w:r>
      <w:r w:rsidR="00CA71A3">
        <w:rPr>
          <w:sz w:val="22"/>
          <w:szCs w:val="22"/>
          <w:lang w:val="sr-Latn-RS"/>
        </w:rPr>
        <w:t xml:space="preserve">koji </w:t>
      </w:r>
      <w:r w:rsidRPr="00E75889">
        <w:rPr>
          <w:sz w:val="22"/>
          <w:szCs w:val="22"/>
          <w:lang w:val="sr-Latn-RS"/>
        </w:rPr>
        <w:t>su izloženi povećanom riziku od PML. Prijavljivani su slučajevi asimptomatske PML na osnovu nalaza MR-a i pozitivne JCV DNK u cerebrospinalnoj tečnosti pacijenta na terapiji fingolimodom. Ako se sumnja na PML, neophodno je odmah obaviti snimanje MR-om u dijagnostičke svrhe, a liječenje fingolimodom treba</w:t>
      </w:r>
      <w:r w:rsidR="00BF42F0" w:rsidRPr="00E75889">
        <w:rPr>
          <w:sz w:val="22"/>
          <w:szCs w:val="22"/>
          <w:lang w:val="sr-Latn-RS"/>
        </w:rPr>
        <w:t xml:space="preserve"> </w:t>
      </w:r>
      <w:r w:rsidRPr="00E75889">
        <w:rPr>
          <w:sz w:val="22"/>
          <w:szCs w:val="22"/>
          <w:lang w:val="sr-Latn-RS"/>
        </w:rPr>
        <w:t>obustaviti dok se ne isključi PML.</w:t>
      </w:r>
      <w:r w:rsidR="00CA71A3" w:rsidRPr="00CA71A3">
        <w:t xml:space="preserve"> </w:t>
      </w:r>
      <w:r w:rsidR="00CA71A3" w:rsidRPr="00CA71A3">
        <w:rPr>
          <w:sz w:val="22"/>
          <w:szCs w:val="22"/>
          <w:lang w:val="sr-Latn-RS"/>
        </w:rPr>
        <w:t>Ako se PML potvrdi, terapija fingolimodom mora da bude trajno obustavljena (takođe vid</w:t>
      </w:r>
      <w:r w:rsidR="0018726B">
        <w:rPr>
          <w:sz w:val="22"/>
          <w:szCs w:val="22"/>
          <w:lang w:val="sr-Latn-RS"/>
        </w:rPr>
        <w:t>j</w:t>
      </w:r>
      <w:r w:rsidR="00CA71A3" w:rsidRPr="00CA71A3">
        <w:rPr>
          <w:sz w:val="22"/>
          <w:szCs w:val="22"/>
          <w:lang w:val="sr-Latn-RS"/>
        </w:rPr>
        <w:t xml:space="preserve">eti </w:t>
      </w:r>
      <w:r w:rsidR="00D850DD">
        <w:rPr>
          <w:sz w:val="22"/>
          <w:szCs w:val="22"/>
          <w:lang w:val="sr-Latn-RS"/>
        </w:rPr>
        <w:t>dio</w:t>
      </w:r>
      <w:r w:rsidR="00CA71A3" w:rsidRPr="00CA71A3">
        <w:rPr>
          <w:sz w:val="22"/>
          <w:szCs w:val="22"/>
          <w:lang w:val="sr-Latn-RS"/>
        </w:rPr>
        <w:t>4.3).</w:t>
      </w:r>
    </w:p>
    <w:p w14:paraId="366B71A0" w14:textId="77777777" w:rsidR="00CA71A3" w:rsidRPr="00CA71A3" w:rsidRDefault="00CA71A3" w:rsidP="00CA71A3">
      <w:pPr>
        <w:widowControl w:val="0"/>
        <w:jc w:val="both"/>
        <w:rPr>
          <w:sz w:val="22"/>
          <w:szCs w:val="22"/>
          <w:lang w:val="sr-Latn-RS"/>
        </w:rPr>
      </w:pPr>
    </w:p>
    <w:p w14:paraId="2D72D9B1" w14:textId="3A78E3E5" w:rsidR="00EB75FD" w:rsidRPr="00E75889" w:rsidRDefault="00CA71A3" w:rsidP="00CA71A3">
      <w:pPr>
        <w:widowControl w:val="0"/>
        <w:jc w:val="both"/>
        <w:rPr>
          <w:sz w:val="22"/>
          <w:szCs w:val="22"/>
          <w:lang w:val="sr-Latn-RS"/>
        </w:rPr>
      </w:pPr>
      <w:r w:rsidRPr="00CA71A3">
        <w:rPr>
          <w:sz w:val="22"/>
          <w:szCs w:val="22"/>
          <w:lang w:val="sr-Latn-RS"/>
        </w:rPr>
        <w:t>Imunski rekonstitucioni inflamatorni sindrom (IRIS) je prijavljivan kod pacijenata na terapiji modulatorima receptora sfingozin-1-fosfata (S1P), uključujući fingolimod, kod kojih se pojavio PML i koji su posl</w:t>
      </w:r>
      <w:r w:rsidR="0018726B">
        <w:rPr>
          <w:sz w:val="22"/>
          <w:szCs w:val="22"/>
          <w:lang w:val="sr-Latn-RS"/>
        </w:rPr>
        <w:t>j</w:t>
      </w:r>
      <w:r w:rsidRPr="00CA71A3">
        <w:rPr>
          <w:sz w:val="22"/>
          <w:szCs w:val="22"/>
          <w:lang w:val="sr-Latn-RS"/>
        </w:rPr>
        <w:t>edično obustavili terapiju. IRIS predstavlja kliničko pogoršanje stanja pacijenta koje može biti rapidno, dovesti do ozbiljnih neuroloških komplikacija ili smrti, i često je povezan sa karakterističnim promenama na MRI. Vr</w:t>
      </w:r>
      <w:r w:rsidR="0018726B">
        <w:rPr>
          <w:sz w:val="22"/>
          <w:szCs w:val="22"/>
          <w:lang w:val="sr-Latn-RS"/>
        </w:rPr>
        <w:t>ij</w:t>
      </w:r>
      <w:r w:rsidRPr="00CA71A3">
        <w:rPr>
          <w:sz w:val="22"/>
          <w:szCs w:val="22"/>
          <w:lang w:val="sr-Latn-RS"/>
        </w:rPr>
        <w:t>eme koje protekne do pojave IRIS-a kod pacijenata sa PML je obično ned</w:t>
      </w:r>
      <w:r w:rsidR="0018726B">
        <w:rPr>
          <w:sz w:val="22"/>
          <w:szCs w:val="22"/>
          <w:lang w:val="sr-Latn-RS"/>
        </w:rPr>
        <w:t>j</w:t>
      </w:r>
      <w:r w:rsidRPr="00CA71A3">
        <w:rPr>
          <w:sz w:val="22"/>
          <w:szCs w:val="22"/>
          <w:lang w:val="sr-Latn-RS"/>
        </w:rPr>
        <w:t>eljama ili m</w:t>
      </w:r>
      <w:r w:rsidR="0018726B">
        <w:rPr>
          <w:sz w:val="22"/>
          <w:szCs w:val="22"/>
          <w:lang w:val="sr-Latn-RS"/>
        </w:rPr>
        <w:t>j</w:t>
      </w:r>
      <w:r w:rsidRPr="00CA71A3">
        <w:rPr>
          <w:sz w:val="22"/>
          <w:szCs w:val="22"/>
          <w:lang w:val="sr-Latn-RS"/>
        </w:rPr>
        <w:t>esecima nakon obustave modulatora receptora sfingozin-1-fosfata (S1P). Potrebno je sprovoditi praćenje razvoja IRIS-a i odgovarajuću terapiju povezane inflamacije.</w:t>
      </w:r>
    </w:p>
    <w:p w14:paraId="2A16258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EAB92A7" w14:textId="77777777"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eastAsia="en-US"/>
        </w:rPr>
      </w:pPr>
      <w:r w:rsidRPr="00E75889">
        <w:rPr>
          <w:i/>
          <w:sz w:val="22"/>
          <w:szCs w:val="22"/>
          <w:lang w:val="sr-Latn-RS" w:eastAsia="en-US"/>
        </w:rPr>
        <w:t>Infekcija humanim papilloma virusom</w:t>
      </w:r>
    </w:p>
    <w:p w14:paraId="0725D0E3" w14:textId="3294D61A"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Infekcija humanim papilloma virusom (HPV), uključujući papilome, displaziju, bradavice i HPV-povezani kancer, prijavljivani su tokom terapije fingolimodom u postmarketinškom periodu (vidjeti </w:t>
      </w:r>
      <w:r w:rsidR="00282BF1" w:rsidRPr="00E75889">
        <w:rPr>
          <w:sz w:val="22"/>
          <w:szCs w:val="22"/>
          <w:lang w:val="sr-Latn-RS"/>
        </w:rPr>
        <w:t>dio</w:t>
      </w:r>
      <w:r w:rsidRPr="00E75889">
        <w:rPr>
          <w:sz w:val="22"/>
          <w:szCs w:val="22"/>
          <w:lang w:val="sr-Latn-RS"/>
        </w:rPr>
        <w:t xml:space="preserve"> 4.8). Zbog imunosupresivnih karakteristika fingolimoda, vakcinaciju protiv HPV treba razmotriti prije započinjanja terapije fingolimodom uzimajući u obzir preporuke za vakcinaciju. Preporučuje se skrining na kancer, uključujući P</w:t>
      </w:r>
      <w:r w:rsidR="00335887" w:rsidRPr="00E75889">
        <w:rPr>
          <w:sz w:val="22"/>
          <w:szCs w:val="22"/>
          <w:lang w:val="sr-Latn-RS"/>
        </w:rPr>
        <w:t>APA</w:t>
      </w:r>
      <w:r w:rsidRPr="00E75889">
        <w:rPr>
          <w:sz w:val="22"/>
          <w:szCs w:val="22"/>
          <w:lang w:val="sr-Latn-RS"/>
        </w:rPr>
        <w:t xml:space="preserve"> test prema standardnoj proceduri. </w:t>
      </w:r>
    </w:p>
    <w:p w14:paraId="1FA83057" w14:textId="77777777" w:rsidR="00EB75FD" w:rsidRPr="00E75889" w:rsidRDefault="00EB75FD" w:rsidP="00E75889">
      <w:pPr>
        <w:pStyle w:val="Bodytext1"/>
        <w:widowControl w:val="0"/>
        <w:shd w:val="clear" w:color="auto" w:fill="auto"/>
        <w:spacing w:before="0" w:after="0" w:line="240" w:lineRule="auto"/>
        <w:ind w:firstLine="0"/>
        <w:jc w:val="both"/>
        <w:rPr>
          <w:rStyle w:val="Bodytext13"/>
          <w:sz w:val="22"/>
          <w:szCs w:val="22"/>
          <w:shd w:val="clear" w:color="auto" w:fill="auto"/>
          <w:lang w:val="sr-Latn-RS" w:eastAsia="en-US"/>
        </w:rPr>
      </w:pPr>
    </w:p>
    <w:p w14:paraId="12533AC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3"/>
          <w:sz w:val="22"/>
          <w:szCs w:val="22"/>
          <w:shd w:val="clear" w:color="auto" w:fill="auto"/>
          <w:lang w:val="sr-Latn-RS" w:eastAsia="en-US"/>
        </w:rPr>
        <w:t>Edem makule</w:t>
      </w:r>
    </w:p>
    <w:p w14:paraId="1E0358A3" w14:textId="6C943E7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Edem makule sa ili bez vidnih simptoma prijavljen je kod 0,5% pacijenata na terapiji 0,5 mg fingolimoda, i to uglavnom u prvih</w:t>
      </w:r>
      <w:r w:rsidR="00BF42F0" w:rsidRPr="00E75889">
        <w:rPr>
          <w:sz w:val="22"/>
          <w:szCs w:val="22"/>
          <w:lang w:val="sr-Latn-RS" w:eastAsia="en-US"/>
        </w:rPr>
        <w:t xml:space="preserve"> </w:t>
      </w:r>
      <w:r w:rsidRPr="00E75889">
        <w:rPr>
          <w:sz w:val="22"/>
          <w:szCs w:val="22"/>
          <w:lang w:val="sr-Latn-RS" w:eastAsia="en-US"/>
        </w:rPr>
        <w:t xml:space="preserve">3-4 mjeseci terapije (vidjeti </w:t>
      </w:r>
      <w:r w:rsidR="00282BF1" w:rsidRPr="00E75889">
        <w:rPr>
          <w:sz w:val="22"/>
          <w:szCs w:val="22"/>
          <w:lang w:val="sr-Latn-RS" w:eastAsia="en-US"/>
        </w:rPr>
        <w:t>dio</w:t>
      </w:r>
      <w:r w:rsidRPr="00E75889">
        <w:rPr>
          <w:sz w:val="22"/>
          <w:szCs w:val="22"/>
          <w:lang w:val="sr-Latn-RS" w:eastAsia="en-US"/>
        </w:rPr>
        <w:t xml:space="preserve"> 4.8). Stoga se preporučuje oftalmološki pregled 3-4 mjeseca nakon započinjanja terapije. Ako se pacijent požali na bilo kakve poremećaje vida u bilo kom trenutku dok prima ovu terapiju, treba izvršiti pregled očnog dna, uključujući i makulu.</w:t>
      </w:r>
    </w:p>
    <w:p w14:paraId="016C255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CE1DA1E" w14:textId="6B204F1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Pacijenti sa anamnestičkim podacima o uveitisu i pacijenti sa diabetes mellitus-om imaju povećani rizik od razvoja edema makule (vidjeti </w:t>
      </w:r>
      <w:r w:rsidR="00282BF1" w:rsidRPr="00E75889">
        <w:rPr>
          <w:sz w:val="22"/>
          <w:szCs w:val="22"/>
          <w:lang w:val="sr-Latn-RS" w:eastAsia="en-US"/>
        </w:rPr>
        <w:t>dio</w:t>
      </w:r>
      <w:r w:rsidRPr="00E75889">
        <w:rPr>
          <w:sz w:val="22"/>
          <w:szCs w:val="22"/>
          <w:lang w:val="sr-Latn-RS" w:eastAsia="en-US"/>
        </w:rPr>
        <w:t xml:space="preserve"> 4.8). Fingolimod nije ispitivan kod pacijenata sa multiplom sklerozom koji istovremeno imaju i diabetes mellitus. Preporučuje se da se pacijenti koji istovremeno imaju multiplu sklerozu i diabetes mellitus ili sa anamnestičkim podacima o uveitisu, prije uvođenja terapije imaju oftalmološki pregled, a potom da idu na kontrolne preglede i tokom terapije.</w:t>
      </w:r>
    </w:p>
    <w:p w14:paraId="6F79845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3D7FCD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Nije procjenjivan nastavak terapije fingolimodom kod pacijenata koji imaju edem makule. Preporučuje se da se lijek Gilenya obustavi ako pacijent razvije edem makule. Odlučivanje o tome da li terapija fingolimodom treba da se ponovo uvede pošto se edem makule povuče, treba da uzme u obzir potencijalne koristi i rizike za svakog pacijenta posebno.</w:t>
      </w:r>
    </w:p>
    <w:p w14:paraId="300B17D3" w14:textId="77777777" w:rsidR="00EB75FD" w:rsidRPr="00E75889" w:rsidRDefault="00EB75FD" w:rsidP="00E75889">
      <w:pPr>
        <w:pStyle w:val="Bodytext1"/>
        <w:widowControl w:val="0"/>
        <w:shd w:val="clear" w:color="auto" w:fill="auto"/>
        <w:spacing w:before="0" w:after="0" w:line="240" w:lineRule="auto"/>
        <w:ind w:firstLine="0"/>
        <w:jc w:val="both"/>
        <w:rPr>
          <w:rStyle w:val="Bodytext13"/>
          <w:sz w:val="22"/>
          <w:szCs w:val="22"/>
          <w:shd w:val="clear" w:color="auto" w:fill="auto"/>
          <w:lang w:val="sr-Latn-RS" w:eastAsia="en-US"/>
        </w:rPr>
      </w:pPr>
    </w:p>
    <w:p w14:paraId="349DC61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3"/>
          <w:sz w:val="22"/>
          <w:szCs w:val="22"/>
          <w:shd w:val="clear" w:color="auto" w:fill="auto"/>
          <w:lang w:val="sr-Latn-RS" w:eastAsia="en-US"/>
        </w:rPr>
        <w:t>Oštećenje jetre</w:t>
      </w:r>
    </w:p>
    <w:p w14:paraId="23C4D199" w14:textId="2F0CD24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Povišene vrijednosti enzima jetre, posebno alanin aminotransaminaza (ALT), ali i gama glutamiltransferaza (GGT) i aspartat transaminaza (AST), zabilježene su kod pacijenata sa multiplom sklerozom koji su bili na terapiji fingolimodom. </w:t>
      </w:r>
      <w:r w:rsidRPr="00E75889">
        <w:rPr>
          <w:sz w:val="22"/>
          <w:szCs w:val="22"/>
          <w:lang w:val="sr-Latn-RS"/>
        </w:rPr>
        <w:t>Prijavljeni su slučajevi akutne insuficijencije jetre koji su zahtijevali transplantaciju jetre i</w:t>
      </w:r>
      <w:r w:rsidR="00335887" w:rsidRPr="00E75889">
        <w:rPr>
          <w:sz w:val="22"/>
          <w:szCs w:val="22"/>
          <w:lang w:val="sr-Latn-RS"/>
        </w:rPr>
        <w:t xml:space="preserve"> slučajevi</w:t>
      </w:r>
      <w:r w:rsidRPr="00E75889">
        <w:rPr>
          <w:sz w:val="22"/>
          <w:szCs w:val="22"/>
          <w:lang w:val="sr-Latn-RS"/>
        </w:rPr>
        <w:t xml:space="preserve"> klinički značajn</w:t>
      </w:r>
      <w:r w:rsidR="00335887" w:rsidRPr="00E75889">
        <w:rPr>
          <w:sz w:val="22"/>
          <w:szCs w:val="22"/>
          <w:lang w:val="sr-Latn-RS"/>
        </w:rPr>
        <w:t>og</w:t>
      </w:r>
      <w:r w:rsidRPr="00E75889">
        <w:rPr>
          <w:sz w:val="22"/>
          <w:szCs w:val="22"/>
          <w:lang w:val="sr-Latn-RS"/>
        </w:rPr>
        <w:t xml:space="preserve"> oštećenja</w:t>
      </w:r>
      <w:r w:rsidR="003850DE" w:rsidRPr="00E75889">
        <w:rPr>
          <w:sz w:val="22"/>
          <w:szCs w:val="22"/>
          <w:lang w:val="sr-Latn-RS"/>
        </w:rPr>
        <w:t xml:space="preserve"> funkcije</w:t>
      </w:r>
      <w:r w:rsidRPr="00E75889">
        <w:rPr>
          <w:sz w:val="22"/>
          <w:szCs w:val="22"/>
          <w:lang w:val="sr-Latn-RS"/>
        </w:rPr>
        <w:t xml:space="preserve"> jetre. Znaci oštećenja </w:t>
      </w:r>
      <w:r w:rsidR="003850DE" w:rsidRPr="00E75889">
        <w:rPr>
          <w:sz w:val="22"/>
          <w:szCs w:val="22"/>
          <w:lang w:val="sr-Latn-RS"/>
        </w:rPr>
        <w:lastRenderedPageBreak/>
        <w:t xml:space="preserve">funkcije </w:t>
      </w:r>
      <w:r w:rsidRPr="00E75889">
        <w:rPr>
          <w:sz w:val="22"/>
          <w:szCs w:val="22"/>
          <w:lang w:val="sr-Latn-RS"/>
        </w:rPr>
        <w:t xml:space="preserve">jetre, uključujući izraženo povećanje vrijednosti enzima jetre u serumu i povećanje ukupnog bilirubina, najranije su se javili nakon deset dana od prve doze lijeka i takođe su prijavljeni nakon duže primjene lijeka. </w:t>
      </w:r>
      <w:r w:rsidRPr="00E75889">
        <w:rPr>
          <w:sz w:val="22"/>
          <w:szCs w:val="22"/>
          <w:lang w:val="sr-Latn-RS" w:eastAsia="en-US"/>
        </w:rPr>
        <w:t xml:space="preserve">U kliničkim studijama, došlo je do povećanja ALT do vrijednosti tri ili više puta većih od gornje granice referentnih vrijednosti (engl. </w:t>
      </w:r>
      <w:r w:rsidRPr="00E75889">
        <w:rPr>
          <w:i/>
          <w:sz w:val="22"/>
          <w:szCs w:val="22"/>
          <w:lang w:val="sr-Latn-RS" w:eastAsia="en-US"/>
        </w:rPr>
        <w:t>upper limit of normal</w:t>
      </w:r>
      <w:r w:rsidRPr="00E75889">
        <w:rPr>
          <w:sz w:val="22"/>
          <w:szCs w:val="22"/>
          <w:lang w:val="sr-Latn-RS" w:eastAsia="en-US"/>
        </w:rPr>
        <w:t>, ULN) kod 8,0% odraslih pacijenata liječenih fingolimodom od 0,5 mg u poređenju sa 1,9% pacijenata koji su uzimali placebo. Povećanje do vrijednosti petostruko veće od ULN zabilježeno je kod 1,8% pacijenata liječenih fingolimodom i kod 0,9% pacijenata na placebu. U kliničkim studijama, fingolimod je obustavljan ako su vrijednosti bile više od petostruke vrijednosti ULN. Ponovni skok transaminaza jetre javljao se pri ponovnom izlaganju kod nekih pacijenata, što potvrđuje povezanost sa fingolimodom. U kliničkim ispitivanjima, povećanja transaminaza su se javljala u različitim vremenima terapije, iako se većina javljala u prvih 12 mjeseci. Vrijednosti transaminaza u serumu su se normalizovale u roku od približno 2 mjeseca po obustavi terapije fingolimodom.</w:t>
      </w:r>
    </w:p>
    <w:p w14:paraId="50A9966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4FAB8C5" w14:textId="4511BB3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nije ispitivan kod pacijenata sa već postojećim težim oštećenjem</w:t>
      </w:r>
      <w:r w:rsidR="00D100FE" w:rsidRPr="00E75889">
        <w:rPr>
          <w:sz w:val="22"/>
          <w:szCs w:val="22"/>
          <w:lang w:val="sr-Latn-RS" w:eastAsia="en-US"/>
        </w:rPr>
        <w:t xml:space="preserve"> funkcije</w:t>
      </w:r>
      <w:r w:rsidRPr="00E75889">
        <w:rPr>
          <w:sz w:val="22"/>
          <w:szCs w:val="22"/>
          <w:lang w:val="sr-Latn-RS" w:eastAsia="en-US"/>
        </w:rPr>
        <w:t xml:space="preserve"> jetre (Child-Pugh klase C) i kod ovih pacijenata ne treba da se koristi (vidjeti </w:t>
      </w:r>
      <w:r w:rsidR="00282BF1" w:rsidRPr="00E75889">
        <w:rPr>
          <w:sz w:val="22"/>
          <w:szCs w:val="22"/>
          <w:lang w:val="sr-Latn-RS" w:eastAsia="en-US"/>
        </w:rPr>
        <w:t>dio</w:t>
      </w:r>
      <w:r w:rsidRPr="00E75889">
        <w:rPr>
          <w:sz w:val="22"/>
          <w:szCs w:val="22"/>
          <w:lang w:val="sr-Latn-RS" w:eastAsia="en-US"/>
        </w:rPr>
        <w:t xml:space="preserve"> 4.3).</w:t>
      </w:r>
    </w:p>
    <w:p w14:paraId="718F138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8EC8067" w14:textId="7172CC3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Zbog imunosupresivnih svojstava fingolimoda, uvođenje ove terapije treba odložiti kod pacijenata sa aktivnim virusnim hepatitisom, dok ne dođe do remisije.</w:t>
      </w:r>
      <w:r w:rsidR="00BF42F0" w:rsidRPr="00E75889">
        <w:rPr>
          <w:sz w:val="22"/>
          <w:szCs w:val="22"/>
          <w:lang w:val="sr-Latn-RS" w:eastAsia="en-US"/>
        </w:rPr>
        <w:t xml:space="preserve"> </w:t>
      </w:r>
    </w:p>
    <w:p w14:paraId="4406B3F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0335F60" w14:textId="3022A3B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Prije uvođenja terapije fingolimodom potrebno je imati skorašnje rezultate nivoa transaminaza i bilirubina (tj. ne stariji od 6 mjeseci). Ako nema kliničkih simptoma, transaminaze jetre i bilirubin u serumu treba određivati poslije 1, 3, 6, 9 i 12 mjeseci na ovoj terapiji, i periodično nakon toga dok ne prođe 2 mjeseca od obustave terapije lijekom Gilenya. </w:t>
      </w:r>
      <w:r w:rsidRPr="00E75889">
        <w:rPr>
          <w:sz w:val="22"/>
          <w:szCs w:val="22"/>
          <w:lang w:val="sr-Latn-RS"/>
        </w:rPr>
        <w:t>Ako nema kliničkih simptoma, i ako su vrijednosti transaminaza veće od trostruke ali manje od petostruke vrijednosti ULN bez povećanja serumskog bilirubina, potrebno je uvesti češća mjerenja serumskog bilirubina i alkalne fosfataze da bi se potvrdilo da li se javljaju dalja povećanja i da bi se utvrdilo da li postoji alternativna etiologija poremećaja funkcije jetre. Ako su vrijednosti transaminaza jetre najmanje petostruke vrijednosti ULN ili najmanje trostruke vrijednosti ULN povezane sa bilo kojim povećanjem serumskog bilirubina, terapiju lijekom Gilenya treba obustaviti. Praćenje funkcije jetre treba nastaviti. Ako se vrijednosti u serumu vrate na normalu (uključujući i to da je alternativni uzrok poremećaja funkcije jetre otkriven), terapija lijekom Gilenya može ponovo da se započne na osnovu pažljive procjene korist-rizik za pacijenta.</w:t>
      </w:r>
      <w:r w:rsidR="00BF42F0" w:rsidRPr="00E75889">
        <w:rPr>
          <w:sz w:val="22"/>
          <w:szCs w:val="22"/>
          <w:lang w:val="sr-Latn-RS"/>
        </w:rPr>
        <w:t xml:space="preserve"> </w:t>
      </w:r>
    </w:p>
    <w:p w14:paraId="5DDED2B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847C04E" w14:textId="65F18A1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eastAsia="en-US"/>
        </w:rPr>
        <w:t>Pacijentima koji razviju simptome koji ukazuju na disfunkciju jetre, kao što su neobjašnjiva</w:t>
      </w:r>
      <w:r w:rsidR="00BF42F0" w:rsidRPr="00E75889">
        <w:rPr>
          <w:sz w:val="22"/>
          <w:szCs w:val="22"/>
          <w:lang w:val="sr-Latn-RS" w:eastAsia="en-US"/>
        </w:rPr>
        <w:t xml:space="preserve"> </w:t>
      </w:r>
      <w:r w:rsidRPr="00E75889">
        <w:rPr>
          <w:sz w:val="22"/>
          <w:szCs w:val="22"/>
          <w:lang w:val="sr-Latn-RS" w:eastAsia="en-US"/>
        </w:rPr>
        <w:t>mučnina, povraćanje, abdominalni bol, zamor, anoreksija, ili žutica i/ili tamno prebojeni urin, treba odmah provjeriti vrijednosti enzima jetre i bilirubina, i</w:t>
      </w:r>
      <w:r w:rsidR="00BF42F0" w:rsidRPr="00E75889">
        <w:rPr>
          <w:sz w:val="22"/>
          <w:szCs w:val="22"/>
          <w:lang w:val="sr-Latn-RS" w:eastAsia="en-US"/>
        </w:rPr>
        <w:t xml:space="preserve"> </w:t>
      </w:r>
      <w:r w:rsidRPr="00E75889">
        <w:rPr>
          <w:sz w:val="22"/>
          <w:szCs w:val="22"/>
          <w:lang w:val="sr-Latn-RS" w:eastAsia="en-US"/>
        </w:rPr>
        <w:t xml:space="preserve">obustaviti terapiju ako se potvrdi značajnije oštećenje. </w:t>
      </w:r>
      <w:r w:rsidRPr="00E75889">
        <w:rPr>
          <w:sz w:val="22"/>
          <w:szCs w:val="22"/>
          <w:lang w:val="sr-Latn-RS"/>
        </w:rPr>
        <w:t xml:space="preserve">Terapiju ne treba ponovo započinjati osim ako se ne potvrdi verodostojna alternativna etiologija znakova i simptoma oštećenja jetre. </w:t>
      </w:r>
    </w:p>
    <w:p w14:paraId="4B045A83" w14:textId="77777777" w:rsidR="00335887" w:rsidRPr="00E75889" w:rsidRDefault="00335887" w:rsidP="00E75889">
      <w:pPr>
        <w:pStyle w:val="Bodytext1"/>
        <w:widowControl w:val="0"/>
        <w:shd w:val="clear" w:color="auto" w:fill="auto"/>
        <w:spacing w:before="0" w:after="0" w:line="240" w:lineRule="auto"/>
        <w:ind w:firstLine="0"/>
        <w:jc w:val="both"/>
        <w:rPr>
          <w:sz w:val="22"/>
          <w:szCs w:val="22"/>
          <w:lang w:val="sr-Latn-RS"/>
        </w:rPr>
      </w:pPr>
    </w:p>
    <w:p w14:paraId="03A93EC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Iako nema podataka koji bi ukazivali na to da su pacijenti sa već postojećim oboljenjem jetre izloženi većem riziku od razvoja povišenih vrijednosti funkcionalnih testova jetre kada uzimaju lijek Gilenya, treba biti oprezan sa primjenom lijeka Gilenya kod pacijenata koji imaju anamnestičke podatke o značajnijim oboljenjima jetre.</w:t>
      </w:r>
    </w:p>
    <w:p w14:paraId="0EDA85AE"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743637A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2"/>
          <w:sz w:val="22"/>
          <w:szCs w:val="22"/>
          <w:lang w:val="sr-Latn-RS" w:eastAsia="en-US"/>
        </w:rPr>
        <w:t>Dejstva na krvni pritisak</w:t>
      </w:r>
    </w:p>
    <w:p w14:paraId="5F02185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Pacijenti sa hipertenzijom koja nije kontrolisana ljekovima bili su isključeni iz učestvovanja u premarketinškim kliničkim studijama te je za te pacijente sa neregulisanom hipertenzijom potreban poseban oprez ukoliko se liječe lijekom Gilenya.</w:t>
      </w:r>
    </w:p>
    <w:p w14:paraId="6E6CF2F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4B19F08" w14:textId="3864BB2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kliničkim ispitivanjima</w:t>
      </w:r>
      <w:r w:rsidR="00BF42F0" w:rsidRPr="00E75889">
        <w:rPr>
          <w:sz w:val="22"/>
          <w:szCs w:val="22"/>
          <w:lang w:val="sr-Latn-RS" w:eastAsia="en-US"/>
        </w:rPr>
        <w:t xml:space="preserve"> </w:t>
      </w:r>
      <w:r w:rsidRPr="00E75889">
        <w:rPr>
          <w:sz w:val="22"/>
          <w:szCs w:val="22"/>
          <w:lang w:val="sr-Latn-RS" w:eastAsia="en-US"/>
        </w:rPr>
        <w:t xml:space="preserve">multiple skleroze, pacijenti koji su liječeni sa 0,5 mg fingolimoda u prosjeku su imali povećanje sistolnog krvnog pritiska od oko 3 mmHg, a dijastolnog </w:t>
      </w:r>
      <w:r w:rsidR="00594422" w:rsidRPr="00E75889">
        <w:rPr>
          <w:sz w:val="22"/>
          <w:szCs w:val="22"/>
          <w:lang w:val="sr-Latn-RS" w:eastAsia="en-US"/>
        </w:rPr>
        <w:t xml:space="preserve">krvnog pritiska </w:t>
      </w:r>
      <w:r w:rsidRPr="00E75889">
        <w:rPr>
          <w:sz w:val="22"/>
          <w:szCs w:val="22"/>
          <w:lang w:val="sr-Latn-RS" w:eastAsia="en-US"/>
        </w:rPr>
        <w:t>približno 1 mmHg, što je otkrivano po prvi put približno 1 mjesec po započinjanju terapije, a zadržalo se u nastavku terapije. U jednoj dvogodišnjoj placebo-kontrolisanoj studiji, hipertenzija je zabilježena kao neželjeni događaj kod 6,5% pacijenata koji su uzimali 0,5 mg fingolimoda i kod 3,3% onih koji su primali placebo. Prema tome, krvni pritisak je potrebno redovno pratiti tokom terapije.</w:t>
      </w:r>
    </w:p>
    <w:p w14:paraId="0D2EE3D4"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5AE7016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2"/>
          <w:sz w:val="22"/>
          <w:szCs w:val="22"/>
          <w:lang w:val="sr-Latn-RS" w:eastAsia="en-US"/>
        </w:rPr>
        <w:t>Respiratorna dejstva</w:t>
      </w:r>
    </w:p>
    <w:p w14:paraId="6B2D8789" w14:textId="698F49CD"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lastRenderedPageBreak/>
        <w:t>Manja dozno zavisna smanjenja vrijednosti forsiranog ekspiratornog volumena (FEV</w:t>
      </w:r>
      <w:r w:rsidRPr="00E75889">
        <w:rPr>
          <w:rStyle w:val="Bodytext4pt"/>
          <w:sz w:val="22"/>
          <w:szCs w:val="22"/>
          <w:lang w:val="sr-Latn-RS"/>
        </w:rPr>
        <w:t>1</w:t>
      </w:r>
      <w:r w:rsidRPr="00E75889">
        <w:rPr>
          <w:sz w:val="22"/>
          <w:szCs w:val="22"/>
          <w:lang w:val="sr-Latn-RS" w:eastAsia="en-US"/>
        </w:rPr>
        <w:t>) i difuzionog kapaciteta za ugljen monoksid (</w:t>
      </w:r>
      <w:r w:rsidR="00594422" w:rsidRPr="00E75889">
        <w:rPr>
          <w:sz w:val="22"/>
          <w:szCs w:val="22"/>
          <w:lang w:val="sr-Latn-RS" w:eastAsia="en-US"/>
        </w:rPr>
        <w:t xml:space="preserve">engl. </w:t>
      </w:r>
      <w:r w:rsidR="00594422" w:rsidRPr="00E75889">
        <w:rPr>
          <w:i/>
          <w:iCs/>
          <w:sz w:val="22"/>
          <w:szCs w:val="22"/>
          <w:lang w:val="sr-Latn-RS" w:eastAsia="en-US"/>
        </w:rPr>
        <w:t>diffusion capacity for carbon monoxide</w:t>
      </w:r>
      <w:r w:rsidR="00594422" w:rsidRPr="00E75889">
        <w:rPr>
          <w:sz w:val="22"/>
          <w:szCs w:val="22"/>
          <w:lang w:val="sr-Latn-RS" w:eastAsia="en-US"/>
        </w:rPr>
        <w:t xml:space="preserve">, </w:t>
      </w:r>
      <w:r w:rsidRPr="00E75889">
        <w:rPr>
          <w:sz w:val="22"/>
          <w:szCs w:val="22"/>
          <w:lang w:val="sr-Latn-RS" w:eastAsia="en-US"/>
        </w:rPr>
        <w:t xml:space="preserve">DLCO) zabilježeni su kod terapije fingolimodom prvog mjeseca, ali su vrijednosti potom bile stabilne. Lijek Gilenya treba oprezno da se koristi kod pacijenata sa teškim respiratornim bolestima, plućnom fibrozom i hroničnom opstruktivnom bolešću pluća (vidjeti </w:t>
      </w:r>
      <w:r w:rsidR="00282BF1" w:rsidRPr="00E75889">
        <w:rPr>
          <w:sz w:val="22"/>
          <w:szCs w:val="22"/>
          <w:lang w:val="sr-Latn-RS" w:eastAsia="en-US"/>
        </w:rPr>
        <w:t>dio</w:t>
      </w:r>
      <w:r w:rsidRPr="00E75889">
        <w:rPr>
          <w:sz w:val="22"/>
          <w:szCs w:val="22"/>
          <w:lang w:val="sr-Latn-RS" w:eastAsia="en-US"/>
        </w:rPr>
        <w:t xml:space="preserve"> 4.8).</w:t>
      </w:r>
    </w:p>
    <w:p w14:paraId="4CB578AC"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68E33985" w14:textId="77777777" w:rsidR="00EB75FD" w:rsidRPr="00E75889" w:rsidRDefault="00EB75FD" w:rsidP="00E75889">
      <w:pPr>
        <w:widowControl w:val="0"/>
        <w:jc w:val="both"/>
        <w:rPr>
          <w:sz w:val="22"/>
          <w:szCs w:val="22"/>
          <w:u w:val="single"/>
          <w:lang w:val="sr-Latn-RS"/>
        </w:rPr>
      </w:pPr>
      <w:r w:rsidRPr="00E75889">
        <w:rPr>
          <w:sz w:val="22"/>
          <w:szCs w:val="22"/>
          <w:u w:val="single"/>
          <w:lang w:val="sr-Latn-RS"/>
        </w:rPr>
        <w:t>Sindrom posteriorne reverzibilne encefalopatije</w:t>
      </w:r>
    </w:p>
    <w:p w14:paraId="702297C1" w14:textId="43F8A0EF" w:rsidR="00EB75FD" w:rsidRPr="00E75889" w:rsidRDefault="00EB75FD" w:rsidP="00E75889">
      <w:pPr>
        <w:widowControl w:val="0"/>
        <w:jc w:val="both"/>
        <w:rPr>
          <w:sz w:val="22"/>
          <w:szCs w:val="22"/>
          <w:lang w:val="sr-Latn-RS"/>
        </w:rPr>
      </w:pPr>
      <w:r w:rsidRPr="00E75889">
        <w:rPr>
          <w:sz w:val="22"/>
          <w:szCs w:val="22"/>
          <w:lang w:val="sr-Latn-RS"/>
        </w:rPr>
        <w:t>Rijetki slučajevi sindroma posteriorne reverzibilne encefalopatije (</w:t>
      </w:r>
      <w:r w:rsidR="00457216" w:rsidRPr="00E75889">
        <w:rPr>
          <w:sz w:val="22"/>
          <w:szCs w:val="22"/>
          <w:lang w:val="sr-Latn-RS"/>
        </w:rPr>
        <w:t xml:space="preserve">engl. </w:t>
      </w:r>
      <w:r w:rsidR="00457216" w:rsidRPr="00E75889">
        <w:rPr>
          <w:i/>
          <w:iCs/>
          <w:sz w:val="22"/>
          <w:szCs w:val="22"/>
          <w:lang w:val="sr-Latn-RS"/>
        </w:rPr>
        <w:t>posterior reversible encephalopathy syndrome</w:t>
      </w:r>
      <w:r w:rsidR="00457216" w:rsidRPr="00E75889">
        <w:rPr>
          <w:sz w:val="22"/>
          <w:szCs w:val="22"/>
          <w:lang w:val="sr-Latn-RS"/>
        </w:rPr>
        <w:t xml:space="preserve">, </w:t>
      </w:r>
      <w:r w:rsidRPr="00E75889">
        <w:rPr>
          <w:sz w:val="22"/>
          <w:szCs w:val="22"/>
          <w:lang w:val="sr-Latn-RS"/>
        </w:rPr>
        <w:t xml:space="preserve">PRES) zabilježeni su pri dozi od 0,5 mg u kliničkim ispitivanjima i nakon stavljanja lijeka u promet (vidjeti </w:t>
      </w:r>
      <w:r w:rsidR="00282BF1" w:rsidRPr="00E75889">
        <w:rPr>
          <w:sz w:val="22"/>
          <w:szCs w:val="22"/>
          <w:lang w:val="sr-Latn-RS"/>
        </w:rPr>
        <w:t>dio</w:t>
      </w:r>
      <w:r w:rsidRPr="00E75889">
        <w:rPr>
          <w:sz w:val="22"/>
          <w:szCs w:val="22"/>
          <w:lang w:val="sr-Latn-RS"/>
        </w:rPr>
        <w:t> 4.8). Zabilježeni simptomi uključuju iznenadni napad teške glavobolje, mučninu, povraćanje, promjenu mentalnog stanja, smetnje u vidu i napade. Simptomi PRES-a su obično reverzibilni, ali se mogu razviti u ishemijski moždani udar ili moždano krvarenje. Odložena dijagnoza i liječenje mogu dovesti do trajnih neuroloških posljedica. Ako se sumnja na PRES, terapiju lijekom Gilenya treba prekinuti.</w:t>
      </w:r>
    </w:p>
    <w:p w14:paraId="7A24AB4A" w14:textId="77777777" w:rsidR="00EB75FD" w:rsidRPr="00E75889" w:rsidRDefault="00EB75FD" w:rsidP="00E75889">
      <w:pPr>
        <w:widowControl w:val="0"/>
        <w:jc w:val="both"/>
        <w:rPr>
          <w:sz w:val="22"/>
          <w:szCs w:val="22"/>
          <w:lang w:val="sr-Latn-RS"/>
        </w:rPr>
      </w:pPr>
    </w:p>
    <w:p w14:paraId="6BCC308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2"/>
          <w:sz w:val="22"/>
          <w:szCs w:val="22"/>
          <w:lang w:val="sr-Latn-RS" w:eastAsia="en-US"/>
        </w:rPr>
        <w:t>Prethodna imunosupresivna ili imunomodulatorna terapija</w:t>
      </w:r>
    </w:p>
    <w:p w14:paraId="136F0550" w14:textId="19EB36B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Nijesu rađene studije koje bi procijenile efikasnost i bezbjednost fingolimoda kada pacijenti prelaze sa terapije teriflunomidom, dimetil fumaratom ili alemtuzumabom na lijek Gilenya. Prilikom prelaska pacijenata sa bilo koje druge terapije koja modifikuje tok bolesti na lijek Gilenya, u obzir se moraju uzeti poluvrijeme eliminacije i način djelovanja druge terapije radi izbjegavanja aditivnih imunoloških efekata uz istovremeno smanjivanje rizika od reaktivacije bolesti. Uzimanje kompletne krvne slike se preporučuje prije započinjanja terapije lijekom Gilenya kako bi se provjerilo da su se imunološki efekti od prethodne terapije (npr. citopenija) povukli.</w:t>
      </w:r>
    </w:p>
    <w:p w14:paraId="252B863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1C794C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Generalno, terapija lijekom Gilenya se može započeti odmah nakon obustave terapije interferonom ili glatiramer acetatom. </w:t>
      </w:r>
    </w:p>
    <w:p w14:paraId="30A3C97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673FFD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Za dimetil fumarat, period eliminacije lijeka iz organizma mora da bude adekvatan zbog oporavka krvne slike prije započinjanja terapije lijekom Gilenya.</w:t>
      </w:r>
    </w:p>
    <w:p w14:paraId="7B2BBF3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8546DF6" w14:textId="6E19A3FA"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Zbog dugog poluvremena eliminacije natalizumaba, eliminacija obično traje do 2-3 mjeseca po obustavi. Teriflunomid se takođe sporo eliminiše iz plazme. Bez procesa ubrzane eliminacije, uklanjanje</w:t>
      </w:r>
      <w:r w:rsidR="00BF42F0" w:rsidRPr="00E75889">
        <w:rPr>
          <w:sz w:val="22"/>
          <w:szCs w:val="22"/>
          <w:lang w:val="sr-Latn-RS" w:eastAsia="en-US"/>
        </w:rPr>
        <w:t xml:space="preserve"> </w:t>
      </w:r>
      <w:r w:rsidRPr="00E75889">
        <w:rPr>
          <w:sz w:val="22"/>
          <w:szCs w:val="22"/>
          <w:lang w:val="sr-Latn-RS" w:eastAsia="en-US"/>
        </w:rPr>
        <w:t>teriflunomida iz plazme može trajati od nekoliko mjeseci do 2 godine. Preporučuje se proces ubrzane eliminacije opisan u Sažetku karakteristika lijeka za teriflunomid, u suprotnom period eliminacije lijeka iz organizma ne smije da bude kraći od 3,5 mjeseci. Neophodna je opreznost zbog mogućeg istovremenog imunološkog efekta kada pacijenti prelaze sa natalizumaba ili teriflunomida na lijek Gilenya.</w:t>
      </w:r>
    </w:p>
    <w:p w14:paraId="3A0B584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04744F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Alemtuzumab ima snažne i produžene imunosupresivne efekate. S obzirom da je stvarno trajanja ovih efekata nepoznato, ne preporučuje se započinjanje terapije lijekom Gilenya nakon terapije alemtuzumabom, osim ukoliko korist od ove terapije jasno prevazilazi rizik kod svakog pacijenta posebno.</w:t>
      </w:r>
    </w:p>
    <w:p w14:paraId="292D53A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AF00A89" w14:textId="77777777" w:rsidR="00EB75FD" w:rsidRPr="00E75889" w:rsidRDefault="00EB75FD" w:rsidP="00E75889">
      <w:pPr>
        <w:widowControl w:val="0"/>
        <w:jc w:val="both"/>
        <w:rPr>
          <w:sz w:val="22"/>
          <w:szCs w:val="22"/>
          <w:lang w:val="sr-Latn-RS"/>
        </w:rPr>
      </w:pPr>
      <w:r w:rsidRPr="00E75889">
        <w:rPr>
          <w:sz w:val="22"/>
          <w:szCs w:val="22"/>
          <w:lang w:val="sr-Latn-RS"/>
        </w:rPr>
        <w:t>Odluku o istovremenoj primjeni produžene terapije kortikosteroidima treba donijeti nakon pažljivog razmatranja.</w:t>
      </w:r>
    </w:p>
    <w:p w14:paraId="75D0F8D1"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6CE65BF7" w14:textId="77777777" w:rsidR="00EB75FD" w:rsidRPr="00E75889" w:rsidRDefault="00EB75FD" w:rsidP="00E75889">
      <w:pPr>
        <w:widowControl w:val="0"/>
        <w:jc w:val="both"/>
        <w:rPr>
          <w:sz w:val="22"/>
          <w:szCs w:val="22"/>
          <w:u w:val="single"/>
          <w:lang w:val="sr-Latn-RS"/>
        </w:rPr>
      </w:pPr>
      <w:r w:rsidRPr="00E75889">
        <w:rPr>
          <w:sz w:val="22"/>
          <w:szCs w:val="22"/>
          <w:u w:val="single"/>
          <w:lang w:val="sr-Latn-RS"/>
        </w:rPr>
        <w:t>Istovremena primjena sa snažnim induktorima CYP450</w:t>
      </w:r>
    </w:p>
    <w:p w14:paraId="5C62FE40" w14:textId="43444BAB" w:rsidR="00EB75FD" w:rsidRPr="00E75889" w:rsidRDefault="00EB75FD" w:rsidP="00E75889">
      <w:pPr>
        <w:widowControl w:val="0"/>
        <w:jc w:val="both"/>
        <w:rPr>
          <w:sz w:val="22"/>
          <w:szCs w:val="22"/>
          <w:lang w:val="sr-Latn-RS"/>
        </w:rPr>
      </w:pPr>
      <w:r w:rsidRPr="00E75889">
        <w:rPr>
          <w:sz w:val="22"/>
          <w:szCs w:val="22"/>
          <w:lang w:val="sr-Latn-RS"/>
        </w:rPr>
        <w:t xml:space="preserve">Kombinaciju fingolimoda i snažnih induktora CYP450 potrebno je oprezno primjenjivati. Istovremena primjena sa kantarionom se ne preporučuje (vidjeti </w:t>
      </w:r>
      <w:r w:rsidR="00282BF1" w:rsidRPr="00E75889">
        <w:rPr>
          <w:sz w:val="22"/>
          <w:szCs w:val="22"/>
          <w:lang w:val="sr-Latn-RS"/>
        </w:rPr>
        <w:t>dio</w:t>
      </w:r>
      <w:r w:rsidRPr="00E75889">
        <w:rPr>
          <w:sz w:val="22"/>
          <w:szCs w:val="22"/>
          <w:lang w:val="sr-Latn-RS"/>
        </w:rPr>
        <w:t> 4.5).</w:t>
      </w:r>
    </w:p>
    <w:p w14:paraId="5CC0D043" w14:textId="77777777" w:rsidR="00EB75FD" w:rsidRPr="00E75889" w:rsidRDefault="00EB75FD" w:rsidP="00E75889">
      <w:pPr>
        <w:widowControl w:val="0"/>
        <w:jc w:val="both"/>
        <w:rPr>
          <w:sz w:val="22"/>
          <w:szCs w:val="22"/>
          <w:lang w:val="sr-Latn-RS"/>
        </w:rPr>
      </w:pPr>
    </w:p>
    <w:p w14:paraId="6C029392" w14:textId="6F9F1DA3" w:rsidR="00EB75FD" w:rsidRPr="00E75889" w:rsidRDefault="00797552" w:rsidP="00E75889">
      <w:pPr>
        <w:widowControl w:val="0"/>
        <w:jc w:val="both"/>
        <w:rPr>
          <w:sz w:val="22"/>
          <w:szCs w:val="22"/>
          <w:u w:val="single"/>
          <w:lang w:val="sr-Latn-RS"/>
        </w:rPr>
      </w:pPr>
      <w:r w:rsidRPr="00E75889">
        <w:rPr>
          <w:sz w:val="22"/>
          <w:szCs w:val="22"/>
          <w:u w:val="single"/>
          <w:lang w:val="sr-Latn-RS"/>
        </w:rPr>
        <w:t>Maligne bolesti</w:t>
      </w:r>
      <w:r w:rsidR="00EB75FD" w:rsidRPr="00E75889">
        <w:rPr>
          <w:sz w:val="22"/>
          <w:szCs w:val="22"/>
          <w:u w:val="single"/>
          <w:lang w:val="sr-Latn-RS"/>
        </w:rPr>
        <w:t xml:space="preserve"> </w:t>
      </w:r>
    </w:p>
    <w:p w14:paraId="39E44432" w14:textId="77777777" w:rsidR="00EB75FD" w:rsidRPr="00E75889" w:rsidRDefault="00EB75FD" w:rsidP="00E75889">
      <w:pPr>
        <w:widowControl w:val="0"/>
        <w:jc w:val="both"/>
        <w:rPr>
          <w:sz w:val="22"/>
          <w:szCs w:val="22"/>
          <w:lang w:val="sr-Latn-RS"/>
        </w:rPr>
      </w:pPr>
    </w:p>
    <w:p w14:paraId="05190B42" w14:textId="43BEC9B0" w:rsidR="00EB75FD" w:rsidRPr="00E75889" w:rsidRDefault="00797552" w:rsidP="00E75889">
      <w:pPr>
        <w:widowControl w:val="0"/>
        <w:tabs>
          <w:tab w:val="left" w:pos="720"/>
        </w:tabs>
        <w:spacing w:line="260" w:lineRule="exact"/>
        <w:jc w:val="both"/>
        <w:rPr>
          <w:sz w:val="22"/>
          <w:szCs w:val="22"/>
          <w:u w:val="single"/>
          <w:lang w:val="sr-Latn-RS"/>
        </w:rPr>
      </w:pPr>
      <w:r w:rsidRPr="00E75889">
        <w:rPr>
          <w:i/>
          <w:iCs/>
          <w:sz w:val="22"/>
          <w:szCs w:val="22"/>
          <w:u w:val="single"/>
          <w:lang w:val="sr-Latn-RS"/>
        </w:rPr>
        <w:t>Maligne bolesti kože</w:t>
      </w:r>
    </w:p>
    <w:p w14:paraId="2CD19554" w14:textId="4104B9E5" w:rsidR="00EB75FD" w:rsidRPr="00E75889" w:rsidRDefault="00EB75FD" w:rsidP="00E75889">
      <w:pPr>
        <w:widowControl w:val="0"/>
        <w:tabs>
          <w:tab w:val="left" w:pos="720"/>
        </w:tabs>
        <w:spacing w:line="260" w:lineRule="exact"/>
        <w:jc w:val="both"/>
        <w:rPr>
          <w:sz w:val="22"/>
          <w:szCs w:val="22"/>
          <w:lang w:val="sr-Latn-RS"/>
        </w:rPr>
      </w:pPr>
      <w:r w:rsidRPr="00E75889">
        <w:rPr>
          <w:sz w:val="22"/>
          <w:szCs w:val="22"/>
          <w:lang w:val="sr-Latn-RS"/>
        </w:rPr>
        <w:t xml:space="preserve">Kod pacijenata koji primjenjuju lijek Gilenya, prijavljeni su slučajevi bazocelularnog karcinoma (BCC) i drugih kožnih neoplazmi, uključujući maligni melanom, karcinom skvamoznih ćelija, Kapošijev sarkom i karcinom Merkelovih ćelija (vidjeti </w:t>
      </w:r>
      <w:r w:rsidR="00282BF1" w:rsidRPr="00E75889">
        <w:rPr>
          <w:sz w:val="22"/>
          <w:szCs w:val="22"/>
          <w:lang w:val="sr-Latn-RS"/>
        </w:rPr>
        <w:t>dio</w:t>
      </w:r>
      <w:r w:rsidRPr="00E75889">
        <w:rPr>
          <w:sz w:val="22"/>
          <w:szCs w:val="22"/>
          <w:lang w:val="sr-Latn-RS"/>
        </w:rPr>
        <w:t xml:space="preserve"> 4.8). Neophodno je praćenje pojave lezija na koži i preporučuje se ljekarski pregled kože na početku primjene lijeka, a zatim na svakih 6 do 12 mjeseci </w:t>
      </w:r>
      <w:r w:rsidRPr="00E75889">
        <w:rPr>
          <w:sz w:val="22"/>
          <w:szCs w:val="22"/>
          <w:lang w:val="sr-Latn-RS"/>
        </w:rPr>
        <w:lastRenderedPageBreak/>
        <w:t>prema kliničkoj procjeni. U slučaju da se otkriju sumnjive lezije, pacijenta treba uputiti dermatologu.</w:t>
      </w:r>
    </w:p>
    <w:p w14:paraId="7F5A93C0"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50E31D97" w14:textId="4F0FD40C"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u w:val="none"/>
          <w:lang w:val="sr-Latn-RS"/>
        </w:rPr>
      </w:pPr>
      <w:r w:rsidRPr="00E75889">
        <w:rPr>
          <w:rStyle w:val="Bodytext12"/>
          <w:sz w:val="22"/>
          <w:szCs w:val="22"/>
          <w:u w:val="none"/>
          <w:lang w:val="sr-Latn-RS"/>
        </w:rPr>
        <w:t xml:space="preserve">Zbog potencijalnog rizika od nastanka malignih promjena na koži, pacijente liječene fingolimodom treba upozoriti da se ne izlažu sunčevoj svjetlosti bez </w:t>
      </w:r>
      <w:r w:rsidR="009268C0" w:rsidRPr="00E75889">
        <w:rPr>
          <w:rStyle w:val="Bodytext12"/>
          <w:sz w:val="22"/>
          <w:szCs w:val="22"/>
          <w:u w:val="none"/>
          <w:lang w:val="sr-Latn-RS"/>
        </w:rPr>
        <w:t xml:space="preserve">odgovarajuće </w:t>
      </w:r>
      <w:r w:rsidRPr="00E75889">
        <w:rPr>
          <w:rStyle w:val="Bodytext12"/>
          <w:sz w:val="22"/>
          <w:szCs w:val="22"/>
          <w:u w:val="none"/>
          <w:lang w:val="sr-Latn-RS"/>
        </w:rPr>
        <w:t>zaštite. Ovi pacijenti ne treba istovremeno da prime fototerapiju UV-B zračenjem ili PUVA-fotohemoterapiju.</w:t>
      </w:r>
    </w:p>
    <w:p w14:paraId="59736DA6" w14:textId="6D206F4B" w:rsidR="009109C6" w:rsidRPr="00E75889" w:rsidRDefault="009109C6" w:rsidP="00E75889">
      <w:pPr>
        <w:pStyle w:val="Bodytext1"/>
        <w:widowControl w:val="0"/>
        <w:shd w:val="clear" w:color="auto" w:fill="auto"/>
        <w:spacing w:before="0" w:after="0" w:line="240" w:lineRule="auto"/>
        <w:ind w:firstLine="0"/>
        <w:jc w:val="both"/>
        <w:rPr>
          <w:rStyle w:val="Bodytext12"/>
          <w:i/>
          <w:iCs/>
          <w:sz w:val="22"/>
          <w:szCs w:val="22"/>
          <w:lang w:val="sr-Latn-RS"/>
        </w:rPr>
      </w:pPr>
    </w:p>
    <w:p w14:paraId="1B485695" w14:textId="070EE629" w:rsidR="00EB75FD" w:rsidRPr="00E75889" w:rsidRDefault="00EB75FD" w:rsidP="00E75889">
      <w:pPr>
        <w:pStyle w:val="Bodytext1"/>
        <w:widowControl w:val="0"/>
        <w:shd w:val="clear" w:color="auto" w:fill="auto"/>
        <w:spacing w:before="0" w:after="0" w:line="240" w:lineRule="auto"/>
        <w:ind w:firstLine="0"/>
        <w:jc w:val="both"/>
        <w:rPr>
          <w:rStyle w:val="Bodytext12"/>
          <w:i/>
          <w:iCs/>
          <w:sz w:val="22"/>
          <w:szCs w:val="22"/>
          <w:lang w:val="sr-Latn-RS"/>
        </w:rPr>
      </w:pPr>
      <w:r w:rsidRPr="00E75889">
        <w:rPr>
          <w:rStyle w:val="Bodytext12"/>
          <w:i/>
          <w:iCs/>
          <w:sz w:val="22"/>
          <w:szCs w:val="22"/>
          <w:lang w:val="sr-Latn-RS"/>
        </w:rPr>
        <w:t xml:space="preserve">Limfomi </w:t>
      </w:r>
    </w:p>
    <w:p w14:paraId="412E57AA" w14:textId="094C4C31"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u w:val="none"/>
          <w:lang w:val="sr-Latn-RS"/>
        </w:rPr>
      </w:pPr>
      <w:r w:rsidRPr="00E75889">
        <w:rPr>
          <w:rStyle w:val="Bodytext12"/>
          <w:sz w:val="22"/>
          <w:szCs w:val="22"/>
          <w:u w:val="none"/>
          <w:lang w:val="sr-Latn-RS"/>
        </w:rPr>
        <w:t xml:space="preserve">Bilo je slučajeva limfoma u kliničkim studijama i postmarketinškom ispitivanju (vidjeti </w:t>
      </w:r>
      <w:r w:rsidR="00282BF1" w:rsidRPr="00E75889">
        <w:rPr>
          <w:rStyle w:val="Bodytext12"/>
          <w:sz w:val="22"/>
          <w:szCs w:val="22"/>
          <w:u w:val="none"/>
          <w:lang w:val="sr-Latn-RS"/>
        </w:rPr>
        <w:t>dio</w:t>
      </w:r>
      <w:r w:rsidRPr="00E75889">
        <w:rPr>
          <w:rStyle w:val="Bodytext12"/>
          <w:sz w:val="22"/>
          <w:szCs w:val="22"/>
          <w:u w:val="none"/>
          <w:lang w:val="sr-Latn-RS"/>
        </w:rPr>
        <w:t xml:space="preserve"> 4.8). Prijavljeni slučajevi su bili heterogeni po prirodi, većinom non-Hodgkin-ov limfom, uključujući B-ćelijske i T-ćelijske limfome. Zapaženi su slučajevi  T-limfoma</w:t>
      </w:r>
      <w:r w:rsidR="007E25FF" w:rsidRPr="00E75889">
        <w:rPr>
          <w:rStyle w:val="Bodytext12"/>
          <w:sz w:val="22"/>
          <w:szCs w:val="22"/>
          <w:u w:val="none"/>
          <w:lang w:val="sr-Latn-RS"/>
        </w:rPr>
        <w:t xml:space="preserve"> kože</w:t>
      </w:r>
      <w:r w:rsidRPr="00E75889">
        <w:rPr>
          <w:rStyle w:val="Bodytext12"/>
          <w:sz w:val="22"/>
          <w:szCs w:val="22"/>
          <w:u w:val="none"/>
          <w:lang w:val="sr-Latn-RS"/>
        </w:rPr>
        <w:t xml:space="preserve"> (</w:t>
      </w:r>
      <w:r w:rsidRPr="00E75889">
        <w:rPr>
          <w:rStyle w:val="Bodytext12"/>
          <w:i/>
          <w:sz w:val="22"/>
          <w:szCs w:val="22"/>
          <w:u w:val="none"/>
          <w:lang w:val="sr-Latn-RS"/>
        </w:rPr>
        <w:t>mycosis fungoides</w:t>
      </w:r>
      <w:r w:rsidRPr="00E75889">
        <w:rPr>
          <w:rStyle w:val="Bodytext12"/>
          <w:sz w:val="22"/>
          <w:szCs w:val="22"/>
          <w:u w:val="none"/>
          <w:lang w:val="sr-Latn-RS"/>
        </w:rPr>
        <w:t xml:space="preserve">). Takođe je zapažen i Epstein-Barr virus (EBV) pozitivni B-ćelijski limfom sa smrtnim ishodom. Ako se sumnja na limfom, terapiju treba obustaviti. </w:t>
      </w:r>
    </w:p>
    <w:p w14:paraId="29E5DDD1"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727B5238"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r w:rsidRPr="00E75889">
        <w:rPr>
          <w:rStyle w:val="Bodytext12"/>
          <w:sz w:val="22"/>
          <w:szCs w:val="22"/>
          <w:lang w:val="sr-Latn-RS"/>
        </w:rPr>
        <w:t>Žene u reproduktivnom periodu</w:t>
      </w:r>
    </w:p>
    <w:p w14:paraId="000E3080"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3B673F3F" w14:textId="1870956B"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u w:val="none"/>
          <w:lang w:val="sr-Latn-RS"/>
        </w:rPr>
      </w:pPr>
      <w:r w:rsidRPr="00E75889">
        <w:rPr>
          <w:rStyle w:val="Bodytext12"/>
          <w:sz w:val="22"/>
          <w:szCs w:val="22"/>
          <w:u w:val="none"/>
          <w:lang w:val="sr-Latn-RS"/>
        </w:rPr>
        <w:t xml:space="preserve">Zbog rizika po fetus, fingolimod je kontraindikovan tokom trudnoće i kod žena u reproduktivnom periodu koje ne koriste efektivnu kontracepciju. Prije započinjanja terapije, žene u reproduktivnom periodu moraju da budu obaviještene o riziku po fetus, moraju da imaju negativan </w:t>
      </w:r>
      <w:r w:rsidR="00274451" w:rsidRPr="00E75889">
        <w:rPr>
          <w:rStyle w:val="Bodytext12"/>
          <w:sz w:val="22"/>
          <w:szCs w:val="22"/>
          <w:u w:val="none"/>
          <w:lang w:val="sr-Latn-RS"/>
        </w:rPr>
        <w:t xml:space="preserve">rezultat </w:t>
      </w:r>
      <w:r w:rsidRPr="00E75889">
        <w:rPr>
          <w:rStyle w:val="Bodytext12"/>
          <w:sz w:val="22"/>
          <w:szCs w:val="22"/>
          <w:u w:val="none"/>
          <w:lang w:val="sr-Latn-RS"/>
        </w:rPr>
        <w:t>test</w:t>
      </w:r>
      <w:r w:rsidR="00274451" w:rsidRPr="00E75889">
        <w:rPr>
          <w:rStyle w:val="Bodytext12"/>
          <w:sz w:val="22"/>
          <w:szCs w:val="22"/>
          <w:u w:val="none"/>
          <w:lang w:val="sr-Latn-RS"/>
        </w:rPr>
        <w:t>a</w:t>
      </w:r>
      <w:r w:rsidRPr="00E75889">
        <w:rPr>
          <w:rStyle w:val="Bodytext12"/>
          <w:sz w:val="22"/>
          <w:szCs w:val="22"/>
          <w:u w:val="none"/>
          <w:lang w:val="sr-Latn-RS"/>
        </w:rPr>
        <w:t xml:space="preserve"> na trudnoću i moraju da koriste efektivnu kontracepciju tokom terapije i 2 mjeseca nakon prestanka terapije (vidjeti </w:t>
      </w:r>
      <w:r w:rsidR="00282BF1" w:rsidRPr="00E75889">
        <w:rPr>
          <w:rStyle w:val="Bodytext12"/>
          <w:sz w:val="22"/>
          <w:szCs w:val="22"/>
          <w:u w:val="none"/>
          <w:lang w:val="sr-Latn-RS"/>
        </w:rPr>
        <w:t>djelove</w:t>
      </w:r>
      <w:r w:rsidRPr="00E75889">
        <w:rPr>
          <w:rStyle w:val="Bodytext12"/>
          <w:sz w:val="22"/>
          <w:szCs w:val="22"/>
          <w:u w:val="none"/>
          <w:lang w:val="sr-Latn-RS"/>
        </w:rPr>
        <w:t xml:space="preserve"> 4.3 i 4.6 i informaciju koja se nalazi u Edukativnom materijalu za ljekare).</w:t>
      </w:r>
      <w:r w:rsidR="00BF42F0" w:rsidRPr="00E75889">
        <w:rPr>
          <w:rStyle w:val="Bodytext12"/>
          <w:sz w:val="22"/>
          <w:szCs w:val="22"/>
          <w:u w:val="none"/>
          <w:lang w:val="sr-Latn-RS"/>
        </w:rPr>
        <w:t xml:space="preserve"> </w:t>
      </w:r>
    </w:p>
    <w:p w14:paraId="02F215D4"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1C3C2123"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r w:rsidRPr="00E75889">
        <w:rPr>
          <w:rStyle w:val="Bodytext12"/>
          <w:sz w:val="22"/>
          <w:szCs w:val="22"/>
          <w:lang w:val="sr-Latn-RS"/>
        </w:rPr>
        <w:t xml:space="preserve">Tumefaktne lezije </w:t>
      </w:r>
    </w:p>
    <w:p w14:paraId="49CFFB42"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u w:val="none"/>
          <w:lang w:val="sr-Latn-RS"/>
        </w:rPr>
      </w:pPr>
      <w:r w:rsidRPr="00E75889">
        <w:rPr>
          <w:rStyle w:val="Bodytext12"/>
          <w:sz w:val="22"/>
          <w:szCs w:val="22"/>
          <w:u w:val="none"/>
          <w:lang w:val="sr-Latn-RS"/>
        </w:rPr>
        <w:t xml:space="preserve">U postmarketinškom ispitivanju prijavljivani su rijetki slučajevi tumefaktnih lezija povezani sa relapsom multiple skleroze. U slučaju teških relapsa, treba da se uradi MRI da bi se isključile tumefaktne lezije. Ljekar treba da razmotri obustavu terapije od slučaja do slučaja na osnovu individualne koristi i rizika. </w:t>
      </w:r>
    </w:p>
    <w:p w14:paraId="4AE6DEA7"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15F8980B"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r w:rsidRPr="00E75889">
        <w:rPr>
          <w:rStyle w:val="Bodytext12"/>
          <w:sz w:val="22"/>
          <w:szCs w:val="22"/>
          <w:lang w:val="sr-Latn-RS"/>
        </w:rPr>
        <w:t>Povratak aktivnosti bolesti (</w:t>
      </w:r>
      <w:r w:rsidRPr="00E75889">
        <w:rPr>
          <w:rStyle w:val="Bodytext12"/>
          <w:i/>
          <w:sz w:val="22"/>
          <w:szCs w:val="22"/>
          <w:lang w:val="sr-Latn-RS"/>
        </w:rPr>
        <w:t xml:space="preserve">rebound </w:t>
      </w:r>
      <w:r w:rsidRPr="00E75889">
        <w:rPr>
          <w:rStyle w:val="Bodytext12"/>
          <w:sz w:val="22"/>
          <w:szCs w:val="22"/>
          <w:lang w:val="sr-Latn-RS"/>
        </w:rPr>
        <w:t>efekat)</w:t>
      </w:r>
      <w:r w:rsidRPr="00E75889">
        <w:rPr>
          <w:rStyle w:val="Bodytext11"/>
          <w:sz w:val="22"/>
          <w:szCs w:val="22"/>
          <w:lang w:val="sr-Latn-RS"/>
        </w:rPr>
        <w:t xml:space="preserve"> </w:t>
      </w:r>
      <w:r w:rsidRPr="00E75889">
        <w:rPr>
          <w:rStyle w:val="Bodytext12"/>
          <w:sz w:val="22"/>
          <w:szCs w:val="22"/>
          <w:lang w:val="sr-Latn-RS"/>
        </w:rPr>
        <w:t xml:space="preserve">nakon prestanka primjene fingolimoda </w:t>
      </w:r>
    </w:p>
    <w:p w14:paraId="7CED9CA2"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rPr>
      </w:pPr>
    </w:p>
    <w:p w14:paraId="429EED5C" w14:textId="4F13B2D1"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u w:val="none"/>
          <w:lang w:val="sr-Latn-RS"/>
        </w:rPr>
      </w:pPr>
      <w:r w:rsidRPr="00E75889">
        <w:rPr>
          <w:rStyle w:val="Bodytext12"/>
          <w:sz w:val="22"/>
          <w:szCs w:val="22"/>
          <w:u w:val="none"/>
          <w:lang w:val="sr-Latn-RS"/>
        </w:rPr>
        <w:t xml:space="preserve">U postmarketinškom periodu, rijetko su primijećena teška pogoršanja bolesti kod nekih pacijenata nakon prestanka uzimanja fingolimoda. Ovo je uopšteno zabilježeno tokom 12 nedjelja nakon prestanka primjene fingolimoda, ali takođe je prijavljivano i do 24 nedjelje nakon prestanka primjene fingolimoda. Zbog toga je potreban oprez kada se obustavlja terapija fingolimodom. </w:t>
      </w:r>
      <w:r w:rsidRPr="00E75889">
        <w:rPr>
          <w:sz w:val="22"/>
          <w:szCs w:val="22"/>
          <w:lang w:val="sr-Latn-RS"/>
        </w:rPr>
        <w:t xml:space="preserve">Ukoliko je procijenjeno da je prekid upotrebe lijeka Gilenya neophodan, </w:t>
      </w:r>
      <w:r w:rsidRPr="00E75889">
        <w:rPr>
          <w:rStyle w:val="Bodytext12"/>
          <w:sz w:val="22"/>
          <w:szCs w:val="22"/>
          <w:u w:val="none"/>
          <w:lang w:val="sr-Latn-RS"/>
        </w:rPr>
        <w:t xml:space="preserve">treba razmotriti mogućnost </w:t>
      </w:r>
      <w:r w:rsidR="00DB5DF6" w:rsidRPr="00E75889">
        <w:rPr>
          <w:rStyle w:val="Bodytext12"/>
          <w:sz w:val="22"/>
          <w:szCs w:val="22"/>
          <w:u w:val="none"/>
          <w:lang w:val="sr-Latn-RS"/>
        </w:rPr>
        <w:t>rekurentnosti</w:t>
      </w:r>
      <w:r w:rsidRPr="00E75889">
        <w:rPr>
          <w:rStyle w:val="Bodytext12"/>
          <w:sz w:val="22"/>
          <w:szCs w:val="22"/>
          <w:u w:val="none"/>
          <w:lang w:val="sr-Latn-RS"/>
        </w:rPr>
        <w:t xml:space="preserve"> bolesti izrazito visoke aktivnosti i pacijente treba pratiti zbog relevantnih znakova i simptoma i započinjanja adekvatne terapije kako je zahtijevano (vidjeti </w:t>
      </w:r>
      <w:r w:rsidR="00282BF1" w:rsidRPr="00E75889">
        <w:rPr>
          <w:rStyle w:val="Bodytext12"/>
          <w:sz w:val="22"/>
          <w:szCs w:val="22"/>
          <w:u w:val="none"/>
          <w:lang w:val="sr-Latn-RS"/>
        </w:rPr>
        <w:t>dio</w:t>
      </w:r>
      <w:r w:rsidRPr="00E75889">
        <w:rPr>
          <w:rStyle w:val="Bodytext12"/>
          <w:sz w:val="22"/>
          <w:szCs w:val="22"/>
          <w:u w:val="none"/>
          <w:lang w:val="sr-Latn-RS"/>
        </w:rPr>
        <w:t xml:space="preserve"> ispod </w:t>
      </w:r>
      <w:r w:rsidRPr="00E75889">
        <w:rPr>
          <w:sz w:val="22"/>
          <w:szCs w:val="22"/>
          <w:lang w:val="sr-Latn-RS"/>
        </w:rPr>
        <w:t>“</w:t>
      </w:r>
      <w:r w:rsidRPr="00E75889">
        <w:rPr>
          <w:rStyle w:val="Bodytext12"/>
          <w:sz w:val="22"/>
          <w:szCs w:val="22"/>
          <w:u w:val="none"/>
          <w:lang w:val="sr-Latn-RS"/>
        </w:rPr>
        <w:t>Prekid terapije</w:t>
      </w:r>
      <w:r w:rsidRPr="00E75889">
        <w:rPr>
          <w:sz w:val="22"/>
          <w:szCs w:val="22"/>
          <w:lang w:val="sr-Latn-RS"/>
        </w:rPr>
        <w:t>”</w:t>
      </w:r>
      <w:r w:rsidRPr="00E75889">
        <w:rPr>
          <w:rStyle w:val="Bodytext12"/>
          <w:sz w:val="22"/>
          <w:szCs w:val="22"/>
          <w:u w:val="none"/>
          <w:lang w:val="sr-Latn-RS"/>
        </w:rPr>
        <w:t>)</w:t>
      </w:r>
      <w:r w:rsidRPr="00E75889">
        <w:rPr>
          <w:sz w:val="22"/>
          <w:szCs w:val="22"/>
          <w:lang w:val="sr-Latn-RS"/>
        </w:rPr>
        <w:t>.</w:t>
      </w:r>
    </w:p>
    <w:p w14:paraId="6604BBA9"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5EA0290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rStyle w:val="Bodytext12"/>
          <w:sz w:val="22"/>
          <w:szCs w:val="22"/>
          <w:lang w:val="sr-Latn-RS"/>
        </w:rPr>
        <w:t>Prekid terapije</w:t>
      </w:r>
    </w:p>
    <w:p w14:paraId="3C2FBF4A" w14:textId="0ADEF665" w:rsidR="00EB75FD"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Ako je done</w:t>
      </w:r>
      <w:r w:rsidR="007D7507" w:rsidRPr="00E75889">
        <w:rPr>
          <w:sz w:val="22"/>
          <w:szCs w:val="22"/>
          <w:lang w:val="sr-Latn-RS"/>
        </w:rPr>
        <w:t>sena</w:t>
      </w:r>
      <w:r w:rsidRPr="00E75889">
        <w:rPr>
          <w:sz w:val="22"/>
          <w:szCs w:val="22"/>
          <w:lang w:val="sr-Latn-RS"/>
        </w:rPr>
        <w:t xml:space="preserve"> odluka da se obustavi terapija lijekom Gilenya, potreban je interval od 6 nedjelja bez terapije, na osnovu vrijednosti poluvremena eliminacije, kako bi se fingolimod eliminisao iz cirkulacije (vidjeti </w:t>
      </w:r>
      <w:r w:rsidR="00282BF1" w:rsidRPr="00E75889">
        <w:rPr>
          <w:sz w:val="22"/>
          <w:szCs w:val="22"/>
          <w:lang w:val="sr-Latn-RS"/>
        </w:rPr>
        <w:t>dio</w:t>
      </w:r>
      <w:r w:rsidRPr="00E75889">
        <w:rPr>
          <w:sz w:val="22"/>
          <w:szCs w:val="22"/>
          <w:lang w:val="sr-Latn-RS"/>
        </w:rPr>
        <w:t xml:space="preserve"> 5.2). Broj limfocita se progresivno vraća u normalni raspon u toku 1-2 mjeseca po obustavi terapije kod većine pacijenata (vidjeti </w:t>
      </w:r>
      <w:r w:rsidR="00282BF1" w:rsidRPr="00E75889">
        <w:rPr>
          <w:sz w:val="22"/>
          <w:szCs w:val="22"/>
          <w:lang w:val="sr-Latn-RS"/>
        </w:rPr>
        <w:t>dio</w:t>
      </w:r>
      <w:r w:rsidRPr="00E75889">
        <w:rPr>
          <w:sz w:val="22"/>
          <w:szCs w:val="22"/>
          <w:lang w:val="sr-Latn-RS"/>
        </w:rPr>
        <w:t xml:space="preserve"> 5.1) iako potpuni oporavak kod nekih pacijenata može trajati značajno duže. Započinjanje drugih terapija u ovom periodu će dovesti do istovremenog izlaganja fingolimodu. Upotreba imunosupresiva ubrzo po obustavi lijeka Gilenya može da dovede do aditivnog dejstva na imuni sistem, pa je stoga neophodan oprez.</w:t>
      </w:r>
    </w:p>
    <w:p w14:paraId="269F281B" w14:textId="77777777" w:rsidR="00D850DD" w:rsidRDefault="00D850DD" w:rsidP="00E75889">
      <w:pPr>
        <w:pStyle w:val="Bodytext1"/>
        <w:widowControl w:val="0"/>
        <w:shd w:val="clear" w:color="auto" w:fill="auto"/>
        <w:spacing w:before="0" w:after="0" w:line="240" w:lineRule="auto"/>
        <w:ind w:firstLine="0"/>
        <w:jc w:val="both"/>
        <w:rPr>
          <w:sz w:val="22"/>
          <w:szCs w:val="22"/>
          <w:lang w:val="sr-Latn-RS"/>
        </w:rPr>
      </w:pPr>
    </w:p>
    <w:p w14:paraId="3A483DD1" w14:textId="4122DF04" w:rsidR="00AC5C1C" w:rsidRDefault="00AC5C1C" w:rsidP="00E75889">
      <w:pPr>
        <w:pStyle w:val="Bodytext1"/>
        <w:widowControl w:val="0"/>
        <w:shd w:val="clear" w:color="auto" w:fill="auto"/>
        <w:spacing w:before="0" w:after="0" w:line="240" w:lineRule="auto"/>
        <w:ind w:firstLine="0"/>
        <w:jc w:val="both"/>
        <w:rPr>
          <w:sz w:val="22"/>
          <w:szCs w:val="22"/>
          <w:lang w:val="sr-Latn-RS"/>
        </w:rPr>
      </w:pPr>
      <w:r w:rsidRPr="00AC5C1C">
        <w:rPr>
          <w:sz w:val="22"/>
          <w:szCs w:val="22"/>
          <w:lang w:val="sr-Latn-RS"/>
        </w:rPr>
        <w:t>Nakon obustave fingolimoda u sklopu PML, preporučuje se praćenje pacijenata na razvoj imunskog rekonstitucionog inflamatornog sindroma (PML-IRIS) (vid</w:t>
      </w:r>
      <w:r w:rsidR="0018726B">
        <w:rPr>
          <w:sz w:val="22"/>
          <w:szCs w:val="22"/>
          <w:lang w:val="sr-Latn-RS"/>
        </w:rPr>
        <w:t>j</w:t>
      </w:r>
      <w:r w:rsidRPr="00AC5C1C">
        <w:rPr>
          <w:sz w:val="22"/>
          <w:szCs w:val="22"/>
          <w:lang w:val="sr-Latn-RS"/>
        </w:rPr>
        <w:t>eti gore „Progresivna multifokalna leukoencefalopatija“)</w:t>
      </w:r>
    </w:p>
    <w:p w14:paraId="1C5424B2" w14:textId="77777777" w:rsidR="00AC5C1C" w:rsidRPr="00E75889" w:rsidRDefault="00AC5C1C" w:rsidP="00E75889">
      <w:pPr>
        <w:pStyle w:val="Bodytext1"/>
        <w:widowControl w:val="0"/>
        <w:shd w:val="clear" w:color="auto" w:fill="auto"/>
        <w:spacing w:before="0" w:after="0" w:line="240" w:lineRule="auto"/>
        <w:ind w:firstLine="0"/>
        <w:jc w:val="both"/>
        <w:rPr>
          <w:sz w:val="22"/>
          <w:szCs w:val="22"/>
          <w:lang w:val="sr-Latn-RS"/>
        </w:rPr>
      </w:pPr>
    </w:p>
    <w:p w14:paraId="0ECA3B73" w14:textId="225B5F7D"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Oprez je takođe potreban prilikom prekida terapije, usl</w:t>
      </w:r>
      <w:r w:rsidR="008F1655" w:rsidRPr="00E75889">
        <w:rPr>
          <w:sz w:val="22"/>
          <w:szCs w:val="22"/>
          <w:lang w:val="sr-Latn-RS"/>
        </w:rPr>
        <w:t>j</w:t>
      </w:r>
      <w:r w:rsidRPr="00E75889">
        <w:rPr>
          <w:sz w:val="22"/>
          <w:szCs w:val="22"/>
          <w:lang w:val="sr-Latn-RS"/>
        </w:rPr>
        <w:t xml:space="preserve">ed rizika od rebound efekta (vidjeti </w:t>
      </w:r>
      <w:r w:rsidR="00282BF1" w:rsidRPr="00E75889">
        <w:rPr>
          <w:sz w:val="22"/>
          <w:szCs w:val="22"/>
          <w:lang w:val="sr-Latn-RS"/>
        </w:rPr>
        <w:t>dio</w:t>
      </w:r>
      <w:r w:rsidRPr="00E75889">
        <w:rPr>
          <w:sz w:val="22"/>
          <w:szCs w:val="22"/>
          <w:lang w:val="sr-Latn-RS"/>
        </w:rPr>
        <w:t xml:space="preserve"> iznad “Povratak aktivnosti bolesti (</w:t>
      </w:r>
      <w:r w:rsidRPr="00E75889">
        <w:rPr>
          <w:i/>
          <w:sz w:val="22"/>
          <w:szCs w:val="22"/>
          <w:lang w:val="sr-Latn-RS"/>
        </w:rPr>
        <w:t xml:space="preserve">rebound </w:t>
      </w:r>
      <w:r w:rsidRPr="00E75889">
        <w:rPr>
          <w:sz w:val="22"/>
          <w:szCs w:val="22"/>
          <w:lang w:val="sr-Latn-RS"/>
        </w:rPr>
        <w:t>efekat)</w:t>
      </w:r>
      <w:r w:rsidRPr="00E75889">
        <w:rPr>
          <w:rStyle w:val="Bodytext11"/>
          <w:sz w:val="22"/>
          <w:szCs w:val="22"/>
          <w:u w:val="none"/>
          <w:lang w:val="sr-Latn-RS"/>
        </w:rPr>
        <w:t xml:space="preserve"> </w:t>
      </w:r>
      <w:r w:rsidRPr="00E75889">
        <w:rPr>
          <w:rStyle w:val="Bodytext12"/>
          <w:sz w:val="22"/>
          <w:szCs w:val="22"/>
          <w:u w:val="none"/>
          <w:lang w:val="sr-Latn-RS"/>
        </w:rPr>
        <w:t>nakon prestanka primjene fingolimoda</w:t>
      </w:r>
      <w:r w:rsidRPr="00E75889">
        <w:rPr>
          <w:sz w:val="22"/>
          <w:szCs w:val="22"/>
          <w:lang w:val="sr-Latn-RS"/>
        </w:rPr>
        <w:t xml:space="preserve">”). Ukoliko je procijenjeno da je prekid upotrebe lijeka Gilenya neophodan, kod pacijenata je tokom ovog perioda potrebno pratiti relevantne znakove mogućeg povratnog efekta. </w:t>
      </w:r>
    </w:p>
    <w:p w14:paraId="7F575BC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5568D98D"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r w:rsidRPr="00E75889">
        <w:rPr>
          <w:rStyle w:val="Bodytext12"/>
          <w:sz w:val="22"/>
          <w:szCs w:val="22"/>
          <w:lang w:val="sr-Latn-RS" w:eastAsia="en-US"/>
        </w:rPr>
        <w:t>Uticaj na serološko testiranje</w:t>
      </w:r>
    </w:p>
    <w:p w14:paraId="326EE49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344640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Budući da fingolimod smanjuje broj limfocita u krvi redistribucijom u sekundarne limfoidne organe, </w:t>
      </w:r>
      <w:r w:rsidRPr="00E75889">
        <w:rPr>
          <w:sz w:val="22"/>
          <w:szCs w:val="22"/>
          <w:lang w:val="sr-Latn-RS" w:eastAsia="en-US"/>
        </w:rPr>
        <w:lastRenderedPageBreak/>
        <w:t>broj limfocita u perifernoj krvi se ne može koristiti za procjenu stanja podgrupa limfocita kod pacijenata na terapiji lijekom Gilenya. Laboratorijske analize uključujući i upotrebu cirkulišućih mononuklearnih ćelija zahtijevaju veće količine krvi zbog smanjenja broja limfocita u cirkulaciji.</w:t>
      </w:r>
    </w:p>
    <w:p w14:paraId="51BF0F7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p>
    <w:p w14:paraId="29C1A37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r w:rsidRPr="00E75889">
        <w:rPr>
          <w:sz w:val="22"/>
          <w:szCs w:val="22"/>
          <w:u w:val="single"/>
          <w:lang w:val="sr-Latn-RS"/>
        </w:rPr>
        <w:t xml:space="preserve">Pedijatrijska populacija </w:t>
      </w:r>
    </w:p>
    <w:p w14:paraId="04A91ED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p>
    <w:p w14:paraId="6711F02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Bezbjednosni profil kod pedijatrijskih pacijenata je sličan onom kod odraslih i upozorenja i mjere opreza kod odraslih su zbog toga primjenljive i kod pedijatrijskih pacijenata.</w:t>
      </w:r>
    </w:p>
    <w:p w14:paraId="3638042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28C6795B" w14:textId="109EC542" w:rsidR="007D7507"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Posebno, na sljedeće treba obratiti pažnju kada se propisuje lijek Gilenya pedijatrijskim pacijentima:</w:t>
      </w:r>
    </w:p>
    <w:p w14:paraId="7E47131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07B446C1" w14:textId="77777777"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Mjere opreza treba poštovati u toku primjene prve doze (videti ‘’Bradiartimija’’ gore). Iste mjere opreza kao kod primjene prve doze se preporučuju kada pacijenti prelaze sa dnevne doze od 0,25 mg na 0,5 mg.</w:t>
      </w:r>
    </w:p>
    <w:p w14:paraId="2A0B1515" w14:textId="385C0581"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 xml:space="preserve">U kontrolisanoj pedijatrijskoj studiji D2311, prijavljivani su slučajevi </w:t>
      </w:r>
      <w:r w:rsidR="00294DB1" w:rsidRPr="00E75889">
        <w:rPr>
          <w:sz w:val="22"/>
          <w:szCs w:val="22"/>
          <w:lang w:val="sr-Latn-RS"/>
        </w:rPr>
        <w:t xml:space="preserve">epileptičnih </w:t>
      </w:r>
      <w:r w:rsidRPr="00E75889">
        <w:rPr>
          <w:sz w:val="22"/>
          <w:szCs w:val="22"/>
          <w:lang w:val="sr-Latn-RS"/>
        </w:rPr>
        <w:t xml:space="preserve">napada, anksioznosti, depresivnog raspoloženja i depresije sa višom incidencom kod pacijenta liječenih fingolimodom u poređenju sa pacijentima liječenim interferonom beta-1a. Potreban je oprez u ovoj podgrupi populacije (vidjeti ‘’Pedijatrijska populacija ‘’ u </w:t>
      </w:r>
      <w:r w:rsidR="007D7507" w:rsidRPr="00E75889">
        <w:rPr>
          <w:sz w:val="22"/>
          <w:szCs w:val="22"/>
          <w:lang w:val="sr-Latn-RS"/>
        </w:rPr>
        <w:t>dijelu</w:t>
      </w:r>
      <w:r w:rsidRPr="00E75889">
        <w:rPr>
          <w:sz w:val="22"/>
          <w:szCs w:val="22"/>
          <w:lang w:val="sr-Latn-RS"/>
        </w:rPr>
        <w:t xml:space="preserve"> 4.8).</w:t>
      </w:r>
    </w:p>
    <w:p w14:paraId="06349E99" w14:textId="77777777"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Izolovana blaga povećanja bilirubina su zabilježena kod pedijatrijskih pacijenata koji su na lijeku Gilenya.</w:t>
      </w:r>
    </w:p>
    <w:p w14:paraId="2BB51080" w14:textId="29737613"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Preporučuje se da pedijatrijski pacijenti završe sa c</w:t>
      </w:r>
      <w:r w:rsidR="007D7507" w:rsidRPr="00E75889">
        <w:rPr>
          <w:sz w:val="22"/>
          <w:szCs w:val="22"/>
          <w:lang w:val="sr-Latn-RS"/>
        </w:rPr>
        <w:t>j</w:t>
      </w:r>
      <w:r w:rsidRPr="00E75889">
        <w:rPr>
          <w:sz w:val="22"/>
          <w:szCs w:val="22"/>
          <w:lang w:val="sr-Latn-RS"/>
        </w:rPr>
        <w:t>elokupnom imunizacijom u skladu sa vodičima za vakcinaciju prije započinjanja primene lijeka Gilenya (vidjeti ‘’Infekcije’’ gore).</w:t>
      </w:r>
    </w:p>
    <w:p w14:paraId="5C46CBD3" w14:textId="071BF0FE"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Dostup</w:t>
      </w:r>
      <w:r w:rsidR="00A35C2D" w:rsidRPr="00E75889">
        <w:rPr>
          <w:sz w:val="22"/>
          <w:szCs w:val="22"/>
          <w:lang w:val="sr-Latn-RS"/>
        </w:rPr>
        <w:t>n</w:t>
      </w:r>
      <w:r w:rsidRPr="00E75889">
        <w:rPr>
          <w:sz w:val="22"/>
          <w:szCs w:val="22"/>
          <w:lang w:val="sr-Latn-RS"/>
        </w:rPr>
        <w:t xml:space="preserve">i su veoma ograničeni podaci kod djece uzrasta od 10 do 12 godina, sa manje od 40 kg ili prema Tanner stadijumu &lt;2 (vidjeti </w:t>
      </w:r>
      <w:r w:rsidR="00282BF1" w:rsidRPr="00E75889">
        <w:rPr>
          <w:sz w:val="22"/>
          <w:szCs w:val="22"/>
          <w:lang w:val="sr-Latn-RS"/>
        </w:rPr>
        <w:t>djelove</w:t>
      </w:r>
      <w:r w:rsidRPr="00E75889">
        <w:rPr>
          <w:sz w:val="22"/>
          <w:szCs w:val="22"/>
          <w:lang w:val="sr-Latn-RS"/>
        </w:rPr>
        <w:t xml:space="preserve"> 4.8 i 5.1). Potreban je oprez kod ovih podgrupa zbog veoma </w:t>
      </w:r>
      <w:r w:rsidR="007D7507" w:rsidRPr="00E75889">
        <w:rPr>
          <w:sz w:val="22"/>
          <w:szCs w:val="22"/>
          <w:lang w:val="sr-Latn-RS"/>
        </w:rPr>
        <w:t xml:space="preserve">ograničenih </w:t>
      </w:r>
      <w:r w:rsidRPr="00E75889">
        <w:rPr>
          <w:sz w:val="22"/>
          <w:szCs w:val="22"/>
          <w:lang w:val="sr-Latn-RS"/>
        </w:rPr>
        <w:t>saznanja koja su dostupna iz kliničkih studija.</w:t>
      </w:r>
    </w:p>
    <w:p w14:paraId="230648E0" w14:textId="7445B114" w:rsidR="00EB75FD" w:rsidRPr="00E75889" w:rsidRDefault="00EB75FD" w:rsidP="00E75889">
      <w:pPr>
        <w:pStyle w:val="Bodytext1"/>
        <w:widowControl w:val="0"/>
        <w:numPr>
          <w:ilvl w:val="0"/>
          <w:numId w:val="17"/>
        </w:numPr>
        <w:shd w:val="clear" w:color="auto" w:fill="auto"/>
        <w:spacing w:before="0" w:after="0" w:line="240" w:lineRule="auto"/>
        <w:jc w:val="both"/>
        <w:rPr>
          <w:sz w:val="22"/>
          <w:szCs w:val="22"/>
          <w:lang w:val="sr-Latn-RS"/>
        </w:rPr>
      </w:pPr>
      <w:r w:rsidRPr="00E75889">
        <w:rPr>
          <w:sz w:val="22"/>
          <w:szCs w:val="22"/>
          <w:lang w:val="sr-Latn-RS"/>
        </w:rPr>
        <w:t>Dugoročni bezbjednosni podaci za pedijatrijske pacijente ni</w:t>
      </w:r>
      <w:r w:rsidR="007D7507" w:rsidRPr="00E75889">
        <w:rPr>
          <w:sz w:val="22"/>
          <w:szCs w:val="22"/>
          <w:lang w:val="sr-Latn-RS"/>
        </w:rPr>
        <w:t>je</w:t>
      </w:r>
      <w:r w:rsidRPr="00E75889">
        <w:rPr>
          <w:sz w:val="22"/>
          <w:szCs w:val="22"/>
          <w:lang w:val="sr-Latn-RS"/>
        </w:rPr>
        <w:t>su dostupni.</w:t>
      </w:r>
    </w:p>
    <w:p w14:paraId="0B067358" w14:textId="77777777" w:rsidR="00EB75FD" w:rsidRPr="00E75889" w:rsidRDefault="00EB75FD" w:rsidP="00E75889">
      <w:pPr>
        <w:widowControl w:val="0"/>
        <w:tabs>
          <w:tab w:val="left" w:pos="540"/>
          <w:tab w:val="left" w:pos="569"/>
        </w:tabs>
        <w:jc w:val="both"/>
        <w:rPr>
          <w:b/>
          <w:bCs/>
          <w:sz w:val="22"/>
          <w:szCs w:val="22"/>
          <w:lang w:val="sr-Latn-RS"/>
        </w:rPr>
      </w:pPr>
    </w:p>
    <w:p w14:paraId="380CEC4D" w14:textId="3875673D" w:rsidR="00411B4B" w:rsidRPr="00E75889" w:rsidRDefault="00411B4B" w:rsidP="00E75889">
      <w:pPr>
        <w:widowControl w:val="0"/>
        <w:tabs>
          <w:tab w:val="left" w:pos="540"/>
          <w:tab w:val="left" w:pos="569"/>
        </w:tabs>
        <w:jc w:val="both"/>
        <w:rPr>
          <w:b/>
          <w:bCs/>
          <w:sz w:val="22"/>
          <w:szCs w:val="22"/>
          <w:lang w:val="sr-Latn-RS"/>
        </w:rPr>
      </w:pPr>
      <w:r w:rsidRPr="00E75889">
        <w:rPr>
          <w:b/>
          <w:bCs/>
          <w:sz w:val="22"/>
          <w:szCs w:val="22"/>
          <w:lang w:val="sr-Latn-RS"/>
        </w:rPr>
        <w:t>4.5.</w:t>
      </w:r>
      <w:r w:rsidR="000D60CC" w:rsidRPr="00E75889">
        <w:rPr>
          <w:b/>
          <w:bCs/>
          <w:sz w:val="22"/>
          <w:szCs w:val="22"/>
          <w:lang w:val="sr-Latn-RS"/>
        </w:rPr>
        <w:tab/>
      </w:r>
      <w:r w:rsidRPr="00E75889">
        <w:rPr>
          <w:b/>
          <w:bCs/>
          <w:sz w:val="22"/>
          <w:szCs w:val="22"/>
          <w:lang w:val="sr-Latn-RS"/>
        </w:rPr>
        <w:t>Interakcije sa drugim ljekovima i druge vrste interakcija</w:t>
      </w:r>
    </w:p>
    <w:p w14:paraId="255A4E92"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71A12E04" w14:textId="2E76F9CF"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2"/>
          <w:sz w:val="22"/>
          <w:szCs w:val="22"/>
          <w:lang w:val="sr-Latn-RS" w:eastAsia="en-US"/>
        </w:rPr>
        <w:t>Antineoplastične, imunomodulatorne ili imunosupresivne terapije</w:t>
      </w:r>
    </w:p>
    <w:p w14:paraId="4F6F4FA8" w14:textId="77777777" w:rsidR="00EB75FD" w:rsidRPr="00E75889" w:rsidRDefault="00EB75FD" w:rsidP="00E75889">
      <w:pPr>
        <w:pStyle w:val="Bodytext1"/>
        <w:widowControl w:val="0"/>
        <w:shd w:val="clear" w:color="auto" w:fill="auto"/>
        <w:spacing w:before="0" w:after="0" w:line="240" w:lineRule="auto"/>
        <w:ind w:firstLine="0"/>
        <w:jc w:val="both"/>
        <w:rPr>
          <w:rStyle w:val="Bodytext12"/>
          <w:sz w:val="22"/>
          <w:szCs w:val="22"/>
          <w:lang w:val="sr-Latn-RS" w:eastAsia="en-US"/>
        </w:rPr>
      </w:pPr>
    </w:p>
    <w:p w14:paraId="7C4FB1C6" w14:textId="7F61FB3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2"/>
          <w:sz w:val="22"/>
          <w:szCs w:val="22"/>
          <w:u w:val="none"/>
          <w:lang w:val="sr-Latn-RS" w:eastAsia="en-US"/>
        </w:rPr>
        <w:t xml:space="preserve">Anti-neoplastične, imunomodulatorne ili imunosupresivne terapije </w:t>
      </w:r>
      <w:r w:rsidRPr="00E75889">
        <w:rPr>
          <w:sz w:val="22"/>
          <w:szCs w:val="22"/>
          <w:lang w:val="sr-Latn-RS" w:eastAsia="en-US"/>
        </w:rPr>
        <w:t xml:space="preserve">ne treba davati istovremeno zbog rizika od aditivnog dejstva na imuni sistem (vidjeti </w:t>
      </w:r>
      <w:r w:rsidR="00282BF1" w:rsidRPr="00E75889">
        <w:rPr>
          <w:sz w:val="22"/>
          <w:szCs w:val="22"/>
          <w:lang w:val="sr-Latn-RS" w:eastAsia="en-US"/>
        </w:rPr>
        <w:t>djelove</w:t>
      </w:r>
      <w:r w:rsidRPr="00E75889">
        <w:rPr>
          <w:sz w:val="22"/>
          <w:szCs w:val="22"/>
          <w:lang w:val="sr-Latn-RS" w:eastAsia="en-US"/>
        </w:rPr>
        <w:t xml:space="preserve"> 4.3 i 4.4). </w:t>
      </w:r>
    </w:p>
    <w:p w14:paraId="28C606E7" w14:textId="77777777" w:rsidR="007D7507" w:rsidRPr="00E75889" w:rsidRDefault="007D7507" w:rsidP="00E75889">
      <w:pPr>
        <w:pStyle w:val="Bodytext1"/>
        <w:widowControl w:val="0"/>
        <w:shd w:val="clear" w:color="auto" w:fill="auto"/>
        <w:spacing w:before="0" w:after="0" w:line="240" w:lineRule="auto"/>
        <w:ind w:firstLine="0"/>
        <w:jc w:val="both"/>
        <w:rPr>
          <w:sz w:val="22"/>
          <w:szCs w:val="22"/>
          <w:lang w:val="sr-Latn-RS" w:eastAsia="en-US"/>
        </w:rPr>
      </w:pPr>
    </w:p>
    <w:p w14:paraId="1863FFA7" w14:textId="6497B49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Potreban je oprez i kod prelaska pacijenata sa terapije dugodjelujućim imunološkim ljekovima kao što su natalizumab, teriflunomid ili mitoksantron (vidjeti </w:t>
      </w:r>
      <w:r w:rsidR="00282BF1" w:rsidRPr="00E75889">
        <w:rPr>
          <w:sz w:val="22"/>
          <w:szCs w:val="22"/>
          <w:lang w:val="sr-Latn-RS" w:eastAsia="en-US"/>
        </w:rPr>
        <w:t>dio</w:t>
      </w:r>
      <w:r w:rsidRPr="00E75889">
        <w:rPr>
          <w:sz w:val="22"/>
          <w:szCs w:val="22"/>
          <w:lang w:val="sr-Latn-RS" w:eastAsia="en-US"/>
        </w:rPr>
        <w:t xml:space="preserve"> 4.4). U kliničkim ispitivanjima multiple skleroze istovremena terapija relapsa kratkotrajnom primjenom kortikosteroida nije bila povezana sa povećanom stopom infekcija.</w:t>
      </w:r>
    </w:p>
    <w:p w14:paraId="4F5373E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F92FECC"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r w:rsidRPr="00E75889">
        <w:rPr>
          <w:rStyle w:val="Bodytext11"/>
          <w:sz w:val="22"/>
          <w:szCs w:val="22"/>
          <w:lang w:val="sr-Latn-RS"/>
        </w:rPr>
        <w:t>Vakcinacija</w:t>
      </w:r>
    </w:p>
    <w:p w14:paraId="5545BEA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FB132F6" w14:textId="633E423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Tokom terapije lijekom Gilenya i dva mjeseca po njenoj obustavi, vakcinacija može biti manje efikasna. Upotreba živih atenuisanih vakcina može imati rizik od infekcije i stoga je treba izbjegavati (vidjeti </w:t>
      </w:r>
      <w:r w:rsidR="00282BF1" w:rsidRPr="00E75889">
        <w:rPr>
          <w:sz w:val="22"/>
          <w:szCs w:val="22"/>
          <w:lang w:val="sr-Latn-RS" w:eastAsia="en-US"/>
        </w:rPr>
        <w:t>djelove</w:t>
      </w:r>
      <w:r w:rsidRPr="00E75889">
        <w:rPr>
          <w:sz w:val="22"/>
          <w:szCs w:val="22"/>
          <w:lang w:val="sr-Latn-RS" w:eastAsia="en-US"/>
        </w:rPr>
        <w:t xml:space="preserve"> 4.4. i 4.8.).</w:t>
      </w:r>
    </w:p>
    <w:p w14:paraId="7BFCFD14"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3385CFE4" w14:textId="39558E70"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r w:rsidRPr="00E75889">
        <w:rPr>
          <w:rStyle w:val="Bodytext11"/>
          <w:sz w:val="22"/>
          <w:szCs w:val="22"/>
          <w:lang w:val="sr-Latn-RS"/>
        </w:rPr>
        <w:t>Ljekovi koji i</w:t>
      </w:r>
      <w:r w:rsidR="007D7507" w:rsidRPr="00E75889">
        <w:rPr>
          <w:rStyle w:val="Bodytext11"/>
          <w:sz w:val="22"/>
          <w:szCs w:val="22"/>
          <w:lang w:val="sr-Latn-RS"/>
        </w:rPr>
        <w:t>zazivaju</w:t>
      </w:r>
      <w:r w:rsidRPr="00E75889">
        <w:rPr>
          <w:rStyle w:val="Bodytext11"/>
          <w:sz w:val="22"/>
          <w:szCs w:val="22"/>
          <w:lang w:val="sr-Latn-RS"/>
        </w:rPr>
        <w:t xml:space="preserve"> bradikardiju</w:t>
      </w:r>
    </w:p>
    <w:p w14:paraId="2F853FC3"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25EBDED4" w14:textId="48CEFFA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Fingolimod je ispitivan u kombinaciji sa atenololom i diltiazemom. Kada je fingolimod korišćen sa atenololom u studiji interakcija na zdravim dobrovoljcima, dolazilo je do dodatnih 15% smanjenja vrijednosti </w:t>
      </w:r>
      <w:r w:rsidR="00E43295" w:rsidRPr="00E75889">
        <w:rPr>
          <w:sz w:val="22"/>
          <w:szCs w:val="22"/>
          <w:lang w:val="sr-Latn-RS" w:eastAsia="en-US"/>
        </w:rPr>
        <w:t>srčane frekvence</w:t>
      </w:r>
      <w:r w:rsidRPr="00E75889">
        <w:rPr>
          <w:sz w:val="22"/>
          <w:szCs w:val="22"/>
          <w:lang w:val="sr-Latn-RS" w:eastAsia="en-US"/>
        </w:rPr>
        <w:t xml:space="preserve"> kada je</w:t>
      </w:r>
      <w:r w:rsidR="00BF42F0" w:rsidRPr="00E75889">
        <w:rPr>
          <w:sz w:val="22"/>
          <w:szCs w:val="22"/>
          <w:lang w:val="sr-Latn-RS" w:eastAsia="en-US"/>
        </w:rPr>
        <w:t xml:space="preserve"> </w:t>
      </w:r>
      <w:r w:rsidRPr="00E75889">
        <w:rPr>
          <w:sz w:val="22"/>
          <w:szCs w:val="22"/>
          <w:lang w:val="sr-Latn-RS" w:eastAsia="en-US"/>
        </w:rPr>
        <w:t xml:space="preserve">terapija fingolimodom započeta, što nije zabilježeno kod diltiazema. </w:t>
      </w:r>
      <w:r w:rsidRPr="00E75889">
        <w:rPr>
          <w:sz w:val="22"/>
          <w:szCs w:val="22"/>
          <w:lang w:val="sr-Latn-RS"/>
        </w:rPr>
        <w:t xml:space="preserve">Terapiju lijekom Gilenya ne treba započinjati kod pacijenata koji primaju beta blokatore, ili druge ljekove koje mogu da smanje srčanu frekvencu, kao što su antiaritmici klase Ia i III, blokatori kalcijumskih kanala (kao što su verapamil ili diltiazem), ivabradin, digoksin, antiholinesterazni lekovi ili pilokarpin, zbog potencijalnih aditivnih dejstva na srčanu frekvencu (vidjeti </w:t>
      </w:r>
      <w:r w:rsidR="00282BF1" w:rsidRPr="00E75889">
        <w:rPr>
          <w:sz w:val="22"/>
          <w:szCs w:val="22"/>
          <w:lang w:val="sr-Latn-RS"/>
        </w:rPr>
        <w:t>djelove</w:t>
      </w:r>
      <w:r w:rsidRPr="00E75889">
        <w:rPr>
          <w:sz w:val="22"/>
          <w:szCs w:val="22"/>
          <w:lang w:val="sr-Latn-RS"/>
        </w:rPr>
        <w:t xml:space="preserve"> 4.4 i 4.8).</w:t>
      </w:r>
      <w:r w:rsidR="00BF42F0" w:rsidRPr="00E75889">
        <w:rPr>
          <w:sz w:val="22"/>
          <w:szCs w:val="22"/>
          <w:lang w:val="sr-Latn-RS" w:eastAsia="en-US"/>
        </w:rPr>
        <w:t xml:space="preserve"> </w:t>
      </w:r>
      <w:r w:rsidRPr="00E75889">
        <w:rPr>
          <w:sz w:val="22"/>
          <w:szCs w:val="22"/>
          <w:lang w:val="sr-Latn-RS" w:eastAsia="en-US"/>
        </w:rPr>
        <w:t xml:space="preserve">Ako se kod takvih pacijenata razmatra terapija lijekom Gilenya, treba potražiti savjet kardiologa u vezi prelaska na ljekove koji ne </w:t>
      </w:r>
      <w:r w:rsidR="00E43295" w:rsidRPr="00E75889">
        <w:rPr>
          <w:sz w:val="22"/>
          <w:szCs w:val="22"/>
          <w:lang w:val="sr-Latn-RS" w:eastAsia="en-US"/>
        </w:rPr>
        <w:t>smanjuju srčanu frekvencu</w:t>
      </w:r>
      <w:r w:rsidRPr="00E75889">
        <w:rPr>
          <w:sz w:val="22"/>
          <w:szCs w:val="22"/>
          <w:lang w:val="sr-Latn-RS" w:eastAsia="en-US"/>
        </w:rPr>
        <w:t xml:space="preserve"> ili adekvatnog praćenja pri započinjanju terapije, preporučuje se praćenje bar tokom cijele noći, u slučaju da ne može da se prekine primjena ljekova koji </w:t>
      </w:r>
      <w:r w:rsidR="00E43295" w:rsidRPr="00E75889">
        <w:rPr>
          <w:sz w:val="22"/>
          <w:szCs w:val="22"/>
          <w:lang w:val="sr-Latn-RS" w:eastAsia="en-US"/>
        </w:rPr>
        <w:lastRenderedPageBreak/>
        <w:t>smanjuju srčanu frekvencu</w:t>
      </w:r>
      <w:r w:rsidRPr="00E75889">
        <w:rPr>
          <w:sz w:val="22"/>
          <w:szCs w:val="22"/>
          <w:lang w:val="sr-Latn-RS" w:eastAsia="en-US"/>
        </w:rPr>
        <w:t xml:space="preserve">. </w:t>
      </w:r>
    </w:p>
    <w:p w14:paraId="64D02D53"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2167BFD7"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r w:rsidRPr="00E75889">
        <w:rPr>
          <w:rStyle w:val="Bodytext11"/>
          <w:sz w:val="22"/>
          <w:szCs w:val="22"/>
          <w:lang w:val="sr-Latn-RS"/>
        </w:rPr>
        <w:t>Farmakokinetičke interakcije drugih ljekova sa fingolimodom</w:t>
      </w:r>
    </w:p>
    <w:p w14:paraId="24376A2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CF04C35" w14:textId="05CA300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se uglavnom metaboliše pomoću CYP4F2. Drugi enzimi, kao što je CYP3A4, takođe mogu da doprinesu njegovom metabolizmu, naročito u slučaju snažne indukcije CYP3A4. Ne očekuje se ni da će snažni inhibitori transportnih proteina uticati na raspodjelu fingolimoda. Istovremen</w:t>
      </w:r>
      <w:r w:rsidR="007D7507" w:rsidRPr="00E75889">
        <w:rPr>
          <w:sz w:val="22"/>
          <w:szCs w:val="22"/>
          <w:lang w:val="sr-Latn-RS" w:eastAsia="en-US"/>
        </w:rPr>
        <w:t>a</w:t>
      </w:r>
      <w:r w:rsidRPr="00E75889">
        <w:rPr>
          <w:sz w:val="22"/>
          <w:szCs w:val="22"/>
          <w:lang w:val="sr-Latn-RS" w:eastAsia="en-US"/>
        </w:rPr>
        <w:t xml:space="preserve"> primjena fingolimoda sa ketokonazolom dovela je do 1,7 puta većeg izlaganja fingolimodu i fingolimod fosfatu (PIK-površina ispod krive) inhibicijom CYP4F2. Treba biti oprezan sa ljekovima koji mogu da inhibiraju CYP3A4 (inhibitori proteaze, azolni antimikotici, neki makrolidi kao što su klaritromicin ili telitromicin).</w:t>
      </w:r>
    </w:p>
    <w:p w14:paraId="29A878A1"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3F287734" w14:textId="2515BFE8" w:rsidR="00EB75FD" w:rsidRPr="00E75889" w:rsidRDefault="00EB75FD" w:rsidP="00E75889">
      <w:pPr>
        <w:widowControl w:val="0"/>
        <w:jc w:val="both"/>
        <w:rPr>
          <w:sz w:val="22"/>
          <w:szCs w:val="22"/>
          <w:lang w:val="sr-Latn-RS"/>
        </w:rPr>
      </w:pPr>
      <w:r w:rsidRPr="00E75889">
        <w:rPr>
          <w:sz w:val="22"/>
          <w:szCs w:val="22"/>
          <w:lang w:val="sr-Latn-RS"/>
        </w:rPr>
        <w:t xml:space="preserve">Istovremena primjena karbamazepina </w:t>
      </w:r>
      <w:r w:rsidR="00DA48AC" w:rsidRPr="00E75889">
        <w:rPr>
          <w:sz w:val="22"/>
          <w:szCs w:val="22"/>
          <w:lang w:val="sr-Latn-RS"/>
        </w:rPr>
        <w:t xml:space="preserve">od </w:t>
      </w:r>
      <w:r w:rsidRPr="00E75889">
        <w:rPr>
          <w:sz w:val="22"/>
          <w:szCs w:val="22"/>
          <w:lang w:val="sr-Latn-RS"/>
        </w:rPr>
        <w:t xml:space="preserve">600 mg dva puta dnevno u stanju ravnoteže i pojedinačne doze fingolimoda </w:t>
      </w:r>
      <w:r w:rsidR="0092203D" w:rsidRPr="00E75889">
        <w:rPr>
          <w:sz w:val="22"/>
          <w:szCs w:val="22"/>
          <w:lang w:val="sr-Latn-RS"/>
        </w:rPr>
        <w:t xml:space="preserve">od </w:t>
      </w:r>
      <w:r w:rsidRPr="00E75889">
        <w:rPr>
          <w:sz w:val="22"/>
          <w:szCs w:val="22"/>
          <w:lang w:val="sr-Latn-RS"/>
        </w:rPr>
        <w:t xml:space="preserve">2 mg smanjila je PIK fingolimoda i njegovog metabolita za otprilike 40%. Drugi snažni induktori enzima CYP3A4, na primjer rifampicin, fenobarbital, fenitoin, efavirenz i kantarion mogu smanjiti PIK fingolimoda i njegovog metabolita bar do te mjere. Budući da bi to potencijalno moglo narušiti efikasnost, potreban je oprez kod njihove istovremene primjene. Istovremena primjena sa kantarionom se, međutim, ne preporučuje (vidjeti </w:t>
      </w:r>
      <w:r w:rsidR="00282BF1" w:rsidRPr="00E75889">
        <w:rPr>
          <w:sz w:val="22"/>
          <w:szCs w:val="22"/>
          <w:lang w:val="sr-Latn-RS"/>
        </w:rPr>
        <w:t>dio</w:t>
      </w:r>
      <w:r w:rsidRPr="00E75889">
        <w:rPr>
          <w:sz w:val="22"/>
          <w:szCs w:val="22"/>
          <w:lang w:val="sr-Latn-RS"/>
        </w:rPr>
        <w:t> 4.4).</w:t>
      </w:r>
    </w:p>
    <w:p w14:paraId="0E71E102" w14:textId="77777777" w:rsidR="00EB75FD" w:rsidRPr="00E75889" w:rsidRDefault="00EB75FD" w:rsidP="00E75889">
      <w:pPr>
        <w:widowControl w:val="0"/>
        <w:jc w:val="both"/>
        <w:rPr>
          <w:sz w:val="22"/>
          <w:szCs w:val="22"/>
          <w:lang w:val="sr-Latn-RS"/>
        </w:rPr>
      </w:pPr>
    </w:p>
    <w:p w14:paraId="41D1B868"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r w:rsidRPr="00E75889">
        <w:rPr>
          <w:rStyle w:val="Bodytext11"/>
          <w:sz w:val="22"/>
          <w:szCs w:val="22"/>
          <w:lang w:val="sr-Latn-RS"/>
        </w:rPr>
        <w:t>Farmakokinetičke interakcije fingolimoda sa drugim ljekovima</w:t>
      </w:r>
    </w:p>
    <w:p w14:paraId="259C4DD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86305B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Malo je vjerovatno da će fingolimod imati interakciju sa ljekovima koje se uglavnom eliminišu preko CYP450 enzima ili supstratima glavnih transportnih proteina.</w:t>
      </w:r>
    </w:p>
    <w:p w14:paraId="09DE80A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7F9DA89" w14:textId="5C9303B6"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Istovremeno davanje fingolimoda sa ciklosporinom nije uzrokoval</w:t>
      </w:r>
      <w:r w:rsidR="00432508" w:rsidRPr="00E75889">
        <w:rPr>
          <w:sz w:val="22"/>
          <w:szCs w:val="22"/>
          <w:lang w:val="sr-Latn-RS" w:eastAsia="en-US"/>
        </w:rPr>
        <w:t>o</w:t>
      </w:r>
      <w:r w:rsidRPr="00E75889">
        <w:rPr>
          <w:sz w:val="22"/>
          <w:szCs w:val="22"/>
          <w:lang w:val="sr-Latn-RS" w:eastAsia="en-US"/>
        </w:rPr>
        <w:t xml:space="preserve"> nikakvu promjenu u izloženosti ciklosporinu ili fingolimodu. Prema tome, ne očekuje se da će fingolimod mijenjati farmakokinetiku ljekova koji su supstrati CYP3A4. </w:t>
      </w:r>
    </w:p>
    <w:p w14:paraId="0741942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9DCB86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Istovremena primjena fingolimoda sa oralnim kontraceptivima (etinilestradiol i levonorgestrel) nije uzrokovala nikakvu promjenu u izloženosti oralnim kontraceptivima. Nijesu rađene studije interakcija sa oralnim kontraceptivima koji sadrže druge progestagene, ali se ne očekuje nikakvo dejstvo fingolimoda na izloženost ovim ljekovima.</w:t>
      </w:r>
    </w:p>
    <w:p w14:paraId="62D21878" w14:textId="77777777" w:rsidR="0072020E" w:rsidRPr="00E75889" w:rsidRDefault="0072020E" w:rsidP="00E75889">
      <w:pPr>
        <w:widowControl w:val="0"/>
        <w:tabs>
          <w:tab w:val="left" w:pos="540"/>
          <w:tab w:val="left" w:pos="569"/>
        </w:tabs>
        <w:jc w:val="both"/>
        <w:rPr>
          <w:bCs/>
          <w:sz w:val="22"/>
          <w:szCs w:val="22"/>
          <w:lang w:val="sr-Latn-RS"/>
        </w:rPr>
      </w:pPr>
    </w:p>
    <w:p w14:paraId="31018CE9" w14:textId="77777777" w:rsidR="0072020E" w:rsidRPr="00E75889" w:rsidRDefault="0072020E" w:rsidP="00E75889">
      <w:pPr>
        <w:widowControl w:val="0"/>
        <w:tabs>
          <w:tab w:val="left" w:pos="540"/>
          <w:tab w:val="left" w:pos="569"/>
        </w:tabs>
        <w:jc w:val="both"/>
        <w:rPr>
          <w:b/>
          <w:sz w:val="22"/>
          <w:szCs w:val="22"/>
          <w:lang w:val="sr-Latn-RS"/>
        </w:rPr>
      </w:pPr>
      <w:r w:rsidRPr="00E75889">
        <w:rPr>
          <w:b/>
          <w:bCs/>
          <w:sz w:val="22"/>
          <w:szCs w:val="22"/>
          <w:lang w:val="sr-Latn-RS"/>
        </w:rPr>
        <w:t xml:space="preserve">4.6. </w:t>
      </w:r>
      <w:r w:rsidR="00480FB1" w:rsidRPr="00E75889">
        <w:rPr>
          <w:b/>
          <w:bCs/>
          <w:sz w:val="22"/>
          <w:szCs w:val="22"/>
          <w:lang w:val="sr-Latn-RS"/>
        </w:rPr>
        <w:tab/>
      </w:r>
      <w:r w:rsidR="006D20A5" w:rsidRPr="00E75889">
        <w:rPr>
          <w:b/>
          <w:sz w:val="22"/>
          <w:szCs w:val="22"/>
          <w:lang w:val="sr-Latn-RS"/>
        </w:rPr>
        <w:t>Plodnost, trudnoća i dojenje</w:t>
      </w:r>
    </w:p>
    <w:p w14:paraId="23878DE7" w14:textId="77777777" w:rsidR="002031B3" w:rsidRPr="00E75889" w:rsidRDefault="002031B3" w:rsidP="00E75889">
      <w:pPr>
        <w:widowControl w:val="0"/>
        <w:tabs>
          <w:tab w:val="left" w:pos="540"/>
          <w:tab w:val="left" w:pos="569"/>
        </w:tabs>
        <w:jc w:val="both"/>
        <w:rPr>
          <w:sz w:val="22"/>
          <w:szCs w:val="22"/>
          <w:u w:val="single"/>
          <w:lang w:val="sr-Latn-RS"/>
        </w:rPr>
      </w:pPr>
    </w:p>
    <w:p w14:paraId="3DFCC842"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r w:rsidRPr="00E75889">
        <w:rPr>
          <w:rStyle w:val="Bodytext11"/>
          <w:sz w:val="22"/>
          <w:szCs w:val="22"/>
          <w:lang w:val="sr-Latn-RS"/>
        </w:rPr>
        <w:t>Žene u reproduktivnom periodu / kontracepcija kod žena</w:t>
      </w:r>
    </w:p>
    <w:p w14:paraId="259B6EC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6F6C514" w14:textId="772FA1C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 xml:space="preserve">Fingolimod je kontraindikovan kod žena u reproduktivnom periodu koje ne koriste efektivnu kontracepciju (vidjeti </w:t>
      </w:r>
      <w:r w:rsidR="00282BF1" w:rsidRPr="00E75889">
        <w:rPr>
          <w:sz w:val="22"/>
          <w:szCs w:val="22"/>
          <w:lang w:val="sr-Latn-RS"/>
        </w:rPr>
        <w:t>dio</w:t>
      </w:r>
      <w:r w:rsidRPr="00E75889">
        <w:rPr>
          <w:sz w:val="22"/>
          <w:szCs w:val="22"/>
          <w:lang w:val="sr-Latn-RS"/>
        </w:rPr>
        <w:t xml:space="preserve"> 4.3). Zbog toga</w:t>
      </w:r>
      <w:r w:rsidRPr="00E75889">
        <w:rPr>
          <w:sz w:val="22"/>
          <w:szCs w:val="22"/>
          <w:lang w:val="sr-Latn-RS" w:eastAsia="en-US"/>
        </w:rPr>
        <w:t xml:space="preserve">, prije započinjanja terapije kod žena u reproduktivnom periodu, </w:t>
      </w:r>
      <w:r w:rsidRPr="00E75889">
        <w:rPr>
          <w:sz w:val="22"/>
          <w:szCs w:val="22"/>
          <w:lang w:val="sr-Latn-RS"/>
        </w:rPr>
        <w:t>mora postojati</w:t>
      </w:r>
      <w:r w:rsidRPr="00E75889">
        <w:rPr>
          <w:sz w:val="22"/>
          <w:szCs w:val="22"/>
          <w:lang w:val="sr-Latn-RS" w:eastAsia="en-US"/>
        </w:rPr>
        <w:t xml:space="preserve"> negativan </w:t>
      </w:r>
      <w:r w:rsidR="00FA6345" w:rsidRPr="00E75889">
        <w:rPr>
          <w:sz w:val="22"/>
          <w:szCs w:val="22"/>
          <w:lang w:val="sr-Latn-RS" w:eastAsia="en-US"/>
        </w:rPr>
        <w:t xml:space="preserve">rezultat </w:t>
      </w:r>
      <w:r w:rsidRPr="00E75889">
        <w:rPr>
          <w:sz w:val="22"/>
          <w:szCs w:val="22"/>
          <w:lang w:val="sr-Latn-RS" w:eastAsia="en-US"/>
        </w:rPr>
        <w:t>test</w:t>
      </w:r>
      <w:r w:rsidR="00FA6345" w:rsidRPr="00E75889">
        <w:rPr>
          <w:sz w:val="22"/>
          <w:szCs w:val="22"/>
          <w:lang w:val="sr-Latn-RS" w:eastAsia="en-US"/>
        </w:rPr>
        <w:t>a</w:t>
      </w:r>
      <w:r w:rsidRPr="00E75889">
        <w:rPr>
          <w:sz w:val="22"/>
          <w:szCs w:val="22"/>
          <w:lang w:val="sr-Latn-RS" w:eastAsia="en-US"/>
        </w:rPr>
        <w:t xml:space="preserve"> na trudnoću i potrebno je obezbijediti savjetova</w:t>
      </w:r>
      <w:r w:rsidR="008F1655" w:rsidRPr="00E75889">
        <w:rPr>
          <w:sz w:val="22"/>
          <w:szCs w:val="22"/>
          <w:lang w:val="sr-Latn-RS" w:eastAsia="en-US"/>
        </w:rPr>
        <w:t>nje</w:t>
      </w:r>
      <w:r w:rsidRPr="00E75889">
        <w:rPr>
          <w:sz w:val="22"/>
          <w:szCs w:val="22"/>
          <w:lang w:val="sr-Latn-RS" w:eastAsia="en-US"/>
        </w:rPr>
        <w:t xml:space="preserve"> o ozbiljnom riziku po fetus. </w:t>
      </w:r>
      <w:r w:rsidRPr="00E75889">
        <w:rPr>
          <w:sz w:val="22"/>
          <w:szCs w:val="22"/>
          <w:lang w:val="sr-Latn-RS"/>
        </w:rPr>
        <w:t>Žene u reproduktivnom periodu moraju da koriste</w:t>
      </w:r>
      <w:r w:rsidRPr="00E75889">
        <w:rPr>
          <w:sz w:val="22"/>
          <w:szCs w:val="22"/>
          <w:lang w:val="sr-Latn-RS" w:eastAsia="en-US"/>
        </w:rPr>
        <w:t xml:space="preserve"> </w:t>
      </w:r>
      <w:r w:rsidR="00432508" w:rsidRPr="00E75889">
        <w:rPr>
          <w:sz w:val="22"/>
          <w:szCs w:val="22"/>
          <w:lang w:val="sr-Latn-RS" w:eastAsia="en-US"/>
        </w:rPr>
        <w:t>efikasnu</w:t>
      </w:r>
      <w:r w:rsidRPr="00E75889">
        <w:rPr>
          <w:sz w:val="22"/>
          <w:szCs w:val="22"/>
          <w:lang w:val="sr-Latn-RS" w:eastAsia="en-US"/>
        </w:rPr>
        <w:t xml:space="preserve"> kontracepciju tokom terapije </w:t>
      </w:r>
      <w:r w:rsidRPr="00E75889">
        <w:rPr>
          <w:sz w:val="22"/>
          <w:szCs w:val="22"/>
          <w:lang w:val="sr-Latn-RS"/>
        </w:rPr>
        <w:t xml:space="preserve">i tokom 2 mjeseca nakon prestanka terapije </w:t>
      </w:r>
      <w:r w:rsidRPr="00E75889">
        <w:rPr>
          <w:sz w:val="22"/>
          <w:szCs w:val="22"/>
          <w:lang w:val="sr-Latn-RS" w:eastAsia="en-US"/>
        </w:rPr>
        <w:t xml:space="preserve">lijekom Gilenya, s obzirom da je fingolimodu potrebno približno 2 mjeseca da se nakon obustave terapije izluči iz organizma (vidjeti </w:t>
      </w:r>
      <w:r w:rsidR="00282BF1" w:rsidRPr="00E75889">
        <w:rPr>
          <w:sz w:val="22"/>
          <w:szCs w:val="22"/>
          <w:lang w:val="sr-Latn-RS" w:eastAsia="en-US"/>
        </w:rPr>
        <w:t>dio</w:t>
      </w:r>
      <w:r w:rsidRPr="00E75889">
        <w:rPr>
          <w:sz w:val="22"/>
          <w:szCs w:val="22"/>
          <w:lang w:val="sr-Latn-RS" w:eastAsia="en-US"/>
        </w:rPr>
        <w:t xml:space="preserve"> 4.4).</w:t>
      </w:r>
    </w:p>
    <w:p w14:paraId="53F36DDA"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3CCA1904"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r w:rsidRPr="00E75889">
        <w:rPr>
          <w:rStyle w:val="Bodytext11"/>
          <w:sz w:val="22"/>
          <w:szCs w:val="22"/>
          <w:u w:val="none"/>
          <w:lang w:val="sr-Latn-RS"/>
        </w:rPr>
        <w:t xml:space="preserve">Specifične mjere su takođe uključene u Edukativni materijal za ljekare. Ove mjere moraju da budu implementirane prije nego što se fingolimod propiše pacijentkinji i tokom terapije. </w:t>
      </w:r>
    </w:p>
    <w:p w14:paraId="302E799C"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p>
    <w:p w14:paraId="01FC1045" w14:textId="6A73A7AF"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r w:rsidRPr="00E75889">
        <w:rPr>
          <w:rStyle w:val="Bodytext11"/>
          <w:sz w:val="22"/>
          <w:szCs w:val="22"/>
          <w:u w:val="none"/>
          <w:lang w:val="sr-Latn-RS"/>
        </w:rPr>
        <w:t xml:space="preserve">Treba razmotrititi mogući povratak aktivne bolesti kada se obustavlja terapija fingolimodom zbog planiranja trudnoće (vidjeti </w:t>
      </w:r>
      <w:r w:rsidR="00282BF1" w:rsidRPr="00E75889">
        <w:rPr>
          <w:rStyle w:val="Bodytext11"/>
          <w:sz w:val="22"/>
          <w:szCs w:val="22"/>
          <w:u w:val="none"/>
          <w:lang w:val="sr-Latn-RS"/>
        </w:rPr>
        <w:t>dio</w:t>
      </w:r>
      <w:r w:rsidRPr="00E75889">
        <w:rPr>
          <w:rStyle w:val="Bodytext11"/>
          <w:sz w:val="22"/>
          <w:szCs w:val="22"/>
          <w:u w:val="none"/>
          <w:lang w:val="sr-Latn-RS"/>
        </w:rPr>
        <w:t xml:space="preserve"> 4.4).</w:t>
      </w:r>
    </w:p>
    <w:p w14:paraId="3E08DC31"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lang w:val="sr-Latn-RS"/>
        </w:rPr>
      </w:pPr>
    </w:p>
    <w:p w14:paraId="74F4155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1"/>
          <w:sz w:val="22"/>
          <w:szCs w:val="22"/>
          <w:lang w:val="sr-Latn-RS"/>
        </w:rPr>
        <w:t>Trudnoća</w:t>
      </w:r>
    </w:p>
    <w:p w14:paraId="52E2F39B" w14:textId="3712C0C3"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r w:rsidRPr="00E75889">
        <w:rPr>
          <w:rStyle w:val="Bodytext11"/>
          <w:sz w:val="22"/>
          <w:szCs w:val="22"/>
          <w:u w:val="none"/>
          <w:lang w:val="sr-Latn-RS"/>
        </w:rPr>
        <w:t xml:space="preserve">Na osnovu iskustva kod ljudi, postmarketinški podaci ukazuju da je primjena fingolimoda povezana sa 2 puta većim rizikom od pojave </w:t>
      </w:r>
      <w:r w:rsidR="00432508" w:rsidRPr="00E75889">
        <w:rPr>
          <w:rStyle w:val="Bodytext11"/>
          <w:sz w:val="22"/>
          <w:szCs w:val="22"/>
          <w:u w:val="none"/>
          <w:lang w:val="sr-Latn-RS"/>
        </w:rPr>
        <w:t>većih</w:t>
      </w:r>
      <w:r w:rsidRPr="00E75889">
        <w:rPr>
          <w:rStyle w:val="Bodytext11"/>
          <w:sz w:val="22"/>
          <w:szCs w:val="22"/>
          <w:u w:val="none"/>
          <w:lang w:val="sr-Latn-RS"/>
        </w:rPr>
        <w:t xml:space="preserve"> kongenitalnih malformacija kada se primjenjuje tokom trudnoće, u poređenju sa stopom zabilježenom u opštoj populaciji (2-3%; EUROCAT).</w:t>
      </w:r>
    </w:p>
    <w:p w14:paraId="67A87538" w14:textId="77777777"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p>
    <w:p w14:paraId="44A5E579" w14:textId="451D928E" w:rsidR="00EB75FD" w:rsidRPr="00E75889" w:rsidRDefault="00EB75FD" w:rsidP="00E75889">
      <w:pPr>
        <w:pStyle w:val="Bodytext1"/>
        <w:widowControl w:val="0"/>
        <w:shd w:val="clear" w:color="auto" w:fill="auto"/>
        <w:spacing w:before="0" w:after="0" w:line="240" w:lineRule="auto"/>
        <w:ind w:firstLine="0"/>
        <w:jc w:val="both"/>
        <w:rPr>
          <w:rStyle w:val="Bodytext11"/>
          <w:sz w:val="22"/>
          <w:szCs w:val="22"/>
          <w:u w:val="none"/>
          <w:lang w:val="sr-Latn-RS"/>
        </w:rPr>
      </w:pPr>
      <w:r w:rsidRPr="00E75889">
        <w:rPr>
          <w:rStyle w:val="Bodytext11"/>
          <w:sz w:val="22"/>
          <w:szCs w:val="22"/>
          <w:u w:val="none"/>
          <w:lang w:val="sr-Latn-RS"/>
        </w:rPr>
        <w:t>Najčešće su prijavljivane sl</w:t>
      </w:r>
      <w:r w:rsidR="00432508" w:rsidRPr="00E75889">
        <w:rPr>
          <w:rStyle w:val="Bodytext11"/>
          <w:sz w:val="22"/>
          <w:szCs w:val="22"/>
          <w:u w:val="none"/>
          <w:lang w:val="sr-Latn-RS"/>
        </w:rPr>
        <w:t>j</w:t>
      </w:r>
      <w:r w:rsidRPr="00E75889">
        <w:rPr>
          <w:rStyle w:val="Bodytext11"/>
          <w:sz w:val="22"/>
          <w:szCs w:val="22"/>
          <w:u w:val="none"/>
          <w:lang w:val="sr-Latn-RS"/>
        </w:rPr>
        <w:t xml:space="preserve">edeće </w:t>
      </w:r>
      <w:r w:rsidR="00432508" w:rsidRPr="00E75889">
        <w:rPr>
          <w:rStyle w:val="Bodytext11"/>
          <w:sz w:val="22"/>
          <w:szCs w:val="22"/>
          <w:u w:val="none"/>
          <w:lang w:val="sr-Latn-RS"/>
        </w:rPr>
        <w:t>veće</w:t>
      </w:r>
      <w:r w:rsidRPr="00E75889">
        <w:rPr>
          <w:rStyle w:val="Bodytext11"/>
          <w:sz w:val="22"/>
          <w:szCs w:val="22"/>
          <w:u w:val="none"/>
          <w:lang w:val="sr-Latn-RS"/>
        </w:rPr>
        <w:t xml:space="preserve"> malformacije:</w:t>
      </w:r>
    </w:p>
    <w:p w14:paraId="2B611DAA" w14:textId="77777777" w:rsidR="00EB75FD" w:rsidRPr="00E75889" w:rsidRDefault="00EB75FD" w:rsidP="00E75889">
      <w:pPr>
        <w:pStyle w:val="ListParagraph"/>
        <w:widowControl w:val="0"/>
        <w:numPr>
          <w:ilvl w:val="0"/>
          <w:numId w:val="17"/>
        </w:numPr>
        <w:autoSpaceDE w:val="0"/>
        <w:autoSpaceDN w:val="0"/>
        <w:adjustRightInd w:val="0"/>
        <w:spacing w:after="0" w:line="240" w:lineRule="auto"/>
        <w:contextualSpacing w:val="0"/>
        <w:jc w:val="both"/>
        <w:rPr>
          <w:rFonts w:ascii="Times New Roman" w:hAnsi="Times New Roman"/>
          <w:sz w:val="22"/>
          <w:lang w:val="sr-Latn-RS"/>
        </w:rPr>
      </w:pPr>
      <w:r w:rsidRPr="00E75889">
        <w:rPr>
          <w:rFonts w:ascii="Times New Roman" w:hAnsi="Times New Roman"/>
          <w:sz w:val="22"/>
          <w:lang w:val="sr-Latn-RS"/>
        </w:rPr>
        <w:t xml:space="preserve">kongenitalna oboljenja srca kao što su atrijalni i ventrikularni septalni defekti, tetralogija </w:t>
      </w:r>
      <w:r w:rsidRPr="00E75889">
        <w:rPr>
          <w:rFonts w:ascii="Times New Roman" w:hAnsi="Times New Roman"/>
          <w:i/>
          <w:sz w:val="22"/>
          <w:lang w:val="sr-Latn-RS"/>
        </w:rPr>
        <w:t>Fallot</w:t>
      </w:r>
      <w:r w:rsidRPr="00E75889">
        <w:rPr>
          <w:rFonts w:ascii="Times New Roman" w:hAnsi="Times New Roman"/>
          <w:sz w:val="22"/>
          <w:lang w:val="sr-Latn-RS"/>
        </w:rPr>
        <w:t>;</w:t>
      </w:r>
    </w:p>
    <w:p w14:paraId="47BBB9E8" w14:textId="1EE8C752" w:rsidR="00EB75FD" w:rsidRPr="00E75889" w:rsidRDefault="00EB75FD" w:rsidP="00E75889">
      <w:pPr>
        <w:pStyle w:val="ListParagraph"/>
        <w:widowControl w:val="0"/>
        <w:numPr>
          <w:ilvl w:val="0"/>
          <w:numId w:val="17"/>
        </w:numPr>
        <w:autoSpaceDE w:val="0"/>
        <w:autoSpaceDN w:val="0"/>
        <w:adjustRightInd w:val="0"/>
        <w:spacing w:after="0" w:line="240" w:lineRule="auto"/>
        <w:jc w:val="both"/>
        <w:rPr>
          <w:rFonts w:ascii="Times New Roman" w:hAnsi="Times New Roman"/>
          <w:sz w:val="22"/>
          <w:lang w:val="sr-Latn-RS"/>
        </w:rPr>
      </w:pPr>
      <w:r w:rsidRPr="00E75889">
        <w:rPr>
          <w:rFonts w:ascii="Times New Roman" w:hAnsi="Times New Roman"/>
          <w:sz w:val="22"/>
          <w:lang w:val="sr-Latn-RS"/>
        </w:rPr>
        <w:lastRenderedPageBreak/>
        <w:t xml:space="preserve">poremećaji </w:t>
      </w:r>
      <w:r w:rsidR="002B3BBF" w:rsidRPr="00E75889">
        <w:rPr>
          <w:rFonts w:ascii="Times New Roman" w:hAnsi="Times New Roman"/>
          <w:sz w:val="22"/>
          <w:lang w:val="sr-Latn-RS"/>
        </w:rPr>
        <w:t xml:space="preserve">funkcije </w:t>
      </w:r>
      <w:r w:rsidRPr="00E75889">
        <w:rPr>
          <w:rFonts w:ascii="Times New Roman" w:hAnsi="Times New Roman"/>
          <w:sz w:val="22"/>
          <w:lang w:val="sr-Latn-RS"/>
        </w:rPr>
        <w:t>bubrega;</w:t>
      </w:r>
    </w:p>
    <w:p w14:paraId="07D7C723" w14:textId="77777777" w:rsidR="00EB75FD" w:rsidRPr="00E75889" w:rsidRDefault="00EB75FD" w:rsidP="00E75889">
      <w:pPr>
        <w:pStyle w:val="ListParagraph"/>
        <w:widowControl w:val="0"/>
        <w:numPr>
          <w:ilvl w:val="0"/>
          <w:numId w:val="17"/>
        </w:numPr>
        <w:autoSpaceDE w:val="0"/>
        <w:autoSpaceDN w:val="0"/>
        <w:adjustRightInd w:val="0"/>
        <w:spacing w:after="0" w:line="240" w:lineRule="auto"/>
        <w:contextualSpacing w:val="0"/>
        <w:jc w:val="both"/>
        <w:rPr>
          <w:rStyle w:val="Bodytext11"/>
          <w:sz w:val="22"/>
          <w:szCs w:val="22"/>
          <w:lang w:val="sr-Latn-RS"/>
        </w:rPr>
      </w:pPr>
      <w:r w:rsidRPr="00E75889">
        <w:rPr>
          <w:rFonts w:ascii="Times New Roman" w:hAnsi="Times New Roman"/>
          <w:sz w:val="22"/>
          <w:lang w:val="sr-Latn-RS"/>
        </w:rPr>
        <w:t>poremećaji mišićno-koštanog sistema.</w:t>
      </w:r>
      <w:r w:rsidRPr="00E75889">
        <w:rPr>
          <w:rStyle w:val="Bodytext11"/>
          <w:sz w:val="22"/>
          <w:szCs w:val="22"/>
          <w:lang w:val="sr-Latn-RS"/>
        </w:rPr>
        <w:t xml:space="preserve"> </w:t>
      </w:r>
    </w:p>
    <w:p w14:paraId="7BFF329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rStyle w:val="Bodytext11"/>
          <w:sz w:val="22"/>
          <w:szCs w:val="22"/>
          <w:lang w:val="sr-Latn-RS"/>
        </w:rPr>
        <w:t xml:space="preserve"> </w:t>
      </w:r>
    </w:p>
    <w:p w14:paraId="084604B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Nema podataka o efektu fingolimoda na kontrakcije i porođaj.</w:t>
      </w:r>
    </w:p>
    <w:p w14:paraId="012F72D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45568D7" w14:textId="1B18951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Ispitivanja na životinjama su pokazala reproduktivnu toksičnost, uključujući i gubitak fetusa i oštećenja organa, posebno perzistentni </w:t>
      </w:r>
      <w:r w:rsidRPr="00E75889">
        <w:rPr>
          <w:i/>
          <w:sz w:val="22"/>
          <w:szCs w:val="22"/>
          <w:lang w:val="sr-Latn-RS" w:eastAsia="en-US"/>
        </w:rPr>
        <w:t>truncus arteriosus</w:t>
      </w:r>
      <w:r w:rsidRPr="00E75889">
        <w:rPr>
          <w:sz w:val="22"/>
          <w:szCs w:val="22"/>
          <w:lang w:val="sr-Latn-RS" w:eastAsia="en-US"/>
        </w:rPr>
        <w:t xml:space="preserve"> i ventrikularni septalni defekt (vidjeti </w:t>
      </w:r>
      <w:r w:rsidR="00282BF1" w:rsidRPr="00E75889">
        <w:rPr>
          <w:sz w:val="22"/>
          <w:szCs w:val="22"/>
          <w:lang w:val="sr-Latn-RS" w:eastAsia="en-US"/>
        </w:rPr>
        <w:t>dio</w:t>
      </w:r>
      <w:r w:rsidRPr="00E75889">
        <w:rPr>
          <w:sz w:val="22"/>
          <w:szCs w:val="22"/>
          <w:lang w:val="sr-Latn-RS" w:eastAsia="en-US"/>
        </w:rPr>
        <w:t xml:space="preserve"> 5.3). Takođe, poznato je da je jedan receptor na koji utiče fingolimod (sfingozin 1-fosfatni receptor) uključen u formiranje krvnih sudova tokom embriogeneze. </w:t>
      </w:r>
    </w:p>
    <w:p w14:paraId="2BA3C59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4DF1944" w14:textId="78030B1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 xml:space="preserve">Posljedično, fingolimod je kontraindikovan tokom trudnoće (vidjeti </w:t>
      </w:r>
      <w:r w:rsidR="00282BF1" w:rsidRPr="00E75889">
        <w:rPr>
          <w:sz w:val="22"/>
          <w:szCs w:val="22"/>
          <w:lang w:val="sr-Latn-RS"/>
        </w:rPr>
        <w:t>dio</w:t>
      </w:r>
      <w:r w:rsidRPr="00E75889">
        <w:rPr>
          <w:sz w:val="22"/>
          <w:szCs w:val="22"/>
          <w:lang w:val="sr-Latn-RS"/>
        </w:rPr>
        <w:t xml:space="preserve"> 4.3). Primjenu fingolimoda treba obustaviti 2 mjeseca prije planiranja trudnoće (vidjeti </w:t>
      </w:r>
      <w:r w:rsidR="00282BF1" w:rsidRPr="00E75889">
        <w:rPr>
          <w:sz w:val="22"/>
          <w:szCs w:val="22"/>
          <w:lang w:val="sr-Latn-RS"/>
        </w:rPr>
        <w:t>dio</w:t>
      </w:r>
      <w:r w:rsidRPr="00E75889">
        <w:rPr>
          <w:sz w:val="22"/>
          <w:szCs w:val="22"/>
          <w:lang w:val="sr-Latn-RS"/>
        </w:rPr>
        <w:t xml:space="preserve"> 4.4). Ako žena zatrudni tokom terapije fingolimodom, primjena lijeka se mora obustaviti. Treba dati medicinski savet o riziku od štetnih efekata na fetus povezanih sa terapijom i treba uraditi ultrazvučne preglede.</w:t>
      </w:r>
    </w:p>
    <w:p w14:paraId="4B3ED46E" w14:textId="4855B5B8" w:rsidR="00EB75FD" w:rsidRPr="00E75889" w:rsidRDefault="00432508"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00"/>
          <w:sz w:val="22"/>
          <w:szCs w:val="22"/>
          <w:lang w:val="sr-Latn-RS"/>
        </w:rPr>
        <w:t>D</w:t>
      </w:r>
      <w:r w:rsidR="00EB75FD" w:rsidRPr="00E75889">
        <w:rPr>
          <w:rStyle w:val="Bodytext100"/>
          <w:sz w:val="22"/>
          <w:szCs w:val="22"/>
          <w:lang w:val="sr-Latn-RS"/>
        </w:rPr>
        <w:t>ojenje</w:t>
      </w:r>
    </w:p>
    <w:p w14:paraId="44684DF6" w14:textId="3F96599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Fingolimod se izlučuje u mlijeku tretiranih životinja tokom laktacije (vidjeti </w:t>
      </w:r>
      <w:r w:rsidR="00282BF1" w:rsidRPr="00E75889">
        <w:rPr>
          <w:sz w:val="22"/>
          <w:szCs w:val="22"/>
          <w:lang w:val="sr-Latn-RS" w:eastAsia="en-US"/>
        </w:rPr>
        <w:t>dio</w:t>
      </w:r>
      <w:r w:rsidRPr="00E75889">
        <w:rPr>
          <w:sz w:val="22"/>
          <w:szCs w:val="22"/>
          <w:lang w:val="sr-Latn-RS" w:eastAsia="en-US"/>
        </w:rPr>
        <w:t xml:space="preserve"> 5.3). Zbog mogućih </w:t>
      </w:r>
      <w:r w:rsidR="00895171" w:rsidRPr="00E75889">
        <w:rPr>
          <w:sz w:val="22"/>
          <w:szCs w:val="22"/>
          <w:lang w:val="sr-Latn-RS" w:eastAsia="en-US"/>
        </w:rPr>
        <w:t>ozbiljnih</w:t>
      </w:r>
      <w:r w:rsidRPr="00E75889">
        <w:rPr>
          <w:sz w:val="22"/>
          <w:szCs w:val="22"/>
          <w:lang w:val="sr-Latn-RS" w:eastAsia="en-US"/>
        </w:rPr>
        <w:t xml:space="preserve"> neželjenih reakcija odojčadi na fingolimod, žene koje </w:t>
      </w:r>
      <w:r w:rsidR="00895171" w:rsidRPr="00E75889">
        <w:rPr>
          <w:sz w:val="22"/>
          <w:szCs w:val="22"/>
          <w:lang w:val="sr-Latn-RS" w:eastAsia="en-US"/>
        </w:rPr>
        <w:t>uzimaju</w:t>
      </w:r>
      <w:r w:rsidRPr="00E75889">
        <w:rPr>
          <w:sz w:val="22"/>
          <w:szCs w:val="22"/>
          <w:lang w:val="sr-Latn-RS" w:eastAsia="en-US"/>
        </w:rPr>
        <w:t xml:space="preserve"> lijek Gilenya ne smiju da doje. </w:t>
      </w:r>
    </w:p>
    <w:p w14:paraId="7083B393" w14:textId="77777777" w:rsidR="00EB75FD" w:rsidRPr="00E75889" w:rsidRDefault="00EB75FD" w:rsidP="00E75889">
      <w:pPr>
        <w:pStyle w:val="Bodytext1"/>
        <w:widowControl w:val="0"/>
        <w:shd w:val="clear" w:color="auto" w:fill="auto"/>
        <w:spacing w:before="0" w:after="0" w:line="240" w:lineRule="auto"/>
        <w:ind w:firstLine="0"/>
        <w:jc w:val="both"/>
        <w:rPr>
          <w:rStyle w:val="Bodytext100"/>
          <w:sz w:val="22"/>
          <w:szCs w:val="22"/>
          <w:lang w:val="sr-Latn-RS"/>
        </w:rPr>
      </w:pPr>
    </w:p>
    <w:p w14:paraId="078D0D1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100"/>
          <w:sz w:val="22"/>
          <w:szCs w:val="22"/>
          <w:lang w:val="sr-Latn-RS"/>
        </w:rPr>
        <w:t>Fertilitet</w:t>
      </w:r>
    </w:p>
    <w:p w14:paraId="493CA4A4" w14:textId="19B13E5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Podaci iz pretkliničkih studija ne ukazuju da bi fingolimod mogao da bude povezan sa povećanim rizikom od sm</w:t>
      </w:r>
      <w:r w:rsidR="00873088" w:rsidRPr="00E75889">
        <w:rPr>
          <w:sz w:val="22"/>
          <w:szCs w:val="22"/>
          <w:lang w:val="sr-Latn-RS" w:eastAsia="en-US"/>
        </w:rPr>
        <w:t>a</w:t>
      </w:r>
      <w:r w:rsidRPr="00E75889">
        <w:rPr>
          <w:sz w:val="22"/>
          <w:szCs w:val="22"/>
          <w:lang w:val="sr-Latn-RS" w:eastAsia="en-US"/>
        </w:rPr>
        <w:t xml:space="preserve">njenog fertiliteta (vidjeti </w:t>
      </w:r>
      <w:r w:rsidR="00282BF1" w:rsidRPr="00E75889">
        <w:rPr>
          <w:sz w:val="22"/>
          <w:szCs w:val="22"/>
          <w:lang w:val="sr-Latn-RS" w:eastAsia="en-US"/>
        </w:rPr>
        <w:t>dio</w:t>
      </w:r>
      <w:r w:rsidRPr="00E75889">
        <w:rPr>
          <w:sz w:val="22"/>
          <w:szCs w:val="22"/>
          <w:lang w:val="sr-Latn-RS" w:eastAsia="en-US"/>
        </w:rPr>
        <w:t xml:space="preserve"> 5.3).</w:t>
      </w:r>
    </w:p>
    <w:p w14:paraId="4AC84E0D" w14:textId="77777777" w:rsidR="00227BDB" w:rsidRPr="00E75889" w:rsidRDefault="00227BDB" w:rsidP="00E75889">
      <w:pPr>
        <w:widowControl w:val="0"/>
        <w:tabs>
          <w:tab w:val="left" w:pos="540"/>
          <w:tab w:val="left" w:pos="569"/>
        </w:tabs>
        <w:ind w:left="540" w:hanging="540"/>
        <w:jc w:val="both"/>
        <w:rPr>
          <w:b/>
          <w:bCs/>
          <w:sz w:val="22"/>
          <w:szCs w:val="22"/>
          <w:lang w:val="sr-Latn-RS"/>
        </w:rPr>
      </w:pPr>
    </w:p>
    <w:p w14:paraId="016716A7" w14:textId="77777777" w:rsidR="0072020E" w:rsidRPr="00E75889" w:rsidRDefault="0072020E" w:rsidP="00E75889">
      <w:pPr>
        <w:widowControl w:val="0"/>
        <w:tabs>
          <w:tab w:val="left" w:pos="540"/>
          <w:tab w:val="left" w:pos="569"/>
        </w:tabs>
        <w:ind w:left="540" w:hanging="540"/>
        <w:jc w:val="both"/>
        <w:rPr>
          <w:b/>
          <w:bCs/>
          <w:sz w:val="22"/>
          <w:szCs w:val="22"/>
          <w:lang w:val="sr-Latn-RS"/>
        </w:rPr>
      </w:pPr>
      <w:r w:rsidRPr="00E75889">
        <w:rPr>
          <w:b/>
          <w:bCs/>
          <w:sz w:val="22"/>
          <w:szCs w:val="22"/>
          <w:lang w:val="sr-Latn-RS"/>
        </w:rPr>
        <w:t xml:space="preserve">4.7. </w:t>
      </w:r>
      <w:r w:rsidR="00480FB1" w:rsidRPr="00E75889">
        <w:rPr>
          <w:b/>
          <w:bCs/>
          <w:sz w:val="22"/>
          <w:szCs w:val="22"/>
          <w:lang w:val="sr-Latn-RS"/>
        </w:rPr>
        <w:tab/>
      </w:r>
      <w:r w:rsidRPr="00E75889">
        <w:rPr>
          <w:b/>
          <w:bCs/>
          <w:sz w:val="22"/>
          <w:szCs w:val="22"/>
          <w:lang w:val="sr-Latn-RS"/>
        </w:rPr>
        <w:t xml:space="preserve">Uticaj na </w:t>
      </w:r>
      <w:r w:rsidR="002031B3" w:rsidRPr="00E75889">
        <w:rPr>
          <w:b/>
          <w:bCs/>
          <w:sz w:val="22"/>
          <w:szCs w:val="22"/>
          <w:lang w:val="sr-Latn-RS"/>
        </w:rPr>
        <w:t xml:space="preserve">sposobnost </w:t>
      </w:r>
      <w:r w:rsidR="00F34554" w:rsidRPr="00E75889">
        <w:rPr>
          <w:b/>
          <w:bCs/>
          <w:sz w:val="22"/>
          <w:szCs w:val="22"/>
          <w:lang w:val="sr-Latn-RS"/>
        </w:rPr>
        <w:t>upravljanja vozili</w:t>
      </w:r>
      <w:r w:rsidRPr="00E75889">
        <w:rPr>
          <w:b/>
          <w:bCs/>
          <w:sz w:val="22"/>
          <w:szCs w:val="22"/>
          <w:lang w:val="sr-Latn-RS"/>
        </w:rPr>
        <w:t>m</w:t>
      </w:r>
      <w:r w:rsidR="00F34554" w:rsidRPr="00E75889">
        <w:rPr>
          <w:b/>
          <w:bCs/>
          <w:sz w:val="22"/>
          <w:szCs w:val="22"/>
          <w:lang w:val="sr-Latn-RS"/>
        </w:rPr>
        <w:t>a</w:t>
      </w:r>
      <w:r w:rsidRPr="00E75889">
        <w:rPr>
          <w:b/>
          <w:bCs/>
          <w:sz w:val="22"/>
          <w:szCs w:val="22"/>
          <w:lang w:val="sr-Latn-RS"/>
        </w:rPr>
        <w:t xml:space="preserve"> i </w:t>
      </w:r>
      <w:r w:rsidR="000D3449" w:rsidRPr="00E75889">
        <w:rPr>
          <w:b/>
          <w:bCs/>
          <w:sz w:val="22"/>
          <w:szCs w:val="22"/>
          <w:lang w:val="sr-Latn-RS"/>
        </w:rPr>
        <w:t xml:space="preserve">rukovanje </w:t>
      </w:r>
      <w:r w:rsidRPr="00E75889">
        <w:rPr>
          <w:b/>
          <w:bCs/>
          <w:sz w:val="22"/>
          <w:szCs w:val="22"/>
          <w:lang w:val="sr-Latn-RS"/>
        </w:rPr>
        <w:t>mašinama</w:t>
      </w:r>
    </w:p>
    <w:p w14:paraId="21E264C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88F8C3B" w14:textId="59580C7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ima zanemarljivi ili nema nikakav uticaj na sposobnost za upravljanje vozilima i rukovanje mašinama.</w:t>
      </w:r>
    </w:p>
    <w:p w14:paraId="7603942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257FC35" w14:textId="05F8DFB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Međutim, vrtoglavica ili pospanost mogu povremeno da se jave kada se započinje primjena lijeka. Kada se započinje sa lijekom Gilenya preporučuje se praćenje pacijenata</w:t>
      </w:r>
      <w:r w:rsidR="00BF42F0" w:rsidRPr="00E75889">
        <w:rPr>
          <w:sz w:val="22"/>
          <w:szCs w:val="22"/>
          <w:lang w:val="sr-Latn-RS" w:eastAsia="en-US"/>
        </w:rPr>
        <w:t xml:space="preserve"> </w:t>
      </w:r>
      <w:r w:rsidRPr="00E75889">
        <w:rPr>
          <w:sz w:val="22"/>
          <w:szCs w:val="22"/>
          <w:lang w:val="sr-Latn-RS" w:eastAsia="en-US"/>
        </w:rPr>
        <w:t xml:space="preserve">tokom perioda od 6 </w:t>
      </w:r>
      <w:r w:rsidR="00C17788" w:rsidRPr="00E75889">
        <w:rPr>
          <w:sz w:val="22"/>
          <w:szCs w:val="22"/>
          <w:lang w:val="sr-Latn-RS" w:eastAsia="en-US"/>
        </w:rPr>
        <w:t>sati</w:t>
      </w:r>
      <w:r w:rsidRPr="00E75889">
        <w:rPr>
          <w:sz w:val="22"/>
          <w:szCs w:val="22"/>
          <w:lang w:val="sr-Latn-RS" w:eastAsia="en-US"/>
        </w:rPr>
        <w:t xml:space="preserve"> (vidjeti </w:t>
      </w:r>
      <w:r w:rsidR="00282BF1" w:rsidRPr="00E75889">
        <w:rPr>
          <w:sz w:val="22"/>
          <w:szCs w:val="22"/>
          <w:lang w:val="sr-Latn-RS" w:eastAsia="en-US"/>
        </w:rPr>
        <w:t>dio</w:t>
      </w:r>
      <w:r w:rsidRPr="00E75889">
        <w:rPr>
          <w:sz w:val="22"/>
          <w:szCs w:val="22"/>
          <w:lang w:val="sr-Latn-RS" w:eastAsia="en-US"/>
        </w:rPr>
        <w:t xml:space="preserve"> 4.4. Bradiaritmija).</w:t>
      </w:r>
    </w:p>
    <w:p w14:paraId="6ADCB48B" w14:textId="77777777" w:rsidR="0072020E" w:rsidRPr="00E75889" w:rsidRDefault="0072020E" w:rsidP="00E75889">
      <w:pPr>
        <w:widowControl w:val="0"/>
        <w:tabs>
          <w:tab w:val="left" w:pos="540"/>
          <w:tab w:val="left" w:pos="569"/>
        </w:tabs>
        <w:jc w:val="both"/>
        <w:rPr>
          <w:b/>
          <w:bCs/>
          <w:sz w:val="22"/>
          <w:szCs w:val="22"/>
          <w:lang w:val="sr-Latn-RS"/>
        </w:rPr>
      </w:pPr>
    </w:p>
    <w:p w14:paraId="30073B53" w14:textId="77777777" w:rsidR="0072020E"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4.8. </w:t>
      </w:r>
      <w:r w:rsidR="00480FB1" w:rsidRPr="00E75889">
        <w:rPr>
          <w:b/>
          <w:bCs/>
          <w:sz w:val="22"/>
          <w:szCs w:val="22"/>
          <w:lang w:val="sr-Latn-RS"/>
        </w:rPr>
        <w:tab/>
      </w:r>
      <w:r w:rsidRPr="00E75889">
        <w:rPr>
          <w:b/>
          <w:bCs/>
          <w:sz w:val="22"/>
          <w:szCs w:val="22"/>
          <w:lang w:val="sr-Latn-RS"/>
        </w:rPr>
        <w:t>Neželjena dejstva</w:t>
      </w:r>
    </w:p>
    <w:p w14:paraId="47E34E0A" w14:textId="77777777" w:rsidR="00EB75FD" w:rsidRPr="00E75889" w:rsidRDefault="00EB75FD" w:rsidP="00E75889">
      <w:pPr>
        <w:pStyle w:val="Bodytext1"/>
        <w:widowControl w:val="0"/>
        <w:shd w:val="clear" w:color="auto" w:fill="auto"/>
        <w:spacing w:before="0" w:after="0" w:line="240" w:lineRule="auto"/>
        <w:ind w:firstLine="0"/>
        <w:jc w:val="both"/>
        <w:rPr>
          <w:rStyle w:val="Bodytext100"/>
          <w:sz w:val="22"/>
          <w:szCs w:val="22"/>
          <w:lang w:val="sr-Latn-RS"/>
        </w:rPr>
      </w:pPr>
    </w:p>
    <w:p w14:paraId="27186750" w14:textId="37AA1BE2" w:rsidR="00EB75FD" w:rsidRPr="00E75889" w:rsidRDefault="00EB75FD" w:rsidP="00E75889">
      <w:pPr>
        <w:pStyle w:val="Bodytext1"/>
        <w:widowControl w:val="0"/>
        <w:shd w:val="clear" w:color="auto" w:fill="auto"/>
        <w:spacing w:before="0" w:after="0" w:line="240" w:lineRule="auto"/>
        <w:ind w:firstLine="0"/>
        <w:jc w:val="both"/>
        <w:rPr>
          <w:rStyle w:val="Bodytext100"/>
          <w:sz w:val="22"/>
          <w:szCs w:val="22"/>
          <w:lang w:val="sr-Latn-RS"/>
        </w:rPr>
      </w:pPr>
      <w:r w:rsidRPr="00E75889">
        <w:rPr>
          <w:rStyle w:val="Bodytext100"/>
          <w:sz w:val="22"/>
          <w:szCs w:val="22"/>
          <w:lang w:val="sr-Latn-RS"/>
        </w:rPr>
        <w:t>Sažetak bezb</w:t>
      </w:r>
      <w:r w:rsidR="00E135BB" w:rsidRPr="00E75889">
        <w:rPr>
          <w:rStyle w:val="Bodytext100"/>
          <w:sz w:val="22"/>
          <w:szCs w:val="22"/>
          <w:lang w:val="sr-Latn-RS"/>
        </w:rPr>
        <w:t>j</w:t>
      </w:r>
      <w:r w:rsidRPr="00E75889">
        <w:rPr>
          <w:rStyle w:val="Bodytext100"/>
          <w:sz w:val="22"/>
          <w:szCs w:val="22"/>
          <w:lang w:val="sr-Latn-RS"/>
        </w:rPr>
        <w:t>ednosnog profila</w:t>
      </w:r>
    </w:p>
    <w:p w14:paraId="6E40365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30726082" w14:textId="13FC88B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Najčešće neželjene reakcije (incidenca ≥10%) sa dozom od 0,5 mg su bile glavobolja (24,5%), porast enzima jetre (15,2%), dijareja (12,6%), kašalj (12,3%), </w:t>
      </w:r>
      <w:r w:rsidR="00E135BB" w:rsidRPr="00E75889">
        <w:rPr>
          <w:sz w:val="22"/>
          <w:szCs w:val="22"/>
          <w:lang w:val="sr-Latn-RS"/>
        </w:rPr>
        <w:t>grip</w:t>
      </w:r>
      <w:r w:rsidRPr="00E75889">
        <w:rPr>
          <w:sz w:val="22"/>
          <w:szCs w:val="22"/>
          <w:lang w:val="sr-Latn-RS"/>
        </w:rPr>
        <w:t xml:space="preserve"> (11,4%), sinuzitis (10,9%) i bol u leđima (10,0%). </w:t>
      </w:r>
    </w:p>
    <w:p w14:paraId="2EED231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5A67BDE2" w14:textId="77777777" w:rsidR="00EB75FD" w:rsidRPr="00E75889" w:rsidRDefault="00EB75FD" w:rsidP="00E75889">
      <w:pPr>
        <w:pStyle w:val="Bodytext1"/>
        <w:widowControl w:val="0"/>
        <w:shd w:val="clear" w:color="auto" w:fill="auto"/>
        <w:spacing w:before="0" w:after="0" w:line="240" w:lineRule="auto"/>
        <w:ind w:left="480" w:hanging="480"/>
        <w:jc w:val="both"/>
        <w:rPr>
          <w:rStyle w:val="Bodytext9"/>
          <w:sz w:val="22"/>
          <w:szCs w:val="22"/>
          <w:lang w:val="sr-Latn-RS"/>
        </w:rPr>
      </w:pPr>
      <w:r w:rsidRPr="00E75889">
        <w:rPr>
          <w:rStyle w:val="Bodytext9"/>
          <w:sz w:val="22"/>
          <w:szCs w:val="22"/>
          <w:lang w:val="sr-Latn-RS"/>
        </w:rPr>
        <w:t>Tabelarni prikaz neželjenih reakcija</w:t>
      </w:r>
    </w:p>
    <w:p w14:paraId="5749CF34" w14:textId="77777777" w:rsidR="00EB75FD" w:rsidRPr="00E75889" w:rsidRDefault="00EB75FD" w:rsidP="00E75889">
      <w:pPr>
        <w:pStyle w:val="Bodytext1"/>
        <w:widowControl w:val="0"/>
        <w:shd w:val="clear" w:color="auto" w:fill="auto"/>
        <w:spacing w:before="0" w:after="0" w:line="240" w:lineRule="auto"/>
        <w:ind w:left="480" w:hanging="480"/>
        <w:jc w:val="both"/>
        <w:rPr>
          <w:rStyle w:val="Bodytext9"/>
          <w:sz w:val="22"/>
          <w:szCs w:val="22"/>
          <w:u w:val="none"/>
          <w:lang w:val="sr-Latn-RS"/>
        </w:rPr>
      </w:pPr>
      <w:r w:rsidRPr="00E75889">
        <w:rPr>
          <w:rStyle w:val="Bodytext9"/>
          <w:sz w:val="22"/>
          <w:szCs w:val="22"/>
          <w:u w:val="none"/>
          <w:lang w:val="sr-Latn-RS"/>
        </w:rPr>
        <w:t xml:space="preserve"> </w:t>
      </w:r>
    </w:p>
    <w:p w14:paraId="58EC7E76" w14:textId="11B2BFC1" w:rsidR="00EB75FD" w:rsidRPr="00E75889" w:rsidRDefault="00EB75FD"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rStyle w:val="Bodytext9"/>
          <w:sz w:val="22"/>
          <w:szCs w:val="22"/>
          <w:u w:val="none"/>
          <w:lang w:val="sr-Latn-RS"/>
        </w:rPr>
        <w:t xml:space="preserve">Neželjene reakcije dobijene iz kliničkih studija i postmarketinškog ispitivanja iz spontanih prijava ili slučajeva iz literature su prikazane </w:t>
      </w:r>
      <w:r w:rsidR="00432508" w:rsidRPr="00E75889">
        <w:rPr>
          <w:rStyle w:val="Bodytext9"/>
          <w:sz w:val="22"/>
          <w:szCs w:val="22"/>
          <w:u w:val="none"/>
          <w:lang w:val="sr-Latn-RS"/>
        </w:rPr>
        <w:t>u nastavku</w:t>
      </w:r>
      <w:r w:rsidRPr="00E75889">
        <w:rPr>
          <w:rStyle w:val="Bodytext9"/>
          <w:sz w:val="22"/>
          <w:szCs w:val="22"/>
          <w:u w:val="none"/>
          <w:lang w:val="sr-Latn-RS"/>
        </w:rPr>
        <w:t>. Učestalosti su definisane prema sljedećoj konvenciji: veoma često (≥1/10); često (≥1/100 do &lt;1/10); povremeno (≥1/1000 do &lt;1/100); rijetko (≥ 1/10000 do &lt; 1/1000); veoma rijetko (&lt; 1/10000); nepoznato (ne može se procijeniti na osnovu dostupnih podataka). U okviru svake grupe učestalosti, neželjene reakcije su prikazane u redosledu prema opadajućoj ozbiljnosti.</w:t>
      </w:r>
    </w:p>
    <w:p w14:paraId="7DA591D3" w14:textId="77777777"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p>
    <w:tbl>
      <w:tblPr>
        <w:tblStyle w:val="TableGrid"/>
        <w:tblW w:w="0" w:type="auto"/>
        <w:tblLook w:val="04A0" w:firstRow="1" w:lastRow="0" w:firstColumn="1" w:lastColumn="0" w:noHBand="0" w:noVBand="1"/>
      </w:tblPr>
      <w:tblGrid>
        <w:gridCol w:w="2122"/>
        <w:gridCol w:w="6941"/>
      </w:tblGrid>
      <w:tr w:rsidR="00A23BEA" w:rsidRPr="00E75889" w14:paraId="79B5EDFE" w14:textId="77777777" w:rsidTr="004C71A8">
        <w:tc>
          <w:tcPr>
            <w:tcW w:w="9063" w:type="dxa"/>
            <w:gridSpan w:val="2"/>
          </w:tcPr>
          <w:p w14:paraId="446BE17A" w14:textId="78D9555D" w:rsidR="00A23BEA" w:rsidRPr="00E75889" w:rsidRDefault="00A23BEA" w:rsidP="00E75889">
            <w:pPr>
              <w:pStyle w:val="Heading21"/>
              <w:widowControl w:val="0"/>
              <w:shd w:val="clear" w:color="auto" w:fill="auto"/>
              <w:spacing w:before="0" w:after="0" w:line="240" w:lineRule="auto"/>
              <w:ind w:left="480"/>
              <w:rPr>
                <w:rStyle w:val="Bodytext9"/>
                <w:sz w:val="22"/>
                <w:szCs w:val="22"/>
                <w:u w:val="none"/>
                <w:lang w:val="sr-Latn-RS"/>
              </w:rPr>
            </w:pPr>
            <w:r w:rsidRPr="00E75889">
              <w:rPr>
                <w:sz w:val="22"/>
                <w:szCs w:val="22"/>
                <w:lang w:val="sr-Latn-RS"/>
              </w:rPr>
              <w:t>Infekcije i infestacije</w:t>
            </w:r>
          </w:p>
        </w:tc>
      </w:tr>
      <w:tr w:rsidR="00A23BEA" w:rsidRPr="00E75889" w14:paraId="34E3A78D" w14:textId="77777777" w:rsidTr="00E75889">
        <w:tc>
          <w:tcPr>
            <w:tcW w:w="2122" w:type="dxa"/>
          </w:tcPr>
          <w:p w14:paraId="53781FF6" w14:textId="67582DAB"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177954D0" w14:textId="77777777" w:rsidR="00A23BEA" w:rsidRPr="00E75889" w:rsidRDefault="00A23BEA" w:rsidP="00E75889">
            <w:pPr>
              <w:pStyle w:val="Bodytext1"/>
              <w:widowControl w:val="0"/>
              <w:shd w:val="clear" w:color="auto" w:fill="auto"/>
              <w:tabs>
                <w:tab w:val="left" w:pos="2625"/>
              </w:tabs>
              <w:spacing w:before="0" w:after="0" w:line="240" w:lineRule="auto"/>
              <w:ind w:left="480" w:hanging="480"/>
              <w:jc w:val="both"/>
              <w:rPr>
                <w:sz w:val="22"/>
                <w:szCs w:val="22"/>
                <w:lang w:val="sr-Latn-RS"/>
              </w:rPr>
            </w:pPr>
            <w:r w:rsidRPr="00E75889">
              <w:rPr>
                <w:sz w:val="22"/>
                <w:szCs w:val="22"/>
                <w:lang w:val="sr-Latn-RS"/>
              </w:rPr>
              <w:t>Grip</w:t>
            </w:r>
          </w:p>
          <w:p w14:paraId="426EEF6B" w14:textId="7A41DBBE" w:rsidR="00A23BEA" w:rsidRPr="00E75889" w:rsidRDefault="00A23BEA" w:rsidP="00E75889">
            <w:pPr>
              <w:pStyle w:val="Bodytext1"/>
              <w:widowControl w:val="0"/>
              <w:shd w:val="clear" w:color="auto" w:fill="auto"/>
              <w:tabs>
                <w:tab w:val="left" w:pos="2625"/>
              </w:tabs>
              <w:spacing w:before="0" w:after="0" w:line="240" w:lineRule="auto"/>
              <w:ind w:left="480" w:hanging="480"/>
              <w:jc w:val="both"/>
              <w:rPr>
                <w:rStyle w:val="Bodytext9"/>
                <w:sz w:val="22"/>
                <w:szCs w:val="22"/>
                <w:u w:val="none"/>
                <w:lang w:val="sr-Latn-RS"/>
              </w:rPr>
            </w:pPr>
            <w:r w:rsidRPr="00E75889">
              <w:rPr>
                <w:sz w:val="22"/>
                <w:szCs w:val="22"/>
                <w:lang w:val="sr-Latn-RS"/>
              </w:rPr>
              <w:t>Sinuzitis</w:t>
            </w:r>
          </w:p>
        </w:tc>
      </w:tr>
      <w:tr w:rsidR="00A23BEA" w:rsidRPr="00E75889" w14:paraId="2240C1D6" w14:textId="77777777" w:rsidTr="00E75889">
        <w:tc>
          <w:tcPr>
            <w:tcW w:w="2122" w:type="dxa"/>
          </w:tcPr>
          <w:p w14:paraId="1C9F913C" w14:textId="49EE31D4"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2F44EDE8" w14:textId="77777777" w:rsidR="00A23BEA" w:rsidRPr="00E75889" w:rsidRDefault="00A23BEA" w:rsidP="00E75889">
            <w:pPr>
              <w:pStyle w:val="Bodytext1"/>
              <w:widowControl w:val="0"/>
              <w:shd w:val="clear" w:color="auto" w:fill="auto"/>
              <w:tabs>
                <w:tab w:val="left" w:pos="2610"/>
              </w:tabs>
              <w:spacing w:before="0" w:after="0" w:line="240" w:lineRule="auto"/>
              <w:ind w:left="480" w:hanging="480"/>
              <w:jc w:val="both"/>
              <w:rPr>
                <w:sz w:val="22"/>
                <w:szCs w:val="22"/>
                <w:lang w:val="sr-Latn-RS"/>
              </w:rPr>
            </w:pPr>
            <w:r w:rsidRPr="00E75889">
              <w:rPr>
                <w:sz w:val="22"/>
                <w:szCs w:val="22"/>
                <w:lang w:val="sr-Latn-RS"/>
              </w:rPr>
              <w:t>Infekcije herpes virusom</w:t>
            </w:r>
          </w:p>
          <w:p w14:paraId="0267AAB0" w14:textId="637D81DB" w:rsidR="00A23BEA" w:rsidRPr="00E75889" w:rsidRDefault="00A23BEA" w:rsidP="00E75889">
            <w:pPr>
              <w:pStyle w:val="Bodytext1"/>
              <w:widowControl w:val="0"/>
              <w:shd w:val="clear" w:color="auto" w:fill="auto"/>
              <w:tabs>
                <w:tab w:val="left" w:pos="2620"/>
              </w:tabs>
              <w:spacing w:before="0" w:after="0" w:line="240" w:lineRule="auto"/>
              <w:ind w:firstLine="0"/>
              <w:jc w:val="both"/>
              <w:rPr>
                <w:sz w:val="22"/>
                <w:szCs w:val="22"/>
                <w:lang w:val="sr-Latn-RS"/>
              </w:rPr>
            </w:pPr>
            <w:r w:rsidRPr="00E75889">
              <w:rPr>
                <w:sz w:val="22"/>
                <w:szCs w:val="22"/>
                <w:lang w:val="sr-Latn-RS"/>
              </w:rPr>
              <w:t xml:space="preserve">Bronhitis </w:t>
            </w:r>
          </w:p>
          <w:p w14:paraId="30936970" w14:textId="4B1DF1B6"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i/>
                <w:sz w:val="22"/>
                <w:szCs w:val="22"/>
                <w:lang w:val="sr-Latn-RS"/>
              </w:rPr>
              <w:t>Tinea versicolor</w:t>
            </w:r>
          </w:p>
        </w:tc>
      </w:tr>
      <w:tr w:rsidR="00A23BEA" w:rsidRPr="00E75889" w14:paraId="6AEFC9D3" w14:textId="77777777" w:rsidTr="00E75889">
        <w:tc>
          <w:tcPr>
            <w:tcW w:w="2122" w:type="dxa"/>
          </w:tcPr>
          <w:p w14:paraId="2958E18C" w14:textId="245E8CD3"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Povremeno:</w:t>
            </w:r>
          </w:p>
        </w:tc>
        <w:tc>
          <w:tcPr>
            <w:tcW w:w="6941" w:type="dxa"/>
          </w:tcPr>
          <w:p w14:paraId="51D1712E" w14:textId="46021BFE" w:rsidR="00A23BEA" w:rsidRPr="00E75889" w:rsidRDefault="00A23BEA" w:rsidP="00E75889">
            <w:pPr>
              <w:pStyle w:val="Bodytext1"/>
              <w:widowControl w:val="0"/>
              <w:shd w:val="clear" w:color="auto" w:fill="auto"/>
              <w:tabs>
                <w:tab w:val="left" w:pos="2620"/>
              </w:tabs>
              <w:spacing w:before="0" w:after="0" w:line="240" w:lineRule="auto"/>
              <w:ind w:firstLine="0"/>
              <w:jc w:val="both"/>
              <w:rPr>
                <w:rStyle w:val="Bodytext9"/>
                <w:sz w:val="22"/>
                <w:szCs w:val="22"/>
                <w:u w:val="none"/>
                <w:shd w:val="clear" w:color="auto" w:fill="auto"/>
                <w:lang w:val="sr-Latn-RS"/>
              </w:rPr>
            </w:pPr>
            <w:r w:rsidRPr="00E75889">
              <w:rPr>
                <w:sz w:val="22"/>
                <w:szCs w:val="22"/>
                <w:lang w:val="sr-Latn-RS"/>
              </w:rPr>
              <w:t>Pneumonija</w:t>
            </w:r>
          </w:p>
        </w:tc>
      </w:tr>
      <w:tr w:rsidR="00A23BEA" w:rsidRPr="00E75889" w14:paraId="5941088F" w14:textId="77777777" w:rsidTr="00E75889">
        <w:tc>
          <w:tcPr>
            <w:tcW w:w="2122" w:type="dxa"/>
          </w:tcPr>
          <w:p w14:paraId="0C1E94DF" w14:textId="0D438A7C"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Nepoznato:</w:t>
            </w:r>
          </w:p>
        </w:tc>
        <w:tc>
          <w:tcPr>
            <w:tcW w:w="6941" w:type="dxa"/>
          </w:tcPr>
          <w:p w14:paraId="1950F7DD" w14:textId="20113DAB" w:rsidR="00A23BEA" w:rsidRPr="00E75889" w:rsidRDefault="00A23BEA" w:rsidP="00E75889">
            <w:pPr>
              <w:pStyle w:val="Bodytext1"/>
              <w:widowControl w:val="0"/>
              <w:shd w:val="clear" w:color="auto" w:fill="auto"/>
              <w:tabs>
                <w:tab w:val="left" w:pos="2620"/>
              </w:tabs>
              <w:spacing w:before="0" w:after="0" w:line="240" w:lineRule="auto"/>
              <w:ind w:firstLine="0"/>
              <w:rPr>
                <w:sz w:val="22"/>
                <w:szCs w:val="22"/>
                <w:lang w:val="sr-Latn-RS"/>
              </w:rPr>
            </w:pPr>
            <w:r w:rsidRPr="00E75889">
              <w:rPr>
                <w:sz w:val="22"/>
                <w:szCs w:val="22"/>
                <w:lang w:val="sr-Latn-RS"/>
              </w:rPr>
              <w:t xml:space="preserve">Progresivna multifokalna leukopencefalopatija (PML)** </w:t>
            </w:r>
          </w:p>
          <w:p w14:paraId="0C41F42D" w14:textId="74D49F99" w:rsidR="00A23BEA" w:rsidRPr="00E75889" w:rsidRDefault="00A23BEA" w:rsidP="00E75889">
            <w:pPr>
              <w:pStyle w:val="Bodytext1"/>
              <w:widowControl w:val="0"/>
              <w:shd w:val="clear" w:color="auto" w:fill="auto"/>
              <w:tabs>
                <w:tab w:val="left" w:pos="2620"/>
              </w:tabs>
              <w:spacing w:before="0" w:after="0" w:line="240" w:lineRule="auto"/>
              <w:ind w:firstLine="0"/>
              <w:rPr>
                <w:rStyle w:val="Bodytext9"/>
                <w:sz w:val="22"/>
                <w:szCs w:val="22"/>
                <w:u w:val="none"/>
                <w:lang w:val="sr-Latn-RS"/>
              </w:rPr>
            </w:pPr>
            <w:r w:rsidRPr="00E75889">
              <w:rPr>
                <w:sz w:val="22"/>
                <w:szCs w:val="22"/>
                <w:lang w:val="sr-Latn-RS"/>
              </w:rPr>
              <w:t>Kriptokokne infekcije**</w:t>
            </w:r>
          </w:p>
        </w:tc>
      </w:tr>
      <w:tr w:rsidR="00A23BEA" w:rsidRPr="00E75889" w14:paraId="06A50CD6" w14:textId="77777777" w:rsidTr="004C71A8">
        <w:tc>
          <w:tcPr>
            <w:tcW w:w="9063" w:type="dxa"/>
            <w:gridSpan w:val="2"/>
          </w:tcPr>
          <w:p w14:paraId="1FC93FE6" w14:textId="3291CFF3" w:rsidR="00A23BEA" w:rsidRPr="00E75889" w:rsidRDefault="00A23BEA" w:rsidP="00E75889">
            <w:pPr>
              <w:widowControl w:val="0"/>
              <w:jc w:val="both"/>
              <w:outlineLvl w:val="1"/>
              <w:rPr>
                <w:rStyle w:val="Bodytext9"/>
                <w:sz w:val="22"/>
                <w:szCs w:val="22"/>
                <w:u w:val="none"/>
                <w:lang w:val="sr-Latn-RS"/>
              </w:rPr>
            </w:pPr>
            <w:r w:rsidRPr="00E75889">
              <w:rPr>
                <w:b/>
                <w:bCs/>
                <w:sz w:val="22"/>
                <w:szCs w:val="22"/>
                <w:lang w:val="sr-Latn-RS"/>
              </w:rPr>
              <w:lastRenderedPageBreak/>
              <w:t>Neoplazme - benigne, maligne i neodređene (uključujući ciste i polipe)</w:t>
            </w:r>
          </w:p>
        </w:tc>
      </w:tr>
      <w:tr w:rsidR="00A23BEA" w:rsidRPr="00E75889" w14:paraId="262FBE84" w14:textId="77777777" w:rsidTr="00E75889">
        <w:tc>
          <w:tcPr>
            <w:tcW w:w="2122" w:type="dxa"/>
          </w:tcPr>
          <w:p w14:paraId="04EA1CA7" w14:textId="122CE796"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Često:  </w:t>
            </w:r>
          </w:p>
        </w:tc>
        <w:tc>
          <w:tcPr>
            <w:tcW w:w="6941" w:type="dxa"/>
          </w:tcPr>
          <w:p w14:paraId="2459DAE8" w14:textId="2FEEEB1F"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Bazocelularni karcinom</w:t>
            </w:r>
          </w:p>
        </w:tc>
      </w:tr>
      <w:tr w:rsidR="00A23BEA" w:rsidRPr="00E75889" w14:paraId="6633E48E" w14:textId="77777777" w:rsidTr="00E75889">
        <w:tc>
          <w:tcPr>
            <w:tcW w:w="2122" w:type="dxa"/>
          </w:tcPr>
          <w:p w14:paraId="10AC8554" w14:textId="09F97369"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Povremeno:                </w:t>
            </w:r>
          </w:p>
        </w:tc>
        <w:tc>
          <w:tcPr>
            <w:tcW w:w="6941" w:type="dxa"/>
          </w:tcPr>
          <w:p w14:paraId="4583A3E8" w14:textId="707D4647"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Maligni melanom****</w:t>
            </w:r>
          </w:p>
        </w:tc>
      </w:tr>
      <w:tr w:rsidR="00A23BEA" w:rsidRPr="00E75889" w14:paraId="17A6270E" w14:textId="77777777" w:rsidTr="00E75889">
        <w:tc>
          <w:tcPr>
            <w:tcW w:w="2122" w:type="dxa"/>
          </w:tcPr>
          <w:p w14:paraId="6FD3FD4A" w14:textId="7B0A1473"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Rijetko:</w:t>
            </w:r>
          </w:p>
        </w:tc>
        <w:tc>
          <w:tcPr>
            <w:tcW w:w="6941" w:type="dxa"/>
          </w:tcPr>
          <w:p w14:paraId="577EA993" w14:textId="1B256812" w:rsidR="00A23BEA" w:rsidRPr="00E75889" w:rsidRDefault="00A23BEA" w:rsidP="00E75889">
            <w:pPr>
              <w:widowControl w:val="0"/>
              <w:tabs>
                <w:tab w:val="left" w:pos="2610"/>
              </w:tabs>
              <w:jc w:val="both"/>
              <w:rPr>
                <w:sz w:val="22"/>
                <w:szCs w:val="22"/>
                <w:lang w:val="sr-Latn-RS"/>
              </w:rPr>
            </w:pPr>
            <w:r w:rsidRPr="00E75889">
              <w:rPr>
                <w:sz w:val="22"/>
                <w:szCs w:val="22"/>
                <w:lang w:val="sr-Latn-RS"/>
              </w:rPr>
              <w:t>Limfom***</w:t>
            </w:r>
          </w:p>
          <w:p w14:paraId="32A8FAB1" w14:textId="287AB936" w:rsidR="00A23BEA" w:rsidRPr="00E75889" w:rsidRDefault="00A23BEA" w:rsidP="00E75889">
            <w:pPr>
              <w:widowControl w:val="0"/>
              <w:tabs>
                <w:tab w:val="left" w:pos="2610"/>
              </w:tabs>
              <w:ind w:left="480" w:hanging="480"/>
              <w:jc w:val="both"/>
              <w:rPr>
                <w:rStyle w:val="Bodytext9"/>
                <w:sz w:val="22"/>
                <w:szCs w:val="22"/>
                <w:u w:val="none"/>
                <w:lang w:val="sr-Latn-RS"/>
              </w:rPr>
            </w:pPr>
            <w:r w:rsidRPr="00E75889">
              <w:rPr>
                <w:sz w:val="22"/>
                <w:szCs w:val="22"/>
                <w:lang w:val="sr-Latn-RS"/>
              </w:rPr>
              <w:t>Karcinom skvamoznih ćelija****</w:t>
            </w:r>
          </w:p>
        </w:tc>
      </w:tr>
      <w:tr w:rsidR="00A23BEA" w:rsidRPr="00E75889" w14:paraId="3F25F84B" w14:textId="77777777" w:rsidTr="00E75889">
        <w:tc>
          <w:tcPr>
            <w:tcW w:w="2122" w:type="dxa"/>
          </w:tcPr>
          <w:p w14:paraId="5C34F3E4" w14:textId="36CC1BC8"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Veoma rijetko:              </w:t>
            </w:r>
          </w:p>
        </w:tc>
        <w:tc>
          <w:tcPr>
            <w:tcW w:w="6941" w:type="dxa"/>
          </w:tcPr>
          <w:p w14:paraId="767D4751" w14:textId="13E9EE8A"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rStyle w:val="Bodytext9"/>
                <w:sz w:val="22"/>
                <w:szCs w:val="22"/>
                <w:u w:val="none"/>
                <w:lang w:val="sr-Latn-RS"/>
              </w:rPr>
              <w:t>Kapošijev sarkom****</w:t>
            </w:r>
          </w:p>
        </w:tc>
      </w:tr>
      <w:tr w:rsidR="00A23BEA" w:rsidRPr="00E75889" w14:paraId="188016E7" w14:textId="77777777" w:rsidTr="00E75889">
        <w:tc>
          <w:tcPr>
            <w:tcW w:w="2122" w:type="dxa"/>
          </w:tcPr>
          <w:p w14:paraId="2EB3377A" w14:textId="428AF561"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Nepoznato:                 </w:t>
            </w:r>
          </w:p>
        </w:tc>
        <w:tc>
          <w:tcPr>
            <w:tcW w:w="6941" w:type="dxa"/>
          </w:tcPr>
          <w:p w14:paraId="2C64222E" w14:textId="4E51CAFA"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rStyle w:val="Bodytext9"/>
                <w:sz w:val="22"/>
                <w:szCs w:val="22"/>
                <w:u w:val="none"/>
                <w:lang w:val="sr-Latn-RS"/>
              </w:rPr>
              <w:t xml:space="preserve">Karcinom </w:t>
            </w:r>
            <w:r w:rsidRPr="00E75889">
              <w:rPr>
                <w:rStyle w:val="Bodytext9"/>
                <w:i/>
                <w:iCs/>
                <w:sz w:val="22"/>
                <w:szCs w:val="22"/>
                <w:u w:val="none"/>
                <w:lang w:val="sr-Latn-RS"/>
              </w:rPr>
              <w:t>Merkel</w:t>
            </w:r>
            <w:r w:rsidR="00E135BB" w:rsidRPr="00E75889">
              <w:rPr>
                <w:rStyle w:val="Bodytext9"/>
                <w:sz w:val="22"/>
                <w:szCs w:val="22"/>
                <w:u w:val="none"/>
                <w:lang w:val="sr-Latn-RS"/>
              </w:rPr>
              <w:t>-</w:t>
            </w:r>
            <w:r w:rsidRPr="00E75889">
              <w:rPr>
                <w:rStyle w:val="Bodytext9"/>
                <w:sz w:val="22"/>
                <w:szCs w:val="22"/>
                <w:u w:val="none"/>
                <w:lang w:val="sr-Latn-RS"/>
              </w:rPr>
              <w:t>ovih ćelija***</w:t>
            </w:r>
          </w:p>
        </w:tc>
      </w:tr>
      <w:tr w:rsidR="00A23BEA" w:rsidRPr="00E75889" w14:paraId="7383F9E4" w14:textId="77777777" w:rsidTr="004C71A8">
        <w:tc>
          <w:tcPr>
            <w:tcW w:w="9063" w:type="dxa"/>
            <w:gridSpan w:val="2"/>
          </w:tcPr>
          <w:p w14:paraId="3CADD2FD" w14:textId="6E3F33EC" w:rsidR="00A23BEA" w:rsidRPr="00E75889" w:rsidRDefault="00A23BEA" w:rsidP="00E75889">
            <w:pPr>
              <w:pStyle w:val="Heading21"/>
              <w:widowControl w:val="0"/>
              <w:shd w:val="clear" w:color="auto" w:fill="auto"/>
              <w:spacing w:before="0" w:after="0" w:line="240" w:lineRule="auto"/>
              <w:ind w:firstLine="0"/>
              <w:rPr>
                <w:rStyle w:val="Bodytext9"/>
                <w:sz w:val="22"/>
                <w:szCs w:val="22"/>
                <w:u w:val="none"/>
                <w:lang w:val="sr-Latn-RS"/>
              </w:rPr>
            </w:pPr>
            <w:r w:rsidRPr="00E75889">
              <w:rPr>
                <w:sz w:val="22"/>
                <w:szCs w:val="22"/>
                <w:lang w:val="sr-Latn-RS"/>
              </w:rPr>
              <w:t>Poremećaji krvi i limfnog sistema</w:t>
            </w:r>
          </w:p>
        </w:tc>
      </w:tr>
      <w:tr w:rsidR="00A23BEA" w:rsidRPr="00E75889" w14:paraId="2DC35A7D" w14:textId="77777777" w:rsidTr="00E75889">
        <w:tc>
          <w:tcPr>
            <w:tcW w:w="2122" w:type="dxa"/>
          </w:tcPr>
          <w:p w14:paraId="291692B2" w14:textId="7C30E085"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544F310C" w14:textId="77777777" w:rsidR="00A23BEA" w:rsidRPr="00E75889" w:rsidRDefault="00A23BEA" w:rsidP="00E75889">
            <w:pPr>
              <w:pStyle w:val="Bodytext1"/>
              <w:widowControl w:val="0"/>
              <w:shd w:val="clear" w:color="auto" w:fill="auto"/>
              <w:tabs>
                <w:tab w:val="left" w:pos="2610"/>
              </w:tabs>
              <w:spacing w:before="0" w:after="0" w:line="240" w:lineRule="auto"/>
              <w:ind w:left="480" w:hanging="480"/>
              <w:jc w:val="both"/>
              <w:rPr>
                <w:sz w:val="22"/>
                <w:szCs w:val="22"/>
                <w:lang w:val="sr-Latn-RS"/>
              </w:rPr>
            </w:pPr>
            <w:r w:rsidRPr="00E75889">
              <w:rPr>
                <w:sz w:val="22"/>
                <w:szCs w:val="22"/>
                <w:lang w:val="sr-Latn-RS"/>
              </w:rPr>
              <w:t>Limfopenija</w:t>
            </w:r>
          </w:p>
          <w:p w14:paraId="62067BAC" w14:textId="4795515A"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Leukopenija</w:t>
            </w:r>
          </w:p>
        </w:tc>
      </w:tr>
      <w:tr w:rsidR="00A23BEA" w:rsidRPr="00E75889" w14:paraId="01CA4E70" w14:textId="77777777" w:rsidTr="00E75889">
        <w:tc>
          <w:tcPr>
            <w:tcW w:w="2122" w:type="dxa"/>
          </w:tcPr>
          <w:p w14:paraId="3A73418E" w14:textId="0FECEED3"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Povremeno:</w:t>
            </w:r>
          </w:p>
        </w:tc>
        <w:tc>
          <w:tcPr>
            <w:tcW w:w="6941" w:type="dxa"/>
          </w:tcPr>
          <w:p w14:paraId="72A6BDBF" w14:textId="3D942407"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Trombocitopenija</w:t>
            </w:r>
          </w:p>
        </w:tc>
      </w:tr>
      <w:tr w:rsidR="00A23BEA" w:rsidRPr="00E75889" w14:paraId="3FD28F42" w14:textId="77777777" w:rsidTr="00E75889">
        <w:tc>
          <w:tcPr>
            <w:tcW w:w="2122" w:type="dxa"/>
          </w:tcPr>
          <w:p w14:paraId="492FD084" w14:textId="5AA4852D"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Nepoznato:</w:t>
            </w:r>
            <w:r w:rsidRPr="00E75889">
              <w:rPr>
                <w:sz w:val="22"/>
                <w:szCs w:val="22"/>
                <w:lang w:val="sr-Latn-RS"/>
              </w:rPr>
              <w:tab/>
            </w:r>
          </w:p>
        </w:tc>
        <w:tc>
          <w:tcPr>
            <w:tcW w:w="6941" w:type="dxa"/>
          </w:tcPr>
          <w:p w14:paraId="4D72DE39" w14:textId="77777777" w:rsidR="00A23BEA" w:rsidRPr="00E75889" w:rsidRDefault="00A23BEA"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Autoimuna hemolitička anemija***  </w:t>
            </w:r>
          </w:p>
          <w:p w14:paraId="4A5F29C7" w14:textId="4B62676A"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Periferni edem***</w:t>
            </w:r>
          </w:p>
        </w:tc>
      </w:tr>
      <w:tr w:rsidR="00A23BEA" w:rsidRPr="00E75889" w14:paraId="7B3ECC31" w14:textId="77777777" w:rsidTr="004C71A8">
        <w:tc>
          <w:tcPr>
            <w:tcW w:w="9063" w:type="dxa"/>
            <w:gridSpan w:val="2"/>
          </w:tcPr>
          <w:p w14:paraId="14CC434E" w14:textId="07FA66DD"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b/>
                <w:sz w:val="22"/>
                <w:szCs w:val="22"/>
                <w:lang w:val="sr-Latn-RS"/>
              </w:rPr>
              <w:t>Poremećaji imunog sistema</w:t>
            </w:r>
          </w:p>
        </w:tc>
      </w:tr>
      <w:tr w:rsidR="00A23BEA" w:rsidRPr="00E75889" w14:paraId="76F7D071" w14:textId="77777777" w:rsidTr="00E75889">
        <w:tc>
          <w:tcPr>
            <w:tcW w:w="2122" w:type="dxa"/>
          </w:tcPr>
          <w:p w14:paraId="332C713B" w14:textId="5AED2B71"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Nepoznato:</w:t>
            </w:r>
          </w:p>
        </w:tc>
        <w:tc>
          <w:tcPr>
            <w:tcW w:w="6941" w:type="dxa"/>
          </w:tcPr>
          <w:p w14:paraId="55FF6BBD" w14:textId="77777777" w:rsidR="00A23BEA" w:rsidRPr="00E75889" w:rsidRDefault="00A23BEA" w:rsidP="00E75889">
            <w:pPr>
              <w:widowControl w:val="0"/>
              <w:ind w:left="2880" w:hanging="2880"/>
              <w:jc w:val="both"/>
              <w:rPr>
                <w:sz w:val="22"/>
                <w:szCs w:val="22"/>
                <w:lang w:val="sr-Latn-RS" w:eastAsia="sr-Latn-ME"/>
              </w:rPr>
            </w:pPr>
            <w:r w:rsidRPr="00E75889">
              <w:rPr>
                <w:sz w:val="22"/>
                <w:szCs w:val="22"/>
                <w:lang w:val="sr-Latn-RS" w:eastAsia="sr-Latn-ME"/>
              </w:rPr>
              <w:t xml:space="preserve">Reakcije hipersenzitivnosti, uključujući osip, </w:t>
            </w:r>
          </w:p>
          <w:p w14:paraId="0C9B9352" w14:textId="77777777" w:rsidR="00A23BEA" w:rsidRDefault="00A23BEA" w:rsidP="00E75889">
            <w:pPr>
              <w:widowControl w:val="0"/>
              <w:ind w:left="2880" w:hanging="2880"/>
              <w:jc w:val="both"/>
              <w:rPr>
                <w:sz w:val="22"/>
                <w:szCs w:val="22"/>
                <w:lang w:val="sr-Latn-RS" w:eastAsia="sr-Latn-ME"/>
              </w:rPr>
            </w:pPr>
            <w:r w:rsidRPr="00E75889">
              <w:rPr>
                <w:sz w:val="22"/>
                <w:szCs w:val="22"/>
                <w:lang w:val="sr-Latn-RS" w:eastAsia="sr-Latn-ME"/>
              </w:rPr>
              <w:t>urtikariju i angioedem na početku terapije***</w:t>
            </w:r>
          </w:p>
          <w:p w14:paraId="4B00C0F8" w14:textId="53833FB3" w:rsidR="006E15FB" w:rsidRPr="006E15FB" w:rsidRDefault="006E15FB" w:rsidP="00E75889">
            <w:pPr>
              <w:widowControl w:val="0"/>
              <w:ind w:left="2880" w:hanging="2880"/>
              <w:jc w:val="both"/>
              <w:rPr>
                <w:rStyle w:val="Bodytext9"/>
                <w:sz w:val="22"/>
                <w:szCs w:val="22"/>
                <w:u w:val="none"/>
                <w:lang w:val="sr-Latn-RS"/>
              </w:rPr>
            </w:pPr>
            <w:r w:rsidRPr="003B0530">
              <w:rPr>
                <w:sz w:val="22"/>
                <w:szCs w:val="22"/>
                <w:lang w:val="sr-Latn-CS"/>
              </w:rPr>
              <w:t>Imunski rekonstitucioni inflamatorni sindrom (IRIS)**</w:t>
            </w:r>
          </w:p>
        </w:tc>
      </w:tr>
      <w:tr w:rsidR="00E135BB" w:rsidRPr="00E75889" w14:paraId="12DEF901" w14:textId="77777777" w:rsidTr="004C71A8">
        <w:tc>
          <w:tcPr>
            <w:tcW w:w="9063" w:type="dxa"/>
            <w:gridSpan w:val="2"/>
          </w:tcPr>
          <w:p w14:paraId="7444EA57" w14:textId="7501AE25" w:rsidR="00E135BB" w:rsidRPr="00E75889" w:rsidRDefault="00E135BB"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Psihijatrijski poremećaji</w:t>
            </w:r>
          </w:p>
        </w:tc>
      </w:tr>
      <w:tr w:rsidR="00A23BEA" w:rsidRPr="00E75889" w14:paraId="298C8BC0" w14:textId="77777777" w:rsidTr="00E75889">
        <w:tc>
          <w:tcPr>
            <w:tcW w:w="2122" w:type="dxa"/>
          </w:tcPr>
          <w:p w14:paraId="0F035656" w14:textId="78489B50"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0E13D2D9" w14:textId="4FF2984D" w:rsidR="00A23BEA" w:rsidRPr="00E75889" w:rsidRDefault="00A23BEA" w:rsidP="00E75889">
            <w:pPr>
              <w:pStyle w:val="Bodytext1"/>
              <w:widowControl w:val="0"/>
              <w:shd w:val="clear" w:color="auto" w:fill="auto"/>
              <w:tabs>
                <w:tab w:val="left" w:pos="2615"/>
              </w:tabs>
              <w:spacing w:before="0" w:after="0" w:line="240" w:lineRule="auto"/>
              <w:ind w:left="480" w:hanging="480"/>
              <w:jc w:val="both"/>
              <w:rPr>
                <w:rStyle w:val="Bodytext9"/>
                <w:sz w:val="22"/>
                <w:szCs w:val="22"/>
                <w:u w:val="none"/>
                <w:lang w:val="sr-Latn-RS"/>
              </w:rPr>
            </w:pPr>
            <w:r w:rsidRPr="00E75889">
              <w:rPr>
                <w:sz w:val="22"/>
                <w:szCs w:val="22"/>
                <w:lang w:val="sr-Latn-RS"/>
              </w:rPr>
              <w:t>Depresija</w:t>
            </w:r>
          </w:p>
        </w:tc>
      </w:tr>
      <w:tr w:rsidR="00A23BEA" w:rsidRPr="00E75889" w14:paraId="2665F8B2" w14:textId="77777777" w:rsidTr="00E75889">
        <w:tc>
          <w:tcPr>
            <w:tcW w:w="2122" w:type="dxa"/>
          </w:tcPr>
          <w:p w14:paraId="0FDA1214" w14:textId="249A4EB1"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Povremeno:</w:t>
            </w:r>
          </w:p>
        </w:tc>
        <w:tc>
          <w:tcPr>
            <w:tcW w:w="6941" w:type="dxa"/>
          </w:tcPr>
          <w:p w14:paraId="3BF44E20" w14:textId="5A3A2587"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Depresivno raspoloženje</w:t>
            </w:r>
          </w:p>
        </w:tc>
      </w:tr>
      <w:tr w:rsidR="00A23BEA" w:rsidRPr="00E75889" w14:paraId="1FAD856D" w14:textId="77777777" w:rsidTr="004C71A8">
        <w:tc>
          <w:tcPr>
            <w:tcW w:w="9063" w:type="dxa"/>
            <w:gridSpan w:val="2"/>
          </w:tcPr>
          <w:p w14:paraId="47298A5A" w14:textId="0C81F32F" w:rsidR="00A23BEA" w:rsidRPr="00E75889" w:rsidRDefault="00A23BEA" w:rsidP="00E75889">
            <w:pPr>
              <w:pStyle w:val="Heading21"/>
              <w:widowControl w:val="0"/>
              <w:shd w:val="clear" w:color="auto" w:fill="auto"/>
              <w:spacing w:before="0" w:after="0" w:line="240" w:lineRule="auto"/>
              <w:ind w:left="480"/>
              <w:rPr>
                <w:rStyle w:val="Bodytext9"/>
                <w:sz w:val="22"/>
                <w:szCs w:val="22"/>
                <w:u w:val="none"/>
                <w:lang w:val="sr-Latn-RS"/>
              </w:rPr>
            </w:pPr>
            <w:r w:rsidRPr="00E75889">
              <w:rPr>
                <w:sz w:val="22"/>
                <w:szCs w:val="22"/>
                <w:lang w:val="sr-Latn-RS"/>
              </w:rPr>
              <w:t>Poremećaji nervnog sistema</w:t>
            </w:r>
          </w:p>
        </w:tc>
      </w:tr>
      <w:tr w:rsidR="00A23BEA" w:rsidRPr="00E75889" w14:paraId="76EC8126" w14:textId="77777777" w:rsidTr="00E75889">
        <w:tc>
          <w:tcPr>
            <w:tcW w:w="2122" w:type="dxa"/>
          </w:tcPr>
          <w:p w14:paraId="5EE45B32" w14:textId="5C8B9B86"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798B7AA2" w14:textId="0B830505" w:rsidR="00A23BEA" w:rsidRPr="00E75889" w:rsidRDefault="00A23BEA" w:rsidP="00E75889">
            <w:pPr>
              <w:pStyle w:val="Bodytext1"/>
              <w:widowControl w:val="0"/>
              <w:shd w:val="clear" w:color="auto" w:fill="auto"/>
              <w:tabs>
                <w:tab w:val="left" w:pos="2620"/>
              </w:tabs>
              <w:spacing w:before="0" w:after="0" w:line="240" w:lineRule="auto"/>
              <w:ind w:left="480" w:hanging="480"/>
              <w:jc w:val="both"/>
              <w:rPr>
                <w:rStyle w:val="Bodytext9"/>
                <w:sz w:val="22"/>
                <w:szCs w:val="22"/>
                <w:u w:val="none"/>
                <w:lang w:val="sr-Latn-RS"/>
              </w:rPr>
            </w:pPr>
            <w:r w:rsidRPr="00E75889">
              <w:rPr>
                <w:sz w:val="22"/>
                <w:szCs w:val="22"/>
                <w:lang w:val="sr-Latn-RS"/>
              </w:rPr>
              <w:t>Glavobolja</w:t>
            </w:r>
          </w:p>
        </w:tc>
      </w:tr>
      <w:tr w:rsidR="00A23BEA" w:rsidRPr="00E75889" w14:paraId="32D41810" w14:textId="77777777" w:rsidTr="00E75889">
        <w:tc>
          <w:tcPr>
            <w:tcW w:w="2122" w:type="dxa"/>
          </w:tcPr>
          <w:p w14:paraId="6A238903" w14:textId="73ECC350"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416707A7" w14:textId="77777777" w:rsidR="00A23BEA" w:rsidRPr="00E75889" w:rsidRDefault="00A23BEA" w:rsidP="00E75889">
            <w:pPr>
              <w:pStyle w:val="Bodytext1"/>
              <w:widowControl w:val="0"/>
              <w:shd w:val="clear" w:color="auto" w:fill="auto"/>
              <w:tabs>
                <w:tab w:val="left" w:pos="2615"/>
              </w:tabs>
              <w:spacing w:before="0" w:after="0" w:line="240" w:lineRule="auto"/>
              <w:ind w:left="480" w:hanging="480"/>
              <w:jc w:val="both"/>
              <w:rPr>
                <w:sz w:val="22"/>
                <w:szCs w:val="22"/>
                <w:lang w:val="sr-Latn-RS"/>
              </w:rPr>
            </w:pPr>
            <w:r w:rsidRPr="00E75889">
              <w:rPr>
                <w:sz w:val="22"/>
                <w:szCs w:val="22"/>
                <w:lang w:val="sr-Latn-RS"/>
              </w:rPr>
              <w:t>Vrtoglavica</w:t>
            </w:r>
          </w:p>
          <w:p w14:paraId="704C1BD1" w14:textId="2B4B059A" w:rsidR="00A23BEA" w:rsidRPr="00E75889" w:rsidRDefault="00A23BEA" w:rsidP="00E75889">
            <w:pPr>
              <w:pStyle w:val="Bodytext1"/>
              <w:widowControl w:val="0"/>
              <w:shd w:val="clear" w:color="auto" w:fill="auto"/>
              <w:spacing w:before="0" w:after="0" w:line="240" w:lineRule="auto"/>
              <w:ind w:right="420" w:firstLine="0"/>
              <w:jc w:val="both"/>
              <w:rPr>
                <w:rStyle w:val="Bodytext9"/>
                <w:sz w:val="22"/>
                <w:szCs w:val="22"/>
                <w:u w:val="none"/>
                <w:lang w:val="sr-Latn-RS"/>
              </w:rPr>
            </w:pPr>
            <w:r w:rsidRPr="00E75889">
              <w:rPr>
                <w:sz w:val="22"/>
                <w:szCs w:val="22"/>
                <w:lang w:val="sr-Latn-RS"/>
              </w:rPr>
              <w:t>Migrena</w:t>
            </w:r>
          </w:p>
        </w:tc>
      </w:tr>
      <w:tr w:rsidR="00A23BEA" w:rsidRPr="00E75889" w14:paraId="35E1947E" w14:textId="77777777" w:rsidTr="00E75889">
        <w:tc>
          <w:tcPr>
            <w:tcW w:w="2122" w:type="dxa"/>
          </w:tcPr>
          <w:p w14:paraId="0DABF076" w14:textId="65BC30AF"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Povremeno:                 </w:t>
            </w:r>
          </w:p>
        </w:tc>
        <w:tc>
          <w:tcPr>
            <w:tcW w:w="6941" w:type="dxa"/>
          </w:tcPr>
          <w:p w14:paraId="18349FC2" w14:textId="5A169A1E" w:rsidR="00A23BEA" w:rsidRPr="00E75889" w:rsidRDefault="00114A63" w:rsidP="00E75889">
            <w:pPr>
              <w:pStyle w:val="Bodytext1"/>
              <w:widowControl w:val="0"/>
              <w:shd w:val="clear" w:color="auto" w:fill="auto"/>
              <w:spacing w:before="0" w:after="0" w:line="240" w:lineRule="auto"/>
              <w:ind w:right="420" w:firstLine="0"/>
              <w:jc w:val="both"/>
              <w:rPr>
                <w:rStyle w:val="Bodytext9"/>
                <w:sz w:val="22"/>
                <w:szCs w:val="22"/>
                <w:u w:val="none"/>
                <w:shd w:val="clear" w:color="auto" w:fill="auto"/>
                <w:lang w:val="sr-Latn-RS"/>
              </w:rPr>
            </w:pPr>
            <w:r w:rsidRPr="00E75889">
              <w:rPr>
                <w:sz w:val="22"/>
                <w:szCs w:val="22"/>
                <w:lang w:val="sr-Latn-RS"/>
              </w:rPr>
              <w:t>Epileptični n</w:t>
            </w:r>
            <w:r w:rsidR="00A23BEA" w:rsidRPr="00E75889">
              <w:rPr>
                <w:sz w:val="22"/>
                <w:szCs w:val="22"/>
                <w:lang w:val="sr-Latn-RS"/>
              </w:rPr>
              <w:t>apadi</w:t>
            </w:r>
          </w:p>
        </w:tc>
      </w:tr>
      <w:tr w:rsidR="00A23BEA" w:rsidRPr="00E75889" w14:paraId="6397C797" w14:textId="77777777" w:rsidTr="00E75889">
        <w:tc>
          <w:tcPr>
            <w:tcW w:w="2122" w:type="dxa"/>
          </w:tcPr>
          <w:p w14:paraId="2A0A7666" w14:textId="7332EACC"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Rijetko:</w:t>
            </w:r>
            <w:r w:rsidRPr="00E75889">
              <w:rPr>
                <w:sz w:val="22"/>
                <w:szCs w:val="22"/>
                <w:lang w:val="sr-Latn-RS"/>
              </w:rPr>
              <w:tab/>
            </w:r>
          </w:p>
        </w:tc>
        <w:tc>
          <w:tcPr>
            <w:tcW w:w="6941" w:type="dxa"/>
          </w:tcPr>
          <w:p w14:paraId="6E6CEB9D" w14:textId="6CE0CCEE"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Sindrom posteriorne reverzibilne encefalopatije (PRES)*</w:t>
            </w:r>
          </w:p>
        </w:tc>
      </w:tr>
      <w:tr w:rsidR="00A23BEA" w:rsidRPr="00E75889" w14:paraId="2BEC13A5" w14:textId="77777777" w:rsidTr="00E75889">
        <w:tc>
          <w:tcPr>
            <w:tcW w:w="2122" w:type="dxa"/>
          </w:tcPr>
          <w:p w14:paraId="50D0D8E0" w14:textId="530A4ED3" w:rsidR="00A23BEA" w:rsidRPr="00E75889" w:rsidRDefault="00A23BEA"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Nepoznato:                 </w:t>
            </w:r>
          </w:p>
        </w:tc>
        <w:tc>
          <w:tcPr>
            <w:tcW w:w="6941" w:type="dxa"/>
          </w:tcPr>
          <w:p w14:paraId="771CEE3A" w14:textId="50B57902" w:rsidR="00A23BEA" w:rsidRPr="00E75889" w:rsidRDefault="00A23BEA" w:rsidP="00E75889">
            <w:pPr>
              <w:pStyle w:val="Bodytext1"/>
              <w:widowControl w:val="0"/>
              <w:shd w:val="clear" w:color="auto" w:fill="auto"/>
              <w:spacing w:before="0" w:after="0" w:line="240" w:lineRule="auto"/>
              <w:ind w:right="420" w:firstLine="0"/>
              <w:jc w:val="both"/>
              <w:rPr>
                <w:rStyle w:val="Bodytext9"/>
                <w:sz w:val="22"/>
                <w:szCs w:val="22"/>
                <w:u w:val="none"/>
                <w:shd w:val="clear" w:color="auto" w:fill="auto"/>
                <w:lang w:val="sr-Latn-RS"/>
              </w:rPr>
            </w:pPr>
            <w:r w:rsidRPr="00E75889">
              <w:rPr>
                <w:sz w:val="22"/>
                <w:szCs w:val="22"/>
                <w:lang w:val="sr-Latn-RS"/>
              </w:rPr>
              <w:t>Teška egzacerbacija bolesti nakon prestanka terapije fingolimodom***</w:t>
            </w:r>
          </w:p>
        </w:tc>
      </w:tr>
      <w:tr w:rsidR="00E135BB" w:rsidRPr="00E75889" w14:paraId="655704BB" w14:textId="77777777" w:rsidTr="004C71A8">
        <w:tc>
          <w:tcPr>
            <w:tcW w:w="9063" w:type="dxa"/>
            <w:gridSpan w:val="2"/>
          </w:tcPr>
          <w:p w14:paraId="7A6A9159" w14:textId="6F089989" w:rsidR="00E135BB" w:rsidRPr="00E75889" w:rsidRDefault="00E135BB"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Poremećaji oka</w:t>
            </w:r>
          </w:p>
        </w:tc>
      </w:tr>
      <w:tr w:rsidR="00A23BEA" w:rsidRPr="00E75889" w14:paraId="4499C269" w14:textId="77777777" w:rsidTr="00E75889">
        <w:tc>
          <w:tcPr>
            <w:tcW w:w="2122" w:type="dxa"/>
          </w:tcPr>
          <w:p w14:paraId="565D6E72" w14:textId="56D93944"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5962F68F" w14:textId="30235A79" w:rsidR="00A23BEA" w:rsidRPr="00E75889" w:rsidRDefault="00423CE1" w:rsidP="00E75889">
            <w:pPr>
              <w:pStyle w:val="Bodytext1"/>
              <w:widowControl w:val="0"/>
              <w:shd w:val="clear" w:color="auto" w:fill="auto"/>
              <w:tabs>
                <w:tab w:val="left" w:pos="2610"/>
              </w:tabs>
              <w:spacing w:before="0" w:after="0" w:line="240" w:lineRule="auto"/>
              <w:ind w:left="480" w:hanging="480"/>
              <w:jc w:val="both"/>
              <w:rPr>
                <w:rStyle w:val="Bodytext9"/>
                <w:sz w:val="22"/>
                <w:szCs w:val="22"/>
                <w:u w:val="none"/>
                <w:shd w:val="clear" w:color="auto" w:fill="auto"/>
                <w:lang w:val="sr-Latn-RS"/>
              </w:rPr>
            </w:pPr>
            <w:r w:rsidRPr="00E75889">
              <w:rPr>
                <w:sz w:val="22"/>
                <w:szCs w:val="22"/>
                <w:lang w:val="sr-Latn-RS"/>
              </w:rPr>
              <w:t>Zam</w:t>
            </w:r>
            <w:r w:rsidR="008F3461" w:rsidRPr="00E75889">
              <w:rPr>
                <w:sz w:val="22"/>
                <w:szCs w:val="22"/>
                <w:lang w:val="sr-Latn-RS"/>
              </w:rPr>
              <w:t>ućenje</w:t>
            </w:r>
            <w:r w:rsidRPr="00E75889">
              <w:rPr>
                <w:sz w:val="22"/>
                <w:szCs w:val="22"/>
                <w:lang w:val="sr-Latn-RS"/>
              </w:rPr>
              <w:t xml:space="preserve"> vid</w:t>
            </w:r>
            <w:r w:rsidR="008F3461" w:rsidRPr="00E75889">
              <w:rPr>
                <w:sz w:val="22"/>
                <w:szCs w:val="22"/>
                <w:lang w:val="sr-Latn-RS"/>
              </w:rPr>
              <w:t>a</w:t>
            </w:r>
          </w:p>
        </w:tc>
      </w:tr>
      <w:tr w:rsidR="00A23BEA" w:rsidRPr="00E75889" w14:paraId="4010F601" w14:textId="77777777" w:rsidTr="00E75889">
        <w:tc>
          <w:tcPr>
            <w:tcW w:w="2122" w:type="dxa"/>
          </w:tcPr>
          <w:p w14:paraId="59C416A7" w14:textId="420B9389"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Povremeno:</w:t>
            </w:r>
          </w:p>
        </w:tc>
        <w:tc>
          <w:tcPr>
            <w:tcW w:w="6941" w:type="dxa"/>
          </w:tcPr>
          <w:p w14:paraId="52A5DCB5" w14:textId="3B4D9918"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Edem makule</w:t>
            </w:r>
          </w:p>
        </w:tc>
      </w:tr>
      <w:tr w:rsidR="00E135BB" w:rsidRPr="00E75889" w14:paraId="787113F9" w14:textId="77777777" w:rsidTr="004C71A8">
        <w:tc>
          <w:tcPr>
            <w:tcW w:w="9063" w:type="dxa"/>
            <w:gridSpan w:val="2"/>
          </w:tcPr>
          <w:p w14:paraId="373E9F46" w14:textId="5E669A99" w:rsidR="00E135BB" w:rsidRPr="00E75889" w:rsidRDefault="00E135BB"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Kardiološki poremećaji</w:t>
            </w:r>
          </w:p>
        </w:tc>
      </w:tr>
      <w:tr w:rsidR="00A23BEA" w:rsidRPr="00E75889" w14:paraId="5AC315A8" w14:textId="77777777" w:rsidTr="00E75889">
        <w:tc>
          <w:tcPr>
            <w:tcW w:w="2122" w:type="dxa"/>
          </w:tcPr>
          <w:p w14:paraId="2518259B" w14:textId="49116373"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0D0590A8" w14:textId="77777777" w:rsidR="00423CE1" w:rsidRPr="00E75889" w:rsidRDefault="00423CE1" w:rsidP="00E75889">
            <w:pPr>
              <w:pStyle w:val="Bodytext1"/>
              <w:widowControl w:val="0"/>
              <w:shd w:val="clear" w:color="auto" w:fill="auto"/>
              <w:tabs>
                <w:tab w:val="left" w:pos="2615"/>
              </w:tabs>
              <w:spacing w:before="0" w:after="0" w:line="240" w:lineRule="auto"/>
              <w:ind w:left="480" w:hanging="480"/>
              <w:jc w:val="both"/>
              <w:rPr>
                <w:sz w:val="22"/>
                <w:szCs w:val="22"/>
                <w:lang w:val="sr-Latn-RS"/>
              </w:rPr>
            </w:pPr>
            <w:r w:rsidRPr="00E75889">
              <w:rPr>
                <w:sz w:val="22"/>
                <w:szCs w:val="22"/>
                <w:lang w:val="sr-Latn-RS"/>
              </w:rPr>
              <w:t>Bradikardija</w:t>
            </w:r>
          </w:p>
          <w:p w14:paraId="2A675F63" w14:textId="2E86ACBE"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Atrioventrikularni blok</w:t>
            </w:r>
          </w:p>
        </w:tc>
      </w:tr>
      <w:tr w:rsidR="00A23BEA" w:rsidRPr="00E75889" w14:paraId="20824AC0" w14:textId="77777777" w:rsidTr="00E75889">
        <w:tc>
          <w:tcPr>
            <w:tcW w:w="2122" w:type="dxa"/>
          </w:tcPr>
          <w:p w14:paraId="0922ACD2" w14:textId="311756E8"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rijetko:</w:t>
            </w:r>
            <w:r w:rsidRPr="00E75889">
              <w:rPr>
                <w:sz w:val="22"/>
                <w:szCs w:val="22"/>
                <w:lang w:val="sr-Latn-RS"/>
              </w:rPr>
              <w:tab/>
            </w:r>
          </w:p>
        </w:tc>
        <w:tc>
          <w:tcPr>
            <w:tcW w:w="6941" w:type="dxa"/>
          </w:tcPr>
          <w:p w14:paraId="124C9F27" w14:textId="55086EA6"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Inverzija T-talasa***</w:t>
            </w:r>
          </w:p>
        </w:tc>
      </w:tr>
      <w:tr w:rsidR="00E135BB" w:rsidRPr="00E75889" w14:paraId="28A86248" w14:textId="77777777" w:rsidTr="004C71A8">
        <w:tc>
          <w:tcPr>
            <w:tcW w:w="9063" w:type="dxa"/>
            <w:gridSpan w:val="2"/>
          </w:tcPr>
          <w:p w14:paraId="19BD54FC" w14:textId="77777777" w:rsidR="00E135BB" w:rsidRPr="00E75889" w:rsidRDefault="00E135BB" w:rsidP="00E75889">
            <w:pPr>
              <w:pStyle w:val="Heading21"/>
              <w:widowControl w:val="0"/>
              <w:shd w:val="clear" w:color="auto" w:fill="auto"/>
              <w:spacing w:before="0" w:after="0" w:line="240" w:lineRule="auto"/>
              <w:ind w:left="480"/>
              <w:rPr>
                <w:sz w:val="22"/>
                <w:szCs w:val="22"/>
                <w:lang w:val="sr-Latn-RS"/>
              </w:rPr>
            </w:pPr>
            <w:r w:rsidRPr="00E75889">
              <w:rPr>
                <w:sz w:val="22"/>
                <w:szCs w:val="22"/>
                <w:lang w:val="sr-Latn-RS"/>
              </w:rPr>
              <w:t>Vaskularni poremećaji</w:t>
            </w:r>
          </w:p>
          <w:p w14:paraId="10019B1D" w14:textId="77777777" w:rsidR="00E135BB" w:rsidRPr="00E75889" w:rsidRDefault="00E135BB" w:rsidP="00E75889">
            <w:pPr>
              <w:pStyle w:val="Bodytext1"/>
              <w:widowControl w:val="0"/>
              <w:shd w:val="clear" w:color="auto" w:fill="auto"/>
              <w:spacing w:before="0" w:after="0" w:line="240" w:lineRule="auto"/>
              <w:ind w:firstLine="0"/>
              <w:jc w:val="both"/>
              <w:rPr>
                <w:rStyle w:val="Bodytext9"/>
                <w:sz w:val="22"/>
                <w:szCs w:val="22"/>
                <w:u w:val="none"/>
                <w:lang w:val="sr-Latn-RS"/>
              </w:rPr>
            </w:pPr>
          </w:p>
        </w:tc>
      </w:tr>
      <w:tr w:rsidR="00A23BEA" w:rsidRPr="00E75889" w14:paraId="0FF4BE55" w14:textId="77777777" w:rsidTr="00E75889">
        <w:tc>
          <w:tcPr>
            <w:tcW w:w="2122" w:type="dxa"/>
          </w:tcPr>
          <w:p w14:paraId="5ECF2737" w14:textId="5EF211F2"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4C2058A0" w14:textId="2B9991D3" w:rsidR="00A23BEA" w:rsidRPr="00E75889" w:rsidRDefault="00423CE1" w:rsidP="00E75889">
            <w:pPr>
              <w:pStyle w:val="Bodytext1"/>
              <w:widowControl w:val="0"/>
              <w:shd w:val="clear" w:color="auto" w:fill="auto"/>
              <w:tabs>
                <w:tab w:val="left" w:pos="2610"/>
              </w:tabs>
              <w:spacing w:before="0" w:after="0" w:line="240" w:lineRule="auto"/>
              <w:ind w:left="480" w:hanging="480"/>
              <w:jc w:val="both"/>
              <w:rPr>
                <w:rStyle w:val="Bodytext9"/>
                <w:sz w:val="22"/>
                <w:szCs w:val="22"/>
                <w:u w:val="none"/>
                <w:shd w:val="clear" w:color="auto" w:fill="auto"/>
                <w:lang w:val="sr-Latn-RS"/>
              </w:rPr>
            </w:pPr>
            <w:r w:rsidRPr="00E75889">
              <w:rPr>
                <w:sz w:val="22"/>
                <w:szCs w:val="22"/>
                <w:lang w:val="sr-Latn-RS"/>
              </w:rPr>
              <w:t>Hipertenzija</w:t>
            </w:r>
          </w:p>
        </w:tc>
      </w:tr>
      <w:tr w:rsidR="008B7140" w:rsidRPr="00E75889" w14:paraId="3DA22A85" w14:textId="77777777" w:rsidTr="004C71A8">
        <w:tc>
          <w:tcPr>
            <w:tcW w:w="9063" w:type="dxa"/>
            <w:gridSpan w:val="2"/>
          </w:tcPr>
          <w:p w14:paraId="31D7C4B5" w14:textId="13E0F75E" w:rsidR="008B7140" w:rsidRPr="00E75889" w:rsidRDefault="008B7140" w:rsidP="00E75889">
            <w:pPr>
              <w:pStyle w:val="Heading21"/>
              <w:widowControl w:val="0"/>
              <w:shd w:val="clear" w:color="auto" w:fill="auto"/>
              <w:spacing w:before="0" w:after="0" w:line="240" w:lineRule="auto"/>
              <w:ind w:left="480"/>
              <w:rPr>
                <w:rStyle w:val="Bodytext9"/>
                <w:sz w:val="22"/>
                <w:szCs w:val="22"/>
                <w:u w:val="none"/>
                <w:lang w:val="sr-Latn-RS"/>
              </w:rPr>
            </w:pPr>
            <w:r w:rsidRPr="00E75889">
              <w:rPr>
                <w:sz w:val="22"/>
                <w:szCs w:val="22"/>
                <w:lang w:val="sr-Latn-RS"/>
              </w:rPr>
              <w:t>Respiratorni, torakalni i medijastinalni poremećaji</w:t>
            </w:r>
          </w:p>
        </w:tc>
      </w:tr>
      <w:tr w:rsidR="00A23BEA" w:rsidRPr="00E75889" w14:paraId="6B060741" w14:textId="77777777" w:rsidTr="00E75889">
        <w:tc>
          <w:tcPr>
            <w:tcW w:w="2122" w:type="dxa"/>
          </w:tcPr>
          <w:p w14:paraId="11461732" w14:textId="63C81B5C"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48F49BB3" w14:textId="128571D3" w:rsidR="00A23BEA" w:rsidRPr="00E75889" w:rsidRDefault="00423CE1" w:rsidP="00E75889">
            <w:pPr>
              <w:pStyle w:val="Bodytext1"/>
              <w:widowControl w:val="0"/>
              <w:shd w:val="clear" w:color="auto" w:fill="auto"/>
              <w:tabs>
                <w:tab w:val="left" w:pos="2630"/>
              </w:tabs>
              <w:spacing w:before="0" w:after="0" w:line="240" w:lineRule="auto"/>
              <w:ind w:left="480" w:hanging="480"/>
              <w:jc w:val="both"/>
              <w:rPr>
                <w:rStyle w:val="Bodytext9"/>
                <w:sz w:val="22"/>
                <w:szCs w:val="22"/>
                <w:u w:val="none"/>
                <w:lang w:val="sr-Latn-RS"/>
              </w:rPr>
            </w:pPr>
            <w:r w:rsidRPr="00E75889">
              <w:rPr>
                <w:sz w:val="22"/>
                <w:szCs w:val="22"/>
                <w:lang w:val="sr-Latn-RS"/>
              </w:rPr>
              <w:t>Kašalj</w:t>
            </w:r>
          </w:p>
        </w:tc>
      </w:tr>
      <w:tr w:rsidR="00A23BEA" w:rsidRPr="00E75889" w14:paraId="0F5FF580" w14:textId="77777777" w:rsidTr="00E75889">
        <w:tc>
          <w:tcPr>
            <w:tcW w:w="2122" w:type="dxa"/>
          </w:tcPr>
          <w:p w14:paraId="615131A9" w14:textId="25225D0D" w:rsidR="00A23BEA"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02EB13B7" w14:textId="598C25D9" w:rsidR="00A23BEA" w:rsidRPr="00E75889" w:rsidRDefault="00423CE1" w:rsidP="00E75889">
            <w:pPr>
              <w:pStyle w:val="Bodytext1"/>
              <w:widowControl w:val="0"/>
              <w:shd w:val="clear" w:color="auto" w:fill="auto"/>
              <w:tabs>
                <w:tab w:val="left" w:pos="2615"/>
              </w:tabs>
              <w:spacing w:before="0" w:after="0" w:line="240" w:lineRule="auto"/>
              <w:ind w:left="480" w:hanging="480"/>
              <w:jc w:val="both"/>
              <w:rPr>
                <w:rStyle w:val="Bodytext9"/>
                <w:sz w:val="22"/>
                <w:szCs w:val="22"/>
                <w:u w:val="none"/>
                <w:shd w:val="clear" w:color="auto" w:fill="auto"/>
                <w:lang w:val="sr-Latn-RS"/>
              </w:rPr>
            </w:pPr>
            <w:r w:rsidRPr="00E75889">
              <w:rPr>
                <w:sz w:val="22"/>
                <w:szCs w:val="22"/>
                <w:lang w:val="sr-Latn-RS"/>
              </w:rPr>
              <w:t>Dispnea</w:t>
            </w:r>
          </w:p>
        </w:tc>
      </w:tr>
      <w:tr w:rsidR="008B7140" w:rsidRPr="00E75889" w14:paraId="63693F83" w14:textId="77777777" w:rsidTr="004C71A8">
        <w:tc>
          <w:tcPr>
            <w:tcW w:w="9063" w:type="dxa"/>
            <w:gridSpan w:val="2"/>
          </w:tcPr>
          <w:p w14:paraId="69119AB7" w14:textId="6CCCAEFE" w:rsidR="008B7140" w:rsidRPr="00E75889" w:rsidRDefault="008B7140" w:rsidP="00E75889">
            <w:pPr>
              <w:pStyle w:val="Heading21"/>
              <w:widowControl w:val="0"/>
              <w:shd w:val="clear" w:color="auto" w:fill="auto"/>
              <w:spacing w:before="0" w:after="0" w:line="240" w:lineRule="auto"/>
              <w:ind w:left="480"/>
              <w:rPr>
                <w:rStyle w:val="Bodytext9"/>
                <w:sz w:val="22"/>
                <w:szCs w:val="22"/>
                <w:u w:val="none"/>
                <w:lang w:val="sr-Latn-RS"/>
              </w:rPr>
            </w:pPr>
            <w:r w:rsidRPr="00E75889">
              <w:rPr>
                <w:sz w:val="22"/>
                <w:szCs w:val="22"/>
                <w:lang w:val="sr-Latn-RS"/>
              </w:rPr>
              <w:t>Gastrointestinalni poremećaji</w:t>
            </w:r>
          </w:p>
        </w:tc>
      </w:tr>
      <w:tr w:rsidR="00423CE1" w:rsidRPr="00E75889" w14:paraId="07F83CA4" w14:textId="77777777" w:rsidTr="00E75889">
        <w:tc>
          <w:tcPr>
            <w:tcW w:w="2122" w:type="dxa"/>
          </w:tcPr>
          <w:p w14:paraId="4C4FB327" w14:textId="42737F3B"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2898C632" w14:textId="59A8C1E9" w:rsidR="00423CE1" w:rsidRPr="00E75889" w:rsidRDefault="00423CE1" w:rsidP="00E75889">
            <w:pPr>
              <w:pStyle w:val="Bodytext1"/>
              <w:widowControl w:val="0"/>
              <w:shd w:val="clear" w:color="auto" w:fill="auto"/>
              <w:tabs>
                <w:tab w:val="left" w:pos="2625"/>
              </w:tabs>
              <w:spacing w:before="0" w:after="0" w:line="240" w:lineRule="auto"/>
              <w:ind w:left="480" w:hanging="480"/>
              <w:jc w:val="both"/>
              <w:rPr>
                <w:rStyle w:val="Bodytext9"/>
                <w:sz w:val="22"/>
                <w:szCs w:val="22"/>
                <w:u w:val="none"/>
                <w:lang w:val="sr-Latn-RS"/>
              </w:rPr>
            </w:pPr>
            <w:r w:rsidRPr="00E75889">
              <w:rPr>
                <w:sz w:val="22"/>
                <w:szCs w:val="22"/>
                <w:lang w:val="sr-Latn-RS"/>
              </w:rPr>
              <w:t>Dijareja</w:t>
            </w:r>
          </w:p>
        </w:tc>
      </w:tr>
      <w:tr w:rsidR="00423CE1" w:rsidRPr="00E75889" w14:paraId="0D5CD4A1" w14:textId="77777777" w:rsidTr="00E75889">
        <w:tc>
          <w:tcPr>
            <w:tcW w:w="2122" w:type="dxa"/>
          </w:tcPr>
          <w:p w14:paraId="17473847" w14:textId="57E1AF0E"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Povremeno:</w:t>
            </w:r>
          </w:p>
        </w:tc>
        <w:tc>
          <w:tcPr>
            <w:tcW w:w="6941" w:type="dxa"/>
          </w:tcPr>
          <w:p w14:paraId="2246B364" w14:textId="38C8BCDB" w:rsidR="00423CE1" w:rsidRPr="00E75889" w:rsidRDefault="00423CE1" w:rsidP="00E75889">
            <w:pPr>
              <w:pStyle w:val="Heading21"/>
              <w:widowControl w:val="0"/>
              <w:shd w:val="clear" w:color="auto" w:fill="auto"/>
              <w:spacing w:before="0" w:after="0" w:line="240" w:lineRule="auto"/>
              <w:ind w:firstLine="0"/>
              <w:rPr>
                <w:rStyle w:val="Bodytext9"/>
                <w:sz w:val="22"/>
                <w:szCs w:val="22"/>
                <w:u w:val="none"/>
                <w:lang w:val="sr-Latn-RS"/>
              </w:rPr>
            </w:pPr>
            <w:r w:rsidRPr="00E75889">
              <w:rPr>
                <w:b w:val="0"/>
                <w:sz w:val="22"/>
                <w:szCs w:val="22"/>
                <w:lang w:val="sr-Latn-RS"/>
              </w:rPr>
              <w:t>Mučnina***</w:t>
            </w:r>
          </w:p>
        </w:tc>
      </w:tr>
      <w:tr w:rsidR="008B7140" w:rsidRPr="00E75889" w14:paraId="6F707E8D" w14:textId="77777777" w:rsidTr="004C71A8">
        <w:tc>
          <w:tcPr>
            <w:tcW w:w="9063" w:type="dxa"/>
            <w:gridSpan w:val="2"/>
          </w:tcPr>
          <w:p w14:paraId="356143BD" w14:textId="654BC508" w:rsidR="008B7140" w:rsidRPr="00E75889" w:rsidRDefault="008B7140" w:rsidP="00E75889">
            <w:pPr>
              <w:pStyle w:val="Heading21"/>
              <w:widowControl w:val="0"/>
              <w:shd w:val="clear" w:color="auto" w:fill="auto"/>
              <w:spacing w:before="0" w:after="0" w:line="240" w:lineRule="auto"/>
              <w:ind w:firstLine="0"/>
              <w:rPr>
                <w:rStyle w:val="Bodytext9"/>
                <w:sz w:val="22"/>
                <w:szCs w:val="22"/>
                <w:u w:val="none"/>
                <w:lang w:val="sr-Latn-RS"/>
              </w:rPr>
            </w:pPr>
            <w:r w:rsidRPr="00E75889">
              <w:rPr>
                <w:sz w:val="22"/>
                <w:szCs w:val="22"/>
                <w:lang w:val="sr-Latn-RS"/>
              </w:rPr>
              <w:t>Hepatobilijarni poremećaji</w:t>
            </w:r>
          </w:p>
        </w:tc>
      </w:tr>
      <w:tr w:rsidR="00423CE1" w:rsidRPr="00E75889" w14:paraId="5FBA72C1" w14:textId="77777777" w:rsidTr="00E75889">
        <w:tc>
          <w:tcPr>
            <w:tcW w:w="2122" w:type="dxa"/>
          </w:tcPr>
          <w:p w14:paraId="72EF1FB7" w14:textId="2E338786"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Nepoznato:                 </w:t>
            </w:r>
          </w:p>
        </w:tc>
        <w:tc>
          <w:tcPr>
            <w:tcW w:w="6941" w:type="dxa"/>
          </w:tcPr>
          <w:p w14:paraId="5AA0A3D8" w14:textId="21DEF3A4" w:rsidR="00423CE1" w:rsidRPr="00E75889" w:rsidRDefault="00423CE1" w:rsidP="00E75889">
            <w:pPr>
              <w:pStyle w:val="Heading21"/>
              <w:widowControl w:val="0"/>
              <w:shd w:val="clear" w:color="auto" w:fill="auto"/>
              <w:spacing w:before="0" w:after="0" w:line="240" w:lineRule="auto"/>
              <w:ind w:firstLine="0"/>
              <w:rPr>
                <w:rStyle w:val="Bodytext9"/>
                <w:b w:val="0"/>
                <w:sz w:val="22"/>
                <w:szCs w:val="22"/>
                <w:u w:val="none"/>
                <w:shd w:val="clear" w:color="auto" w:fill="auto"/>
                <w:lang w:val="sr-Latn-RS"/>
              </w:rPr>
            </w:pPr>
            <w:r w:rsidRPr="00E75889">
              <w:rPr>
                <w:b w:val="0"/>
                <w:sz w:val="22"/>
                <w:szCs w:val="22"/>
                <w:lang w:val="sr-Latn-RS"/>
              </w:rPr>
              <w:t xml:space="preserve">Akutna </w:t>
            </w:r>
            <w:r w:rsidR="00E75889">
              <w:rPr>
                <w:b w:val="0"/>
                <w:sz w:val="22"/>
                <w:szCs w:val="22"/>
                <w:lang w:val="sr-Latn-RS"/>
              </w:rPr>
              <w:t>insufici</w:t>
            </w:r>
            <w:r w:rsidRPr="00E75889">
              <w:rPr>
                <w:b w:val="0"/>
                <w:sz w:val="22"/>
                <w:szCs w:val="22"/>
                <w:lang w:val="sr-Latn-RS"/>
              </w:rPr>
              <w:t>jencija jetre***</w:t>
            </w:r>
          </w:p>
        </w:tc>
      </w:tr>
      <w:tr w:rsidR="008B7140" w:rsidRPr="00E75889" w14:paraId="1FC50AD7" w14:textId="77777777" w:rsidTr="004C71A8">
        <w:tc>
          <w:tcPr>
            <w:tcW w:w="9063" w:type="dxa"/>
            <w:gridSpan w:val="2"/>
          </w:tcPr>
          <w:p w14:paraId="7498AA2A" w14:textId="4D093533" w:rsidR="008B7140" w:rsidRPr="00E75889" w:rsidRDefault="008B7140" w:rsidP="00E75889">
            <w:pPr>
              <w:pStyle w:val="Heading21"/>
              <w:widowControl w:val="0"/>
              <w:shd w:val="clear" w:color="auto" w:fill="auto"/>
              <w:spacing w:before="0" w:after="0" w:line="240" w:lineRule="auto"/>
              <w:ind w:firstLine="0"/>
              <w:rPr>
                <w:rStyle w:val="Bodytext9"/>
                <w:sz w:val="22"/>
                <w:szCs w:val="22"/>
                <w:u w:val="none"/>
                <w:lang w:val="sr-Latn-RS"/>
              </w:rPr>
            </w:pPr>
            <w:r w:rsidRPr="00E75889">
              <w:rPr>
                <w:sz w:val="22"/>
                <w:szCs w:val="22"/>
                <w:lang w:val="sr-Latn-RS"/>
              </w:rPr>
              <w:t>Poremećaji kože i potkožnog tkiva</w:t>
            </w:r>
          </w:p>
        </w:tc>
      </w:tr>
      <w:tr w:rsidR="00423CE1" w:rsidRPr="00E75889" w14:paraId="3EB0D413" w14:textId="77777777" w:rsidTr="00E75889">
        <w:tc>
          <w:tcPr>
            <w:tcW w:w="2122" w:type="dxa"/>
          </w:tcPr>
          <w:p w14:paraId="31E0C089" w14:textId="0DCDF992"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45EC31ED" w14:textId="77777777" w:rsidR="00423CE1" w:rsidRPr="00E75889" w:rsidRDefault="00423CE1" w:rsidP="00E75889">
            <w:pPr>
              <w:pStyle w:val="Bodytext1"/>
              <w:widowControl w:val="0"/>
              <w:shd w:val="clear" w:color="auto" w:fill="auto"/>
              <w:tabs>
                <w:tab w:val="left" w:pos="2610"/>
              </w:tabs>
              <w:spacing w:before="0" w:after="0" w:line="240" w:lineRule="auto"/>
              <w:ind w:left="480" w:hanging="480"/>
              <w:jc w:val="both"/>
              <w:rPr>
                <w:sz w:val="22"/>
                <w:szCs w:val="22"/>
                <w:lang w:val="sr-Latn-RS"/>
              </w:rPr>
            </w:pPr>
            <w:r w:rsidRPr="00E75889">
              <w:rPr>
                <w:sz w:val="22"/>
                <w:szCs w:val="22"/>
                <w:lang w:val="sr-Latn-RS"/>
              </w:rPr>
              <w:t>Ekcem</w:t>
            </w:r>
          </w:p>
          <w:p w14:paraId="11442445" w14:textId="6B6104A1" w:rsidR="00423CE1" w:rsidRPr="00E75889" w:rsidRDefault="00423CE1" w:rsidP="00E75889">
            <w:pPr>
              <w:pStyle w:val="Bodytext1"/>
              <w:widowControl w:val="0"/>
              <w:shd w:val="clear" w:color="auto" w:fill="auto"/>
              <w:spacing w:before="0" w:after="0" w:line="240" w:lineRule="auto"/>
              <w:ind w:right="420" w:firstLine="0"/>
              <w:jc w:val="both"/>
              <w:rPr>
                <w:sz w:val="22"/>
                <w:szCs w:val="22"/>
                <w:lang w:val="sr-Latn-RS"/>
              </w:rPr>
            </w:pPr>
            <w:r w:rsidRPr="00E75889">
              <w:rPr>
                <w:sz w:val="22"/>
                <w:szCs w:val="22"/>
                <w:lang w:val="sr-Latn-RS"/>
              </w:rPr>
              <w:t xml:space="preserve">Alopecija </w:t>
            </w:r>
          </w:p>
          <w:p w14:paraId="16470C55" w14:textId="6BA7804F" w:rsidR="00423CE1" w:rsidRPr="00E75889" w:rsidRDefault="00423CE1" w:rsidP="00E75889">
            <w:pPr>
              <w:pStyle w:val="Bodytext1"/>
              <w:widowControl w:val="0"/>
              <w:shd w:val="clear" w:color="auto" w:fill="auto"/>
              <w:spacing w:before="0" w:after="0" w:line="240" w:lineRule="auto"/>
              <w:ind w:right="420" w:firstLine="0"/>
              <w:jc w:val="both"/>
              <w:rPr>
                <w:rStyle w:val="Bodytext9"/>
                <w:sz w:val="22"/>
                <w:szCs w:val="22"/>
                <w:u w:val="none"/>
                <w:lang w:val="sr-Latn-RS"/>
              </w:rPr>
            </w:pPr>
            <w:r w:rsidRPr="00E75889">
              <w:rPr>
                <w:sz w:val="22"/>
                <w:szCs w:val="22"/>
                <w:lang w:val="sr-Latn-RS"/>
              </w:rPr>
              <w:t>Pruritus</w:t>
            </w:r>
          </w:p>
        </w:tc>
      </w:tr>
      <w:tr w:rsidR="008B7140" w:rsidRPr="00E75889" w14:paraId="500ED8B7" w14:textId="77777777" w:rsidTr="004C71A8">
        <w:tc>
          <w:tcPr>
            <w:tcW w:w="9063" w:type="dxa"/>
            <w:gridSpan w:val="2"/>
          </w:tcPr>
          <w:p w14:paraId="28B55872" w14:textId="09BE8D13" w:rsidR="008B7140" w:rsidRPr="00E75889" w:rsidRDefault="008B7140" w:rsidP="00E75889">
            <w:pPr>
              <w:pStyle w:val="Heading21"/>
              <w:widowControl w:val="0"/>
              <w:shd w:val="clear" w:color="auto" w:fill="auto"/>
              <w:spacing w:before="0" w:after="0" w:line="240" w:lineRule="auto"/>
              <w:ind w:left="480"/>
              <w:rPr>
                <w:rStyle w:val="Bodytext9"/>
                <w:sz w:val="22"/>
                <w:szCs w:val="22"/>
                <w:u w:val="none"/>
                <w:lang w:val="sr-Latn-RS"/>
              </w:rPr>
            </w:pPr>
            <w:r w:rsidRPr="00E75889">
              <w:rPr>
                <w:sz w:val="22"/>
                <w:szCs w:val="22"/>
                <w:lang w:val="sr-Latn-RS"/>
              </w:rPr>
              <w:t>Poremećaji mišićno-koštanog sistema i vezivnog tkiva</w:t>
            </w:r>
          </w:p>
        </w:tc>
      </w:tr>
      <w:tr w:rsidR="00423CE1" w:rsidRPr="00E75889" w14:paraId="029A8B62" w14:textId="77777777" w:rsidTr="00E75889">
        <w:tc>
          <w:tcPr>
            <w:tcW w:w="2122" w:type="dxa"/>
          </w:tcPr>
          <w:p w14:paraId="43DC8831" w14:textId="4315E0B0"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7E61A241" w14:textId="7AA6614D"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Bol u leđima</w:t>
            </w:r>
          </w:p>
        </w:tc>
      </w:tr>
      <w:tr w:rsidR="00423CE1" w:rsidRPr="00E75889" w14:paraId="4F33DCE2" w14:textId="77777777" w:rsidTr="00E75889">
        <w:tc>
          <w:tcPr>
            <w:tcW w:w="2122" w:type="dxa"/>
          </w:tcPr>
          <w:p w14:paraId="53492679" w14:textId="7DAB108F"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 xml:space="preserve">Često:                     </w:t>
            </w:r>
          </w:p>
        </w:tc>
        <w:tc>
          <w:tcPr>
            <w:tcW w:w="6941" w:type="dxa"/>
          </w:tcPr>
          <w:p w14:paraId="2DF9C7AE" w14:textId="77777777" w:rsidR="00423CE1" w:rsidRPr="00E75889" w:rsidRDefault="00423CE1" w:rsidP="00E75889">
            <w:pPr>
              <w:pStyle w:val="Bodytext1"/>
              <w:widowControl w:val="0"/>
              <w:shd w:val="clear" w:color="auto" w:fill="auto"/>
              <w:tabs>
                <w:tab w:val="left" w:pos="2625"/>
              </w:tabs>
              <w:spacing w:before="0" w:after="0" w:line="240" w:lineRule="auto"/>
              <w:ind w:left="480" w:hanging="480"/>
              <w:jc w:val="both"/>
              <w:rPr>
                <w:sz w:val="22"/>
                <w:szCs w:val="22"/>
                <w:lang w:val="sr-Latn-RS"/>
              </w:rPr>
            </w:pPr>
            <w:r w:rsidRPr="00E75889">
              <w:rPr>
                <w:sz w:val="22"/>
                <w:szCs w:val="22"/>
                <w:lang w:val="sr-Latn-RS"/>
              </w:rPr>
              <w:t>Mijalgija</w:t>
            </w:r>
          </w:p>
          <w:p w14:paraId="3855D0B1" w14:textId="1C08F941" w:rsidR="00423CE1" w:rsidRPr="00E75889" w:rsidRDefault="00423CE1" w:rsidP="00E75889">
            <w:pPr>
              <w:pStyle w:val="Bodytext1"/>
              <w:widowControl w:val="0"/>
              <w:shd w:val="clear" w:color="auto" w:fill="auto"/>
              <w:tabs>
                <w:tab w:val="left" w:pos="2625"/>
              </w:tabs>
              <w:spacing w:before="0" w:after="0" w:line="240" w:lineRule="auto"/>
              <w:ind w:left="480" w:hanging="480"/>
              <w:jc w:val="both"/>
              <w:rPr>
                <w:rStyle w:val="Bodytext9"/>
                <w:sz w:val="22"/>
                <w:szCs w:val="22"/>
                <w:u w:val="none"/>
                <w:lang w:val="sr-Latn-RS"/>
              </w:rPr>
            </w:pPr>
            <w:r w:rsidRPr="00E75889">
              <w:rPr>
                <w:sz w:val="22"/>
                <w:szCs w:val="22"/>
                <w:lang w:val="sr-Latn-RS"/>
              </w:rPr>
              <w:t>Artralgija</w:t>
            </w:r>
          </w:p>
        </w:tc>
      </w:tr>
      <w:tr w:rsidR="008B7140" w:rsidRPr="00E75889" w14:paraId="6F16D743" w14:textId="77777777" w:rsidTr="004C71A8">
        <w:tc>
          <w:tcPr>
            <w:tcW w:w="9063" w:type="dxa"/>
            <w:gridSpan w:val="2"/>
          </w:tcPr>
          <w:p w14:paraId="551DB0DC" w14:textId="558FB9F8" w:rsidR="008B7140" w:rsidRPr="00E75889" w:rsidRDefault="008B7140" w:rsidP="00E75889">
            <w:pPr>
              <w:pStyle w:val="Heading21"/>
              <w:widowControl w:val="0"/>
              <w:shd w:val="clear" w:color="auto" w:fill="auto"/>
              <w:spacing w:before="0" w:after="0" w:line="240" w:lineRule="auto"/>
              <w:ind w:left="480"/>
              <w:rPr>
                <w:rStyle w:val="Bodytext9"/>
                <w:sz w:val="22"/>
                <w:szCs w:val="22"/>
                <w:u w:val="none"/>
                <w:shd w:val="clear" w:color="auto" w:fill="auto"/>
                <w:lang w:val="sr-Latn-RS"/>
              </w:rPr>
            </w:pPr>
            <w:r w:rsidRPr="00E75889">
              <w:rPr>
                <w:sz w:val="22"/>
                <w:szCs w:val="22"/>
                <w:lang w:val="sr-Latn-RS"/>
              </w:rPr>
              <w:t>Opšti poremećaji i reakcije na mestu primjene</w:t>
            </w:r>
          </w:p>
        </w:tc>
      </w:tr>
      <w:tr w:rsidR="00423CE1" w:rsidRPr="00E75889" w14:paraId="2F04D1B2" w14:textId="77777777" w:rsidTr="00E75889">
        <w:tc>
          <w:tcPr>
            <w:tcW w:w="2122" w:type="dxa"/>
          </w:tcPr>
          <w:p w14:paraId="26B22B26" w14:textId="6469B29A"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Često:</w:t>
            </w:r>
          </w:p>
        </w:tc>
        <w:tc>
          <w:tcPr>
            <w:tcW w:w="6941" w:type="dxa"/>
          </w:tcPr>
          <w:p w14:paraId="1C2E15BE" w14:textId="646C7594" w:rsidR="00423CE1" w:rsidRPr="00E75889" w:rsidRDefault="00423CE1" w:rsidP="00E75889">
            <w:pPr>
              <w:pStyle w:val="Bodytext1"/>
              <w:widowControl w:val="0"/>
              <w:shd w:val="clear" w:color="auto" w:fill="auto"/>
              <w:tabs>
                <w:tab w:val="left" w:pos="2610"/>
              </w:tabs>
              <w:spacing w:before="0" w:after="0" w:line="240" w:lineRule="auto"/>
              <w:ind w:left="480" w:hanging="480"/>
              <w:jc w:val="both"/>
              <w:rPr>
                <w:rStyle w:val="Bodytext9"/>
                <w:sz w:val="22"/>
                <w:szCs w:val="22"/>
                <w:u w:val="none"/>
                <w:lang w:val="sr-Latn-RS"/>
              </w:rPr>
            </w:pPr>
            <w:r w:rsidRPr="00E75889">
              <w:rPr>
                <w:sz w:val="22"/>
                <w:szCs w:val="22"/>
                <w:lang w:val="sr-Latn-RS"/>
              </w:rPr>
              <w:t>Astenija</w:t>
            </w:r>
          </w:p>
        </w:tc>
      </w:tr>
      <w:tr w:rsidR="008B7140" w:rsidRPr="00E75889" w14:paraId="20C152A2" w14:textId="77777777" w:rsidTr="004C71A8">
        <w:tc>
          <w:tcPr>
            <w:tcW w:w="9063" w:type="dxa"/>
            <w:gridSpan w:val="2"/>
          </w:tcPr>
          <w:p w14:paraId="78B7082B" w14:textId="6FFAAEAB" w:rsidR="008B7140" w:rsidRPr="00E75889" w:rsidRDefault="008B7140" w:rsidP="00E75889">
            <w:pPr>
              <w:pStyle w:val="Heading21"/>
              <w:widowControl w:val="0"/>
              <w:shd w:val="clear" w:color="auto" w:fill="auto"/>
              <w:spacing w:before="0" w:after="0" w:line="240" w:lineRule="auto"/>
              <w:ind w:left="480"/>
              <w:rPr>
                <w:rStyle w:val="Bodytext9"/>
                <w:sz w:val="22"/>
                <w:szCs w:val="22"/>
                <w:u w:val="none"/>
                <w:shd w:val="clear" w:color="auto" w:fill="auto"/>
                <w:lang w:val="sr-Latn-RS"/>
              </w:rPr>
            </w:pPr>
            <w:r w:rsidRPr="00E75889">
              <w:rPr>
                <w:sz w:val="22"/>
                <w:szCs w:val="22"/>
                <w:lang w:val="sr-Latn-RS"/>
              </w:rPr>
              <w:lastRenderedPageBreak/>
              <w:t xml:space="preserve">Ispitivanja </w:t>
            </w:r>
          </w:p>
        </w:tc>
      </w:tr>
      <w:tr w:rsidR="00423CE1" w:rsidRPr="00E75889" w14:paraId="192C5B1E" w14:textId="77777777" w:rsidTr="00E75889">
        <w:tc>
          <w:tcPr>
            <w:tcW w:w="2122" w:type="dxa"/>
          </w:tcPr>
          <w:p w14:paraId="19B57DD7" w14:textId="36A4C765" w:rsidR="00423CE1" w:rsidRPr="00E75889" w:rsidRDefault="00423CE1" w:rsidP="00E75889">
            <w:pPr>
              <w:pStyle w:val="Bodytext1"/>
              <w:widowControl w:val="0"/>
              <w:shd w:val="clear" w:color="auto" w:fill="auto"/>
              <w:spacing w:before="0" w:after="0" w:line="240" w:lineRule="auto"/>
              <w:ind w:firstLine="0"/>
              <w:jc w:val="both"/>
              <w:rPr>
                <w:rStyle w:val="Bodytext9"/>
                <w:sz w:val="22"/>
                <w:szCs w:val="22"/>
                <w:u w:val="none"/>
                <w:lang w:val="sr-Latn-RS"/>
              </w:rPr>
            </w:pPr>
            <w:r w:rsidRPr="00E75889">
              <w:rPr>
                <w:sz w:val="22"/>
                <w:szCs w:val="22"/>
                <w:lang w:val="sr-Latn-RS"/>
              </w:rPr>
              <w:t>Veoma često:</w:t>
            </w:r>
          </w:p>
        </w:tc>
        <w:tc>
          <w:tcPr>
            <w:tcW w:w="6941" w:type="dxa"/>
          </w:tcPr>
          <w:p w14:paraId="62A96FA1" w14:textId="66B8D0B8" w:rsidR="00423CE1" w:rsidRPr="00E75889" w:rsidRDefault="00423CE1" w:rsidP="00E75889">
            <w:pPr>
              <w:pStyle w:val="Bodytext1"/>
              <w:widowControl w:val="0"/>
              <w:shd w:val="clear" w:color="auto" w:fill="auto"/>
              <w:tabs>
                <w:tab w:val="left" w:pos="2620"/>
              </w:tabs>
              <w:spacing w:before="0" w:after="0" w:line="240" w:lineRule="auto"/>
              <w:ind w:firstLine="0"/>
              <w:jc w:val="both"/>
              <w:rPr>
                <w:rStyle w:val="Bodytext9"/>
                <w:sz w:val="22"/>
                <w:szCs w:val="22"/>
                <w:u w:val="none"/>
                <w:lang w:val="sr-Latn-RS"/>
              </w:rPr>
            </w:pPr>
            <w:r w:rsidRPr="00E75889">
              <w:rPr>
                <w:sz w:val="22"/>
                <w:szCs w:val="22"/>
                <w:lang w:val="sr-Latn-RS"/>
              </w:rPr>
              <w:t>Povišene vrijednosti enzima jetre (povišeni alanin</w:t>
            </w:r>
            <w:r w:rsidR="00E75889">
              <w:rPr>
                <w:sz w:val="22"/>
                <w:szCs w:val="22"/>
                <w:lang w:val="sr-Latn-RS"/>
              </w:rPr>
              <w:t xml:space="preserve"> </w:t>
            </w:r>
            <w:r w:rsidRPr="00E75889">
              <w:rPr>
                <w:sz w:val="22"/>
                <w:szCs w:val="22"/>
                <w:lang w:val="sr-Latn-RS"/>
              </w:rPr>
              <w:t>transaminaza, gama glutamil transferaza, aspartat transaminaza)</w:t>
            </w:r>
          </w:p>
        </w:tc>
      </w:tr>
      <w:tr w:rsidR="00423CE1" w:rsidRPr="00E75889" w14:paraId="51E31B99" w14:textId="77777777" w:rsidTr="00E75889">
        <w:tc>
          <w:tcPr>
            <w:tcW w:w="2122" w:type="dxa"/>
          </w:tcPr>
          <w:p w14:paraId="4C128BC2" w14:textId="7431CC82" w:rsidR="00423CE1" w:rsidRPr="00E75889" w:rsidRDefault="00423CE1"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Često:</w:t>
            </w:r>
          </w:p>
        </w:tc>
        <w:tc>
          <w:tcPr>
            <w:tcW w:w="6941" w:type="dxa"/>
          </w:tcPr>
          <w:p w14:paraId="42140627" w14:textId="77777777" w:rsidR="00423CE1" w:rsidRPr="00E75889" w:rsidRDefault="00423CE1" w:rsidP="00E75889">
            <w:pPr>
              <w:pStyle w:val="Bodytext1"/>
              <w:widowControl w:val="0"/>
              <w:shd w:val="clear" w:color="auto" w:fill="auto"/>
              <w:tabs>
                <w:tab w:val="left" w:pos="2610"/>
              </w:tabs>
              <w:spacing w:before="0" w:after="0" w:line="240" w:lineRule="auto"/>
              <w:ind w:firstLine="0"/>
              <w:jc w:val="both"/>
              <w:rPr>
                <w:sz w:val="22"/>
                <w:szCs w:val="22"/>
                <w:lang w:val="sr-Latn-RS"/>
              </w:rPr>
            </w:pPr>
            <w:r w:rsidRPr="00E75889">
              <w:rPr>
                <w:sz w:val="22"/>
                <w:szCs w:val="22"/>
                <w:lang w:val="sr-Latn-RS"/>
              </w:rPr>
              <w:t>Smanjenje tjelesne mase***</w:t>
            </w:r>
          </w:p>
          <w:p w14:paraId="7E8866F7" w14:textId="0D9BDFB1" w:rsidR="00423CE1" w:rsidRPr="00E75889" w:rsidRDefault="008B7140" w:rsidP="00E75889">
            <w:pPr>
              <w:pStyle w:val="Bodytext1"/>
              <w:widowControl w:val="0"/>
              <w:shd w:val="clear" w:color="auto" w:fill="auto"/>
              <w:tabs>
                <w:tab w:val="left" w:pos="2610"/>
              </w:tabs>
              <w:spacing w:before="0" w:after="0" w:line="240" w:lineRule="auto"/>
              <w:ind w:left="480" w:hanging="480"/>
              <w:jc w:val="both"/>
              <w:rPr>
                <w:sz w:val="22"/>
                <w:szCs w:val="22"/>
                <w:lang w:val="sr-Latn-RS"/>
              </w:rPr>
            </w:pPr>
            <w:r w:rsidRPr="00E75889">
              <w:rPr>
                <w:sz w:val="22"/>
                <w:szCs w:val="22"/>
                <w:lang w:val="sr-Latn-RS"/>
              </w:rPr>
              <w:t>Povišeni trigliceridi u krvi</w:t>
            </w:r>
          </w:p>
        </w:tc>
      </w:tr>
      <w:tr w:rsidR="008B7140" w:rsidRPr="00E75889" w14:paraId="44A64807" w14:textId="77777777" w:rsidTr="00E75889">
        <w:tc>
          <w:tcPr>
            <w:tcW w:w="2122" w:type="dxa"/>
          </w:tcPr>
          <w:p w14:paraId="2173CAB1" w14:textId="3A261AF8" w:rsidR="008B7140" w:rsidRPr="00E75889" w:rsidRDefault="008B7140"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Povremeno:</w:t>
            </w:r>
          </w:p>
        </w:tc>
        <w:tc>
          <w:tcPr>
            <w:tcW w:w="6941" w:type="dxa"/>
          </w:tcPr>
          <w:p w14:paraId="7233B4A6" w14:textId="14C8BF75" w:rsidR="008B7140" w:rsidRPr="00E75889" w:rsidRDefault="008B7140" w:rsidP="00E75889">
            <w:pPr>
              <w:pStyle w:val="Bodytext1"/>
              <w:widowControl w:val="0"/>
              <w:shd w:val="clear" w:color="auto" w:fill="auto"/>
              <w:tabs>
                <w:tab w:val="left" w:pos="2610"/>
              </w:tabs>
              <w:spacing w:before="0" w:after="0" w:line="240" w:lineRule="auto"/>
              <w:ind w:firstLine="0"/>
              <w:jc w:val="both"/>
              <w:rPr>
                <w:sz w:val="22"/>
                <w:szCs w:val="22"/>
                <w:lang w:val="sr-Latn-RS"/>
              </w:rPr>
            </w:pPr>
            <w:r w:rsidRPr="00E75889">
              <w:rPr>
                <w:sz w:val="22"/>
                <w:szCs w:val="22"/>
                <w:lang w:val="sr-Latn-RS"/>
              </w:rPr>
              <w:t>Smanjeni broj neutrofila</w:t>
            </w:r>
          </w:p>
        </w:tc>
      </w:tr>
      <w:tr w:rsidR="008B7140" w:rsidRPr="00E75889" w14:paraId="23EA6095" w14:textId="77777777" w:rsidTr="004C71A8">
        <w:tc>
          <w:tcPr>
            <w:tcW w:w="9063" w:type="dxa"/>
            <w:gridSpan w:val="2"/>
          </w:tcPr>
          <w:p w14:paraId="53C481A7" w14:textId="5752AB2C" w:rsidR="008B7140" w:rsidRPr="00E75889" w:rsidRDefault="008B7140" w:rsidP="00E75889">
            <w:pPr>
              <w:pStyle w:val="Bodytext1"/>
              <w:widowControl w:val="0"/>
              <w:shd w:val="clear" w:color="auto" w:fill="auto"/>
              <w:spacing w:before="0" w:after="0" w:line="240" w:lineRule="auto"/>
              <w:ind w:left="480" w:hanging="480"/>
              <w:jc w:val="both"/>
              <w:rPr>
                <w:sz w:val="20"/>
                <w:szCs w:val="22"/>
                <w:lang w:val="sr-Latn-RS" w:eastAsia="en-US"/>
              </w:rPr>
            </w:pPr>
            <w:r w:rsidRPr="00E75889">
              <w:rPr>
                <w:sz w:val="20"/>
                <w:szCs w:val="22"/>
                <w:lang w:val="sr-Latn-RS" w:eastAsia="en-US"/>
              </w:rPr>
              <w:t xml:space="preserve">*Kategorija učestalosti zasniva se na procijenjenoj izloženosti fingolimodu približno 10000 </w:t>
            </w:r>
          </w:p>
          <w:p w14:paraId="373EFF6C" w14:textId="1B34CDB6" w:rsidR="008B7140" w:rsidRPr="00E75889" w:rsidRDefault="008B7140" w:rsidP="00E75889">
            <w:pPr>
              <w:pStyle w:val="Bodytext1"/>
              <w:widowControl w:val="0"/>
              <w:shd w:val="clear" w:color="auto" w:fill="auto"/>
              <w:spacing w:before="0" w:after="0" w:line="240" w:lineRule="auto"/>
              <w:ind w:left="480" w:hanging="480"/>
              <w:jc w:val="both"/>
              <w:rPr>
                <w:sz w:val="20"/>
                <w:szCs w:val="22"/>
                <w:lang w:val="sr-Latn-RS" w:eastAsia="en-US"/>
              </w:rPr>
            </w:pPr>
            <w:r w:rsidRPr="00E75889">
              <w:rPr>
                <w:sz w:val="20"/>
                <w:szCs w:val="22"/>
                <w:lang w:val="sr-Latn-RS" w:eastAsia="en-US"/>
              </w:rPr>
              <w:t>pacijenata u svim kliničkim ispitivanjima.</w:t>
            </w:r>
          </w:p>
          <w:p w14:paraId="1CBD3154" w14:textId="142B9FC6" w:rsidR="008B7140" w:rsidRPr="00E75889" w:rsidRDefault="008B7140" w:rsidP="00E75889">
            <w:pPr>
              <w:pStyle w:val="Bodytext1"/>
              <w:widowControl w:val="0"/>
              <w:shd w:val="clear" w:color="auto" w:fill="auto"/>
              <w:spacing w:before="0" w:after="0" w:line="240" w:lineRule="auto"/>
              <w:ind w:left="480" w:hanging="480"/>
              <w:jc w:val="both"/>
              <w:rPr>
                <w:sz w:val="20"/>
                <w:szCs w:val="22"/>
                <w:lang w:val="sr-Latn-RS"/>
              </w:rPr>
            </w:pPr>
            <w:r w:rsidRPr="00E75889">
              <w:rPr>
                <w:sz w:val="20"/>
                <w:szCs w:val="22"/>
                <w:lang w:val="sr-Latn-RS"/>
              </w:rPr>
              <w:t>**PML</w:t>
            </w:r>
            <w:r w:rsidR="004E6EF5">
              <w:rPr>
                <w:sz w:val="20"/>
                <w:szCs w:val="22"/>
                <w:lang w:val="sr-Latn-RS"/>
              </w:rPr>
              <w:t>, IRIS</w:t>
            </w:r>
            <w:r w:rsidRPr="00E75889">
              <w:rPr>
                <w:sz w:val="20"/>
                <w:szCs w:val="22"/>
                <w:lang w:val="sr-Latn-RS"/>
              </w:rPr>
              <w:t xml:space="preserve"> i kriptokokne infekcije (uključujući slučajeve kriptokoknog meningitisa) zabilježene su u </w:t>
            </w:r>
          </w:p>
          <w:p w14:paraId="06D9B452" w14:textId="305DE23E" w:rsidR="008B7140" w:rsidRPr="00E75889" w:rsidRDefault="008B7140" w:rsidP="00E75889">
            <w:pPr>
              <w:pStyle w:val="Bodytext1"/>
              <w:widowControl w:val="0"/>
              <w:shd w:val="clear" w:color="auto" w:fill="auto"/>
              <w:spacing w:before="0" w:after="0" w:line="240" w:lineRule="auto"/>
              <w:ind w:left="480" w:hanging="480"/>
              <w:jc w:val="both"/>
              <w:rPr>
                <w:sz w:val="20"/>
                <w:szCs w:val="22"/>
                <w:lang w:val="sr-Latn-RS"/>
              </w:rPr>
            </w:pPr>
            <w:r w:rsidRPr="00E75889">
              <w:rPr>
                <w:sz w:val="20"/>
                <w:szCs w:val="22"/>
                <w:lang w:val="sr-Latn-RS"/>
              </w:rPr>
              <w:t>postmarketinškom ispitivanju (vidjeti dio 4.4)</w:t>
            </w:r>
          </w:p>
          <w:p w14:paraId="68E75859" w14:textId="211A1DF6" w:rsidR="008B7140" w:rsidRPr="00E75889" w:rsidRDefault="008B7140" w:rsidP="00E75889">
            <w:pPr>
              <w:pStyle w:val="Bodytext1"/>
              <w:widowControl w:val="0"/>
              <w:shd w:val="clear" w:color="auto" w:fill="auto"/>
              <w:spacing w:before="0" w:after="0" w:line="240" w:lineRule="auto"/>
              <w:ind w:firstLine="0"/>
              <w:jc w:val="both"/>
              <w:rPr>
                <w:rStyle w:val="Bodytext8"/>
                <w:sz w:val="20"/>
                <w:szCs w:val="22"/>
                <w:u w:val="none"/>
                <w:lang w:val="sr-Latn-RS"/>
              </w:rPr>
            </w:pPr>
            <w:r w:rsidRPr="00E75889">
              <w:rPr>
                <w:rStyle w:val="Bodytext8"/>
                <w:sz w:val="20"/>
                <w:szCs w:val="22"/>
                <w:u w:val="none"/>
                <w:lang w:val="sr-Latn-RS"/>
              </w:rPr>
              <w:t>***Neželjene reakcije iz spontanog prijavljivanja i literature</w:t>
            </w:r>
          </w:p>
          <w:p w14:paraId="10C65653" w14:textId="1F79C4BC" w:rsidR="008B7140" w:rsidRPr="00E75889" w:rsidRDefault="008B7140" w:rsidP="00E75889">
            <w:pPr>
              <w:widowControl w:val="0"/>
              <w:jc w:val="both"/>
              <w:rPr>
                <w:sz w:val="20"/>
                <w:szCs w:val="22"/>
                <w:lang w:val="sr-Latn-RS"/>
              </w:rPr>
            </w:pPr>
            <w:r w:rsidRPr="00E75889">
              <w:rPr>
                <w:sz w:val="20"/>
                <w:szCs w:val="22"/>
                <w:lang w:val="sr-Latn-RS"/>
              </w:rPr>
              <w:t>****Kategorija učestalosti i procjena rizika su zasnovani na procjeni izloženosti više od 24000 pacijenata fingolimodu 0,5 mg u svim kliničkim studijama.</w:t>
            </w:r>
          </w:p>
        </w:tc>
      </w:tr>
    </w:tbl>
    <w:p w14:paraId="2190F186" w14:textId="77777777" w:rsidR="00EB75FD" w:rsidRPr="00E75889" w:rsidRDefault="00EB75FD" w:rsidP="00E75889">
      <w:pPr>
        <w:pStyle w:val="Bodytext1"/>
        <w:widowControl w:val="0"/>
        <w:shd w:val="clear" w:color="auto" w:fill="auto"/>
        <w:spacing w:before="0" w:after="0" w:line="240" w:lineRule="auto"/>
        <w:ind w:firstLine="0"/>
        <w:jc w:val="both"/>
        <w:rPr>
          <w:rStyle w:val="Bodytext8"/>
          <w:sz w:val="22"/>
          <w:szCs w:val="22"/>
          <w:lang w:val="sr-Latn-RS"/>
        </w:rPr>
      </w:pPr>
    </w:p>
    <w:p w14:paraId="508E754D" w14:textId="77777777" w:rsidR="00EB75FD" w:rsidRPr="00E75889" w:rsidRDefault="00EB75FD" w:rsidP="00E75889">
      <w:pPr>
        <w:pStyle w:val="Bodytext1"/>
        <w:widowControl w:val="0"/>
        <w:shd w:val="clear" w:color="auto" w:fill="auto"/>
        <w:spacing w:before="0" w:after="0" w:line="240" w:lineRule="auto"/>
        <w:ind w:firstLine="0"/>
        <w:jc w:val="both"/>
        <w:rPr>
          <w:rStyle w:val="Bodytext8"/>
          <w:sz w:val="22"/>
          <w:szCs w:val="22"/>
          <w:lang w:val="sr-Latn-RS"/>
        </w:rPr>
      </w:pPr>
      <w:r w:rsidRPr="00E75889">
        <w:rPr>
          <w:rStyle w:val="Bodytext8"/>
          <w:sz w:val="22"/>
          <w:szCs w:val="22"/>
          <w:lang w:val="sr-Latn-RS"/>
        </w:rPr>
        <w:t>Opis odabranih neželjenih reakcija</w:t>
      </w:r>
    </w:p>
    <w:p w14:paraId="0436D9BA" w14:textId="77777777" w:rsidR="00EB75FD" w:rsidRPr="00E75889" w:rsidRDefault="00EB75FD" w:rsidP="00E75889">
      <w:pPr>
        <w:pStyle w:val="Bodytext1"/>
        <w:widowControl w:val="0"/>
        <w:shd w:val="clear" w:color="auto" w:fill="auto"/>
        <w:spacing w:before="0" w:after="0" w:line="240" w:lineRule="auto"/>
        <w:ind w:firstLine="0"/>
        <w:jc w:val="both"/>
        <w:rPr>
          <w:rStyle w:val="BodytextItalic"/>
          <w:sz w:val="22"/>
          <w:szCs w:val="22"/>
          <w:lang w:val="sr-Latn-RS"/>
        </w:rPr>
      </w:pPr>
    </w:p>
    <w:p w14:paraId="474B646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eastAsia="en-US"/>
        </w:rPr>
      </w:pPr>
      <w:r w:rsidRPr="00E75889">
        <w:rPr>
          <w:rStyle w:val="BodytextItalic"/>
          <w:sz w:val="22"/>
          <w:szCs w:val="22"/>
          <w:u w:val="single"/>
          <w:lang w:val="sr-Latn-RS"/>
        </w:rPr>
        <w:t>Infekcije</w:t>
      </w:r>
    </w:p>
    <w:p w14:paraId="32568C5F" w14:textId="03A223E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kliničkim studijama sa multiplom sklerozom ukupna stopa infekcija (65,1%) sa dozom od 0,5 mg bila je slična kao i za placebo. Međutim, infekcije donjih disajnih puteva, primarno bronhitis i u manjoj mjeri infekcija herpes</w:t>
      </w:r>
      <w:r w:rsidR="00D93738" w:rsidRPr="00E75889">
        <w:rPr>
          <w:sz w:val="22"/>
          <w:szCs w:val="22"/>
          <w:lang w:val="sr-Latn-RS" w:eastAsia="en-US"/>
        </w:rPr>
        <w:t xml:space="preserve"> virusom</w:t>
      </w:r>
      <w:r w:rsidRPr="00E75889">
        <w:rPr>
          <w:sz w:val="22"/>
          <w:szCs w:val="22"/>
          <w:lang w:val="sr-Latn-RS" w:eastAsia="en-US"/>
        </w:rPr>
        <w:t xml:space="preserve"> i pneumonija bile su češće kod pacijenata koji su bili na terapiji fingolimodom.</w:t>
      </w:r>
    </w:p>
    <w:p w14:paraId="3D53D5A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43849E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Neki slučajevi diseminovane infekcije herpesom, uključujući i smrtne slučajeve, zabilježeni su čak i sa dozom od 0,5 mg.</w:t>
      </w:r>
    </w:p>
    <w:p w14:paraId="0E77DB6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72949B3" w14:textId="72E993C0" w:rsidR="00EB75FD" w:rsidRPr="00E75889" w:rsidRDefault="00EB75FD" w:rsidP="00E75889">
      <w:pPr>
        <w:widowControl w:val="0"/>
        <w:tabs>
          <w:tab w:val="left" w:pos="720"/>
        </w:tabs>
        <w:autoSpaceDE w:val="0"/>
        <w:autoSpaceDN w:val="0"/>
        <w:adjustRightInd w:val="0"/>
        <w:spacing w:line="260" w:lineRule="exact"/>
        <w:jc w:val="both"/>
        <w:rPr>
          <w:sz w:val="22"/>
          <w:szCs w:val="22"/>
          <w:lang w:val="sr-Latn-RS"/>
        </w:rPr>
      </w:pPr>
      <w:r w:rsidRPr="00E75889">
        <w:rPr>
          <w:sz w:val="22"/>
          <w:szCs w:val="22"/>
          <w:lang w:val="sr-Latn-RS"/>
        </w:rPr>
        <w:t xml:space="preserve">Nakon stavljanja lijeka u promet prijavljeni su slučajevi oportunističkih infekcija virusnim (npr. virusom </w:t>
      </w:r>
      <w:r w:rsidRPr="00E75889">
        <w:rPr>
          <w:i/>
          <w:sz w:val="22"/>
          <w:szCs w:val="22"/>
          <w:lang w:val="sr-Latn-RS"/>
        </w:rPr>
        <w:t>varicella-zoster</w:t>
      </w:r>
      <w:r w:rsidRPr="00E75889">
        <w:rPr>
          <w:sz w:val="22"/>
          <w:szCs w:val="22"/>
          <w:lang w:val="sr-Latn-RS"/>
        </w:rPr>
        <w:t xml:space="preserve"> [VZV], virusom </w:t>
      </w:r>
      <w:r w:rsidRPr="00E75889">
        <w:rPr>
          <w:i/>
          <w:sz w:val="22"/>
          <w:szCs w:val="22"/>
          <w:lang w:val="sr-Latn-RS"/>
        </w:rPr>
        <w:t>John Cunningham</w:t>
      </w:r>
      <w:r w:rsidRPr="00E75889">
        <w:rPr>
          <w:sz w:val="22"/>
          <w:szCs w:val="22"/>
          <w:lang w:val="sr-Latn-RS"/>
        </w:rPr>
        <w:t xml:space="preserve"> [JCV] koji uzrokuje progresivnu multifokalnu leukoencefalopatiju, herpes simpleks virusom [HSV]), gljivičnim (npr. kriptokokama, uključujući kriptokokni meningitis) ili bakterijskim (npr. atipičnom mikobakterijom) patogenima, od kojih su neke bile fatalne (vidjeti </w:t>
      </w:r>
      <w:r w:rsidR="00282BF1" w:rsidRPr="00E75889">
        <w:rPr>
          <w:sz w:val="22"/>
          <w:szCs w:val="22"/>
          <w:lang w:val="sr-Latn-RS"/>
        </w:rPr>
        <w:t>dio</w:t>
      </w:r>
      <w:r w:rsidRPr="00E75889">
        <w:rPr>
          <w:sz w:val="22"/>
          <w:szCs w:val="22"/>
          <w:lang w:val="sr-Latn-RS"/>
        </w:rPr>
        <w:t> 4.4).</w:t>
      </w:r>
    </w:p>
    <w:p w14:paraId="75FD29D9" w14:textId="77777777" w:rsidR="00EB75FD" w:rsidRPr="00E75889" w:rsidRDefault="00EB75FD" w:rsidP="00E75889">
      <w:pPr>
        <w:widowControl w:val="0"/>
        <w:tabs>
          <w:tab w:val="left" w:pos="720"/>
        </w:tabs>
        <w:autoSpaceDE w:val="0"/>
        <w:autoSpaceDN w:val="0"/>
        <w:adjustRightInd w:val="0"/>
        <w:spacing w:line="260" w:lineRule="exact"/>
        <w:jc w:val="both"/>
        <w:rPr>
          <w:sz w:val="22"/>
          <w:szCs w:val="22"/>
          <w:lang w:val="sr-Latn-RS"/>
        </w:rPr>
      </w:pPr>
    </w:p>
    <w:p w14:paraId="0C3B5129" w14:textId="05A9B14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Infekcija humanim papilloma virusom (HPV), uključujući papilome, displaziju, bradavice i HPV-povezani kancer, prijavljivani su tokom terapije fingolimodom u postmarketinškom periodu (vidjeti </w:t>
      </w:r>
      <w:r w:rsidR="00282BF1" w:rsidRPr="00E75889">
        <w:rPr>
          <w:sz w:val="22"/>
          <w:szCs w:val="22"/>
          <w:lang w:val="sr-Latn-RS"/>
        </w:rPr>
        <w:t>dio</w:t>
      </w:r>
      <w:r w:rsidRPr="00E75889">
        <w:rPr>
          <w:sz w:val="22"/>
          <w:szCs w:val="22"/>
          <w:lang w:val="sr-Latn-RS"/>
        </w:rPr>
        <w:t xml:space="preserve"> 4.4). Zbog imunosupresivnih karakteristika fingolimoda, vakcinaciju protiv HPV treba razmotriti prije započinjanja terapije fingolimodom uzimajući u obzir preporuke za vakcinaciju. Preporučuje se skrining na kancer, uključujući P</w:t>
      </w:r>
      <w:r w:rsidR="00CB3584" w:rsidRPr="00E75889">
        <w:rPr>
          <w:sz w:val="22"/>
          <w:szCs w:val="22"/>
          <w:lang w:val="sr-Latn-RS"/>
        </w:rPr>
        <w:t>APA</w:t>
      </w:r>
      <w:r w:rsidRPr="00E75889">
        <w:rPr>
          <w:sz w:val="22"/>
          <w:szCs w:val="22"/>
          <w:lang w:val="sr-Latn-RS"/>
        </w:rPr>
        <w:t xml:space="preserve"> test prema standardnoj proceduri. </w:t>
      </w:r>
    </w:p>
    <w:p w14:paraId="5AA557F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42BFF1D"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Edem makule</w:t>
      </w:r>
    </w:p>
    <w:p w14:paraId="76E6BC58" w14:textId="7E47097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kliničkim studijama sa multiplom sklerozom edem makule se javio kod 0,5% pacijenata liječenih preporučenom dozom od 0,5 mg i kod 1,1% pacijenata liječenih većom dozom od 1,25 mg. Većina ovih slučajeva javila se u prvih 3-4 mjeseca terapije. Neki pacijenti su se žalili na za</w:t>
      </w:r>
      <w:r w:rsidR="00BE7718" w:rsidRPr="00E75889">
        <w:rPr>
          <w:sz w:val="22"/>
          <w:szCs w:val="22"/>
          <w:lang w:val="sr-Latn-RS" w:eastAsia="en-US"/>
        </w:rPr>
        <w:t>mućen</w:t>
      </w:r>
      <w:r w:rsidRPr="00E75889">
        <w:rPr>
          <w:sz w:val="22"/>
          <w:szCs w:val="22"/>
          <w:lang w:val="sr-Latn-RS" w:eastAsia="en-US"/>
        </w:rPr>
        <w:t xml:space="preserve"> vid ili oslabljenu oštrinu vida, ali drugi su bili bez simptoma i dijagnoza je postavljena pri rutinskom oftalmološkom pregledu. Edem makule se po pravilu smanjivao, ili spontano</w:t>
      </w:r>
      <w:r w:rsidR="00BF42F0" w:rsidRPr="00E75889">
        <w:rPr>
          <w:sz w:val="22"/>
          <w:szCs w:val="22"/>
          <w:lang w:val="sr-Latn-RS" w:eastAsia="en-US"/>
        </w:rPr>
        <w:t xml:space="preserve"> </w:t>
      </w:r>
      <w:r w:rsidRPr="00E75889">
        <w:rPr>
          <w:sz w:val="22"/>
          <w:szCs w:val="22"/>
          <w:lang w:val="sr-Latn-RS" w:eastAsia="en-US"/>
        </w:rPr>
        <w:t>povlačio po obustavi terapije. Rizik od recidiva po ponovnom izlaganju lijeku nije procijenjivan.</w:t>
      </w:r>
    </w:p>
    <w:p w14:paraId="0CD480B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FF1C2C1" w14:textId="0643D45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Incidenca edema makule povećana je kod pacijenata sa multiplom sklerozom koji imaju anamnestičke podatke o uveitisu (17% sa anamnestičkim podacima o uveitisu </w:t>
      </w:r>
      <w:r w:rsidR="00D93738" w:rsidRPr="00E75889">
        <w:rPr>
          <w:sz w:val="22"/>
          <w:szCs w:val="22"/>
          <w:lang w:val="sr-Latn-RS" w:eastAsia="en-US"/>
        </w:rPr>
        <w:t>nasuprot</w:t>
      </w:r>
      <w:r w:rsidRPr="00E75889">
        <w:rPr>
          <w:sz w:val="22"/>
          <w:szCs w:val="22"/>
          <w:lang w:val="sr-Latn-RS" w:eastAsia="en-US"/>
        </w:rPr>
        <w:t xml:space="preserve"> 0,6% bez anamnestičkih podataka o uveitisu). </w:t>
      </w:r>
      <w:r w:rsidR="00D93738" w:rsidRPr="00E75889">
        <w:rPr>
          <w:sz w:val="22"/>
          <w:szCs w:val="22"/>
          <w:lang w:val="sr-Latn-RS" w:eastAsia="en-US"/>
        </w:rPr>
        <w:t xml:space="preserve">Lijek </w:t>
      </w:r>
      <w:r w:rsidRPr="00E75889">
        <w:rPr>
          <w:sz w:val="22"/>
          <w:szCs w:val="22"/>
          <w:lang w:val="sr-Latn-RS" w:eastAsia="en-US"/>
        </w:rPr>
        <w:t xml:space="preserve">Gilenya nije ispitivana kod pacijenata sa multiplom sklerozom i diabetes mellitus-om, oboljenjem koje je povezano sa povećanim rizikom od edema makule (vidjeti </w:t>
      </w:r>
      <w:r w:rsidR="00282BF1" w:rsidRPr="00E75889">
        <w:rPr>
          <w:sz w:val="22"/>
          <w:szCs w:val="22"/>
          <w:lang w:val="sr-Latn-RS" w:eastAsia="en-US"/>
        </w:rPr>
        <w:t>dio</w:t>
      </w:r>
      <w:r w:rsidRPr="00E75889">
        <w:rPr>
          <w:sz w:val="22"/>
          <w:szCs w:val="22"/>
          <w:lang w:val="sr-Latn-RS" w:eastAsia="en-US"/>
        </w:rPr>
        <w:t xml:space="preserve"> 4.4). U kliničkim studijama sa pacijentima sa bubrežnim transplantatom u koje su bili uključeni i pacijenti sa diabetes mellitus-om, terapija fingolimodom od 2,5 mg i 5 mg dovela je do udvostručavanja incidence edema makule.</w:t>
      </w:r>
    </w:p>
    <w:p w14:paraId="48C924D4"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6796B420"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Bradiaritmija</w:t>
      </w:r>
    </w:p>
    <w:p w14:paraId="1B892B09" w14:textId="0244B9D6"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Započinjanje terapije dovodi do prolaznog </w:t>
      </w:r>
      <w:r w:rsidR="00920A6A" w:rsidRPr="00E75889">
        <w:rPr>
          <w:sz w:val="22"/>
          <w:szCs w:val="22"/>
          <w:lang w:val="sr-Latn-RS" w:eastAsia="en-US"/>
        </w:rPr>
        <w:t>smanjenja</w:t>
      </w:r>
      <w:r w:rsidRPr="00E75889">
        <w:rPr>
          <w:sz w:val="22"/>
          <w:szCs w:val="22"/>
          <w:lang w:val="sr-Latn-RS" w:eastAsia="en-US"/>
        </w:rPr>
        <w:t xml:space="preserve"> </w:t>
      </w:r>
      <w:r w:rsidR="00920A6A" w:rsidRPr="00E75889">
        <w:rPr>
          <w:sz w:val="22"/>
          <w:szCs w:val="22"/>
          <w:lang w:val="sr-Latn-RS" w:eastAsia="en-US"/>
        </w:rPr>
        <w:t>srčane frekvence</w:t>
      </w:r>
      <w:r w:rsidRPr="00E75889">
        <w:rPr>
          <w:sz w:val="22"/>
          <w:szCs w:val="22"/>
          <w:lang w:val="sr-Latn-RS" w:eastAsia="en-US"/>
        </w:rPr>
        <w:t xml:space="preserve"> i može da bude povezano sa odlaganjem u</w:t>
      </w:r>
      <w:r w:rsidR="00BF42F0" w:rsidRPr="00E75889">
        <w:rPr>
          <w:sz w:val="22"/>
          <w:szCs w:val="22"/>
          <w:lang w:val="sr-Latn-RS" w:eastAsia="en-US"/>
        </w:rPr>
        <w:t xml:space="preserve"> </w:t>
      </w:r>
      <w:r w:rsidRPr="00E75889">
        <w:rPr>
          <w:sz w:val="22"/>
          <w:szCs w:val="22"/>
          <w:lang w:val="sr-Latn-RS" w:eastAsia="en-US"/>
        </w:rPr>
        <w:t xml:space="preserve">atrioventrikularnom sprovođenju. U kliničkim studijama sa multiplom sklerozom maksimalno </w:t>
      </w:r>
      <w:r w:rsidR="001E7187" w:rsidRPr="00E75889">
        <w:rPr>
          <w:sz w:val="22"/>
          <w:szCs w:val="22"/>
          <w:lang w:val="sr-Latn-RS" w:eastAsia="en-US"/>
        </w:rPr>
        <w:t>smanjenje srčane frekvence</w:t>
      </w:r>
      <w:r w:rsidRPr="00E75889">
        <w:rPr>
          <w:sz w:val="22"/>
          <w:szCs w:val="22"/>
          <w:lang w:val="sr-Latn-RS" w:eastAsia="en-US"/>
        </w:rPr>
        <w:t xml:space="preserve"> zabilježeno je u okviru 6 </w:t>
      </w:r>
      <w:r w:rsidR="001E7187" w:rsidRPr="00E75889">
        <w:rPr>
          <w:sz w:val="22"/>
          <w:szCs w:val="22"/>
          <w:lang w:val="sr-Latn-RS" w:eastAsia="en-US"/>
        </w:rPr>
        <w:t>sati</w:t>
      </w:r>
      <w:r w:rsidRPr="00E75889">
        <w:rPr>
          <w:sz w:val="22"/>
          <w:szCs w:val="22"/>
          <w:lang w:val="sr-Latn-RS" w:eastAsia="en-US"/>
        </w:rPr>
        <w:t xml:space="preserve"> od započinjanja terapije, sa opadanjem </w:t>
      </w:r>
      <w:r w:rsidR="001E7187" w:rsidRPr="00E75889">
        <w:rPr>
          <w:sz w:val="22"/>
          <w:szCs w:val="22"/>
          <w:lang w:val="sr-Latn-RS" w:eastAsia="en-US"/>
        </w:rPr>
        <w:t>srčane frekvence</w:t>
      </w:r>
      <w:r w:rsidRPr="00E75889">
        <w:rPr>
          <w:sz w:val="22"/>
          <w:szCs w:val="22"/>
          <w:lang w:val="sr-Latn-RS" w:eastAsia="en-US"/>
        </w:rPr>
        <w:t xml:space="preserve"> u prosjeku za 12-13 otkucaja u minuti kada se uzima 0,5 mg fingolimoda. </w:t>
      </w:r>
      <w:r w:rsidRPr="00E75889">
        <w:rPr>
          <w:sz w:val="22"/>
          <w:szCs w:val="22"/>
          <w:lang w:val="sr-Latn-RS"/>
        </w:rPr>
        <w:lastRenderedPageBreak/>
        <w:t xml:space="preserve">Srčana frekvenca ispod 40 otkucaja u minuti kod odraslih, i ispod 50 otkucaja u minuti kod pedijatrijskih pacijenata je rijetko zabilježena kod pacijenata koji su uzimali 0,5 mg fingolimoda. </w:t>
      </w:r>
      <w:r w:rsidR="001E7187" w:rsidRPr="00E75889">
        <w:rPr>
          <w:sz w:val="22"/>
          <w:szCs w:val="22"/>
          <w:lang w:val="sr-Latn-RS"/>
        </w:rPr>
        <w:t>Srčana frekvenca</w:t>
      </w:r>
      <w:r w:rsidRPr="00E75889">
        <w:rPr>
          <w:sz w:val="22"/>
          <w:szCs w:val="22"/>
          <w:lang w:val="sr-Latn-RS" w:eastAsia="en-US"/>
        </w:rPr>
        <w:t xml:space="preserve"> se vraća</w:t>
      </w:r>
      <w:r w:rsidR="001E7187" w:rsidRPr="00E75889">
        <w:rPr>
          <w:sz w:val="22"/>
          <w:szCs w:val="22"/>
          <w:lang w:val="sr-Latn-RS" w:eastAsia="en-US"/>
        </w:rPr>
        <w:t>la</w:t>
      </w:r>
      <w:r w:rsidRPr="00E75889">
        <w:rPr>
          <w:sz w:val="22"/>
          <w:szCs w:val="22"/>
          <w:lang w:val="sr-Latn-RS" w:eastAsia="en-US"/>
        </w:rPr>
        <w:t xml:space="preserve"> na početne vrijednosti u roku od mjesec dana hronične terapije. Bradikardija je po pravilu bila asimptomatska, ali su neki pacijenti ipak imali blage do umjerene simptome, uključujući hipotenziju, vrtoglavicu, zamor i/ili palpitacije, koji su nestajali tokom prvih 24</w:t>
      </w:r>
      <w:r w:rsidR="001E7187" w:rsidRPr="00E75889">
        <w:rPr>
          <w:sz w:val="22"/>
          <w:szCs w:val="22"/>
          <w:lang w:val="sr-Latn-RS" w:eastAsia="en-US"/>
        </w:rPr>
        <w:t xml:space="preserve"> sata</w:t>
      </w:r>
      <w:r w:rsidRPr="00E75889">
        <w:rPr>
          <w:sz w:val="22"/>
          <w:szCs w:val="22"/>
          <w:lang w:val="sr-Latn-RS" w:eastAsia="en-US"/>
        </w:rPr>
        <w:t xml:space="preserve"> po uvođenju terapije (takođe vidjeti </w:t>
      </w:r>
      <w:r w:rsidR="00282BF1" w:rsidRPr="00E75889">
        <w:rPr>
          <w:sz w:val="22"/>
          <w:szCs w:val="22"/>
          <w:lang w:val="sr-Latn-RS" w:eastAsia="en-US"/>
        </w:rPr>
        <w:t>djelove</w:t>
      </w:r>
      <w:r w:rsidRPr="00E75889">
        <w:rPr>
          <w:sz w:val="22"/>
          <w:szCs w:val="22"/>
          <w:lang w:val="sr-Latn-RS" w:eastAsia="en-US"/>
        </w:rPr>
        <w:t xml:space="preserve"> 4.4 i 5.1). </w:t>
      </w:r>
    </w:p>
    <w:p w14:paraId="7844B1F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E6C2552" w14:textId="29E9717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 xml:space="preserve">U kliničkim ispitivanjima multiple skleroze, atrioventrikularni blok prvog stepena (produženi PR interval na EKG-u) otkriven je po uvođenju terapije kod odraslih i pedijatrijskih pacijenata. U kliničkim ispitivanjima kod odraslih pacijenata se javio kod 4,7% pacijenata koji su primali 0,5 mg fingolimoda, kod 2,8% pacijenata koji su primali intramuskularni interferon beta-1a i kod 1,6% pacijenata koji su primali placebo. </w:t>
      </w:r>
      <w:r w:rsidRPr="00E75889">
        <w:rPr>
          <w:sz w:val="22"/>
          <w:szCs w:val="22"/>
          <w:lang w:val="sr-Latn-RS" w:eastAsia="en-US"/>
        </w:rPr>
        <w:t xml:space="preserve">Atrioventrikularni blok drugog stepena otkriven je kod manje od 0,2% odraslih pacijenata sa 0,5 mg </w:t>
      </w:r>
      <w:r w:rsidRPr="00E75889">
        <w:rPr>
          <w:sz w:val="22"/>
          <w:szCs w:val="22"/>
          <w:lang w:val="sr-Latn-RS"/>
        </w:rPr>
        <w:t>fingolimoda</w:t>
      </w:r>
      <w:r w:rsidRPr="00E75889">
        <w:rPr>
          <w:sz w:val="22"/>
          <w:szCs w:val="22"/>
          <w:lang w:val="sr-Latn-RS" w:eastAsia="en-US"/>
        </w:rPr>
        <w:t xml:space="preserve">. U postmarketinškom posmatranju, izolovani slučajevi prolaznog, spontano nestalog kompletnog AV bloka su zabilježeni tokom 6 </w:t>
      </w:r>
      <w:r w:rsidR="00F21C49" w:rsidRPr="00E75889">
        <w:rPr>
          <w:sz w:val="22"/>
          <w:szCs w:val="22"/>
          <w:lang w:val="sr-Latn-RS" w:eastAsia="en-US"/>
        </w:rPr>
        <w:t>sati</w:t>
      </w:r>
      <w:r w:rsidRPr="00E75889">
        <w:rPr>
          <w:sz w:val="22"/>
          <w:szCs w:val="22"/>
          <w:lang w:val="sr-Latn-RS" w:eastAsia="en-US"/>
        </w:rPr>
        <w:t xml:space="preserve"> praćenja</w:t>
      </w:r>
      <w:r w:rsidR="00BF42F0" w:rsidRPr="00E75889">
        <w:rPr>
          <w:sz w:val="22"/>
          <w:szCs w:val="22"/>
          <w:lang w:val="sr-Latn-RS" w:eastAsia="en-US"/>
        </w:rPr>
        <w:t xml:space="preserve"> </w:t>
      </w:r>
      <w:r w:rsidRPr="00E75889">
        <w:rPr>
          <w:sz w:val="22"/>
          <w:szCs w:val="22"/>
          <w:lang w:val="sr-Latn-RS" w:eastAsia="en-US"/>
        </w:rPr>
        <w:t>nakon prve doze lijeka Gilenya. Pacijenti su se spontano oporavili. Poremećaji sprovodljivosti posmatrani u i kliničkim studijama i postmarketinši bili su tipično prolazni, asimptomatski i nestajali su tokom prvih 24</w:t>
      </w:r>
      <w:r w:rsidR="00F21C49" w:rsidRPr="00E75889">
        <w:rPr>
          <w:sz w:val="22"/>
          <w:szCs w:val="22"/>
          <w:lang w:val="sr-Latn-RS" w:eastAsia="en-US"/>
        </w:rPr>
        <w:t xml:space="preserve"> sata</w:t>
      </w:r>
      <w:r w:rsidRPr="00E75889">
        <w:rPr>
          <w:sz w:val="22"/>
          <w:szCs w:val="22"/>
          <w:lang w:val="sr-Latn-RS" w:eastAsia="en-US"/>
        </w:rPr>
        <w:t xml:space="preserve"> od započinjanja terapije. Iako većini pacijenata nije bila potrebna medicinska intervencija, jedan pacijent koji je uzimao 0,5 mg </w:t>
      </w:r>
      <w:r w:rsidRPr="00E75889">
        <w:rPr>
          <w:sz w:val="22"/>
          <w:szCs w:val="22"/>
          <w:lang w:val="sr-Latn-RS"/>
        </w:rPr>
        <w:t>fingolimoda</w:t>
      </w:r>
      <w:r w:rsidRPr="00E75889">
        <w:rPr>
          <w:sz w:val="22"/>
          <w:szCs w:val="22"/>
          <w:lang w:val="sr-Latn-RS" w:eastAsia="en-US"/>
        </w:rPr>
        <w:t xml:space="preserve"> primio je izoprenalin za asimptomatski atrioventrikularni blok drugog stepena Mobitz I.</w:t>
      </w:r>
    </w:p>
    <w:p w14:paraId="15E0BDD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9DFAF1B" w14:textId="796E758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U postmarketinškom iskustvu, izolovan odložen početak događaja koji uključuju prolaznu asistolu i neobjašnjivu smrt, javili su se u toku 24 </w:t>
      </w:r>
      <w:r w:rsidR="00F21C49" w:rsidRPr="00E75889">
        <w:rPr>
          <w:sz w:val="22"/>
          <w:szCs w:val="22"/>
          <w:lang w:val="sr-Latn-RS" w:eastAsia="en-US"/>
        </w:rPr>
        <w:t>sata</w:t>
      </w:r>
      <w:r w:rsidRPr="00E75889">
        <w:rPr>
          <w:sz w:val="22"/>
          <w:szCs w:val="22"/>
          <w:lang w:val="sr-Latn-RS" w:eastAsia="en-US"/>
        </w:rPr>
        <w:t xml:space="preserve"> od prve doze.</w:t>
      </w:r>
      <w:r w:rsidR="00EF39A9" w:rsidRPr="00E75889">
        <w:rPr>
          <w:sz w:val="22"/>
          <w:szCs w:val="22"/>
          <w:lang w:val="sr-Latn-RS" w:eastAsia="en-US"/>
        </w:rPr>
        <w:t xml:space="preserve"> Ovi slučajevi su nejasni zbog</w:t>
      </w:r>
      <w:r w:rsidRPr="00E75889">
        <w:rPr>
          <w:sz w:val="22"/>
          <w:szCs w:val="22"/>
          <w:lang w:val="sr-Latn-RS" w:eastAsia="en-US"/>
        </w:rPr>
        <w:t xml:space="preserve"> </w:t>
      </w:r>
      <w:r w:rsidR="00EF39A9" w:rsidRPr="00E75889">
        <w:rPr>
          <w:sz w:val="22"/>
          <w:szCs w:val="22"/>
          <w:lang w:val="sr-Latn-RS" w:eastAsia="en-US"/>
        </w:rPr>
        <w:t>i</w:t>
      </w:r>
      <w:r w:rsidRPr="00E75889">
        <w:rPr>
          <w:sz w:val="22"/>
          <w:szCs w:val="22"/>
          <w:lang w:val="sr-Latn-RS" w:eastAsia="en-US"/>
        </w:rPr>
        <w:t>stovremen</w:t>
      </w:r>
      <w:r w:rsidR="00EF39A9" w:rsidRPr="00E75889">
        <w:rPr>
          <w:sz w:val="22"/>
          <w:szCs w:val="22"/>
          <w:lang w:val="sr-Latn-RS" w:eastAsia="en-US"/>
        </w:rPr>
        <w:t>e</w:t>
      </w:r>
      <w:r w:rsidRPr="00E75889">
        <w:rPr>
          <w:sz w:val="22"/>
          <w:szCs w:val="22"/>
          <w:lang w:val="sr-Latn-RS" w:eastAsia="en-US"/>
        </w:rPr>
        <w:t xml:space="preserve"> primjen</w:t>
      </w:r>
      <w:r w:rsidR="00EF39A9" w:rsidRPr="00E75889">
        <w:rPr>
          <w:sz w:val="22"/>
          <w:szCs w:val="22"/>
          <w:lang w:val="sr-Latn-RS" w:eastAsia="en-US"/>
        </w:rPr>
        <w:t>e</w:t>
      </w:r>
      <w:r w:rsidRPr="00E75889">
        <w:rPr>
          <w:sz w:val="22"/>
          <w:szCs w:val="22"/>
          <w:lang w:val="sr-Latn-RS" w:eastAsia="en-US"/>
        </w:rPr>
        <w:t xml:space="preserve"> ljekova i/ili prethodno postojeće</w:t>
      </w:r>
      <w:r w:rsidR="00EF39A9" w:rsidRPr="00E75889">
        <w:rPr>
          <w:sz w:val="22"/>
          <w:szCs w:val="22"/>
          <w:lang w:val="sr-Latn-RS" w:eastAsia="en-US"/>
        </w:rPr>
        <w:t>g</w:t>
      </w:r>
      <w:r w:rsidRPr="00E75889">
        <w:rPr>
          <w:sz w:val="22"/>
          <w:szCs w:val="22"/>
          <w:lang w:val="sr-Latn-RS" w:eastAsia="en-US"/>
        </w:rPr>
        <w:t xml:space="preserve"> oboljenj</w:t>
      </w:r>
      <w:r w:rsidR="00EF39A9" w:rsidRPr="00E75889">
        <w:rPr>
          <w:sz w:val="22"/>
          <w:szCs w:val="22"/>
          <w:lang w:val="sr-Latn-RS" w:eastAsia="en-US"/>
        </w:rPr>
        <w:t>a</w:t>
      </w:r>
      <w:r w:rsidRPr="00E75889">
        <w:rPr>
          <w:sz w:val="22"/>
          <w:szCs w:val="22"/>
          <w:lang w:val="sr-Latn-RS" w:eastAsia="en-US"/>
        </w:rPr>
        <w:t xml:space="preserve">. Povezanost ovih događaja sa lijekom Gilenya je nepouzdana. </w:t>
      </w:r>
    </w:p>
    <w:p w14:paraId="454D7C05"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489BA428"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Krvni pritisak</w:t>
      </w:r>
    </w:p>
    <w:p w14:paraId="15F5724B" w14:textId="0E89954A"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U kliničkim studijama sa multiplom sklerozom 0,5 mg </w:t>
      </w:r>
      <w:r w:rsidRPr="00E75889">
        <w:rPr>
          <w:sz w:val="22"/>
          <w:szCs w:val="22"/>
          <w:lang w:val="sr-Latn-RS"/>
        </w:rPr>
        <w:t>fingolimoda</w:t>
      </w:r>
      <w:r w:rsidRPr="00E75889">
        <w:rPr>
          <w:sz w:val="22"/>
          <w:szCs w:val="22"/>
          <w:lang w:val="sr-Latn-RS" w:eastAsia="en-US"/>
        </w:rPr>
        <w:t xml:space="preserve"> bilo je povezano sa prosječnim povećanjem sistolnog krvnog pritiska od približno 3 mmHg i povećanjem dijastolnog krvnog pritiska od približno 1 mmHg, što se manifestovalo približno 1 mjesec nakon početka terapije. Ovo povećanje perzistiralo je u nastavku terapije. Hipertenzija je prijavljena kod 6,5% pacijenata koji su uzimali 0,5 mg fingolimoda i kod 3,3% onih koji su primali placebo. U postmarketinškom iskustvu, prijavljivani su slučajevi hipertenzije u toku prvog mjeseca od započinjanja terapije i tokom prvog dana terapije, koji mogu zahtijevati terapiju antihipertenzivnim ljekovima ili prekid terapije lijekom Gilenya (vidjeti takođe </w:t>
      </w:r>
      <w:r w:rsidR="00282BF1" w:rsidRPr="00E75889">
        <w:rPr>
          <w:sz w:val="22"/>
          <w:szCs w:val="22"/>
          <w:lang w:val="sr-Latn-RS" w:eastAsia="en-US"/>
        </w:rPr>
        <w:t>dio</w:t>
      </w:r>
      <w:r w:rsidRPr="00E75889">
        <w:rPr>
          <w:sz w:val="22"/>
          <w:szCs w:val="22"/>
          <w:lang w:val="sr-Latn-RS" w:eastAsia="en-US"/>
        </w:rPr>
        <w:t xml:space="preserve"> 4.4. Dejstva na krvni pritisak).</w:t>
      </w:r>
    </w:p>
    <w:p w14:paraId="042E5FF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22473D5"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Funkcija jetre</w:t>
      </w:r>
    </w:p>
    <w:p w14:paraId="4B7C5179" w14:textId="3E8AFB1A"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 xml:space="preserve">Povećanje vrijednosti enzima jetre zabilježeno je kod odraslih i pedijatrijskih pacijenata sa multiplom sklerozom koji su bili na terapiji lijekom Gilenya. U kliničkim studijama, od odraslih pacijenata koji su uzimali 0,5 mg fingolimoda, 8,0% je imalo asimptomatsko povećanje ALT do vrijednosti ≥3 puta više od ULN, a 1,8% je imalo ≥5 puta više od gornje ULN. </w:t>
      </w:r>
      <w:r w:rsidRPr="00E75889">
        <w:rPr>
          <w:sz w:val="22"/>
          <w:szCs w:val="22"/>
          <w:lang w:val="sr-Latn-RS" w:eastAsia="en-US"/>
        </w:rPr>
        <w:t>Ponovni skok transaminaza jetre javljao se pri ponovnom izlaganju kod nekih pacijenata, što potvrđuje vezu sa ovim lijekom. U kliničkim ispitivanjima, povećanja transaminaza su se javljala u različitim vremenima tretmana, iako se većina javljala u prvih 12 mjeseci.</w:t>
      </w:r>
      <w:r w:rsidRPr="00E75889">
        <w:rPr>
          <w:color w:val="FF0000"/>
          <w:sz w:val="22"/>
          <w:szCs w:val="22"/>
          <w:lang w:val="sr-Latn-RS" w:eastAsia="en-US"/>
        </w:rPr>
        <w:t xml:space="preserve"> </w:t>
      </w:r>
      <w:r w:rsidRPr="00E75889">
        <w:rPr>
          <w:sz w:val="22"/>
          <w:szCs w:val="22"/>
          <w:lang w:val="sr-Latn-RS" w:eastAsia="en-US"/>
        </w:rPr>
        <w:t xml:space="preserve">Nivoi ALT vraćali su se na normalu približno 2 mjeseca po obustavi terapije. Kod malog broja pacijenata (N=10 sa 1,25 mg, N=2 sa 0,5 mg) kod kojih su zabilježeni skokovi ALT ≥ 5x ULN i kod kojih je terapija </w:t>
      </w:r>
      <w:r w:rsidRPr="00E75889">
        <w:rPr>
          <w:sz w:val="22"/>
          <w:szCs w:val="22"/>
          <w:lang w:val="sr-Latn-RS"/>
        </w:rPr>
        <w:t>fingolimodom</w:t>
      </w:r>
      <w:r w:rsidRPr="00E75889">
        <w:rPr>
          <w:sz w:val="22"/>
          <w:szCs w:val="22"/>
          <w:lang w:val="sr-Latn-RS" w:eastAsia="en-US"/>
        </w:rPr>
        <w:t xml:space="preserve"> nastavljena, ove visoke vrijednosti su se vratile na normalu u roku od približno 5 mjeseci (vidjeti </w:t>
      </w:r>
      <w:r w:rsidR="00282BF1" w:rsidRPr="00E75889">
        <w:rPr>
          <w:sz w:val="22"/>
          <w:szCs w:val="22"/>
          <w:lang w:val="sr-Latn-RS" w:eastAsia="en-US"/>
        </w:rPr>
        <w:t>dio</w:t>
      </w:r>
      <w:r w:rsidRPr="00E75889">
        <w:rPr>
          <w:sz w:val="22"/>
          <w:szCs w:val="22"/>
          <w:lang w:val="sr-Latn-RS" w:eastAsia="en-US"/>
        </w:rPr>
        <w:t xml:space="preserve"> 4.4. Funkcija jetre).</w:t>
      </w:r>
    </w:p>
    <w:p w14:paraId="6E701B6A"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p>
    <w:p w14:paraId="0C47C992" w14:textId="07B60F28"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Poremećaji nervnog sistema</w:t>
      </w:r>
    </w:p>
    <w:p w14:paraId="390C9206" w14:textId="3686732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kliničkim ispitivanjima, kod pacijenata liječenih fingolimodom u višim dozama (1,25 mg ili 5,0 mg), javila su</w:t>
      </w:r>
      <w:r w:rsidR="00BF42F0" w:rsidRPr="00E75889">
        <w:rPr>
          <w:sz w:val="22"/>
          <w:szCs w:val="22"/>
          <w:lang w:val="sr-Latn-RS" w:eastAsia="en-US"/>
        </w:rPr>
        <w:t xml:space="preserve"> </w:t>
      </w:r>
      <w:r w:rsidRPr="00E75889">
        <w:rPr>
          <w:sz w:val="22"/>
          <w:szCs w:val="22"/>
          <w:lang w:val="sr-Latn-RS" w:eastAsia="en-US"/>
        </w:rPr>
        <w:t xml:space="preserve"> se rijetka neželjena dejstva na nivou nervnog sistema, uključujući ishemijske i hemoragijske moždane udare i atipične neurološke poremećaje kao što su događaji slični akutnom diseminovanom encefalomijelitisu (ADEM). </w:t>
      </w:r>
    </w:p>
    <w:p w14:paraId="324ABB8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80A2C72" w14:textId="1D9F6123" w:rsidR="00EB75FD" w:rsidRPr="00E75889" w:rsidRDefault="00EB75FD" w:rsidP="00E75889">
      <w:pPr>
        <w:pStyle w:val="Bodytext20"/>
        <w:widowControl w:val="0"/>
        <w:shd w:val="clear" w:color="auto" w:fill="auto"/>
        <w:spacing w:line="240" w:lineRule="auto"/>
        <w:jc w:val="both"/>
        <w:rPr>
          <w:i w:val="0"/>
          <w:sz w:val="22"/>
          <w:szCs w:val="22"/>
          <w:lang w:val="sr-Latn-RS"/>
        </w:rPr>
      </w:pPr>
      <w:r w:rsidRPr="00E75889">
        <w:rPr>
          <w:i w:val="0"/>
          <w:sz w:val="22"/>
          <w:szCs w:val="22"/>
          <w:lang w:val="sr-Latn-RS"/>
        </w:rPr>
        <w:t xml:space="preserve">Prijavljivani su slučajevi napada, uključujući  </w:t>
      </w:r>
      <w:r w:rsidRPr="00E75889">
        <w:rPr>
          <w:iCs w:val="0"/>
          <w:sz w:val="22"/>
          <w:szCs w:val="22"/>
          <w:lang w:val="sr-Latn-RS"/>
        </w:rPr>
        <w:t>status</w:t>
      </w:r>
      <w:r w:rsidR="00094713" w:rsidRPr="00E75889">
        <w:rPr>
          <w:iCs w:val="0"/>
          <w:sz w:val="22"/>
          <w:szCs w:val="22"/>
          <w:lang w:val="sr-Latn-RS"/>
        </w:rPr>
        <w:t xml:space="preserve"> epilepticus</w:t>
      </w:r>
      <w:r w:rsidRPr="00E75889">
        <w:rPr>
          <w:i w:val="0"/>
          <w:sz w:val="22"/>
          <w:szCs w:val="22"/>
          <w:lang w:val="sr-Latn-RS"/>
        </w:rPr>
        <w:t>, kod primjene fingolimoda u kliničkim ispitivanjima i u postmarketinškom periodu.</w:t>
      </w:r>
    </w:p>
    <w:p w14:paraId="395806E7"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010D9E91"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Vaskularni poremećaji</w:t>
      </w:r>
    </w:p>
    <w:p w14:paraId="50EBDD30" w14:textId="74FCB0DA" w:rsidR="00EF39A9" w:rsidRPr="00E75889" w:rsidRDefault="00EB75FD" w:rsidP="00E75889">
      <w:pPr>
        <w:pStyle w:val="Bodytext1"/>
        <w:widowControl w:val="0"/>
        <w:shd w:val="clear" w:color="auto" w:fill="auto"/>
        <w:spacing w:before="0" w:after="0" w:line="240" w:lineRule="auto"/>
        <w:ind w:firstLine="0"/>
        <w:jc w:val="both"/>
        <w:rPr>
          <w:lang w:val="sr-Latn-RS"/>
        </w:rPr>
      </w:pPr>
      <w:r w:rsidRPr="00E75889">
        <w:rPr>
          <w:sz w:val="22"/>
          <w:szCs w:val="22"/>
          <w:lang w:val="sr-Latn-RS" w:eastAsia="en-US"/>
        </w:rPr>
        <w:lastRenderedPageBreak/>
        <w:t>Rijetki slučajevi periferne arterijske okluzivne bolesti zabilježeni su kod pacijenata liječenih višim dozama</w:t>
      </w:r>
      <w:r w:rsidR="00BF42F0" w:rsidRPr="00E75889">
        <w:rPr>
          <w:sz w:val="22"/>
          <w:szCs w:val="22"/>
          <w:lang w:val="sr-Latn-RS" w:eastAsia="en-US"/>
        </w:rPr>
        <w:t xml:space="preserve"> </w:t>
      </w:r>
      <w:r w:rsidRPr="00E75889">
        <w:rPr>
          <w:sz w:val="22"/>
          <w:szCs w:val="22"/>
          <w:lang w:val="sr-Latn-RS" w:eastAsia="en-US"/>
        </w:rPr>
        <w:t>fingolimoda (1,25 mg).</w:t>
      </w:r>
    </w:p>
    <w:p w14:paraId="7F39006B"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eastAsia="en-US"/>
        </w:rPr>
      </w:pPr>
      <w:r w:rsidRPr="00E75889">
        <w:rPr>
          <w:sz w:val="22"/>
          <w:szCs w:val="22"/>
          <w:u w:val="single"/>
          <w:lang w:val="sr-Latn-RS" w:eastAsia="en-US"/>
        </w:rPr>
        <w:t>Respiratorni sistem</w:t>
      </w:r>
    </w:p>
    <w:p w14:paraId="48D211D7" w14:textId="7B00FA0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Manja dozno zavisna smanjenja vrijednosti forsiranog ekspiratornog volumena</w:t>
      </w:r>
      <w:r w:rsidR="00BF42F0" w:rsidRPr="00E75889">
        <w:rPr>
          <w:sz w:val="22"/>
          <w:szCs w:val="22"/>
          <w:lang w:val="sr-Latn-RS" w:eastAsia="en-US"/>
        </w:rPr>
        <w:t xml:space="preserve"> </w:t>
      </w:r>
      <w:r w:rsidRPr="00E75889">
        <w:rPr>
          <w:sz w:val="22"/>
          <w:szCs w:val="22"/>
          <w:lang w:val="sr-Latn-RS" w:eastAsia="en-US"/>
        </w:rPr>
        <w:t>(FEV</w:t>
      </w:r>
      <w:r w:rsidRPr="00E75889">
        <w:rPr>
          <w:sz w:val="22"/>
          <w:szCs w:val="22"/>
          <w:vertAlign w:val="subscript"/>
          <w:lang w:val="sr-Latn-RS" w:eastAsia="en-US"/>
        </w:rPr>
        <w:t>1</w:t>
      </w:r>
      <w:r w:rsidRPr="00E75889">
        <w:rPr>
          <w:sz w:val="22"/>
          <w:szCs w:val="22"/>
          <w:lang w:val="sr-Latn-RS" w:eastAsia="en-US"/>
        </w:rPr>
        <w:t>) i difuzionog kapaciteta za ugljen monoksid (DLCO) zabilježeni su kod terapije lijekom Gilenya od prvog mjeseca, ali su kasnije stabilizovana. U 24. mjesecu, smanjenje u odnosu na početne vrijednosti u procentima predviđenog FEV</w:t>
      </w:r>
      <w:r w:rsidRPr="00E75889">
        <w:rPr>
          <w:sz w:val="22"/>
          <w:szCs w:val="22"/>
          <w:vertAlign w:val="subscript"/>
          <w:lang w:val="sr-Latn-RS" w:eastAsia="en-US"/>
        </w:rPr>
        <w:t>1</w:t>
      </w:r>
      <w:r w:rsidRPr="00E75889">
        <w:rPr>
          <w:sz w:val="22"/>
          <w:szCs w:val="22"/>
          <w:lang w:val="sr-Latn-RS" w:eastAsia="en-US"/>
        </w:rPr>
        <w:t xml:space="preserve"> iznosilo je 2,7% za 0,5 mg fingolimoda i 1,2% za placebo, gd</w:t>
      </w:r>
      <w:r w:rsidR="00EF39A9" w:rsidRPr="00E75889">
        <w:rPr>
          <w:sz w:val="22"/>
          <w:szCs w:val="22"/>
          <w:lang w:val="sr-Latn-RS" w:eastAsia="en-US"/>
        </w:rPr>
        <w:t>j</w:t>
      </w:r>
      <w:r w:rsidRPr="00E75889">
        <w:rPr>
          <w:sz w:val="22"/>
          <w:szCs w:val="22"/>
          <w:lang w:val="sr-Latn-RS" w:eastAsia="en-US"/>
        </w:rPr>
        <w:t xml:space="preserve">e je ova razlika nestala po obustavi terapije. Što se tiče DLCO, smanjenje u 24. mjesecu iznosilo je 3,3% za 0,5 mg fingolimoda i 2,7% za placebo (vidjeti takođe </w:t>
      </w:r>
      <w:r w:rsidR="00282BF1" w:rsidRPr="00E75889">
        <w:rPr>
          <w:sz w:val="22"/>
          <w:szCs w:val="22"/>
          <w:lang w:val="sr-Latn-RS" w:eastAsia="en-US"/>
        </w:rPr>
        <w:t>dio</w:t>
      </w:r>
      <w:r w:rsidRPr="00E75889">
        <w:rPr>
          <w:sz w:val="22"/>
          <w:szCs w:val="22"/>
          <w:lang w:val="sr-Latn-RS" w:eastAsia="en-US"/>
        </w:rPr>
        <w:t xml:space="preserve"> 4.4, Respiratorna dejstva).</w:t>
      </w:r>
    </w:p>
    <w:p w14:paraId="3E034072" w14:textId="77777777" w:rsidR="00EB75FD" w:rsidRPr="00E75889" w:rsidRDefault="00EB75FD" w:rsidP="00E75889">
      <w:pPr>
        <w:pStyle w:val="Bodytext20"/>
        <w:widowControl w:val="0"/>
        <w:shd w:val="clear" w:color="auto" w:fill="auto"/>
        <w:spacing w:line="240" w:lineRule="auto"/>
        <w:jc w:val="both"/>
        <w:rPr>
          <w:sz w:val="22"/>
          <w:szCs w:val="22"/>
          <w:lang w:val="sr-Latn-RS" w:eastAsia="en-US"/>
        </w:rPr>
      </w:pPr>
    </w:p>
    <w:p w14:paraId="1DCC1900" w14:textId="77777777" w:rsidR="00EB75FD" w:rsidRPr="00E75889" w:rsidRDefault="00EB75FD" w:rsidP="00E75889">
      <w:pPr>
        <w:pStyle w:val="Bodytext20"/>
        <w:widowControl w:val="0"/>
        <w:shd w:val="clear" w:color="auto" w:fill="auto"/>
        <w:spacing w:line="240" w:lineRule="auto"/>
        <w:jc w:val="both"/>
        <w:rPr>
          <w:sz w:val="22"/>
          <w:szCs w:val="22"/>
          <w:u w:val="single"/>
          <w:lang w:val="sr-Latn-RS"/>
        </w:rPr>
      </w:pPr>
      <w:r w:rsidRPr="00E75889">
        <w:rPr>
          <w:sz w:val="22"/>
          <w:szCs w:val="22"/>
          <w:u w:val="single"/>
          <w:lang w:val="sr-Latn-RS"/>
        </w:rPr>
        <w:t xml:space="preserve">Limfomi </w:t>
      </w:r>
    </w:p>
    <w:p w14:paraId="39E7E8B2" w14:textId="65C6C22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Zabilježeni su slučajevi različitih tipova limfoma, u toku obe kliničke studije i tokom postmarketinških iskustava, uključujući jedan smrtni slučaj B ćelijskog limfoma pozitivnog na </w:t>
      </w:r>
      <w:r w:rsidRPr="00E75889">
        <w:rPr>
          <w:i/>
          <w:sz w:val="22"/>
          <w:szCs w:val="22"/>
          <w:lang w:val="sr-Latn-RS"/>
        </w:rPr>
        <w:t>Epstein-Barr</w:t>
      </w:r>
      <w:r w:rsidRPr="00E75889">
        <w:rPr>
          <w:sz w:val="22"/>
          <w:szCs w:val="22"/>
          <w:lang w:val="sr-Latn-RS"/>
        </w:rPr>
        <w:t xml:space="preserve"> virus (EBV). Učestalost </w:t>
      </w:r>
      <w:r w:rsidR="00B65420" w:rsidRPr="00E75889">
        <w:rPr>
          <w:sz w:val="22"/>
          <w:szCs w:val="22"/>
          <w:lang w:val="sr-Latn-RS"/>
        </w:rPr>
        <w:t xml:space="preserve">slučajeva </w:t>
      </w:r>
      <w:r w:rsidRPr="00E75889">
        <w:rPr>
          <w:sz w:val="22"/>
          <w:szCs w:val="22"/>
          <w:lang w:val="sr-Latn-RS"/>
        </w:rPr>
        <w:t>non-Hodgkin-ovih limfoma (B ćelija i T ćelija) bila je veća u kliničkim studijama nego što se očekivalo u opštoj populaciji. Pojedini slučajevi limfoma T-ćelija su takođe bili prijavljeni u postmarketinškom periodu, uključujući slučajeve T-ćelijskih limfoma</w:t>
      </w:r>
      <w:r w:rsidR="00BE61D6" w:rsidRPr="00E75889">
        <w:rPr>
          <w:sz w:val="22"/>
          <w:szCs w:val="22"/>
          <w:lang w:val="sr-Latn-RS"/>
        </w:rPr>
        <w:t xml:space="preserve"> kože</w:t>
      </w:r>
      <w:r w:rsidRPr="00E75889">
        <w:rPr>
          <w:sz w:val="22"/>
          <w:szCs w:val="22"/>
          <w:lang w:val="sr-Latn-RS"/>
        </w:rPr>
        <w:t xml:space="preserve"> (</w:t>
      </w:r>
      <w:r w:rsidRPr="00E75889">
        <w:rPr>
          <w:i/>
          <w:sz w:val="22"/>
          <w:szCs w:val="22"/>
          <w:lang w:val="sr-Latn-RS"/>
        </w:rPr>
        <w:t>mycosis fungoides</w:t>
      </w:r>
      <w:r w:rsidRPr="00E75889">
        <w:rPr>
          <w:sz w:val="22"/>
          <w:szCs w:val="22"/>
          <w:lang w:val="sr-Latn-RS"/>
        </w:rPr>
        <w:t xml:space="preserve">) (vidjeti takođe </w:t>
      </w:r>
      <w:r w:rsidR="00282BF1" w:rsidRPr="00E75889">
        <w:rPr>
          <w:sz w:val="22"/>
          <w:szCs w:val="22"/>
          <w:lang w:val="sr-Latn-RS"/>
        </w:rPr>
        <w:t>dio</w:t>
      </w:r>
      <w:r w:rsidRPr="00E75889">
        <w:rPr>
          <w:sz w:val="22"/>
          <w:szCs w:val="22"/>
          <w:lang w:val="sr-Latn-RS"/>
        </w:rPr>
        <w:t xml:space="preserve"> 4.4, </w:t>
      </w:r>
      <w:r w:rsidR="00097DAE" w:rsidRPr="00E75889">
        <w:rPr>
          <w:sz w:val="22"/>
          <w:szCs w:val="22"/>
          <w:lang w:val="sr-Latn-RS"/>
        </w:rPr>
        <w:t>Maligne bolesti</w:t>
      </w:r>
      <w:r w:rsidRPr="00E75889">
        <w:rPr>
          <w:sz w:val="22"/>
          <w:szCs w:val="22"/>
          <w:lang w:val="sr-Latn-RS"/>
        </w:rPr>
        <w:t>).</w:t>
      </w:r>
    </w:p>
    <w:p w14:paraId="10D6CA6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B1EE3A7" w14:textId="77777777" w:rsidR="00EB75FD" w:rsidRPr="00E75889" w:rsidRDefault="00EB75FD" w:rsidP="00E75889">
      <w:pPr>
        <w:widowControl w:val="0"/>
        <w:tabs>
          <w:tab w:val="left" w:pos="567"/>
        </w:tabs>
        <w:jc w:val="both"/>
        <w:rPr>
          <w:i/>
          <w:color w:val="000000"/>
          <w:sz w:val="22"/>
          <w:szCs w:val="22"/>
          <w:u w:val="single"/>
          <w:lang w:val="sr-Latn-RS"/>
        </w:rPr>
      </w:pPr>
      <w:r w:rsidRPr="00E75889">
        <w:rPr>
          <w:i/>
          <w:color w:val="000000"/>
          <w:sz w:val="22"/>
          <w:szCs w:val="22"/>
          <w:u w:val="single"/>
          <w:lang w:val="sr-Latn-RS"/>
        </w:rPr>
        <w:t>Hemofagocitni sindrom</w:t>
      </w:r>
    </w:p>
    <w:p w14:paraId="0B102D2D" w14:textId="15139429" w:rsidR="00EB75FD" w:rsidRPr="00E75889" w:rsidRDefault="00EB75FD" w:rsidP="00E75889">
      <w:pPr>
        <w:widowControl w:val="0"/>
        <w:autoSpaceDE w:val="0"/>
        <w:autoSpaceDN w:val="0"/>
        <w:adjustRightInd w:val="0"/>
        <w:jc w:val="both"/>
        <w:rPr>
          <w:color w:val="000000"/>
          <w:sz w:val="22"/>
          <w:szCs w:val="22"/>
          <w:lang w:val="sr-Latn-RS"/>
        </w:rPr>
      </w:pPr>
      <w:r w:rsidRPr="00E75889">
        <w:rPr>
          <w:color w:val="000000"/>
          <w:sz w:val="22"/>
          <w:szCs w:val="22"/>
          <w:lang w:val="sr-Latn-RS"/>
        </w:rPr>
        <w:t>Vrlo rijetki slučajevi hemofagocitnog sindroma (HFS) sa smrtnim ishodom zabilježeni su kod pacijenata liječenih fingolimodom u prisustvu infekcije. H</w:t>
      </w:r>
      <w:r w:rsidR="005E746D" w:rsidRPr="00E75889">
        <w:rPr>
          <w:color w:val="000000"/>
          <w:sz w:val="22"/>
          <w:szCs w:val="22"/>
          <w:lang w:val="sr-Latn-RS"/>
        </w:rPr>
        <w:t>F</w:t>
      </w:r>
      <w:r w:rsidRPr="00E75889">
        <w:rPr>
          <w:color w:val="000000"/>
          <w:sz w:val="22"/>
          <w:szCs w:val="22"/>
          <w:lang w:val="sr-Latn-RS"/>
        </w:rPr>
        <w:t>S je rijetko stanje koje je opisivano uz infekcije, imunosupresiju i razne autoimune bolesti.</w:t>
      </w:r>
    </w:p>
    <w:p w14:paraId="06A1D0F9" w14:textId="77777777" w:rsidR="00EB75FD" w:rsidRPr="00E75889" w:rsidRDefault="00EB75FD" w:rsidP="00E75889">
      <w:pPr>
        <w:widowControl w:val="0"/>
        <w:autoSpaceDE w:val="0"/>
        <w:autoSpaceDN w:val="0"/>
        <w:adjustRightInd w:val="0"/>
        <w:jc w:val="both"/>
        <w:rPr>
          <w:color w:val="000000"/>
          <w:sz w:val="22"/>
          <w:szCs w:val="22"/>
          <w:lang w:val="sr-Latn-RS"/>
        </w:rPr>
      </w:pPr>
    </w:p>
    <w:p w14:paraId="08DA87B9" w14:textId="77777777" w:rsidR="00EB75FD" w:rsidRPr="00E75889" w:rsidRDefault="00EB75FD" w:rsidP="00E75889">
      <w:pPr>
        <w:widowControl w:val="0"/>
        <w:autoSpaceDE w:val="0"/>
        <w:autoSpaceDN w:val="0"/>
        <w:adjustRightInd w:val="0"/>
        <w:jc w:val="both"/>
        <w:rPr>
          <w:color w:val="000000"/>
          <w:sz w:val="22"/>
          <w:szCs w:val="22"/>
          <w:u w:val="single"/>
          <w:lang w:val="sr-Latn-RS"/>
        </w:rPr>
      </w:pPr>
      <w:r w:rsidRPr="00E75889">
        <w:rPr>
          <w:color w:val="000000"/>
          <w:sz w:val="22"/>
          <w:szCs w:val="22"/>
          <w:u w:val="single"/>
          <w:lang w:val="sr-Latn-RS"/>
        </w:rPr>
        <w:t xml:space="preserve">Pedijatrijska populacija </w:t>
      </w:r>
    </w:p>
    <w:p w14:paraId="42957E94" w14:textId="77777777" w:rsidR="00EB75FD" w:rsidRPr="00E75889" w:rsidRDefault="00EB75FD" w:rsidP="00E75889">
      <w:pPr>
        <w:widowControl w:val="0"/>
        <w:autoSpaceDE w:val="0"/>
        <w:autoSpaceDN w:val="0"/>
        <w:adjustRightInd w:val="0"/>
        <w:jc w:val="both"/>
        <w:rPr>
          <w:color w:val="000000"/>
          <w:sz w:val="22"/>
          <w:szCs w:val="22"/>
          <w:u w:val="single"/>
          <w:lang w:val="sr-Latn-RS"/>
        </w:rPr>
      </w:pPr>
    </w:p>
    <w:p w14:paraId="7C25BA58" w14:textId="39CA8822" w:rsidR="00EB75FD" w:rsidRPr="00E75889" w:rsidRDefault="00EB75FD" w:rsidP="00E75889">
      <w:pPr>
        <w:widowControl w:val="0"/>
        <w:autoSpaceDE w:val="0"/>
        <w:autoSpaceDN w:val="0"/>
        <w:adjustRightInd w:val="0"/>
        <w:jc w:val="both"/>
        <w:rPr>
          <w:color w:val="000000"/>
          <w:sz w:val="22"/>
          <w:szCs w:val="22"/>
          <w:lang w:val="sr-Latn-RS"/>
        </w:rPr>
      </w:pPr>
      <w:r w:rsidRPr="00E75889">
        <w:rPr>
          <w:color w:val="000000"/>
          <w:sz w:val="22"/>
          <w:szCs w:val="22"/>
          <w:lang w:val="sr-Latn-RS"/>
        </w:rPr>
        <w:t xml:space="preserve">U kontrolisanoj pedijatrijskoj studiji D2311 (vidjeti </w:t>
      </w:r>
      <w:r w:rsidR="00282BF1" w:rsidRPr="00E75889">
        <w:rPr>
          <w:color w:val="000000"/>
          <w:sz w:val="22"/>
          <w:szCs w:val="22"/>
          <w:lang w:val="sr-Latn-RS"/>
        </w:rPr>
        <w:t>dio</w:t>
      </w:r>
      <w:r w:rsidRPr="00E75889">
        <w:rPr>
          <w:color w:val="000000"/>
          <w:sz w:val="22"/>
          <w:szCs w:val="22"/>
          <w:lang w:val="sr-Latn-RS"/>
        </w:rPr>
        <w:t xml:space="preserve"> 5.1), bezbjednosni profil pedijatrijskih pacijenata (uzrasta od 10 do ispod 18 godina) koji su primali 0,25 mg ili 0,5 mg fingolimoda dnevno, je sveukupno bio sličan onom koji je zabilježen kod odraslih pacijenata. Bilo je ipak primijećeno više neuroloških i psihijatrijskih poremećaja u studiji. Potreban je oprez u ovoj podgrupi zbog veoma ograničenog znanja dostupnog iz kliničkih studija.</w:t>
      </w:r>
    </w:p>
    <w:p w14:paraId="4E6AC637" w14:textId="77777777" w:rsidR="00EB75FD" w:rsidRPr="00E75889" w:rsidRDefault="00EB75FD" w:rsidP="00E75889">
      <w:pPr>
        <w:widowControl w:val="0"/>
        <w:autoSpaceDE w:val="0"/>
        <w:autoSpaceDN w:val="0"/>
        <w:adjustRightInd w:val="0"/>
        <w:jc w:val="both"/>
        <w:rPr>
          <w:color w:val="000000"/>
          <w:sz w:val="22"/>
          <w:szCs w:val="22"/>
          <w:lang w:val="sr-Latn-RS"/>
        </w:rPr>
      </w:pPr>
    </w:p>
    <w:p w14:paraId="71431CBF" w14:textId="2B5A5051" w:rsidR="00EB75FD" w:rsidRPr="00E75889" w:rsidRDefault="00EB75FD" w:rsidP="00E75889">
      <w:pPr>
        <w:widowControl w:val="0"/>
        <w:autoSpaceDE w:val="0"/>
        <w:autoSpaceDN w:val="0"/>
        <w:adjustRightInd w:val="0"/>
        <w:jc w:val="both"/>
        <w:rPr>
          <w:color w:val="000000"/>
          <w:sz w:val="22"/>
          <w:szCs w:val="22"/>
          <w:lang w:val="sr-Latn-RS"/>
        </w:rPr>
      </w:pPr>
      <w:r w:rsidRPr="00E75889">
        <w:rPr>
          <w:color w:val="000000"/>
          <w:sz w:val="22"/>
          <w:szCs w:val="22"/>
          <w:lang w:val="sr-Latn-RS"/>
        </w:rPr>
        <w:t xml:space="preserve">U pedijatrijskoj studiji, prijavljivani su slučajevi </w:t>
      </w:r>
      <w:r w:rsidR="00760770" w:rsidRPr="00E75889">
        <w:rPr>
          <w:color w:val="000000"/>
          <w:sz w:val="22"/>
          <w:szCs w:val="22"/>
          <w:lang w:val="sr-Latn-RS"/>
        </w:rPr>
        <w:t xml:space="preserve">epileptičnih </w:t>
      </w:r>
      <w:r w:rsidRPr="00E75889">
        <w:rPr>
          <w:color w:val="000000"/>
          <w:sz w:val="22"/>
          <w:szCs w:val="22"/>
          <w:lang w:val="sr-Latn-RS"/>
        </w:rPr>
        <w:t>napada kod 5,6% pacijenata na terapiji fingolimodom i kod 0,9% pacijenata na terapiji beta-1a interferonom.</w:t>
      </w:r>
    </w:p>
    <w:p w14:paraId="36B2B363" w14:textId="77777777" w:rsidR="00EB75FD" w:rsidRPr="00E75889" w:rsidRDefault="00EB75FD" w:rsidP="00E75889">
      <w:pPr>
        <w:widowControl w:val="0"/>
        <w:autoSpaceDE w:val="0"/>
        <w:autoSpaceDN w:val="0"/>
        <w:adjustRightInd w:val="0"/>
        <w:jc w:val="both"/>
        <w:rPr>
          <w:color w:val="000000"/>
          <w:sz w:val="22"/>
          <w:szCs w:val="22"/>
          <w:lang w:val="sr-Latn-RS"/>
        </w:rPr>
      </w:pPr>
    </w:p>
    <w:p w14:paraId="0098BB4E" w14:textId="77777777" w:rsidR="00EB75FD" w:rsidRPr="00E75889" w:rsidRDefault="00EB75FD" w:rsidP="00E75889">
      <w:pPr>
        <w:widowControl w:val="0"/>
        <w:autoSpaceDE w:val="0"/>
        <w:autoSpaceDN w:val="0"/>
        <w:adjustRightInd w:val="0"/>
        <w:jc w:val="both"/>
        <w:rPr>
          <w:color w:val="000000"/>
          <w:sz w:val="22"/>
          <w:szCs w:val="22"/>
          <w:lang w:val="sr-Latn-RS"/>
        </w:rPr>
      </w:pPr>
      <w:r w:rsidRPr="00E75889">
        <w:rPr>
          <w:color w:val="000000"/>
          <w:sz w:val="22"/>
          <w:szCs w:val="22"/>
          <w:lang w:val="sr-Latn-RS"/>
        </w:rPr>
        <w:t>Poznato je da se depresija i anksioznost javaljaju sa povećanom učestalošću kod populacije oboljele od multiple skleroze. Depresija i anksioznost su takođe prijavljivani kod pedijatrijskih pacijenata na terapiji fingolimodom.</w:t>
      </w:r>
    </w:p>
    <w:p w14:paraId="7E5646BF" w14:textId="77777777" w:rsidR="00EB75FD" w:rsidRPr="00E75889" w:rsidRDefault="00EB75FD" w:rsidP="00E75889">
      <w:pPr>
        <w:widowControl w:val="0"/>
        <w:autoSpaceDE w:val="0"/>
        <w:autoSpaceDN w:val="0"/>
        <w:adjustRightInd w:val="0"/>
        <w:jc w:val="both"/>
        <w:rPr>
          <w:color w:val="000000"/>
          <w:sz w:val="22"/>
          <w:szCs w:val="22"/>
          <w:lang w:val="sr-Latn-RS"/>
        </w:rPr>
      </w:pPr>
      <w:r w:rsidRPr="00E75889">
        <w:rPr>
          <w:color w:val="000000"/>
          <w:sz w:val="22"/>
          <w:szCs w:val="22"/>
          <w:lang w:val="sr-Latn-RS"/>
        </w:rPr>
        <w:t xml:space="preserve"> </w:t>
      </w:r>
    </w:p>
    <w:p w14:paraId="4EE4FC0E" w14:textId="77777777" w:rsidR="00EB75FD" w:rsidRPr="00E75889" w:rsidRDefault="00EB75FD" w:rsidP="00E75889">
      <w:pPr>
        <w:widowControl w:val="0"/>
        <w:autoSpaceDE w:val="0"/>
        <w:autoSpaceDN w:val="0"/>
        <w:adjustRightInd w:val="0"/>
        <w:jc w:val="both"/>
        <w:rPr>
          <w:color w:val="000000"/>
          <w:sz w:val="22"/>
          <w:szCs w:val="22"/>
          <w:lang w:val="sr-Latn-RS"/>
        </w:rPr>
      </w:pPr>
      <w:r w:rsidRPr="00E75889">
        <w:rPr>
          <w:sz w:val="22"/>
          <w:szCs w:val="22"/>
          <w:lang w:val="sr-Latn-RS"/>
        </w:rPr>
        <w:t>Izolovana blaga povećanja bilirubina su zabilježena kod pedijatrijskih pacijenata na fingolimodu.</w:t>
      </w:r>
    </w:p>
    <w:p w14:paraId="207BA3B7" w14:textId="77777777" w:rsidR="004E70AD" w:rsidRPr="00E75889" w:rsidRDefault="004E70AD" w:rsidP="00E75889">
      <w:pPr>
        <w:widowControl w:val="0"/>
        <w:tabs>
          <w:tab w:val="left" w:pos="540"/>
          <w:tab w:val="left" w:pos="569"/>
        </w:tabs>
        <w:jc w:val="both"/>
        <w:rPr>
          <w:b/>
          <w:bCs/>
          <w:sz w:val="22"/>
          <w:szCs w:val="22"/>
          <w:lang w:val="sr-Latn-RS"/>
        </w:rPr>
      </w:pPr>
    </w:p>
    <w:p w14:paraId="42445EAD" w14:textId="77777777" w:rsidR="005A23D2" w:rsidRPr="00E75889" w:rsidRDefault="005A23D2" w:rsidP="00E75889">
      <w:pPr>
        <w:widowControl w:val="0"/>
        <w:spacing w:after="200" w:line="276" w:lineRule="auto"/>
        <w:jc w:val="both"/>
        <w:rPr>
          <w:rFonts w:eastAsia="Calibri"/>
          <w:sz w:val="22"/>
          <w:szCs w:val="22"/>
          <w:u w:val="single"/>
          <w:lang w:val="sr-Latn-RS"/>
        </w:rPr>
      </w:pPr>
      <w:r w:rsidRPr="00E75889">
        <w:rPr>
          <w:rFonts w:eastAsia="Calibri"/>
          <w:sz w:val="22"/>
          <w:szCs w:val="22"/>
          <w:u w:val="single"/>
          <w:lang w:val="sr-Latn-RS"/>
        </w:rPr>
        <w:t>Prijavljivanje sumnji na neželjena dejstva</w:t>
      </w:r>
    </w:p>
    <w:p w14:paraId="53F0D95B" w14:textId="77777777" w:rsidR="005A23D2" w:rsidRPr="00E75889" w:rsidRDefault="005A23D2" w:rsidP="00E75889">
      <w:pPr>
        <w:widowControl w:val="0"/>
        <w:spacing w:after="200"/>
        <w:jc w:val="both"/>
        <w:rPr>
          <w:rFonts w:eastAsia="Calibri"/>
          <w:sz w:val="22"/>
          <w:szCs w:val="22"/>
          <w:lang w:val="sr-Latn-RS"/>
        </w:rPr>
      </w:pPr>
      <w:r w:rsidRPr="00E75889">
        <w:rPr>
          <w:rFonts w:eastAsia="Calibri"/>
          <w:sz w:val="22"/>
          <w:szCs w:val="22"/>
          <w:lang w:val="sr-Latn-RS"/>
        </w:rPr>
        <w:t>Prijavljivanje neželjenih dejstava nakon dobijanja dozvole je od velikog značaja jer obezbjeđuje kont</w:t>
      </w:r>
      <w:r w:rsidR="00EA5765" w:rsidRPr="00E75889">
        <w:rPr>
          <w:rFonts w:eastAsia="Calibri"/>
          <w:sz w:val="22"/>
          <w:szCs w:val="22"/>
          <w:lang w:val="sr-Latn-RS"/>
        </w:rPr>
        <w:t>inuirano praćenje odnosa korist</w:t>
      </w:r>
      <w:r w:rsidRPr="00E75889">
        <w:rPr>
          <w:rFonts w:eastAsia="Calibri"/>
          <w:sz w:val="22"/>
          <w:szCs w:val="22"/>
          <w:lang w:val="sr-Latn-RS"/>
        </w:rPr>
        <w:t>/rizik primjene lijeka. Zdravstveni radnici treba da prijave svaku sumnju na neželjeno</w:t>
      </w:r>
      <w:r w:rsidR="009B062A" w:rsidRPr="00E75889">
        <w:rPr>
          <w:rFonts w:eastAsia="Calibri"/>
          <w:sz w:val="22"/>
          <w:szCs w:val="22"/>
          <w:lang w:val="sr-Latn-RS"/>
        </w:rPr>
        <w:t xml:space="preserve"> </w:t>
      </w:r>
      <w:r w:rsidRPr="00E75889">
        <w:rPr>
          <w:rFonts w:eastAsia="Calibri"/>
          <w:sz w:val="22"/>
          <w:szCs w:val="22"/>
          <w:lang w:val="sr-Latn-RS"/>
        </w:rPr>
        <w:t xml:space="preserve">dejstvo ovog lijeka </w:t>
      </w:r>
      <w:r w:rsidR="004E70AD" w:rsidRPr="00E75889">
        <w:rPr>
          <w:rFonts w:eastAsia="Calibri"/>
          <w:sz w:val="22"/>
          <w:szCs w:val="22"/>
          <w:lang w:val="sr-Latn-RS"/>
        </w:rPr>
        <w:t>Institutu</w:t>
      </w:r>
      <w:r w:rsidRPr="00E75889">
        <w:rPr>
          <w:rFonts w:eastAsia="Calibri"/>
          <w:sz w:val="22"/>
          <w:szCs w:val="22"/>
          <w:lang w:val="sr-Latn-RS"/>
        </w:rPr>
        <w:t xml:space="preserve"> za ljekove i medicinska sredstva</w:t>
      </w:r>
      <w:r w:rsidR="004E70AD" w:rsidRPr="00E75889">
        <w:rPr>
          <w:rFonts w:eastAsia="Calibri"/>
          <w:sz w:val="22"/>
          <w:szCs w:val="22"/>
          <w:lang w:val="sr-Latn-RS"/>
        </w:rPr>
        <w:t xml:space="preserve"> </w:t>
      </w:r>
      <w:r w:rsidRPr="00E75889">
        <w:rPr>
          <w:rFonts w:eastAsia="Calibri"/>
          <w:sz w:val="22"/>
          <w:szCs w:val="22"/>
          <w:lang w:val="sr-Latn-RS"/>
        </w:rPr>
        <w:t>(</w:t>
      </w:r>
      <w:r w:rsidR="004E70AD" w:rsidRPr="00E75889">
        <w:rPr>
          <w:rFonts w:eastAsia="Calibri"/>
          <w:sz w:val="22"/>
          <w:szCs w:val="22"/>
          <w:lang w:val="sr-Latn-RS"/>
        </w:rPr>
        <w:t>CInMED</w:t>
      </w:r>
      <w:r w:rsidRPr="00E75889">
        <w:rPr>
          <w:rFonts w:eastAsia="Calibri"/>
          <w:sz w:val="22"/>
          <w:szCs w:val="22"/>
          <w:lang w:val="sr-Latn-RS"/>
        </w:rPr>
        <w:t>):</w:t>
      </w:r>
    </w:p>
    <w:p w14:paraId="59CF4EF9" w14:textId="77777777" w:rsidR="005A23D2" w:rsidRPr="00E75889" w:rsidRDefault="004E70AD" w:rsidP="00E75889">
      <w:pPr>
        <w:pStyle w:val="NoSpacing"/>
        <w:widowControl w:val="0"/>
        <w:jc w:val="both"/>
        <w:rPr>
          <w:rFonts w:eastAsia="Calibri"/>
          <w:sz w:val="22"/>
          <w:szCs w:val="22"/>
          <w:lang w:val="sr-Latn-RS"/>
        </w:rPr>
      </w:pPr>
      <w:r w:rsidRPr="00E75889">
        <w:rPr>
          <w:rFonts w:eastAsia="Calibri"/>
          <w:sz w:val="22"/>
          <w:szCs w:val="22"/>
          <w:lang w:val="sr-Latn-RS"/>
        </w:rPr>
        <w:t xml:space="preserve">Institut </w:t>
      </w:r>
      <w:r w:rsidR="005A23D2" w:rsidRPr="00E75889">
        <w:rPr>
          <w:rFonts w:eastAsia="Calibri"/>
          <w:sz w:val="22"/>
          <w:szCs w:val="22"/>
          <w:lang w:val="sr-Latn-RS"/>
        </w:rPr>
        <w:t xml:space="preserve">za ljekove i medicinska sredstva </w:t>
      </w:r>
    </w:p>
    <w:p w14:paraId="01159B46" w14:textId="77777777" w:rsidR="005A23D2" w:rsidRPr="00E75889" w:rsidRDefault="005A23D2" w:rsidP="00E75889">
      <w:pPr>
        <w:pStyle w:val="NoSpacing"/>
        <w:widowControl w:val="0"/>
        <w:jc w:val="both"/>
        <w:rPr>
          <w:rFonts w:eastAsia="Calibri"/>
          <w:sz w:val="22"/>
          <w:szCs w:val="22"/>
          <w:lang w:val="sr-Latn-RS"/>
        </w:rPr>
      </w:pPr>
      <w:r w:rsidRPr="00E75889">
        <w:rPr>
          <w:rFonts w:eastAsia="Calibri"/>
          <w:sz w:val="22"/>
          <w:szCs w:val="22"/>
          <w:lang w:val="sr-Latn-RS"/>
        </w:rPr>
        <w:t>Odjeljenje za farmakovigilancu</w:t>
      </w:r>
    </w:p>
    <w:p w14:paraId="34F286BA" w14:textId="77777777" w:rsidR="00EA5765" w:rsidRPr="00E75889" w:rsidRDefault="005A23D2" w:rsidP="00E75889">
      <w:pPr>
        <w:pStyle w:val="NoSpacing"/>
        <w:widowControl w:val="0"/>
        <w:jc w:val="both"/>
        <w:rPr>
          <w:rFonts w:eastAsia="Calibri"/>
          <w:sz w:val="22"/>
          <w:szCs w:val="22"/>
          <w:lang w:val="sr-Latn-RS"/>
        </w:rPr>
      </w:pPr>
      <w:r w:rsidRPr="00E75889">
        <w:rPr>
          <w:rFonts w:eastAsia="Calibri"/>
          <w:sz w:val="22"/>
          <w:szCs w:val="22"/>
          <w:lang w:val="sr-Latn-RS"/>
        </w:rPr>
        <w:t>Bulevar Ivana Crnojevića 64a, 81000 Podgorica</w:t>
      </w:r>
    </w:p>
    <w:p w14:paraId="57274D2F" w14:textId="77777777" w:rsidR="00EA5765" w:rsidRPr="00E75889" w:rsidRDefault="00EA5765" w:rsidP="00E75889">
      <w:pPr>
        <w:pStyle w:val="NoSpacing"/>
        <w:widowControl w:val="0"/>
        <w:jc w:val="both"/>
        <w:rPr>
          <w:rFonts w:eastAsia="Calibri"/>
          <w:sz w:val="22"/>
          <w:szCs w:val="22"/>
          <w:lang w:val="sr-Latn-RS"/>
        </w:rPr>
      </w:pPr>
    </w:p>
    <w:p w14:paraId="19C8F196" w14:textId="77777777" w:rsidR="005A23D2" w:rsidRPr="00E75889" w:rsidRDefault="005A23D2" w:rsidP="00E75889">
      <w:pPr>
        <w:pStyle w:val="NoSpacing"/>
        <w:widowControl w:val="0"/>
        <w:jc w:val="both"/>
        <w:rPr>
          <w:rFonts w:eastAsia="Calibri"/>
          <w:sz w:val="22"/>
          <w:szCs w:val="22"/>
          <w:lang w:val="sr-Latn-RS"/>
        </w:rPr>
      </w:pPr>
      <w:r w:rsidRPr="00E75889">
        <w:rPr>
          <w:rFonts w:eastAsia="Calibri"/>
          <w:sz w:val="22"/>
          <w:szCs w:val="22"/>
          <w:lang w:val="sr-Latn-RS"/>
        </w:rPr>
        <w:t>tel: +382 (0) 20 310 280</w:t>
      </w:r>
    </w:p>
    <w:p w14:paraId="4CE8B9B2" w14:textId="77777777" w:rsidR="00EA5765" w:rsidRPr="00E75889" w:rsidRDefault="005A23D2" w:rsidP="00E75889">
      <w:pPr>
        <w:pStyle w:val="NoSpacing"/>
        <w:widowControl w:val="0"/>
        <w:tabs>
          <w:tab w:val="left" w:pos="6720"/>
        </w:tabs>
        <w:jc w:val="both"/>
        <w:rPr>
          <w:rFonts w:eastAsia="Calibri"/>
          <w:sz w:val="22"/>
          <w:szCs w:val="22"/>
          <w:lang w:val="sr-Latn-RS"/>
        </w:rPr>
      </w:pPr>
      <w:r w:rsidRPr="00E75889">
        <w:rPr>
          <w:rFonts w:eastAsia="Calibri"/>
          <w:sz w:val="22"/>
          <w:szCs w:val="22"/>
          <w:lang w:val="sr-Latn-RS"/>
        </w:rPr>
        <w:t>fax:</w:t>
      </w:r>
      <w:r w:rsidR="00EA5765" w:rsidRPr="00E75889">
        <w:rPr>
          <w:rFonts w:eastAsia="Calibri"/>
          <w:sz w:val="22"/>
          <w:szCs w:val="22"/>
          <w:lang w:val="sr-Latn-RS"/>
        </w:rPr>
        <w:t xml:space="preserve"> </w:t>
      </w:r>
      <w:r w:rsidRPr="00E75889">
        <w:rPr>
          <w:rFonts w:eastAsia="Calibri"/>
          <w:sz w:val="22"/>
          <w:szCs w:val="22"/>
          <w:lang w:val="sr-Latn-RS"/>
        </w:rPr>
        <w:t>+382 (0) 20 310 581</w:t>
      </w:r>
      <w:r w:rsidR="00FF3EDF" w:rsidRPr="00E75889">
        <w:rPr>
          <w:rFonts w:eastAsia="Calibri"/>
          <w:sz w:val="22"/>
          <w:szCs w:val="22"/>
          <w:lang w:val="sr-Latn-RS"/>
        </w:rPr>
        <w:tab/>
      </w:r>
    </w:p>
    <w:p w14:paraId="1728AFF8" w14:textId="77777777" w:rsidR="005A23D2" w:rsidRPr="00E75889" w:rsidRDefault="007D7D8E" w:rsidP="00E75889">
      <w:pPr>
        <w:pStyle w:val="NoSpacing"/>
        <w:widowControl w:val="0"/>
        <w:jc w:val="both"/>
        <w:rPr>
          <w:rFonts w:eastAsia="Calibri"/>
          <w:sz w:val="22"/>
          <w:szCs w:val="22"/>
          <w:lang w:val="sr-Latn-RS"/>
        </w:rPr>
      </w:pPr>
      <w:hyperlink r:id="rId8" w:history="1">
        <w:r w:rsidR="004E70AD" w:rsidRPr="00E75889">
          <w:rPr>
            <w:rStyle w:val="Hyperlink"/>
            <w:rFonts w:eastAsia="Calibri"/>
            <w:sz w:val="22"/>
            <w:szCs w:val="22"/>
            <w:lang w:val="sr-Latn-RS"/>
          </w:rPr>
          <w:t>www.cinmed.me</w:t>
        </w:r>
      </w:hyperlink>
    </w:p>
    <w:p w14:paraId="0EF36974" w14:textId="77777777" w:rsidR="00EA5765" w:rsidRPr="00E75889" w:rsidRDefault="007D7D8E" w:rsidP="00E75889">
      <w:pPr>
        <w:pStyle w:val="NoSpacing"/>
        <w:widowControl w:val="0"/>
        <w:jc w:val="both"/>
        <w:rPr>
          <w:rFonts w:eastAsia="Calibri"/>
          <w:color w:val="0000FF"/>
          <w:sz w:val="22"/>
          <w:szCs w:val="22"/>
          <w:u w:val="single"/>
          <w:lang w:val="sr-Latn-RS"/>
        </w:rPr>
      </w:pPr>
      <w:hyperlink r:id="rId9" w:history="1">
        <w:r w:rsidR="004E70AD" w:rsidRPr="00E75889">
          <w:rPr>
            <w:rStyle w:val="Hyperlink"/>
            <w:rFonts w:eastAsia="Calibri"/>
            <w:sz w:val="22"/>
            <w:szCs w:val="22"/>
            <w:lang w:val="sr-Latn-RS"/>
          </w:rPr>
          <w:t>nezeljenadejstva@cinmed.me</w:t>
        </w:r>
      </w:hyperlink>
    </w:p>
    <w:p w14:paraId="2B214F00" w14:textId="77777777" w:rsidR="005A23D2" w:rsidRPr="00E75889" w:rsidRDefault="005A23D2" w:rsidP="00E75889">
      <w:pPr>
        <w:pStyle w:val="NoSpacing"/>
        <w:widowControl w:val="0"/>
        <w:jc w:val="both"/>
        <w:rPr>
          <w:rFonts w:eastAsia="Calibri"/>
          <w:sz w:val="22"/>
          <w:szCs w:val="22"/>
          <w:lang w:val="sr-Latn-RS"/>
        </w:rPr>
      </w:pPr>
      <w:r w:rsidRPr="00E75889">
        <w:rPr>
          <w:rFonts w:eastAsia="Calibri"/>
          <w:sz w:val="22"/>
          <w:szCs w:val="22"/>
          <w:lang w:val="sr-Latn-RS"/>
        </w:rPr>
        <w:t>putem IS zdravstvene zaštite</w:t>
      </w:r>
    </w:p>
    <w:p w14:paraId="37E06DE5" w14:textId="77777777" w:rsidR="007E31E9" w:rsidRPr="00E75889" w:rsidRDefault="007E31E9" w:rsidP="00E75889">
      <w:pPr>
        <w:pStyle w:val="NoSpacing"/>
        <w:widowControl w:val="0"/>
        <w:jc w:val="both"/>
        <w:rPr>
          <w:rFonts w:eastAsia="Calibri"/>
          <w:sz w:val="22"/>
          <w:szCs w:val="22"/>
          <w:lang w:val="sr-Latn-RS"/>
        </w:rPr>
      </w:pPr>
      <w:r w:rsidRPr="00E75889">
        <w:rPr>
          <w:rFonts w:eastAsia="Calibri"/>
          <w:sz w:val="22"/>
          <w:szCs w:val="22"/>
          <w:lang w:val="sr-Latn-RS"/>
        </w:rPr>
        <w:t>QR kod za online prijavu</w:t>
      </w:r>
      <w:r w:rsidR="00D74CD2" w:rsidRPr="00E75889">
        <w:rPr>
          <w:rFonts w:eastAsia="Calibri"/>
          <w:sz w:val="22"/>
          <w:szCs w:val="22"/>
          <w:lang w:val="sr-Latn-RS"/>
        </w:rPr>
        <w:t xml:space="preserve"> sumnje na neželjeno dejstvo lijeka</w:t>
      </w:r>
      <w:r w:rsidRPr="00E75889">
        <w:rPr>
          <w:rFonts w:eastAsia="Calibri"/>
          <w:sz w:val="22"/>
          <w:szCs w:val="22"/>
          <w:lang w:val="sr-Latn-RS"/>
        </w:rPr>
        <w:t>:</w:t>
      </w:r>
    </w:p>
    <w:p w14:paraId="37E4BB31" w14:textId="77777777" w:rsidR="007E31E9" w:rsidRPr="00E75889" w:rsidRDefault="007E31E9" w:rsidP="00E75889">
      <w:pPr>
        <w:pStyle w:val="NoSpacing"/>
        <w:widowControl w:val="0"/>
        <w:jc w:val="both"/>
        <w:rPr>
          <w:rFonts w:eastAsia="Calibri"/>
          <w:sz w:val="22"/>
          <w:szCs w:val="22"/>
          <w:lang w:val="sr-Latn-RS"/>
        </w:rPr>
      </w:pPr>
    </w:p>
    <w:p w14:paraId="5CEE07D6" w14:textId="7136F885" w:rsidR="004F17E2" w:rsidRPr="00E75889" w:rsidRDefault="00E75889" w:rsidP="00E75889">
      <w:pPr>
        <w:pStyle w:val="NoSpacing"/>
        <w:widowControl w:val="0"/>
        <w:jc w:val="both"/>
        <w:rPr>
          <w:rFonts w:eastAsia="Calibri"/>
          <w:sz w:val="22"/>
          <w:szCs w:val="22"/>
          <w:lang w:val="sr-Latn-RS"/>
        </w:rPr>
      </w:pPr>
      <w:r w:rsidRPr="007F661E">
        <w:rPr>
          <w:b/>
          <w:bCs/>
          <w:noProof/>
          <w:sz w:val="22"/>
          <w:szCs w:val="22"/>
        </w:rPr>
        <w:lastRenderedPageBreak/>
        <w:drawing>
          <wp:inline distT="0" distB="0" distL="0" distR="0" wp14:anchorId="6D852BEA" wp14:editId="388D15B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AF900F" w14:textId="77777777" w:rsidR="00836B35" w:rsidRPr="00E75889" w:rsidRDefault="00836B35" w:rsidP="00E75889">
      <w:pPr>
        <w:widowControl w:val="0"/>
        <w:tabs>
          <w:tab w:val="left" w:pos="540"/>
          <w:tab w:val="left" w:pos="569"/>
        </w:tabs>
        <w:jc w:val="both"/>
        <w:rPr>
          <w:b/>
          <w:bCs/>
          <w:sz w:val="22"/>
          <w:szCs w:val="22"/>
          <w:lang w:val="sr-Latn-RS"/>
        </w:rPr>
      </w:pPr>
    </w:p>
    <w:p w14:paraId="143657D5" w14:textId="77777777" w:rsidR="00CD6F02"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4.9. </w:t>
      </w:r>
      <w:r w:rsidR="00480FB1" w:rsidRPr="00E75889">
        <w:rPr>
          <w:b/>
          <w:bCs/>
          <w:sz w:val="22"/>
          <w:szCs w:val="22"/>
          <w:lang w:val="sr-Latn-RS"/>
        </w:rPr>
        <w:tab/>
      </w:r>
      <w:r w:rsidRPr="00E75889">
        <w:rPr>
          <w:b/>
          <w:bCs/>
          <w:sz w:val="22"/>
          <w:szCs w:val="22"/>
          <w:lang w:val="sr-Latn-RS"/>
        </w:rPr>
        <w:t>Predoziranje</w:t>
      </w:r>
      <w:r w:rsidR="002846DB" w:rsidRPr="00E75889">
        <w:rPr>
          <w:b/>
          <w:bCs/>
          <w:sz w:val="22"/>
          <w:szCs w:val="22"/>
          <w:lang w:val="sr-Latn-RS"/>
        </w:rPr>
        <w:t xml:space="preserve"> </w:t>
      </w:r>
    </w:p>
    <w:p w14:paraId="28D06120" w14:textId="77777777" w:rsidR="00EB75FD" w:rsidRPr="00E75889" w:rsidRDefault="00EB75FD" w:rsidP="00E75889">
      <w:pPr>
        <w:widowControl w:val="0"/>
        <w:jc w:val="both"/>
        <w:rPr>
          <w:sz w:val="22"/>
          <w:szCs w:val="22"/>
          <w:lang w:val="sr-Latn-RS"/>
        </w:rPr>
      </w:pPr>
    </w:p>
    <w:p w14:paraId="1D4CF9AC" w14:textId="2B308878" w:rsidR="00EB75FD" w:rsidRPr="00E75889" w:rsidRDefault="00EB75FD" w:rsidP="00E75889">
      <w:pPr>
        <w:widowControl w:val="0"/>
        <w:jc w:val="both"/>
        <w:rPr>
          <w:sz w:val="22"/>
          <w:szCs w:val="22"/>
          <w:lang w:val="sr-Latn-RS"/>
        </w:rPr>
      </w:pPr>
      <w:r w:rsidRPr="00E75889">
        <w:rPr>
          <w:sz w:val="22"/>
          <w:szCs w:val="22"/>
          <w:lang w:val="sr-Latn-RS"/>
        </w:rPr>
        <w:t xml:space="preserve">Zdravi odrasli dobrovoljci su dobro podnosili pojedinačne doze koje su do 80 puta veće od preporučene (0,5 mg). Pri dozi od 40 mg, 5 od 6 ispitanika prijavilo je blago stezanje u plućima ili nelagodnost koja je klinički odgovarala </w:t>
      </w:r>
      <w:r w:rsidR="004540DB" w:rsidRPr="00E75889">
        <w:rPr>
          <w:sz w:val="22"/>
          <w:szCs w:val="22"/>
          <w:lang w:val="sr-Latn-RS"/>
        </w:rPr>
        <w:t xml:space="preserve">maloj </w:t>
      </w:r>
      <w:r w:rsidRPr="00E75889">
        <w:rPr>
          <w:sz w:val="22"/>
          <w:szCs w:val="22"/>
          <w:lang w:val="sr-Latn-RS"/>
        </w:rPr>
        <w:t>reaktivnosti</w:t>
      </w:r>
      <w:r w:rsidR="00EE6CD2" w:rsidRPr="00E75889">
        <w:rPr>
          <w:sz w:val="22"/>
          <w:szCs w:val="22"/>
          <w:lang w:val="sr-Latn-RS"/>
        </w:rPr>
        <w:t xml:space="preserve"> </w:t>
      </w:r>
      <w:r w:rsidRPr="00E75889">
        <w:rPr>
          <w:sz w:val="22"/>
          <w:szCs w:val="22"/>
          <w:lang w:val="sr-Latn-RS"/>
        </w:rPr>
        <w:t xml:space="preserve">disajnih puteva. </w:t>
      </w:r>
    </w:p>
    <w:p w14:paraId="2D12FA5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C1B1162" w14:textId="4F7ABC9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može da izazove bradikardiju na početku terapije. Usporavanje srčane frek</w:t>
      </w:r>
      <w:r w:rsidR="004540DB" w:rsidRPr="00E75889">
        <w:rPr>
          <w:sz w:val="22"/>
          <w:szCs w:val="22"/>
          <w:lang w:val="sr-Latn-RS" w:eastAsia="en-US"/>
        </w:rPr>
        <w:t>v</w:t>
      </w:r>
      <w:r w:rsidRPr="00E75889">
        <w:rPr>
          <w:sz w:val="22"/>
          <w:szCs w:val="22"/>
          <w:lang w:val="sr-Latn-RS" w:eastAsia="en-US"/>
        </w:rPr>
        <w:t xml:space="preserve">ence obično započinje u roku od 1 </w:t>
      </w:r>
      <w:r w:rsidR="001B2F32" w:rsidRPr="00E75889">
        <w:rPr>
          <w:sz w:val="22"/>
          <w:szCs w:val="22"/>
          <w:lang w:val="sr-Latn-RS" w:eastAsia="en-US"/>
        </w:rPr>
        <w:t>sata</w:t>
      </w:r>
      <w:r w:rsidRPr="00E75889">
        <w:rPr>
          <w:sz w:val="22"/>
          <w:szCs w:val="22"/>
          <w:lang w:val="sr-Latn-RS" w:eastAsia="en-US"/>
        </w:rPr>
        <w:t xml:space="preserve"> od prve doze, a maksimum doseže</w:t>
      </w:r>
      <w:r w:rsidR="00BF42F0" w:rsidRPr="00E75889">
        <w:rPr>
          <w:sz w:val="22"/>
          <w:szCs w:val="22"/>
          <w:lang w:val="sr-Latn-RS" w:eastAsia="en-US"/>
        </w:rPr>
        <w:t xml:space="preserve"> </w:t>
      </w:r>
      <w:r w:rsidRPr="00E75889">
        <w:rPr>
          <w:sz w:val="22"/>
          <w:szCs w:val="22"/>
          <w:lang w:val="sr-Latn-RS" w:eastAsia="en-US"/>
        </w:rPr>
        <w:t xml:space="preserve">u roku od 6 </w:t>
      </w:r>
      <w:r w:rsidR="00404F87" w:rsidRPr="00E75889">
        <w:rPr>
          <w:sz w:val="22"/>
          <w:szCs w:val="22"/>
          <w:lang w:val="sr-Latn-RS" w:eastAsia="en-US"/>
        </w:rPr>
        <w:t>sati</w:t>
      </w:r>
      <w:r w:rsidRPr="00E75889">
        <w:rPr>
          <w:sz w:val="22"/>
          <w:szCs w:val="22"/>
          <w:lang w:val="sr-Latn-RS" w:eastAsia="en-US"/>
        </w:rPr>
        <w:t xml:space="preserve">. Negativno hronotropno dejstvo lijeka Gilenya traje i nakon 6 </w:t>
      </w:r>
      <w:r w:rsidR="00247150" w:rsidRPr="00E75889">
        <w:rPr>
          <w:sz w:val="22"/>
          <w:szCs w:val="22"/>
          <w:lang w:val="sr-Latn-RS" w:eastAsia="en-US"/>
        </w:rPr>
        <w:t>sat</w:t>
      </w:r>
      <w:r w:rsidR="00404F87" w:rsidRPr="00E75889">
        <w:rPr>
          <w:sz w:val="22"/>
          <w:szCs w:val="22"/>
          <w:lang w:val="sr-Latn-RS" w:eastAsia="en-US"/>
        </w:rPr>
        <w:t>i</w:t>
      </w:r>
      <w:r w:rsidRPr="00E75889">
        <w:rPr>
          <w:sz w:val="22"/>
          <w:szCs w:val="22"/>
          <w:lang w:val="sr-Latn-RS" w:eastAsia="en-US"/>
        </w:rPr>
        <w:t xml:space="preserve"> i progresivno se smanjuje tokom narednih dana terapije (za detalje vidjeti </w:t>
      </w:r>
      <w:r w:rsidR="00282BF1" w:rsidRPr="00E75889">
        <w:rPr>
          <w:sz w:val="22"/>
          <w:szCs w:val="22"/>
          <w:lang w:val="sr-Latn-RS" w:eastAsia="en-US"/>
        </w:rPr>
        <w:t>dio</w:t>
      </w:r>
      <w:r w:rsidRPr="00E75889">
        <w:rPr>
          <w:sz w:val="22"/>
          <w:szCs w:val="22"/>
          <w:lang w:val="sr-Latn-RS" w:eastAsia="en-US"/>
        </w:rPr>
        <w:t xml:space="preserve"> 4.4). Postoje izveštaji o usporenom atrioventrikularnom provođenju, sa izolovanim slučajevima prolaznog potpunog AV bloka koji se spontano povukao</w:t>
      </w:r>
      <w:r w:rsidR="00EE6CD2" w:rsidRPr="00E75889">
        <w:rPr>
          <w:sz w:val="22"/>
          <w:szCs w:val="22"/>
          <w:lang w:val="sr-Latn-RS" w:eastAsia="en-US"/>
        </w:rPr>
        <w:t xml:space="preserve"> </w:t>
      </w:r>
      <w:r w:rsidRPr="00E75889">
        <w:rPr>
          <w:sz w:val="22"/>
          <w:szCs w:val="22"/>
          <w:lang w:val="sr-Latn-RS" w:eastAsia="en-US"/>
        </w:rPr>
        <w:t xml:space="preserve">(vidjeti </w:t>
      </w:r>
      <w:r w:rsidR="00282BF1" w:rsidRPr="00E75889">
        <w:rPr>
          <w:sz w:val="22"/>
          <w:szCs w:val="22"/>
          <w:lang w:val="sr-Latn-RS" w:eastAsia="en-US"/>
        </w:rPr>
        <w:t>djelove</w:t>
      </w:r>
      <w:r w:rsidRPr="00E75889">
        <w:rPr>
          <w:sz w:val="22"/>
          <w:szCs w:val="22"/>
          <w:lang w:val="sr-Latn-RS" w:eastAsia="en-US"/>
        </w:rPr>
        <w:t xml:space="preserve"> 4.4 i 4.8). </w:t>
      </w:r>
    </w:p>
    <w:p w14:paraId="4576A96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44DB539" w14:textId="32A12CD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Ako predoziranje predstavlja prvo izlaganje lijeku Gilenya, važno je pratiti pacijenta sa kontinuiranim (</w:t>
      </w:r>
      <w:r w:rsidRPr="00E75889">
        <w:rPr>
          <w:i/>
          <w:sz w:val="22"/>
          <w:szCs w:val="22"/>
          <w:lang w:val="sr-Latn-RS" w:eastAsia="en-US"/>
        </w:rPr>
        <w:t>real time</w:t>
      </w:r>
      <w:r w:rsidRPr="00E75889">
        <w:rPr>
          <w:sz w:val="22"/>
          <w:szCs w:val="22"/>
          <w:lang w:val="sr-Latn-RS" w:eastAsia="en-US"/>
        </w:rPr>
        <w:t xml:space="preserve">) EKG-om i mjerenjem </w:t>
      </w:r>
      <w:r w:rsidR="00404F87" w:rsidRPr="00E75889">
        <w:rPr>
          <w:sz w:val="22"/>
          <w:szCs w:val="22"/>
          <w:lang w:val="sr-Latn-RS" w:eastAsia="en-US"/>
        </w:rPr>
        <w:t xml:space="preserve">srčanog </w:t>
      </w:r>
      <w:r w:rsidRPr="00E75889">
        <w:rPr>
          <w:sz w:val="22"/>
          <w:szCs w:val="22"/>
          <w:lang w:val="sr-Latn-RS" w:eastAsia="en-US"/>
        </w:rPr>
        <w:t xml:space="preserve">pulsa i krvnog pritiska na svakih sat vremena, najmanje tokom prvih 6 </w:t>
      </w:r>
      <w:r w:rsidR="00404F87" w:rsidRPr="00E75889">
        <w:rPr>
          <w:sz w:val="22"/>
          <w:szCs w:val="22"/>
          <w:lang w:val="sr-Latn-RS" w:eastAsia="en-US"/>
        </w:rPr>
        <w:t>sati</w:t>
      </w:r>
      <w:r w:rsidRPr="00E75889">
        <w:rPr>
          <w:sz w:val="22"/>
          <w:szCs w:val="22"/>
          <w:lang w:val="sr-Latn-RS" w:eastAsia="en-US"/>
        </w:rPr>
        <w:t xml:space="preserve"> (vidjeti </w:t>
      </w:r>
      <w:r w:rsidR="00282BF1" w:rsidRPr="00E75889">
        <w:rPr>
          <w:sz w:val="22"/>
          <w:szCs w:val="22"/>
          <w:lang w:val="sr-Latn-RS" w:eastAsia="en-US"/>
        </w:rPr>
        <w:t>dio</w:t>
      </w:r>
      <w:r w:rsidRPr="00E75889">
        <w:rPr>
          <w:sz w:val="22"/>
          <w:szCs w:val="22"/>
          <w:lang w:val="sr-Latn-RS" w:eastAsia="en-US"/>
        </w:rPr>
        <w:t xml:space="preserve"> 4.4).</w:t>
      </w:r>
    </w:p>
    <w:p w14:paraId="642E3F9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D4B9099" w14:textId="18647F9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rPr>
        <w:t>Dodatno, ako je posl</w:t>
      </w:r>
      <w:r w:rsidR="00EE6CD2" w:rsidRPr="00E75889">
        <w:rPr>
          <w:sz w:val="22"/>
          <w:szCs w:val="22"/>
          <w:lang w:val="sr-Latn-RS"/>
        </w:rPr>
        <w:t>ij</w:t>
      </w:r>
      <w:r w:rsidRPr="00E75889">
        <w:rPr>
          <w:sz w:val="22"/>
          <w:szCs w:val="22"/>
          <w:lang w:val="sr-Latn-RS"/>
        </w:rPr>
        <w:t xml:space="preserve">e 6 sati srčana frekvenca &lt; 45 otkucaja u minuti kod odraslih, &lt;55 otkucaja u minuti kod pedijatrijskih pacijenata uzrasta 12 godina ili starijih, ili &lt;60 otkucaja u minuti kod pedijatrijskih pacijenata uzrasta od 10 do ispod 12 godina, ili ako EKG 6 sati nakon prve doze pokazuje AV blok drugog ili višeg stepena, ili ako pokazuje QTc interval ≥ 500 milisekundi, nadzor treba produžiti bar tokom cijele noći i dok se nalazi ne stabilizuju. </w:t>
      </w:r>
      <w:r w:rsidRPr="00E75889">
        <w:rPr>
          <w:sz w:val="22"/>
          <w:szCs w:val="22"/>
          <w:lang w:val="sr-Latn-RS" w:eastAsia="en-US"/>
        </w:rPr>
        <w:t>Pojava AV bloka trećeg stepena u bilo kom trenutku takođe zahtjeva produženo praćenje, uključujući praćenje tokom cijele noći.</w:t>
      </w:r>
    </w:p>
    <w:p w14:paraId="36F7359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4D0C7C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Ni dijaliza, ni plazmafereza ne dovode do uklanjanja fingolimoda iz organizma.</w:t>
      </w:r>
    </w:p>
    <w:p w14:paraId="02687974" w14:textId="77777777" w:rsidR="00227BDB" w:rsidRPr="00E75889" w:rsidRDefault="00227BDB" w:rsidP="00E75889">
      <w:pPr>
        <w:widowControl w:val="0"/>
        <w:tabs>
          <w:tab w:val="left" w:pos="540"/>
          <w:tab w:val="left" w:pos="569"/>
        </w:tabs>
        <w:jc w:val="both"/>
        <w:rPr>
          <w:b/>
          <w:bCs/>
          <w:sz w:val="22"/>
          <w:szCs w:val="22"/>
          <w:lang w:val="sr-Latn-RS"/>
        </w:rPr>
      </w:pPr>
    </w:p>
    <w:p w14:paraId="66994036" w14:textId="77777777" w:rsidR="009109C6" w:rsidRPr="00E75889" w:rsidRDefault="009109C6" w:rsidP="00E75889">
      <w:pPr>
        <w:widowControl w:val="0"/>
        <w:tabs>
          <w:tab w:val="left" w:pos="540"/>
          <w:tab w:val="left" w:pos="569"/>
        </w:tabs>
        <w:jc w:val="both"/>
        <w:rPr>
          <w:b/>
          <w:bCs/>
          <w:sz w:val="22"/>
          <w:szCs w:val="22"/>
          <w:lang w:val="sr-Latn-RS"/>
        </w:rPr>
      </w:pPr>
    </w:p>
    <w:p w14:paraId="7D081ACC" w14:textId="1D913489" w:rsidR="0072020E"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5. </w:t>
      </w:r>
      <w:r w:rsidR="00480FB1" w:rsidRPr="00E75889">
        <w:rPr>
          <w:b/>
          <w:bCs/>
          <w:sz w:val="22"/>
          <w:szCs w:val="22"/>
          <w:lang w:val="sr-Latn-RS"/>
        </w:rPr>
        <w:tab/>
      </w:r>
      <w:r w:rsidRPr="00E75889">
        <w:rPr>
          <w:b/>
          <w:bCs/>
          <w:sz w:val="22"/>
          <w:szCs w:val="22"/>
          <w:lang w:val="sr-Latn-RS"/>
        </w:rPr>
        <w:t>FARMAKOLOŠK</w:t>
      </w:r>
      <w:r w:rsidR="000D425A" w:rsidRPr="00E75889">
        <w:rPr>
          <w:b/>
          <w:bCs/>
          <w:sz w:val="22"/>
          <w:szCs w:val="22"/>
          <w:lang w:val="sr-Latn-RS"/>
        </w:rPr>
        <w:t>I</w:t>
      </w:r>
      <w:r w:rsidRPr="00E75889">
        <w:rPr>
          <w:b/>
          <w:bCs/>
          <w:sz w:val="22"/>
          <w:szCs w:val="22"/>
          <w:lang w:val="sr-Latn-RS"/>
        </w:rPr>
        <w:t xml:space="preserve"> PODACI</w:t>
      </w:r>
    </w:p>
    <w:p w14:paraId="3AF90524" w14:textId="77777777" w:rsidR="0072020E" w:rsidRPr="00E75889" w:rsidRDefault="0072020E" w:rsidP="00E75889">
      <w:pPr>
        <w:widowControl w:val="0"/>
        <w:tabs>
          <w:tab w:val="left" w:pos="540"/>
          <w:tab w:val="left" w:pos="569"/>
        </w:tabs>
        <w:jc w:val="both"/>
        <w:rPr>
          <w:b/>
          <w:bCs/>
          <w:sz w:val="22"/>
          <w:szCs w:val="22"/>
          <w:lang w:val="sr-Latn-RS"/>
        </w:rPr>
      </w:pPr>
    </w:p>
    <w:p w14:paraId="7E46F863" w14:textId="77777777" w:rsidR="0072020E"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5.1. </w:t>
      </w:r>
      <w:r w:rsidR="00480FB1" w:rsidRPr="00E75889">
        <w:rPr>
          <w:b/>
          <w:bCs/>
          <w:sz w:val="22"/>
          <w:szCs w:val="22"/>
          <w:lang w:val="sr-Latn-RS"/>
        </w:rPr>
        <w:tab/>
      </w:r>
      <w:r w:rsidRPr="00E75889">
        <w:rPr>
          <w:b/>
          <w:bCs/>
          <w:sz w:val="22"/>
          <w:szCs w:val="22"/>
          <w:lang w:val="sr-Latn-RS"/>
        </w:rPr>
        <w:t>Farmakodinamski podaci</w:t>
      </w:r>
      <w:r w:rsidR="003A7059" w:rsidRPr="00E75889">
        <w:rPr>
          <w:b/>
          <w:bCs/>
          <w:sz w:val="22"/>
          <w:szCs w:val="22"/>
          <w:lang w:val="sr-Latn-RS"/>
        </w:rPr>
        <w:t xml:space="preserve"> </w:t>
      </w:r>
    </w:p>
    <w:p w14:paraId="03B3E4A8" w14:textId="77777777" w:rsidR="00F45F77" w:rsidRPr="00E75889" w:rsidRDefault="00F45F77" w:rsidP="00E75889">
      <w:pPr>
        <w:widowControl w:val="0"/>
        <w:tabs>
          <w:tab w:val="left" w:pos="540"/>
          <w:tab w:val="left" w:pos="569"/>
        </w:tabs>
        <w:jc w:val="both"/>
        <w:rPr>
          <w:b/>
          <w:bCs/>
          <w:sz w:val="22"/>
          <w:szCs w:val="22"/>
          <w:lang w:val="sr-Latn-RS"/>
        </w:rPr>
      </w:pPr>
    </w:p>
    <w:p w14:paraId="2757A9B8" w14:textId="3865B3E7" w:rsidR="0072020E" w:rsidRPr="00E75889" w:rsidRDefault="0072020E" w:rsidP="00E75889">
      <w:pPr>
        <w:widowControl w:val="0"/>
        <w:tabs>
          <w:tab w:val="left" w:pos="540"/>
          <w:tab w:val="left" w:pos="569"/>
        </w:tabs>
        <w:jc w:val="both"/>
        <w:rPr>
          <w:bCs/>
          <w:sz w:val="22"/>
          <w:szCs w:val="22"/>
          <w:lang w:val="sr-Latn-RS"/>
        </w:rPr>
      </w:pPr>
      <w:r w:rsidRPr="00E75889">
        <w:rPr>
          <w:bCs/>
          <w:sz w:val="22"/>
          <w:szCs w:val="22"/>
          <w:lang w:val="sr-Latn-RS"/>
        </w:rPr>
        <w:t>Farmakoterapijska grupa:</w:t>
      </w:r>
      <w:r w:rsidR="00EB75FD" w:rsidRPr="00E75889">
        <w:rPr>
          <w:sz w:val="22"/>
          <w:szCs w:val="22"/>
          <w:lang w:val="sr-Latn-RS"/>
        </w:rPr>
        <w:t xml:space="preserve"> </w:t>
      </w:r>
      <w:r w:rsidR="00EE6CD2" w:rsidRPr="00E75889">
        <w:rPr>
          <w:sz w:val="22"/>
          <w:szCs w:val="22"/>
          <w:lang w:val="sr-Latn-RS"/>
        </w:rPr>
        <w:t>i</w:t>
      </w:r>
      <w:r w:rsidR="00EE6CD2" w:rsidRPr="00E75889">
        <w:rPr>
          <w:sz w:val="22"/>
          <w:szCs w:val="22"/>
          <w:lang w:val="sr-Latn-RS" w:eastAsia="sr-Latn-ME"/>
        </w:rPr>
        <w:t>munosupresivi,</w:t>
      </w:r>
      <w:r w:rsidR="00EE6CD2" w:rsidRPr="00E75889">
        <w:rPr>
          <w:bCs/>
          <w:sz w:val="22"/>
          <w:szCs w:val="22"/>
          <w:lang w:val="sr-Latn-RS"/>
        </w:rPr>
        <w:t xml:space="preserve"> s</w:t>
      </w:r>
      <w:r w:rsidR="00EB75FD" w:rsidRPr="00E75889">
        <w:rPr>
          <w:bCs/>
          <w:sz w:val="22"/>
          <w:szCs w:val="22"/>
          <w:lang w:val="sr-Latn-RS"/>
        </w:rPr>
        <w:t>elektivni imunosupresivi</w:t>
      </w:r>
    </w:p>
    <w:p w14:paraId="6916C385" w14:textId="77777777" w:rsidR="0072020E" w:rsidRPr="00E75889" w:rsidRDefault="0072020E" w:rsidP="00E75889">
      <w:pPr>
        <w:widowControl w:val="0"/>
        <w:tabs>
          <w:tab w:val="left" w:pos="540"/>
          <w:tab w:val="left" w:pos="569"/>
        </w:tabs>
        <w:jc w:val="both"/>
        <w:rPr>
          <w:bCs/>
          <w:sz w:val="22"/>
          <w:szCs w:val="22"/>
          <w:lang w:val="sr-Latn-RS"/>
        </w:rPr>
      </w:pPr>
    </w:p>
    <w:p w14:paraId="2957B0B1" w14:textId="04581029" w:rsidR="0072020E" w:rsidRPr="004A5F60" w:rsidRDefault="0072020E" w:rsidP="00E75889">
      <w:pPr>
        <w:widowControl w:val="0"/>
        <w:tabs>
          <w:tab w:val="left" w:pos="540"/>
          <w:tab w:val="left" w:pos="569"/>
        </w:tabs>
        <w:jc w:val="both"/>
        <w:rPr>
          <w:sz w:val="22"/>
          <w:szCs w:val="22"/>
          <w:lang w:val="sr-Latn-RS"/>
        </w:rPr>
      </w:pPr>
      <w:r w:rsidRPr="00E75889">
        <w:rPr>
          <w:bCs/>
          <w:sz w:val="22"/>
          <w:szCs w:val="22"/>
          <w:lang w:val="sr-Latn-RS"/>
        </w:rPr>
        <w:t>ATC kod</w:t>
      </w:r>
      <w:r w:rsidRPr="004A5F60">
        <w:rPr>
          <w:sz w:val="22"/>
          <w:szCs w:val="22"/>
          <w:lang w:val="sr-Latn-RS"/>
        </w:rPr>
        <w:t>:</w:t>
      </w:r>
      <w:r w:rsidR="00EB75FD" w:rsidRPr="00E75889">
        <w:rPr>
          <w:sz w:val="22"/>
          <w:szCs w:val="22"/>
          <w:lang w:val="sr-Latn-RS"/>
        </w:rPr>
        <w:t xml:space="preserve"> </w:t>
      </w:r>
      <w:r w:rsidR="00E75889" w:rsidRPr="004A5F60">
        <w:rPr>
          <w:sz w:val="22"/>
          <w:szCs w:val="22"/>
          <w:lang w:val="sr-Latn-RS"/>
        </w:rPr>
        <w:t>L04AE01</w:t>
      </w:r>
    </w:p>
    <w:p w14:paraId="6AC0C03B" w14:textId="77777777" w:rsidR="00EE6CD2" w:rsidRPr="00E75889" w:rsidRDefault="00EE6CD2" w:rsidP="00E75889">
      <w:pPr>
        <w:widowControl w:val="0"/>
        <w:tabs>
          <w:tab w:val="left" w:pos="540"/>
          <w:tab w:val="left" w:pos="569"/>
        </w:tabs>
        <w:jc w:val="both"/>
        <w:rPr>
          <w:bCs/>
          <w:sz w:val="22"/>
          <w:szCs w:val="22"/>
          <w:lang w:val="sr-Latn-RS"/>
        </w:rPr>
      </w:pPr>
    </w:p>
    <w:p w14:paraId="302B3659" w14:textId="77777777" w:rsidR="00EB75FD" w:rsidRPr="00E75889" w:rsidRDefault="00EB75FD" w:rsidP="00E75889">
      <w:pPr>
        <w:pStyle w:val="Bodytext1"/>
        <w:widowControl w:val="0"/>
        <w:shd w:val="clear" w:color="auto" w:fill="auto"/>
        <w:spacing w:before="0" w:after="0" w:line="240" w:lineRule="auto"/>
        <w:ind w:firstLine="0"/>
        <w:jc w:val="both"/>
        <w:rPr>
          <w:rStyle w:val="Bodytext7"/>
          <w:sz w:val="22"/>
          <w:szCs w:val="22"/>
          <w:shd w:val="clear" w:color="auto" w:fill="auto"/>
          <w:lang w:val="sr-Latn-RS" w:eastAsia="en-US"/>
        </w:rPr>
      </w:pPr>
      <w:r w:rsidRPr="00E75889">
        <w:rPr>
          <w:rStyle w:val="Bodytext7"/>
          <w:sz w:val="22"/>
          <w:szCs w:val="22"/>
          <w:shd w:val="clear" w:color="auto" w:fill="auto"/>
          <w:lang w:val="sr-Latn-RS" w:eastAsia="en-US"/>
        </w:rPr>
        <w:t>Mehanizam djelovanja</w:t>
      </w:r>
    </w:p>
    <w:p w14:paraId="04D0B29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5606F3F" w14:textId="64A9C71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je modulator receptora sfingozin 1-fosfata.</w:t>
      </w:r>
      <w:r w:rsidR="00BF42F0" w:rsidRPr="00E75889">
        <w:rPr>
          <w:sz w:val="22"/>
          <w:szCs w:val="22"/>
          <w:lang w:val="sr-Latn-RS" w:eastAsia="en-US"/>
        </w:rPr>
        <w:t xml:space="preserve"> </w:t>
      </w:r>
      <w:r w:rsidRPr="00E75889">
        <w:rPr>
          <w:sz w:val="22"/>
          <w:szCs w:val="22"/>
          <w:lang w:val="sr-Latn-RS" w:eastAsia="en-US"/>
        </w:rPr>
        <w:t>Fingolimod se metaboliše preko sfingozin kinaze u aktivni metabolit fingolimod fosfat. Fingolimod fosfat se u niskim nanomolarnim koncentracijama vezuje za</w:t>
      </w:r>
      <w:r w:rsidR="00BF42F0" w:rsidRPr="00E75889">
        <w:rPr>
          <w:sz w:val="22"/>
          <w:szCs w:val="22"/>
          <w:lang w:val="sr-Latn-RS" w:eastAsia="en-US"/>
        </w:rPr>
        <w:t xml:space="preserve"> </w:t>
      </w:r>
      <w:r w:rsidRPr="00E75889">
        <w:rPr>
          <w:sz w:val="22"/>
          <w:szCs w:val="22"/>
          <w:lang w:val="sr-Latn-RS" w:eastAsia="en-US"/>
        </w:rPr>
        <w:t xml:space="preserve">receptor 1 sfingozin 1-fosfata (S1P) koji se nalazi na limfocitima i lako prolazi krvno-moždanu barijeru pa se vezuje za S1P receptor 1 koji se nalazi na nervnim ćelijama u centralnom nervnom sistemu (CNS). Djelujući kao funkcionalni antagonist S1P receptora na limfocitima, fingolimod fosfat blokira sposobnost limfocita da napuste limfne noduse, izazivajući više redistribuciju, nego depleciju limfocita. Studije na životinjama su pokazale da ova redistribucija smanjuje infiltraciju patogenih limfocitnih ćelija, uključujući pro-inflamatorne ćelije Th17 u CNS, gdje bi one bile uključene u razvoj </w:t>
      </w:r>
      <w:r w:rsidR="00E07E33" w:rsidRPr="00E75889">
        <w:rPr>
          <w:sz w:val="22"/>
          <w:szCs w:val="22"/>
          <w:lang w:val="sr-Latn-RS" w:eastAsia="en-US"/>
        </w:rPr>
        <w:t>zapaljenja</w:t>
      </w:r>
      <w:r w:rsidRPr="00E75889">
        <w:rPr>
          <w:sz w:val="22"/>
          <w:szCs w:val="22"/>
          <w:lang w:val="sr-Latn-RS" w:eastAsia="en-US"/>
        </w:rPr>
        <w:t xml:space="preserve"> nerava i oštećenje nervnog tkiva. Studije na životinjama i </w:t>
      </w:r>
      <w:r w:rsidRPr="00E75889">
        <w:rPr>
          <w:rStyle w:val="BodytextItalic1"/>
          <w:sz w:val="22"/>
          <w:szCs w:val="22"/>
          <w:shd w:val="clear" w:color="auto" w:fill="auto"/>
          <w:lang w:val="sr-Latn-RS" w:eastAsia="en-US"/>
        </w:rPr>
        <w:t>in vitro</w:t>
      </w:r>
      <w:r w:rsidRPr="00E75889">
        <w:rPr>
          <w:sz w:val="22"/>
          <w:szCs w:val="22"/>
          <w:lang w:val="sr-Latn-RS" w:eastAsia="en-US"/>
        </w:rPr>
        <w:t xml:space="preserve"> eksperimenti </w:t>
      </w:r>
      <w:r w:rsidR="00E07E33" w:rsidRPr="00E75889">
        <w:rPr>
          <w:sz w:val="22"/>
          <w:szCs w:val="22"/>
          <w:lang w:val="sr-Latn-RS" w:eastAsia="en-US"/>
        </w:rPr>
        <w:t>ukazuju</w:t>
      </w:r>
      <w:r w:rsidRPr="00E75889">
        <w:rPr>
          <w:sz w:val="22"/>
          <w:szCs w:val="22"/>
          <w:lang w:val="sr-Latn-RS" w:eastAsia="en-US"/>
        </w:rPr>
        <w:t xml:space="preserve"> da fingolimod može da djeluje i putem interakcije sa S1P receptorima na nervnim ćelijama.</w:t>
      </w:r>
    </w:p>
    <w:p w14:paraId="6E21874B" w14:textId="371D8CCA" w:rsidR="009109C6" w:rsidRPr="00E75889" w:rsidRDefault="009109C6" w:rsidP="00E75889">
      <w:pPr>
        <w:pStyle w:val="Bodytext1"/>
        <w:widowControl w:val="0"/>
        <w:shd w:val="clear" w:color="auto" w:fill="auto"/>
        <w:spacing w:before="0" w:after="0" w:line="240" w:lineRule="auto"/>
        <w:ind w:firstLine="0"/>
        <w:jc w:val="both"/>
        <w:rPr>
          <w:rStyle w:val="Bodytext7"/>
          <w:sz w:val="22"/>
          <w:szCs w:val="22"/>
          <w:shd w:val="clear" w:color="auto" w:fill="auto"/>
          <w:lang w:val="sr-Latn-RS" w:eastAsia="en-US"/>
        </w:rPr>
      </w:pPr>
    </w:p>
    <w:p w14:paraId="4FE457D7" w14:textId="2328C530" w:rsidR="00EB75FD" w:rsidRPr="00E75889" w:rsidRDefault="00EB75FD" w:rsidP="00E75889">
      <w:pPr>
        <w:pStyle w:val="Bodytext1"/>
        <w:widowControl w:val="0"/>
        <w:shd w:val="clear" w:color="auto" w:fill="auto"/>
        <w:spacing w:before="0" w:after="0" w:line="240" w:lineRule="auto"/>
        <w:ind w:firstLine="0"/>
        <w:jc w:val="both"/>
        <w:rPr>
          <w:rStyle w:val="Bodytext7"/>
          <w:sz w:val="22"/>
          <w:szCs w:val="22"/>
          <w:shd w:val="clear" w:color="auto" w:fill="auto"/>
          <w:lang w:val="sr-Latn-RS" w:eastAsia="en-US"/>
        </w:rPr>
      </w:pPr>
      <w:r w:rsidRPr="00E75889">
        <w:rPr>
          <w:rStyle w:val="Bodytext7"/>
          <w:sz w:val="22"/>
          <w:szCs w:val="22"/>
          <w:shd w:val="clear" w:color="auto" w:fill="auto"/>
          <w:lang w:val="sr-Latn-RS" w:eastAsia="en-US"/>
        </w:rPr>
        <w:t>Farmakodinamska dejstva</w:t>
      </w:r>
    </w:p>
    <w:p w14:paraId="568ED6EB" w14:textId="77777777" w:rsidR="00EE6CD2" w:rsidRPr="00E75889" w:rsidRDefault="00EE6CD2" w:rsidP="00E75889">
      <w:pPr>
        <w:pStyle w:val="Bodytext1"/>
        <w:widowControl w:val="0"/>
        <w:shd w:val="clear" w:color="auto" w:fill="auto"/>
        <w:spacing w:before="0" w:after="0" w:line="240" w:lineRule="auto"/>
        <w:ind w:firstLine="0"/>
        <w:jc w:val="both"/>
        <w:rPr>
          <w:sz w:val="22"/>
          <w:szCs w:val="22"/>
          <w:lang w:val="sr-Latn-RS" w:eastAsia="en-US"/>
        </w:rPr>
      </w:pPr>
    </w:p>
    <w:p w14:paraId="64FAF62B" w14:textId="6047FCCC"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lastRenderedPageBreak/>
        <w:t>U roku od 4-6</w:t>
      </w:r>
      <w:r w:rsidR="00E77DAE" w:rsidRPr="00E75889">
        <w:rPr>
          <w:sz w:val="22"/>
          <w:szCs w:val="22"/>
          <w:lang w:val="sr-Latn-RS" w:eastAsia="en-US"/>
        </w:rPr>
        <w:t xml:space="preserve"> sati</w:t>
      </w:r>
      <w:r w:rsidRPr="00E75889">
        <w:rPr>
          <w:sz w:val="22"/>
          <w:szCs w:val="22"/>
          <w:lang w:val="sr-Latn-RS" w:eastAsia="en-US"/>
        </w:rPr>
        <w:t xml:space="preserve"> nakon prve doze 0,5 mg fingolimoda, broj limfocita se smanjuje do približno 75% od početne vrijednosti u perifernoj krvi. Sa nastavkom svakodnevnog doziranja, broj limfocita nastavlja da opada tokom perioda od dvije nedjelje i postiže minimalni broj od približno 500 ćelija/mikrolitar ili približno 30% početne vrijednosti. 18%</w:t>
      </w:r>
      <w:r w:rsidR="00BF42F0" w:rsidRPr="00E75889">
        <w:rPr>
          <w:sz w:val="22"/>
          <w:szCs w:val="22"/>
          <w:lang w:val="sr-Latn-RS" w:eastAsia="en-US"/>
        </w:rPr>
        <w:t xml:space="preserve"> </w:t>
      </w:r>
      <w:r w:rsidRPr="00E75889">
        <w:rPr>
          <w:sz w:val="22"/>
          <w:szCs w:val="22"/>
          <w:lang w:val="sr-Latn-RS" w:eastAsia="en-US"/>
        </w:rPr>
        <w:t>pacijenata postiglo je minimalni broj ispod 200 ćelija/mikrolitar u bar jednom mjerenju. Hroničnim, svakodnevnim doziranjem održava se niski broj limfocita. Većina T i B limfocita redovno prolazi kroz limfoidne organe i fingolimod</w:t>
      </w:r>
      <w:r w:rsidR="00BF42F0" w:rsidRPr="00E75889">
        <w:rPr>
          <w:sz w:val="22"/>
          <w:szCs w:val="22"/>
          <w:lang w:val="sr-Latn-RS" w:eastAsia="en-US"/>
        </w:rPr>
        <w:t xml:space="preserve"> </w:t>
      </w:r>
      <w:r w:rsidRPr="00E75889">
        <w:rPr>
          <w:sz w:val="22"/>
          <w:szCs w:val="22"/>
          <w:lang w:val="sr-Latn-RS" w:eastAsia="en-US"/>
        </w:rPr>
        <w:t>uglavnom utiče na te ćelije. Približno 15-20% T limfocita ima fenotip efektorskih memorijskih</w:t>
      </w:r>
      <w:r w:rsidR="00BF42F0" w:rsidRPr="00E75889">
        <w:rPr>
          <w:sz w:val="22"/>
          <w:szCs w:val="22"/>
          <w:lang w:val="sr-Latn-RS" w:eastAsia="en-US"/>
        </w:rPr>
        <w:t xml:space="preserve"> </w:t>
      </w:r>
      <w:r w:rsidRPr="00E75889">
        <w:rPr>
          <w:sz w:val="22"/>
          <w:szCs w:val="22"/>
          <w:lang w:val="sr-Latn-RS" w:eastAsia="en-US"/>
        </w:rPr>
        <w:t>ćelija, koje su važne za periferni imunološki nadzor. Budući da ova podgrupa limfocita tipično ne ide u limfoidne organe, na njih fingolimod ne djeluje. Porast broja perifernih limfocita je očigledan u toku nekoliko dana po prestanku</w:t>
      </w:r>
      <w:r w:rsidR="00BF42F0" w:rsidRPr="00E75889">
        <w:rPr>
          <w:sz w:val="22"/>
          <w:szCs w:val="22"/>
          <w:lang w:val="sr-Latn-RS" w:eastAsia="en-US"/>
        </w:rPr>
        <w:t xml:space="preserve"> </w:t>
      </w:r>
      <w:r w:rsidRPr="00E75889">
        <w:rPr>
          <w:sz w:val="22"/>
          <w:szCs w:val="22"/>
          <w:lang w:val="sr-Latn-RS" w:eastAsia="en-US"/>
        </w:rPr>
        <w:t>terapije fingolimodom, pa se normalne vrijednosti tipično vraćaju poslije dva mjeseca. Hronično davanje fingolimoda dovodi do blagog smanjenja broja neutrofila na približno 80% od početne vrijednosti. Fingolimod ne djeluje na monocite.</w:t>
      </w:r>
    </w:p>
    <w:p w14:paraId="0AC2B1B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A281750" w14:textId="0D1640BB"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uzrokuje prolazno sniženje srč</w:t>
      </w:r>
      <w:r w:rsidR="001C7DFA" w:rsidRPr="00E75889">
        <w:rPr>
          <w:sz w:val="22"/>
          <w:szCs w:val="22"/>
          <w:lang w:val="sr-Latn-RS" w:eastAsia="en-US"/>
        </w:rPr>
        <w:t>a</w:t>
      </w:r>
      <w:r w:rsidRPr="00E75889">
        <w:rPr>
          <w:sz w:val="22"/>
          <w:szCs w:val="22"/>
          <w:lang w:val="sr-Latn-RS" w:eastAsia="en-US"/>
        </w:rPr>
        <w:t xml:space="preserve">ne frekvence i usporenje atrioventrikularnog sprovođenja na početku terapije (vidjeti </w:t>
      </w:r>
      <w:r w:rsidR="00282BF1" w:rsidRPr="00E75889">
        <w:rPr>
          <w:sz w:val="22"/>
          <w:szCs w:val="22"/>
          <w:lang w:val="sr-Latn-RS" w:eastAsia="en-US"/>
        </w:rPr>
        <w:t>djelove</w:t>
      </w:r>
      <w:r w:rsidRPr="00E75889">
        <w:rPr>
          <w:sz w:val="22"/>
          <w:szCs w:val="22"/>
          <w:lang w:val="sr-Latn-RS" w:eastAsia="en-US"/>
        </w:rPr>
        <w:t xml:space="preserve"> 4.4 i 4.8). Maksimaln</w:t>
      </w:r>
      <w:r w:rsidR="001C7DFA" w:rsidRPr="00E75889">
        <w:rPr>
          <w:sz w:val="22"/>
          <w:szCs w:val="22"/>
          <w:lang w:val="sr-Latn-RS" w:eastAsia="en-US"/>
        </w:rPr>
        <w:t>o smanjenje srčane frekvence</w:t>
      </w:r>
      <w:r w:rsidRPr="00E75889">
        <w:rPr>
          <w:sz w:val="22"/>
          <w:szCs w:val="22"/>
          <w:lang w:val="sr-Latn-RS" w:eastAsia="en-US"/>
        </w:rPr>
        <w:t xml:space="preserve"> vidi se u toku 6</w:t>
      </w:r>
      <w:r w:rsidR="001C7DFA" w:rsidRPr="00E75889">
        <w:rPr>
          <w:sz w:val="22"/>
          <w:szCs w:val="22"/>
          <w:lang w:val="sr-Latn-RS" w:eastAsia="en-US"/>
        </w:rPr>
        <w:t xml:space="preserve"> sati</w:t>
      </w:r>
      <w:r w:rsidRPr="00E75889">
        <w:rPr>
          <w:sz w:val="22"/>
          <w:szCs w:val="22"/>
          <w:lang w:val="sr-Latn-RS" w:eastAsia="en-US"/>
        </w:rPr>
        <w:t xml:space="preserve"> po uzimanju doze, a 70% negativnog hronotropnog dejstva postiže se prvog dana. Sa kontinuiranim uzimanjem ovog lijeka </w:t>
      </w:r>
      <w:r w:rsidR="001C7DFA" w:rsidRPr="00E75889">
        <w:rPr>
          <w:sz w:val="22"/>
          <w:szCs w:val="22"/>
          <w:lang w:val="sr-Latn-RS" w:eastAsia="en-US"/>
        </w:rPr>
        <w:t>srčana frekvenca</w:t>
      </w:r>
      <w:r w:rsidRPr="00E75889">
        <w:rPr>
          <w:sz w:val="22"/>
          <w:szCs w:val="22"/>
          <w:lang w:val="sr-Latn-RS" w:eastAsia="en-US"/>
        </w:rPr>
        <w:t xml:space="preserve"> se vraća na početne vrijednosti u toku mjesec dana. </w:t>
      </w:r>
      <w:r w:rsidR="001C7DFA" w:rsidRPr="00E75889">
        <w:rPr>
          <w:sz w:val="22"/>
          <w:szCs w:val="22"/>
          <w:lang w:val="sr-Latn-RS" w:eastAsia="en-US"/>
        </w:rPr>
        <w:t>Smanjenje srčane frekvence</w:t>
      </w:r>
      <w:r w:rsidRPr="00E75889">
        <w:rPr>
          <w:sz w:val="22"/>
          <w:szCs w:val="22"/>
          <w:lang w:val="sr-Latn-RS" w:eastAsia="en-US"/>
        </w:rPr>
        <w:t xml:space="preserve"> koje izaziva fingolimod može se neutralizovati parenteralnom primjenom atropina ili izoprenalina. Pokazalo se i da inhalacija salmeterola ima umjereno pozitivno hronotropno dejstvo. Sa započinjanjem terapije fingolimodom dolazi do povećanja broja prijevremenih kontrakcija pretkomora, ali nema povećane stope atrijalnih fibrilacija/flatera, niti ventrikularne aritmije, niti ektopije. Terapija fingolimodom se ne dovodi u vezu sa smanjenjem minutnog volumena. Fingolimod ne utiče na odgovor srca na nadražaj autoimunog nervnog sistema, uključujući varijacije srčane frekvence tokom dana i odgovor na fizičku aktivnost.</w:t>
      </w:r>
    </w:p>
    <w:p w14:paraId="1F13387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F6B3136" w14:textId="23B8543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S1P4 može djelimično da doprinese efektu ali nije glavni receptor odgovoran za depleciju limfocita. Mehanizam nastanka bradikardije i vazokonstrikcije su takođe ispitivani </w:t>
      </w:r>
      <w:r w:rsidRPr="00E75889">
        <w:rPr>
          <w:i/>
          <w:sz w:val="22"/>
          <w:szCs w:val="22"/>
          <w:lang w:val="sr-Latn-RS"/>
        </w:rPr>
        <w:t>in vitro</w:t>
      </w:r>
      <w:r w:rsidRPr="00E75889">
        <w:rPr>
          <w:sz w:val="22"/>
          <w:szCs w:val="22"/>
          <w:lang w:val="sr-Latn-RS"/>
        </w:rPr>
        <w:t xml:space="preserve"> kod kunića i na izolovanoj aorti i koronarnoj arteriji zeca. Zaključeno je da bradikardija može biti posredovana primarno aktivacijom ulazno ispravljačkih kalijumovih kanala ili G-protein aktiviranih ulazno ispravljačkih K</w:t>
      </w:r>
      <w:r w:rsidRPr="00E75889">
        <w:rPr>
          <w:sz w:val="22"/>
          <w:szCs w:val="22"/>
          <w:vertAlign w:val="superscript"/>
          <w:lang w:val="sr-Latn-RS"/>
        </w:rPr>
        <w:t>+</w:t>
      </w:r>
      <w:r w:rsidRPr="00E75889">
        <w:rPr>
          <w:sz w:val="22"/>
          <w:szCs w:val="22"/>
          <w:lang w:val="sr-Latn-RS"/>
        </w:rPr>
        <w:t xml:space="preserve"> kanala (</w:t>
      </w:r>
      <w:r w:rsidRPr="00E75889">
        <w:rPr>
          <w:i/>
          <w:sz w:val="22"/>
          <w:szCs w:val="22"/>
          <w:lang w:val="sr-Latn-RS"/>
        </w:rPr>
        <w:t>engl.</w:t>
      </w:r>
      <w:r w:rsidRPr="00E75889">
        <w:rPr>
          <w:sz w:val="22"/>
          <w:szCs w:val="22"/>
          <w:lang w:val="sr-Latn-RS"/>
        </w:rPr>
        <w:t xml:space="preserve"> IKACh/GIRK) i da izgleda da je vazokonstrikcija posredovana Rho kinazom i kalcijum zavisnim mehanizmom.</w:t>
      </w:r>
    </w:p>
    <w:p w14:paraId="0E4BACA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82A3EF6" w14:textId="5A08226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Terapija fingolimodom, pojedinačnim ili multiplim dozama od 0,5mg</w:t>
      </w:r>
      <w:r w:rsidR="00BF42F0" w:rsidRPr="00E75889">
        <w:rPr>
          <w:sz w:val="22"/>
          <w:szCs w:val="22"/>
          <w:lang w:val="sr-Latn-RS" w:eastAsia="en-US"/>
        </w:rPr>
        <w:t xml:space="preserve"> </w:t>
      </w:r>
      <w:r w:rsidRPr="00E75889">
        <w:rPr>
          <w:sz w:val="22"/>
          <w:szCs w:val="22"/>
          <w:lang w:val="sr-Latn-RS" w:eastAsia="en-US"/>
        </w:rPr>
        <w:t>i 1,25 mg tokom dvije nedjelje nije povezana sa mjerljivim povećanjem otpora disajnih puteva mjerenog preko FEV</w:t>
      </w:r>
      <w:r w:rsidRPr="00E75889">
        <w:rPr>
          <w:rStyle w:val="Bodytext4pt2"/>
          <w:noProof w:val="0"/>
          <w:sz w:val="22"/>
          <w:szCs w:val="22"/>
          <w:shd w:val="clear" w:color="auto" w:fill="auto"/>
          <w:lang w:val="sr-Latn-RS" w:eastAsia="en-US"/>
        </w:rPr>
        <w:t>1</w:t>
      </w:r>
      <w:r w:rsidRPr="00E75889">
        <w:rPr>
          <w:sz w:val="22"/>
          <w:szCs w:val="22"/>
          <w:lang w:val="sr-Latn-RS" w:eastAsia="en-US"/>
        </w:rPr>
        <w:t xml:space="preserve"> i stopom forsiranog ekspiratornog volumena (FEF) 25-75. Međutim, pojedinačne doze fingolimoda ≥ 5 mg (10 puta veće od preporučene doze) povezuju se sa dozno zavisnim porastom otpora vazdušnih puteva. Terapija fingolimodom, multiplim dozama od 0,5mg, 1,25mg ili 5 mg nije povezana sa poremećenom oksigenacijom ili desaturacijom kiseonika pri fizičkom naporu ili sa pojačanim odgovorom disajnih puteva na metaholin. Ispitanici na terapiji fingolimodom imali su normalan bronhodilatator</w:t>
      </w:r>
      <w:r w:rsidR="00EE6CD2" w:rsidRPr="00E75889">
        <w:rPr>
          <w:sz w:val="22"/>
          <w:szCs w:val="22"/>
          <w:lang w:val="sr-Latn-RS" w:eastAsia="en-US"/>
        </w:rPr>
        <w:t>n</w:t>
      </w:r>
      <w:r w:rsidRPr="00E75889">
        <w:rPr>
          <w:sz w:val="22"/>
          <w:szCs w:val="22"/>
          <w:lang w:val="sr-Latn-RS" w:eastAsia="en-US"/>
        </w:rPr>
        <w:t>i odgovor pri inhalaciji beta-agonista.</w:t>
      </w:r>
    </w:p>
    <w:p w14:paraId="57BE05C2" w14:textId="77777777" w:rsidR="00EB75FD" w:rsidRPr="00E75889" w:rsidRDefault="00EB75FD" w:rsidP="00E75889">
      <w:pPr>
        <w:pStyle w:val="Bodytext1"/>
        <w:widowControl w:val="0"/>
        <w:shd w:val="clear" w:color="auto" w:fill="auto"/>
        <w:spacing w:before="0" w:after="0" w:line="240" w:lineRule="auto"/>
        <w:ind w:firstLine="0"/>
        <w:jc w:val="both"/>
        <w:rPr>
          <w:rStyle w:val="Bodytext6"/>
          <w:sz w:val="22"/>
          <w:szCs w:val="22"/>
          <w:lang w:val="sr-Latn-RS" w:eastAsia="en-US"/>
        </w:rPr>
      </w:pPr>
    </w:p>
    <w:p w14:paraId="2FEFCBA1" w14:textId="77777777" w:rsidR="00EB75FD" w:rsidRPr="00E75889" w:rsidRDefault="00EB75FD" w:rsidP="00E75889">
      <w:pPr>
        <w:pStyle w:val="Bodytext1"/>
        <w:widowControl w:val="0"/>
        <w:shd w:val="clear" w:color="auto" w:fill="auto"/>
        <w:spacing w:before="0" w:after="0" w:line="240" w:lineRule="auto"/>
        <w:ind w:firstLine="0"/>
        <w:jc w:val="both"/>
        <w:rPr>
          <w:rStyle w:val="Bodytext6"/>
          <w:sz w:val="22"/>
          <w:szCs w:val="22"/>
          <w:lang w:val="sr-Latn-RS" w:eastAsia="en-US"/>
        </w:rPr>
      </w:pPr>
      <w:r w:rsidRPr="00E75889">
        <w:rPr>
          <w:rStyle w:val="Bodytext6"/>
          <w:sz w:val="22"/>
          <w:szCs w:val="22"/>
          <w:lang w:val="sr-Latn-RS" w:eastAsia="en-US"/>
        </w:rPr>
        <w:t>Klinička efikasnost i bezbjednost</w:t>
      </w:r>
    </w:p>
    <w:p w14:paraId="1D63A56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2CCFF97" w14:textId="29BDECC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Efikasnost </w:t>
      </w:r>
      <w:r w:rsidRPr="00E75889">
        <w:rPr>
          <w:sz w:val="22"/>
          <w:szCs w:val="22"/>
          <w:lang w:val="sr-Latn-RS"/>
        </w:rPr>
        <w:t>fingolimoda</w:t>
      </w:r>
      <w:r w:rsidRPr="00E75889">
        <w:rPr>
          <w:sz w:val="22"/>
          <w:szCs w:val="22"/>
          <w:lang w:val="sr-Latn-RS" w:eastAsia="en-US"/>
        </w:rPr>
        <w:t xml:space="preserve"> pokazana je u dvije studije koje su procjenjivale doze fingolimoda od 0,5 mg i 1,25 mg jednom dnevno kod pacijenata sa relapsno-remitentnim</w:t>
      </w:r>
      <w:r w:rsidR="00BF42F0" w:rsidRPr="00E75889">
        <w:rPr>
          <w:sz w:val="22"/>
          <w:szCs w:val="22"/>
          <w:lang w:val="sr-Latn-RS" w:eastAsia="en-US"/>
        </w:rPr>
        <w:t xml:space="preserve"> </w:t>
      </w:r>
      <w:r w:rsidRPr="00E75889">
        <w:rPr>
          <w:sz w:val="22"/>
          <w:szCs w:val="22"/>
          <w:lang w:val="sr-Latn-RS" w:eastAsia="en-US"/>
        </w:rPr>
        <w:t xml:space="preserve">oblikom multiple skleroze (RRMS). Obje studije uključile su pacijente koji su imali ≥ 2 relapsa u prethodne 2 godine ili ≥ 1 relapsa tokom prethodne godine. </w:t>
      </w:r>
      <w:r w:rsidR="009E4724" w:rsidRPr="00E75889">
        <w:rPr>
          <w:sz w:val="22"/>
          <w:szCs w:val="22"/>
          <w:lang w:val="sr-Latn-RS" w:eastAsia="en-US"/>
        </w:rPr>
        <w:t xml:space="preserve">Rezultat na proširenoj skali statusa </w:t>
      </w:r>
      <w:r w:rsidRPr="00E75889">
        <w:rPr>
          <w:sz w:val="22"/>
          <w:szCs w:val="22"/>
          <w:lang w:val="sr-Latn-RS" w:eastAsia="en-US"/>
        </w:rPr>
        <w:t>invalidnosti (</w:t>
      </w:r>
      <w:r w:rsidR="00674EFD" w:rsidRPr="00E75889">
        <w:rPr>
          <w:sz w:val="22"/>
          <w:szCs w:val="22"/>
          <w:lang w:val="sr-Latn-RS" w:eastAsia="en-US"/>
        </w:rPr>
        <w:t xml:space="preserve">engl. </w:t>
      </w:r>
      <w:r w:rsidRPr="00E75889">
        <w:rPr>
          <w:i/>
          <w:sz w:val="22"/>
          <w:szCs w:val="22"/>
          <w:lang w:val="sr-Latn-RS" w:eastAsia="en-US"/>
        </w:rPr>
        <w:t>Expandad Disability Status Score</w:t>
      </w:r>
      <w:r w:rsidRPr="00E75889">
        <w:rPr>
          <w:sz w:val="22"/>
          <w:szCs w:val="22"/>
          <w:lang w:val="sr-Latn-RS" w:eastAsia="en-US"/>
        </w:rPr>
        <w:t xml:space="preserve"> - EDSS) bio je između 0 i 5,5. Treće ispitivanje koje je bilo usmjereno na istu populaciju pacijenata završeno je nakon registracije lijeka Gilenya.</w:t>
      </w:r>
    </w:p>
    <w:p w14:paraId="5D760CE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4DA244F" w14:textId="32FAFDCB"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Studija D2301 (FREEDOMS) bila je dvogodišnja, randomizovana, dvostruko slijepa, placebo-kontrolisana studija faze III sa 1272 pacijenta (n=425 sa 0,5 mg, 429 sa 1,25 mg, 418 sa placebom). </w:t>
      </w:r>
      <w:r w:rsidR="00EE6CD2" w:rsidRPr="00E75889">
        <w:rPr>
          <w:sz w:val="22"/>
          <w:szCs w:val="22"/>
          <w:lang w:val="sr-Latn-RS" w:eastAsia="en-US"/>
        </w:rPr>
        <w:t>Medijane</w:t>
      </w:r>
      <w:r w:rsidRPr="00E75889">
        <w:rPr>
          <w:sz w:val="22"/>
          <w:szCs w:val="22"/>
          <w:lang w:val="sr-Latn-RS" w:eastAsia="en-US"/>
        </w:rPr>
        <w:t xml:space="preserve"> početnih parametara bile su sljedeće: starost 37 godina, trajanje bolesti 6,7 godina i skor EDSS 2,0. Dobijeni rezultati prikazani su u Tabeli 1. </w:t>
      </w:r>
      <w:r w:rsidR="00B90BBA" w:rsidRPr="00E75889">
        <w:rPr>
          <w:sz w:val="22"/>
          <w:szCs w:val="22"/>
          <w:lang w:val="sr-Latn-RS" w:eastAsia="en-US"/>
        </w:rPr>
        <w:t>Ni k</w:t>
      </w:r>
      <w:r w:rsidRPr="00E75889">
        <w:rPr>
          <w:sz w:val="22"/>
          <w:szCs w:val="22"/>
          <w:lang w:val="sr-Latn-RS" w:eastAsia="en-US"/>
        </w:rPr>
        <w:t xml:space="preserve">od jednog parametra </w:t>
      </w:r>
      <w:r w:rsidR="00674EFD" w:rsidRPr="00E75889">
        <w:rPr>
          <w:sz w:val="22"/>
          <w:szCs w:val="22"/>
          <w:lang w:val="sr-Latn-RS" w:eastAsia="en-US"/>
        </w:rPr>
        <w:t xml:space="preserve">praćenja </w:t>
      </w:r>
      <w:r w:rsidRPr="00E75889">
        <w:rPr>
          <w:sz w:val="22"/>
          <w:szCs w:val="22"/>
          <w:lang w:val="sr-Latn-RS" w:eastAsia="en-US"/>
        </w:rPr>
        <w:t xml:space="preserve">nije bilo značajne razlike između doza od 0,5 mg i 1,25 mg. </w:t>
      </w:r>
    </w:p>
    <w:p w14:paraId="5F9EB2A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638B85C" w14:textId="77777777" w:rsidR="00EB75FD" w:rsidRPr="00E75889" w:rsidRDefault="00EB75FD" w:rsidP="00E75889">
      <w:pPr>
        <w:pStyle w:val="Bodytext1"/>
        <w:widowControl w:val="0"/>
        <w:shd w:val="clear" w:color="auto" w:fill="auto"/>
        <w:spacing w:before="0" w:after="0" w:line="240" w:lineRule="auto"/>
        <w:ind w:firstLine="0"/>
        <w:jc w:val="both"/>
        <w:rPr>
          <w:b/>
          <w:sz w:val="22"/>
          <w:szCs w:val="22"/>
          <w:lang w:val="sr-Latn-RS" w:eastAsia="en-US"/>
        </w:rPr>
      </w:pPr>
      <w:r w:rsidRPr="00E75889">
        <w:rPr>
          <w:b/>
          <w:sz w:val="22"/>
          <w:szCs w:val="22"/>
          <w:lang w:val="sr-Latn-RS" w:eastAsia="en-US"/>
        </w:rPr>
        <w:t>Tabela 1: Studija D2301 (FREEDOMS): Glavni rezultati</w:t>
      </w:r>
    </w:p>
    <w:p w14:paraId="29059FC1" w14:textId="77777777" w:rsidR="00EB75FD" w:rsidRPr="00E75889" w:rsidRDefault="00EB75FD" w:rsidP="00E75889">
      <w:pPr>
        <w:pStyle w:val="Bodytext1"/>
        <w:widowControl w:val="0"/>
        <w:shd w:val="clear" w:color="auto" w:fill="auto"/>
        <w:spacing w:before="0" w:after="0" w:line="240" w:lineRule="auto"/>
        <w:ind w:firstLine="0"/>
        <w:jc w:val="both"/>
        <w:rPr>
          <w:b/>
          <w:sz w:val="22"/>
          <w:szCs w:val="22"/>
          <w:lang w:val="sr-Latn-RS" w:eastAsia="en-US"/>
        </w:rPr>
      </w:pPr>
    </w:p>
    <w:tbl>
      <w:tblPr>
        <w:tblW w:w="5000" w:type="pct"/>
        <w:tblCellMar>
          <w:left w:w="0" w:type="dxa"/>
          <w:right w:w="0" w:type="dxa"/>
        </w:tblCellMar>
        <w:tblLook w:val="0000" w:firstRow="0" w:lastRow="0" w:firstColumn="0" w:lastColumn="0" w:noHBand="0" w:noVBand="0"/>
      </w:tblPr>
      <w:tblGrid>
        <w:gridCol w:w="5048"/>
        <w:gridCol w:w="2003"/>
        <w:gridCol w:w="2012"/>
      </w:tblGrid>
      <w:tr w:rsidR="00EB75FD" w:rsidRPr="00E75889" w14:paraId="403F9A19" w14:textId="77777777" w:rsidTr="00E75889">
        <w:trPr>
          <w:trHeight w:val="533"/>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7CE6C07" w14:textId="77777777" w:rsidR="00EB75FD" w:rsidRPr="00E75889" w:rsidRDefault="00EB75FD" w:rsidP="00E75889">
            <w:pPr>
              <w:widowControl w:val="0"/>
              <w:jc w:val="both"/>
              <w:rPr>
                <w:sz w:val="22"/>
                <w:szCs w:val="22"/>
                <w:lang w:val="sr-Latn-RS" w:eastAsia="zh-CN"/>
              </w:rPr>
            </w:pP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25133C3C"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Fingolimod 0,5 mg</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DFA8EA7"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Placebo</w:t>
            </w:r>
          </w:p>
        </w:tc>
      </w:tr>
      <w:tr w:rsidR="00EB75FD" w:rsidRPr="00E75889" w14:paraId="311A9983"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63078D9E"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Klinički parametri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33D0CCC0"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C4BC03B" w14:textId="77777777" w:rsidR="00EB75FD" w:rsidRPr="00E75889" w:rsidRDefault="00EB75FD" w:rsidP="00E75889">
            <w:pPr>
              <w:widowControl w:val="0"/>
              <w:jc w:val="both"/>
              <w:rPr>
                <w:sz w:val="22"/>
                <w:szCs w:val="22"/>
                <w:lang w:val="sr-Latn-RS" w:eastAsia="zh-CN"/>
              </w:rPr>
            </w:pPr>
          </w:p>
        </w:tc>
      </w:tr>
      <w:tr w:rsidR="00EB75FD" w:rsidRPr="00E75889" w14:paraId="1DA1B800"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647FF6A7" w14:textId="6AE2E7B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Stopa relapsa na godišnjem nivou (primarni parametar</w:t>
            </w:r>
            <w:r w:rsidR="00674EFD" w:rsidRPr="00E75889">
              <w:rPr>
                <w:sz w:val="22"/>
                <w:szCs w:val="22"/>
                <w:lang w:val="sr-Latn-RS" w:eastAsia="en-US"/>
              </w:rPr>
              <w:t xml:space="preserve"> praćenja</w:t>
            </w:r>
            <w:r w:rsidRPr="00E75889">
              <w:rPr>
                <w:sz w:val="22"/>
                <w:szCs w:val="22"/>
                <w:lang w:val="sr-Latn-RS" w:eastAsia="en-US"/>
              </w:rPr>
              <w:t>)</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1C264A20"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0,18**</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3F65ED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0,40</w:t>
            </w:r>
          </w:p>
        </w:tc>
      </w:tr>
      <w:tr w:rsidR="00EB75FD" w:rsidRPr="00E75889" w14:paraId="15731AE2"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601C939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Procenat pacijenata koji su bez relapsa nakon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43560B0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70%**</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6F1CDD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46%</w:t>
            </w:r>
          </w:p>
        </w:tc>
      </w:tr>
      <w:tr w:rsidR="00EB75FD" w:rsidRPr="00E75889" w14:paraId="7CF4F7D9"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7BDB1F26" w14:textId="4D53E28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Udio pacijenata sa</w:t>
            </w:r>
            <w:r w:rsidR="00BF42F0" w:rsidRPr="00E75889">
              <w:rPr>
                <w:sz w:val="22"/>
                <w:szCs w:val="22"/>
                <w:lang w:val="sr-Latn-RS" w:eastAsia="en-US"/>
              </w:rPr>
              <w:t xml:space="preserve"> </w:t>
            </w:r>
            <w:r w:rsidRPr="00E75889">
              <w:rPr>
                <w:sz w:val="22"/>
                <w:szCs w:val="22"/>
                <w:lang w:val="sr-Latn-RS" w:eastAsia="en-US"/>
              </w:rPr>
              <w:t>progresijom invalidnosti potvrđenim nakon 3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2046E6D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17%</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B12D7F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24%</w:t>
            </w:r>
          </w:p>
        </w:tc>
      </w:tr>
      <w:tr w:rsidR="00EB75FD" w:rsidRPr="00E75889" w14:paraId="7C9DA7F3"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CD53219" w14:textId="26256135"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Odnos rizika</w:t>
            </w:r>
            <w:r w:rsidR="00EB75FD" w:rsidRPr="00E75889">
              <w:rPr>
                <w:sz w:val="22"/>
                <w:szCs w:val="22"/>
                <w:lang w:val="sr-Latn-RS" w:eastAsia="en-US"/>
              </w:rPr>
              <w:t xml:space="preserve"> (95% 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79EFC31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0,70 (0,52, 0,96)*</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7E1B6925" w14:textId="77777777" w:rsidR="00EB75FD" w:rsidRPr="00E75889" w:rsidRDefault="00EB75FD" w:rsidP="00E75889">
            <w:pPr>
              <w:widowControl w:val="0"/>
              <w:jc w:val="both"/>
              <w:rPr>
                <w:sz w:val="22"/>
                <w:szCs w:val="22"/>
                <w:lang w:val="sr-Latn-RS" w:eastAsia="zh-CN"/>
              </w:rPr>
            </w:pPr>
          </w:p>
        </w:tc>
      </w:tr>
      <w:tr w:rsidR="00EB75FD" w:rsidRPr="00E75889" w14:paraId="1EF50BB2"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47410AB1"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Parametri definisani magnetnom rezonancom</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2543F40E"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AF68910" w14:textId="77777777" w:rsidR="00EB75FD" w:rsidRPr="00E75889" w:rsidRDefault="00EB75FD" w:rsidP="00E75889">
            <w:pPr>
              <w:widowControl w:val="0"/>
              <w:jc w:val="both"/>
              <w:rPr>
                <w:sz w:val="22"/>
                <w:szCs w:val="22"/>
                <w:lang w:val="sr-Latn-RS" w:eastAsia="zh-CN"/>
              </w:rPr>
            </w:pPr>
          </w:p>
        </w:tc>
      </w:tr>
      <w:tr w:rsidR="00EB75FD" w:rsidRPr="00E75889" w14:paraId="7AAB60B8"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39CE802F" w14:textId="478C221E"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Medijana (srednja vrijednost) </w:t>
            </w:r>
            <w:r w:rsidR="00674EFD" w:rsidRPr="00E75889">
              <w:rPr>
                <w:sz w:val="22"/>
                <w:szCs w:val="22"/>
                <w:lang w:val="sr-Latn-RS" w:eastAsia="en-US"/>
              </w:rPr>
              <w:t xml:space="preserve">broja </w:t>
            </w:r>
            <w:r w:rsidR="00EB75FD" w:rsidRPr="00E75889">
              <w:rPr>
                <w:sz w:val="22"/>
                <w:szCs w:val="22"/>
                <w:lang w:val="sr-Latn-RS" w:eastAsia="en-US"/>
              </w:rPr>
              <w:t>novih ili povećanih T2 lezija tokom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421860B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(2,5)**</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C433DE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5,0 (9,8)</w:t>
            </w:r>
          </w:p>
        </w:tc>
      </w:tr>
      <w:tr w:rsidR="00EB75FD" w:rsidRPr="00E75889" w14:paraId="6B3AFA98"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1BAA78D1" w14:textId="1A9DD9E5"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Medijana (srednja vrijednost) </w:t>
            </w:r>
            <w:r w:rsidR="00674EFD" w:rsidRPr="00E75889">
              <w:rPr>
                <w:sz w:val="22"/>
                <w:szCs w:val="22"/>
                <w:lang w:val="sr-Latn-RS" w:eastAsia="en-US"/>
              </w:rPr>
              <w:t xml:space="preserve">broja </w:t>
            </w:r>
            <w:r w:rsidR="00EB75FD" w:rsidRPr="00E75889">
              <w:rPr>
                <w:sz w:val="22"/>
                <w:szCs w:val="22"/>
                <w:lang w:val="sr-Latn-RS" w:eastAsia="en-US"/>
              </w:rPr>
              <w:t>lezija koje pojačano vezuju Gd kontrast</w:t>
            </w:r>
            <w:r w:rsidRPr="00E75889">
              <w:rPr>
                <w:sz w:val="22"/>
                <w:szCs w:val="22"/>
                <w:lang w:val="sr-Latn-RS" w:eastAsia="en-US"/>
              </w:rPr>
              <w:t xml:space="preserve"> u</w:t>
            </w:r>
            <w:r w:rsidR="00BF42F0" w:rsidRPr="00E75889">
              <w:rPr>
                <w:sz w:val="22"/>
                <w:szCs w:val="22"/>
                <w:lang w:val="sr-Latn-RS" w:eastAsia="en-US"/>
              </w:rPr>
              <w:t xml:space="preserve"> </w:t>
            </w:r>
            <w:r w:rsidR="00EB75FD" w:rsidRPr="00E75889">
              <w:rPr>
                <w:sz w:val="22"/>
                <w:szCs w:val="22"/>
                <w:lang w:val="sr-Latn-RS" w:eastAsia="en-US"/>
              </w:rPr>
              <w:t>24. mjesec</w:t>
            </w:r>
            <w:r w:rsidRPr="00E75889">
              <w:rPr>
                <w:sz w:val="22"/>
                <w:szCs w:val="22"/>
                <w:lang w:val="sr-Latn-RS" w:eastAsia="en-US"/>
              </w:rPr>
              <w:t>u</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75E9BB1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(0,2)**</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2BA96E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(1,1)</w:t>
            </w:r>
          </w:p>
        </w:tc>
      </w:tr>
      <w:tr w:rsidR="00EB75FD" w:rsidRPr="00E75889" w14:paraId="27F1D6FE"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0AC96A6" w14:textId="4C9E2061"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Medijana (srednja vrijednost)</w:t>
            </w:r>
            <w:r w:rsidR="00EB75FD" w:rsidRPr="00E75889">
              <w:rPr>
                <w:sz w:val="22"/>
                <w:szCs w:val="22"/>
                <w:lang w:val="sr-Latn-RS" w:eastAsia="en-US"/>
              </w:rPr>
              <w:t xml:space="preserve"> % promjene zapremine mozga tokom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081C3AD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-0,7 (-0,8)**</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E0A307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-1,0 (-1,3)</w:t>
            </w:r>
          </w:p>
        </w:tc>
      </w:tr>
      <w:tr w:rsidR="00EB75FD" w:rsidRPr="00E75889" w14:paraId="474884AC" w14:textId="77777777" w:rsidTr="00E75889">
        <w:trPr>
          <w:trHeight w:val="105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03D183A0" w14:textId="621F4B36"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Progresija invalidnosti definisana kao povećanje u EDSS-u</w:t>
            </w:r>
            <w:r w:rsidR="00BF42F0" w:rsidRPr="00E75889">
              <w:rPr>
                <w:sz w:val="20"/>
                <w:szCs w:val="22"/>
                <w:lang w:val="sr-Latn-RS" w:eastAsia="en-US"/>
              </w:rPr>
              <w:t xml:space="preserve"> </w:t>
            </w:r>
            <w:r w:rsidRPr="00E75889">
              <w:rPr>
                <w:sz w:val="20"/>
                <w:szCs w:val="22"/>
                <w:lang w:val="sr-Latn-RS" w:eastAsia="en-US"/>
              </w:rPr>
              <w:t>za 1 bod koj</w:t>
            </w:r>
            <w:r w:rsidR="00170A57" w:rsidRPr="00E75889">
              <w:rPr>
                <w:sz w:val="20"/>
                <w:szCs w:val="22"/>
                <w:lang w:val="sr-Latn-RS" w:eastAsia="en-US"/>
              </w:rPr>
              <w:t>a</w:t>
            </w:r>
            <w:r w:rsidRPr="00E75889">
              <w:rPr>
                <w:sz w:val="20"/>
                <w:szCs w:val="22"/>
                <w:lang w:val="sr-Latn-RS" w:eastAsia="en-US"/>
              </w:rPr>
              <w:t xml:space="preserve"> je potvrđen</w:t>
            </w:r>
            <w:r w:rsidR="00170A57" w:rsidRPr="00E75889">
              <w:rPr>
                <w:sz w:val="20"/>
                <w:szCs w:val="22"/>
                <w:lang w:val="sr-Latn-RS" w:eastAsia="en-US"/>
              </w:rPr>
              <w:t>a</w:t>
            </w:r>
            <w:r w:rsidRPr="00E75889">
              <w:rPr>
                <w:sz w:val="20"/>
                <w:szCs w:val="22"/>
                <w:lang w:val="sr-Latn-RS" w:eastAsia="en-US"/>
              </w:rPr>
              <w:t xml:space="preserve"> poslije</w:t>
            </w:r>
            <w:r w:rsidR="00BF42F0" w:rsidRPr="00E75889">
              <w:rPr>
                <w:sz w:val="20"/>
                <w:szCs w:val="22"/>
                <w:lang w:val="sr-Latn-RS" w:eastAsia="en-US"/>
              </w:rPr>
              <w:t xml:space="preserve">   </w:t>
            </w:r>
          </w:p>
          <w:p w14:paraId="17B35131" w14:textId="65953626" w:rsidR="00EB75FD" w:rsidRPr="00E75889" w:rsidRDefault="00BF42F0"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xml:space="preserve"> </w:t>
            </w:r>
            <w:r w:rsidR="00EB75FD" w:rsidRPr="00E75889">
              <w:rPr>
                <w:sz w:val="20"/>
                <w:szCs w:val="22"/>
                <w:lang w:val="sr-Latn-RS" w:eastAsia="en-US"/>
              </w:rPr>
              <w:t xml:space="preserve"> 3 mjeseca </w:t>
            </w:r>
          </w:p>
          <w:p w14:paraId="553E83E4" w14:textId="77777777"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p&lt;0,001,* p&lt;0,05 u poređenju sa placebom</w:t>
            </w:r>
          </w:p>
          <w:p w14:paraId="5A56996B" w14:textId="7D37FF0F" w:rsidR="00EB75FD" w:rsidRPr="00E75889" w:rsidRDefault="00EB75FD" w:rsidP="00E75889">
            <w:pPr>
              <w:widowControl w:val="0"/>
              <w:autoSpaceDE w:val="0"/>
              <w:autoSpaceDN w:val="0"/>
              <w:adjustRightInd w:val="0"/>
              <w:rPr>
                <w:rFonts w:eastAsia="TimesNewRomanPSMT"/>
                <w:i/>
                <w:iCs/>
                <w:sz w:val="22"/>
                <w:szCs w:val="22"/>
                <w:lang w:val="sr-Latn-RS" w:eastAsia="sr-Latn-ME"/>
              </w:rPr>
            </w:pPr>
            <w:r w:rsidRPr="00E75889">
              <w:rPr>
                <w:sz w:val="20"/>
                <w:szCs w:val="22"/>
                <w:lang w:val="sr-Latn-RS"/>
              </w:rPr>
              <w:t>Sve analize kliničkih parametara rađene su prema principu - namjere da se liječi</w:t>
            </w:r>
            <w:r w:rsidR="004F75A7" w:rsidRPr="00E75889">
              <w:rPr>
                <w:sz w:val="20"/>
                <w:szCs w:val="22"/>
                <w:lang w:val="sr-Latn-RS"/>
              </w:rPr>
              <w:t xml:space="preserve"> </w:t>
            </w:r>
            <w:r w:rsidR="004F75A7" w:rsidRPr="00E75889">
              <w:rPr>
                <w:rFonts w:eastAsia="TimesNewRomanPSMT"/>
                <w:sz w:val="20"/>
                <w:szCs w:val="22"/>
                <w:lang w:val="sr-Latn-RS" w:eastAsia="sr-Latn-ME"/>
              </w:rPr>
              <w:t>(</w:t>
            </w:r>
            <w:r w:rsidR="00674EFD" w:rsidRPr="00E75889">
              <w:rPr>
                <w:rFonts w:eastAsia="TimesNewRomanPSMT"/>
                <w:sz w:val="20"/>
                <w:szCs w:val="22"/>
                <w:lang w:val="sr-Latn-RS" w:eastAsia="sr-Latn-ME"/>
              </w:rPr>
              <w:t>engl.</w:t>
            </w:r>
            <w:r w:rsidR="00674EFD" w:rsidRPr="00E75889">
              <w:rPr>
                <w:rFonts w:ascii="TimesNewRomanPSMT" w:eastAsia="TimesNewRomanPSMT" w:cs="TimesNewRomanPSMT"/>
                <w:sz w:val="20"/>
                <w:szCs w:val="22"/>
                <w:lang w:val="sr-Latn-RS" w:eastAsia="sr-Latn-ME"/>
              </w:rPr>
              <w:t xml:space="preserve"> </w:t>
            </w:r>
            <w:r w:rsidR="004F75A7" w:rsidRPr="00E75889">
              <w:rPr>
                <w:rFonts w:eastAsia="TimesNewRomanPSMT"/>
                <w:i/>
                <w:iCs/>
                <w:sz w:val="20"/>
                <w:szCs w:val="22"/>
                <w:lang w:val="sr-Latn-RS" w:eastAsia="sr-Latn-ME"/>
              </w:rPr>
              <w:t>intent-to- treat</w:t>
            </w:r>
            <w:r w:rsidR="00674EFD" w:rsidRPr="00E75889">
              <w:rPr>
                <w:rFonts w:eastAsia="TimesNewRomanPSMT"/>
                <w:sz w:val="20"/>
                <w:szCs w:val="22"/>
                <w:lang w:val="sr-Latn-RS" w:eastAsia="sr-Latn-ME"/>
              </w:rPr>
              <w:t>, ITT</w:t>
            </w:r>
            <w:r w:rsidR="004F75A7" w:rsidRPr="00E75889">
              <w:rPr>
                <w:rFonts w:eastAsia="TimesNewRomanPSMT"/>
                <w:sz w:val="20"/>
                <w:szCs w:val="22"/>
                <w:lang w:val="sr-Latn-RS" w:eastAsia="sr-Latn-ME"/>
              </w:rPr>
              <w:t>)</w:t>
            </w:r>
            <w:r w:rsidRPr="00E75889">
              <w:rPr>
                <w:sz w:val="20"/>
                <w:szCs w:val="22"/>
                <w:lang w:val="sr-Latn-RS"/>
              </w:rPr>
              <w:t>. Za analizu MRI je korišćen dostupan skup podataka.</w:t>
            </w:r>
          </w:p>
        </w:tc>
      </w:tr>
    </w:tbl>
    <w:p w14:paraId="44169C6A" w14:textId="77777777" w:rsidR="00EB75FD" w:rsidRPr="00E75889" w:rsidRDefault="00EB75FD" w:rsidP="00E75889">
      <w:pPr>
        <w:pStyle w:val="Header"/>
        <w:widowControl w:val="0"/>
        <w:tabs>
          <w:tab w:val="left" w:pos="284"/>
        </w:tabs>
        <w:jc w:val="both"/>
        <w:rPr>
          <w:sz w:val="22"/>
          <w:szCs w:val="22"/>
          <w:lang w:val="sr-Latn-RS"/>
        </w:rPr>
      </w:pPr>
    </w:p>
    <w:p w14:paraId="327B77DC" w14:textId="5EA6C1E2" w:rsidR="00EB75FD" w:rsidRPr="00E75889" w:rsidRDefault="00EB75FD" w:rsidP="00E75889">
      <w:pPr>
        <w:widowControl w:val="0"/>
        <w:jc w:val="both"/>
        <w:rPr>
          <w:sz w:val="22"/>
          <w:szCs w:val="22"/>
          <w:lang w:val="sr-Latn-RS"/>
        </w:rPr>
      </w:pPr>
      <w:r w:rsidRPr="00E75889">
        <w:rPr>
          <w:sz w:val="22"/>
          <w:szCs w:val="22"/>
          <w:lang w:val="sr-Latn-RS"/>
        </w:rPr>
        <w:t xml:space="preserve">Pacijenti koji su završili 24-mjesečnu osnovnu FREEDOMS studiju, mogli su da se uključe u dvostruko-slijepu produženu studiju (D2301E1) i da prime fingolimod. Ukupno je uključeno 920 pacijenata (n=331 </w:t>
      </w:r>
      <w:r w:rsidR="004F75A7" w:rsidRPr="00E75889">
        <w:rPr>
          <w:sz w:val="22"/>
          <w:szCs w:val="22"/>
          <w:lang w:val="sr-Latn-RS"/>
        </w:rPr>
        <w:t xml:space="preserve">i </w:t>
      </w:r>
      <w:r w:rsidRPr="00E75889">
        <w:rPr>
          <w:sz w:val="22"/>
          <w:szCs w:val="22"/>
          <w:lang w:val="sr-Latn-RS"/>
        </w:rPr>
        <w:t>nastavil</w:t>
      </w:r>
      <w:r w:rsidR="004F75A7" w:rsidRPr="00E75889">
        <w:rPr>
          <w:sz w:val="22"/>
          <w:szCs w:val="22"/>
          <w:lang w:val="sr-Latn-RS"/>
        </w:rPr>
        <w:t>i su</w:t>
      </w:r>
      <w:r w:rsidRPr="00E75889">
        <w:rPr>
          <w:sz w:val="22"/>
          <w:szCs w:val="22"/>
          <w:lang w:val="sr-Latn-RS"/>
        </w:rPr>
        <w:t xml:space="preserve"> sa dozom od 0</w:t>
      </w:r>
      <w:r w:rsidR="00271EFE" w:rsidRPr="00E75889">
        <w:rPr>
          <w:sz w:val="22"/>
          <w:szCs w:val="22"/>
          <w:lang w:val="sr-Latn-RS"/>
        </w:rPr>
        <w:t>,</w:t>
      </w:r>
      <w:r w:rsidRPr="00E75889">
        <w:rPr>
          <w:sz w:val="22"/>
          <w:szCs w:val="22"/>
          <w:lang w:val="sr-Latn-RS"/>
        </w:rPr>
        <w:t>5mg, 289 nastavilo je sa dozom od 1</w:t>
      </w:r>
      <w:r w:rsidR="00271EFE" w:rsidRPr="00E75889">
        <w:rPr>
          <w:sz w:val="22"/>
          <w:szCs w:val="22"/>
          <w:lang w:val="sr-Latn-RS"/>
        </w:rPr>
        <w:t>,</w:t>
      </w:r>
      <w:r w:rsidRPr="00E75889">
        <w:rPr>
          <w:sz w:val="22"/>
          <w:szCs w:val="22"/>
          <w:lang w:val="sr-Latn-RS"/>
        </w:rPr>
        <w:t>25mg, 155 je prešlo sa placeba na dozu 0</w:t>
      </w:r>
      <w:r w:rsidR="00271EFE" w:rsidRPr="00E75889">
        <w:rPr>
          <w:sz w:val="22"/>
          <w:szCs w:val="22"/>
          <w:lang w:val="sr-Latn-RS"/>
        </w:rPr>
        <w:t>,</w:t>
      </w:r>
      <w:r w:rsidRPr="00E75889">
        <w:rPr>
          <w:sz w:val="22"/>
          <w:szCs w:val="22"/>
          <w:lang w:val="sr-Latn-RS"/>
        </w:rPr>
        <w:t>5mg i 145 je prešlo sa placeba na dozu 1,25 mg). Nakon 12 mjeseci (mjesec 36), 856 pacijenata (93%) je i dalje bilo uključeno.</w:t>
      </w:r>
    </w:p>
    <w:p w14:paraId="45B1F53C" w14:textId="509DCD81" w:rsidR="00EB75FD" w:rsidRPr="00E75889" w:rsidRDefault="00EB75FD" w:rsidP="00E75889">
      <w:pPr>
        <w:widowControl w:val="0"/>
        <w:jc w:val="both"/>
        <w:rPr>
          <w:sz w:val="22"/>
          <w:szCs w:val="22"/>
          <w:lang w:val="sr-Latn-RS"/>
        </w:rPr>
      </w:pPr>
      <w:r w:rsidRPr="00E75889">
        <w:rPr>
          <w:sz w:val="22"/>
          <w:szCs w:val="22"/>
          <w:lang w:val="sr-Latn-RS"/>
        </w:rPr>
        <w:t>Između 24 i 36 mjeseci, za pacijente koji su primali dozu fingolimoda 0,5 mg i koji su u osnovnoj studiji ostali na dozi 0</w:t>
      </w:r>
      <w:r w:rsidR="00271EFE" w:rsidRPr="00E75889">
        <w:rPr>
          <w:sz w:val="22"/>
          <w:szCs w:val="22"/>
          <w:lang w:val="sr-Latn-RS"/>
        </w:rPr>
        <w:t>,</w:t>
      </w:r>
      <w:r w:rsidRPr="00E75889">
        <w:rPr>
          <w:sz w:val="22"/>
          <w:szCs w:val="22"/>
          <w:lang w:val="sr-Latn-RS"/>
        </w:rPr>
        <w:t>5 mg, stopa recidiva na godišnjem nivou (</w:t>
      </w:r>
      <w:r w:rsidR="00271EFE" w:rsidRPr="00E75889">
        <w:rPr>
          <w:sz w:val="22"/>
          <w:szCs w:val="22"/>
          <w:lang w:val="sr-Latn-RS"/>
        </w:rPr>
        <w:t xml:space="preserve">engl. </w:t>
      </w:r>
      <w:r w:rsidRPr="00E75889">
        <w:rPr>
          <w:i/>
          <w:sz w:val="22"/>
          <w:szCs w:val="22"/>
          <w:lang w:val="sr-Latn-RS"/>
        </w:rPr>
        <w:t>Annualise relapse rate-</w:t>
      </w:r>
      <w:r w:rsidRPr="00E75889">
        <w:rPr>
          <w:sz w:val="22"/>
          <w:szCs w:val="22"/>
          <w:lang w:val="sr-Latn-RS"/>
        </w:rPr>
        <w:t xml:space="preserve"> ARR) bila je 0</w:t>
      </w:r>
      <w:r w:rsidR="00271EFE" w:rsidRPr="00E75889">
        <w:rPr>
          <w:sz w:val="22"/>
          <w:szCs w:val="22"/>
          <w:lang w:val="sr-Latn-RS"/>
        </w:rPr>
        <w:t>,</w:t>
      </w:r>
      <w:r w:rsidRPr="00E75889">
        <w:rPr>
          <w:sz w:val="22"/>
          <w:szCs w:val="22"/>
          <w:lang w:val="sr-Latn-RS"/>
        </w:rPr>
        <w:t>17 (0</w:t>
      </w:r>
      <w:r w:rsidR="00271EFE" w:rsidRPr="00E75889">
        <w:rPr>
          <w:sz w:val="22"/>
          <w:szCs w:val="22"/>
          <w:lang w:val="sr-Latn-RS"/>
        </w:rPr>
        <w:t>,</w:t>
      </w:r>
      <w:r w:rsidRPr="00E75889">
        <w:rPr>
          <w:sz w:val="22"/>
          <w:szCs w:val="22"/>
          <w:lang w:val="sr-Latn-RS"/>
        </w:rPr>
        <w:t>21 u osnovnoj studiji). Za pacijente koji su prešli sa placeba na dozu fingolimoda 0</w:t>
      </w:r>
      <w:r w:rsidR="00271EFE" w:rsidRPr="00E75889">
        <w:rPr>
          <w:sz w:val="22"/>
          <w:szCs w:val="22"/>
          <w:lang w:val="sr-Latn-RS"/>
        </w:rPr>
        <w:t>,</w:t>
      </w:r>
      <w:r w:rsidRPr="00E75889">
        <w:rPr>
          <w:sz w:val="22"/>
          <w:szCs w:val="22"/>
          <w:lang w:val="sr-Latn-RS"/>
        </w:rPr>
        <w:t>5mg ARR je bila 0</w:t>
      </w:r>
      <w:r w:rsidR="00271EFE" w:rsidRPr="00E75889">
        <w:rPr>
          <w:sz w:val="22"/>
          <w:szCs w:val="22"/>
          <w:lang w:val="sr-Latn-RS"/>
        </w:rPr>
        <w:t>,</w:t>
      </w:r>
      <w:r w:rsidRPr="00E75889">
        <w:rPr>
          <w:sz w:val="22"/>
          <w:szCs w:val="22"/>
          <w:lang w:val="sr-Latn-RS"/>
        </w:rPr>
        <w:t>22 (0</w:t>
      </w:r>
      <w:r w:rsidR="00271EFE" w:rsidRPr="00E75889">
        <w:rPr>
          <w:sz w:val="22"/>
          <w:szCs w:val="22"/>
          <w:lang w:val="sr-Latn-RS"/>
        </w:rPr>
        <w:t>,</w:t>
      </w:r>
      <w:r w:rsidRPr="00E75889">
        <w:rPr>
          <w:sz w:val="22"/>
          <w:szCs w:val="22"/>
          <w:lang w:val="sr-Latn-RS"/>
        </w:rPr>
        <w:t>42 u osnovnoj studiji).</w:t>
      </w:r>
    </w:p>
    <w:p w14:paraId="5719CF1E" w14:textId="77777777" w:rsidR="00EB75FD" w:rsidRPr="00E75889" w:rsidRDefault="00EB75FD" w:rsidP="00E75889">
      <w:pPr>
        <w:widowControl w:val="0"/>
        <w:jc w:val="both"/>
        <w:rPr>
          <w:sz w:val="22"/>
          <w:szCs w:val="22"/>
          <w:lang w:val="sr-Latn-RS"/>
        </w:rPr>
      </w:pPr>
    </w:p>
    <w:p w14:paraId="142BA750" w14:textId="656389EE" w:rsidR="00EB75FD" w:rsidRPr="00E75889" w:rsidRDefault="00EB75FD" w:rsidP="00E75889">
      <w:pPr>
        <w:widowControl w:val="0"/>
        <w:jc w:val="both"/>
        <w:rPr>
          <w:sz w:val="22"/>
          <w:szCs w:val="22"/>
          <w:lang w:val="sr-Latn-RS"/>
        </w:rPr>
      </w:pPr>
      <w:r w:rsidRPr="00E75889">
        <w:rPr>
          <w:sz w:val="22"/>
          <w:szCs w:val="22"/>
          <w:lang w:val="sr-Latn-RS"/>
        </w:rPr>
        <w:t>Uporedivi rezultati su prikazani u ponovljivoj, dvogodišnjoj randomiziranoj, dvostruko-slijepoj, placebom-kontrolisanoj studiji faze III ispitivanja fingolimoda sa 1083 pacijenta (n=358 na 0</w:t>
      </w:r>
      <w:r w:rsidR="00570072" w:rsidRPr="00E75889">
        <w:rPr>
          <w:sz w:val="22"/>
          <w:szCs w:val="22"/>
          <w:lang w:val="sr-Latn-RS"/>
        </w:rPr>
        <w:t>,</w:t>
      </w:r>
      <w:r w:rsidRPr="00E75889">
        <w:rPr>
          <w:sz w:val="22"/>
          <w:szCs w:val="22"/>
          <w:lang w:val="sr-Latn-RS"/>
        </w:rPr>
        <w:t>5 mg, 370 na 1</w:t>
      </w:r>
      <w:r w:rsidR="00570072" w:rsidRPr="00E75889">
        <w:rPr>
          <w:sz w:val="22"/>
          <w:szCs w:val="22"/>
          <w:lang w:val="sr-Latn-RS"/>
        </w:rPr>
        <w:t>,</w:t>
      </w:r>
      <w:r w:rsidRPr="00E75889">
        <w:rPr>
          <w:sz w:val="22"/>
          <w:szCs w:val="22"/>
          <w:lang w:val="sr-Latn-RS"/>
        </w:rPr>
        <w:t>25 mg, 355 na placebu) sa RRMS (D2309;</w:t>
      </w:r>
      <w:r w:rsidR="00570072" w:rsidRPr="00E75889">
        <w:rPr>
          <w:sz w:val="22"/>
          <w:szCs w:val="22"/>
          <w:lang w:val="sr-Latn-RS"/>
        </w:rPr>
        <w:t xml:space="preserve"> </w:t>
      </w:r>
      <w:r w:rsidRPr="00E75889">
        <w:rPr>
          <w:sz w:val="22"/>
          <w:szCs w:val="22"/>
          <w:lang w:val="sr-Latn-RS"/>
        </w:rPr>
        <w:t xml:space="preserve">FREEDOMS 2). </w:t>
      </w:r>
      <w:r w:rsidR="004F75A7" w:rsidRPr="00E75889">
        <w:rPr>
          <w:sz w:val="22"/>
          <w:szCs w:val="22"/>
          <w:lang w:val="sr-Latn-RS"/>
        </w:rPr>
        <w:t>Medijane</w:t>
      </w:r>
      <w:r w:rsidRPr="00E75889">
        <w:rPr>
          <w:sz w:val="22"/>
          <w:szCs w:val="22"/>
          <w:lang w:val="sr-Latn-RS"/>
        </w:rPr>
        <w:t xml:space="preserve"> vrijednosti </w:t>
      </w:r>
      <w:r w:rsidR="004F75A7" w:rsidRPr="00E75889">
        <w:rPr>
          <w:sz w:val="22"/>
          <w:szCs w:val="22"/>
          <w:lang w:val="sr-Latn-RS"/>
        </w:rPr>
        <w:t xml:space="preserve">za </w:t>
      </w:r>
      <w:r w:rsidRPr="00E75889">
        <w:rPr>
          <w:sz w:val="22"/>
          <w:szCs w:val="22"/>
          <w:lang w:val="sr-Latn-RS"/>
        </w:rPr>
        <w:t>osnovn</w:t>
      </w:r>
      <w:r w:rsidR="004F75A7" w:rsidRPr="00E75889">
        <w:rPr>
          <w:sz w:val="22"/>
          <w:szCs w:val="22"/>
          <w:lang w:val="sr-Latn-RS"/>
        </w:rPr>
        <w:t>e</w:t>
      </w:r>
      <w:r w:rsidRPr="00E75889">
        <w:rPr>
          <w:sz w:val="22"/>
          <w:szCs w:val="22"/>
          <w:lang w:val="sr-Latn-RS"/>
        </w:rPr>
        <w:t xml:space="preserve"> karakteristik</w:t>
      </w:r>
      <w:r w:rsidR="004F75A7" w:rsidRPr="00E75889">
        <w:rPr>
          <w:sz w:val="22"/>
          <w:szCs w:val="22"/>
          <w:lang w:val="sr-Latn-RS"/>
        </w:rPr>
        <w:t>e</w:t>
      </w:r>
      <w:r w:rsidRPr="00E75889">
        <w:rPr>
          <w:sz w:val="22"/>
          <w:szCs w:val="22"/>
          <w:lang w:val="sr-Latn-RS"/>
        </w:rPr>
        <w:t xml:space="preserve"> bile su: starost 41 godina, trajanje bolesti 8</w:t>
      </w:r>
      <w:r w:rsidR="00570072" w:rsidRPr="00E75889">
        <w:rPr>
          <w:sz w:val="22"/>
          <w:szCs w:val="22"/>
          <w:lang w:val="sr-Latn-RS"/>
        </w:rPr>
        <w:t>,</w:t>
      </w:r>
      <w:r w:rsidRPr="00E75889">
        <w:rPr>
          <w:sz w:val="22"/>
          <w:szCs w:val="22"/>
          <w:lang w:val="sr-Latn-RS"/>
        </w:rPr>
        <w:t>9 godina, EDSS vrijednost 2</w:t>
      </w:r>
      <w:r w:rsidR="00570072" w:rsidRPr="00E75889">
        <w:rPr>
          <w:sz w:val="22"/>
          <w:szCs w:val="22"/>
          <w:lang w:val="sr-Latn-RS"/>
        </w:rPr>
        <w:t>,</w:t>
      </w:r>
      <w:r w:rsidRPr="00E75889">
        <w:rPr>
          <w:sz w:val="22"/>
          <w:szCs w:val="22"/>
          <w:lang w:val="sr-Latn-RS"/>
        </w:rPr>
        <w:t>5.</w:t>
      </w:r>
    </w:p>
    <w:p w14:paraId="69BE73BD" w14:textId="77777777" w:rsidR="00EB75FD" w:rsidRPr="00E75889" w:rsidRDefault="00EB75FD" w:rsidP="00E75889">
      <w:pPr>
        <w:widowControl w:val="0"/>
        <w:jc w:val="both"/>
        <w:rPr>
          <w:sz w:val="22"/>
          <w:szCs w:val="22"/>
          <w:lang w:val="sr-Latn-RS"/>
        </w:rPr>
      </w:pPr>
    </w:p>
    <w:p w14:paraId="4A6B0508" w14:textId="77777777" w:rsidR="00EB75FD" w:rsidRPr="00E75889" w:rsidRDefault="00EB75FD" w:rsidP="00E75889">
      <w:pPr>
        <w:pStyle w:val="Tablecaption0"/>
        <w:widowControl w:val="0"/>
        <w:shd w:val="clear" w:color="auto" w:fill="auto"/>
        <w:spacing w:line="240" w:lineRule="auto"/>
        <w:jc w:val="both"/>
        <w:rPr>
          <w:sz w:val="22"/>
          <w:szCs w:val="22"/>
          <w:lang w:val="sr-Latn-RS" w:eastAsia="en-US"/>
        </w:rPr>
      </w:pPr>
      <w:r w:rsidRPr="00E75889">
        <w:rPr>
          <w:sz w:val="22"/>
          <w:szCs w:val="22"/>
          <w:lang w:val="sr-Latn-RS" w:eastAsia="en-US"/>
        </w:rPr>
        <w:t>Tabela 2: Studija D2309 (FREEDOMS 2): Glavni rezultati</w:t>
      </w:r>
    </w:p>
    <w:p w14:paraId="06ACE8EA" w14:textId="77777777" w:rsidR="00EB75FD" w:rsidRPr="00E75889" w:rsidRDefault="00EB75FD" w:rsidP="00E75889">
      <w:pPr>
        <w:pStyle w:val="Header"/>
        <w:widowControl w:val="0"/>
        <w:tabs>
          <w:tab w:val="left" w:pos="284"/>
        </w:tabs>
        <w:jc w:val="both"/>
        <w:rPr>
          <w:sz w:val="22"/>
          <w:szCs w:val="22"/>
          <w:lang w:val="sr-Latn-RS"/>
        </w:rPr>
      </w:pPr>
    </w:p>
    <w:tbl>
      <w:tblPr>
        <w:tblW w:w="5000" w:type="pct"/>
        <w:tblCellMar>
          <w:left w:w="0" w:type="dxa"/>
          <w:right w:w="0" w:type="dxa"/>
        </w:tblCellMar>
        <w:tblLook w:val="0000" w:firstRow="0" w:lastRow="0" w:firstColumn="0" w:lastColumn="0" w:noHBand="0" w:noVBand="0"/>
      </w:tblPr>
      <w:tblGrid>
        <w:gridCol w:w="5048"/>
        <w:gridCol w:w="2003"/>
        <w:gridCol w:w="2012"/>
      </w:tblGrid>
      <w:tr w:rsidR="00EB75FD" w:rsidRPr="00E75889" w14:paraId="7BAA8A9C" w14:textId="77777777" w:rsidTr="00E75889">
        <w:trPr>
          <w:trHeight w:val="533"/>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327006CA" w14:textId="77777777" w:rsidR="00EB75FD" w:rsidRPr="00E75889" w:rsidRDefault="00EB75FD" w:rsidP="00E75889">
            <w:pPr>
              <w:widowControl w:val="0"/>
              <w:jc w:val="both"/>
              <w:rPr>
                <w:sz w:val="22"/>
                <w:szCs w:val="22"/>
                <w:lang w:val="sr-Latn-RS" w:eastAsia="zh-CN"/>
              </w:rPr>
            </w:pP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0EC14C8D"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Fingolimod 0,5 mg</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28A2768B"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Placebo</w:t>
            </w:r>
          </w:p>
        </w:tc>
      </w:tr>
      <w:tr w:rsidR="00EB75FD" w:rsidRPr="00E75889" w14:paraId="509A8B50"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89473E3"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Klinički parametri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522EB6FC"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52ED47C" w14:textId="77777777" w:rsidR="00EB75FD" w:rsidRPr="00E75889" w:rsidRDefault="00EB75FD" w:rsidP="00E75889">
            <w:pPr>
              <w:widowControl w:val="0"/>
              <w:jc w:val="both"/>
              <w:rPr>
                <w:sz w:val="22"/>
                <w:szCs w:val="22"/>
                <w:lang w:val="sr-Latn-RS" w:eastAsia="zh-CN"/>
              </w:rPr>
            </w:pPr>
          </w:p>
        </w:tc>
      </w:tr>
      <w:tr w:rsidR="00EB75FD" w:rsidRPr="00E75889" w14:paraId="1957B151"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3DF55FA" w14:textId="35C6C9F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Stopa relapsa na godišnjem nivou (primarni parametar</w:t>
            </w:r>
            <w:r w:rsidR="00271EFE" w:rsidRPr="00E75889">
              <w:rPr>
                <w:sz w:val="22"/>
                <w:szCs w:val="22"/>
                <w:lang w:val="sr-Latn-RS" w:eastAsia="en-US"/>
              </w:rPr>
              <w:t xml:space="preserve"> praćenja</w:t>
            </w:r>
            <w:r w:rsidRPr="00E75889">
              <w:rPr>
                <w:sz w:val="22"/>
                <w:szCs w:val="22"/>
                <w:lang w:val="sr-Latn-RS" w:eastAsia="en-US"/>
              </w:rPr>
              <w:t>)</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39F2307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0,21**</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1B39F42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0,40</w:t>
            </w:r>
          </w:p>
        </w:tc>
      </w:tr>
      <w:tr w:rsidR="00EB75FD" w:rsidRPr="00E75889" w14:paraId="64542F47"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43A38A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Procenat pacijenata koji su bez relapsa nakon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589C62C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71.5%**</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285DBF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52.7%</w:t>
            </w:r>
          </w:p>
        </w:tc>
      </w:tr>
      <w:tr w:rsidR="00EB75FD" w:rsidRPr="00E75889" w14:paraId="1CB08091"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0CA69881" w14:textId="2688922C"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w:t>
            </w:r>
            <w:r w:rsidR="00EB75FD" w:rsidRPr="00E75889">
              <w:rPr>
                <w:sz w:val="22"/>
                <w:szCs w:val="22"/>
                <w:lang w:val="sr-Latn-RS" w:eastAsia="en-US"/>
              </w:rPr>
              <w:t>dio pacijenata sa progresijom invalidnosti potvrđenom nakon 3 mjeseca †</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6E3551F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25%</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E959CE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29%</w:t>
            </w:r>
          </w:p>
        </w:tc>
      </w:tr>
      <w:tr w:rsidR="00EB75FD" w:rsidRPr="00E75889" w14:paraId="772D3C68"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3A40F4D2" w14:textId="605C6E8F"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Odnos rizika</w:t>
            </w:r>
            <w:r w:rsidR="00EB75FD" w:rsidRPr="00E75889">
              <w:rPr>
                <w:sz w:val="22"/>
                <w:szCs w:val="22"/>
                <w:lang w:val="sr-Latn-RS" w:eastAsia="en-US"/>
              </w:rPr>
              <w:t xml:space="preserve"> (95% 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68FCF45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0.83 (0.61,1.12)</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4B3624C3" w14:textId="77777777" w:rsidR="00EB75FD" w:rsidRPr="00E75889" w:rsidRDefault="00EB75FD" w:rsidP="00E75889">
            <w:pPr>
              <w:widowControl w:val="0"/>
              <w:jc w:val="both"/>
              <w:rPr>
                <w:sz w:val="22"/>
                <w:szCs w:val="22"/>
                <w:lang w:val="sr-Latn-RS" w:eastAsia="zh-CN"/>
              </w:rPr>
            </w:pPr>
          </w:p>
        </w:tc>
      </w:tr>
      <w:tr w:rsidR="00EB75FD" w:rsidRPr="00E75889" w14:paraId="15B4DDEA"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1D734D61"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MRI parametri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6B6C55C8"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623C7CD" w14:textId="77777777" w:rsidR="00EB75FD" w:rsidRPr="00E75889" w:rsidRDefault="00EB75FD" w:rsidP="00E75889">
            <w:pPr>
              <w:widowControl w:val="0"/>
              <w:jc w:val="both"/>
              <w:rPr>
                <w:sz w:val="22"/>
                <w:szCs w:val="22"/>
                <w:lang w:val="sr-Latn-RS" w:eastAsia="zh-CN"/>
              </w:rPr>
            </w:pPr>
          </w:p>
        </w:tc>
      </w:tr>
      <w:tr w:rsidR="00EB75FD" w:rsidRPr="00E75889" w14:paraId="250EE7F7"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6B216B3" w14:textId="7DAED9DB"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Medijana (srednja vrijednost)</w:t>
            </w:r>
            <w:r w:rsidR="00BF42F0" w:rsidRPr="00E75889">
              <w:rPr>
                <w:sz w:val="22"/>
                <w:szCs w:val="22"/>
                <w:lang w:val="sr-Latn-RS" w:eastAsia="en-US"/>
              </w:rPr>
              <w:t xml:space="preserve"> </w:t>
            </w:r>
            <w:r w:rsidR="00271EFE" w:rsidRPr="00E75889">
              <w:rPr>
                <w:sz w:val="22"/>
                <w:szCs w:val="22"/>
                <w:lang w:val="sr-Latn-RS" w:eastAsia="en-US"/>
              </w:rPr>
              <w:t xml:space="preserve">broja </w:t>
            </w:r>
            <w:r w:rsidR="00EB75FD" w:rsidRPr="00E75889">
              <w:rPr>
                <w:sz w:val="22"/>
                <w:szCs w:val="22"/>
                <w:lang w:val="sr-Latn-RS" w:eastAsia="en-US"/>
              </w:rPr>
              <w:t>novih ili povećanih T2 lezija tokom 24 mjesec</w:t>
            </w:r>
            <w:r w:rsidR="00170A57" w:rsidRPr="00E75889">
              <w:rPr>
                <w:sz w:val="22"/>
                <w:szCs w:val="22"/>
                <w:lang w:val="sr-Latn-RS" w:eastAsia="en-US"/>
              </w:rPr>
              <w:t>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091DAFD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(2.3)*</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52EE8FC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4,0 (8.9)</w:t>
            </w:r>
          </w:p>
        </w:tc>
      </w:tr>
      <w:tr w:rsidR="00EB75FD" w:rsidRPr="00E75889" w14:paraId="133CA21F"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47E5AF52" w14:textId="1AB1FEC3" w:rsidR="00EB75FD" w:rsidRPr="00E75889" w:rsidRDefault="004F75A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lastRenderedPageBreak/>
              <w:t xml:space="preserve">Medijana (srednja vrijednost) </w:t>
            </w:r>
            <w:r w:rsidR="00271EFE" w:rsidRPr="00E75889">
              <w:rPr>
                <w:sz w:val="22"/>
                <w:szCs w:val="22"/>
                <w:lang w:val="sr-Latn-RS" w:eastAsia="en-US"/>
              </w:rPr>
              <w:t xml:space="preserve">broja </w:t>
            </w:r>
            <w:r w:rsidR="00EB75FD" w:rsidRPr="00E75889">
              <w:rPr>
                <w:sz w:val="22"/>
                <w:szCs w:val="22"/>
                <w:lang w:val="sr-Latn-RS" w:eastAsia="en-US"/>
              </w:rPr>
              <w:t>lezija koje pojačano vezuju Gd u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5183A64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(0,4)**</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428F6C5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(1.2)</w:t>
            </w:r>
          </w:p>
        </w:tc>
      </w:tr>
      <w:tr w:rsidR="00EB75FD" w:rsidRPr="00E75889" w14:paraId="040C0C4D"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1824488B" w14:textId="51CEC9E8" w:rsidR="00EB75FD" w:rsidRPr="00E75889" w:rsidRDefault="00170A57" w:rsidP="00E75889">
            <w:pPr>
              <w:pStyle w:val="Bodytext1"/>
              <w:widowControl w:val="0"/>
              <w:shd w:val="clear" w:color="auto" w:fill="auto"/>
              <w:spacing w:before="0" w:after="0" w:line="240" w:lineRule="auto"/>
              <w:ind w:firstLine="0"/>
              <w:rPr>
                <w:sz w:val="22"/>
                <w:szCs w:val="22"/>
                <w:lang w:val="sr-Latn-RS" w:eastAsia="en-US"/>
              </w:rPr>
            </w:pPr>
            <w:r w:rsidRPr="00E75889">
              <w:rPr>
                <w:sz w:val="22"/>
                <w:szCs w:val="22"/>
                <w:lang w:val="sr-Latn-RS" w:eastAsia="en-US"/>
              </w:rPr>
              <w:t xml:space="preserve">Medijana (srednja vrijednost) </w:t>
            </w:r>
            <w:r w:rsidR="00EB75FD" w:rsidRPr="00E75889">
              <w:rPr>
                <w:sz w:val="22"/>
                <w:szCs w:val="22"/>
                <w:lang w:val="sr-Latn-RS" w:eastAsia="en-US"/>
              </w:rPr>
              <w:t xml:space="preserve"> % promjene zapremine mozga</w:t>
            </w:r>
            <w:r w:rsidR="00BF42F0" w:rsidRPr="00E75889">
              <w:rPr>
                <w:sz w:val="22"/>
                <w:szCs w:val="22"/>
                <w:lang w:val="sr-Latn-RS" w:eastAsia="en-US"/>
              </w:rPr>
              <w:t xml:space="preserve"> </w:t>
            </w:r>
            <w:r w:rsidR="00EB75FD" w:rsidRPr="00E75889">
              <w:rPr>
                <w:sz w:val="22"/>
                <w:szCs w:val="22"/>
                <w:lang w:val="sr-Latn-RS" w:eastAsia="en-US"/>
              </w:rPr>
              <w:t>tokom 24 mjeseca</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42FFC8B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-0,71 (-0,86)**</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9C34A7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-1.02 (-1.28)</w:t>
            </w:r>
          </w:p>
        </w:tc>
      </w:tr>
      <w:tr w:rsidR="00EB75FD" w:rsidRPr="00E75889" w14:paraId="09A3C175" w14:textId="77777777" w:rsidTr="00E75889">
        <w:trPr>
          <w:trHeight w:val="52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5D409660" w14:textId="41AF21F7"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Progresija invalidnosti definisana kao povećanje u EDSS-u</w:t>
            </w:r>
            <w:r w:rsidR="00BF42F0" w:rsidRPr="00E75889">
              <w:rPr>
                <w:sz w:val="20"/>
                <w:szCs w:val="22"/>
                <w:lang w:val="sr-Latn-RS" w:eastAsia="en-US"/>
              </w:rPr>
              <w:t xml:space="preserve"> </w:t>
            </w:r>
            <w:r w:rsidRPr="00E75889">
              <w:rPr>
                <w:sz w:val="20"/>
                <w:szCs w:val="22"/>
                <w:lang w:val="sr-Latn-RS" w:eastAsia="en-US"/>
              </w:rPr>
              <w:t>za 1 bod koj</w:t>
            </w:r>
            <w:r w:rsidR="00170A57" w:rsidRPr="00E75889">
              <w:rPr>
                <w:sz w:val="20"/>
                <w:szCs w:val="22"/>
                <w:lang w:val="sr-Latn-RS" w:eastAsia="en-US"/>
              </w:rPr>
              <w:t>a</w:t>
            </w:r>
            <w:r w:rsidRPr="00E75889">
              <w:rPr>
                <w:sz w:val="20"/>
                <w:szCs w:val="22"/>
                <w:lang w:val="sr-Latn-RS" w:eastAsia="en-US"/>
              </w:rPr>
              <w:t xml:space="preserve"> je potvrđen</w:t>
            </w:r>
            <w:r w:rsidR="00170A57" w:rsidRPr="00E75889">
              <w:rPr>
                <w:sz w:val="20"/>
                <w:szCs w:val="22"/>
                <w:lang w:val="sr-Latn-RS" w:eastAsia="en-US"/>
              </w:rPr>
              <w:t>a</w:t>
            </w:r>
            <w:r w:rsidRPr="00E75889">
              <w:rPr>
                <w:sz w:val="20"/>
                <w:szCs w:val="22"/>
                <w:lang w:val="sr-Latn-RS" w:eastAsia="en-US"/>
              </w:rPr>
              <w:t xml:space="preserve"> poslije</w:t>
            </w:r>
            <w:r w:rsidR="00BF42F0" w:rsidRPr="00E75889">
              <w:rPr>
                <w:sz w:val="20"/>
                <w:szCs w:val="22"/>
                <w:lang w:val="sr-Latn-RS" w:eastAsia="en-US"/>
              </w:rPr>
              <w:t xml:space="preserve">   </w:t>
            </w:r>
          </w:p>
          <w:p w14:paraId="11D5C7C1" w14:textId="76B6DD30" w:rsidR="00EB75FD" w:rsidRPr="00E75889" w:rsidRDefault="00BF42F0"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xml:space="preserve"> </w:t>
            </w:r>
            <w:r w:rsidR="00EB75FD" w:rsidRPr="00E75889">
              <w:rPr>
                <w:sz w:val="20"/>
                <w:szCs w:val="22"/>
                <w:lang w:val="sr-Latn-RS" w:eastAsia="en-US"/>
              </w:rPr>
              <w:t xml:space="preserve"> 3 mjeseca </w:t>
            </w:r>
          </w:p>
          <w:p w14:paraId="515CF9A6" w14:textId="77777777"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p&lt;0,001 u poređenju sa placebom</w:t>
            </w:r>
          </w:p>
          <w:p w14:paraId="76E23A88" w14:textId="6050802F" w:rsidR="00EB75FD" w:rsidRPr="00E75889" w:rsidDel="00796426"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Sve analize kliničkih parametara zasnovane su na podacima</w:t>
            </w:r>
            <w:r w:rsidR="00BF42F0" w:rsidRPr="00E75889">
              <w:rPr>
                <w:sz w:val="20"/>
                <w:szCs w:val="22"/>
                <w:lang w:val="sr-Latn-RS" w:eastAsia="en-US"/>
              </w:rPr>
              <w:t xml:space="preserve"> </w:t>
            </w:r>
            <w:r w:rsidRPr="00E75889">
              <w:rPr>
                <w:sz w:val="20"/>
                <w:szCs w:val="22"/>
                <w:lang w:val="sr-Latn-RS" w:eastAsia="en-US"/>
              </w:rPr>
              <w:t xml:space="preserve">- namjere liječenja </w:t>
            </w:r>
          </w:p>
          <w:p w14:paraId="5FEC5C74" w14:textId="025615AB" w:rsidR="00EB75FD" w:rsidRPr="00E75889" w:rsidRDefault="00EB75FD" w:rsidP="00E75889">
            <w:pPr>
              <w:pStyle w:val="Default"/>
              <w:widowControl w:val="0"/>
              <w:jc w:val="both"/>
              <w:rPr>
                <w:sz w:val="22"/>
                <w:szCs w:val="22"/>
                <w:lang w:val="sr-Latn-RS"/>
              </w:rPr>
            </w:pPr>
            <w:r w:rsidRPr="00E75889">
              <w:rPr>
                <w:sz w:val="20"/>
                <w:szCs w:val="22"/>
                <w:lang w:val="sr-Latn-RS"/>
              </w:rPr>
              <w:t>(</w:t>
            </w:r>
            <w:r w:rsidR="00271EFE" w:rsidRPr="00E75889">
              <w:rPr>
                <w:sz w:val="20"/>
                <w:szCs w:val="22"/>
                <w:lang w:val="sr-Latn-RS"/>
              </w:rPr>
              <w:t xml:space="preserve">engl. </w:t>
            </w:r>
            <w:r w:rsidRPr="00E75889">
              <w:rPr>
                <w:i/>
                <w:iCs/>
                <w:sz w:val="20"/>
                <w:szCs w:val="22"/>
                <w:lang w:val="sr-Latn-RS"/>
              </w:rPr>
              <w:t>intent-to-treat</w:t>
            </w:r>
            <w:r w:rsidR="00271EFE" w:rsidRPr="00E75889">
              <w:rPr>
                <w:sz w:val="20"/>
                <w:szCs w:val="22"/>
                <w:lang w:val="sr-Latn-RS"/>
              </w:rPr>
              <w:t>, ITT</w:t>
            </w:r>
            <w:r w:rsidRPr="00E75889">
              <w:rPr>
                <w:sz w:val="20"/>
                <w:szCs w:val="22"/>
                <w:lang w:val="sr-Latn-RS"/>
              </w:rPr>
              <w:t>). Za analizu MRI je korišćen dostupan skup podataka.</w:t>
            </w:r>
          </w:p>
        </w:tc>
      </w:tr>
    </w:tbl>
    <w:p w14:paraId="6A416DE2"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B2162C5" w14:textId="7449676B"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Studija D2302 (TRANSFORMS) bila je jednogodišnja, randomizovana, dvostruko-slijepa, dvostruko maskirana, aktivno (interferon beta-1a)-kontrolisana studija faze III sa 1280 pacijenata (n=429 sa 0,5 mg, 420 sa 1,25 mg, 431 sa 30 mikrograma interferona beta-1a, datog</w:t>
      </w:r>
      <w:r w:rsidR="00BF42F0" w:rsidRPr="00E75889">
        <w:rPr>
          <w:sz w:val="22"/>
          <w:szCs w:val="22"/>
          <w:lang w:val="sr-Latn-RS" w:eastAsia="en-US"/>
        </w:rPr>
        <w:t xml:space="preserve"> </w:t>
      </w:r>
      <w:r w:rsidRPr="00E75889">
        <w:rPr>
          <w:sz w:val="22"/>
          <w:szCs w:val="22"/>
          <w:lang w:val="sr-Latn-RS" w:eastAsia="en-US"/>
        </w:rPr>
        <w:t xml:space="preserve">intramuskularnom injekcijom jednom nedjeljno). </w:t>
      </w:r>
      <w:r w:rsidR="00170A57" w:rsidRPr="00E75889">
        <w:rPr>
          <w:sz w:val="22"/>
          <w:szCs w:val="22"/>
          <w:lang w:val="sr-Latn-RS" w:eastAsia="en-US"/>
        </w:rPr>
        <w:t xml:space="preserve">Medijane </w:t>
      </w:r>
      <w:r w:rsidRPr="00E75889">
        <w:rPr>
          <w:sz w:val="22"/>
          <w:szCs w:val="22"/>
          <w:lang w:val="sr-Latn-RS" w:eastAsia="en-US"/>
        </w:rPr>
        <w:t xml:space="preserve">početnih parametara bile su sljedeće: starost 36 godina, trajanje bolesti 5,9 godina i skor EDSS 2,0. Dobijeni rezultati prikazani su u Tabeli 3. U odnosu na parametre studije nije bilo značajnih razlika između doze od 0,5 mg i doze od 1,25 mg. </w:t>
      </w:r>
    </w:p>
    <w:p w14:paraId="7AD7207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A047913" w14:textId="77777777" w:rsidR="00EB75FD" w:rsidRPr="00E75889" w:rsidRDefault="00EB75FD" w:rsidP="00E75889">
      <w:pPr>
        <w:pStyle w:val="Tablecaption0"/>
        <w:widowControl w:val="0"/>
        <w:shd w:val="clear" w:color="auto" w:fill="auto"/>
        <w:spacing w:line="240" w:lineRule="auto"/>
        <w:jc w:val="both"/>
        <w:rPr>
          <w:sz w:val="22"/>
          <w:szCs w:val="22"/>
          <w:lang w:val="sr-Latn-RS" w:eastAsia="en-US"/>
        </w:rPr>
      </w:pPr>
      <w:r w:rsidRPr="00E75889">
        <w:rPr>
          <w:sz w:val="22"/>
          <w:szCs w:val="22"/>
          <w:lang w:val="sr-Latn-RS" w:eastAsia="en-US"/>
        </w:rPr>
        <w:t>Tabela 3: Studija D2302 (TRANSFORMS): Glavni rezultati</w:t>
      </w:r>
    </w:p>
    <w:p w14:paraId="08A5A8A5" w14:textId="77777777" w:rsidR="00EB75FD" w:rsidRPr="00E75889" w:rsidRDefault="00EB75FD" w:rsidP="00E75889">
      <w:pPr>
        <w:pStyle w:val="Header"/>
        <w:widowControl w:val="0"/>
        <w:tabs>
          <w:tab w:val="left" w:pos="284"/>
        </w:tabs>
        <w:jc w:val="both"/>
        <w:rPr>
          <w:sz w:val="22"/>
          <w:szCs w:val="22"/>
          <w:lang w:val="sr-Latn-RS"/>
        </w:rPr>
      </w:pPr>
    </w:p>
    <w:tbl>
      <w:tblPr>
        <w:tblW w:w="5000" w:type="pct"/>
        <w:tblCellMar>
          <w:left w:w="0" w:type="dxa"/>
          <w:right w:w="0" w:type="dxa"/>
        </w:tblCellMar>
        <w:tblLook w:val="0000" w:firstRow="0" w:lastRow="0" w:firstColumn="0" w:lastColumn="0" w:noHBand="0" w:noVBand="0"/>
      </w:tblPr>
      <w:tblGrid>
        <w:gridCol w:w="5048"/>
        <w:gridCol w:w="2003"/>
        <w:gridCol w:w="2012"/>
      </w:tblGrid>
      <w:tr w:rsidR="00EB75FD" w:rsidRPr="00E75889" w14:paraId="4C59CB3E" w14:textId="77777777" w:rsidTr="00E75889">
        <w:trPr>
          <w:trHeight w:val="533"/>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56437424" w14:textId="77777777" w:rsidR="00EB75FD" w:rsidRPr="00E75889" w:rsidRDefault="00EB75FD" w:rsidP="00E75889">
            <w:pPr>
              <w:widowControl w:val="0"/>
              <w:jc w:val="both"/>
              <w:rPr>
                <w:sz w:val="22"/>
                <w:szCs w:val="22"/>
                <w:lang w:val="sr-Latn-RS" w:eastAsia="zh-CN"/>
              </w:rPr>
            </w:pP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74CB7DBD"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Fingolimod 0,5 mg</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3DA3B4BF"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Interferon beta-1a, 30 mirokgrama</w:t>
            </w:r>
          </w:p>
        </w:tc>
      </w:tr>
      <w:tr w:rsidR="00EB75FD" w:rsidRPr="00E75889" w14:paraId="1B2A587E"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2BD6EAC8"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Klinički parametri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6EF9CBA7"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006AD13" w14:textId="77777777" w:rsidR="00EB75FD" w:rsidRPr="00E75889" w:rsidRDefault="00EB75FD" w:rsidP="00E75889">
            <w:pPr>
              <w:widowControl w:val="0"/>
              <w:jc w:val="both"/>
              <w:rPr>
                <w:sz w:val="22"/>
                <w:szCs w:val="22"/>
                <w:lang w:val="sr-Latn-RS" w:eastAsia="zh-CN"/>
              </w:rPr>
            </w:pPr>
          </w:p>
        </w:tc>
      </w:tr>
      <w:tr w:rsidR="00EB75FD" w:rsidRPr="00E75889" w14:paraId="4359AE86"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4291A228" w14:textId="1A4127C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Stopa relapsa na godišnjem nivou (primarni parametar</w:t>
            </w:r>
            <w:r w:rsidR="00271EFE" w:rsidRPr="00E75889">
              <w:rPr>
                <w:sz w:val="22"/>
                <w:szCs w:val="22"/>
                <w:lang w:val="sr-Latn-RS" w:eastAsia="en-US"/>
              </w:rPr>
              <w:t xml:space="preserve"> praćenja</w:t>
            </w:r>
            <w:r w:rsidRPr="00E75889">
              <w:rPr>
                <w:sz w:val="22"/>
                <w:szCs w:val="22"/>
                <w:lang w:val="sr-Latn-RS" w:eastAsia="en-US"/>
              </w:rPr>
              <w:t>)</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6806AB7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0,16**</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2ED441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0,33</w:t>
            </w:r>
          </w:p>
        </w:tc>
      </w:tr>
      <w:tr w:rsidR="00EB75FD" w:rsidRPr="00E75889" w14:paraId="694D9550"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62891CC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Procenat pacijenata koji su bez relapsa nakon12 mjeseci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4122C14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83%**</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D5ECF8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71%</w:t>
            </w:r>
          </w:p>
        </w:tc>
      </w:tr>
      <w:tr w:rsidR="00EB75FD" w:rsidRPr="00E75889" w14:paraId="20F2F471"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6065FB5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Udio pacijenata sa progresijom invalidnosti potvrđenom nakon 3 mjeseca †</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436864A4"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6%</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16E9C33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8%</w:t>
            </w:r>
          </w:p>
        </w:tc>
      </w:tr>
      <w:tr w:rsidR="00EB75FD" w:rsidRPr="00E75889" w14:paraId="291EDED2"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23985643" w14:textId="244A3327" w:rsidR="00EB75FD" w:rsidRPr="00E75889" w:rsidRDefault="00170A5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Odnos rizika </w:t>
            </w:r>
            <w:r w:rsidR="00EB75FD" w:rsidRPr="00E75889">
              <w:rPr>
                <w:sz w:val="22"/>
                <w:szCs w:val="22"/>
                <w:lang w:val="sr-Latn-RS" w:eastAsia="en-US"/>
              </w:rPr>
              <w:t>(95% 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26321F8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0,71 (0,42, 1,21)</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BF174E8" w14:textId="77777777" w:rsidR="00EB75FD" w:rsidRPr="00E75889" w:rsidRDefault="00EB75FD" w:rsidP="00E75889">
            <w:pPr>
              <w:widowControl w:val="0"/>
              <w:jc w:val="both"/>
              <w:rPr>
                <w:sz w:val="22"/>
                <w:szCs w:val="22"/>
                <w:lang w:val="sr-Latn-RS" w:eastAsia="zh-CN"/>
              </w:rPr>
            </w:pPr>
          </w:p>
        </w:tc>
      </w:tr>
      <w:tr w:rsidR="00EB75FD" w:rsidRPr="00E75889" w14:paraId="3F2619BD" w14:textId="77777777" w:rsidTr="00E75889">
        <w:trPr>
          <w:trHeight w:val="269"/>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2056DF8E" w14:textId="77777777" w:rsidR="00EB75FD" w:rsidRPr="00E75889" w:rsidRDefault="00EB75FD" w:rsidP="00E75889">
            <w:pPr>
              <w:pStyle w:val="Bodytext40"/>
              <w:widowControl w:val="0"/>
              <w:shd w:val="clear" w:color="auto" w:fill="auto"/>
              <w:spacing w:line="240" w:lineRule="auto"/>
              <w:jc w:val="both"/>
              <w:rPr>
                <w:sz w:val="22"/>
                <w:szCs w:val="22"/>
                <w:lang w:val="sr-Latn-RS" w:eastAsia="en-US"/>
              </w:rPr>
            </w:pPr>
            <w:r w:rsidRPr="00E75889">
              <w:rPr>
                <w:sz w:val="22"/>
                <w:szCs w:val="22"/>
                <w:lang w:val="sr-Latn-RS" w:eastAsia="en-US"/>
              </w:rPr>
              <w:t>MRI parametri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3FCB0614" w14:textId="77777777" w:rsidR="00EB75FD" w:rsidRPr="00E75889" w:rsidRDefault="00EB75FD" w:rsidP="00E75889">
            <w:pPr>
              <w:widowControl w:val="0"/>
              <w:jc w:val="both"/>
              <w:rPr>
                <w:sz w:val="22"/>
                <w:szCs w:val="22"/>
                <w:lang w:val="sr-Latn-RS" w:eastAsia="zh-CN"/>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AB50FA5" w14:textId="77777777" w:rsidR="00EB75FD" w:rsidRPr="00E75889" w:rsidRDefault="00EB75FD" w:rsidP="00E75889">
            <w:pPr>
              <w:widowControl w:val="0"/>
              <w:jc w:val="both"/>
              <w:rPr>
                <w:sz w:val="22"/>
                <w:szCs w:val="22"/>
                <w:lang w:val="sr-Latn-RS" w:eastAsia="zh-CN"/>
              </w:rPr>
            </w:pPr>
          </w:p>
        </w:tc>
      </w:tr>
      <w:tr w:rsidR="00EB75FD" w:rsidRPr="00E75889" w14:paraId="050F286A"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33B6379C" w14:textId="3C107943" w:rsidR="00EB75FD" w:rsidRPr="00E75889" w:rsidRDefault="00170A5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Medijana (srednja vrijednost)</w:t>
            </w:r>
            <w:r w:rsidR="00BF42F0" w:rsidRPr="00E75889">
              <w:rPr>
                <w:sz w:val="22"/>
                <w:szCs w:val="22"/>
                <w:lang w:val="sr-Latn-RS" w:eastAsia="en-US"/>
              </w:rPr>
              <w:t xml:space="preserve"> </w:t>
            </w:r>
            <w:r w:rsidR="00271EFE" w:rsidRPr="00E75889">
              <w:rPr>
                <w:sz w:val="22"/>
                <w:szCs w:val="22"/>
                <w:lang w:val="sr-Latn-RS" w:eastAsia="en-US"/>
              </w:rPr>
              <w:t xml:space="preserve">broja </w:t>
            </w:r>
            <w:r w:rsidR="00EB75FD" w:rsidRPr="00E75889">
              <w:rPr>
                <w:sz w:val="22"/>
                <w:szCs w:val="22"/>
                <w:lang w:val="sr-Latn-RS" w:eastAsia="en-US"/>
              </w:rPr>
              <w:t>novih ili povećanih T2 lezija tokom 12 mjeseci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70802E3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(1,7)*</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007AE0C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1,0 (2,6)</w:t>
            </w:r>
          </w:p>
        </w:tc>
      </w:tr>
      <w:tr w:rsidR="00EB75FD" w:rsidRPr="00E75889" w14:paraId="00F9480D"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318E1B5D" w14:textId="300FCC64" w:rsidR="00EB75FD" w:rsidRPr="00E75889" w:rsidRDefault="00170A5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Medijana (srednja vrijednost) </w:t>
            </w:r>
            <w:r w:rsidR="00271EFE" w:rsidRPr="00E75889">
              <w:rPr>
                <w:sz w:val="22"/>
                <w:szCs w:val="22"/>
                <w:lang w:val="sr-Latn-RS" w:eastAsia="en-US"/>
              </w:rPr>
              <w:t xml:space="preserve">broja </w:t>
            </w:r>
            <w:r w:rsidR="00EB75FD" w:rsidRPr="00E75889">
              <w:rPr>
                <w:sz w:val="22"/>
                <w:szCs w:val="22"/>
                <w:lang w:val="sr-Latn-RS" w:eastAsia="en-US"/>
              </w:rPr>
              <w:t>lezija koje pojačano vezuju Gd nakon 12 mjeseci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33BC8E3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(0,2)**</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63A9B7B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0,0 (0,5)</w:t>
            </w:r>
          </w:p>
        </w:tc>
      </w:tr>
      <w:tr w:rsidR="00EB75FD" w:rsidRPr="00E75889" w14:paraId="47C535FB" w14:textId="77777777" w:rsidTr="00E75889">
        <w:trPr>
          <w:trHeight w:val="528"/>
        </w:trPr>
        <w:tc>
          <w:tcPr>
            <w:tcW w:w="2785" w:type="pct"/>
            <w:tcBorders>
              <w:top w:val="single" w:sz="4" w:space="0" w:color="auto"/>
              <w:left w:val="single" w:sz="4" w:space="0" w:color="auto"/>
              <w:bottom w:val="single" w:sz="4" w:space="0" w:color="auto"/>
              <w:right w:val="single" w:sz="4" w:space="0" w:color="auto"/>
            </w:tcBorders>
            <w:shd w:val="clear" w:color="auto" w:fill="FFFFFF"/>
          </w:tcPr>
          <w:p w14:paraId="764DD9CF" w14:textId="79F9DD2E" w:rsidR="00EB75FD" w:rsidRPr="00E75889" w:rsidRDefault="00170A57"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Medijana (srednja vrijednost) </w:t>
            </w:r>
            <w:r w:rsidR="00EB75FD" w:rsidRPr="00E75889">
              <w:rPr>
                <w:sz w:val="22"/>
                <w:szCs w:val="22"/>
                <w:lang w:val="sr-Latn-RS" w:eastAsia="en-US"/>
              </w:rPr>
              <w:t>% promjene zapremine mozga</w:t>
            </w:r>
            <w:r w:rsidR="00BF42F0" w:rsidRPr="00E75889">
              <w:rPr>
                <w:sz w:val="22"/>
                <w:szCs w:val="22"/>
                <w:lang w:val="sr-Latn-RS" w:eastAsia="en-US"/>
              </w:rPr>
              <w:t xml:space="preserve"> </w:t>
            </w:r>
            <w:r w:rsidR="00EB75FD" w:rsidRPr="00E75889">
              <w:rPr>
                <w:sz w:val="22"/>
                <w:szCs w:val="22"/>
                <w:lang w:val="sr-Latn-RS" w:eastAsia="en-US"/>
              </w:rPr>
              <w:t>tokom 12 mjeseci</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23A9D82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-0,2 (-0,3)**</w:t>
            </w:r>
          </w:p>
        </w:tc>
        <w:tc>
          <w:tcPr>
            <w:tcW w:w="1111" w:type="pct"/>
            <w:tcBorders>
              <w:top w:val="single" w:sz="4" w:space="0" w:color="auto"/>
              <w:left w:val="single" w:sz="4" w:space="0" w:color="auto"/>
              <w:bottom w:val="single" w:sz="4" w:space="0" w:color="auto"/>
              <w:right w:val="single" w:sz="4" w:space="0" w:color="auto"/>
            </w:tcBorders>
            <w:shd w:val="clear" w:color="auto" w:fill="FFFFFF"/>
          </w:tcPr>
          <w:p w14:paraId="45D6429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-0,4 (-0,5)</w:t>
            </w:r>
          </w:p>
        </w:tc>
      </w:tr>
      <w:tr w:rsidR="00EB75FD" w:rsidRPr="00E75889" w14:paraId="18D4363E" w14:textId="77777777" w:rsidTr="00E75889">
        <w:trPr>
          <w:trHeight w:val="52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3B4AE94" w14:textId="02511DC6"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Progresija invalidnosti definisana kao povećanje u EDSS-u</w:t>
            </w:r>
            <w:r w:rsidR="00BF42F0" w:rsidRPr="00E75889">
              <w:rPr>
                <w:sz w:val="20"/>
                <w:szCs w:val="22"/>
                <w:lang w:val="sr-Latn-RS" w:eastAsia="en-US"/>
              </w:rPr>
              <w:t xml:space="preserve"> </w:t>
            </w:r>
            <w:r w:rsidRPr="00E75889">
              <w:rPr>
                <w:sz w:val="20"/>
                <w:szCs w:val="22"/>
                <w:lang w:val="sr-Latn-RS" w:eastAsia="en-US"/>
              </w:rPr>
              <w:t>za 1 bod koj</w:t>
            </w:r>
            <w:r w:rsidR="00170A57" w:rsidRPr="00E75889">
              <w:rPr>
                <w:sz w:val="20"/>
                <w:szCs w:val="22"/>
                <w:lang w:val="sr-Latn-RS" w:eastAsia="en-US"/>
              </w:rPr>
              <w:t>a</w:t>
            </w:r>
            <w:r w:rsidRPr="00E75889">
              <w:rPr>
                <w:sz w:val="20"/>
                <w:szCs w:val="22"/>
                <w:lang w:val="sr-Latn-RS" w:eastAsia="en-US"/>
              </w:rPr>
              <w:t xml:space="preserve"> je potvrđen</w:t>
            </w:r>
            <w:r w:rsidR="00170A57" w:rsidRPr="00E75889">
              <w:rPr>
                <w:sz w:val="20"/>
                <w:szCs w:val="22"/>
                <w:lang w:val="sr-Latn-RS" w:eastAsia="en-US"/>
              </w:rPr>
              <w:t>a</w:t>
            </w:r>
            <w:r w:rsidRPr="00E75889">
              <w:rPr>
                <w:sz w:val="20"/>
                <w:szCs w:val="22"/>
                <w:lang w:val="sr-Latn-RS" w:eastAsia="en-US"/>
              </w:rPr>
              <w:t xml:space="preserve"> poslije</w:t>
            </w:r>
            <w:r w:rsidR="00BF42F0" w:rsidRPr="00E75889">
              <w:rPr>
                <w:sz w:val="20"/>
                <w:szCs w:val="22"/>
                <w:lang w:val="sr-Latn-RS" w:eastAsia="en-US"/>
              </w:rPr>
              <w:t xml:space="preserve">   </w:t>
            </w:r>
          </w:p>
          <w:p w14:paraId="759A6025" w14:textId="7CEFEF98" w:rsidR="00EB75FD" w:rsidRPr="00E75889" w:rsidRDefault="00BF42F0"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xml:space="preserve"> </w:t>
            </w:r>
            <w:r w:rsidR="00EB75FD" w:rsidRPr="00E75889">
              <w:rPr>
                <w:sz w:val="20"/>
                <w:szCs w:val="22"/>
                <w:lang w:val="sr-Latn-RS" w:eastAsia="en-US"/>
              </w:rPr>
              <w:t xml:space="preserve"> 3 mjeseca </w:t>
            </w:r>
          </w:p>
          <w:p w14:paraId="3E67595D" w14:textId="77777777"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xml:space="preserve">* p&lt;0,01 </w:t>
            </w:r>
          </w:p>
          <w:p w14:paraId="1DDC0A3F" w14:textId="1BC7A30B" w:rsidR="00EB75FD" w:rsidRPr="00E75889" w:rsidRDefault="00EB75FD" w:rsidP="00E75889">
            <w:pPr>
              <w:pStyle w:val="Bodytext1"/>
              <w:widowControl w:val="0"/>
              <w:shd w:val="clear" w:color="auto" w:fill="auto"/>
              <w:spacing w:before="0" w:after="0" w:line="240" w:lineRule="auto"/>
              <w:ind w:firstLine="0"/>
              <w:jc w:val="both"/>
              <w:rPr>
                <w:sz w:val="20"/>
                <w:szCs w:val="22"/>
                <w:lang w:val="sr-Latn-RS" w:eastAsia="en-US"/>
              </w:rPr>
            </w:pPr>
            <w:r w:rsidRPr="00E75889">
              <w:rPr>
                <w:sz w:val="20"/>
                <w:szCs w:val="22"/>
                <w:lang w:val="sr-Latn-RS" w:eastAsia="en-US"/>
              </w:rPr>
              <w:t>** p&lt;0,001,</w:t>
            </w:r>
            <w:r w:rsidR="00BF42F0" w:rsidRPr="00E75889">
              <w:rPr>
                <w:sz w:val="20"/>
                <w:szCs w:val="22"/>
                <w:lang w:val="sr-Latn-RS" w:eastAsia="en-US"/>
              </w:rPr>
              <w:t xml:space="preserve"> </w:t>
            </w:r>
            <w:r w:rsidRPr="00E75889">
              <w:rPr>
                <w:sz w:val="20"/>
                <w:szCs w:val="22"/>
                <w:lang w:val="sr-Latn-RS" w:eastAsia="en-US"/>
              </w:rPr>
              <w:t>u poređenju sa interferonom beta-1a</w:t>
            </w:r>
          </w:p>
          <w:p w14:paraId="1D81D4FA" w14:textId="33EA00B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0"/>
                <w:szCs w:val="22"/>
                <w:lang w:val="sr-Latn-RS" w:eastAsia="en-US"/>
              </w:rPr>
              <w:t>Sve analize kliničkih parametara zasnovane su na podacima</w:t>
            </w:r>
            <w:r w:rsidR="00BF42F0" w:rsidRPr="00E75889">
              <w:rPr>
                <w:sz w:val="20"/>
                <w:szCs w:val="22"/>
                <w:lang w:val="sr-Latn-RS" w:eastAsia="en-US"/>
              </w:rPr>
              <w:t xml:space="preserve"> </w:t>
            </w:r>
            <w:r w:rsidRPr="00E75889">
              <w:rPr>
                <w:sz w:val="20"/>
                <w:szCs w:val="22"/>
                <w:lang w:val="sr-Latn-RS" w:eastAsia="en-US"/>
              </w:rPr>
              <w:t>- namjere liječenja (</w:t>
            </w:r>
            <w:r w:rsidR="00271EFE" w:rsidRPr="00E75889">
              <w:rPr>
                <w:sz w:val="20"/>
                <w:szCs w:val="22"/>
                <w:lang w:val="sr-Latn-RS" w:eastAsia="en-US"/>
              </w:rPr>
              <w:t xml:space="preserve">engl. </w:t>
            </w:r>
            <w:r w:rsidRPr="00E75889">
              <w:rPr>
                <w:i/>
                <w:iCs/>
                <w:sz w:val="20"/>
                <w:szCs w:val="22"/>
                <w:lang w:val="sr-Latn-RS" w:eastAsia="en-US"/>
              </w:rPr>
              <w:t>intent-to-treat</w:t>
            </w:r>
            <w:r w:rsidR="00271EFE" w:rsidRPr="00E75889">
              <w:rPr>
                <w:sz w:val="20"/>
                <w:szCs w:val="22"/>
                <w:lang w:val="sr-Latn-RS" w:eastAsia="en-US"/>
              </w:rPr>
              <w:t>, ITT</w:t>
            </w:r>
            <w:r w:rsidRPr="00E75889">
              <w:rPr>
                <w:sz w:val="20"/>
                <w:szCs w:val="22"/>
                <w:lang w:val="sr-Latn-RS" w:eastAsia="en-US"/>
              </w:rPr>
              <w:t>). Za analizu MRI je korišćen dostupan skup podataka.</w:t>
            </w:r>
          </w:p>
        </w:tc>
      </w:tr>
    </w:tbl>
    <w:p w14:paraId="20319D93" w14:textId="77777777" w:rsidR="00EB75FD" w:rsidRPr="00E75889" w:rsidRDefault="00EB75FD" w:rsidP="00E75889">
      <w:pPr>
        <w:widowControl w:val="0"/>
        <w:jc w:val="both"/>
        <w:rPr>
          <w:sz w:val="22"/>
          <w:szCs w:val="22"/>
          <w:lang w:val="sr-Latn-RS"/>
        </w:rPr>
      </w:pPr>
    </w:p>
    <w:p w14:paraId="2A76DAF5" w14:textId="5DE5DD2F" w:rsidR="00EB75FD" w:rsidRPr="00E75889" w:rsidRDefault="00EB75FD" w:rsidP="00E75889">
      <w:pPr>
        <w:widowControl w:val="0"/>
        <w:jc w:val="both"/>
        <w:rPr>
          <w:sz w:val="22"/>
          <w:szCs w:val="22"/>
          <w:lang w:val="sr-Latn-RS"/>
        </w:rPr>
      </w:pPr>
      <w:r w:rsidRPr="00E75889">
        <w:rPr>
          <w:sz w:val="22"/>
          <w:szCs w:val="22"/>
          <w:lang w:val="sr-Latn-RS"/>
        </w:rPr>
        <w:t>Pacijenti koji su završili 12-mjesečnu osnovnu TRANSFORMS studiju mogli su se uključe u produžetak ispitivanja sa maskiranom dozom (D2301E1) i da prime fingolimod. Ukupno je uključeno 1,030</w:t>
      </w:r>
      <w:r w:rsidR="00BF42F0" w:rsidRPr="00E75889">
        <w:rPr>
          <w:sz w:val="22"/>
          <w:szCs w:val="22"/>
          <w:lang w:val="sr-Latn-RS"/>
        </w:rPr>
        <w:t xml:space="preserve"> </w:t>
      </w:r>
      <w:r w:rsidRPr="00E75889">
        <w:rPr>
          <w:sz w:val="22"/>
          <w:szCs w:val="22"/>
          <w:lang w:val="sr-Latn-RS"/>
        </w:rPr>
        <w:t>pacijenata, međutim 3 od ovih pacijenata nije primilo terapiju (n=356 je nastavilo sa dozom od 0,5mg, 330 je nastavilo sa dozom od 1,25mg, 167 je prešlo sa interferona</w:t>
      </w:r>
      <w:r w:rsidR="00BF42F0" w:rsidRPr="00E75889">
        <w:rPr>
          <w:sz w:val="22"/>
          <w:szCs w:val="22"/>
          <w:lang w:val="sr-Latn-RS"/>
        </w:rPr>
        <w:t xml:space="preserve"> </w:t>
      </w:r>
      <w:r w:rsidRPr="00E75889">
        <w:rPr>
          <w:sz w:val="22"/>
          <w:szCs w:val="22"/>
          <w:lang w:val="sr-Latn-RS"/>
        </w:rPr>
        <w:t>beta-1a na dozu 0,5mg i 174 je prešlo sa interferona</w:t>
      </w:r>
      <w:r w:rsidR="00BF42F0" w:rsidRPr="00E75889">
        <w:rPr>
          <w:sz w:val="22"/>
          <w:szCs w:val="22"/>
          <w:lang w:val="sr-Latn-RS"/>
        </w:rPr>
        <w:t xml:space="preserve"> </w:t>
      </w:r>
      <w:r w:rsidRPr="00E75889">
        <w:rPr>
          <w:sz w:val="22"/>
          <w:szCs w:val="22"/>
          <w:lang w:val="sr-Latn-RS"/>
        </w:rPr>
        <w:t>beta-1a</w:t>
      </w:r>
      <w:r w:rsidR="00BF42F0" w:rsidRPr="00E75889">
        <w:rPr>
          <w:sz w:val="22"/>
          <w:szCs w:val="22"/>
          <w:lang w:val="sr-Latn-RS"/>
        </w:rPr>
        <w:t xml:space="preserve"> </w:t>
      </w:r>
      <w:r w:rsidRPr="00E75889">
        <w:rPr>
          <w:sz w:val="22"/>
          <w:szCs w:val="22"/>
          <w:lang w:val="sr-Latn-RS"/>
        </w:rPr>
        <w:t>na dozu 1,25 mg). Nakon 12 mjeseci (mjesec 24), 882 pacijenta (86%) je i dalje bilo uključeno. Između 12 i 24 mjeseci, za pacijente koji su primali dozu fingolimoda 0,5 mg i koji su u osnovnoj studiji ostali na dozi 0,5 mg, vrijednost ARR bila je 0,20 (0,19 u osnovnoj studiji). Za pacijente koji su prešli sa interferona</w:t>
      </w:r>
      <w:r w:rsidR="00BF42F0" w:rsidRPr="00E75889">
        <w:rPr>
          <w:sz w:val="22"/>
          <w:szCs w:val="22"/>
          <w:lang w:val="sr-Latn-RS"/>
        </w:rPr>
        <w:t xml:space="preserve"> </w:t>
      </w:r>
      <w:r w:rsidRPr="00E75889">
        <w:rPr>
          <w:sz w:val="22"/>
          <w:szCs w:val="22"/>
          <w:lang w:val="sr-Latn-RS"/>
        </w:rPr>
        <w:t>beta-1a</w:t>
      </w:r>
      <w:r w:rsidR="00BF42F0" w:rsidRPr="00E75889">
        <w:rPr>
          <w:sz w:val="22"/>
          <w:szCs w:val="22"/>
          <w:lang w:val="sr-Latn-RS"/>
        </w:rPr>
        <w:t xml:space="preserve"> </w:t>
      </w:r>
      <w:r w:rsidRPr="00E75889">
        <w:rPr>
          <w:sz w:val="22"/>
          <w:szCs w:val="22"/>
          <w:lang w:val="sr-Latn-RS"/>
        </w:rPr>
        <w:t>na dozu fingolimoda 0,5mg, vrijednost ARR je bila 0,33 (0,48 u osnovnoj studiji).</w:t>
      </w:r>
    </w:p>
    <w:p w14:paraId="2CBAB894" w14:textId="77777777" w:rsidR="00EB75FD" w:rsidRPr="00E75889" w:rsidRDefault="00EB75FD" w:rsidP="00E75889">
      <w:pPr>
        <w:pStyle w:val="Header"/>
        <w:widowControl w:val="0"/>
        <w:tabs>
          <w:tab w:val="left" w:pos="284"/>
        </w:tabs>
        <w:jc w:val="both"/>
        <w:rPr>
          <w:sz w:val="22"/>
          <w:szCs w:val="22"/>
          <w:lang w:val="sr-Latn-RS"/>
        </w:rPr>
      </w:pPr>
    </w:p>
    <w:p w14:paraId="1247DBD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Ukupni rezultati studija D2301 i D2302 pokazali su dosljedno i statistički značajno smanjenje godišnje stope relapsa u poređenju sa poredbenim podgrupama definisanim prema polu, starosti, prethodnoj terapiji za multiplu sklerozu, aktivnosti bolesti ili nivou invalidnosti na početku.</w:t>
      </w:r>
    </w:p>
    <w:p w14:paraId="00660226" w14:textId="77777777" w:rsidR="00170A57" w:rsidRPr="00E75889" w:rsidRDefault="00170A57" w:rsidP="00E75889">
      <w:pPr>
        <w:pStyle w:val="Bodytext1"/>
        <w:widowControl w:val="0"/>
        <w:shd w:val="clear" w:color="auto" w:fill="auto"/>
        <w:spacing w:before="0" w:after="0" w:line="240" w:lineRule="auto"/>
        <w:ind w:firstLine="0"/>
        <w:jc w:val="both"/>
        <w:rPr>
          <w:sz w:val="22"/>
          <w:szCs w:val="22"/>
          <w:lang w:val="sr-Latn-RS" w:eastAsia="en-US"/>
        </w:rPr>
      </w:pPr>
    </w:p>
    <w:p w14:paraId="123CDE0B" w14:textId="6487530F"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lastRenderedPageBreak/>
        <w:t>Dalje analize podataka iz kliničkih studija pokazuju dosljedna terapijska dejstva u podgrupama pacijenata sa visoko aktivnom relapsno-remititentnom multiplom sklerozom.</w:t>
      </w:r>
      <w:r w:rsidR="00BF42F0" w:rsidRPr="00E75889">
        <w:rPr>
          <w:sz w:val="22"/>
          <w:szCs w:val="22"/>
          <w:lang w:val="sr-Latn-RS" w:eastAsia="en-US"/>
        </w:rPr>
        <w:t xml:space="preserve"> </w:t>
      </w:r>
    </w:p>
    <w:p w14:paraId="3F64F89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9ACFD4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u w:val="single"/>
          <w:lang w:val="sr-Latn-RS"/>
        </w:rPr>
      </w:pPr>
      <w:r w:rsidRPr="00E75889">
        <w:rPr>
          <w:sz w:val="22"/>
          <w:szCs w:val="22"/>
          <w:u w:val="single"/>
          <w:lang w:val="sr-Latn-RS"/>
        </w:rPr>
        <w:t>Pedijatrijski pacijenti</w:t>
      </w:r>
    </w:p>
    <w:p w14:paraId="1C7DFF0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28ADDF7A" w14:textId="77E3A9E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Efikasnost i bezbjednost jednodnevne doze 0,25 mg ili 0,5 mg fingolimoda (doza se određuje na osnovu tjelesne mase i m</w:t>
      </w:r>
      <w:r w:rsidR="009F0B58" w:rsidRPr="00E75889">
        <w:rPr>
          <w:sz w:val="22"/>
          <w:szCs w:val="22"/>
          <w:lang w:val="sr-Latn-RS"/>
        </w:rPr>
        <w:t>j</w:t>
      </w:r>
      <w:r w:rsidRPr="00E75889">
        <w:rPr>
          <w:sz w:val="22"/>
          <w:szCs w:val="22"/>
          <w:lang w:val="sr-Latn-RS"/>
        </w:rPr>
        <w:t>erenjima izloženosti) je utvrđena kod pedijatrijskih pacijenata uzrasta 10 do &lt;18 godina sa relapsirajućom remitentnom multiplom sklerozom.</w:t>
      </w:r>
    </w:p>
    <w:p w14:paraId="316311A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40AA093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Klinička studija D2311 (PARADIGMS) je dvostruko-slijepa, dvostruko maskirana, aktivno-kontrolisana studija sa fleksibilnim trajanjem do 24 mjeseci, sa 215 pacijenata uzrasta 10 do &lt;18 godina (n=107 na fingolimodu, 108 na 30 µg interferona beta-1a intramuskularnom injekcijom jednom nedjeljno).</w:t>
      </w:r>
    </w:p>
    <w:p w14:paraId="562F737E"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756E88AE" w14:textId="332B55F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Vrijednosti medijane za karakteristike na početku su bile: uzrast 16 godina, medijana trajanja bolesti 1,5 godina i EDSS (engl. </w:t>
      </w:r>
      <w:r w:rsidRPr="00E75889">
        <w:rPr>
          <w:i/>
          <w:sz w:val="22"/>
          <w:szCs w:val="22"/>
          <w:lang w:val="sr-Latn-RS"/>
        </w:rPr>
        <w:t>Expanded Disability Status Score</w:t>
      </w:r>
      <w:r w:rsidRPr="00E75889">
        <w:rPr>
          <w:sz w:val="22"/>
          <w:szCs w:val="22"/>
          <w:lang w:val="sr-Latn-RS"/>
        </w:rPr>
        <w:t xml:space="preserve"> – EDSS) skor 1</w:t>
      </w:r>
      <w:r w:rsidR="00570072" w:rsidRPr="00E75889">
        <w:rPr>
          <w:sz w:val="22"/>
          <w:szCs w:val="22"/>
          <w:lang w:val="sr-Latn-RS"/>
        </w:rPr>
        <w:t>,</w:t>
      </w:r>
      <w:r w:rsidRPr="00E75889">
        <w:rPr>
          <w:sz w:val="22"/>
          <w:szCs w:val="22"/>
          <w:lang w:val="sr-Latn-RS"/>
        </w:rPr>
        <w:t>5. Većina pacijenata su bili Tanner stadijum 2 ili viši (94,4%) i bili su &gt;40 kg (95,3%). Sveukupno, 180 (84%) pacijenata je završilo osnovnu fazu sa ispitivanim lijekom (n=99 [92,5%], sa fingolimodom, 81 [75%] sa interferonom beta-1a). Rezultati ishoda su prikazani u Tabeli 4.</w:t>
      </w:r>
    </w:p>
    <w:p w14:paraId="2C7E683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05EFB0F7" w14:textId="561577EE" w:rsidR="00EB75FD" w:rsidRPr="00E75889" w:rsidRDefault="00EB75FD" w:rsidP="00E75889">
      <w:pPr>
        <w:pStyle w:val="Bodytext1"/>
        <w:widowControl w:val="0"/>
        <w:shd w:val="clear" w:color="auto" w:fill="auto"/>
        <w:spacing w:before="0" w:after="0" w:line="240" w:lineRule="auto"/>
        <w:ind w:firstLine="0"/>
        <w:jc w:val="both"/>
        <w:rPr>
          <w:b/>
          <w:bCs/>
          <w:sz w:val="22"/>
          <w:szCs w:val="22"/>
          <w:lang w:val="sr-Latn-RS"/>
        </w:rPr>
      </w:pPr>
      <w:r w:rsidRPr="00E75889">
        <w:rPr>
          <w:b/>
          <w:bCs/>
          <w:sz w:val="22"/>
          <w:szCs w:val="22"/>
          <w:lang w:val="sr-Latn-RS"/>
        </w:rPr>
        <w:t>Tabela 4</w:t>
      </w:r>
      <w:r w:rsidR="00BF42F0" w:rsidRPr="00E75889">
        <w:rPr>
          <w:b/>
          <w:bCs/>
          <w:sz w:val="22"/>
          <w:szCs w:val="22"/>
          <w:lang w:val="sr-Latn-RS"/>
        </w:rPr>
        <w:t xml:space="preserve">    </w:t>
      </w:r>
      <w:r w:rsidRPr="00E75889">
        <w:rPr>
          <w:b/>
          <w:bCs/>
          <w:sz w:val="22"/>
          <w:szCs w:val="22"/>
          <w:lang w:val="sr-Latn-RS"/>
        </w:rPr>
        <w:t xml:space="preserve"> Studija D2311 (PARADIGMS): glavni rezultati</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49"/>
        <w:gridCol w:w="2057"/>
        <w:gridCol w:w="2057"/>
      </w:tblGrid>
      <w:tr w:rsidR="00EB75FD" w:rsidRPr="00E75889" w14:paraId="4DBBB2C4" w14:textId="77777777" w:rsidTr="00282BF1">
        <w:tc>
          <w:tcPr>
            <w:tcW w:w="2730" w:type="pct"/>
            <w:tcBorders>
              <w:top w:val="single" w:sz="4" w:space="0" w:color="auto"/>
              <w:bottom w:val="single" w:sz="4" w:space="0" w:color="auto"/>
              <w:right w:val="single" w:sz="4" w:space="0" w:color="auto"/>
            </w:tcBorders>
          </w:tcPr>
          <w:p w14:paraId="5764AAA7" w14:textId="77777777" w:rsidR="00EB75FD" w:rsidRPr="00E75889" w:rsidRDefault="00EB75FD" w:rsidP="00E75889">
            <w:pPr>
              <w:widowControl w:val="0"/>
              <w:jc w:val="both"/>
              <w:rPr>
                <w:sz w:val="22"/>
                <w:szCs w:val="22"/>
                <w:lang w:val="sr-Latn-RS"/>
              </w:rPr>
            </w:pPr>
          </w:p>
        </w:tc>
        <w:tc>
          <w:tcPr>
            <w:tcW w:w="1135" w:type="pct"/>
            <w:tcBorders>
              <w:top w:val="single" w:sz="4" w:space="0" w:color="auto"/>
              <w:left w:val="single" w:sz="4" w:space="0" w:color="auto"/>
              <w:bottom w:val="single" w:sz="4" w:space="0" w:color="auto"/>
              <w:right w:val="single" w:sz="4" w:space="0" w:color="auto"/>
            </w:tcBorders>
          </w:tcPr>
          <w:p w14:paraId="4BF3A7FA" w14:textId="77777777" w:rsidR="00EB75FD" w:rsidRPr="00E75889" w:rsidRDefault="00EB75FD" w:rsidP="00E75889">
            <w:pPr>
              <w:widowControl w:val="0"/>
              <w:jc w:val="both"/>
              <w:rPr>
                <w:b/>
                <w:sz w:val="22"/>
                <w:szCs w:val="22"/>
                <w:lang w:val="sr-Latn-RS"/>
              </w:rPr>
            </w:pPr>
            <w:r w:rsidRPr="00E75889">
              <w:rPr>
                <w:b/>
                <w:sz w:val="22"/>
                <w:szCs w:val="22"/>
                <w:lang w:val="sr-Latn-RS"/>
              </w:rPr>
              <w:t>Fingolimod</w:t>
            </w:r>
          </w:p>
          <w:p w14:paraId="5D7FFD75" w14:textId="77777777" w:rsidR="00EB75FD" w:rsidRPr="00E75889" w:rsidRDefault="00EB75FD" w:rsidP="00E75889">
            <w:pPr>
              <w:widowControl w:val="0"/>
              <w:jc w:val="both"/>
              <w:rPr>
                <w:b/>
                <w:sz w:val="22"/>
                <w:szCs w:val="22"/>
                <w:lang w:val="sr-Latn-RS"/>
              </w:rPr>
            </w:pPr>
            <w:r w:rsidRPr="00E75889">
              <w:rPr>
                <w:b/>
                <w:sz w:val="22"/>
                <w:szCs w:val="22"/>
                <w:lang w:val="sr-Latn-RS"/>
              </w:rPr>
              <w:t>0,25 mg ili 0,5 mg</w:t>
            </w:r>
          </w:p>
        </w:tc>
        <w:tc>
          <w:tcPr>
            <w:tcW w:w="1135" w:type="pct"/>
            <w:tcBorders>
              <w:top w:val="single" w:sz="4" w:space="0" w:color="auto"/>
              <w:left w:val="single" w:sz="4" w:space="0" w:color="auto"/>
              <w:bottom w:val="single" w:sz="4" w:space="0" w:color="auto"/>
            </w:tcBorders>
          </w:tcPr>
          <w:p w14:paraId="122B50F7" w14:textId="77777777" w:rsidR="00EB75FD" w:rsidRPr="00E75889" w:rsidRDefault="00EB75FD" w:rsidP="00E75889">
            <w:pPr>
              <w:widowControl w:val="0"/>
              <w:jc w:val="both"/>
              <w:rPr>
                <w:b/>
                <w:sz w:val="22"/>
                <w:szCs w:val="22"/>
                <w:lang w:val="sr-Latn-RS"/>
              </w:rPr>
            </w:pPr>
            <w:r w:rsidRPr="00E75889">
              <w:rPr>
                <w:b/>
                <w:sz w:val="22"/>
                <w:szCs w:val="22"/>
                <w:lang w:val="sr-Latn-RS"/>
              </w:rPr>
              <w:t>Interferon beta-1a</w:t>
            </w:r>
          </w:p>
          <w:p w14:paraId="22CDD6F1" w14:textId="77777777" w:rsidR="00EB75FD" w:rsidRPr="00E75889" w:rsidRDefault="00EB75FD" w:rsidP="00E75889">
            <w:pPr>
              <w:widowControl w:val="0"/>
              <w:jc w:val="both"/>
              <w:rPr>
                <w:b/>
                <w:sz w:val="22"/>
                <w:szCs w:val="22"/>
                <w:lang w:val="sr-Latn-RS"/>
              </w:rPr>
            </w:pPr>
            <w:r w:rsidRPr="00E75889">
              <w:rPr>
                <w:b/>
                <w:sz w:val="22"/>
                <w:szCs w:val="22"/>
                <w:lang w:val="sr-Latn-RS"/>
              </w:rPr>
              <w:t>30 µg</w:t>
            </w:r>
          </w:p>
        </w:tc>
      </w:tr>
      <w:tr w:rsidR="00EB75FD" w:rsidRPr="00E75889" w14:paraId="73112F6C" w14:textId="77777777" w:rsidTr="00282BF1">
        <w:tc>
          <w:tcPr>
            <w:tcW w:w="2730" w:type="pct"/>
            <w:tcBorders>
              <w:top w:val="single" w:sz="4" w:space="0" w:color="auto"/>
              <w:bottom w:val="single" w:sz="4" w:space="0" w:color="auto"/>
              <w:right w:val="single" w:sz="4" w:space="0" w:color="auto"/>
            </w:tcBorders>
          </w:tcPr>
          <w:p w14:paraId="34C5F387" w14:textId="28CE57FC" w:rsidR="00EB75FD" w:rsidRPr="00E75889" w:rsidRDefault="00EB75FD" w:rsidP="00E75889">
            <w:pPr>
              <w:widowControl w:val="0"/>
              <w:jc w:val="both"/>
              <w:rPr>
                <w:b/>
                <w:sz w:val="22"/>
                <w:szCs w:val="22"/>
                <w:lang w:val="sr-Latn-RS"/>
              </w:rPr>
            </w:pPr>
            <w:r w:rsidRPr="00E75889">
              <w:rPr>
                <w:b/>
                <w:sz w:val="22"/>
                <w:szCs w:val="22"/>
                <w:lang w:val="sr-Latn-RS"/>
              </w:rPr>
              <w:t>Klinički parametri</w:t>
            </w:r>
          </w:p>
        </w:tc>
        <w:tc>
          <w:tcPr>
            <w:tcW w:w="1135" w:type="pct"/>
            <w:tcBorders>
              <w:top w:val="single" w:sz="4" w:space="0" w:color="auto"/>
              <w:left w:val="single" w:sz="4" w:space="0" w:color="auto"/>
              <w:bottom w:val="single" w:sz="4" w:space="0" w:color="auto"/>
              <w:right w:val="single" w:sz="4" w:space="0" w:color="auto"/>
            </w:tcBorders>
          </w:tcPr>
          <w:p w14:paraId="291C5238" w14:textId="77777777" w:rsidR="00EB75FD" w:rsidRPr="00E75889" w:rsidRDefault="00EB75FD" w:rsidP="00E75889">
            <w:pPr>
              <w:widowControl w:val="0"/>
              <w:jc w:val="both"/>
              <w:rPr>
                <w:sz w:val="22"/>
                <w:szCs w:val="22"/>
                <w:lang w:val="sr-Latn-RS"/>
              </w:rPr>
            </w:pPr>
            <w:r w:rsidRPr="00E75889">
              <w:rPr>
                <w:sz w:val="22"/>
                <w:szCs w:val="22"/>
                <w:lang w:val="sr-Latn-RS"/>
              </w:rPr>
              <w:t>N=107</w:t>
            </w:r>
          </w:p>
        </w:tc>
        <w:tc>
          <w:tcPr>
            <w:tcW w:w="1135" w:type="pct"/>
            <w:tcBorders>
              <w:top w:val="single" w:sz="4" w:space="0" w:color="auto"/>
              <w:left w:val="single" w:sz="4" w:space="0" w:color="auto"/>
              <w:bottom w:val="single" w:sz="4" w:space="0" w:color="auto"/>
            </w:tcBorders>
          </w:tcPr>
          <w:p w14:paraId="3E8AEF75" w14:textId="77777777" w:rsidR="00EB75FD" w:rsidRPr="00E75889" w:rsidRDefault="00EB75FD" w:rsidP="00E75889">
            <w:pPr>
              <w:widowControl w:val="0"/>
              <w:jc w:val="both"/>
              <w:rPr>
                <w:sz w:val="22"/>
                <w:szCs w:val="22"/>
                <w:lang w:val="sr-Latn-RS"/>
              </w:rPr>
            </w:pPr>
            <w:r w:rsidRPr="00E75889">
              <w:rPr>
                <w:sz w:val="22"/>
                <w:szCs w:val="22"/>
                <w:lang w:val="sr-Latn-RS"/>
              </w:rPr>
              <w:t>N=107</w:t>
            </w:r>
            <w:r w:rsidRPr="00E75889">
              <w:rPr>
                <w:sz w:val="22"/>
                <w:szCs w:val="22"/>
                <w:vertAlign w:val="superscript"/>
                <w:lang w:val="sr-Latn-RS"/>
              </w:rPr>
              <w:t>#</w:t>
            </w:r>
          </w:p>
        </w:tc>
      </w:tr>
      <w:tr w:rsidR="00EB75FD" w:rsidRPr="00E75889" w14:paraId="777E1726" w14:textId="77777777" w:rsidTr="00282BF1">
        <w:tc>
          <w:tcPr>
            <w:tcW w:w="2730" w:type="pct"/>
            <w:tcBorders>
              <w:top w:val="single" w:sz="4" w:space="0" w:color="auto"/>
              <w:bottom w:val="nil"/>
              <w:right w:val="single" w:sz="4" w:space="0" w:color="auto"/>
            </w:tcBorders>
          </w:tcPr>
          <w:p w14:paraId="75552CDB" w14:textId="0706CEFD" w:rsidR="00EB75FD" w:rsidRPr="00E75889" w:rsidRDefault="00EB75FD" w:rsidP="00E75889">
            <w:pPr>
              <w:widowControl w:val="0"/>
              <w:jc w:val="both"/>
              <w:rPr>
                <w:sz w:val="22"/>
                <w:szCs w:val="22"/>
                <w:lang w:val="sr-Latn-RS"/>
              </w:rPr>
            </w:pPr>
            <w:r w:rsidRPr="00E75889">
              <w:rPr>
                <w:sz w:val="22"/>
                <w:szCs w:val="22"/>
                <w:lang w:val="sr-Latn-RS"/>
              </w:rPr>
              <w:t>Stopa relapsa na godišnjem nivou (primarni parametar</w:t>
            </w:r>
            <w:r w:rsidR="000A6763" w:rsidRPr="00E75889">
              <w:rPr>
                <w:sz w:val="22"/>
                <w:szCs w:val="22"/>
                <w:lang w:val="sr-Latn-RS"/>
              </w:rPr>
              <w:t xml:space="preserve"> praćenja</w:t>
            </w:r>
            <w:r w:rsidRPr="00E75889">
              <w:rPr>
                <w:sz w:val="22"/>
                <w:szCs w:val="22"/>
                <w:lang w:val="sr-Latn-RS"/>
              </w:rPr>
              <w:t>)</w:t>
            </w:r>
          </w:p>
        </w:tc>
        <w:tc>
          <w:tcPr>
            <w:tcW w:w="1135" w:type="pct"/>
            <w:tcBorders>
              <w:top w:val="single" w:sz="4" w:space="0" w:color="auto"/>
              <w:left w:val="single" w:sz="4" w:space="0" w:color="auto"/>
              <w:bottom w:val="nil"/>
              <w:right w:val="single" w:sz="4" w:space="0" w:color="auto"/>
            </w:tcBorders>
          </w:tcPr>
          <w:p w14:paraId="5FA6B9AE" w14:textId="77777777" w:rsidR="00EB75FD" w:rsidRPr="00E75889" w:rsidRDefault="00EB75FD" w:rsidP="00E75889">
            <w:pPr>
              <w:widowControl w:val="0"/>
              <w:jc w:val="both"/>
              <w:rPr>
                <w:sz w:val="22"/>
                <w:szCs w:val="22"/>
                <w:lang w:val="sr-Latn-RS"/>
              </w:rPr>
            </w:pPr>
            <w:r w:rsidRPr="00E75889">
              <w:rPr>
                <w:sz w:val="22"/>
                <w:szCs w:val="22"/>
                <w:lang w:val="sr-Latn-RS"/>
              </w:rPr>
              <w:t>0,122**</w:t>
            </w:r>
          </w:p>
        </w:tc>
        <w:tc>
          <w:tcPr>
            <w:tcW w:w="1135" w:type="pct"/>
            <w:tcBorders>
              <w:top w:val="single" w:sz="4" w:space="0" w:color="auto"/>
              <w:left w:val="single" w:sz="4" w:space="0" w:color="auto"/>
              <w:bottom w:val="nil"/>
            </w:tcBorders>
          </w:tcPr>
          <w:p w14:paraId="1A2E2640" w14:textId="77777777" w:rsidR="00EB75FD" w:rsidRPr="00E75889" w:rsidRDefault="00EB75FD" w:rsidP="00E75889">
            <w:pPr>
              <w:widowControl w:val="0"/>
              <w:jc w:val="both"/>
              <w:rPr>
                <w:sz w:val="22"/>
                <w:szCs w:val="22"/>
                <w:lang w:val="sr-Latn-RS"/>
              </w:rPr>
            </w:pPr>
            <w:r w:rsidRPr="00E75889">
              <w:rPr>
                <w:sz w:val="22"/>
                <w:szCs w:val="22"/>
                <w:lang w:val="sr-Latn-RS"/>
              </w:rPr>
              <w:t>0,675</w:t>
            </w:r>
          </w:p>
        </w:tc>
      </w:tr>
      <w:tr w:rsidR="00EB75FD" w:rsidRPr="00E75889" w14:paraId="318E13B1" w14:textId="77777777" w:rsidTr="00282BF1">
        <w:tc>
          <w:tcPr>
            <w:tcW w:w="2730" w:type="pct"/>
            <w:tcBorders>
              <w:top w:val="single" w:sz="4" w:space="0" w:color="auto"/>
              <w:bottom w:val="single" w:sz="4" w:space="0" w:color="auto"/>
              <w:right w:val="single" w:sz="4" w:space="0" w:color="auto"/>
            </w:tcBorders>
          </w:tcPr>
          <w:p w14:paraId="3B4B0BF5" w14:textId="77777777" w:rsidR="00EB75FD" w:rsidRPr="00E75889" w:rsidRDefault="00EB75FD" w:rsidP="00E75889">
            <w:pPr>
              <w:widowControl w:val="0"/>
              <w:jc w:val="both"/>
              <w:rPr>
                <w:sz w:val="22"/>
                <w:szCs w:val="22"/>
                <w:lang w:val="sr-Latn-RS"/>
              </w:rPr>
            </w:pPr>
            <w:r w:rsidRPr="00E75889">
              <w:rPr>
                <w:sz w:val="22"/>
                <w:szCs w:val="22"/>
                <w:lang w:val="sr-Latn-RS"/>
              </w:rPr>
              <w:t>Procenat pacijenata bez relapsa nakon 24 mjeseci</w:t>
            </w:r>
          </w:p>
        </w:tc>
        <w:tc>
          <w:tcPr>
            <w:tcW w:w="1135" w:type="pct"/>
            <w:tcBorders>
              <w:top w:val="single" w:sz="4" w:space="0" w:color="auto"/>
              <w:left w:val="single" w:sz="4" w:space="0" w:color="auto"/>
              <w:bottom w:val="single" w:sz="4" w:space="0" w:color="auto"/>
              <w:right w:val="single" w:sz="4" w:space="0" w:color="auto"/>
            </w:tcBorders>
          </w:tcPr>
          <w:p w14:paraId="49169949" w14:textId="77777777" w:rsidR="00EB75FD" w:rsidRPr="00E75889" w:rsidRDefault="00EB75FD" w:rsidP="00E75889">
            <w:pPr>
              <w:widowControl w:val="0"/>
              <w:jc w:val="both"/>
              <w:rPr>
                <w:sz w:val="22"/>
                <w:szCs w:val="22"/>
                <w:lang w:val="sr-Latn-RS"/>
              </w:rPr>
            </w:pPr>
            <w:r w:rsidRPr="00E75889">
              <w:rPr>
                <w:sz w:val="22"/>
                <w:szCs w:val="22"/>
                <w:lang w:val="sr-Latn-RS"/>
              </w:rPr>
              <w:t>85,7**</w:t>
            </w:r>
          </w:p>
        </w:tc>
        <w:tc>
          <w:tcPr>
            <w:tcW w:w="1135" w:type="pct"/>
            <w:tcBorders>
              <w:top w:val="single" w:sz="4" w:space="0" w:color="auto"/>
              <w:left w:val="single" w:sz="4" w:space="0" w:color="auto"/>
              <w:bottom w:val="single" w:sz="4" w:space="0" w:color="auto"/>
            </w:tcBorders>
          </w:tcPr>
          <w:p w14:paraId="030352D9" w14:textId="77777777" w:rsidR="00EB75FD" w:rsidRPr="00E75889" w:rsidRDefault="00EB75FD" w:rsidP="00E75889">
            <w:pPr>
              <w:widowControl w:val="0"/>
              <w:jc w:val="both"/>
              <w:rPr>
                <w:sz w:val="22"/>
                <w:szCs w:val="22"/>
                <w:lang w:val="sr-Latn-RS"/>
              </w:rPr>
            </w:pPr>
            <w:r w:rsidRPr="00E75889">
              <w:rPr>
                <w:sz w:val="22"/>
                <w:szCs w:val="22"/>
                <w:lang w:val="sr-Latn-RS"/>
              </w:rPr>
              <w:t>38,8</w:t>
            </w:r>
          </w:p>
        </w:tc>
      </w:tr>
      <w:tr w:rsidR="00EB75FD" w:rsidRPr="00E75889" w14:paraId="51C6243C" w14:textId="77777777" w:rsidTr="00282BF1">
        <w:tc>
          <w:tcPr>
            <w:tcW w:w="2730" w:type="pct"/>
            <w:tcBorders>
              <w:top w:val="single" w:sz="4" w:space="0" w:color="auto"/>
              <w:bottom w:val="single" w:sz="4" w:space="0" w:color="auto"/>
              <w:right w:val="single" w:sz="4" w:space="0" w:color="auto"/>
            </w:tcBorders>
          </w:tcPr>
          <w:p w14:paraId="3296445F" w14:textId="77777777" w:rsidR="00EB75FD" w:rsidRPr="00E75889" w:rsidRDefault="00EB75FD" w:rsidP="00E75889">
            <w:pPr>
              <w:widowControl w:val="0"/>
              <w:jc w:val="both"/>
              <w:rPr>
                <w:b/>
                <w:sz w:val="22"/>
                <w:szCs w:val="22"/>
                <w:lang w:val="sr-Latn-RS"/>
              </w:rPr>
            </w:pPr>
            <w:r w:rsidRPr="00E75889">
              <w:rPr>
                <w:b/>
                <w:sz w:val="22"/>
                <w:szCs w:val="22"/>
                <w:lang w:val="sr-Latn-RS"/>
              </w:rPr>
              <w:t>MRI parametri</w:t>
            </w:r>
          </w:p>
        </w:tc>
        <w:tc>
          <w:tcPr>
            <w:tcW w:w="1135" w:type="pct"/>
            <w:tcBorders>
              <w:top w:val="single" w:sz="4" w:space="0" w:color="auto"/>
              <w:left w:val="single" w:sz="4" w:space="0" w:color="auto"/>
              <w:bottom w:val="single" w:sz="4" w:space="0" w:color="auto"/>
              <w:right w:val="single" w:sz="4" w:space="0" w:color="auto"/>
            </w:tcBorders>
          </w:tcPr>
          <w:p w14:paraId="49C9BD8A" w14:textId="77777777" w:rsidR="00EB75FD" w:rsidRPr="00E75889" w:rsidRDefault="00EB75FD" w:rsidP="00E75889">
            <w:pPr>
              <w:widowControl w:val="0"/>
              <w:jc w:val="both"/>
              <w:rPr>
                <w:sz w:val="22"/>
                <w:szCs w:val="22"/>
                <w:lang w:val="sr-Latn-RS"/>
              </w:rPr>
            </w:pPr>
          </w:p>
        </w:tc>
        <w:tc>
          <w:tcPr>
            <w:tcW w:w="1135" w:type="pct"/>
            <w:tcBorders>
              <w:top w:val="single" w:sz="4" w:space="0" w:color="auto"/>
              <w:left w:val="single" w:sz="4" w:space="0" w:color="auto"/>
              <w:bottom w:val="single" w:sz="4" w:space="0" w:color="auto"/>
            </w:tcBorders>
          </w:tcPr>
          <w:p w14:paraId="5B79267B" w14:textId="77777777" w:rsidR="00EB75FD" w:rsidRPr="00E75889" w:rsidRDefault="00EB75FD" w:rsidP="00E75889">
            <w:pPr>
              <w:widowControl w:val="0"/>
              <w:jc w:val="both"/>
              <w:rPr>
                <w:sz w:val="22"/>
                <w:szCs w:val="22"/>
                <w:lang w:val="sr-Latn-RS"/>
              </w:rPr>
            </w:pPr>
          </w:p>
        </w:tc>
      </w:tr>
      <w:tr w:rsidR="00EB75FD" w:rsidRPr="00E75889" w14:paraId="76D6909F" w14:textId="77777777" w:rsidTr="00282BF1">
        <w:tc>
          <w:tcPr>
            <w:tcW w:w="2730" w:type="pct"/>
            <w:tcBorders>
              <w:top w:val="single" w:sz="4" w:space="0" w:color="auto"/>
              <w:bottom w:val="single" w:sz="4" w:space="0" w:color="auto"/>
              <w:right w:val="single" w:sz="4" w:space="0" w:color="auto"/>
            </w:tcBorders>
          </w:tcPr>
          <w:p w14:paraId="3968ECB0" w14:textId="77777777" w:rsidR="00EB75FD" w:rsidRPr="00E75889" w:rsidRDefault="00EB75FD" w:rsidP="00E75889">
            <w:pPr>
              <w:widowControl w:val="0"/>
              <w:jc w:val="both"/>
              <w:rPr>
                <w:sz w:val="22"/>
                <w:szCs w:val="22"/>
                <w:lang w:val="sr-Latn-RS"/>
              </w:rPr>
            </w:pPr>
            <w:r w:rsidRPr="00E75889">
              <w:rPr>
                <w:sz w:val="22"/>
                <w:szCs w:val="22"/>
                <w:lang w:val="sr-Latn-RS"/>
              </w:rPr>
              <w:t>Godišnja stopa broja novih ili novo povećavajućih T2 lezija</w:t>
            </w:r>
          </w:p>
        </w:tc>
        <w:tc>
          <w:tcPr>
            <w:tcW w:w="1135" w:type="pct"/>
            <w:tcBorders>
              <w:top w:val="single" w:sz="4" w:space="0" w:color="auto"/>
              <w:left w:val="single" w:sz="4" w:space="0" w:color="auto"/>
              <w:bottom w:val="single" w:sz="4" w:space="0" w:color="auto"/>
              <w:right w:val="single" w:sz="4" w:space="0" w:color="auto"/>
            </w:tcBorders>
          </w:tcPr>
          <w:p w14:paraId="094CDC14" w14:textId="77777777" w:rsidR="00EB75FD" w:rsidRPr="00E75889" w:rsidRDefault="00EB75FD" w:rsidP="00E75889">
            <w:pPr>
              <w:widowControl w:val="0"/>
              <w:jc w:val="both"/>
              <w:rPr>
                <w:sz w:val="22"/>
                <w:szCs w:val="22"/>
                <w:lang w:val="sr-Latn-RS"/>
              </w:rPr>
            </w:pPr>
            <w:r w:rsidRPr="00E75889">
              <w:rPr>
                <w:sz w:val="22"/>
                <w:szCs w:val="22"/>
                <w:lang w:val="sr-Latn-RS"/>
              </w:rPr>
              <w:t>n=106</w:t>
            </w:r>
          </w:p>
        </w:tc>
        <w:tc>
          <w:tcPr>
            <w:tcW w:w="1135" w:type="pct"/>
            <w:tcBorders>
              <w:top w:val="single" w:sz="4" w:space="0" w:color="auto"/>
              <w:left w:val="single" w:sz="4" w:space="0" w:color="auto"/>
              <w:bottom w:val="single" w:sz="4" w:space="0" w:color="auto"/>
            </w:tcBorders>
          </w:tcPr>
          <w:p w14:paraId="64A3B152" w14:textId="77777777" w:rsidR="00EB75FD" w:rsidRPr="00E75889" w:rsidRDefault="00EB75FD" w:rsidP="00E75889">
            <w:pPr>
              <w:widowControl w:val="0"/>
              <w:jc w:val="both"/>
              <w:rPr>
                <w:sz w:val="22"/>
                <w:szCs w:val="22"/>
                <w:lang w:val="sr-Latn-RS"/>
              </w:rPr>
            </w:pPr>
            <w:r w:rsidRPr="00E75889">
              <w:rPr>
                <w:sz w:val="22"/>
                <w:szCs w:val="22"/>
                <w:lang w:val="sr-Latn-RS"/>
              </w:rPr>
              <w:t>n=102</w:t>
            </w:r>
          </w:p>
        </w:tc>
      </w:tr>
      <w:tr w:rsidR="00EB75FD" w:rsidRPr="00E75889" w14:paraId="65E4AD97" w14:textId="77777777" w:rsidTr="00282BF1">
        <w:tc>
          <w:tcPr>
            <w:tcW w:w="2730" w:type="pct"/>
            <w:tcBorders>
              <w:top w:val="single" w:sz="4" w:space="0" w:color="auto"/>
              <w:bottom w:val="single" w:sz="4" w:space="0" w:color="auto"/>
              <w:right w:val="single" w:sz="4" w:space="0" w:color="auto"/>
            </w:tcBorders>
          </w:tcPr>
          <w:p w14:paraId="20770AF1" w14:textId="77777777" w:rsidR="00EB75FD" w:rsidRPr="00E75889" w:rsidRDefault="00EB75FD" w:rsidP="00E75889">
            <w:pPr>
              <w:widowControl w:val="0"/>
              <w:jc w:val="both"/>
              <w:rPr>
                <w:sz w:val="22"/>
                <w:szCs w:val="22"/>
                <w:lang w:val="sr-Latn-RS"/>
              </w:rPr>
            </w:pPr>
            <w:r w:rsidRPr="00E75889">
              <w:rPr>
                <w:sz w:val="22"/>
                <w:szCs w:val="22"/>
                <w:lang w:val="sr-Latn-RS"/>
              </w:rPr>
              <w:t>Prilagođena srednja vrijednost</w:t>
            </w:r>
          </w:p>
        </w:tc>
        <w:tc>
          <w:tcPr>
            <w:tcW w:w="1135" w:type="pct"/>
            <w:tcBorders>
              <w:top w:val="single" w:sz="4" w:space="0" w:color="auto"/>
              <w:left w:val="single" w:sz="4" w:space="0" w:color="auto"/>
              <w:bottom w:val="single" w:sz="4" w:space="0" w:color="auto"/>
              <w:right w:val="single" w:sz="4" w:space="0" w:color="auto"/>
            </w:tcBorders>
          </w:tcPr>
          <w:p w14:paraId="11EB77AD" w14:textId="77777777" w:rsidR="00EB75FD" w:rsidRPr="00E75889" w:rsidRDefault="00EB75FD" w:rsidP="00E75889">
            <w:pPr>
              <w:widowControl w:val="0"/>
              <w:jc w:val="both"/>
              <w:rPr>
                <w:sz w:val="22"/>
                <w:szCs w:val="22"/>
                <w:lang w:val="sr-Latn-RS"/>
              </w:rPr>
            </w:pPr>
            <w:r w:rsidRPr="00E75889">
              <w:rPr>
                <w:sz w:val="22"/>
                <w:szCs w:val="22"/>
                <w:lang w:val="sr-Latn-RS"/>
              </w:rPr>
              <w:t>4 393**</w:t>
            </w:r>
          </w:p>
        </w:tc>
        <w:tc>
          <w:tcPr>
            <w:tcW w:w="1135" w:type="pct"/>
            <w:tcBorders>
              <w:top w:val="single" w:sz="4" w:space="0" w:color="auto"/>
              <w:left w:val="single" w:sz="4" w:space="0" w:color="auto"/>
              <w:bottom w:val="single" w:sz="4" w:space="0" w:color="auto"/>
            </w:tcBorders>
          </w:tcPr>
          <w:p w14:paraId="115ADD33" w14:textId="77777777" w:rsidR="00EB75FD" w:rsidRPr="00E75889" w:rsidRDefault="00EB75FD" w:rsidP="00E75889">
            <w:pPr>
              <w:widowControl w:val="0"/>
              <w:jc w:val="both"/>
              <w:rPr>
                <w:sz w:val="22"/>
                <w:szCs w:val="22"/>
                <w:lang w:val="sr-Latn-RS"/>
              </w:rPr>
            </w:pPr>
            <w:r w:rsidRPr="00E75889">
              <w:rPr>
                <w:sz w:val="22"/>
                <w:szCs w:val="22"/>
                <w:lang w:val="sr-Latn-RS"/>
              </w:rPr>
              <w:t>9 269</w:t>
            </w:r>
          </w:p>
        </w:tc>
      </w:tr>
      <w:tr w:rsidR="00EB75FD" w:rsidRPr="00E75889" w14:paraId="5EF07D81" w14:textId="77777777" w:rsidTr="00282BF1">
        <w:tc>
          <w:tcPr>
            <w:tcW w:w="2730" w:type="pct"/>
            <w:tcBorders>
              <w:top w:val="single" w:sz="4" w:space="0" w:color="auto"/>
              <w:bottom w:val="single" w:sz="4" w:space="0" w:color="auto"/>
              <w:right w:val="single" w:sz="4" w:space="0" w:color="auto"/>
            </w:tcBorders>
          </w:tcPr>
          <w:p w14:paraId="10E45F50" w14:textId="4982C04B" w:rsidR="00EB75FD" w:rsidRPr="00E75889" w:rsidRDefault="00EB75FD" w:rsidP="00E75889">
            <w:pPr>
              <w:widowControl w:val="0"/>
              <w:jc w:val="both"/>
              <w:rPr>
                <w:sz w:val="22"/>
                <w:szCs w:val="22"/>
                <w:lang w:val="sr-Latn-RS"/>
              </w:rPr>
            </w:pPr>
            <w:r w:rsidRPr="00E75889">
              <w:rPr>
                <w:sz w:val="22"/>
                <w:szCs w:val="22"/>
                <w:lang w:val="sr-Latn-RS"/>
              </w:rPr>
              <w:t xml:space="preserve">Broj </w:t>
            </w:r>
            <w:r w:rsidR="000A6763" w:rsidRPr="00E75889">
              <w:rPr>
                <w:sz w:val="22"/>
                <w:szCs w:val="22"/>
                <w:lang w:val="sr-Latn-RS"/>
              </w:rPr>
              <w:t xml:space="preserve">T1 </w:t>
            </w:r>
            <w:r w:rsidRPr="00E75889">
              <w:rPr>
                <w:sz w:val="22"/>
                <w:szCs w:val="22"/>
                <w:lang w:val="sr-Latn-RS"/>
              </w:rPr>
              <w:t>lezija pojačanih gadolinijevim (Gd) kontrastnim sredstvom po snimanju do 24. mjeseca</w:t>
            </w:r>
          </w:p>
        </w:tc>
        <w:tc>
          <w:tcPr>
            <w:tcW w:w="1135" w:type="pct"/>
            <w:tcBorders>
              <w:top w:val="single" w:sz="4" w:space="0" w:color="auto"/>
              <w:left w:val="single" w:sz="4" w:space="0" w:color="auto"/>
              <w:bottom w:val="single" w:sz="4" w:space="0" w:color="auto"/>
              <w:right w:val="single" w:sz="4" w:space="0" w:color="auto"/>
            </w:tcBorders>
          </w:tcPr>
          <w:p w14:paraId="2429314B" w14:textId="77777777" w:rsidR="00EB75FD" w:rsidRPr="00E75889" w:rsidRDefault="00EB75FD" w:rsidP="00E75889">
            <w:pPr>
              <w:widowControl w:val="0"/>
              <w:jc w:val="both"/>
              <w:rPr>
                <w:sz w:val="22"/>
                <w:szCs w:val="22"/>
                <w:lang w:val="sr-Latn-RS"/>
              </w:rPr>
            </w:pPr>
            <w:r w:rsidRPr="00E75889">
              <w:rPr>
                <w:sz w:val="22"/>
                <w:szCs w:val="22"/>
                <w:lang w:val="sr-Latn-RS"/>
              </w:rPr>
              <w:t>n=106</w:t>
            </w:r>
          </w:p>
        </w:tc>
        <w:tc>
          <w:tcPr>
            <w:tcW w:w="1135" w:type="pct"/>
            <w:tcBorders>
              <w:top w:val="single" w:sz="4" w:space="0" w:color="auto"/>
              <w:left w:val="single" w:sz="4" w:space="0" w:color="auto"/>
              <w:bottom w:val="single" w:sz="4" w:space="0" w:color="auto"/>
            </w:tcBorders>
          </w:tcPr>
          <w:p w14:paraId="5B54CAAF" w14:textId="77777777" w:rsidR="00EB75FD" w:rsidRPr="00E75889" w:rsidRDefault="00EB75FD" w:rsidP="00E75889">
            <w:pPr>
              <w:widowControl w:val="0"/>
              <w:jc w:val="both"/>
              <w:rPr>
                <w:sz w:val="22"/>
                <w:szCs w:val="22"/>
                <w:lang w:val="sr-Latn-RS"/>
              </w:rPr>
            </w:pPr>
            <w:r w:rsidRPr="00E75889">
              <w:rPr>
                <w:sz w:val="22"/>
                <w:szCs w:val="22"/>
                <w:lang w:val="sr-Latn-RS"/>
              </w:rPr>
              <w:t>n=101</w:t>
            </w:r>
          </w:p>
        </w:tc>
      </w:tr>
      <w:tr w:rsidR="00EB75FD" w:rsidRPr="00E75889" w14:paraId="7FFCAC16" w14:textId="77777777" w:rsidTr="00282BF1">
        <w:tc>
          <w:tcPr>
            <w:tcW w:w="2730" w:type="pct"/>
            <w:tcBorders>
              <w:top w:val="single" w:sz="4" w:space="0" w:color="auto"/>
              <w:bottom w:val="single" w:sz="4" w:space="0" w:color="auto"/>
              <w:right w:val="single" w:sz="4" w:space="0" w:color="auto"/>
            </w:tcBorders>
          </w:tcPr>
          <w:p w14:paraId="4B0BA736" w14:textId="77777777" w:rsidR="00EB75FD" w:rsidRPr="00E75889" w:rsidRDefault="00EB75FD" w:rsidP="00E75889">
            <w:pPr>
              <w:widowControl w:val="0"/>
              <w:jc w:val="both"/>
              <w:rPr>
                <w:sz w:val="22"/>
                <w:szCs w:val="22"/>
                <w:lang w:val="sr-Latn-RS"/>
              </w:rPr>
            </w:pPr>
            <w:r w:rsidRPr="00E75889">
              <w:rPr>
                <w:sz w:val="22"/>
                <w:szCs w:val="22"/>
                <w:lang w:val="sr-Latn-RS"/>
              </w:rPr>
              <w:t>Prilagođena srednja vrijednost</w:t>
            </w:r>
          </w:p>
        </w:tc>
        <w:tc>
          <w:tcPr>
            <w:tcW w:w="1135" w:type="pct"/>
            <w:tcBorders>
              <w:top w:val="single" w:sz="4" w:space="0" w:color="auto"/>
              <w:left w:val="single" w:sz="4" w:space="0" w:color="auto"/>
              <w:bottom w:val="single" w:sz="4" w:space="0" w:color="auto"/>
              <w:right w:val="single" w:sz="4" w:space="0" w:color="auto"/>
            </w:tcBorders>
          </w:tcPr>
          <w:p w14:paraId="191AAB4B" w14:textId="77777777" w:rsidR="00EB75FD" w:rsidRPr="00E75889" w:rsidRDefault="00EB75FD" w:rsidP="00E75889">
            <w:pPr>
              <w:widowControl w:val="0"/>
              <w:jc w:val="both"/>
              <w:rPr>
                <w:sz w:val="22"/>
                <w:szCs w:val="22"/>
                <w:lang w:val="sr-Latn-RS"/>
              </w:rPr>
            </w:pPr>
            <w:r w:rsidRPr="00E75889">
              <w:rPr>
                <w:sz w:val="22"/>
                <w:szCs w:val="22"/>
                <w:lang w:val="sr-Latn-RS"/>
              </w:rPr>
              <w:t>0,436**</w:t>
            </w:r>
          </w:p>
        </w:tc>
        <w:tc>
          <w:tcPr>
            <w:tcW w:w="1135" w:type="pct"/>
            <w:tcBorders>
              <w:top w:val="single" w:sz="4" w:space="0" w:color="auto"/>
              <w:left w:val="single" w:sz="4" w:space="0" w:color="auto"/>
              <w:bottom w:val="single" w:sz="4" w:space="0" w:color="auto"/>
            </w:tcBorders>
          </w:tcPr>
          <w:p w14:paraId="2F2A2C92" w14:textId="77777777" w:rsidR="00EB75FD" w:rsidRPr="00E75889" w:rsidRDefault="00EB75FD" w:rsidP="00E75889">
            <w:pPr>
              <w:widowControl w:val="0"/>
              <w:jc w:val="both"/>
              <w:rPr>
                <w:sz w:val="22"/>
                <w:szCs w:val="22"/>
                <w:lang w:val="sr-Latn-RS"/>
              </w:rPr>
            </w:pPr>
            <w:r w:rsidRPr="00E75889">
              <w:rPr>
                <w:sz w:val="22"/>
                <w:szCs w:val="22"/>
                <w:lang w:val="sr-Latn-RS"/>
              </w:rPr>
              <w:t>1,282</w:t>
            </w:r>
          </w:p>
        </w:tc>
      </w:tr>
      <w:tr w:rsidR="00EB75FD" w:rsidRPr="00E75889" w14:paraId="51EDD209" w14:textId="77777777" w:rsidTr="00282BF1">
        <w:tc>
          <w:tcPr>
            <w:tcW w:w="2730" w:type="pct"/>
            <w:tcBorders>
              <w:top w:val="single" w:sz="4" w:space="0" w:color="auto"/>
              <w:bottom w:val="single" w:sz="4" w:space="0" w:color="auto"/>
              <w:right w:val="single" w:sz="4" w:space="0" w:color="auto"/>
            </w:tcBorders>
          </w:tcPr>
          <w:p w14:paraId="1B62BA09" w14:textId="77777777" w:rsidR="00EB75FD" w:rsidRPr="00E75889" w:rsidRDefault="00EB75FD" w:rsidP="00E75889">
            <w:pPr>
              <w:widowControl w:val="0"/>
              <w:jc w:val="both"/>
              <w:rPr>
                <w:sz w:val="22"/>
                <w:szCs w:val="22"/>
                <w:lang w:val="sr-Latn-RS"/>
              </w:rPr>
            </w:pPr>
            <w:r w:rsidRPr="00E75889">
              <w:rPr>
                <w:sz w:val="22"/>
                <w:szCs w:val="22"/>
                <w:lang w:val="sr-Latn-RS"/>
              </w:rPr>
              <w:t>Godišnja stopa atrofije mozga od početne vrijednosti do 24. mjeseca</w:t>
            </w:r>
          </w:p>
        </w:tc>
        <w:tc>
          <w:tcPr>
            <w:tcW w:w="1135" w:type="pct"/>
            <w:tcBorders>
              <w:top w:val="single" w:sz="4" w:space="0" w:color="auto"/>
              <w:left w:val="single" w:sz="4" w:space="0" w:color="auto"/>
              <w:bottom w:val="single" w:sz="4" w:space="0" w:color="auto"/>
              <w:right w:val="single" w:sz="4" w:space="0" w:color="auto"/>
            </w:tcBorders>
          </w:tcPr>
          <w:p w14:paraId="3587B06E" w14:textId="77777777" w:rsidR="00EB75FD" w:rsidRPr="00E75889" w:rsidRDefault="00EB75FD" w:rsidP="00E75889">
            <w:pPr>
              <w:widowControl w:val="0"/>
              <w:jc w:val="both"/>
              <w:rPr>
                <w:sz w:val="22"/>
                <w:szCs w:val="22"/>
                <w:lang w:val="sr-Latn-RS"/>
              </w:rPr>
            </w:pPr>
            <w:r w:rsidRPr="00E75889">
              <w:rPr>
                <w:sz w:val="22"/>
                <w:szCs w:val="22"/>
                <w:lang w:val="sr-Latn-RS"/>
              </w:rPr>
              <w:t>n=96</w:t>
            </w:r>
          </w:p>
        </w:tc>
        <w:tc>
          <w:tcPr>
            <w:tcW w:w="1135" w:type="pct"/>
            <w:tcBorders>
              <w:top w:val="single" w:sz="4" w:space="0" w:color="auto"/>
              <w:left w:val="single" w:sz="4" w:space="0" w:color="auto"/>
              <w:bottom w:val="single" w:sz="4" w:space="0" w:color="auto"/>
            </w:tcBorders>
          </w:tcPr>
          <w:p w14:paraId="3188388A" w14:textId="77777777" w:rsidR="00EB75FD" w:rsidRPr="00E75889" w:rsidRDefault="00EB75FD" w:rsidP="00E75889">
            <w:pPr>
              <w:widowControl w:val="0"/>
              <w:jc w:val="both"/>
              <w:rPr>
                <w:sz w:val="22"/>
                <w:szCs w:val="22"/>
                <w:lang w:val="sr-Latn-RS"/>
              </w:rPr>
            </w:pPr>
            <w:r w:rsidRPr="00E75889">
              <w:rPr>
                <w:sz w:val="22"/>
                <w:szCs w:val="22"/>
                <w:lang w:val="sr-Latn-RS"/>
              </w:rPr>
              <w:t>n=89</w:t>
            </w:r>
          </w:p>
        </w:tc>
      </w:tr>
      <w:tr w:rsidR="00EB75FD" w:rsidRPr="00E75889" w14:paraId="3B68DD5A" w14:textId="77777777" w:rsidTr="00282BF1">
        <w:tc>
          <w:tcPr>
            <w:tcW w:w="2730" w:type="pct"/>
            <w:tcBorders>
              <w:top w:val="single" w:sz="4" w:space="0" w:color="auto"/>
              <w:bottom w:val="single" w:sz="4" w:space="0" w:color="auto"/>
              <w:right w:val="single" w:sz="4" w:space="0" w:color="auto"/>
            </w:tcBorders>
          </w:tcPr>
          <w:p w14:paraId="2B9F7D2F" w14:textId="77777777" w:rsidR="00EB75FD" w:rsidRPr="00E75889" w:rsidRDefault="00EB75FD" w:rsidP="00E75889">
            <w:pPr>
              <w:widowControl w:val="0"/>
              <w:jc w:val="both"/>
              <w:rPr>
                <w:sz w:val="22"/>
                <w:szCs w:val="22"/>
                <w:lang w:val="sr-Latn-RS"/>
              </w:rPr>
            </w:pPr>
            <w:r w:rsidRPr="00E75889">
              <w:rPr>
                <w:sz w:val="22"/>
                <w:szCs w:val="22"/>
                <w:lang w:val="sr-Latn-RS"/>
              </w:rPr>
              <w:t>Srednje vrijednosti dobijene metodom najmanjih kvadrata</w:t>
            </w:r>
          </w:p>
        </w:tc>
        <w:tc>
          <w:tcPr>
            <w:tcW w:w="1135" w:type="pct"/>
            <w:tcBorders>
              <w:top w:val="single" w:sz="4" w:space="0" w:color="auto"/>
              <w:left w:val="single" w:sz="4" w:space="0" w:color="auto"/>
              <w:bottom w:val="single" w:sz="4" w:space="0" w:color="auto"/>
              <w:right w:val="single" w:sz="4" w:space="0" w:color="auto"/>
            </w:tcBorders>
          </w:tcPr>
          <w:p w14:paraId="20924CB7" w14:textId="77777777" w:rsidR="00EB75FD" w:rsidRPr="00E75889" w:rsidRDefault="00EB75FD" w:rsidP="00E75889">
            <w:pPr>
              <w:widowControl w:val="0"/>
              <w:jc w:val="both"/>
              <w:rPr>
                <w:sz w:val="22"/>
                <w:szCs w:val="22"/>
                <w:lang w:val="sr-Latn-RS"/>
              </w:rPr>
            </w:pPr>
            <w:r w:rsidRPr="00E75889">
              <w:rPr>
                <w:sz w:val="22"/>
                <w:szCs w:val="22"/>
                <w:lang w:val="sr-Latn-RS"/>
              </w:rPr>
              <w:noBreakHyphen/>
              <w:t>0,48*</w:t>
            </w:r>
          </w:p>
        </w:tc>
        <w:tc>
          <w:tcPr>
            <w:tcW w:w="1135" w:type="pct"/>
            <w:tcBorders>
              <w:top w:val="single" w:sz="4" w:space="0" w:color="auto"/>
              <w:left w:val="single" w:sz="4" w:space="0" w:color="auto"/>
              <w:bottom w:val="single" w:sz="4" w:space="0" w:color="auto"/>
            </w:tcBorders>
          </w:tcPr>
          <w:p w14:paraId="2795DDC0" w14:textId="77777777" w:rsidR="00EB75FD" w:rsidRPr="00E75889" w:rsidRDefault="00EB75FD" w:rsidP="00E75889">
            <w:pPr>
              <w:widowControl w:val="0"/>
              <w:jc w:val="both"/>
              <w:rPr>
                <w:sz w:val="22"/>
                <w:szCs w:val="22"/>
                <w:lang w:val="sr-Latn-RS"/>
              </w:rPr>
            </w:pPr>
            <w:r w:rsidRPr="00E75889">
              <w:rPr>
                <w:sz w:val="22"/>
                <w:szCs w:val="22"/>
                <w:lang w:val="sr-Latn-RS"/>
              </w:rPr>
              <w:noBreakHyphen/>
              <w:t>0,80</w:t>
            </w:r>
          </w:p>
        </w:tc>
      </w:tr>
      <w:tr w:rsidR="00EB75FD" w:rsidRPr="00E75889" w14:paraId="7AB0C19F" w14:textId="77777777" w:rsidTr="00E75889">
        <w:trPr>
          <w:trHeight w:val="1186"/>
        </w:trPr>
        <w:tc>
          <w:tcPr>
            <w:tcW w:w="5000" w:type="pct"/>
            <w:gridSpan w:val="3"/>
            <w:tcBorders>
              <w:top w:val="single" w:sz="4" w:space="0" w:color="auto"/>
            </w:tcBorders>
          </w:tcPr>
          <w:p w14:paraId="41008DED" w14:textId="10A6C094" w:rsidR="00EB75FD" w:rsidRPr="00E75889" w:rsidRDefault="00EB75FD" w:rsidP="00E75889">
            <w:pPr>
              <w:widowControl w:val="0"/>
              <w:ind w:left="567" w:hanging="567"/>
              <w:jc w:val="both"/>
              <w:rPr>
                <w:sz w:val="20"/>
                <w:szCs w:val="22"/>
                <w:lang w:val="sr-Latn-RS"/>
              </w:rPr>
            </w:pPr>
            <w:r w:rsidRPr="00E75889">
              <w:rPr>
                <w:sz w:val="20"/>
                <w:szCs w:val="22"/>
                <w:lang w:val="sr-Latn-RS"/>
              </w:rPr>
              <w:t>#</w:t>
            </w:r>
            <w:r w:rsidRPr="00E75889">
              <w:rPr>
                <w:sz w:val="20"/>
                <w:szCs w:val="22"/>
                <w:lang w:val="sr-Latn-RS"/>
              </w:rPr>
              <w:tab/>
              <w:t>Jedan pacijent koji je bio randomizovan da primi interferon beta-1a intramuskularnom injekcijom nije mogao da proguta „dvostruko maskirani” lijek</w:t>
            </w:r>
            <w:r w:rsidR="00BF42F0" w:rsidRPr="00E75889">
              <w:rPr>
                <w:sz w:val="20"/>
                <w:szCs w:val="22"/>
                <w:lang w:val="sr-Latn-RS"/>
              </w:rPr>
              <w:t xml:space="preserve"> </w:t>
            </w:r>
            <w:r w:rsidRPr="00E75889">
              <w:rPr>
                <w:sz w:val="20"/>
                <w:szCs w:val="22"/>
                <w:lang w:val="sr-Latn-RS"/>
              </w:rPr>
              <w:t>i prekinuo je ispitivanje. Pacijent je isključen iz sveukupnih podataka za analizu i bezbjednosne grupe.</w:t>
            </w:r>
          </w:p>
          <w:p w14:paraId="4D519AD5" w14:textId="77777777" w:rsidR="00EB75FD" w:rsidRPr="00E75889" w:rsidRDefault="00EB75FD" w:rsidP="00E75889">
            <w:pPr>
              <w:widowControl w:val="0"/>
              <w:ind w:left="567" w:hanging="567"/>
              <w:jc w:val="both"/>
              <w:rPr>
                <w:iCs/>
                <w:sz w:val="20"/>
                <w:szCs w:val="22"/>
                <w:lang w:val="sr-Latn-RS"/>
              </w:rPr>
            </w:pPr>
            <w:r w:rsidRPr="00E75889">
              <w:rPr>
                <w:sz w:val="20"/>
                <w:szCs w:val="22"/>
                <w:lang w:val="sr-Latn-RS"/>
              </w:rPr>
              <w:t>*</w:t>
            </w:r>
            <w:r w:rsidRPr="00E75889">
              <w:rPr>
                <w:sz w:val="20"/>
                <w:szCs w:val="22"/>
                <w:lang w:val="sr-Latn-RS"/>
              </w:rPr>
              <w:tab/>
              <w:t xml:space="preserve">p&lt;0,05, </w:t>
            </w:r>
            <w:r w:rsidRPr="00E75889">
              <w:rPr>
                <w:iCs/>
                <w:sz w:val="20"/>
                <w:szCs w:val="22"/>
                <w:lang w:val="sr-Latn-RS"/>
              </w:rPr>
              <w:t xml:space="preserve">** p&lt;0,001, </w:t>
            </w:r>
            <w:r w:rsidRPr="00E75889">
              <w:rPr>
                <w:sz w:val="20"/>
                <w:szCs w:val="22"/>
                <w:lang w:val="sr-Latn-RS"/>
              </w:rPr>
              <w:t>u poređenju sa interferonom beta-1a.</w:t>
            </w:r>
          </w:p>
          <w:p w14:paraId="4EADC022" w14:textId="77777777" w:rsidR="00EB75FD" w:rsidRPr="00E75889" w:rsidRDefault="00EB75FD" w:rsidP="00E75889">
            <w:pPr>
              <w:widowControl w:val="0"/>
              <w:jc w:val="both"/>
              <w:rPr>
                <w:sz w:val="22"/>
                <w:szCs w:val="22"/>
                <w:lang w:val="sr-Latn-RS"/>
              </w:rPr>
            </w:pPr>
            <w:r w:rsidRPr="00E75889">
              <w:rPr>
                <w:sz w:val="20"/>
                <w:szCs w:val="22"/>
                <w:lang w:val="sr-Latn-RS"/>
              </w:rPr>
              <w:t>Sve analize kliničkih parametara sprovedene su na sveukupnim podacima za grupu.</w:t>
            </w:r>
          </w:p>
        </w:tc>
      </w:tr>
    </w:tbl>
    <w:p w14:paraId="242234F1" w14:textId="77777777" w:rsidR="002E37A5" w:rsidRPr="00E75889" w:rsidRDefault="002E37A5" w:rsidP="00E75889">
      <w:pPr>
        <w:widowControl w:val="0"/>
        <w:tabs>
          <w:tab w:val="left" w:pos="540"/>
          <w:tab w:val="left" w:pos="569"/>
        </w:tabs>
        <w:jc w:val="both"/>
        <w:rPr>
          <w:b/>
          <w:bCs/>
          <w:sz w:val="22"/>
          <w:szCs w:val="22"/>
          <w:lang w:val="sr-Latn-RS"/>
        </w:rPr>
      </w:pPr>
    </w:p>
    <w:p w14:paraId="4F55D5B2" w14:textId="77777777" w:rsidR="0072020E"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5.2. </w:t>
      </w:r>
      <w:r w:rsidR="00480FB1" w:rsidRPr="00E75889">
        <w:rPr>
          <w:b/>
          <w:bCs/>
          <w:sz w:val="22"/>
          <w:szCs w:val="22"/>
          <w:lang w:val="sr-Latn-RS"/>
        </w:rPr>
        <w:tab/>
      </w:r>
      <w:r w:rsidRPr="00E75889">
        <w:rPr>
          <w:b/>
          <w:bCs/>
          <w:sz w:val="22"/>
          <w:szCs w:val="22"/>
          <w:lang w:val="sr-Latn-RS"/>
        </w:rPr>
        <w:t>Farmakokinetički podaci</w:t>
      </w:r>
      <w:r w:rsidR="003A7059" w:rsidRPr="00E75889">
        <w:rPr>
          <w:b/>
          <w:bCs/>
          <w:sz w:val="22"/>
          <w:szCs w:val="22"/>
          <w:lang w:val="sr-Latn-RS"/>
        </w:rPr>
        <w:t xml:space="preserve"> </w:t>
      </w:r>
    </w:p>
    <w:p w14:paraId="49D26F3C"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95FE751" w14:textId="4DF1A1A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Farmakokinetički podaci dobijeni su od zdravih odraslih dobrovoljaca, odraslih pacijenata sa transplantiranim bubregom i odraslih pacijenata sa multiplom sklerozom.</w:t>
      </w:r>
    </w:p>
    <w:p w14:paraId="1F3A06F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02AD55B"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Za efikasnost lijeka odgovoran je farmakološki aktivni metabolit fingolimod fosfat.</w:t>
      </w:r>
    </w:p>
    <w:p w14:paraId="3B174237" w14:textId="3F943375" w:rsidR="009109C6" w:rsidRPr="00E75889" w:rsidRDefault="009109C6" w:rsidP="00E75889">
      <w:pPr>
        <w:pStyle w:val="Bodytext1"/>
        <w:widowControl w:val="0"/>
        <w:shd w:val="clear" w:color="auto" w:fill="auto"/>
        <w:spacing w:before="0" w:after="0" w:line="240" w:lineRule="auto"/>
        <w:ind w:firstLine="0"/>
        <w:jc w:val="both"/>
        <w:rPr>
          <w:rStyle w:val="Bodytext5"/>
          <w:sz w:val="22"/>
          <w:szCs w:val="22"/>
          <w:shd w:val="clear" w:color="auto" w:fill="auto"/>
          <w:lang w:val="sr-Latn-RS" w:eastAsia="en-US"/>
        </w:rPr>
      </w:pPr>
    </w:p>
    <w:p w14:paraId="18085811" w14:textId="4FD1B4F0" w:rsidR="00EB75FD" w:rsidRPr="00E75889" w:rsidRDefault="00EB75FD" w:rsidP="00E75889">
      <w:pPr>
        <w:pStyle w:val="Bodytext1"/>
        <w:widowControl w:val="0"/>
        <w:shd w:val="clear" w:color="auto" w:fill="auto"/>
        <w:spacing w:before="0" w:after="0" w:line="240" w:lineRule="auto"/>
        <w:ind w:firstLine="0"/>
        <w:jc w:val="both"/>
        <w:rPr>
          <w:rStyle w:val="Bodytext5"/>
          <w:sz w:val="22"/>
          <w:szCs w:val="22"/>
          <w:shd w:val="clear" w:color="auto" w:fill="auto"/>
          <w:lang w:val="sr-Latn-RS" w:eastAsia="en-US"/>
        </w:rPr>
      </w:pPr>
      <w:r w:rsidRPr="00E75889">
        <w:rPr>
          <w:rStyle w:val="Bodytext5"/>
          <w:sz w:val="22"/>
          <w:szCs w:val="22"/>
          <w:shd w:val="clear" w:color="auto" w:fill="auto"/>
          <w:lang w:val="sr-Latn-RS" w:eastAsia="en-US"/>
        </w:rPr>
        <w:t xml:space="preserve">Resorpcija </w:t>
      </w:r>
    </w:p>
    <w:p w14:paraId="1327378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FC1B637" w14:textId="4C2FBAE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se resorbuje sporo (t</w:t>
      </w:r>
      <w:r w:rsidRPr="00E75889">
        <w:rPr>
          <w:sz w:val="22"/>
          <w:szCs w:val="22"/>
          <w:vertAlign w:val="subscript"/>
          <w:lang w:val="sr-Latn-RS" w:eastAsia="en-US"/>
        </w:rPr>
        <w:t>max</w:t>
      </w:r>
      <w:r w:rsidR="00BF42F0" w:rsidRPr="00E75889">
        <w:rPr>
          <w:sz w:val="22"/>
          <w:szCs w:val="22"/>
          <w:lang w:val="sr-Latn-RS" w:eastAsia="en-US"/>
        </w:rPr>
        <w:t xml:space="preserve"> </w:t>
      </w:r>
      <w:r w:rsidRPr="00E75889">
        <w:rPr>
          <w:sz w:val="22"/>
          <w:szCs w:val="22"/>
          <w:lang w:val="sr-Latn-RS" w:eastAsia="en-US"/>
        </w:rPr>
        <w:t xml:space="preserve">je 12-16 </w:t>
      </w:r>
      <w:r w:rsidR="00051690" w:rsidRPr="00E75889">
        <w:rPr>
          <w:sz w:val="22"/>
          <w:szCs w:val="22"/>
          <w:lang w:val="sr-Latn-RS" w:eastAsia="en-US"/>
        </w:rPr>
        <w:t>sati</w:t>
      </w:r>
      <w:r w:rsidRPr="00E75889">
        <w:rPr>
          <w:sz w:val="22"/>
          <w:szCs w:val="22"/>
          <w:lang w:val="sr-Latn-RS" w:eastAsia="en-US"/>
        </w:rPr>
        <w:t>) i ekstenzivno (≥ 85%). Apsolutna oralna biološka raspoloživost iznosi 93% (95% interval pouzdanosti: 79-111%). Koncentracije u krvi u ravnotežnom stanju postižu se u toku 1 do 2 mjeseca poslije oralne primjene jednom dnevno, a nivoi u ravnotežnom stanju su približno 10 puta veći nego nakon inicijalne doze.</w:t>
      </w:r>
    </w:p>
    <w:p w14:paraId="05782976"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DDB404C" w14:textId="1C31448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Unos hrane ne mijenja vr</w:t>
      </w:r>
      <w:r w:rsidR="009F0B58" w:rsidRPr="00E75889">
        <w:rPr>
          <w:sz w:val="22"/>
          <w:szCs w:val="22"/>
          <w:lang w:val="sr-Latn-RS"/>
        </w:rPr>
        <w:t>ij</w:t>
      </w:r>
      <w:r w:rsidRPr="00E75889">
        <w:rPr>
          <w:sz w:val="22"/>
          <w:szCs w:val="22"/>
          <w:lang w:val="sr-Latn-RS"/>
        </w:rPr>
        <w:t>ednost C</w:t>
      </w:r>
      <w:r w:rsidRPr="00E75889">
        <w:rPr>
          <w:sz w:val="22"/>
          <w:szCs w:val="22"/>
          <w:vertAlign w:val="subscript"/>
          <w:lang w:val="sr-Latn-RS"/>
        </w:rPr>
        <w:t>max</w:t>
      </w:r>
      <w:r w:rsidRPr="00E75889">
        <w:rPr>
          <w:sz w:val="22"/>
          <w:szCs w:val="22"/>
          <w:lang w:val="sr-Latn-RS"/>
        </w:rPr>
        <w:t xml:space="preserve"> , niti izloženost (</w:t>
      </w:r>
      <w:r w:rsidR="00051690" w:rsidRPr="00E75889">
        <w:rPr>
          <w:sz w:val="22"/>
          <w:szCs w:val="22"/>
          <w:lang w:val="sr-Latn-RS"/>
        </w:rPr>
        <w:t xml:space="preserve">vrijednost </w:t>
      </w:r>
      <w:r w:rsidRPr="00E75889">
        <w:rPr>
          <w:sz w:val="22"/>
          <w:szCs w:val="22"/>
          <w:lang w:val="sr-Latn-RS"/>
        </w:rPr>
        <w:t>PIK) fingolimodu. C</w:t>
      </w:r>
      <w:r w:rsidRPr="00E75889">
        <w:rPr>
          <w:sz w:val="22"/>
          <w:szCs w:val="22"/>
          <w:vertAlign w:val="subscript"/>
          <w:lang w:val="sr-Latn-RS"/>
        </w:rPr>
        <w:t>max</w:t>
      </w:r>
      <w:r w:rsidRPr="00E75889">
        <w:rPr>
          <w:sz w:val="22"/>
          <w:szCs w:val="22"/>
          <w:lang w:val="sr-Latn-RS"/>
        </w:rPr>
        <w:t xml:space="preserve"> fingolimod fosfata neznatno je smanjena za 34%, ali je vrijednost PIK ostajala nepromijenjena. Shodno tome, </w:t>
      </w:r>
      <w:r w:rsidR="00051690" w:rsidRPr="00E75889">
        <w:rPr>
          <w:sz w:val="22"/>
          <w:szCs w:val="22"/>
          <w:lang w:val="sr-Latn-RS"/>
        </w:rPr>
        <w:t xml:space="preserve">lijek </w:t>
      </w:r>
      <w:r w:rsidRPr="00E75889">
        <w:rPr>
          <w:sz w:val="22"/>
          <w:szCs w:val="22"/>
          <w:lang w:val="sr-Latn-RS"/>
        </w:rPr>
        <w:t xml:space="preserve">Gilenya se može uzimati nezavisno od obroka (vidjeti </w:t>
      </w:r>
      <w:r w:rsidR="00282BF1" w:rsidRPr="00E75889">
        <w:rPr>
          <w:sz w:val="22"/>
          <w:szCs w:val="22"/>
          <w:lang w:val="sr-Latn-RS"/>
        </w:rPr>
        <w:t>dio</w:t>
      </w:r>
      <w:r w:rsidRPr="00E75889">
        <w:rPr>
          <w:sz w:val="22"/>
          <w:szCs w:val="22"/>
          <w:lang w:val="sr-Latn-RS"/>
        </w:rPr>
        <w:t xml:space="preserve"> 4.2).</w:t>
      </w:r>
    </w:p>
    <w:p w14:paraId="6F78A73E"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r w:rsidRPr="00E75889">
        <w:rPr>
          <w:rStyle w:val="Bodytext41"/>
          <w:sz w:val="22"/>
          <w:szCs w:val="22"/>
          <w:shd w:val="clear" w:color="auto" w:fill="auto"/>
          <w:lang w:val="sr-Latn-RS" w:eastAsia="en-US"/>
        </w:rPr>
        <w:t>Raspodjela</w:t>
      </w:r>
    </w:p>
    <w:p w14:paraId="02B4ED4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1FEE101" w14:textId="37C94FE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se velikim dijelom distribuira u crvene krvne ćelije, i frakcija u krvnim ćelijama iznosi 86%. Unos fingolimod fosfata u krvne ćelije je manji i iznosi</w:t>
      </w:r>
      <w:r w:rsidR="00BF42F0" w:rsidRPr="00E75889">
        <w:rPr>
          <w:sz w:val="22"/>
          <w:szCs w:val="22"/>
          <w:lang w:val="sr-Latn-RS" w:eastAsia="en-US"/>
        </w:rPr>
        <w:t xml:space="preserve"> </w:t>
      </w:r>
      <w:r w:rsidRPr="00E75889">
        <w:rPr>
          <w:sz w:val="22"/>
          <w:szCs w:val="22"/>
          <w:lang w:val="sr-Latn-RS" w:eastAsia="en-US"/>
        </w:rPr>
        <w:t>&lt;17%. Fingolimod i fingolimod fosfat se u velikoj mjeri vezuju za proteine</w:t>
      </w:r>
      <w:r w:rsidR="00BF42F0" w:rsidRPr="00E75889">
        <w:rPr>
          <w:sz w:val="22"/>
          <w:szCs w:val="22"/>
          <w:lang w:val="sr-Latn-RS" w:eastAsia="en-US"/>
        </w:rPr>
        <w:t xml:space="preserve"> </w:t>
      </w:r>
      <w:r w:rsidRPr="00E75889">
        <w:rPr>
          <w:sz w:val="22"/>
          <w:szCs w:val="22"/>
          <w:lang w:val="sr-Latn-RS" w:eastAsia="en-US"/>
        </w:rPr>
        <w:t>(&gt;99%).</w:t>
      </w:r>
    </w:p>
    <w:p w14:paraId="5A0AD00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6BDADC2D" w14:textId="5E225A3A"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Raspodjela fingolimoda je izrazita u tjelesnim tkivima sa volumenom distribucije od oko 1200±260 litara. Ispitivanje sprovedeno na četiri zdrava ispitanika koji su jednokratno primili intravensku dozu radioaktivno- obilježenog analoga fingolimoda, je pokazala da fingolimod prodire u mozak. U ispitivanju na 13 muških pacijenata sa multiplom sklerozom, koji su primili 0,5mg dnevno </w:t>
      </w:r>
      <w:r w:rsidRPr="00E75889">
        <w:rPr>
          <w:sz w:val="22"/>
          <w:szCs w:val="22"/>
          <w:lang w:val="sr-Latn-RS"/>
        </w:rPr>
        <w:t>fingolimoda</w:t>
      </w:r>
      <w:r w:rsidRPr="00E75889">
        <w:rPr>
          <w:sz w:val="22"/>
          <w:szCs w:val="22"/>
          <w:lang w:val="sr-Latn-RS" w:eastAsia="en-US"/>
        </w:rPr>
        <w:t>, prosječna količina fingolimoda</w:t>
      </w:r>
      <w:r w:rsidR="00BF42F0" w:rsidRPr="00E75889">
        <w:rPr>
          <w:sz w:val="22"/>
          <w:szCs w:val="22"/>
          <w:lang w:val="sr-Latn-RS" w:eastAsia="en-US"/>
        </w:rPr>
        <w:t xml:space="preserve"> </w:t>
      </w:r>
      <w:r w:rsidRPr="00E75889">
        <w:rPr>
          <w:sz w:val="22"/>
          <w:szCs w:val="22"/>
          <w:lang w:val="sr-Latn-RS" w:eastAsia="en-US"/>
        </w:rPr>
        <w:t>(i fingolimod fosfata) u ejakulatu sperme, u ravnotežnom stanju,</w:t>
      </w:r>
      <w:r w:rsidR="00BF42F0" w:rsidRPr="00E75889">
        <w:rPr>
          <w:sz w:val="22"/>
          <w:szCs w:val="22"/>
          <w:lang w:val="sr-Latn-RS" w:eastAsia="en-US"/>
        </w:rPr>
        <w:t xml:space="preserve"> </w:t>
      </w:r>
      <w:r w:rsidRPr="00E75889">
        <w:rPr>
          <w:sz w:val="22"/>
          <w:szCs w:val="22"/>
          <w:lang w:val="sr-Latn-RS" w:eastAsia="en-US"/>
        </w:rPr>
        <w:t>je bila približno 10000 puta niža nego kod oralno primijenjene doze (0,5 mg).</w:t>
      </w:r>
    </w:p>
    <w:p w14:paraId="463DA96D"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p>
    <w:p w14:paraId="469996D6"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r w:rsidRPr="00E75889">
        <w:rPr>
          <w:rStyle w:val="Bodytext41"/>
          <w:sz w:val="22"/>
          <w:szCs w:val="22"/>
          <w:shd w:val="clear" w:color="auto" w:fill="auto"/>
          <w:lang w:val="sr-Latn-RS" w:eastAsia="en-US"/>
        </w:rPr>
        <w:t>Biotransformacija</w:t>
      </w:r>
    </w:p>
    <w:p w14:paraId="0D3C5A39"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F5E0550" w14:textId="037CC29B"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se kod ljudi transformiše reverzibilnom stereoselektivnom fosforilacijom u farmakološki aktivni</w:t>
      </w:r>
      <w:r w:rsidR="00BF42F0" w:rsidRPr="00E75889">
        <w:rPr>
          <w:sz w:val="22"/>
          <w:szCs w:val="22"/>
          <w:lang w:val="sr-Latn-RS" w:eastAsia="en-US"/>
        </w:rPr>
        <w:t xml:space="preserve"> </w:t>
      </w:r>
      <w:r w:rsidRPr="00E75889">
        <w:rPr>
          <w:sz w:val="22"/>
          <w:szCs w:val="22"/>
          <w:lang w:val="sr-Latn-RS" w:eastAsia="en-US"/>
        </w:rPr>
        <w:t>(S)-enantiomer fingolimod fosfat. Fingolimod se eliminiše oksidativnom biotransformacijom katalizovanom uglavnom preko izoenzima citohroma 4F2 i drugih enzima i putem sličnim razgradnji masnih kiselina u neaktivne metabolite. Takođe je zabilježeno i stvaranje farmakološki neaktivnih ne-polarnih ceramidnih analoga fingolimoda. Glavni enzim uključen u metabolizam fingolimoda je djelimično identifikovan i može da bude ili CYP4F2 ili CYP3A4.</w:t>
      </w:r>
    </w:p>
    <w:p w14:paraId="34FEA84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88A79F2" w14:textId="66EC5E40"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Po davanju pojedinačne oralne doze [</w:t>
      </w:r>
      <w:r w:rsidRPr="00E75889">
        <w:rPr>
          <w:sz w:val="22"/>
          <w:szCs w:val="22"/>
          <w:vertAlign w:val="superscript"/>
          <w:lang w:val="sr-Latn-RS" w:eastAsia="en-US"/>
        </w:rPr>
        <w:t>14</w:t>
      </w:r>
      <w:r w:rsidRPr="00E75889">
        <w:rPr>
          <w:sz w:val="22"/>
          <w:szCs w:val="22"/>
          <w:lang w:val="sr-Latn-RS" w:eastAsia="en-US"/>
        </w:rPr>
        <w:t>C] fingolimoda, glavne komponente povezane sa fingolimodom u krvi, procijenjene prema njihovom doprinosu PIK-u do 34 dana nakon doze ukupnih radioobilježenih komponenti, su sam fingolimod (23%), fingolimod fosfat (10%) i neaktivni metaboliti (M3 metabolit karbo</w:t>
      </w:r>
      <w:r w:rsidR="00051690" w:rsidRPr="00E75889">
        <w:rPr>
          <w:sz w:val="22"/>
          <w:szCs w:val="22"/>
          <w:lang w:val="sr-Latn-RS" w:eastAsia="en-US"/>
        </w:rPr>
        <w:t>ks</w:t>
      </w:r>
      <w:r w:rsidRPr="00E75889">
        <w:rPr>
          <w:sz w:val="22"/>
          <w:szCs w:val="22"/>
          <w:lang w:val="sr-Latn-RS" w:eastAsia="en-US"/>
        </w:rPr>
        <w:t>ilne kiseline (8%), M29 metabolit ceramida (9%) i M30 metabolit ceramida (7%).</w:t>
      </w:r>
    </w:p>
    <w:p w14:paraId="6374FDB2"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p>
    <w:p w14:paraId="5CE55B0A" w14:textId="77777777" w:rsidR="009F0B58" w:rsidRPr="00E75889" w:rsidRDefault="009F0B58"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r w:rsidRPr="00E75889">
        <w:rPr>
          <w:rStyle w:val="Bodytext41"/>
          <w:sz w:val="22"/>
          <w:szCs w:val="22"/>
          <w:shd w:val="clear" w:color="auto" w:fill="auto"/>
          <w:lang w:val="sr-Latn-RS" w:eastAsia="en-US"/>
        </w:rPr>
        <w:t>Eliminacija</w:t>
      </w:r>
    </w:p>
    <w:p w14:paraId="134D8823" w14:textId="52D155D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06C5865" w14:textId="2DED091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Klirens fingolimoda iz krvi iznosi</w:t>
      </w:r>
      <w:r w:rsidR="00BF42F0" w:rsidRPr="00E75889">
        <w:rPr>
          <w:sz w:val="22"/>
          <w:szCs w:val="22"/>
          <w:lang w:val="sr-Latn-RS" w:eastAsia="en-US"/>
        </w:rPr>
        <w:t xml:space="preserve"> </w:t>
      </w:r>
      <w:r w:rsidRPr="00E75889">
        <w:rPr>
          <w:sz w:val="22"/>
          <w:szCs w:val="22"/>
          <w:lang w:val="sr-Latn-RS" w:eastAsia="en-US"/>
        </w:rPr>
        <w:t xml:space="preserve">6,3±2,3 l/h, a prosječno poluvrijeme eliminacije (t </w:t>
      </w:r>
      <w:r w:rsidRPr="00E75889">
        <w:rPr>
          <w:rStyle w:val="Bodytext4pt1"/>
          <w:sz w:val="22"/>
          <w:szCs w:val="22"/>
          <w:vertAlign w:val="subscript"/>
          <w:lang w:val="sr-Latn-RS" w:eastAsia="en-US"/>
        </w:rPr>
        <w:t>1/2</w:t>
      </w:r>
      <w:r w:rsidRPr="00E75889">
        <w:rPr>
          <w:sz w:val="22"/>
          <w:szCs w:val="22"/>
          <w:lang w:val="sr-Latn-RS" w:eastAsia="en-US"/>
        </w:rPr>
        <w:t>) je 6-9 dana. Nivoi fingolimoda i fingolimod fosfata paralelno opadaju u terminalnoj fazi dovodeći do sličnih poluvremena eliminacije za oba.</w:t>
      </w:r>
      <w:r w:rsidR="00BF42F0" w:rsidRPr="00E75889">
        <w:rPr>
          <w:sz w:val="22"/>
          <w:szCs w:val="22"/>
          <w:lang w:val="sr-Latn-RS" w:eastAsia="en-US"/>
        </w:rPr>
        <w:t xml:space="preserve"> </w:t>
      </w:r>
    </w:p>
    <w:p w14:paraId="7787DE93"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2729CF9" w14:textId="7982B754"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Nakon peroralne primjene, oko 81% doze se polako izlučuje urinom u vidu neaktivnih metabolita. Fingolimod i fingolimod fosfat se ne izlučuju nepromijenjeni urinom nego su glavne komponente u fecesu, svaki u količini manjoj od</w:t>
      </w:r>
      <w:r w:rsidR="00BF42F0" w:rsidRPr="00E75889">
        <w:rPr>
          <w:sz w:val="22"/>
          <w:szCs w:val="22"/>
          <w:lang w:val="sr-Latn-RS" w:eastAsia="en-US"/>
        </w:rPr>
        <w:t xml:space="preserve"> </w:t>
      </w:r>
      <w:r w:rsidRPr="00E75889">
        <w:rPr>
          <w:sz w:val="22"/>
          <w:szCs w:val="22"/>
          <w:lang w:val="sr-Latn-RS" w:eastAsia="en-US"/>
        </w:rPr>
        <w:t>2,5% doze. Nakon 34 dana izluči se 89% primijenjene doze.</w:t>
      </w:r>
    </w:p>
    <w:p w14:paraId="71FCC1C3"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p>
    <w:p w14:paraId="08A256B8"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r w:rsidRPr="00E75889">
        <w:rPr>
          <w:rStyle w:val="Bodytext41"/>
          <w:sz w:val="22"/>
          <w:szCs w:val="22"/>
          <w:shd w:val="clear" w:color="auto" w:fill="auto"/>
          <w:lang w:val="sr-Latn-RS" w:eastAsia="en-US"/>
        </w:rPr>
        <w:t>Linearnost</w:t>
      </w:r>
    </w:p>
    <w:p w14:paraId="56E59481"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07EF38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Koncentracije fingolimoda i fingolimod fosfata povećavaju se na dozno proporcionalan način poslije multiplih dnevnih doza od 0,5 mg ili 1,25 mg.</w:t>
      </w:r>
    </w:p>
    <w:p w14:paraId="615153A3"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p>
    <w:p w14:paraId="08028D01" w14:textId="77777777" w:rsidR="00EB75FD" w:rsidRPr="00E75889" w:rsidRDefault="00EB75FD" w:rsidP="00E75889">
      <w:pPr>
        <w:pStyle w:val="Bodytext1"/>
        <w:widowControl w:val="0"/>
        <w:shd w:val="clear" w:color="auto" w:fill="auto"/>
        <w:spacing w:before="0" w:after="0" w:line="240" w:lineRule="auto"/>
        <w:ind w:firstLine="0"/>
        <w:jc w:val="both"/>
        <w:rPr>
          <w:rStyle w:val="Bodytext41"/>
          <w:sz w:val="22"/>
          <w:szCs w:val="22"/>
          <w:shd w:val="clear" w:color="auto" w:fill="auto"/>
          <w:lang w:val="sr-Latn-RS" w:eastAsia="en-US"/>
        </w:rPr>
      </w:pPr>
      <w:r w:rsidRPr="00E75889">
        <w:rPr>
          <w:rStyle w:val="Bodytext41"/>
          <w:sz w:val="22"/>
          <w:szCs w:val="22"/>
          <w:shd w:val="clear" w:color="auto" w:fill="auto"/>
          <w:lang w:val="sr-Latn-RS" w:eastAsia="en-US"/>
        </w:rPr>
        <w:t>Karakteristike kod specifičnih grupa pacijenata</w:t>
      </w:r>
    </w:p>
    <w:p w14:paraId="64E80B5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50820B6" w14:textId="77777777"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eastAsia="en-US"/>
        </w:rPr>
      </w:pPr>
      <w:r w:rsidRPr="00E75889">
        <w:rPr>
          <w:i/>
          <w:sz w:val="22"/>
          <w:szCs w:val="22"/>
          <w:lang w:val="sr-Latn-RS" w:eastAsia="en-US"/>
        </w:rPr>
        <w:t>Pol, etničko porijeklo i oštećenje funkcije bubrega</w:t>
      </w:r>
    </w:p>
    <w:p w14:paraId="13DBB59E" w14:textId="26C01B03"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Farmakokinetika fingolimoda i fingolimod fosfata se ne razlikuje kod muškaraca i žena, kod pacijenata različitog etničkog porekla ili kod pacijenata sa blagim do teškim poremećajem bubrežne funkcije.</w:t>
      </w:r>
      <w:r w:rsidR="00BF42F0" w:rsidRPr="00E75889">
        <w:rPr>
          <w:sz w:val="22"/>
          <w:szCs w:val="22"/>
          <w:lang w:val="sr-Latn-RS" w:eastAsia="en-US"/>
        </w:rPr>
        <w:t xml:space="preserve"> </w:t>
      </w:r>
    </w:p>
    <w:p w14:paraId="6ED33D85"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38EC1054" w14:textId="77777777"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eastAsia="en-US"/>
        </w:rPr>
      </w:pPr>
      <w:r w:rsidRPr="00E75889">
        <w:rPr>
          <w:i/>
          <w:sz w:val="22"/>
          <w:szCs w:val="22"/>
          <w:lang w:val="sr-Latn-RS" w:eastAsia="en-US"/>
        </w:rPr>
        <w:t>Oštećenje funkcije jetre</w:t>
      </w:r>
    </w:p>
    <w:p w14:paraId="533B277A" w14:textId="0DF349F6"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Kod ispitanika sa blagim, umjerenim ili teškim poremećajem funkcije jetre (Child-Pugh klase A, B i C), nije zabilježena promjena u vrijednosti C</w:t>
      </w:r>
      <w:r w:rsidRPr="00E75889">
        <w:rPr>
          <w:rStyle w:val="Bodytext4pt1"/>
          <w:sz w:val="22"/>
          <w:szCs w:val="22"/>
          <w:vertAlign w:val="subscript"/>
          <w:lang w:val="sr-Latn-RS" w:eastAsia="en-US"/>
        </w:rPr>
        <w:t>max</w:t>
      </w:r>
      <w:r w:rsidRPr="00E75889">
        <w:rPr>
          <w:sz w:val="22"/>
          <w:szCs w:val="22"/>
          <w:lang w:val="sr-Latn-RS" w:eastAsia="en-US"/>
        </w:rPr>
        <w:t xml:space="preserve"> fingolimoda, ali je </w:t>
      </w:r>
      <w:r w:rsidR="00051690" w:rsidRPr="00E75889">
        <w:rPr>
          <w:sz w:val="22"/>
          <w:szCs w:val="22"/>
          <w:lang w:val="sr-Latn-RS" w:eastAsia="en-US"/>
        </w:rPr>
        <w:t xml:space="preserve">vrijednost </w:t>
      </w:r>
      <w:r w:rsidRPr="00E75889">
        <w:rPr>
          <w:sz w:val="22"/>
          <w:szCs w:val="22"/>
          <w:lang w:val="sr-Latn-RS" w:eastAsia="en-US"/>
        </w:rPr>
        <w:t>PIK</w:t>
      </w:r>
      <w:r w:rsidR="00BF42F0" w:rsidRPr="00E75889">
        <w:rPr>
          <w:sz w:val="22"/>
          <w:szCs w:val="22"/>
          <w:lang w:val="sr-Latn-RS" w:eastAsia="en-US"/>
        </w:rPr>
        <w:t xml:space="preserve"> </w:t>
      </w:r>
      <w:r w:rsidRPr="00E75889">
        <w:rPr>
          <w:sz w:val="22"/>
          <w:szCs w:val="22"/>
          <w:lang w:val="sr-Latn-RS" w:eastAsia="en-US"/>
        </w:rPr>
        <w:t>fingolimoda bio povećana za 12%, 44%, odnosno 103%. Kod pacijenata sa teškim poremećajem funkcije jetre (Child-Pugh klase C), C</w:t>
      </w:r>
      <w:r w:rsidRPr="00E75889">
        <w:rPr>
          <w:rStyle w:val="Bodytext4pt1"/>
          <w:sz w:val="22"/>
          <w:szCs w:val="22"/>
          <w:vertAlign w:val="subscript"/>
          <w:lang w:val="sr-Latn-RS" w:eastAsia="en-US"/>
        </w:rPr>
        <w:t>max</w:t>
      </w:r>
      <w:r w:rsidRPr="00E75889">
        <w:rPr>
          <w:sz w:val="22"/>
          <w:szCs w:val="22"/>
          <w:lang w:val="sr-Latn-RS" w:eastAsia="en-US"/>
        </w:rPr>
        <w:t xml:space="preserve"> fingolimod fosfata bila je smanjena za 22%, a </w:t>
      </w:r>
      <w:r w:rsidR="00051690" w:rsidRPr="00E75889">
        <w:rPr>
          <w:sz w:val="22"/>
          <w:szCs w:val="22"/>
          <w:lang w:val="sr-Latn-RS" w:eastAsia="en-US"/>
        </w:rPr>
        <w:t xml:space="preserve">vrijednost </w:t>
      </w:r>
      <w:r w:rsidRPr="00E75889">
        <w:rPr>
          <w:sz w:val="22"/>
          <w:szCs w:val="22"/>
          <w:lang w:val="sr-Latn-RS" w:eastAsia="en-US"/>
        </w:rPr>
        <w:t xml:space="preserve">PIK nije bio znatnije izmijenjen. </w:t>
      </w:r>
      <w:r w:rsidRPr="00E75889">
        <w:rPr>
          <w:sz w:val="22"/>
          <w:szCs w:val="22"/>
          <w:lang w:val="sr-Latn-RS" w:eastAsia="en-US"/>
        </w:rPr>
        <w:lastRenderedPageBreak/>
        <w:t>Farmakokinetika fingolimod fosfata nije bila procjenjivana kod pacijenata sa blagim do umjerenim poremećajem funkcije jetre. Poluvreme eliminacije fingolimoda je nepromijenjeno kod ispitanika sa blagim poremećajem funkcije jetre, ali je produženo za oko 50% kod pacijenata sa umjerenim ili teškim poremećajem funkcije jetre.</w:t>
      </w:r>
    </w:p>
    <w:p w14:paraId="3570EFA0" w14:textId="16786FE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Fingolimod ne treba koristiti kod pacijenata sa teškim poremećajem funkcije jetre (Child-Pugh klase C) (vidjeti </w:t>
      </w:r>
      <w:r w:rsidR="00282BF1" w:rsidRPr="00E75889">
        <w:rPr>
          <w:sz w:val="22"/>
          <w:szCs w:val="22"/>
          <w:lang w:val="sr-Latn-RS" w:eastAsia="en-US"/>
        </w:rPr>
        <w:t>dio</w:t>
      </w:r>
      <w:r w:rsidRPr="00E75889">
        <w:rPr>
          <w:sz w:val="22"/>
          <w:szCs w:val="22"/>
          <w:lang w:val="sr-Latn-RS" w:eastAsia="en-US"/>
        </w:rPr>
        <w:t xml:space="preserve"> 4.3). Fingolimod treba oprezno uvoditi kod</w:t>
      </w:r>
      <w:r w:rsidR="00BF42F0" w:rsidRPr="00E75889">
        <w:rPr>
          <w:sz w:val="22"/>
          <w:szCs w:val="22"/>
          <w:lang w:val="sr-Latn-RS" w:eastAsia="en-US"/>
        </w:rPr>
        <w:t xml:space="preserve"> </w:t>
      </w:r>
      <w:r w:rsidRPr="00E75889">
        <w:rPr>
          <w:sz w:val="22"/>
          <w:szCs w:val="22"/>
          <w:lang w:val="sr-Latn-RS" w:eastAsia="en-US"/>
        </w:rPr>
        <w:t xml:space="preserve">pacijenata sa blagim do umjerenim poremećajem funkcije jetre (vidjeti </w:t>
      </w:r>
      <w:r w:rsidR="00282BF1" w:rsidRPr="00E75889">
        <w:rPr>
          <w:sz w:val="22"/>
          <w:szCs w:val="22"/>
          <w:lang w:val="sr-Latn-RS" w:eastAsia="en-US"/>
        </w:rPr>
        <w:t>dio</w:t>
      </w:r>
      <w:r w:rsidRPr="00E75889">
        <w:rPr>
          <w:sz w:val="22"/>
          <w:szCs w:val="22"/>
          <w:lang w:val="sr-Latn-RS" w:eastAsia="en-US"/>
        </w:rPr>
        <w:t xml:space="preserve"> 4.2).</w:t>
      </w:r>
    </w:p>
    <w:p w14:paraId="48A5920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12E1277D" w14:textId="77777777" w:rsidR="00EB75FD" w:rsidRPr="00E75889" w:rsidRDefault="00EB75FD" w:rsidP="00E75889">
      <w:pPr>
        <w:pStyle w:val="Bodytext1"/>
        <w:widowControl w:val="0"/>
        <w:shd w:val="clear" w:color="auto" w:fill="auto"/>
        <w:spacing w:before="0" w:after="0" w:line="240" w:lineRule="auto"/>
        <w:ind w:firstLine="0"/>
        <w:jc w:val="both"/>
        <w:rPr>
          <w:i/>
          <w:sz w:val="22"/>
          <w:szCs w:val="22"/>
          <w:lang w:val="sr-Latn-RS" w:eastAsia="en-US"/>
        </w:rPr>
      </w:pPr>
      <w:r w:rsidRPr="00E75889">
        <w:rPr>
          <w:i/>
          <w:sz w:val="22"/>
          <w:szCs w:val="22"/>
          <w:lang w:val="sr-Latn-RS" w:eastAsia="en-US"/>
        </w:rPr>
        <w:t>Stariji pacijenti</w:t>
      </w:r>
    </w:p>
    <w:p w14:paraId="62B49850" w14:textId="3E059946"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Kliničko iskustvo i farmakokinetičke informacije kod pacijenata starosti iznad</w:t>
      </w:r>
      <w:r w:rsidR="00BF42F0" w:rsidRPr="00E75889">
        <w:rPr>
          <w:sz w:val="22"/>
          <w:szCs w:val="22"/>
          <w:lang w:val="sr-Latn-RS" w:eastAsia="en-US"/>
        </w:rPr>
        <w:t xml:space="preserve"> </w:t>
      </w:r>
      <w:r w:rsidRPr="00E75889">
        <w:rPr>
          <w:sz w:val="22"/>
          <w:szCs w:val="22"/>
          <w:lang w:val="sr-Latn-RS" w:eastAsia="en-US"/>
        </w:rPr>
        <w:t xml:space="preserve">65 godina su ograničeni. Lijek Gilenya treba oprezno da se koristi kod pacijenata starosti 65 godina i starijih (vidjeti </w:t>
      </w:r>
      <w:r w:rsidR="00282BF1" w:rsidRPr="00E75889">
        <w:rPr>
          <w:sz w:val="22"/>
          <w:szCs w:val="22"/>
          <w:lang w:val="sr-Latn-RS" w:eastAsia="en-US"/>
        </w:rPr>
        <w:t>dio</w:t>
      </w:r>
      <w:r w:rsidRPr="00E75889">
        <w:rPr>
          <w:sz w:val="22"/>
          <w:szCs w:val="22"/>
          <w:lang w:val="sr-Latn-RS" w:eastAsia="en-US"/>
        </w:rPr>
        <w:t xml:space="preserve"> 4.2).</w:t>
      </w:r>
    </w:p>
    <w:p w14:paraId="45440DDA" w14:textId="77777777" w:rsidR="00EB75FD" w:rsidRPr="00E75889" w:rsidRDefault="00EB75FD" w:rsidP="00E75889">
      <w:pPr>
        <w:pStyle w:val="Bodytext1"/>
        <w:widowControl w:val="0"/>
        <w:shd w:val="clear" w:color="auto" w:fill="auto"/>
        <w:spacing w:before="0" w:after="0" w:line="240" w:lineRule="auto"/>
        <w:ind w:firstLine="0"/>
        <w:jc w:val="both"/>
        <w:rPr>
          <w:rStyle w:val="Bodytext3"/>
          <w:sz w:val="22"/>
          <w:szCs w:val="22"/>
          <w:shd w:val="clear" w:color="auto" w:fill="auto"/>
          <w:lang w:val="sr-Latn-RS" w:eastAsia="en-US"/>
        </w:rPr>
      </w:pPr>
    </w:p>
    <w:p w14:paraId="5ED44766" w14:textId="77777777" w:rsidR="00EB75FD" w:rsidRPr="00E75889" w:rsidRDefault="00EB75FD" w:rsidP="00E75889">
      <w:pPr>
        <w:pStyle w:val="Bodytext1"/>
        <w:widowControl w:val="0"/>
        <w:shd w:val="clear" w:color="auto" w:fill="auto"/>
        <w:spacing w:before="0" w:after="0" w:line="240" w:lineRule="auto"/>
        <w:ind w:firstLine="0"/>
        <w:jc w:val="both"/>
        <w:rPr>
          <w:rStyle w:val="Bodytext3"/>
          <w:sz w:val="22"/>
          <w:szCs w:val="22"/>
          <w:shd w:val="clear" w:color="auto" w:fill="auto"/>
          <w:lang w:val="sr-Latn-RS"/>
        </w:rPr>
      </w:pPr>
      <w:r w:rsidRPr="00E75889">
        <w:rPr>
          <w:rStyle w:val="Bodytext3"/>
          <w:sz w:val="22"/>
          <w:szCs w:val="22"/>
          <w:shd w:val="clear" w:color="auto" w:fill="auto"/>
          <w:lang w:val="sr-Latn-RS"/>
        </w:rPr>
        <w:t>Pedijatrijska populacija</w:t>
      </w:r>
    </w:p>
    <w:p w14:paraId="10C400C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p>
    <w:p w14:paraId="4A5E9B46" w14:textId="25CDF5F0" w:rsidR="00EB75FD" w:rsidRPr="00E75889" w:rsidRDefault="00EB75FD" w:rsidP="00E75889">
      <w:pPr>
        <w:widowControl w:val="0"/>
        <w:numPr>
          <w:ilvl w:val="12"/>
          <w:numId w:val="0"/>
        </w:numPr>
        <w:ind w:right="-2"/>
        <w:jc w:val="both"/>
        <w:rPr>
          <w:iCs/>
          <w:sz w:val="22"/>
          <w:szCs w:val="22"/>
          <w:lang w:val="sr-Latn-RS"/>
        </w:rPr>
      </w:pPr>
      <w:r w:rsidRPr="00E75889">
        <w:rPr>
          <w:iCs/>
          <w:sz w:val="22"/>
          <w:szCs w:val="22"/>
          <w:lang w:val="sr-Latn-RS"/>
        </w:rPr>
        <w:t>Kod pedijatrijskih pacijenata (uzrasta 10 godina i</w:t>
      </w:r>
      <w:r w:rsidR="001B0598" w:rsidRPr="00E75889">
        <w:rPr>
          <w:iCs/>
          <w:sz w:val="22"/>
          <w:szCs w:val="22"/>
          <w:lang w:val="sr-Latn-RS"/>
        </w:rPr>
        <w:t xml:space="preserve"> više) koncentracije fingolimod </w:t>
      </w:r>
      <w:r w:rsidRPr="00E75889">
        <w:rPr>
          <w:iCs/>
          <w:sz w:val="22"/>
          <w:szCs w:val="22"/>
          <w:lang w:val="sr-Latn-RS"/>
        </w:rPr>
        <w:t>fosfata su se povećavale na očigledan način proporcionalno dozi između 0,25 mg i 0,5 mg.</w:t>
      </w:r>
    </w:p>
    <w:p w14:paraId="2A77A320" w14:textId="77777777" w:rsidR="00EB75FD" w:rsidRPr="00E75889" w:rsidRDefault="00EB75FD" w:rsidP="00E75889">
      <w:pPr>
        <w:widowControl w:val="0"/>
        <w:numPr>
          <w:ilvl w:val="12"/>
          <w:numId w:val="0"/>
        </w:numPr>
        <w:ind w:right="-2"/>
        <w:jc w:val="both"/>
        <w:rPr>
          <w:iCs/>
          <w:sz w:val="22"/>
          <w:szCs w:val="22"/>
          <w:lang w:val="sr-Latn-RS"/>
        </w:rPr>
      </w:pPr>
    </w:p>
    <w:p w14:paraId="4AB9BC2B" w14:textId="65AB3290" w:rsidR="00EB75FD" w:rsidRPr="00E75889" w:rsidRDefault="001B0598" w:rsidP="00E75889">
      <w:pPr>
        <w:widowControl w:val="0"/>
        <w:numPr>
          <w:ilvl w:val="12"/>
          <w:numId w:val="0"/>
        </w:numPr>
        <w:ind w:right="-2"/>
        <w:jc w:val="both"/>
        <w:rPr>
          <w:iCs/>
          <w:sz w:val="22"/>
          <w:szCs w:val="22"/>
          <w:lang w:val="sr-Latn-RS"/>
        </w:rPr>
      </w:pPr>
      <w:r w:rsidRPr="00E75889">
        <w:rPr>
          <w:iCs/>
          <w:sz w:val="22"/>
          <w:szCs w:val="22"/>
          <w:lang w:val="sr-Latn-RS"/>
        </w:rPr>
        <w:t xml:space="preserve">Koncentracija fingolimod </w:t>
      </w:r>
      <w:r w:rsidR="00EB75FD" w:rsidRPr="00E75889">
        <w:rPr>
          <w:iCs/>
          <w:sz w:val="22"/>
          <w:szCs w:val="22"/>
          <w:lang w:val="sr-Latn-RS"/>
        </w:rPr>
        <w:t>fosfata u ravnotežnom stanju je otprilike 25% niža kod pedijatrijskih pacijenata (uzrasta 10 godina i više) nakon primjene 0,25 mg ili 0,5 mg fingolimoda dnevno u odnosu na koncentraciju kod odraslih pacijenata liječenih sa 0,5 mg fingolimoda jednom dnevno.</w:t>
      </w:r>
    </w:p>
    <w:p w14:paraId="5274AAA4" w14:textId="77777777" w:rsidR="00EB75FD" w:rsidRPr="00E75889" w:rsidRDefault="00EB75FD" w:rsidP="00E75889">
      <w:pPr>
        <w:widowControl w:val="0"/>
        <w:numPr>
          <w:ilvl w:val="12"/>
          <w:numId w:val="0"/>
        </w:numPr>
        <w:ind w:right="-2"/>
        <w:jc w:val="both"/>
        <w:rPr>
          <w:iCs/>
          <w:sz w:val="22"/>
          <w:szCs w:val="22"/>
          <w:lang w:val="sr-Latn-RS"/>
        </w:rPr>
      </w:pPr>
    </w:p>
    <w:p w14:paraId="60C33A6E" w14:textId="77777777" w:rsidR="00EB75FD" w:rsidRPr="00E75889" w:rsidRDefault="00EB75FD" w:rsidP="00E75889">
      <w:pPr>
        <w:widowControl w:val="0"/>
        <w:numPr>
          <w:ilvl w:val="12"/>
          <w:numId w:val="0"/>
        </w:numPr>
        <w:ind w:right="-2"/>
        <w:jc w:val="both"/>
        <w:rPr>
          <w:iCs/>
          <w:sz w:val="22"/>
          <w:szCs w:val="22"/>
          <w:lang w:val="sr-Latn-RS"/>
        </w:rPr>
      </w:pPr>
      <w:r w:rsidRPr="00E75889">
        <w:rPr>
          <w:iCs/>
          <w:sz w:val="22"/>
          <w:szCs w:val="22"/>
          <w:lang w:val="sr-Latn-RS"/>
        </w:rPr>
        <w:t>Nema dostupnih podataka za pedijatrijske pacijente mlađe od 10 godina.</w:t>
      </w:r>
    </w:p>
    <w:p w14:paraId="2AF3E6D5" w14:textId="77777777" w:rsidR="0072020E" w:rsidRPr="00E75889" w:rsidRDefault="0072020E" w:rsidP="00E75889">
      <w:pPr>
        <w:widowControl w:val="0"/>
        <w:tabs>
          <w:tab w:val="left" w:pos="540"/>
          <w:tab w:val="left" w:pos="569"/>
        </w:tabs>
        <w:jc w:val="both"/>
        <w:rPr>
          <w:bCs/>
          <w:sz w:val="22"/>
          <w:szCs w:val="22"/>
          <w:lang w:val="sr-Latn-RS"/>
        </w:rPr>
      </w:pPr>
    </w:p>
    <w:p w14:paraId="69EB32B2" w14:textId="77777777" w:rsidR="0072020E" w:rsidRPr="00E75889" w:rsidRDefault="0072020E" w:rsidP="00E75889">
      <w:pPr>
        <w:widowControl w:val="0"/>
        <w:tabs>
          <w:tab w:val="left" w:pos="540"/>
          <w:tab w:val="left" w:pos="569"/>
        </w:tabs>
        <w:jc w:val="both"/>
        <w:rPr>
          <w:b/>
          <w:bCs/>
          <w:sz w:val="22"/>
          <w:szCs w:val="22"/>
          <w:lang w:val="sr-Latn-RS"/>
        </w:rPr>
      </w:pPr>
      <w:r w:rsidRPr="00E75889">
        <w:rPr>
          <w:b/>
          <w:bCs/>
          <w:sz w:val="22"/>
          <w:szCs w:val="22"/>
          <w:lang w:val="sr-Latn-RS"/>
        </w:rPr>
        <w:t xml:space="preserve">5.3. </w:t>
      </w:r>
      <w:r w:rsidR="00480FB1" w:rsidRPr="00E75889">
        <w:rPr>
          <w:b/>
          <w:bCs/>
          <w:sz w:val="22"/>
          <w:szCs w:val="22"/>
          <w:lang w:val="sr-Latn-RS"/>
        </w:rPr>
        <w:tab/>
      </w:r>
      <w:r w:rsidRPr="00E75889">
        <w:rPr>
          <w:b/>
          <w:bCs/>
          <w:sz w:val="22"/>
          <w:szCs w:val="22"/>
          <w:lang w:val="sr-Latn-RS"/>
        </w:rPr>
        <w:t xml:space="preserve">Pretklinički podaci o bezbjednosti </w:t>
      </w:r>
    </w:p>
    <w:p w14:paraId="5506E9E7"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0E60889B" w14:textId="14E8AEC5"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Pretklinički bezbjednosni profil fingolimoda procjenjivan je kod miševa, pacova, pasa i majmuna.</w:t>
      </w:r>
      <w:r w:rsidR="00BF42F0" w:rsidRPr="00E75889">
        <w:rPr>
          <w:sz w:val="22"/>
          <w:szCs w:val="22"/>
          <w:lang w:val="sr-Latn-RS" w:eastAsia="en-US"/>
        </w:rPr>
        <w:t xml:space="preserve"> </w:t>
      </w:r>
      <w:r w:rsidRPr="00E75889">
        <w:rPr>
          <w:sz w:val="22"/>
          <w:szCs w:val="22"/>
          <w:lang w:val="sr-Latn-RS" w:eastAsia="en-US"/>
        </w:rPr>
        <w:t xml:space="preserve">Glavni ciljni organi bili su limfoidni sistem (limfopenija i limfoidna atrofija), pluća (povećana </w:t>
      </w:r>
      <w:r w:rsidR="00051690" w:rsidRPr="00E75889">
        <w:rPr>
          <w:sz w:val="22"/>
          <w:szCs w:val="22"/>
          <w:lang w:val="sr-Latn-RS" w:eastAsia="en-US"/>
        </w:rPr>
        <w:t>masa</w:t>
      </w:r>
      <w:r w:rsidRPr="00E75889">
        <w:rPr>
          <w:sz w:val="22"/>
          <w:szCs w:val="22"/>
          <w:lang w:val="sr-Latn-RS" w:eastAsia="en-US"/>
        </w:rPr>
        <w:t>, hipertrofija glatkih mišića na bronho-alveolarnoj spojnici) i srce (negativno hronotropno dejstvo, povišeni krvni pritisak,</w:t>
      </w:r>
      <w:r w:rsidR="00BF42F0" w:rsidRPr="00E75889">
        <w:rPr>
          <w:sz w:val="22"/>
          <w:szCs w:val="22"/>
          <w:lang w:val="sr-Latn-RS" w:eastAsia="en-US"/>
        </w:rPr>
        <w:t xml:space="preserve"> </w:t>
      </w:r>
      <w:r w:rsidRPr="00E75889">
        <w:rPr>
          <w:sz w:val="22"/>
          <w:szCs w:val="22"/>
          <w:lang w:val="sr-Latn-RS" w:eastAsia="en-US"/>
        </w:rPr>
        <w:t xml:space="preserve">perivaskularne promjene i degeneracija miokarda) </w:t>
      </w:r>
      <w:r w:rsidR="009F0B58" w:rsidRPr="00E75889">
        <w:rPr>
          <w:sz w:val="22"/>
          <w:szCs w:val="22"/>
          <w:lang w:val="sr-Latn-RS" w:eastAsia="en-US"/>
        </w:rPr>
        <w:t>kod</w:t>
      </w:r>
      <w:r w:rsidRPr="00E75889">
        <w:rPr>
          <w:sz w:val="22"/>
          <w:szCs w:val="22"/>
          <w:lang w:val="sr-Latn-RS" w:eastAsia="en-US"/>
        </w:rPr>
        <w:t xml:space="preserve"> nekoliko životinjskih vrsta;</w:t>
      </w:r>
      <w:r w:rsidR="00BF42F0" w:rsidRPr="00E75889">
        <w:rPr>
          <w:sz w:val="22"/>
          <w:szCs w:val="22"/>
          <w:lang w:val="sr-Latn-RS" w:eastAsia="en-US"/>
        </w:rPr>
        <w:t xml:space="preserve"> </w:t>
      </w:r>
      <w:r w:rsidRPr="00E75889">
        <w:rPr>
          <w:sz w:val="22"/>
          <w:szCs w:val="22"/>
          <w:lang w:val="sr-Latn-RS" w:eastAsia="en-US"/>
        </w:rPr>
        <w:t>krvni sudovi (vaskulopatije)</w:t>
      </w:r>
      <w:r w:rsidR="00BF42F0" w:rsidRPr="00E75889">
        <w:rPr>
          <w:sz w:val="22"/>
          <w:szCs w:val="22"/>
          <w:lang w:val="sr-Latn-RS" w:eastAsia="en-US"/>
        </w:rPr>
        <w:t xml:space="preserve"> </w:t>
      </w:r>
      <w:r w:rsidRPr="00E75889">
        <w:rPr>
          <w:sz w:val="22"/>
          <w:szCs w:val="22"/>
          <w:lang w:val="sr-Latn-RS" w:eastAsia="en-US"/>
        </w:rPr>
        <w:t>kod pacova u dvogodišnjoj studiji samo sa dozama do i iznad 0,15 mg/kg, što predstavlja približno četvorostruko veće sistemsko izlaganje kod ljudi (PIK) dnevnom dozom od 0,5 mg.</w:t>
      </w:r>
    </w:p>
    <w:p w14:paraId="2865521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520BF807" w14:textId="5CDEF941"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Nijesu zabilježeni dokazi o karcinogenosti</w:t>
      </w:r>
      <w:r w:rsidR="00BF42F0" w:rsidRPr="00E75889">
        <w:rPr>
          <w:sz w:val="22"/>
          <w:szCs w:val="22"/>
          <w:lang w:val="sr-Latn-RS" w:eastAsia="en-US"/>
        </w:rPr>
        <w:t xml:space="preserve"> </w:t>
      </w:r>
      <w:r w:rsidRPr="00E75889">
        <w:rPr>
          <w:sz w:val="22"/>
          <w:szCs w:val="22"/>
          <w:lang w:val="sr-Latn-RS" w:eastAsia="en-US"/>
        </w:rPr>
        <w:t>u dvogodišnjem biološkom testiranju kod pacova pri oralnim dozama do maksimalno tolerisane doze fingolimoda od 2,5 mg/kg,</w:t>
      </w:r>
      <w:r w:rsidR="00BF42F0" w:rsidRPr="00E75889">
        <w:rPr>
          <w:sz w:val="22"/>
          <w:szCs w:val="22"/>
          <w:lang w:val="sr-Latn-RS" w:eastAsia="en-US"/>
        </w:rPr>
        <w:t xml:space="preserve"> </w:t>
      </w:r>
      <w:r w:rsidRPr="00E75889">
        <w:rPr>
          <w:sz w:val="22"/>
          <w:szCs w:val="22"/>
          <w:lang w:val="sr-Latn-RS" w:eastAsia="en-US"/>
        </w:rPr>
        <w:t>što predstavlja približno pedeset puta veću vrijednost u odnosu na sistemsku</w:t>
      </w:r>
      <w:r w:rsidR="00BF42F0" w:rsidRPr="00E75889">
        <w:rPr>
          <w:sz w:val="22"/>
          <w:szCs w:val="22"/>
          <w:lang w:val="sr-Latn-RS" w:eastAsia="en-US"/>
        </w:rPr>
        <w:t xml:space="preserve"> </w:t>
      </w:r>
      <w:r w:rsidRPr="00E75889">
        <w:rPr>
          <w:sz w:val="22"/>
          <w:szCs w:val="22"/>
          <w:lang w:val="sr-Latn-RS" w:eastAsia="en-US"/>
        </w:rPr>
        <w:t>izloženost</w:t>
      </w:r>
      <w:r w:rsidR="00BF42F0" w:rsidRPr="00E75889">
        <w:rPr>
          <w:sz w:val="22"/>
          <w:szCs w:val="22"/>
          <w:lang w:val="sr-Latn-RS" w:eastAsia="en-US"/>
        </w:rPr>
        <w:t xml:space="preserve"> </w:t>
      </w:r>
      <w:r w:rsidRPr="00E75889">
        <w:rPr>
          <w:sz w:val="22"/>
          <w:szCs w:val="22"/>
          <w:lang w:val="sr-Latn-RS" w:eastAsia="en-US"/>
        </w:rPr>
        <w:t xml:space="preserve">kod ljudi (PIK) sa dnevnom dozom od 0,5 mg. Međutim, u jednoj dvogodišnjoj studiji na miševima, zabilježena je povećana incidenca malignog limfoma pri dozama do i iznad 0,25 mg/kg, što predstavlja približno šestostruko veće sistemsko izlaganje u odnosu na sistemsku izloženost kod ljudi (PIK) </w:t>
      </w:r>
      <w:r w:rsidR="00051690" w:rsidRPr="00E75889">
        <w:rPr>
          <w:sz w:val="22"/>
          <w:szCs w:val="22"/>
          <w:lang w:val="sr-Latn-RS" w:eastAsia="en-US"/>
        </w:rPr>
        <w:t xml:space="preserve">sa </w:t>
      </w:r>
      <w:r w:rsidRPr="00E75889">
        <w:rPr>
          <w:sz w:val="22"/>
          <w:szCs w:val="22"/>
          <w:lang w:val="sr-Latn-RS" w:eastAsia="en-US"/>
        </w:rPr>
        <w:t>dnevnom dozom od 0,5 mg.</w:t>
      </w:r>
    </w:p>
    <w:p w14:paraId="3037080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4A3C9697" w14:textId="14245B2E"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U studijama na životinjama, fingolimod nije pokazao ni mutagenost, ni klastogenost.</w:t>
      </w:r>
    </w:p>
    <w:p w14:paraId="1169FDB8"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A372DAC" w14:textId="51CABA38"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Fingolimod nije imao nikakav efekat na broj ili pokretljivost spermatozoida ili na fertilnost kod mužjaka i ženki pacova pri najvećim testiranim dozama (10 mg/kg), što predstavlja približno 150 puta veću vrijednost u odnosu na sistemsku izloženost</w:t>
      </w:r>
      <w:r w:rsidR="00BF42F0" w:rsidRPr="00E75889">
        <w:rPr>
          <w:sz w:val="22"/>
          <w:szCs w:val="22"/>
          <w:lang w:val="sr-Latn-RS" w:eastAsia="en-US"/>
        </w:rPr>
        <w:t xml:space="preserve"> </w:t>
      </w:r>
      <w:r w:rsidRPr="00E75889">
        <w:rPr>
          <w:sz w:val="22"/>
          <w:szCs w:val="22"/>
          <w:lang w:val="sr-Latn-RS" w:eastAsia="en-US"/>
        </w:rPr>
        <w:t>kod ljudi (PIK) sa dnevnom dozom od 0,5 mg.</w:t>
      </w:r>
    </w:p>
    <w:p w14:paraId="21DFF14F"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273924A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Fingolimod je imao teratogeno dejstvo kod pacova kada je davan u dozama od 0,1 mg/kg ili većim. Izloženost lijeku kod pacova pri ovoj dozi bila je uporediva sa onom kod pacijenata pri terapijskoj dozi (0,5 mg). Najčešće visceralne malformacije fetusa uključivale su perzistentni </w:t>
      </w:r>
      <w:r w:rsidRPr="00E75889">
        <w:rPr>
          <w:i/>
          <w:sz w:val="22"/>
          <w:szCs w:val="22"/>
          <w:lang w:val="sr-Latn-RS"/>
        </w:rPr>
        <w:t>truncus arteriosus</w:t>
      </w:r>
      <w:r w:rsidRPr="00E75889">
        <w:rPr>
          <w:sz w:val="22"/>
          <w:szCs w:val="22"/>
          <w:lang w:val="sr-Latn-RS"/>
        </w:rPr>
        <w:t xml:space="preserve"> i ventrikularni septalni defekt. Teratogeni potencijal kod kunića nije mogao biti u cjelini procijenjen, ali je povećan embrio-fetalni mortalitet zabilježen sa dozama od 1,5 mg/kg i većim, a smanjen broj fetusa koji mogu preživeti kao i retardacija fetalnog rasta zabilježeni su pri dozi od 5 mg/kg. Izloženost lijeku kod kunića pri ovim dozama bila je uporediva sa onom kod pacijenata.</w:t>
      </w:r>
    </w:p>
    <w:p w14:paraId="564053BD"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CD96C86" w14:textId="6956CD42"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Kod pacova, preživljavanje mladunaca F1 generacije bilo je smanjeno u ranom postpartalnom periodu sa dozama koje nijesu izazivale toksičnost kod majki.</w:t>
      </w:r>
      <w:r w:rsidR="00BF42F0" w:rsidRPr="00E75889">
        <w:rPr>
          <w:sz w:val="22"/>
          <w:szCs w:val="22"/>
          <w:lang w:val="sr-Latn-RS" w:eastAsia="en-US"/>
        </w:rPr>
        <w:t xml:space="preserve"> </w:t>
      </w:r>
      <w:r w:rsidRPr="00E75889">
        <w:rPr>
          <w:sz w:val="22"/>
          <w:szCs w:val="22"/>
          <w:lang w:val="sr-Latn-RS" w:eastAsia="en-US"/>
        </w:rPr>
        <w:t>Međutim, tjelesna masa, razvoj, ponašanje i fertilnost generacije F1 nijesu bili pod uticajem terapije fingolimodom.</w:t>
      </w:r>
    </w:p>
    <w:p w14:paraId="3C253BFA" w14:textId="77777777"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eastAsia="en-US"/>
        </w:rPr>
      </w:pPr>
    </w:p>
    <w:p w14:paraId="7B7AC3DA" w14:textId="3D857629" w:rsidR="00EB75FD" w:rsidRPr="00E75889" w:rsidRDefault="00EB75FD" w:rsidP="00E75889">
      <w:pPr>
        <w:pStyle w:val="Bodytext1"/>
        <w:widowControl w:val="0"/>
        <w:shd w:val="clear" w:color="auto" w:fill="auto"/>
        <w:spacing w:before="0" w:after="0" w:line="240" w:lineRule="auto"/>
        <w:ind w:firstLine="0"/>
        <w:jc w:val="both"/>
        <w:rPr>
          <w:sz w:val="22"/>
          <w:szCs w:val="22"/>
          <w:lang w:val="sr-Latn-RS"/>
        </w:rPr>
      </w:pPr>
      <w:r w:rsidRPr="00E75889">
        <w:rPr>
          <w:sz w:val="22"/>
          <w:szCs w:val="22"/>
          <w:lang w:val="sr-Latn-RS"/>
        </w:rPr>
        <w:t xml:space="preserve">Fingolimod se izlučivao u mlijeku tretiranih ženki tokom laktacije u koncentracijama koje su 2-3 puta više od koncentracija u plazmi majke. Fingolimod i njegovi metaboliti su prolazili kroz placentnu barijeru </w:t>
      </w:r>
      <w:r w:rsidR="00051690" w:rsidRPr="00E75889">
        <w:rPr>
          <w:sz w:val="22"/>
          <w:szCs w:val="22"/>
          <w:lang w:val="sr-Latn-RS"/>
        </w:rPr>
        <w:t>gravidnih</w:t>
      </w:r>
      <w:r w:rsidRPr="00E75889">
        <w:rPr>
          <w:sz w:val="22"/>
          <w:szCs w:val="22"/>
          <w:lang w:val="sr-Latn-RS"/>
        </w:rPr>
        <w:t xml:space="preserve"> kunića. </w:t>
      </w:r>
    </w:p>
    <w:p w14:paraId="5432F797" w14:textId="77777777" w:rsidR="00EB75FD" w:rsidRPr="00E75889" w:rsidRDefault="00EB75FD" w:rsidP="00E75889">
      <w:pPr>
        <w:widowControl w:val="0"/>
        <w:jc w:val="both"/>
        <w:rPr>
          <w:sz w:val="22"/>
          <w:szCs w:val="22"/>
          <w:u w:val="single"/>
          <w:lang w:val="sr-Latn-RS"/>
        </w:rPr>
      </w:pPr>
      <w:r w:rsidRPr="00E75889">
        <w:rPr>
          <w:sz w:val="22"/>
          <w:szCs w:val="22"/>
          <w:u w:val="single"/>
          <w:lang w:val="sr-Latn-RS"/>
        </w:rPr>
        <w:t>Ispitivanja kod juvenilnih životinja</w:t>
      </w:r>
    </w:p>
    <w:p w14:paraId="42514CFF" w14:textId="77777777" w:rsidR="00EB75FD" w:rsidRPr="00E75889" w:rsidRDefault="00EB75FD" w:rsidP="00E75889">
      <w:pPr>
        <w:widowControl w:val="0"/>
        <w:jc w:val="both"/>
        <w:rPr>
          <w:sz w:val="22"/>
          <w:szCs w:val="22"/>
          <w:lang w:val="sr-Latn-RS"/>
        </w:rPr>
      </w:pPr>
    </w:p>
    <w:p w14:paraId="4403B71E" w14:textId="420D51CA" w:rsidR="00EB75FD" w:rsidRPr="00E75889" w:rsidRDefault="00EB75FD" w:rsidP="00E75889">
      <w:pPr>
        <w:widowControl w:val="0"/>
        <w:jc w:val="both"/>
        <w:rPr>
          <w:sz w:val="22"/>
          <w:szCs w:val="22"/>
          <w:lang w:val="sr-Latn-RS"/>
        </w:rPr>
      </w:pPr>
      <w:r w:rsidRPr="00E75889">
        <w:rPr>
          <w:sz w:val="22"/>
          <w:szCs w:val="22"/>
          <w:lang w:val="sr-Latn-RS"/>
        </w:rPr>
        <w:t xml:space="preserve">Rezultati iz dva ispitivanja toksičnosti kod juvenilnih pacova pokazali su neznatan efekat na neurobihejvioralni odgovor, kasno polno sazrijevanje i smanjeni imunološki odgovor na ponovljene stimulacije KLH-om (engl. </w:t>
      </w:r>
      <w:r w:rsidRPr="00E75889">
        <w:rPr>
          <w:i/>
          <w:sz w:val="22"/>
          <w:szCs w:val="22"/>
          <w:lang w:val="sr-Latn-RS"/>
        </w:rPr>
        <w:t>Keyhole Limpet Haemocyanin</w:t>
      </w:r>
      <w:r w:rsidRPr="00E75889">
        <w:rPr>
          <w:sz w:val="22"/>
          <w:szCs w:val="22"/>
          <w:lang w:val="sr-Latn-RS"/>
        </w:rPr>
        <w:t xml:space="preserve">), što se nije smatralo </w:t>
      </w:r>
      <w:r w:rsidR="00D53821" w:rsidRPr="00E75889">
        <w:rPr>
          <w:sz w:val="22"/>
          <w:szCs w:val="22"/>
          <w:lang w:val="sr-Latn-RS"/>
        </w:rPr>
        <w:t>štetnim</w:t>
      </w:r>
      <w:r w:rsidRPr="00E75889">
        <w:rPr>
          <w:sz w:val="22"/>
          <w:szCs w:val="22"/>
          <w:lang w:val="sr-Latn-RS"/>
        </w:rPr>
        <w:t xml:space="preserve">. Sveukupno gledano, efekti vezani za terapiju fingolimodom kod juvenilnih životinja bili su uporedivi sa onim zabilježenim kod odraslih pacova pri sličnim dozama, sa izuzetkom promjena u mineralnoj gustini kostiju i neurobihejvioralnom oštećenju (smanjen odgovor u testu iznenadnog zvuka, engl. </w:t>
      </w:r>
      <w:r w:rsidRPr="00E75889">
        <w:rPr>
          <w:i/>
          <w:sz w:val="22"/>
          <w:szCs w:val="22"/>
          <w:lang w:val="sr-Latn-RS"/>
        </w:rPr>
        <w:t>auditory startle response</w:t>
      </w:r>
      <w:r w:rsidRPr="00E75889">
        <w:rPr>
          <w:sz w:val="22"/>
          <w:szCs w:val="22"/>
          <w:lang w:val="sr-Latn-RS"/>
        </w:rPr>
        <w:t>) pri dozi od 1,5 mg/kg i višoj kod juvenilnih životinja i odsutnosti hipertrofije glatkih mišića u plućima juvenilnih pacova.</w:t>
      </w:r>
    </w:p>
    <w:p w14:paraId="239AEAC2" w14:textId="77777777" w:rsidR="00D53821" w:rsidRPr="00E75889" w:rsidRDefault="00D53821" w:rsidP="00E75889">
      <w:pPr>
        <w:pStyle w:val="Bodytext1"/>
        <w:widowControl w:val="0"/>
        <w:shd w:val="clear" w:color="auto" w:fill="auto"/>
        <w:spacing w:before="0" w:after="0" w:line="240" w:lineRule="auto"/>
        <w:ind w:firstLine="0"/>
        <w:jc w:val="both"/>
        <w:rPr>
          <w:rStyle w:val="Bodytext3"/>
          <w:sz w:val="22"/>
          <w:szCs w:val="22"/>
          <w:shd w:val="clear" w:color="auto" w:fill="auto"/>
          <w:lang w:val="sr-Latn-RS" w:eastAsia="en-US"/>
        </w:rPr>
      </w:pPr>
    </w:p>
    <w:p w14:paraId="7771B74B" w14:textId="77777777" w:rsidR="00396DFD" w:rsidRPr="00E75889" w:rsidRDefault="00396DFD" w:rsidP="00E75889">
      <w:pPr>
        <w:widowControl w:val="0"/>
        <w:tabs>
          <w:tab w:val="left" w:pos="540"/>
          <w:tab w:val="left" w:pos="569"/>
        </w:tabs>
        <w:rPr>
          <w:b/>
          <w:bCs/>
          <w:sz w:val="22"/>
          <w:szCs w:val="22"/>
          <w:lang w:val="sr-Latn-RS"/>
        </w:rPr>
      </w:pPr>
    </w:p>
    <w:p w14:paraId="6091A3C4" w14:textId="77777777"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 </w:t>
      </w:r>
      <w:r w:rsidR="00480FB1" w:rsidRPr="00E75889">
        <w:rPr>
          <w:b/>
          <w:bCs/>
          <w:sz w:val="22"/>
          <w:szCs w:val="22"/>
          <w:lang w:val="sr-Latn-RS"/>
        </w:rPr>
        <w:tab/>
      </w:r>
      <w:r w:rsidRPr="00E75889">
        <w:rPr>
          <w:b/>
          <w:bCs/>
          <w:sz w:val="22"/>
          <w:szCs w:val="22"/>
          <w:lang w:val="sr-Latn-RS"/>
        </w:rPr>
        <w:t>FARMACEUTSKI PODACI</w:t>
      </w:r>
    </w:p>
    <w:p w14:paraId="4E448938" w14:textId="77777777" w:rsidR="00836B35" w:rsidRPr="00E75889" w:rsidRDefault="00836B35" w:rsidP="00E75889">
      <w:pPr>
        <w:widowControl w:val="0"/>
        <w:tabs>
          <w:tab w:val="left" w:pos="540"/>
          <w:tab w:val="left" w:pos="569"/>
        </w:tabs>
        <w:rPr>
          <w:bCs/>
          <w:sz w:val="22"/>
          <w:szCs w:val="22"/>
          <w:lang w:val="sr-Latn-RS"/>
        </w:rPr>
      </w:pPr>
    </w:p>
    <w:p w14:paraId="3650FC37" w14:textId="77777777"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6.1. </w:t>
      </w:r>
      <w:r w:rsidR="00480FB1" w:rsidRPr="00E75889">
        <w:rPr>
          <w:b/>
          <w:bCs/>
          <w:sz w:val="22"/>
          <w:szCs w:val="22"/>
          <w:lang w:val="sr-Latn-RS"/>
        </w:rPr>
        <w:tab/>
      </w:r>
      <w:r w:rsidRPr="00E75889">
        <w:rPr>
          <w:b/>
          <w:bCs/>
          <w:sz w:val="22"/>
          <w:szCs w:val="22"/>
          <w:lang w:val="sr-Latn-RS"/>
        </w:rPr>
        <w:t>Lista pomoćnih supstanci</w:t>
      </w:r>
      <w:r w:rsidR="002E0135" w:rsidRPr="00E75889">
        <w:rPr>
          <w:b/>
          <w:bCs/>
          <w:sz w:val="22"/>
          <w:szCs w:val="22"/>
          <w:lang w:val="sr-Latn-RS"/>
        </w:rPr>
        <w:t xml:space="preserve"> (ekscipijenasa)</w:t>
      </w:r>
    </w:p>
    <w:p w14:paraId="600011DC" w14:textId="77777777" w:rsidR="00B73A0A" w:rsidRPr="00E75889" w:rsidRDefault="00B73A0A" w:rsidP="00E75889">
      <w:pPr>
        <w:pStyle w:val="Bodytext1"/>
        <w:widowControl w:val="0"/>
        <w:shd w:val="clear" w:color="auto" w:fill="auto"/>
        <w:spacing w:before="0" w:after="0" w:line="240" w:lineRule="auto"/>
        <w:ind w:firstLine="0"/>
        <w:rPr>
          <w:rStyle w:val="Bodytext21"/>
          <w:sz w:val="22"/>
          <w:szCs w:val="22"/>
          <w:lang w:val="sr-Latn-RS" w:eastAsia="en-US"/>
        </w:rPr>
      </w:pPr>
    </w:p>
    <w:p w14:paraId="6F316DF3" w14:textId="35C61887" w:rsidR="00EB75FD" w:rsidRPr="00E75889" w:rsidRDefault="00EB75FD" w:rsidP="001A2125">
      <w:pPr>
        <w:pStyle w:val="Bodytext1"/>
        <w:widowControl w:val="0"/>
        <w:shd w:val="clear" w:color="auto" w:fill="auto"/>
        <w:spacing w:before="0" w:after="0" w:line="240" w:lineRule="auto"/>
        <w:ind w:firstLine="0"/>
        <w:jc w:val="both"/>
        <w:rPr>
          <w:rFonts w:cs="Arial Unicode MS"/>
          <w:sz w:val="22"/>
          <w:szCs w:val="22"/>
          <w:lang w:val="sr-Latn-RS" w:eastAsia="en-US"/>
        </w:rPr>
      </w:pPr>
      <w:r w:rsidRPr="00E75889">
        <w:rPr>
          <w:rStyle w:val="Bodytext21"/>
          <w:sz w:val="22"/>
          <w:szCs w:val="22"/>
          <w:lang w:val="sr-Latn-RS" w:eastAsia="en-US"/>
        </w:rPr>
        <w:t>Sadržaj kapsule</w:t>
      </w:r>
      <w:r w:rsidRPr="001A2125">
        <w:rPr>
          <w:rStyle w:val="Bodytext21"/>
          <w:sz w:val="22"/>
          <w:szCs w:val="22"/>
          <w:u w:val="none"/>
          <w:lang w:val="sr-Latn-RS"/>
        </w:rPr>
        <w:t>:</w:t>
      </w:r>
      <w:r w:rsidR="00BF7B1F" w:rsidRPr="001A2125">
        <w:rPr>
          <w:rStyle w:val="Bodytext21"/>
          <w:sz w:val="22"/>
          <w:szCs w:val="22"/>
          <w:u w:val="none"/>
          <w:lang w:val="sr-Latn-RS"/>
        </w:rPr>
        <w:t xml:space="preserve"> </w:t>
      </w:r>
      <w:r w:rsidRPr="00E75889">
        <w:rPr>
          <w:sz w:val="22"/>
          <w:szCs w:val="22"/>
          <w:lang w:val="sr-Latn-RS" w:eastAsia="en-US"/>
        </w:rPr>
        <w:t>magnezijum stearat, manitol</w:t>
      </w:r>
    </w:p>
    <w:p w14:paraId="5653FA6A" w14:textId="77777777" w:rsidR="00EB75FD" w:rsidRPr="00E75889" w:rsidRDefault="00EB75FD" w:rsidP="001A2125">
      <w:pPr>
        <w:pStyle w:val="Bodytext1"/>
        <w:widowControl w:val="0"/>
        <w:shd w:val="clear" w:color="auto" w:fill="auto"/>
        <w:spacing w:before="0" w:after="0" w:line="240" w:lineRule="auto"/>
        <w:ind w:firstLine="0"/>
        <w:jc w:val="both"/>
        <w:rPr>
          <w:rStyle w:val="Bodytext21"/>
          <w:sz w:val="22"/>
          <w:szCs w:val="22"/>
          <w:lang w:val="sr-Latn-RS" w:eastAsia="en-US"/>
        </w:rPr>
      </w:pPr>
    </w:p>
    <w:p w14:paraId="18655067" w14:textId="3F12AFC8" w:rsidR="00EB75FD" w:rsidRPr="00E75889" w:rsidRDefault="00EB75FD" w:rsidP="001A2125">
      <w:pPr>
        <w:pStyle w:val="Bodytext1"/>
        <w:widowControl w:val="0"/>
        <w:shd w:val="clear" w:color="auto" w:fill="auto"/>
        <w:spacing w:before="0" w:after="0" w:line="240" w:lineRule="auto"/>
        <w:ind w:firstLine="0"/>
        <w:jc w:val="both"/>
        <w:rPr>
          <w:sz w:val="22"/>
          <w:szCs w:val="22"/>
          <w:lang w:val="sr-Latn-RS" w:eastAsia="en-US"/>
        </w:rPr>
      </w:pPr>
      <w:r w:rsidRPr="00E75889">
        <w:rPr>
          <w:rStyle w:val="Bodytext21"/>
          <w:sz w:val="22"/>
          <w:szCs w:val="22"/>
          <w:lang w:val="sr-Latn-RS" w:eastAsia="en-US"/>
        </w:rPr>
        <w:t>Sadržaj kapice i tijela kapsule</w:t>
      </w:r>
      <w:r w:rsidRPr="001A2125">
        <w:rPr>
          <w:rStyle w:val="Bodytext21"/>
          <w:sz w:val="22"/>
          <w:szCs w:val="22"/>
          <w:u w:val="none"/>
          <w:lang w:val="sr-Latn-RS"/>
        </w:rPr>
        <w:t>:</w:t>
      </w:r>
      <w:r w:rsidR="00BF7B1F">
        <w:rPr>
          <w:sz w:val="22"/>
          <w:szCs w:val="22"/>
          <w:lang w:val="sr-Latn-RS" w:eastAsia="en-US"/>
        </w:rPr>
        <w:t xml:space="preserve"> </w:t>
      </w:r>
      <w:r w:rsidRPr="00E75889">
        <w:rPr>
          <w:sz w:val="22"/>
          <w:szCs w:val="22"/>
          <w:lang w:val="sr-Latn-RS" w:eastAsia="en-US"/>
        </w:rPr>
        <w:t>gvožđe oksid, žuti (E172), titan dioksid (E171), želatin</w:t>
      </w:r>
    </w:p>
    <w:p w14:paraId="01CA379E" w14:textId="77777777" w:rsidR="00EB75FD" w:rsidRPr="00E75889" w:rsidRDefault="00EB75FD" w:rsidP="001A2125">
      <w:pPr>
        <w:pStyle w:val="Header"/>
        <w:widowControl w:val="0"/>
        <w:tabs>
          <w:tab w:val="left" w:pos="284"/>
        </w:tabs>
        <w:jc w:val="both"/>
        <w:rPr>
          <w:rStyle w:val="Bodytext21"/>
          <w:sz w:val="22"/>
          <w:szCs w:val="22"/>
          <w:lang w:val="sr-Latn-RS" w:eastAsia="sr-Latn-ME"/>
        </w:rPr>
      </w:pPr>
    </w:p>
    <w:p w14:paraId="1A58A2CB" w14:textId="4AEE71B5" w:rsidR="00EB75FD" w:rsidRPr="00E75889" w:rsidRDefault="00EB75FD">
      <w:pPr>
        <w:pStyle w:val="Header"/>
        <w:widowControl w:val="0"/>
        <w:tabs>
          <w:tab w:val="left" w:pos="284"/>
        </w:tabs>
        <w:jc w:val="both"/>
        <w:rPr>
          <w:b/>
          <w:bCs/>
          <w:sz w:val="22"/>
          <w:szCs w:val="22"/>
          <w:lang w:val="sr-Latn-RS"/>
        </w:rPr>
      </w:pPr>
      <w:r w:rsidRPr="001A2125">
        <w:rPr>
          <w:rStyle w:val="Bodytext21"/>
          <w:i/>
          <w:sz w:val="22"/>
          <w:szCs w:val="22"/>
          <w:lang w:val="sr-Latn-RS"/>
        </w:rPr>
        <w:t>Sastav mastila za natpis na kapsuli</w:t>
      </w:r>
      <w:r w:rsidRPr="001A2125">
        <w:rPr>
          <w:rStyle w:val="Bodytext21"/>
          <w:sz w:val="22"/>
          <w:szCs w:val="22"/>
          <w:u w:val="none"/>
          <w:lang w:val="sr-Latn-RS"/>
        </w:rPr>
        <w:t xml:space="preserve">: </w:t>
      </w:r>
      <w:r w:rsidRPr="00E75889">
        <w:rPr>
          <w:sz w:val="22"/>
          <w:szCs w:val="22"/>
          <w:lang w:val="sr-Latn-RS"/>
        </w:rPr>
        <w:t xml:space="preserve">šelak (E904), </w:t>
      </w:r>
      <w:r w:rsidR="00B73A0A" w:rsidRPr="00E75889">
        <w:rPr>
          <w:sz w:val="22"/>
          <w:szCs w:val="22"/>
          <w:lang w:val="sr-Latn-RS"/>
        </w:rPr>
        <w:t>etanol</w:t>
      </w:r>
      <w:r w:rsidRPr="00E75889">
        <w:rPr>
          <w:sz w:val="22"/>
          <w:szCs w:val="22"/>
          <w:lang w:val="sr-Latn-RS"/>
        </w:rPr>
        <w:t>, bezvodni, izopropil alkohol, butil alkohol, propilen glikol, voda</w:t>
      </w:r>
      <w:r w:rsidR="00B73A0A" w:rsidRPr="00E75889">
        <w:rPr>
          <w:sz w:val="22"/>
          <w:szCs w:val="22"/>
          <w:lang w:val="sr-Latn-RS"/>
        </w:rPr>
        <w:t>, prečišćena</w:t>
      </w:r>
      <w:r w:rsidRPr="00E75889">
        <w:rPr>
          <w:sz w:val="22"/>
          <w:szCs w:val="22"/>
          <w:lang w:val="sr-Latn-RS"/>
        </w:rPr>
        <w:t xml:space="preserve">, </w:t>
      </w:r>
      <w:r w:rsidR="00B73A0A" w:rsidRPr="00E75889">
        <w:rPr>
          <w:sz w:val="22"/>
          <w:szCs w:val="22"/>
          <w:lang w:val="sr-Latn-RS"/>
        </w:rPr>
        <w:t xml:space="preserve">koncentrovani </w:t>
      </w:r>
      <w:r w:rsidRPr="00E75889">
        <w:rPr>
          <w:sz w:val="22"/>
          <w:szCs w:val="22"/>
          <w:lang w:val="sr-Latn-RS"/>
        </w:rPr>
        <w:t>rastvor amonijaka, kalijum hidroksid, gvožđe oksid, crni (E172), gvožđe oksid, žuti (E172), titan dioksid (E171), dimetikon</w:t>
      </w:r>
    </w:p>
    <w:p w14:paraId="5BE89FC6" w14:textId="77777777" w:rsidR="0072020E" w:rsidRPr="00E75889" w:rsidRDefault="0072020E" w:rsidP="00E75889">
      <w:pPr>
        <w:widowControl w:val="0"/>
        <w:tabs>
          <w:tab w:val="left" w:pos="540"/>
          <w:tab w:val="left" w:pos="569"/>
        </w:tabs>
        <w:rPr>
          <w:bCs/>
          <w:sz w:val="22"/>
          <w:szCs w:val="22"/>
          <w:lang w:val="sr-Latn-RS"/>
        </w:rPr>
      </w:pPr>
    </w:p>
    <w:p w14:paraId="064647F3" w14:textId="77777777"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6.2. </w:t>
      </w:r>
      <w:r w:rsidR="00480FB1" w:rsidRPr="00E75889">
        <w:rPr>
          <w:b/>
          <w:bCs/>
          <w:sz w:val="22"/>
          <w:szCs w:val="22"/>
          <w:lang w:val="sr-Latn-RS"/>
        </w:rPr>
        <w:tab/>
      </w:r>
      <w:r w:rsidRPr="00E75889">
        <w:rPr>
          <w:b/>
          <w:bCs/>
          <w:sz w:val="22"/>
          <w:szCs w:val="22"/>
          <w:lang w:val="sr-Latn-RS"/>
        </w:rPr>
        <w:t>Inkompatibilnost</w:t>
      </w:r>
      <w:r w:rsidR="002846DB" w:rsidRPr="00E75889">
        <w:rPr>
          <w:b/>
          <w:bCs/>
          <w:sz w:val="22"/>
          <w:szCs w:val="22"/>
          <w:lang w:val="sr-Latn-RS"/>
        </w:rPr>
        <w:t>i</w:t>
      </w:r>
    </w:p>
    <w:p w14:paraId="1324E7B9" w14:textId="77777777" w:rsidR="00C866D7" w:rsidRPr="00E75889" w:rsidRDefault="00C866D7" w:rsidP="00E75889">
      <w:pPr>
        <w:widowControl w:val="0"/>
        <w:tabs>
          <w:tab w:val="left" w:pos="540"/>
          <w:tab w:val="left" w:pos="569"/>
        </w:tabs>
        <w:rPr>
          <w:sz w:val="22"/>
          <w:szCs w:val="22"/>
          <w:lang w:val="sr-Latn-RS"/>
        </w:rPr>
      </w:pPr>
    </w:p>
    <w:p w14:paraId="5142E0A9" w14:textId="3157DF79" w:rsidR="0072020E" w:rsidRPr="00E75889" w:rsidRDefault="00EB75FD" w:rsidP="001A2125">
      <w:pPr>
        <w:widowControl w:val="0"/>
        <w:tabs>
          <w:tab w:val="left" w:pos="540"/>
          <w:tab w:val="left" w:pos="569"/>
        </w:tabs>
        <w:jc w:val="both"/>
        <w:rPr>
          <w:sz w:val="22"/>
          <w:szCs w:val="22"/>
          <w:lang w:val="sr-Latn-RS"/>
        </w:rPr>
      </w:pPr>
      <w:r w:rsidRPr="00E75889">
        <w:rPr>
          <w:sz w:val="22"/>
          <w:szCs w:val="22"/>
          <w:lang w:val="sr-Latn-RS"/>
        </w:rPr>
        <w:t>Nije primjenljivo.</w:t>
      </w:r>
    </w:p>
    <w:p w14:paraId="79F5DC91" w14:textId="77777777" w:rsidR="00EB75FD" w:rsidRPr="00E75889" w:rsidRDefault="00EB75FD" w:rsidP="00E75889">
      <w:pPr>
        <w:widowControl w:val="0"/>
        <w:tabs>
          <w:tab w:val="left" w:pos="540"/>
          <w:tab w:val="left" w:pos="569"/>
        </w:tabs>
        <w:rPr>
          <w:bCs/>
          <w:sz w:val="22"/>
          <w:szCs w:val="22"/>
          <w:lang w:val="sr-Latn-RS"/>
        </w:rPr>
      </w:pPr>
    </w:p>
    <w:p w14:paraId="0DB193C1" w14:textId="77777777"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6.3.</w:t>
      </w:r>
      <w:r w:rsidR="00C05DF8" w:rsidRPr="00E75889">
        <w:rPr>
          <w:b/>
          <w:bCs/>
          <w:sz w:val="22"/>
          <w:szCs w:val="22"/>
          <w:lang w:val="sr-Latn-RS"/>
        </w:rPr>
        <w:t xml:space="preserve"> </w:t>
      </w:r>
      <w:r w:rsidR="00480FB1" w:rsidRPr="00E75889">
        <w:rPr>
          <w:b/>
          <w:bCs/>
          <w:sz w:val="22"/>
          <w:szCs w:val="22"/>
          <w:lang w:val="sr-Latn-RS"/>
        </w:rPr>
        <w:tab/>
      </w:r>
      <w:r w:rsidRPr="00E75889">
        <w:rPr>
          <w:b/>
          <w:bCs/>
          <w:sz w:val="22"/>
          <w:szCs w:val="22"/>
          <w:lang w:val="sr-Latn-RS"/>
        </w:rPr>
        <w:t>Rok upotrebe</w:t>
      </w:r>
    </w:p>
    <w:p w14:paraId="1D9F2D1C" w14:textId="77777777" w:rsidR="00EB75FD" w:rsidRPr="00E75889" w:rsidRDefault="00EB75FD" w:rsidP="00E75889">
      <w:pPr>
        <w:widowControl w:val="0"/>
        <w:tabs>
          <w:tab w:val="left" w:pos="540"/>
          <w:tab w:val="left" w:pos="569"/>
        </w:tabs>
        <w:rPr>
          <w:b/>
          <w:bCs/>
          <w:sz w:val="22"/>
          <w:szCs w:val="22"/>
          <w:lang w:val="sr-Latn-RS"/>
        </w:rPr>
      </w:pPr>
    </w:p>
    <w:p w14:paraId="707E1D37" w14:textId="2DB2A528" w:rsidR="0072020E" w:rsidRPr="00E75889" w:rsidRDefault="00EB75FD" w:rsidP="001A2125">
      <w:pPr>
        <w:widowControl w:val="0"/>
        <w:tabs>
          <w:tab w:val="left" w:pos="540"/>
          <w:tab w:val="left" w:pos="569"/>
        </w:tabs>
        <w:jc w:val="both"/>
        <w:rPr>
          <w:bCs/>
          <w:sz w:val="22"/>
          <w:szCs w:val="22"/>
          <w:lang w:val="sr-Latn-RS"/>
        </w:rPr>
      </w:pPr>
      <w:r w:rsidRPr="00E75889">
        <w:rPr>
          <w:bCs/>
          <w:sz w:val="22"/>
          <w:szCs w:val="22"/>
          <w:lang w:val="sr-Latn-RS"/>
        </w:rPr>
        <w:t>2 godine.</w:t>
      </w:r>
    </w:p>
    <w:p w14:paraId="4B211BFC" w14:textId="77777777" w:rsidR="00EB75FD" w:rsidRPr="00E75889" w:rsidRDefault="00EB75FD" w:rsidP="00E75889">
      <w:pPr>
        <w:widowControl w:val="0"/>
        <w:tabs>
          <w:tab w:val="left" w:pos="540"/>
          <w:tab w:val="left" w:pos="569"/>
        </w:tabs>
        <w:rPr>
          <w:bCs/>
          <w:sz w:val="22"/>
          <w:szCs w:val="22"/>
          <w:lang w:val="sr-Latn-RS"/>
        </w:rPr>
      </w:pPr>
    </w:p>
    <w:p w14:paraId="3133B979" w14:textId="77777777"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6.4. </w:t>
      </w:r>
      <w:r w:rsidR="00480FB1" w:rsidRPr="00E75889">
        <w:rPr>
          <w:b/>
          <w:bCs/>
          <w:sz w:val="22"/>
          <w:szCs w:val="22"/>
          <w:lang w:val="sr-Latn-RS"/>
        </w:rPr>
        <w:tab/>
      </w:r>
      <w:r w:rsidRPr="00E75889">
        <w:rPr>
          <w:b/>
          <w:bCs/>
          <w:sz w:val="22"/>
          <w:szCs w:val="22"/>
          <w:lang w:val="sr-Latn-RS"/>
        </w:rPr>
        <w:t>Posebne mjere upozorenja pri čuvanju</w:t>
      </w:r>
      <w:r w:rsidR="00F8570A" w:rsidRPr="00E75889">
        <w:rPr>
          <w:b/>
          <w:bCs/>
          <w:sz w:val="22"/>
          <w:szCs w:val="22"/>
          <w:lang w:val="sr-Latn-RS"/>
        </w:rPr>
        <w:t xml:space="preserve"> lijeka</w:t>
      </w:r>
    </w:p>
    <w:p w14:paraId="7532A638" w14:textId="77777777" w:rsidR="00EB75FD" w:rsidRPr="00E75889" w:rsidRDefault="00EB75FD" w:rsidP="00E75889">
      <w:pPr>
        <w:widowControl w:val="0"/>
        <w:tabs>
          <w:tab w:val="left" w:pos="540"/>
          <w:tab w:val="left" w:pos="569"/>
        </w:tabs>
        <w:rPr>
          <w:b/>
          <w:bCs/>
          <w:sz w:val="22"/>
          <w:szCs w:val="22"/>
          <w:lang w:val="sr-Latn-RS"/>
        </w:rPr>
      </w:pPr>
    </w:p>
    <w:p w14:paraId="6A8012C9" w14:textId="77777777" w:rsidR="00EB75FD" w:rsidRPr="00E75889" w:rsidRDefault="00EB75FD" w:rsidP="001A2125">
      <w:pPr>
        <w:widowControl w:val="0"/>
        <w:shd w:val="clear" w:color="auto" w:fill="FFFFFF"/>
        <w:jc w:val="both"/>
        <w:rPr>
          <w:sz w:val="22"/>
          <w:szCs w:val="22"/>
          <w:lang w:val="sr-Latn-RS"/>
        </w:rPr>
      </w:pPr>
      <w:r w:rsidRPr="00E75889">
        <w:rPr>
          <w:color w:val="000000"/>
          <w:spacing w:val="2"/>
          <w:sz w:val="22"/>
          <w:szCs w:val="22"/>
          <w:lang w:val="sr-Latn-RS"/>
        </w:rPr>
        <w:t>Čuvati van domašaja i vidokruga djece.</w:t>
      </w:r>
    </w:p>
    <w:p w14:paraId="4E5D9909" w14:textId="77777777" w:rsidR="00EB75FD" w:rsidRPr="00E75889" w:rsidRDefault="00EB75FD" w:rsidP="001A2125">
      <w:pPr>
        <w:pStyle w:val="Header"/>
        <w:widowControl w:val="0"/>
        <w:tabs>
          <w:tab w:val="left" w:pos="284"/>
        </w:tabs>
        <w:jc w:val="both"/>
        <w:rPr>
          <w:sz w:val="22"/>
          <w:szCs w:val="22"/>
          <w:lang w:val="sr-Latn-RS"/>
        </w:rPr>
      </w:pPr>
      <w:r w:rsidRPr="00E75889">
        <w:rPr>
          <w:sz w:val="22"/>
          <w:szCs w:val="22"/>
          <w:lang w:val="sr-Latn-RS"/>
        </w:rPr>
        <w:t xml:space="preserve">Čuvati na temperaturi do 25°C. </w:t>
      </w:r>
    </w:p>
    <w:p w14:paraId="43F9DB0A" w14:textId="2BB77EC1" w:rsidR="009109C6" w:rsidRPr="00E75889" w:rsidRDefault="00EB75FD" w:rsidP="001A2125">
      <w:pPr>
        <w:widowControl w:val="0"/>
        <w:tabs>
          <w:tab w:val="left" w:pos="540"/>
          <w:tab w:val="left" w:pos="569"/>
        </w:tabs>
        <w:jc w:val="both"/>
        <w:rPr>
          <w:b/>
          <w:bCs/>
          <w:sz w:val="22"/>
          <w:szCs w:val="22"/>
          <w:lang w:val="sr-Latn-RS"/>
        </w:rPr>
      </w:pPr>
      <w:r w:rsidRPr="00E75889">
        <w:rPr>
          <w:sz w:val="22"/>
          <w:szCs w:val="22"/>
          <w:lang w:val="sr-Latn-RS"/>
        </w:rPr>
        <w:t>Čuvati u originalnom pakovanju radi zaštite od vlage.</w:t>
      </w:r>
    </w:p>
    <w:p w14:paraId="67DAD19B" w14:textId="77777777" w:rsidR="009109C6" w:rsidRPr="00E75889" w:rsidRDefault="009109C6" w:rsidP="00E75889">
      <w:pPr>
        <w:widowControl w:val="0"/>
        <w:tabs>
          <w:tab w:val="left" w:pos="540"/>
          <w:tab w:val="left" w:pos="569"/>
        </w:tabs>
        <w:rPr>
          <w:b/>
          <w:bCs/>
          <w:sz w:val="22"/>
          <w:szCs w:val="22"/>
          <w:lang w:val="sr-Latn-RS"/>
        </w:rPr>
      </w:pPr>
    </w:p>
    <w:p w14:paraId="6444F1C8" w14:textId="32B5145C"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6.5. </w:t>
      </w:r>
      <w:r w:rsidR="00480FB1" w:rsidRPr="00E75889">
        <w:rPr>
          <w:b/>
          <w:bCs/>
          <w:sz w:val="22"/>
          <w:szCs w:val="22"/>
          <w:lang w:val="sr-Latn-RS"/>
        </w:rPr>
        <w:tab/>
      </w:r>
      <w:r w:rsidR="002846DB" w:rsidRPr="00E75889">
        <w:rPr>
          <w:b/>
          <w:bCs/>
          <w:sz w:val="22"/>
          <w:szCs w:val="22"/>
          <w:lang w:val="sr-Latn-RS"/>
        </w:rPr>
        <w:t xml:space="preserve">Vrsta i sadržaj </w:t>
      </w:r>
      <w:r w:rsidR="00F8570A" w:rsidRPr="00E75889">
        <w:rPr>
          <w:b/>
          <w:bCs/>
          <w:sz w:val="22"/>
          <w:szCs w:val="22"/>
          <w:lang w:val="sr-Latn-RS"/>
        </w:rPr>
        <w:t>pakovanja</w:t>
      </w:r>
      <w:r w:rsidR="00C06864" w:rsidRPr="00E75889">
        <w:rPr>
          <w:b/>
          <w:bCs/>
          <w:sz w:val="22"/>
          <w:szCs w:val="22"/>
          <w:lang w:val="sr-Latn-RS"/>
        </w:rPr>
        <w:t xml:space="preserve"> </w:t>
      </w:r>
    </w:p>
    <w:p w14:paraId="347817FB" w14:textId="77777777" w:rsidR="00EB75FD" w:rsidRPr="00E75889" w:rsidRDefault="00EB75FD" w:rsidP="00E75889">
      <w:pPr>
        <w:pStyle w:val="Bodytext1"/>
        <w:widowControl w:val="0"/>
        <w:shd w:val="clear" w:color="auto" w:fill="auto"/>
        <w:spacing w:before="0" w:after="0" w:line="240" w:lineRule="auto"/>
        <w:ind w:firstLine="0"/>
        <w:rPr>
          <w:sz w:val="22"/>
          <w:szCs w:val="22"/>
          <w:lang w:val="sr-Latn-RS" w:eastAsia="en-US"/>
        </w:rPr>
      </w:pPr>
    </w:p>
    <w:p w14:paraId="45142318" w14:textId="64272D96" w:rsidR="00B73A0A" w:rsidRPr="00E75889" w:rsidRDefault="00B73A0A" w:rsidP="001A2125">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 xml:space="preserve">Unutrašnje pakovanje je </w:t>
      </w:r>
      <w:r w:rsidR="00EB75FD" w:rsidRPr="00E75889">
        <w:rPr>
          <w:sz w:val="22"/>
          <w:szCs w:val="22"/>
          <w:lang w:val="sr-Latn-RS" w:eastAsia="en-US"/>
        </w:rPr>
        <w:t xml:space="preserve">PVC/PVDC/aluminijum blister sa </w:t>
      </w:r>
      <w:r w:rsidRPr="00E75889">
        <w:rPr>
          <w:sz w:val="22"/>
          <w:szCs w:val="22"/>
          <w:lang w:val="sr-Latn-RS" w:eastAsia="en-US"/>
        </w:rPr>
        <w:t>14</w:t>
      </w:r>
      <w:r w:rsidR="00EB75FD" w:rsidRPr="00E75889">
        <w:rPr>
          <w:sz w:val="22"/>
          <w:szCs w:val="22"/>
          <w:lang w:val="sr-Latn-RS" w:eastAsia="en-US"/>
        </w:rPr>
        <w:t xml:space="preserve"> kapsula, tvrdih</w:t>
      </w:r>
      <w:r w:rsidRPr="00E75889">
        <w:rPr>
          <w:sz w:val="22"/>
          <w:szCs w:val="22"/>
          <w:lang w:val="sr-Latn-RS" w:eastAsia="en-US"/>
        </w:rPr>
        <w:t>.</w:t>
      </w:r>
    </w:p>
    <w:p w14:paraId="3532B2F6" w14:textId="5CE8A7EC" w:rsidR="00EB75FD" w:rsidRPr="00E75889" w:rsidRDefault="00B73A0A" w:rsidP="001A2125">
      <w:pPr>
        <w:pStyle w:val="Bodytext1"/>
        <w:widowControl w:val="0"/>
        <w:shd w:val="clear" w:color="auto" w:fill="auto"/>
        <w:spacing w:before="0" w:after="0" w:line="240" w:lineRule="auto"/>
        <w:ind w:firstLine="0"/>
        <w:jc w:val="both"/>
        <w:rPr>
          <w:sz w:val="22"/>
          <w:szCs w:val="22"/>
          <w:lang w:val="sr-Latn-RS" w:eastAsia="en-US"/>
        </w:rPr>
      </w:pPr>
      <w:r w:rsidRPr="00E75889">
        <w:rPr>
          <w:sz w:val="22"/>
          <w:szCs w:val="22"/>
          <w:lang w:val="sr-Latn-RS" w:eastAsia="en-US"/>
        </w:rPr>
        <w:t>Spoljašnje pakovanje je složiva kartonska kutija koja sadrži 2 blistera sa po 14 kapsula, tvrdih</w:t>
      </w:r>
      <w:r w:rsidR="00EB75FD" w:rsidRPr="00E75889">
        <w:rPr>
          <w:sz w:val="22"/>
          <w:szCs w:val="22"/>
          <w:lang w:val="sr-Latn-RS" w:eastAsia="en-US"/>
        </w:rPr>
        <w:t xml:space="preserve"> (</w:t>
      </w:r>
      <w:r w:rsidRPr="00E75889">
        <w:rPr>
          <w:sz w:val="22"/>
          <w:szCs w:val="22"/>
          <w:lang w:val="sr-Latn-RS" w:eastAsia="en-US"/>
        </w:rPr>
        <w:t>ukupno 28 kapsula, tvrdih</w:t>
      </w:r>
      <w:r w:rsidR="00EB75FD" w:rsidRPr="00E75889">
        <w:rPr>
          <w:sz w:val="22"/>
          <w:szCs w:val="22"/>
          <w:lang w:val="sr-Latn-RS" w:eastAsia="en-US"/>
        </w:rPr>
        <w:t>)</w:t>
      </w:r>
      <w:r w:rsidRPr="00E75889">
        <w:rPr>
          <w:sz w:val="22"/>
          <w:szCs w:val="22"/>
          <w:lang w:val="sr-Latn-RS" w:eastAsia="en-US"/>
        </w:rPr>
        <w:t xml:space="preserve"> i Uputstvo za lijek</w:t>
      </w:r>
      <w:r w:rsidR="00EB75FD" w:rsidRPr="00E75889">
        <w:rPr>
          <w:sz w:val="22"/>
          <w:szCs w:val="22"/>
          <w:lang w:val="sr-Latn-RS" w:eastAsia="en-US"/>
        </w:rPr>
        <w:t>.</w:t>
      </w:r>
      <w:r w:rsidR="00BF42F0" w:rsidRPr="00E75889">
        <w:rPr>
          <w:sz w:val="22"/>
          <w:szCs w:val="22"/>
          <w:lang w:val="sr-Latn-RS" w:eastAsia="en-US"/>
        </w:rPr>
        <w:t xml:space="preserve"> </w:t>
      </w:r>
    </w:p>
    <w:p w14:paraId="43FC8269" w14:textId="77777777" w:rsidR="0072020E" w:rsidRPr="00E75889" w:rsidRDefault="0072020E" w:rsidP="00E75889">
      <w:pPr>
        <w:widowControl w:val="0"/>
        <w:tabs>
          <w:tab w:val="left" w:pos="540"/>
          <w:tab w:val="left" w:pos="569"/>
        </w:tabs>
        <w:rPr>
          <w:bCs/>
          <w:sz w:val="22"/>
          <w:szCs w:val="22"/>
          <w:lang w:val="sr-Latn-RS"/>
        </w:rPr>
      </w:pPr>
    </w:p>
    <w:p w14:paraId="4923E08B" w14:textId="77777777" w:rsidR="002846DB"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6.6. </w:t>
      </w:r>
      <w:r w:rsidR="00480FB1" w:rsidRPr="00E75889">
        <w:rPr>
          <w:b/>
          <w:bCs/>
          <w:sz w:val="22"/>
          <w:szCs w:val="22"/>
          <w:lang w:val="sr-Latn-RS"/>
        </w:rPr>
        <w:tab/>
      </w:r>
      <w:r w:rsidRPr="00E75889">
        <w:rPr>
          <w:b/>
          <w:bCs/>
          <w:color w:val="000000"/>
          <w:sz w:val="22"/>
          <w:szCs w:val="22"/>
          <w:lang w:val="sr-Latn-RS"/>
        </w:rPr>
        <w:t>Posebne mjere opreza pri odlaganju materijala koji treba odbaciti nakon primjene lijeka</w:t>
      </w:r>
      <w:r w:rsidRPr="00E75889">
        <w:rPr>
          <w:b/>
          <w:bCs/>
          <w:sz w:val="22"/>
          <w:szCs w:val="22"/>
          <w:lang w:val="sr-Latn-RS"/>
        </w:rPr>
        <w:t xml:space="preserve"> </w:t>
      </w:r>
      <w:r w:rsidR="00310F03" w:rsidRPr="00E75889">
        <w:rPr>
          <w:b/>
          <w:bCs/>
          <w:sz w:val="22"/>
          <w:szCs w:val="22"/>
          <w:lang w:val="sr-Latn-RS"/>
        </w:rPr>
        <w:t>(i druga uputs</w:t>
      </w:r>
      <w:r w:rsidR="004109FA" w:rsidRPr="00E75889">
        <w:rPr>
          <w:b/>
          <w:bCs/>
          <w:sz w:val="22"/>
          <w:szCs w:val="22"/>
          <w:lang w:val="sr-Latn-RS"/>
        </w:rPr>
        <w:t>t</w:t>
      </w:r>
      <w:r w:rsidR="00310F03" w:rsidRPr="00E75889">
        <w:rPr>
          <w:b/>
          <w:bCs/>
          <w:sz w:val="22"/>
          <w:szCs w:val="22"/>
          <w:lang w:val="sr-Latn-RS"/>
        </w:rPr>
        <w:t xml:space="preserve">va za rukovanje lijekom) </w:t>
      </w:r>
    </w:p>
    <w:p w14:paraId="7535561B" w14:textId="77777777" w:rsidR="00EB75FD" w:rsidRPr="00E75889" w:rsidRDefault="00EB75FD" w:rsidP="00E75889">
      <w:pPr>
        <w:widowControl w:val="0"/>
        <w:tabs>
          <w:tab w:val="left" w:pos="540"/>
          <w:tab w:val="left" w:pos="569"/>
        </w:tabs>
        <w:rPr>
          <w:sz w:val="22"/>
          <w:lang w:val="sr-Latn-RS"/>
        </w:rPr>
      </w:pPr>
    </w:p>
    <w:p w14:paraId="006A0BA4" w14:textId="7C3E478B" w:rsidR="00B66A70" w:rsidRPr="00E75889" w:rsidRDefault="00EB75FD" w:rsidP="001A2125">
      <w:pPr>
        <w:widowControl w:val="0"/>
        <w:tabs>
          <w:tab w:val="left" w:pos="540"/>
          <w:tab w:val="left" w:pos="569"/>
        </w:tabs>
        <w:jc w:val="both"/>
        <w:rPr>
          <w:b/>
          <w:bCs/>
          <w:sz w:val="22"/>
          <w:szCs w:val="22"/>
          <w:lang w:val="sr-Latn-RS"/>
        </w:rPr>
      </w:pPr>
      <w:r w:rsidRPr="00E75889">
        <w:rPr>
          <w:sz w:val="22"/>
          <w:lang w:val="sr-Latn-RS"/>
        </w:rPr>
        <w:t>Neupotr</w:t>
      </w:r>
      <w:r w:rsidR="0030440F" w:rsidRPr="00E75889">
        <w:rPr>
          <w:sz w:val="22"/>
          <w:lang w:val="sr-Latn-RS"/>
        </w:rPr>
        <w:t>ij</w:t>
      </w:r>
      <w:r w:rsidRPr="00E75889">
        <w:rPr>
          <w:sz w:val="22"/>
          <w:lang w:val="sr-Latn-RS"/>
        </w:rPr>
        <w:t>ebljeni lijek se uništava u skladu sa važećim propisima.</w:t>
      </w:r>
    </w:p>
    <w:p w14:paraId="7F4D4F91" w14:textId="77777777" w:rsidR="0072020E" w:rsidRPr="00E75889" w:rsidRDefault="0072020E" w:rsidP="00E75889">
      <w:pPr>
        <w:widowControl w:val="0"/>
        <w:tabs>
          <w:tab w:val="left" w:pos="540"/>
          <w:tab w:val="left" w:pos="569"/>
        </w:tabs>
        <w:rPr>
          <w:bCs/>
          <w:sz w:val="22"/>
          <w:szCs w:val="22"/>
          <w:lang w:val="sr-Latn-RS"/>
        </w:rPr>
      </w:pPr>
    </w:p>
    <w:p w14:paraId="458192CD" w14:textId="77777777" w:rsidR="009F3D1C" w:rsidRPr="00E75889" w:rsidRDefault="009F3D1C" w:rsidP="00E75889">
      <w:pPr>
        <w:widowControl w:val="0"/>
        <w:tabs>
          <w:tab w:val="left" w:pos="540"/>
          <w:tab w:val="left" w:pos="569"/>
        </w:tabs>
        <w:rPr>
          <w:b/>
          <w:bCs/>
          <w:sz w:val="22"/>
          <w:szCs w:val="22"/>
          <w:lang w:val="sr-Latn-RS"/>
        </w:rPr>
      </w:pPr>
    </w:p>
    <w:p w14:paraId="53F26855" w14:textId="7114C975" w:rsidR="00F8570A"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7. </w:t>
      </w:r>
      <w:r w:rsidR="00480FB1" w:rsidRPr="00E75889">
        <w:rPr>
          <w:b/>
          <w:bCs/>
          <w:sz w:val="22"/>
          <w:szCs w:val="22"/>
          <w:lang w:val="sr-Latn-RS"/>
        </w:rPr>
        <w:tab/>
      </w:r>
      <w:r w:rsidRPr="00E75889">
        <w:rPr>
          <w:b/>
          <w:bCs/>
          <w:sz w:val="22"/>
          <w:szCs w:val="22"/>
          <w:lang w:val="sr-Latn-RS"/>
        </w:rPr>
        <w:t>NOSILAC DOZVOLE</w:t>
      </w:r>
      <w:r w:rsidR="00483928" w:rsidRPr="00E75889">
        <w:rPr>
          <w:b/>
          <w:bCs/>
          <w:sz w:val="22"/>
          <w:szCs w:val="22"/>
          <w:lang w:val="sr-Latn-RS"/>
        </w:rPr>
        <w:t xml:space="preserve"> </w:t>
      </w:r>
    </w:p>
    <w:p w14:paraId="40511C50" w14:textId="77777777" w:rsidR="00EB75FD" w:rsidRPr="00E75889" w:rsidRDefault="00EB75FD" w:rsidP="00E75889">
      <w:pPr>
        <w:pStyle w:val="Header"/>
        <w:widowControl w:val="0"/>
        <w:rPr>
          <w:sz w:val="22"/>
          <w:szCs w:val="22"/>
          <w:lang w:val="sr-Latn-RS"/>
        </w:rPr>
      </w:pPr>
    </w:p>
    <w:p w14:paraId="7B632844" w14:textId="02B803BB" w:rsidR="00EB75FD" w:rsidRPr="00E75889" w:rsidRDefault="00EB75FD" w:rsidP="001A2125">
      <w:pPr>
        <w:pStyle w:val="Header"/>
        <w:widowControl w:val="0"/>
        <w:jc w:val="both"/>
        <w:rPr>
          <w:sz w:val="22"/>
          <w:szCs w:val="22"/>
          <w:lang w:val="sr-Latn-RS"/>
        </w:rPr>
      </w:pPr>
      <w:r w:rsidRPr="00E75889">
        <w:rPr>
          <w:sz w:val="22"/>
          <w:szCs w:val="22"/>
          <w:lang w:val="sr-Latn-RS"/>
        </w:rPr>
        <w:t>“Novartis Pharma Services AG” dio stranog društva, Podgorica</w:t>
      </w:r>
    </w:p>
    <w:p w14:paraId="15997A72" w14:textId="4AE0B769" w:rsidR="00C61BE0" w:rsidRDefault="00EB75FD" w:rsidP="001A2125">
      <w:pPr>
        <w:widowControl w:val="0"/>
        <w:tabs>
          <w:tab w:val="left" w:pos="540"/>
          <w:tab w:val="left" w:pos="569"/>
        </w:tabs>
        <w:jc w:val="both"/>
        <w:rPr>
          <w:sz w:val="22"/>
          <w:szCs w:val="22"/>
          <w:lang w:val="sr-Latn-RS"/>
        </w:rPr>
      </w:pPr>
      <w:r w:rsidRPr="00E75889">
        <w:rPr>
          <w:sz w:val="22"/>
          <w:szCs w:val="22"/>
          <w:lang w:val="sr-Latn-RS"/>
        </w:rPr>
        <w:lastRenderedPageBreak/>
        <w:t>Ul. Svetlane Kane Radević 3, Podgorica</w:t>
      </w:r>
      <w:r w:rsidR="009351A6" w:rsidRPr="00E75889">
        <w:rPr>
          <w:sz w:val="22"/>
          <w:szCs w:val="22"/>
          <w:lang w:val="sr-Latn-RS"/>
        </w:rPr>
        <w:t>, Crna Gora</w:t>
      </w:r>
    </w:p>
    <w:p w14:paraId="29E90718" w14:textId="637BD541" w:rsidR="00E75889" w:rsidRDefault="00E75889" w:rsidP="00E75889">
      <w:pPr>
        <w:widowControl w:val="0"/>
        <w:tabs>
          <w:tab w:val="left" w:pos="540"/>
          <w:tab w:val="left" w:pos="569"/>
        </w:tabs>
        <w:rPr>
          <w:sz w:val="22"/>
          <w:szCs w:val="22"/>
          <w:lang w:val="sr-Latn-RS"/>
        </w:rPr>
      </w:pPr>
    </w:p>
    <w:p w14:paraId="20B106FE" w14:textId="77777777" w:rsidR="00E75889" w:rsidRPr="00E75889" w:rsidRDefault="00E75889" w:rsidP="00E75889">
      <w:pPr>
        <w:widowControl w:val="0"/>
        <w:tabs>
          <w:tab w:val="left" w:pos="540"/>
          <w:tab w:val="left" w:pos="569"/>
        </w:tabs>
        <w:rPr>
          <w:bCs/>
          <w:sz w:val="22"/>
          <w:szCs w:val="22"/>
          <w:lang w:val="sr-Latn-RS"/>
        </w:rPr>
      </w:pPr>
    </w:p>
    <w:p w14:paraId="2B3ACEE4" w14:textId="1070EBD3"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8. </w:t>
      </w:r>
      <w:r w:rsidR="00480FB1" w:rsidRPr="00E75889">
        <w:rPr>
          <w:b/>
          <w:bCs/>
          <w:sz w:val="22"/>
          <w:szCs w:val="22"/>
          <w:lang w:val="sr-Latn-RS"/>
        </w:rPr>
        <w:tab/>
      </w:r>
      <w:r w:rsidRPr="00E75889">
        <w:rPr>
          <w:b/>
          <w:bCs/>
          <w:sz w:val="22"/>
          <w:szCs w:val="22"/>
          <w:lang w:val="sr-Latn-RS"/>
        </w:rPr>
        <w:t>BROJ DOZVOLE</w:t>
      </w:r>
      <w:r w:rsidR="008A6D43" w:rsidRPr="00E75889">
        <w:rPr>
          <w:b/>
          <w:bCs/>
          <w:sz w:val="22"/>
          <w:szCs w:val="22"/>
          <w:lang w:val="sr-Latn-RS"/>
        </w:rPr>
        <w:t xml:space="preserve"> ZA STAVLJANJE LIJEKA U PROMET</w:t>
      </w:r>
    </w:p>
    <w:p w14:paraId="0A1FC039" w14:textId="01CE699D" w:rsidR="0072020E" w:rsidRPr="00E75889" w:rsidRDefault="0072020E" w:rsidP="00E75889">
      <w:pPr>
        <w:widowControl w:val="0"/>
        <w:tabs>
          <w:tab w:val="left" w:pos="540"/>
          <w:tab w:val="left" w:pos="569"/>
        </w:tabs>
        <w:rPr>
          <w:bCs/>
          <w:sz w:val="22"/>
          <w:szCs w:val="22"/>
          <w:lang w:val="sr-Latn-RS"/>
        </w:rPr>
      </w:pPr>
    </w:p>
    <w:p w14:paraId="66B6608F" w14:textId="716292E1" w:rsidR="009109C6" w:rsidRPr="00E75889" w:rsidRDefault="009109C6" w:rsidP="001A2125">
      <w:pPr>
        <w:widowControl w:val="0"/>
        <w:tabs>
          <w:tab w:val="left" w:pos="540"/>
          <w:tab w:val="left" w:pos="569"/>
        </w:tabs>
        <w:jc w:val="both"/>
        <w:rPr>
          <w:bCs/>
          <w:sz w:val="22"/>
          <w:szCs w:val="22"/>
          <w:lang w:val="sr-Latn-RS"/>
        </w:rPr>
      </w:pPr>
      <w:r w:rsidRPr="00E75889">
        <w:rPr>
          <w:bCs/>
          <w:sz w:val="22"/>
          <w:szCs w:val="22"/>
          <w:lang w:val="sr-Latn-RS"/>
        </w:rPr>
        <w:t>2030/24/3927 - 9165</w:t>
      </w:r>
    </w:p>
    <w:p w14:paraId="7F1DF171" w14:textId="77777777" w:rsidR="00F45F77" w:rsidRPr="00E75889" w:rsidRDefault="00F45F77" w:rsidP="00E75889">
      <w:pPr>
        <w:widowControl w:val="0"/>
        <w:tabs>
          <w:tab w:val="left" w:pos="540"/>
          <w:tab w:val="left" w:pos="569"/>
        </w:tabs>
        <w:rPr>
          <w:bCs/>
          <w:sz w:val="22"/>
          <w:szCs w:val="22"/>
          <w:lang w:val="sr-Latn-RS"/>
        </w:rPr>
      </w:pPr>
    </w:p>
    <w:p w14:paraId="7FCD6BE0" w14:textId="77777777" w:rsidR="009109C6" w:rsidRPr="00E75889" w:rsidRDefault="009109C6" w:rsidP="00E75889">
      <w:pPr>
        <w:widowControl w:val="0"/>
        <w:tabs>
          <w:tab w:val="left" w:pos="540"/>
          <w:tab w:val="left" w:pos="569"/>
        </w:tabs>
        <w:rPr>
          <w:b/>
          <w:bCs/>
          <w:sz w:val="22"/>
          <w:szCs w:val="22"/>
          <w:lang w:val="sr-Latn-RS"/>
        </w:rPr>
      </w:pPr>
    </w:p>
    <w:p w14:paraId="3AC478BB" w14:textId="624157AD" w:rsidR="0072020E" w:rsidRPr="00E75889" w:rsidRDefault="0072020E" w:rsidP="00E75889">
      <w:pPr>
        <w:widowControl w:val="0"/>
        <w:tabs>
          <w:tab w:val="left" w:pos="540"/>
          <w:tab w:val="left" w:pos="569"/>
        </w:tabs>
        <w:rPr>
          <w:b/>
          <w:bCs/>
          <w:sz w:val="22"/>
          <w:szCs w:val="22"/>
          <w:lang w:val="sr-Latn-RS"/>
        </w:rPr>
      </w:pPr>
      <w:r w:rsidRPr="00E75889">
        <w:rPr>
          <w:b/>
          <w:bCs/>
          <w:sz w:val="22"/>
          <w:szCs w:val="22"/>
          <w:lang w:val="sr-Latn-RS"/>
        </w:rPr>
        <w:t xml:space="preserve">9. </w:t>
      </w:r>
      <w:r w:rsidR="00480FB1" w:rsidRPr="00E75889">
        <w:rPr>
          <w:b/>
          <w:bCs/>
          <w:sz w:val="22"/>
          <w:szCs w:val="22"/>
          <w:lang w:val="sr-Latn-RS"/>
        </w:rPr>
        <w:tab/>
      </w:r>
      <w:r w:rsidRPr="00E75889">
        <w:rPr>
          <w:b/>
          <w:bCs/>
          <w:sz w:val="22"/>
          <w:szCs w:val="22"/>
          <w:lang w:val="sr-Latn-RS"/>
        </w:rPr>
        <w:t xml:space="preserve">DATUM </w:t>
      </w:r>
      <w:r w:rsidR="00C05DF8" w:rsidRPr="00E75889">
        <w:rPr>
          <w:b/>
          <w:bCs/>
          <w:sz w:val="22"/>
          <w:szCs w:val="22"/>
          <w:lang w:val="sr-Latn-RS"/>
        </w:rPr>
        <w:t xml:space="preserve">PRVE </w:t>
      </w:r>
      <w:r w:rsidR="008A6D43" w:rsidRPr="00E75889">
        <w:rPr>
          <w:b/>
          <w:bCs/>
          <w:sz w:val="22"/>
          <w:szCs w:val="22"/>
          <w:lang w:val="sr-Latn-RS"/>
        </w:rPr>
        <w:t>DOZVOLE</w:t>
      </w:r>
      <w:r w:rsidR="00C05DF8" w:rsidRPr="00E75889">
        <w:rPr>
          <w:b/>
          <w:bCs/>
          <w:sz w:val="22"/>
          <w:szCs w:val="22"/>
          <w:lang w:val="sr-Latn-RS"/>
        </w:rPr>
        <w:t>/OBNOVE DOZVOLE</w:t>
      </w:r>
      <w:r w:rsidR="008A6D43" w:rsidRPr="00E75889">
        <w:rPr>
          <w:b/>
          <w:bCs/>
          <w:sz w:val="22"/>
          <w:szCs w:val="22"/>
          <w:lang w:val="sr-Latn-RS"/>
        </w:rPr>
        <w:t xml:space="preserve"> ZA STAVLJANJE LIJEKA U PROMET</w:t>
      </w:r>
    </w:p>
    <w:p w14:paraId="1E58815E" w14:textId="77777777" w:rsidR="0072020E" w:rsidRPr="00E75889" w:rsidRDefault="0072020E" w:rsidP="00E75889">
      <w:pPr>
        <w:widowControl w:val="0"/>
        <w:tabs>
          <w:tab w:val="left" w:pos="540"/>
          <w:tab w:val="left" w:pos="569"/>
        </w:tabs>
        <w:rPr>
          <w:bCs/>
          <w:sz w:val="22"/>
          <w:szCs w:val="22"/>
          <w:lang w:val="sr-Latn-RS"/>
        </w:rPr>
      </w:pPr>
    </w:p>
    <w:p w14:paraId="4467A80C" w14:textId="394B45A2" w:rsidR="00836B35" w:rsidRPr="00E75889" w:rsidRDefault="009109C6" w:rsidP="001A2125">
      <w:pPr>
        <w:widowControl w:val="0"/>
        <w:tabs>
          <w:tab w:val="left" w:pos="540"/>
          <w:tab w:val="left" w:pos="569"/>
        </w:tabs>
        <w:jc w:val="both"/>
        <w:rPr>
          <w:bCs/>
          <w:sz w:val="22"/>
          <w:szCs w:val="22"/>
          <w:lang w:val="sr-Latn-RS"/>
        </w:rPr>
      </w:pPr>
      <w:r w:rsidRPr="00E75889">
        <w:rPr>
          <w:bCs/>
          <w:sz w:val="22"/>
          <w:szCs w:val="22"/>
          <w:lang w:val="sr-Latn-RS"/>
        </w:rPr>
        <w:t>Datum prve dozvole:</w:t>
      </w:r>
      <w:r w:rsidR="00EB75FD" w:rsidRPr="00E75889">
        <w:rPr>
          <w:bCs/>
          <w:sz w:val="22"/>
          <w:szCs w:val="22"/>
          <w:lang w:val="sr-Latn-RS"/>
        </w:rPr>
        <w:t xml:space="preserve"> 19.09.2014. godine</w:t>
      </w:r>
    </w:p>
    <w:p w14:paraId="61CEE15B" w14:textId="27B6AD61" w:rsidR="00EB75FD" w:rsidRPr="00E75889" w:rsidRDefault="00EB75FD" w:rsidP="001A2125">
      <w:pPr>
        <w:widowControl w:val="0"/>
        <w:tabs>
          <w:tab w:val="left" w:pos="540"/>
          <w:tab w:val="left" w:pos="569"/>
        </w:tabs>
        <w:jc w:val="both"/>
        <w:rPr>
          <w:bCs/>
          <w:sz w:val="22"/>
          <w:szCs w:val="22"/>
          <w:lang w:val="sr-Latn-RS"/>
        </w:rPr>
      </w:pPr>
      <w:r w:rsidRPr="00E75889">
        <w:rPr>
          <w:bCs/>
          <w:sz w:val="22"/>
          <w:szCs w:val="22"/>
          <w:lang w:val="sr-Latn-RS"/>
        </w:rPr>
        <w:t xml:space="preserve">Datum </w:t>
      </w:r>
      <w:r w:rsidR="009F3D1C" w:rsidRPr="00E75889">
        <w:rPr>
          <w:bCs/>
          <w:sz w:val="22"/>
          <w:szCs w:val="22"/>
          <w:lang w:val="sr-Latn-RS"/>
        </w:rPr>
        <w:t xml:space="preserve">posljednje </w:t>
      </w:r>
      <w:r w:rsidRPr="00E75889">
        <w:rPr>
          <w:bCs/>
          <w:sz w:val="22"/>
          <w:szCs w:val="22"/>
          <w:lang w:val="sr-Latn-RS"/>
        </w:rPr>
        <w:t>obnove dozvole:</w:t>
      </w:r>
      <w:r w:rsidR="009109C6" w:rsidRPr="00E75889">
        <w:rPr>
          <w:bCs/>
          <w:sz w:val="22"/>
          <w:szCs w:val="22"/>
          <w:lang w:val="sr-Latn-RS"/>
        </w:rPr>
        <w:t xml:space="preserve"> </w:t>
      </w:r>
      <w:r w:rsidR="001B0598" w:rsidRPr="00E75889">
        <w:rPr>
          <w:bCs/>
          <w:sz w:val="22"/>
          <w:szCs w:val="22"/>
          <w:lang w:val="sr-Latn-RS"/>
        </w:rPr>
        <w:t>04.09</w:t>
      </w:r>
      <w:r w:rsidR="009109C6" w:rsidRPr="00E75889">
        <w:rPr>
          <w:bCs/>
          <w:sz w:val="22"/>
          <w:szCs w:val="22"/>
          <w:lang w:val="sr-Latn-RS"/>
        </w:rPr>
        <w:t>.2024. godine</w:t>
      </w:r>
    </w:p>
    <w:p w14:paraId="208D386B" w14:textId="77777777" w:rsidR="00EB75FD" w:rsidRPr="00E75889" w:rsidRDefault="00EB75FD" w:rsidP="001A2125">
      <w:pPr>
        <w:widowControl w:val="0"/>
        <w:tabs>
          <w:tab w:val="left" w:pos="540"/>
          <w:tab w:val="left" w:pos="569"/>
        </w:tabs>
        <w:jc w:val="both"/>
        <w:rPr>
          <w:bCs/>
          <w:sz w:val="22"/>
          <w:szCs w:val="22"/>
          <w:lang w:val="sr-Latn-RS"/>
        </w:rPr>
      </w:pPr>
    </w:p>
    <w:p w14:paraId="16154834" w14:textId="77777777" w:rsidR="009109C6" w:rsidRPr="00E75889" w:rsidRDefault="009109C6" w:rsidP="00E75889">
      <w:pPr>
        <w:widowControl w:val="0"/>
        <w:tabs>
          <w:tab w:val="left" w:pos="540"/>
          <w:tab w:val="left" w:pos="569"/>
        </w:tabs>
        <w:ind w:left="540" w:hanging="540"/>
        <w:rPr>
          <w:b/>
          <w:bCs/>
          <w:sz w:val="22"/>
          <w:szCs w:val="22"/>
          <w:lang w:val="sr-Latn-RS"/>
        </w:rPr>
      </w:pPr>
    </w:p>
    <w:p w14:paraId="57A6B757" w14:textId="1F86EBEB" w:rsidR="003F6A59" w:rsidRPr="00E75889" w:rsidRDefault="0072020E" w:rsidP="00E75889">
      <w:pPr>
        <w:widowControl w:val="0"/>
        <w:tabs>
          <w:tab w:val="left" w:pos="540"/>
          <w:tab w:val="left" w:pos="569"/>
        </w:tabs>
        <w:ind w:left="540" w:hanging="540"/>
        <w:rPr>
          <w:bCs/>
          <w:sz w:val="22"/>
          <w:szCs w:val="22"/>
          <w:lang w:val="sr-Latn-RS"/>
        </w:rPr>
      </w:pPr>
      <w:r w:rsidRPr="00E75889">
        <w:rPr>
          <w:b/>
          <w:bCs/>
          <w:sz w:val="22"/>
          <w:szCs w:val="22"/>
          <w:lang w:val="sr-Latn-RS"/>
        </w:rPr>
        <w:t xml:space="preserve">10. </w:t>
      </w:r>
      <w:r w:rsidR="00480FB1" w:rsidRPr="00E75889">
        <w:rPr>
          <w:b/>
          <w:bCs/>
          <w:sz w:val="22"/>
          <w:szCs w:val="22"/>
          <w:lang w:val="sr-Latn-RS"/>
        </w:rPr>
        <w:tab/>
      </w:r>
      <w:r w:rsidR="002846DB" w:rsidRPr="00E75889">
        <w:rPr>
          <w:b/>
          <w:bCs/>
          <w:sz w:val="22"/>
          <w:szCs w:val="22"/>
          <w:lang w:val="sr-Latn-RS"/>
        </w:rPr>
        <w:t>D</w:t>
      </w:r>
      <w:r w:rsidR="00EC2532" w:rsidRPr="00E75889">
        <w:rPr>
          <w:b/>
          <w:bCs/>
          <w:sz w:val="22"/>
          <w:szCs w:val="22"/>
          <w:lang w:val="sr-Latn-RS"/>
        </w:rPr>
        <w:t xml:space="preserve">ATUM REVIZIJE TEKSTA </w:t>
      </w:r>
    </w:p>
    <w:p w14:paraId="31D45C6C" w14:textId="77777777" w:rsidR="003F6A59" w:rsidRPr="00E75889" w:rsidRDefault="003F6A59" w:rsidP="00E75889">
      <w:pPr>
        <w:widowControl w:val="0"/>
        <w:tabs>
          <w:tab w:val="left" w:pos="540"/>
          <w:tab w:val="left" w:pos="569"/>
        </w:tabs>
        <w:rPr>
          <w:bCs/>
          <w:sz w:val="22"/>
          <w:szCs w:val="22"/>
          <w:lang w:val="sr-Latn-RS"/>
        </w:rPr>
      </w:pPr>
    </w:p>
    <w:p w14:paraId="0625DD53" w14:textId="22987A99" w:rsidR="003F6A59" w:rsidRPr="00E75889" w:rsidRDefault="00742E24" w:rsidP="001A2125">
      <w:pPr>
        <w:widowControl w:val="0"/>
        <w:jc w:val="both"/>
        <w:rPr>
          <w:sz w:val="22"/>
          <w:szCs w:val="22"/>
          <w:lang w:val="sr-Latn-RS"/>
        </w:rPr>
      </w:pPr>
      <w:r>
        <w:rPr>
          <w:sz w:val="22"/>
          <w:szCs w:val="22"/>
          <w:lang w:val="sr-Latn-RS"/>
        </w:rPr>
        <w:t>April</w:t>
      </w:r>
      <w:bookmarkStart w:id="0" w:name="_GoBack"/>
      <w:bookmarkEnd w:id="0"/>
      <w:r w:rsidR="00BF7B1F">
        <w:rPr>
          <w:sz w:val="22"/>
          <w:szCs w:val="22"/>
          <w:lang w:val="sr-Latn-RS"/>
        </w:rPr>
        <w:t>, 2025. godine</w:t>
      </w:r>
    </w:p>
    <w:sectPr w:rsidR="003F6A59" w:rsidRPr="00E7588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5BB43" w14:textId="77777777" w:rsidR="007D7D8E" w:rsidRDefault="007D7D8E">
      <w:r>
        <w:separator/>
      </w:r>
    </w:p>
  </w:endnote>
  <w:endnote w:type="continuationSeparator" w:id="0">
    <w:p w14:paraId="0091CF6B" w14:textId="77777777" w:rsidR="007D7D8E" w:rsidRDefault="007D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6F3A" w14:textId="4A88F9D8" w:rsidR="004C71A8" w:rsidRPr="00B23F69" w:rsidRDefault="004C71A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42E24">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42E24">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94AEE" w14:textId="77777777" w:rsidR="007D7D8E" w:rsidRDefault="007D7D8E">
      <w:r>
        <w:separator/>
      </w:r>
    </w:p>
  </w:footnote>
  <w:footnote w:type="continuationSeparator" w:id="0">
    <w:p w14:paraId="5682F7CC" w14:textId="77777777" w:rsidR="007D7D8E" w:rsidRDefault="007D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3.45pt;visibility:visible;mso-wrap-style:square" o:bullet="t">
        <v:imagedata r:id="rId1" o:title=""/>
      </v:shape>
    </w:pict>
  </w:numPicBullet>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42F44"/>
    <w:multiLevelType w:val="hybridMultilevel"/>
    <w:tmpl w:val="03C263AA"/>
    <w:lvl w:ilvl="0" w:tplc="00CA8924">
      <w:start w:val="1982"/>
      <w:numFmt w:val="bullet"/>
      <w:lvlText w:val="-"/>
      <w:lvlJc w:val="left"/>
      <w:pPr>
        <w:tabs>
          <w:tab w:val="num" w:pos="942"/>
        </w:tabs>
        <w:ind w:left="942" w:hanging="360"/>
      </w:pPr>
      <w:rPr>
        <w:rFonts w:ascii="Times New Roman" w:eastAsia="SimSun" w:hAnsi="Times New Roman" w:hint="default"/>
      </w:rPr>
    </w:lvl>
    <w:lvl w:ilvl="1" w:tplc="04090003">
      <w:start w:val="1"/>
      <w:numFmt w:val="bullet"/>
      <w:lvlText w:val="o"/>
      <w:lvlJc w:val="left"/>
      <w:pPr>
        <w:tabs>
          <w:tab w:val="num" w:pos="1662"/>
        </w:tabs>
        <w:ind w:left="1662" w:hanging="360"/>
      </w:pPr>
      <w:rPr>
        <w:rFonts w:ascii="Courier New" w:hAnsi="Courier New" w:cs="Courier New" w:hint="default"/>
      </w:rPr>
    </w:lvl>
    <w:lvl w:ilvl="2" w:tplc="04090005">
      <w:start w:val="1"/>
      <w:numFmt w:val="bullet"/>
      <w:lvlText w:val=""/>
      <w:lvlJc w:val="left"/>
      <w:pPr>
        <w:tabs>
          <w:tab w:val="num" w:pos="2382"/>
        </w:tabs>
        <w:ind w:left="2382" w:hanging="360"/>
      </w:pPr>
      <w:rPr>
        <w:rFonts w:ascii="Wingdings" w:hAnsi="Wingdings" w:cs="Wingdings" w:hint="default"/>
      </w:rPr>
    </w:lvl>
    <w:lvl w:ilvl="3" w:tplc="04090001">
      <w:start w:val="1"/>
      <w:numFmt w:val="bullet"/>
      <w:lvlText w:val=""/>
      <w:lvlJc w:val="left"/>
      <w:pPr>
        <w:tabs>
          <w:tab w:val="num" w:pos="3102"/>
        </w:tabs>
        <w:ind w:left="3102" w:hanging="360"/>
      </w:pPr>
      <w:rPr>
        <w:rFonts w:ascii="Symbol" w:hAnsi="Symbol" w:cs="Symbol" w:hint="default"/>
      </w:rPr>
    </w:lvl>
    <w:lvl w:ilvl="4" w:tplc="04090003">
      <w:start w:val="1"/>
      <w:numFmt w:val="bullet"/>
      <w:lvlText w:val="o"/>
      <w:lvlJc w:val="left"/>
      <w:pPr>
        <w:tabs>
          <w:tab w:val="num" w:pos="3822"/>
        </w:tabs>
        <w:ind w:left="3822" w:hanging="360"/>
      </w:pPr>
      <w:rPr>
        <w:rFonts w:ascii="Courier New" w:hAnsi="Courier New" w:cs="Courier New" w:hint="default"/>
      </w:rPr>
    </w:lvl>
    <w:lvl w:ilvl="5" w:tplc="04090005">
      <w:start w:val="1"/>
      <w:numFmt w:val="bullet"/>
      <w:lvlText w:val=""/>
      <w:lvlJc w:val="left"/>
      <w:pPr>
        <w:tabs>
          <w:tab w:val="num" w:pos="4542"/>
        </w:tabs>
        <w:ind w:left="4542" w:hanging="360"/>
      </w:pPr>
      <w:rPr>
        <w:rFonts w:ascii="Wingdings" w:hAnsi="Wingdings" w:cs="Wingdings" w:hint="default"/>
      </w:rPr>
    </w:lvl>
    <w:lvl w:ilvl="6" w:tplc="04090001">
      <w:start w:val="1"/>
      <w:numFmt w:val="bullet"/>
      <w:lvlText w:val=""/>
      <w:lvlJc w:val="left"/>
      <w:pPr>
        <w:tabs>
          <w:tab w:val="num" w:pos="5262"/>
        </w:tabs>
        <w:ind w:left="5262" w:hanging="360"/>
      </w:pPr>
      <w:rPr>
        <w:rFonts w:ascii="Symbol" w:hAnsi="Symbol" w:cs="Symbol" w:hint="default"/>
      </w:rPr>
    </w:lvl>
    <w:lvl w:ilvl="7" w:tplc="04090003">
      <w:start w:val="1"/>
      <w:numFmt w:val="bullet"/>
      <w:lvlText w:val="o"/>
      <w:lvlJc w:val="left"/>
      <w:pPr>
        <w:tabs>
          <w:tab w:val="num" w:pos="5982"/>
        </w:tabs>
        <w:ind w:left="5982" w:hanging="360"/>
      </w:pPr>
      <w:rPr>
        <w:rFonts w:ascii="Courier New" w:hAnsi="Courier New" w:cs="Courier New" w:hint="default"/>
      </w:rPr>
    </w:lvl>
    <w:lvl w:ilvl="8" w:tplc="04090005">
      <w:start w:val="1"/>
      <w:numFmt w:val="bullet"/>
      <w:lvlText w:val=""/>
      <w:lvlJc w:val="left"/>
      <w:pPr>
        <w:tabs>
          <w:tab w:val="num" w:pos="6702"/>
        </w:tabs>
        <w:ind w:left="6702" w:hanging="360"/>
      </w:pPr>
      <w:rPr>
        <w:rFonts w:ascii="Wingdings" w:hAnsi="Wingdings" w:cs="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EB27AE"/>
    <w:multiLevelType w:val="hybridMultilevel"/>
    <w:tmpl w:val="10722A1E"/>
    <w:lvl w:ilvl="0" w:tplc="A3D801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6C2C7D"/>
    <w:multiLevelType w:val="hybridMultilevel"/>
    <w:tmpl w:val="F64AF754"/>
    <w:lvl w:ilvl="0" w:tplc="00CA8924">
      <w:start w:val="1982"/>
      <w:numFmt w:val="bullet"/>
      <w:lvlText w:val="-"/>
      <w:lvlJc w:val="left"/>
      <w:pPr>
        <w:tabs>
          <w:tab w:val="num" w:pos="942"/>
        </w:tabs>
        <w:ind w:left="942" w:hanging="360"/>
      </w:pPr>
      <w:rPr>
        <w:rFonts w:ascii="Times New Roman" w:eastAsia="SimSun" w:hAnsi="Times New Roman" w:hint="default"/>
      </w:rPr>
    </w:lvl>
    <w:lvl w:ilvl="1" w:tplc="04090003">
      <w:start w:val="1"/>
      <w:numFmt w:val="bullet"/>
      <w:lvlText w:val="o"/>
      <w:lvlJc w:val="left"/>
      <w:pPr>
        <w:tabs>
          <w:tab w:val="num" w:pos="1662"/>
        </w:tabs>
        <w:ind w:left="1662" w:hanging="360"/>
      </w:pPr>
      <w:rPr>
        <w:rFonts w:ascii="Courier New" w:hAnsi="Courier New" w:cs="Courier New" w:hint="default"/>
      </w:rPr>
    </w:lvl>
    <w:lvl w:ilvl="2" w:tplc="04090005">
      <w:start w:val="1"/>
      <w:numFmt w:val="bullet"/>
      <w:lvlText w:val=""/>
      <w:lvlJc w:val="left"/>
      <w:pPr>
        <w:tabs>
          <w:tab w:val="num" w:pos="2382"/>
        </w:tabs>
        <w:ind w:left="2382" w:hanging="360"/>
      </w:pPr>
      <w:rPr>
        <w:rFonts w:ascii="Wingdings" w:hAnsi="Wingdings" w:cs="Wingdings" w:hint="default"/>
      </w:rPr>
    </w:lvl>
    <w:lvl w:ilvl="3" w:tplc="04090001">
      <w:start w:val="1"/>
      <w:numFmt w:val="bullet"/>
      <w:lvlText w:val=""/>
      <w:lvlJc w:val="left"/>
      <w:pPr>
        <w:tabs>
          <w:tab w:val="num" w:pos="3102"/>
        </w:tabs>
        <w:ind w:left="3102" w:hanging="360"/>
      </w:pPr>
      <w:rPr>
        <w:rFonts w:ascii="Symbol" w:hAnsi="Symbol" w:cs="Symbol" w:hint="default"/>
      </w:rPr>
    </w:lvl>
    <w:lvl w:ilvl="4" w:tplc="04090003">
      <w:start w:val="1"/>
      <w:numFmt w:val="bullet"/>
      <w:lvlText w:val="o"/>
      <w:lvlJc w:val="left"/>
      <w:pPr>
        <w:tabs>
          <w:tab w:val="num" w:pos="3822"/>
        </w:tabs>
        <w:ind w:left="3822" w:hanging="360"/>
      </w:pPr>
      <w:rPr>
        <w:rFonts w:ascii="Courier New" w:hAnsi="Courier New" w:cs="Courier New" w:hint="default"/>
      </w:rPr>
    </w:lvl>
    <w:lvl w:ilvl="5" w:tplc="04090005">
      <w:start w:val="1"/>
      <w:numFmt w:val="bullet"/>
      <w:lvlText w:val=""/>
      <w:lvlJc w:val="left"/>
      <w:pPr>
        <w:tabs>
          <w:tab w:val="num" w:pos="4542"/>
        </w:tabs>
        <w:ind w:left="4542" w:hanging="360"/>
      </w:pPr>
      <w:rPr>
        <w:rFonts w:ascii="Wingdings" w:hAnsi="Wingdings" w:cs="Wingdings" w:hint="default"/>
      </w:rPr>
    </w:lvl>
    <w:lvl w:ilvl="6" w:tplc="04090001">
      <w:start w:val="1"/>
      <w:numFmt w:val="bullet"/>
      <w:lvlText w:val=""/>
      <w:lvlJc w:val="left"/>
      <w:pPr>
        <w:tabs>
          <w:tab w:val="num" w:pos="5262"/>
        </w:tabs>
        <w:ind w:left="5262" w:hanging="360"/>
      </w:pPr>
      <w:rPr>
        <w:rFonts w:ascii="Symbol" w:hAnsi="Symbol" w:cs="Symbol" w:hint="default"/>
      </w:rPr>
    </w:lvl>
    <w:lvl w:ilvl="7" w:tplc="04090003">
      <w:start w:val="1"/>
      <w:numFmt w:val="bullet"/>
      <w:lvlText w:val="o"/>
      <w:lvlJc w:val="left"/>
      <w:pPr>
        <w:tabs>
          <w:tab w:val="num" w:pos="5982"/>
        </w:tabs>
        <w:ind w:left="5982" w:hanging="360"/>
      </w:pPr>
      <w:rPr>
        <w:rFonts w:ascii="Courier New" w:hAnsi="Courier New" w:cs="Courier New" w:hint="default"/>
      </w:rPr>
    </w:lvl>
    <w:lvl w:ilvl="8" w:tplc="04090005">
      <w:start w:val="1"/>
      <w:numFmt w:val="bullet"/>
      <w:lvlText w:val=""/>
      <w:lvlJc w:val="left"/>
      <w:pPr>
        <w:tabs>
          <w:tab w:val="num" w:pos="6702"/>
        </w:tabs>
        <w:ind w:left="6702" w:hanging="360"/>
      </w:pPr>
      <w:rPr>
        <w:rFonts w:ascii="Wingdings" w:hAnsi="Wingdings" w:cs="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F454757"/>
    <w:multiLevelType w:val="hybridMultilevel"/>
    <w:tmpl w:val="4A3A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E5"/>
    <w:multiLevelType w:val="hybridMultilevel"/>
    <w:tmpl w:val="54D6E92C"/>
    <w:lvl w:ilvl="0" w:tplc="046C0552">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9091F"/>
    <w:multiLevelType w:val="hybridMultilevel"/>
    <w:tmpl w:val="F4680412"/>
    <w:lvl w:ilvl="0" w:tplc="A3D801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4"/>
  </w:num>
  <w:num w:numId="5">
    <w:abstractNumId w:val="7"/>
  </w:num>
  <w:num w:numId="6">
    <w:abstractNumId w:val="2"/>
  </w:num>
  <w:num w:numId="7">
    <w:abstractNumId w:val="11"/>
  </w:num>
  <w:num w:numId="8">
    <w:abstractNumId w:val="6"/>
  </w:num>
  <w:num w:numId="9">
    <w:abstractNumId w:val="9"/>
  </w:num>
  <w:num w:numId="10">
    <w:abstractNumId w:val="16"/>
  </w:num>
  <w:num w:numId="11">
    <w:abstractNumId w:val="8"/>
  </w:num>
  <w:num w:numId="12">
    <w:abstractNumId w:val="17"/>
  </w:num>
  <w:num w:numId="13">
    <w:abstractNumId w:val="12"/>
  </w:num>
  <w:num w:numId="14">
    <w:abstractNumId w:val="0"/>
  </w:num>
  <w:num w:numId="15">
    <w:abstractNumId w:val="3"/>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en-GB"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5E6"/>
    <w:rsid w:val="00012614"/>
    <w:rsid w:val="000176CA"/>
    <w:rsid w:val="00027241"/>
    <w:rsid w:val="00033469"/>
    <w:rsid w:val="000364F0"/>
    <w:rsid w:val="00036FA0"/>
    <w:rsid w:val="0003793F"/>
    <w:rsid w:val="00045130"/>
    <w:rsid w:val="00051690"/>
    <w:rsid w:val="00055497"/>
    <w:rsid w:val="00057E35"/>
    <w:rsid w:val="000755FE"/>
    <w:rsid w:val="00075E28"/>
    <w:rsid w:val="00076726"/>
    <w:rsid w:val="00080303"/>
    <w:rsid w:val="00083D02"/>
    <w:rsid w:val="00084FC6"/>
    <w:rsid w:val="00094713"/>
    <w:rsid w:val="00097D32"/>
    <w:rsid w:val="00097DAE"/>
    <w:rsid w:val="000A3F58"/>
    <w:rsid w:val="000A6763"/>
    <w:rsid w:val="000C2178"/>
    <w:rsid w:val="000D2343"/>
    <w:rsid w:val="000D3449"/>
    <w:rsid w:val="000D425A"/>
    <w:rsid w:val="000D60CC"/>
    <w:rsid w:val="000E2084"/>
    <w:rsid w:val="000E6F55"/>
    <w:rsid w:val="000F0473"/>
    <w:rsid w:val="000F4602"/>
    <w:rsid w:val="000F77FA"/>
    <w:rsid w:val="001016E4"/>
    <w:rsid w:val="00107BF7"/>
    <w:rsid w:val="00114A63"/>
    <w:rsid w:val="001152B1"/>
    <w:rsid w:val="00126F53"/>
    <w:rsid w:val="0014322D"/>
    <w:rsid w:val="00144CF0"/>
    <w:rsid w:val="0014766D"/>
    <w:rsid w:val="001536CC"/>
    <w:rsid w:val="00170A57"/>
    <w:rsid w:val="00171CB5"/>
    <w:rsid w:val="00177BA4"/>
    <w:rsid w:val="0018726B"/>
    <w:rsid w:val="001A2125"/>
    <w:rsid w:val="001A3FBA"/>
    <w:rsid w:val="001A4996"/>
    <w:rsid w:val="001A5518"/>
    <w:rsid w:val="001B0598"/>
    <w:rsid w:val="001B1C6A"/>
    <w:rsid w:val="001B2EF7"/>
    <w:rsid w:val="001B2F32"/>
    <w:rsid w:val="001C1263"/>
    <w:rsid w:val="001C1417"/>
    <w:rsid w:val="001C7DFA"/>
    <w:rsid w:val="001E390B"/>
    <w:rsid w:val="001E7187"/>
    <w:rsid w:val="001F42FB"/>
    <w:rsid w:val="001F46FF"/>
    <w:rsid w:val="001F719A"/>
    <w:rsid w:val="002031B3"/>
    <w:rsid w:val="002149D8"/>
    <w:rsid w:val="00215931"/>
    <w:rsid w:val="00224C91"/>
    <w:rsid w:val="00227BDB"/>
    <w:rsid w:val="00234CB1"/>
    <w:rsid w:val="002352F8"/>
    <w:rsid w:val="00247150"/>
    <w:rsid w:val="002510A5"/>
    <w:rsid w:val="00254A0A"/>
    <w:rsid w:val="00256B63"/>
    <w:rsid w:val="00266046"/>
    <w:rsid w:val="00271EFE"/>
    <w:rsid w:val="00274451"/>
    <w:rsid w:val="00282BF1"/>
    <w:rsid w:val="002846DB"/>
    <w:rsid w:val="00284CCD"/>
    <w:rsid w:val="00294DB1"/>
    <w:rsid w:val="002B3BBF"/>
    <w:rsid w:val="002C6637"/>
    <w:rsid w:val="002E0135"/>
    <w:rsid w:val="002E37A5"/>
    <w:rsid w:val="002E5931"/>
    <w:rsid w:val="0030440F"/>
    <w:rsid w:val="00304811"/>
    <w:rsid w:val="00310F03"/>
    <w:rsid w:val="003247D2"/>
    <w:rsid w:val="00335887"/>
    <w:rsid w:val="003445C1"/>
    <w:rsid w:val="00355B61"/>
    <w:rsid w:val="00362686"/>
    <w:rsid w:val="00363822"/>
    <w:rsid w:val="00371510"/>
    <w:rsid w:val="00376FEB"/>
    <w:rsid w:val="00381301"/>
    <w:rsid w:val="003850DE"/>
    <w:rsid w:val="00396DFD"/>
    <w:rsid w:val="003A3942"/>
    <w:rsid w:val="003A7059"/>
    <w:rsid w:val="003B0530"/>
    <w:rsid w:val="003B7A36"/>
    <w:rsid w:val="003C17AB"/>
    <w:rsid w:val="003C7823"/>
    <w:rsid w:val="003E1DCC"/>
    <w:rsid w:val="003F11A1"/>
    <w:rsid w:val="003F6A59"/>
    <w:rsid w:val="00404F87"/>
    <w:rsid w:val="004065C8"/>
    <w:rsid w:val="004109FA"/>
    <w:rsid w:val="00411B4B"/>
    <w:rsid w:val="00415BEE"/>
    <w:rsid w:val="00423CE1"/>
    <w:rsid w:val="004254E9"/>
    <w:rsid w:val="00427F85"/>
    <w:rsid w:val="00432508"/>
    <w:rsid w:val="00436F42"/>
    <w:rsid w:val="004378B4"/>
    <w:rsid w:val="00451314"/>
    <w:rsid w:val="00452E9D"/>
    <w:rsid w:val="004534C7"/>
    <w:rsid w:val="004540DB"/>
    <w:rsid w:val="00457216"/>
    <w:rsid w:val="004671AA"/>
    <w:rsid w:val="00471DF8"/>
    <w:rsid w:val="00476329"/>
    <w:rsid w:val="00480FB1"/>
    <w:rsid w:val="00483928"/>
    <w:rsid w:val="004A3184"/>
    <w:rsid w:val="004A5F60"/>
    <w:rsid w:val="004C331F"/>
    <w:rsid w:val="004C71A8"/>
    <w:rsid w:val="004D6103"/>
    <w:rsid w:val="004E3BCE"/>
    <w:rsid w:val="004E6EF5"/>
    <w:rsid w:val="004E70AD"/>
    <w:rsid w:val="004F0E97"/>
    <w:rsid w:val="004F17E2"/>
    <w:rsid w:val="004F75A7"/>
    <w:rsid w:val="00501DD1"/>
    <w:rsid w:val="00515C21"/>
    <w:rsid w:val="00530BD7"/>
    <w:rsid w:val="00545CD2"/>
    <w:rsid w:val="005476F3"/>
    <w:rsid w:val="00553EEC"/>
    <w:rsid w:val="00570072"/>
    <w:rsid w:val="00570214"/>
    <w:rsid w:val="00572527"/>
    <w:rsid w:val="00573E40"/>
    <w:rsid w:val="00576348"/>
    <w:rsid w:val="00594422"/>
    <w:rsid w:val="005A0B2E"/>
    <w:rsid w:val="005A23D2"/>
    <w:rsid w:val="005A36CB"/>
    <w:rsid w:val="005B49B8"/>
    <w:rsid w:val="005C0741"/>
    <w:rsid w:val="005C5EF4"/>
    <w:rsid w:val="005D7E79"/>
    <w:rsid w:val="005E2E0B"/>
    <w:rsid w:val="005E67AD"/>
    <w:rsid w:val="005E746D"/>
    <w:rsid w:val="005E7A7D"/>
    <w:rsid w:val="00602457"/>
    <w:rsid w:val="00606289"/>
    <w:rsid w:val="00606A4B"/>
    <w:rsid w:val="0061007C"/>
    <w:rsid w:val="00644922"/>
    <w:rsid w:val="00644FC3"/>
    <w:rsid w:val="00646BD1"/>
    <w:rsid w:val="006561C2"/>
    <w:rsid w:val="00671CB3"/>
    <w:rsid w:val="00674BAF"/>
    <w:rsid w:val="00674EFD"/>
    <w:rsid w:val="00682200"/>
    <w:rsid w:val="00685E0D"/>
    <w:rsid w:val="00692BF6"/>
    <w:rsid w:val="006A1351"/>
    <w:rsid w:val="006A1497"/>
    <w:rsid w:val="006B0BD1"/>
    <w:rsid w:val="006B5404"/>
    <w:rsid w:val="006D20A5"/>
    <w:rsid w:val="006D37BF"/>
    <w:rsid w:val="006E15FB"/>
    <w:rsid w:val="006F65C0"/>
    <w:rsid w:val="00702E22"/>
    <w:rsid w:val="0072020E"/>
    <w:rsid w:val="00742E24"/>
    <w:rsid w:val="00754902"/>
    <w:rsid w:val="00760770"/>
    <w:rsid w:val="007622AF"/>
    <w:rsid w:val="00776FB5"/>
    <w:rsid w:val="00786071"/>
    <w:rsid w:val="00797386"/>
    <w:rsid w:val="00797552"/>
    <w:rsid w:val="007A3ECB"/>
    <w:rsid w:val="007B33D7"/>
    <w:rsid w:val="007D7507"/>
    <w:rsid w:val="007D7BB3"/>
    <w:rsid w:val="007D7D8E"/>
    <w:rsid w:val="007E25FF"/>
    <w:rsid w:val="007E31E9"/>
    <w:rsid w:val="007E53D9"/>
    <w:rsid w:val="007F05E3"/>
    <w:rsid w:val="00811AA9"/>
    <w:rsid w:val="00824AB9"/>
    <w:rsid w:val="00824F0E"/>
    <w:rsid w:val="00836B35"/>
    <w:rsid w:val="0084050C"/>
    <w:rsid w:val="00843BDE"/>
    <w:rsid w:val="00861008"/>
    <w:rsid w:val="00873088"/>
    <w:rsid w:val="0087588C"/>
    <w:rsid w:val="00877982"/>
    <w:rsid w:val="00895171"/>
    <w:rsid w:val="0089705C"/>
    <w:rsid w:val="008A40CC"/>
    <w:rsid w:val="008A6D43"/>
    <w:rsid w:val="008B05C4"/>
    <w:rsid w:val="008B08E2"/>
    <w:rsid w:val="008B0BF0"/>
    <w:rsid w:val="008B3CFC"/>
    <w:rsid w:val="008B491E"/>
    <w:rsid w:val="008B7140"/>
    <w:rsid w:val="008C1A28"/>
    <w:rsid w:val="008C2E98"/>
    <w:rsid w:val="008D44FE"/>
    <w:rsid w:val="008E49BD"/>
    <w:rsid w:val="008E53E9"/>
    <w:rsid w:val="008E5771"/>
    <w:rsid w:val="008F1655"/>
    <w:rsid w:val="008F3461"/>
    <w:rsid w:val="008F40F3"/>
    <w:rsid w:val="008F4ACF"/>
    <w:rsid w:val="00900A43"/>
    <w:rsid w:val="009109C6"/>
    <w:rsid w:val="00920A6A"/>
    <w:rsid w:val="00921A07"/>
    <w:rsid w:val="0092203D"/>
    <w:rsid w:val="00924166"/>
    <w:rsid w:val="009268C0"/>
    <w:rsid w:val="009351A6"/>
    <w:rsid w:val="00940B9B"/>
    <w:rsid w:val="00953573"/>
    <w:rsid w:val="0095676E"/>
    <w:rsid w:val="00956983"/>
    <w:rsid w:val="00963CF0"/>
    <w:rsid w:val="00964BB1"/>
    <w:rsid w:val="00966925"/>
    <w:rsid w:val="009775D9"/>
    <w:rsid w:val="00997175"/>
    <w:rsid w:val="009A1847"/>
    <w:rsid w:val="009B062A"/>
    <w:rsid w:val="009E4724"/>
    <w:rsid w:val="009E7C6F"/>
    <w:rsid w:val="009F0B58"/>
    <w:rsid w:val="009F1793"/>
    <w:rsid w:val="009F2D23"/>
    <w:rsid w:val="009F3D1C"/>
    <w:rsid w:val="00A01D69"/>
    <w:rsid w:val="00A02335"/>
    <w:rsid w:val="00A16B14"/>
    <w:rsid w:val="00A23BEA"/>
    <w:rsid w:val="00A35C2D"/>
    <w:rsid w:val="00A46C9A"/>
    <w:rsid w:val="00A47E3E"/>
    <w:rsid w:val="00A51FDB"/>
    <w:rsid w:val="00A619F3"/>
    <w:rsid w:val="00A62A73"/>
    <w:rsid w:val="00A87FF6"/>
    <w:rsid w:val="00AA0A3B"/>
    <w:rsid w:val="00AA2763"/>
    <w:rsid w:val="00AA33B6"/>
    <w:rsid w:val="00AB50CA"/>
    <w:rsid w:val="00AB6D64"/>
    <w:rsid w:val="00AC53CE"/>
    <w:rsid w:val="00AC5C1C"/>
    <w:rsid w:val="00AD2193"/>
    <w:rsid w:val="00AD4D0F"/>
    <w:rsid w:val="00AF19F4"/>
    <w:rsid w:val="00AF2AC7"/>
    <w:rsid w:val="00AF74CE"/>
    <w:rsid w:val="00B208DB"/>
    <w:rsid w:val="00B23F69"/>
    <w:rsid w:val="00B432C3"/>
    <w:rsid w:val="00B46CC7"/>
    <w:rsid w:val="00B60619"/>
    <w:rsid w:val="00B65420"/>
    <w:rsid w:val="00B66A70"/>
    <w:rsid w:val="00B67366"/>
    <w:rsid w:val="00B7370C"/>
    <w:rsid w:val="00B73A0A"/>
    <w:rsid w:val="00B80EE1"/>
    <w:rsid w:val="00B84135"/>
    <w:rsid w:val="00B8745C"/>
    <w:rsid w:val="00B90BBA"/>
    <w:rsid w:val="00B94F3A"/>
    <w:rsid w:val="00BE61D6"/>
    <w:rsid w:val="00BE7718"/>
    <w:rsid w:val="00BF42F0"/>
    <w:rsid w:val="00BF7B1F"/>
    <w:rsid w:val="00C04D34"/>
    <w:rsid w:val="00C05DF8"/>
    <w:rsid w:val="00C0670C"/>
    <w:rsid w:val="00C06864"/>
    <w:rsid w:val="00C06A58"/>
    <w:rsid w:val="00C10F54"/>
    <w:rsid w:val="00C17788"/>
    <w:rsid w:val="00C23D8D"/>
    <w:rsid w:val="00C321A3"/>
    <w:rsid w:val="00C376E7"/>
    <w:rsid w:val="00C37AA3"/>
    <w:rsid w:val="00C37FD7"/>
    <w:rsid w:val="00C43419"/>
    <w:rsid w:val="00C44CF3"/>
    <w:rsid w:val="00C61BE0"/>
    <w:rsid w:val="00C6707E"/>
    <w:rsid w:val="00C70B0E"/>
    <w:rsid w:val="00C773CA"/>
    <w:rsid w:val="00C83785"/>
    <w:rsid w:val="00C839B7"/>
    <w:rsid w:val="00C866D7"/>
    <w:rsid w:val="00C87FA8"/>
    <w:rsid w:val="00C92135"/>
    <w:rsid w:val="00C927D6"/>
    <w:rsid w:val="00C94C0D"/>
    <w:rsid w:val="00CA1FEB"/>
    <w:rsid w:val="00CA71A3"/>
    <w:rsid w:val="00CB3584"/>
    <w:rsid w:val="00CD4F85"/>
    <w:rsid w:val="00CD6F02"/>
    <w:rsid w:val="00CE246D"/>
    <w:rsid w:val="00CF07A0"/>
    <w:rsid w:val="00CF3E03"/>
    <w:rsid w:val="00D0082A"/>
    <w:rsid w:val="00D100FE"/>
    <w:rsid w:val="00D21455"/>
    <w:rsid w:val="00D47634"/>
    <w:rsid w:val="00D53821"/>
    <w:rsid w:val="00D709B3"/>
    <w:rsid w:val="00D74CD2"/>
    <w:rsid w:val="00D850DD"/>
    <w:rsid w:val="00D93738"/>
    <w:rsid w:val="00DA0A09"/>
    <w:rsid w:val="00DA0E52"/>
    <w:rsid w:val="00DA2ED6"/>
    <w:rsid w:val="00DA48AC"/>
    <w:rsid w:val="00DB1D55"/>
    <w:rsid w:val="00DB5DF6"/>
    <w:rsid w:val="00DB76B8"/>
    <w:rsid w:val="00DC2EA1"/>
    <w:rsid w:val="00DD00E8"/>
    <w:rsid w:val="00DD4A92"/>
    <w:rsid w:val="00DD6AAF"/>
    <w:rsid w:val="00DE3F5C"/>
    <w:rsid w:val="00DF1D20"/>
    <w:rsid w:val="00E05E61"/>
    <w:rsid w:val="00E07E33"/>
    <w:rsid w:val="00E135BB"/>
    <w:rsid w:val="00E21324"/>
    <w:rsid w:val="00E246B9"/>
    <w:rsid w:val="00E25A49"/>
    <w:rsid w:val="00E31FEA"/>
    <w:rsid w:val="00E43295"/>
    <w:rsid w:val="00E45169"/>
    <w:rsid w:val="00E4553F"/>
    <w:rsid w:val="00E47787"/>
    <w:rsid w:val="00E51C30"/>
    <w:rsid w:val="00E560D2"/>
    <w:rsid w:val="00E64180"/>
    <w:rsid w:val="00E7235D"/>
    <w:rsid w:val="00E74AEE"/>
    <w:rsid w:val="00E75889"/>
    <w:rsid w:val="00E77DAE"/>
    <w:rsid w:val="00E868E5"/>
    <w:rsid w:val="00E9237A"/>
    <w:rsid w:val="00E92E9B"/>
    <w:rsid w:val="00E939FA"/>
    <w:rsid w:val="00EA5765"/>
    <w:rsid w:val="00EB12F2"/>
    <w:rsid w:val="00EB75FD"/>
    <w:rsid w:val="00EC2532"/>
    <w:rsid w:val="00EC7D9D"/>
    <w:rsid w:val="00ED7812"/>
    <w:rsid w:val="00EE3AB9"/>
    <w:rsid w:val="00EE6CD2"/>
    <w:rsid w:val="00EF39A9"/>
    <w:rsid w:val="00EF3B86"/>
    <w:rsid w:val="00F21C49"/>
    <w:rsid w:val="00F317E9"/>
    <w:rsid w:val="00F34554"/>
    <w:rsid w:val="00F35B68"/>
    <w:rsid w:val="00F449C9"/>
    <w:rsid w:val="00F45F77"/>
    <w:rsid w:val="00F5167F"/>
    <w:rsid w:val="00F52258"/>
    <w:rsid w:val="00F65898"/>
    <w:rsid w:val="00F8570A"/>
    <w:rsid w:val="00F91C7B"/>
    <w:rsid w:val="00FA6345"/>
    <w:rsid w:val="00FF3EDF"/>
    <w:rsid w:val="00FF5F82"/>
    <w:rsid w:val="00FF732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D3F2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EB75FD"/>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EB75FD"/>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EB75FD"/>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uiPriority w:val="99"/>
    <w:rsid w:val="004E70AD"/>
    <w:rPr>
      <w:color w:val="0563C1" w:themeColor="hyperlink"/>
      <w:u w:val="single"/>
    </w:rPr>
  </w:style>
  <w:style w:type="character" w:customStyle="1" w:styleId="Bodytext">
    <w:name w:val="Body text_"/>
    <w:link w:val="Bodytext1"/>
    <w:uiPriority w:val="99"/>
    <w:locked/>
    <w:rsid w:val="00EB75FD"/>
    <w:rPr>
      <w:sz w:val="21"/>
      <w:szCs w:val="21"/>
      <w:shd w:val="clear" w:color="auto" w:fill="FFFFFF"/>
    </w:rPr>
  </w:style>
  <w:style w:type="paragraph" w:customStyle="1" w:styleId="Bodytext1">
    <w:name w:val="Body text1"/>
    <w:basedOn w:val="Normal"/>
    <w:link w:val="Bodytext"/>
    <w:uiPriority w:val="99"/>
    <w:rsid w:val="00EB75FD"/>
    <w:pPr>
      <w:shd w:val="clear" w:color="auto" w:fill="FFFFFF"/>
      <w:spacing w:before="300" w:after="600" w:line="240" w:lineRule="atLeast"/>
      <w:ind w:hanging="560"/>
    </w:pPr>
    <w:rPr>
      <w:sz w:val="21"/>
      <w:szCs w:val="21"/>
      <w:lang w:val="sr-Latn-ME" w:eastAsia="sr-Latn-ME"/>
    </w:rPr>
  </w:style>
  <w:style w:type="character" w:customStyle="1" w:styleId="BodyText10">
    <w:name w:val="Body Text1"/>
    <w:uiPriority w:val="99"/>
    <w:rsid w:val="00EB75FD"/>
    <w:rPr>
      <w:rFonts w:ascii="Times New Roman" w:hAnsi="Times New Roman" w:cs="Times New Roman"/>
      <w:spacing w:val="0"/>
      <w:sz w:val="21"/>
      <w:szCs w:val="21"/>
      <w:u w:val="single"/>
      <w:shd w:val="clear" w:color="auto" w:fill="FFFFFF"/>
    </w:rPr>
  </w:style>
  <w:style w:type="character" w:customStyle="1" w:styleId="Bodytext2">
    <w:name w:val="Body text (2)_"/>
    <w:link w:val="Bodytext20"/>
    <w:uiPriority w:val="99"/>
    <w:locked/>
    <w:rsid w:val="00EB75FD"/>
    <w:rPr>
      <w:i/>
      <w:iCs/>
      <w:sz w:val="21"/>
      <w:szCs w:val="21"/>
      <w:shd w:val="clear" w:color="auto" w:fill="FFFFFF"/>
    </w:rPr>
  </w:style>
  <w:style w:type="paragraph" w:customStyle="1" w:styleId="Bodytext20">
    <w:name w:val="Body text (2)"/>
    <w:basedOn w:val="Normal"/>
    <w:link w:val="Bodytext2"/>
    <w:uiPriority w:val="99"/>
    <w:rsid w:val="00EB75FD"/>
    <w:pPr>
      <w:shd w:val="clear" w:color="auto" w:fill="FFFFFF"/>
      <w:spacing w:line="259" w:lineRule="exact"/>
    </w:pPr>
    <w:rPr>
      <w:i/>
      <w:iCs/>
      <w:sz w:val="21"/>
      <w:szCs w:val="21"/>
      <w:lang w:val="sr-Latn-ME" w:eastAsia="sr-Latn-ME"/>
    </w:rPr>
  </w:style>
  <w:style w:type="character" w:customStyle="1" w:styleId="Heading1Char">
    <w:name w:val="Heading 1 Char"/>
    <w:basedOn w:val="DefaultParagraphFont"/>
    <w:link w:val="Heading1"/>
    <w:rsid w:val="00EB75FD"/>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EB75FD"/>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EB75FD"/>
    <w:rPr>
      <w:rFonts w:ascii="Arial" w:hAnsi="Arial" w:cs="Arial"/>
      <w:i/>
      <w:iCs/>
      <w:color w:val="999999"/>
      <w:sz w:val="16"/>
      <w:szCs w:val="24"/>
      <w:lang w:val="en-US" w:eastAsia="en-US"/>
    </w:rPr>
  </w:style>
  <w:style w:type="character" w:customStyle="1" w:styleId="Heading2Char">
    <w:name w:val="Heading 2 Char"/>
    <w:basedOn w:val="DefaultParagraphFont"/>
    <w:link w:val="Heading2"/>
    <w:rsid w:val="00EB75FD"/>
    <w:rPr>
      <w:rFonts w:ascii="Arial" w:hAnsi="Arial" w:cs="Arial"/>
      <w:i/>
      <w:iCs/>
      <w:color w:val="999999"/>
      <w:sz w:val="18"/>
      <w:szCs w:val="24"/>
      <w:lang w:val="en-US" w:eastAsia="en-US"/>
    </w:rPr>
  </w:style>
  <w:style w:type="character" w:customStyle="1" w:styleId="HeaderChar">
    <w:name w:val="Header Char"/>
    <w:basedOn w:val="DefaultParagraphFont"/>
    <w:link w:val="Header"/>
    <w:uiPriority w:val="99"/>
    <w:rsid w:val="00EB75FD"/>
    <w:rPr>
      <w:sz w:val="24"/>
      <w:szCs w:val="24"/>
      <w:lang w:val="en-US" w:eastAsia="en-US"/>
    </w:rPr>
  </w:style>
  <w:style w:type="character" w:customStyle="1" w:styleId="FooterChar">
    <w:name w:val="Footer Char"/>
    <w:basedOn w:val="DefaultParagraphFont"/>
    <w:link w:val="Footer"/>
    <w:rsid w:val="00EB75FD"/>
    <w:rPr>
      <w:sz w:val="24"/>
      <w:szCs w:val="24"/>
      <w:lang w:val="en-US" w:eastAsia="en-US"/>
    </w:rPr>
  </w:style>
  <w:style w:type="character" w:customStyle="1" w:styleId="CommentSubjectChar">
    <w:name w:val="Comment Subject Char"/>
    <w:basedOn w:val="CommentTextChar"/>
    <w:link w:val="CommentSubject"/>
    <w:semiHidden/>
    <w:rsid w:val="00EB75FD"/>
    <w:rPr>
      <w:b/>
      <w:bCs/>
      <w:lang w:val="en-US" w:eastAsia="en-US"/>
    </w:rPr>
  </w:style>
  <w:style w:type="character" w:customStyle="1" w:styleId="BalloonTextChar">
    <w:name w:val="Balloon Text Char"/>
    <w:basedOn w:val="DefaultParagraphFont"/>
    <w:link w:val="BalloonText"/>
    <w:semiHidden/>
    <w:rsid w:val="00EB75FD"/>
    <w:rPr>
      <w:rFonts w:ascii="Tahoma" w:hAnsi="Tahoma" w:cs="Tahoma"/>
      <w:sz w:val="16"/>
      <w:szCs w:val="16"/>
      <w:lang w:val="en-US" w:eastAsia="en-US"/>
    </w:rPr>
  </w:style>
  <w:style w:type="character" w:customStyle="1" w:styleId="Bodytext15">
    <w:name w:val="Body text15"/>
    <w:uiPriority w:val="99"/>
    <w:rsid w:val="00EB75FD"/>
    <w:rPr>
      <w:rFonts w:ascii="Times New Roman" w:hAnsi="Times New Roman" w:cs="Times New Roman"/>
      <w:spacing w:val="0"/>
      <w:sz w:val="21"/>
      <w:szCs w:val="21"/>
      <w:u w:val="single"/>
      <w:shd w:val="clear" w:color="auto" w:fill="FFFFFF"/>
    </w:rPr>
  </w:style>
  <w:style w:type="character" w:customStyle="1" w:styleId="Bodytext14">
    <w:name w:val="Body text14"/>
    <w:uiPriority w:val="99"/>
    <w:rsid w:val="00EB75FD"/>
    <w:rPr>
      <w:rFonts w:ascii="Times New Roman" w:hAnsi="Times New Roman" w:cs="Times New Roman"/>
      <w:spacing w:val="0"/>
      <w:sz w:val="21"/>
      <w:szCs w:val="21"/>
      <w:u w:val="single"/>
      <w:shd w:val="clear" w:color="auto" w:fill="FFFFFF"/>
    </w:rPr>
  </w:style>
  <w:style w:type="character" w:customStyle="1" w:styleId="Bodytext13">
    <w:name w:val="Body text13"/>
    <w:uiPriority w:val="99"/>
    <w:rsid w:val="00EB75FD"/>
    <w:rPr>
      <w:rFonts w:ascii="Times New Roman" w:hAnsi="Times New Roman" w:cs="Times New Roman"/>
      <w:spacing w:val="0"/>
      <w:sz w:val="21"/>
      <w:szCs w:val="21"/>
      <w:u w:val="single"/>
      <w:shd w:val="clear" w:color="auto" w:fill="FFFFFF"/>
    </w:rPr>
  </w:style>
  <w:style w:type="character" w:customStyle="1" w:styleId="Bodytext12">
    <w:name w:val="Body text12"/>
    <w:uiPriority w:val="99"/>
    <w:rsid w:val="00EB75FD"/>
    <w:rPr>
      <w:rFonts w:ascii="Times New Roman" w:hAnsi="Times New Roman" w:cs="Times New Roman"/>
      <w:spacing w:val="0"/>
      <w:sz w:val="21"/>
      <w:szCs w:val="21"/>
      <w:u w:val="single"/>
      <w:shd w:val="clear" w:color="auto" w:fill="FFFFFF"/>
    </w:rPr>
  </w:style>
  <w:style w:type="character" w:customStyle="1" w:styleId="Bodytext4pt">
    <w:name w:val="Body text + 4 pt"/>
    <w:uiPriority w:val="99"/>
    <w:rsid w:val="00EB75FD"/>
    <w:rPr>
      <w:rFonts w:ascii="Times New Roman" w:hAnsi="Times New Roman" w:cs="Times New Roman"/>
      <w:spacing w:val="0"/>
      <w:sz w:val="8"/>
      <w:szCs w:val="8"/>
      <w:shd w:val="clear" w:color="auto" w:fill="FFFFFF"/>
    </w:rPr>
  </w:style>
  <w:style w:type="character" w:customStyle="1" w:styleId="Heading20">
    <w:name w:val="Heading #2_"/>
    <w:link w:val="Heading21"/>
    <w:uiPriority w:val="99"/>
    <w:locked/>
    <w:rsid w:val="00EB75FD"/>
    <w:rPr>
      <w:b/>
      <w:bCs/>
      <w:shd w:val="clear" w:color="auto" w:fill="FFFFFF"/>
    </w:rPr>
  </w:style>
  <w:style w:type="character" w:customStyle="1" w:styleId="Bodytext11">
    <w:name w:val="Body text11"/>
    <w:uiPriority w:val="99"/>
    <w:rsid w:val="00EB75FD"/>
    <w:rPr>
      <w:rFonts w:ascii="Times New Roman" w:hAnsi="Times New Roman" w:cs="Times New Roman"/>
      <w:spacing w:val="0"/>
      <w:sz w:val="21"/>
      <w:szCs w:val="21"/>
      <w:u w:val="single"/>
      <w:shd w:val="clear" w:color="auto" w:fill="FFFFFF"/>
    </w:rPr>
  </w:style>
  <w:style w:type="paragraph" w:customStyle="1" w:styleId="Heading21">
    <w:name w:val="Heading #2"/>
    <w:basedOn w:val="Normal"/>
    <w:link w:val="Heading20"/>
    <w:uiPriority w:val="99"/>
    <w:rsid w:val="00EB75FD"/>
    <w:pPr>
      <w:shd w:val="clear" w:color="auto" w:fill="FFFFFF"/>
      <w:spacing w:before="180" w:after="300" w:line="240" w:lineRule="atLeast"/>
      <w:ind w:hanging="480"/>
      <w:jc w:val="both"/>
      <w:outlineLvl w:val="1"/>
    </w:pPr>
    <w:rPr>
      <w:b/>
      <w:bCs/>
      <w:sz w:val="20"/>
      <w:szCs w:val="20"/>
      <w:lang w:val="sr-Latn-ME" w:eastAsia="sr-Latn-ME"/>
    </w:rPr>
  </w:style>
  <w:style w:type="character" w:customStyle="1" w:styleId="Bodytext100">
    <w:name w:val="Body text10"/>
    <w:uiPriority w:val="99"/>
    <w:rsid w:val="00EB75FD"/>
    <w:rPr>
      <w:rFonts w:ascii="Times New Roman" w:hAnsi="Times New Roman" w:cs="Times New Roman"/>
      <w:spacing w:val="0"/>
      <w:sz w:val="21"/>
      <w:szCs w:val="21"/>
      <w:u w:val="single"/>
      <w:shd w:val="clear" w:color="auto" w:fill="FFFFFF"/>
    </w:rPr>
  </w:style>
  <w:style w:type="character" w:customStyle="1" w:styleId="Bodytext9">
    <w:name w:val="Body text9"/>
    <w:uiPriority w:val="99"/>
    <w:rsid w:val="00EB75FD"/>
    <w:rPr>
      <w:rFonts w:ascii="Times New Roman" w:hAnsi="Times New Roman" w:cs="Times New Roman"/>
      <w:spacing w:val="0"/>
      <w:sz w:val="21"/>
      <w:szCs w:val="21"/>
      <w:u w:val="single"/>
      <w:shd w:val="clear" w:color="auto" w:fill="FFFFFF"/>
    </w:rPr>
  </w:style>
  <w:style w:type="character" w:customStyle="1" w:styleId="Bodytext8">
    <w:name w:val="Body text8"/>
    <w:uiPriority w:val="99"/>
    <w:rsid w:val="00EB75FD"/>
    <w:rPr>
      <w:rFonts w:ascii="Times New Roman" w:hAnsi="Times New Roman" w:cs="Times New Roman"/>
      <w:spacing w:val="0"/>
      <w:sz w:val="21"/>
      <w:szCs w:val="21"/>
      <w:u w:val="single"/>
      <w:shd w:val="clear" w:color="auto" w:fill="FFFFFF"/>
    </w:rPr>
  </w:style>
  <w:style w:type="character" w:customStyle="1" w:styleId="BodytextItalic">
    <w:name w:val="Body text + Italic"/>
    <w:uiPriority w:val="99"/>
    <w:rsid w:val="00EB75FD"/>
    <w:rPr>
      <w:rFonts w:ascii="Times New Roman" w:hAnsi="Times New Roman" w:cs="Times New Roman"/>
      <w:i/>
      <w:iCs/>
      <w:spacing w:val="0"/>
      <w:sz w:val="21"/>
      <w:szCs w:val="21"/>
      <w:shd w:val="clear" w:color="auto" w:fill="FFFFFF"/>
    </w:rPr>
  </w:style>
  <w:style w:type="character" w:customStyle="1" w:styleId="Bodytext4pt3">
    <w:name w:val="Body text + 4 pt3"/>
    <w:uiPriority w:val="99"/>
    <w:rsid w:val="00EB75FD"/>
    <w:rPr>
      <w:rFonts w:ascii="Times New Roman" w:hAnsi="Times New Roman" w:cs="Times New Roman"/>
      <w:spacing w:val="0"/>
      <w:sz w:val="8"/>
      <w:szCs w:val="8"/>
      <w:shd w:val="clear" w:color="auto" w:fill="FFFFFF"/>
    </w:rPr>
  </w:style>
  <w:style w:type="character" w:customStyle="1" w:styleId="Heading10">
    <w:name w:val="Heading #1_"/>
    <w:link w:val="Heading11"/>
    <w:uiPriority w:val="99"/>
    <w:locked/>
    <w:rsid w:val="00EB75FD"/>
    <w:rPr>
      <w:b/>
      <w:bCs/>
      <w:shd w:val="clear" w:color="auto" w:fill="FFFFFF"/>
    </w:rPr>
  </w:style>
  <w:style w:type="paragraph" w:customStyle="1" w:styleId="Heading11">
    <w:name w:val="Heading #1"/>
    <w:basedOn w:val="Normal"/>
    <w:link w:val="Heading10"/>
    <w:uiPriority w:val="99"/>
    <w:rsid w:val="00EB75FD"/>
    <w:pPr>
      <w:shd w:val="clear" w:color="auto" w:fill="FFFFFF"/>
      <w:spacing w:after="300" w:line="240" w:lineRule="atLeast"/>
      <w:outlineLvl w:val="0"/>
    </w:pPr>
    <w:rPr>
      <w:b/>
      <w:bCs/>
      <w:sz w:val="20"/>
      <w:szCs w:val="20"/>
      <w:lang w:val="sr-Latn-ME" w:eastAsia="sr-Latn-ME"/>
    </w:rPr>
  </w:style>
  <w:style w:type="character" w:customStyle="1" w:styleId="Bodytext7">
    <w:name w:val="Body text7"/>
    <w:uiPriority w:val="99"/>
    <w:rsid w:val="00EB75FD"/>
    <w:rPr>
      <w:rFonts w:ascii="Times New Roman" w:hAnsi="Times New Roman" w:cs="Times New Roman"/>
      <w:spacing w:val="0"/>
      <w:sz w:val="21"/>
      <w:szCs w:val="21"/>
      <w:u w:val="single"/>
      <w:shd w:val="clear" w:color="auto" w:fill="FFFFFF"/>
    </w:rPr>
  </w:style>
  <w:style w:type="character" w:customStyle="1" w:styleId="BodytextItalic1">
    <w:name w:val="Body text + Italic1"/>
    <w:uiPriority w:val="99"/>
    <w:rsid w:val="00EB75FD"/>
    <w:rPr>
      <w:rFonts w:ascii="Times New Roman" w:hAnsi="Times New Roman" w:cs="Times New Roman"/>
      <w:i/>
      <w:iCs/>
      <w:spacing w:val="0"/>
      <w:sz w:val="21"/>
      <w:szCs w:val="21"/>
      <w:shd w:val="clear" w:color="auto" w:fill="FFFFFF"/>
    </w:rPr>
  </w:style>
  <w:style w:type="character" w:customStyle="1" w:styleId="Bodytext4pt2">
    <w:name w:val="Body text + 4 pt2"/>
    <w:uiPriority w:val="99"/>
    <w:rsid w:val="00EB75FD"/>
    <w:rPr>
      <w:rFonts w:ascii="Times New Roman" w:hAnsi="Times New Roman" w:cs="Times New Roman"/>
      <w:noProof/>
      <w:spacing w:val="0"/>
      <w:sz w:val="8"/>
      <w:szCs w:val="8"/>
      <w:shd w:val="clear" w:color="auto" w:fill="FFFFFF"/>
    </w:rPr>
  </w:style>
  <w:style w:type="character" w:customStyle="1" w:styleId="Bodytext6">
    <w:name w:val="Body text6"/>
    <w:uiPriority w:val="99"/>
    <w:rsid w:val="00EB75FD"/>
    <w:rPr>
      <w:rFonts w:ascii="Times New Roman" w:hAnsi="Times New Roman" w:cs="Times New Roman"/>
      <w:spacing w:val="0"/>
      <w:sz w:val="21"/>
      <w:szCs w:val="21"/>
      <w:u w:val="single"/>
      <w:shd w:val="clear" w:color="auto" w:fill="FFFFFF"/>
    </w:rPr>
  </w:style>
  <w:style w:type="character" w:customStyle="1" w:styleId="Bodytext4">
    <w:name w:val="Body text (4)_"/>
    <w:link w:val="Bodytext40"/>
    <w:uiPriority w:val="99"/>
    <w:locked/>
    <w:rsid w:val="00EB75FD"/>
    <w:rPr>
      <w:b/>
      <w:bCs/>
      <w:shd w:val="clear" w:color="auto" w:fill="FFFFFF"/>
    </w:rPr>
  </w:style>
  <w:style w:type="paragraph" w:customStyle="1" w:styleId="Bodytext40">
    <w:name w:val="Body text (4)"/>
    <w:basedOn w:val="Normal"/>
    <w:link w:val="Bodytext4"/>
    <w:uiPriority w:val="99"/>
    <w:rsid w:val="00EB75FD"/>
    <w:pPr>
      <w:shd w:val="clear" w:color="auto" w:fill="FFFFFF"/>
      <w:spacing w:line="240" w:lineRule="atLeast"/>
    </w:pPr>
    <w:rPr>
      <w:b/>
      <w:bCs/>
      <w:sz w:val="20"/>
      <w:szCs w:val="20"/>
      <w:lang w:val="sr-Latn-ME" w:eastAsia="sr-Latn-ME"/>
    </w:rPr>
  </w:style>
  <w:style w:type="character" w:customStyle="1" w:styleId="Tablecaption">
    <w:name w:val="Table caption_"/>
    <w:link w:val="Tablecaption0"/>
    <w:uiPriority w:val="99"/>
    <w:locked/>
    <w:rsid w:val="00EB75FD"/>
    <w:rPr>
      <w:b/>
      <w:bCs/>
      <w:shd w:val="clear" w:color="auto" w:fill="FFFFFF"/>
    </w:rPr>
  </w:style>
  <w:style w:type="paragraph" w:customStyle="1" w:styleId="Tablecaption0">
    <w:name w:val="Table caption"/>
    <w:basedOn w:val="Normal"/>
    <w:link w:val="Tablecaption"/>
    <w:uiPriority w:val="99"/>
    <w:rsid w:val="00EB75FD"/>
    <w:pPr>
      <w:shd w:val="clear" w:color="auto" w:fill="FFFFFF"/>
      <w:spacing w:line="240" w:lineRule="atLeast"/>
    </w:pPr>
    <w:rPr>
      <w:b/>
      <w:bCs/>
      <w:sz w:val="20"/>
      <w:szCs w:val="20"/>
      <w:lang w:val="sr-Latn-ME" w:eastAsia="sr-Latn-ME"/>
    </w:rPr>
  </w:style>
  <w:style w:type="character" w:customStyle="1" w:styleId="Bodytext5">
    <w:name w:val="Body text5"/>
    <w:uiPriority w:val="99"/>
    <w:rsid w:val="00EB75FD"/>
    <w:rPr>
      <w:rFonts w:ascii="Times New Roman" w:hAnsi="Times New Roman" w:cs="Times New Roman"/>
      <w:spacing w:val="0"/>
      <w:sz w:val="21"/>
      <w:szCs w:val="21"/>
      <w:u w:val="single"/>
      <w:shd w:val="clear" w:color="auto" w:fill="FFFFFF"/>
    </w:rPr>
  </w:style>
  <w:style w:type="character" w:customStyle="1" w:styleId="Bodytext41">
    <w:name w:val="Body text4"/>
    <w:uiPriority w:val="99"/>
    <w:rsid w:val="00EB75FD"/>
    <w:rPr>
      <w:rFonts w:ascii="Times New Roman" w:hAnsi="Times New Roman" w:cs="Times New Roman"/>
      <w:spacing w:val="0"/>
      <w:sz w:val="21"/>
      <w:szCs w:val="21"/>
      <w:u w:val="single"/>
      <w:shd w:val="clear" w:color="auto" w:fill="FFFFFF"/>
    </w:rPr>
  </w:style>
  <w:style w:type="character" w:customStyle="1" w:styleId="Bodytext4pt1">
    <w:name w:val="Body text + 4 pt1"/>
    <w:uiPriority w:val="99"/>
    <w:rsid w:val="00EB75FD"/>
    <w:rPr>
      <w:rFonts w:ascii="Times New Roman" w:hAnsi="Times New Roman" w:cs="Times New Roman"/>
      <w:spacing w:val="0"/>
      <w:sz w:val="8"/>
      <w:szCs w:val="8"/>
      <w:shd w:val="clear" w:color="auto" w:fill="FFFFFF"/>
    </w:rPr>
  </w:style>
  <w:style w:type="character" w:customStyle="1" w:styleId="Bodytext3">
    <w:name w:val="Body text3"/>
    <w:uiPriority w:val="99"/>
    <w:rsid w:val="00EB75FD"/>
    <w:rPr>
      <w:rFonts w:ascii="Times New Roman" w:hAnsi="Times New Roman" w:cs="Times New Roman"/>
      <w:spacing w:val="0"/>
      <w:sz w:val="21"/>
      <w:szCs w:val="21"/>
      <w:u w:val="single"/>
      <w:shd w:val="clear" w:color="auto" w:fill="FFFFFF"/>
    </w:rPr>
  </w:style>
  <w:style w:type="character" w:customStyle="1" w:styleId="Bodytext21">
    <w:name w:val="Body text2"/>
    <w:uiPriority w:val="99"/>
    <w:rsid w:val="00EB75FD"/>
    <w:rPr>
      <w:rFonts w:ascii="Times New Roman" w:hAnsi="Times New Roman" w:cs="Times New Roman"/>
      <w:spacing w:val="0"/>
      <w:sz w:val="21"/>
      <w:szCs w:val="21"/>
      <w:u w:val="single"/>
      <w:shd w:val="clear" w:color="auto" w:fill="FFFFFF"/>
    </w:rPr>
  </w:style>
  <w:style w:type="paragraph" w:customStyle="1" w:styleId="Default">
    <w:name w:val="Default"/>
    <w:rsid w:val="00EB75FD"/>
    <w:pPr>
      <w:autoSpaceDE w:val="0"/>
      <w:autoSpaceDN w:val="0"/>
      <w:adjustRightInd w:val="0"/>
    </w:pPr>
    <w:rPr>
      <w:color w:val="000000"/>
      <w:sz w:val="24"/>
      <w:szCs w:val="24"/>
      <w:lang w:val="en-US" w:eastAsia="en-US"/>
    </w:rPr>
  </w:style>
  <w:style w:type="paragraph" w:customStyle="1" w:styleId="NASLOV123">
    <w:name w:val="NASLOV 123"/>
    <w:basedOn w:val="Normal"/>
    <w:qFormat/>
    <w:rsid w:val="00EB75FD"/>
    <w:pPr>
      <w:tabs>
        <w:tab w:val="left" w:pos="284"/>
      </w:tabs>
      <w:spacing w:before="200" w:after="200"/>
    </w:pPr>
    <w:rPr>
      <w:b/>
      <w:sz w:val="22"/>
      <w:szCs w:val="22"/>
    </w:rPr>
  </w:style>
  <w:style w:type="paragraph" w:styleId="ListParagraph">
    <w:name w:val="List Paragraph"/>
    <w:basedOn w:val="Normal"/>
    <w:uiPriority w:val="34"/>
    <w:qFormat/>
    <w:rsid w:val="00EB75FD"/>
    <w:pPr>
      <w:spacing w:after="160" w:line="259" w:lineRule="auto"/>
      <w:ind w:left="720"/>
      <w:contextualSpacing/>
    </w:pPr>
    <w:rPr>
      <w:rFonts w:ascii="Arial" w:eastAsia="Calibri" w:hAnsi="Arial"/>
      <w:sz w:val="20"/>
      <w:szCs w:val="22"/>
    </w:rPr>
  </w:style>
  <w:style w:type="paragraph" w:styleId="Revision">
    <w:name w:val="Revision"/>
    <w:hidden/>
    <w:uiPriority w:val="99"/>
    <w:semiHidden/>
    <w:rsid w:val="00EB75FD"/>
    <w:rPr>
      <w:rFonts w:ascii="Humanist777" w:hAnsi="Humanist777"/>
      <w:sz w:val="24"/>
      <w:szCs w:val="24"/>
      <w:lang w:val="en-US" w:eastAsia="en-US"/>
    </w:rPr>
  </w:style>
  <w:style w:type="character" w:styleId="Emphasis">
    <w:name w:val="Emphasis"/>
    <w:basedOn w:val="DefaultParagraphFont"/>
    <w:qFormat/>
    <w:rsid w:val="00EB75FD"/>
    <w:rPr>
      <w:i/>
      <w:iCs/>
    </w:rPr>
  </w:style>
  <w:style w:type="character" w:styleId="FollowedHyperlink">
    <w:name w:val="FollowedHyperlink"/>
    <w:basedOn w:val="DefaultParagraphFont"/>
    <w:uiPriority w:val="99"/>
    <w:unhideWhenUsed/>
    <w:rsid w:val="00EB75FD"/>
    <w:rPr>
      <w:color w:val="954F72" w:themeColor="followedHyperlink"/>
      <w:u w:val="single"/>
    </w:rPr>
  </w:style>
  <w:style w:type="table" w:styleId="TableGrid">
    <w:name w:val="Table Grid"/>
    <w:basedOn w:val="TableNormal"/>
    <w:rsid w:val="00A2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5B85-FCF5-48B8-B3AD-BC3F5BA8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12343</Words>
  <Characters>70357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82535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5</cp:revision>
  <cp:lastPrinted>2024-12-31T10:23:00Z</cp:lastPrinted>
  <dcterms:created xsi:type="dcterms:W3CDTF">2025-04-02T10:14:00Z</dcterms:created>
  <dcterms:modified xsi:type="dcterms:W3CDTF">2025-04-16T11:19:00Z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2023-12-04T21:43:57Z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8d470fa4-60a6-4274-8d8c-dce94f8c2792</vt:lpwstr>
  </property>
  <property fmtid="{D5CDD505-2E9C-101B-9397-08002B2CF9AE}" pid="9" name="MSIP_Label_3c9bec58-8084-492e-8360-0e1cfe36408c_ContentBits">
    <vt:lpwstr>0</vt:lpwstr>
  </property>
</Properties>
</file>