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E3D37" w14:textId="77777777" w:rsidR="001A5518" w:rsidRPr="00A14E37" w:rsidRDefault="001A5518" w:rsidP="001A5518">
      <w:pPr>
        <w:rPr>
          <w:b/>
          <w:bCs/>
          <w:i/>
          <w:iCs/>
          <w:sz w:val="22"/>
          <w:szCs w:val="22"/>
          <w:u w:val="single"/>
          <w:lang w:val="sr-Latn-ME"/>
        </w:rPr>
      </w:pPr>
    </w:p>
    <w:p w14:paraId="7AEF1655" w14:textId="77777777" w:rsidR="00F91C7B" w:rsidRPr="00A14E37" w:rsidRDefault="00F91C7B" w:rsidP="001A5518">
      <w:pPr>
        <w:rPr>
          <w:b/>
          <w:bCs/>
          <w:i/>
          <w:iCs/>
          <w:sz w:val="22"/>
          <w:szCs w:val="22"/>
          <w:u w:val="single"/>
          <w:lang w:val="sr-Latn-ME"/>
        </w:rPr>
      </w:pPr>
    </w:p>
    <w:p w14:paraId="4138B34A" w14:textId="77777777" w:rsidR="002510A5" w:rsidRPr="00A14E37" w:rsidRDefault="002510A5" w:rsidP="002510A5">
      <w:pPr>
        <w:jc w:val="center"/>
        <w:rPr>
          <w:b/>
          <w:bCs/>
          <w:iCs/>
          <w:sz w:val="22"/>
          <w:szCs w:val="22"/>
          <w:u w:val="single"/>
          <w:lang w:val="sr-Latn-ME"/>
        </w:rPr>
      </w:pPr>
      <w:r w:rsidRPr="00A14E37">
        <w:rPr>
          <w:b/>
          <w:bCs/>
          <w:iCs/>
          <w:sz w:val="22"/>
          <w:szCs w:val="22"/>
          <w:u w:val="single"/>
          <w:lang w:val="sr-Latn-ME"/>
        </w:rPr>
        <w:t>SAŽETAK KARAKTERISTIKA LIJEKA</w:t>
      </w:r>
    </w:p>
    <w:p w14:paraId="3742F3D4" w14:textId="77777777" w:rsidR="002510A5" w:rsidRPr="00A14E37" w:rsidRDefault="002510A5" w:rsidP="002510A5">
      <w:pPr>
        <w:rPr>
          <w:b/>
          <w:bCs/>
          <w:i/>
          <w:iCs/>
          <w:sz w:val="22"/>
          <w:szCs w:val="22"/>
          <w:u w:val="single"/>
          <w:lang w:val="sr-Latn-ME"/>
        </w:rPr>
      </w:pPr>
    </w:p>
    <w:p w14:paraId="1E90CC9B" w14:textId="77777777" w:rsidR="003C17AB" w:rsidRPr="00A14E37" w:rsidRDefault="003C17AB" w:rsidP="002045DA">
      <w:pPr>
        <w:jc w:val="both"/>
        <w:rPr>
          <w:sz w:val="22"/>
          <w:szCs w:val="22"/>
          <w:lang w:val="sr-Latn-ME"/>
        </w:rPr>
      </w:pPr>
    </w:p>
    <w:p w14:paraId="34061FD0"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1.</w:t>
      </w:r>
      <w:r w:rsidR="00F5167F" w:rsidRPr="00A14E37">
        <w:rPr>
          <w:b/>
          <w:bCs/>
          <w:sz w:val="22"/>
          <w:szCs w:val="22"/>
          <w:lang w:val="sr-Latn-ME"/>
        </w:rPr>
        <w:tab/>
      </w:r>
      <w:r w:rsidR="002846DB" w:rsidRPr="00A14E37">
        <w:rPr>
          <w:b/>
          <w:bCs/>
          <w:sz w:val="22"/>
          <w:szCs w:val="22"/>
          <w:lang w:val="sr-Latn-ME"/>
        </w:rPr>
        <w:t xml:space="preserve">NAZIV </w:t>
      </w:r>
      <w:r w:rsidRPr="00A14E37">
        <w:rPr>
          <w:b/>
          <w:bCs/>
          <w:sz w:val="22"/>
          <w:szCs w:val="22"/>
          <w:lang w:val="sr-Latn-ME"/>
        </w:rPr>
        <w:t>LIJEKA</w:t>
      </w:r>
    </w:p>
    <w:p w14:paraId="69FF4FAB" w14:textId="77777777" w:rsidR="00EC2532" w:rsidRPr="00A14E37" w:rsidRDefault="00EC2532" w:rsidP="002045DA">
      <w:pPr>
        <w:jc w:val="both"/>
        <w:rPr>
          <w:sz w:val="22"/>
          <w:szCs w:val="22"/>
          <w:lang w:val="sr-Latn-ME"/>
        </w:rPr>
      </w:pPr>
    </w:p>
    <w:p w14:paraId="02A03C8D" w14:textId="14796B17" w:rsidR="000D425A" w:rsidRPr="00A14E37" w:rsidRDefault="00D80BDD" w:rsidP="00B37A2A">
      <w:pPr>
        <w:jc w:val="both"/>
        <w:rPr>
          <w:bCs/>
          <w:sz w:val="22"/>
          <w:szCs w:val="22"/>
          <w:lang w:val="sr-Latn-ME"/>
        </w:rPr>
      </w:pPr>
      <w:r w:rsidRPr="00A14E37">
        <w:rPr>
          <w:iCs/>
          <w:sz w:val="22"/>
          <w:szCs w:val="22"/>
          <w:lang w:val="sr-Latn-ME"/>
        </w:rPr>
        <w:t>Sandimmun Neoral, 100 mg/ml, oralni rastvor</w:t>
      </w:r>
    </w:p>
    <w:p w14:paraId="583F9023" w14:textId="77777777" w:rsidR="00D80BDD" w:rsidRPr="00A14E37" w:rsidRDefault="00D80BDD" w:rsidP="00B37A2A">
      <w:pPr>
        <w:jc w:val="both"/>
        <w:rPr>
          <w:sz w:val="22"/>
          <w:szCs w:val="22"/>
          <w:lang w:val="sr-Latn-ME"/>
        </w:rPr>
      </w:pPr>
    </w:p>
    <w:p w14:paraId="19898149" w14:textId="77777777" w:rsidR="006D20A5" w:rsidRPr="00A14E37" w:rsidRDefault="006D20A5" w:rsidP="006D0274">
      <w:pPr>
        <w:jc w:val="both"/>
        <w:rPr>
          <w:sz w:val="22"/>
          <w:szCs w:val="22"/>
          <w:lang w:val="sr-Latn-ME"/>
        </w:rPr>
      </w:pPr>
      <w:r w:rsidRPr="00A14E37">
        <w:rPr>
          <w:sz w:val="22"/>
          <w:szCs w:val="22"/>
          <w:lang w:val="sr-Latn-ME"/>
        </w:rPr>
        <w:t>INN:</w:t>
      </w:r>
      <w:r w:rsidR="00D80BDD" w:rsidRPr="00A14E37">
        <w:rPr>
          <w:sz w:val="22"/>
          <w:szCs w:val="22"/>
          <w:lang w:val="sr-Latn-ME"/>
        </w:rPr>
        <w:t xml:space="preserve"> ciklosporin</w:t>
      </w:r>
    </w:p>
    <w:p w14:paraId="4B318D95" w14:textId="77777777" w:rsidR="006D20A5" w:rsidRPr="00A14E37" w:rsidRDefault="006D20A5" w:rsidP="002045DA">
      <w:pPr>
        <w:jc w:val="both"/>
        <w:rPr>
          <w:bCs/>
          <w:sz w:val="22"/>
          <w:szCs w:val="22"/>
          <w:lang w:val="sr-Latn-ME"/>
        </w:rPr>
      </w:pPr>
    </w:p>
    <w:p w14:paraId="47117295" w14:textId="77777777" w:rsidR="00530BD7" w:rsidRPr="00A14E37" w:rsidRDefault="00530BD7" w:rsidP="002045DA">
      <w:pPr>
        <w:jc w:val="both"/>
        <w:rPr>
          <w:bCs/>
          <w:sz w:val="22"/>
          <w:szCs w:val="22"/>
          <w:lang w:val="sr-Latn-ME"/>
        </w:rPr>
      </w:pPr>
    </w:p>
    <w:p w14:paraId="036595B9"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 xml:space="preserve">2. </w:t>
      </w:r>
      <w:r w:rsidR="00F5167F" w:rsidRPr="00A14E37">
        <w:rPr>
          <w:b/>
          <w:bCs/>
          <w:sz w:val="22"/>
          <w:szCs w:val="22"/>
          <w:lang w:val="sr-Latn-ME"/>
        </w:rPr>
        <w:tab/>
      </w:r>
      <w:r w:rsidRPr="00A14E37">
        <w:rPr>
          <w:b/>
          <w:bCs/>
          <w:sz w:val="22"/>
          <w:szCs w:val="22"/>
          <w:lang w:val="sr-Latn-ME"/>
        </w:rPr>
        <w:t>KVALITATIVNI I KVANTITATIVNI SASTAV</w:t>
      </w:r>
    </w:p>
    <w:p w14:paraId="6B2D9AA5" w14:textId="77777777" w:rsidR="005A0B2E" w:rsidRPr="00A14E37" w:rsidRDefault="005A0B2E" w:rsidP="002045DA">
      <w:pPr>
        <w:jc w:val="both"/>
        <w:rPr>
          <w:sz w:val="22"/>
          <w:szCs w:val="22"/>
          <w:lang w:val="sr-Latn-ME"/>
        </w:rPr>
      </w:pPr>
    </w:p>
    <w:p w14:paraId="4F928DDF" w14:textId="7EF9BDFE" w:rsidR="00D80BDD" w:rsidRPr="00A14E37" w:rsidRDefault="002E0252" w:rsidP="00F949C5">
      <w:pPr>
        <w:pStyle w:val="Text"/>
        <w:spacing w:before="0"/>
        <w:rPr>
          <w:noProof/>
          <w:color w:val="000000"/>
          <w:sz w:val="22"/>
          <w:szCs w:val="22"/>
          <w:lang w:val="sr-Latn-ME"/>
        </w:rPr>
      </w:pPr>
      <w:r w:rsidRPr="00A14E37">
        <w:rPr>
          <w:noProof/>
          <w:color w:val="000000"/>
          <w:sz w:val="22"/>
          <w:szCs w:val="22"/>
          <w:lang w:val="sr-Latn-ME"/>
        </w:rPr>
        <w:t>1 ml</w:t>
      </w:r>
      <w:r w:rsidR="00D80BDD" w:rsidRPr="00A14E37">
        <w:rPr>
          <w:noProof/>
          <w:color w:val="000000"/>
          <w:sz w:val="22"/>
          <w:szCs w:val="22"/>
          <w:lang w:val="sr-Latn-ME"/>
        </w:rPr>
        <w:t xml:space="preserve"> oraln</w:t>
      </w:r>
      <w:r w:rsidRPr="00A14E37">
        <w:rPr>
          <w:noProof/>
          <w:color w:val="000000"/>
          <w:sz w:val="22"/>
          <w:szCs w:val="22"/>
          <w:lang w:val="sr-Latn-ME"/>
        </w:rPr>
        <w:t>og</w:t>
      </w:r>
      <w:r w:rsidR="00D80BDD" w:rsidRPr="00A14E37">
        <w:rPr>
          <w:noProof/>
          <w:color w:val="000000"/>
          <w:sz w:val="22"/>
          <w:szCs w:val="22"/>
          <w:lang w:val="sr-Latn-ME"/>
        </w:rPr>
        <w:t xml:space="preserve"> rastvor</w:t>
      </w:r>
      <w:r w:rsidRPr="00A14E37">
        <w:rPr>
          <w:noProof/>
          <w:color w:val="000000"/>
          <w:sz w:val="22"/>
          <w:szCs w:val="22"/>
          <w:lang w:val="sr-Latn-ME"/>
        </w:rPr>
        <w:t>a</w:t>
      </w:r>
      <w:r w:rsidR="00D80BDD" w:rsidRPr="00A14E37">
        <w:rPr>
          <w:noProof/>
          <w:color w:val="000000"/>
          <w:sz w:val="22"/>
          <w:szCs w:val="22"/>
          <w:lang w:val="sr-Latn-ME"/>
        </w:rPr>
        <w:t xml:space="preserve"> sadrži 100 mg ciklosporina.</w:t>
      </w:r>
    </w:p>
    <w:p w14:paraId="44E1B833" w14:textId="77777777" w:rsidR="002E0252" w:rsidRPr="00A14E37" w:rsidRDefault="002E0252" w:rsidP="00F949C5">
      <w:pPr>
        <w:pStyle w:val="Text"/>
        <w:spacing w:before="0"/>
        <w:rPr>
          <w:noProof/>
          <w:color w:val="000000"/>
          <w:sz w:val="22"/>
          <w:szCs w:val="22"/>
          <w:lang w:val="sr-Latn-ME"/>
        </w:rPr>
      </w:pPr>
    </w:p>
    <w:p w14:paraId="1D70CE9B" w14:textId="25C4596A" w:rsidR="002E0252" w:rsidRPr="00A14E37" w:rsidRDefault="002E0252">
      <w:pPr>
        <w:pStyle w:val="Text"/>
        <w:spacing w:before="0"/>
        <w:rPr>
          <w:noProof/>
          <w:color w:val="000000"/>
          <w:sz w:val="22"/>
          <w:szCs w:val="22"/>
          <w:lang w:val="sr-Latn-ME"/>
        </w:rPr>
      </w:pPr>
      <w:r w:rsidRPr="00A14E37">
        <w:rPr>
          <w:noProof/>
          <w:color w:val="000000"/>
          <w:sz w:val="22"/>
          <w:szCs w:val="22"/>
          <w:u w:val="single"/>
          <w:lang w:val="sr-Latn-ME"/>
        </w:rPr>
        <w:t>Pomoćne suspstance sa potvrđenim dejstvom</w:t>
      </w:r>
      <w:r w:rsidRPr="00A14E37">
        <w:rPr>
          <w:noProof/>
          <w:color w:val="000000"/>
          <w:sz w:val="22"/>
          <w:szCs w:val="22"/>
          <w:lang w:val="sr-Latn-ME"/>
        </w:rPr>
        <w:t>:</w:t>
      </w:r>
    </w:p>
    <w:p w14:paraId="3A93CAF8" w14:textId="70A46412" w:rsidR="00D80BDD" w:rsidRPr="00A14E37" w:rsidRDefault="00D80BDD" w:rsidP="002045DA">
      <w:pPr>
        <w:pStyle w:val="Text"/>
        <w:spacing w:before="0"/>
        <w:rPr>
          <w:noProof/>
          <w:color w:val="000000"/>
          <w:sz w:val="22"/>
          <w:szCs w:val="22"/>
          <w:lang w:val="sr-Latn-ME"/>
        </w:rPr>
      </w:pPr>
      <w:r w:rsidRPr="00A14E37">
        <w:rPr>
          <w:noProof/>
          <w:color w:val="000000"/>
          <w:sz w:val="22"/>
          <w:szCs w:val="22"/>
          <w:lang w:val="sr-Latn-ME"/>
        </w:rPr>
        <w:t>Etanol: 94,70 mg/ml. Sandimmun Neoral, oralni rastvor sadrži 12% v/v etanola (9,5% m/v).</w:t>
      </w:r>
    </w:p>
    <w:p w14:paraId="52DE584C" w14:textId="7C699283" w:rsidR="00D80BDD" w:rsidRPr="00A14E37" w:rsidRDefault="00D80BDD" w:rsidP="002045DA">
      <w:pPr>
        <w:pStyle w:val="Text"/>
        <w:spacing w:before="0"/>
        <w:rPr>
          <w:noProof/>
          <w:color w:val="000000"/>
          <w:sz w:val="22"/>
          <w:szCs w:val="22"/>
          <w:lang w:val="sr-Latn-ME"/>
        </w:rPr>
      </w:pPr>
      <w:r w:rsidRPr="00A14E37">
        <w:rPr>
          <w:noProof/>
          <w:color w:val="000000"/>
          <w:sz w:val="22"/>
          <w:szCs w:val="22"/>
          <w:lang w:val="sr-Latn-ME"/>
        </w:rPr>
        <w:t>Propilen</w:t>
      </w:r>
      <w:r w:rsidR="002E0252" w:rsidRPr="00A14E37">
        <w:rPr>
          <w:noProof/>
          <w:color w:val="000000"/>
          <w:sz w:val="22"/>
          <w:szCs w:val="22"/>
          <w:lang w:val="sr-Latn-ME"/>
        </w:rPr>
        <w:t xml:space="preserve"> </w:t>
      </w:r>
      <w:r w:rsidRPr="00A14E37">
        <w:rPr>
          <w:noProof/>
          <w:color w:val="000000"/>
          <w:sz w:val="22"/>
          <w:szCs w:val="22"/>
          <w:lang w:val="sr-Latn-ME"/>
        </w:rPr>
        <w:t>glikol: 94,7 mg/ml</w:t>
      </w:r>
    </w:p>
    <w:p w14:paraId="36EE2B09" w14:textId="15E9B4C0" w:rsidR="00D80BDD" w:rsidRPr="00A14E37" w:rsidRDefault="002E0252" w:rsidP="002045DA">
      <w:pPr>
        <w:pStyle w:val="Text"/>
        <w:spacing w:before="0"/>
        <w:rPr>
          <w:noProof/>
          <w:color w:val="000000"/>
          <w:sz w:val="22"/>
          <w:szCs w:val="22"/>
          <w:lang w:val="sr-Latn-ME"/>
        </w:rPr>
      </w:pPr>
      <w:r w:rsidRPr="00A14E37">
        <w:rPr>
          <w:noProof/>
          <w:color w:val="000000"/>
          <w:sz w:val="22"/>
          <w:szCs w:val="22"/>
          <w:lang w:val="sr-Latn-ME"/>
        </w:rPr>
        <w:t>M</w:t>
      </w:r>
      <w:r w:rsidR="00D80BDD" w:rsidRPr="00A14E37">
        <w:rPr>
          <w:noProof/>
          <w:color w:val="000000"/>
          <w:sz w:val="22"/>
          <w:szCs w:val="22"/>
          <w:lang w:val="sr-Latn-ME"/>
        </w:rPr>
        <w:t>akrogolglicerol hidroksistearat: 383,70 mg/ml</w:t>
      </w:r>
    </w:p>
    <w:p w14:paraId="69F5C06C" w14:textId="77777777" w:rsidR="00D80BDD" w:rsidRPr="00A14E37" w:rsidRDefault="00D80BDD" w:rsidP="002045DA">
      <w:pPr>
        <w:jc w:val="both"/>
        <w:rPr>
          <w:sz w:val="22"/>
          <w:szCs w:val="22"/>
          <w:lang w:val="sr-Latn-ME"/>
        </w:rPr>
      </w:pPr>
    </w:p>
    <w:p w14:paraId="13E3EC5E" w14:textId="77777777" w:rsidR="0003793F" w:rsidRPr="00A14E37" w:rsidRDefault="0003793F" w:rsidP="002045DA">
      <w:pPr>
        <w:jc w:val="both"/>
        <w:rPr>
          <w:sz w:val="22"/>
          <w:szCs w:val="22"/>
          <w:lang w:val="sr-Latn-ME"/>
        </w:rPr>
      </w:pPr>
      <w:r w:rsidRPr="00A14E37">
        <w:rPr>
          <w:sz w:val="22"/>
          <w:szCs w:val="22"/>
          <w:lang w:val="sr-Latn-ME"/>
        </w:rPr>
        <w:t>Za spisak svih ekscipijenasa, pogledati dio 6.1.</w:t>
      </w:r>
    </w:p>
    <w:p w14:paraId="29EF92AA" w14:textId="77777777" w:rsidR="0003793F" w:rsidRPr="00A14E37" w:rsidRDefault="0003793F">
      <w:pPr>
        <w:jc w:val="both"/>
        <w:rPr>
          <w:sz w:val="22"/>
          <w:szCs w:val="22"/>
          <w:lang w:val="sr-Latn-ME"/>
        </w:rPr>
      </w:pPr>
    </w:p>
    <w:p w14:paraId="66DA464B" w14:textId="77777777" w:rsidR="00C37FD7" w:rsidRPr="00A14E37" w:rsidRDefault="00C37FD7">
      <w:pPr>
        <w:jc w:val="both"/>
        <w:rPr>
          <w:sz w:val="22"/>
          <w:szCs w:val="22"/>
          <w:lang w:val="sr-Latn-ME"/>
        </w:rPr>
      </w:pPr>
    </w:p>
    <w:p w14:paraId="5EC79079" w14:textId="77777777" w:rsidR="00411B4B" w:rsidRPr="00A14E37" w:rsidRDefault="00411B4B">
      <w:pPr>
        <w:tabs>
          <w:tab w:val="left" w:pos="540"/>
          <w:tab w:val="left" w:pos="569"/>
        </w:tabs>
        <w:jc w:val="both"/>
        <w:rPr>
          <w:b/>
          <w:bCs/>
          <w:sz w:val="22"/>
          <w:szCs w:val="22"/>
          <w:lang w:val="sr-Latn-ME"/>
        </w:rPr>
      </w:pPr>
      <w:r w:rsidRPr="00A14E37">
        <w:rPr>
          <w:b/>
          <w:bCs/>
          <w:sz w:val="22"/>
          <w:szCs w:val="22"/>
          <w:lang w:val="sr-Latn-ME"/>
        </w:rPr>
        <w:t xml:space="preserve">3. </w:t>
      </w:r>
      <w:r w:rsidR="00F5167F" w:rsidRPr="00A14E37">
        <w:rPr>
          <w:b/>
          <w:bCs/>
          <w:sz w:val="22"/>
          <w:szCs w:val="22"/>
          <w:lang w:val="sr-Latn-ME"/>
        </w:rPr>
        <w:tab/>
      </w:r>
      <w:r w:rsidRPr="00A14E37">
        <w:rPr>
          <w:b/>
          <w:bCs/>
          <w:sz w:val="22"/>
          <w:szCs w:val="22"/>
          <w:lang w:val="sr-Latn-ME"/>
        </w:rPr>
        <w:t>FARMACEUTSKI OBLIK</w:t>
      </w:r>
      <w:r w:rsidR="009F2D23" w:rsidRPr="00A14E37">
        <w:rPr>
          <w:b/>
          <w:bCs/>
          <w:sz w:val="22"/>
          <w:szCs w:val="22"/>
          <w:lang w:val="sr-Latn-ME"/>
        </w:rPr>
        <w:t xml:space="preserve"> </w:t>
      </w:r>
    </w:p>
    <w:p w14:paraId="28FE5B02" w14:textId="77777777" w:rsidR="00411B4B" w:rsidRPr="00A14E37" w:rsidRDefault="00411B4B">
      <w:pPr>
        <w:jc w:val="both"/>
        <w:rPr>
          <w:bCs/>
          <w:sz w:val="22"/>
          <w:szCs w:val="22"/>
          <w:lang w:val="sr-Latn-ME"/>
        </w:rPr>
      </w:pPr>
    </w:p>
    <w:p w14:paraId="40F62887" w14:textId="5B0C377F" w:rsidR="00D80BDD" w:rsidRPr="00A14E37" w:rsidRDefault="002E0252" w:rsidP="00F949C5">
      <w:pPr>
        <w:pStyle w:val="Text"/>
        <w:spacing w:before="0"/>
        <w:rPr>
          <w:noProof/>
          <w:color w:val="000000"/>
          <w:sz w:val="22"/>
          <w:szCs w:val="22"/>
          <w:lang w:val="sr-Latn-ME"/>
        </w:rPr>
      </w:pPr>
      <w:r w:rsidRPr="00A14E37">
        <w:rPr>
          <w:noProof/>
          <w:color w:val="000000"/>
          <w:sz w:val="22"/>
          <w:szCs w:val="22"/>
          <w:lang w:val="sr-Latn-ME"/>
        </w:rPr>
        <w:t>O</w:t>
      </w:r>
      <w:r w:rsidR="00D80BDD" w:rsidRPr="00A14E37">
        <w:rPr>
          <w:noProof/>
          <w:color w:val="000000"/>
          <w:sz w:val="22"/>
          <w:szCs w:val="22"/>
          <w:lang w:val="sr-Latn-ME"/>
        </w:rPr>
        <w:t>ralni rastvor.</w:t>
      </w:r>
    </w:p>
    <w:p w14:paraId="57C6D335" w14:textId="77777777" w:rsidR="002E0252" w:rsidRPr="00A14E37" w:rsidRDefault="002E0252" w:rsidP="00F949C5">
      <w:pPr>
        <w:pStyle w:val="Text"/>
        <w:spacing w:before="0"/>
        <w:rPr>
          <w:noProof/>
          <w:color w:val="000000"/>
          <w:sz w:val="22"/>
          <w:szCs w:val="22"/>
          <w:lang w:val="sr-Latn-ME"/>
        </w:rPr>
      </w:pPr>
    </w:p>
    <w:p w14:paraId="3E7DA3DA" w14:textId="65BB94AA" w:rsidR="00D80BDD" w:rsidRPr="00A14E37" w:rsidRDefault="002E0252" w:rsidP="00F949C5">
      <w:pPr>
        <w:pStyle w:val="Text"/>
        <w:spacing w:before="0"/>
        <w:rPr>
          <w:sz w:val="22"/>
          <w:szCs w:val="22"/>
          <w:lang w:val="sr-Latn-ME"/>
        </w:rPr>
      </w:pPr>
      <w:r w:rsidRPr="00A14E37">
        <w:rPr>
          <w:sz w:val="22"/>
          <w:szCs w:val="22"/>
          <w:lang w:val="sr-Latn-ME"/>
        </w:rPr>
        <w:t>B</w:t>
      </w:r>
      <w:r w:rsidR="00D80BDD" w:rsidRPr="00A14E37">
        <w:rPr>
          <w:sz w:val="22"/>
          <w:szCs w:val="22"/>
          <w:lang w:val="sr-Latn-ME"/>
        </w:rPr>
        <w:t>istar</w:t>
      </w:r>
      <w:r w:rsidRPr="00A14E37">
        <w:rPr>
          <w:sz w:val="22"/>
          <w:szCs w:val="22"/>
          <w:lang w:val="sr-Latn-ME"/>
        </w:rPr>
        <w:t>, uljani, žuti do svijetložuti odnosno</w:t>
      </w:r>
      <w:r w:rsidR="00D80BDD" w:rsidRPr="00A14E37">
        <w:rPr>
          <w:sz w:val="22"/>
          <w:szCs w:val="22"/>
          <w:lang w:val="sr-Latn-ME"/>
        </w:rPr>
        <w:t xml:space="preserve"> </w:t>
      </w:r>
      <w:r w:rsidRPr="00A14E37">
        <w:rPr>
          <w:sz w:val="22"/>
          <w:szCs w:val="22"/>
          <w:lang w:val="sr-Latn-ME"/>
        </w:rPr>
        <w:t>svi</w:t>
      </w:r>
      <w:r w:rsidR="00D80BDD" w:rsidRPr="00A14E37">
        <w:rPr>
          <w:sz w:val="22"/>
          <w:szCs w:val="22"/>
          <w:lang w:val="sr-Latn-ME"/>
        </w:rPr>
        <w:t>jetlosmeđ</w:t>
      </w:r>
      <w:r w:rsidRPr="00A14E37">
        <w:rPr>
          <w:sz w:val="22"/>
          <w:szCs w:val="22"/>
          <w:lang w:val="sr-Latn-ME"/>
        </w:rPr>
        <w:t>i rastvor.</w:t>
      </w:r>
    </w:p>
    <w:p w14:paraId="7503AFBE" w14:textId="77777777" w:rsidR="00D80BDD" w:rsidRPr="00A14E37" w:rsidRDefault="00D80BDD" w:rsidP="002045DA">
      <w:pPr>
        <w:pStyle w:val="Header"/>
        <w:tabs>
          <w:tab w:val="left" w:pos="284"/>
        </w:tabs>
        <w:jc w:val="both"/>
        <w:rPr>
          <w:noProof/>
          <w:color w:val="000000"/>
          <w:sz w:val="22"/>
          <w:szCs w:val="22"/>
          <w:lang w:val="sr-Latn-ME"/>
        </w:rPr>
      </w:pPr>
    </w:p>
    <w:p w14:paraId="4A30FF05" w14:textId="77777777" w:rsidR="00EC2532" w:rsidRPr="00A14E37" w:rsidRDefault="00EC2532" w:rsidP="002045DA">
      <w:pPr>
        <w:jc w:val="both"/>
        <w:rPr>
          <w:bCs/>
          <w:sz w:val="22"/>
          <w:szCs w:val="22"/>
          <w:lang w:val="sr-Latn-ME"/>
        </w:rPr>
      </w:pPr>
    </w:p>
    <w:p w14:paraId="54B44E43"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 xml:space="preserve">4. </w:t>
      </w:r>
      <w:r w:rsidR="00480FB1" w:rsidRPr="00A14E37">
        <w:rPr>
          <w:b/>
          <w:bCs/>
          <w:sz w:val="22"/>
          <w:szCs w:val="22"/>
          <w:lang w:val="sr-Latn-ME"/>
        </w:rPr>
        <w:tab/>
      </w:r>
      <w:r w:rsidRPr="00A14E37">
        <w:rPr>
          <w:b/>
          <w:bCs/>
          <w:sz w:val="22"/>
          <w:szCs w:val="22"/>
          <w:lang w:val="sr-Latn-ME"/>
        </w:rPr>
        <w:t>KLINIČKI PODACI</w:t>
      </w:r>
    </w:p>
    <w:p w14:paraId="242B4C50" w14:textId="77777777" w:rsidR="00CD6F02" w:rsidRPr="00A14E37" w:rsidRDefault="00CD6F02" w:rsidP="002045DA">
      <w:pPr>
        <w:tabs>
          <w:tab w:val="left" w:pos="540"/>
          <w:tab w:val="left" w:pos="569"/>
        </w:tabs>
        <w:jc w:val="both"/>
        <w:rPr>
          <w:bCs/>
          <w:sz w:val="22"/>
          <w:szCs w:val="22"/>
          <w:lang w:val="sr-Latn-ME"/>
        </w:rPr>
      </w:pPr>
    </w:p>
    <w:p w14:paraId="2C1B6916"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 xml:space="preserve">4.1. </w:t>
      </w:r>
      <w:r w:rsidR="00480FB1" w:rsidRPr="00A14E37">
        <w:rPr>
          <w:b/>
          <w:bCs/>
          <w:sz w:val="22"/>
          <w:szCs w:val="22"/>
          <w:lang w:val="sr-Latn-ME"/>
        </w:rPr>
        <w:tab/>
      </w:r>
      <w:r w:rsidRPr="00A14E37">
        <w:rPr>
          <w:b/>
          <w:bCs/>
          <w:sz w:val="22"/>
          <w:szCs w:val="22"/>
          <w:lang w:val="sr-Latn-ME"/>
        </w:rPr>
        <w:t>Terapijske indikacije</w:t>
      </w:r>
    </w:p>
    <w:p w14:paraId="329B4A88" w14:textId="77777777" w:rsidR="00D80BDD" w:rsidRPr="00A14E37" w:rsidRDefault="00D80BDD" w:rsidP="00B37A2A">
      <w:pPr>
        <w:pStyle w:val="Heading2"/>
        <w:jc w:val="both"/>
        <w:rPr>
          <w:rFonts w:ascii="Times New Roman" w:hAnsi="Times New Roman" w:cs="Times New Roman"/>
          <w:b/>
          <w:i w:val="0"/>
          <w:noProof/>
          <w:color w:val="000000"/>
          <w:sz w:val="22"/>
          <w:szCs w:val="22"/>
          <w:u w:val="single"/>
          <w:lang w:val="sr-Latn-ME"/>
        </w:rPr>
      </w:pPr>
    </w:p>
    <w:p w14:paraId="0A871F92" w14:textId="77777777" w:rsidR="00D80BDD" w:rsidRPr="00A14E37" w:rsidRDefault="00D80BDD" w:rsidP="00B37A2A">
      <w:pPr>
        <w:pStyle w:val="Heading2"/>
        <w:jc w:val="both"/>
        <w:rPr>
          <w:rFonts w:ascii="Times New Roman" w:hAnsi="Times New Roman" w:cs="Times New Roman"/>
          <w:b/>
          <w:i w:val="0"/>
          <w:noProof/>
          <w:color w:val="000000"/>
          <w:sz w:val="22"/>
          <w:szCs w:val="22"/>
          <w:u w:val="single"/>
          <w:lang w:val="sr-Latn-ME"/>
        </w:rPr>
      </w:pPr>
      <w:r w:rsidRPr="00A14E37">
        <w:rPr>
          <w:rFonts w:ascii="Times New Roman" w:hAnsi="Times New Roman" w:cs="Times New Roman"/>
          <w:b/>
          <w:i w:val="0"/>
          <w:noProof/>
          <w:color w:val="000000"/>
          <w:sz w:val="22"/>
          <w:szCs w:val="22"/>
          <w:u w:val="single"/>
          <w:lang w:val="sr-Latn-ME"/>
        </w:rPr>
        <w:t xml:space="preserve">Transplantacijske indikacije </w:t>
      </w:r>
    </w:p>
    <w:p w14:paraId="7CD2E78C" w14:textId="77777777" w:rsidR="00D80BDD" w:rsidRPr="00A14E37" w:rsidRDefault="00D80BDD" w:rsidP="006D0274">
      <w:pPr>
        <w:pStyle w:val="Heading4"/>
        <w:jc w:val="both"/>
        <w:rPr>
          <w:rFonts w:ascii="Times New Roman" w:hAnsi="Times New Roman" w:cs="Times New Roman"/>
          <w:b/>
          <w:noProof/>
          <w:color w:val="000000"/>
          <w:sz w:val="22"/>
          <w:szCs w:val="22"/>
          <w:lang w:val="sr-Latn-ME"/>
        </w:rPr>
      </w:pPr>
    </w:p>
    <w:p w14:paraId="4209D8F3" w14:textId="77777777" w:rsidR="00D80BDD" w:rsidRPr="00A14E37" w:rsidRDefault="00D80BDD" w:rsidP="000E6E8B">
      <w:pPr>
        <w:pStyle w:val="Heading4"/>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Transplantacija solidnih organa</w:t>
      </w:r>
    </w:p>
    <w:p w14:paraId="0ED4BC1F" w14:textId="77777777" w:rsidR="00D80BDD" w:rsidRPr="00A14E37" w:rsidRDefault="00D80BDD">
      <w:pPr>
        <w:pStyle w:val="Text"/>
        <w:rPr>
          <w:noProof/>
          <w:color w:val="000000"/>
          <w:sz w:val="22"/>
          <w:szCs w:val="22"/>
          <w:lang w:val="sr-Latn-ME"/>
        </w:rPr>
      </w:pPr>
      <w:r w:rsidRPr="00A14E37">
        <w:rPr>
          <w:noProof/>
          <w:color w:val="000000"/>
          <w:sz w:val="22"/>
          <w:szCs w:val="22"/>
          <w:lang w:val="sr-Latn-ME"/>
        </w:rPr>
        <w:t>Prevencija odbacivanja grafta nakon transplantacije solidnih organa.</w:t>
      </w:r>
    </w:p>
    <w:p w14:paraId="12419C93" w14:textId="77777777" w:rsidR="00411B4B" w:rsidRPr="00A14E37" w:rsidRDefault="00D80BDD" w:rsidP="002045DA">
      <w:pPr>
        <w:tabs>
          <w:tab w:val="left" w:pos="540"/>
          <w:tab w:val="left" w:pos="569"/>
        </w:tabs>
        <w:jc w:val="both"/>
        <w:rPr>
          <w:noProof/>
          <w:color w:val="000000"/>
          <w:sz w:val="22"/>
          <w:szCs w:val="22"/>
          <w:lang w:val="sr-Latn-ME"/>
        </w:rPr>
      </w:pPr>
      <w:r w:rsidRPr="00A14E37">
        <w:rPr>
          <w:noProof/>
          <w:color w:val="000000"/>
          <w:sz w:val="22"/>
          <w:szCs w:val="22"/>
          <w:lang w:val="sr-Latn-ME"/>
        </w:rPr>
        <w:t>Terapija ćelijskog odbacivanja transplantata kod pacijenata koji su prethodno dobijali druge imunosupresive.</w:t>
      </w:r>
    </w:p>
    <w:p w14:paraId="7A20666D" w14:textId="77777777" w:rsidR="00D80BDD" w:rsidRPr="00A14E37" w:rsidRDefault="00D80BDD" w:rsidP="002045DA">
      <w:pPr>
        <w:tabs>
          <w:tab w:val="left" w:pos="540"/>
          <w:tab w:val="left" w:pos="569"/>
        </w:tabs>
        <w:jc w:val="both"/>
        <w:rPr>
          <w:bCs/>
          <w:sz w:val="22"/>
          <w:szCs w:val="22"/>
          <w:lang w:val="sr-Latn-ME"/>
        </w:rPr>
      </w:pPr>
    </w:p>
    <w:p w14:paraId="48065830" w14:textId="77777777" w:rsidR="00D80BDD" w:rsidRPr="00A14E37" w:rsidRDefault="00D80BDD" w:rsidP="00B37A2A">
      <w:pPr>
        <w:pStyle w:val="Heading4"/>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Transplantacija kostne srži</w:t>
      </w:r>
    </w:p>
    <w:p w14:paraId="3671F531" w14:textId="77777777" w:rsidR="00D80BDD" w:rsidRPr="00A14E37" w:rsidRDefault="00D80BDD" w:rsidP="00B37A2A">
      <w:pPr>
        <w:pStyle w:val="Text"/>
        <w:rPr>
          <w:noProof/>
          <w:color w:val="000000"/>
          <w:sz w:val="22"/>
          <w:szCs w:val="22"/>
          <w:lang w:val="sr-Latn-ME"/>
        </w:rPr>
      </w:pPr>
      <w:r w:rsidRPr="00A14E37">
        <w:rPr>
          <w:noProof/>
          <w:color w:val="000000"/>
          <w:sz w:val="22"/>
          <w:szCs w:val="22"/>
          <w:lang w:val="sr-Latn-ME"/>
        </w:rPr>
        <w:t>Prevencija odbacivanja grafta nakon alogene transplantacije kostne srži i matičnih ćelija.</w:t>
      </w:r>
    </w:p>
    <w:p w14:paraId="4CD824C7" w14:textId="77777777" w:rsidR="00D80BDD" w:rsidRPr="00A14E37" w:rsidRDefault="00D80BDD" w:rsidP="00B37A2A">
      <w:pPr>
        <w:pStyle w:val="Text"/>
        <w:rPr>
          <w:noProof/>
          <w:color w:val="000000"/>
          <w:sz w:val="22"/>
          <w:szCs w:val="22"/>
          <w:lang w:val="sr-Latn-ME"/>
        </w:rPr>
      </w:pPr>
      <w:r w:rsidRPr="00A14E37">
        <w:rPr>
          <w:noProof/>
          <w:color w:val="000000"/>
          <w:sz w:val="22"/>
          <w:szCs w:val="22"/>
          <w:lang w:val="sr-Latn-ME"/>
        </w:rPr>
        <w:t>Prevencija ili terapija dokazane reakcije transplantata protiv primaoca "graft-versus-host disease" (GVHD).</w:t>
      </w:r>
    </w:p>
    <w:p w14:paraId="1B07C72E" w14:textId="77777777" w:rsidR="00D80BDD" w:rsidRPr="00A14E37" w:rsidRDefault="00D80BDD" w:rsidP="002045DA">
      <w:pPr>
        <w:pStyle w:val="Header"/>
        <w:tabs>
          <w:tab w:val="left" w:pos="284"/>
        </w:tabs>
        <w:jc w:val="both"/>
        <w:rPr>
          <w:sz w:val="22"/>
          <w:szCs w:val="22"/>
          <w:lang w:val="sr-Latn-ME"/>
        </w:rPr>
      </w:pPr>
    </w:p>
    <w:p w14:paraId="1470DDDF" w14:textId="77777777" w:rsidR="00D80BDD" w:rsidRPr="00A14E37" w:rsidRDefault="00D80BDD" w:rsidP="00B37A2A">
      <w:pPr>
        <w:pStyle w:val="Heading2"/>
        <w:jc w:val="both"/>
        <w:rPr>
          <w:rFonts w:ascii="Times New Roman" w:hAnsi="Times New Roman" w:cs="Times New Roman"/>
          <w:b/>
          <w:i w:val="0"/>
          <w:noProof/>
          <w:color w:val="000000"/>
          <w:sz w:val="22"/>
          <w:szCs w:val="22"/>
          <w:u w:val="single"/>
          <w:lang w:val="sr-Latn-ME"/>
        </w:rPr>
      </w:pPr>
      <w:r w:rsidRPr="00A14E37">
        <w:rPr>
          <w:rFonts w:ascii="Times New Roman" w:hAnsi="Times New Roman" w:cs="Times New Roman"/>
          <w:b/>
          <w:i w:val="0"/>
          <w:noProof/>
          <w:color w:val="000000"/>
          <w:sz w:val="22"/>
          <w:szCs w:val="22"/>
          <w:u w:val="single"/>
          <w:lang w:val="sr-Latn-ME"/>
        </w:rPr>
        <w:t>Ne-transplantacione indikacije</w:t>
      </w:r>
    </w:p>
    <w:p w14:paraId="48FC634B" w14:textId="77777777" w:rsidR="00D80BDD" w:rsidRPr="00A14E37" w:rsidRDefault="00D80BDD" w:rsidP="00B37A2A">
      <w:pPr>
        <w:pStyle w:val="Heading4"/>
        <w:jc w:val="both"/>
        <w:rPr>
          <w:rFonts w:ascii="Times New Roman" w:hAnsi="Times New Roman" w:cs="Times New Roman"/>
          <w:b/>
          <w:noProof/>
          <w:color w:val="000000"/>
          <w:sz w:val="22"/>
          <w:szCs w:val="22"/>
          <w:lang w:val="sr-Latn-ME"/>
        </w:rPr>
      </w:pPr>
    </w:p>
    <w:p w14:paraId="1579FF54" w14:textId="77777777" w:rsidR="00D80BDD" w:rsidRPr="00A14E37" w:rsidRDefault="00D80BDD" w:rsidP="006D0274">
      <w:pPr>
        <w:pStyle w:val="Heading4"/>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Endogeni uveitis</w:t>
      </w:r>
    </w:p>
    <w:p w14:paraId="0444ED25" w14:textId="77777777" w:rsidR="00D80BDD" w:rsidRPr="00A14E37" w:rsidRDefault="00D80BDD" w:rsidP="000E6E8B">
      <w:pPr>
        <w:pStyle w:val="Text"/>
        <w:rPr>
          <w:noProof/>
          <w:color w:val="000000"/>
          <w:sz w:val="22"/>
          <w:szCs w:val="22"/>
          <w:lang w:val="sr-Latn-ME"/>
        </w:rPr>
      </w:pPr>
      <w:r w:rsidRPr="00A14E37">
        <w:rPr>
          <w:noProof/>
          <w:color w:val="000000"/>
          <w:sz w:val="22"/>
          <w:szCs w:val="22"/>
          <w:lang w:val="sr-Latn-ME"/>
        </w:rPr>
        <w:t xml:space="preserve">Terapija aktivnog, po vid opasnog, intermedijalnog ili posteriornog uveitisa neinfektivne etiologije gdje konvencionalna terapija ne djeluje ili izaziva neprihvatljiva neželjena dejstva. </w:t>
      </w:r>
    </w:p>
    <w:p w14:paraId="634A5DAF" w14:textId="51F0D069" w:rsidR="00D80BDD" w:rsidRPr="00A14E37" w:rsidRDefault="00D80BDD">
      <w:pPr>
        <w:pStyle w:val="Text"/>
        <w:rPr>
          <w:noProof/>
          <w:color w:val="000000"/>
          <w:sz w:val="22"/>
          <w:szCs w:val="22"/>
          <w:lang w:val="sr-Latn-ME"/>
        </w:rPr>
      </w:pPr>
      <w:r w:rsidRPr="00A14E37">
        <w:rPr>
          <w:noProof/>
          <w:color w:val="000000"/>
          <w:sz w:val="22"/>
          <w:szCs w:val="22"/>
          <w:lang w:val="sr-Latn-ME"/>
        </w:rPr>
        <w:t>Terapija Behçet-ov</w:t>
      </w:r>
      <w:r w:rsidR="002B5867" w:rsidRPr="00A14E37">
        <w:rPr>
          <w:noProof/>
          <w:color w:val="000000"/>
          <w:sz w:val="22"/>
          <w:szCs w:val="22"/>
          <w:lang w:val="sr-Latn-ME"/>
        </w:rPr>
        <w:t>og</w:t>
      </w:r>
      <w:r w:rsidRPr="00A14E37">
        <w:rPr>
          <w:noProof/>
          <w:color w:val="000000"/>
          <w:sz w:val="22"/>
          <w:szCs w:val="22"/>
          <w:lang w:val="sr-Latn-ME"/>
        </w:rPr>
        <w:t xml:space="preserve"> uveitisa sa ponovljenim inflamatornim napadima koji zahvataju retinu kod pacijenata koji nemaju neuroloških manifestacija.</w:t>
      </w:r>
    </w:p>
    <w:p w14:paraId="089EECF8" w14:textId="77777777" w:rsidR="00D80BDD" w:rsidRPr="00A14E37" w:rsidRDefault="00D80BDD">
      <w:pPr>
        <w:pStyle w:val="Heading4"/>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lastRenderedPageBreak/>
        <w:t>Nefrotski sindrom</w:t>
      </w:r>
    </w:p>
    <w:p w14:paraId="53F5AACD" w14:textId="6F7AE365" w:rsidR="00D80BDD" w:rsidRPr="00A14E37" w:rsidRDefault="00D80BDD">
      <w:pPr>
        <w:pStyle w:val="Text"/>
        <w:rPr>
          <w:noProof/>
          <w:color w:val="000000"/>
          <w:sz w:val="22"/>
          <w:szCs w:val="22"/>
          <w:lang w:val="sr-Latn-ME"/>
        </w:rPr>
      </w:pPr>
      <w:r w:rsidRPr="00A14E37">
        <w:rPr>
          <w:noProof/>
          <w:color w:val="000000"/>
          <w:sz w:val="22"/>
          <w:szCs w:val="22"/>
          <w:lang w:val="sr-Latn-ME"/>
        </w:rPr>
        <w:t xml:space="preserve">Steroid zavisni i steroid rezistentni nefrotski sindrom, izazvani </w:t>
      </w:r>
      <w:r w:rsidR="00742731" w:rsidRPr="00A14E37">
        <w:rPr>
          <w:noProof/>
          <w:color w:val="000000"/>
          <w:sz w:val="22"/>
          <w:szCs w:val="22"/>
          <w:lang w:val="sr-Latn-ME"/>
        </w:rPr>
        <w:t xml:space="preserve">primarnim glomerularnim </w:t>
      </w:r>
      <w:r w:rsidRPr="00A14E37">
        <w:rPr>
          <w:noProof/>
          <w:color w:val="000000"/>
          <w:sz w:val="22"/>
          <w:szCs w:val="22"/>
          <w:lang w:val="sr-Latn-ME"/>
        </w:rPr>
        <w:t>oboljenjem poput nefropatije sa minimalnom promj</w:t>
      </w:r>
      <w:r w:rsidR="00B37A2A" w:rsidRPr="00A14E37">
        <w:rPr>
          <w:noProof/>
          <w:color w:val="000000"/>
          <w:sz w:val="22"/>
          <w:szCs w:val="22"/>
          <w:lang w:val="sr-Latn-ME"/>
        </w:rPr>
        <w:t>e</w:t>
      </w:r>
      <w:r w:rsidRPr="00A14E37">
        <w:rPr>
          <w:noProof/>
          <w:color w:val="000000"/>
          <w:sz w:val="22"/>
          <w:szCs w:val="22"/>
          <w:lang w:val="sr-Latn-ME"/>
        </w:rPr>
        <w:t>nom, fokalne i segmentne glomeruloskleroze ili membranskog glomerulonefritisa.</w:t>
      </w:r>
    </w:p>
    <w:p w14:paraId="12A669F8" w14:textId="77777777" w:rsidR="00D80BDD" w:rsidRPr="00A14E37" w:rsidRDefault="0031444A" w:rsidP="00F949C5">
      <w:pPr>
        <w:pStyle w:val="Text"/>
        <w:spacing w:before="0"/>
        <w:rPr>
          <w:noProof/>
          <w:color w:val="000000"/>
          <w:sz w:val="22"/>
          <w:szCs w:val="22"/>
          <w:lang w:val="sr-Latn-ME"/>
        </w:rPr>
      </w:pPr>
      <w:r w:rsidRPr="00A14E37">
        <w:rPr>
          <w:noProof/>
          <w:color w:val="000000"/>
          <w:sz w:val="22"/>
          <w:szCs w:val="22"/>
          <w:lang w:val="sr-Latn-ME"/>
        </w:rPr>
        <w:t xml:space="preserve">Lijek </w:t>
      </w:r>
      <w:r w:rsidR="00D80BDD" w:rsidRPr="00A14E37">
        <w:rPr>
          <w:noProof/>
          <w:color w:val="000000"/>
          <w:sz w:val="22"/>
          <w:szCs w:val="22"/>
          <w:lang w:val="sr-Latn-ME"/>
        </w:rPr>
        <w:t>Sandimmun Neoral je indikovan za indukciju remisije i njeno održavanje. Može se koristiti i za održavanje steroidima izazvane remisije, dozvoljavajući ukidanje steroida.</w:t>
      </w:r>
    </w:p>
    <w:p w14:paraId="153C0D5D" w14:textId="77777777" w:rsidR="00D80BDD" w:rsidRPr="00A14E37" w:rsidRDefault="00D80BDD" w:rsidP="00F949C5">
      <w:pPr>
        <w:pStyle w:val="Heading4"/>
        <w:spacing w:before="0"/>
        <w:jc w:val="both"/>
        <w:rPr>
          <w:rFonts w:ascii="Times New Roman" w:hAnsi="Times New Roman" w:cs="Times New Roman"/>
          <w:noProof/>
          <w:color w:val="000000"/>
          <w:sz w:val="22"/>
          <w:szCs w:val="22"/>
          <w:lang w:val="sr-Latn-ME"/>
        </w:rPr>
      </w:pPr>
    </w:p>
    <w:p w14:paraId="3BD95A17" w14:textId="77777777" w:rsidR="00D80BDD" w:rsidRPr="00A14E37" w:rsidRDefault="00D80BDD" w:rsidP="00F949C5">
      <w:pPr>
        <w:pStyle w:val="Heading4"/>
        <w:spacing w:before="0"/>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Reumatoidni artritis</w:t>
      </w:r>
    </w:p>
    <w:p w14:paraId="1C61EBC4" w14:textId="77777777" w:rsidR="00D80BDD" w:rsidRPr="00A14E37" w:rsidRDefault="00D80BDD" w:rsidP="00F949C5">
      <w:pPr>
        <w:pStyle w:val="Text"/>
        <w:spacing w:before="0"/>
        <w:rPr>
          <w:noProof/>
          <w:color w:val="000000"/>
          <w:sz w:val="22"/>
          <w:szCs w:val="22"/>
          <w:lang w:val="sr-Latn-ME"/>
        </w:rPr>
      </w:pPr>
      <w:r w:rsidRPr="00A14E37">
        <w:rPr>
          <w:noProof/>
          <w:color w:val="000000"/>
          <w:sz w:val="22"/>
          <w:szCs w:val="22"/>
          <w:lang w:val="sr-Latn-ME"/>
        </w:rPr>
        <w:t>Liječenje teškog aktivnog reumatoidnog artritisa.</w:t>
      </w:r>
    </w:p>
    <w:p w14:paraId="739E75A6" w14:textId="77777777" w:rsidR="00D80BDD" w:rsidRPr="00A14E37" w:rsidRDefault="00D80BDD" w:rsidP="00F949C5">
      <w:pPr>
        <w:pStyle w:val="Text"/>
        <w:spacing w:before="0"/>
        <w:rPr>
          <w:noProof/>
          <w:color w:val="000000"/>
          <w:sz w:val="22"/>
          <w:szCs w:val="22"/>
          <w:lang w:val="sr-Latn-ME"/>
        </w:rPr>
      </w:pPr>
    </w:p>
    <w:p w14:paraId="21144B08" w14:textId="77777777" w:rsidR="00D80BDD" w:rsidRPr="00A14E37" w:rsidRDefault="00D80BDD" w:rsidP="00F949C5">
      <w:pPr>
        <w:pStyle w:val="Heading4"/>
        <w:spacing w:before="0"/>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Psorijaza</w:t>
      </w:r>
    </w:p>
    <w:p w14:paraId="228F30C6" w14:textId="77777777" w:rsidR="00D80BDD" w:rsidRPr="00A14E37" w:rsidRDefault="00D80BDD" w:rsidP="00F949C5">
      <w:pPr>
        <w:pStyle w:val="Text"/>
        <w:spacing w:before="0"/>
        <w:rPr>
          <w:noProof/>
          <w:color w:val="000000"/>
          <w:sz w:val="22"/>
          <w:szCs w:val="22"/>
          <w:lang w:val="sr-Latn-ME"/>
        </w:rPr>
      </w:pPr>
      <w:r w:rsidRPr="00A14E37">
        <w:rPr>
          <w:noProof/>
          <w:color w:val="000000"/>
          <w:sz w:val="22"/>
          <w:szCs w:val="22"/>
          <w:lang w:val="sr-Latn-ME"/>
        </w:rPr>
        <w:t>Liječenje teške psorijaze kod pacijenata kod kojih je konvencionalna terapija neefikasna ili neodgovarajuća.</w:t>
      </w:r>
    </w:p>
    <w:p w14:paraId="6A4EDE9D" w14:textId="77777777" w:rsidR="00D80BDD" w:rsidRPr="00A14E37" w:rsidRDefault="00D80BDD" w:rsidP="00F949C5">
      <w:pPr>
        <w:pStyle w:val="Text"/>
        <w:spacing w:before="0"/>
        <w:rPr>
          <w:noProof/>
          <w:color w:val="000000"/>
          <w:sz w:val="22"/>
          <w:szCs w:val="22"/>
          <w:lang w:val="sr-Latn-ME"/>
        </w:rPr>
      </w:pPr>
    </w:p>
    <w:p w14:paraId="6EBF2033" w14:textId="77777777" w:rsidR="00D80BDD" w:rsidRPr="00A14E37" w:rsidRDefault="00D80BDD" w:rsidP="00F949C5">
      <w:pPr>
        <w:pStyle w:val="Heading4"/>
        <w:spacing w:before="0"/>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Atopijski dermatitis</w:t>
      </w:r>
    </w:p>
    <w:p w14:paraId="35432556" w14:textId="703E3EAB" w:rsidR="00D80BDD" w:rsidRPr="00A14E37" w:rsidRDefault="0031444A">
      <w:pPr>
        <w:pStyle w:val="Text"/>
        <w:rPr>
          <w:noProof/>
          <w:color w:val="000000"/>
          <w:sz w:val="22"/>
          <w:szCs w:val="22"/>
          <w:lang w:val="sr-Latn-ME"/>
        </w:rPr>
      </w:pPr>
      <w:r w:rsidRPr="00A14E37">
        <w:rPr>
          <w:noProof/>
          <w:color w:val="000000"/>
          <w:sz w:val="22"/>
          <w:szCs w:val="22"/>
          <w:lang w:val="sr-Latn-ME"/>
        </w:rPr>
        <w:t xml:space="preserve">Lijek </w:t>
      </w:r>
      <w:r w:rsidR="00D80BDD" w:rsidRPr="00A14E37">
        <w:rPr>
          <w:noProof/>
          <w:color w:val="000000"/>
          <w:sz w:val="22"/>
          <w:szCs w:val="22"/>
          <w:lang w:val="sr-Latn-ME"/>
        </w:rPr>
        <w:t>Sandim</w:t>
      </w:r>
      <w:r w:rsidR="0003409F" w:rsidRPr="00A14E37">
        <w:rPr>
          <w:noProof/>
          <w:color w:val="000000"/>
          <w:sz w:val="22"/>
          <w:szCs w:val="22"/>
          <w:lang w:val="sr-Latn-ME"/>
        </w:rPr>
        <w:t>m</w:t>
      </w:r>
      <w:r w:rsidR="00D80BDD" w:rsidRPr="00A14E37">
        <w:rPr>
          <w:noProof/>
          <w:color w:val="000000"/>
          <w:sz w:val="22"/>
          <w:szCs w:val="22"/>
          <w:lang w:val="sr-Latn-ME"/>
        </w:rPr>
        <w:t>un Neoral je indikovan kod pacijenata sa teškim atopijskim dermatitisom kada je potrebna sistemska terapija.</w:t>
      </w:r>
    </w:p>
    <w:p w14:paraId="6BFC21CA" w14:textId="77777777" w:rsidR="00D80BDD" w:rsidRPr="00A14E37" w:rsidRDefault="00D80BDD" w:rsidP="002045DA">
      <w:pPr>
        <w:tabs>
          <w:tab w:val="left" w:pos="540"/>
          <w:tab w:val="left" w:pos="569"/>
        </w:tabs>
        <w:jc w:val="both"/>
        <w:rPr>
          <w:bCs/>
          <w:sz w:val="22"/>
          <w:szCs w:val="22"/>
          <w:lang w:val="sr-Latn-ME"/>
        </w:rPr>
      </w:pPr>
    </w:p>
    <w:p w14:paraId="42A94283"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 xml:space="preserve">4.2. </w:t>
      </w:r>
      <w:r w:rsidR="00480FB1" w:rsidRPr="00A14E37">
        <w:rPr>
          <w:b/>
          <w:bCs/>
          <w:sz w:val="22"/>
          <w:szCs w:val="22"/>
          <w:lang w:val="sr-Latn-ME"/>
        </w:rPr>
        <w:tab/>
      </w:r>
      <w:r w:rsidRPr="00A14E37">
        <w:rPr>
          <w:b/>
          <w:bCs/>
          <w:sz w:val="22"/>
          <w:szCs w:val="22"/>
          <w:lang w:val="sr-Latn-ME"/>
        </w:rPr>
        <w:t>Doziranje i način primjene</w:t>
      </w:r>
    </w:p>
    <w:p w14:paraId="72696671" w14:textId="77777777" w:rsidR="0072020E" w:rsidRPr="00A14E37" w:rsidRDefault="0072020E" w:rsidP="002045DA">
      <w:pPr>
        <w:tabs>
          <w:tab w:val="left" w:pos="540"/>
          <w:tab w:val="left" w:pos="569"/>
        </w:tabs>
        <w:jc w:val="both"/>
        <w:rPr>
          <w:bCs/>
          <w:sz w:val="22"/>
          <w:szCs w:val="22"/>
          <w:lang w:val="sr-Latn-ME"/>
        </w:rPr>
      </w:pPr>
    </w:p>
    <w:p w14:paraId="508BE87F" w14:textId="77777777" w:rsidR="00452E9D" w:rsidRPr="00A14E37" w:rsidRDefault="00452E9D" w:rsidP="002045DA">
      <w:pPr>
        <w:tabs>
          <w:tab w:val="left" w:pos="540"/>
          <w:tab w:val="left" w:pos="569"/>
        </w:tabs>
        <w:jc w:val="both"/>
        <w:rPr>
          <w:bCs/>
          <w:sz w:val="22"/>
          <w:szCs w:val="22"/>
          <w:u w:val="single"/>
          <w:lang w:val="sr-Latn-ME"/>
        </w:rPr>
      </w:pPr>
      <w:r w:rsidRPr="00A14E37">
        <w:rPr>
          <w:bCs/>
          <w:sz w:val="22"/>
          <w:szCs w:val="22"/>
          <w:u w:val="single"/>
          <w:lang w:val="sr-Latn-ME"/>
        </w:rPr>
        <w:t>Doziranje</w:t>
      </w:r>
    </w:p>
    <w:p w14:paraId="22633C43" w14:textId="77777777" w:rsidR="00BB702A" w:rsidRPr="00A14E37" w:rsidRDefault="00BB702A" w:rsidP="002045DA">
      <w:pPr>
        <w:jc w:val="both"/>
        <w:rPr>
          <w:sz w:val="22"/>
          <w:szCs w:val="22"/>
          <w:lang w:val="sr-Latn-ME"/>
        </w:rPr>
      </w:pPr>
      <w:r w:rsidRPr="00A14E37">
        <w:rPr>
          <w:noProof/>
          <w:color w:val="000000"/>
          <w:sz w:val="22"/>
          <w:szCs w:val="22"/>
          <w:lang w:val="sr-Latn-ME"/>
        </w:rPr>
        <w:t>Opseg datih doza za oralnu primjenu je namijenjen da služi samo kao smjernica.</w:t>
      </w:r>
    </w:p>
    <w:p w14:paraId="540B8DF0" w14:textId="1AFCC6FC" w:rsidR="00BB702A" w:rsidRPr="00A14E37" w:rsidRDefault="00BB702A" w:rsidP="00B37A2A">
      <w:pPr>
        <w:pStyle w:val="Text"/>
        <w:rPr>
          <w:noProof/>
          <w:color w:val="000000"/>
          <w:sz w:val="22"/>
          <w:szCs w:val="22"/>
          <w:lang w:val="sr-Latn-ME"/>
        </w:rPr>
      </w:pPr>
      <w:r w:rsidRPr="00A14E37">
        <w:rPr>
          <w:noProof/>
          <w:color w:val="000000"/>
          <w:sz w:val="22"/>
          <w:szCs w:val="22"/>
          <w:lang w:val="sr-Latn-ME"/>
        </w:rPr>
        <w:t>Dnevne doze lijeka Sandimmun Neoral uvijek treba davati podijeljene u 2 pojedinačne doze.</w:t>
      </w:r>
      <w:r w:rsidRPr="00A14E37">
        <w:rPr>
          <w:sz w:val="22"/>
          <w:szCs w:val="22"/>
          <w:lang w:val="sr-Latn-ME"/>
        </w:rPr>
        <w:t xml:space="preserve"> </w:t>
      </w:r>
      <w:r w:rsidRPr="00A14E37">
        <w:rPr>
          <w:noProof/>
          <w:color w:val="000000"/>
          <w:sz w:val="22"/>
          <w:szCs w:val="22"/>
          <w:lang w:val="sr-Latn-ME"/>
        </w:rPr>
        <w:t>Preporučuje se da se lijek Sandimmun Neoral uzima po ustaljenom rasporedu u pogledu vremena uzimanja u toku dana kao i u odnosu na obroke.</w:t>
      </w:r>
    </w:p>
    <w:p w14:paraId="5A51017C" w14:textId="0F6B3780"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Lijek Sandimmun Neoral mogu propisati samo ljekari sa iskustvom u primjeni imunosupresivn</w:t>
      </w:r>
      <w:r w:rsidR="009060C0" w:rsidRPr="00A14E37">
        <w:rPr>
          <w:noProof/>
          <w:color w:val="000000"/>
          <w:sz w:val="22"/>
          <w:szCs w:val="22"/>
          <w:lang w:val="sr-Latn-ME"/>
        </w:rPr>
        <w:t>e</w:t>
      </w:r>
      <w:r w:rsidRPr="00A14E37">
        <w:rPr>
          <w:noProof/>
          <w:color w:val="000000"/>
          <w:sz w:val="22"/>
          <w:szCs w:val="22"/>
          <w:lang w:val="sr-Latn-ME"/>
        </w:rPr>
        <w:t xml:space="preserve"> terapij</w:t>
      </w:r>
      <w:r w:rsidR="009060C0" w:rsidRPr="00A14E37">
        <w:rPr>
          <w:noProof/>
          <w:color w:val="000000"/>
          <w:sz w:val="22"/>
          <w:szCs w:val="22"/>
          <w:lang w:val="sr-Latn-ME"/>
        </w:rPr>
        <w:t>e</w:t>
      </w:r>
      <w:r w:rsidRPr="00A14E37">
        <w:rPr>
          <w:noProof/>
          <w:color w:val="000000"/>
          <w:sz w:val="22"/>
          <w:szCs w:val="22"/>
          <w:lang w:val="sr-Latn-ME"/>
        </w:rPr>
        <w:t xml:space="preserve"> i/ili transplantacij</w:t>
      </w:r>
      <w:r w:rsidR="009060C0" w:rsidRPr="00A14E37">
        <w:rPr>
          <w:noProof/>
          <w:color w:val="000000"/>
          <w:sz w:val="22"/>
          <w:szCs w:val="22"/>
          <w:lang w:val="sr-Latn-ME"/>
        </w:rPr>
        <w:t>i</w:t>
      </w:r>
      <w:r w:rsidRPr="00A14E37">
        <w:rPr>
          <w:noProof/>
          <w:color w:val="000000"/>
          <w:sz w:val="22"/>
          <w:szCs w:val="22"/>
          <w:lang w:val="sr-Latn-ME"/>
        </w:rPr>
        <w:t xml:space="preserve"> organa il</w:t>
      </w:r>
      <w:r w:rsidR="009404D7" w:rsidRPr="00A14E37">
        <w:rPr>
          <w:noProof/>
          <w:color w:val="000000"/>
          <w:sz w:val="22"/>
          <w:szCs w:val="22"/>
          <w:lang w:val="sr-Latn-ME"/>
        </w:rPr>
        <w:t>i</w:t>
      </w:r>
      <w:r w:rsidRPr="00A14E37">
        <w:rPr>
          <w:noProof/>
          <w:color w:val="000000"/>
          <w:sz w:val="22"/>
          <w:szCs w:val="22"/>
          <w:lang w:val="sr-Latn-ME"/>
        </w:rPr>
        <w:t xml:space="preserve"> drugi ljekari u saradnji sa njima.</w:t>
      </w:r>
    </w:p>
    <w:p w14:paraId="70B2CEF5" w14:textId="77777777" w:rsidR="00BB702A" w:rsidRPr="00A14E37" w:rsidRDefault="00BB702A" w:rsidP="00F949C5">
      <w:pPr>
        <w:pStyle w:val="Heading3"/>
        <w:spacing w:before="0"/>
        <w:jc w:val="both"/>
        <w:rPr>
          <w:rFonts w:ascii="Times New Roman" w:hAnsi="Times New Roman" w:cs="Times New Roman"/>
          <w:noProof/>
          <w:color w:val="auto"/>
          <w:sz w:val="22"/>
          <w:szCs w:val="22"/>
          <w:lang w:val="sr-Latn-ME"/>
        </w:rPr>
      </w:pPr>
    </w:p>
    <w:p w14:paraId="16BA6FD6" w14:textId="77777777" w:rsidR="00BB702A" w:rsidRPr="00A14E37" w:rsidRDefault="00BB702A" w:rsidP="00F949C5">
      <w:pPr>
        <w:pStyle w:val="Heading3"/>
        <w:spacing w:before="0"/>
        <w:jc w:val="both"/>
        <w:rPr>
          <w:rFonts w:ascii="Times New Roman" w:hAnsi="Times New Roman" w:cs="Times New Roman"/>
          <w:i/>
          <w:noProof/>
          <w:color w:val="auto"/>
          <w:sz w:val="22"/>
          <w:szCs w:val="22"/>
          <w:u w:val="single"/>
          <w:lang w:val="sr-Latn-ME"/>
        </w:rPr>
      </w:pPr>
      <w:r w:rsidRPr="00A14E37">
        <w:rPr>
          <w:rFonts w:ascii="Times New Roman" w:hAnsi="Times New Roman" w:cs="Times New Roman"/>
          <w:i/>
          <w:noProof/>
          <w:color w:val="auto"/>
          <w:sz w:val="22"/>
          <w:szCs w:val="22"/>
          <w:u w:val="single"/>
          <w:lang w:val="sr-Latn-ME"/>
        </w:rPr>
        <w:t>Transplantacija</w:t>
      </w:r>
    </w:p>
    <w:p w14:paraId="09612EB3" w14:textId="77777777" w:rsidR="00BB702A" w:rsidRPr="00A14E37" w:rsidRDefault="00BB702A">
      <w:pPr>
        <w:jc w:val="both"/>
        <w:rPr>
          <w:sz w:val="22"/>
          <w:szCs w:val="22"/>
          <w:lang w:val="sr-Latn-ME"/>
        </w:rPr>
      </w:pPr>
    </w:p>
    <w:p w14:paraId="70494737" w14:textId="77777777" w:rsidR="00BB702A" w:rsidRPr="00A14E37" w:rsidRDefault="00BB702A" w:rsidP="00F949C5">
      <w:pPr>
        <w:pStyle w:val="Heading4"/>
        <w:spacing w:before="0"/>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t>Transplantacija solidnih organa</w:t>
      </w:r>
    </w:p>
    <w:p w14:paraId="463E000B" w14:textId="7777777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Terapiju lijekom Sandimmun Neoral treba započeti 12 sati prije operacije u dozi od 10 do 15 mg/kg koja se daje podijeljena u 2 pojedinačne doze. Ovu dozu treba održavati kao dnevnu dozu tokom 1 do 2 nedjelje poslije operacije, pa zatim postepeno smanjivati prema nivoima u krvi u skladu sa lokalnim protokolima imunosupresije do postizanja doze za održavanje od oko 2 do 6 mg/kg koja se daje podijeljena u 2 pojedinačne doze.</w:t>
      </w:r>
    </w:p>
    <w:p w14:paraId="53947199" w14:textId="77777777" w:rsidR="00BB702A" w:rsidRPr="00A14E37" w:rsidRDefault="00BB702A" w:rsidP="00F949C5">
      <w:pPr>
        <w:pStyle w:val="Text"/>
        <w:spacing w:before="0"/>
        <w:rPr>
          <w:noProof/>
          <w:color w:val="000000"/>
          <w:sz w:val="22"/>
          <w:szCs w:val="22"/>
          <w:lang w:val="sr-Latn-ME"/>
        </w:rPr>
      </w:pPr>
    </w:p>
    <w:p w14:paraId="00D6DEFD" w14:textId="0200138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 xml:space="preserve">Kada se </w:t>
      </w:r>
      <w:r w:rsidR="0031444A" w:rsidRPr="00A14E37">
        <w:rPr>
          <w:noProof/>
          <w:color w:val="000000"/>
          <w:sz w:val="22"/>
          <w:szCs w:val="22"/>
          <w:lang w:val="sr-Latn-ME"/>
        </w:rPr>
        <w:t xml:space="preserve">lijek </w:t>
      </w:r>
      <w:r w:rsidRPr="00A14E37">
        <w:rPr>
          <w:noProof/>
          <w:color w:val="000000"/>
          <w:sz w:val="22"/>
          <w:szCs w:val="22"/>
          <w:lang w:val="sr-Latn-ME"/>
        </w:rPr>
        <w:t>Sandimmun Neoral daje sa drugim imunosupresivima (npr. sa kortikosteroidima ili kao dio terapije od tri ili četiri lijeka), mogu se prim</w:t>
      </w:r>
      <w:r w:rsidR="00B37A2A" w:rsidRPr="00A14E37">
        <w:rPr>
          <w:noProof/>
          <w:color w:val="000000"/>
          <w:sz w:val="22"/>
          <w:szCs w:val="22"/>
          <w:lang w:val="sr-Latn-ME"/>
        </w:rPr>
        <w:t>j</w:t>
      </w:r>
      <w:r w:rsidRPr="00A14E37">
        <w:rPr>
          <w:noProof/>
          <w:color w:val="000000"/>
          <w:sz w:val="22"/>
          <w:szCs w:val="22"/>
          <w:lang w:val="sr-Latn-ME"/>
        </w:rPr>
        <w:t>enjivati manje doze (npr. 3 do 6 mg/kg podijeljeno u 2 pojedinačne doze za početnu terapiju).</w:t>
      </w:r>
    </w:p>
    <w:p w14:paraId="6EB16441" w14:textId="426D4C23" w:rsidR="0031444A" w:rsidRPr="00A14E37" w:rsidRDefault="0031444A" w:rsidP="00F949C5">
      <w:pPr>
        <w:pStyle w:val="Heading3"/>
        <w:spacing w:before="0"/>
        <w:jc w:val="both"/>
        <w:rPr>
          <w:rFonts w:ascii="Times New Roman" w:hAnsi="Times New Roman" w:cs="Times New Roman"/>
          <w:b/>
          <w:i/>
          <w:noProof/>
          <w:color w:val="000000"/>
          <w:sz w:val="22"/>
          <w:szCs w:val="22"/>
          <w:lang w:val="sr-Latn-ME"/>
        </w:rPr>
      </w:pPr>
    </w:p>
    <w:p w14:paraId="265FF9C4" w14:textId="77777777" w:rsidR="00BB702A" w:rsidRPr="00A14E37" w:rsidRDefault="00BB702A" w:rsidP="00F949C5">
      <w:pPr>
        <w:pStyle w:val="Heading3"/>
        <w:spacing w:before="0"/>
        <w:jc w:val="both"/>
        <w:rPr>
          <w:rFonts w:ascii="Times New Roman" w:hAnsi="Times New Roman" w:cs="Times New Roman"/>
          <w:b/>
          <w:i/>
          <w:noProof/>
          <w:color w:val="000000"/>
          <w:sz w:val="22"/>
          <w:szCs w:val="22"/>
          <w:lang w:val="sr-Latn-ME"/>
        </w:rPr>
      </w:pPr>
      <w:r w:rsidRPr="00A14E37">
        <w:rPr>
          <w:rFonts w:ascii="Times New Roman" w:hAnsi="Times New Roman" w:cs="Times New Roman"/>
          <w:b/>
          <w:i/>
          <w:noProof/>
          <w:color w:val="000000"/>
          <w:sz w:val="22"/>
          <w:szCs w:val="22"/>
          <w:lang w:val="sr-Latn-ME"/>
        </w:rPr>
        <w:t>Transplantacija kostne srži</w:t>
      </w:r>
    </w:p>
    <w:p w14:paraId="4AFD9A43"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Početnu dozu treba dati jedan dan prije operacije. U tu svrhu se u većini slučajeva koristi i.v. infuzija</w:t>
      </w:r>
      <w:r w:rsidR="0031444A" w:rsidRPr="00A14E37">
        <w:rPr>
          <w:noProof/>
          <w:color w:val="000000"/>
          <w:sz w:val="22"/>
          <w:szCs w:val="22"/>
          <w:lang w:val="sr-Latn-ME"/>
        </w:rPr>
        <w:t xml:space="preserve"> lijeka Sandimmun</w:t>
      </w:r>
      <w:r w:rsidRPr="00A14E37">
        <w:rPr>
          <w:noProof/>
          <w:color w:val="000000"/>
          <w:sz w:val="22"/>
          <w:szCs w:val="22"/>
          <w:lang w:val="sr-Latn-ME"/>
        </w:rPr>
        <w:t xml:space="preserve">; preporučena intravenska doza iznosi 3 do 5 mg/kg na dan. Infuzija se u ovoj dozi nastavlja tokom perioda neposredno nakon transplantacije do 2 nedjelje, prije nego što se pređe na oralnu terapiju održavanja lijekom Sandimmun Neoral u dnevnim dozama od oko 12,5 mg/kg koje se daju podijeljene u 2 pojedinačne doze. </w:t>
      </w:r>
    </w:p>
    <w:p w14:paraId="7E13CFCE" w14:textId="77777777" w:rsidR="00BB702A" w:rsidRPr="00A14E37" w:rsidRDefault="00BB702A">
      <w:pPr>
        <w:pStyle w:val="Text"/>
        <w:spacing w:before="0"/>
        <w:rPr>
          <w:noProof/>
          <w:color w:val="000000"/>
          <w:sz w:val="22"/>
          <w:szCs w:val="22"/>
          <w:lang w:val="sr-Latn-ME"/>
        </w:rPr>
      </w:pPr>
    </w:p>
    <w:p w14:paraId="59181F60"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Terapiju održavanja treba nastaviti najmanje 3 mjeseca (a najbolje 6 mjeseci) prije nego što se doza postepeno smanji na nulu do navršene prve godine nakon transplantacije. </w:t>
      </w:r>
    </w:p>
    <w:p w14:paraId="0D78845D" w14:textId="77777777" w:rsidR="00BB702A" w:rsidRPr="00A14E37" w:rsidRDefault="00BB702A">
      <w:pPr>
        <w:pStyle w:val="Text"/>
        <w:spacing w:before="0"/>
        <w:rPr>
          <w:noProof/>
          <w:color w:val="000000"/>
          <w:sz w:val="22"/>
          <w:szCs w:val="22"/>
          <w:lang w:val="sr-Latn-ME"/>
        </w:rPr>
      </w:pPr>
    </w:p>
    <w:p w14:paraId="637A9922"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Ukoliko se za započinjanje terapije koristi </w:t>
      </w:r>
      <w:r w:rsidR="0031444A" w:rsidRPr="00A14E37">
        <w:rPr>
          <w:noProof/>
          <w:color w:val="000000"/>
          <w:sz w:val="22"/>
          <w:szCs w:val="22"/>
          <w:lang w:val="sr-Latn-ME"/>
        </w:rPr>
        <w:t xml:space="preserve">lijek </w:t>
      </w:r>
      <w:r w:rsidRPr="00A14E37">
        <w:rPr>
          <w:noProof/>
          <w:color w:val="000000"/>
          <w:sz w:val="22"/>
          <w:szCs w:val="22"/>
          <w:lang w:val="sr-Latn-ME"/>
        </w:rPr>
        <w:t>Sandimmun Neoral, preporučena dnevna doza je 12,5 do 15 mg/kg koja se daje podijeljena u 2 pojedinačne doze počevši od dana prije transplantacije.</w:t>
      </w:r>
    </w:p>
    <w:p w14:paraId="715193C7" w14:textId="77777777" w:rsidR="00BB702A" w:rsidRPr="00A14E37" w:rsidRDefault="00BB702A">
      <w:pPr>
        <w:pStyle w:val="Text"/>
        <w:spacing w:before="0"/>
        <w:rPr>
          <w:noProof/>
          <w:color w:val="000000"/>
          <w:sz w:val="22"/>
          <w:szCs w:val="22"/>
          <w:lang w:val="sr-Latn-ME"/>
        </w:rPr>
      </w:pPr>
    </w:p>
    <w:p w14:paraId="619F1EBF"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Veće doze lijeka Sandimmun Neoral ili primjena i.v. terapije </w:t>
      </w:r>
      <w:r w:rsidR="0031444A" w:rsidRPr="00A14E37">
        <w:rPr>
          <w:noProof/>
          <w:color w:val="000000"/>
          <w:sz w:val="22"/>
          <w:szCs w:val="22"/>
          <w:lang w:val="sr-Latn-ME"/>
        </w:rPr>
        <w:t xml:space="preserve">lijeka Sandimmun </w:t>
      </w:r>
      <w:r w:rsidRPr="00A14E37">
        <w:rPr>
          <w:noProof/>
          <w:color w:val="000000"/>
          <w:sz w:val="22"/>
          <w:szCs w:val="22"/>
          <w:lang w:val="sr-Latn-ME"/>
        </w:rPr>
        <w:t>mogu biti neophodne u prisustvu gastrointestinalnih smetnji koje bi mogle umanjiti resorpciju lijeka.</w:t>
      </w:r>
    </w:p>
    <w:p w14:paraId="21E0895E" w14:textId="38641182"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lastRenderedPageBreak/>
        <w:t xml:space="preserve">GVHD se javlja kod nekih pacijenata nakon ukidanja terapije </w:t>
      </w:r>
      <w:r w:rsidR="0031444A" w:rsidRPr="00A14E37">
        <w:rPr>
          <w:noProof/>
          <w:color w:val="000000"/>
          <w:sz w:val="22"/>
          <w:szCs w:val="22"/>
          <w:lang w:val="sr-Latn-ME"/>
        </w:rPr>
        <w:t>ciklosporinom</w:t>
      </w:r>
      <w:r w:rsidRPr="00A14E37">
        <w:rPr>
          <w:noProof/>
          <w:color w:val="000000"/>
          <w:sz w:val="22"/>
          <w:szCs w:val="22"/>
          <w:lang w:val="sr-Latn-ME"/>
        </w:rPr>
        <w:t xml:space="preserve">, ali obično povoljno reaguje na ponovno uvođenje terapije. U tim slučajevima treba dati </w:t>
      </w:r>
      <w:r w:rsidR="00755F52" w:rsidRPr="00A14E37">
        <w:rPr>
          <w:noProof/>
          <w:color w:val="000000"/>
          <w:sz w:val="22"/>
          <w:szCs w:val="22"/>
          <w:lang w:val="sr-Latn-ME"/>
        </w:rPr>
        <w:t xml:space="preserve">oralnu </w:t>
      </w:r>
      <w:r w:rsidRPr="00A14E37">
        <w:rPr>
          <w:noProof/>
          <w:color w:val="000000"/>
          <w:sz w:val="22"/>
          <w:szCs w:val="22"/>
          <w:lang w:val="sr-Latn-ME"/>
        </w:rPr>
        <w:t>početnu dozu od 10 do 12,5 mg/kg, da bi se potom prešlo na dnevnu oralnu dozu održavanja za koju je prethodno utvrđeno da je zadovoljavajuća. Male doze lijeka Sandimmun Neoral treba koristiti za terapiju blagih oblika hronične GVHD.</w:t>
      </w:r>
    </w:p>
    <w:p w14:paraId="3E028E7A" w14:textId="77777777" w:rsidR="00BB702A" w:rsidRPr="00A14E37" w:rsidRDefault="00BB702A" w:rsidP="00F949C5">
      <w:pPr>
        <w:pStyle w:val="Heading3"/>
        <w:spacing w:before="0"/>
        <w:jc w:val="both"/>
        <w:rPr>
          <w:rFonts w:ascii="Times New Roman" w:hAnsi="Times New Roman" w:cs="Times New Roman"/>
          <w:noProof/>
          <w:color w:val="000000"/>
          <w:sz w:val="22"/>
          <w:szCs w:val="22"/>
          <w:lang w:val="sr-Latn-ME"/>
        </w:rPr>
      </w:pPr>
    </w:p>
    <w:p w14:paraId="0320A20F" w14:textId="77777777" w:rsidR="00BB702A" w:rsidRPr="00A14E37" w:rsidRDefault="00BB702A" w:rsidP="00F949C5">
      <w:pPr>
        <w:pStyle w:val="Heading3"/>
        <w:spacing w:before="0"/>
        <w:jc w:val="both"/>
        <w:rPr>
          <w:rFonts w:ascii="Times New Roman" w:hAnsi="Times New Roman" w:cs="Times New Roman"/>
          <w:i/>
          <w:noProof/>
          <w:color w:val="000000"/>
          <w:sz w:val="22"/>
          <w:szCs w:val="22"/>
          <w:u w:val="single"/>
          <w:lang w:val="sr-Latn-ME"/>
        </w:rPr>
      </w:pPr>
      <w:r w:rsidRPr="00A14E37">
        <w:rPr>
          <w:rFonts w:ascii="Times New Roman" w:hAnsi="Times New Roman" w:cs="Times New Roman"/>
          <w:i/>
          <w:noProof/>
          <w:color w:val="000000"/>
          <w:sz w:val="22"/>
          <w:szCs w:val="22"/>
          <w:u w:val="single"/>
          <w:lang w:val="sr-Latn-ME"/>
        </w:rPr>
        <w:t>Ne-transplantacione indikacije</w:t>
      </w:r>
    </w:p>
    <w:p w14:paraId="15F5D4B8" w14:textId="77777777" w:rsidR="00BB702A" w:rsidRPr="00A14E37" w:rsidRDefault="00BB702A">
      <w:pPr>
        <w:jc w:val="both"/>
        <w:rPr>
          <w:sz w:val="22"/>
          <w:szCs w:val="22"/>
          <w:lang w:val="sr-Latn-ME"/>
        </w:rPr>
      </w:pPr>
    </w:p>
    <w:p w14:paraId="12EE6453" w14:textId="7777777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Kada se primjenjuje lijek Sandimmun Neoral za bilo koju od utvrđenih ne-transplantacionih indikacija treba se pridržavati sljedećih osnovnih pravila:</w:t>
      </w:r>
    </w:p>
    <w:p w14:paraId="5E8B8796" w14:textId="7777777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p>
    <w:p w14:paraId="29DD719E" w14:textId="30E7AA79"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Prije početka liječenja potrebno je utvrditi početni nivo bubrežne funkcije sa najmanje dva mjerenja. Procijenjen nivo glomerularne filtracije (eGFR</w:t>
      </w:r>
      <w:r w:rsidR="00353274" w:rsidRPr="00A14E37">
        <w:rPr>
          <w:rFonts w:ascii="Times New Roman" w:hAnsi="Times New Roman" w:cs="Times New Roman"/>
          <w:i w:val="0"/>
          <w:noProof/>
          <w:color w:val="000000"/>
          <w:sz w:val="22"/>
          <w:szCs w:val="22"/>
          <w:lang w:val="sr-Latn-ME"/>
        </w:rPr>
        <w:t>, eng</w:t>
      </w:r>
      <w:r w:rsidR="00797BD4" w:rsidRPr="00A14E37">
        <w:rPr>
          <w:rFonts w:ascii="Times New Roman" w:hAnsi="Times New Roman" w:cs="Times New Roman"/>
          <w:i w:val="0"/>
          <w:noProof/>
          <w:color w:val="000000"/>
          <w:sz w:val="22"/>
          <w:szCs w:val="22"/>
          <w:lang w:val="sr-Latn-ME"/>
        </w:rPr>
        <w:t>l</w:t>
      </w:r>
      <w:r w:rsidR="00353274" w:rsidRPr="00A14E37">
        <w:rPr>
          <w:rFonts w:ascii="Times New Roman" w:hAnsi="Times New Roman" w:cs="Times New Roman"/>
          <w:i w:val="0"/>
          <w:noProof/>
          <w:color w:val="000000"/>
          <w:sz w:val="22"/>
          <w:szCs w:val="22"/>
          <w:lang w:val="sr-Latn-ME"/>
        </w:rPr>
        <w:t xml:space="preserve">. </w:t>
      </w:r>
      <w:r w:rsidR="00353274" w:rsidRPr="00A14E37">
        <w:rPr>
          <w:rFonts w:ascii="Times New Roman" w:hAnsi="Times New Roman" w:cs="Times New Roman"/>
          <w:iCs w:val="0"/>
          <w:noProof/>
          <w:color w:val="000000"/>
          <w:sz w:val="22"/>
          <w:szCs w:val="22"/>
          <w:lang w:val="sr-Latn-ME"/>
        </w:rPr>
        <w:t>estimated glomerular filtration rate</w:t>
      </w:r>
      <w:r w:rsidRPr="00A14E37">
        <w:rPr>
          <w:rFonts w:ascii="Times New Roman" w:hAnsi="Times New Roman" w:cs="Times New Roman"/>
          <w:i w:val="0"/>
          <w:noProof/>
          <w:color w:val="000000"/>
          <w:sz w:val="22"/>
          <w:szCs w:val="22"/>
          <w:lang w:val="sr-Latn-ME"/>
        </w:rPr>
        <w:t xml:space="preserve">) po MDRD formuli se može koristiti za procjenu bubrežne funkcije kod odraslih i odgovarajuća formula se treba koristiti za procjenu eGFR kod pedijatrijskih pacijenata. Pošto lijek Sandimmun Neoral može oštetiti bubrežnu funkciju, neophodno je često određivati bubrežnu funkciju. Ukoliko se eGFR smanji za </w:t>
      </w:r>
      <w:r w:rsidR="00385FD6" w:rsidRPr="00A14E37">
        <w:rPr>
          <w:rFonts w:ascii="Times New Roman" w:hAnsi="Times New Roman" w:cs="Times New Roman"/>
          <w:i w:val="0"/>
          <w:noProof/>
          <w:color w:val="000000"/>
          <w:sz w:val="22"/>
          <w:szCs w:val="22"/>
          <w:lang w:val="sr-Latn-ME"/>
        </w:rPr>
        <w:t xml:space="preserve">više od </w:t>
      </w:r>
      <w:r w:rsidRPr="00A14E37">
        <w:rPr>
          <w:rFonts w:ascii="Times New Roman" w:hAnsi="Times New Roman" w:cs="Times New Roman"/>
          <w:i w:val="0"/>
          <w:noProof/>
          <w:color w:val="000000"/>
          <w:sz w:val="22"/>
          <w:szCs w:val="22"/>
          <w:lang w:val="sr-Latn-ME"/>
        </w:rPr>
        <w:t xml:space="preserve">25% od početne vrijednosti u više od jednog mjerenja, doze lijeka Sandimmun Neoral treba smanjiti za 25 do 50%. Ukoliko se eGFR smanji </w:t>
      </w:r>
      <w:r w:rsidR="00447D28" w:rsidRPr="00A14E37">
        <w:rPr>
          <w:rFonts w:ascii="Times New Roman" w:hAnsi="Times New Roman" w:cs="Times New Roman"/>
          <w:i w:val="0"/>
          <w:noProof/>
          <w:color w:val="000000"/>
          <w:sz w:val="22"/>
          <w:szCs w:val="22"/>
          <w:lang w:val="sr-Latn-ME"/>
        </w:rPr>
        <w:t xml:space="preserve">za </w:t>
      </w:r>
      <w:r w:rsidRPr="00A14E37">
        <w:rPr>
          <w:rFonts w:ascii="Times New Roman" w:hAnsi="Times New Roman" w:cs="Times New Roman"/>
          <w:i w:val="0"/>
          <w:noProof/>
          <w:color w:val="000000"/>
          <w:sz w:val="22"/>
          <w:szCs w:val="22"/>
          <w:lang w:val="sr-Latn-ME"/>
        </w:rPr>
        <w:t xml:space="preserve">više od 35% od početne vrijednosti, potrebno je razmotriti dalje smanjivanje doze. Ove preporuke važe i kad su dobijene vrijednosti i dalje u okviru normalnih laboratorijskih vrijednosti. Ako se smanjivanjem doze ne poboljša eGFR u roku od mjesec dana, liječenje lijekom Sandimmun Neoral treba obustaviti (vidjeti </w:t>
      </w:r>
      <w:r w:rsidR="00C37D5C" w:rsidRPr="00A14E37">
        <w:rPr>
          <w:rFonts w:ascii="Times New Roman" w:hAnsi="Times New Roman" w:cs="Times New Roman"/>
          <w:i w:val="0"/>
          <w:noProof/>
          <w:color w:val="000000"/>
          <w:sz w:val="22"/>
          <w:szCs w:val="22"/>
          <w:lang w:val="sr-Latn-ME"/>
        </w:rPr>
        <w:t xml:space="preserve">dio </w:t>
      </w:r>
      <w:r w:rsidRPr="00A14E37">
        <w:rPr>
          <w:rFonts w:ascii="Times New Roman" w:hAnsi="Times New Roman" w:cs="Times New Roman"/>
          <w:i w:val="0"/>
          <w:noProof/>
          <w:color w:val="000000"/>
          <w:sz w:val="22"/>
          <w:szCs w:val="22"/>
          <w:lang w:val="sr-Latn-ME"/>
        </w:rPr>
        <w:t>4.4).</w:t>
      </w:r>
    </w:p>
    <w:p w14:paraId="2F5C71FF" w14:textId="77777777" w:rsidR="00BB702A" w:rsidRPr="00A14E37" w:rsidRDefault="00BB702A">
      <w:pPr>
        <w:jc w:val="both"/>
        <w:rPr>
          <w:sz w:val="22"/>
          <w:szCs w:val="22"/>
          <w:lang w:val="sr-Latn-ME"/>
        </w:rPr>
      </w:pPr>
    </w:p>
    <w:p w14:paraId="088E14F0" w14:textId="721D716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 xml:space="preserve">Potrebna je </w:t>
      </w:r>
      <w:r w:rsidR="00C9651F" w:rsidRPr="00A14E37">
        <w:rPr>
          <w:rFonts w:ascii="Times New Roman" w:hAnsi="Times New Roman" w:cs="Times New Roman"/>
          <w:i w:val="0"/>
          <w:noProof/>
          <w:color w:val="000000"/>
          <w:sz w:val="22"/>
          <w:szCs w:val="22"/>
          <w:lang w:val="sr-Latn-ME"/>
        </w:rPr>
        <w:t>redovna</w:t>
      </w:r>
      <w:r w:rsidRPr="00A14E37">
        <w:rPr>
          <w:rFonts w:ascii="Times New Roman" w:hAnsi="Times New Roman" w:cs="Times New Roman"/>
          <w:i w:val="0"/>
          <w:noProof/>
          <w:color w:val="000000"/>
          <w:sz w:val="22"/>
          <w:szCs w:val="22"/>
          <w:lang w:val="sr-Latn-ME"/>
        </w:rPr>
        <w:t xml:space="preserve"> kontrola krvnog pritiska.</w:t>
      </w:r>
    </w:p>
    <w:p w14:paraId="4DC5F1BC" w14:textId="77777777" w:rsidR="00BB702A" w:rsidRPr="00A14E37" w:rsidRDefault="00BB702A">
      <w:pPr>
        <w:jc w:val="both"/>
        <w:rPr>
          <w:sz w:val="22"/>
          <w:szCs w:val="22"/>
          <w:lang w:val="sr-Latn-ME"/>
        </w:rPr>
      </w:pPr>
    </w:p>
    <w:p w14:paraId="3DD79C21" w14:textId="19A51014"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Neophodno je odrediti bilirubin i parametre za procjenu funkcije jetre prije početka liječenja i preporučuje se pažljivo praćenje tokom liječenja. Savjetuje se da se prije početka liječenja odrede vrijednosti serumskih lipida, kalijuma, magnezijuma i mokraćne kiseline kao i da se određuju periodično tokom liječenja.</w:t>
      </w:r>
    </w:p>
    <w:p w14:paraId="138D67DF" w14:textId="77777777" w:rsidR="00BB702A" w:rsidRPr="00A14E37" w:rsidRDefault="00BB702A" w:rsidP="002045DA">
      <w:pPr>
        <w:jc w:val="both"/>
        <w:rPr>
          <w:sz w:val="22"/>
          <w:szCs w:val="22"/>
          <w:lang w:val="sr-Latn-ME"/>
        </w:rPr>
      </w:pPr>
    </w:p>
    <w:p w14:paraId="32D68D3C" w14:textId="45766F32" w:rsidR="00BB702A" w:rsidRPr="00A14E37" w:rsidRDefault="00BB702A" w:rsidP="00B37A2A">
      <w:pPr>
        <w:pStyle w:val="Heading4"/>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Povremeno praćenje nivoa ciklosporina u krvi može biti značajno kod ne-transplantacion</w:t>
      </w:r>
      <w:r w:rsidR="00EC7369" w:rsidRPr="00A14E37">
        <w:rPr>
          <w:rFonts w:ascii="Times New Roman" w:hAnsi="Times New Roman" w:cs="Times New Roman"/>
          <w:i w:val="0"/>
          <w:noProof/>
          <w:color w:val="000000"/>
          <w:sz w:val="22"/>
          <w:szCs w:val="22"/>
          <w:lang w:val="sr-Latn-ME"/>
        </w:rPr>
        <w:t>i</w:t>
      </w:r>
      <w:r w:rsidRPr="00A14E37">
        <w:rPr>
          <w:rFonts w:ascii="Times New Roman" w:hAnsi="Times New Roman" w:cs="Times New Roman"/>
          <w:i w:val="0"/>
          <w:noProof/>
          <w:color w:val="000000"/>
          <w:sz w:val="22"/>
          <w:szCs w:val="22"/>
          <w:lang w:val="sr-Latn-ME"/>
        </w:rPr>
        <w:t>h indikacija, npr. kada se lijek Sandimmun Neoral koristi sa supstancama koje mogu uticati na farmakokinetiku ciklosporina, ili u slučaju neodgovarajućeg kliničkog odgovora (npr. odsustvo efikasnosti ili povećana nepodnošljivost na lijek kao što je bubrežna disfunkcija).</w:t>
      </w:r>
    </w:p>
    <w:p w14:paraId="6BF50B9D" w14:textId="77777777" w:rsidR="00BB702A" w:rsidRPr="00A14E37" w:rsidRDefault="00BB702A" w:rsidP="002045DA">
      <w:pPr>
        <w:jc w:val="both"/>
        <w:rPr>
          <w:sz w:val="22"/>
          <w:szCs w:val="22"/>
          <w:lang w:val="sr-Latn-ME"/>
        </w:rPr>
      </w:pPr>
    </w:p>
    <w:p w14:paraId="32CB778D" w14:textId="77777777" w:rsidR="00BB702A" w:rsidRPr="00A14E37" w:rsidRDefault="00BB702A" w:rsidP="00B37A2A">
      <w:pPr>
        <w:pStyle w:val="Heading4"/>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 xml:space="preserve">Normalan put unošenja je per os. Ukoliko se koristi koncentrat za infuzioni rastvor potrebno je pažljivo doziranje kako bi odgovaralo oralnoj dozi. Preporučuje se savjetovanje sa ljekarom koji je iskusan u liječenju ciklosporinom. </w:t>
      </w:r>
    </w:p>
    <w:p w14:paraId="42B63D41" w14:textId="77777777" w:rsidR="00BB702A" w:rsidRPr="00A14E37" w:rsidRDefault="00BB702A" w:rsidP="00B37A2A">
      <w:pPr>
        <w:pStyle w:val="Heading4"/>
        <w:jc w:val="both"/>
        <w:rPr>
          <w:rFonts w:ascii="Times New Roman" w:hAnsi="Times New Roman" w:cs="Times New Roman"/>
          <w:i w:val="0"/>
          <w:noProof/>
          <w:color w:val="000000"/>
          <w:sz w:val="22"/>
          <w:szCs w:val="22"/>
          <w:lang w:val="sr-Latn-ME"/>
        </w:rPr>
      </w:pPr>
    </w:p>
    <w:p w14:paraId="6458C911" w14:textId="7492CEA2" w:rsidR="00BB702A" w:rsidRPr="00A14E37" w:rsidRDefault="00BB702A" w:rsidP="006D0274">
      <w:pPr>
        <w:pStyle w:val="Heading4"/>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 xml:space="preserve">Osim kod pacijenata sa po vid opasnim endogenim uveitisom i kod djece sa nefrotskim sindromom, </w:t>
      </w:r>
      <w:r w:rsidR="00A6026D" w:rsidRPr="00A14E37">
        <w:rPr>
          <w:rFonts w:ascii="Times New Roman" w:hAnsi="Times New Roman" w:cs="Times New Roman"/>
          <w:i w:val="0"/>
          <w:noProof/>
          <w:color w:val="000000"/>
          <w:sz w:val="22"/>
          <w:szCs w:val="22"/>
          <w:lang w:val="sr-Latn-ME"/>
        </w:rPr>
        <w:t xml:space="preserve">ukupna </w:t>
      </w:r>
      <w:r w:rsidRPr="00A14E37">
        <w:rPr>
          <w:rFonts w:ascii="Times New Roman" w:hAnsi="Times New Roman" w:cs="Times New Roman"/>
          <w:i w:val="0"/>
          <w:noProof/>
          <w:color w:val="000000"/>
          <w:sz w:val="22"/>
          <w:szCs w:val="22"/>
          <w:lang w:val="sr-Latn-ME"/>
        </w:rPr>
        <w:t>dnevna doza nikad ne smije biti veća od 5 mg/kg.</w:t>
      </w:r>
    </w:p>
    <w:p w14:paraId="3D2684F1" w14:textId="77777777" w:rsidR="00BB702A" w:rsidRPr="00A14E37" w:rsidRDefault="00BB702A" w:rsidP="002045DA">
      <w:pPr>
        <w:jc w:val="both"/>
        <w:rPr>
          <w:sz w:val="22"/>
          <w:szCs w:val="22"/>
          <w:lang w:val="sr-Latn-ME"/>
        </w:rPr>
      </w:pPr>
    </w:p>
    <w:p w14:paraId="09C6DD62" w14:textId="77777777" w:rsidR="00BB702A" w:rsidRPr="00A14E37" w:rsidRDefault="00BB702A" w:rsidP="00B37A2A">
      <w:pPr>
        <w:pStyle w:val="Heading4"/>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Za terapiju održavanja individualno treba odrediti najnižu efektivnu dozu koja se dobro podnosi.</w:t>
      </w:r>
    </w:p>
    <w:p w14:paraId="2D27A52F" w14:textId="77777777" w:rsidR="00BB702A" w:rsidRPr="00A14E37" w:rsidRDefault="00BB702A" w:rsidP="002045DA">
      <w:pPr>
        <w:jc w:val="both"/>
        <w:rPr>
          <w:sz w:val="22"/>
          <w:szCs w:val="22"/>
          <w:lang w:val="sr-Latn-ME"/>
        </w:rPr>
      </w:pPr>
    </w:p>
    <w:p w14:paraId="64F8D8D5" w14:textId="7777777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Kod pacijenata kod kojih se u određenom vremenu (za specifične informacije vidjeti dolje) ne postigne odgovarajući odgovor ili efikasna doza ne odgovara utvrđenim uputstvima o bezbjednosti, liječenje lijekom Sandimmun Neoral treba obustaviti.</w:t>
      </w:r>
    </w:p>
    <w:p w14:paraId="39A35EA3" w14:textId="7777777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r w:rsidRPr="00A14E37">
        <w:rPr>
          <w:rFonts w:ascii="Times New Roman" w:hAnsi="Times New Roman" w:cs="Times New Roman"/>
          <w:i w:val="0"/>
          <w:noProof/>
          <w:color w:val="000000"/>
          <w:sz w:val="22"/>
          <w:szCs w:val="22"/>
          <w:lang w:val="sr-Latn-ME"/>
        </w:rPr>
        <w:t xml:space="preserve">  </w:t>
      </w:r>
    </w:p>
    <w:p w14:paraId="4B726556" w14:textId="77777777" w:rsidR="00BB702A" w:rsidRPr="00A14E37" w:rsidRDefault="00BB702A" w:rsidP="00F949C5">
      <w:pPr>
        <w:pStyle w:val="Heading4"/>
        <w:spacing w:before="0"/>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t>Endogeni uveitis</w:t>
      </w:r>
    </w:p>
    <w:p w14:paraId="7EA67113" w14:textId="555BBAE1"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 xml:space="preserve">Za </w:t>
      </w:r>
      <w:r w:rsidRPr="00A14E37">
        <w:rPr>
          <w:i/>
          <w:noProof/>
          <w:color w:val="000000"/>
          <w:sz w:val="22"/>
          <w:szCs w:val="22"/>
          <w:lang w:val="sr-Latn-ME"/>
        </w:rPr>
        <w:t>indukciju remisije</w:t>
      </w:r>
      <w:r w:rsidRPr="00A14E37">
        <w:rPr>
          <w:noProof/>
          <w:color w:val="000000"/>
          <w:sz w:val="22"/>
          <w:szCs w:val="22"/>
          <w:lang w:val="sr-Latn-ME"/>
        </w:rPr>
        <w:t>, u početku se preporučuje davanje 5 mg/kg dnevno, oralno, podijeljeno u 2 pojedinačne doze dok se ne postigne remisija aktivne uvealne inflamacije i poboljšanje oštrine</w:t>
      </w:r>
      <w:r w:rsidR="00BE7764" w:rsidRPr="00A14E37">
        <w:rPr>
          <w:noProof/>
          <w:color w:val="000000"/>
          <w:sz w:val="22"/>
          <w:szCs w:val="22"/>
          <w:lang w:val="sr-Latn-ME"/>
        </w:rPr>
        <w:t xml:space="preserve"> vida</w:t>
      </w:r>
      <w:r w:rsidRPr="00A14E37">
        <w:rPr>
          <w:noProof/>
          <w:color w:val="000000"/>
          <w:sz w:val="22"/>
          <w:szCs w:val="22"/>
          <w:lang w:val="sr-Latn-ME"/>
        </w:rPr>
        <w:t>. Doza se kod upornih slučajeva uveitisa može povećati na 7 mg/kg dnevno tokom ograničenog vremenskog perioda.</w:t>
      </w:r>
    </w:p>
    <w:p w14:paraId="524CE820" w14:textId="194E87F0"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Za postizanje početne remisije ili za sprječavanje napada inflamacije oka, može se dodati sistemsko liječenje kortikosteroidima sa dnevnim dozama od 0,2 do 0,6 mg/kg prednizona ili ekvivalentnog lijeka ukoliko </w:t>
      </w:r>
      <w:r w:rsidR="00DB70DA" w:rsidRPr="00A14E37">
        <w:rPr>
          <w:noProof/>
          <w:color w:val="000000"/>
          <w:sz w:val="22"/>
          <w:szCs w:val="22"/>
          <w:lang w:val="sr-Latn-ME"/>
        </w:rPr>
        <w:t xml:space="preserve">primjena </w:t>
      </w:r>
      <w:r w:rsidRPr="00A14E37">
        <w:rPr>
          <w:noProof/>
          <w:color w:val="000000"/>
          <w:sz w:val="22"/>
          <w:szCs w:val="22"/>
          <w:lang w:val="sr-Latn-ME"/>
        </w:rPr>
        <w:t>sam</w:t>
      </w:r>
      <w:r w:rsidR="00DB70DA" w:rsidRPr="00A14E37">
        <w:rPr>
          <w:noProof/>
          <w:color w:val="000000"/>
          <w:sz w:val="22"/>
          <w:szCs w:val="22"/>
          <w:lang w:val="sr-Latn-ME"/>
        </w:rPr>
        <w:t>o lijeka</w:t>
      </w:r>
      <w:r w:rsidRPr="00A14E37">
        <w:rPr>
          <w:noProof/>
          <w:color w:val="000000"/>
          <w:sz w:val="22"/>
          <w:szCs w:val="22"/>
          <w:lang w:val="sr-Latn-ME"/>
        </w:rPr>
        <w:t xml:space="preserve"> Sandimmun Neoral ne može u dovoljnoj mjeri da kontroliše situaciju. Nakon tri mjeseca, doza kortikosteroida se može </w:t>
      </w:r>
      <w:r w:rsidR="00DB70DA" w:rsidRPr="00A14E37">
        <w:rPr>
          <w:noProof/>
          <w:color w:val="000000"/>
          <w:sz w:val="22"/>
          <w:szCs w:val="22"/>
          <w:lang w:val="sr-Latn-ME"/>
        </w:rPr>
        <w:t xml:space="preserve">postepeno </w:t>
      </w:r>
      <w:r w:rsidRPr="00A14E37">
        <w:rPr>
          <w:noProof/>
          <w:color w:val="000000"/>
          <w:sz w:val="22"/>
          <w:szCs w:val="22"/>
          <w:lang w:val="sr-Latn-ME"/>
        </w:rPr>
        <w:t>smanjiti na najnižu efektivnu dozu.</w:t>
      </w:r>
    </w:p>
    <w:p w14:paraId="6B720823" w14:textId="6F6843BD" w:rsidR="00BB702A" w:rsidRPr="00A14E37" w:rsidRDefault="00BB702A">
      <w:pPr>
        <w:pStyle w:val="Text"/>
        <w:rPr>
          <w:noProof/>
          <w:color w:val="000000"/>
          <w:sz w:val="22"/>
          <w:szCs w:val="22"/>
          <w:lang w:val="sr-Latn-ME"/>
        </w:rPr>
      </w:pPr>
      <w:r w:rsidRPr="00A14E37">
        <w:rPr>
          <w:noProof/>
          <w:color w:val="000000"/>
          <w:sz w:val="22"/>
          <w:szCs w:val="22"/>
          <w:lang w:val="sr-Latn-ME"/>
        </w:rPr>
        <w:lastRenderedPageBreak/>
        <w:t>Za</w:t>
      </w:r>
      <w:r w:rsidRPr="00A14E37">
        <w:rPr>
          <w:i/>
          <w:noProof/>
          <w:color w:val="000000"/>
          <w:sz w:val="22"/>
          <w:szCs w:val="22"/>
          <w:lang w:val="sr-Latn-ME"/>
        </w:rPr>
        <w:t xml:space="preserve"> terapiju održavanja </w:t>
      </w:r>
      <w:r w:rsidRPr="00A14E37">
        <w:rPr>
          <w:noProof/>
          <w:color w:val="000000"/>
          <w:sz w:val="22"/>
          <w:szCs w:val="22"/>
          <w:lang w:val="sr-Latn-ME"/>
        </w:rPr>
        <w:t xml:space="preserve">dozu treba polako smanjivati do najnižeg efikasnog nivoa. U fazama remisije </w:t>
      </w:r>
      <w:r w:rsidR="003D0FFD" w:rsidRPr="00A14E37">
        <w:rPr>
          <w:noProof/>
          <w:color w:val="000000"/>
          <w:sz w:val="22"/>
          <w:szCs w:val="22"/>
          <w:lang w:val="sr-Latn-ME"/>
        </w:rPr>
        <w:t xml:space="preserve">ta doza </w:t>
      </w:r>
      <w:r w:rsidRPr="00A14E37">
        <w:rPr>
          <w:noProof/>
          <w:color w:val="000000"/>
          <w:sz w:val="22"/>
          <w:szCs w:val="22"/>
          <w:lang w:val="sr-Latn-ME"/>
        </w:rPr>
        <w:t>ne bi smjela da prelazi 5 mg/kg na dan.</w:t>
      </w:r>
    </w:p>
    <w:p w14:paraId="10AF11DE" w14:textId="7777777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Treba isključiti infektivni uveitis prije započinjanja davanja imunosupresiva.</w:t>
      </w:r>
    </w:p>
    <w:p w14:paraId="274D1B89" w14:textId="77777777" w:rsidR="00BB702A" w:rsidRPr="00A14E37" w:rsidRDefault="00BB702A" w:rsidP="00F949C5">
      <w:pPr>
        <w:pStyle w:val="Heading4"/>
        <w:spacing w:before="0"/>
        <w:jc w:val="both"/>
        <w:rPr>
          <w:rFonts w:ascii="Times New Roman" w:hAnsi="Times New Roman" w:cs="Times New Roman"/>
          <w:i w:val="0"/>
          <w:noProof/>
          <w:color w:val="000000"/>
          <w:sz w:val="22"/>
          <w:szCs w:val="22"/>
          <w:lang w:val="sr-Latn-ME"/>
        </w:rPr>
      </w:pPr>
    </w:p>
    <w:p w14:paraId="54261EDA" w14:textId="77777777" w:rsidR="00BB702A" w:rsidRPr="00A14E37" w:rsidRDefault="00BB702A" w:rsidP="00F949C5">
      <w:pPr>
        <w:pStyle w:val="Heading4"/>
        <w:spacing w:before="0"/>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t>Nefrotski sindrom</w:t>
      </w:r>
    </w:p>
    <w:p w14:paraId="557A60FE" w14:textId="17960BF9"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Preporučena dnevna doza za </w:t>
      </w:r>
      <w:r w:rsidRPr="00A14E37">
        <w:rPr>
          <w:i/>
          <w:noProof/>
          <w:color w:val="000000"/>
          <w:sz w:val="22"/>
          <w:szCs w:val="22"/>
          <w:lang w:val="sr-Latn-ME"/>
        </w:rPr>
        <w:t>indukciju remisije</w:t>
      </w:r>
      <w:r w:rsidRPr="00A14E37">
        <w:rPr>
          <w:noProof/>
          <w:color w:val="000000"/>
          <w:sz w:val="22"/>
          <w:szCs w:val="22"/>
          <w:lang w:val="sr-Latn-ME"/>
        </w:rPr>
        <w:t>, podijeljena je u 2 pojedinačne doze</w:t>
      </w:r>
      <w:r w:rsidR="002B5867" w:rsidRPr="00A14E37">
        <w:rPr>
          <w:noProof/>
          <w:color w:val="000000"/>
          <w:sz w:val="22"/>
          <w:szCs w:val="22"/>
          <w:lang w:val="sr-Latn-ME"/>
        </w:rPr>
        <w:t>.</w:t>
      </w:r>
      <w:r w:rsidRPr="00A14E37">
        <w:rPr>
          <w:noProof/>
          <w:color w:val="000000"/>
          <w:sz w:val="22"/>
          <w:szCs w:val="22"/>
          <w:lang w:val="sr-Latn-ME"/>
        </w:rPr>
        <w:t xml:space="preserve"> </w:t>
      </w:r>
    </w:p>
    <w:p w14:paraId="52E7DB45" w14:textId="77777777" w:rsidR="00BB702A" w:rsidRPr="00A14E37" w:rsidRDefault="00BB702A">
      <w:pPr>
        <w:pStyle w:val="Text"/>
        <w:spacing w:before="0"/>
        <w:rPr>
          <w:noProof/>
          <w:color w:val="000000"/>
          <w:sz w:val="22"/>
          <w:szCs w:val="22"/>
          <w:lang w:val="sr-Latn-ME"/>
        </w:rPr>
      </w:pPr>
    </w:p>
    <w:p w14:paraId="23D3CE98"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Ukoliko je funkcija bubrega normalna (osim proteinurije), preporučena dnevna doza je sljedeća:</w:t>
      </w:r>
    </w:p>
    <w:p w14:paraId="0FA95F9C" w14:textId="77777777" w:rsidR="00BB702A" w:rsidRPr="00A14E37" w:rsidRDefault="00BB702A">
      <w:pPr>
        <w:pStyle w:val="Text"/>
        <w:numPr>
          <w:ilvl w:val="0"/>
          <w:numId w:val="12"/>
        </w:numPr>
        <w:spacing w:before="0"/>
        <w:rPr>
          <w:noProof/>
          <w:color w:val="000000"/>
          <w:sz w:val="22"/>
          <w:szCs w:val="22"/>
          <w:lang w:val="sr-Latn-ME"/>
        </w:rPr>
      </w:pPr>
      <w:r w:rsidRPr="00A14E37">
        <w:rPr>
          <w:noProof/>
          <w:color w:val="000000"/>
          <w:sz w:val="22"/>
          <w:szCs w:val="22"/>
          <w:lang w:val="sr-Latn-ME"/>
        </w:rPr>
        <w:t>odrasli: 5</w:t>
      </w:r>
      <w:r w:rsidR="0031444A" w:rsidRPr="00A14E37">
        <w:rPr>
          <w:noProof/>
          <w:color w:val="000000"/>
          <w:sz w:val="22"/>
          <w:szCs w:val="22"/>
          <w:lang w:val="sr-Latn-ME"/>
        </w:rPr>
        <w:t xml:space="preserve"> </w:t>
      </w:r>
      <w:r w:rsidRPr="00A14E37">
        <w:rPr>
          <w:noProof/>
          <w:color w:val="000000"/>
          <w:sz w:val="22"/>
          <w:szCs w:val="22"/>
          <w:lang w:val="sr-Latn-ME"/>
        </w:rPr>
        <w:t>mg/kg</w:t>
      </w:r>
    </w:p>
    <w:p w14:paraId="6FC59499" w14:textId="77777777" w:rsidR="00BB702A" w:rsidRPr="00A14E37" w:rsidRDefault="00BB702A">
      <w:pPr>
        <w:pStyle w:val="Text"/>
        <w:numPr>
          <w:ilvl w:val="0"/>
          <w:numId w:val="12"/>
        </w:numPr>
        <w:spacing w:before="0"/>
        <w:rPr>
          <w:noProof/>
          <w:color w:val="000000"/>
          <w:sz w:val="22"/>
          <w:szCs w:val="22"/>
          <w:lang w:val="sr-Latn-ME"/>
        </w:rPr>
      </w:pPr>
      <w:r w:rsidRPr="00A14E37">
        <w:rPr>
          <w:noProof/>
          <w:color w:val="000000"/>
          <w:sz w:val="22"/>
          <w:szCs w:val="22"/>
          <w:lang w:val="sr-Latn-ME"/>
        </w:rPr>
        <w:t>djeca: 6</w:t>
      </w:r>
      <w:r w:rsidR="0031444A" w:rsidRPr="00A14E37">
        <w:rPr>
          <w:noProof/>
          <w:color w:val="000000"/>
          <w:sz w:val="22"/>
          <w:szCs w:val="22"/>
          <w:lang w:val="sr-Latn-ME"/>
        </w:rPr>
        <w:t xml:space="preserve"> </w:t>
      </w:r>
      <w:r w:rsidRPr="00A14E37">
        <w:rPr>
          <w:noProof/>
          <w:color w:val="000000"/>
          <w:sz w:val="22"/>
          <w:szCs w:val="22"/>
          <w:lang w:val="sr-Latn-ME"/>
        </w:rPr>
        <w:t xml:space="preserve">mg/kg. </w:t>
      </w:r>
    </w:p>
    <w:p w14:paraId="09E2A2E1" w14:textId="77777777" w:rsidR="00BB702A" w:rsidRPr="00A14E37" w:rsidRDefault="00BB702A">
      <w:pPr>
        <w:pStyle w:val="Text"/>
        <w:spacing w:before="0"/>
        <w:rPr>
          <w:noProof/>
          <w:color w:val="000000"/>
          <w:sz w:val="22"/>
          <w:szCs w:val="22"/>
          <w:lang w:val="sr-Latn-ME"/>
        </w:rPr>
      </w:pPr>
    </w:p>
    <w:p w14:paraId="568F376D" w14:textId="6D09EC05"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Kod pacijenata sa poremećenom funkcijom bubrega</w:t>
      </w:r>
      <w:r w:rsidR="003D0FFD" w:rsidRPr="00A14E37">
        <w:rPr>
          <w:noProof/>
          <w:color w:val="000000"/>
          <w:sz w:val="22"/>
          <w:szCs w:val="22"/>
          <w:lang w:val="sr-Latn-ME"/>
        </w:rPr>
        <w:t>, početna</w:t>
      </w:r>
      <w:r w:rsidRPr="00A14E37">
        <w:rPr>
          <w:noProof/>
          <w:color w:val="000000"/>
          <w:sz w:val="22"/>
          <w:szCs w:val="22"/>
          <w:lang w:val="sr-Latn-ME"/>
        </w:rPr>
        <w:t xml:space="preserve"> dnevna doza ne treba da pređe 2,5 mg/kg na dan.</w:t>
      </w:r>
    </w:p>
    <w:p w14:paraId="4F4E3873" w14:textId="77777777" w:rsidR="00BB702A" w:rsidRPr="00A14E37" w:rsidRDefault="00BB702A">
      <w:pPr>
        <w:pStyle w:val="Text"/>
        <w:spacing w:before="0"/>
        <w:rPr>
          <w:noProof/>
          <w:color w:val="000000"/>
          <w:sz w:val="22"/>
          <w:szCs w:val="22"/>
          <w:lang w:val="sr-Latn-ME"/>
        </w:rPr>
      </w:pPr>
    </w:p>
    <w:p w14:paraId="06D8642E" w14:textId="7A46B9D3"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Preporučuje se kombinacija lijeka Sandimmun Neoral sa malim dozama oralnih kortikosteroida ukoliko dejstvo samog lijeka Sandimmun Neoral nije zadovoljavajuće, posebno kod pacijenata rezistentnih na steriode.</w:t>
      </w:r>
    </w:p>
    <w:p w14:paraId="3687E85E" w14:textId="77777777" w:rsidR="00BB702A" w:rsidRPr="00A14E37" w:rsidRDefault="00BB702A">
      <w:pPr>
        <w:pStyle w:val="Text"/>
        <w:spacing w:before="0"/>
        <w:rPr>
          <w:noProof/>
          <w:color w:val="000000"/>
          <w:sz w:val="22"/>
          <w:szCs w:val="22"/>
          <w:lang w:val="sr-Latn-ME"/>
        </w:rPr>
      </w:pPr>
    </w:p>
    <w:p w14:paraId="16EA25B5" w14:textId="77777777"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Vrijeme do poboljšanja stanja varira od 3 do 6 mjeseci zavisno od tipa glomerulopatije. Ukoliko nakon tog perioda liječenja ne dođe do poboljšanja, treba prekinuti terapiju lijekom Sandimmun Neoral.</w:t>
      </w:r>
    </w:p>
    <w:p w14:paraId="2FB55624" w14:textId="77777777" w:rsidR="00BB702A" w:rsidRPr="00A14E37" w:rsidRDefault="00BB702A">
      <w:pPr>
        <w:pStyle w:val="Text"/>
        <w:spacing w:before="0"/>
        <w:rPr>
          <w:noProof/>
          <w:color w:val="000000"/>
          <w:sz w:val="22"/>
          <w:szCs w:val="22"/>
          <w:lang w:val="sr-Latn-ME"/>
        </w:rPr>
      </w:pPr>
    </w:p>
    <w:p w14:paraId="5AB65E32" w14:textId="1927D9FB"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Doze treba korigovati individualno u skladu sa efikasnošću (proteinurija) i bezbjednošću ali ona ne treba da prijeđe 5 mg/kg na dan kod odraslih i 6 mg/kg na dan kod djece.</w:t>
      </w:r>
    </w:p>
    <w:p w14:paraId="21488A12" w14:textId="7777777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 xml:space="preserve">Za </w:t>
      </w:r>
      <w:r w:rsidRPr="00A14E37">
        <w:rPr>
          <w:i/>
          <w:noProof/>
          <w:color w:val="000000"/>
          <w:sz w:val="22"/>
          <w:szCs w:val="22"/>
          <w:lang w:val="sr-Latn-ME"/>
        </w:rPr>
        <w:t xml:space="preserve">terapiju održavanja </w:t>
      </w:r>
      <w:r w:rsidRPr="00A14E37">
        <w:rPr>
          <w:noProof/>
          <w:color w:val="000000"/>
          <w:sz w:val="22"/>
          <w:szCs w:val="22"/>
          <w:lang w:val="sr-Latn-ME"/>
        </w:rPr>
        <w:t>dozu treba polako smanjivati do najnižeg efikasnog nivoa.</w:t>
      </w:r>
    </w:p>
    <w:p w14:paraId="76E58936" w14:textId="77777777" w:rsidR="0031444A" w:rsidRPr="00A14E37" w:rsidRDefault="0031444A" w:rsidP="00F949C5">
      <w:pPr>
        <w:pStyle w:val="Heading4"/>
        <w:spacing w:before="0"/>
        <w:jc w:val="both"/>
        <w:rPr>
          <w:rFonts w:ascii="Times New Roman" w:hAnsi="Times New Roman" w:cs="Times New Roman"/>
          <w:b/>
          <w:i w:val="0"/>
          <w:noProof/>
          <w:color w:val="000000"/>
          <w:sz w:val="22"/>
          <w:szCs w:val="22"/>
          <w:lang w:val="sr-Latn-ME"/>
        </w:rPr>
      </w:pPr>
    </w:p>
    <w:p w14:paraId="5ECDD10E" w14:textId="77777777" w:rsidR="00BB702A" w:rsidRPr="00A14E37" w:rsidRDefault="00BB702A" w:rsidP="00F949C5">
      <w:pPr>
        <w:pStyle w:val="Heading4"/>
        <w:spacing w:before="0"/>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t>Reumatoidni artritis</w:t>
      </w:r>
    </w:p>
    <w:p w14:paraId="18D9EA6B" w14:textId="28E23971"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Preporučena doza za </w:t>
      </w:r>
      <w:r w:rsidRPr="00A14E37">
        <w:rPr>
          <w:i/>
          <w:noProof/>
          <w:color w:val="000000"/>
          <w:sz w:val="22"/>
          <w:szCs w:val="22"/>
          <w:lang w:val="sr-Latn-ME"/>
        </w:rPr>
        <w:t>prvih 6 nedjelja</w:t>
      </w:r>
      <w:r w:rsidRPr="00A14E37">
        <w:rPr>
          <w:noProof/>
          <w:color w:val="000000"/>
          <w:sz w:val="22"/>
          <w:szCs w:val="22"/>
          <w:lang w:val="sr-Latn-ME"/>
        </w:rPr>
        <w:t xml:space="preserve"> iznosi 3 mg/kg na dan, oralno, podijeljena u 2 pojedinačne doze. Ukoliko je dejstvo nedovoljno, dnevna doza se postepeno može povećavati u skladu sa podnošljivošću ali ne treba da pređe 5 mg/kg. Može biti potrebno i do 12 nedjelja terapije lijekom Sandimmun Neoral da bi se postigla potpuna efikasnost.</w:t>
      </w:r>
    </w:p>
    <w:p w14:paraId="7B02C6A9" w14:textId="77777777"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Za </w:t>
      </w:r>
      <w:r w:rsidRPr="00A14E37">
        <w:rPr>
          <w:i/>
          <w:noProof/>
          <w:color w:val="000000"/>
          <w:sz w:val="22"/>
          <w:szCs w:val="22"/>
          <w:lang w:val="sr-Latn-ME"/>
        </w:rPr>
        <w:t xml:space="preserve">terapiju održavanja </w:t>
      </w:r>
      <w:r w:rsidRPr="00A14E37">
        <w:rPr>
          <w:noProof/>
          <w:color w:val="000000"/>
          <w:sz w:val="22"/>
          <w:szCs w:val="22"/>
          <w:lang w:val="sr-Latn-ME"/>
        </w:rPr>
        <w:t>dozu treba individualno titrirati u skladu sa podnošljivošću do najnižeg efikasnog nivoa.</w:t>
      </w:r>
    </w:p>
    <w:p w14:paraId="348C3FA6" w14:textId="6F4F7F93" w:rsidR="00BB702A" w:rsidRPr="00A14E37" w:rsidRDefault="0031444A" w:rsidP="00F949C5">
      <w:pPr>
        <w:pStyle w:val="Text"/>
        <w:spacing w:before="0"/>
        <w:rPr>
          <w:noProof/>
          <w:color w:val="000000"/>
          <w:sz w:val="22"/>
          <w:szCs w:val="22"/>
          <w:lang w:val="sr-Latn-ME"/>
        </w:rPr>
      </w:pPr>
      <w:r w:rsidRPr="00A14E37">
        <w:rPr>
          <w:noProof/>
          <w:color w:val="000000"/>
          <w:sz w:val="22"/>
          <w:szCs w:val="22"/>
          <w:lang w:val="sr-Latn-ME"/>
        </w:rPr>
        <w:t xml:space="preserve">Lijek </w:t>
      </w:r>
      <w:r w:rsidR="00BB702A" w:rsidRPr="00A14E37">
        <w:rPr>
          <w:noProof/>
          <w:color w:val="000000"/>
          <w:sz w:val="22"/>
          <w:szCs w:val="22"/>
          <w:lang w:val="sr-Latn-ME"/>
        </w:rPr>
        <w:t xml:space="preserve">Sandimmun Neoral se može davati u kombinaciji sa </w:t>
      </w:r>
      <w:r w:rsidR="00443990" w:rsidRPr="00A14E37">
        <w:rPr>
          <w:noProof/>
          <w:color w:val="000000"/>
          <w:sz w:val="22"/>
          <w:szCs w:val="22"/>
          <w:lang w:val="sr-Latn-ME"/>
        </w:rPr>
        <w:t>niskom</w:t>
      </w:r>
      <w:r w:rsidR="003D0FFD" w:rsidRPr="00A14E37">
        <w:rPr>
          <w:noProof/>
          <w:color w:val="000000"/>
          <w:sz w:val="22"/>
          <w:szCs w:val="22"/>
          <w:lang w:val="sr-Latn-ME"/>
        </w:rPr>
        <w:t xml:space="preserve"> dozom</w:t>
      </w:r>
      <w:r w:rsidR="00BB702A" w:rsidRPr="00A14E37">
        <w:rPr>
          <w:noProof/>
          <w:color w:val="000000"/>
          <w:sz w:val="22"/>
          <w:szCs w:val="22"/>
          <w:lang w:val="sr-Latn-ME"/>
        </w:rPr>
        <w:t xml:space="preserve"> kortikosteroida i/ili nesteroidnim antiinflamatornim ljekovima</w:t>
      </w:r>
      <w:r w:rsidR="003D0FFD" w:rsidRPr="00A14E37">
        <w:rPr>
          <w:noProof/>
          <w:color w:val="000000"/>
          <w:sz w:val="22"/>
          <w:szCs w:val="22"/>
          <w:lang w:val="sr-Latn-ME"/>
        </w:rPr>
        <w:t xml:space="preserve"> (NSAIL)</w:t>
      </w:r>
      <w:r w:rsidR="00BB702A" w:rsidRPr="00A14E37">
        <w:rPr>
          <w:noProof/>
          <w:color w:val="000000"/>
          <w:sz w:val="22"/>
          <w:szCs w:val="22"/>
          <w:lang w:val="sr-Latn-ME"/>
        </w:rPr>
        <w:t xml:space="preserve"> </w:t>
      </w:r>
      <w:r w:rsidR="00BB702A" w:rsidRPr="00A14E37">
        <w:rPr>
          <w:noProof/>
          <w:sz w:val="22"/>
          <w:szCs w:val="22"/>
          <w:lang w:val="sr-Latn-ME"/>
        </w:rPr>
        <w:t xml:space="preserve">(vidjeti </w:t>
      </w:r>
      <w:r w:rsidR="00C37D5C" w:rsidRPr="00A14E37">
        <w:rPr>
          <w:noProof/>
          <w:sz w:val="22"/>
          <w:szCs w:val="22"/>
          <w:lang w:val="sr-Latn-ME"/>
        </w:rPr>
        <w:t xml:space="preserve">dio </w:t>
      </w:r>
      <w:r w:rsidR="00BB702A" w:rsidRPr="00A14E37">
        <w:rPr>
          <w:noProof/>
          <w:sz w:val="22"/>
          <w:szCs w:val="22"/>
          <w:lang w:val="sr-Latn-ME"/>
        </w:rPr>
        <w:t xml:space="preserve">4.4). </w:t>
      </w:r>
      <w:r w:rsidRPr="00A14E37">
        <w:rPr>
          <w:noProof/>
          <w:sz w:val="22"/>
          <w:szCs w:val="22"/>
          <w:lang w:val="sr-Latn-ME"/>
        </w:rPr>
        <w:t xml:space="preserve">Lijek </w:t>
      </w:r>
      <w:r w:rsidR="00BB702A" w:rsidRPr="00A14E37">
        <w:rPr>
          <w:noProof/>
          <w:sz w:val="22"/>
          <w:szCs w:val="22"/>
          <w:lang w:val="sr-Latn-ME"/>
        </w:rPr>
        <w:t>Sandimmun Neoral se može kombinovati i sa</w:t>
      </w:r>
      <w:r w:rsidR="00BB702A" w:rsidRPr="00A14E37">
        <w:rPr>
          <w:noProof/>
          <w:color w:val="000000"/>
          <w:sz w:val="22"/>
          <w:szCs w:val="22"/>
          <w:lang w:val="sr-Latn-ME"/>
        </w:rPr>
        <w:t xml:space="preserve"> </w:t>
      </w:r>
      <w:r w:rsidR="00443990" w:rsidRPr="00A14E37">
        <w:rPr>
          <w:noProof/>
          <w:color w:val="000000"/>
          <w:sz w:val="22"/>
          <w:szCs w:val="22"/>
          <w:lang w:val="sr-Latn-ME"/>
        </w:rPr>
        <w:t>niskom</w:t>
      </w:r>
      <w:r w:rsidR="003D0FFD" w:rsidRPr="00A14E37">
        <w:rPr>
          <w:noProof/>
          <w:color w:val="000000"/>
          <w:sz w:val="22"/>
          <w:szCs w:val="22"/>
          <w:lang w:val="sr-Latn-ME"/>
        </w:rPr>
        <w:t xml:space="preserve"> dozom</w:t>
      </w:r>
      <w:r w:rsidR="00BB702A" w:rsidRPr="00A14E37">
        <w:rPr>
          <w:noProof/>
          <w:color w:val="000000"/>
          <w:sz w:val="22"/>
          <w:szCs w:val="22"/>
          <w:lang w:val="sr-Latn-ME"/>
        </w:rPr>
        <w:t xml:space="preserve"> metotreksat</w:t>
      </w:r>
      <w:r w:rsidR="003D0FFD" w:rsidRPr="00A14E37">
        <w:rPr>
          <w:noProof/>
          <w:color w:val="000000"/>
          <w:sz w:val="22"/>
          <w:szCs w:val="22"/>
          <w:lang w:val="sr-Latn-ME"/>
        </w:rPr>
        <w:t>a</w:t>
      </w:r>
      <w:r w:rsidR="00BB702A" w:rsidRPr="00A14E37">
        <w:rPr>
          <w:noProof/>
          <w:color w:val="000000"/>
          <w:sz w:val="22"/>
          <w:szCs w:val="22"/>
          <w:lang w:val="sr-Latn-ME"/>
        </w:rPr>
        <w:t xml:space="preserve"> koji se daje jednom nedjeljno kod pacijenata koji pokazuju nedovoljan odgovor </w:t>
      </w:r>
      <w:r w:rsidR="003D0FFD" w:rsidRPr="00A14E37">
        <w:rPr>
          <w:noProof/>
          <w:color w:val="000000"/>
          <w:sz w:val="22"/>
          <w:szCs w:val="22"/>
          <w:lang w:val="sr-Latn-ME"/>
        </w:rPr>
        <w:t>kod primjene samo</w:t>
      </w:r>
      <w:r w:rsidR="00BB702A" w:rsidRPr="00A14E37">
        <w:rPr>
          <w:noProof/>
          <w:color w:val="000000"/>
          <w:sz w:val="22"/>
          <w:szCs w:val="22"/>
          <w:lang w:val="sr-Latn-ME"/>
        </w:rPr>
        <w:t xml:space="preserve"> metotreksat</w:t>
      </w:r>
      <w:r w:rsidR="003D0FFD" w:rsidRPr="00A14E37">
        <w:rPr>
          <w:noProof/>
          <w:color w:val="000000"/>
          <w:sz w:val="22"/>
          <w:szCs w:val="22"/>
          <w:lang w:val="sr-Latn-ME"/>
        </w:rPr>
        <w:t>a</w:t>
      </w:r>
      <w:r w:rsidR="00BB702A" w:rsidRPr="00A14E37">
        <w:rPr>
          <w:noProof/>
          <w:color w:val="000000"/>
          <w:sz w:val="22"/>
          <w:szCs w:val="22"/>
          <w:lang w:val="sr-Latn-ME"/>
        </w:rPr>
        <w:t>, a u početku se primjenjuje 2,5 mg/kg lijeka Sandimmun Neoral na dan, podijeljeno u 2 pojedinačne doze, uz mogućnost da se doza poveća u skladu sa podnošljivošću.</w:t>
      </w:r>
    </w:p>
    <w:p w14:paraId="03729FB2" w14:textId="77777777" w:rsidR="00BB702A" w:rsidRPr="00A14E37" w:rsidRDefault="00BB702A" w:rsidP="00F949C5">
      <w:pPr>
        <w:pStyle w:val="Text"/>
        <w:spacing w:before="0"/>
        <w:rPr>
          <w:noProof/>
          <w:color w:val="000000"/>
          <w:sz w:val="22"/>
          <w:szCs w:val="22"/>
          <w:lang w:val="sr-Latn-ME"/>
        </w:rPr>
      </w:pPr>
    </w:p>
    <w:p w14:paraId="5F6521B7" w14:textId="77777777" w:rsidR="00BB702A" w:rsidRPr="00A14E37" w:rsidRDefault="00BB702A" w:rsidP="00F949C5">
      <w:pPr>
        <w:pStyle w:val="Heading4"/>
        <w:spacing w:before="0"/>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t>Psorijaza</w:t>
      </w:r>
    </w:p>
    <w:p w14:paraId="45CB5035" w14:textId="15A86E03"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 xml:space="preserve">Liječenje lijekom Sandimmun Neoral treba da započne ljekar koji ima iskustva u dijagnostikovanju i liječenju psorijaze. Terapija mora biti individualna zbog raznolikosti ovog stanja. Preporučena početna doza za </w:t>
      </w:r>
      <w:r w:rsidRPr="00A14E37">
        <w:rPr>
          <w:i/>
          <w:noProof/>
          <w:color w:val="000000"/>
          <w:sz w:val="22"/>
          <w:szCs w:val="22"/>
          <w:lang w:val="sr-Latn-ME"/>
        </w:rPr>
        <w:t>indukciju remisije</w:t>
      </w:r>
      <w:r w:rsidRPr="00A14E37">
        <w:rPr>
          <w:noProof/>
          <w:color w:val="000000"/>
          <w:sz w:val="22"/>
          <w:szCs w:val="22"/>
          <w:lang w:val="sr-Latn-ME"/>
        </w:rPr>
        <w:t xml:space="preserve"> iznosi 2,5 mg/kg na dan, oralno, podijeljena u 2 pojedinačne doze. Ukoliko nakon 1 mjeseca nema poboljšanja, dnevna doza se postepeno može povećavati, ali ne treba da pređe 5 mg/kg. Terapiju treba prekinuti kod pacijenata kod kojih se uz pomoć 5 mg/kg na dan u roku od 6 nedjelja ne može postići dovoljan odgovor psorijatskih lezija ili kod kojih efikasna doza nije u skladu sa utvrđenim </w:t>
      </w:r>
      <w:r w:rsidR="00170AE4" w:rsidRPr="00A14E37">
        <w:rPr>
          <w:noProof/>
          <w:color w:val="000000"/>
          <w:sz w:val="22"/>
          <w:szCs w:val="22"/>
          <w:lang w:val="sr-Latn-ME"/>
        </w:rPr>
        <w:t>smjernicama</w:t>
      </w:r>
      <w:r w:rsidRPr="00A14E37">
        <w:rPr>
          <w:noProof/>
          <w:color w:val="000000"/>
          <w:sz w:val="22"/>
          <w:szCs w:val="22"/>
          <w:lang w:val="sr-Latn-ME"/>
        </w:rPr>
        <w:t xml:space="preserve"> o bezbjednosti (vidjeti </w:t>
      </w:r>
      <w:r w:rsidR="00C37D5C" w:rsidRPr="00A14E37">
        <w:rPr>
          <w:noProof/>
          <w:color w:val="000000"/>
          <w:sz w:val="22"/>
          <w:szCs w:val="22"/>
          <w:lang w:val="sr-Latn-ME"/>
        </w:rPr>
        <w:t xml:space="preserve">dio </w:t>
      </w:r>
      <w:r w:rsidRPr="00A14E37">
        <w:rPr>
          <w:noProof/>
          <w:color w:val="000000"/>
          <w:sz w:val="22"/>
          <w:szCs w:val="22"/>
          <w:lang w:val="sr-Latn-ME"/>
        </w:rPr>
        <w:t>4.4).</w:t>
      </w:r>
    </w:p>
    <w:p w14:paraId="23D0DC38" w14:textId="7777777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Početne doze od 5 mg/kg na dan su opravdane kod pacijenata čije stanje zahtijeva brzo poboljšanje. Kad se postigne zadovoljavajući odgovor, može se ukinuti</w:t>
      </w:r>
      <w:r w:rsidR="0031444A" w:rsidRPr="00A14E37">
        <w:rPr>
          <w:noProof/>
          <w:color w:val="000000"/>
          <w:sz w:val="22"/>
          <w:szCs w:val="22"/>
          <w:lang w:val="sr-Latn-ME"/>
        </w:rPr>
        <w:t xml:space="preserve"> lijek</w:t>
      </w:r>
      <w:r w:rsidRPr="00A14E37">
        <w:rPr>
          <w:noProof/>
          <w:color w:val="000000"/>
          <w:sz w:val="22"/>
          <w:szCs w:val="22"/>
          <w:lang w:val="sr-Latn-ME"/>
        </w:rPr>
        <w:t xml:space="preserve"> Sandimmun Neoral, a recidiv se može otkloniti ponovnim uvođenjem lijeka Sandimmun Neoral u prethodnoj efikasnoj dozi. Kod nekih pacijenata može biti potrebna kontinuirana terapija održavanja.</w:t>
      </w:r>
    </w:p>
    <w:p w14:paraId="1E9D1774" w14:textId="77777777" w:rsidR="0031444A" w:rsidRPr="00A14E37" w:rsidRDefault="0031444A" w:rsidP="00F949C5">
      <w:pPr>
        <w:pStyle w:val="Text"/>
        <w:spacing w:before="0"/>
        <w:rPr>
          <w:noProof/>
          <w:color w:val="000000"/>
          <w:sz w:val="22"/>
          <w:szCs w:val="22"/>
          <w:lang w:val="sr-Latn-ME"/>
        </w:rPr>
      </w:pPr>
    </w:p>
    <w:p w14:paraId="0B997F15" w14:textId="3A9970BB" w:rsidR="00BB702A" w:rsidRPr="00A14E37" w:rsidRDefault="00BB702A">
      <w:pPr>
        <w:pStyle w:val="Text"/>
        <w:spacing w:before="0"/>
        <w:rPr>
          <w:noProof/>
          <w:color w:val="000000"/>
          <w:sz w:val="22"/>
          <w:szCs w:val="22"/>
          <w:lang w:val="sr-Latn-ME"/>
        </w:rPr>
      </w:pPr>
      <w:r w:rsidRPr="00A14E37">
        <w:rPr>
          <w:noProof/>
          <w:color w:val="000000"/>
          <w:sz w:val="22"/>
          <w:szCs w:val="22"/>
          <w:lang w:val="sr-Latn-ME"/>
        </w:rPr>
        <w:t xml:space="preserve">Doze za </w:t>
      </w:r>
      <w:r w:rsidRPr="00A14E37">
        <w:rPr>
          <w:i/>
          <w:noProof/>
          <w:color w:val="000000"/>
          <w:sz w:val="22"/>
          <w:szCs w:val="22"/>
          <w:lang w:val="sr-Latn-ME"/>
        </w:rPr>
        <w:t xml:space="preserve">terapiju održavanja </w:t>
      </w:r>
      <w:r w:rsidRPr="00A14E37">
        <w:rPr>
          <w:noProof/>
          <w:color w:val="000000"/>
          <w:sz w:val="22"/>
          <w:szCs w:val="22"/>
          <w:lang w:val="sr-Latn-ME"/>
        </w:rPr>
        <w:t>treba individualno titrirati do najnižeg efikasnog nivoa ali ne bi trebalo da pređu</w:t>
      </w:r>
      <w:r w:rsidR="0031444A" w:rsidRPr="00A14E37">
        <w:rPr>
          <w:noProof/>
          <w:color w:val="000000"/>
          <w:sz w:val="22"/>
          <w:szCs w:val="22"/>
          <w:lang w:val="sr-Latn-ME"/>
        </w:rPr>
        <w:t xml:space="preserve"> </w:t>
      </w:r>
      <w:r w:rsidRPr="00A14E37">
        <w:rPr>
          <w:noProof/>
          <w:color w:val="000000"/>
          <w:sz w:val="22"/>
          <w:szCs w:val="22"/>
          <w:lang w:val="sr-Latn-ME"/>
        </w:rPr>
        <w:t>5 mg/kg na dan.</w:t>
      </w:r>
    </w:p>
    <w:p w14:paraId="1AACF61D" w14:textId="77777777" w:rsidR="00BB702A" w:rsidRPr="00A14E37" w:rsidRDefault="00BB702A">
      <w:pPr>
        <w:pStyle w:val="Text"/>
        <w:rPr>
          <w:noProof/>
          <w:color w:val="000000"/>
          <w:sz w:val="22"/>
          <w:szCs w:val="22"/>
          <w:lang w:val="sr-Latn-ME"/>
        </w:rPr>
      </w:pPr>
    </w:p>
    <w:p w14:paraId="786A73D3" w14:textId="77777777" w:rsidR="00BB702A" w:rsidRPr="00A14E37" w:rsidRDefault="00BB702A">
      <w:pPr>
        <w:pStyle w:val="Heading4"/>
        <w:jc w:val="both"/>
        <w:rPr>
          <w:rFonts w:ascii="Times New Roman" w:hAnsi="Times New Roman" w:cs="Times New Roman"/>
          <w:b/>
          <w:noProof/>
          <w:color w:val="000000"/>
          <w:sz w:val="22"/>
          <w:szCs w:val="22"/>
          <w:lang w:val="sr-Latn-ME"/>
        </w:rPr>
      </w:pPr>
      <w:r w:rsidRPr="00A14E37">
        <w:rPr>
          <w:rFonts w:ascii="Times New Roman" w:hAnsi="Times New Roman" w:cs="Times New Roman"/>
          <w:b/>
          <w:noProof/>
          <w:color w:val="000000"/>
          <w:sz w:val="22"/>
          <w:szCs w:val="22"/>
          <w:lang w:val="sr-Latn-ME"/>
        </w:rPr>
        <w:lastRenderedPageBreak/>
        <w:t>Atopijski dermatitis</w:t>
      </w:r>
    </w:p>
    <w:p w14:paraId="26EA55D2" w14:textId="77777777"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Liječenje lijekom Sandimmun Neoral treba da započne ljekar koji ima iskustva u dijagnostikovanju i liječenju atopijskog dermatitisa. Terapija mora biti individualna zbog raznolikosti ovog stanja. Preporučena doza je u rasponu od 2,5 do 5 mg/kg na dan, podijeljena u 2 pojedinačne oralne doze. Ukoliko početna doza od 2,5 mg/kg na dan za dvije nedjelje terapije ne postigne zadovoljavajući odgovor, dnevna doza se može rapidno povećati do najviše 5 mg/kg. Veća je verovatnoća da će se brza i adekvatna kontrola bolesti u vrlo teškim slučajevima postići uz početnu dozu od 5 mg/kg na dan. Kad se postigne zadovoljavajući odgovor, dozu postepeno treba smanjivati i treba, ukoliko je moguće, ukinuti </w:t>
      </w:r>
      <w:r w:rsidR="0031444A" w:rsidRPr="00A14E37">
        <w:rPr>
          <w:noProof/>
          <w:color w:val="000000"/>
          <w:sz w:val="22"/>
          <w:szCs w:val="22"/>
          <w:lang w:val="sr-Latn-ME"/>
        </w:rPr>
        <w:t xml:space="preserve">lijek </w:t>
      </w:r>
      <w:r w:rsidRPr="00A14E37">
        <w:rPr>
          <w:noProof/>
          <w:color w:val="000000"/>
          <w:sz w:val="22"/>
          <w:szCs w:val="22"/>
          <w:lang w:val="sr-Latn-ME"/>
        </w:rPr>
        <w:t>Sandimmun Neoral. Recidivi se mogu otkloniti daljom terapijom lijekom Sandimmun Neoral.</w:t>
      </w:r>
    </w:p>
    <w:p w14:paraId="06EB2FFC" w14:textId="0D39E8DA"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Iako 8-nedjeljna terapija može biti dovoljna za uklanjanje oboljenja, pokazalo se da je terapija i do 1 godine bila efikasna i dobro podnošljiva, pod uslovom da su se slijedil</w:t>
      </w:r>
      <w:r w:rsidR="005414D3" w:rsidRPr="00A14E37">
        <w:rPr>
          <w:noProof/>
          <w:color w:val="000000"/>
          <w:sz w:val="22"/>
          <w:szCs w:val="22"/>
          <w:lang w:val="sr-Latn-ME"/>
        </w:rPr>
        <w:t>e</w:t>
      </w:r>
      <w:r w:rsidRPr="00A14E37">
        <w:rPr>
          <w:noProof/>
          <w:color w:val="000000"/>
          <w:sz w:val="22"/>
          <w:szCs w:val="22"/>
          <w:lang w:val="sr-Latn-ME"/>
        </w:rPr>
        <w:t xml:space="preserve"> </w:t>
      </w:r>
      <w:r w:rsidR="005414D3" w:rsidRPr="00A14E37">
        <w:rPr>
          <w:noProof/>
          <w:color w:val="000000"/>
          <w:sz w:val="22"/>
          <w:szCs w:val="22"/>
          <w:lang w:val="sr-Latn-ME"/>
        </w:rPr>
        <w:t>smjernice</w:t>
      </w:r>
      <w:r w:rsidRPr="00A14E37">
        <w:rPr>
          <w:noProof/>
          <w:color w:val="000000"/>
          <w:sz w:val="22"/>
          <w:szCs w:val="22"/>
          <w:lang w:val="sr-Latn-ME"/>
        </w:rPr>
        <w:t xml:space="preserve"> za praćenje</w:t>
      </w:r>
      <w:r w:rsidR="005414D3" w:rsidRPr="00A14E37">
        <w:rPr>
          <w:noProof/>
          <w:color w:val="000000"/>
          <w:sz w:val="22"/>
          <w:szCs w:val="22"/>
          <w:lang w:val="sr-Latn-ME"/>
        </w:rPr>
        <w:t xml:space="preserve"> pacijenta</w:t>
      </w:r>
      <w:r w:rsidRPr="00A14E37">
        <w:rPr>
          <w:noProof/>
          <w:color w:val="000000"/>
          <w:sz w:val="22"/>
          <w:szCs w:val="22"/>
          <w:lang w:val="sr-Latn-ME"/>
        </w:rPr>
        <w:t>.</w:t>
      </w:r>
    </w:p>
    <w:p w14:paraId="079C9018" w14:textId="77777777" w:rsidR="00BB702A" w:rsidRPr="00A14E37" w:rsidRDefault="00BB702A" w:rsidP="00F949C5">
      <w:pPr>
        <w:pStyle w:val="Text"/>
        <w:spacing w:before="0"/>
        <w:rPr>
          <w:i/>
          <w:noProof/>
          <w:color w:val="000000"/>
          <w:sz w:val="22"/>
          <w:szCs w:val="22"/>
          <w:u w:val="single"/>
          <w:lang w:val="sr-Latn-ME"/>
        </w:rPr>
      </w:pPr>
    </w:p>
    <w:p w14:paraId="1C50AF61" w14:textId="707443B5" w:rsidR="00BB702A" w:rsidRPr="00A14E37" w:rsidRDefault="00BB702A" w:rsidP="00F949C5">
      <w:pPr>
        <w:pStyle w:val="Heading3"/>
        <w:spacing w:before="0"/>
        <w:jc w:val="both"/>
        <w:rPr>
          <w:rFonts w:ascii="Times New Roman" w:hAnsi="Times New Roman" w:cs="Times New Roman"/>
          <w:i/>
          <w:noProof/>
          <w:color w:val="000000"/>
          <w:sz w:val="22"/>
          <w:szCs w:val="22"/>
          <w:u w:val="single"/>
          <w:lang w:val="sr-Latn-ME"/>
        </w:rPr>
      </w:pPr>
      <w:r w:rsidRPr="00A14E37">
        <w:rPr>
          <w:rFonts w:ascii="Times New Roman" w:hAnsi="Times New Roman" w:cs="Times New Roman"/>
          <w:i/>
          <w:noProof/>
          <w:color w:val="000000"/>
          <w:sz w:val="22"/>
          <w:szCs w:val="22"/>
          <w:u w:val="single"/>
          <w:lang w:val="sr-Latn-ME"/>
        </w:rPr>
        <w:t xml:space="preserve">Prelazak sa </w:t>
      </w:r>
      <w:r w:rsidR="00B93D1A" w:rsidRPr="00A14E37">
        <w:rPr>
          <w:rFonts w:ascii="Times New Roman" w:hAnsi="Times New Roman" w:cs="Times New Roman"/>
          <w:i/>
          <w:noProof/>
          <w:color w:val="000000"/>
          <w:sz w:val="22"/>
          <w:szCs w:val="22"/>
          <w:u w:val="single"/>
          <w:lang w:val="sr-Latn-ME"/>
        </w:rPr>
        <w:t xml:space="preserve">oralnih formulacija lijeka </w:t>
      </w:r>
      <w:r w:rsidRPr="00A14E37">
        <w:rPr>
          <w:rFonts w:ascii="Times New Roman" w:hAnsi="Times New Roman" w:cs="Times New Roman"/>
          <w:i/>
          <w:noProof/>
          <w:color w:val="000000"/>
          <w:sz w:val="22"/>
          <w:szCs w:val="22"/>
          <w:u w:val="single"/>
          <w:lang w:val="sr-Latn-ME"/>
        </w:rPr>
        <w:t>Sandimmun na</w:t>
      </w:r>
      <w:r w:rsidR="00855747" w:rsidRPr="00A14E37">
        <w:rPr>
          <w:rFonts w:ascii="Times New Roman" w:hAnsi="Times New Roman" w:cs="Times New Roman"/>
          <w:i/>
          <w:noProof/>
          <w:color w:val="000000"/>
          <w:sz w:val="22"/>
          <w:szCs w:val="22"/>
          <w:u w:val="single"/>
          <w:lang w:val="sr-Latn-ME"/>
        </w:rPr>
        <w:t xml:space="preserve"> oralne formulacije</w:t>
      </w:r>
      <w:r w:rsidRPr="00A14E37">
        <w:rPr>
          <w:rFonts w:ascii="Times New Roman" w:hAnsi="Times New Roman" w:cs="Times New Roman"/>
          <w:i/>
          <w:noProof/>
          <w:color w:val="000000"/>
          <w:sz w:val="22"/>
          <w:szCs w:val="22"/>
          <w:u w:val="single"/>
          <w:lang w:val="sr-Latn-ME"/>
        </w:rPr>
        <w:t xml:space="preserve"> </w:t>
      </w:r>
      <w:r w:rsidR="00B93D1A" w:rsidRPr="00A14E37">
        <w:rPr>
          <w:rFonts w:ascii="Times New Roman" w:hAnsi="Times New Roman" w:cs="Times New Roman"/>
          <w:i/>
          <w:noProof/>
          <w:color w:val="000000"/>
          <w:sz w:val="22"/>
          <w:szCs w:val="22"/>
          <w:u w:val="single"/>
          <w:lang w:val="sr-Latn-ME"/>
        </w:rPr>
        <w:t>lijek</w:t>
      </w:r>
      <w:r w:rsidR="00855747" w:rsidRPr="00A14E37">
        <w:rPr>
          <w:rFonts w:ascii="Times New Roman" w:hAnsi="Times New Roman" w:cs="Times New Roman"/>
          <w:i/>
          <w:noProof/>
          <w:color w:val="000000"/>
          <w:sz w:val="22"/>
          <w:szCs w:val="22"/>
          <w:u w:val="single"/>
          <w:lang w:val="sr-Latn-ME"/>
        </w:rPr>
        <w:t>a</w:t>
      </w:r>
      <w:r w:rsidR="00B93D1A" w:rsidRPr="00A14E37">
        <w:rPr>
          <w:rFonts w:ascii="Times New Roman" w:hAnsi="Times New Roman" w:cs="Times New Roman"/>
          <w:i/>
          <w:noProof/>
          <w:color w:val="000000"/>
          <w:sz w:val="22"/>
          <w:szCs w:val="22"/>
          <w:u w:val="single"/>
          <w:lang w:val="sr-Latn-ME"/>
        </w:rPr>
        <w:t xml:space="preserve"> </w:t>
      </w:r>
      <w:r w:rsidRPr="00A14E37">
        <w:rPr>
          <w:rFonts w:ascii="Times New Roman" w:hAnsi="Times New Roman" w:cs="Times New Roman"/>
          <w:i/>
          <w:noProof/>
          <w:color w:val="000000"/>
          <w:sz w:val="22"/>
          <w:szCs w:val="22"/>
          <w:u w:val="single"/>
          <w:lang w:val="sr-Latn-ME"/>
        </w:rPr>
        <w:t>Sandimmun Neoral</w:t>
      </w:r>
    </w:p>
    <w:p w14:paraId="5E64DABA" w14:textId="002EB3F9"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Raspoloživi podaci pokazuju da su</w:t>
      </w:r>
      <w:r w:rsidR="00B93D1A" w:rsidRPr="00A14E37">
        <w:rPr>
          <w:noProof/>
          <w:color w:val="000000"/>
          <w:sz w:val="22"/>
          <w:szCs w:val="22"/>
          <w:lang w:val="sr-Latn-ME"/>
        </w:rPr>
        <w:t xml:space="preserve"> nakon prelaska sa oralnih formulacija lijeka Sandimmun na </w:t>
      </w:r>
      <w:r w:rsidR="00855747" w:rsidRPr="00A14E37">
        <w:rPr>
          <w:noProof/>
          <w:color w:val="000000"/>
          <w:sz w:val="22"/>
          <w:szCs w:val="22"/>
          <w:lang w:val="sr-Latn-ME"/>
        </w:rPr>
        <w:t xml:space="preserve">oralnu formulaciju </w:t>
      </w:r>
      <w:r w:rsidR="00B93D1A" w:rsidRPr="00A14E37">
        <w:rPr>
          <w:noProof/>
          <w:color w:val="000000"/>
          <w:sz w:val="22"/>
          <w:szCs w:val="22"/>
          <w:lang w:val="sr-Latn-ME"/>
        </w:rPr>
        <w:t>lijek</w:t>
      </w:r>
      <w:r w:rsidR="00855747" w:rsidRPr="00A14E37">
        <w:rPr>
          <w:noProof/>
          <w:color w:val="000000"/>
          <w:sz w:val="22"/>
          <w:szCs w:val="22"/>
          <w:lang w:val="sr-Latn-ME"/>
        </w:rPr>
        <w:t>a</w:t>
      </w:r>
      <w:r w:rsidR="00B93D1A" w:rsidRPr="00A14E37">
        <w:rPr>
          <w:noProof/>
          <w:color w:val="000000"/>
          <w:sz w:val="22"/>
          <w:szCs w:val="22"/>
          <w:lang w:val="sr-Latn-ME"/>
        </w:rPr>
        <w:t xml:space="preserve"> Sandimmun Neoral u odnosu 1:1</w:t>
      </w:r>
      <w:r w:rsidRPr="00A14E37">
        <w:rPr>
          <w:noProof/>
          <w:color w:val="000000"/>
          <w:sz w:val="22"/>
          <w:szCs w:val="22"/>
          <w:lang w:val="sr-Latn-ME"/>
        </w:rPr>
        <w:t xml:space="preserve"> koncentracije ciklosporina</w:t>
      </w:r>
      <w:r w:rsidR="00B93D1A" w:rsidRPr="00A14E37">
        <w:rPr>
          <w:noProof/>
          <w:color w:val="000000"/>
          <w:sz w:val="22"/>
          <w:szCs w:val="22"/>
          <w:lang w:val="sr-Latn-ME"/>
        </w:rPr>
        <w:t xml:space="preserve"> pred narednu dozu</w:t>
      </w:r>
      <w:r w:rsidRPr="00A14E37">
        <w:rPr>
          <w:noProof/>
          <w:color w:val="000000"/>
          <w:sz w:val="22"/>
          <w:szCs w:val="22"/>
          <w:lang w:val="sr-Latn-ME"/>
        </w:rPr>
        <w:t xml:space="preserve"> u punoj krvi </w:t>
      </w:r>
      <w:r w:rsidR="00B93D1A" w:rsidRPr="00A14E37">
        <w:rPr>
          <w:noProof/>
          <w:color w:val="000000"/>
          <w:sz w:val="22"/>
          <w:szCs w:val="22"/>
          <w:lang w:val="sr-Latn-ME"/>
        </w:rPr>
        <w:t>uporedive</w:t>
      </w:r>
      <w:r w:rsidRPr="00A14E37">
        <w:rPr>
          <w:noProof/>
          <w:color w:val="000000"/>
          <w:sz w:val="22"/>
          <w:szCs w:val="22"/>
          <w:lang w:val="sr-Latn-ME"/>
        </w:rPr>
        <w:t>. Međutim, kod mnogih pacijenata se mogu javiti veće maksimalne koncentracije (C</w:t>
      </w:r>
      <w:r w:rsidRPr="00A14E37">
        <w:rPr>
          <w:noProof/>
          <w:color w:val="000000"/>
          <w:sz w:val="22"/>
          <w:szCs w:val="22"/>
          <w:vertAlign w:val="subscript"/>
          <w:lang w:val="sr-Latn-ME"/>
        </w:rPr>
        <w:t>max</w:t>
      </w:r>
      <w:r w:rsidRPr="00A14E37">
        <w:rPr>
          <w:noProof/>
          <w:color w:val="000000"/>
          <w:sz w:val="22"/>
          <w:szCs w:val="22"/>
          <w:lang w:val="sr-Latn-ME"/>
        </w:rPr>
        <w:t xml:space="preserve">) i veća izloženost </w:t>
      </w:r>
      <w:r w:rsidR="00B93D1A" w:rsidRPr="00A14E37">
        <w:rPr>
          <w:noProof/>
          <w:color w:val="000000"/>
          <w:sz w:val="22"/>
          <w:szCs w:val="22"/>
          <w:lang w:val="sr-Latn-ME"/>
        </w:rPr>
        <w:t xml:space="preserve">aktivnoj supstanci </w:t>
      </w:r>
      <w:r w:rsidRPr="00A14E37">
        <w:rPr>
          <w:noProof/>
          <w:color w:val="000000"/>
          <w:sz w:val="22"/>
          <w:szCs w:val="22"/>
          <w:lang w:val="sr-Latn-ME"/>
        </w:rPr>
        <w:t xml:space="preserve">(PIK). Kod malog procenta pacijenata ove promjene su više izražene i mogu biti od kliničkog značaja. </w:t>
      </w:r>
      <w:r w:rsidR="00B93D1A" w:rsidRPr="00A14E37">
        <w:rPr>
          <w:noProof/>
          <w:color w:val="000000"/>
          <w:sz w:val="22"/>
          <w:szCs w:val="22"/>
          <w:lang w:val="sr-Latn-ME"/>
        </w:rPr>
        <w:t>Osim toga,</w:t>
      </w:r>
      <w:r w:rsidRPr="00A14E37">
        <w:rPr>
          <w:noProof/>
          <w:color w:val="000000"/>
          <w:sz w:val="22"/>
          <w:szCs w:val="22"/>
          <w:lang w:val="sr-Latn-ME"/>
        </w:rPr>
        <w:t xml:space="preserve"> resorpcija ciklosporina iz </w:t>
      </w:r>
      <w:r w:rsidR="00855747" w:rsidRPr="00A14E37">
        <w:rPr>
          <w:noProof/>
          <w:color w:val="000000"/>
          <w:sz w:val="22"/>
          <w:szCs w:val="22"/>
          <w:lang w:val="sr-Latn-ME"/>
        </w:rPr>
        <w:t xml:space="preserve">oralne formulacije </w:t>
      </w:r>
      <w:r w:rsidRPr="00A14E37">
        <w:rPr>
          <w:noProof/>
          <w:color w:val="000000"/>
          <w:sz w:val="22"/>
          <w:szCs w:val="22"/>
          <w:lang w:val="sr-Latn-ME"/>
        </w:rPr>
        <w:t xml:space="preserve">lijeka Sandimmun Neoral </w:t>
      </w:r>
      <w:r w:rsidR="00B93D1A" w:rsidRPr="00A14E37">
        <w:rPr>
          <w:noProof/>
          <w:color w:val="000000"/>
          <w:sz w:val="22"/>
          <w:szCs w:val="22"/>
          <w:lang w:val="sr-Latn-ME"/>
        </w:rPr>
        <w:t xml:space="preserve">je </w:t>
      </w:r>
      <w:r w:rsidRPr="00A14E37">
        <w:rPr>
          <w:noProof/>
          <w:color w:val="000000"/>
          <w:sz w:val="22"/>
          <w:szCs w:val="22"/>
          <w:lang w:val="sr-Latn-ME"/>
        </w:rPr>
        <w:t>manje promjenljiva i korelacija između koncentracij</w:t>
      </w:r>
      <w:r w:rsidR="00B93D1A" w:rsidRPr="00A14E37">
        <w:rPr>
          <w:noProof/>
          <w:color w:val="000000"/>
          <w:sz w:val="22"/>
          <w:szCs w:val="22"/>
          <w:lang w:val="sr-Latn-ME"/>
        </w:rPr>
        <w:t>e</w:t>
      </w:r>
      <w:r w:rsidRPr="00A14E37">
        <w:rPr>
          <w:noProof/>
          <w:color w:val="000000"/>
          <w:sz w:val="22"/>
          <w:szCs w:val="22"/>
          <w:lang w:val="sr-Latn-ME"/>
        </w:rPr>
        <w:t xml:space="preserve"> </w:t>
      </w:r>
      <w:r w:rsidR="00B93D1A" w:rsidRPr="00A14E37">
        <w:rPr>
          <w:noProof/>
          <w:color w:val="000000"/>
          <w:sz w:val="22"/>
          <w:szCs w:val="22"/>
          <w:lang w:val="sr-Latn-ME"/>
        </w:rPr>
        <w:t>lijeka u krvi</w:t>
      </w:r>
      <w:r w:rsidRPr="00A14E37">
        <w:rPr>
          <w:noProof/>
          <w:color w:val="000000"/>
          <w:sz w:val="22"/>
          <w:szCs w:val="22"/>
          <w:lang w:val="sr-Latn-ME"/>
        </w:rPr>
        <w:t xml:space="preserve"> </w:t>
      </w:r>
      <w:r w:rsidR="00B93D1A" w:rsidRPr="00A14E37">
        <w:rPr>
          <w:noProof/>
          <w:color w:val="000000"/>
          <w:sz w:val="22"/>
          <w:szCs w:val="22"/>
          <w:lang w:val="sr-Latn-ME"/>
        </w:rPr>
        <w:t xml:space="preserve">pred narednu dozu </w:t>
      </w:r>
      <w:r w:rsidRPr="00A14E37">
        <w:rPr>
          <w:noProof/>
          <w:color w:val="000000"/>
          <w:sz w:val="22"/>
          <w:szCs w:val="22"/>
          <w:lang w:val="sr-Latn-ME"/>
        </w:rPr>
        <w:t>i izloženosti (u smislu PIK)</w:t>
      </w:r>
      <w:r w:rsidR="00B93D1A" w:rsidRPr="00A14E37">
        <w:rPr>
          <w:noProof/>
          <w:color w:val="000000"/>
          <w:sz w:val="22"/>
          <w:szCs w:val="22"/>
          <w:lang w:val="sr-Latn-ME"/>
        </w:rPr>
        <w:t xml:space="preserve"> je</w:t>
      </w:r>
      <w:r w:rsidRPr="00A14E37">
        <w:rPr>
          <w:noProof/>
          <w:color w:val="000000"/>
          <w:sz w:val="22"/>
          <w:szCs w:val="22"/>
          <w:lang w:val="sr-Latn-ME"/>
        </w:rPr>
        <w:t xml:space="preserve"> jača od one sa oraln</w:t>
      </w:r>
      <w:r w:rsidR="00B93D1A" w:rsidRPr="00A14E37">
        <w:rPr>
          <w:noProof/>
          <w:color w:val="000000"/>
          <w:sz w:val="22"/>
          <w:szCs w:val="22"/>
          <w:lang w:val="sr-Latn-ME"/>
        </w:rPr>
        <w:t>im</w:t>
      </w:r>
      <w:r w:rsidRPr="00A14E37">
        <w:rPr>
          <w:noProof/>
          <w:color w:val="000000"/>
          <w:sz w:val="22"/>
          <w:szCs w:val="22"/>
          <w:lang w:val="sr-Latn-ME"/>
        </w:rPr>
        <w:t xml:space="preserve"> </w:t>
      </w:r>
      <w:r w:rsidR="00B93D1A" w:rsidRPr="00A14E37">
        <w:rPr>
          <w:noProof/>
          <w:color w:val="000000"/>
          <w:sz w:val="22"/>
          <w:szCs w:val="22"/>
          <w:lang w:val="sr-Latn-ME"/>
        </w:rPr>
        <w:t xml:space="preserve">formulacijama </w:t>
      </w:r>
      <w:r w:rsidRPr="00A14E37">
        <w:rPr>
          <w:noProof/>
          <w:color w:val="000000"/>
          <w:sz w:val="22"/>
          <w:szCs w:val="22"/>
          <w:lang w:val="sr-Latn-ME"/>
        </w:rPr>
        <w:t>lijek</w:t>
      </w:r>
      <w:r w:rsidR="00B93D1A" w:rsidRPr="00A14E37">
        <w:rPr>
          <w:noProof/>
          <w:color w:val="000000"/>
          <w:sz w:val="22"/>
          <w:szCs w:val="22"/>
          <w:lang w:val="sr-Latn-ME"/>
        </w:rPr>
        <w:t>a</w:t>
      </w:r>
      <w:r w:rsidRPr="00A14E37">
        <w:rPr>
          <w:noProof/>
          <w:color w:val="000000"/>
          <w:sz w:val="22"/>
          <w:szCs w:val="22"/>
          <w:lang w:val="sr-Latn-ME"/>
        </w:rPr>
        <w:t xml:space="preserve"> Sandimmun. </w:t>
      </w:r>
    </w:p>
    <w:p w14:paraId="5E27FE24" w14:textId="2C2956C7" w:rsidR="00BB702A" w:rsidRPr="00A14E37" w:rsidRDefault="00BB702A">
      <w:pPr>
        <w:pStyle w:val="Text"/>
        <w:rPr>
          <w:noProof/>
          <w:color w:val="000000"/>
          <w:sz w:val="22"/>
          <w:szCs w:val="22"/>
          <w:lang w:val="sr-Latn-ME"/>
        </w:rPr>
      </w:pPr>
      <w:r w:rsidRPr="00A14E37">
        <w:rPr>
          <w:noProof/>
          <w:color w:val="000000"/>
          <w:sz w:val="22"/>
          <w:szCs w:val="22"/>
          <w:lang w:val="sr-Latn-ME"/>
        </w:rPr>
        <w:t>Pošto prelazak sa</w:t>
      </w:r>
      <w:r w:rsidR="00B93D1A" w:rsidRPr="00A14E37">
        <w:rPr>
          <w:noProof/>
          <w:color w:val="000000"/>
          <w:sz w:val="22"/>
          <w:szCs w:val="22"/>
          <w:lang w:val="sr-Latn-ME"/>
        </w:rPr>
        <w:t xml:space="preserve"> oralnih formulacija</w:t>
      </w:r>
      <w:r w:rsidRPr="00A14E37">
        <w:rPr>
          <w:noProof/>
          <w:color w:val="000000"/>
          <w:sz w:val="22"/>
          <w:szCs w:val="22"/>
          <w:lang w:val="sr-Latn-ME"/>
        </w:rPr>
        <w:t xml:space="preserve"> lijeka Sandimmun na</w:t>
      </w:r>
      <w:r w:rsidR="00B93D1A" w:rsidRPr="00A14E37">
        <w:rPr>
          <w:noProof/>
          <w:color w:val="000000"/>
          <w:sz w:val="22"/>
          <w:szCs w:val="22"/>
          <w:lang w:val="sr-Latn-ME"/>
        </w:rPr>
        <w:t xml:space="preserve"> </w:t>
      </w:r>
      <w:r w:rsidR="00855747" w:rsidRPr="00A14E37">
        <w:rPr>
          <w:noProof/>
          <w:color w:val="000000"/>
          <w:sz w:val="22"/>
          <w:szCs w:val="22"/>
          <w:lang w:val="sr-Latn-ME"/>
        </w:rPr>
        <w:t xml:space="preserve">oralne formulacije </w:t>
      </w:r>
      <w:r w:rsidR="00B93D1A" w:rsidRPr="00A14E37">
        <w:rPr>
          <w:noProof/>
          <w:color w:val="000000"/>
          <w:sz w:val="22"/>
          <w:szCs w:val="22"/>
          <w:lang w:val="sr-Latn-ME"/>
        </w:rPr>
        <w:t>lijek</w:t>
      </w:r>
      <w:r w:rsidR="00855747" w:rsidRPr="00A14E37">
        <w:rPr>
          <w:noProof/>
          <w:color w:val="000000"/>
          <w:sz w:val="22"/>
          <w:szCs w:val="22"/>
          <w:lang w:val="sr-Latn-ME"/>
        </w:rPr>
        <w:t>a</w:t>
      </w:r>
      <w:r w:rsidRPr="00A14E37">
        <w:rPr>
          <w:noProof/>
          <w:color w:val="000000"/>
          <w:sz w:val="22"/>
          <w:szCs w:val="22"/>
          <w:lang w:val="sr-Latn-ME"/>
        </w:rPr>
        <w:t xml:space="preserve"> Sandimmun Neoral može za posljedicu imati povećanu izloženost </w:t>
      </w:r>
      <w:r w:rsidR="00B93D1A" w:rsidRPr="00A14E37">
        <w:rPr>
          <w:noProof/>
          <w:color w:val="000000"/>
          <w:sz w:val="22"/>
          <w:szCs w:val="22"/>
          <w:lang w:val="sr-Latn-ME"/>
        </w:rPr>
        <w:t>ciklosporinu</w:t>
      </w:r>
      <w:r w:rsidRPr="00A14E37">
        <w:rPr>
          <w:noProof/>
          <w:color w:val="000000"/>
          <w:sz w:val="22"/>
          <w:szCs w:val="22"/>
          <w:lang w:val="sr-Latn-ME"/>
        </w:rPr>
        <w:t xml:space="preserve">, </w:t>
      </w:r>
      <w:r w:rsidR="00B93D1A" w:rsidRPr="00A14E37">
        <w:rPr>
          <w:noProof/>
          <w:color w:val="000000"/>
          <w:sz w:val="22"/>
          <w:szCs w:val="22"/>
          <w:lang w:val="sr-Latn-ME"/>
        </w:rPr>
        <w:t xml:space="preserve">moraju se </w:t>
      </w:r>
      <w:r w:rsidRPr="00A14E37">
        <w:rPr>
          <w:noProof/>
          <w:color w:val="000000"/>
          <w:sz w:val="22"/>
          <w:szCs w:val="22"/>
          <w:lang w:val="sr-Latn-ME"/>
        </w:rPr>
        <w:t>poštovati sljedeća pravila:</w:t>
      </w:r>
    </w:p>
    <w:p w14:paraId="3F4D8C7C" w14:textId="2176F057"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Terapiju </w:t>
      </w:r>
      <w:r w:rsidR="00855747" w:rsidRPr="00A14E37">
        <w:rPr>
          <w:noProof/>
          <w:color w:val="000000"/>
          <w:sz w:val="22"/>
          <w:szCs w:val="22"/>
          <w:lang w:val="sr-Latn-ME"/>
        </w:rPr>
        <w:t xml:space="preserve">oralnom formulacijom </w:t>
      </w:r>
      <w:r w:rsidRPr="00A14E37">
        <w:rPr>
          <w:noProof/>
          <w:color w:val="000000"/>
          <w:sz w:val="22"/>
          <w:szCs w:val="22"/>
          <w:lang w:val="sr-Latn-ME"/>
        </w:rPr>
        <w:t>lijek</w:t>
      </w:r>
      <w:r w:rsidR="00855747" w:rsidRPr="00A14E37">
        <w:rPr>
          <w:noProof/>
          <w:color w:val="000000"/>
          <w:sz w:val="22"/>
          <w:szCs w:val="22"/>
          <w:lang w:val="sr-Latn-ME"/>
        </w:rPr>
        <w:t>a</w:t>
      </w:r>
      <w:r w:rsidRPr="00A14E37">
        <w:rPr>
          <w:noProof/>
          <w:color w:val="000000"/>
          <w:sz w:val="22"/>
          <w:szCs w:val="22"/>
          <w:lang w:val="sr-Latn-ME"/>
        </w:rPr>
        <w:t xml:space="preserve"> Sandimmun Neoral kod </w:t>
      </w:r>
      <w:r w:rsidRPr="00A14E37">
        <w:rPr>
          <w:i/>
          <w:noProof/>
          <w:color w:val="000000"/>
          <w:sz w:val="22"/>
          <w:szCs w:val="22"/>
          <w:lang w:val="sr-Latn-ME"/>
        </w:rPr>
        <w:t xml:space="preserve">pacijenata sa transplantatima </w:t>
      </w:r>
      <w:r w:rsidRPr="00A14E37">
        <w:rPr>
          <w:noProof/>
          <w:color w:val="000000"/>
          <w:sz w:val="22"/>
          <w:szCs w:val="22"/>
          <w:lang w:val="sr-Latn-ME"/>
        </w:rPr>
        <w:t xml:space="preserve">treba započeti </w:t>
      </w:r>
      <w:r w:rsidR="00B93D1A" w:rsidRPr="00A14E37">
        <w:rPr>
          <w:noProof/>
          <w:color w:val="000000"/>
          <w:sz w:val="22"/>
          <w:szCs w:val="22"/>
          <w:lang w:val="sr-Latn-ME"/>
        </w:rPr>
        <w:t>sa istom</w:t>
      </w:r>
      <w:r w:rsidRPr="00A14E37">
        <w:rPr>
          <w:noProof/>
          <w:color w:val="000000"/>
          <w:sz w:val="22"/>
          <w:szCs w:val="22"/>
          <w:lang w:val="sr-Latn-ME"/>
        </w:rPr>
        <w:t xml:space="preserve"> dnevno</w:t>
      </w:r>
      <w:r w:rsidR="00B93D1A" w:rsidRPr="00A14E37">
        <w:rPr>
          <w:noProof/>
          <w:color w:val="000000"/>
          <w:sz w:val="22"/>
          <w:szCs w:val="22"/>
          <w:lang w:val="sr-Latn-ME"/>
        </w:rPr>
        <w:t>m</w:t>
      </w:r>
      <w:r w:rsidRPr="00A14E37">
        <w:rPr>
          <w:noProof/>
          <w:color w:val="000000"/>
          <w:sz w:val="22"/>
          <w:szCs w:val="22"/>
          <w:lang w:val="sr-Latn-ME"/>
        </w:rPr>
        <w:t xml:space="preserve"> doz</w:t>
      </w:r>
      <w:r w:rsidR="00B93D1A" w:rsidRPr="00A14E37">
        <w:rPr>
          <w:noProof/>
          <w:color w:val="000000"/>
          <w:sz w:val="22"/>
          <w:szCs w:val="22"/>
          <w:lang w:val="sr-Latn-ME"/>
        </w:rPr>
        <w:t>om u</w:t>
      </w:r>
      <w:r w:rsidRPr="00A14E37">
        <w:rPr>
          <w:noProof/>
          <w:color w:val="000000"/>
          <w:sz w:val="22"/>
          <w:szCs w:val="22"/>
          <w:lang w:val="sr-Latn-ME"/>
        </w:rPr>
        <w:t xml:space="preserve"> koj</w:t>
      </w:r>
      <w:r w:rsidR="00B93D1A" w:rsidRPr="00A14E37">
        <w:rPr>
          <w:noProof/>
          <w:color w:val="000000"/>
          <w:sz w:val="22"/>
          <w:szCs w:val="22"/>
          <w:lang w:val="sr-Latn-ME"/>
        </w:rPr>
        <w:t>oj</w:t>
      </w:r>
      <w:r w:rsidRPr="00A14E37">
        <w:rPr>
          <w:noProof/>
          <w:color w:val="000000"/>
          <w:sz w:val="22"/>
          <w:szCs w:val="22"/>
          <w:lang w:val="sr-Latn-ME"/>
        </w:rPr>
        <w:t xml:space="preserve"> je prethodno primjenjivana oraln</w:t>
      </w:r>
      <w:r w:rsidR="00B93D1A" w:rsidRPr="00A14E37">
        <w:rPr>
          <w:noProof/>
          <w:color w:val="000000"/>
          <w:sz w:val="22"/>
          <w:szCs w:val="22"/>
          <w:lang w:val="sr-Latn-ME"/>
        </w:rPr>
        <w:t>a formulacija</w:t>
      </w:r>
      <w:r w:rsidRPr="00A14E37">
        <w:rPr>
          <w:noProof/>
          <w:color w:val="000000"/>
          <w:sz w:val="22"/>
          <w:szCs w:val="22"/>
          <w:lang w:val="sr-Latn-ME"/>
        </w:rPr>
        <w:t xml:space="preserve"> lijeka Sandimmun. U početku treba pratiti koncentracij</w:t>
      </w:r>
      <w:r w:rsidR="00B93D1A" w:rsidRPr="00A14E37">
        <w:rPr>
          <w:noProof/>
          <w:color w:val="000000"/>
          <w:sz w:val="22"/>
          <w:szCs w:val="22"/>
          <w:lang w:val="sr-Latn-ME"/>
        </w:rPr>
        <w:t>u</w:t>
      </w:r>
      <w:r w:rsidRPr="00A14E37">
        <w:rPr>
          <w:noProof/>
          <w:color w:val="000000"/>
          <w:sz w:val="22"/>
          <w:szCs w:val="22"/>
          <w:lang w:val="sr-Latn-ME"/>
        </w:rPr>
        <w:t xml:space="preserve"> ciklosporina</w:t>
      </w:r>
      <w:r w:rsidR="00B93D1A" w:rsidRPr="00A14E37">
        <w:rPr>
          <w:noProof/>
          <w:color w:val="000000"/>
          <w:sz w:val="22"/>
          <w:szCs w:val="22"/>
          <w:lang w:val="sr-Latn-ME"/>
        </w:rPr>
        <w:t xml:space="preserve"> pred narednu dozu</w:t>
      </w:r>
      <w:r w:rsidRPr="00A14E37">
        <w:rPr>
          <w:noProof/>
          <w:color w:val="000000"/>
          <w:sz w:val="22"/>
          <w:szCs w:val="22"/>
          <w:lang w:val="sr-Latn-ME"/>
        </w:rPr>
        <w:t xml:space="preserve"> u punoj krvi tokom 4 do 7 dana nakon prelaska na </w:t>
      </w:r>
      <w:r w:rsidR="00855747" w:rsidRPr="00A14E37">
        <w:rPr>
          <w:noProof/>
          <w:color w:val="000000"/>
          <w:sz w:val="22"/>
          <w:szCs w:val="22"/>
          <w:lang w:val="sr-Latn-ME"/>
        </w:rPr>
        <w:t xml:space="preserve">oralnu formulaciju </w:t>
      </w:r>
      <w:r w:rsidR="00B93D1A" w:rsidRPr="00A14E37">
        <w:rPr>
          <w:noProof/>
          <w:color w:val="000000"/>
          <w:sz w:val="22"/>
          <w:szCs w:val="22"/>
          <w:lang w:val="sr-Latn-ME"/>
        </w:rPr>
        <w:t>lijek</w:t>
      </w:r>
      <w:r w:rsidR="00855747" w:rsidRPr="00A14E37">
        <w:rPr>
          <w:noProof/>
          <w:color w:val="000000"/>
          <w:sz w:val="22"/>
          <w:szCs w:val="22"/>
          <w:lang w:val="sr-Latn-ME"/>
        </w:rPr>
        <w:t>a</w:t>
      </w:r>
      <w:r w:rsidR="00B93D1A" w:rsidRPr="00A14E37">
        <w:rPr>
          <w:noProof/>
          <w:color w:val="000000"/>
          <w:sz w:val="22"/>
          <w:szCs w:val="22"/>
          <w:lang w:val="sr-Latn-ME"/>
        </w:rPr>
        <w:t xml:space="preserve"> </w:t>
      </w:r>
      <w:r w:rsidRPr="00A14E37">
        <w:rPr>
          <w:noProof/>
          <w:color w:val="000000"/>
          <w:sz w:val="22"/>
          <w:szCs w:val="22"/>
          <w:lang w:val="sr-Latn-ME"/>
        </w:rPr>
        <w:t xml:space="preserve">Sandimmun Neoral. Osim toga, prvih 2 mjeseca nakon prelaska </w:t>
      </w:r>
      <w:r w:rsidR="00B93D1A" w:rsidRPr="00A14E37">
        <w:rPr>
          <w:noProof/>
          <w:color w:val="000000"/>
          <w:sz w:val="22"/>
          <w:szCs w:val="22"/>
          <w:lang w:val="sr-Latn-ME"/>
        </w:rPr>
        <w:t>moraju se</w:t>
      </w:r>
      <w:r w:rsidRPr="00A14E37">
        <w:rPr>
          <w:noProof/>
          <w:color w:val="000000"/>
          <w:sz w:val="22"/>
          <w:szCs w:val="22"/>
          <w:lang w:val="sr-Latn-ME"/>
        </w:rPr>
        <w:t xml:space="preserve"> pratiti kliničk</w:t>
      </w:r>
      <w:r w:rsidR="00B93D1A" w:rsidRPr="00A14E37">
        <w:rPr>
          <w:noProof/>
          <w:color w:val="000000"/>
          <w:sz w:val="22"/>
          <w:szCs w:val="22"/>
          <w:lang w:val="sr-Latn-ME"/>
        </w:rPr>
        <w:t>i</w:t>
      </w:r>
      <w:r w:rsidRPr="00A14E37">
        <w:rPr>
          <w:noProof/>
          <w:color w:val="000000"/>
          <w:sz w:val="22"/>
          <w:szCs w:val="22"/>
          <w:lang w:val="sr-Latn-ME"/>
        </w:rPr>
        <w:t xml:space="preserve"> parametr</w:t>
      </w:r>
      <w:r w:rsidR="00B93D1A" w:rsidRPr="00A14E37">
        <w:rPr>
          <w:noProof/>
          <w:color w:val="000000"/>
          <w:sz w:val="22"/>
          <w:szCs w:val="22"/>
          <w:lang w:val="sr-Latn-ME"/>
        </w:rPr>
        <w:t>i</w:t>
      </w:r>
      <w:r w:rsidRPr="00A14E37">
        <w:rPr>
          <w:noProof/>
          <w:color w:val="000000"/>
          <w:sz w:val="22"/>
          <w:szCs w:val="22"/>
          <w:lang w:val="sr-Latn-ME"/>
        </w:rPr>
        <w:t xml:space="preserve"> bezbjednosti poput </w:t>
      </w:r>
      <w:r w:rsidR="00B93D1A" w:rsidRPr="00A14E37">
        <w:rPr>
          <w:noProof/>
          <w:color w:val="000000"/>
          <w:sz w:val="22"/>
          <w:szCs w:val="22"/>
          <w:lang w:val="sr-Latn-ME"/>
        </w:rPr>
        <w:t>bubrežne funkcije</w:t>
      </w:r>
      <w:r w:rsidRPr="00A14E37">
        <w:rPr>
          <w:noProof/>
          <w:color w:val="000000"/>
          <w:sz w:val="22"/>
          <w:szCs w:val="22"/>
          <w:lang w:val="sr-Latn-ME"/>
        </w:rPr>
        <w:t xml:space="preserve"> i krvnog pritiska. Ukoliko </w:t>
      </w:r>
      <w:r w:rsidR="00B93D1A" w:rsidRPr="00A14E37">
        <w:rPr>
          <w:noProof/>
          <w:color w:val="000000"/>
          <w:sz w:val="22"/>
          <w:szCs w:val="22"/>
          <w:lang w:val="sr-Latn-ME"/>
        </w:rPr>
        <w:t xml:space="preserve">su koncentracije lijeka </w:t>
      </w:r>
      <w:r w:rsidRPr="00A14E37">
        <w:rPr>
          <w:noProof/>
          <w:color w:val="000000"/>
          <w:sz w:val="22"/>
          <w:szCs w:val="22"/>
          <w:lang w:val="sr-Latn-ME"/>
        </w:rPr>
        <w:t>u krvi</w:t>
      </w:r>
      <w:r w:rsidR="00B93D1A" w:rsidRPr="00A14E37">
        <w:rPr>
          <w:noProof/>
          <w:color w:val="000000"/>
          <w:sz w:val="22"/>
          <w:szCs w:val="22"/>
          <w:lang w:val="sr-Latn-ME"/>
        </w:rPr>
        <w:t xml:space="preserve"> pred narednu dozu</w:t>
      </w:r>
      <w:r w:rsidRPr="00A14E37">
        <w:rPr>
          <w:noProof/>
          <w:color w:val="000000"/>
          <w:sz w:val="22"/>
          <w:szCs w:val="22"/>
          <w:lang w:val="sr-Latn-ME"/>
        </w:rPr>
        <w:t xml:space="preserve"> van terapijsk</w:t>
      </w:r>
      <w:r w:rsidR="00B93D1A" w:rsidRPr="00A14E37">
        <w:rPr>
          <w:noProof/>
          <w:color w:val="000000"/>
          <w:sz w:val="22"/>
          <w:szCs w:val="22"/>
          <w:lang w:val="sr-Latn-ME"/>
        </w:rPr>
        <w:t>og opsega</w:t>
      </w:r>
      <w:r w:rsidRPr="00A14E37">
        <w:rPr>
          <w:noProof/>
          <w:color w:val="000000"/>
          <w:sz w:val="22"/>
          <w:szCs w:val="22"/>
          <w:lang w:val="sr-Latn-ME"/>
        </w:rPr>
        <w:t xml:space="preserve"> i/ili se javi pogoršanje kliničkih parametara bezbjednosti, doza se mora korigovati u skladu sa tim.</w:t>
      </w:r>
    </w:p>
    <w:p w14:paraId="1D134FFC" w14:textId="3FA6DF4F" w:rsidR="00BB702A" w:rsidRPr="00A14E37" w:rsidRDefault="00BB702A" w:rsidP="00F949C5">
      <w:pPr>
        <w:pStyle w:val="Text"/>
        <w:spacing w:before="0"/>
        <w:rPr>
          <w:noProof/>
          <w:sz w:val="22"/>
          <w:szCs w:val="22"/>
          <w:lang w:val="sr-Latn-ME"/>
        </w:rPr>
      </w:pPr>
      <w:r w:rsidRPr="00A14E37">
        <w:rPr>
          <w:noProof/>
          <w:sz w:val="22"/>
          <w:szCs w:val="22"/>
          <w:lang w:val="sr-Latn-ME"/>
        </w:rPr>
        <w:t xml:space="preserve">Terapiju </w:t>
      </w:r>
      <w:r w:rsidR="00855747" w:rsidRPr="00A14E37">
        <w:rPr>
          <w:noProof/>
          <w:sz w:val="22"/>
          <w:szCs w:val="22"/>
          <w:lang w:val="sr-Latn-ME"/>
        </w:rPr>
        <w:t xml:space="preserve">oralnom formulacijom </w:t>
      </w:r>
      <w:r w:rsidRPr="00A14E37">
        <w:rPr>
          <w:noProof/>
          <w:sz w:val="22"/>
          <w:szCs w:val="22"/>
          <w:lang w:val="sr-Latn-ME"/>
        </w:rPr>
        <w:t>lijek</w:t>
      </w:r>
      <w:r w:rsidR="00855747" w:rsidRPr="00A14E37">
        <w:rPr>
          <w:noProof/>
          <w:sz w:val="22"/>
          <w:szCs w:val="22"/>
          <w:lang w:val="sr-Latn-ME"/>
        </w:rPr>
        <w:t>a</w:t>
      </w:r>
      <w:r w:rsidRPr="00A14E37">
        <w:rPr>
          <w:noProof/>
          <w:sz w:val="22"/>
          <w:szCs w:val="22"/>
          <w:lang w:val="sr-Latn-ME"/>
        </w:rPr>
        <w:t xml:space="preserve"> Sandimmun Neoral kod </w:t>
      </w:r>
      <w:r w:rsidRPr="00A14E37">
        <w:rPr>
          <w:i/>
          <w:noProof/>
          <w:sz w:val="22"/>
          <w:szCs w:val="22"/>
          <w:lang w:val="sr-Latn-ME"/>
        </w:rPr>
        <w:t>pacijenata liječenih zbog netransplantacionih indikacija</w:t>
      </w:r>
      <w:r w:rsidRPr="00A14E37">
        <w:rPr>
          <w:noProof/>
          <w:sz w:val="22"/>
          <w:szCs w:val="22"/>
          <w:lang w:val="sr-Latn-ME"/>
        </w:rPr>
        <w:t xml:space="preserve"> treba početi </w:t>
      </w:r>
      <w:r w:rsidR="00B93D1A" w:rsidRPr="00A14E37">
        <w:rPr>
          <w:noProof/>
          <w:sz w:val="22"/>
          <w:szCs w:val="22"/>
          <w:lang w:val="sr-Latn-ME"/>
        </w:rPr>
        <w:t xml:space="preserve">sa istom dnevnom dozom </w:t>
      </w:r>
      <w:r w:rsidRPr="00A14E37">
        <w:rPr>
          <w:noProof/>
          <w:sz w:val="22"/>
          <w:szCs w:val="22"/>
          <w:lang w:val="sr-Latn-ME"/>
        </w:rPr>
        <w:t>koja je primjenjivana i kod oraln</w:t>
      </w:r>
      <w:r w:rsidR="00B93D1A" w:rsidRPr="00A14E37">
        <w:rPr>
          <w:noProof/>
          <w:sz w:val="22"/>
          <w:szCs w:val="22"/>
          <w:lang w:val="sr-Latn-ME"/>
        </w:rPr>
        <w:t>ih formulacija</w:t>
      </w:r>
      <w:r w:rsidRPr="00A14E37">
        <w:rPr>
          <w:noProof/>
          <w:sz w:val="22"/>
          <w:szCs w:val="22"/>
          <w:lang w:val="sr-Latn-ME"/>
        </w:rPr>
        <w:t xml:space="preserve"> lijeka Sandimmun. Treba pratiti </w:t>
      </w:r>
      <w:r w:rsidR="00B93D1A" w:rsidRPr="00A14E37">
        <w:rPr>
          <w:noProof/>
          <w:sz w:val="22"/>
          <w:szCs w:val="22"/>
          <w:lang w:val="sr-Latn-ME"/>
        </w:rPr>
        <w:t xml:space="preserve">bubrežnu funkciju </w:t>
      </w:r>
      <w:r w:rsidRPr="00A14E37">
        <w:rPr>
          <w:noProof/>
          <w:sz w:val="22"/>
          <w:szCs w:val="22"/>
          <w:lang w:val="sr-Latn-ME"/>
        </w:rPr>
        <w:t xml:space="preserve">i krvni pritisak </w:t>
      </w:r>
      <w:r w:rsidR="00B93D1A" w:rsidRPr="00A14E37">
        <w:rPr>
          <w:noProof/>
          <w:sz w:val="22"/>
          <w:szCs w:val="22"/>
          <w:lang w:val="sr-Latn-ME"/>
        </w:rPr>
        <w:t xml:space="preserve">nakon </w:t>
      </w:r>
      <w:r w:rsidRPr="00A14E37">
        <w:rPr>
          <w:noProof/>
          <w:sz w:val="22"/>
          <w:szCs w:val="22"/>
          <w:lang w:val="sr-Latn-ME"/>
        </w:rPr>
        <w:t xml:space="preserve">dve, 4 i 8 nedjelja nakon prelaska. Ukoliko </w:t>
      </w:r>
      <w:r w:rsidR="00B35773" w:rsidRPr="00A14E37">
        <w:rPr>
          <w:noProof/>
          <w:sz w:val="22"/>
          <w:szCs w:val="22"/>
          <w:lang w:val="sr-Latn-ME"/>
        </w:rPr>
        <w:t>vr</w:t>
      </w:r>
      <w:r w:rsidR="00B37A2A" w:rsidRPr="00A14E37">
        <w:rPr>
          <w:noProof/>
          <w:sz w:val="22"/>
          <w:szCs w:val="22"/>
          <w:lang w:val="sr-Latn-ME"/>
        </w:rPr>
        <w:t>ij</w:t>
      </w:r>
      <w:r w:rsidR="00B35773" w:rsidRPr="00A14E37">
        <w:rPr>
          <w:noProof/>
          <w:sz w:val="22"/>
          <w:szCs w:val="22"/>
          <w:lang w:val="sr-Latn-ME"/>
        </w:rPr>
        <w:t>ednost</w:t>
      </w:r>
      <w:r w:rsidRPr="00A14E37">
        <w:rPr>
          <w:noProof/>
          <w:sz w:val="22"/>
          <w:szCs w:val="22"/>
          <w:lang w:val="sr-Latn-ME"/>
        </w:rPr>
        <w:t xml:space="preserve"> krvn</w:t>
      </w:r>
      <w:r w:rsidR="00B35773" w:rsidRPr="00A14E37">
        <w:rPr>
          <w:noProof/>
          <w:sz w:val="22"/>
          <w:szCs w:val="22"/>
          <w:lang w:val="sr-Latn-ME"/>
        </w:rPr>
        <w:t>og</w:t>
      </w:r>
      <w:r w:rsidRPr="00A14E37">
        <w:rPr>
          <w:noProof/>
          <w:sz w:val="22"/>
          <w:szCs w:val="22"/>
          <w:lang w:val="sr-Latn-ME"/>
        </w:rPr>
        <w:t xml:space="preserve"> pritisk</w:t>
      </w:r>
      <w:r w:rsidR="00B35773" w:rsidRPr="00A14E37">
        <w:rPr>
          <w:noProof/>
          <w:sz w:val="22"/>
          <w:szCs w:val="22"/>
          <w:lang w:val="sr-Latn-ME"/>
        </w:rPr>
        <w:t>a</w:t>
      </w:r>
      <w:r w:rsidRPr="00A14E37">
        <w:rPr>
          <w:noProof/>
          <w:sz w:val="22"/>
          <w:szCs w:val="22"/>
          <w:lang w:val="sr-Latn-ME"/>
        </w:rPr>
        <w:t xml:space="preserve"> značajno pređ</w:t>
      </w:r>
      <w:r w:rsidR="00B35773" w:rsidRPr="00A14E37">
        <w:rPr>
          <w:noProof/>
          <w:sz w:val="22"/>
          <w:szCs w:val="22"/>
          <w:lang w:val="sr-Latn-ME"/>
        </w:rPr>
        <w:t>e</w:t>
      </w:r>
      <w:r w:rsidRPr="00A14E37">
        <w:rPr>
          <w:noProof/>
          <w:sz w:val="22"/>
          <w:szCs w:val="22"/>
          <w:lang w:val="sr-Latn-ME"/>
        </w:rPr>
        <w:t xml:space="preserve"> nivo </w:t>
      </w:r>
      <w:r w:rsidR="00B35773" w:rsidRPr="00A14E37">
        <w:rPr>
          <w:noProof/>
          <w:sz w:val="22"/>
          <w:szCs w:val="22"/>
          <w:lang w:val="sr-Latn-ME"/>
        </w:rPr>
        <w:t xml:space="preserve">na kom je bio </w:t>
      </w:r>
      <w:r w:rsidRPr="00A14E37">
        <w:rPr>
          <w:noProof/>
          <w:sz w:val="22"/>
          <w:szCs w:val="22"/>
          <w:lang w:val="sr-Latn-ME"/>
        </w:rPr>
        <w:t xml:space="preserve">prije promjene lijeka ili ukoliko se prilikom više od jednog mjerenja </w:t>
      </w:r>
      <w:r w:rsidR="00B35773" w:rsidRPr="00A14E37">
        <w:rPr>
          <w:noProof/>
          <w:sz w:val="22"/>
          <w:szCs w:val="22"/>
          <w:lang w:val="sr-Latn-ME"/>
        </w:rPr>
        <w:t xml:space="preserve">eGFR smanji za više od </w:t>
      </w:r>
      <w:r w:rsidRPr="00A14E37">
        <w:rPr>
          <w:noProof/>
          <w:sz w:val="22"/>
          <w:szCs w:val="22"/>
          <w:lang w:val="sr-Latn-ME"/>
        </w:rPr>
        <w:t xml:space="preserve">25% </w:t>
      </w:r>
      <w:r w:rsidR="00B35773" w:rsidRPr="00A14E37">
        <w:rPr>
          <w:noProof/>
          <w:sz w:val="22"/>
          <w:szCs w:val="22"/>
          <w:lang w:val="sr-Latn-ME"/>
        </w:rPr>
        <w:t>u odnosu na vr</w:t>
      </w:r>
      <w:r w:rsidR="00485875" w:rsidRPr="00A14E37">
        <w:rPr>
          <w:noProof/>
          <w:sz w:val="22"/>
          <w:szCs w:val="22"/>
          <w:lang w:val="sr-Latn-ME"/>
        </w:rPr>
        <w:t>ij</w:t>
      </w:r>
      <w:r w:rsidR="00B35773" w:rsidRPr="00A14E37">
        <w:rPr>
          <w:noProof/>
          <w:sz w:val="22"/>
          <w:szCs w:val="22"/>
          <w:lang w:val="sr-Latn-ME"/>
        </w:rPr>
        <w:t>ednost izmjerenu</w:t>
      </w:r>
      <w:r w:rsidRPr="00A14E37">
        <w:rPr>
          <w:noProof/>
          <w:sz w:val="22"/>
          <w:szCs w:val="22"/>
          <w:lang w:val="sr-Latn-ME"/>
        </w:rPr>
        <w:t xml:space="preserve"> prije terapije </w:t>
      </w:r>
      <w:r w:rsidR="00B35773" w:rsidRPr="00A14E37">
        <w:rPr>
          <w:noProof/>
          <w:sz w:val="22"/>
          <w:szCs w:val="22"/>
          <w:lang w:val="sr-Latn-ME"/>
        </w:rPr>
        <w:t xml:space="preserve">oralnom formulacijom </w:t>
      </w:r>
      <w:r w:rsidRPr="00A14E37">
        <w:rPr>
          <w:noProof/>
          <w:sz w:val="22"/>
          <w:szCs w:val="22"/>
          <w:lang w:val="sr-Latn-ME"/>
        </w:rPr>
        <w:t>lijekom Sandimmun, dozu treba smanjiti (vidjeti i “Dodatne m</w:t>
      </w:r>
      <w:r w:rsidR="005C0EE3" w:rsidRPr="00A14E37">
        <w:rPr>
          <w:noProof/>
          <w:sz w:val="22"/>
          <w:szCs w:val="22"/>
          <w:lang w:val="sr-Latn-ME"/>
        </w:rPr>
        <w:t>j</w:t>
      </w:r>
      <w:r w:rsidRPr="00A14E37">
        <w:rPr>
          <w:noProof/>
          <w:sz w:val="22"/>
          <w:szCs w:val="22"/>
          <w:lang w:val="sr-Latn-ME"/>
        </w:rPr>
        <w:t>ere opreza”</w:t>
      </w:r>
      <w:r w:rsidR="005C0EE3" w:rsidRPr="00A14E37">
        <w:rPr>
          <w:noProof/>
          <w:sz w:val="22"/>
          <w:szCs w:val="22"/>
          <w:lang w:val="sr-Latn-ME"/>
        </w:rPr>
        <w:t xml:space="preserve"> u dijelu 4.4</w:t>
      </w:r>
      <w:r w:rsidRPr="00A14E37">
        <w:rPr>
          <w:noProof/>
          <w:sz w:val="22"/>
          <w:szCs w:val="22"/>
          <w:lang w:val="sr-Latn-ME"/>
        </w:rPr>
        <w:t xml:space="preserve">). U slučaju neočekivane toksičnosti ili neefikasnosti ciklosporina, treba pratiti i </w:t>
      </w:r>
      <w:r w:rsidR="00B35773" w:rsidRPr="00A14E37">
        <w:rPr>
          <w:noProof/>
          <w:sz w:val="22"/>
          <w:szCs w:val="22"/>
          <w:lang w:val="sr-Latn-ME"/>
        </w:rPr>
        <w:t>koncentracije lijeka u krvi pred narednu dozu</w:t>
      </w:r>
      <w:r w:rsidRPr="00A14E37">
        <w:rPr>
          <w:noProof/>
          <w:sz w:val="22"/>
          <w:szCs w:val="22"/>
          <w:lang w:val="sr-Latn-ME"/>
        </w:rPr>
        <w:t>.</w:t>
      </w:r>
    </w:p>
    <w:p w14:paraId="0B43E4BF" w14:textId="77777777" w:rsidR="002E0252" w:rsidRPr="00A14E37" w:rsidRDefault="002E0252" w:rsidP="00F949C5">
      <w:pPr>
        <w:pStyle w:val="Text"/>
        <w:spacing w:before="0"/>
        <w:rPr>
          <w:noProof/>
          <w:sz w:val="22"/>
          <w:szCs w:val="22"/>
          <w:lang w:val="sr-Latn-ME"/>
        </w:rPr>
      </w:pPr>
    </w:p>
    <w:p w14:paraId="08F02F59" w14:textId="77777777" w:rsidR="00BB702A" w:rsidRPr="00A14E37" w:rsidRDefault="00BB702A" w:rsidP="00F949C5">
      <w:pPr>
        <w:pStyle w:val="Text"/>
        <w:spacing w:before="0"/>
        <w:rPr>
          <w:noProof/>
          <w:sz w:val="22"/>
          <w:szCs w:val="22"/>
          <w:u w:val="single"/>
          <w:lang w:val="sr-Latn-ME"/>
        </w:rPr>
      </w:pPr>
      <w:r w:rsidRPr="00A14E37">
        <w:rPr>
          <w:noProof/>
          <w:sz w:val="22"/>
          <w:szCs w:val="22"/>
          <w:u w:val="single"/>
          <w:lang w:val="sr-Latn-ME"/>
        </w:rPr>
        <w:t>Konverzija između oralnih formulacija ciklosporina</w:t>
      </w:r>
    </w:p>
    <w:p w14:paraId="015510AC" w14:textId="77777777" w:rsidR="00BB702A" w:rsidRPr="00A14E37" w:rsidRDefault="00BB702A" w:rsidP="00F949C5">
      <w:pPr>
        <w:pStyle w:val="Text"/>
        <w:spacing w:before="0"/>
        <w:rPr>
          <w:noProof/>
          <w:sz w:val="22"/>
          <w:szCs w:val="22"/>
          <w:lang w:val="sr-Latn-ME"/>
        </w:rPr>
      </w:pPr>
      <w:r w:rsidRPr="00A14E37">
        <w:rPr>
          <w:noProof/>
          <w:sz w:val="22"/>
          <w:szCs w:val="22"/>
          <w:lang w:val="sr-Latn-ME"/>
        </w:rPr>
        <w:t>Prelazak sa jedne oralne formulacije na drugu treba oprezno izvoditi pod nadzorom ljekara uključujući i praćenje nivoa ciklosporina u krvi kod pacijenata sa transplantatima.</w:t>
      </w:r>
    </w:p>
    <w:p w14:paraId="376D57D3" w14:textId="77777777" w:rsidR="00BB702A" w:rsidRPr="00A14E37" w:rsidRDefault="00BB702A" w:rsidP="00F949C5">
      <w:pPr>
        <w:pStyle w:val="Heading3"/>
        <w:spacing w:before="0"/>
        <w:jc w:val="both"/>
        <w:rPr>
          <w:rFonts w:ascii="Times New Roman" w:hAnsi="Times New Roman" w:cs="Times New Roman"/>
          <w:noProof/>
          <w:color w:val="000000"/>
          <w:sz w:val="22"/>
          <w:szCs w:val="22"/>
          <w:lang w:val="sr-Latn-ME"/>
        </w:rPr>
      </w:pPr>
    </w:p>
    <w:p w14:paraId="78CEFC1D" w14:textId="77777777" w:rsidR="00BB702A" w:rsidRPr="00A14E37" w:rsidRDefault="00BB702A">
      <w:pPr>
        <w:jc w:val="both"/>
        <w:rPr>
          <w:i/>
          <w:sz w:val="22"/>
          <w:szCs w:val="22"/>
          <w:u w:val="single"/>
          <w:lang w:val="sr-Latn-ME"/>
        </w:rPr>
      </w:pPr>
      <w:r w:rsidRPr="00A14E37">
        <w:rPr>
          <w:i/>
          <w:sz w:val="22"/>
          <w:szCs w:val="22"/>
          <w:u w:val="single"/>
          <w:lang w:val="sr-Latn-ME"/>
        </w:rPr>
        <w:t>Posebne populacije</w:t>
      </w:r>
    </w:p>
    <w:p w14:paraId="37AACE43" w14:textId="77777777" w:rsidR="00BB702A" w:rsidRPr="00A14E37" w:rsidRDefault="00BB702A">
      <w:pPr>
        <w:jc w:val="both"/>
        <w:rPr>
          <w:sz w:val="22"/>
          <w:szCs w:val="22"/>
          <w:u w:val="single"/>
          <w:lang w:val="sr-Latn-ME"/>
        </w:rPr>
      </w:pPr>
    </w:p>
    <w:p w14:paraId="2EB79F35" w14:textId="29B9BE06" w:rsidR="00BB702A" w:rsidRPr="00A14E37" w:rsidRDefault="00BB702A">
      <w:pPr>
        <w:jc w:val="both"/>
        <w:rPr>
          <w:i/>
          <w:sz w:val="22"/>
          <w:szCs w:val="22"/>
          <w:lang w:val="sr-Latn-ME"/>
        </w:rPr>
      </w:pPr>
      <w:r w:rsidRPr="00A14E37">
        <w:rPr>
          <w:i/>
          <w:sz w:val="22"/>
          <w:szCs w:val="22"/>
          <w:lang w:val="sr-Latn-ME"/>
        </w:rPr>
        <w:t xml:space="preserve">Pacijenti sa oštećenjem </w:t>
      </w:r>
      <w:r w:rsidR="00366927" w:rsidRPr="00A14E37">
        <w:rPr>
          <w:i/>
          <w:sz w:val="22"/>
          <w:szCs w:val="22"/>
          <w:lang w:val="sr-Latn-ME"/>
        </w:rPr>
        <w:t xml:space="preserve">funkcije </w:t>
      </w:r>
      <w:r w:rsidRPr="00A14E37">
        <w:rPr>
          <w:i/>
          <w:sz w:val="22"/>
          <w:szCs w:val="22"/>
          <w:lang w:val="sr-Latn-ME"/>
        </w:rPr>
        <w:t>bubrega</w:t>
      </w:r>
    </w:p>
    <w:p w14:paraId="0A46DD06" w14:textId="77777777" w:rsidR="002E0252" w:rsidRPr="00A14E37" w:rsidRDefault="002E0252">
      <w:pPr>
        <w:jc w:val="both"/>
        <w:rPr>
          <w:i/>
          <w:sz w:val="22"/>
          <w:szCs w:val="22"/>
          <w:lang w:val="sr-Latn-ME"/>
        </w:rPr>
      </w:pPr>
    </w:p>
    <w:p w14:paraId="556376F0" w14:textId="77777777" w:rsidR="00BB702A" w:rsidRPr="00A14E37" w:rsidRDefault="00BB702A">
      <w:pPr>
        <w:jc w:val="both"/>
        <w:rPr>
          <w:i/>
          <w:sz w:val="22"/>
          <w:szCs w:val="22"/>
          <w:lang w:val="sr-Latn-ME"/>
        </w:rPr>
      </w:pPr>
      <w:r w:rsidRPr="00A14E37">
        <w:rPr>
          <w:i/>
          <w:sz w:val="22"/>
          <w:szCs w:val="22"/>
          <w:lang w:val="sr-Latn-ME"/>
        </w:rPr>
        <w:t>Sve indikacije</w:t>
      </w:r>
    </w:p>
    <w:p w14:paraId="63D6C85A" w14:textId="73DEF8C0" w:rsidR="00BB702A" w:rsidRPr="00A14E37" w:rsidRDefault="00BB702A">
      <w:pPr>
        <w:jc w:val="both"/>
        <w:rPr>
          <w:sz w:val="22"/>
          <w:szCs w:val="22"/>
          <w:lang w:val="sr-Latn-ME"/>
        </w:rPr>
      </w:pPr>
      <w:r w:rsidRPr="00A14E37">
        <w:rPr>
          <w:sz w:val="22"/>
          <w:szCs w:val="22"/>
          <w:lang w:val="sr-Latn-ME"/>
        </w:rPr>
        <w:t xml:space="preserve">Ciklosporin podliježe minimalnom bubrežnom izlučivanju i njegova farmakokinetika ne utiče na oštećenje bubrega (vidjeti </w:t>
      </w:r>
      <w:r w:rsidR="00C37D5C" w:rsidRPr="00A14E37">
        <w:rPr>
          <w:sz w:val="22"/>
          <w:szCs w:val="22"/>
          <w:lang w:val="sr-Latn-ME"/>
        </w:rPr>
        <w:t>dio</w:t>
      </w:r>
      <w:r w:rsidRPr="00A14E37">
        <w:rPr>
          <w:sz w:val="22"/>
          <w:szCs w:val="22"/>
          <w:lang w:val="sr-Latn-ME"/>
        </w:rPr>
        <w:t xml:space="preserve"> 5.2). Međutim, s obzirom na njegov nefrotoksični potencijal (vidjeti </w:t>
      </w:r>
      <w:r w:rsidR="00C37D5C" w:rsidRPr="00A14E37">
        <w:rPr>
          <w:sz w:val="22"/>
          <w:szCs w:val="22"/>
          <w:lang w:val="sr-Latn-ME"/>
        </w:rPr>
        <w:t>dio</w:t>
      </w:r>
      <w:r w:rsidRPr="00A14E37">
        <w:rPr>
          <w:sz w:val="22"/>
          <w:szCs w:val="22"/>
          <w:lang w:val="sr-Latn-ME"/>
        </w:rPr>
        <w:t xml:space="preserve"> 4.8), preporučuje se pažljivo praćenje bubrežne funkcije (vidjeti </w:t>
      </w:r>
      <w:r w:rsidR="00C37D5C" w:rsidRPr="00A14E37">
        <w:rPr>
          <w:sz w:val="22"/>
          <w:szCs w:val="22"/>
          <w:lang w:val="sr-Latn-ME"/>
        </w:rPr>
        <w:t>dio</w:t>
      </w:r>
      <w:r w:rsidRPr="00A14E37">
        <w:rPr>
          <w:sz w:val="22"/>
          <w:szCs w:val="22"/>
          <w:lang w:val="sr-Latn-ME"/>
        </w:rPr>
        <w:t xml:space="preserve"> 4.4).</w:t>
      </w:r>
    </w:p>
    <w:p w14:paraId="4BF9C813" w14:textId="77777777" w:rsidR="00264435" w:rsidRPr="00A14E37" w:rsidRDefault="00264435">
      <w:pPr>
        <w:jc w:val="both"/>
        <w:rPr>
          <w:sz w:val="22"/>
          <w:szCs w:val="22"/>
          <w:lang w:val="sr-Latn-ME"/>
        </w:rPr>
      </w:pPr>
    </w:p>
    <w:p w14:paraId="41D10581" w14:textId="77777777" w:rsidR="00BB702A" w:rsidRPr="00A14E37" w:rsidRDefault="00BB702A" w:rsidP="00F949C5">
      <w:pPr>
        <w:pStyle w:val="Text"/>
        <w:spacing w:before="0"/>
        <w:rPr>
          <w:i/>
          <w:noProof/>
          <w:color w:val="000000"/>
          <w:sz w:val="22"/>
          <w:szCs w:val="22"/>
          <w:lang w:val="sr-Latn-ME"/>
        </w:rPr>
      </w:pPr>
      <w:r w:rsidRPr="00A14E37">
        <w:rPr>
          <w:i/>
          <w:noProof/>
          <w:color w:val="000000"/>
          <w:sz w:val="22"/>
          <w:szCs w:val="22"/>
          <w:lang w:val="sr-Latn-ME"/>
        </w:rPr>
        <w:t>Ne-transplantacione indikacije</w:t>
      </w:r>
    </w:p>
    <w:p w14:paraId="1361916E" w14:textId="7B74CF8E" w:rsidR="00DD58B5"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Sa izuzetkom pacijenata koji se liječe od nefrotskog sindroma, pacijenti sa poremećenom funkcijom bubrega ne treba da primaju ciklosporin (vidjeti pod</w:t>
      </w:r>
      <w:r w:rsidR="00C37D5C" w:rsidRPr="00A14E37">
        <w:rPr>
          <w:noProof/>
          <w:color w:val="000000"/>
          <w:sz w:val="22"/>
          <w:szCs w:val="22"/>
          <w:lang w:val="sr-Latn-ME"/>
        </w:rPr>
        <w:t>dio</w:t>
      </w:r>
      <w:r w:rsidRPr="00A14E37">
        <w:rPr>
          <w:noProof/>
          <w:color w:val="000000"/>
          <w:sz w:val="22"/>
          <w:szCs w:val="22"/>
          <w:lang w:val="sr-Latn-ME"/>
        </w:rPr>
        <w:t xml:space="preserve"> o dodatnim mjerama predostrožnosti u ne-transplantacionim indikacijama u </w:t>
      </w:r>
      <w:r w:rsidR="00C37D5C" w:rsidRPr="00A14E37">
        <w:rPr>
          <w:noProof/>
          <w:color w:val="000000"/>
          <w:sz w:val="22"/>
          <w:szCs w:val="22"/>
          <w:lang w:val="sr-Latn-ME"/>
        </w:rPr>
        <w:t>dijelu</w:t>
      </w:r>
      <w:r w:rsidRPr="00A14E37">
        <w:rPr>
          <w:noProof/>
          <w:color w:val="000000"/>
          <w:sz w:val="22"/>
          <w:szCs w:val="22"/>
          <w:lang w:val="sr-Latn-ME"/>
        </w:rPr>
        <w:t xml:space="preserve"> 4.4). Kod pacijenata sa nefrotskim sindromom i oštećenjem bubrežne funkcije, početna doza ne treba da bude veća od 2,5 mg/kg/dan.</w:t>
      </w:r>
    </w:p>
    <w:p w14:paraId="73A30345" w14:textId="5427DF9B" w:rsidR="00BB702A" w:rsidRPr="00A14E37" w:rsidRDefault="00BB702A" w:rsidP="00F949C5">
      <w:pPr>
        <w:jc w:val="both"/>
        <w:rPr>
          <w:i/>
          <w:noProof/>
          <w:color w:val="000000"/>
          <w:sz w:val="22"/>
          <w:szCs w:val="22"/>
          <w:lang w:val="sr-Latn-ME"/>
        </w:rPr>
      </w:pPr>
      <w:r w:rsidRPr="00A14E37">
        <w:rPr>
          <w:i/>
          <w:noProof/>
          <w:color w:val="000000"/>
          <w:sz w:val="22"/>
          <w:szCs w:val="22"/>
          <w:lang w:val="sr-Latn-ME"/>
        </w:rPr>
        <w:lastRenderedPageBreak/>
        <w:t>Pacijenti sa oštećenjem</w:t>
      </w:r>
      <w:r w:rsidR="002825A7" w:rsidRPr="00A14E37">
        <w:rPr>
          <w:i/>
          <w:noProof/>
          <w:color w:val="000000"/>
          <w:sz w:val="22"/>
          <w:szCs w:val="22"/>
          <w:lang w:val="sr-Latn-ME"/>
        </w:rPr>
        <w:t xml:space="preserve"> funkcije</w:t>
      </w:r>
      <w:r w:rsidRPr="00A14E37">
        <w:rPr>
          <w:i/>
          <w:noProof/>
          <w:color w:val="000000"/>
          <w:sz w:val="22"/>
          <w:szCs w:val="22"/>
          <w:lang w:val="sr-Latn-ME"/>
        </w:rPr>
        <w:t xml:space="preserve"> jetre</w:t>
      </w:r>
    </w:p>
    <w:p w14:paraId="4FC15F22" w14:textId="7912B8EE" w:rsidR="00BB702A" w:rsidRPr="00A14E37" w:rsidRDefault="00BB702A" w:rsidP="00F949C5">
      <w:pPr>
        <w:jc w:val="both"/>
        <w:rPr>
          <w:noProof/>
          <w:color w:val="000000"/>
          <w:sz w:val="22"/>
          <w:szCs w:val="22"/>
          <w:lang w:val="sr-Latn-ME"/>
        </w:rPr>
      </w:pPr>
      <w:r w:rsidRPr="00A14E37">
        <w:rPr>
          <w:noProof/>
          <w:color w:val="000000"/>
          <w:sz w:val="22"/>
          <w:szCs w:val="22"/>
          <w:lang w:val="sr-Latn-ME"/>
        </w:rPr>
        <w:t xml:space="preserve">Ciklosporin se intezivno metaboliše u jetri. Približno 2 do 3 puta povećano izlaganje ciklosporinu može se pratiti kod pacijenata sa teškim oštećenjem jetre. Da bi se održao nivo </w:t>
      </w:r>
      <w:r w:rsidR="00236613" w:rsidRPr="00A14E37">
        <w:rPr>
          <w:noProof/>
          <w:color w:val="000000"/>
          <w:sz w:val="22"/>
          <w:szCs w:val="22"/>
          <w:lang w:val="sr-Latn-ME"/>
        </w:rPr>
        <w:t>l</w:t>
      </w:r>
      <w:r w:rsidR="00FE3252" w:rsidRPr="00A14E37">
        <w:rPr>
          <w:noProof/>
          <w:color w:val="000000"/>
          <w:sz w:val="22"/>
          <w:szCs w:val="22"/>
          <w:lang w:val="sr-Latn-ME"/>
        </w:rPr>
        <w:t>ij</w:t>
      </w:r>
      <w:r w:rsidR="00236613" w:rsidRPr="00A14E37">
        <w:rPr>
          <w:noProof/>
          <w:color w:val="000000"/>
          <w:sz w:val="22"/>
          <w:szCs w:val="22"/>
          <w:lang w:val="sr-Latn-ME"/>
        </w:rPr>
        <w:t xml:space="preserve">eka u </w:t>
      </w:r>
      <w:r w:rsidRPr="00A14E37">
        <w:rPr>
          <w:noProof/>
          <w:color w:val="000000"/>
          <w:sz w:val="22"/>
          <w:szCs w:val="22"/>
          <w:lang w:val="sr-Latn-ME"/>
        </w:rPr>
        <w:t xml:space="preserve">krvi u preporučenom </w:t>
      </w:r>
      <w:r w:rsidR="00236613" w:rsidRPr="00A14E37">
        <w:rPr>
          <w:noProof/>
          <w:color w:val="000000"/>
          <w:sz w:val="22"/>
          <w:szCs w:val="22"/>
          <w:lang w:val="sr-Latn-ME"/>
        </w:rPr>
        <w:t xml:space="preserve">ciljnom </w:t>
      </w:r>
      <w:r w:rsidRPr="00A14E37">
        <w:rPr>
          <w:noProof/>
          <w:color w:val="000000"/>
          <w:sz w:val="22"/>
          <w:szCs w:val="22"/>
          <w:lang w:val="sr-Latn-ME"/>
        </w:rPr>
        <w:t xml:space="preserve">opsegu, smanjenje doze može biti neophodno kod pacijenata sa </w:t>
      </w:r>
      <w:r w:rsidR="00236613" w:rsidRPr="00A14E37">
        <w:rPr>
          <w:noProof/>
          <w:color w:val="000000"/>
          <w:sz w:val="22"/>
          <w:szCs w:val="22"/>
          <w:lang w:val="sr-Latn-ME"/>
        </w:rPr>
        <w:t xml:space="preserve">teškim </w:t>
      </w:r>
      <w:r w:rsidRPr="00A14E37">
        <w:rPr>
          <w:noProof/>
          <w:color w:val="000000"/>
          <w:sz w:val="22"/>
          <w:szCs w:val="22"/>
          <w:lang w:val="sr-Latn-ME"/>
        </w:rPr>
        <w:t>oštećenjem</w:t>
      </w:r>
      <w:r w:rsidR="00236613" w:rsidRPr="00A14E37">
        <w:rPr>
          <w:noProof/>
          <w:color w:val="000000"/>
          <w:sz w:val="22"/>
          <w:szCs w:val="22"/>
          <w:lang w:val="sr-Latn-ME"/>
        </w:rPr>
        <w:t xml:space="preserve"> funkcije</w:t>
      </w:r>
      <w:r w:rsidRPr="00A14E37">
        <w:rPr>
          <w:noProof/>
          <w:color w:val="000000"/>
          <w:sz w:val="22"/>
          <w:szCs w:val="22"/>
          <w:lang w:val="sr-Latn-ME"/>
        </w:rPr>
        <w:t xml:space="preserve"> jetre (vidjeti </w:t>
      </w:r>
      <w:r w:rsidR="00C37D5C" w:rsidRPr="00A14E37">
        <w:rPr>
          <w:noProof/>
          <w:color w:val="000000"/>
          <w:sz w:val="22"/>
          <w:szCs w:val="22"/>
          <w:lang w:val="sr-Latn-ME"/>
        </w:rPr>
        <w:t>djelove</w:t>
      </w:r>
      <w:r w:rsidRPr="00A14E37">
        <w:rPr>
          <w:noProof/>
          <w:color w:val="000000"/>
          <w:sz w:val="22"/>
          <w:szCs w:val="22"/>
          <w:lang w:val="sr-Latn-ME"/>
        </w:rPr>
        <w:t xml:space="preserve"> 4.4 i 4.5) i preporučuje se da se nivo ciklosporina </w:t>
      </w:r>
      <w:r w:rsidR="00236613" w:rsidRPr="00A14E37">
        <w:rPr>
          <w:noProof/>
          <w:color w:val="000000"/>
          <w:sz w:val="22"/>
          <w:szCs w:val="22"/>
          <w:lang w:val="sr-Latn-ME"/>
        </w:rPr>
        <w:t xml:space="preserve">u krvi </w:t>
      </w:r>
      <w:r w:rsidRPr="00A14E37">
        <w:rPr>
          <w:noProof/>
          <w:color w:val="000000"/>
          <w:sz w:val="22"/>
          <w:szCs w:val="22"/>
          <w:lang w:val="sr-Latn-ME"/>
        </w:rPr>
        <w:t>prati dok se ne postignu stabilni nivoi.</w:t>
      </w:r>
    </w:p>
    <w:p w14:paraId="2D3EA3A0" w14:textId="77777777" w:rsidR="00264435" w:rsidRPr="00A14E37" w:rsidRDefault="00264435" w:rsidP="00F949C5">
      <w:pPr>
        <w:jc w:val="both"/>
        <w:rPr>
          <w:i/>
          <w:noProof/>
          <w:color w:val="000000"/>
          <w:sz w:val="22"/>
          <w:szCs w:val="22"/>
          <w:lang w:val="sr-Latn-ME"/>
        </w:rPr>
      </w:pPr>
    </w:p>
    <w:p w14:paraId="486B78F0" w14:textId="073F94DD" w:rsidR="00BB702A" w:rsidRPr="00A14E37" w:rsidRDefault="00BB702A" w:rsidP="00F949C5">
      <w:pPr>
        <w:jc w:val="both"/>
        <w:rPr>
          <w:i/>
          <w:noProof/>
          <w:color w:val="000000"/>
          <w:sz w:val="22"/>
          <w:szCs w:val="22"/>
          <w:lang w:val="sr-Latn-ME"/>
        </w:rPr>
      </w:pPr>
      <w:r w:rsidRPr="00A14E37">
        <w:rPr>
          <w:i/>
          <w:noProof/>
          <w:color w:val="000000"/>
          <w:sz w:val="22"/>
          <w:szCs w:val="22"/>
          <w:lang w:val="sr-Latn-ME"/>
        </w:rPr>
        <w:t>Pedijatrijska populacija</w:t>
      </w:r>
    </w:p>
    <w:p w14:paraId="76086BE0" w14:textId="61E837E5" w:rsidR="00BB702A" w:rsidRPr="00A14E37" w:rsidRDefault="00BB702A">
      <w:pPr>
        <w:keepNext/>
        <w:jc w:val="both"/>
        <w:outlineLvl w:val="2"/>
        <w:rPr>
          <w:iCs/>
          <w:noProof/>
          <w:color w:val="000000"/>
          <w:sz w:val="22"/>
          <w:szCs w:val="22"/>
          <w:lang w:val="sr-Latn-ME"/>
        </w:rPr>
      </w:pPr>
      <w:r w:rsidRPr="00A14E37">
        <w:rPr>
          <w:iCs/>
          <w:noProof/>
          <w:color w:val="000000"/>
          <w:sz w:val="22"/>
          <w:szCs w:val="22"/>
          <w:lang w:val="sr-Latn-ME"/>
        </w:rPr>
        <w:t xml:space="preserve">Kliničke studije su obuhvatile djecu uzrasta od 1 </w:t>
      </w:r>
      <w:r w:rsidR="00E0035E" w:rsidRPr="00A14E37">
        <w:rPr>
          <w:iCs/>
          <w:noProof/>
          <w:color w:val="000000"/>
          <w:sz w:val="22"/>
          <w:szCs w:val="22"/>
          <w:lang w:val="sr-Latn-ME"/>
        </w:rPr>
        <w:t xml:space="preserve">i više </w:t>
      </w:r>
      <w:r w:rsidRPr="00A14E37">
        <w:rPr>
          <w:iCs/>
          <w:noProof/>
          <w:color w:val="000000"/>
          <w:sz w:val="22"/>
          <w:szCs w:val="22"/>
          <w:lang w:val="sr-Latn-ME"/>
        </w:rPr>
        <w:t>godin</w:t>
      </w:r>
      <w:r w:rsidR="00E0035E" w:rsidRPr="00A14E37">
        <w:rPr>
          <w:iCs/>
          <w:noProof/>
          <w:color w:val="000000"/>
          <w:sz w:val="22"/>
          <w:szCs w:val="22"/>
          <w:lang w:val="sr-Latn-ME"/>
        </w:rPr>
        <w:t>a</w:t>
      </w:r>
      <w:r w:rsidRPr="00A14E37">
        <w:rPr>
          <w:iCs/>
          <w:noProof/>
          <w:color w:val="000000"/>
          <w:sz w:val="22"/>
          <w:szCs w:val="22"/>
          <w:lang w:val="sr-Latn-ME"/>
        </w:rPr>
        <w:t>. Pedijatrijski pacijenti u nekoliko studija su zahtijevali i podnosili doze ciklosporina po kg tjelesne mase koje su veće od onih koji se koriste kod odraslih.</w:t>
      </w:r>
    </w:p>
    <w:p w14:paraId="3C1F77B2" w14:textId="77777777" w:rsidR="00BB702A" w:rsidRPr="00A14E37" w:rsidRDefault="00BB702A" w:rsidP="002045DA">
      <w:pPr>
        <w:keepNext/>
        <w:jc w:val="both"/>
        <w:outlineLvl w:val="2"/>
        <w:rPr>
          <w:iCs/>
          <w:noProof/>
          <w:color w:val="000000"/>
          <w:sz w:val="22"/>
          <w:szCs w:val="22"/>
          <w:lang w:val="sr-Latn-ME"/>
        </w:rPr>
      </w:pPr>
    </w:p>
    <w:p w14:paraId="1E3FC34E" w14:textId="530CF640" w:rsidR="00BB702A" w:rsidRPr="00A14E37" w:rsidRDefault="00BB702A">
      <w:pPr>
        <w:jc w:val="both"/>
        <w:rPr>
          <w:sz w:val="22"/>
          <w:szCs w:val="22"/>
          <w:lang w:val="sr-Latn-ME"/>
        </w:rPr>
      </w:pPr>
      <w:r w:rsidRPr="00A14E37">
        <w:rPr>
          <w:sz w:val="22"/>
          <w:szCs w:val="22"/>
          <w:lang w:val="sr-Latn-ME"/>
        </w:rPr>
        <w:t xml:space="preserve">Upotreba lijeka Sandimmun Neoral kod djece za ne-transplantacijske indikacije, osim nefrotskog sindroma se ne može preporučiti (vidjeti </w:t>
      </w:r>
      <w:r w:rsidR="00C37D5C" w:rsidRPr="00A14E37">
        <w:rPr>
          <w:sz w:val="22"/>
          <w:szCs w:val="22"/>
          <w:lang w:val="sr-Latn-ME"/>
        </w:rPr>
        <w:t>dio</w:t>
      </w:r>
      <w:r w:rsidRPr="00A14E37">
        <w:rPr>
          <w:sz w:val="22"/>
          <w:szCs w:val="22"/>
          <w:lang w:val="sr-Latn-ME"/>
        </w:rPr>
        <w:t xml:space="preserve"> 4.4).</w:t>
      </w:r>
    </w:p>
    <w:p w14:paraId="6A5BA79B" w14:textId="18373836" w:rsidR="00B37A2A" w:rsidRPr="00A14E37" w:rsidRDefault="00B37A2A">
      <w:pPr>
        <w:jc w:val="both"/>
        <w:rPr>
          <w:sz w:val="22"/>
          <w:szCs w:val="22"/>
          <w:lang w:val="sr-Latn-ME"/>
        </w:rPr>
      </w:pPr>
    </w:p>
    <w:p w14:paraId="0F34406F" w14:textId="77777777" w:rsidR="00BB702A" w:rsidRPr="00A14E37" w:rsidRDefault="00BB702A" w:rsidP="00F949C5">
      <w:pPr>
        <w:pStyle w:val="Text"/>
        <w:spacing w:before="0"/>
        <w:rPr>
          <w:i/>
          <w:noProof/>
          <w:color w:val="000000"/>
          <w:sz w:val="22"/>
          <w:szCs w:val="22"/>
          <w:lang w:val="sr-Latn-ME"/>
        </w:rPr>
      </w:pPr>
      <w:r w:rsidRPr="00A14E37">
        <w:rPr>
          <w:i/>
          <w:noProof/>
          <w:color w:val="000000"/>
          <w:sz w:val="22"/>
          <w:szCs w:val="22"/>
          <w:lang w:val="sr-Latn-ME"/>
        </w:rPr>
        <w:t>Starija populacija (65 godina i stariji)</w:t>
      </w:r>
    </w:p>
    <w:p w14:paraId="6298A588" w14:textId="62ABF6E7"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Iskustva sa lijekom Sandimmun</w:t>
      </w:r>
      <w:r w:rsidR="0031444A" w:rsidRPr="00A14E37">
        <w:rPr>
          <w:noProof/>
          <w:color w:val="000000"/>
          <w:sz w:val="22"/>
          <w:szCs w:val="22"/>
          <w:lang w:val="sr-Latn-ME"/>
        </w:rPr>
        <w:t xml:space="preserve"> Neoral</w:t>
      </w:r>
      <w:r w:rsidRPr="00A14E37">
        <w:rPr>
          <w:noProof/>
          <w:color w:val="000000"/>
          <w:sz w:val="22"/>
          <w:szCs w:val="22"/>
          <w:lang w:val="sr-Latn-ME"/>
        </w:rPr>
        <w:t xml:space="preserve"> kod starijih </w:t>
      </w:r>
      <w:r w:rsidR="00FC3411" w:rsidRPr="00A14E37">
        <w:rPr>
          <w:noProof/>
          <w:color w:val="000000"/>
          <w:sz w:val="22"/>
          <w:szCs w:val="22"/>
          <w:lang w:val="sr-Latn-ME"/>
        </w:rPr>
        <w:t xml:space="preserve">osoba </w:t>
      </w:r>
      <w:r w:rsidRPr="00A14E37">
        <w:rPr>
          <w:noProof/>
          <w:color w:val="000000"/>
          <w:sz w:val="22"/>
          <w:szCs w:val="22"/>
          <w:lang w:val="sr-Latn-ME"/>
        </w:rPr>
        <w:t>su ograničena.</w:t>
      </w:r>
    </w:p>
    <w:p w14:paraId="15134FFD" w14:textId="1F86EF5F"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U kliničkim ispitivanjima reumatoidnog artritisa sa ciklosporinom, pacijenata starosti  65 i</w:t>
      </w:r>
      <w:r w:rsidR="007B53D9" w:rsidRPr="00A14E37">
        <w:rPr>
          <w:noProof/>
          <w:color w:val="000000"/>
          <w:sz w:val="22"/>
          <w:szCs w:val="22"/>
          <w:lang w:val="sr-Latn-ME"/>
        </w:rPr>
        <w:t>li</w:t>
      </w:r>
      <w:r w:rsidRPr="00A14E37">
        <w:rPr>
          <w:noProof/>
          <w:color w:val="000000"/>
          <w:sz w:val="22"/>
          <w:szCs w:val="22"/>
          <w:lang w:val="sr-Latn-ME"/>
        </w:rPr>
        <w:t xml:space="preserve"> više godina, imali su veću </w:t>
      </w:r>
      <w:r w:rsidR="00FC3411" w:rsidRPr="00A14E37">
        <w:rPr>
          <w:noProof/>
          <w:color w:val="000000"/>
          <w:sz w:val="22"/>
          <w:szCs w:val="22"/>
          <w:lang w:val="sr-Latn-ME"/>
        </w:rPr>
        <w:t>v</w:t>
      </w:r>
      <w:r w:rsidR="002145BA" w:rsidRPr="00A14E37">
        <w:rPr>
          <w:noProof/>
          <w:color w:val="000000"/>
          <w:sz w:val="22"/>
          <w:szCs w:val="22"/>
          <w:lang w:val="sr-Latn-ME"/>
        </w:rPr>
        <w:t>j</w:t>
      </w:r>
      <w:r w:rsidR="00FC3411" w:rsidRPr="00A14E37">
        <w:rPr>
          <w:noProof/>
          <w:color w:val="000000"/>
          <w:sz w:val="22"/>
          <w:szCs w:val="22"/>
          <w:lang w:val="sr-Latn-ME"/>
        </w:rPr>
        <w:t>erovatnoću</w:t>
      </w:r>
      <w:r w:rsidRPr="00A14E37">
        <w:rPr>
          <w:noProof/>
          <w:color w:val="000000"/>
          <w:sz w:val="22"/>
          <w:szCs w:val="22"/>
          <w:lang w:val="sr-Latn-ME"/>
        </w:rPr>
        <w:t xml:space="preserve"> da razviju sistolnu hipertenziju tokom terapije i da nakon 3-4 mjeseca terapije imaju povećanje nivoa kreatinina u serumu ≥50% od početne vrijednosti.</w:t>
      </w:r>
    </w:p>
    <w:p w14:paraId="20F060DF" w14:textId="31C3F876"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Odabir doze za starije pacijente treba izvršiti uz oprez, a obično se počinje od najnižih doza, imajući na umu veću učestalost smanjene funkcije jetre, bubrega i srca i konkomitantnih bolesti ili ljekova i povećanu podložnost infekcijama.</w:t>
      </w:r>
    </w:p>
    <w:p w14:paraId="6111A78C" w14:textId="77777777" w:rsidR="00B37A2A" w:rsidRPr="00A14E37" w:rsidRDefault="00B37A2A">
      <w:pPr>
        <w:pStyle w:val="Text"/>
        <w:spacing w:before="0"/>
        <w:rPr>
          <w:noProof/>
          <w:color w:val="000000"/>
          <w:sz w:val="22"/>
          <w:szCs w:val="22"/>
          <w:lang w:val="sr-Latn-ME"/>
        </w:rPr>
      </w:pPr>
    </w:p>
    <w:p w14:paraId="4B3CC18D" w14:textId="334FD35D" w:rsidR="00BB702A" w:rsidRPr="00A14E37" w:rsidRDefault="00BB702A" w:rsidP="00F949C5">
      <w:pPr>
        <w:pStyle w:val="Text"/>
        <w:spacing w:before="0"/>
        <w:rPr>
          <w:noProof/>
          <w:color w:val="000000"/>
          <w:sz w:val="22"/>
          <w:szCs w:val="22"/>
          <w:u w:val="single"/>
          <w:lang w:val="sr-Latn-ME"/>
        </w:rPr>
      </w:pPr>
      <w:r w:rsidRPr="00A14E37">
        <w:rPr>
          <w:noProof/>
          <w:color w:val="000000"/>
          <w:sz w:val="22"/>
          <w:szCs w:val="22"/>
          <w:u w:val="single"/>
          <w:lang w:val="sr-Latn-ME"/>
        </w:rPr>
        <w:t>Način primjene</w:t>
      </w:r>
    </w:p>
    <w:p w14:paraId="74DA1224" w14:textId="77777777" w:rsidR="00BB702A" w:rsidRPr="00A14E37" w:rsidRDefault="00BB702A" w:rsidP="006D0274">
      <w:pPr>
        <w:pStyle w:val="Heading3"/>
        <w:jc w:val="both"/>
        <w:rPr>
          <w:rFonts w:ascii="Times New Roman" w:hAnsi="Times New Roman" w:cs="Times New Roman"/>
          <w:noProof/>
          <w:color w:val="000000"/>
          <w:sz w:val="22"/>
          <w:szCs w:val="22"/>
          <w:lang w:val="sr-Latn-ME"/>
        </w:rPr>
      </w:pPr>
      <w:r w:rsidRPr="00A14E37">
        <w:rPr>
          <w:rFonts w:ascii="Times New Roman" w:hAnsi="Times New Roman" w:cs="Times New Roman"/>
          <w:noProof/>
          <w:color w:val="000000"/>
          <w:sz w:val="22"/>
          <w:szCs w:val="22"/>
          <w:lang w:val="sr-Latn-ME"/>
        </w:rPr>
        <w:t>Oralna upotreba</w:t>
      </w:r>
      <w:r w:rsidR="0031444A" w:rsidRPr="00A14E37">
        <w:rPr>
          <w:rFonts w:ascii="Times New Roman" w:hAnsi="Times New Roman" w:cs="Times New Roman"/>
          <w:noProof/>
          <w:color w:val="000000"/>
          <w:sz w:val="22"/>
          <w:szCs w:val="22"/>
          <w:lang w:val="sr-Latn-ME"/>
        </w:rPr>
        <w:t>.</w:t>
      </w:r>
    </w:p>
    <w:p w14:paraId="6CF6D9B3" w14:textId="0D78C239" w:rsidR="00BB702A" w:rsidRPr="00A14E37" w:rsidRDefault="00BB702A" w:rsidP="000E6E8B">
      <w:pPr>
        <w:pStyle w:val="Text"/>
        <w:rPr>
          <w:noProof/>
          <w:color w:val="000000"/>
          <w:sz w:val="22"/>
          <w:szCs w:val="22"/>
          <w:lang w:val="sr-Latn-ME"/>
        </w:rPr>
      </w:pPr>
      <w:r w:rsidRPr="00A14E37">
        <w:rPr>
          <w:noProof/>
          <w:color w:val="000000"/>
          <w:sz w:val="22"/>
          <w:szCs w:val="22"/>
          <w:lang w:val="sr-Latn-ME"/>
        </w:rPr>
        <w:t xml:space="preserve">Oralni rastvor treba razblažiti (najbolje) sokom od narandže ili jabuke. Međutim, mogu se koristiti i druga pića npr. bezalkoholna pića, prema individualnom ukusu. Oralni rastvor treba dobro promiješati neposredno prije uzimanja. Za razblaživanje ne treba koristiti sok od grejpfruta zbog njegovog mogućeg uticaja na </w:t>
      </w:r>
      <w:r w:rsidR="00FC3411" w:rsidRPr="00A14E37">
        <w:rPr>
          <w:noProof/>
          <w:color w:val="000000"/>
          <w:sz w:val="22"/>
          <w:szCs w:val="22"/>
          <w:lang w:val="sr-Latn-ME"/>
        </w:rPr>
        <w:t xml:space="preserve">citohrom </w:t>
      </w:r>
      <w:r w:rsidRPr="00A14E37">
        <w:rPr>
          <w:noProof/>
          <w:color w:val="000000"/>
          <w:sz w:val="22"/>
          <w:szCs w:val="22"/>
          <w:lang w:val="sr-Latn-ME"/>
        </w:rPr>
        <w:t xml:space="preserve">P450-sistem enzima (vidjeti </w:t>
      </w:r>
      <w:r w:rsidR="00C37D5C" w:rsidRPr="00A14E37">
        <w:rPr>
          <w:noProof/>
          <w:color w:val="000000"/>
          <w:sz w:val="22"/>
          <w:szCs w:val="22"/>
          <w:lang w:val="sr-Latn-ME"/>
        </w:rPr>
        <w:t>dio</w:t>
      </w:r>
      <w:r w:rsidRPr="00A14E37">
        <w:rPr>
          <w:noProof/>
          <w:color w:val="000000"/>
          <w:sz w:val="22"/>
          <w:szCs w:val="22"/>
          <w:lang w:val="sr-Latn-ME"/>
        </w:rPr>
        <w:t xml:space="preserve"> 4.5). Špric ne treba da dođe u dodir sa razblaživačem. Ukoliko treba očistiti špric, ne ispirati ga, već ga treba sa spoljašnje strane obrisati suvim papirnim ubrusom (vidjeti </w:t>
      </w:r>
      <w:r w:rsidR="00C37D5C" w:rsidRPr="00A14E37">
        <w:rPr>
          <w:noProof/>
          <w:color w:val="000000"/>
          <w:sz w:val="22"/>
          <w:szCs w:val="22"/>
          <w:lang w:val="sr-Latn-ME"/>
        </w:rPr>
        <w:t>dio</w:t>
      </w:r>
      <w:r w:rsidRPr="00A14E37">
        <w:rPr>
          <w:noProof/>
          <w:color w:val="000000"/>
          <w:sz w:val="22"/>
          <w:szCs w:val="22"/>
          <w:lang w:val="sr-Latn-ME"/>
        </w:rPr>
        <w:t xml:space="preserve"> 6.6).</w:t>
      </w:r>
    </w:p>
    <w:p w14:paraId="550A9426" w14:textId="77777777" w:rsidR="00BB702A" w:rsidRPr="00A14E37" w:rsidRDefault="00BB702A" w:rsidP="002045DA">
      <w:pPr>
        <w:pStyle w:val="Header"/>
        <w:tabs>
          <w:tab w:val="left" w:pos="284"/>
        </w:tabs>
        <w:jc w:val="both"/>
        <w:rPr>
          <w:sz w:val="22"/>
          <w:szCs w:val="22"/>
          <w:lang w:val="sr-Latn-ME"/>
        </w:rPr>
      </w:pPr>
    </w:p>
    <w:p w14:paraId="11E253D8" w14:textId="77777777" w:rsidR="00BB702A" w:rsidRPr="00A14E37" w:rsidRDefault="00BB702A" w:rsidP="002045DA">
      <w:pPr>
        <w:pStyle w:val="Header"/>
        <w:jc w:val="both"/>
        <w:rPr>
          <w:i/>
          <w:sz w:val="22"/>
          <w:szCs w:val="22"/>
          <w:lang w:val="sr-Latn-ME"/>
        </w:rPr>
      </w:pPr>
      <w:r w:rsidRPr="00A14E37">
        <w:rPr>
          <w:i/>
          <w:sz w:val="22"/>
          <w:szCs w:val="22"/>
          <w:lang w:val="sr-Latn-ME"/>
        </w:rPr>
        <w:t>Potreban je oprez pri rukovanju ili primjeni lijeka.</w:t>
      </w:r>
    </w:p>
    <w:p w14:paraId="32B7375F" w14:textId="77777777" w:rsidR="00BB702A" w:rsidRPr="00A14E37" w:rsidRDefault="00BB702A" w:rsidP="002045DA">
      <w:pPr>
        <w:pStyle w:val="Header"/>
        <w:jc w:val="both"/>
        <w:rPr>
          <w:i/>
          <w:sz w:val="22"/>
          <w:szCs w:val="22"/>
          <w:lang w:val="sr-Latn-ME"/>
        </w:rPr>
      </w:pPr>
    </w:p>
    <w:p w14:paraId="39D4104D" w14:textId="188E63E2" w:rsidR="00BB702A" w:rsidRPr="00A14E37" w:rsidRDefault="00BB702A" w:rsidP="002045DA">
      <w:pPr>
        <w:pStyle w:val="Header"/>
        <w:tabs>
          <w:tab w:val="left" w:pos="284"/>
        </w:tabs>
        <w:jc w:val="both"/>
        <w:rPr>
          <w:sz w:val="22"/>
          <w:szCs w:val="22"/>
          <w:lang w:val="sr-Latn-ME"/>
        </w:rPr>
      </w:pPr>
      <w:r w:rsidRPr="00A14E37">
        <w:rPr>
          <w:sz w:val="22"/>
          <w:szCs w:val="22"/>
          <w:lang w:val="sr-Latn-ME"/>
        </w:rPr>
        <w:t xml:space="preserve">Za uputstvo o razređivanju lijeka prije primjene, vidjeti </w:t>
      </w:r>
      <w:r w:rsidR="00C37D5C" w:rsidRPr="00A14E37">
        <w:rPr>
          <w:sz w:val="22"/>
          <w:szCs w:val="22"/>
          <w:lang w:val="sr-Latn-ME"/>
        </w:rPr>
        <w:t>dio</w:t>
      </w:r>
      <w:r w:rsidRPr="00A14E37">
        <w:rPr>
          <w:sz w:val="22"/>
          <w:szCs w:val="22"/>
          <w:lang w:val="sr-Latn-ME"/>
        </w:rPr>
        <w:t xml:space="preserve"> 6.6.</w:t>
      </w:r>
    </w:p>
    <w:p w14:paraId="7A71D411" w14:textId="77777777" w:rsidR="00452E9D" w:rsidRPr="00A14E37" w:rsidRDefault="00452E9D" w:rsidP="002045DA">
      <w:pPr>
        <w:tabs>
          <w:tab w:val="left" w:pos="540"/>
          <w:tab w:val="left" w:pos="569"/>
        </w:tabs>
        <w:jc w:val="both"/>
        <w:rPr>
          <w:bCs/>
          <w:sz w:val="22"/>
          <w:szCs w:val="22"/>
          <w:lang w:val="sr-Latn-ME"/>
        </w:rPr>
      </w:pPr>
    </w:p>
    <w:p w14:paraId="7BE17F84"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t xml:space="preserve">4.3. </w:t>
      </w:r>
      <w:r w:rsidR="00480FB1" w:rsidRPr="00A14E37">
        <w:rPr>
          <w:b/>
          <w:bCs/>
          <w:sz w:val="22"/>
          <w:szCs w:val="22"/>
          <w:lang w:val="sr-Latn-ME"/>
        </w:rPr>
        <w:tab/>
      </w:r>
      <w:r w:rsidRPr="00A14E37">
        <w:rPr>
          <w:b/>
          <w:bCs/>
          <w:sz w:val="22"/>
          <w:szCs w:val="22"/>
          <w:lang w:val="sr-Latn-ME"/>
        </w:rPr>
        <w:t>Kontraindikacije</w:t>
      </w:r>
    </w:p>
    <w:p w14:paraId="14E5E829" w14:textId="77777777" w:rsidR="0072020E" w:rsidRPr="00A14E37" w:rsidRDefault="0072020E" w:rsidP="002045DA">
      <w:pPr>
        <w:tabs>
          <w:tab w:val="left" w:pos="540"/>
          <w:tab w:val="left" w:pos="569"/>
        </w:tabs>
        <w:jc w:val="both"/>
        <w:rPr>
          <w:bCs/>
          <w:sz w:val="22"/>
          <w:szCs w:val="22"/>
          <w:lang w:val="sr-Latn-ME"/>
        </w:rPr>
      </w:pPr>
    </w:p>
    <w:p w14:paraId="53083473" w14:textId="299A8488" w:rsidR="00BB702A" w:rsidRPr="00A14E37" w:rsidRDefault="00BB702A" w:rsidP="002045DA">
      <w:pPr>
        <w:pStyle w:val="Header"/>
        <w:tabs>
          <w:tab w:val="left" w:pos="284"/>
        </w:tabs>
        <w:jc w:val="both"/>
        <w:rPr>
          <w:noProof/>
          <w:color w:val="000000"/>
          <w:sz w:val="22"/>
          <w:szCs w:val="22"/>
          <w:lang w:val="sr-Latn-ME"/>
        </w:rPr>
      </w:pPr>
      <w:r w:rsidRPr="00A14E37">
        <w:rPr>
          <w:noProof/>
          <w:color w:val="000000"/>
          <w:sz w:val="22"/>
          <w:szCs w:val="22"/>
          <w:lang w:val="sr-Latn-ME"/>
        </w:rPr>
        <w:t xml:space="preserve">Preosjetljivost na aktivnu supstancu ili bilo koju pomoćnu supstancu, navedenu u </w:t>
      </w:r>
      <w:r w:rsidR="00C37D5C" w:rsidRPr="00A14E37">
        <w:rPr>
          <w:noProof/>
          <w:color w:val="000000"/>
          <w:sz w:val="22"/>
          <w:szCs w:val="22"/>
          <w:lang w:val="sr-Latn-ME"/>
        </w:rPr>
        <w:t>dijelu</w:t>
      </w:r>
      <w:r w:rsidRPr="00A14E37">
        <w:rPr>
          <w:noProof/>
          <w:color w:val="000000"/>
          <w:sz w:val="22"/>
          <w:szCs w:val="22"/>
          <w:lang w:val="sr-Latn-ME"/>
        </w:rPr>
        <w:t xml:space="preserve"> 6.1.</w:t>
      </w:r>
    </w:p>
    <w:p w14:paraId="7CD10B85" w14:textId="77777777" w:rsidR="00BB702A" w:rsidRPr="00A14E37" w:rsidRDefault="00BB702A" w:rsidP="002045DA">
      <w:pPr>
        <w:pStyle w:val="Header"/>
        <w:tabs>
          <w:tab w:val="left" w:pos="284"/>
        </w:tabs>
        <w:jc w:val="both"/>
        <w:rPr>
          <w:noProof/>
          <w:color w:val="000000"/>
          <w:sz w:val="22"/>
          <w:szCs w:val="22"/>
          <w:lang w:val="sr-Latn-ME"/>
        </w:rPr>
      </w:pPr>
    </w:p>
    <w:p w14:paraId="7AB3F528" w14:textId="27DB2E6C" w:rsidR="00BB702A" w:rsidRPr="00A14E37" w:rsidRDefault="00BB702A" w:rsidP="002045DA">
      <w:pPr>
        <w:pStyle w:val="Header"/>
        <w:tabs>
          <w:tab w:val="left" w:pos="284"/>
        </w:tabs>
        <w:jc w:val="both"/>
        <w:rPr>
          <w:noProof/>
          <w:color w:val="000000"/>
          <w:sz w:val="22"/>
          <w:szCs w:val="22"/>
          <w:lang w:val="sr-Latn-ME"/>
        </w:rPr>
      </w:pPr>
      <w:r w:rsidRPr="00A14E37">
        <w:rPr>
          <w:noProof/>
          <w:color w:val="000000"/>
          <w:sz w:val="22"/>
          <w:szCs w:val="22"/>
          <w:lang w:val="sr-Latn-ME"/>
        </w:rPr>
        <w:t xml:space="preserve">Kombinacija sa proizvodima koji sadrže </w:t>
      </w:r>
      <w:r w:rsidRPr="00A14E37">
        <w:rPr>
          <w:i/>
          <w:noProof/>
          <w:color w:val="000000"/>
          <w:sz w:val="22"/>
          <w:szCs w:val="22"/>
          <w:lang w:val="sr-Latn-ME"/>
        </w:rPr>
        <w:t xml:space="preserve">Hypericum perforatum </w:t>
      </w:r>
      <w:r w:rsidRPr="00A14E37">
        <w:rPr>
          <w:noProof/>
          <w:color w:val="000000"/>
          <w:sz w:val="22"/>
          <w:szCs w:val="22"/>
          <w:lang w:val="sr-Latn-ME"/>
        </w:rPr>
        <w:t xml:space="preserve">(kantarion) (vidjeti </w:t>
      </w:r>
      <w:r w:rsidR="00C37D5C" w:rsidRPr="00A14E37">
        <w:rPr>
          <w:noProof/>
          <w:color w:val="000000"/>
          <w:sz w:val="22"/>
          <w:szCs w:val="22"/>
          <w:lang w:val="sr-Latn-ME"/>
        </w:rPr>
        <w:t>dio</w:t>
      </w:r>
      <w:r w:rsidRPr="00A14E37">
        <w:rPr>
          <w:noProof/>
          <w:color w:val="000000"/>
          <w:sz w:val="22"/>
          <w:szCs w:val="22"/>
          <w:lang w:val="sr-Latn-ME"/>
        </w:rPr>
        <w:t xml:space="preserve"> 4.5).</w:t>
      </w:r>
    </w:p>
    <w:p w14:paraId="64D10BDF" w14:textId="77777777" w:rsidR="00BB702A" w:rsidRPr="00A14E37" w:rsidRDefault="00BB702A" w:rsidP="002045DA">
      <w:pPr>
        <w:pStyle w:val="Header"/>
        <w:tabs>
          <w:tab w:val="left" w:pos="284"/>
        </w:tabs>
        <w:jc w:val="both"/>
        <w:rPr>
          <w:noProof/>
          <w:color w:val="000000"/>
          <w:sz w:val="22"/>
          <w:szCs w:val="22"/>
          <w:lang w:val="sr-Latn-ME"/>
        </w:rPr>
      </w:pPr>
    </w:p>
    <w:p w14:paraId="42C14C18" w14:textId="2A461EE2" w:rsidR="00BB702A" w:rsidRPr="00A14E37" w:rsidRDefault="00BB702A" w:rsidP="002045DA">
      <w:pPr>
        <w:pStyle w:val="Header"/>
        <w:tabs>
          <w:tab w:val="left" w:pos="284"/>
        </w:tabs>
        <w:jc w:val="both"/>
        <w:rPr>
          <w:noProof/>
          <w:color w:val="000000"/>
          <w:sz w:val="22"/>
          <w:szCs w:val="22"/>
          <w:lang w:val="sr-Latn-ME"/>
        </w:rPr>
      </w:pPr>
      <w:r w:rsidRPr="00A14E37">
        <w:rPr>
          <w:noProof/>
          <w:color w:val="000000"/>
          <w:sz w:val="22"/>
          <w:szCs w:val="22"/>
          <w:lang w:val="sr-Latn-ME"/>
        </w:rPr>
        <w:t>Kombinacija sa ljekovima koji su supstrati efluksnog prenosioca P-glikoproteina</w:t>
      </w:r>
      <w:r w:rsidR="0042261E" w:rsidRPr="00A14E37">
        <w:rPr>
          <w:noProof/>
          <w:color w:val="000000"/>
          <w:sz w:val="22"/>
          <w:szCs w:val="22"/>
          <w:lang w:val="sr-Latn-ME"/>
        </w:rPr>
        <w:t xml:space="preserve"> (P-gp)</w:t>
      </w:r>
      <w:r w:rsidRPr="00A14E37">
        <w:rPr>
          <w:noProof/>
          <w:color w:val="000000"/>
          <w:sz w:val="22"/>
          <w:szCs w:val="22"/>
          <w:lang w:val="sr-Latn-ME"/>
        </w:rPr>
        <w:t xml:space="preserve"> ili proteinskih transportera organskih anjona (OATP) čije su povišene koncentracije u plazmi povezane sa ozbiljnim i/ili životno ugrožavajućim događajima, npr. bosentan, d</w:t>
      </w:r>
      <w:r w:rsidR="009404D7" w:rsidRPr="00A14E37">
        <w:rPr>
          <w:noProof/>
          <w:color w:val="000000"/>
          <w:sz w:val="22"/>
          <w:szCs w:val="22"/>
          <w:lang w:val="sr-Latn-ME"/>
        </w:rPr>
        <w:t>a</w:t>
      </w:r>
      <w:r w:rsidRPr="00A14E37">
        <w:rPr>
          <w:noProof/>
          <w:color w:val="000000"/>
          <w:sz w:val="22"/>
          <w:szCs w:val="22"/>
          <w:lang w:val="sr-Latn-ME"/>
        </w:rPr>
        <w:t xml:space="preserve">bigatran eteksilat i aliskiren (vidjeti </w:t>
      </w:r>
      <w:r w:rsidR="00C37D5C" w:rsidRPr="00A14E37">
        <w:rPr>
          <w:noProof/>
          <w:color w:val="000000"/>
          <w:sz w:val="22"/>
          <w:szCs w:val="22"/>
          <w:lang w:val="sr-Latn-ME"/>
        </w:rPr>
        <w:t>dio</w:t>
      </w:r>
      <w:r w:rsidRPr="00A14E37">
        <w:rPr>
          <w:noProof/>
          <w:color w:val="000000"/>
          <w:sz w:val="22"/>
          <w:szCs w:val="22"/>
          <w:lang w:val="sr-Latn-ME"/>
        </w:rPr>
        <w:t xml:space="preserve"> 4.5).</w:t>
      </w:r>
    </w:p>
    <w:p w14:paraId="0C9105A5" w14:textId="77777777" w:rsidR="00BB702A" w:rsidRPr="00A14E37" w:rsidRDefault="00BB702A">
      <w:pPr>
        <w:tabs>
          <w:tab w:val="left" w:pos="540"/>
          <w:tab w:val="left" w:pos="569"/>
        </w:tabs>
        <w:jc w:val="both"/>
        <w:rPr>
          <w:bCs/>
          <w:sz w:val="22"/>
          <w:szCs w:val="22"/>
          <w:lang w:val="sr-Latn-ME"/>
        </w:rPr>
      </w:pPr>
    </w:p>
    <w:p w14:paraId="32924503" w14:textId="77777777" w:rsidR="00411B4B" w:rsidRPr="00A14E37" w:rsidRDefault="00411B4B">
      <w:pPr>
        <w:tabs>
          <w:tab w:val="left" w:pos="540"/>
          <w:tab w:val="left" w:pos="569"/>
        </w:tabs>
        <w:jc w:val="both"/>
        <w:rPr>
          <w:b/>
          <w:bCs/>
          <w:sz w:val="22"/>
          <w:szCs w:val="22"/>
          <w:lang w:val="sr-Latn-ME"/>
        </w:rPr>
      </w:pPr>
      <w:r w:rsidRPr="00A14E37">
        <w:rPr>
          <w:b/>
          <w:bCs/>
          <w:sz w:val="22"/>
          <w:szCs w:val="22"/>
          <w:lang w:val="sr-Latn-ME"/>
        </w:rPr>
        <w:t xml:space="preserve">4.4. </w:t>
      </w:r>
      <w:r w:rsidR="00480FB1" w:rsidRPr="00A14E37">
        <w:rPr>
          <w:b/>
          <w:bCs/>
          <w:sz w:val="22"/>
          <w:szCs w:val="22"/>
          <w:lang w:val="sr-Latn-ME"/>
        </w:rPr>
        <w:tab/>
      </w:r>
      <w:r w:rsidRPr="00A14E37">
        <w:rPr>
          <w:b/>
          <w:bCs/>
          <w:sz w:val="22"/>
          <w:szCs w:val="22"/>
          <w:lang w:val="sr-Latn-ME"/>
        </w:rPr>
        <w:t>Posebna upozorenja i mjere opreza pri upotrebi lijeka</w:t>
      </w:r>
    </w:p>
    <w:p w14:paraId="306E552A" w14:textId="77777777" w:rsidR="0072020E" w:rsidRPr="00A14E37" w:rsidRDefault="0072020E">
      <w:pPr>
        <w:tabs>
          <w:tab w:val="left" w:pos="540"/>
          <w:tab w:val="left" w:pos="569"/>
        </w:tabs>
        <w:jc w:val="both"/>
        <w:rPr>
          <w:bCs/>
          <w:sz w:val="22"/>
          <w:szCs w:val="22"/>
          <w:lang w:val="sr-Latn-ME"/>
        </w:rPr>
      </w:pPr>
    </w:p>
    <w:p w14:paraId="13C5F444" w14:textId="77777777" w:rsidR="00BB702A" w:rsidRPr="00A14E37" w:rsidRDefault="00BB702A" w:rsidP="00F949C5">
      <w:pPr>
        <w:pStyle w:val="Text"/>
        <w:spacing w:before="0"/>
        <w:rPr>
          <w:noProof/>
          <w:color w:val="000000"/>
          <w:sz w:val="22"/>
          <w:szCs w:val="22"/>
          <w:u w:val="single"/>
          <w:lang w:val="sr-Latn-ME"/>
        </w:rPr>
      </w:pPr>
      <w:r w:rsidRPr="00A14E37">
        <w:rPr>
          <w:noProof/>
          <w:color w:val="000000"/>
          <w:sz w:val="22"/>
          <w:szCs w:val="22"/>
          <w:u w:val="single"/>
          <w:lang w:val="sr-Latn-ME"/>
        </w:rPr>
        <w:t>Medicinski nadzor</w:t>
      </w:r>
    </w:p>
    <w:p w14:paraId="2C389D89" w14:textId="77777777" w:rsidR="00BB702A" w:rsidRPr="00A14E37" w:rsidRDefault="003F114E" w:rsidP="00B37A2A">
      <w:pPr>
        <w:pStyle w:val="Text"/>
        <w:rPr>
          <w:noProof/>
          <w:color w:val="000000"/>
          <w:sz w:val="22"/>
          <w:szCs w:val="22"/>
          <w:lang w:val="sr-Latn-ME"/>
        </w:rPr>
      </w:pPr>
      <w:r w:rsidRPr="00A14E37">
        <w:rPr>
          <w:noProof/>
          <w:color w:val="000000"/>
          <w:sz w:val="22"/>
          <w:szCs w:val="22"/>
          <w:lang w:val="sr-Latn-ME"/>
        </w:rPr>
        <w:t xml:space="preserve">Lijek </w:t>
      </w:r>
      <w:r w:rsidR="00BB702A" w:rsidRPr="00A14E37">
        <w:rPr>
          <w:noProof/>
          <w:color w:val="000000"/>
          <w:sz w:val="22"/>
          <w:szCs w:val="22"/>
          <w:lang w:val="sr-Latn-ME"/>
        </w:rPr>
        <w:t>Sandimmun Neoral treba da propiše samo ljekar koji ima iskustva sa terapijom imunosupresivima i može da pruži adekvatnu kontrolu, uključujući redovan kompletan ljekarski pregled, mjerenje krvnog pritiska i kontrolu laboratorijskih parametara bezbjednosti. Pacijente sa transplantatom koji dobijaju ovaj lijek treba liječiti u ustanovama sa adekvatnom laboratorijskom i pomoćnom medicinskom opremom. Ljekar zadužen za terapiju održavanja treba da dobije potpune informacije o kontroli pacijenta.</w:t>
      </w:r>
    </w:p>
    <w:p w14:paraId="13005987" w14:textId="77777777" w:rsidR="00BB702A" w:rsidRPr="00A14E37" w:rsidRDefault="00BB702A" w:rsidP="00B37A2A">
      <w:pPr>
        <w:pStyle w:val="Text"/>
        <w:rPr>
          <w:noProof/>
          <w:color w:val="000000"/>
          <w:sz w:val="22"/>
          <w:szCs w:val="22"/>
          <w:u w:val="single"/>
          <w:lang w:val="sr-Latn-ME"/>
        </w:rPr>
      </w:pPr>
      <w:r w:rsidRPr="00A14E37">
        <w:rPr>
          <w:noProof/>
          <w:color w:val="000000"/>
          <w:sz w:val="22"/>
          <w:szCs w:val="22"/>
          <w:u w:val="single"/>
          <w:lang w:val="sr-Latn-ME"/>
        </w:rPr>
        <w:lastRenderedPageBreak/>
        <w:t>Limfom i drugi maligniteti</w:t>
      </w:r>
    </w:p>
    <w:p w14:paraId="0F7751D5"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 xml:space="preserve">Ciklosporin, kao i drugi imunosupresivi, povećava rizik od pojave limfoma i drugih maligniteta, posebno maligniteta kože. Povećan rizik je izgleda više povezan sa stepenom i trajanjem imunosupresije nego sa upotrebom specifičnih ljekova. </w:t>
      </w:r>
    </w:p>
    <w:p w14:paraId="6F8B1E49" w14:textId="1F191D9E" w:rsidR="00BB702A" w:rsidRPr="00A14E37" w:rsidRDefault="00BB702A" w:rsidP="006D0274">
      <w:pPr>
        <w:pStyle w:val="Text"/>
        <w:rPr>
          <w:noProof/>
          <w:color w:val="000000"/>
          <w:sz w:val="22"/>
          <w:szCs w:val="22"/>
          <w:lang w:val="sr-Latn-ME"/>
        </w:rPr>
      </w:pPr>
      <w:r w:rsidRPr="00A14E37">
        <w:rPr>
          <w:noProof/>
          <w:color w:val="000000"/>
          <w:sz w:val="22"/>
          <w:szCs w:val="22"/>
          <w:lang w:val="sr-Latn-ME"/>
        </w:rPr>
        <w:t xml:space="preserve">Zato uz oprez treba primjenjivati režim liječenja koji sadrži više imunosupresiva (uključujući ciklosporin) pošto to može dovesti do limfoproliferativnih poremećaja i tumora organa, a neki su imali </w:t>
      </w:r>
      <w:r w:rsidR="00FC3411" w:rsidRPr="00A14E37">
        <w:rPr>
          <w:noProof/>
          <w:color w:val="000000"/>
          <w:sz w:val="22"/>
          <w:szCs w:val="22"/>
          <w:lang w:val="sr-Latn-ME"/>
        </w:rPr>
        <w:t>smrtni</w:t>
      </w:r>
      <w:r w:rsidRPr="00A14E37">
        <w:rPr>
          <w:noProof/>
          <w:color w:val="000000"/>
          <w:sz w:val="22"/>
          <w:szCs w:val="22"/>
          <w:lang w:val="sr-Latn-ME"/>
        </w:rPr>
        <w:t xml:space="preserve"> ishod.</w:t>
      </w:r>
    </w:p>
    <w:p w14:paraId="4715C26B" w14:textId="61521177" w:rsidR="00BB702A" w:rsidRPr="00A14E37" w:rsidRDefault="00BB702A" w:rsidP="000E6E8B">
      <w:pPr>
        <w:pStyle w:val="Text"/>
        <w:rPr>
          <w:i/>
          <w:noProof/>
          <w:sz w:val="22"/>
          <w:szCs w:val="22"/>
          <w:lang w:val="sr-Latn-ME"/>
        </w:rPr>
      </w:pPr>
      <w:r w:rsidRPr="00A14E37">
        <w:rPr>
          <w:noProof/>
          <w:sz w:val="22"/>
          <w:szCs w:val="22"/>
          <w:lang w:val="sr-Latn-ME"/>
        </w:rPr>
        <w:t xml:space="preserve">Zbog potencijalnog rizika od pojave maligniteta kože, pacijente liječene lijekom Sandimmun Neoral, posebno onih na terapiji psorijaze ili atopijskog dermatitisa, treba upozoriti da izbjegavaju </w:t>
      </w:r>
      <w:r w:rsidR="00FC3411" w:rsidRPr="00A14E37">
        <w:rPr>
          <w:noProof/>
          <w:sz w:val="22"/>
          <w:szCs w:val="22"/>
          <w:lang w:val="sr-Latn-ME"/>
        </w:rPr>
        <w:t>neumjereno</w:t>
      </w:r>
      <w:r w:rsidRPr="00A14E37">
        <w:rPr>
          <w:noProof/>
          <w:sz w:val="22"/>
          <w:szCs w:val="22"/>
          <w:lang w:val="sr-Latn-ME"/>
        </w:rPr>
        <w:t xml:space="preserve"> izlaganje suncu bez zaštite i da ne treba da budu istovremeno izloženi UV-B zračenju ili PUVA fotohemoterapiji. </w:t>
      </w:r>
    </w:p>
    <w:p w14:paraId="28D04BEE"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Infekcije</w:t>
      </w:r>
    </w:p>
    <w:p w14:paraId="59FDA0C2"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Kao i drugi imunosupresivi, i ciklosporin razvija predispoziciju pacijenata za dobijanje raznih bakterijskih, gljivičnih, parazitskih i virusnih infekcija, često izazvanih oportunističkim patogenima. Aktivacija latentne poliomavirus infekcije koja može dovesti do poliomavirus vezane nefropatije (PVAN), posebno BK virusne nefropatije (BKVN), ili JC virus vezane progresivne multifokalne leukoencefalopatije (PML) primijećene su kod pacijenata koji su primali ciklosporin. Ova stanja su povezana sa visokim ukupnim opterećenjem imunosupresivima i trebalo bi ih uzeti u obzir u diferencijalnoj dijagnozi kod pacijenata sa imunosupresijom kod kojih se javi pogoršanje renalne funkcije ili neurološki simptomi. Zabilježeni su ozbiljni i/ili fatalni ishodi. Treba primijeniti efikasne preventivne i terapijske mjere, naročito kod pacijenata na dugotrajnoj kombinovanoj terapiji imunosupresivima.</w:t>
      </w:r>
    </w:p>
    <w:p w14:paraId="720D0E43"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Nefrotoksičnost</w:t>
      </w:r>
    </w:p>
    <w:p w14:paraId="79E90DBB" w14:textId="6803D6F8" w:rsidR="00BB702A" w:rsidRPr="00A14E37" w:rsidRDefault="00BB702A" w:rsidP="00B37A2A">
      <w:pPr>
        <w:pStyle w:val="Text"/>
        <w:rPr>
          <w:noProof/>
          <w:color w:val="000000"/>
          <w:sz w:val="22"/>
          <w:szCs w:val="22"/>
          <w:lang w:val="sr-Latn-ME"/>
        </w:rPr>
      </w:pPr>
      <w:r w:rsidRPr="00A14E37">
        <w:rPr>
          <w:noProof/>
          <w:color w:val="000000"/>
          <w:sz w:val="22"/>
          <w:szCs w:val="22"/>
          <w:lang w:val="sr-Latn-ME"/>
        </w:rPr>
        <w:t>Česta i potencijalno ozbiljna komplikacija, povećanje nivoa kreatinina i uree u serumu, može se javiti u prvoj nedjelji terapije lijekom Sandimmun Neoral. Ove funkcionalne promjene su dozno zavisne i reverzibilne</w:t>
      </w:r>
      <w:r w:rsidR="00717FD6" w:rsidRPr="00A14E37">
        <w:rPr>
          <w:noProof/>
          <w:color w:val="000000"/>
          <w:sz w:val="22"/>
          <w:szCs w:val="22"/>
          <w:lang w:val="sr-Latn-ME"/>
        </w:rPr>
        <w:t xml:space="preserve"> na početku</w:t>
      </w:r>
      <w:r w:rsidRPr="00A14E37">
        <w:rPr>
          <w:noProof/>
          <w:color w:val="000000"/>
          <w:sz w:val="22"/>
          <w:szCs w:val="22"/>
          <w:lang w:val="sr-Latn-ME"/>
        </w:rPr>
        <w:t xml:space="preserve"> i obično </w:t>
      </w:r>
      <w:r w:rsidR="00717FD6" w:rsidRPr="00A14E37">
        <w:rPr>
          <w:noProof/>
          <w:color w:val="000000"/>
          <w:sz w:val="22"/>
          <w:szCs w:val="22"/>
          <w:lang w:val="sr-Latn-ME"/>
        </w:rPr>
        <w:t>daju odgovor</w:t>
      </w:r>
      <w:r w:rsidRPr="00A14E37">
        <w:rPr>
          <w:noProof/>
          <w:color w:val="000000"/>
          <w:sz w:val="22"/>
          <w:szCs w:val="22"/>
          <w:lang w:val="sr-Latn-ME"/>
        </w:rPr>
        <w:t xml:space="preserve"> na smanjenje doze. Kod nekih pacijenata se tokom dugotrajnog liječenja mogu javiti strukturalne promjene u bubrezima (npr. intersticijalna fibroza), koja se kod pacijenata sa transplantiranim bubregom mora razlikovati od promjena usl</w:t>
      </w:r>
      <w:r w:rsidR="00061CAB" w:rsidRPr="00A14E37">
        <w:rPr>
          <w:noProof/>
          <w:color w:val="000000"/>
          <w:sz w:val="22"/>
          <w:szCs w:val="22"/>
          <w:lang w:val="sr-Latn-ME"/>
        </w:rPr>
        <w:t>j</w:t>
      </w:r>
      <w:r w:rsidRPr="00A14E37">
        <w:rPr>
          <w:noProof/>
          <w:color w:val="000000"/>
          <w:sz w:val="22"/>
          <w:szCs w:val="22"/>
          <w:lang w:val="sr-Latn-ME"/>
        </w:rPr>
        <w:t xml:space="preserve">ed hroničnog odbacivanja organa. Stoga je potrebno često kontrolisati funkciju bubrega u skladu sa lokalnim smjernicama za određenu indikaciju (vidjeti </w:t>
      </w:r>
      <w:r w:rsidR="00C37D5C" w:rsidRPr="00A14E37">
        <w:rPr>
          <w:noProof/>
          <w:color w:val="000000"/>
          <w:sz w:val="22"/>
          <w:szCs w:val="22"/>
          <w:lang w:val="sr-Latn-ME"/>
        </w:rPr>
        <w:t>d</w:t>
      </w:r>
      <w:r w:rsidR="007D3D7A" w:rsidRPr="00A14E37">
        <w:rPr>
          <w:noProof/>
          <w:color w:val="000000"/>
          <w:sz w:val="22"/>
          <w:szCs w:val="22"/>
          <w:lang w:val="sr-Latn-ME"/>
        </w:rPr>
        <w:t>jel</w:t>
      </w:r>
      <w:r w:rsidR="00C37D5C" w:rsidRPr="00A14E37">
        <w:rPr>
          <w:noProof/>
          <w:color w:val="000000"/>
          <w:sz w:val="22"/>
          <w:szCs w:val="22"/>
          <w:lang w:val="sr-Latn-ME"/>
        </w:rPr>
        <w:t>o</w:t>
      </w:r>
      <w:r w:rsidR="007D3D7A" w:rsidRPr="00A14E37">
        <w:rPr>
          <w:noProof/>
          <w:color w:val="000000"/>
          <w:sz w:val="22"/>
          <w:szCs w:val="22"/>
          <w:lang w:val="sr-Latn-ME"/>
        </w:rPr>
        <w:t>ve</w:t>
      </w:r>
      <w:r w:rsidRPr="00A14E37">
        <w:rPr>
          <w:noProof/>
          <w:color w:val="000000"/>
          <w:sz w:val="22"/>
          <w:szCs w:val="22"/>
          <w:lang w:val="sr-Latn-ME"/>
        </w:rPr>
        <w:t xml:space="preserve"> 4.2 i 4.8).</w:t>
      </w:r>
    </w:p>
    <w:p w14:paraId="7CC0C6A0"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Hepatotoksičnost</w:t>
      </w:r>
    </w:p>
    <w:p w14:paraId="0A90E688" w14:textId="200E8B52" w:rsidR="00BB702A" w:rsidRPr="00A14E37" w:rsidRDefault="003F114E" w:rsidP="00B37A2A">
      <w:pPr>
        <w:pStyle w:val="Text"/>
        <w:rPr>
          <w:noProof/>
          <w:color w:val="000000"/>
          <w:sz w:val="22"/>
          <w:szCs w:val="22"/>
          <w:lang w:val="sr-Latn-ME"/>
        </w:rPr>
      </w:pPr>
      <w:r w:rsidRPr="00A14E37">
        <w:rPr>
          <w:noProof/>
          <w:color w:val="000000"/>
          <w:sz w:val="22"/>
          <w:szCs w:val="22"/>
          <w:lang w:val="sr-Latn-ME"/>
        </w:rPr>
        <w:t xml:space="preserve">Lijek </w:t>
      </w:r>
      <w:r w:rsidR="00BB702A" w:rsidRPr="00A14E37">
        <w:rPr>
          <w:noProof/>
          <w:color w:val="000000"/>
          <w:sz w:val="22"/>
          <w:szCs w:val="22"/>
          <w:lang w:val="sr-Latn-ME"/>
        </w:rPr>
        <w:t xml:space="preserve">Sandimmun Neoral može izazvati i dozno zavisna, reverzibilna povećanja </w:t>
      </w:r>
      <w:r w:rsidR="00E31378" w:rsidRPr="00A14E37">
        <w:rPr>
          <w:noProof/>
          <w:color w:val="000000"/>
          <w:sz w:val="22"/>
          <w:szCs w:val="22"/>
          <w:lang w:val="sr-Latn-ME"/>
        </w:rPr>
        <w:t xml:space="preserve">vrijednosti </w:t>
      </w:r>
      <w:r w:rsidR="00BB702A" w:rsidRPr="00A14E37">
        <w:rPr>
          <w:noProof/>
          <w:color w:val="000000"/>
          <w:sz w:val="22"/>
          <w:szCs w:val="22"/>
          <w:lang w:val="sr-Latn-ME"/>
        </w:rPr>
        <w:t xml:space="preserve">bilirubina u serumu i enzima </w:t>
      </w:r>
      <w:r w:rsidR="00BB702A" w:rsidRPr="00A14E37">
        <w:rPr>
          <w:noProof/>
          <w:sz w:val="22"/>
          <w:szCs w:val="22"/>
          <w:lang w:val="sr-Latn-ME"/>
        </w:rPr>
        <w:t xml:space="preserve">jetre (vidjeti </w:t>
      </w:r>
      <w:r w:rsidR="00C37D5C" w:rsidRPr="00A14E37">
        <w:rPr>
          <w:noProof/>
          <w:sz w:val="22"/>
          <w:szCs w:val="22"/>
          <w:lang w:val="sr-Latn-ME"/>
        </w:rPr>
        <w:t>dio</w:t>
      </w:r>
      <w:r w:rsidR="00BB702A" w:rsidRPr="00A14E37">
        <w:rPr>
          <w:noProof/>
          <w:sz w:val="22"/>
          <w:szCs w:val="22"/>
          <w:lang w:val="sr-Latn-ME"/>
        </w:rPr>
        <w:t xml:space="preserve"> 4.8). Prijavljivani su zahtijevani i spontani postmarketinški izveštaji hepatotoksičnosti i oštećenja jetre uključujući holestazu, ikterus, hepatitis i insuficijenciju jetre kod pacijenata liječenih ciklosporinom. Većina izveštaja je uključivala pacijente sa značajnim ko-morbiditetima, postojećim stanjima i drugim doprinosećim faktorima uključujući komplikacije infekcije i istovremenu primjenu ljekova sa hepatotoksičnim potencijalom. U nekim slučajevima, uglavnom kod osoba sa transplantatima, prijavljivani su </w:t>
      </w:r>
      <w:r w:rsidR="003B4A0E" w:rsidRPr="00A14E37">
        <w:rPr>
          <w:noProof/>
          <w:sz w:val="22"/>
          <w:szCs w:val="22"/>
          <w:lang w:val="sr-Latn-ME"/>
        </w:rPr>
        <w:t>smrtni</w:t>
      </w:r>
      <w:r w:rsidR="00BB702A" w:rsidRPr="00A14E37">
        <w:rPr>
          <w:noProof/>
          <w:sz w:val="22"/>
          <w:szCs w:val="22"/>
          <w:lang w:val="sr-Latn-ME"/>
        </w:rPr>
        <w:t xml:space="preserve"> ishodi (vidjeti </w:t>
      </w:r>
      <w:r w:rsidR="00C37D5C" w:rsidRPr="00A14E37">
        <w:rPr>
          <w:noProof/>
          <w:sz w:val="22"/>
          <w:szCs w:val="22"/>
          <w:lang w:val="sr-Latn-ME"/>
        </w:rPr>
        <w:t>dio</w:t>
      </w:r>
      <w:r w:rsidR="00BB702A" w:rsidRPr="00A14E37">
        <w:rPr>
          <w:noProof/>
          <w:sz w:val="22"/>
          <w:szCs w:val="22"/>
          <w:lang w:val="sr-Latn-ME"/>
        </w:rPr>
        <w:t xml:space="preserve"> 4.8). </w:t>
      </w:r>
      <w:r w:rsidR="00BB702A" w:rsidRPr="00A14E37">
        <w:rPr>
          <w:noProof/>
          <w:color w:val="000000"/>
          <w:sz w:val="22"/>
          <w:szCs w:val="22"/>
          <w:lang w:val="sr-Latn-ME"/>
        </w:rPr>
        <w:t xml:space="preserve">Potrebno je pažljivo pratiti parametre koji određuju funkciju jetre i abnormalne vrijednosti mogu zahtijevati smanjivanje doze (vidjeti </w:t>
      </w:r>
      <w:r w:rsidR="00C37D5C" w:rsidRPr="00A14E37">
        <w:rPr>
          <w:noProof/>
          <w:color w:val="000000"/>
          <w:sz w:val="22"/>
          <w:szCs w:val="22"/>
          <w:lang w:val="sr-Latn-ME"/>
        </w:rPr>
        <w:t>djelove</w:t>
      </w:r>
      <w:r w:rsidR="00BB702A" w:rsidRPr="00A14E37">
        <w:rPr>
          <w:noProof/>
          <w:color w:val="000000"/>
          <w:sz w:val="22"/>
          <w:szCs w:val="22"/>
          <w:lang w:val="sr-Latn-ME"/>
        </w:rPr>
        <w:t xml:space="preserve"> 4.2 i 5.2).</w:t>
      </w:r>
    </w:p>
    <w:p w14:paraId="73E8B35D" w14:textId="77777777" w:rsidR="00BB702A" w:rsidRPr="00A14E37" w:rsidRDefault="00BB702A" w:rsidP="002045DA">
      <w:pPr>
        <w:pStyle w:val="Text"/>
        <w:rPr>
          <w:noProof/>
          <w:sz w:val="22"/>
          <w:szCs w:val="22"/>
          <w:u w:val="single"/>
          <w:lang w:val="sr-Latn-ME"/>
        </w:rPr>
      </w:pPr>
      <w:r w:rsidRPr="00A14E37">
        <w:rPr>
          <w:noProof/>
          <w:sz w:val="22"/>
          <w:szCs w:val="22"/>
          <w:u w:val="single"/>
          <w:lang w:val="sr-Latn-ME"/>
        </w:rPr>
        <w:t>Starija populacija (65 godina i stariji)</w:t>
      </w:r>
    </w:p>
    <w:p w14:paraId="4135ED52" w14:textId="77777777" w:rsidR="00BB702A" w:rsidRPr="00A14E37" w:rsidRDefault="00BB702A" w:rsidP="002045DA">
      <w:pPr>
        <w:pStyle w:val="Text"/>
        <w:rPr>
          <w:sz w:val="22"/>
          <w:szCs w:val="22"/>
          <w:lang w:val="sr-Latn-ME"/>
        </w:rPr>
      </w:pPr>
      <w:r w:rsidRPr="00A14E37">
        <w:rPr>
          <w:noProof/>
          <w:sz w:val="22"/>
          <w:szCs w:val="22"/>
          <w:lang w:val="sr-Latn-ME"/>
        </w:rPr>
        <w:t xml:space="preserve">Kod starijih pacijenata, funkcija bubrega se mora veoma pažljivo pratiti. </w:t>
      </w:r>
    </w:p>
    <w:p w14:paraId="4CDE4A6A" w14:textId="55F2F6BC" w:rsidR="00BB702A" w:rsidRPr="00A14E37" w:rsidRDefault="00BB702A" w:rsidP="002045DA">
      <w:pPr>
        <w:pStyle w:val="Text"/>
        <w:rPr>
          <w:sz w:val="22"/>
          <w:szCs w:val="22"/>
          <w:u w:val="single"/>
          <w:lang w:val="sr-Latn-ME"/>
        </w:rPr>
      </w:pPr>
      <w:r w:rsidRPr="00A14E37">
        <w:rPr>
          <w:noProof/>
          <w:sz w:val="22"/>
          <w:szCs w:val="22"/>
          <w:u w:val="single"/>
          <w:lang w:val="sr-Latn-ME"/>
        </w:rPr>
        <w:t xml:space="preserve">Praćenje nivoa ciklosporina (vidjeti </w:t>
      </w:r>
      <w:r w:rsidR="00C37D5C" w:rsidRPr="00A14E37">
        <w:rPr>
          <w:noProof/>
          <w:sz w:val="22"/>
          <w:szCs w:val="22"/>
          <w:u w:val="single"/>
          <w:lang w:val="sr-Latn-ME"/>
        </w:rPr>
        <w:t>dio</w:t>
      </w:r>
      <w:r w:rsidRPr="00A14E37">
        <w:rPr>
          <w:noProof/>
          <w:sz w:val="22"/>
          <w:szCs w:val="22"/>
          <w:u w:val="single"/>
          <w:lang w:val="sr-Latn-ME"/>
        </w:rPr>
        <w:t xml:space="preserve"> 4.2)</w:t>
      </w:r>
    </w:p>
    <w:p w14:paraId="06D9A65E"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Kada se lijek Sandimmun Neoral koristi kod transplantiranih pacijenata, redovno praćenje nivoa ciklosporina u krvi je važna bezbjednosna mjera. Za praćenje nivoa ciklosporina u punoj krvi najviše se koristi specifično monoklonsko antitijelo (mjerenje izvornog lijeka); može se koristiti i HPLC metoda, koja takođe mjeri izvorni lijek. Ukoliko se koristi plazma ili serum, treba se pridržavati standardnog protokola separacije (vrijeme i temperatura). Za početno praćenje pacijenata sa transplantiranom jetrom može se koristiti ili specifično monoklonsko antitijelo ili paralelno mjerenje ili treba izvršiti paralelna mjerenja korišćenjem specifičnog monoklonskog antitijela i nespecifičnog monoklonskog antitijela kako bi se obezbijedila doza koja pruža adekvatnu imunosupresiju.</w:t>
      </w:r>
    </w:p>
    <w:p w14:paraId="596ED80D" w14:textId="625EE1DD" w:rsidR="00BB702A" w:rsidRPr="00A14E37" w:rsidRDefault="00BB702A" w:rsidP="002045DA">
      <w:pPr>
        <w:jc w:val="both"/>
        <w:rPr>
          <w:noProof/>
          <w:color w:val="000000"/>
          <w:sz w:val="22"/>
          <w:szCs w:val="22"/>
          <w:lang w:val="sr-Latn-ME"/>
        </w:rPr>
      </w:pPr>
      <w:r w:rsidRPr="00A14E37">
        <w:rPr>
          <w:noProof/>
          <w:color w:val="000000"/>
          <w:sz w:val="22"/>
          <w:szCs w:val="22"/>
          <w:lang w:val="sr-Latn-ME"/>
        </w:rPr>
        <w:lastRenderedPageBreak/>
        <w:t xml:space="preserve">Povremeno praćenje nivoa ciklosporina u krvi se preporučuje kod ne-transplantacioih pacijenata, npr. kada se lijek Sandimmun Neoral </w:t>
      </w:r>
      <w:r w:rsidR="007E5821" w:rsidRPr="00A14E37">
        <w:rPr>
          <w:noProof/>
          <w:color w:val="000000"/>
          <w:sz w:val="22"/>
          <w:szCs w:val="22"/>
          <w:lang w:val="sr-Latn-ME"/>
        </w:rPr>
        <w:t xml:space="preserve">istovremeno </w:t>
      </w:r>
      <w:r w:rsidRPr="00A14E37">
        <w:rPr>
          <w:noProof/>
          <w:color w:val="000000"/>
          <w:sz w:val="22"/>
          <w:szCs w:val="22"/>
          <w:lang w:val="sr-Latn-ME"/>
        </w:rPr>
        <w:t>koristi sa supstancama koje mogu uticati na farmakokinetiku ciklosporina ili u slučaju neodgovarujućeg kliničkog odgovora (npr. odsustvo efikasnosti ili povećana nepodnošljivost na lijek kao što je bubrežna disfunkcija).</w:t>
      </w:r>
    </w:p>
    <w:p w14:paraId="0C63610A"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Mora se imati na umu da je koncentracija ciklosporina u krvi, plazmi ili serumu samo jedan od mnogih faktora koji utiču na klinički status pacijenta. Rezultati zato treba da posluže samo kao smjernice za određivanje doze u vezi sa drugim kliničkim i laboratorijskim parametrima.</w:t>
      </w:r>
    </w:p>
    <w:p w14:paraId="5B8E68D7" w14:textId="77777777" w:rsidR="00BB702A" w:rsidRPr="00A14E37" w:rsidRDefault="00BB702A" w:rsidP="00B37A2A">
      <w:pPr>
        <w:pStyle w:val="Text"/>
        <w:rPr>
          <w:noProof/>
          <w:color w:val="000000"/>
          <w:sz w:val="22"/>
          <w:szCs w:val="22"/>
          <w:u w:val="single"/>
          <w:lang w:val="sr-Latn-ME"/>
        </w:rPr>
      </w:pPr>
      <w:r w:rsidRPr="00A14E37">
        <w:rPr>
          <w:noProof/>
          <w:color w:val="000000"/>
          <w:sz w:val="22"/>
          <w:szCs w:val="22"/>
          <w:u w:val="single"/>
          <w:lang w:val="sr-Latn-ME"/>
        </w:rPr>
        <w:t>Hipertenzija</w:t>
      </w:r>
    </w:p>
    <w:p w14:paraId="0158E064" w14:textId="7812C3CB"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Tokom terapije lijekom Sandimmun Neoral potrebno je redovno praćenje krvnog pritiska. Ukoliko se javi hipertenzija, treba uvesti odgovarajuću antihipertenzivnu terapiju. Prednost treba dati antihipertenzivnim ljekovima koji ne utiču na farmakokinetiku ciklosporina, npr. isradipin (vidjeti </w:t>
      </w:r>
      <w:r w:rsidR="00C37D5C" w:rsidRPr="00A14E37">
        <w:rPr>
          <w:noProof/>
          <w:color w:val="000000"/>
          <w:sz w:val="22"/>
          <w:szCs w:val="22"/>
          <w:lang w:val="sr-Latn-ME"/>
        </w:rPr>
        <w:t>dio</w:t>
      </w:r>
      <w:r w:rsidRPr="00A14E37">
        <w:rPr>
          <w:noProof/>
          <w:color w:val="000000"/>
          <w:sz w:val="22"/>
          <w:szCs w:val="22"/>
          <w:lang w:val="sr-Latn-ME"/>
        </w:rPr>
        <w:t xml:space="preserve"> 4.5).</w:t>
      </w:r>
    </w:p>
    <w:p w14:paraId="49A51F77"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 xml:space="preserve">Povećanje nivoa lipida u krvi </w:t>
      </w:r>
    </w:p>
    <w:p w14:paraId="5EB4E87A" w14:textId="1555161F"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Pošto je prijavljeno da </w:t>
      </w:r>
      <w:r w:rsidR="003F114E" w:rsidRPr="00A14E37">
        <w:rPr>
          <w:noProof/>
          <w:color w:val="000000"/>
          <w:sz w:val="22"/>
          <w:szCs w:val="22"/>
          <w:lang w:val="sr-Latn-ME"/>
        </w:rPr>
        <w:t xml:space="preserve">lijek </w:t>
      </w:r>
      <w:r w:rsidRPr="00A14E37">
        <w:rPr>
          <w:noProof/>
          <w:color w:val="000000"/>
          <w:sz w:val="22"/>
          <w:szCs w:val="22"/>
          <w:lang w:val="sr-Latn-ME"/>
        </w:rPr>
        <w:t xml:space="preserve">Sandimmun </w:t>
      </w:r>
      <w:r w:rsidR="003F114E" w:rsidRPr="00A14E37">
        <w:rPr>
          <w:noProof/>
          <w:color w:val="000000"/>
          <w:sz w:val="22"/>
          <w:szCs w:val="22"/>
          <w:lang w:val="sr-Latn-ME"/>
        </w:rPr>
        <w:t xml:space="preserve">Neoral </w:t>
      </w:r>
      <w:r w:rsidRPr="00A14E37">
        <w:rPr>
          <w:noProof/>
          <w:color w:val="000000"/>
          <w:sz w:val="22"/>
          <w:szCs w:val="22"/>
          <w:lang w:val="sr-Latn-ME"/>
        </w:rPr>
        <w:t xml:space="preserve">u rijetkim slučajevima izaziva neznatno reverzibilno povećanje nivoa lipida u krvi, preporučuje se da se prije terapije i nakon prvog mjeseca terapije izvrši test lipida. U slučaju da se otkrije povećan nivo lipida, treba razmotriti </w:t>
      </w:r>
      <w:r w:rsidR="00AE4668" w:rsidRPr="00A14E37">
        <w:rPr>
          <w:noProof/>
          <w:color w:val="000000"/>
          <w:sz w:val="22"/>
          <w:szCs w:val="22"/>
          <w:lang w:val="sr-Latn-ME"/>
        </w:rPr>
        <w:t>smanjenje unosa</w:t>
      </w:r>
      <w:r w:rsidRPr="00A14E37">
        <w:rPr>
          <w:noProof/>
          <w:color w:val="000000"/>
          <w:sz w:val="22"/>
          <w:szCs w:val="22"/>
          <w:lang w:val="sr-Latn-ME"/>
        </w:rPr>
        <w:t xml:space="preserve"> masnoća hranom i, ukoliko je moguće, </w:t>
      </w:r>
      <w:r w:rsidR="00AE4668" w:rsidRPr="00A14E37">
        <w:rPr>
          <w:noProof/>
          <w:color w:val="000000"/>
          <w:sz w:val="22"/>
          <w:szCs w:val="22"/>
          <w:lang w:val="sr-Latn-ME"/>
        </w:rPr>
        <w:t xml:space="preserve">odgovarajuće </w:t>
      </w:r>
      <w:r w:rsidRPr="00A14E37">
        <w:rPr>
          <w:noProof/>
          <w:color w:val="000000"/>
          <w:sz w:val="22"/>
          <w:szCs w:val="22"/>
          <w:lang w:val="sr-Latn-ME"/>
        </w:rPr>
        <w:t xml:space="preserve">smanjivanje doze. </w:t>
      </w:r>
    </w:p>
    <w:p w14:paraId="5D478A3A" w14:textId="64E195B5" w:rsidR="00BB702A" w:rsidRPr="00A14E37" w:rsidRDefault="00BB702A" w:rsidP="002045DA">
      <w:pPr>
        <w:pStyle w:val="Text"/>
        <w:rPr>
          <w:noProof/>
          <w:snapToGrid w:val="0"/>
          <w:color w:val="000000"/>
          <w:sz w:val="22"/>
          <w:szCs w:val="22"/>
          <w:u w:val="single"/>
          <w:lang w:val="sr-Latn-ME"/>
        </w:rPr>
      </w:pPr>
      <w:r w:rsidRPr="00A14E37">
        <w:rPr>
          <w:noProof/>
          <w:snapToGrid w:val="0"/>
          <w:color w:val="000000"/>
          <w:sz w:val="22"/>
          <w:szCs w:val="22"/>
          <w:u w:val="single"/>
          <w:lang w:val="sr-Latn-ME"/>
        </w:rPr>
        <w:t>Hiperkalemija</w:t>
      </w:r>
    </w:p>
    <w:p w14:paraId="1C8EC138" w14:textId="66CD9953" w:rsidR="00BB702A" w:rsidRPr="00A14E37" w:rsidRDefault="00BB702A" w:rsidP="00B37A2A">
      <w:pPr>
        <w:pStyle w:val="Text"/>
        <w:rPr>
          <w:noProof/>
          <w:snapToGrid w:val="0"/>
          <w:color w:val="000000"/>
          <w:sz w:val="22"/>
          <w:szCs w:val="22"/>
          <w:lang w:val="sr-Latn-ME"/>
        </w:rPr>
      </w:pPr>
      <w:r w:rsidRPr="00A14E37">
        <w:rPr>
          <w:noProof/>
          <w:snapToGrid w:val="0"/>
          <w:color w:val="000000"/>
          <w:sz w:val="22"/>
          <w:szCs w:val="22"/>
          <w:lang w:val="sr-Latn-ME"/>
        </w:rPr>
        <w:t>Ciklosporin povećava rizik od hiperkalemije, naročito kod pacijenata sa disfunkcijom bubrega. Oprez je neophodan i kad se ciklosporin daje zajedno sa ljekovima koji štede kalijum (npr. diuretici koji štede kalijum, inhibitori enzima koji konvertuju angiotenzin</w:t>
      </w:r>
      <w:r w:rsidR="007D7C5E" w:rsidRPr="00A14E37">
        <w:rPr>
          <w:noProof/>
          <w:snapToGrid w:val="0"/>
          <w:color w:val="000000"/>
          <w:sz w:val="22"/>
          <w:szCs w:val="22"/>
          <w:lang w:val="sr-Latn-ME"/>
        </w:rPr>
        <w:t xml:space="preserve"> (ACE inhibitori)</w:t>
      </w:r>
      <w:r w:rsidRPr="00A14E37">
        <w:rPr>
          <w:noProof/>
          <w:snapToGrid w:val="0"/>
          <w:color w:val="000000"/>
          <w:sz w:val="22"/>
          <w:szCs w:val="22"/>
          <w:lang w:val="sr-Latn-ME"/>
        </w:rPr>
        <w:t>, antagonisti receptora angiotenzina II) i</w:t>
      </w:r>
      <w:r w:rsidR="003D3683" w:rsidRPr="00A14E37">
        <w:rPr>
          <w:noProof/>
          <w:snapToGrid w:val="0"/>
          <w:color w:val="000000"/>
          <w:sz w:val="22"/>
          <w:szCs w:val="22"/>
          <w:lang w:val="sr-Latn-ME"/>
        </w:rPr>
        <w:t>li</w:t>
      </w:r>
      <w:r w:rsidRPr="00A14E37">
        <w:rPr>
          <w:noProof/>
          <w:snapToGrid w:val="0"/>
          <w:color w:val="000000"/>
          <w:sz w:val="22"/>
          <w:szCs w:val="22"/>
          <w:lang w:val="sr-Latn-ME"/>
        </w:rPr>
        <w:t xml:space="preserve"> ljekovima koji sadrže kalijum, kao i kod pacijenata na ishrani bogatoj kalijumom. U ovim situacijama se savjetuje kontrola nivoa kalijuma.</w:t>
      </w:r>
    </w:p>
    <w:p w14:paraId="2B973545" w14:textId="41671993"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Hipomagnezemija</w:t>
      </w:r>
    </w:p>
    <w:p w14:paraId="62E36D2F" w14:textId="3DDF8CF0" w:rsidR="00BB702A" w:rsidRPr="00A14E37" w:rsidRDefault="00BB702A" w:rsidP="00B37A2A">
      <w:pPr>
        <w:pStyle w:val="Text"/>
        <w:rPr>
          <w:noProof/>
          <w:color w:val="000000"/>
          <w:spacing w:val="-3"/>
          <w:sz w:val="22"/>
          <w:szCs w:val="22"/>
          <w:lang w:val="sr-Latn-ME"/>
        </w:rPr>
      </w:pPr>
      <w:r w:rsidRPr="00A14E37">
        <w:rPr>
          <w:noProof/>
          <w:color w:val="000000"/>
          <w:sz w:val="22"/>
          <w:szCs w:val="22"/>
          <w:lang w:val="sr-Latn-ME"/>
        </w:rPr>
        <w:t>Ciklosporin povećava klirens magnezijuma. To može dovesti do simptomatske hipomagnezemije, naročito u peritransplantacionom periodu. Stoga se u peritransplantacionom periodu preporučuje kontrola nivoa magnezijuma u serumu, naročito u prisustvu neuroloških simptoma/znakova. Ukoliko se smatra neophodnim, treba dati suplement magnezijuma.</w:t>
      </w:r>
    </w:p>
    <w:p w14:paraId="49E08B1A" w14:textId="77777777" w:rsidR="00BB702A" w:rsidRPr="00A14E37" w:rsidRDefault="00BB702A" w:rsidP="00B37A2A">
      <w:pPr>
        <w:pStyle w:val="Text"/>
        <w:rPr>
          <w:noProof/>
          <w:color w:val="000000"/>
          <w:sz w:val="22"/>
          <w:szCs w:val="22"/>
          <w:u w:val="single"/>
          <w:lang w:val="sr-Latn-ME"/>
        </w:rPr>
      </w:pPr>
      <w:r w:rsidRPr="00A14E37">
        <w:rPr>
          <w:noProof/>
          <w:color w:val="000000"/>
          <w:sz w:val="22"/>
          <w:szCs w:val="22"/>
          <w:u w:val="single"/>
          <w:lang w:val="sr-Latn-ME"/>
        </w:rPr>
        <w:t>Hiperurikemija</w:t>
      </w:r>
    </w:p>
    <w:p w14:paraId="464534EB"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Oprez je potreban u liječenju pacijenata sa hiperurikemijom.</w:t>
      </w:r>
    </w:p>
    <w:p w14:paraId="680BF85B" w14:textId="77777777" w:rsidR="00BB702A" w:rsidRPr="00A14E37" w:rsidRDefault="00BB702A" w:rsidP="000E6E8B">
      <w:pPr>
        <w:pStyle w:val="Text"/>
        <w:rPr>
          <w:noProof/>
          <w:color w:val="000000"/>
          <w:sz w:val="22"/>
          <w:szCs w:val="22"/>
          <w:u w:val="single"/>
          <w:lang w:val="sr-Latn-ME"/>
        </w:rPr>
      </w:pPr>
      <w:r w:rsidRPr="00A14E37">
        <w:rPr>
          <w:noProof/>
          <w:color w:val="000000"/>
          <w:sz w:val="22"/>
          <w:szCs w:val="22"/>
          <w:u w:val="single"/>
          <w:lang w:val="sr-Latn-ME"/>
        </w:rPr>
        <w:t xml:space="preserve">Žive-oslabljene vakcine </w:t>
      </w:r>
    </w:p>
    <w:p w14:paraId="2E43A4DC" w14:textId="09127B76"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Vakcinacija može biti manje efikasna tokom liječenja ciklosporinom. Treba izbjegavati žive-oslabljene vakcine (vidjeti </w:t>
      </w:r>
      <w:r w:rsidR="00C37D5C" w:rsidRPr="00A14E37">
        <w:rPr>
          <w:noProof/>
          <w:color w:val="000000"/>
          <w:sz w:val="22"/>
          <w:szCs w:val="22"/>
          <w:lang w:val="sr-Latn-ME"/>
        </w:rPr>
        <w:t>dio</w:t>
      </w:r>
      <w:r w:rsidRPr="00A14E37">
        <w:rPr>
          <w:noProof/>
          <w:color w:val="000000"/>
          <w:sz w:val="22"/>
          <w:szCs w:val="22"/>
          <w:lang w:val="sr-Latn-ME"/>
        </w:rPr>
        <w:t xml:space="preserve"> 4.5).</w:t>
      </w:r>
    </w:p>
    <w:p w14:paraId="741851AD"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Interakcije</w:t>
      </w:r>
    </w:p>
    <w:p w14:paraId="64025E2B" w14:textId="7E53DA0D"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Treba biti oprezan kod </w:t>
      </w:r>
      <w:r w:rsidR="00912E7F" w:rsidRPr="00A14E37">
        <w:rPr>
          <w:noProof/>
          <w:color w:val="000000"/>
          <w:sz w:val="22"/>
          <w:szCs w:val="22"/>
          <w:lang w:val="sr-Latn-ME"/>
        </w:rPr>
        <w:t>istovremene primjene</w:t>
      </w:r>
      <w:r w:rsidRPr="00A14E37">
        <w:rPr>
          <w:noProof/>
          <w:color w:val="000000"/>
          <w:sz w:val="22"/>
          <w:szCs w:val="22"/>
          <w:lang w:val="sr-Latn-ME"/>
        </w:rPr>
        <w:t xml:space="preserve"> ciklosporina sa ljekovima koji značajno povećavaju ili smanjuju koncentraciju ciklosporina u plazmi, preko inhibicije ili indukcije CYP3A4 i/ili P-</w:t>
      </w:r>
      <w:r w:rsidR="0042261E" w:rsidRPr="00A14E37">
        <w:rPr>
          <w:noProof/>
          <w:color w:val="000000"/>
          <w:sz w:val="22"/>
          <w:szCs w:val="22"/>
          <w:lang w:val="sr-Latn-ME"/>
        </w:rPr>
        <w:t>gp</w:t>
      </w:r>
      <w:r w:rsidRPr="00A14E37">
        <w:rPr>
          <w:noProof/>
          <w:color w:val="000000"/>
          <w:sz w:val="22"/>
          <w:szCs w:val="22"/>
          <w:lang w:val="sr-Latn-ME"/>
        </w:rPr>
        <w:t xml:space="preserve"> (vidjeti </w:t>
      </w:r>
      <w:r w:rsidR="00C37D5C" w:rsidRPr="00A14E37">
        <w:rPr>
          <w:noProof/>
          <w:color w:val="000000"/>
          <w:sz w:val="22"/>
          <w:szCs w:val="22"/>
          <w:lang w:val="sr-Latn-ME"/>
        </w:rPr>
        <w:t>dio</w:t>
      </w:r>
      <w:r w:rsidRPr="00A14E37">
        <w:rPr>
          <w:noProof/>
          <w:color w:val="000000"/>
          <w:sz w:val="22"/>
          <w:szCs w:val="22"/>
          <w:lang w:val="sr-Latn-ME"/>
        </w:rPr>
        <w:t xml:space="preserve"> 4.5).</w:t>
      </w:r>
      <w:r w:rsidR="00267F78" w:rsidRPr="00A14E37">
        <w:rPr>
          <w:noProof/>
          <w:color w:val="000000"/>
          <w:sz w:val="22"/>
          <w:szCs w:val="22"/>
          <w:lang w:val="sr-Latn-ME"/>
        </w:rPr>
        <w:t xml:space="preserve"> </w:t>
      </w:r>
    </w:p>
    <w:p w14:paraId="49E38F6E" w14:textId="50AA27E8" w:rsidR="00BB702A" w:rsidRPr="00A14E37" w:rsidRDefault="00BB702A" w:rsidP="00B37A2A">
      <w:pPr>
        <w:pStyle w:val="Text"/>
        <w:rPr>
          <w:noProof/>
          <w:color w:val="000000"/>
          <w:sz w:val="22"/>
          <w:szCs w:val="22"/>
          <w:lang w:val="sr-Latn-ME"/>
        </w:rPr>
      </w:pPr>
      <w:r w:rsidRPr="00A14E37">
        <w:rPr>
          <w:rStyle w:val="hps"/>
          <w:color w:val="222222"/>
          <w:sz w:val="22"/>
          <w:szCs w:val="22"/>
          <w:lang w:val="sr-Latn-ME"/>
        </w:rPr>
        <w:t>Potrebno je pratiti bubrežnu toksičnost kada se ciklosporin počne koristi</w:t>
      </w:r>
      <w:r w:rsidR="005141B9" w:rsidRPr="00A14E37">
        <w:rPr>
          <w:rStyle w:val="hps"/>
          <w:color w:val="222222"/>
          <w:sz w:val="22"/>
          <w:szCs w:val="22"/>
          <w:lang w:val="sr-Latn-ME"/>
        </w:rPr>
        <w:t>ti</w:t>
      </w:r>
      <w:r w:rsidRPr="00A14E37">
        <w:rPr>
          <w:rStyle w:val="hps"/>
          <w:color w:val="222222"/>
          <w:sz w:val="22"/>
          <w:szCs w:val="22"/>
          <w:lang w:val="sr-Latn-ME"/>
        </w:rPr>
        <w:t xml:space="preserve"> zajedno sa aktivnim supstancama koje povećavaju nivo ciklosporina ili sa supstancama koje ispoljavaju nefrotoksičnu sinergiju (vidjeti </w:t>
      </w:r>
      <w:r w:rsidR="00C37D5C" w:rsidRPr="00A14E37">
        <w:rPr>
          <w:rStyle w:val="hps"/>
          <w:color w:val="222222"/>
          <w:sz w:val="22"/>
          <w:szCs w:val="22"/>
          <w:lang w:val="sr-Latn-ME"/>
        </w:rPr>
        <w:t>dio</w:t>
      </w:r>
      <w:r w:rsidRPr="00A14E37">
        <w:rPr>
          <w:rStyle w:val="hps"/>
          <w:color w:val="222222"/>
          <w:sz w:val="22"/>
          <w:szCs w:val="22"/>
          <w:lang w:val="sr-Latn-ME"/>
        </w:rPr>
        <w:t xml:space="preserve"> 4.5).</w:t>
      </w:r>
      <w:r w:rsidRPr="00A14E37">
        <w:rPr>
          <w:noProof/>
          <w:color w:val="000000"/>
          <w:sz w:val="22"/>
          <w:szCs w:val="22"/>
          <w:lang w:val="sr-Latn-ME"/>
        </w:rPr>
        <w:t xml:space="preserve"> </w:t>
      </w:r>
      <w:r w:rsidR="005141B9" w:rsidRPr="00A14E37">
        <w:rPr>
          <w:noProof/>
          <w:color w:val="000000"/>
          <w:sz w:val="22"/>
          <w:szCs w:val="22"/>
          <w:lang w:val="sr-Latn-ME"/>
        </w:rPr>
        <w:t>Kliničko stanje pacijenta treba pažljivo pratiti. Može biti potrebno praćenje koncentracije ciklosporina u krvi, kao i prilagođavanje doze ciklosporina.</w:t>
      </w:r>
    </w:p>
    <w:p w14:paraId="3A0259CF" w14:textId="7203D31C" w:rsidR="00BB702A" w:rsidRPr="00A14E37" w:rsidRDefault="00BB702A" w:rsidP="006D0274">
      <w:pPr>
        <w:pStyle w:val="Text"/>
        <w:rPr>
          <w:noProof/>
          <w:color w:val="000000"/>
          <w:sz w:val="22"/>
          <w:szCs w:val="22"/>
          <w:lang w:val="sr-Latn-ME"/>
        </w:rPr>
      </w:pPr>
      <w:r w:rsidRPr="00A14E37">
        <w:rPr>
          <w:noProof/>
          <w:color w:val="000000"/>
          <w:sz w:val="22"/>
          <w:szCs w:val="22"/>
          <w:lang w:val="sr-Latn-ME"/>
        </w:rPr>
        <w:t xml:space="preserve">Treba izbjegavati istovremenu primjenu ciklosporina i takrolimusa (vidjeti </w:t>
      </w:r>
      <w:r w:rsidR="00C37D5C" w:rsidRPr="00A14E37">
        <w:rPr>
          <w:noProof/>
          <w:color w:val="000000"/>
          <w:sz w:val="22"/>
          <w:szCs w:val="22"/>
          <w:lang w:val="sr-Latn-ME"/>
        </w:rPr>
        <w:t>dio</w:t>
      </w:r>
      <w:r w:rsidRPr="00A14E37">
        <w:rPr>
          <w:noProof/>
          <w:color w:val="000000"/>
          <w:sz w:val="22"/>
          <w:szCs w:val="22"/>
          <w:lang w:val="sr-Latn-ME"/>
        </w:rPr>
        <w:t xml:space="preserve"> 4.5).</w:t>
      </w:r>
    </w:p>
    <w:p w14:paraId="073C34CB" w14:textId="409F9FDE" w:rsidR="00BB702A" w:rsidRPr="00A14E37" w:rsidRDefault="00BB702A" w:rsidP="000E6E8B">
      <w:pPr>
        <w:pStyle w:val="Text"/>
        <w:rPr>
          <w:noProof/>
          <w:sz w:val="22"/>
          <w:szCs w:val="22"/>
          <w:lang w:val="sr-Latn-ME"/>
        </w:rPr>
      </w:pPr>
      <w:r w:rsidRPr="00A14E37">
        <w:rPr>
          <w:noProof/>
          <w:color w:val="000000"/>
          <w:sz w:val="22"/>
          <w:szCs w:val="22"/>
          <w:lang w:val="sr-Latn-ME"/>
        </w:rPr>
        <w:t>Ciklosporin je inhibitor CYP3A4, efluksnog prenosioca P-</w:t>
      </w:r>
      <w:r w:rsidR="0042261E" w:rsidRPr="00A14E37">
        <w:rPr>
          <w:noProof/>
          <w:color w:val="000000"/>
          <w:sz w:val="22"/>
          <w:szCs w:val="22"/>
          <w:lang w:val="sr-Latn-ME"/>
        </w:rPr>
        <w:t>gp</w:t>
      </w:r>
      <w:r w:rsidRPr="00A14E37">
        <w:rPr>
          <w:noProof/>
          <w:color w:val="000000"/>
          <w:sz w:val="22"/>
          <w:szCs w:val="22"/>
          <w:lang w:val="sr-Latn-ME"/>
        </w:rPr>
        <w:t xml:space="preserve"> za više ljekova i proteinskih prenosioca organskih anjona (OATP) i može povećati koncentracije u plazmi drugih ljekova koji su supstrati ovih enzima i/ili prenosioca. Treba biti oprezan prilikom istovremene primjene ciklosporina sa takvim ljekovima ili je treba izbjegavati (vidjeti </w:t>
      </w:r>
      <w:r w:rsidR="00C37D5C" w:rsidRPr="00A14E37">
        <w:rPr>
          <w:noProof/>
          <w:color w:val="000000"/>
          <w:sz w:val="22"/>
          <w:szCs w:val="22"/>
          <w:lang w:val="sr-Latn-ME"/>
        </w:rPr>
        <w:t>dio</w:t>
      </w:r>
      <w:r w:rsidRPr="00A14E37">
        <w:rPr>
          <w:noProof/>
          <w:color w:val="000000"/>
          <w:sz w:val="22"/>
          <w:szCs w:val="22"/>
          <w:lang w:val="sr-Latn-ME"/>
        </w:rPr>
        <w:t xml:space="preserve"> 4.5). </w:t>
      </w:r>
      <w:r w:rsidRPr="00A14E37">
        <w:rPr>
          <w:noProof/>
          <w:sz w:val="22"/>
          <w:szCs w:val="22"/>
          <w:lang w:val="sr-Latn-ME"/>
        </w:rPr>
        <w:t xml:space="preserve">Ciklosporin povećava izloženost inhibitorima HMG CoA reduktaze (statini). Kada se primjenjuju zajedno sa ciklosporinom, treba smanjiti doze statina a istovremenu primjenu određenih statina treba izbjegavati u skladu sa savjetima iz uputstva za lijek. </w:t>
      </w:r>
      <w:r w:rsidRPr="00A14E37">
        <w:rPr>
          <w:noProof/>
          <w:sz w:val="22"/>
          <w:szCs w:val="22"/>
          <w:lang w:val="sr-Latn-ME"/>
        </w:rPr>
        <w:lastRenderedPageBreak/>
        <w:t xml:space="preserve">Liječenje statinima treba privremeno prekinuti ili obustaviti kod pacijenata sa znacima i simptomima miopatije ili onih sa faktorima rizika za teško oštećenje bubrega, uključujući i insuficijenciju bubrega, kao posljedica rabdomiolize (vidjeti </w:t>
      </w:r>
      <w:r w:rsidR="00C37D5C" w:rsidRPr="00A14E37">
        <w:rPr>
          <w:noProof/>
          <w:sz w:val="22"/>
          <w:szCs w:val="22"/>
          <w:lang w:val="sr-Latn-ME"/>
        </w:rPr>
        <w:t>dio</w:t>
      </w:r>
      <w:r w:rsidRPr="00A14E37">
        <w:rPr>
          <w:noProof/>
          <w:sz w:val="22"/>
          <w:szCs w:val="22"/>
          <w:lang w:val="sr-Latn-ME"/>
        </w:rPr>
        <w:t xml:space="preserve"> 4.5). </w:t>
      </w:r>
    </w:p>
    <w:p w14:paraId="2BC1F403" w14:textId="77777777" w:rsidR="00BB702A" w:rsidRPr="00A14E37" w:rsidRDefault="00BB702A" w:rsidP="000E6E8B">
      <w:pPr>
        <w:pStyle w:val="Text"/>
        <w:rPr>
          <w:noProof/>
          <w:sz w:val="22"/>
          <w:szCs w:val="22"/>
          <w:lang w:val="sr-Latn-ME"/>
        </w:rPr>
      </w:pPr>
      <w:r w:rsidRPr="00A14E37">
        <w:rPr>
          <w:noProof/>
          <w:sz w:val="22"/>
          <w:szCs w:val="22"/>
          <w:lang w:val="sr-Latn-ME"/>
        </w:rPr>
        <w:t xml:space="preserve">Nakon istovremene primjene ciklosporina i </w:t>
      </w:r>
      <w:r w:rsidRPr="00A14E37">
        <w:rPr>
          <w:i/>
          <w:noProof/>
          <w:sz w:val="22"/>
          <w:szCs w:val="22"/>
          <w:lang w:val="sr-Latn-ME"/>
        </w:rPr>
        <w:t>lerkanidipina</w:t>
      </w:r>
      <w:r w:rsidRPr="00A14E37">
        <w:rPr>
          <w:noProof/>
          <w:sz w:val="22"/>
          <w:szCs w:val="22"/>
          <w:lang w:val="sr-Latn-ME"/>
        </w:rPr>
        <w:t>, PIK lerkanidipina je povećan tri puta i PIK ciklosporina je povećan za 21%. Stoga istovremeno kombinovanje ciklosporina i lerkanidipina treba izbjegavati. Primjena ciklosporina 3 sata nakon primjene lerkanidipina ne dovodi do promjene PIK lerkanidipina, ali PIK ciklosporina se povećava za 27%. Stoga ovu kombinaciju treba primjenjivati sa oprezom i sa intervalom od najmanje 3 sata.</w:t>
      </w:r>
    </w:p>
    <w:p w14:paraId="1AFDCD28" w14:textId="77777777" w:rsidR="00BB702A" w:rsidRPr="00A14E37" w:rsidRDefault="00BB702A">
      <w:pPr>
        <w:pStyle w:val="Heading3"/>
        <w:jc w:val="both"/>
        <w:rPr>
          <w:rFonts w:ascii="Times New Roman" w:hAnsi="Times New Roman" w:cs="Times New Roman"/>
          <w:noProof/>
          <w:color w:val="FF0000"/>
          <w:sz w:val="22"/>
          <w:szCs w:val="22"/>
          <w:lang w:val="sr-Latn-ME"/>
        </w:rPr>
      </w:pPr>
    </w:p>
    <w:p w14:paraId="15B430A2" w14:textId="77777777" w:rsidR="00BB702A" w:rsidRPr="00A14E37" w:rsidRDefault="00BB702A">
      <w:pPr>
        <w:pStyle w:val="Heading3"/>
        <w:jc w:val="both"/>
        <w:rPr>
          <w:rFonts w:ascii="Times New Roman" w:hAnsi="Times New Roman" w:cs="Times New Roman"/>
          <w:noProof/>
          <w:color w:val="000000"/>
          <w:sz w:val="22"/>
          <w:szCs w:val="22"/>
          <w:u w:val="single"/>
          <w:lang w:val="sr-Latn-ME"/>
        </w:rPr>
      </w:pPr>
      <w:r w:rsidRPr="00A14E37">
        <w:rPr>
          <w:rFonts w:ascii="Times New Roman" w:hAnsi="Times New Roman" w:cs="Times New Roman"/>
          <w:noProof/>
          <w:color w:val="000000"/>
          <w:sz w:val="22"/>
          <w:szCs w:val="22"/>
          <w:u w:val="single"/>
          <w:lang w:val="sr-Latn-ME"/>
        </w:rPr>
        <w:t xml:space="preserve">Dodatne mjere opreza kod ne-transplantacionih indikacija </w:t>
      </w:r>
    </w:p>
    <w:p w14:paraId="3CBA6AB4" w14:textId="76643405"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Ciklosporin ne treba da uzimaju pacijenti sa poremećenom funkcijom bubrega (osim pacijenata sa nefrotskim sindromom sa </w:t>
      </w:r>
      <w:r w:rsidR="00A642B6" w:rsidRPr="00A14E37">
        <w:rPr>
          <w:noProof/>
          <w:color w:val="000000"/>
          <w:sz w:val="22"/>
          <w:szCs w:val="22"/>
          <w:lang w:val="sr-Latn-ME"/>
        </w:rPr>
        <w:t>prihvatljivim</w:t>
      </w:r>
      <w:r w:rsidRPr="00A14E37">
        <w:rPr>
          <w:noProof/>
          <w:color w:val="000000"/>
          <w:sz w:val="22"/>
          <w:szCs w:val="22"/>
          <w:lang w:val="sr-Latn-ME"/>
        </w:rPr>
        <w:t xml:space="preserve"> stepenom oštećenja </w:t>
      </w:r>
      <w:r w:rsidR="00DC29B0" w:rsidRPr="00A14E37">
        <w:rPr>
          <w:noProof/>
          <w:color w:val="000000"/>
          <w:sz w:val="22"/>
          <w:szCs w:val="22"/>
          <w:lang w:val="sr-Latn-ME"/>
        </w:rPr>
        <w:t xml:space="preserve">funkcije </w:t>
      </w:r>
      <w:r w:rsidRPr="00A14E37">
        <w:rPr>
          <w:noProof/>
          <w:color w:val="000000"/>
          <w:sz w:val="22"/>
          <w:szCs w:val="22"/>
          <w:lang w:val="sr-Latn-ME"/>
        </w:rPr>
        <w:t xml:space="preserve">bubrega), nekontrolisanom hipertenzijom, nekontrolisanim infekcijama ili bilo kojom vrstom maligniteta. </w:t>
      </w:r>
    </w:p>
    <w:p w14:paraId="569C498A" w14:textId="46C4D3ED"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Prije početka liječenja potrebno je pouzdano utvrditi početno stanje bubrežne funkcije u najmanje dva mjerenja eGFR. Bubrežna funkcija mora biti često procjenjivana tokom liječenja kako bi se omogućilo podešavanje doze (vidjeti </w:t>
      </w:r>
      <w:r w:rsidR="00C37D5C" w:rsidRPr="00A14E37">
        <w:rPr>
          <w:noProof/>
          <w:color w:val="000000"/>
          <w:sz w:val="22"/>
          <w:szCs w:val="22"/>
          <w:lang w:val="sr-Latn-ME"/>
        </w:rPr>
        <w:t>dio</w:t>
      </w:r>
      <w:r w:rsidRPr="00A14E37">
        <w:rPr>
          <w:noProof/>
          <w:color w:val="000000"/>
          <w:sz w:val="22"/>
          <w:szCs w:val="22"/>
          <w:lang w:val="sr-Latn-ME"/>
        </w:rPr>
        <w:t xml:space="preserve"> 4.2).</w:t>
      </w:r>
    </w:p>
    <w:p w14:paraId="44BE1E48" w14:textId="77777777" w:rsidR="00BB702A" w:rsidRPr="00A14E37" w:rsidRDefault="00BB702A" w:rsidP="002045DA">
      <w:pPr>
        <w:pStyle w:val="Text"/>
        <w:spacing w:before="0"/>
        <w:rPr>
          <w:b/>
          <w:i/>
          <w:noProof/>
          <w:color w:val="000000"/>
          <w:sz w:val="22"/>
          <w:szCs w:val="22"/>
          <w:lang w:val="sr-Latn-ME"/>
        </w:rPr>
      </w:pPr>
    </w:p>
    <w:p w14:paraId="4C9C8041" w14:textId="77777777" w:rsidR="00BB702A" w:rsidRPr="00A14E37" w:rsidRDefault="00BB702A" w:rsidP="00B37A2A">
      <w:pPr>
        <w:pStyle w:val="Heading3"/>
        <w:jc w:val="both"/>
        <w:rPr>
          <w:rFonts w:ascii="Times New Roman" w:hAnsi="Times New Roman" w:cs="Times New Roman"/>
          <w:noProof/>
          <w:color w:val="000000"/>
          <w:sz w:val="22"/>
          <w:szCs w:val="22"/>
          <w:u w:val="single"/>
          <w:lang w:val="sr-Latn-ME"/>
        </w:rPr>
      </w:pPr>
      <w:r w:rsidRPr="00A14E37">
        <w:rPr>
          <w:rFonts w:ascii="Times New Roman" w:hAnsi="Times New Roman" w:cs="Times New Roman"/>
          <w:noProof/>
          <w:color w:val="000000"/>
          <w:sz w:val="22"/>
          <w:szCs w:val="22"/>
          <w:u w:val="single"/>
          <w:lang w:val="sr-Latn-ME"/>
        </w:rPr>
        <w:t>Dodatne mjere opreza kod endogenog uveitisa</w:t>
      </w:r>
    </w:p>
    <w:p w14:paraId="2AF11E1F" w14:textId="77777777" w:rsidR="00BB702A" w:rsidRPr="00A14E37" w:rsidRDefault="00BB702A" w:rsidP="002045DA">
      <w:pPr>
        <w:jc w:val="both"/>
        <w:rPr>
          <w:sz w:val="22"/>
          <w:szCs w:val="22"/>
          <w:lang w:val="sr-Latn-ME"/>
        </w:rPr>
      </w:pPr>
      <w:r w:rsidRPr="00A14E37">
        <w:rPr>
          <w:sz w:val="22"/>
          <w:szCs w:val="22"/>
          <w:lang w:val="sr-Latn-ME"/>
        </w:rPr>
        <w:t xml:space="preserve">Lijek Sandimmun Neoral se mora oprezno primjenjivati kod pacijenata sa neurološkim </w:t>
      </w:r>
      <w:r w:rsidRPr="00A14E37">
        <w:rPr>
          <w:noProof/>
          <w:color w:val="000000"/>
          <w:sz w:val="22"/>
          <w:szCs w:val="22"/>
          <w:lang w:val="sr-Latn-ME"/>
        </w:rPr>
        <w:t>Behçet-ovim</w:t>
      </w:r>
      <w:r w:rsidRPr="00A14E37">
        <w:rPr>
          <w:sz w:val="22"/>
          <w:szCs w:val="22"/>
          <w:lang w:val="sr-Latn-ME"/>
        </w:rPr>
        <w:t xml:space="preserve"> sindromom. Neurološki status tih pacijenata treba pažljivo pratiti. </w:t>
      </w:r>
    </w:p>
    <w:p w14:paraId="7F1D634D" w14:textId="77777777" w:rsidR="00BB702A" w:rsidRPr="00A14E37" w:rsidRDefault="00BB702A" w:rsidP="002045DA">
      <w:pPr>
        <w:jc w:val="both"/>
        <w:rPr>
          <w:noProof/>
          <w:color w:val="000000"/>
          <w:sz w:val="22"/>
          <w:szCs w:val="22"/>
          <w:lang w:val="sr-Latn-ME"/>
        </w:rPr>
      </w:pPr>
    </w:p>
    <w:p w14:paraId="25776B39" w14:textId="47F4586E" w:rsidR="00BB702A" w:rsidRPr="00A14E37" w:rsidRDefault="00BB702A" w:rsidP="002045DA">
      <w:pPr>
        <w:jc w:val="both"/>
        <w:rPr>
          <w:noProof/>
          <w:color w:val="000000"/>
          <w:sz w:val="22"/>
          <w:szCs w:val="22"/>
          <w:lang w:val="sr-Latn-ME"/>
        </w:rPr>
      </w:pPr>
      <w:r w:rsidRPr="00A14E37">
        <w:rPr>
          <w:noProof/>
          <w:color w:val="000000"/>
          <w:sz w:val="22"/>
          <w:szCs w:val="22"/>
          <w:lang w:val="sr-Latn-ME"/>
        </w:rPr>
        <w:t xml:space="preserve">Postoji </w:t>
      </w:r>
      <w:r w:rsidR="00833170" w:rsidRPr="00A14E37">
        <w:rPr>
          <w:noProof/>
          <w:color w:val="000000"/>
          <w:sz w:val="22"/>
          <w:szCs w:val="22"/>
          <w:lang w:val="sr-Latn-ME"/>
        </w:rPr>
        <w:t xml:space="preserve">samo </w:t>
      </w:r>
      <w:r w:rsidRPr="00A14E37">
        <w:rPr>
          <w:noProof/>
          <w:color w:val="000000"/>
          <w:sz w:val="22"/>
          <w:szCs w:val="22"/>
          <w:lang w:val="sr-Latn-ME"/>
        </w:rPr>
        <w:t>ograničeno iskustvo sa upotrebom lijeka Sandimmun Neoral kod djece sa endogenim uveitisom.</w:t>
      </w:r>
    </w:p>
    <w:p w14:paraId="7159330F" w14:textId="77777777" w:rsidR="00BB702A" w:rsidRPr="00A14E37" w:rsidRDefault="00BB702A" w:rsidP="002045DA">
      <w:pPr>
        <w:jc w:val="both"/>
        <w:rPr>
          <w:noProof/>
          <w:color w:val="000000"/>
          <w:sz w:val="22"/>
          <w:szCs w:val="22"/>
          <w:lang w:val="sr-Latn-ME"/>
        </w:rPr>
      </w:pPr>
    </w:p>
    <w:p w14:paraId="0608BFFD" w14:textId="77777777" w:rsidR="00BB702A" w:rsidRPr="00A14E37" w:rsidRDefault="00BB702A" w:rsidP="00B37A2A">
      <w:pPr>
        <w:pStyle w:val="Heading3"/>
        <w:jc w:val="both"/>
        <w:rPr>
          <w:rFonts w:ascii="Times New Roman" w:hAnsi="Times New Roman" w:cs="Times New Roman"/>
          <w:noProof/>
          <w:color w:val="000000"/>
          <w:sz w:val="22"/>
          <w:szCs w:val="22"/>
          <w:u w:val="single"/>
          <w:lang w:val="sr-Latn-ME"/>
        </w:rPr>
      </w:pPr>
      <w:r w:rsidRPr="00A14E37">
        <w:rPr>
          <w:rFonts w:ascii="Times New Roman" w:hAnsi="Times New Roman" w:cs="Times New Roman"/>
          <w:noProof/>
          <w:color w:val="000000"/>
          <w:sz w:val="22"/>
          <w:szCs w:val="22"/>
          <w:u w:val="single"/>
          <w:lang w:val="sr-Latn-ME"/>
        </w:rPr>
        <w:t>Dodatne mjere opreza kod nefrotskog sindroma</w:t>
      </w:r>
    </w:p>
    <w:p w14:paraId="18B9F201"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Pacijente sa abnormalnom početnom funkcijom bubrega treba u početku liječiti sa 2,5 mg/kg na dan i treba ih pažljivo posmatrati.</w:t>
      </w:r>
    </w:p>
    <w:p w14:paraId="3085C078"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 xml:space="preserve">Kod nekih pacijenata može biti teško otkriti disfunkciju bubrega izazvanu lijekom Sandimmun Neoral zbog promjena u funkciji bubrega povezanih sa samim nefrotskim sindromom. To objašnjava zašto su strukturne promjene bubrega udružene sa lijekom Sandimmun Neoral u rijetkim slučajevima bile primijećene bez povećanja kreatinina u serumu. Treba razmotriti biopsiju bubrega kod pacijenata sa nefropatijom sa minimalnim promjenama koja zavisi od steroida, kod kojih se terapija lijekom Sandimmun Neoral održava više od 1 godine. </w:t>
      </w:r>
    </w:p>
    <w:p w14:paraId="1635869A" w14:textId="77777777" w:rsidR="00BB702A" w:rsidRPr="00A14E37" w:rsidRDefault="00BB702A" w:rsidP="000E6E8B">
      <w:pPr>
        <w:pStyle w:val="Text"/>
        <w:rPr>
          <w:noProof/>
          <w:color w:val="000000"/>
          <w:sz w:val="22"/>
          <w:szCs w:val="22"/>
          <w:lang w:val="sr-Latn-ME"/>
        </w:rPr>
      </w:pPr>
      <w:r w:rsidRPr="00A14E37">
        <w:rPr>
          <w:noProof/>
          <w:color w:val="000000"/>
          <w:sz w:val="22"/>
          <w:szCs w:val="22"/>
          <w:lang w:val="sr-Latn-ME"/>
        </w:rPr>
        <w:t>Povremeno je bila prijavljivana pojava maligniteta (uključujući Hodgkin-ov limfom) kod pacijenata sa nefrotskim sindromom koji su liječeni imunosupresivima (uključujući ciklosporin).</w:t>
      </w:r>
    </w:p>
    <w:p w14:paraId="1E796E9B" w14:textId="77777777" w:rsidR="00BB702A" w:rsidRPr="00A14E37" w:rsidRDefault="00BB702A" w:rsidP="002045DA">
      <w:pPr>
        <w:pStyle w:val="Text"/>
        <w:rPr>
          <w:noProof/>
          <w:color w:val="000000"/>
          <w:sz w:val="22"/>
          <w:szCs w:val="22"/>
          <w:u w:val="single"/>
          <w:lang w:val="sr-Latn-ME"/>
        </w:rPr>
      </w:pPr>
      <w:r w:rsidRPr="00A14E37">
        <w:rPr>
          <w:noProof/>
          <w:color w:val="000000"/>
          <w:sz w:val="22"/>
          <w:szCs w:val="22"/>
          <w:u w:val="single"/>
          <w:lang w:val="sr-Latn-ME"/>
        </w:rPr>
        <w:t>Dodatne mjere opreza kod reumatoidnog artritisa</w:t>
      </w:r>
    </w:p>
    <w:p w14:paraId="3394EDAD"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Bubrežnu funkciju nakon 6 mjeseci terapije treba mjeriti svakih 4-8 nedjelja u zavisnosti od stabilnosti bolesti, istovremene primjene drugih ljekova i prisustva drugih oboljenja. Češće provjere su neophodne kada su povećane doze lijeka Sandimmun Neoral ili kad se uvodi istovremeno liječenje nesteroidnim antiinflamatornim lijekom ili se poveća njegova doza</w:t>
      </w:r>
      <w:r w:rsidRPr="00A14E37">
        <w:rPr>
          <w:noProof/>
          <w:sz w:val="22"/>
          <w:szCs w:val="22"/>
          <w:lang w:val="sr-Latn-ME"/>
        </w:rPr>
        <w:t xml:space="preserve">. </w:t>
      </w:r>
      <w:r w:rsidRPr="00A14E37">
        <w:rPr>
          <w:noProof/>
          <w:color w:val="000000"/>
          <w:sz w:val="22"/>
          <w:szCs w:val="22"/>
          <w:lang w:val="sr-Latn-ME"/>
        </w:rPr>
        <w:t>Ukidanje lijeka može biti neophodno i ukoliko se tokom terapije javi hipertenzija koja se ne može kontrolisati odgovarajućom antihipertenzivnom terapijom.</w:t>
      </w:r>
    </w:p>
    <w:p w14:paraId="736ED69E"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Kao i kod drugih dugotrajnih liječenja imunosupresivima, treba imati na umu povećan rizik od limfoproliferativnih poremećaja. Treba biti posebno oprezan ukoliko se </w:t>
      </w:r>
      <w:r w:rsidR="003F114E" w:rsidRPr="00A14E37">
        <w:rPr>
          <w:noProof/>
          <w:color w:val="000000"/>
          <w:sz w:val="22"/>
          <w:szCs w:val="22"/>
          <w:lang w:val="sr-Latn-ME"/>
        </w:rPr>
        <w:t xml:space="preserve">lijek </w:t>
      </w:r>
      <w:r w:rsidRPr="00A14E37">
        <w:rPr>
          <w:noProof/>
          <w:color w:val="000000"/>
          <w:sz w:val="22"/>
          <w:szCs w:val="22"/>
          <w:lang w:val="sr-Latn-ME"/>
        </w:rPr>
        <w:t>Sandimmun Neoral koristi u kombinaciji sa metotreksatom</w:t>
      </w:r>
      <w:r w:rsidR="003F114E" w:rsidRPr="00A14E37">
        <w:rPr>
          <w:noProof/>
          <w:color w:val="000000"/>
          <w:sz w:val="22"/>
          <w:szCs w:val="22"/>
          <w:lang w:val="sr-Latn-ME"/>
        </w:rPr>
        <w:t xml:space="preserve"> zbog nefrotoksične sinergije</w:t>
      </w:r>
      <w:r w:rsidRPr="00A14E37">
        <w:rPr>
          <w:noProof/>
          <w:color w:val="000000"/>
          <w:sz w:val="22"/>
          <w:szCs w:val="22"/>
          <w:lang w:val="sr-Latn-ME"/>
        </w:rPr>
        <w:t>.</w:t>
      </w:r>
    </w:p>
    <w:p w14:paraId="7E2C6441" w14:textId="77777777" w:rsidR="00BB702A" w:rsidRPr="00A14E37" w:rsidRDefault="00BB702A" w:rsidP="00B37A2A">
      <w:pPr>
        <w:pStyle w:val="Text"/>
        <w:rPr>
          <w:noProof/>
          <w:color w:val="000000"/>
          <w:sz w:val="22"/>
          <w:szCs w:val="22"/>
          <w:u w:val="single"/>
          <w:lang w:val="sr-Latn-ME"/>
        </w:rPr>
      </w:pPr>
      <w:r w:rsidRPr="00A14E37">
        <w:rPr>
          <w:noProof/>
          <w:color w:val="000000"/>
          <w:sz w:val="22"/>
          <w:szCs w:val="22"/>
          <w:u w:val="single"/>
          <w:lang w:val="sr-Latn-ME"/>
        </w:rPr>
        <w:t>Dodatne mjere opreza kod psorijaze</w:t>
      </w:r>
    </w:p>
    <w:p w14:paraId="080F115F"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Ukidanje terapije lijekom Sandimmun Neoral se preporučuje i ukoliko se hipertenzija nastala tokom liječenja lijekom Sandimmun Neoral ne može kontrolisati odgovarajućom terapijom.</w:t>
      </w:r>
    </w:p>
    <w:p w14:paraId="451A1173"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Starije pacijente treba liječiti samo u slučaju onesposobljavajuće psorijaze, a funkciju bubrega treba pratiti uz poseban oprez.</w:t>
      </w:r>
    </w:p>
    <w:p w14:paraId="141C3B80" w14:textId="77777777" w:rsidR="00BB702A" w:rsidRPr="00A14E37" w:rsidRDefault="00BB702A" w:rsidP="000E6E8B">
      <w:pPr>
        <w:pStyle w:val="Text"/>
        <w:rPr>
          <w:noProof/>
          <w:color w:val="000000"/>
          <w:sz w:val="22"/>
          <w:szCs w:val="22"/>
          <w:lang w:val="sr-Latn-ME"/>
        </w:rPr>
      </w:pPr>
      <w:r w:rsidRPr="00A14E37">
        <w:rPr>
          <w:noProof/>
          <w:color w:val="000000"/>
          <w:sz w:val="22"/>
          <w:szCs w:val="22"/>
          <w:lang w:val="sr-Latn-ME"/>
        </w:rPr>
        <w:lastRenderedPageBreak/>
        <w:t>Iskustvo sa upotrebom lijeka Sandimmun Neoral kod djece sa psorijazom je ograničeno.</w:t>
      </w:r>
    </w:p>
    <w:p w14:paraId="1A23655C" w14:textId="1C6283DD" w:rsidR="00BB702A" w:rsidRPr="00A14E37" w:rsidRDefault="00BB702A">
      <w:pPr>
        <w:pStyle w:val="Text"/>
        <w:rPr>
          <w:noProof/>
          <w:color w:val="000000"/>
          <w:sz w:val="22"/>
          <w:szCs w:val="22"/>
          <w:lang w:val="sr-Latn-ME"/>
        </w:rPr>
      </w:pPr>
      <w:r w:rsidRPr="00A14E37">
        <w:rPr>
          <w:noProof/>
          <w:color w:val="000000"/>
          <w:sz w:val="22"/>
          <w:szCs w:val="22"/>
          <w:lang w:val="sr-Latn-ME"/>
        </w:rPr>
        <w:t>Prijavljena je pojava maligniteta (naročito kože) kod pacijenata sa psorijazom koji su na terapiji ciklosporinom, kao i kod onih na konvencionalnoj terapiji imunosupresivima. Prije započinjanja terapije lijekom Sandimmun Neoral treba izvršiti biopsiju lezija na koži koje nijesu tipične za psorijazu ali za koje se sumnja da su maligne ili premaligne prirode. Pacijente sa malignim i premalignim promjenama na koži treba liječiti lijekom Sandimmun Neoral tek nakon odgovarajućeg liječenja tih lezija i ukoliko ne postoji druga opcija za uspješnu terapiju.</w:t>
      </w:r>
    </w:p>
    <w:p w14:paraId="5AF43550" w14:textId="77777777" w:rsidR="00BB702A" w:rsidRPr="00A14E37" w:rsidRDefault="00BB702A">
      <w:pPr>
        <w:pStyle w:val="Text"/>
        <w:rPr>
          <w:noProof/>
          <w:color w:val="000000"/>
          <w:sz w:val="22"/>
          <w:szCs w:val="22"/>
          <w:lang w:val="sr-Latn-ME"/>
        </w:rPr>
      </w:pPr>
      <w:r w:rsidRPr="00A14E37">
        <w:rPr>
          <w:noProof/>
          <w:color w:val="000000"/>
          <w:sz w:val="22"/>
          <w:szCs w:val="22"/>
          <w:lang w:val="sr-Latn-ME"/>
        </w:rPr>
        <w:t>Limfoproliferativni poremećaji su se javili kod nekoliko pacijenata sa psorijazom liječenih lijekom Sandimmun Neoral. Oni su reagovali na hitno ukidanje lijeka.</w:t>
      </w:r>
    </w:p>
    <w:p w14:paraId="65AE356C" w14:textId="77777777" w:rsidR="00BB702A" w:rsidRPr="00A14E37" w:rsidRDefault="00BB702A">
      <w:pPr>
        <w:pStyle w:val="Text"/>
        <w:rPr>
          <w:noProof/>
          <w:color w:val="000000"/>
          <w:sz w:val="22"/>
          <w:szCs w:val="22"/>
          <w:lang w:val="sr-Latn-ME"/>
        </w:rPr>
      </w:pPr>
      <w:r w:rsidRPr="00A14E37">
        <w:rPr>
          <w:noProof/>
          <w:color w:val="000000"/>
          <w:sz w:val="22"/>
          <w:szCs w:val="22"/>
          <w:lang w:val="sr-Latn-ME"/>
        </w:rPr>
        <w:t>Pacijenti koji koriste</w:t>
      </w:r>
      <w:r w:rsidR="003F114E" w:rsidRPr="00A14E37">
        <w:rPr>
          <w:noProof/>
          <w:color w:val="000000"/>
          <w:sz w:val="22"/>
          <w:szCs w:val="22"/>
          <w:lang w:val="sr-Latn-ME"/>
        </w:rPr>
        <w:t xml:space="preserve"> lijek</w:t>
      </w:r>
      <w:r w:rsidRPr="00A14E37">
        <w:rPr>
          <w:noProof/>
          <w:color w:val="000000"/>
          <w:sz w:val="22"/>
          <w:szCs w:val="22"/>
          <w:lang w:val="sr-Latn-ME"/>
        </w:rPr>
        <w:t xml:space="preserve"> Sandimmun Neoral ne treba da u isto vrijeme primaju UV-B zračenje ili PUVA fotohemoterapiju.</w:t>
      </w:r>
    </w:p>
    <w:p w14:paraId="674457A2" w14:textId="77777777" w:rsidR="00BB702A" w:rsidRPr="00A14E37" w:rsidRDefault="00BB702A" w:rsidP="002045DA">
      <w:pPr>
        <w:pStyle w:val="Heading3"/>
        <w:jc w:val="both"/>
        <w:rPr>
          <w:rFonts w:ascii="Times New Roman" w:hAnsi="Times New Roman" w:cs="Times New Roman"/>
          <w:noProof/>
          <w:color w:val="000000"/>
          <w:sz w:val="22"/>
          <w:szCs w:val="22"/>
          <w:lang w:val="sr-Latn-ME"/>
        </w:rPr>
      </w:pPr>
    </w:p>
    <w:p w14:paraId="43E2D52B" w14:textId="77777777" w:rsidR="00BB702A" w:rsidRPr="00A14E37" w:rsidRDefault="00BB702A" w:rsidP="00B37A2A">
      <w:pPr>
        <w:pStyle w:val="Heading3"/>
        <w:ind w:left="74" w:hanging="74"/>
        <w:jc w:val="both"/>
        <w:rPr>
          <w:rFonts w:ascii="Times New Roman" w:hAnsi="Times New Roman" w:cs="Times New Roman"/>
          <w:noProof/>
          <w:color w:val="auto"/>
          <w:sz w:val="22"/>
          <w:szCs w:val="22"/>
          <w:u w:val="single"/>
          <w:lang w:val="sr-Latn-ME"/>
        </w:rPr>
      </w:pPr>
      <w:r w:rsidRPr="00A14E37">
        <w:rPr>
          <w:rFonts w:ascii="Times New Roman" w:hAnsi="Times New Roman" w:cs="Times New Roman"/>
          <w:noProof/>
          <w:color w:val="auto"/>
          <w:sz w:val="22"/>
          <w:szCs w:val="22"/>
          <w:u w:val="single"/>
          <w:lang w:val="sr-Latn-ME"/>
        </w:rPr>
        <w:t>Dodatne mjere opreza kod atopijskog dermatitisa</w:t>
      </w:r>
    </w:p>
    <w:p w14:paraId="70189B00" w14:textId="77777777" w:rsidR="00BB702A" w:rsidRPr="00A14E37" w:rsidRDefault="00BB702A" w:rsidP="00B37A2A">
      <w:pPr>
        <w:pStyle w:val="Text"/>
        <w:rPr>
          <w:sz w:val="22"/>
          <w:szCs w:val="22"/>
          <w:lang w:val="sr-Latn-ME"/>
        </w:rPr>
      </w:pPr>
      <w:r w:rsidRPr="00A14E37">
        <w:rPr>
          <w:noProof/>
          <w:color w:val="000000"/>
          <w:sz w:val="22"/>
          <w:szCs w:val="22"/>
          <w:lang w:val="sr-Latn-ME"/>
        </w:rPr>
        <w:t>Ukidanje terapije lijekom Sandimmun Neoral se preporučuje i ukoliko se hipertenzija nastala tokom liječenja lijekom Sandimmun Neoral ne može kontrolisati odgovarajućom terapijom.</w:t>
      </w:r>
    </w:p>
    <w:p w14:paraId="7AFF3AAB"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Iskustvo sa upotrebom lijeka Sandimmun Neoral kod djece sa atopijskim dermatitisom je ograničeno.</w:t>
      </w:r>
    </w:p>
    <w:p w14:paraId="2C7AB313" w14:textId="77777777" w:rsidR="00BB702A" w:rsidRPr="00A14E37" w:rsidRDefault="00BB702A" w:rsidP="006D0274">
      <w:pPr>
        <w:pStyle w:val="Text"/>
        <w:rPr>
          <w:noProof/>
          <w:color w:val="000000"/>
          <w:sz w:val="22"/>
          <w:szCs w:val="22"/>
          <w:lang w:val="sr-Latn-ME"/>
        </w:rPr>
      </w:pPr>
      <w:r w:rsidRPr="00A14E37">
        <w:rPr>
          <w:noProof/>
          <w:color w:val="000000"/>
          <w:sz w:val="22"/>
          <w:szCs w:val="22"/>
          <w:lang w:val="sr-Latn-ME"/>
        </w:rPr>
        <w:t>Starije pacijente treba liječiti samo u slučaju onesposobljavajućeg atopijskog dermatitisa, a funkciju bubrega treba pratiti uz poseban oprez.</w:t>
      </w:r>
    </w:p>
    <w:p w14:paraId="7A34AA9A" w14:textId="7D889E9B" w:rsidR="00BB702A" w:rsidRPr="00A14E37" w:rsidRDefault="00BB702A" w:rsidP="000E6E8B">
      <w:pPr>
        <w:pStyle w:val="Text"/>
        <w:spacing w:before="0"/>
        <w:rPr>
          <w:noProof/>
          <w:color w:val="000000"/>
          <w:sz w:val="22"/>
          <w:szCs w:val="22"/>
          <w:lang w:val="sr-Latn-ME"/>
        </w:rPr>
      </w:pPr>
      <w:r w:rsidRPr="00A14E37">
        <w:rPr>
          <w:noProof/>
          <w:color w:val="000000"/>
          <w:sz w:val="22"/>
          <w:szCs w:val="22"/>
          <w:lang w:val="sr-Latn-ME"/>
        </w:rPr>
        <w:t xml:space="preserve">Benigna limfadenopatija se obično povezuje sa </w:t>
      </w:r>
      <w:r w:rsidR="00833170" w:rsidRPr="00A14E37">
        <w:rPr>
          <w:noProof/>
          <w:color w:val="000000"/>
          <w:sz w:val="22"/>
          <w:szCs w:val="22"/>
          <w:lang w:val="sr-Latn-ME"/>
        </w:rPr>
        <w:t xml:space="preserve">naglim </w:t>
      </w:r>
      <w:r w:rsidRPr="00A14E37">
        <w:rPr>
          <w:noProof/>
          <w:color w:val="000000"/>
          <w:sz w:val="22"/>
          <w:szCs w:val="22"/>
          <w:lang w:val="sr-Latn-ME"/>
        </w:rPr>
        <w:t>pogoršanjima atopijskog dermatitisa i uvijek ili spontano nestaje</w:t>
      </w:r>
      <w:r w:rsidR="003F114E" w:rsidRPr="00A14E37">
        <w:rPr>
          <w:noProof/>
          <w:color w:val="000000"/>
          <w:sz w:val="22"/>
          <w:szCs w:val="22"/>
          <w:lang w:val="sr-Latn-ME"/>
        </w:rPr>
        <w:t xml:space="preserve"> </w:t>
      </w:r>
      <w:r w:rsidRPr="00A14E37">
        <w:rPr>
          <w:noProof/>
          <w:color w:val="000000"/>
          <w:sz w:val="22"/>
          <w:szCs w:val="22"/>
          <w:lang w:val="sr-Latn-ME"/>
        </w:rPr>
        <w:t>ili se povlači sa opštim poboljšanjem bolesti.</w:t>
      </w:r>
    </w:p>
    <w:p w14:paraId="5181D9D1" w14:textId="77777777"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Limfadenopatiju primijećenu tokom liječenja ciklosporinom treba redovno pratiti. </w:t>
      </w:r>
    </w:p>
    <w:p w14:paraId="7D8E1B23" w14:textId="08C5D14B" w:rsidR="00BB702A" w:rsidRPr="00A14E37" w:rsidRDefault="00BB702A">
      <w:pPr>
        <w:pStyle w:val="Text"/>
        <w:rPr>
          <w:noProof/>
          <w:color w:val="000000"/>
          <w:sz w:val="22"/>
          <w:szCs w:val="22"/>
          <w:lang w:val="sr-Latn-ME"/>
        </w:rPr>
      </w:pPr>
      <w:r w:rsidRPr="00A14E37">
        <w:rPr>
          <w:noProof/>
          <w:color w:val="000000"/>
          <w:sz w:val="22"/>
          <w:szCs w:val="22"/>
          <w:lang w:val="sr-Latn-ME"/>
        </w:rPr>
        <w:t>Limfadenopatij</w:t>
      </w:r>
      <w:r w:rsidR="00C176CB" w:rsidRPr="00A14E37">
        <w:rPr>
          <w:noProof/>
          <w:color w:val="000000"/>
          <w:sz w:val="22"/>
          <w:szCs w:val="22"/>
          <w:lang w:val="sr-Latn-ME"/>
        </w:rPr>
        <w:t>u</w:t>
      </w:r>
      <w:r w:rsidRPr="00A14E37">
        <w:rPr>
          <w:noProof/>
          <w:color w:val="000000"/>
          <w:sz w:val="22"/>
          <w:szCs w:val="22"/>
          <w:lang w:val="sr-Latn-ME"/>
        </w:rPr>
        <w:t xml:space="preserve"> koja je uporna, uprkos poboljšanju bolesti, treba ispitati biopsij</w:t>
      </w:r>
      <w:r w:rsidR="00C176CB" w:rsidRPr="00A14E37">
        <w:rPr>
          <w:noProof/>
          <w:color w:val="000000"/>
          <w:sz w:val="22"/>
          <w:szCs w:val="22"/>
          <w:lang w:val="sr-Latn-ME"/>
        </w:rPr>
        <w:t>om</w:t>
      </w:r>
      <w:r w:rsidRPr="00A14E37">
        <w:rPr>
          <w:noProof/>
          <w:color w:val="000000"/>
          <w:sz w:val="22"/>
          <w:szCs w:val="22"/>
          <w:lang w:val="sr-Latn-ME"/>
        </w:rPr>
        <w:t xml:space="preserve"> da bi se isključilo postojanje limfoma.</w:t>
      </w:r>
    </w:p>
    <w:p w14:paraId="4FB4035A" w14:textId="72ED5C5C" w:rsidR="00BB702A" w:rsidRPr="00A14E37" w:rsidRDefault="00BB702A">
      <w:pPr>
        <w:pStyle w:val="Text"/>
        <w:rPr>
          <w:noProof/>
          <w:color w:val="000000"/>
          <w:sz w:val="22"/>
          <w:szCs w:val="22"/>
          <w:lang w:val="sr-Latn-ME"/>
        </w:rPr>
      </w:pPr>
      <w:r w:rsidRPr="00A14E37">
        <w:rPr>
          <w:noProof/>
          <w:color w:val="000000"/>
          <w:sz w:val="22"/>
          <w:szCs w:val="22"/>
          <w:lang w:val="sr-Latn-ME"/>
        </w:rPr>
        <w:t>Prije započinjanja terapije lijekom Sandimmun Neoral treba sačekati da se povuče infekcija herpes simplex</w:t>
      </w:r>
      <w:r w:rsidR="00EE11A2" w:rsidRPr="00A14E37">
        <w:rPr>
          <w:noProof/>
          <w:color w:val="000000"/>
          <w:sz w:val="22"/>
          <w:szCs w:val="22"/>
          <w:lang w:val="sr-Latn-ME"/>
        </w:rPr>
        <w:t xml:space="preserve"> virus</w:t>
      </w:r>
      <w:r w:rsidRPr="00A14E37">
        <w:rPr>
          <w:noProof/>
          <w:color w:val="000000"/>
          <w:sz w:val="22"/>
          <w:szCs w:val="22"/>
          <w:lang w:val="sr-Latn-ME"/>
        </w:rPr>
        <w:t>om, ali ona nije obavezno i razlog za ukidanje lijeka ukoliko se jav</w:t>
      </w:r>
      <w:r w:rsidR="00210877" w:rsidRPr="00A14E37">
        <w:rPr>
          <w:noProof/>
          <w:color w:val="000000"/>
          <w:sz w:val="22"/>
          <w:szCs w:val="22"/>
          <w:lang w:val="sr-Latn-ME"/>
        </w:rPr>
        <w:t>i</w:t>
      </w:r>
      <w:r w:rsidRPr="00A14E37">
        <w:rPr>
          <w:noProof/>
          <w:color w:val="000000"/>
          <w:sz w:val="22"/>
          <w:szCs w:val="22"/>
          <w:lang w:val="sr-Latn-ME"/>
        </w:rPr>
        <w:t xml:space="preserve"> tokom terapije, osim ukoliko nije ozbiljna infekcija u pitanju.</w:t>
      </w:r>
    </w:p>
    <w:p w14:paraId="47F1746D" w14:textId="37E5A357"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Infekcije kože </w:t>
      </w:r>
      <w:r w:rsidRPr="00A14E37">
        <w:rPr>
          <w:i/>
          <w:noProof/>
          <w:color w:val="000000"/>
          <w:sz w:val="22"/>
          <w:szCs w:val="22"/>
          <w:lang w:val="sr-Latn-ME"/>
        </w:rPr>
        <w:t>Staphylococcus aureus</w:t>
      </w:r>
      <w:r w:rsidRPr="00A14E37">
        <w:rPr>
          <w:noProof/>
          <w:color w:val="000000"/>
          <w:sz w:val="22"/>
          <w:szCs w:val="22"/>
          <w:lang w:val="sr-Latn-ME"/>
        </w:rPr>
        <w:t xml:space="preserve">-om ne predstavljaju apsolutnu kontraindikaciju za terapiju lijekom Sandimmun Neoral, ali ih treba kontrolisati odgovarajućim antibioticima. Treba izbjegavati eritromicin za oralnu primjenu, za koji se zna da ima sposobnost povećavanja koncentracija ciklosporina u krvi (vidjeti </w:t>
      </w:r>
      <w:r w:rsidR="00C37D5C" w:rsidRPr="00A14E37">
        <w:rPr>
          <w:noProof/>
          <w:color w:val="000000"/>
          <w:sz w:val="22"/>
          <w:szCs w:val="22"/>
          <w:lang w:val="sr-Latn-ME"/>
        </w:rPr>
        <w:t>dio</w:t>
      </w:r>
      <w:r w:rsidRPr="00A14E37">
        <w:rPr>
          <w:noProof/>
          <w:color w:val="000000"/>
          <w:sz w:val="22"/>
          <w:szCs w:val="22"/>
          <w:lang w:val="sr-Latn-ME"/>
        </w:rPr>
        <w:t xml:space="preserve"> 4.5)</w:t>
      </w:r>
      <w:r w:rsidR="00694A32" w:rsidRPr="00A14E37">
        <w:rPr>
          <w:noProof/>
          <w:color w:val="000000"/>
          <w:sz w:val="22"/>
          <w:szCs w:val="22"/>
          <w:lang w:val="sr-Latn-ME"/>
        </w:rPr>
        <w:t>.</w:t>
      </w:r>
      <w:r w:rsidRPr="00A14E37">
        <w:rPr>
          <w:noProof/>
          <w:color w:val="000000"/>
          <w:sz w:val="22"/>
          <w:szCs w:val="22"/>
          <w:lang w:val="sr-Latn-ME"/>
        </w:rPr>
        <w:t xml:space="preserve"> </w:t>
      </w:r>
      <w:r w:rsidR="00694A32" w:rsidRPr="00A14E37">
        <w:rPr>
          <w:noProof/>
          <w:color w:val="000000"/>
          <w:sz w:val="22"/>
          <w:szCs w:val="22"/>
          <w:lang w:val="sr-Latn-ME"/>
        </w:rPr>
        <w:t>U</w:t>
      </w:r>
      <w:r w:rsidRPr="00A14E37">
        <w:rPr>
          <w:noProof/>
          <w:color w:val="000000"/>
          <w:sz w:val="22"/>
          <w:szCs w:val="22"/>
          <w:lang w:val="sr-Latn-ME"/>
        </w:rPr>
        <w:t xml:space="preserve">koliko nema alternative, preporučuje </w:t>
      </w:r>
      <w:r w:rsidR="00694A32" w:rsidRPr="00A14E37">
        <w:rPr>
          <w:noProof/>
          <w:color w:val="000000"/>
          <w:sz w:val="22"/>
          <w:szCs w:val="22"/>
          <w:lang w:val="sr-Latn-ME"/>
        </w:rPr>
        <w:t xml:space="preserve">se </w:t>
      </w:r>
      <w:r w:rsidRPr="00A14E37">
        <w:rPr>
          <w:noProof/>
          <w:color w:val="000000"/>
          <w:sz w:val="22"/>
          <w:szCs w:val="22"/>
          <w:lang w:val="sr-Latn-ME"/>
        </w:rPr>
        <w:t>pažljivo praćenje nivoa ciklosporina u krvi, funkcije bubrega i neželjenih dejstava ciklosporina.</w:t>
      </w:r>
    </w:p>
    <w:p w14:paraId="150C668C" w14:textId="35231998" w:rsidR="00BB702A" w:rsidRPr="00A14E37" w:rsidRDefault="00BB702A">
      <w:pPr>
        <w:pStyle w:val="Text"/>
        <w:rPr>
          <w:noProof/>
          <w:color w:val="000000"/>
          <w:sz w:val="22"/>
          <w:szCs w:val="22"/>
          <w:lang w:val="sr-Latn-ME"/>
        </w:rPr>
      </w:pPr>
      <w:r w:rsidRPr="00A14E37">
        <w:rPr>
          <w:noProof/>
          <w:color w:val="000000"/>
          <w:sz w:val="22"/>
          <w:szCs w:val="22"/>
          <w:lang w:val="sr-Latn-ME"/>
        </w:rPr>
        <w:t xml:space="preserve">Pacijenti koji koriste </w:t>
      </w:r>
      <w:r w:rsidR="003F114E" w:rsidRPr="00A14E37">
        <w:rPr>
          <w:noProof/>
          <w:color w:val="000000"/>
          <w:sz w:val="22"/>
          <w:szCs w:val="22"/>
          <w:lang w:val="sr-Latn-ME"/>
        </w:rPr>
        <w:t xml:space="preserve">lijek </w:t>
      </w:r>
      <w:r w:rsidRPr="00A14E37">
        <w:rPr>
          <w:noProof/>
          <w:color w:val="000000"/>
          <w:sz w:val="22"/>
          <w:szCs w:val="22"/>
          <w:lang w:val="sr-Latn-ME"/>
        </w:rPr>
        <w:t>Sandimmun Neoral ne smiju se liječiti UV-B zračenje</w:t>
      </w:r>
      <w:r w:rsidR="00B458DC" w:rsidRPr="00A14E37">
        <w:rPr>
          <w:noProof/>
          <w:color w:val="000000"/>
          <w:sz w:val="22"/>
          <w:szCs w:val="22"/>
          <w:lang w:val="sr-Latn-ME"/>
        </w:rPr>
        <w:t>m</w:t>
      </w:r>
      <w:r w:rsidRPr="00A14E37">
        <w:rPr>
          <w:noProof/>
          <w:color w:val="000000"/>
          <w:sz w:val="22"/>
          <w:szCs w:val="22"/>
          <w:lang w:val="sr-Latn-ME"/>
        </w:rPr>
        <w:t xml:space="preserve"> ili PUVA fotohemoterapijom.</w:t>
      </w:r>
    </w:p>
    <w:p w14:paraId="17C6C062" w14:textId="77777777" w:rsidR="00BB702A" w:rsidRPr="00A14E37" w:rsidRDefault="00BB702A">
      <w:pPr>
        <w:pStyle w:val="Text"/>
        <w:rPr>
          <w:noProof/>
          <w:sz w:val="22"/>
          <w:szCs w:val="22"/>
          <w:u w:val="single"/>
          <w:lang w:val="sr-Latn-ME"/>
        </w:rPr>
      </w:pPr>
      <w:r w:rsidRPr="00A14E37">
        <w:rPr>
          <w:b/>
          <w:noProof/>
          <w:sz w:val="22"/>
          <w:szCs w:val="22"/>
          <w:u w:val="single"/>
          <w:lang w:val="sr-Latn-ME"/>
        </w:rPr>
        <w:t>Pedijatrijska primjena kod ne-transplantacionih indikacija</w:t>
      </w:r>
    </w:p>
    <w:p w14:paraId="3ECF39EE" w14:textId="7A676679" w:rsidR="00057E35" w:rsidRPr="00A14E37" w:rsidRDefault="00BB702A" w:rsidP="002045DA">
      <w:pPr>
        <w:tabs>
          <w:tab w:val="left" w:pos="540"/>
          <w:tab w:val="left" w:pos="569"/>
        </w:tabs>
        <w:jc w:val="both"/>
        <w:rPr>
          <w:noProof/>
          <w:sz w:val="22"/>
          <w:szCs w:val="22"/>
          <w:lang w:val="sr-Latn-ME"/>
        </w:rPr>
      </w:pPr>
      <w:r w:rsidRPr="00A14E37">
        <w:rPr>
          <w:noProof/>
          <w:sz w:val="22"/>
          <w:szCs w:val="22"/>
          <w:lang w:val="sr-Latn-ME"/>
        </w:rPr>
        <w:t>Osim u terapiji nefrotskog sindroma, nije dostupno adekvatno iskustvo sa lijekom Sandimmun Neoral</w:t>
      </w:r>
      <w:r w:rsidR="00694A32" w:rsidRPr="00A14E37">
        <w:rPr>
          <w:noProof/>
          <w:sz w:val="22"/>
          <w:szCs w:val="22"/>
          <w:lang w:val="sr-Latn-ME"/>
        </w:rPr>
        <w:t>.</w:t>
      </w:r>
      <w:r w:rsidRPr="00A14E37">
        <w:rPr>
          <w:noProof/>
          <w:sz w:val="22"/>
          <w:szCs w:val="22"/>
          <w:lang w:val="sr-Latn-ME"/>
        </w:rPr>
        <w:t xml:space="preserve"> </w:t>
      </w:r>
      <w:r w:rsidR="00694A32" w:rsidRPr="00A14E37">
        <w:rPr>
          <w:noProof/>
          <w:sz w:val="22"/>
          <w:szCs w:val="22"/>
          <w:lang w:val="sr-Latn-ME"/>
        </w:rPr>
        <w:t>N</w:t>
      </w:r>
      <w:r w:rsidRPr="00A14E37">
        <w:rPr>
          <w:noProof/>
          <w:sz w:val="22"/>
          <w:szCs w:val="22"/>
          <w:lang w:val="sr-Latn-ME"/>
        </w:rPr>
        <w:t>jegova primjena kod djece mlađe od 16 godina za netransplantacione indikacije osim nefrotskog sindroma se ne preporučuje.</w:t>
      </w:r>
    </w:p>
    <w:p w14:paraId="26D664D9" w14:textId="32A550F6" w:rsidR="00855747" w:rsidRPr="00A14E37" w:rsidRDefault="00855747" w:rsidP="002045DA">
      <w:pPr>
        <w:tabs>
          <w:tab w:val="left" w:pos="540"/>
          <w:tab w:val="left" w:pos="569"/>
        </w:tabs>
        <w:jc w:val="both"/>
        <w:rPr>
          <w:noProof/>
          <w:sz w:val="22"/>
          <w:szCs w:val="22"/>
          <w:lang w:val="sr-Latn-ME"/>
        </w:rPr>
      </w:pPr>
    </w:p>
    <w:p w14:paraId="60A17F56" w14:textId="77777777" w:rsidR="00855747" w:rsidRPr="00A14E37" w:rsidRDefault="00855747" w:rsidP="002045DA">
      <w:pPr>
        <w:tabs>
          <w:tab w:val="center" w:pos="4536"/>
          <w:tab w:val="right" w:pos="9072"/>
        </w:tabs>
        <w:jc w:val="both"/>
        <w:rPr>
          <w:sz w:val="22"/>
          <w:szCs w:val="22"/>
          <w:lang w:val="sr-Latn-ME"/>
        </w:rPr>
      </w:pPr>
      <w:r w:rsidRPr="00A14E37">
        <w:rPr>
          <w:sz w:val="22"/>
          <w:szCs w:val="22"/>
          <w:u w:val="single"/>
          <w:lang w:val="sr-Latn-ME"/>
        </w:rPr>
        <w:t>Posebne pomoćne supstance: Polioksil 40 hidrogenizovano ricinusovo ulje</w:t>
      </w:r>
    </w:p>
    <w:p w14:paraId="2E9EF37D" w14:textId="0348355B" w:rsidR="00855747" w:rsidRPr="00A14E37" w:rsidRDefault="00855747" w:rsidP="002045DA">
      <w:pPr>
        <w:tabs>
          <w:tab w:val="center" w:pos="4536"/>
          <w:tab w:val="right" w:pos="9072"/>
        </w:tabs>
        <w:jc w:val="both"/>
        <w:rPr>
          <w:sz w:val="22"/>
          <w:szCs w:val="22"/>
          <w:lang w:val="sr-Latn-ME"/>
        </w:rPr>
      </w:pPr>
      <w:r w:rsidRPr="00A14E37">
        <w:rPr>
          <w:sz w:val="22"/>
          <w:szCs w:val="22"/>
          <w:lang w:val="sr-Latn-ME"/>
        </w:rPr>
        <w:t>Lijek Sandimmun Neoral sadrži polioksil 40 hidrogenizovano ricinusovo ulje koje može da izazove stomačne tegobe i dijareju.</w:t>
      </w:r>
    </w:p>
    <w:p w14:paraId="22EFD5CF" w14:textId="77777777" w:rsidR="00855747" w:rsidRPr="00A14E37" w:rsidRDefault="00855747" w:rsidP="002045DA">
      <w:pPr>
        <w:tabs>
          <w:tab w:val="center" w:pos="4536"/>
          <w:tab w:val="right" w:pos="9072"/>
        </w:tabs>
        <w:jc w:val="both"/>
        <w:rPr>
          <w:sz w:val="22"/>
          <w:szCs w:val="22"/>
          <w:lang w:val="sr-Latn-ME"/>
        </w:rPr>
      </w:pPr>
    </w:p>
    <w:p w14:paraId="65EA200B" w14:textId="77777777" w:rsidR="00855747" w:rsidRPr="00A14E37" w:rsidRDefault="00855747" w:rsidP="002045DA">
      <w:pPr>
        <w:tabs>
          <w:tab w:val="center" w:pos="4536"/>
          <w:tab w:val="right" w:pos="9072"/>
        </w:tabs>
        <w:jc w:val="both"/>
        <w:rPr>
          <w:sz w:val="22"/>
          <w:szCs w:val="22"/>
          <w:lang w:val="sr-Latn-ME"/>
        </w:rPr>
      </w:pPr>
      <w:r w:rsidRPr="00A14E37">
        <w:rPr>
          <w:sz w:val="22"/>
          <w:szCs w:val="22"/>
          <w:u w:val="single"/>
          <w:lang w:val="sr-Latn-ME"/>
        </w:rPr>
        <w:t>Posebne pomoćne supstance: Etanol</w:t>
      </w:r>
    </w:p>
    <w:p w14:paraId="4F04D12A" w14:textId="36CE2B63" w:rsidR="00B37A2A" w:rsidRPr="00A14E37" w:rsidRDefault="00855747" w:rsidP="002045DA">
      <w:pPr>
        <w:rPr>
          <w:bCs/>
          <w:sz w:val="22"/>
          <w:szCs w:val="22"/>
          <w:lang w:val="sr-Latn-ME"/>
        </w:rPr>
      </w:pPr>
      <w:r w:rsidRPr="00A14E37">
        <w:rPr>
          <w:sz w:val="22"/>
          <w:szCs w:val="22"/>
          <w:lang w:val="sr-Latn-ME"/>
        </w:rPr>
        <w:t>Lijek Sandimmun Neoral sadrži 94,70 mg etanola u jednom m</w:t>
      </w:r>
      <w:r w:rsidR="00B37A2A" w:rsidRPr="00A14E37">
        <w:rPr>
          <w:sz w:val="22"/>
          <w:szCs w:val="22"/>
          <w:lang w:val="sr-Latn-ME"/>
        </w:rPr>
        <w:t>l</w:t>
      </w:r>
      <w:r w:rsidRPr="00A14E37">
        <w:rPr>
          <w:sz w:val="22"/>
          <w:szCs w:val="22"/>
          <w:lang w:val="sr-Latn-ME"/>
        </w:rPr>
        <w:t xml:space="preserve"> što je ekvivalentno 12% v/v. Doza lijeka Sandimmun Neoral od 500 mg sadrži 500 mg etanola ekvivalentnog skoro 13 m</w:t>
      </w:r>
      <w:r w:rsidR="00B37A2A" w:rsidRPr="00A14E37">
        <w:rPr>
          <w:sz w:val="22"/>
          <w:szCs w:val="22"/>
          <w:lang w:val="sr-Latn-ME"/>
        </w:rPr>
        <w:t>l</w:t>
      </w:r>
      <w:r w:rsidRPr="00A14E37">
        <w:rPr>
          <w:sz w:val="22"/>
          <w:szCs w:val="22"/>
          <w:lang w:val="sr-Latn-ME"/>
        </w:rPr>
        <w:t xml:space="preserve"> piva ili 5 m</w:t>
      </w:r>
      <w:r w:rsidR="00B37A2A" w:rsidRPr="00A14E37">
        <w:rPr>
          <w:sz w:val="22"/>
          <w:szCs w:val="22"/>
          <w:lang w:val="sr-Latn-ME"/>
        </w:rPr>
        <w:t>l</w:t>
      </w:r>
      <w:r w:rsidRPr="00A14E37">
        <w:rPr>
          <w:sz w:val="22"/>
          <w:szCs w:val="22"/>
          <w:lang w:val="sr-Latn-ME"/>
        </w:rPr>
        <w:t xml:space="preserve"> vina. Male količine alkohola u ovom lijeku neće imati prim</w:t>
      </w:r>
      <w:r w:rsidR="00524AD6" w:rsidRPr="00A14E37">
        <w:rPr>
          <w:sz w:val="22"/>
          <w:szCs w:val="22"/>
          <w:lang w:val="sr-Latn-ME"/>
        </w:rPr>
        <w:t>j</w:t>
      </w:r>
      <w:r w:rsidRPr="00A14E37">
        <w:rPr>
          <w:sz w:val="22"/>
          <w:szCs w:val="22"/>
          <w:lang w:val="sr-Latn-ME"/>
        </w:rPr>
        <w:t>etne efekte.</w:t>
      </w:r>
      <w:r w:rsidR="00B37A2A" w:rsidRPr="00A14E37">
        <w:rPr>
          <w:bCs/>
          <w:sz w:val="22"/>
          <w:szCs w:val="22"/>
          <w:lang w:val="sr-Latn-ME"/>
        </w:rPr>
        <w:br w:type="page"/>
      </w:r>
    </w:p>
    <w:p w14:paraId="052D043C" w14:textId="77777777" w:rsidR="00411B4B" w:rsidRPr="00A14E37" w:rsidRDefault="00411B4B" w:rsidP="002045DA">
      <w:pPr>
        <w:tabs>
          <w:tab w:val="left" w:pos="540"/>
          <w:tab w:val="left" w:pos="569"/>
        </w:tabs>
        <w:jc w:val="both"/>
        <w:rPr>
          <w:b/>
          <w:bCs/>
          <w:sz w:val="22"/>
          <w:szCs w:val="22"/>
          <w:lang w:val="sr-Latn-ME"/>
        </w:rPr>
      </w:pPr>
      <w:r w:rsidRPr="00A14E37">
        <w:rPr>
          <w:b/>
          <w:bCs/>
          <w:sz w:val="22"/>
          <w:szCs w:val="22"/>
          <w:lang w:val="sr-Latn-ME"/>
        </w:rPr>
        <w:lastRenderedPageBreak/>
        <w:t>4.5.</w:t>
      </w:r>
      <w:r w:rsidR="000D60CC" w:rsidRPr="00A14E37">
        <w:rPr>
          <w:b/>
          <w:bCs/>
          <w:sz w:val="22"/>
          <w:szCs w:val="22"/>
          <w:lang w:val="sr-Latn-ME"/>
        </w:rPr>
        <w:tab/>
      </w:r>
      <w:r w:rsidRPr="00A14E37">
        <w:rPr>
          <w:b/>
          <w:bCs/>
          <w:sz w:val="22"/>
          <w:szCs w:val="22"/>
          <w:lang w:val="sr-Latn-ME"/>
        </w:rPr>
        <w:t>Interakcije sa drugim ljekovima i druge vrste interakcija</w:t>
      </w:r>
    </w:p>
    <w:p w14:paraId="2B0818D6" w14:textId="77777777" w:rsidR="0072020E" w:rsidRPr="00A14E37" w:rsidRDefault="0072020E" w:rsidP="002045DA">
      <w:pPr>
        <w:tabs>
          <w:tab w:val="left" w:pos="540"/>
          <w:tab w:val="left" w:pos="569"/>
        </w:tabs>
        <w:jc w:val="both"/>
        <w:rPr>
          <w:bCs/>
          <w:sz w:val="22"/>
          <w:szCs w:val="22"/>
          <w:lang w:val="sr-Latn-ME"/>
        </w:rPr>
      </w:pPr>
    </w:p>
    <w:p w14:paraId="70AD9591" w14:textId="77777777" w:rsidR="00BB702A" w:rsidRPr="00A14E37" w:rsidRDefault="00BB702A" w:rsidP="002045DA">
      <w:pPr>
        <w:pStyle w:val="Heading3"/>
        <w:jc w:val="both"/>
        <w:rPr>
          <w:rFonts w:ascii="Times New Roman" w:hAnsi="Times New Roman" w:cs="Times New Roman"/>
          <w:b/>
          <w:noProof/>
          <w:color w:val="000000"/>
          <w:sz w:val="22"/>
          <w:szCs w:val="22"/>
          <w:u w:val="single"/>
          <w:lang w:val="sr-Latn-ME"/>
        </w:rPr>
      </w:pPr>
      <w:r w:rsidRPr="00A14E37">
        <w:rPr>
          <w:rFonts w:ascii="Times New Roman" w:hAnsi="Times New Roman" w:cs="Times New Roman"/>
          <w:b/>
          <w:noProof/>
          <w:color w:val="000000"/>
          <w:sz w:val="22"/>
          <w:szCs w:val="22"/>
          <w:u w:val="single"/>
          <w:lang w:val="sr-Latn-ME"/>
        </w:rPr>
        <w:t>Interakcije sa ljekovima</w:t>
      </w:r>
    </w:p>
    <w:p w14:paraId="4E4FD4FC"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Od mnogih ljekova za koje je prijavljeno da stupaju u interakcije sa ciklosporinom, dolje su navedeni oni čije su interakcije adekvatno potkrepljene i za koje se smatra da imaju kliničke implikacije.</w:t>
      </w:r>
    </w:p>
    <w:p w14:paraId="67AAA462" w14:textId="77777777" w:rsidR="00BB702A" w:rsidRPr="00A14E37" w:rsidRDefault="00BB702A" w:rsidP="002045DA">
      <w:pPr>
        <w:pStyle w:val="Header"/>
        <w:tabs>
          <w:tab w:val="left" w:pos="284"/>
        </w:tabs>
        <w:spacing w:before="80" w:after="80"/>
        <w:jc w:val="both"/>
        <w:rPr>
          <w:noProof/>
          <w:color w:val="000000"/>
          <w:sz w:val="22"/>
          <w:szCs w:val="22"/>
          <w:lang w:val="sr-Latn-ME"/>
        </w:rPr>
      </w:pPr>
      <w:r w:rsidRPr="00A14E37">
        <w:rPr>
          <w:noProof/>
          <w:color w:val="000000"/>
          <w:sz w:val="22"/>
          <w:szCs w:val="22"/>
          <w:lang w:val="sr-Latn-ME"/>
        </w:rPr>
        <w:t xml:space="preserve">Za mnoge ljekove se zna da ili povećavaju ili smanjuju nivo ciklosporina u plazmi ili punoj krvi obično inhibicijom ili indukcijom enzima koji učestvuju u metabolizmu ciklosporina, naročito enzima CYP3A4. </w:t>
      </w:r>
    </w:p>
    <w:p w14:paraId="18711F77" w14:textId="1E634CC8" w:rsidR="00BB702A" w:rsidRPr="00A14E37" w:rsidRDefault="00BB702A">
      <w:pPr>
        <w:tabs>
          <w:tab w:val="left" w:pos="540"/>
          <w:tab w:val="left" w:pos="569"/>
        </w:tabs>
        <w:jc w:val="both"/>
        <w:rPr>
          <w:noProof/>
          <w:color w:val="000000"/>
          <w:sz w:val="22"/>
          <w:szCs w:val="22"/>
          <w:lang w:val="sr-Latn-ME"/>
        </w:rPr>
      </w:pPr>
      <w:r w:rsidRPr="00A14E37">
        <w:rPr>
          <w:noProof/>
          <w:color w:val="000000"/>
          <w:sz w:val="22"/>
          <w:szCs w:val="22"/>
          <w:lang w:val="sr-Latn-ME"/>
        </w:rPr>
        <w:t>Ciklosporin je takođe inhibitor CYP3A4 i efluksnog prenosioca P-</w:t>
      </w:r>
      <w:r w:rsidR="0042261E" w:rsidRPr="00A14E37">
        <w:rPr>
          <w:noProof/>
          <w:color w:val="000000"/>
          <w:sz w:val="22"/>
          <w:szCs w:val="22"/>
          <w:lang w:val="sr-Latn-ME"/>
        </w:rPr>
        <w:t>gp</w:t>
      </w:r>
      <w:r w:rsidRPr="00A14E37">
        <w:rPr>
          <w:noProof/>
          <w:color w:val="000000"/>
          <w:sz w:val="22"/>
          <w:szCs w:val="22"/>
          <w:lang w:val="sr-Latn-ME"/>
        </w:rPr>
        <w:t xml:space="preserve"> za više ljekova i </w:t>
      </w:r>
      <w:r w:rsidRPr="00A14E37">
        <w:rPr>
          <w:sz w:val="22"/>
          <w:szCs w:val="22"/>
          <w:lang w:val="sr-Latn-ME"/>
        </w:rPr>
        <w:t xml:space="preserve">organskih anjonskih prenosnih proteina (OATP) i </w:t>
      </w:r>
      <w:r w:rsidRPr="00A14E37">
        <w:rPr>
          <w:noProof/>
          <w:color w:val="000000"/>
          <w:sz w:val="22"/>
          <w:szCs w:val="22"/>
          <w:lang w:val="sr-Latn-ME"/>
        </w:rPr>
        <w:t>može povećati nivo ljekova koji su supstrati za ove enzime i/ili nosače.</w:t>
      </w:r>
    </w:p>
    <w:p w14:paraId="46D0E63B" w14:textId="77777777" w:rsidR="00BB702A" w:rsidRPr="00A14E37" w:rsidRDefault="00BB702A">
      <w:pPr>
        <w:tabs>
          <w:tab w:val="left" w:pos="540"/>
          <w:tab w:val="left" w:pos="569"/>
        </w:tabs>
        <w:jc w:val="both"/>
        <w:rPr>
          <w:bCs/>
          <w:sz w:val="22"/>
          <w:szCs w:val="22"/>
          <w:lang w:val="sr-Latn-ME"/>
        </w:rPr>
      </w:pPr>
    </w:p>
    <w:p w14:paraId="571D42A5" w14:textId="181C038C" w:rsidR="00BB702A" w:rsidRPr="00A14E37" w:rsidRDefault="00BB702A" w:rsidP="00F949C5">
      <w:pPr>
        <w:pStyle w:val="Text"/>
        <w:spacing w:before="0"/>
        <w:rPr>
          <w:noProof/>
          <w:color w:val="000000"/>
          <w:sz w:val="22"/>
          <w:szCs w:val="22"/>
          <w:lang w:val="sr-Latn-ME"/>
        </w:rPr>
      </w:pPr>
      <w:r w:rsidRPr="00A14E37">
        <w:rPr>
          <w:noProof/>
          <w:color w:val="000000"/>
          <w:sz w:val="22"/>
          <w:szCs w:val="22"/>
          <w:lang w:val="sr-Latn-ME"/>
        </w:rPr>
        <w:t>Ljekovi za koje se zna da smanjuju ili povećavaju bioraspoloživost ciklosporina: kod transplantiranih pacijenata potrebno je često mjerenje nivoa ciklosporina</w:t>
      </w:r>
      <w:r w:rsidR="00144859" w:rsidRPr="00A14E37">
        <w:rPr>
          <w:noProof/>
          <w:color w:val="000000"/>
          <w:sz w:val="22"/>
          <w:szCs w:val="22"/>
          <w:lang w:val="sr-Latn-ME"/>
        </w:rPr>
        <w:t xml:space="preserve"> i</w:t>
      </w:r>
      <w:r w:rsidRPr="00A14E37">
        <w:rPr>
          <w:noProof/>
          <w:color w:val="000000"/>
          <w:sz w:val="22"/>
          <w:szCs w:val="22"/>
          <w:lang w:val="sr-Latn-ME"/>
        </w:rPr>
        <w:t>, ako je potrebno, podešavanje doze ciklosporina, naročito tokom uvođenja ili obustavljanja konkomitantne medikacije. Kod pacijenata koji koriste</w:t>
      </w:r>
      <w:r w:rsidR="00AE126F" w:rsidRPr="00A14E37">
        <w:rPr>
          <w:noProof/>
          <w:color w:val="000000"/>
          <w:sz w:val="22"/>
          <w:szCs w:val="22"/>
          <w:lang w:val="sr-Latn-ME"/>
        </w:rPr>
        <w:t xml:space="preserve"> lijek</w:t>
      </w:r>
      <w:r w:rsidRPr="00A14E37">
        <w:rPr>
          <w:noProof/>
          <w:color w:val="000000"/>
          <w:sz w:val="22"/>
          <w:szCs w:val="22"/>
          <w:lang w:val="sr-Latn-ME"/>
        </w:rPr>
        <w:t xml:space="preserve"> Sandimmun Neoral u netransplantacionim indikacijama, odnos između nivoa u krvi i kliničkih efekata nije tako dobro utvrđen. Ako se ljekovi za koje se zna da povećavaju nivo ciklosporina daju istovremeno, česte kontrole bubrežne funkcije i pažljivo praćenje neželjenih reakcije ciklosporina je prikladnije nego mjerenje nivoa u krvi.</w:t>
      </w:r>
    </w:p>
    <w:p w14:paraId="18928C49" w14:textId="77777777" w:rsidR="00BB702A" w:rsidRPr="00A14E37" w:rsidRDefault="00BB702A" w:rsidP="002045DA">
      <w:pPr>
        <w:pStyle w:val="Heading3"/>
        <w:jc w:val="both"/>
        <w:rPr>
          <w:rFonts w:ascii="Times New Roman" w:hAnsi="Times New Roman" w:cs="Times New Roman"/>
          <w:noProof/>
          <w:color w:val="000000"/>
          <w:sz w:val="22"/>
          <w:szCs w:val="22"/>
          <w:u w:val="single"/>
          <w:lang w:val="sr-Latn-ME"/>
        </w:rPr>
      </w:pPr>
    </w:p>
    <w:p w14:paraId="491C85EA" w14:textId="77777777" w:rsidR="00BB702A" w:rsidRPr="00A14E37" w:rsidRDefault="00BB702A" w:rsidP="00B37A2A">
      <w:pPr>
        <w:pStyle w:val="Heading3"/>
        <w:jc w:val="both"/>
        <w:rPr>
          <w:rFonts w:ascii="Times New Roman" w:hAnsi="Times New Roman" w:cs="Times New Roman"/>
          <w:b/>
          <w:i/>
          <w:noProof/>
          <w:color w:val="000000"/>
          <w:sz w:val="22"/>
          <w:szCs w:val="22"/>
          <w:u w:val="single"/>
          <w:lang w:val="sr-Latn-ME"/>
        </w:rPr>
      </w:pPr>
      <w:r w:rsidRPr="00A14E37">
        <w:rPr>
          <w:rFonts w:ascii="Times New Roman" w:hAnsi="Times New Roman" w:cs="Times New Roman"/>
          <w:b/>
          <w:i/>
          <w:noProof/>
          <w:color w:val="000000"/>
          <w:sz w:val="22"/>
          <w:szCs w:val="22"/>
          <w:u w:val="single"/>
          <w:lang w:val="sr-Latn-ME"/>
        </w:rPr>
        <w:t>Ljekovi koji smanjuju nivo ciklosporina</w:t>
      </w:r>
    </w:p>
    <w:p w14:paraId="664A4117" w14:textId="40CCBCBC" w:rsidR="00BB702A" w:rsidRPr="00A14E37" w:rsidRDefault="00BB702A" w:rsidP="002045DA">
      <w:pPr>
        <w:jc w:val="both"/>
        <w:rPr>
          <w:sz w:val="22"/>
          <w:szCs w:val="22"/>
          <w:lang w:val="sr-Latn-ME"/>
        </w:rPr>
      </w:pPr>
      <w:r w:rsidRPr="00A14E37">
        <w:rPr>
          <w:sz w:val="22"/>
          <w:szCs w:val="22"/>
          <w:lang w:val="sr-Latn-ME"/>
        </w:rPr>
        <w:t>Očekuje se da svi induktori CYP3A4 i/ili P-</w:t>
      </w:r>
      <w:r w:rsidR="0042261E" w:rsidRPr="00A14E37">
        <w:rPr>
          <w:sz w:val="22"/>
          <w:szCs w:val="22"/>
          <w:lang w:val="sr-Latn-ME"/>
        </w:rPr>
        <w:t>gp</w:t>
      </w:r>
      <w:r w:rsidRPr="00A14E37">
        <w:rPr>
          <w:sz w:val="22"/>
          <w:szCs w:val="22"/>
          <w:lang w:val="sr-Latn-ME"/>
        </w:rPr>
        <w:t xml:space="preserve"> smanjuju nivo ciklosporina. Primjeri ljekova koji smanjuju nivo ciklosporina su:</w:t>
      </w:r>
    </w:p>
    <w:p w14:paraId="49AFFC73" w14:textId="77777777" w:rsidR="00BB702A" w:rsidRPr="00A14E37" w:rsidRDefault="00BB702A" w:rsidP="00B37A2A">
      <w:pPr>
        <w:pStyle w:val="Text"/>
        <w:rPr>
          <w:i/>
          <w:noProof/>
          <w:color w:val="000000"/>
          <w:sz w:val="22"/>
          <w:szCs w:val="22"/>
          <w:lang w:val="sr-Latn-ME"/>
        </w:rPr>
      </w:pPr>
      <w:r w:rsidRPr="00A14E37">
        <w:rPr>
          <w:i/>
          <w:noProof/>
          <w:color w:val="000000"/>
          <w:sz w:val="22"/>
          <w:szCs w:val="22"/>
          <w:lang w:val="sr-Latn-ME"/>
        </w:rPr>
        <w:t>Barbiturati, karbamazepin, okskarbazepin, fenitoin; nafcilin, sulfadimidin i.v.; probukol; orlistat; hypericum perforatum (kantarion); tiklopidin, sulfinpirazon, terbinafin, bosentan.</w:t>
      </w:r>
    </w:p>
    <w:p w14:paraId="7F74B398" w14:textId="33405792"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Proizvodi koji sadrže </w:t>
      </w:r>
      <w:r w:rsidRPr="00A14E37">
        <w:rPr>
          <w:i/>
          <w:noProof/>
          <w:color w:val="000000"/>
          <w:sz w:val="22"/>
          <w:szCs w:val="22"/>
          <w:lang w:val="sr-Latn-ME"/>
        </w:rPr>
        <w:t>Hypericum perforatum</w:t>
      </w:r>
      <w:r w:rsidRPr="00A14E37">
        <w:rPr>
          <w:noProof/>
          <w:color w:val="000000"/>
          <w:sz w:val="22"/>
          <w:szCs w:val="22"/>
          <w:lang w:val="sr-Latn-ME"/>
        </w:rPr>
        <w:t xml:space="preserve"> (kantarion) ne smiju se koristiti zajedno sa lijekom Sandimmun Neoral zbog rizika od smanjenja nivoa ciklosporina u krvi i time smanjenog dejstva (vidjeti </w:t>
      </w:r>
      <w:r w:rsidR="00C37D5C" w:rsidRPr="00A14E37">
        <w:rPr>
          <w:noProof/>
          <w:color w:val="000000"/>
          <w:sz w:val="22"/>
          <w:szCs w:val="22"/>
          <w:lang w:val="sr-Latn-ME"/>
        </w:rPr>
        <w:t>dio</w:t>
      </w:r>
      <w:r w:rsidRPr="00A14E37">
        <w:rPr>
          <w:noProof/>
          <w:color w:val="000000"/>
          <w:sz w:val="22"/>
          <w:szCs w:val="22"/>
          <w:lang w:val="sr-Latn-ME"/>
        </w:rPr>
        <w:t xml:space="preserve"> 4.3).</w:t>
      </w:r>
    </w:p>
    <w:p w14:paraId="3B1ADD08" w14:textId="77777777" w:rsidR="00BB702A" w:rsidRPr="00A14E37" w:rsidRDefault="00BB702A" w:rsidP="006D0274">
      <w:pPr>
        <w:pStyle w:val="Text"/>
        <w:rPr>
          <w:noProof/>
          <w:color w:val="000000"/>
          <w:sz w:val="22"/>
          <w:szCs w:val="22"/>
          <w:lang w:val="sr-Latn-ME"/>
        </w:rPr>
      </w:pPr>
      <w:r w:rsidRPr="00A14E37">
        <w:rPr>
          <w:i/>
          <w:noProof/>
          <w:color w:val="000000"/>
          <w:sz w:val="22"/>
          <w:szCs w:val="22"/>
          <w:lang w:val="sr-Latn-ME"/>
        </w:rPr>
        <w:t>Rifampicin</w:t>
      </w:r>
      <w:r w:rsidRPr="00A14E37">
        <w:rPr>
          <w:noProof/>
          <w:color w:val="000000"/>
          <w:sz w:val="22"/>
          <w:szCs w:val="22"/>
          <w:lang w:val="sr-Latn-ME"/>
        </w:rPr>
        <w:t xml:space="preserve"> indukuje metabolizam ciklosporina u crijevima i jetri. Doze ciklosporina možda treba da se povećaju 3 do 5 puta tokom istovremene primjene.</w:t>
      </w:r>
    </w:p>
    <w:p w14:paraId="109E5DD7" w14:textId="03036BC2" w:rsidR="00BB702A" w:rsidRPr="00A14E37" w:rsidRDefault="00BB702A" w:rsidP="000E6E8B">
      <w:pPr>
        <w:pStyle w:val="Text"/>
        <w:rPr>
          <w:noProof/>
          <w:color w:val="000000"/>
          <w:sz w:val="22"/>
          <w:szCs w:val="22"/>
          <w:lang w:val="sr-Latn-ME"/>
        </w:rPr>
      </w:pPr>
      <w:r w:rsidRPr="00A14E37">
        <w:rPr>
          <w:i/>
          <w:noProof/>
          <w:color w:val="000000"/>
          <w:sz w:val="22"/>
          <w:szCs w:val="22"/>
          <w:lang w:val="sr-Latn-ME"/>
        </w:rPr>
        <w:t>Oktreotid</w:t>
      </w:r>
      <w:r w:rsidRPr="00A14E37">
        <w:rPr>
          <w:noProof/>
          <w:color w:val="000000"/>
          <w:sz w:val="22"/>
          <w:szCs w:val="22"/>
          <w:lang w:val="sr-Latn-ME"/>
        </w:rPr>
        <w:t xml:space="preserve"> smanjuje </w:t>
      </w:r>
      <w:r w:rsidR="009404D7" w:rsidRPr="00A14E37">
        <w:rPr>
          <w:noProof/>
          <w:color w:val="000000"/>
          <w:sz w:val="22"/>
          <w:szCs w:val="22"/>
          <w:lang w:val="sr-Latn-ME"/>
        </w:rPr>
        <w:t>re</w:t>
      </w:r>
      <w:r w:rsidRPr="00A14E37">
        <w:rPr>
          <w:noProof/>
          <w:color w:val="000000"/>
          <w:sz w:val="22"/>
          <w:szCs w:val="22"/>
          <w:lang w:val="sr-Latn-ME"/>
        </w:rPr>
        <w:t>sorpciju oralno datog ciklosporina i neophodno je povećanje doze ciklosporina za 50% ili prelazak na intravensku primjenu.</w:t>
      </w:r>
    </w:p>
    <w:p w14:paraId="2682C418" w14:textId="77777777" w:rsidR="00BB702A" w:rsidRPr="00A14E37" w:rsidRDefault="00BB702A" w:rsidP="002045DA">
      <w:pPr>
        <w:pStyle w:val="Heading3"/>
        <w:jc w:val="both"/>
        <w:rPr>
          <w:rFonts w:ascii="Times New Roman" w:hAnsi="Times New Roman" w:cs="Times New Roman"/>
          <w:noProof/>
          <w:color w:val="000000"/>
          <w:sz w:val="22"/>
          <w:szCs w:val="22"/>
          <w:u w:val="single"/>
          <w:lang w:val="sr-Latn-ME"/>
        </w:rPr>
      </w:pPr>
    </w:p>
    <w:p w14:paraId="01A98F09" w14:textId="77777777" w:rsidR="00BB702A" w:rsidRPr="00A14E37" w:rsidRDefault="00BB702A" w:rsidP="00B37A2A">
      <w:pPr>
        <w:pStyle w:val="Heading3"/>
        <w:jc w:val="both"/>
        <w:rPr>
          <w:rFonts w:ascii="Times New Roman" w:hAnsi="Times New Roman" w:cs="Times New Roman"/>
          <w:b/>
          <w:i/>
          <w:noProof/>
          <w:color w:val="000000"/>
          <w:sz w:val="22"/>
          <w:szCs w:val="22"/>
          <w:u w:val="single"/>
          <w:lang w:val="sr-Latn-ME"/>
        </w:rPr>
      </w:pPr>
      <w:r w:rsidRPr="00A14E37">
        <w:rPr>
          <w:rFonts w:ascii="Times New Roman" w:hAnsi="Times New Roman" w:cs="Times New Roman"/>
          <w:b/>
          <w:i/>
          <w:noProof/>
          <w:color w:val="000000"/>
          <w:sz w:val="22"/>
          <w:szCs w:val="22"/>
          <w:u w:val="single"/>
          <w:lang w:val="sr-Latn-ME"/>
        </w:rPr>
        <w:t>Ljekovi koji povećavaju nivo ciklosporina</w:t>
      </w:r>
    </w:p>
    <w:p w14:paraId="60E0F63A" w14:textId="2E8F1810" w:rsidR="00BB702A" w:rsidRPr="00A14E37" w:rsidRDefault="00BB702A" w:rsidP="002045DA">
      <w:pPr>
        <w:jc w:val="both"/>
        <w:rPr>
          <w:sz w:val="22"/>
          <w:szCs w:val="22"/>
          <w:lang w:val="sr-Latn-ME"/>
        </w:rPr>
      </w:pPr>
      <w:r w:rsidRPr="00A14E37">
        <w:rPr>
          <w:sz w:val="22"/>
          <w:szCs w:val="22"/>
          <w:lang w:val="sr-Latn-ME"/>
        </w:rPr>
        <w:t>Svi inhibitori CYP3A4 i/ili P-</w:t>
      </w:r>
      <w:r w:rsidR="0042261E" w:rsidRPr="00A14E37">
        <w:rPr>
          <w:sz w:val="22"/>
          <w:szCs w:val="22"/>
          <w:lang w:val="sr-Latn-ME"/>
        </w:rPr>
        <w:t>gp</w:t>
      </w:r>
      <w:r w:rsidRPr="00A14E37">
        <w:rPr>
          <w:sz w:val="22"/>
          <w:szCs w:val="22"/>
          <w:lang w:val="sr-Latn-ME"/>
        </w:rPr>
        <w:t xml:space="preserve"> mogu dovesti do povećanja vrijednosti ciklosporina.</w:t>
      </w:r>
    </w:p>
    <w:p w14:paraId="3153047C" w14:textId="77777777" w:rsidR="00BB702A" w:rsidRPr="00A14E37" w:rsidRDefault="00BB702A" w:rsidP="002045DA">
      <w:pPr>
        <w:jc w:val="both"/>
        <w:rPr>
          <w:sz w:val="22"/>
          <w:szCs w:val="22"/>
          <w:lang w:val="sr-Latn-ME"/>
        </w:rPr>
      </w:pPr>
      <w:r w:rsidRPr="00A14E37">
        <w:rPr>
          <w:sz w:val="22"/>
          <w:szCs w:val="22"/>
          <w:lang w:val="sr-Latn-ME"/>
        </w:rPr>
        <w:t>Primjeri su:</w:t>
      </w:r>
    </w:p>
    <w:p w14:paraId="58DFE030" w14:textId="77777777" w:rsidR="00BB702A" w:rsidRPr="00A14E37" w:rsidRDefault="00BB702A" w:rsidP="002045DA">
      <w:pPr>
        <w:jc w:val="both"/>
        <w:rPr>
          <w:sz w:val="22"/>
          <w:szCs w:val="22"/>
          <w:lang w:val="sr-Latn-ME"/>
        </w:rPr>
      </w:pPr>
    </w:p>
    <w:p w14:paraId="1FA874CB" w14:textId="77777777" w:rsidR="00BB702A" w:rsidRPr="00A14E37" w:rsidRDefault="00BB702A" w:rsidP="002045DA">
      <w:pPr>
        <w:jc w:val="both"/>
        <w:rPr>
          <w:i/>
          <w:sz w:val="22"/>
          <w:szCs w:val="22"/>
          <w:lang w:val="sr-Latn-ME"/>
        </w:rPr>
      </w:pPr>
      <w:r w:rsidRPr="00A14E37">
        <w:rPr>
          <w:i/>
          <w:sz w:val="22"/>
          <w:szCs w:val="22"/>
          <w:lang w:val="sr-Latn-ME"/>
        </w:rPr>
        <w:t>Nikardipin, metoklopramid, oralni kontraceptivi, metilprednizolon (visoke doze), alopurinol, holna kiselina i derivati, inhibitori proteaze, imatinib, kolhicin, nefazodon.</w:t>
      </w:r>
    </w:p>
    <w:p w14:paraId="1C95640B" w14:textId="77777777" w:rsidR="00BB702A" w:rsidRPr="00A14E37" w:rsidRDefault="00BB702A" w:rsidP="00B37A2A">
      <w:pPr>
        <w:pStyle w:val="Text"/>
        <w:rPr>
          <w:noProof/>
          <w:color w:val="000000"/>
          <w:spacing w:val="-3"/>
          <w:sz w:val="22"/>
          <w:szCs w:val="22"/>
          <w:lang w:val="sr-Latn-ME"/>
        </w:rPr>
      </w:pPr>
      <w:r w:rsidRPr="00A14E37">
        <w:rPr>
          <w:i/>
          <w:noProof/>
          <w:color w:val="000000"/>
          <w:sz w:val="22"/>
          <w:szCs w:val="22"/>
          <w:lang w:val="sr-Latn-ME"/>
        </w:rPr>
        <w:t>Makrolidni antibiotici:</w:t>
      </w:r>
      <w:r w:rsidRPr="00A14E37">
        <w:rPr>
          <w:i/>
          <w:noProof/>
          <w:color w:val="000000"/>
          <w:spacing w:val="-3"/>
          <w:sz w:val="22"/>
          <w:szCs w:val="22"/>
          <w:lang w:val="sr-Latn-ME"/>
        </w:rPr>
        <w:t xml:space="preserve"> eritromicin</w:t>
      </w:r>
      <w:r w:rsidRPr="00A14E37">
        <w:rPr>
          <w:noProof/>
          <w:color w:val="000000"/>
          <w:spacing w:val="-3"/>
          <w:sz w:val="22"/>
          <w:szCs w:val="22"/>
          <w:lang w:val="sr-Latn-ME"/>
        </w:rPr>
        <w:t xml:space="preserve"> može da poveća izloženost ciklosporinu 4 do 7 puta, što ponekad dovodi do nefrotoksičnosti. Prijavljeno je da </w:t>
      </w:r>
      <w:r w:rsidRPr="00A14E37">
        <w:rPr>
          <w:i/>
          <w:noProof/>
          <w:color w:val="000000"/>
          <w:spacing w:val="-3"/>
          <w:sz w:val="22"/>
          <w:szCs w:val="22"/>
          <w:lang w:val="sr-Latn-ME"/>
        </w:rPr>
        <w:t>klaritromicin</w:t>
      </w:r>
      <w:r w:rsidRPr="00A14E37">
        <w:rPr>
          <w:noProof/>
          <w:color w:val="000000"/>
          <w:spacing w:val="-3"/>
          <w:sz w:val="22"/>
          <w:szCs w:val="22"/>
          <w:lang w:val="sr-Latn-ME"/>
        </w:rPr>
        <w:t xml:space="preserve"> udvostručuje izloženost ciklosporina. </w:t>
      </w:r>
      <w:r w:rsidRPr="00A14E37">
        <w:rPr>
          <w:i/>
          <w:noProof/>
          <w:color w:val="000000"/>
          <w:spacing w:val="-3"/>
          <w:sz w:val="22"/>
          <w:szCs w:val="22"/>
          <w:lang w:val="sr-Latn-ME"/>
        </w:rPr>
        <w:t>Azitromicin</w:t>
      </w:r>
      <w:r w:rsidRPr="00A14E37">
        <w:rPr>
          <w:noProof/>
          <w:color w:val="000000"/>
          <w:spacing w:val="-3"/>
          <w:sz w:val="22"/>
          <w:szCs w:val="22"/>
          <w:lang w:val="sr-Latn-ME"/>
        </w:rPr>
        <w:t xml:space="preserve"> povećava nivo ciklosporina za oko 20%.</w:t>
      </w:r>
    </w:p>
    <w:p w14:paraId="2A2BBABC" w14:textId="77777777" w:rsidR="00BB702A" w:rsidRPr="00A14E37" w:rsidRDefault="00BB702A" w:rsidP="00B37A2A">
      <w:pPr>
        <w:pStyle w:val="Heading3"/>
        <w:jc w:val="both"/>
        <w:rPr>
          <w:rFonts w:ascii="Times New Roman" w:hAnsi="Times New Roman" w:cs="Times New Roman"/>
          <w:noProof/>
          <w:color w:val="000000"/>
          <w:sz w:val="22"/>
          <w:szCs w:val="22"/>
          <w:lang w:val="sr-Latn-ME"/>
        </w:rPr>
      </w:pPr>
    </w:p>
    <w:p w14:paraId="6AA795BC" w14:textId="13FF6DD6" w:rsidR="00BB702A" w:rsidRPr="00A14E37" w:rsidRDefault="00BB702A" w:rsidP="002045DA">
      <w:pPr>
        <w:jc w:val="both"/>
        <w:rPr>
          <w:sz w:val="22"/>
          <w:szCs w:val="22"/>
          <w:lang w:val="sr-Latn-ME"/>
        </w:rPr>
      </w:pPr>
      <w:r w:rsidRPr="00A14E37">
        <w:rPr>
          <w:i/>
          <w:sz w:val="22"/>
          <w:szCs w:val="22"/>
          <w:lang w:val="sr-Latn-ME"/>
        </w:rPr>
        <w:t xml:space="preserve">Azolni </w:t>
      </w:r>
      <w:r w:rsidR="0014229B" w:rsidRPr="00A14E37">
        <w:rPr>
          <w:i/>
          <w:sz w:val="22"/>
          <w:szCs w:val="22"/>
          <w:lang w:val="sr-Latn-ME"/>
        </w:rPr>
        <w:t>antimikotici</w:t>
      </w:r>
      <w:r w:rsidRPr="00A14E37">
        <w:rPr>
          <w:i/>
          <w:sz w:val="22"/>
          <w:szCs w:val="22"/>
          <w:lang w:val="sr-Latn-ME"/>
        </w:rPr>
        <w:t>:</w:t>
      </w:r>
      <w:r w:rsidRPr="00A14E37">
        <w:rPr>
          <w:sz w:val="22"/>
          <w:szCs w:val="22"/>
          <w:lang w:val="sr-Latn-ME"/>
        </w:rPr>
        <w:t xml:space="preserve"> </w:t>
      </w:r>
      <w:r w:rsidRPr="00A14E37">
        <w:rPr>
          <w:i/>
          <w:sz w:val="22"/>
          <w:szCs w:val="22"/>
          <w:lang w:val="sr-Latn-ME"/>
        </w:rPr>
        <w:t xml:space="preserve">ketokonazol, flukokonazol, itrakonazol </w:t>
      </w:r>
      <w:r w:rsidRPr="00A14E37">
        <w:rPr>
          <w:sz w:val="22"/>
          <w:szCs w:val="22"/>
          <w:lang w:val="sr-Latn-ME"/>
        </w:rPr>
        <w:t>i</w:t>
      </w:r>
      <w:r w:rsidRPr="00A14E37">
        <w:rPr>
          <w:i/>
          <w:sz w:val="22"/>
          <w:szCs w:val="22"/>
          <w:lang w:val="sr-Latn-ME"/>
        </w:rPr>
        <w:t xml:space="preserve"> vorikonazol</w:t>
      </w:r>
      <w:r w:rsidRPr="00A14E37">
        <w:rPr>
          <w:sz w:val="22"/>
          <w:szCs w:val="22"/>
          <w:lang w:val="sr-Latn-ME"/>
        </w:rPr>
        <w:t xml:space="preserve"> mogu da povećaju izloženost ciklosporinu više od dva puta.</w:t>
      </w:r>
    </w:p>
    <w:p w14:paraId="3A284C87" w14:textId="77777777" w:rsidR="00BB702A" w:rsidRPr="00A14E37" w:rsidRDefault="00BB702A" w:rsidP="002045DA">
      <w:pPr>
        <w:jc w:val="both"/>
        <w:rPr>
          <w:sz w:val="22"/>
          <w:szCs w:val="22"/>
          <w:lang w:val="sr-Latn-ME"/>
        </w:rPr>
      </w:pPr>
    </w:p>
    <w:p w14:paraId="370C9ADB" w14:textId="77777777" w:rsidR="00BB702A" w:rsidRPr="00A14E37" w:rsidRDefault="00BB702A" w:rsidP="002045DA">
      <w:pPr>
        <w:jc w:val="both"/>
        <w:rPr>
          <w:sz w:val="22"/>
          <w:szCs w:val="22"/>
          <w:lang w:val="sr-Latn-ME"/>
        </w:rPr>
      </w:pPr>
      <w:r w:rsidRPr="00A14E37">
        <w:rPr>
          <w:i/>
          <w:sz w:val="22"/>
          <w:szCs w:val="22"/>
          <w:lang w:val="sr-Latn-ME"/>
        </w:rPr>
        <w:t>Verapamil</w:t>
      </w:r>
      <w:r w:rsidRPr="00A14E37">
        <w:rPr>
          <w:sz w:val="22"/>
          <w:szCs w:val="22"/>
          <w:lang w:val="sr-Latn-ME"/>
        </w:rPr>
        <w:t xml:space="preserve"> povećava koncentraciju ciklosporina u krvi 2 do 3 puta.</w:t>
      </w:r>
    </w:p>
    <w:p w14:paraId="799D85CB" w14:textId="77777777" w:rsidR="00BB702A" w:rsidRPr="00A14E37" w:rsidRDefault="00BB702A" w:rsidP="002045DA">
      <w:pPr>
        <w:jc w:val="both"/>
        <w:rPr>
          <w:sz w:val="22"/>
          <w:szCs w:val="22"/>
          <w:lang w:val="sr-Latn-ME"/>
        </w:rPr>
      </w:pPr>
    </w:p>
    <w:p w14:paraId="2B22AC77" w14:textId="10E0C5E3" w:rsidR="00BB702A" w:rsidRPr="00A14E37" w:rsidRDefault="00BB702A" w:rsidP="002045DA">
      <w:pPr>
        <w:jc w:val="both"/>
        <w:rPr>
          <w:sz w:val="22"/>
          <w:szCs w:val="22"/>
          <w:lang w:val="sr-Latn-ME"/>
        </w:rPr>
      </w:pPr>
      <w:r w:rsidRPr="00A14E37">
        <w:rPr>
          <w:sz w:val="22"/>
          <w:szCs w:val="22"/>
          <w:lang w:val="sr-Latn-ME"/>
        </w:rPr>
        <w:t xml:space="preserve">Istovremena primjena sa </w:t>
      </w:r>
      <w:r w:rsidRPr="00A14E37">
        <w:rPr>
          <w:i/>
          <w:sz w:val="22"/>
          <w:szCs w:val="22"/>
          <w:lang w:val="sr-Latn-ME"/>
        </w:rPr>
        <w:t>telaprevirom</w:t>
      </w:r>
      <w:r w:rsidRPr="00A14E37">
        <w:rPr>
          <w:sz w:val="22"/>
          <w:szCs w:val="22"/>
          <w:lang w:val="sr-Latn-ME"/>
        </w:rPr>
        <w:t xml:space="preserve"> dovodi do porasta približno 4</w:t>
      </w:r>
      <w:r w:rsidR="00ED77E1" w:rsidRPr="00A14E37">
        <w:rPr>
          <w:sz w:val="22"/>
          <w:szCs w:val="22"/>
          <w:lang w:val="sr-Latn-ME"/>
        </w:rPr>
        <w:t>,</w:t>
      </w:r>
      <w:r w:rsidRPr="00A14E37">
        <w:rPr>
          <w:sz w:val="22"/>
          <w:szCs w:val="22"/>
          <w:lang w:val="sr-Latn-ME"/>
        </w:rPr>
        <w:t xml:space="preserve">64 puta izloženosti normalizovanih doza ciklosporina (PIK). </w:t>
      </w:r>
    </w:p>
    <w:p w14:paraId="6C3F2479" w14:textId="77777777" w:rsidR="00BB702A" w:rsidRPr="00A14E37" w:rsidRDefault="00BB702A" w:rsidP="002045DA">
      <w:pPr>
        <w:jc w:val="both"/>
        <w:rPr>
          <w:sz w:val="22"/>
          <w:szCs w:val="22"/>
          <w:lang w:val="sr-Latn-ME"/>
        </w:rPr>
      </w:pPr>
    </w:p>
    <w:p w14:paraId="4D672E97" w14:textId="08537F3B" w:rsidR="00BB702A" w:rsidRPr="00A14E37" w:rsidRDefault="00BB702A" w:rsidP="002045DA">
      <w:pPr>
        <w:jc w:val="both"/>
        <w:rPr>
          <w:sz w:val="22"/>
          <w:szCs w:val="22"/>
          <w:lang w:val="sr-Latn-ME"/>
        </w:rPr>
      </w:pPr>
      <w:r w:rsidRPr="00A14E37">
        <w:rPr>
          <w:i/>
          <w:sz w:val="22"/>
          <w:szCs w:val="22"/>
          <w:lang w:val="sr-Latn-ME"/>
        </w:rPr>
        <w:lastRenderedPageBreak/>
        <w:t>Amjodaron</w:t>
      </w:r>
      <w:r w:rsidRPr="00A14E37">
        <w:rPr>
          <w:sz w:val="22"/>
          <w:szCs w:val="22"/>
          <w:lang w:val="sr-Latn-ME"/>
        </w:rPr>
        <w:t xml:space="preserve"> značajno povećava koncentraciju ciklosporina u plazmi istovremeno sa povećanjem kreatinina u serumu. Ova interakcija se može javiti dugo nakon obustavljanja amjodarona, zbog veoma dugog poluvremena eliminacije (</w:t>
      </w:r>
      <w:r w:rsidR="00D01254" w:rsidRPr="00A14E37">
        <w:rPr>
          <w:sz w:val="22"/>
          <w:szCs w:val="22"/>
          <w:lang w:val="sr-Latn-ME"/>
        </w:rPr>
        <w:t xml:space="preserve">oko </w:t>
      </w:r>
      <w:r w:rsidRPr="00A14E37">
        <w:rPr>
          <w:sz w:val="22"/>
          <w:szCs w:val="22"/>
          <w:lang w:val="sr-Latn-ME"/>
        </w:rPr>
        <w:t>50 dana).</w:t>
      </w:r>
    </w:p>
    <w:p w14:paraId="0A7341C8" w14:textId="77777777" w:rsidR="00BB702A" w:rsidRPr="00A14E37" w:rsidRDefault="00BB702A" w:rsidP="002045DA">
      <w:pPr>
        <w:jc w:val="both"/>
        <w:rPr>
          <w:sz w:val="22"/>
          <w:szCs w:val="22"/>
          <w:lang w:val="sr-Latn-ME"/>
        </w:rPr>
      </w:pPr>
    </w:p>
    <w:p w14:paraId="02AF50DB" w14:textId="77777777" w:rsidR="00BB702A" w:rsidRPr="00A14E37" w:rsidRDefault="00BB702A" w:rsidP="002045DA">
      <w:pPr>
        <w:jc w:val="both"/>
        <w:rPr>
          <w:i/>
          <w:sz w:val="22"/>
          <w:szCs w:val="22"/>
          <w:lang w:val="sr-Latn-ME"/>
        </w:rPr>
      </w:pPr>
      <w:r w:rsidRPr="00A14E37">
        <w:rPr>
          <w:sz w:val="22"/>
          <w:szCs w:val="22"/>
          <w:lang w:val="sr-Latn-ME"/>
        </w:rPr>
        <w:t xml:space="preserve">Prijavljeno je da </w:t>
      </w:r>
      <w:r w:rsidRPr="00A14E37">
        <w:rPr>
          <w:i/>
          <w:sz w:val="22"/>
          <w:szCs w:val="22"/>
          <w:lang w:val="sr-Latn-ME"/>
        </w:rPr>
        <w:t xml:space="preserve">danazol </w:t>
      </w:r>
      <w:r w:rsidRPr="00A14E37">
        <w:rPr>
          <w:sz w:val="22"/>
          <w:szCs w:val="22"/>
          <w:lang w:val="sr-Latn-ME"/>
        </w:rPr>
        <w:t xml:space="preserve">povećava koncentraciju ciklosporina u krvi za približno 50%. </w:t>
      </w:r>
    </w:p>
    <w:p w14:paraId="1ABD81B5" w14:textId="77777777" w:rsidR="00BB702A" w:rsidRPr="00A14E37" w:rsidRDefault="00BB702A" w:rsidP="002045DA">
      <w:pPr>
        <w:jc w:val="both"/>
        <w:rPr>
          <w:sz w:val="22"/>
          <w:szCs w:val="22"/>
          <w:lang w:val="sr-Latn-ME"/>
        </w:rPr>
      </w:pPr>
    </w:p>
    <w:p w14:paraId="7325AD4F" w14:textId="77777777" w:rsidR="00BB702A" w:rsidRPr="00A14E37" w:rsidRDefault="00BB702A" w:rsidP="002045DA">
      <w:pPr>
        <w:jc w:val="both"/>
        <w:rPr>
          <w:sz w:val="22"/>
          <w:szCs w:val="22"/>
          <w:lang w:val="sr-Latn-ME"/>
        </w:rPr>
      </w:pPr>
      <w:r w:rsidRPr="00A14E37">
        <w:rPr>
          <w:i/>
          <w:sz w:val="22"/>
          <w:szCs w:val="22"/>
          <w:lang w:val="sr-Latn-ME"/>
        </w:rPr>
        <w:t>Diltiazem</w:t>
      </w:r>
      <w:r w:rsidRPr="00A14E37">
        <w:rPr>
          <w:sz w:val="22"/>
          <w:szCs w:val="22"/>
          <w:lang w:val="sr-Latn-ME"/>
        </w:rPr>
        <w:t xml:space="preserve"> (u dozama od 90 mg/dan) može da poveća koncentraciju ciklosporina u plazmi do 50%.</w:t>
      </w:r>
    </w:p>
    <w:p w14:paraId="07769528" w14:textId="77777777" w:rsidR="00BB702A" w:rsidRPr="00A14E37" w:rsidRDefault="00BB702A" w:rsidP="002045DA">
      <w:pPr>
        <w:jc w:val="both"/>
        <w:rPr>
          <w:sz w:val="22"/>
          <w:szCs w:val="22"/>
          <w:lang w:val="sr-Latn-ME"/>
        </w:rPr>
      </w:pPr>
    </w:p>
    <w:p w14:paraId="6B44D0E8" w14:textId="77777777" w:rsidR="00BB702A" w:rsidRPr="00A14E37" w:rsidRDefault="00BB702A" w:rsidP="002045DA">
      <w:pPr>
        <w:jc w:val="both"/>
        <w:rPr>
          <w:sz w:val="22"/>
          <w:szCs w:val="22"/>
          <w:lang w:val="sr-Latn-ME"/>
        </w:rPr>
      </w:pPr>
      <w:r w:rsidRPr="00A14E37">
        <w:rPr>
          <w:i/>
          <w:sz w:val="22"/>
          <w:szCs w:val="22"/>
          <w:lang w:val="sr-Latn-ME"/>
        </w:rPr>
        <w:t>Imatinib</w:t>
      </w:r>
      <w:r w:rsidRPr="00A14E37">
        <w:rPr>
          <w:sz w:val="22"/>
          <w:szCs w:val="22"/>
          <w:lang w:val="sr-Latn-ME"/>
        </w:rPr>
        <w:t xml:space="preserve"> može povećati izloženost ciklosporinu i C</w:t>
      </w:r>
      <w:r w:rsidRPr="00A14E37">
        <w:rPr>
          <w:sz w:val="22"/>
          <w:szCs w:val="22"/>
          <w:vertAlign w:val="subscript"/>
          <w:lang w:val="sr-Latn-ME"/>
        </w:rPr>
        <w:t>max</w:t>
      </w:r>
      <w:r w:rsidRPr="00A14E37">
        <w:rPr>
          <w:sz w:val="22"/>
          <w:szCs w:val="22"/>
          <w:lang w:val="sr-Latn-ME"/>
        </w:rPr>
        <w:t xml:space="preserve"> za oko 20%.</w:t>
      </w:r>
    </w:p>
    <w:p w14:paraId="4A0F4905" w14:textId="63086C20" w:rsidR="00BB702A" w:rsidRPr="00A14E37" w:rsidRDefault="00BB702A" w:rsidP="00B37A2A">
      <w:pPr>
        <w:pStyle w:val="Heading3"/>
        <w:jc w:val="both"/>
        <w:rPr>
          <w:rFonts w:ascii="Times New Roman" w:hAnsi="Times New Roman" w:cs="Times New Roman"/>
          <w:noProof/>
          <w:color w:val="000000"/>
          <w:sz w:val="22"/>
          <w:szCs w:val="22"/>
          <w:lang w:val="sr-Latn-ME"/>
        </w:rPr>
      </w:pPr>
    </w:p>
    <w:p w14:paraId="4EB6088E" w14:textId="5CBA343C" w:rsidR="00267F78" w:rsidRPr="00A14E37" w:rsidRDefault="00267F78" w:rsidP="00B37A2A">
      <w:pPr>
        <w:tabs>
          <w:tab w:val="left" w:pos="284"/>
        </w:tabs>
        <w:jc w:val="both"/>
        <w:rPr>
          <w:sz w:val="22"/>
          <w:szCs w:val="22"/>
          <w:lang w:val="sr-Latn-ME"/>
        </w:rPr>
      </w:pPr>
      <w:r w:rsidRPr="00A14E37">
        <w:rPr>
          <w:i/>
          <w:iCs/>
          <w:sz w:val="22"/>
          <w:szCs w:val="22"/>
          <w:lang w:val="sr-Latn-ME"/>
        </w:rPr>
        <w:t>Kanabidiol (P-gp inhibitor)</w:t>
      </w:r>
      <w:r w:rsidRPr="00A14E37">
        <w:rPr>
          <w:sz w:val="22"/>
          <w:szCs w:val="22"/>
          <w:lang w:val="sr-Latn-ME"/>
        </w:rPr>
        <w:t>: Bilo je prijava povišenih koncentracija u krvi drugih inhibitora kalcineurina prilikom istovremene upotrebe sa kanabidiolom. Do ove interakcije može doći usl</w:t>
      </w:r>
      <w:r w:rsidR="00354D22" w:rsidRPr="00A14E37">
        <w:rPr>
          <w:sz w:val="22"/>
          <w:szCs w:val="22"/>
          <w:lang w:val="sr-Latn-ME"/>
        </w:rPr>
        <w:t>j</w:t>
      </w:r>
      <w:r w:rsidRPr="00A14E37">
        <w:rPr>
          <w:sz w:val="22"/>
          <w:szCs w:val="22"/>
          <w:lang w:val="sr-Latn-ME"/>
        </w:rPr>
        <w:t>ed inhibicije intestinalne efluksne pumpe P-</w:t>
      </w:r>
      <w:r w:rsidR="0042261E" w:rsidRPr="00A14E37">
        <w:rPr>
          <w:sz w:val="22"/>
          <w:szCs w:val="22"/>
          <w:lang w:val="sr-Latn-ME"/>
        </w:rPr>
        <w:t>gp</w:t>
      </w:r>
      <w:r w:rsidRPr="00A14E37">
        <w:rPr>
          <w:sz w:val="22"/>
          <w:szCs w:val="22"/>
          <w:lang w:val="sr-Latn-ME"/>
        </w:rPr>
        <w:t>, što dovodi do povećane bioraspoloživosti inhibitora kalcineurina.</w:t>
      </w:r>
    </w:p>
    <w:p w14:paraId="38730C46" w14:textId="2245AC16" w:rsidR="00267F78" w:rsidRPr="00A14E37" w:rsidRDefault="00267F78" w:rsidP="006D0274">
      <w:pPr>
        <w:tabs>
          <w:tab w:val="left" w:pos="284"/>
        </w:tabs>
        <w:jc w:val="both"/>
        <w:rPr>
          <w:sz w:val="22"/>
          <w:szCs w:val="22"/>
          <w:lang w:val="sr-Latn-ME"/>
        </w:rPr>
      </w:pPr>
      <w:r w:rsidRPr="00A14E37">
        <w:rPr>
          <w:sz w:val="22"/>
          <w:szCs w:val="22"/>
          <w:lang w:val="sr-Latn-ME"/>
        </w:rPr>
        <w:t>Stoga ciklosporin i kanabidiol treba istovremeno prim</w:t>
      </w:r>
      <w:r w:rsidR="00354D22" w:rsidRPr="00A14E37">
        <w:rPr>
          <w:sz w:val="22"/>
          <w:szCs w:val="22"/>
          <w:lang w:val="sr-Latn-ME"/>
        </w:rPr>
        <w:t>j</w:t>
      </w:r>
      <w:r w:rsidRPr="00A14E37">
        <w:rPr>
          <w:sz w:val="22"/>
          <w:szCs w:val="22"/>
          <w:lang w:val="sr-Latn-ME"/>
        </w:rPr>
        <w:t>enjivati uz oprez i pažljivo praćenje neželjenih dejstava. Ukoliko je potrebno, pratiti koncentracije ciklosporina u punoj krvi i prilagoditi dozu ciklosporina kod primaoca transplanta. Kod pacijenata koji koriste l</w:t>
      </w:r>
      <w:r w:rsidR="00354D22" w:rsidRPr="00A14E37">
        <w:rPr>
          <w:sz w:val="22"/>
          <w:szCs w:val="22"/>
          <w:lang w:val="sr-Latn-ME"/>
        </w:rPr>
        <w:t>ij</w:t>
      </w:r>
      <w:r w:rsidRPr="00A14E37">
        <w:rPr>
          <w:sz w:val="22"/>
          <w:szCs w:val="22"/>
          <w:lang w:val="sr-Latn-ME"/>
        </w:rPr>
        <w:t>ek Sandimmun za indikacije koje ni</w:t>
      </w:r>
      <w:r w:rsidR="006E75FB" w:rsidRPr="00A14E37">
        <w:rPr>
          <w:sz w:val="22"/>
          <w:szCs w:val="22"/>
          <w:lang w:val="sr-Latn-ME"/>
        </w:rPr>
        <w:t>je</w:t>
      </w:r>
      <w:r w:rsidRPr="00A14E37">
        <w:rPr>
          <w:sz w:val="22"/>
          <w:szCs w:val="22"/>
          <w:lang w:val="sr-Latn-ME"/>
        </w:rPr>
        <w:t>su povezane sa transplantacijom treba razmotriti praćenje koncentracija ciklosporina u krvi, uz prilagođavanje doze ako je potrebno (vid</w:t>
      </w:r>
      <w:r w:rsidR="00354D22" w:rsidRPr="00A14E37">
        <w:rPr>
          <w:sz w:val="22"/>
          <w:szCs w:val="22"/>
          <w:lang w:val="sr-Latn-ME"/>
        </w:rPr>
        <w:t>j</w:t>
      </w:r>
      <w:r w:rsidRPr="00A14E37">
        <w:rPr>
          <w:sz w:val="22"/>
          <w:szCs w:val="22"/>
          <w:lang w:val="sr-Latn-ME"/>
        </w:rPr>
        <w:t xml:space="preserve">eti </w:t>
      </w:r>
      <w:r w:rsidR="00C37D5C" w:rsidRPr="00A14E37">
        <w:rPr>
          <w:sz w:val="22"/>
          <w:szCs w:val="22"/>
          <w:lang w:val="sr-Latn-ME"/>
        </w:rPr>
        <w:t>djelove</w:t>
      </w:r>
      <w:r w:rsidRPr="00A14E37">
        <w:rPr>
          <w:sz w:val="22"/>
          <w:szCs w:val="22"/>
          <w:lang w:val="sr-Latn-ME"/>
        </w:rPr>
        <w:t xml:space="preserve"> 4.2 i 4.4).</w:t>
      </w:r>
    </w:p>
    <w:p w14:paraId="5528FC97" w14:textId="77777777" w:rsidR="00267F78" w:rsidRPr="00A14E37" w:rsidRDefault="00267F78" w:rsidP="002045DA">
      <w:pPr>
        <w:jc w:val="both"/>
        <w:rPr>
          <w:sz w:val="22"/>
          <w:szCs w:val="22"/>
          <w:lang w:val="sr-Latn-ME"/>
        </w:rPr>
      </w:pPr>
    </w:p>
    <w:p w14:paraId="47711EA8" w14:textId="77777777" w:rsidR="00BB702A" w:rsidRPr="00A14E37" w:rsidRDefault="00BB702A" w:rsidP="002045DA">
      <w:pPr>
        <w:pStyle w:val="Heading3"/>
        <w:jc w:val="both"/>
        <w:rPr>
          <w:rFonts w:ascii="Times New Roman" w:hAnsi="Times New Roman" w:cs="Times New Roman"/>
          <w:b/>
          <w:noProof/>
          <w:color w:val="000000"/>
          <w:sz w:val="22"/>
          <w:szCs w:val="22"/>
          <w:u w:val="single"/>
          <w:lang w:val="sr-Latn-ME"/>
        </w:rPr>
      </w:pPr>
      <w:r w:rsidRPr="00A14E37">
        <w:rPr>
          <w:rFonts w:ascii="Times New Roman" w:hAnsi="Times New Roman" w:cs="Times New Roman"/>
          <w:b/>
          <w:noProof/>
          <w:color w:val="000000"/>
          <w:sz w:val="22"/>
          <w:szCs w:val="22"/>
          <w:u w:val="single"/>
          <w:lang w:val="sr-Latn-ME"/>
        </w:rPr>
        <w:t>Interakcije sa hranom</w:t>
      </w:r>
    </w:p>
    <w:p w14:paraId="59B1E4B4" w14:textId="64E9B3FF" w:rsidR="00BB702A" w:rsidRPr="00A14E37" w:rsidRDefault="00BB702A" w:rsidP="00B37A2A">
      <w:pPr>
        <w:pStyle w:val="Text"/>
        <w:rPr>
          <w:noProof/>
          <w:color w:val="000000"/>
          <w:sz w:val="22"/>
          <w:szCs w:val="22"/>
          <w:lang w:val="sr-Latn-ME"/>
        </w:rPr>
      </w:pPr>
      <w:r w:rsidRPr="00A14E37">
        <w:rPr>
          <w:noProof/>
          <w:color w:val="000000"/>
          <w:sz w:val="22"/>
          <w:szCs w:val="22"/>
          <w:lang w:val="sr-Latn-ME"/>
        </w:rPr>
        <w:t>Prijavljeno je da istovremeno uzimanje grej</w:t>
      </w:r>
      <w:r w:rsidR="00430D93" w:rsidRPr="00A14E37">
        <w:rPr>
          <w:noProof/>
          <w:color w:val="000000"/>
          <w:sz w:val="22"/>
          <w:szCs w:val="22"/>
          <w:lang w:val="sr-Latn-ME"/>
        </w:rPr>
        <w:t>p</w:t>
      </w:r>
      <w:r w:rsidRPr="00A14E37">
        <w:rPr>
          <w:noProof/>
          <w:color w:val="000000"/>
          <w:sz w:val="22"/>
          <w:szCs w:val="22"/>
          <w:lang w:val="sr-Latn-ME"/>
        </w:rPr>
        <w:t>fruta i soka od grejpfruta povećava biološku raspoloživost ciklosporina.</w:t>
      </w:r>
    </w:p>
    <w:p w14:paraId="189FA6C8" w14:textId="77777777" w:rsidR="00BB702A" w:rsidRPr="00A14E37" w:rsidRDefault="00BB702A" w:rsidP="002045DA">
      <w:pPr>
        <w:pStyle w:val="Heading3"/>
        <w:jc w:val="both"/>
        <w:rPr>
          <w:rFonts w:ascii="Times New Roman" w:hAnsi="Times New Roman" w:cs="Times New Roman"/>
          <w:noProof/>
          <w:color w:val="000000"/>
          <w:sz w:val="22"/>
          <w:szCs w:val="22"/>
          <w:lang w:val="sr-Latn-ME"/>
        </w:rPr>
      </w:pPr>
    </w:p>
    <w:p w14:paraId="3FCE14E2" w14:textId="77777777" w:rsidR="00BB702A" w:rsidRPr="00A14E37" w:rsidRDefault="00BB702A" w:rsidP="00B37A2A">
      <w:pPr>
        <w:pStyle w:val="Heading3"/>
        <w:jc w:val="both"/>
        <w:rPr>
          <w:rFonts w:ascii="Times New Roman" w:hAnsi="Times New Roman" w:cs="Times New Roman"/>
          <w:b/>
          <w:i/>
          <w:noProof/>
          <w:color w:val="000000"/>
          <w:sz w:val="22"/>
          <w:szCs w:val="22"/>
          <w:u w:val="single"/>
          <w:lang w:val="sr-Latn-ME"/>
        </w:rPr>
      </w:pPr>
      <w:r w:rsidRPr="00A14E37">
        <w:rPr>
          <w:rFonts w:ascii="Times New Roman" w:hAnsi="Times New Roman" w:cs="Times New Roman"/>
          <w:b/>
          <w:i/>
          <w:noProof/>
          <w:color w:val="000000"/>
          <w:sz w:val="22"/>
          <w:szCs w:val="22"/>
          <w:u w:val="single"/>
          <w:lang w:val="sr-Latn-ME"/>
        </w:rPr>
        <w:t>Kombinacije sa povećanim rizikom od nefrotoksičnosti</w:t>
      </w:r>
    </w:p>
    <w:p w14:paraId="6003EDDA" w14:textId="4113FD65" w:rsidR="00BB702A" w:rsidRPr="00A14E37" w:rsidRDefault="00BB702A" w:rsidP="00B37A2A">
      <w:pPr>
        <w:pStyle w:val="Text"/>
        <w:spacing w:before="0"/>
        <w:rPr>
          <w:i/>
          <w:noProof/>
          <w:color w:val="000000"/>
          <w:sz w:val="22"/>
          <w:szCs w:val="22"/>
          <w:lang w:val="sr-Latn-ME"/>
        </w:rPr>
      </w:pPr>
      <w:r w:rsidRPr="00A14E37">
        <w:rPr>
          <w:noProof/>
          <w:color w:val="000000"/>
          <w:sz w:val="22"/>
          <w:szCs w:val="22"/>
          <w:lang w:val="sr-Latn-ME"/>
        </w:rPr>
        <w:t xml:space="preserve">Treba biti oprezan prilikom upotrebe ciklosporina zajedno sa drugim ljekovima koji pokazuju nefrotoksičnu sinergiju: </w:t>
      </w:r>
      <w:r w:rsidRPr="00A14E37">
        <w:rPr>
          <w:i/>
          <w:noProof/>
          <w:color w:val="000000"/>
          <w:sz w:val="22"/>
          <w:szCs w:val="22"/>
          <w:lang w:val="sr-Latn-ME"/>
        </w:rPr>
        <w:t>aminoglikozidi (uključujući gentamicin, tobramicin), amfotericin B, ciprofloksacin, vankomicin, trimetoprim (+ sulfametoksazol); derivati fibrinske kiseline; (npr. bezafibrat, fenofibrat); nesteroidni antiinflamatorni ljekovi (uključujući diklofenak, naproksen, sulindak); melfalan, histaminski antagonisti H</w:t>
      </w:r>
      <w:r w:rsidRPr="00A14E37">
        <w:rPr>
          <w:i/>
          <w:noProof/>
          <w:color w:val="000000"/>
          <w:sz w:val="22"/>
          <w:szCs w:val="22"/>
          <w:vertAlign w:val="subscript"/>
          <w:lang w:val="sr-Latn-ME"/>
        </w:rPr>
        <w:t>2</w:t>
      </w:r>
      <w:r w:rsidRPr="00A14E37">
        <w:rPr>
          <w:i/>
          <w:noProof/>
          <w:color w:val="000000"/>
          <w:sz w:val="22"/>
          <w:szCs w:val="22"/>
          <w:lang w:val="sr-Latn-ME"/>
        </w:rPr>
        <w:t xml:space="preserve">-receptora (npr. cimetidin, ranitidin); metotreksat (vidjeti </w:t>
      </w:r>
      <w:r w:rsidR="00C37D5C" w:rsidRPr="00A14E37">
        <w:rPr>
          <w:i/>
          <w:noProof/>
          <w:color w:val="000000"/>
          <w:sz w:val="22"/>
          <w:szCs w:val="22"/>
          <w:lang w:val="sr-Latn-ME"/>
        </w:rPr>
        <w:t>dio</w:t>
      </w:r>
      <w:r w:rsidRPr="00A14E37">
        <w:rPr>
          <w:i/>
          <w:noProof/>
          <w:color w:val="000000"/>
          <w:sz w:val="22"/>
          <w:szCs w:val="22"/>
          <w:lang w:val="sr-Latn-ME"/>
        </w:rPr>
        <w:t xml:space="preserve"> 4.4).</w:t>
      </w:r>
    </w:p>
    <w:p w14:paraId="11C8B68A" w14:textId="77777777" w:rsidR="00BB702A" w:rsidRPr="00A14E37" w:rsidRDefault="00BB702A" w:rsidP="002045DA">
      <w:pPr>
        <w:pStyle w:val="Text"/>
        <w:spacing w:before="0"/>
        <w:rPr>
          <w:i/>
          <w:noProof/>
          <w:color w:val="000000"/>
          <w:sz w:val="22"/>
          <w:szCs w:val="22"/>
          <w:lang w:val="sr-Latn-ME"/>
        </w:rPr>
      </w:pPr>
    </w:p>
    <w:p w14:paraId="5C0F86A7" w14:textId="77777777" w:rsidR="00BB702A" w:rsidRPr="00A14E37" w:rsidRDefault="00BB702A" w:rsidP="002045DA">
      <w:pPr>
        <w:pStyle w:val="Text"/>
        <w:spacing w:before="0"/>
        <w:rPr>
          <w:noProof/>
          <w:color w:val="000000"/>
          <w:sz w:val="22"/>
          <w:szCs w:val="22"/>
          <w:lang w:val="sr-Latn-ME"/>
        </w:rPr>
      </w:pPr>
      <w:r w:rsidRPr="00A14E37">
        <w:rPr>
          <w:noProof/>
          <w:color w:val="000000"/>
          <w:sz w:val="22"/>
          <w:szCs w:val="22"/>
          <w:lang w:val="sr-Latn-ME"/>
        </w:rPr>
        <w:t>Tokom istovremene primjene lijeka koji ispoljava nefrotoksičnu sinergiju, potrebno je vršiti pažljivo praćenje bubrežne funkcije. Ako se javi značajno oštećenje bubrežne funkcije, potrebno je smanjiti dozu lijeka koja se istovremeno primjenjuje ili razmotriti alternativnu terapiju.</w:t>
      </w:r>
    </w:p>
    <w:p w14:paraId="5AAD8930" w14:textId="77777777" w:rsidR="00BB702A" w:rsidRPr="00A14E37" w:rsidRDefault="00BB702A" w:rsidP="002045DA">
      <w:pPr>
        <w:pStyle w:val="Text"/>
        <w:spacing w:before="0"/>
        <w:rPr>
          <w:noProof/>
          <w:color w:val="000000"/>
          <w:sz w:val="22"/>
          <w:szCs w:val="22"/>
          <w:lang w:val="sr-Latn-ME"/>
        </w:rPr>
      </w:pPr>
    </w:p>
    <w:p w14:paraId="4E74CC14" w14:textId="77BFF961" w:rsidR="00BB702A" w:rsidRPr="00A14E37" w:rsidRDefault="00BB702A" w:rsidP="002045DA">
      <w:pPr>
        <w:pStyle w:val="Text"/>
        <w:spacing w:before="0"/>
        <w:rPr>
          <w:noProof/>
          <w:color w:val="000000"/>
          <w:sz w:val="22"/>
          <w:szCs w:val="22"/>
          <w:lang w:val="sr-Latn-ME"/>
        </w:rPr>
      </w:pPr>
      <w:r w:rsidRPr="00A14E37">
        <w:rPr>
          <w:noProof/>
          <w:color w:val="000000"/>
          <w:sz w:val="22"/>
          <w:szCs w:val="22"/>
          <w:lang w:val="sr-Latn-ME"/>
        </w:rPr>
        <w:t xml:space="preserve">Istovremena primjena ciklosporina i takrolimusa se mora izbjegavati zbog rizika od nefrotoksičnosti i farmakokinetičke interakcije putem CYP3A4 i/ili P-gp (vidjeti </w:t>
      </w:r>
      <w:r w:rsidR="00C37D5C" w:rsidRPr="00A14E37">
        <w:rPr>
          <w:noProof/>
          <w:color w:val="000000"/>
          <w:sz w:val="22"/>
          <w:szCs w:val="22"/>
          <w:lang w:val="sr-Latn-ME"/>
        </w:rPr>
        <w:t>dio</w:t>
      </w:r>
      <w:r w:rsidRPr="00A14E37">
        <w:rPr>
          <w:noProof/>
          <w:color w:val="000000"/>
          <w:sz w:val="22"/>
          <w:szCs w:val="22"/>
          <w:lang w:val="sr-Latn-ME"/>
        </w:rPr>
        <w:t xml:space="preserve"> 4.4).</w:t>
      </w:r>
    </w:p>
    <w:p w14:paraId="71C60CB4" w14:textId="77777777" w:rsidR="00317018" w:rsidRPr="00A14E37" w:rsidRDefault="00317018" w:rsidP="002045DA">
      <w:pPr>
        <w:pStyle w:val="Text"/>
        <w:spacing w:before="0"/>
        <w:rPr>
          <w:noProof/>
          <w:color w:val="000000"/>
          <w:sz w:val="22"/>
          <w:szCs w:val="22"/>
          <w:lang w:val="sr-Latn-ME"/>
        </w:rPr>
      </w:pPr>
    </w:p>
    <w:p w14:paraId="55E255BE" w14:textId="75579E10" w:rsidR="00317018" w:rsidRPr="00A14E37" w:rsidRDefault="00317018" w:rsidP="00B37A2A">
      <w:pPr>
        <w:pStyle w:val="Text"/>
        <w:spacing w:before="0"/>
        <w:rPr>
          <w:noProof/>
          <w:color w:val="000000"/>
          <w:sz w:val="22"/>
          <w:szCs w:val="22"/>
          <w:u w:val="single"/>
          <w:lang w:val="sr-Latn-ME"/>
        </w:rPr>
      </w:pPr>
      <w:r w:rsidRPr="00A14E37">
        <w:rPr>
          <w:noProof/>
          <w:color w:val="000000"/>
          <w:sz w:val="22"/>
          <w:szCs w:val="22"/>
          <w:u w:val="single"/>
          <w:lang w:val="sr-Latn-ME"/>
        </w:rPr>
        <w:t>Uticaj direktno d</w:t>
      </w:r>
      <w:r w:rsidR="00C95B95" w:rsidRPr="00A14E37">
        <w:rPr>
          <w:noProof/>
          <w:color w:val="000000"/>
          <w:sz w:val="22"/>
          <w:szCs w:val="22"/>
          <w:u w:val="single"/>
          <w:lang w:val="sr-Latn-ME"/>
        </w:rPr>
        <w:t>j</w:t>
      </w:r>
      <w:r w:rsidRPr="00A14E37">
        <w:rPr>
          <w:noProof/>
          <w:color w:val="000000"/>
          <w:sz w:val="22"/>
          <w:szCs w:val="22"/>
          <w:u w:val="single"/>
          <w:lang w:val="sr-Latn-ME"/>
        </w:rPr>
        <w:t xml:space="preserve">elujuće antivirusne (DAA) terapije </w:t>
      </w:r>
    </w:p>
    <w:p w14:paraId="670039B4" w14:textId="30BA5C39" w:rsidR="00317018" w:rsidRPr="00A14E37" w:rsidRDefault="00317018" w:rsidP="00B37A2A">
      <w:pPr>
        <w:pStyle w:val="Text"/>
        <w:rPr>
          <w:noProof/>
          <w:color w:val="000000"/>
          <w:sz w:val="22"/>
          <w:szCs w:val="22"/>
          <w:lang w:val="sr-Latn-ME"/>
        </w:rPr>
      </w:pPr>
      <w:r w:rsidRPr="00A14E37">
        <w:rPr>
          <w:noProof/>
          <w:color w:val="000000"/>
          <w:sz w:val="22"/>
          <w:szCs w:val="22"/>
          <w:lang w:val="sr-Latn-ME"/>
        </w:rPr>
        <w:t>Na farmakokinetiku ciklosporina mogu uticati prom</w:t>
      </w:r>
      <w:r w:rsidR="00C95B95" w:rsidRPr="00A14E37">
        <w:rPr>
          <w:noProof/>
          <w:color w:val="000000"/>
          <w:sz w:val="22"/>
          <w:szCs w:val="22"/>
          <w:lang w:val="sr-Latn-ME"/>
        </w:rPr>
        <w:t>j</w:t>
      </w:r>
      <w:r w:rsidRPr="00A14E37">
        <w:rPr>
          <w:noProof/>
          <w:color w:val="000000"/>
          <w:sz w:val="22"/>
          <w:szCs w:val="22"/>
          <w:lang w:val="sr-Latn-ME"/>
        </w:rPr>
        <w:t>ene funkcije jetre tokom DAA terapije, koje su povezane sa klirensom HCV virusa. Potrebno je obezb</w:t>
      </w:r>
      <w:r w:rsidR="00C95B95" w:rsidRPr="00A14E37">
        <w:rPr>
          <w:noProof/>
          <w:color w:val="000000"/>
          <w:sz w:val="22"/>
          <w:szCs w:val="22"/>
          <w:lang w:val="sr-Latn-ME"/>
        </w:rPr>
        <w:t>ij</w:t>
      </w:r>
      <w:r w:rsidRPr="00A14E37">
        <w:rPr>
          <w:noProof/>
          <w:color w:val="000000"/>
          <w:sz w:val="22"/>
          <w:szCs w:val="22"/>
          <w:lang w:val="sr-Latn-ME"/>
        </w:rPr>
        <w:t>editi pažljivo praćenje i potencijalno prilagođavanje doze ciklosporina kako bi se osigurala kontinuirana efikasnost.</w:t>
      </w:r>
    </w:p>
    <w:p w14:paraId="0EB2ACDF" w14:textId="77777777" w:rsidR="00BB702A" w:rsidRPr="00A14E37" w:rsidRDefault="00BB702A" w:rsidP="002045DA">
      <w:pPr>
        <w:pStyle w:val="Text"/>
        <w:spacing w:before="0"/>
        <w:rPr>
          <w:noProof/>
          <w:color w:val="000000"/>
          <w:sz w:val="22"/>
          <w:szCs w:val="22"/>
          <w:lang w:val="sr-Latn-ME"/>
        </w:rPr>
      </w:pPr>
    </w:p>
    <w:p w14:paraId="779EB1DD" w14:textId="77777777" w:rsidR="00BB702A" w:rsidRPr="00A14E37" w:rsidRDefault="00BB702A" w:rsidP="002045DA">
      <w:pPr>
        <w:pStyle w:val="Header"/>
        <w:jc w:val="both"/>
        <w:rPr>
          <w:i/>
          <w:sz w:val="22"/>
          <w:szCs w:val="22"/>
          <w:u w:val="single"/>
          <w:lang w:val="sr-Latn-ME"/>
        </w:rPr>
      </w:pPr>
      <w:r w:rsidRPr="00A14E37">
        <w:rPr>
          <w:i/>
          <w:sz w:val="22"/>
          <w:szCs w:val="22"/>
          <w:u w:val="single"/>
          <w:lang w:val="sr-Latn-ME"/>
        </w:rPr>
        <w:t>Dejstva ciklosporina na druge ljekove</w:t>
      </w:r>
    </w:p>
    <w:p w14:paraId="1E1A56BC" w14:textId="77777777" w:rsidR="00BB702A" w:rsidRPr="00A14E37" w:rsidRDefault="00BB702A" w:rsidP="002045DA">
      <w:pPr>
        <w:pStyle w:val="Header"/>
        <w:jc w:val="both"/>
        <w:rPr>
          <w:i/>
          <w:sz w:val="22"/>
          <w:szCs w:val="22"/>
          <w:u w:val="single"/>
          <w:lang w:val="sr-Latn-ME"/>
        </w:rPr>
      </w:pPr>
    </w:p>
    <w:p w14:paraId="737E300D" w14:textId="4EEDED03" w:rsidR="00BB702A" w:rsidRPr="00A14E37" w:rsidRDefault="00BB702A" w:rsidP="002045DA">
      <w:pPr>
        <w:pStyle w:val="Header"/>
        <w:jc w:val="both"/>
        <w:rPr>
          <w:sz w:val="22"/>
          <w:szCs w:val="22"/>
          <w:lang w:val="sr-Latn-ME"/>
        </w:rPr>
      </w:pPr>
      <w:r w:rsidRPr="00A14E37">
        <w:rPr>
          <w:sz w:val="22"/>
          <w:szCs w:val="22"/>
          <w:lang w:val="sr-Latn-ME"/>
        </w:rPr>
        <w:t>Ciklosporin je inhibitor CYP3A4, P-</w:t>
      </w:r>
      <w:r w:rsidR="0042261E" w:rsidRPr="00A14E37">
        <w:rPr>
          <w:sz w:val="22"/>
          <w:szCs w:val="22"/>
          <w:lang w:val="sr-Latn-ME"/>
        </w:rPr>
        <w:t>gp</w:t>
      </w:r>
      <w:r w:rsidRPr="00A14E37">
        <w:rPr>
          <w:sz w:val="22"/>
          <w:szCs w:val="22"/>
          <w:lang w:val="sr-Latn-ME"/>
        </w:rPr>
        <w:t>, efluksnog prenosioca za više ljekova i organskih anjonskih prijenosnih proteina (OATP). Istovremena primjena ljekova koji su supstrati CYP3A4, P-g</w:t>
      </w:r>
      <w:r w:rsidR="003F333C" w:rsidRPr="00A14E37">
        <w:rPr>
          <w:sz w:val="22"/>
          <w:szCs w:val="22"/>
          <w:lang w:val="sr-Latn-ME"/>
        </w:rPr>
        <w:t>p</w:t>
      </w:r>
      <w:r w:rsidRPr="00A14E37">
        <w:rPr>
          <w:sz w:val="22"/>
          <w:szCs w:val="22"/>
          <w:lang w:val="sr-Latn-ME"/>
        </w:rPr>
        <w:t xml:space="preserve"> i OATP sa ciklosporinom može povećati nivoe u plazmi istovremeno primjenjenih ljekova koji su supstrati ovog enzima i/ili prenosilaca.</w:t>
      </w:r>
    </w:p>
    <w:p w14:paraId="4B06670C" w14:textId="77777777" w:rsidR="00BB702A" w:rsidRPr="00A14E37" w:rsidRDefault="00BB702A" w:rsidP="002045DA">
      <w:pPr>
        <w:pStyle w:val="Header"/>
        <w:jc w:val="both"/>
        <w:rPr>
          <w:sz w:val="22"/>
          <w:szCs w:val="22"/>
          <w:lang w:val="sr-Latn-ME"/>
        </w:rPr>
      </w:pPr>
    </w:p>
    <w:p w14:paraId="4FAC08CE" w14:textId="77777777" w:rsidR="00BB702A" w:rsidRPr="00A14E37" w:rsidRDefault="00BB702A" w:rsidP="002045DA">
      <w:pPr>
        <w:pStyle w:val="Header"/>
        <w:jc w:val="both"/>
        <w:rPr>
          <w:sz w:val="22"/>
          <w:szCs w:val="22"/>
          <w:lang w:val="sr-Latn-ME"/>
        </w:rPr>
      </w:pPr>
      <w:r w:rsidRPr="00A14E37">
        <w:rPr>
          <w:sz w:val="22"/>
          <w:szCs w:val="22"/>
          <w:lang w:val="sr-Latn-ME"/>
        </w:rPr>
        <w:t>Neki primjeri su navedeni u nastavku:</w:t>
      </w:r>
    </w:p>
    <w:p w14:paraId="15DAB1B0" w14:textId="77777777" w:rsidR="00BB702A" w:rsidRPr="00A14E37" w:rsidRDefault="00BB702A" w:rsidP="002045DA">
      <w:pPr>
        <w:pStyle w:val="Header"/>
        <w:jc w:val="both"/>
        <w:rPr>
          <w:sz w:val="22"/>
          <w:szCs w:val="22"/>
          <w:lang w:val="sr-Latn-ME"/>
        </w:rPr>
      </w:pPr>
    </w:p>
    <w:p w14:paraId="01DF612B" w14:textId="28086D47" w:rsidR="00BB702A" w:rsidRPr="00A14E37" w:rsidRDefault="00BB702A" w:rsidP="002045DA">
      <w:pPr>
        <w:pStyle w:val="Header"/>
        <w:tabs>
          <w:tab w:val="left" w:pos="284"/>
        </w:tabs>
        <w:jc w:val="both"/>
        <w:rPr>
          <w:sz w:val="22"/>
          <w:szCs w:val="22"/>
          <w:lang w:val="sr-Latn-ME"/>
        </w:rPr>
      </w:pPr>
      <w:r w:rsidRPr="00A14E37">
        <w:rPr>
          <w:sz w:val="22"/>
          <w:szCs w:val="22"/>
          <w:lang w:val="sr-Latn-ME"/>
        </w:rPr>
        <w:t xml:space="preserve">Ciklosporin može smanjiti klirens </w:t>
      </w:r>
      <w:r w:rsidRPr="00A14E37">
        <w:rPr>
          <w:i/>
          <w:sz w:val="22"/>
          <w:szCs w:val="22"/>
          <w:lang w:val="sr-Latn-ME"/>
        </w:rPr>
        <w:t>digoksina, kolhicina, inhibitora HMG-CoA reduktaze (statina)</w:t>
      </w:r>
      <w:r w:rsidRPr="00A14E37">
        <w:rPr>
          <w:sz w:val="22"/>
          <w:szCs w:val="22"/>
          <w:lang w:val="sr-Latn-ME"/>
        </w:rPr>
        <w:t xml:space="preserve"> i etopozida. Ako se bilo koji od tih ljekova koristi istovremeno sa ciklosporinom, potrebno je pažljivo kliničko praćenje da bi se mogle rano uočiti toksične manifestacije ljekova, nakon čega će uslijediti </w:t>
      </w:r>
      <w:r w:rsidRPr="00A14E37">
        <w:rPr>
          <w:sz w:val="22"/>
          <w:szCs w:val="22"/>
          <w:lang w:val="sr-Latn-ME"/>
        </w:rPr>
        <w:lastRenderedPageBreak/>
        <w:t>smanjenje doze ili ukidanje lijeka. Kada se primjenjuju istovremeno sa ciklosporinom, dozu statina treba smanjiti a istovremenu primjenu određenih statina izbjegavati u skladu sa preporukama iz uputstva. Promjene izloženosti često korišćenih statina sa ciklosporinom sažete su u Tabeli 1. Terapiju statinima treba privremeno prekinuti ili obustaviti kod pacijenata sa znacima i simptomima miopatije ili kod onih sa rizičnim faktorima koji ih predisponiraju za teško oštećenje bubrega, što uključuje insuficijenciju bubrega usl</w:t>
      </w:r>
      <w:r w:rsidR="00B37A2A" w:rsidRPr="00A14E37">
        <w:rPr>
          <w:sz w:val="22"/>
          <w:szCs w:val="22"/>
          <w:lang w:val="sr-Latn-ME"/>
        </w:rPr>
        <w:t>j</w:t>
      </w:r>
      <w:r w:rsidRPr="00A14E37">
        <w:rPr>
          <w:sz w:val="22"/>
          <w:szCs w:val="22"/>
          <w:lang w:val="sr-Latn-ME"/>
        </w:rPr>
        <w:t>ed rabdomiolize.</w:t>
      </w:r>
    </w:p>
    <w:p w14:paraId="719F52E2" w14:textId="77777777" w:rsidR="00BB702A" w:rsidRPr="00A14E37" w:rsidRDefault="00BB702A" w:rsidP="002045DA">
      <w:pPr>
        <w:pStyle w:val="Header"/>
        <w:tabs>
          <w:tab w:val="left" w:pos="284"/>
        </w:tabs>
        <w:jc w:val="both"/>
        <w:rPr>
          <w:sz w:val="22"/>
          <w:szCs w:val="22"/>
          <w:lang w:val="sr-Latn-ME"/>
        </w:rPr>
      </w:pPr>
    </w:p>
    <w:p w14:paraId="083BA503" w14:textId="77777777" w:rsidR="00BB702A" w:rsidRPr="00A14E37" w:rsidRDefault="00BB702A" w:rsidP="002045DA">
      <w:pPr>
        <w:pStyle w:val="Header"/>
        <w:tabs>
          <w:tab w:val="left" w:pos="284"/>
        </w:tabs>
        <w:jc w:val="both"/>
        <w:rPr>
          <w:sz w:val="22"/>
          <w:szCs w:val="22"/>
          <w:lang w:val="sr-Latn-ME"/>
        </w:rPr>
      </w:pPr>
      <w:r w:rsidRPr="00A14E37">
        <w:rPr>
          <w:sz w:val="22"/>
          <w:szCs w:val="22"/>
          <w:lang w:val="sr-Latn-ME"/>
        </w:rPr>
        <w:t>Tabela 1 Sažetak promjena izloženosti za često korišćene statine sa ciklosporinom</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993"/>
        <w:gridCol w:w="3083"/>
        <w:gridCol w:w="2993"/>
      </w:tblGrid>
      <w:tr w:rsidR="00BB702A" w:rsidRPr="00A14E37" w14:paraId="2B5F4278"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733626B3" w14:textId="77777777" w:rsidR="00BB702A" w:rsidRPr="00A14E37" w:rsidRDefault="00BB702A" w:rsidP="002045DA">
            <w:pPr>
              <w:spacing w:before="100" w:beforeAutospacing="1" w:after="75"/>
              <w:jc w:val="both"/>
              <w:rPr>
                <w:color w:val="000000"/>
                <w:sz w:val="22"/>
                <w:szCs w:val="22"/>
                <w:lang w:val="sr-Latn-ME"/>
              </w:rPr>
            </w:pPr>
            <w:r w:rsidRPr="00A14E37">
              <w:rPr>
                <w:b/>
                <w:bCs/>
                <w:color w:val="000000"/>
                <w:sz w:val="22"/>
                <w:szCs w:val="22"/>
                <w:lang w:val="sr-Latn-ME"/>
              </w:rPr>
              <w:t>Statin</w:t>
            </w:r>
          </w:p>
        </w:tc>
        <w:tc>
          <w:tcPr>
            <w:tcW w:w="1700" w:type="pct"/>
            <w:tcBorders>
              <w:top w:val="outset" w:sz="6" w:space="0" w:color="auto"/>
              <w:left w:val="outset" w:sz="6" w:space="0" w:color="auto"/>
              <w:bottom w:val="outset" w:sz="6" w:space="0" w:color="auto"/>
              <w:right w:val="outset" w:sz="6" w:space="0" w:color="auto"/>
            </w:tcBorders>
            <w:hideMark/>
          </w:tcPr>
          <w:p w14:paraId="7F778D38" w14:textId="77777777" w:rsidR="00BB702A" w:rsidRPr="00A14E37" w:rsidRDefault="00BB702A" w:rsidP="002045DA">
            <w:pPr>
              <w:spacing w:before="100" w:beforeAutospacing="1" w:after="75"/>
              <w:jc w:val="both"/>
              <w:rPr>
                <w:color w:val="000000"/>
                <w:sz w:val="22"/>
                <w:szCs w:val="22"/>
                <w:lang w:val="sr-Latn-ME"/>
              </w:rPr>
            </w:pPr>
            <w:r w:rsidRPr="00A14E37">
              <w:rPr>
                <w:b/>
                <w:bCs/>
                <w:color w:val="000000"/>
                <w:sz w:val="22"/>
                <w:szCs w:val="22"/>
                <w:lang w:val="sr-Latn-ME"/>
              </w:rPr>
              <w:t>Dostupne doze</w:t>
            </w:r>
          </w:p>
        </w:tc>
        <w:tc>
          <w:tcPr>
            <w:tcW w:w="1650" w:type="pct"/>
            <w:tcBorders>
              <w:top w:val="outset" w:sz="6" w:space="0" w:color="auto"/>
              <w:left w:val="outset" w:sz="6" w:space="0" w:color="auto"/>
              <w:bottom w:val="outset" w:sz="6" w:space="0" w:color="auto"/>
              <w:right w:val="outset" w:sz="6" w:space="0" w:color="auto"/>
            </w:tcBorders>
            <w:hideMark/>
          </w:tcPr>
          <w:p w14:paraId="2871A8A3" w14:textId="77777777" w:rsidR="00BB702A" w:rsidRPr="00A14E37" w:rsidRDefault="00BB702A" w:rsidP="00B37A2A">
            <w:pPr>
              <w:pStyle w:val="Default"/>
              <w:jc w:val="both"/>
              <w:rPr>
                <w:sz w:val="22"/>
                <w:szCs w:val="22"/>
                <w:lang w:val="sr-Latn-ME"/>
              </w:rPr>
            </w:pPr>
            <w:r w:rsidRPr="00A14E37">
              <w:rPr>
                <w:b/>
                <w:bCs/>
                <w:sz w:val="22"/>
                <w:szCs w:val="22"/>
                <w:lang w:val="sr-Latn-ME"/>
              </w:rPr>
              <w:t xml:space="preserve">Koliko se puta mijenja izloženost sa ciklosporinom </w:t>
            </w:r>
          </w:p>
        </w:tc>
      </w:tr>
      <w:tr w:rsidR="00BB702A" w:rsidRPr="00A14E37" w14:paraId="412530A3"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0085B37D"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Atorvastatin </w:t>
            </w:r>
          </w:p>
        </w:tc>
        <w:tc>
          <w:tcPr>
            <w:tcW w:w="1700" w:type="pct"/>
            <w:tcBorders>
              <w:top w:val="outset" w:sz="6" w:space="0" w:color="auto"/>
              <w:left w:val="outset" w:sz="6" w:space="0" w:color="auto"/>
              <w:bottom w:val="outset" w:sz="6" w:space="0" w:color="auto"/>
              <w:right w:val="outset" w:sz="6" w:space="0" w:color="auto"/>
            </w:tcBorders>
            <w:hideMark/>
          </w:tcPr>
          <w:p w14:paraId="2443773D"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10-80 mg </w:t>
            </w:r>
          </w:p>
        </w:tc>
        <w:tc>
          <w:tcPr>
            <w:tcW w:w="1650" w:type="pct"/>
            <w:tcBorders>
              <w:top w:val="outset" w:sz="6" w:space="0" w:color="auto"/>
              <w:left w:val="outset" w:sz="6" w:space="0" w:color="auto"/>
              <w:bottom w:val="outset" w:sz="6" w:space="0" w:color="auto"/>
              <w:right w:val="outset" w:sz="6" w:space="0" w:color="auto"/>
            </w:tcBorders>
            <w:hideMark/>
          </w:tcPr>
          <w:p w14:paraId="4B4214CF"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8-10 </w:t>
            </w:r>
          </w:p>
        </w:tc>
      </w:tr>
      <w:tr w:rsidR="00BB702A" w:rsidRPr="00A14E37" w14:paraId="0BADC971"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4AC7C0DE"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Simvastatin </w:t>
            </w:r>
          </w:p>
        </w:tc>
        <w:tc>
          <w:tcPr>
            <w:tcW w:w="1700" w:type="pct"/>
            <w:tcBorders>
              <w:top w:val="outset" w:sz="6" w:space="0" w:color="auto"/>
              <w:left w:val="outset" w:sz="6" w:space="0" w:color="auto"/>
              <w:bottom w:val="outset" w:sz="6" w:space="0" w:color="auto"/>
              <w:right w:val="outset" w:sz="6" w:space="0" w:color="auto"/>
            </w:tcBorders>
            <w:hideMark/>
          </w:tcPr>
          <w:p w14:paraId="6C3EF4D0"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10-80 mg </w:t>
            </w:r>
          </w:p>
        </w:tc>
        <w:tc>
          <w:tcPr>
            <w:tcW w:w="1650" w:type="pct"/>
            <w:tcBorders>
              <w:top w:val="outset" w:sz="6" w:space="0" w:color="auto"/>
              <w:left w:val="outset" w:sz="6" w:space="0" w:color="auto"/>
              <w:bottom w:val="outset" w:sz="6" w:space="0" w:color="auto"/>
              <w:right w:val="outset" w:sz="6" w:space="0" w:color="auto"/>
            </w:tcBorders>
            <w:hideMark/>
          </w:tcPr>
          <w:p w14:paraId="4642CC8B"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6-8 </w:t>
            </w:r>
          </w:p>
        </w:tc>
      </w:tr>
      <w:tr w:rsidR="00BB702A" w:rsidRPr="00A14E37" w14:paraId="4BD5007B"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25159878"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Fluvastatin </w:t>
            </w:r>
          </w:p>
        </w:tc>
        <w:tc>
          <w:tcPr>
            <w:tcW w:w="1700" w:type="pct"/>
            <w:tcBorders>
              <w:top w:val="outset" w:sz="6" w:space="0" w:color="auto"/>
              <w:left w:val="outset" w:sz="6" w:space="0" w:color="auto"/>
              <w:bottom w:val="outset" w:sz="6" w:space="0" w:color="auto"/>
              <w:right w:val="outset" w:sz="6" w:space="0" w:color="auto"/>
            </w:tcBorders>
            <w:hideMark/>
          </w:tcPr>
          <w:p w14:paraId="4886F1B6"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20-80 mg </w:t>
            </w:r>
          </w:p>
        </w:tc>
        <w:tc>
          <w:tcPr>
            <w:tcW w:w="1650" w:type="pct"/>
            <w:tcBorders>
              <w:top w:val="outset" w:sz="6" w:space="0" w:color="auto"/>
              <w:left w:val="outset" w:sz="6" w:space="0" w:color="auto"/>
              <w:bottom w:val="outset" w:sz="6" w:space="0" w:color="auto"/>
              <w:right w:val="outset" w:sz="6" w:space="0" w:color="auto"/>
            </w:tcBorders>
            <w:hideMark/>
          </w:tcPr>
          <w:p w14:paraId="7BF39CD8"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2-4 </w:t>
            </w:r>
          </w:p>
        </w:tc>
      </w:tr>
      <w:tr w:rsidR="00BB702A" w:rsidRPr="00A14E37" w14:paraId="09E71F25"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45804BD2"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Lovastatin </w:t>
            </w:r>
          </w:p>
        </w:tc>
        <w:tc>
          <w:tcPr>
            <w:tcW w:w="1700" w:type="pct"/>
            <w:tcBorders>
              <w:top w:val="outset" w:sz="6" w:space="0" w:color="auto"/>
              <w:left w:val="outset" w:sz="6" w:space="0" w:color="auto"/>
              <w:bottom w:val="outset" w:sz="6" w:space="0" w:color="auto"/>
              <w:right w:val="outset" w:sz="6" w:space="0" w:color="auto"/>
            </w:tcBorders>
            <w:hideMark/>
          </w:tcPr>
          <w:p w14:paraId="65E988A9"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20-40 mg </w:t>
            </w:r>
          </w:p>
        </w:tc>
        <w:tc>
          <w:tcPr>
            <w:tcW w:w="1650" w:type="pct"/>
            <w:tcBorders>
              <w:top w:val="outset" w:sz="6" w:space="0" w:color="auto"/>
              <w:left w:val="outset" w:sz="6" w:space="0" w:color="auto"/>
              <w:bottom w:val="outset" w:sz="6" w:space="0" w:color="auto"/>
              <w:right w:val="outset" w:sz="6" w:space="0" w:color="auto"/>
            </w:tcBorders>
            <w:hideMark/>
          </w:tcPr>
          <w:p w14:paraId="4B2C9F46"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5-8 </w:t>
            </w:r>
          </w:p>
        </w:tc>
      </w:tr>
      <w:tr w:rsidR="00BB702A" w:rsidRPr="00A14E37" w14:paraId="43894A05"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02A27256"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Pravastatin </w:t>
            </w:r>
          </w:p>
        </w:tc>
        <w:tc>
          <w:tcPr>
            <w:tcW w:w="1700" w:type="pct"/>
            <w:tcBorders>
              <w:top w:val="outset" w:sz="6" w:space="0" w:color="auto"/>
              <w:left w:val="outset" w:sz="6" w:space="0" w:color="auto"/>
              <w:bottom w:val="outset" w:sz="6" w:space="0" w:color="auto"/>
              <w:right w:val="outset" w:sz="6" w:space="0" w:color="auto"/>
            </w:tcBorders>
            <w:hideMark/>
          </w:tcPr>
          <w:p w14:paraId="2D0900F2"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20-80 mg </w:t>
            </w:r>
          </w:p>
        </w:tc>
        <w:tc>
          <w:tcPr>
            <w:tcW w:w="1650" w:type="pct"/>
            <w:tcBorders>
              <w:top w:val="outset" w:sz="6" w:space="0" w:color="auto"/>
              <w:left w:val="outset" w:sz="6" w:space="0" w:color="auto"/>
              <w:bottom w:val="outset" w:sz="6" w:space="0" w:color="auto"/>
              <w:right w:val="outset" w:sz="6" w:space="0" w:color="auto"/>
            </w:tcBorders>
            <w:hideMark/>
          </w:tcPr>
          <w:p w14:paraId="4D760421"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5-10 </w:t>
            </w:r>
          </w:p>
        </w:tc>
      </w:tr>
      <w:tr w:rsidR="00BB702A" w:rsidRPr="00A14E37" w14:paraId="460220F6"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04E9681A"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Rosuvastatin </w:t>
            </w:r>
          </w:p>
        </w:tc>
        <w:tc>
          <w:tcPr>
            <w:tcW w:w="1700" w:type="pct"/>
            <w:tcBorders>
              <w:top w:val="outset" w:sz="6" w:space="0" w:color="auto"/>
              <w:left w:val="outset" w:sz="6" w:space="0" w:color="auto"/>
              <w:bottom w:val="outset" w:sz="6" w:space="0" w:color="auto"/>
              <w:right w:val="outset" w:sz="6" w:space="0" w:color="auto"/>
            </w:tcBorders>
            <w:hideMark/>
          </w:tcPr>
          <w:p w14:paraId="094B6F76"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5-40 mg </w:t>
            </w:r>
          </w:p>
        </w:tc>
        <w:tc>
          <w:tcPr>
            <w:tcW w:w="1650" w:type="pct"/>
            <w:tcBorders>
              <w:top w:val="outset" w:sz="6" w:space="0" w:color="auto"/>
              <w:left w:val="outset" w:sz="6" w:space="0" w:color="auto"/>
              <w:bottom w:val="outset" w:sz="6" w:space="0" w:color="auto"/>
              <w:right w:val="outset" w:sz="6" w:space="0" w:color="auto"/>
            </w:tcBorders>
            <w:hideMark/>
          </w:tcPr>
          <w:p w14:paraId="2DFFB652"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5-10 </w:t>
            </w:r>
          </w:p>
        </w:tc>
      </w:tr>
      <w:tr w:rsidR="00BB702A" w:rsidRPr="00A14E37" w14:paraId="0344DD43" w14:textId="77777777" w:rsidTr="0031444A">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14:paraId="5AB7478B"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Pitavastatin </w:t>
            </w:r>
          </w:p>
        </w:tc>
        <w:tc>
          <w:tcPr>
            <w:tcW w:w="1700" w:type="pct"/>
            <w:tcBorders>
              <w:top w:val="outset" w:sz="6" w:space="0" w:color="auto"/>
              <w:left w:val="outset" w:sz="6" w:space="0" w:color="auto"/>
              <w:bottom w:val="outset" w:sz="6" w:space="0" w:color="auto"/>
              <w:right w:val="outset" w:sz="6" w:space="0" w:color="auto"/>
            </w:tcBorders>
            <w:hideMark/>
          </w:tcPr>
          <w:p w14:paraId="444098F4"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1-4 mg </w:t>
            </w:r>
          </w:p>
        </w:tc>
        <w:tc>
          <w:tcPr>
            <w:tcW w:w="1650" w:type="pct"/>
            <w:tcBorders>
              <w:top w:val="outset" w:sz="6" w:space="0" w:color="auto"/>
              <w:left w:val="outset" w:sz="6" w:space="0" w:color="auto"/>
              <w:bottom w:val="outset" w:sz="6" w:space="0" w:color="auto"/>
              <w:right w:val="outset" w:sz="6" w:space="0" w:color="auto"/>
            </w:tcBorders>
            <w:hideMark/>
          </w:tcPr>
          <w:p w14:paraId="7D38B356" w14:textId="77777777" w:rsidR="00BB702A" w:rsidRPr="00A14E37" w:rsidRDefault="00BB702A" w:rsidP="002045DA">
            <w:pPr>
              <w:spacing w:before="100" w:beforeAutospacing="1" w:after="75"/>
              <w:jc w:val="both"/>
              <w:rPr>
                <w:color w:val="000000"/>
                <w:sz w:val="22"/>
                <w:szCs w:val="22"/>
                <w:lang w:val="sr-Latn-ME"/>
              </w:rPr>
            </w:pPr>
            <w:r w:rsidRPr="00A14E37">
              <w:rPr>
                <w:color w:val="000000"/>
                <w:sz w:val="22"/>
                <w:szCs w:val="22"/>
                <w:lang w:val="sr-Latn-ME"/>
              </w:rPr>
              <w:t xml:space="preserve">4-6 </w:t>
            </w:r>
          </w:p>
        </w:tc>
      </w:tr>
    </w:tbl>
    <w:p w14:paraId="03E8FFED" w14:textId="77777777" w:rsidR="00BB702A" w:rsidRPr="00A14E37" w:rsidRDefault="00BB702A" w:rsidP="002045DA">
      <w:pPr>
        <w:pStyle w:val="Header"/>
        <w:jc w:val="both"/>
        <w:rPr>
          <w:sz w:val="22"/>
          <w:szCs w:val="22"/>
          <w:lang w:val="sr-Latn-ME"/>
        </w:rPr>
      </w:pPr>
    </w:p>
    <w:p w14:paraId="1CAEDD80" w14:textId="1ACEE784" w:rsidR="00BB702A" w:rsidRPr="00A14E37" w:rsidRDefault="00BB702A" w:rsidP="002045DA">
      <w:pPr>
        <w:pStyle w:val="Header"/>
        <w:jc w:val="both"/>
        <w:rPr>
          <w:sz w:val="22"/>
          <w:szCs w:val="22"/>
          <w:lang w:val="sr-Latn-ME"/>
        </w:rPr>
      </w:pPr>
      <w:r w:rsidRPr="00A14E37">
        <w:rPr>
          <w:sz w:val="22"/>
          <w:szCs w:val="22"/>
          <w:lang w:val="sr-Latn-ME"/>
        </w:rPr>
        <w:t xml:space="preserve">Preporučuje se oprez kada se ciklosporin primjenjuje istovremeno sa lerkanidipinom (vidjeti </w:t>
      </w:r>
      <w:r w:rsidR="00C37D5C" w:rsidRPr="00A14E37">
        <w:rPr>
          <w:sz w:val="22"/>
          <w:szCs w:val="22"/>
          <w:lang w:val="sr-Latn-ME"/>
        </w:rPr>
        <w:t>dio</w:t>
      </w:r>
      <w:r w:rsidRPr="00A14E37">
        <w:rPr>
          <w:sz w:val="22"/>
          <w:szCs w:val="22"/>
          <w:lang w:val="sr-Latn-ME"/>
        </w:rPr>
        <w:t xml:space="preserve"> 4.4).</w:t>
      </w:r>
    </w:p>
    <w:p w14:paraId="7B743D05" w14:textId="77777777" w:rsidR="00BB702A" w:rsidRPr="00A14E37" w:rsidRDefault="00BB702A" w:rsidP="002045DA">
      <w:pPr>
        <w:pStyle w:val="Header"/>
        <w:jc w:val="both"/>
        <w:rPr>
          <w:sz w:val="22"/>
          <w:szCs w:val="22"/>
          <w:lang w:val="sr-Latn-ME"/>
        </w:rPr>
      </w:pPr>
    </w:p>
    <w:p w14:paraId="3555EF5A" w14:textId="531CC6E4" w:rsidR="00BB702A" w:rsidRPr="00A14E37" w:rsidRDefault="00BB702A" w:rsidP="002045DA">
      <w:pPr>
        <w:pStyle w:val="Header"/>
        <w:jc w:val="both"/>
        <w:rPr>
          <w:sz w:val="22"/>
          <w:szCs w:val="22"/>
          <w:lang w:val="sr-Latn-ME"/>
        </w:rPr>
      </w:pPr>
      <w:r w:rsidRPr="00A14E37">
        <w:rPr>
          <w:sz w:val="22"/>
          <w:szCs w:val="22"/>
          <w:lang w:val="sr-Latn-ME"/>
        </w:rPr>
        <w:t xml:space="preserve">Nakon istovremene primjene ciklosporina i </w:t>
      </w:r>
      <w:r w:rsidRPr="00A14E37">
        <w:rPr>
          <w:i/>
          <w:iCs/>
          <w:sz w:val="22"/>
          <w:szCs w:val="22"/>
          <w:lang w:val="sr-Latn-ME"/>
        </w:rPr>
        <w:t>aliskirena</w:t>
      </w:r>
      <w:r w:rsidRPr="00A14E37">
        <w:rPr>
          <w:sz w:val="22"/>
          <w:szCs w:val="22"/>
          <w:lang w:val="sr-Latn-ME"/>
        </w:rPr>
        <w:t>, supstrata P</w:t>
      </w:r>
      <w:r w:rsidR="00B677A3" w:rsidRPr="00A14E37">
        <w:rPr>
          <w:sz w:val="22"/>
          <w:szCs w:val="22"/>
          <w:lang w:val="sr-Latn-ME"/>
        </w:rPr>
        <w:t>-</w:t>
      </w:r>
      <w:r w:rsidRPr="00A14E37">
        <w:rPr>
          <w:sz w:val="22"/>
          <w:szCs w:val="22"/>
          <w:lang w:val="sr-Latn-ME"/>
        </w:rPr>
        <w:t>gp, C</w:t>
      </w:r>
      <w:r w:rsidRPr="00A14E37">
        <w:rPr>
          <w:sz w:val="22"/>
          <w:szCs w:val="22"/>
          <w:vertAlign w:val="subscript"/>
          <w:lang w:val="sr-Latn-ME"/>
        </w:rPr>
        <w:t>max</w:t>
      </w:r>
      <w:r w:rsidRPr="00A14E37">
        <w:rPr>
          <w:sz w:val="22"/>
          <w:szCs w:val="22"/>
          <w:lang w:val="sr-Latn-ME"/>
        </w:rPr>
        <w:t xml:space="preserve"> aliskirena se povećala za otprilike 2,5 puta, a PIK za otprilike 5 puta. Međutim, farmakokinetički profil ciklosporina se nije značajno promijenio. Istovremena primjena ciklosporina i aliskirena se ne preporučuje (vidjeti </w:t>
      </w:r>
      <w:r w:rsidR="00C37D5C" w:rsidRPr="00A14E37">
        <w:rPr>
          <w:sz w:val="22"/>
          <w:szCs w:val="22"/>
          <w:lang w:val="sr-Latn-ME"/>
        </w:rPr>
        <w:t>dio</w:t>
      </w:r>
      <w:r w:rsidRPr="00A14E37">
        <w:rPr>
          <w:sz w:val="22"/>
          <w:szCs w:val="22"/>
          <w:lang w:val="sr-Latn-ME"/>
        </w:rPr>
        <w:t xml:space="preserve"> 4.3).</w:t>
      </w:r>
    </w:p>
    <w:p w14:paraId="3CCC1B99" w14:textId="77777777" w:rsidR="00BB702A" w:rsidRPr="00A14E37" w:rsidRDefault="00BB702A" w:rsidP="002045DA">
      <w:pPr>
        <w:pStyle w:val="Header"/>
        <w:jc w:val="both"/>
        <w:rPr>
          <w:sz w:val="22"/>
          <w:szCs w:val="22"/>
          <w:lang w:val="sr-Latn-ME"/>
        </w:rPr>
      </w:pPr>
    </w:p>
    <w:p w14:paraId="7D4B967E" w14:textId="6F5B0DEC" w:rsidR="00BB702A" w:rsidRPr="00A14E37" w:rsidRDefault="00BB702A" w:rsidP="002045DA">
      <w:pPr>
        <w:pStyle w:val="Header"/>
        <w:jc w:val="both"/>
        <w:rPr>
          <w:sz w:val="22"/>
          <w:szCs w:val="22"/>
          <w:lang w:val="sr-Latn-ME"/>
        </w:rPr>
      </w:pPr>
      <w:r w:rsidRPr="00A14E37">
        <w:rPr>
          <w:sz w:val="22"/>
          <w:szCs w:val="22"/>
          <w:lang w:val="sr-Latn-ME"/>
        </w:rPr>
        <w:t xml:space="preserve">Istovremena primjena dabigatran eteksilata se ne preporučuje zbog inhibitornog dejstva ciklosporina na P-gp (vidjeti </w:t>
      </w:r>
      <w:r w:rsidR="00C37D5C" w:rsidRPr="00A14E37">
        <w:rPr>
          <w:sz w:val="22"/>
          <w:szCs w:val="22"/>
          <w:lang w:val="sr-Latn-ME"/>
        </w:rPr>
        <w:t>dio</w:t>
      </w:r>
      <w:r w:rsidRPr="00A14E37">
        <w:rPr>
          <w:sz w:val="22"/>
          <w:szCs w:val="22"/>
          <w:lang w:val="sr-Latn-ME"/>
        </w:rPr>
        <w:t xml:space="preserve"> 4.3).</w:t>
      </w:r>
    </w:p>
    <w:p w14:paraId="57D95EC7" w14:textId="77777777" w:rsidR="00BB702A" w:rsidRPr="00A14E37" w:rsidRDefault="00BB702A" w:rsidP="002045DA">
      <w:pPr>
        <w:pStyle w:val="Header"/>
        <w:jc w:val="both"/>
        <w:rPr>
          <w:sz w:val="22"/>
          <w:szCs w:val="22"/>
          <w:lang w:val="sr-Latn-ME"/>
        </w:rPr>
      </w:pPr>
    </w:p>
    <w:p w14:paraId="4915CDA3" w14:textId="77777777" w:rsidR="00BB702A" w:rsidRPr="00A14E37" w:rsidRDefault="00BB702A" w:rsidP="002045DA">
      <w:pPr>
        <w:pStyle w:val="Header"/>
        <w:jc w:val="both"/>
        <w:rPr>
          <w:sz w:val="22"/>
          <w:szCs w:val="22"/>
          <w:lang w:val="sr-Latn-ME"/>
        </w:rPr>
      </w:pPr>
      <w:r w:rsidRPr="00A14E37">
        <w:rPr>
          <w:sz w:val="22"/>
          <w:szCs w:val="22"/>
          <w:lang w:val="sr-Latn-ME"/>
        </w:rPr>
        <w:t xml:space="preserve">Istovremena primjena </w:t>
      </w:r>
      <w:r w:rsidRPr="00A14E37">
        <w:rPr>
          <w:i/>
          <w:iCs/>
          <w:sz w:val="22"/>
          <w:szCs w:val="22"/>
          <w:lang w:val="sr-Latn-ME"/>
        </w:rPr>
        <w:t xml:space="preserve">nifedipina </w:t>
      </w:r>
      <w:r w:rsidRPr="00A14E37">
        <w:rPr>
          <w:sz w:val="22"/>
          <w:szCs w:val="22"/>
          <w:lang w:val="sr-Latn-ME"/>
        </w:rPr>
        <w:t>sa ciklosporinom može dovesti do hiperplazije gingive u većem obimu nego u poređenju sa onom uočenom kada se ciklosporin daje sam.</w:t>
      </w:r>
    </w:p>
    <w:p w14:paraId="647EBBC8" w14:textId="77777777" w:rsidR="00BB702A" w:rsidRPr="00A14E37" w:rsidRDefault="00BB702A" w:rsidP="002045DA">
      <w:pPr>
        <w:pStyle w:val="Header"/>
        <w:jc w:val="both"/>
        <w:rPr>
          <w:sz w:val="22"/>
          <w:szCs w:val="22"/>
          <w:lang w:val="sr-Latn-ME"/>
        </w:rPr>
      </w:pPr>
    </w:p>
    <w:p w14:paraId="6CF6D220" w14:textId="61F96E21" w:rsidR="00BB702A" w:rsidRPr="00A14E37" w:rsidRDefault="00BB702A" w:rsidP="002045DA">
      <w:pPr>
        <w:pStyle w:val="Header"/>
        <w:jc w:val="both"/>
        <w:rPr>
          <w:sz w:val="22"/>
          <w:szCs w:val="22"/>
          <w:lang w:val="sr-Latn-ME"/>
        </w:rPr>
      </w:pPr>
      <w:r w:rsidRPr="00A14E37">
        <w:rPr>
          <w:sz w:val="22"/>
          <w:szCs w:val="22"/>
          <w:lang w:val="sr-Latn-ME"/>
        </w:rPr>
        <w:t xml:space="preserve">Otkriveno je da istovremena primjena </w:t>
      </w:r>
      <w:r w:rsidRPr="00A14E37">
        <w:rPr>
          <w:i/>
          <w:iCs/>
          <w:sz w:val="22"/>
          <w:szCs w:val="22"/>
          <w:lang w:val="sr-Latn-ME"/>
        </w:rPr>
        <w:t>diklofenaka</w:t>
      </w:r>
      <w:r w:rsidRPr="00A14E37">
        <w:rPr>
          <w:sz w:val="22"/>
          <w:szCs w:val="22"/>
          <w:lang w:val="sr-Latn-ME"/>
        </w:rPr>
        <w:t xml:space="preserve"> i ciklosporina dovodi do značajnog povećanja bioraspoloživosti diklofenaka, uz moguću posljedicu reverzibilnog oštećenja bubrežne funkcije. Povećanje bioraspoloživosti diklofenaka najverovatnije je prouzrokovano smanjenjem njegovog efekta prvog prolaza. Ako se </w:t>
      </w:r>
      <w:r w:rsidRPr="00A14E37">
        <w:rPr>
          <w:i/>
          <w:iCs/>
          <w:sz w:val="22"/>
          <w:szCs w:val="22"/>
          <w:lang w:val="sr-Latn-ME"/>
        </w:rPr>
        <w:t>NSAIL</w:t>
      </w:r>
      <w:r w:rsidRPr="00A14E37">
        <w:rPr>
          <w:sz w:val="22"/>
          <w:szCs w:val="22"/>
          <w:lang w:val="sr-Latn-ME"/>
        </w:rPr>
        <w:t xml:space="preserve"> sa niskim efektom prvog prolaza (npr. acetilsalicilna kiselina) daju zajedno sa ciklosporinom, ne očekuje se povećanje njihove bioraspoloživosti.</w:t>
      </w:r>
    </w:p>
    <w:p w14:paraId="53E81A19" w14:textId="77777777" w:rsidR="00BB702A" w:rsidRPr="00A14E37" w:rsidRDefault="00BB702A" w:rsidP="002045DA">
      <w:pPr>
        <w:pStyle w:val="Header"/>
        <w:jc w:val="both"/>
        <w:rPr>
          <w:sz w:val="22"/>
          <w:szCs w:val="22"/>
          <w:lang w:val="sr-Latn-ME"/>
        </w:rPr>
      </w:pPr>
    </w:p>
    <w:p w14:paraId="0A3E1052" w14:textId="77777777" w:rsidR="00BB702A" w:rsidRPr="00A14E37" w:rsidRDefault="00BB702A" w:rsidP="002045DA">
      <w:pPr>
        <w:pStyle w:val="Header"/>
        <w:tabs>
          <w:tab w:val="left" w:pos="284"/>
        </w:tabs>
        <w:jc w:val="both"/>
        <w:rPr>
          <w:sz w:val="22"/>
          <w:szCs w:val="22"/>
          <w:lang w:val="sr-Latn-ME"/>
        </w:rPr>
      </w:pPr>
      <w:r w:rsidRPr="00A14E37">
        <w:rPr>
          <w:sz w:val="22"/>
          <w:szCs w:val="22"/>
          <w:lang w:val="sr-Latn-ME"/>
        </w:rPr>
        <w:t xml:space="preserve">Povećanje nivoa kreatinina u serumu je uočena u studijama u kojima se koristio </w:t>
      </w:r>
      <w:r w:rsidRPr="00A14E37">
        <w:rPr>
          <w:i/>
          <w:iCs/>
          <w:sz w:val="22"/>
          <w:szCs w:val="22"/>
          <w:lang w:val="sr-Latn-ME"/>
        </w:rPr>
        <w:t>everolimus</w:t>
      </w:r>
      <w:r w:rsidRPr="00A14E37">
        <w:rPr>
          <w:sz w:val="22"/>
          <w:szCs w:val="22"/>
          <w:lang w:val="sr-Latn-ME"/>
        </w:rPr>
        <w:t xml:space="preserve"> ili </w:t>
      </w:r>
      <w:r w:rsidRPr="00A14E37">
        <w:rPr>
          <w:i/>
          <w:iCs/>
          <w:sz w:val="22"/>
          <w:szCs w:val="22"/>
          <w:lang w:val="sr-Latn-ME"/>
        </w:rPr>
        <w:t>sirolimus</w:t>
      </w:r>
      <w:r w:rsidRPr="00A14E37">
        <w:rPr>
          <w:sz w:val="22"/>
          <w:szCs w:val="22"/>
          <w:lang w:val="sr-Latn-ME"/>
        </w:rPr>
        <w:t xml:space="preserve"> u kombinaciji sa ciklosporinom za mikroemulziju u punoj dozi. Ovaj efekat je često reverzibilan uz smanjenje doze ciklosporina. Everolimus i sirolimus su imali mali uticaj na farmakokinetiku ciklosporina. Istovremena primjena ciklosporina značajno povećava nivo everolimusa i sirolimusa u krvi.</w:t>
      </w:r>
    </w:p>
    <w:p w14:paraId="0A04C819" w14:textId="77777777" w:rsidR="00BB702A" w:rsidRPr="00A14E37" w:rsidRDefault="00BB702A" w:rsidP="002045DA">
      <w:pPr>
        <w:pStyle w:val="Header"/>
        <w:tabs>
          <w:tab w:val="left" w:pos="284"/>
        </w:tabs>
        <w:jc w:val="both"/>
        <w:rPr>
          <w:sz w:val="22"/>
          <w:szCs w:val="22"/>
          <w:lang w:val="sr-Latn-ME"/>
        </w:rPr>
      </w:pPr>
    </w:p>
    <w:p w14:paraId="747D244C" w14:textId="133207A8" w:rsidR="00BB702A" w:rsidRPr="00A14E37" w:rsidRDefault="00BB702A" w:rsidP="002045DA">
      <w:pPr>
        <w:pStyle w:val="Header"/>
        <w:jc w:val="both"/>
        <w:rPr>
          <w:sz w:val="22"/>
          <w:szCs w:val="22"/>
          <w:lang w:val="sr-Latn-ME"/>
        </w:rPr>
      </w:pPr>
      <w:r w:rsidRPr="00A14E37">
        <w:rPr>
          <w:sz w:val="22"/>
          <w:szCs w:val="22"/>
          <w:lang w:val="sr-Latn-ME"/>
        </w:rPr>
        <w:t>Potreban je oprez kod istovremene primjene</w:t>
      </w:r>
      <w:r w:rsidRPr="00A14E37">
        <w:rPr>
          <w:i/>
          <w:sz w:val="22"/>
          <w:szCs w:val="22"/>
          <w:lang w:val="sr-Latn-ME"/>
        </w:rPr>
        <w:t xml:space="preserve"> ljekova koji štede kalijum</w:t>
      </w:r>
      <w:r w:rsidRPr="00A14E37">
        <w:rPr>
          <w:sz w:val="22"/>
          <w:szCs w:val="22"/>
          <w:lang w:val="sr-Latn-ME"/>
        </w:rPr>
        <w:t xml:space="preserve"> (npr. </w:t>
      </w:r>
      <w:r w:rsidRPr="00A14E37">
        <w:rPr>
          <w:i/>
          <w:sz w:val="22"/>
          <w:szCs w:val="22"/>
          <w:lang w:val="sr-Latn-ME"/>
        </w:rPr>
        <w:t>diuretika koji štede kalijum, ACE inhibitora, antagonista angiotenzin II receptora</w:t>
      </w:r>
      <w:r w:rsidRPr="00A14E37">
        <w:rPr>
          <w:sz w:val="22"/>
          <w:szCs w:val="22"/>
          <w:lang w:val="sr-Latn-ME"/>
        </w:rPr>
        <w:t xml:space="preserve">) ili </w:t>
      </w:r>
      <w:r w:rsidRPr="00A14E37">
        <w:rPr>
          <w:i/>
          <w:sz w:val="22"/>
          <w:szCs w:val="22"/>
          <w:lang w:val="sr-Latn-ME"/>
        </w:rPr>
        <w:t>ljekova koji sadrže kalijum</w:t>
      </w:r>
      <w:r w:rsidRPr="00A14E37">
        <w:rPr>
          <w:sz w:val="22"/>
          <w:szCs w:val="22"/>
          <w:lang w:val="sr-Latn-ME"/>
        </w:rPr>
        <w:t xml:space="preserve"> budući da oni mogu dovesti do značajnog povećanja nivoa kalijuma u serumu (vidjeti </w:t>
      </w:r>
      <w:r w:rsidR="00C37D5C" w:rsidRPr="00A14E37">
        <w:rPr>
          <w:sz w:val="22"/>
          <w:szCs w:val="22"/>
          <w:lang w:val="sr-Latn-ME"/>
        </w:rPr>
        <w:t>dio</w:t>
      </w:r>
      <w:r w:rsidRPr="00A14E37">
        <w:rPr>
          <w:sz w:val="22"/>
          <w:szCs w:val="22"/>
          <w:lang w:val="sr-Latn-ME"/>
        </w:rPr>
        <w:t xml:space="preserve"> 4.4).</w:t>
      </w:r>
    </w:p>
    <w:p w14:paraId="7FE660CE" w14:textId="77777777" w:rsidR="00BB702A" w:rsidRPr="00A14E37" w:rsidRDefault="00BB702A" w:rsidP="002045DA">
      <w:pPr>
        <w:pStyle w:val="Header"/>
        <w:jc w:val="both"/>
        <w:rPr>
          <w:sz w:val="22"/>
          <w:szCs w:val="22"/>
          <w:lang w:val="sr-Latn-ME"/>
        </w:rPr>
      </w:pPr>
    </w:p>
    <w:p w14:paraId="441CBFF0" w14:textId="77777777" w:rsidR="00BB702A" w:rsidRPr="00A14E37" w:rsidRDefault="00BB702A" w:rsidP="002045DA">
      <w:pPr>
        <w:pStyle w:val="Header"/>
        <w:jc w:val="both"/>
        <w:rPr>
          <w:sz w:val="22"/>
          <w:szCs w:val="22"/>
          <w:lang w:val="sr-Latn-ME"/>
        </w:rPr>
      </w:pPr>
      <w:r w:rsidRPr="00A14E37">
        <w:rPr>
          <w:sz w:val="22"/>
          <w:szCs w:val="22"/>
          <w:lang w:val="sr-Latn-ME"/>
        </w:rPr>
        <w:t xml:space="preserve">Ciklosporin može povećati koncentracije </w:t>
      </w:r>
      <w:r w:rsidRPr="00A14E37">
        <w:rPr>
          <w:i/>
          <w:sz w:val="22"/>
          <w:szCs w:val="22"/>
          <w:lang w:val="sr-Latn-ME"/>
        </w:rPr>
        <w:t>repaglinida</w:t>
      </w:r>
      <w:r w:rsidRPr="00A14E37">
        <w:rPr>
          <w:sz w:val="22"/>
          <w:szCs w:val="22"/>
          <w:lang w:val="sr-Latn-ME"/>
        </w:rPr>
        <w:t xml:space="preserve"> u plazmi i time povećati rizik od hipoglikemije.</w:t>
      </w:r>
    </w:p>
    <w:p w14:paraId="1DFC32D4" w14:textId="77777777" w:rsidR="00BB702A" w:rsidRPr="00A14E37" w:rsidRDefault="00BB702A" w:rsidP="002045DA">
      <w:pPr>
        <w:pStyle w:val="Header"/>
        <w:jc w:val="both"/>
        <w:rPr>
          <w:sz w:val="22"/>
          <w:szCs w:val="22"/>
          <w:lang w:val="sr-Latn-ME"/>
        </w:rPr>
      </w:pPr>
    </w:p>
    <w:p w14:paraId="6F36C448" w14:textId="4F109194" w:rsidR="00BB702A" w:rsidRPr="00A14E37" w:rsidRDefault="00BB702A" w:rsidP="002045DA">
      <w:pPr>
        <w:pStyle w:val="Header"/>
        <w:jc w:val="both"/>
        <w:rPr>
          <w:sz w:val="22"/>
          <w:szCs w:val="22"/>
          <w:lang w:val="sr-Latn-ME"/>
        </w:rPr>
      </w:pPr>
      <w:r w:rsidRPr="00A14E37">
        <w:rPr>
          <w:sz w:val="22"/>
          <w:szCs w:val="22"/>
          <w:lang w:val="sr-Latn-ME"/>
        </w:rPr>
        <w:t xml:space="preserve">Istovremena primjena </w:t>
      </w:r>
      <w:r w:rsidRPr="00A14E37">
        <w:rPr>
          <w:i/>
          <w:sz w:val="22"/>
          <w:szCs w:val="22"/>
          <w:lang w:val="sr-Latn-ME"/>
        </w:rPr>
        <w:t>bosentana</w:t>
      </w:r>
      <w:r w:rsidRPr="00A14E37">
        <w:rPr>
          <w:sz w:val="22"/>
          <w:szCs w:val="22"/>
          <w:lang w:val="sr-Latn-ME"/>
        </w:rPr>
        <w:t xml:space="preserve"> i ciklosporina kod zdravih</w:t>
      </w:r>
      <w:r w:rsidR="00A60CF3" w:rsidRPr="00A14E37">
        <w:rPr>
          <w:sz w:val="22"/>
          <w:szCs w:val="22"/>
          <w:lang w:val="sr-Latn-ME"/>
        </w:rPr>
        <w:t xml:space="preserve">ispitanika </w:t>
      </w:r>
      <w:r w:rsidRPr="00A14E37">
        <w:rPr>
          <w:sz w:val="22"/>
          <w:szCs w:val="22"/>
          <w:lang w:val="sr-Latn-ME"/>
        </w:rPr>
        <w:t>povećava nekoliko puta izloženost bosentanu, a dolazi do smanjenja izloženosti ciklosporinu za 35%. Istovremena primjena ciklosporina sa bosentanom se ne preporučuje (vid</w:t>
      </w:r>
      <w:r w:rsidR="006F0BAA" w:rsidRPr="00A14E37">
        <w:rPr>
          <w:sz w:val="22"/>
          <w:szCs w:val="22"/>
          <w:lang w:val="sr-Latn-ME"/>
        </w:rPr>
        <w:t>j</w:t>
      </w:r>
      <w:r w:rsidRPr="00A14E37">
        <w:rPr>
          <w:sz w:val="22"/>
          <w:szCs w:val="22"/>
          <w:lang w:val="sr-Latn-ME"/>
        </w:rPr>
        <w:t>eti gore pod</w:t>
      </w:r>
      <w:r w:rsidR="009404D7" w:rsidRPr="00A14E37">
        <w:rPr>
          <w:sz w:val="22"/>
          <w:szCs w:val="22"/>
          <w:lang w:val="sr-Latn-ME"/>
        </w:rPr>
        <w:t xml:space="preserve"> </w:t>
      </w:r>
      <w:r w:rsidR="00B37A2A" w:rsidRPr="00A14E37">
        <w:rPr>
          <w:sz w:val="22"/>
          <w:szCs w:val="22"/>
          <w:lang w:val="sr-Latn-ME"/>
        </w:rPr>
        <w:t>dio</w:t>
      </w:r>
      <w:r w:rsidRPr="00A14E37">
        <w:rPr>
          <w:sz w:val="22"/>
          <w:szCs w:val="22"/>
          <w:lang w:val="sr-Latn-ME"/>
        </w:rPr>
        <w:t xml:space="preserve"> „Ljekovi koji smanjuju nivo ciklosporina“ i </w:t>
      </w:r>
      <w:r w:rsidR="00C37D5C" w:rsidRPr="00A14E37">
        <w:rPr>
          <w:sz w:val="22"/>
          <w:szCs w:val="22"/>
          <w:lang w:val="sr-Latn-ME"/>
        </w:rPr>
        <w:t>dio</w:t>
      </w:r>
      <w:r w:rsidRPr="00A14E37">
        <w:rPr>
          <w:sz w:val="22"/>
          <w:szCs w:val="22"/>
          <w:lang w:val="sr-Latn-ME"/>
        </w:rPr>
        <w:t xml:space="preserve"> 4.3).</w:t>
      </w:r>
    </w:p>
    <w:p w14:paraId="75BFB491" w14:textId="3218C011" w:rsidR="00BB702A" w:rsidRPr="00A14E37" w:rsidRDefault="00BB702A" w:rsidP="002045DA">
      <w:pPr>
        <w:pStyle w:val="Header"/>
        <w:jc w:val="both"/>
        <w:rPr>
          <w:sz w:val="22"/>
          <w:szCs w:val="22"/>
          <w:lang w:val="sr-Latn-ME"/>
        </w:rPr>
      </w:pPr>
      <w:r w:rsidRPr="00A14E37">
        <w:rPr>
          <w:sz w:val="22"/>
          <w:szCs w:val="22"/>
          <w:lang w:val="sr-Latn-ME"/>
        </w:rPr>
        <w:lastRenderedPageBreak/>
        <w:t xml:space="preserve">Primjena višestrukih doza </w:t>
      </w:r>
      <w:r w:rsidRPr="00A14E37">
        <w:rPr>
          <w:i/>
          <w:sz w:val="22"/>
          <w:szCs w:val="22"/>
          <w:lang w:val="sr-Latn-ME"/>
        </w:rPr>
        <w:t>ambrisentana</w:t>
      </w:r>
      <w:r w:rsidRPr="00A14E37">
        <w:rPr>
          <w:sz w:val="22"/>
          <w:szCs w:val="22"/>
          <w:lang w:val="sr-Latn-ME"/>
        </w:rPr>
        <w:t xml:space="preserve"> i ciklosporina kod zdravih </w:t>
      </w:r>
      <w:r w:rsidR="003931FC" w:rsidRPr="00A14E37">
        <w:rPr>
          <w:sz w:val="22"/>
          <w:szCs w:val="22"/>
          <w:lang w:val="sr-Latn-ME"/>
        </w:rPr>
        <w:t>ispitanika</w:t>
      </w:r>
      <w:r w:rsidRPr="00A14E37">
        <w:rPr>
          <w:sz w:val="22"/>
          <w:szCs w:val="22"/>
          <w:lang w:val="sr-Latn-ME"/>
        </w:rPr>
        <w:t xml:space="preserve"> dovela je do povećanja izloženosti ambrisentanu od otprilike 2 puta, dok se izloženost ciklosporinu marginalno povećala (otprilike 10%).</w:t>
      </w:r>
    </w:p>
    <w:p w14:paraId="567F0361" w14:textId="77777777" w:rsidR="00BB702A" w:rsidRPr="00A14E37" w:rsidRDefault="00BB702A" w:rsidP="002045DA">
      <w:pPr>
        <w:pStyle w:val="Header"/>
        <w:jc w:val="both"/>
        <w:rPr>
          <w:sz w:val="22"/>
          <w:szCs w:val="22"/>
          <w:lang w:val="sr-Latn-ME"/>
        </w:rPr>
      </w:pPr>
    </w:p>
    <w:p w14:paraId="61B17EDF" w14:textId="77777777" w:rsidR="00BB702A" w:rsidRPr="00A14E37" w:rsidRDefault="00BB702A" w:rsidP="002045DA">
      <w:pPr>
        <w:pStyle w:val="Header"/>
        <w:jc w:val="both"/>
        <w:rPr>
          <w:sz w:val="22"/>
          <w:szCs w:val="22"/>
          <w:lang w:val="sr-Latn-ME"/>
        </w:rPr>
      </w:pPr>
      <w:r w:rsidRPr="00A14E37">
        <w:rPr>
          <w:sz w:val="22"/>
          <w:szCs w:val="22"/>
          <w:lang w:val="sr-Latn-ME"/>
        </w:rPr>
        <w:t xml:space="preserve">Značajno povećana izloženost </w:t>
      </w:r>
      <w:r w:rsidRPr="00A14E37">
        <w:rPr>
          <w:i/>
          <w:sz w:val="22"/>
          <w:szCs w:val="22"/>
          <w:lang w:val="sr-Latn-ME"/>
        </w:rPr>
        <w:t>antraciklinskim antibioticima</w:t>
      </w:r>
      <w:r w:rsidRPr="00A14E37">
        <w:rPr>
          <w:sz w:val="22"/>
          <w:szCs w:val="22"/>
          <w:lang w:val="sr-Latn-ME"/>
        </w:rPr>
        <w:t xml:space="preserve"> (npr. </w:t>
      </w:r>
      <w:r w:rsidRPr="00A14E37">
        <w:rPr>
          <w:i/>
          <w:sz w:val="22"/>
          <w:szCs w:val="22"/>
          <w:lang w:val="sr-Latn-ME"/>
        </w:rPr>
        <w:t>doksorubicin</w:t>
      </w:r>
      <w:r w:rsidRPr="00A14E37">
        <w:rPr>
          <w:sz w:val="22"/>
          <w:szCs w:val="22"/>
          <w:lang w:val="sr-Latn-ME"/>
        </w:rPr>
        <w:t xml:space="preserve">, </w:t>
      </w:r>
      <w:r w:rsidRPr="00A14E37">
        <w:rPr>
          <w:i/>
          <w:sz w:val="22"/>
          <w:szCs w:val="22"/>
          <w:lang w:val="sr-Latn-ME"/>
        </w:rPr>
        <w:t>mitoksantron</w:t>
      </w:r>
      <w:r w:rsidRPr="00A14E37">
        <w:rPr>
          <w:sz w:val="22"/>
          <w:szCs w:val="22"/>
          <w:lang w:val="sr-Latn-ME"/>
        </w:rPr>
        <w:t xml:space="preserve">, </w:t>
      </w:r>
      <w:r w:rsidRPr="00A14E37">
        <w:rPr>
          <w:i/>
          <w:sz w:val="22"/>
          <w:szCs w:val="22"/>
          <w:lang w:val="sr-Latn-ME"/>
        </w:rPr>
        <w:t>daunorubicin</w:t>
      </w:r>
      <w:r w:rsidRPr="00A14E37">
        <w:rPr>
          <w:sz w:val="22"/>
          <w:szCs w:val="22"/>
          <w:lang w:val="sr-Latn-ME"/>
        </w:rPr>
        <w:t>) je uočena kod onkoloških pacijenata sa istovremenom intravenskom primjenom antraciklinskih antibiotika i vrlo visokih doza ciklosporina.</w:t>
      </w:r>
    </w:p>
    <w:p w14:paraId="715D1AA8" w14:textId="77777777" w:rsidR="00BB702A" w:rsidRPr="00A14E37" w:rsidRDefault="00BB702A" w:rsidP="002045DA">
      <w:pPr>
        <w:pStyle w:val="Header"/>
        <w:jc w:val="both"/>
        <w:rPr>
          <w:sz w:val="22"/>
          <w:szCs w:val="22"/>
          <w:lang w:val="sr-Latn-ME"/>
        </w:rPr>
      </w:pPr>
    </w:p>
    <w:p w14:paraId="1BD4A395" w14:textId="46FB7F8E" w:rsidR="00BB702A" w:rsidRPr="00A14E37" w:rsidRDefault="00BB702A" w:rsidP="002045DA">
      <w:pPr>
        <w:pStyle w:val="Header"/>
        <w:jc w:val="both"/>
        <w:rPr>
          <w:sz w:val="22"/>
          <w:szCs w:val="22"/>
          <w:lang w:val="sr-Latn-ME"/>
        </w:rPr>
      </w:pPr>
      <w:r w:rsidRPr="00A14E37">
        <w:rPr>
          <w:sz w:val="22"/>
          <w:szCs w:val="22"/>
          <w:lang w:val="sr-Latn-ME"/>
        </w:rPr>
        <w:t>Tokom liječenja ciklosporinom vakcinacija bi mogla biti manje efikasna, a upotrebu živih atenuisanih vakcina treba izbjegavati.</w:t>
      </w:r>
    </w:p>
    <w:p w14:paraId="39594F11" w14:textId="7B46DCD2" w:rsidR="00774BDF" w:rsidRPr="00A14E37" w:rsidRDefault="00774BDF" w:rsidP="002045DA">
      <w:pPr>
        <w:pStyle w:val="Header"/>
        <w:jc w:val="both"/>
        <w:rPr>
          <w:sz w:val="22"/>
          <w:szCs w:val="22"/>
          <w:lang w:val="sr-Latn-ME"/>
        </w:rPr>
      </w:pPr>
    </w:p>
    <w:p w14:paraId="49430D95" w14:textId="4023F317" w:rsidR="00774BDF" w:rsidRPr="00A14E37" w:rsidRDefault="00774BDF" w:rsidP="002045DA">
      <w:pPr>
        <w:autoSpaceDE w:val="0"/>
        <w:autoSpaceDN w:val="0"/>
        <w:adjustRightInd w:val="0"/>
        <w:jc w:val="both"/>
        <w:rPr>
          <w:i/>
          <w:iCs/>
          <w:sz w:val="22"/>
          <w:szCs w:val="22"/>
          <w:lang w:val="sr-Latn-ME"/>
        </w:rPr>
      </w:pPr>
      <w:r w:rsidRPr="00A14E37">
        <w:rPr>
          <w:i/>
          <w:iCs/>
          <w:sz w:val="22"/>
          <w:szCs w:val="22"/>
          <w:lang w:val="sr-Latn-ME"/>
        </w:rPr>
        <w:t>Interakcije koje dovode do snižavanja koncentracije drug</w:t>
      </w:r>
      <w:r w:rsidR="00A427E6" w:rsidRPr="00A14E37">
        <w:rPr>
          <w:i/>
          <w:iCs/>
          <w:sz w:val="22"/>
          <w:szCs w:val="22"/>
          <w:lang w:val="sr-Latn-ME"/>
        </w:rPr>
        <w:t>i</w:t>
      </w:r>
      <w:r w:rsidRPr="00A14E37">
        <w:rPr>
          <w:i/>
          <w:iCs/>
          <w:sz w:val="22"/>
          <w:szCs w:val="22"/>
          <w:lang w:val="sr-Latn-ME"/>
        </w:rPr>
        <w:t>h l</w:t>
      </w:r>
      <w:r w:rsidR="00A427E6" w:rsidRPr="00A14E37">
        <w:rPr>
          <w:i/>
          <w:iCs/>
          <w:sz w:val="22"/>
          <w:szCs w:val="22"/>
          <w:lang w:val="sr-Latn-ME"/>
        </w:rPr>
        <w:t>j</w:t>
      </w:r>
      <w:r w:rsidRPr="00A14E37">
        <w:rPr>
          <w:i/>
          <w:iCs/>
          <w:sz w:val="22"/>
          <w:szCs w:val="22"/>
          <w:lang w:val="sr-Latn-ME"/>
        </w:rPr>
        <w:t xml:space="preserve">ekova </w:t>
      </w:r>
    </w:p>
    <w:p w14:paraId="2C6CDBCE" w14:textId="77777777" w:rsidR="00774BDF" w:rsidRPr="00A14E37" w:rsidRDefault="00774BDF" w:rsidP="002045DA">
      <w:pPr>
        <w:autoSpaceDE w:val="0"/>
        <w:autoSpaceDN w:val="0"/>
        <w:adjustRightInd w:val="0"/>
        <w:jc w:val="both"/>
        <w:rPr>
          <w:sz w:val="22"/>
          <w:szCs w:val="22"/>
          <w:lang w:val="sr-Latn-ME"/>
        </w:rPr>
      </w:pPr>
    </w:p>
    <w:p w14:paraId="67393D08" w14:textId="27EA90B2" w:rsidR="00774BDF" w:rsidRPr="00A14E37" w:rsidRDefault="00774BDF" w:rsidP="002045DA">
      <w:pPr>
        <w:autoSpaceDE w:val="0"/>
        <w:autoSpaceDN w:val="0"/>
        <w:adjustRightInd w:val="0"/>
        <w:jc w:val="both"/>
        <w:rPr>
          <w:sz w:val="22"/>
          <w:szCs w:val="22"/>
          <w:lang w:val="sr-Latn-ME"/>
        </w:rPr>
      </w:pPr>
      <w:r w:rsidRPr="00A14E37">
        <w:rPr>
          <w:sz w:val="22"/>
          <w:szCs w:val="22"/>
          <w:lang w:val="sr-Latn-ME"/>
        </w:rPr>
        <w:t>Istovremena prim</w:t>
      </w:r>
      <w:r w:rsidR="00A427E6" w:rsidRPr="00A14E37">
        <w:rPr>
          <w:sz w:val="22"/>
          <w:szCs w:val="22"/>
          <w:lang w:val="sr-Latn-ME"/>
        </w:rPr>
        <w:t>j</w:t>
      </w:r>
      <w:r w:rsidRPr="00A14E37">
        <w:rPr>
          <w:sz w:val="22"/>
          <w:szCs w:val="22"/>
          <w:lang w:val="sr-Latn-ME"/>
        </w:rPr>
        <w:t xml:space="preserve">ena ciklosporina i mikofenolat natrijuma ili mikofenolat mofetila kod pacijenata sa transplantatima može smanjiti </w:t>
      </w:r>
      <w:r w:rsidR="00C844A9" w:rsidRPr="00A14E37">
        <w:rPr>
          <w:sz w:val="22"/>
          <w:szCs w:val="22"/>
          <w:lang w:val="sr-Latn-ME"/>
        </w:rPr>
        <w:t>srednju</w:t>
      </w:r>
      <w:r w:rsidRPr="00A14E37">
        <w:rPr>
          <w:sz w:val="22"/>
          <w:szCs w:val="22"/>
          <w:lang w:val="sr-Latn-ME"/>
        </w:rPr>
        <w:t xml:space="preserve"> izloženost mikofenolnoj kiselini za 20-50% u poređenju sa drugim imunosupresivima. Ovu informaciju treba uzeti u obzir naročito u slučaju prekida ili obustave terapije ciklosporinom.</w:t>
      </w:r>
    </w:p>
    <w:p w14:paraId="19E75BE3" w14:textId="77777777" w:rsidR="00774BDF" w:rsidRPr="00A14E37" w:rsidRDefault="00774BDF" w:rsidP="002045DA">
      <w:pPr>
        <w:autoSpaceDE w:val="0"/>
        <w:autoSpaceDN w:val="0"/>
        <w:adjustRightInd w:val="0"/>
        <w:jc w:val="both"/>
        <w:rPr>
          <w:sz w:val="22"/>
          <w:szCs w:val="22"/>
          <w:lang w:val="sr-Latn-ME"/>
        </w:rPr>
      </w:pPr>
    </w:p>
    <w:p w14:paraId="6892586D" w14:textId="1F8CFF28" w:rsidR="00774BDF" w:rsidRPr="00A14E37" w:rsidRDefault="00774BDF" w:rsidP="002045DA">
      <w:pPr>
        <w:autoSpaceDE w:val="0"/>
        <w:autoSpaceDN w:val="0"/>
        <w:adjustRightInd w:val="0"/>
        <w:jc w:val="both"/>
        <w:rPr>
          <w:sz w:val="22"/>
          <w:szCs w:val="22"/>
          <w:lang w:val="sr-Latn-ME"/>
        </w:rPr>
      </w:pPr>
      <w:r w:rsidRPr="00A14E37">
        <w:rPr>
          <w:sz w:val="22"/>
          <w:szCs w:val="22"/>
          <w:lang w:val="sr-Latn-ME"/>
        </w:rPr>
        <w:t>Istovremena prim</w:t>
      </w:r>
      <w:r w:rsidR="00A427E6" w:rsidRPr="00A14E37">
        <w:rPr>
          <w:sz w:val="22"/>
          <w:szCs w:val="22"/>
          <w:lang w:val="sr-Latn-ME"/>
        </w:rPr>
        <w:t>j</w:t>
      </w:r>
      <w:r w:rsidRPr="00A14E37">
        <w:rPr>
          <w:sz w:val="22"/>
          <w:szCs w:val="22"/>
          <w:lang w:val="sr-Latn-ME"/>
        </w:rPr>
        <w:t>ena pojedinačne doze ciklosporina (200 mg ili 600 mg) sa pojedinačnom dozom eltrombopaga (50 mg) je smanjila PIKinf eltrombopaga u plazmi za 18% do 24% i C</w:t>
      </w:r>
      <w:r w:rsidRPr="00A14E37">
        <w:rPr>
          <w:sz w:val="22"/>
          <w:szCs w:val="22"/>
          <w:vertAlign w:val="subscript"/>
          <w:lang w:val="sr-Latn-ME"/>
        </w:rPr>
        <w:t>max</w:t>
      </w:r>
      <w:r w:rsidRPr="00A14E37">
        <w:rPr>
          <w:sz w:val="22"/>
          <w:szCs w:val="22"/>
          <w:lang w:val="sr-Latn-ME"/>
        </w:rPr>
        <w:t xml:space="preserve"> za 25% do 39%. Podešavanje doze eltrombopaga je dozvoljeno tokom terapije na osnovu pacijentovog broja trombocita. Broj trombocita je potrebno pratiti najmanje jednom ned</w:t>
      </w:r>
      <w:r w:rsidR="00A427E6" w:rsidRPr="00A14E37">
        <w:rPr>
          <w:sz w:val="22"/>
          <w:szCs w:val="22"/>
          <w:lang w:val="sr-Latn-ME"/>
        </w:rPr>
        <w:t>j</w:t>
      </w:r>
      <w:r w:rsidRPr="00A14E37">
        <w:rPr>
          <w:sz w:val="22"/>
          <w:szCs w:val="22"/>
          <w:lang w:val="sr-Latn-ME"/>
        </w:rPr>
        <w:t>eljno tokom 2 do 3 ned</w:t>
      </w:r>
      <w:r w:rsidR="00A427E6" w:rsidRPr="00A14E37">
        <w:rPr>
          <w:sz w:val="22"/>
          <w:szCs w:val="22"/>
          <w:lang w:val="sr-Latn-ME"/>
        </w:rPr>
        <w:t>j</w:t>
      </w:r>
      <w:r w:rsidRPr="00A14E37">
        <w:rPr>
          <w:sz w:val="22"/>
          <w:szCs w:val="22"/>
          <w:lang w:val="sr-Latn-ME"/>
        </w:rPr>
        <w:t>elje kada se eltrombopag prim</w:t>
      </w:r>
      <w:r w:rsidR="00A427E6" w:rsidRPr="00A14E37">
        <w:rPr>
          <w:sz w:val="22"/>
          <w:szCs w:val="22"/>
          <w:lang w:val="sr-Latn-ME"/>
        </w:rPr>
        <w:t>j</w:t>
      </w:r>
      <w:r w:rsidRPr="00A14E37">
        <w:rPr>
          <w:sz w:val="22"/>
          <w:szCs w:val="22"/>
          <w:lang w:val="sr-Latn-ME"/>
        </w:rPr>
        <w:t>enjuje zajedno sa ciklosporinom. Doze eltrombopaga se mogu povećati na osnovu broja trombocita.</w:t>
      </w:r>
    </w:p>
    <w:p w14:paraId="47944B0B" w14:textId="77777777" w:rsidR="00BB702A" w:rsidRPr="00A14E37" w:rsidRDefault="00BB702A" w:rsidP="002045DA">
      <w:pPr>
        <w:pStyle w:val="Header"/>
        <w:jc w:val="both"/>
        <w:rPr>
          <w:sz w:val="22"/>
          <w:szCs w:val="22"/>
          <w:lang w:val="sr-Latn-ME"/>
        </w:rPr>
      </w:pPr>
    </w:p>
    <w:p w14:paraId="1F0FBC84" w14:textId="77777777" w:rsidR="00BB702A" w:rsidRPr="00A14E37" w:rsidRDefault="00BB702A" w:rsidP="002045DA">
      <w:pPr>
        <w:pStyle w:val="Header"/>
        <w:jc w:val="both"/>
        <w:rPr>
          <w:sz w:val="22"/>
          <w:szCs w:val="22"/>
          <w:u w:val="single"/>
          <w:lang w:val="sr-Latn-ME"/>
        </w:rPr>
      </w:pPr>
      <w:r w:rsidRPr="00A14E37">
        <w:rPr>
          <w:sz w:val="22"/>
          <w:szCs w:val="22"/>
          <w:u w:val="single"/>
          <w:lang w:val="sr-Latn-ME"/>
        </w:rPr>
        <w:t>Pedijatrijska populacija</w:t>
      </w:r>
    </w:p>
    <w:p w14:paraId="39BFCD6D" w14:textId="77777777" w:rsidR="00BB702A" w:rsidRPr="00A14E37" w:rsidRDefault="00BB702A" w:rsidP="002045DA">
      <w:pPr>
        <w:pStyle w:val="Header"/>
        <w:jc w:val="both"/>
        <w:rPr>
          <w:sz w:val="22"/>
          <w:szCs w:val="22"/>
          <w:lang w:val="sr-Latn-ME"/>
        </w:rPr>
      </w:pPr>
    </w:p>
    <w:p w14:paraId="0E388E4A" w14:textId="77777777" w:rsidR="00BB702A" w:rsidRPr="00A14E37" w:rsidRDefault="00BB702A" w:rsidP="002045DA">
      <w:pPr>
        <w:pStyle w:val="Header"/>
        <w:tabs>
          <w:tab w:val="left" w:pos="284"/>
        </w:tabs>
        <w:jc w:val="both"/>
        <w:rPr>
          <w:sz w:val="22"/>
          <w:szCs w:val="22"/>
          <w:lang w:val="sr-Latn-ME"/>
        </w:rPr>
      </w:pPr>
      <w:r w:rsidRPr="00A14E37">
        <w:rPr>
          <w:sz w:val="22"/>
          <w:szCs w:val="22"/>
          <w:lang w:val="sr-Latn-ME"/>
        </w:rPr>
        <w:t>Ispitivanja interakcija su sprovedena samo kod odraslih osoba.</w:t>
      </w:r>
    </w:p>
    <w:p w14:paraId="2AB76F7F" w14:textId="77777777" w:rsidR="00BB702A" w:rsidRPr="00A14E37" w:rsidRDefault="00BB702A" w:rsidP="002045DA">
      <w:pPr>
        <w:tabs>
          <w:tab w:val="left" w:pos="540"/>
          <w:tab w:val="left" w:pos="569"/>
        </w:tabs>
        <w:jc w:val="both"/>
        <w:rPr>
          <w:bCs/>
          <w:sz w:val="22"/>
          <w:szCs w:val="22"/>
          <w:lang w:val="sr-Latn-ME"/>
        </w:rPr>
      </w:pPr>
    </w:p>
    <w:p w14:paraId="5A3D20F8" w14:textId="77777777" w:rsidR="0072020E" w:rsidRPr="00A14E37" w:rsidRDefault="0072020E" w:rsidP="002045DA">
      <w:pPr>
        <w:tabs>
          <w:tab w:val="left" w:pos="540"/>
          <w:tab w:val="left" w:pos="569"/>
        </w:tabs>
        <w:jc w:val="both"/>
        <w:rPr>
          <w:b/>
          <w:sz w:val="22"/>
          <w:szCs w:val="22"/>
          <w:lang w:val="sr-Latn-ME"/>
        </w:rPr>
      </w:pPr>
      <w:r w:rsidRPr="00A14E37">
        <w:rPr>
          <w:b/>
          <w:bCs/>
          <w:sz w:val="22"/>
          <w:szCs w:val="22"/>
          <w:lang w:val="sr-Latn-ME"/>
        </w:rPr>
        <w:t xml:space="preserve">4.6. </w:t>
      </w:r>
      <w:r w:rsidR="00480FB1" w:rsidRPr="00A14E37">
        <w:rPr>
          <w:b/>
          <w:bCs/>
          <w:sz w:val="22"/>
          <w:szCs w:val="22"/>
          <w:lang w:val="sr-Latn-ME"/>
        </w:rPr>
        <w:tab/>
      </w:r>
      <w:r w:rsidR="006D20A5" w:rsidRPr="00A14E37">
        <w:rPr>
          <w:b/>
          <w:sz w:val="22"/>
          <w:szCs w:val="22"/>
          <w:lang w:val="sr-Latn-ME"/>
        </w:rPr>
        <w:t>Plodnost, trudnoća i dojenje</w:t>
      </w:r>
    </w:p>
    <w:p w14:paraId="7626AF05" w14:textId="77777777" w:rsidR="00BB702A" w:rsidRPr="00A14E37" w:rsidRDefault="00BB702A" w:rsidP="00B37A2A">
      <w:pPr>
        <w:pStyle w:val="Nottoc-headings"/>
        <w:jc w:val="both"/>
        <w:rPr>
          <w:rFonts w:ascii="Times New Roman" w:hAnsi="Times New Roman"/>
          <w:b w:val="0"/>
          <w:noProof/>
          <w:color w:val="000000"/>
          <w:szCs w:val="22"/>
          <w:u w:val="single"/>
          <w:lang w:val="sr-Latn-ME"/>
        </w:rPr>
      </w:pPr>
      <w:r w:rsidRPr="00A14E37">
        <w:rPr>
          <w:rFonts w:ascii="Times New Roman" w:hAnsi="Times New Roman"/>
          <w:b w:val="0"/>
          <w:noProof/>
          <w:color w:val="000000"/>
          <w:szCs w:val="22"/>
          <w:u w:val="single"/>
          <w:lang w:val="sr-Latn-ME"/>
        </w:rPr>
        <w:t>Trudnoća</w:t>
      </w:r>
    </w:p>
    <w:p w14:paraId="5C38EE7E" w14:textId="44D03E9A" w:rsidR="002031B3" w:rsidRPr="00A14E37" w:rsidRDefault="00251F19" w:rsidP="002045DA">
      <w:pPr>
        <w:tabs>
          <w:tab w:val="left" w:pos="540"/>
          <w:tab w:val="left" w:pos="569"/>
        </w:tabs>
        <w:jc w:val="both"/>
        <w:rPr>
          <w:sz w:val="22"/>
          <w:szCs w:val="22"/>
          <w:lang w:val="sr-Latn-ME"/>
        </w:rPr>
      </w:pPr>
      <w:r w:rsidRPr="00A14E37">
        <w:rPr>
          <w:sz w:val="22"/>
          <w:szCs w:val="22"/>
          <w:lang w:val="sr-Latn-ME"/>
        </w:rPr>
        <w:t>Ne postoje adekvatne ili dobro kontrolisane kliničke studije kod trudnica koje su prim</w:t>
      </w:r>
      <w:r w:rsidR="00A427E6" w:rsidRPr="00A14E37">
        <w:rPr>
          <w:sz w:val="22"/>
          <w:szCs w:val="22"/>
          <w:lang w:val="sr-Latn-ME"/>
        </w:rPr>
        <w:t>j</w:t>
      </w:r>
      <w:r w:rsidRPr="00A14E37">
        <w:rPr>
          <w:sz w:val="22"/>
          <w:szCs w:val="22"/>
          <w:lang w:val="sr-Latn-ME"/>
        </w:rPr>
        <w:t>enjivale ciklosporin. Postoji um</w:t>
      </w:r>
      <w:r w:rsidR="00A427E6" w:rsidRPr="00A14E37">
        <w:rPr>
          <w:sz w:val="22"/>
          <w:szCs w:val="22"/>
          <w:lang w:val="sr-Latn-ME"/>
        </w:rPr>
        <w:t>j</w:t>
      </w:r>
      <w:r w:rsidRPr="00A14E37">
        <w:rPr>
          <w:sz w:val="22"/>
          <w:szCs w:val="22"/>
          <w:lang w:val="sr-Latn-ME"/>
        </w:rPr>
        <w:t>erena količina podataka o prim</w:t>
      </w:r>
      <w:r w:rsidR="00A427E6" w:rsidRPr="00A14E37">
        <w:rPr>
          <w:sz w:val="22"/>
          <w:szCs w:val="22"/>
          <w:lang w:val="sr-Latn-ME"/>
        </w:rPr>
        <w:t>j</w:t>
      </w:r>
      <w:r w:rsidRPr="00A14E37">
        <w:rPr>
          <w:sz w:val="22"/>
          <w:szCs w:val="22"/>
          <w:lang w:val="sr-Latn-ME"/>
        </w:rPr>
        <w:t>eni ciklosporina kod trudnih pacijentkinja iz postmarketinškog iskustva, uključujući registre transplantacija i publikovanu literaturu sa većinom dostupnih slučajeva primalaca transplantata.</w:t>
      </w:r>
      <w:r w:rsidR="00BB702A" w:rsidRPr="00A14E37">
        <w:rPr>
          <w:noProof/>
          <w:color w:val="000000"/>
          <w:sz w:val="22"/>
          <w:szCs w:val="22"/>
          <w:lang w:val="sr-Latn-ME"/>
        </w:rPr>
        <w:t xml:space="preserve"> Rizik od preranog porođaja (&lt;37 nedjelje) je povećan kod trudnica primalaca transplantata koje se liječe imunusupresivima, uključujući ciklosporin i </w:t>
      </w:r>
      <w:r w:rsidR="00C844A9" w:rsidRPr="00A14E37">
        <w:rPr>
          <w:noProof/>
          <w:color w:val="000000"/>
          <w:sz w:val="22"/>
          <w:szCs w:val="22"/>
          <w:lang w:val="sr-Latn-ME"/>
        </w:rPr>
        <w:t>terapijske režime</w:t>
      </w:r>
      <w:r w:rsidR="00BB702A" w:rsidRPr="00A14E37">
        <w:rPr>
          <w:noProof/>
          <w:color w:val="000000"/>
          <w:sz w:val="22"/>
          <w:szCs w:val="22"/>
          <w:lang w:val="sr-Latn-ME"/>
        </w:rPr>
        <w:t xml:space="preserve"> koj</w:t>
      </w:r>
      <w:r w:rsidR="00B22548" w:rsidRPr="00A14E37">
        <w:rPr>
          <w:noProof/>
          <w:color w:val="000000"/>
          <w:sz w:val="22"/>
          <w:szCs w:val="22"/>
          <w:lang w:val="sr-Latn-ME"/>
        </w:rPr>
        <w:t>i</w:t>
      </w:r>
      <w:r w:rsidR="00BB702A" w:rsidRPr="00A14E37">
        <w:rPr>
          <w:noProof/>
          <w:color w:val="000000"/>
          <w:sz w:val="22"/>
          <w:szCs w:val="22"/>
          <w:lang w:val="sr-Latn-ME"/>
        </w:rPr>
        <w:t xml:space="preserve"> sadrže ciklosporin.</w:t>
      </w:r>
    </w:p>
    <w:p w14:paraId="0ED71A08" w14:textId="77777777" w:rsidR="00C844A9" w:rsidRPr="00A14E37" w:rsidRDefault="00251F19" w:rsidP="00B37A2A">
      <w:pPr>
        <w:pStyle w:val="Text"/>
        <w:rPr>
          <w:szCs w:val="22"/>
          <w:lang w:val="sr-Latn-ME"/>
        </w:rPr>
      </w:pPr>
      <w:r w:rsidRPr="00A14E37">
        <w:rPr>
          <w:sz w:val="22"/>
          <w:szCs w:val="22"/>
          <w:lang w:val="sr-Latn-ME"/>
        </w:rPr>
        <w:t>Studije embrio-fetalnog (EFD, engl. e</w:t>
      </w:r>
      <w:r w:rsidRPr="00A14E37">
        <w:rPr>
          <w:i/>
          <w:iCs/>
          <w:sz w:val="22"/>
          <w:szCs w:val="22"/>
          <w:lang w:val="sr-Latn-ME"/>
        </w:rPr>
        <w:t>mbriyo-fetal development</w:t>
      </w:r>
      <w:r w:rsidRPr="00A14E37">
        <w:rPr>
          <w:sz w:val="22"/>
          <w:szCs w:val="22"/>
          <w:lang w:val="sr-Latn-ME"/>
        </w:rPr>
        <w:t xml:space="preserve">) razvoja sa ciklosporinom kod pacova i kunića su pokazale embriofetalnu toksičnost pri dozama ispod maksimalne preporučene doze kod ljudi (MRHD, engl. </w:t>
      </w:r>
      <w:r w:rsidRPr="00A14E37">
        <w:rPr>
          <w:i/>
          <w:iCs/>
          <w:sz w:val="22"/>
          <w:szCs w:val="22"/>
          <w:lang w:val="sr-Latn-ME"/>
        </w:rPr>
        <w:t>maximum recommended human dose</w:t>
      </w:r>
      <w:r w:rsidRPr="00A14E37">
        <w:rPr>
          <w:sz w:val="22"/>
          <w:szCs w:val="22"/>
          <w:lang w:val="sr-Latn-ME"/>
        </w:rPr>
        <w:t>) na osnovu površine t</w:t>
      </w:r>
      <w:r w:rsidR="00A427E6" w:rsidRPr="00A14E37">
        <w:rPr>
          <w:sz w:val="22"/>
          <w:szCs w:val="22"/>
          <w:lang w:val="sr-Latn-ME"/>
        </w:rPr>
        <w:t>ij</w:t>
      </w:r>
      <w:r w:rsidRPr="00A14E37">
        <w:rPr>
          <w:sz w:val="22"/>
          <w:szCs w:val="22"/>
          <w:lang w:val="sr-Latn-ME"/>
        </w:rPr>
        <w:t xml:space="preserve">ela (BSA, engl. </w:t>
      </w:r>
      <w:r w:rsidRPr="00A14E37">
        <w:rPr>
          <w:i/>
          <w:iCs/>
          <w:sz w:val="22"/>
          <w:szCs w:val="22"/>
          <w:lang w:val="sr-Latn-ME"/>
        </w:rPr>
        <w:t>body surface area</w:t>
      </w:r>
      <w:r w:rsidRPr="00A14E37">
        <w:rPr>
          <w:sz w:val="22"/>
          <w:szCs w:val="22"/>
          <w:lang w:val="sr-Latn-ME"/>
        </w:rPr>
        <w:t>) (vid</w:t>
      </w:r>
      <w:r w:rsidR="00B37A2A" w:rsidRPr="00A14E37">
        <w:rPr>
          <w:szCs w:val="22"/>
          <w:lang w:val="sr-Latn-ME"/>
        </w:rPr>
        <w:t>j</w:t>
      </w:r>
      <w:r w:rsidRPr="00A14E37">
        <w:rPr>
          <w:sz w:val="22"/>
          <w:szCs w:val="22"/>
          <w:lang w:val="sr-Latn-ME"/>
        </w:rPr>
        <w:t xml:space="preserve">eti </w:t>
      </w:r>
      <w:r w:rsidR="00B37A2A" w:rsidRPr="00A14E37">
        <w:rPr>
          <w:szCs w:val="22"/>
          <w:lang w:val="sr-Latn-ME"/>
        </w:rPr>
        <w:t>dio</w:t>
      </w:r>
      <w:r w:rsidR="00B37A2A" w:rsidRPr="00A14E37">
        <w:rPr>
          <w:sz w:val="22"/>
          <w:szCs w:val="22"/>
          <w:lang w:val="sr-Latn-ME"/>
        </w:rPr>
        <w:t xml:space="preserve"> </w:t>
      </w:r>
      <w:r w:rsidRPr="00A14E37">
        <w:rPr>
          <w:sz w:val="22"/>
          <w:szCs w:val="22"/>
          <w:lang w:val="sr-Latn-ME"/>
        </w:rPr>
        <w:t>5.3).</w:t>
      </w:r>
      <w:r w:rsidR="00B37A2A" w:rsidRPr="00A14E37">
        <w:rPr>
          <w:szCs w:val="22"/>
          <w:lang w:val="sr-Latn-ME"/>
        </w:rPr>
        <w:t xml:space="preserve"> </w:t>
      </w:r>
    </w:p>
    <w:p w14:paraId="0F224506" w14:textId="6B35ED22" w:rsidR="00BB702A" w:rsidRPr="00A14E37" w:rsidRDefault="00251F19" w:rsidP="00B37A2A">
      <w:pPr>
        <w:pStyle w:val="Text"/>
        <w:rPr>
          <w:sz w:val="22"/>
          <w:szCs w:val="22"/>
          <w:lang w:val="sr-Latn-ME"/>
        </w:rPr>
      </w:pPr>
      <w:r w:rsidRPr="00A14E37">
        <w:rPr>
          <w:noProof/>
          <w:color w:val="000000"/>
          <w:sz w:val="22"/>
          <w:szCs w:val="22"/>
          <w:lang w:val="sr-Latn-ME"/>
        </w:rPr>
        <w:t>Lijek</w:t>
      </w:r>
      <w:r w:rsidR="00BB702A" w:rsidRPr="00A14E37">
        <w:rPr>
          <w:noProof/>
          <w:color w:val="000000"/>
          <w:sz w:val="22"/>
          <w:szCs w:val="22"/>
          <w:lang w:val="sr-Latn-ME"/>
        </w:rPr>
        <w:t xml:space="preserve"> Sandimmun Neoral ne treba koristiti tokom trudnoće, osim ako potencijalna korist za majku </w:t>
      </w:r>
      <w:r w:rsidRPr="00A14E37">
        <w:rPr>
          <w:noProof/>
          <w:color w:val="000000"/>
          <w:sz w:val="22"/>
          <w:szCs w:val="22"/>
          <w:lang w:val="sr-Latn-ME"/>
        </w:rPr>
        <w:t>prevazilazi</w:t>
      </w:r>
      <w:r w:rsidR="00BB702A" w:rsidRPr="00A14E37">
        <w:rPr>
          <w:noProof/>
          <w:color w:val="000000"/>
          <w:sz w:val="22"/>
          <w:szCs w:val="22"/>
          <w:lang w:val="sr-Latn-ME"/>
        </w:rPr>
        <w:t xml:space="preserve"> potencijalni rizik za plod.</w:t>
      </w:r>
      <w:r w:rsidR="00BB702A" w:rsidRPr="00A14E37">
        <w:rPr>
          <w:sz w:val="22"/>
          <w:szCs w:val="22"/>
          <w:lang w:val="sr-Latn-ME"/>
        </w:rPr>
        <w:t xml:space="preserve"> Sadržaj etanola u formulacijama lijeka Sandimmun Neoral takođe treba uzeti u obzir kod trudnica (vidjeti </w:t>
      </w:r>
      <w:r w:rsidR="00C37D5C" w:rsidRPr="00A14E37">
        <w:rPr>
          <w:sz w:val="22"/>
          <w:szCs w:val="22"/>
          <w:lang w:val="sr-Latn-ME"/>
        </w:rPr>
        <w:t>dio</w:t>
      </w:r>
      <w:r w:rsidR="00BB702A" w:rsidRPr="00A14E37">
        <w:rPr>
          <w:sz w:val="22"/>
          <w:szCs w:val="22"/>
          <w:lang w:val="sr-Latn-ME"/>
        </w:rPr>
        <w:t xml:space="preserve"> 4.4).</w:t>
      </w:r>
    </w:p>
    <w:p w14:paraId="5DB570B9" w14:textId="77777777" w:rsidR="00251F19" w:rsidRPr="00A14E37" w:rsidRDefault="00251F19" w:rsidP="002045DA">
      <w:pPr>
        <w:autoSpaceDE w:val="0"/>
        <w:autoSpaceDN w:val="0"/>
        <w:adjustRightInd w:val="0"/>
        <w:jc w:val="both"/>
        <w:rPr>
          <w:sz w:val="22"/>
          <w:szCs w:val="22"/>
          <w:lang w:val="sr-Latn-ME"/>
        </w:rPr>
      </w:pPr>
    </w:p>
    <w:p w14:paraId="45E6A3B2" w14:textId="1EC0DA7D" w:rsidR="00251F19" w:rsidRPr="00A14E37" w:rsidRDefault="00251F19" w:rsidP="002045DA">
      <w:pPr>
        <w:autoSpaceDE w:val="0"/>
        <w:autoSpaceDN w:val="0"/>
        <w:adjustRightInd w:val="0"/>
        <w:jc w:val="both"/>
        <w:rPr>
          <w:sz w:val="22"/>
          <w:szCs w:val="22"/>
          <w:lang w:val="sr-Latn-ME"/>
        </w:rPr>
      </w:pPr>
      <w:r w:rsidRPr="00A14E37">
        <w:rPr>
          <w:sz w:val="22"/>
          <w:szCs w:val="22"/>
          <w:lang w:val="sr-Latn-ME"/>
        </w:rPr>
        <w:t xml:space="preserve">Podaci objavljeni iz Nacionalnog registra trudnoća transplantiranih pacijentkinja (NTPR, engl. </w:t>
      </w:r>
      <w:r w:rsidRPr="00A14E37">
        <w:rPr>
          <w:i/>
          <w:iCs/>
          <w:sz w:val="22"/>
          <w:szCs w:val="22"/>
          <w:lang w:val="sr-Latn-ME"/>
        </w:rPr>
        <w:t>National Transplantation Pregnancy Registry</w:t>
      </w:r>
      <w:r w:rsidRPr="00A14E37">
        <w:rPr>
          <w:sz w:val="22"/>
          <w:szCs w:val="22"/>
          <w:lang w:val="sr-Latn-ME"/>
        </w:rPr>
        <w:t>), opisuju ishode trudnoća kod pacijentkinja koje su transplantirale bubreg (482), jetru (97) i srce (43) i prim</w:t>
      </w:r>
      <w:r w:rsidR="00A427E6" w:rsidRPr="00A14E37">
        <w:rPr>
          <w:sz w:val="22"/>
          <w:szCs w:val="22"/>
          <w:lang w:val="sr-Latn-ME"/>
        </w:rPr>
        <w:t>j</w:t>
      </w:r>
      <w:r w:rsidRPr="00A14E37">
        <w:rPr>
          <w:sz w:val="22"/>
          <w:szCs w:val="22"/>
          <w:lang w:val="sr-Latn-ME"/>
        </w:rPr>
        <w:t>enjivale ciklosporin. Podaci ukazuju na usp</w:t>
      </w:r>
      <w:r w:rsidR="00A427E6" w:rsidRPr="00A14E37">
        <w:rPr>
          <w:sz w:val="22"/>
          <w:szCs w:val="22"/>
          <w:lang w:val="sr-Latn-ME"/>
        </w:rPr>
        <w:t>j</w:t>
      </w:r>
      <w:r w:rsidRPr="00A14E37">
        <w:rPr>
          <w:sz w:val="22"/>
          <w:szCs w:val="22"/>
          <w:lang w:val="sr-Latn-ME"/>
        </w:rPr>
        <w:t>ešne trudnoće sa stopom živorođene d</w:t>
      </w:r>
      <w:r w:rsidR="00A427E6" w:rsidRPr="00A14E37">
        <w:rPr>
          <w:sz w:val="22"/>
          <w:szCs w:val="22"/>
          <w:lang w:val="sr-Latn-ME"/>
        </w:rPr>
        <w:t>j</w:t>
      </w:r>
      <w:r w:rsidRPr="00A14E37">
        <w:rPr>
          <w:sz w:val="22"/>
          <w:szCs w:val="22"/>
          <w:lang w:val="sr-Latn-ME"/>
        </w:rPr>
        <w:t>ece od 76% kod transplantacije bubrega, 76,9% kod transplantacije jetre i 64% kod transplantacije srca. Pr</w:t>
      </w:r>
      <w:r w:rsidR="006D0274" w:rsidRPr="00A14E37">
        <w:rPr>
          <w:sz w:val="22"/>
          <w:szCs w:val="22"/>
          <w:lang w:val="sr-Latn-ME"/>
        </w:rPr>
        <w:t>ij</w:t>
      </w:r>
      <w:r w:rsidRPr="00A14E37">
        <w:rPr>
          <w:sz w:val="22"/>
          <w:szCs w:val="22"/>
          <w:lang w:val="sr-Latn-ME"/>
        </w:rPr>
        <w:t>evremeno rođena d</w:t>
      </w:r>
      <w:r w:rsidR="00A427E6" w:rsidRPr="00A14E37">
        <w:rPr>
          <w:sz w:val="22"/>
          <w:szCs w:val="22"/>
          <w:lang w:val="sr-Latn-ME"/>
        </w:rPr>
        <w:t>j</w:t>
      </w:r>
      <w:r w:rsidRPr="00A14E37">
        <w:rPr>
          <w:sz w:val="22"/>
          <w:szCs w:val="22"/>
          <w:lang w:val="sr-Latn-ME"/>
        </w:rPr>
        <w:t>eca (&lt;37 ned</w:t>
      </w:r>
      <w:r w:rsidR="00A427E6" w:rsidRPr="00A14E37">
        <w:rPr>
          <w:sz w:val="22"/>
          <w:szCs w:val="22"/>
          <w:lang w:val="sr-Latn-ME"/>
        </w:rPr>
        <w:t>j</w:t>
      </w:r>
      <w:r w:rsidRPr="00A14E37">
        <w:rPr>
          <w:sz w:val="22"/>
          <w:szCs w:val="22"/>
          <w:lang w:val="sr-Latn-ME"/>
        </w:rPr>
        <w:t>elja) su prijavljivana kod 52% pacijentkinja sa transplantacijom bubrega, 35% pacijentkinja sa transplantacijom jetre i 35% pacijentkinja sa transplantacijom srca.</w:t>
      </w:r>
    </w:p>
    <w:p w14:paraId="3C22C91E" w14:textId="77777777" w:rsidR="00251F19" w:rsidRPr="00A14E37" w:rsidRDefault="00251F19" w:rsidP="002045DA">
      <w:pPr>
        <w:autoSpaceDE w:val="0"/>
        <w:autoSpaceDN w:val="0"/>
        <w:adjustRightInd w:val="0"/>
        <w:jc w:val="both"/>
        <w:rPr>
          <w:sz w:val="22"/>
          <w:szCs w:val="22"/>
          <w:lang w:val="sr-Latn-ME"/>
        </w:rPr>
      </w:pPr>
    </w:p>
    <w:p w14:paraId="1D8A5B7E" w14:textId="2FB6A248" w:rsidR="00251F19" w:rsidRPr="00A14E37" w:rsidRDefault="00251F19" w:rsidP="002045DA">
      <w:pPr>
        <w:autoSpaceDE w:val="0"/>
        <w:autoSpaceDN w:val="0"/>
        <w:adjustRightInd w:val="0"/>
        <w:jc w:val="both"/>
        <w:rPr>
          <w:sz w:val="22"/>
          <w:szCs w:val="22"/>
          <w:lang w:val="sr-Latn-ME"/>
        </w:rPr>
      </w:pPr>
      <w:r w:rsidRPr="00A14E37">
        <w:rPr>
          <w:sz w:val="22"/>
          <w:szCs w:val="22"/>
          <w:lang w:val="sr-Latn-ME"/>
        </w:rPr>
        <w:t>Prijavljena stopa pobačaja i velikih urođenih defekata je uporediva sa stopom zab</w:t>
      </w:r>
      <w:r w:rsidR="00A427E6" w:rsidRPr="00A14E37">
        <w:rPr>
          <w:sz w:val="22"/>
          <w:szCs w:val="22"/>
          <w:lang w:val="sr-Latn-ME"/>
        </w:rPr>
        <w:t>i</w:t>
      </w:r>
      <w:r w:rsidRPr="00A14E37">
        <w:rPr>
          <w:sz w:val="22"/>
          <w:szCs w:val="22"/>
          <w:lang w:val="sr-Latn-ME"/>
        </w:rPr>
        <w:t>l</w:t>
      </w:r>
      <w:r w:rsidR="00A427E6" w:rsidRPr="00A14E37">
        <w:rPr>
          <w:sz w:val="22"/>
          <w:szCs w:val="22"/>
          <w:lang w:val="sr-Latn-ME"/>
        </w:rPr>
        <w:t>j</w:t>
      </w:r>
      <w:r w:rsidRPr="00A14E37">
        <w:rPr>
          <w:sz w:val="22"/>
          <w:szCs w:val="22"/>
          <w:lang w:val="sr-Latn-ME"/>
        </w:rPr>
        <w:t xml:space="preserve">eženom u opštoj populaciji. Potencijalni direktni efekat ciklosporina na hipertenziju, preeklampsiju, infekcije ili dijabetes </w:t>
      </w:r>
      <w:r w:rsidRPr="00A14E37">
        <w:rPr>
          <w:sz w:val="22"/>
          <w:szCs w:val="22"/>
          <w:lang w:val="sr-Latn-ME"/>
        </w:rPr>
        <w:lastRenderedPageBreak/>
        <w:t>kod majke se ne može isključiti uzimajući u obzir ograničenost svojstvenu registrima i postmarketinškom bezb</w:t>
      </w:r>
      <w:r w:rsidR="00A427E6" w:rsidRPr="00A14E37">
        <w:rPr>
          <w:sz w:val="22"/>
          <w:szCs w:val="22"/>
          <w:lang w:val="sr-Latn-ME"/>
        </w:rPr>
        <w:t>j</w:t>
      </w:r>
      <w:r w:rsidRPr="00A14E37">
        <w:rPr>
          <w:sz w:val="22"/>
          <w:szCs w:val="22"/>
          <w:lang w:val="sr-Latn-ME"/>
        </w:rPr>
        <w:t>ednosnom prijavljivanju.</w:t>
      </w:r>
    </w:p>
    <w:p w14:paraId="5FE4B136" w14:textId="77777777" w:rsidR="00251F19" w:rsidRPr="00A14E37" w:rsidRDefault="00251F19" w:rsidP="002045DA">
      <w:pPr>
        <w:autoSpaceDE w:val="0"/>
        <w:autoSpaceDN w:val="0"/>
        <w:adjustRightInd w:val="0"/>
        <w:jc w:val="both"/>
        <w:rPr>
          <w:sz w:val="22"/>
          <w:szCs w:val="22"/>
          <w:lang w:val="sr-Latn-ME"/>
        </w:rPr>
      </w:pPr>
    </w:p>
    <w:p w14:paraId="20A38A1E" w14:textId="72376F43" w:rsidR="00251F19" w:rsidRPr="00A14E37" w:rsidRDefault="00251F19" w:rsidP="002045DA">
      <w:pPr>
        <w:autoSpaceDE w:val="0"/>
        <w:autoSpaceDN w:val="0"/>
        <w:adjustRightInd w:val="0"/>
        <w:jc w:val="both"/>
        <w:rPr>
          <w:noProof/>
          <w:color w:val="000000"/>
          <w:sz w:val="22"/>
          <w:szCs w:val="22"/>
          <w:lang w:val="sr-Latn-ME"/>
        </w:rPr>
      </w:pPr>
      <w:r w:rsidRPr="00A14E37">
        <w:rPr>
          <w:sz w:val="22"/>
          <w:szCs w:val="22"/>
          <w:lang w:val="sr-Latn-ME"/>
        </w:rPr>
        <w:t>Dostupan je ograničen broj zapažanja kod d</w:t>
      </w:r>
      <w:r w:rsidR="00A427E6" w:rsidRPr="00A14E37">
        <w:rPr>
          <w:sz w:val="22"/>
          <w:szCs w:val="22"/>
          <w:lang w:val="sr-Latn-ME"/>
        </w:rPr>
        <w:t>j</w:t>
      </w:r>
      <w:r w:rsidRPr="00A14E37">
        <w:rPr>
          <w:sz w:val="22"/>
          <w:szCs w:val="22"/>
          <w:lang w:val="sr-Latn-ME"/>
        </w:rPr>
        <w:t xml:space="preserve">ece izložene ciklosporinu </w:t>
      </w:r>
      <w:r w:rsidRPr="00A14E37">
        <w:rPr>
          <w:i/>
          <w:iCs/>
          <w:sz w:val="22"/>
          <w:szCs w:val="22"/>
          <w:lang w:val="sr-Latn-ME"/>
        </w:rPr>
        <w:t>in utero</w:t>
      </w:r>
      <w:r w:rsidRPr="00A14E37">
        <w:rPr>
          <w:sz w:val="22"/>
          <w:szCs w:val="22"/>
          <w:lang w:val="sr-Latn-ME"/>
        </w:rPr>
        <w:t>, do uzrasta od približno 7 godina. Bubrežna funkcija i krvni pritisak kod d</w:t>
      </w:r>
      <w:r w:rsidR="00A427E6" w:rsidRPr="00A14E37">
        <w:rPr>
          <w:sz w:val="22"/>
          <w:szCs w:val="22"/>
          <w:lang w:val="sr-Latn-ME"/>
        </w:rPr>
        <w:t>j</w:t>
      </w:r>
      <w:r w:rsidRPr="00A14E37">
        <w:rPr>
          <w:sz w:val="22"/>
          <w:szCs w:val="22"/>
          <w:lang w:val="sr-Latn-ME"/>
        </w:rPr>
        <w:t xml:space="preserve">ece su bili normalni. </w:t>
      </w:r>
    </w:p>
    <w:p w14:paraId="30BEA436" w14:textId="77777777" w:rsidR="00BB702A" w:rsidRPr="00A14E37" w:rsidRDefault="00BB702A" w:rsidP="00B37A2A">
      <w:pPr>
        <w:pStyle w:val="Nottoc-headings"/>
        <w:jc w:val="both"/>
        <w:rPr>
          <w:rFonts w:ascii="Times New Roman" w:hAnsi="Times New Roman"/>
          <w:b w:val="0"/>
          <w:noProof/>
          <w:color w:val="000000"/>
          <w:szCs w:val="22"/>
          <w:u w:val="single"/>
          <w:lang w:val="sr-Latn-ME"/>
        </w:rPr>
      </w:pPr>
      <w:r w:rsidRPr="00A14E37">
        <w:rPr>
          <w:rFonts w:ascii="Times New Roman" w:hAnsi="Times New Roman"/>
          <w:b w:val="0"/>
          <w:noProof/>
          <w:color w:val="000000"/>
          <w:szCs w:val="22"/>
          <w:u w:val="single"/>
          <w:lang w:val="sr-Latn-ME"/>
        </w:rPr>
        <w:t>Dojenje</w:t>
      </w:r>
    </w:p>
    <w:p w14:paraId="1CAE8BD4" w14:textId="386D9582" w:rsidR="00BB702A" w:rsidRPr="00A14E37" w:rsidRDefault="00BB702A" w:rsidP="00B37A2A">
      <w:pPr>
        <w:pStyle w:val="Text"/>
        <w:rPr>
          <w:noProof/>
          <w:color w:val="000000"/>
          <w:sz w:val="22"/>
          <w:szCs w:val="22"/>
          <w:lang w:val="sr-Latn-ME"/>
        </w:rPr>
      </w:pPr>
      <w:r w:rsidRPr="00A14E37">
        <w:rPr>
          <w:noProof/>
          <w:color w:val="000000"/>
          <w:sz w:val="22"/>
          <w:szCs w:val="22"/>
          <w:lang w:val="sr-Latn-ME"/>
        </w:rPr>
        <w:t xml:space="preserve">Ciklosporin </w:t>
      </w:r>
      <w:r w:rsidR="00C844A9" w:rsidRPr="00A14E37">
        <w:rPr>
          <w:noProof/>
          <w:color w:val="000000"/>
          <w:sz w:val="22"/>
          <w:szCs w:val="22"/>
          <w:lang w:val="sr-Latn-ME"/>
        </w:rPr>
        <w:t>prelazi</w:t>
      </w:r>
      <w:r w:rsidRPr="00A14E37">
        <w:rPr>
          <w:noProof/>
          <w:color w:val="000000"/>
          <w:sz w:val="22"/>
          <w:szCs w:val="22"/>
          <w:lang w:val="sr-Latn-ME"/>
        </w:rPr>
        <w:t xml:space="preserve"> u majčino mlijeko. Majke koje primaju terapiju lijekom Sandimmun Neoral ne treba da doje</w:t>
      </w:r>
      <w:r w:rsidRPr="00A14E37">
        <w:rPr>
          <w:sz w:val="22"/>
          <w:szCs w:val="22"/>
          <w:lang w:val="sr-Latn-ME"/>
        </w:rPr>
        <w:t xml:space="preserve"> zbog potencijala lijeka Sandimmun Neoral da uzrokuje ozbiljne neželjene reakcije kod dojen</w:t>
      </w:r>
      <w:r w:rsidR="00D61309" w:rsidRPr="00A14E37">
        <w:rPr>
          <w:sz w:val="22"/>
          <w:szCs w:val="22"/>
          <w:lang w:val="sr-Latn-ME"/>
        </w:rPr>
        <w:t>e</w:t>
      </w:r>
      <w:r w:rsidRPr="00A14E37">
        <w:rPr>
          <w:sz w:val="22"/>
          <w:szCs w:val="22"/>
          <w:lang w:val="sr-Latn-ME"/>
        </w:rPr>
        <w:t xml:space="preserve"> novorođenčadi/odojčadi. Treba se odlučiti da li će se majka </w:t>
      </w:r>
      <w:r w:rsidR="00C844A9" w:rsidRPr="00A14E37">
        <w:rPr>
          <w:sz w:val="22"/>
          <w:szCs w:val="22"/>
          <w:lang w:val="sr-Latn-ME"/>
        </w:rPr>
        <w:t>uzdržati</w:t>
      </w:r>
      <w:r w:rsidRPr="00A14E37">
        <w:rPr>
          <w:sz w:val="22"/>
          <w:szCs w:val="22"/>
          <w:lang w:val="sr-Latn-ME"/>
        </w:rPr>
        <w:t xml:space="preserve"> od dojenja ili od uzimanja lijeka, uzimajući u obzir </w:t>
      </w:r>
      <w:r w:rsidR="00251F19" w:rsidRPr="00A14E37">
        <w:rPr>
          <w:sz w:val="22"/>
          <w:szCs w:val="22"/>
          <w:lang w:val="sr-Latn-ME"/>
        </w:rPr>
        <w:t xml:space="preserve">korist od dojenja za novorođenče/odojče i </w:t>
      </w:r>
      <w:r w:rsidRPr="00A14E37">
        <w:rPr>
          <w:sz w:val="22"/>
          <w:szCs w:val="22"/>
          <w:lang w:val="sr-Latn-ME"/>
        </w:rPr>
        <w:t>važnost lijeka za majku</w:t>
      </w:r>
      <w:r w:rsidRPr="00A14E37">
        <w:rPr>
          <w:noProof/>
          <w:color w:val="000000"/>
          <w:sz w:val="22"/>
          <w:szCs w:val="22"/>
          <w:lang w:val="sr-Latn-ME"/>
        </w:rPr>
        <w:t>.</w:t>
      </w:r>
    </w:p>
    <w:p w14:paraId="6186CC5F" w14:textId="706A387B" w:rsidR="00251F19" w:rsidRPr="00A14E37" w:rsidRDefault="00251F19" w:rsidP="006D0274">
      <w:pPr>
        <w:pStyle w:val="Text"/>
        <w:rPr>
          <w:noProof/>
          <w:color w:val="000000"/>
          <w:sz w:val="22"/>
          <w:szCs w:val="22"/>
          <w:lang w:val="sr-Latn-ME"/>
        </w:rPr>
      </w:pPr>
      <w:r w:rsidRPr="00A14E37">
        <w:rPr>
          <w:noProof/>
          <w:color w:val="000000"/>
          <w:sz w:val="22"/>
          <w:szCs w:val="22"/>
          <w:lang w:val="sr-Latn-ME"/>
        </w:rPr>
        <w:t>Ograničeni podaci su pokazali da je odnos koncentracije ciklosporina u ml</w:t>
      </w:r>
      <w:r w:rsidR="00A427E6" w:rsidRPr="00A14E37">
        <w:rPr>
          <w:noProof/>
          <w:color w:val="000000"/>
          <w:sz w:val="22"/>
          <w:szCs w:val="22"/>
          <w:lang w:val="sr-Latn-ME"/>
        </w:rPr>
        <w:t>ij</w:t>
      </w:r>
      <w:r w:rsidRPr="00A14E37">
        <w:rPr>
          <w:noProof/>
          <w:color w:val="000000"/>
          <w:sz w:val="22"/>
          <w:szCs w:val="22"/>
          <w:lang w:val="sr-Latn-ME"/>
        </w:rPr>
        <w:t xml:space="preserve">eku i krvi majke u opsegu od 0,17 do 1,4. Na osnovu </w:t>
      </w:r>
      <w:r w:rsidR="00C844A9" w:rsidRPr="00A14E37">
        <w:rPr>
          <w:noProof/>
          <w:color w:val="000000"/>
          <w:sz w:val="22"/>
          <w:szCs w:val="22"/>
          <w:lang w:val="sr-Latn-ME"/>
        </w:rPr>
        <w:t>unosa mlijeka kod odojčadi</w:t>
      </w:r>
      <w:r w:rsidRPr="00A14E37">
        <w:rPr>
          <w:noProof/>
          <w:color w:val="000000"/>
          <w:sz w:val="22"/>
          <w:szCs w:val="22"/>
          <w:lang w:val="sr-Latn-ME"/>
        </w:rPr>
        <w:t>, najveća proc</w:t>
      </w:r>
      <w:r w:rsidR="00A427E6" w:rsidRPr="00A14E37">
        <w:rPr>
          <w:noProof/>
          <w:color w:val="000000"/>
          <w:sz w:val="22"/>
          <w:szCs w:val="22"/>
          <w:lang w:val="sr-Latn-ME"/>
        </w:rPr>
        <w:t>ij</w:t>
      </w:r>
      <w:r w:rsidRPr="00A14E37">
        <w:rPr>
          <w:noProof/>
          <w:color w:val="000000"/>
          <w:sz w:val="22"/>
          <w:szCs w:val="22"/>
          <w:lang w:val="sr-Latn-ME"/>
        </w:rPr>
        <w:t>enjena doza ciklosporina un</w:t>
      </w:r>
      <w:r w:rsidR="00A427E6" w:rsidRPr="00A14E37">
        <w:rPr>
          <w:noProof/>
          <w:color w:val="000000"/>
          <w:sz w:val="22"/>
          <w:szCs w:val="22"/>
          <w:lang w:val="sr-Latn-ME"/>
        </w:rPr>
        <w:t>ij</w:t>
      </w:r>
      <w:r w:rsidRPr="00A14E37">
        <w:rPr>
          <w:noProof/>
          <w:color w:val="000000"/>
          <w:sz w:val="22"/>
          <w:szCs w:val="22"/>
          <w:lang w:val="sr-Latn-ME"/>
        </w:rPr>
        <w:t xml:space="preserve">eta od strane </w:t>
      </w:r>
      <w:r w:rsidR="00C844A9" w:rsidRPr="00A14E37">
        <w:rPr>
          <w:noProof/>
          <w:color w:val="000000"/>
          <w:sz w:val="22"/>
          <w:szCs w:val="22"/>
          <w:lang w:val="sr-Latn-ME"/>
        </w:rPr>
        <w:t>odojčeta</w:t>
      </w:r>
      <w:r w:rsidRPr="00A14E37">
        <w:rPr>
          <w:noProof/>
          <w:color w:val="000000"/>
          <w:sz w:val="22"/>
          <w:szCs w:val="22"/>
          <w:lang w:val="sr-Latn-ME"/>
        </w:rPr>
        <w:t xml:space="preserve"> koje je samo dojeno je približno 2% od doze prilagođene na t</w:t>
      </w:r>
      <w:r w:rsidR="00A427E6" w:rsidRPr="00A14E37">
        <w:rPr>
          <w:noProof/>
          <w:color w:val="000000"/>
          <w:sz w:val="22"/>
          <w:szCs w:val="22"/>
          <w:lang w:val="sr-Latn-ME"/>
        </w:rPr>
        <w:t>j</w:t>
      </w:r>
      <w:r w:rsidRPr="00A14E37">
        <w:rPr>
          <w:noProof/>
          <w:color w:val="000000"/>
          <w:sz w:val="22"/>
          <w:szCs w:val="22"/>
          <w:lang w:val="sr-Latn-ME"/>
        </w:rPr>
        <w:t>elesnu masu majke.</w:t>
      </w:r>
    </w:p>
    <w:p w14:paraId="636E9B43" w14:textId="6D5301F5" w:rsidR="00251F19" w:rsidRPr="00A14E37" w:rsidRDefault="00251F19" w:rsidP="000E6E8B">
      <w:pPr>
        <w:pStyle w:val="Text"/>
        <w:rPr>
          <w:noProof/>
          <w:color w:val="000000"/>
          <w:sz w:val="22"/>
          <w:szCs w:val="22"/>
          <w:lang w:val="sr-Latn-ME"/>
        </w:rPr>
      </w:pPr>
      <w:r w:rsidRPr="00A14E37">
        <w:rPr>
          <w:noProof/>
          <w:color w:val="000000"/>
          <w:sz w:val="22"/>
          <w:szCs w:val="22"/>
          <w:lang w:val="sr-Latn-ME"/>
        </w:rPr>
        <w:t>Sadržaj etanola u l</w:t>
      </w:r>
      <w:r w:rsidR="00A427E6" w:rsidRPr="00A14E37">
        <w:rPr>
          <w:noProof/>
          <w:color w:val="000000"/>
          <w:sz w:val="22"/>
          <w:szCs w:val="22"/>
          <w:lang w:val="sr-Latn-ME"/>
        </w:rPr>
        <w:t>ij</w:t>
      </w:r>
      <w:r w:rsidRPr="00A14E37">
        <w:rPr>
          <w:noProof/>
          <w:color w:val="000000"/>
          <w:sz w:val="22"/>
          <w:szCs w:val="22"/>
          <w:lang w:val="sr-Latn-ME"/>
        </w:rPr>
        <w:t>eku Sandimmun Neoral takođe treba uzeti u obzir kod žena koje doje (vid</w:t>
      </w:r>
      <w:r w:rsidR="00A427E6" w:rsidRPr="00A14E37">
        <w:rPr>
          <w:noProof/>
          <w:color w:val="000000"/>
          <w:sz w:val="22"/>
          <w:szCs w:val="22"/>
          <w:lang w:val="sr-Latn-ME"/>
        </w:rPr>
        <w:t>j</w:t>
      </w:r>
      <w:r w:rsidRPr="00A14E37">
        <w:rPr>
          <w:noProof/>
          <w:color w:val="000000"/>
          <w:sz w:val="22"/>
          <w:szCs w:val="22"/>
          <w:lang w:val="sr-Latn-ME"/>
        </w:rPr>
        <w:t xml:space="preserve">eti </w:t>
      </w:r>
      <w:r w:rsidR="00C37D5C" w:rsidRPr="00A14E37">
        <w:rPr>
          <w:noProof/>
          <w:color w:val="000000"/>
          <w:sz w:val="22"/>
          <w:szCs w:val="22"/>
          <w:lang w:val="sr-Latn-ME"/>
        </w:rPr>
        <w:t>dio</w:t>
      </w:r>
      <w:r w:rsidRPr="00A14E37">
        <w:rPr>
          <w:noProof/>
          <w:color w:val="000000"/>
          <w:sz w:val="22"/>
          <w:szCs w:val="22"/>
          <w:lang w:val="sr-Latn-ME"/>
        </w:rPr>
        <w:t xml:space="preserve"> 4.4).</w:t>
      </w:r>
    </w:p>
    <w:p w14:paraId="6F37002E" w14:textId="77777777" w:rsidR="00BB702A" w:rsidRPr="00A14E37" w:rsidRDefault="00BB702A">
      <w:pPr>
        <w:pStyle w:val="Default"/>
        <w:jc w:val="both"/>
        <w:rPr>
          <w:b/>
          <w:sz w:val="22"/>
          <w:szCs w:val="22"/>
          <w:u w:val="single"/>
          <w:lang w:val="sr-Latn-ME"/>
        </w:rPr>
      </w:pPr>
    </w:p>
    <w:p w14:paraId="2C0EDF72" w14:textId="77777777" w:rsidR="00BB702A" w:rsidRPr="00A14E37" w:rsidRDefault="00BB702A">
      <w:pPr>
        <w:pStyle w:val="Default"/>
        <w:jc w:val="both"/>
        <w:rPr>
          <w:sz w:val="22"/>
          <w:szCs w:val="22"/>
          <w:u w:val="single"/>
          <w:lang w:val="sr-Latn-ME"/>
        </w:rPr>
      </w:pPr>
      <w:r w:rsidRPr="00A14E37">
        <w:rPr>
          <w:sz w:val="22"/>
          <w:szCs w:val="22"/>
          <w:u w:val="single"/>
          <w:lang w:val="sr-Latn-ME"/>
        </w:rPr>
        <w:t xml:space="preserve">Plodnost </w:t>
      </w:r>
    </w:p>
    <w:p w14:paraId="519EE045" w14:textId="40DCC25C" w:rsidR="00BB702A" w:rsidRPr="00A14E37" w:rsidRDefault="00BB702A">
      <w:pPr>
        <w:pStyle w:val="Header"/>
        <w:tabs>
          <w:tab w:val="left" w:pos="284"/>
        </w:tabs>
        <w:jc w:val="both"/>
        <w:rPr>
          <w:noProof/>
          <w:color w:val="000000"/>
          <w:sz w:val="22"/>
          <w:szCs w:val="22"/>
          <w:lang w:val="sr-Latn-ME"/>
        </w:rPr>
      </w:pPr>
      <w:r w:rsidRPr="00A14E37">
        <w:rPr>
          <w:sz w:val="22"/>
          <w:szCs w:val="22"/>
          <w:lang w:val="sr-Latn-ME"/>
        </w:rPr>
        <w:t xml:space="preserve">Postoje ograničeni podaci o dejstvu lijeka Sandimmun Neoral na plodnost ljudi (vidjeti </w:t>
      </w:r>
      <w:r w:rsidR="00C37D5C" w:rsidRPr="00A14E37">
        <w:rPr>
          <w:sz w:val="22"/>
          <w:szCs w:val="22"/>
          <w:lang w:val="sr-Latn-ME"/>
        </w:rPr>
        <w:t>dio</w:t>
      </w:r>
      <w:r w:rsidRPr="00A14E37">
        <w:rPr>
          <w:sz w:val="22"/>
          <w:szCs w:val="22"/>
          <w:lang w:val="sr-Latn-ME"/>
        </w:rPr>
        <w:t xml:space="preserve"> 5.3).</w:t>
      </w:r>
      <w:r w:rsidR="00251F19" w:rsidRPr="00A14E37">
        <w:rPr>
          <w:sz w:val="22"/>
          <w:szCs w:val="22"/>
          <w:lang w:val="sr-Latn-ME"/>
        </w:rPr>
        <w:t xml:space="preserve"> Ni</w:t>
      </w:r>
      <w:r w:rsidR="006E75FB" w:rsidRPr="00A14E37">
        <w:rPr>
          <w:sz w:val="22"/>
          <w:szCs w:val="22"/>
          <w:lang w:val="sr-Latn-ME"/>
        </w:rPr>
        <w:t>je</w:t>
      </w:r>
      <w:r w:rsidR="00251F19" w:rsidRPr="00A14E37">
        <w:rPr>
          <w:sz w:val="22"/>
          <w:szCs w:val="22"/>
          <w:lang w:val="sr-Latn-ME"/>
        </w:rPr>
        <w:t>su zab</w:t>
      </w:r>
      <w:r w:rsidR="00A427E6" w:rsidRPr="00A14E37">
        <w:rPr>
          <w:sz w:val="22"/>
          <w:szCs w:val="22"/>
          <w:lang w:val="sr-Latn-ME"/>
        </w:rPr>
        <w:t>i</w:t>
      </w:r>
      <w:r w:rsidR="00251F19" w:rsidRPr="00A14E37">
        <w:rPr>
          <w:sz w:val="22"/>
          <w:szCs w:val="22"/>
          <w:lang w:val="sr-Latn-ME"/>
        </w:rPr>
        <w:t>l</w:t>
      </w:r>
      <w:r w:rsidR="00A427E6" w:rsidRPr="00A14E37">
        <w:rPr>
          <w:sz w:val="22"/>
          <w:szCs w:val="22"/>
          <w:lang w:val="sr-Latn-ME"/>
        </w:rPr>
        <w:t>j</w:t>
      </w:r>
      <w:r w:rsidR="00251F19" w:rsidRPr="00A14E37">
        <w:rPr>
          <w:sz w:val="22"/>
          <w:szCs w:val="22"/>
          <w:lang w:val="sr-Latn-ME"/>
        </w:rPr>
        <w:t>eženi neželjeni efekti na fertilnost kod mužjaka i ženki pacova do 15mg/kg/dan (ispod MRHD na osnovu BSA) (vid</w:t>
      </w:r>
      <w:r w:rsidR="00A427E6" w:rsidRPr="00A14E37">
        <w:rPr>
          <w:sz w:val="22"/>
          <w:szCs w:val="22"/>
          <w:lang w:val="sr-Latn-ME"/>
        </w:rPr>
        <w:t>j</w:t>
      </w:r>
      <w:r w:rsidR="00251F19" w:rsidRPr="00A14E37">
        <w:rPr>
          <w:sz w:val="22"/>
          <w:szCs w:val="22"/>
          <w:lang w:val="sr-Latn-ME"/>
        </w:rPr>
        <w:t xml:space="preserve">eti </w:t>
      </w:r>
      <w:r w:rsidR="00C37D5C" w:rsidRPr="00A14E37">
        <w:rPr>
          <w:sz w:val="22"/>
          <w:szCs w:val="22"/>
          <w:lang w:val="sr-Latn-ME"/>
        </w:rPr>
        <w:t>dio</w:t>
      </w:r>
      <w:r w:rsidR="00251F19" w:rsidRPr="00A14E37">
        <w:rPr>
          <w:sz w:val="22"/>
          <w:szCs w:val="22"/>
          <w:lang w:val="sr-Latn-ME"/>
        </w:rPr>
        <w:t xml:space="preserve"> 5.3).</w:t>
      </w:r>
    </w:p>
    <w:p w14:paraId="570E9852" w14:textId="77777777" w:rsidR="00BB702A" w:rsidRPr="00A14E37" w:rsidRDefault="00BB702A">
      <w:pPr>
        <w:tabs>
          <w:tab w:val="left" w:pos="540"/>
          <w:tab w:val="left" w:pos="569"/>
        </w:tabs>
        <w:ind w:left="540" w:hanging="540"/>
        <w:jc w:val="both"/>
        <w:rPr>
          <w:b/>
          <w:bCs/>
          <w:sz w:val="22"/>
          <w:szCs w:val="22"/>
          <w:lang w:val="sr-Latn-ME"/>
        </w:rPr>
      </w:pPr>
    </w:p>
    <w:p w14:paraId="65F67926" w14:textId="77777777" w:rsidR="0072020E" w:rsidRPr="00A14E37" w:rsidRDefault="0072020E">
      <w:pPr>
        <w:tabs>
          <w:tab w:val="left" w:pos="540"/>
          <w:tab w:val="left" w:pos="569"/>
        </w:tabs>
        <w:ind w:left="540" w:hanging="540"/>
        <w:jc w:val="both"/>
        <w:rPr>
          <w:b/>
          <w:bCs/>
          <w:sz w:val="22"/>
          <w:szCs w:val="22"/>
          <w:lang w:val="sr-Latn-ME"/>
        </w:rPr>
      </w:pPr>
      <w:r w:rsidRPr="00A14E37">
        <w:rPr>
          <w:b/>
          <w:bCs/>
          <w:sz w:val="22"/>
          <w:szCs w:val="22"/>
          <w:lang w:val="sr-Latn-ME"/>
        </w:rPr>
        <w:t xml:space="preserve">4.7. </w:t>
      </w:r>
      <w:r w:rsidR="00480FB1" w:rsidRPr="00A14E37">
        <w:rPr>
          <w:b/>
          <w:bCs/>
          <w:sz w:val="22"/>
          <w:szCs w:val="22"/>
          <w:lang w:val="sr-Latn-ME"/>
        </w:rPr>
        <w:tab/>
      </w:r>
      <w:r w:rsidRPr="00A14E37">
        <w:rPr>
          <w:b/>
          <w:bCs/>
          <w:sz w:val="22"/>
          <w:szCs w:val="22"/>
          <w:lang w:val="sr-Latn-ME"/>
        </w:rPr>
        <w:t xml:space="preserve">Uticaj na </w:t>
      </w:r>
      <w:r w:rsidR="002031B3" w:rsidRPr="00A14E37">
        <w:rPr>
          <w:b/>
          <w:bCs/>
          <w:sz w:val="22"/>
          <w:szCs w:val="22"/>
          <w:lang w:val="sr-Latn-ME"/>
        </w:rPr>
        <w:t xml:space="preserve">sposobnost </w:t>
      </w:r>
      <w:r w:rsidR="00F34554" w:rsidRPr="00A14E37">
        <w:rPr>
          <w:b/>
          <w:bCs/>
          <w:sz w:val="22"/>
          <w:szCs w:val="22"/>
          <w:lang w:val="sr-Latn-ME"/>
        </w:rPr>
        <w:t>upravljanja vozili</w:t>
      </w:r>
      <w:r w:rsidRPr="00A14E37">
        <w:rPr>
          <w:b/>
          <w:bCs/>
          <w:sz w:val="22"/>
          <w:szCs w:val="22"/>
          <w:lang w:val="sr-Latn-ME"/>
        </w:rPr>
        <w:t>m</w:t>
      </w:r>
      <w:r w:rsidR="00F34554" w:rsidRPr="00A14E37">
        <w:rPr>
          <w:b/>
          <w:bCs/>
          <w:sz w:val="22"/>
          <w:szCs w:val="22"/>
          <w:lang w:val="sr-Latn-ME"/>
        </w:rPr>
        <w:t>a</w:t>
      </w:r>
      <w:r w:rsidRPr="00A14E37">
        <w:rPr>
          <w:b/>
          <w:bCs/>
          <w:sz w:val="22"/>
          <w:szCs w:val="22"/>
          <w:lang w:val="sr-Latn-ME"/>
        </w:rPr>
        <w:t xml:space="preserve"> i </w:t>
      </w:r>
      <w:r w:rsidR="000D3449" w:rsidRPr="00A14E37">
        <w:rPr>
          <w:b/>
          <w:bCs/>
          <w:sz w:val="22"/>
          <w:szCs w:val="22"/>
          <w:lang w:val="sr-Latn-ME"/>
        </w:rPr>
        <w:t xml:space="preserve">rukovanje </w:t>
      </w:r>
      <w:r w:rsidRPr="00A14E37">
        <w:rPr>
          <w:b/>
          <w:bCs/>
          <w:sz w:val="22"/>
          <w:szCs w:val="22"/>
          <w:lang w:val="sr-Latn-ME"/>
        </w:rPr>
        <w:t>mašinama</w:t>
      </w:r>
    </w:p>
    <w:p w14:paraId="3B928E35" w14:textId="77777777" w:rsidR="0072020E" w:rsidRPr="00A14E37" w:rsidRDefault="0072020E">
      <w:pPr>
        <w:tabs>
          <w:tab w:val="left" w:pos="540"/>
          <w:tab w:val="left" w:pos="569"/>
        </w:tabs>
        <w:jc w:val="both"/>
        <w:rPr>
          <w:b/>
          <w:bCs/>
          <w:sz w:val="22"/>
          <w:szCs w:val="22"/>
          <w:lang w:val="sr-Latn-ME"/>
        </w:rPr>
      </w:pPr>
    </w:p>
    <w:p w14:paraId="192259A8" w14:textId="6D4001FA" w:rsidR="00251F19" w:rsidRPr="00A14E37" w:rsidRDefault="00251F19" w:rsidP="00F949C5">
      <w:pPr>
        <w:pStyle w:val="Text"/>
        <w:spacing w:before="0"/>
        <w:rPr>
          <w:noProof/>
          <w:color w:val="000000"/>
          <w:sz w:val="22"/>
          <w:szCs w:val="22"/>
          <w:lang w:val="sr-Latn-ME"/>
        </w:rPr>
      </w:pPr>
      <w:r w:rsidRPr="00A14E37">
        <w:rPr>
          <w:noProof/>
          <w:color w:val="000000"/>
          <w:sz w:val="22"/>
          <w:szCs w:val="22"/>
          <w:lang w:val="sr-Latn-ME"/>
        </w:rPr>
        <w:t>L</w:t>
      </w:r>
      <w:r w:rsidR="00A427E6" w:rsidRPr="00A14E37">
        <w:rPr>
          <w:noProof/>
          <w:color w:val="000000"/>
          <w:sz w:val="22"/>
          <w:szCs w:val="22"/>
          <w:lang w:val="sr-Latn-ME"/>
        </w:rPr>
        <w:t>ij</w:t>
      </w:r>
      <w:r w:rsidRPr="00A14E37">
        <w:rPr>
          <w:noProof/>
          <w:color w:val="000000"/>
          <w:sz w:val="22"/>
          <w:szCs w:val="22"/>
          <w:lang w:val="sr-Latn-ME"/>
        </w:rPr>
        <w:t>ek Sandimmun Neoral može da izazove neurološke i poremećaje u vidu (vid</w:t>
      </w:r>
      <w:r w:rsidR="00A427E6" w:rsidRPr="00A14E37">
        <w:rPr>
          <w:noProof/>
          <w:color w:val="000000"/>
          <w:sz w:val="22"/>
          <w:szCs w:val="22"/>
          <w:lang w:val="sr-Latn-ME"/>
        </w:rPr>
        <w:t>j</w:t>
      </w:r>
      <w:r w:rsidRPr="00A14E37">
        <w:rPr>
          <w:noProof/>
          <w:color w:val="000000"/>
          <w:sz w:val="22"/>
          <w:szCs w:val="22"/>
          <w:lang w:val="sr-Latn-ME"/>
        </w:rPr>
        <w:t xml:space="preserve">eti </w:t>
      </w:r>
      <w:r w:rsidR="00C37D5C" w:rsidRPr="00A14E37">
        <w:rPr>
          <w:noProof/>
          <w:color w:val="000000"/>
          <w:sz w:val="22"/>
          <w:szCs w:val="22"/>
          <w:lang w:val="sr-Latn-ME"/>
        </w:rPr>
        <w:t>dio</w:t>
      </w:r>
      <w:r w:rsidRPr="00A14E37">
        <w:rPr>
          <w:noProof/>
          <w:color w:val="000000"/>
          <w:sz w:val="22"/>
          <w:szCs w:val="22"/>
          <w:lang w:val="sr-Latn-ME"/>
        </w:rPr>
        <w:t xml:space="preserve"> 4.8). L</w:t>
      </w:r>
      <w:r w:rsidR="00A427E6" w:rsidRPr="00A14E37">
        <w:rPr>
          <w:noProof/>
          <w:color w:val="000000"/>
          <w:sz w:val="22"/>
          <w:szCs w:val="22"/>
          <w:lang w:val="sr-Latn-ME"/>
        </w:rPr>
        <w:t>ij</w:t>
      </w:r>
      <w:r w:rsidRPr="00A14E37">
        <w:rPr>
          <w:noProof/>
          <w:color w:val="000000"/>
          <w:sz w:val="22"/>
          <w:szCs w:val="22"/>
          <w:lang w:val="sr-Latn-ME"/>
        </w:rPr>
        <w:t>ek Sandimmun Neoral može da ima um</w:t>
      </w:r>
      <w:r w:rsidR="00A427E6" w:rsidRPr="00A14E37">
        <w:rPr>
          <w:noProof/>
          <w:color w:val="000000"/>
          <w:sz w:val="22"/>
          <w:szCs w:val="22"/>
          <w:lang w:val="sr-Latn-ME"/>
        </w:rPr>
        <w:t>j</w:t>
      </w:r>
      <w:r w:rsidRPr="00A14E37">
        <w:rPr>
          <w:noProof/>
          <w:color w:val="000000"/>
          <w:sz w:val="22"/>
          <w:szCs w:val="22"/>
          <w:lang w:val="sr-Latn-ME"/>
        </w:rPr>
        <w:t>eren uticaj na sposobnost upravljanja vozilom i rukovanja mašinama. Treba biti oprezan kada se upravlja motornim vozilom ili rukuje mašinama.</w:t>
      </w:r>
    </w:p>
    <w:p w14:paraId="00665436" w14:textId="7054DE2C" w:rsidR="00BB702A" w:rsidRPr="00A14E37" w:rsidRDefault="00251F19" w:rsidP="002045DA">
      <w:pPr>
        <w:pStyle w:val="Text"/>
        <w:rPr>
          <w:noProof/>
          <w:color w:val="000000"/>
          <w:sz w:val="22"/>
          <w:szCs w:val="22"/>
          <w:lang w:val="sr-Latn-ME"/>
        </w:rPr>
      </w:pPr>
      <w:r w:rsidRPr="00A14E37">
        <w:rPr>
          <w:noProof/>
          <w:color w:val="000000"/>
          <w:sz w:val="22"/>
          <w:szCs w:val="22"/>
          <w:lang w:val="sr-Latn-ME"/>
        </w:rPr>
        <w:t>Ni</w:t>
      </w:r>
      <w:r w:rsidR="006E75FB" w:rsidRPr="00A14E37">
        <w:rPr>
          <w:noProof/>
          <w:color w:val="000000"/>
          <w:sz w:val="22"/>
          <w:szCs w:val="22"/>
          <w:lang w:val="sr-Latn-ME"/>
        </w:rPr>
        <w:t>je</w:t>
      </w:r>
      <w:r w:rsidRPr="00A14E37">
        <w:rPr>
          <w:noProof/>
          <w:color w:val="000000"/>
          <w:sz w:val="22"/>
          <w:szCs w:val="22"/>
          <w:lang w:val="sr-Latn-ME"/>
        </w:rPr>
        <w:t>su izvedene studije o uticaju l</w:t>
      </w:r>
      <w:r w:rsidR="00A427E6" w:rsidRPr="00A14E37">
        <w:rPr>
          <w:noProof/>
          <w:color w:val="000000"/>
          <w:sz w:val="22"/>
          <w:szCs w:val="22"/>
          <w:lang w:val="sr-Latn-ME"/>
        </w:rPr>
        <w:t>ij</w:t>
      </w:r>
      <w:r w:rsidRPr="00A14E37">
        <w:rPr>
          <w:noProof/>
          <w:color w:val="000000"/>
          <w:sz w:val="22"/>
          <w:szCs w:val="22"/>
          <w:lang w:val="sr-Latn-ME"/>
        </w:rPr>
        <w:t>eka Sandimmun Neoral na sposobnost upravljanja vozilom i rukovanja mašinama.</w:t>
      </w:r>
    </w:p>
    <w:p w14:paraId="70B93DA2" w14:textId="77777777" w:rsidR="00BB702A" w:rsidRPr="00A14E37" w:rsidRDefault="00BB702A" w:rsidP="002045DA">
      <w:pPr>
        <w:tabs>
          <w:tab w:val="left" w:pos="540"/>
          <w:tab w:val="left" w:pos="569"/>
        </w:tabs>
        <w:jc w:val="both"/>
        <w:rPr>
          <w:b/>
          <w:bCs/>
          <w:sz w:val="22"/>
          <w:szCs w:val="22"/>
          <w:lang w:val="sr-Latn-ME"/>
        </w:rPr>
      </w:pPr>
    </w:p>
    <w:p w14:paraId="0D7E5B87" w14:textId="77777777"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4.8. </w:t>
      </w:r>
      <w:r w:rsidR="00480FB1" w:rsidRPr="00A14E37">
        <w:rPr>
          <w:b/>
          <w:bCs/>
          <w:sz w:val="22"/>
          <w:szCs w:val="22"/>
          <w:lang w:val="sr-Latn-ME"/>
        </w:rPr>
        <w:tab/>
      </w:r>
      <w:r w:rsidRPr="00A14E37">
        <w:rPr>
          <w:b/>
          <w:bCs/>
          <w:sz w:val="22"/>
          <w:szCs w:val="22"/>
          <w:lang w:val="sr-Latn-ME"/>
        </w:rPr>
        <w:t>Neželjena dejstva</w:t>
      </w:r>
    </w:p>
    <w:p w14:paraId="6C775762" w14:textId="77777777" w:rsidR="00264435" w:rsidRPr="00A14E37" w:rsidRDefault="00264435" w:rsidP="00F949C5">
      <w:pPr>
        <w:pStyle w:val="Text"/>
        <w:spacing w:before="0"/>
        <w:rPr>
          <w:sz w:val="22"/>
          <w:szCs w:val="22"/>
          <w:u w:val="single"/>
          <w:lang w:val="sr-Latn-ME"/>
        </w:rPr>
      </w:pPr>
    </w:p>
    <w:p w14:paraId="438A0CA8" w14:textId="13FD0361" w:rsidR="00BB702A" w:rsidRPr="00A14E37" w:rsidRDefault="00BB702A" w:rsidP="00F949C5">
      <w:pPr>
        <w:pStyle w:val="Text"/>
        <w:spacing w:before="0"/>
        <w:rPr>
          <w:sz w:val="22"/>
          <w:szCs w:val="22"/>
          <w:u w:val="single"/>
          <w:lang w:val="sr-Latn-ME"/>
        </w:rPr>
      </w:pPr>
      <w:r w:rsidRPr="00A14E37">
        <w:rPr>
          <w:sz w:val="22"/>
          <w:szCs w:val="22"/>
          <w:u w:val="single"/>
          <w:lang w:val="sr-Latn-ME"/>
        </w:rPr>
        <w:t xml:space="preserve">Sažetak bezbjednosnog profila </w:t>
      </w:r>
    </w:p>
    <w:p w14:paraId="77190FC5" w14:textId="77777777" w:rsidR="00264435" w:rsidRPr="00A14E37" w:rsidRDefault="00264435" w:rsidP="00F949C5">
      <w:pPr>
        <w:pStyle w:val="Text"/>
        <w:spacing w:before="0"/>
        <w:rPr>
          <w:sz w:val="22"/>
          <w:szCs w:val="22"/>
          <w:lang w:val="sr-Latn-ME"/>
        </w:rPr>
      </w:pPr>
    </w:p>
    <w:p w14:paraId="22144EDE" w14:textId="1450B414" w:rsidR="00BB702A" w:rsidRPr="00A14E37" w:rsidRDefault="00BB702A" w:rsidP="00F949C5">
      <w:pPr>
        <w:pStyle w:val="Text"/>
        <w:spacing w:before="0"/>
        <w:rPr>
          <w:sz w:val="22"/>
          <w:szCs w:val="22"/>
          <w:lang w:val="sr-Latn-ME"/>
        </w:rPr>
      </w:pPr>
      <w:r w:rsidRPr="00A14E37">
        <w:rPr>
          <w:sz w:val="22"/>
          <w:szCs w:val="22"/>
          <w:lang w:val="sr-Latn-ME"/>
        </w:rPr>
        <w:t>Glavne neželjene reakcije koje su bile primijećene u kliničkim ispitivanjima i povezane sa primjenom ciklosporina uključuju bubrežnu disfunkciju, tremor, pojačanu maljavost, hipertenziju, dijareju, anoreksiju, mučninu i povraćanje.</w:t>
      </w:r>
    </w:p>
    <w:p w14:paraId="00225938" w14:textId="649384C1" w:rsidR="00BB702A" w:rsidRPr="00A14E37" w:rsidRDefault="00BB702A" w:rsidP="006D0274">
      <w:pPr>
        <w:pStyle w:val="Text"/>
        <w:rPr>
          <w:noProof/>
          <w:color w:val="000000"/>
          <w:sz w:val="22"/>
          <w:szCs w:val="22"/>
          <w:lang w:val="sr-Latn-ME"/>
        </w:rPr>
      </w:pPr>
      <w:r w:rsidRPr="00A14E37">
        <w:rPr>
          <w:noProof/>
          <w:color w:val="000000"/>
          <w:sz w:val="22"/>
          <w:szCs w:val="22"/>
          <w:lang w:val="sr-Latn-ME"/>
        </w:rPr>
        <w:t>Mnoga neželjena dejstva udružena sa terapijom ciklosporinom su dozno zavisna i reaguju na smanjenje doze. Ukupan spektar neželjenih dejstava kod raznih indikacija je u osnovi isti; međutim, postoje razlike u incidenci i težini. Neželjena dejstva su češća i obično teža kod pacijenata sa transplantatom nego kod pacijenata liječenih zbog drugih indikacija, što je posljedica većih početnih doza i dužih terapija održavanja potrebnih posl</w:t>
      </w:r>
      <w:r w:rsidR="000E6E8B" w:rsidRPr="00A14E37">
        <w:rPr>
          <w:noProof/>
          <w:color w:val="000000"/>
          <w:sz w:val="22"/>
          <w:szCs w:val="22"/>
          <w:lang w:val="sr-Latn-ME"/>
        </w:rPr>
        <w:t>ij</w:t>
      </w:r>
      <w:r w:rsidRPr="00A14E37">
        <w:rPr>
          <w:noProof/>
          <w:color w:val="000000"/>
          <w:sz w:val="22"/>
          <w:szCs w:val="22"/>
          <w:lang w:val="sr-Latn-ME"/>
        </w:rPr>
        <w:t>e transplantacije.</w:t>
      </w:r>
    </w:p>
    <w:p w14:paraId="6F06BBD1" w14:textId="77777777" w:rsidR="00BB702A" w:rsidRPr="00A14E37" w:rsidRDefault="00BB702A" w:rsidP="006D0274">
      <w:pPr>
        <w:pStyle w:val="Text"/>
        <w:rPr>
          <w:b/>
          <w:noProof/>
          <w:color w:val="000000"/>
          <w:sz w:val="22"/>
          <w:szCs w:val="22"/>
          <w:u w:val="single"/>
          <w:lang w:val="sr-Latn-ME"/>
        </w:rPr>
      </w:pPr>
      <w:r w:rsidRPr="00A14E37">
        <w:rPr>
          <w:b/>
          <w:noProof/>
          <w:color w:val="000000"/>
          <w:sz w:val="22"/>
          <w:szCs w:val="22"/>
          <w:u w:val="single"/>
          <w:lang w:val="sr-Latn-ME"/>
        </w:rPr>
        <w:t>Infekcije i infestacije</w:t>
      </w:r>
    </w:p>
    <w:p w14:paraId="70602E9E" w14:textId="5DFBE0D9" w:rsidR="00BB702A" w:rsidRPr="00A14E37" w:rsidRDefault="00BB702A" w:rsidP="000E6E8B">
      <w:pPr>
        <w:pStyle w:val="Text"/>
        <w:rPr>
          <w:noProof/>
          <w:sz w:val="22"/>
          <w:szCs w:val="22"/>
          <w:lang w:val="sr-Latn-ME"/>
        </w:rPr>
      </w:pPr>
      <w:r w:rsidRPr="00A14E37">
        <w:rPr>
          <w:noProof/>
          <w:color w:val="000000"/>
          <w:sz w:val="22"/>
          <w:szCs w:val="22"/>
          <w:lang w:val="sr-Latn-ME"/>
        </w:rPr>
        <w:t xml:space="preserve">Pacijenti koji primaju imunosupresivnu terapiju, uključujući ciklosporin i protokole koji sadrže ciklosporin, imaju povećan rizik od pojave infekcija (virusnih, bakterijskih, gljivičnih, parazitarnih) (vidjeti </w:t>
      </w:r>
      <w:r w:rsidR="00C37D5C" w:rsidRPr="00A14E37">
        <w:rPr>
          <w:noProof/>
          <w:color w:val="000000"/>
          <w:sz w:val="22"/>
          <w:szCs w:val="22"/>
          <w:lang w:val="sr-Latn-ME"/>
        </w:rPr>
        <w:t>dio</w:t>
      </w:r>
      <w:r w:rsidRPr="00A14E37">
        <w:rPr>
          <w:noProof/>
          <w:color w:val="000000"/>
          <w:sz w:val="22"/>
          <w:szCs w:val="22"/>
          <w:lang w:val="sr-Latn-ME"/>
        </w:rPr>
        <w:t xml:space="preserve"> 4.4). Mogu se javiti i lokalne i generalizovane infekcije. Postojeće infekcije mogu se pogoršati i reaktiviranje infekcije poliomavirusa može dovesti do nefropatije vezane za poliomavirus (PVAN) ili do JC virusne progresivne multifokalne leukoencefalopatije (PML). Prijavljeni su teški i/ili </w:t>
      </w:r>
      <w:r w:rsidR="000E6718" w:rsidRPr="00A14E37">
        <w:rPr>
          <w:noProof/>
          <w:color w:val="000000"/>
          <w:sz w:val="22"/>
          <w:szCs w:val="22"/>
          <w:lang w:val="sr-Latn-ME"/>
        </w:rPr>
        <w:t>smrtni</w:t>
      </w:r>
      <w:r w:rsidRPr="00A14E37">
        <w:rPr>
          <w:noProof/>
          <w:color w:val="000000"/>
          <w:sz w:val="22"/>
          <w:szCs w:val="22"/>
          <w:lang w:val="sr-Latn-ME"/>
        </w:rPr>
        <w:t xml:space="preserve"> ishodi</w:t>
      </w:r>
      <w:r w:rsidRPr="00A14E37">
        <w:rPr>
          <w:noProof/>
          <w:sz w:val="22"/>
          <w:szCs w:val="22"/>
          <w:lang w:val="sr-Latn-ME"/>
        </w:rPr>
        <w:t>.</w:t>
      </w:r>
      <w:r w:rsidRPr="00A14E37">
        <w:rPr>
          <w:noProof/>
          <w:sz w:val="22"/>
          <w:szCs w:val="22"/>
          <w:vertAlign w:val="superscript"/>
          <w:lang w:val="sr-Latn-ME"/>
        </w:rPr>
        <w:t xml:space="preserve"> </w:t>
      </w:r>
      <w:r w:rsidRPr="00A14E37">
        <w:rPr>
          <w:noProof/>
          <w:sz w:val="22"/>
          <w:szCs w:val="22"/>
          <w:lang w:val="sr-Latn-ME"/>
        </w:rPr>
        <w:t xml:space="preserve"> </w:t>
      </w:r>
    </w:p>
    <w:p w14:paraId="34E9609B" w14:textId="77777777" w:rsidR="00BB702A" w:rsidRPr="00A14E37" w:rsidRDefault="00BB702A">
      <w:pPr>
        <w:pStyle w:val="Text"/>
        <w:rPr>
          <w:b/>
          <w:noProof/>
          <w:sz w:val="22"/>
          <w:szCs w:val="22"/>
          <w:u w:val="single"/>
          <w:lang w:val="sr-Latn-ME"/>
        </w:rPr>
      </w:pPr>
      <w:r w:rsidRPr="00A14E37">
        <w:rPr>
          <w:b/>
          <w:noProof/>
          <w:sz w:val="22"/>
          <w:szCs w:val="22"/>
          <w:u w:val="single"/>
          <w:lang w:val="sr-Latn-ME"/>
        </w:rPr>
        <w:t>Benigne, maligne i neklasifikovane neoplazme (uključujući ciste i polipe)</w:t>
      </w:r>
    </w:p>
    <w:p w14:paraId="782BE1DD" w14:textId="08E215F7" w:rsidR="00BB702A" w:rsidRPr="00A14E37" w:rsidRDefault="00BB702A">
      <w:pPr>
        <w:pStyle w:val="Text"/>
        <w:rPr>
          <w:noProof/>
          <w:sz w:val="22"/>
          <w:szCs w:val="22"/>
          <w:lang w:val="sr-Latn-ME"/>
        </w:rPr>
      </w:pPr>
      <w:r w:rsidRPr="00A14E37">
        <w:rPr>
          <w:noProof/>
          <w:color w:val="000000"/>
          <w:sz w:val="22"/>
          <w:szCs w:val="22"/>
          <w:lang w:val="sr-Latn-ME"/>
        </w:rPr>
        <w:t xml:space="preserve">Pacijenti koji primaju imunosupresivnu terapiju, uključujući ciklosporin i protokole koji sadrže ciklosporin, imaju povećan rizik od pojave limfoma ili limfoproliferativnih poremećaja i drugih </w:t>
      </w:r>
      <w:r w:rsidRPr="00A14E37">
        <w:rPr>
          <w:noProof/>
          <w:color w:val="000000"/>
          <w:sz w:val="22"/>
          <w:szCs w:val="22"/>
          <w:lang w:val="sr-Latn-ME"/>
        </w:rPr>
        <w:lastRenderedPageBreak/>
        <w:t xml:space="preserve">maligniteta, posebno kože. Učestalost pojave maligniteta raste sa intenzitetom i trajanjem terapije (vidjeti </w:t>
      </w:r>
      <w:r w:rsidR="00C37D5C" w:rsidRPr="00A14E37">
        <w:rPr>
          <w:noProof/>
          <w:color w:val="000000"/>
          <w:sz w:val="22"/>
          <w:szCs w:val="22"/>
          <w:lang w:val="sr-Latn-ME"/>
        </w:rPr>
        <w:t>dio</w:t>
      </w:r>
      <w:r w:rsidRPr="00A14E37">
        <w:rPr>
          <w:noProof/>
          <w:color w:val="000000"/>
          <w:sz w:val="22"/>
          <w:szCs w:val="22"/>
          <w:lang w:val="sr-Latn-ME"/>
        </w:rPr>
        <w:t xml:space="preserve"> 4.4). Neki maligniteti mogu </w:t>
      </w:r>
      <w:r w:rsidR="000E6718" w:rsidRPr="00A14E37">
        <w:rPr>
          <w:noProof/>
          <w:color w:val="000000"/>
          <w:sz w:val="22"/>
          <w:szCs w:val="22"/>
          <w:lang w:val="sr-Latn-ME"/>
        </w:rPr>
        <w:t>imati smrtni ishod</w:t>
      </w:r>
      <w:r w:rsidRPr="00A14E37">
        <w:rPr>
          <w:noProof/>
          <w:color w:val="000000"/>
          <w:sz w:val="22"/>
          <w:szCs w:val="22"/>
          <w:lang w:val="sr-Latn-ME"/>
        </w:rPr>
        <w:t>.</w:t>
      </w:r>
      <w:r w:rsidRPr="00A14E37">
        <w:rPr>
          <w:noProof/>
          <w:color w:val="FF0000"/>
          <w:sz w:val="22"/>
          <w:szCs w:val="22"/>
          <w:lang w:val="sr-Latn-ME"/>
        </w:rPr>
        <w:t xml:space="preserve"> </w:t>
      </w:r>
    </w:p>
    <w:p w14:paraId="4684C708" w14:textId="77777777" w:rsidR="00BB702A" w:rsidRPr="00A14E37" w:rsidRDefault="00BB702A">
      <w:pPr>
        <w:pStyle w:val="Text"/>
        <w:rPr>
          <w:b/>
          <w:noProof/>
          <w:color w:val="000000"/>
          <w:sz w:val="22"/>
          <w:szCs w:val="22"/>
          <w:u w:val="single"/>
          <w:lang w:val="sr-Latn-ME"/>
        </w:rPr>
      </w:pPr>
      <w:r w:rsidRPr="00A14E37">
        <w:rPr>
          <w:b/>
          <w:noProof/>
          <w:color w:val="000000"/>
          <w:sz w:val="22"/>
          <w:szCs w:val="22"/>
          <w:u w:val="single"/>
          <w:lang w:val="sr-Latn-ME"/>
        </w:rPr>
        <w:t>Tabelarni prikaz neželjenih reakcija iz kliničkih istraživanja</w:t>
      </w:r>
    </w:p>
    <w:p w14:paraId="6ED45F89" w14:textId="70504B11" w:rsidR="00BB702A" w:rsidRPr="00A14E37" w:rsidRDefault="00BB702A">
      <w:pPr>
        <w:pStyle w:val="Text"/>
        <w:rPr>
          <w:noProof/>
          <w:color w:val="FF0000"/>
          <w:sz w:val="22"/>
          <w:szCs w:val="22"/>
          <w:lang w:val="sr-Latn-ME"/>
        </w:rPr>
      </w:pPr>
      <w:r w:rsidRPr="00A14E37">
        <w:rPr>
          <w:noProof/>
          <w:color w:val="000000"/>
          <w:sz w:val="22"/>
          <w:szCs w:val="22"/>
          <w:lang w:val="sr-Latn-ME"/>
        </w:rPr>
        <w:t xml:space="preserve">Neželjene reakcije iz kliničkih istraživanja (Tabela 1) </w:t>
      </w:r>
      <w:r w:rsidRPr="00A14E37">
        <w:rPr>
          <w:sz w:val="22"/>
          <w:szCs w:val="22"/>
          <w:lang w:val="sr-Latn-ME"/>
        </w:rPr>
        <w:t xml:space="preserve">navedene su prema klasifikaciji organskih sistema po MedDRA. U okviru svakog organskog sistema neželjene reakcije su rangirane prema učestalosti, počevši od najučestalijih. U okviru svake grupe učestalosti, neželjene reakcije su navedene prema težini manifestacije od najozbiljnijih prema manje ozbiljnima. Osim toga, odgovarajuća kategorija učestalosti za svaku neželjenu reakciju zasniva se na </w:t>
      </w:r>
      <w:r w:rsidRPr="00A14E37">
        <w:rPr>
          <w:noProof/>
          <w:color w:val="000000"/>
          <w:sz w:val="22"/>
          <w:szCs w:val="22"/>
          <w:lang w:val="sr-Latn-ME"/>
        </w:rPr>
        <w:t xml:space="preserve">sljedećoj konvenciji </w:t>
      </w:r>
      <w:r w:rsidRPr="00A14E37">
        <w:rPr>
          <w:sz w:val="22"/>
          <w:szCs w:val="22"/>
          <w:lang w:val="sr-Latn-ME"/>
        </w:rPr>
        <w:t>(CIOMS III)</w:t>
      </w:r>
      <w:r w:rsidRPr="00A14E37">
        <w:rPr>
          <w:noProof/>
          <w:color w:val="000000"/>
          <w:sz w:val="22"/>
          <w:szCs w:val="22"/>
          <w:lang w:val="sr-Latn-ME"/>
        </w:rPr>
        <w:t>: veoma čest</w:t>
      </w:r>
      <w:r w:rsidR="000E6E8B" w:rsidRPr="00A14E37">
        <w:rPr>
          <w:noProof/>
          <w:color w:val="000000"/>
          <w:sz w:val="22"/>
          <w:szCs w:val="22"/>
          <w:lang w:val="sr-Latn-ME"/>
        </w:rPr>
        <w:t>o</w:t>
      </w:r>
      <w:r w:rsidRPr="00A14E37">
        <w:rPr>
          <w:noProof/>
          <w:color w:val="000000"/>
          <w:sz w:val="22"/>
          <w:szCs w:val="22"/>
          <w:lang w:val="sr-Latn-ME"/>
        </w:rPr>
        <w:t xml:space="preserve"> (</w:t>
      </w:r>
      <w:r w:rsidRPr="00A14E37">
        <w:rPr>
          <w:noProof/>
          <w:color w:val="000000"/>
          <w:sz w:val="22"/>
          <w:szCs w:val="22"/>
          <w:lang w:val="sr-Latn-ME"/>
        </w:rPr>
        <w:fldChar w:fldCharType="begin"/>
      </w:r>
      <w:r w:rsidRPr="00A14E37">
        <w:rPr>
          <w:noProof/>
          <w:color w:val="000000"/>
          <w:sz w:val="22"/>
          <w:szCs w:val="22"/>
          <w:lang w:val="sr-Latn-ME"/>
        </w:rPr>
        <w:instrText>SYMBOL 179 \f "Symbol"</w:instrText>
      </w:r>
      <w:r w:rsidRPr="00A14E37">
        <w:rPr>
          <w:noProof/>
          <w:color w:val="000000"/>
          <w:sz w:val="22"/>
          <w:szCs w:val="22"/>
          <w:lang w:val="sr-Latn-ME"/>
        </w:rPr>
        <w:fldChar w:fldCharType="end"/>
      </w:r>
      <w:r w:rsidRPr="00A14E37">
        <w:rPr>
          <w:noProof/>
          <w:color w:val="000000"/>
          <w:sz w:val="22"/>
          <w:szCs w:val="22"/>
          <w:lang w:val="sr-Latn-ME"/>
        </w:rPr>
        <w:t>1/10); čest</w:t>
      </w:r>
      <w:r w:rsidR="000E6E8B" w:rsidRPr="00A14E37">
        <w:rPr>
          <w:noProof/>
          <w:color w:val="000000"/>
          <w:sz w:val="22"/>
          <w:szCs w:val="22"/>
          <w:lang w:val="sr-Latn-ME"/>
        </w:rPr>
        <w:t>o</w:t>
      </w:r>
      <w:r w:rsidRPr="00A14E37">
        <w:rPr>
          <w:noProof/>
          <w:color w:val="000000"/>
          <w:sz w:val="22"/>
          <w:szCs w:val="22"/>
          <w:lang w:val="sr-Latn-ME"/>
        </w:rPr>
        <w:t xml:space="preserve"> (</w:t>
      </w:r>
      <w:r w:rsidRPr="00A14E37">
        <w:rPr>
          <w:noProof/>
          <w:color w:val="000000"/>
          <w:sz w:val="22"/>
          <w:szCs w:val="22"/>
          <w:lang w:val="sr-Latn-ME"/>
        </w:rPr>
        <w:fldChar w:fldCharType="begin"/>
      </w:r>
      <w:r w:rsidRPr="00A14E37">
        <w:rPr>
          <w:noProof/>
          <w:color w:val="000000"/>
          <w:sz w:val="22"/>
          <w:szCs w:val="22"/>
          <w:lang w:val="sr-Latn-ME"/>
        </w:rPr>
        <w:instrText>SYMBOL 179 \f "Symbol"</w:instrText>
      </w:r>
      <w:r w:rsidRPr="00A14E37">
        <w:rPr>
          <w:noProof/>
          <w:color w:val="000000"/>
          <w:sz w:val="22"/>
          <w:szCs w:val="22"/>
          <w:lang w:val="sr-Latn-ME"/>
        </w:rPr>
        <w:fldChar w:fldCharType="end"/>
      </w:r>
      <w:r w:rsidRPr="00A14E37">
        <w:rPr>
          <w:noProof/>
          <w:color w:val="000000"/>
          <w:sz w:val="22"/>
          <w:szCs w:val="22"/>
          <w:lang w:val="sr-Latn-ME"/>
        </w:rPr>
        <w:t>1/100, &lt;1/10); povremen</w:t>
      </w:r>
      <w:r w:rsidR="000E6E8B" w:rsidRPr="00A14E37">
        <w:rPr>
          <w:noProof/>
          <w:color w:val="000000"/>
          <w:sz w:val="22"/>
          <w:szCs w:val="22"/>
          <w:lang w:val="sr-Latn-ME"/>
        </w:rPr>
        <w:t>o</w:t>
      </w:r>
      <w:r w:rsidRPr="00A14E37">
        <w:rPr>
          <w:noProof/>
          <w:color w:val="000000"/>
          <w:sz w:val="22"/>
          <w:szCs w:val="22"/>
          <w:lang w:val="sr-Latn-ME"/>
        </w:rPr>
        <w:t xml:space="preserve"> (</w:t>
      </w:r>
      <w:r w:rsidRPr="00A14E37">
        <w:rPr>
          <w:noProof/>
          <w:color w:val="000000"/>
          <w:sz w:val="22"/>
          <w:szCs w:val="22"/>
          <w:lang w:val="sr-Latn-ME"/>
        </w:rPr>
        <w:fldChar w:fldCharType="begin"/>
      </w:r>
      <w:r w:rsidRPr="00A14E37">
        <w:rPr>
          <w:noProof/>
          <w:color w:val="000000"/>
          <w:sz w:val="22"/>
          <w:szCs w:val="22"/>
          <w:lang w:val="sr-Latn-ME"/>
        </w:rPr>
        <w:instrText>SYMBOL 179 \f "Symbol"</w:instrText>
      </w:r>
      <w:r w:rsidRPr="00A14E37">
        <w:rPr>
          <w:noProof/>
          <w:color w:val="000000"/>
          <w:sz w:val="22"/>
          <w:szCs w:val="22"/>
          <w:lang w:val="sr-Latn-ME"/>
        </w:rPr>
        <w:fldChar w:fldCharType="end"/>
      </w:r>
      <w:r w:rsidRPr="00A14E37">
        <w:rPr>
          <w:noProof/>
          <w:color w:val="000000"/>
          <w:sz w:val="22"/>
          <w:szCs w:val="22"/>
          <w:lang w:val="sr-Latn-ME"/>
        </w:rPr>
        <w:t>1/1000, &lt;1/100); rijetk</w:t>
      </w:r>
      <w:r w:rsidR="000E6E8B" w:rsidRPr="00A14E37">
        <w:rPr>
          <w:noProof/>
          <w:color w:val="000000"/>
          <w:sz w:val="22"/>
          <w:szCs w:val="22"/>
          <w:lang w:val="sr-Latn-ME"/>
        </w:rPr>
        <w:t xml:space="preserve">o </w:t>
      </w:r>
      <w:r w:rsidRPr="00A14E37">
        <w:rPr>
          <w:noProof/>
          <w:color w:val="000000"/>
          <w:sz w:val="22"/>
          <w:szCs w:val="22"/>
          <w:lang w:val="sr-Latn-ME"/>
        </w:rPr>
        <w:t>(</w:t>
      </w:r>
      <w:r w:rsidRPr="00A14E37">
        <w:rPr>
          <w:noProof/>
          <w:color w:val="000000"/>
          <w:sz w:val="22"/>
          <w:szCs w:val="22"/>
          <w:lang w:val="sr-Latn-ME"/>
        </w:rPr>
        <w:fldChar w:fldCharType="begin"/>
      </w:r>
      <w:r w:rsidRPr="00A14E37">
        <w:rPr>
          <w:noProof/>
          <w:color w:val="000000"/>
          <w:sz w:val="22"/>
          <w:szCs w:val="22"/>
          <w:lang w:val="sr-Latn-ME"/>
        </w:rPr>
        <w:instrText>SYMBOL 179 \f "Symbol"</w:instrText>
      </w:r>
      <w:r w:rsidRPr="00A14E37">
        <w:rPr>
          <w:noProof/>
          <w:color w:val="000000"/>
          <w:sz w:val="22"/>
          <w:szCs w:val="22"/>
          <w:lang w:val="sr-Latn-ME"/>
        </w:rPr>
        <w:fldChar w:fldCharType="end"/>
      </w:r>
      <w:r w:rsidRPr="00A14E37">
        <w:rPr>
          <w:noProof/>
          <w:color w:val="000000"/>
          <w:sz w:val="22"/>
          <w:szCs w:val="22"/>
          <w:lang w:val="sr-Latn-ME"/>
        </w:rPr>
        <w:t>1/10000, &lt;1/1000); veoma rijetk</w:t>
      </w:r>
      <w:r w:rsidR="000E6E8B" w:rsidRPr="00A14E37">
        <w:rPr>
          <w:noProof/>
          <w:color w:val="000000"/>
          <w:sz w:val="22"/>
          <w:szCs w:val="22"/>
          <w:lang w:val="sr-Latn-ME"/>
        </w:rPr>
        <w:t>o</w:t>
      </w:r>
      <w:r w:rsidRPr="00A14E37">
        <w:rPr>
          <w:noProof/>
          <w:color w:val="000000"/>
          <w:sz w:val="22"/>
          <w:szCs w:val="22"/>
          <w:lang w:val="sr-Latn-ME"/>
        </w:rPr>
        <w:t xml:space="preserve"> (&lt;1/10000), nepoznata (ne može se procijeniti iz dostupnih podataka). </w:t>
      </w:r>
    </w:p>
    <w:tbl>
      <w:tblPr>
        <w:tblW w:w="9560" w:type="dxa"/>
        <w:tblLayout w:type="fixed"/>
        <w:tblLook w:val="01E0" w:firstRow="1" w:lastRow="1" w:firstColumn="1" w:lastColumn="1" w:noHBand="0" w:noVBand="0"/>
      </w:tblPr>
      <w:tblGrid>
        <w:gridCol w:w="2943"/>
        <w:gridCol w:w="6617"/>
      </w:tblGrid>
      <w:tr w:rsidR="00BB702A" w:rsidRPr="00A14E37" w14:paraId="1E71799F" w14:textId="77777777" w:rsidTr="0063578C">
        <w:tc>
          <w:tcPr>
            <w:tcW w:w="9560" w:type="dxa"/>
            <w:gridSpan w:val="2"/>
          </w:tcPr>
          <w:p w14:paraId="6461FE9B" w14:textId="47AB09C2" w:rsidR="00BB702A" w:rsidRPr="00A14E37" w:rsidRDefault="00BB702A">
            <w:pPr>
              <w:pStyle w:val="Text"/>
              <w:rPr>
                <w:noProof/>
                <w:color w:val="000000"/>
                <w:sz w:val="22"/>
                <w:szCs w:val="22"/>
                <w:lang w:val="sr-Latn-ME"/>
              </w:rPr>
            </w:pPr>
            <w:r w:rsidRPr="00A14E37">
              <w:rPr>
                <w:b/>
                <w:noProof/>
                <w:color w:val="000000"/>
                <w:sz w:val="22"/>
                <w:szCs w:val="22"/>
                <w:lang w:val="sr-Latn-ME"/>
              </w:rPr>
              <w:t xml:space="preserve">Tabela </w:t>
            </w:r>
            <w:r w:rsidR="009404D7" w:rsidRPr="00A14E37">
              <w:rPr>
                <w:b/>
                <w:noProof/>
                <w:color w:val="000000"/>
                <w:sz w:val="22"/>
                <w:szCs w:val="22"/>
                <w:lang w:val="sr-Latn-ME"/>
              </w:rPr>
              <w:t>2</w:t>
            </w:r>
            <w:r w:rsidRPr="00A14E37">
              <w:rPr>
                <w:b/>
                <w:noProof/>
                <w:color w:val="000000"/>
                <w:sz w:val="22"/>
                <w:szCs w:val="22"/>
                <w:lang w:val="sr-Latn-ME"/>
              </w:rPr>
              <w:t xml:space="preserve">   Neželjen</w:t>
            </w:r>
            <w:r w:rsidR="009404D7" w:rsidRPr="00A14E37">
              <w:rPr>
                <w:b/>
                <w:noProof/>
                <w:color w:val="000000"/>
                <w:sz w:val="22"/>
                <w:szCs w:val="22"/>
                <w:lang w:val="sr-Latn-ME"/>
              </w:rPr>
              <w:t>e</w:t>
            </w:r>
            <w:r w:rsidRPr="00A14E37">
              <w:rPr>
                <w:b/>
                <w:noProof/>
                <w:color w:val="000000"/>
                <w:sz w:val="22"/>
                <w:szCs w:val="22"/>
                <w:lang w:val="sr-Latn-ME"/>
              </w:rPr>
              <w:t xml:space="preserve"> </w:t>
            </w:r>
            <w:r w:rsidR="009404D7" w:rsidRPr="00A14E37">
              <w:rPr>
                <w:b/>
                <w:noProof/>
                <w:color w:val="000000"/>
                <w:sz w:val="22"/>
                <w:szCs w:val="22"/>
                <w:lang w:val="sr-Latn-ME"/>
              </w:rPr>
              <w:t>reakcije</w:t>
            </w:r>
            <w:r w:rsidRPr="00A14E37">
              <w:rPr>
                <w:b/>
                <w:noProof/>
                <w:color w:val="000000"/>
                <w:sz w:val="22"/>
                <w:szCs w:val="22"/>
                <w:lang w:val="sr-Latn-ME"/>
              </w:rPr>
              <w:t xml:space="preserve"> iz kliničkih ispitivanja</w:t>
            </w:r>
          </w:p>
        </w:tc>
      </w:tr>
      <w:tr w:rsidR="00BB702A" w:rsidRPr="00A14E37" w14:paraId="7B574381" w14:textId="77777777" w:rsidTr="0063578C">
        <w:tc>
          <w:tcPr>
            <w:tcW w:w="2943" w:type="dxa"/>
          </w:tcPr>
          <w:p w14:paraId="02537F2A" w14:textId="77777777" w:rsidR="00BB702A" w:rsidRPr="00A14E37" w:rsidRDefault="00BB702A" w:rsidP="002045DA">
            <w:pPr>
              <w:pStyle w:val="Text"/>
              <w:rPr>
                <w:noProof/>
                <w:sz w:val="22"/>
                <w:szCs w:val="22"/>
                <w:lang w:val="sr-Latn-ME"/>
              </w:rPr>
            </w:pPr>
            <w:r w:rsidRPr="00A14E37">
              <w:rPr>
                <w:b/>
                <w:noProof/>
                <w:sz w:val="22"/>
                <w:szCs w:val="22"/>
                <w:lang w:val="sr-Latn-ME"/>
              </w:rPr>
              <w:t>Poremećaji krvi i limfnog sistema</w:t>
            </w:r>
          </w:p>
        </w:tc>
        <w:tc>
          <w:tcPr>
            <w:tcW w:w="6617" w:type="dxa"/>
          </w:tcPr>
          <w:p w14:paraId="58421CCA" w14:textId="77777777" w:rsidR="00BB702A" w:rsidRPr="00A14E37" w:rsidRDefault="00BB702A" w:rsidP="002045DA">
            <w:pPr>
              <w:pStyle w:val="Text"/>
              <w:rPr>
                <w:noProof/>
                <w:color w:val="000000"/>
                <w:sz w:val="22"/>
                <w:szCs w:val="22"/>
                <w:lang w:val="sr-Latn-ME"/>
              </w:rPr>
            </w:pPr>
          </w:p>
        </w:tc>
      </w:tr>
      <w:tr w:rsidR="00BB702A" w:rsidRPr="00A14E37" w14:paraId="1A7E7B9A" w14:textId="77777777" w:rsidTr="0063578C">
        <w:tc>
          <w:tcPr>
            <w:tcW w:w="2943" w:type="dxa"/>
          </w:tcPr>
          <w:p w14:paraId="5DC59FB3"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Često</w:t>
            </w:r>
          </w:p>
          <w:p w14:paraId="018C8F57"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 xml:space="preserve">Povremeno </w:t>
            </w:r>
          </w:p>
        </w:tc>
        <w:tc>
          <w:tcPr>
            <w:tcW w:w="6617" w:type="dxa"/>
          </w:tcPr>
          <w:p w14:paraId="0863B302"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Leukopenija</w:t>
            </w:r>
          </w:p>
          <w:p w14:paraId="73D70241"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Trombocitopenija, anemija</w:t>
            </w:r>
          </w:p>
        </w:tc>
      </w:tr>
      <w:tr w:rsidR="00BB702A" w:rsidRPr="00A14E37" w14:paraId="12B0C82B" w14:textId="77777777" w:rsidTr="0063578C">
        <w:tc>
          <w:tcPr>
            <w:tcW w:w="2943" w:type="dxa"/>
          </w:tcPr>
          <w:p w14:paraId="0158881C"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Rijetko</w:t>
            </w:r>
          </w:p>
          <w:p w14:paraId="3C6A4063"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Nepoznato*</w:t>
            </w:r>
          </w:p>
        </w:tc>
        <w:tc>
          <w:tcPr>
            <w:tcW w:w="6617" w:type="dxa"/>
          </w:tcPr>
          <w:p w14:paraId="5334E1DE"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Hemolitički uremijski sindrom, mikroangiopatska hemolitička anemija</w:t>
            </w:r>
          </w:p>
          <w:p w14:paraId="2EC9E707"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Trombotička mikroangiopatija, trombotička trombocitopenijska purpura</w:t>
            </w:r>
          </w:p>
        </w:tc>
      </w:tr>
      <w:tr w:rsidR="00BB702A" w:rsidRPr="00A14E37" w14:paraId="6D515992" w14:textId="77777777" w:rsidTr="0063578C">
        <w:tc>
          <w:tcPr>
            <w:tcW w:w="2943" w:type="dxa"/>
          </w:tcPr>
          <w:p w14:paraId="22FBDE2F" w14:textId="77777777" w:rsidR="00BB702A" w:rsidRPr="00A14E37" w:rsidRDefault="00BB702A" w:rsidP="002045DA">
            <w:pPr>
              <w:pStyle w:val="Text"/>
              <w:rPr>
                <w:b/>
                <w:noProof/>
                <w:color w:val="000000"/>
                <w:sz w:val="22"/>
                <w:szCs w:val="22"/>
                <w:lang w:val="sr-Latn-ME"/>
              </w:rPr>
            </w:pPr>
            <w:r w:rsidRPr="00A14E37">
              <w:rPr>
                <w:b/>
                <w:noProof/>
                <w:color w:val="000000"/>
                <w:sz w:val="22"/>
                <w:szCs w:val="22"/>
                <w:lang w:val="sr-Latn-ME"/>
              </w:rPr>
              <w:t>Poremećaji metabolizma i ishrane</w:t>
            </w:r>
          </w:p>
        </w:tc>
        <w:tc>
          <w:tcPr>
            <w:tcW w:w="6617" w:type="dxa"/>
          </w:tcPr>
          <w:p w14:paraId="33876C45" w14:textId="77777777" w:rsidR="00BB702A" w:rsidRPr="00A14E37" w:rsidRDefault="00BB702A" w:rsidP="00B37A2A">
            <w:pPr>
              <w:pStyle w:val="Text"/>
              <w:rPr>
                <w:noProof/>
                <w:color w:val="000000"/>
                <w:sz w:val="22"/>
                <w:szCs w:val="22"/>
                <w:lang w:val="sr-Latn-ME"/>
              </w:rPr>
            </w:pPr>
          </w:p>
        </w:tc>
      </w:tr>
      <w:tr w:rsidR="00BB702A" w:rsidRPr="00A14E37" w14:paraId="6628C7D1" w14:textId="77777777" w:rsidTr="0063578C">
        <w:tc>
          <w:tcPr>
            <w:tcW w:w="2943" w:type="dxa"/>
          </w:tcPr>
          <w:p w14:paraId="64E63351"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Veoma često</w:t>
            </w:r>
          </w:p>
        </w:tc>
        <w:tc>
          <w:tcPr>
            <w:tcW w:w="6617" w:type="dxa"/>
          </w:tcPr>
          <w:p w14:paraId="6E4B9F3D"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Hiperlipidemija</w:t>
            </w:r>
          </w:p>
        </w:tc>
      </w:tr>
      <w:tr w:rsidR="00BB702A" w:rsidRPr="00A14E37" w14:paraId="6F060EAE" w14:textId="77777777" w:rsidTr="0063578C">
        <w:tc>
          <w:tcPr>
            <w:tcW w:w="2943" w:type="dxa"/>
          </w:tcPr>
          <w:p w14:paraId="4586830E"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Često</w:t>
            </w:r>
          </w:p>
          <w:p w14:paraId="545E79AA" w14:textId="77777777" w:rsidR="00BB702A" w:rsidRPr="00A14E37" w:rsidRDefault="00BB702A" w:rsidP="002045DA">
            <w:pPr>
              <w:pStyle w:val="Text"/>
              <w:rPr>
                <w:noProof/>
                <w:color w:val="000000"/>
                <w:sz w:val="22"/>
                <w:szCs w:val="22"/>
                <w:lang w:val="sr-Latn-ME"/>
              </w:rPr>
            </w:pPr>
          </w:p>
        </w:tc>
        <w:tc>
          <w:tcPr>
            <w:tcW w:w="6617" w:type="dxa"/>
          </w:tcPr>
          <w:p w14:paraId="476E56D5" w14:textId="79FAD5B5" w:rsidR="00BB702A" w:rsidRPr="00A14E37" w:rsidRDefault="00BB702A" w:rsidP="002045DA">
            <w:pPr>
              <w:pStyle w:val="Text"/>
              <w:rPr>
                <w:noProof/>
                <w:color w:val="000000"/>
                <w:sz w:val="22"/>
                <w:szCs w:val="22"/>
                <w:lang w:val="sr-Latn-ME"/>
              </w:rPr>
            </w:pPr>
            <w:r w:rsidRPr="00A14E37">
              <w:rPr>
                <w:noProof/>
                <w:color w:val="000000"/>
                <w:sz w:val="22"/>
                <w:szCs w:val="22"/>
                <w:lang w:val="sr-Latn-ME"/>
              </w:rPr>
              <w:t>Hiperglikemija, anoreksija, hiperurikemija, hiperkalemija, hipomagnezemija</w:t>
            </w:r>
          </w:p>
        </w:tc>
      </w:tr>
      <w:tr w:rsidR="00BB702A" w:rsidRPr="00A14E37" w14:paraId="7395DA96" w14:textId="77777777" w:rsidTr="0063578C">
        <w:tc>
          <w:tcPr>
            <w:tcW w:w="2943" w:type="dxa"/>
          </w:tcPr>
          <w:p w14:paraId="566E193A" w14:textId="77777777" w:rsidR="00BB702A" w:rsidRPr="00A14E37" w:rsidRDefault="00BB702A" w:rsidP="002045DA">
            <w:pPr>
              <w:pStyle w:val="Text"/>
              <w:rPr>
                <w:b/>
                <w:noProof/>
                <w:color w:val="000000"/>
                <w:sz w:val="22"/>
                <w:szCs w:val="22"/>
                <w:lang w:val="sr-Latn-ME"/>
              </w:rPr>
            </w:pPr>
            <w:r w:rsidRPr="00A14E37">
              <w:rPr>
                <w:b/>
                <w:noProof/>
                <w:color w:val="000000"/>
                <w:sz w:val="22"/>
                <w:szCs w:val="22"/>
                <w:lang w:val="sr-Latn-ME"/>
              </w:rPr>
              <w:t>Poremećaji nervnog sisitema</w:t>
            </w:r>
          </w:p>
        </w:tc>
        <w:tc>
          <w:tcPr>
            <w:tcW w:w="6617" w:type="dxa"/>
          </w:tcPr>
          <w:p w14:paraId="58CAB530" w14:textId="77777777" w:rsidR="00BB702A" w:rsidRPr="00A14E37" w:rsidRDefault="00BB702A" w:rsidP="002045DA">
            <w:pPr>
              <w:pStyle w:val="Text"/>
              <w:rPr>
                <w:noProof/>
                <w:color w:val="000000"/>
                <w:sz w:val="22"/>
                <w:szCs w:val="22"/>
                <w:lang w:val="sr-Latn-ME"/>
              </w:rPr>
            </w:pPr>
          </w:p>
        </w:tc>
      </w:tr>
      <w:tr w:rsidR="00BB702A" w:rsidRPr="00A14E37" w14:paraId="48296796" w14:textId="77777777" w:rsidTr="0063578C">
        <w:tc>
          <w:tcPr>
            <w:tcW w:w="2943" w:type="dxa"/>
          </w:tcPr>
          <w:p w14:paraId="56EF98C3"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Veoma često</w:t>
            </w:r>
          </w:p>
        </w:tc>
        <w:tc>
          <w:tcPr>
            <w:tcW w:w="6617" w:type="dxa"/>
          </w:tcPr>
          <w:p w14:paraId="40C45CD0" w14:textId="77777777" w:rsidR="00BB702A" w:rsidRPr="00A14E37" w:rsidRDefault="00BB702A" w:rsidP="002045DA">
            <w:pPr>
              <w:pStyle w:val="Text"/>
              <w:rPr>
                <w:noProof/>
                <w:sz w:val="22"/>
                <w:szCs w:val="22"/>
                <w:lang w:val="sr-Latn-ME"/>
              </w:rPr>
            </w:pPr>
            <w:r w:rsidRPr="00A14E37">
              <w:rPr>
                <w:noProof/>
                <w:sz w:val="22"/>
                <w:szCs w:val="22"/>
                <w:lang w:val="sr-Latn-ME"/>
              </w:rPr>
              <w:t xml:space="preserve">Tremor, glavobolja </w:t>
            </w:r>
          </w:p>
        </w:tc>
      </w:tr>
      <w:tr w:rsidR="00BB702A" w:rsidRPr="00A14E37" w14:paraId="3B6CE033" w14:textId="77777777" w:rsidTr="0063578C">
        <w:tc>
          <w:tcPr>
            <w:tcW w:w="2943" w:type="dxa"/>
          </w:tcPr>
          <w:p w14:paraId="7777BF07"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Često</w:t>
            </w:r>
          </w:p>
        </w:tc>
        <w:tc>
          <w:tcPr>
            <w:tcW w:w="6617" w:type="dxa"/>
          </w:tcPr>
          <w:p w14:paraId="47E87211"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Konvulzije, parestezija</w:t>
            </w:r>
          </w:p>
        </w:tc>
      </w:tr>
      <w:tr w:rsidR="00BB702A" w:rsidRPr="00A14E37" w14:paraId="6D801779" w14:textId="77777777" w:rsidTr="0063578C">
        <w:tc>
          <w:tcPr>
            <w:tcW w:w="2943" w:type="dxa"/>
          </w:tcPr>
          <w:p w14:paraId="5AE1DF30" w14:textId="77777777" w:rsidR="00BB702A" w:rsidRPr="00A14E37" w:rsidRDefault="00BB702A" w:rsidP="002045DA">
            <w:pPr>
              <w:pStyle w:val="Text"/>
              <w:rPr>
                <w:noProof/>
                <w:color w:val="000000"/>
                <w:sz w:val="22"/>
                <w:szCs w:val="22"/>
                <w:lang w:val="sr-Latn-ME"/>
              </w:rPr>
            </w:pPr>
            <w:r w:rsidRPr="00A14E37">
              <w:rPr>
                <w:noProof/>
                <w:color w:val="000000"/>
                <w:sz w:val="22"/>
                <w:szCs w:val="22"/>
                <w:lang w:val="sr-Latn-ME"/>
              </w:rPr>
              <w:t xml:space="preserve">Povremeno </w:t>
            </w:r>
          </w:p>
        </w:tc>
        <w:tc>
          <w:tcPr>
            <w:tcW w:w="6617" w:type="dxa"/>
          </w:tcPr>
          <w:p w14:paraId="263C2C66" w14:textId="44EFE63C" w:rsidR="00BB702A" w:rsidRPr="00A14E37" w:rsidRDefault="00BB702A" w:rsidP="002045DA">
            <w:pPr>
              <w:pStyle w:val="Text"/>
              <w:rPr>
                <w:noProof/>
                <w:color w:val="000000"/>
                <w:sz w:val="22"/>
                <w:szCs w:val="22"/>
                <w:lang w:val="sr-Latn-ME"/>
              </w:rPr>
            </w:pPr>
            <w:r w:rsidRPr="00A14E37">
              <w:rPr>
                <w:sz w:val="22"/>
                <w:szCs w:val="22"/>
                <w:lang w:val="sr-Latn-ME"/>
              </w:rPr>
              <w:t xml:space="preserve">Encefalopatija uključujući posteriorni reverzibilni encefalopatski sindrom (PRES), </w:t>
            </w:r>
            <w:r w:rsidRPr="00A14E37">
              <w:rPr>
                <w:noProof/>
                <w:color w:val="000000"/>
                <w:sz w:val="22"/>
                <w:szCs w:val="22"/>
                <w:lang w:val="sr-Latn-ME"/>
              </w:rPr>
              <w:t xml:space="preserve">znaci i simptomi kao što su grčevi, konfuzija, dezorijentacija, smanjena </w:t>
            </w:r>
            <w:r w:rsidR="0063700F" w:rsidRPr="00A14E37">
              <w:rPr>
                <w:noProof/>
                <w:color w:val="000000"/>
                <w:sz w:val="22"/>
                <w:szCs w:val="22"/>
                <w:lang w:val="sr-Latn-ME"/>
              </w:rPr>
              <w:t>reaktivnost</w:t>
            </w:r>
            <w:r w:rsidRPr="00A14E37">
              <w:rPr>
                <w:noProof/>
                <w:color w:val="000000"/>
                <w:sz w:val="22"/>
                <w:szCs w:val="22"/>
                <w:lang w:val="sr-Latn-ME"/>
              </w:rPr>
              <w:t>, agitacija, nesanica, vizuelni poremećaji, kortikalno sl</w:t>
            </w:r>
            <w:r w:rsidR="000E6E8B" w:rsidRPr="00A14E37">
              <w:rPr>
                <w:noProof/>
                <w:color w:val="000000"/>
                <w:sz w:val="22"/>
                <w:szCs w:val="22"/>
                <w:lang w:val="sr-Latn-ME"/>
              </w:rPr>
              <w:t>j</w:t>
            </w:r>
            <w:r w:rsidRPr="00A14E37">
              <w:rPr>
                <w:noProof/>
                <w:color w:val="000000"/>
                <w:sz w:val="22"/>
                <w:szCs w:val="22"/>
                <w:lang w:val="sr-Latn-ME"/>
              </w:rPr>
              <w:t>epilo, koma, pareza</w:t>
            </w:r>
            <w:r w:rsidR="0063700F" w:rsidRPr="00A14E37">
              <w:rPr>
                <w:noProof/>
                <w:color w:val="000000"/>
                <w:sz w:val="22"/>
                <w:szCs w:val="22"/>
                <w:lang w:val="sr-Latn-ME"/>
              </w:rPr>
              <w:t xml:space="preserve"> i</w:t>
            </w:r>
            <w:r w:rsidRPr="00A14E37">
              <w:rPr>
                <w:noProof/>
                <w:color w:val="000000"/>
                <w:sz w:val="22"/>
                <w:szCs w:val="22"/>
                <w:lang w:val="sr-Latn-ME"/>
              </w:rPr>
              <w:t xml:space="preserve"> cerebelarna ataksija</w:t>
            </w:r>
          </w:p>
        </w:tc>
      </w:tr>
      <w:tr w:rsidR="00BB702A" w:rsidRPr="00A14E37" w14:paraId="7E0F99DE" w14:textId="77777777" w:rsidTr="0063578C">
        <w:tc>
          <w:tcPr>
            <w:tcW w:w="2943" w:type="dxa"/>
          </w:tcPr>
          <w:p w14:paraId="661175AA"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Rijetko</w:t>
            </w:r>
          </w:p>
        </w:tc>
        <w:tc>
          <w:tcPr>
            <w:tcW w:w="6617" w:type="dxa"/>
          </w:tcPr>
          <w:p w14:paraId="46DBEC93"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Motorička polineuropatija</w:t>
            </w:r>
          </w:p>
        </w:tc>
      </w:tr>
      <w:tr w:rsidR="00BB702A" w:rsidRPr="00A14E37" w14:paraId="6D06848E" w14:textId="77777777" w:rsidTr="0063578C">
        <w:tc>
          <w:tcPr>
            <w:tcW w:w="2943" w:type="dxa"/>
          </w:tcPr>
          <w:p w14:paraId="378ECB04"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Veoma retko</w:t>
            </w:r>
          </w:p>
        </w:tc>
        <w:tc>
          <w:tcPr>
            <w:tcW w:w="6617" w:type="dxa"/>
          </w:tcPr>
          <w:p w14:paraId="7C0F2B8C" w14:textId="3B9EEB53" w:rsidR="00BB702A" w:rsidRPr="00A14E37" w:rsidRDefault="00BB702A" w:rsidP="00B37A2A">
            <w:pPr>
              <w:pStyle w:val="Text"/>
              <w:rPr>
                <w:noProof/>
                <w:color w:val="000000"/>
                <w:sz w:val="22"/>
                <w:szCs w:val="22"/>
                <w:lang w:val="sr-Latn-ME"/>
              </w:rPr>
            </w:pPr>
            <w:r w:rsidRPr="00A14E37">
              <w:rPr>
                <w:noProof/>
                <w:color w:val="000000"/>
                <w:sz w:val="22"/>
                <w:szCs w:val="22"/>
                <w:lang w:val="sr-Latn-ME"/>
              </w:rPr>
              <w:t>Edem optičkog diska, uključujući papiloedem, sa mogućim poremećajem vida usl</w:t>
            </w:r>
            <w:r w:rsidR="000E6E8B" w:rsidRPr="00A14E37">
              <w:rPr>
                <w:noProof/>
                <w:color w:val="000000"/>
                <w:sz w:val="22"/>
                <w:szCs w:val="22"/>
                <w:lang w:val="sr-Latn-ME"/>
              </w:rPr>
              <w:t>j</w:t>
            </w:r>
            <w:r w:rsidRPr="00A14E37">
              <w:rPr>
                <w:noProof/>
                <w:color w:val="000000"/>
                <w:sz w:val="22"/>
                <w:szCs w:val="22"/>
                <w:lang w:val="sr-Latn-ME"/>
              </w:rPr>
              <w:t>ed benigne intrakranijalne hipertenzije</w:t>
            </w:r>
          </w:p>
        </w:tc>
      </w:tr>
      <w:tr w:rsidR="00BB702A" w:rsidRPr="00A14E37" w14:paraId="284FB397" w14:textId="77777777" w:rsidTr="0063578C">
        <w:tc>
          <w:tcPr>
            <w:tcW w:w="2943" w:type="dxa"/>
          </w:tcPr>
          <w:p w14:paraId="2E182E9A"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Nepoznato*</w:t>
            </w:r>
          </w:p>
        </w:tc>
        <w:tc>
          <w:tcPr>
            <w:tcW w:w="6617" w:type="dxa"/>
          </w:tcPr>
          <w:p w14:paraId="70C09CE3" w14:textId="77777777" w:rsidR="00BB702A" w:rsidRPr="00A14E37" w:rsidRDefault="00BB702A" w:rsidP="00B37A2A">
            <w:pPr>
              <w:pStyle w:val="Text"/>
              <w:rPr>
                <w:noProof/>
                <w:color w:val="000000"/>
                <w:sz w:val="22"/>
                <w:szCs w:val="22"/>
                <w:lang w:val="sr-Latn-ME"/>
              </w:rPr>
            </w:pPr>
            <w:r w:rsidRPr="00A14E37">
              <w:rPr>
                <w:noProof/>
                <w:color w:val="000000"/>
                <w:sz w:val="22"/>
                <w:szCs w:val="22"/>
                <w:lang w:val="sr-Latn-ME"/>
              </w:rPr>
              <w:t>Migrena</w:t>
            </w:r>
          </w:p>
        </w:tc>
      </w:tr>
      <w:tr w:rsidR="001334FF" w:rsidRPr="00A14E37" w14:paraId="032E97E6" w14:textId="77777777" w:rsidTr="0063578C">
        <w:tc>
          <w:tcPr>
            <w:tcW w:w="2943" w:type="dxa"/>
          </w:tcPr>
          <w:p w14:paraId="55F2421A" w14:textId="148A9256" w:rsidR="001334FF" w:rsidRPr="00A14E37" w:rsidRDefault="001334FF" w:rsidP="00B37A2A">
            <w:pPr>
              <w:pStyle w:val="Text"/>
              <w:rPr>
                <w:b/>
                <w:bCs/>
                <w:noProof/>
                <w:color w:val="000000"/>
                <w:sz w:val="22"/>
                <w:szCs w:val="22"/>
                <w:lang w:val="sr-Latn-ME"/>
              </w:rPr>
            </w:pPr>
            <w:r w:rsidRPr="00A14E37">
              <w:rPr>
                <w:b/>
                <w:bCs/>
                <w:noProof/>
                <w:color w:val="000000"/>
                <w:sz w:val="22"/>
                <w:szCs w:val="22"/>
                <w:lang w:val="sr-Latn-ME"/>
              </w:rPr>
              <w:t>Poremećaji uha i labirinta</w:t>
            </w:r>
          </w:p>
        </w:tc>
        <w:tc>
          <w:tcPr>
            <w:tcW w:w="6617" w:type="dxa"/>
          </w:tcPr>
          <w:p w14:paraId="49DECB6B" w14:textId="77777777" w:rsidR="001334FF" w:rsidRPr="00A14E37" w:rsidRDefault="001334FF" w:rsidP="00B37A2A">
            <w:pPr>
              <w:pStyle w:val="Text"/>
              <w:rPr>
                <w:noProof/>
                <w:color w:val="000000"/>
                <w:sz w:val="22"/>
                <w:szCs w:val="22"/>
                <w:lang w:val="sr-Latn-ME"/>
              </w:rPr>
            </w:pPr>
          </w:p>
        </w:tc>
      </w:tr>
      <w:tr w:rsidR="001334FF" w:rsidRPr="00A14E37" w14:paraId="52B8C128" w14:textId="77777777" w:rsidTr="0063578C">
        <w:tc>
          <w:tcPr>
            <w:tcW w:w="2943" w:type="dxa"/>
          </w:tcPr>
          <w:p w14:paraId="70C23B86" w14:textId="0C53819E" w:rsidR="001334FF" w:rsidRPr="00A14E37" w:rsidRDefault="001334FF" w:rsidP="00B37A2A">
            <w:pPr>
              <w:pStyle w:val="Text"/>
              <w:rPr>
                <w:noProof/>
                <w:color w:val="000000"/>
                <w:sz w:val="22"/>
                <w:szCs w:val="22"/>
                <w:lang w:val="sr-Latn-ME"/>
              </w:rPr>
            </w:pPr>
            <w:r w:rsidRPr="00A14E37">
              <w:rPr>
                <w:noProof/>
                <w:color w:val="000000"/>
                <w:sz w:val="22"/>
                <w:szCs w:val="22"/>
                <w:lang w:val="sr-Latn-ME"/>
              </w:rPr>
              <w:t>Nepoznato*</w:t>
            </w:r>
          </w:p>
        </w:tc>
        <w:tc>
          <w:tcPr>
            <w:tcW w:w="6617" w:type="dxa"/>
          </w:tcPr>
          <w:p w14:paraId="6672872D" w14:textId="3A6A3F67" w:rsidR="001334FF" w:rsidRPr="00A14E37" w:rsidRDefault="001334FF" w:rsidP="00B37A2A">
            <w:pPr>
              <w:pStyle w:val="Text"/>
              <w:rPr>
                <w:noProof/>
                <w:color w:val="000000"/>
                <w:sz w:val="22"/>
                <w:szCs w:val="22"/>
                <w:lang w:val="sr-Latn-ME"/>
              </w:rPr>
            </w:pPr>
            <w:r w:rsidRPr="00A14E37">
              <w:rPr>
                <w:noProof/>
                <w:color w:val="000000"/>
                <w:sz w:val="22"/>
                <w:szCs w:val="22"/>
                <w:lang w:val="sr-Latn-ME"/>
              </w:rPr>
              <w:t>Oštećenje sluha</w:t>
            </w:r>
            <w:r w:rsidRPr="00A14E37">
              <w:rPr>
                <w:noProof/>
                <w:color w:val="000000"/>
                <w:sz w:val="22"/>
                <w:szCs w:val="22"/>
                <w:vertAlign w:val="superscript"/>
                <w:lang w:val="sr-Latn-ME"/>
              </w:rPr>
              <w:t>#</w:t>
            </w:r>
          </w:p>
        </w:tc>
      </w:tr>
      <w:tr w:rsidR="0063578C" w:rsidRPr="00A14E37" w14:paraId="5FDF52A1" w14:textId="77777777" w:rsidTr="0063578C">
        <w:tc>
          <w:tcPr>
            <w:tcW w:w="2943" w:type="dxa"/>
          </w:tcPr>
          <w:p w14:paraId="14A97CE7"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Vaskularni poremećaji</w:t>
            </w:r>
          </w:p>
        </w:tc>
        <w:tc>
          <w:tcPr>
            <w:tcW w:w="6617" w:type="dxa"/>
          </w:tcPr>
          <w:p w14:paraId="4529639D" w14:textId="77777777" w:rsidR="0063578C" w:rsidRPr="00A14E37" w:rsidRDefault="0063578C" w:rsidP="00B37A2A">
            <w:pPr>
              <w:pStyle w:val="Text"/>
              <w:rPr>
                <w:noProof/>
                <w:color w:val="000000"/>
                <w:sz w:val="22"/>
                <w:szCs w:val="22"/>
                <w:lang w:val="sr-Latn-ME"/>
              </w:rPr>
            </w:pPr>
          </w:p>
        </w:tc>
      </w:tr>
      <w:tr w:rsidR="0063578C" w:rsidRPr="00A14E37" w14:paraId="71F283ED" w14:textId="77777777" w:rsidTr="0063578C">
        <w:tc>
          <w:tcPr>
            <w:tcW w:w="2943" w:type="dxa"/>
          </w:tcPr>
          <w:p w14:paraId="1571C71A"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Veoma često</w:t>
            </w:r>
          </w:p>
          <w:p w14:paraId="48EFF767"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Često</w:t>
            </w:r>
          </w:p>
        </w:tc>
        <w:tc>
          <w:tcPr>
            <w:tcW w:w="6617" w:type="dxa"/>
          </w:tcPr>
          <w:p w14:paraId="38F304C8" w14:textId="77777777" w:rsidR="0063578C" w:rsidRPr="00A14E37" w:rsidRDefault="0063578C" w:rsidP="006D0274">
            <w:pPr>
              <w:pStyle w:val="Text"/>
              <w:rPr>
                <w:noProof/>
                <w:color w:val="000000"/>
                <w:sz w:val="22"/>
                <w:szCs w:val="22"/>
                <w:lang w:val="sr-Latn-ME"/>
              </w:rPr>
            </w:pPr>
            <w:r w:rsidRPr="00A14E37">
              <w:rPr>
                <w:noProof/>
                <w:color w:val="000000"/>
                <w:sz w:val="22"/>
                <w:szCs w:val="22"/>
                <w:lang w:val="sr-Latn-ME"/>
              </w:rPr>
              <w:t>Hipertenzija</w:t>
            </w:r>
          </w:p>
          <w:p w14:paraId="5E0B48BE" w14:textId="5D2A487C" w:rsidR="0063578C" w:rsidRPr="00A14E37" w:rsidRDefault="0063700F" w:rsidP="000E6E8B">
            <w:pPr>
              <w:pStyle w:val="Text"/>
              <w:rPr>
                <w:noProof/>
                <w:color w:val="000000"/>
                <w:sz w:val="22"/>
                <w:szCs w:val="22"/>
                <w:lang w:val="sr-Latn-ME"/>
              </w:rPr>
            </w:pPr>
            <w:r w:rsidRPr="00A14E37">
              <w:rPr>
                <w:noProof/>
                <w:color w:val="000000"/>
                <w:sz w:val="22"/>
                <w:szCs w:val="22"/>
                <w:lang w:val="sr-Latn-ME"/>
              </w:rPr>
              <w:t xml:space="preserve">Naleti </w:t>
            </w:r>
            <w:r w:rsidR="00B70F1A" w:rsidRPr="00A14E37">
              <w:rPr>
                <w:noProof/>
                <w:color w:val="000000"/>
                <w:sz w:val="22"/>
                <w:szCs w:val="22"/>
                <w:lang w:val="sr-Latn-ME"/>
              </w:rPr>
              <w:t>crvenila</w:t>
            </w:r>
          </w:p>
        </w:tc>
      </w:tr>
      <w:tr w:rsidR="0063578C" w:rsidRPr="00A14E37" w14:paraId="2F221266" w14:textId="77777777" w:rsidTr="0063578C">
        <w:tc>
          <w:tcPr>
            <w:tcW w:w="2943" w:type="dxa"/>
          </w:tcPr>
          <w:p w14:paraId="7FBC124E"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 xml:space="preserve">Gastrointestinalni poremećaji  </w:t>
            </w:r>
          </w:p>
        </w:tc>
        <w:tc>
          <w:tcPr>
            <w:tcW w:w="6617" w:type="dxa"/>
          </w:tcPr>
          <w:p w14:paraId="6D173A3C" w14:textId="77777777" w:rsidR="0063578C" w:rsidRPr="00A14E37" w:rsidRDefault="0063578C" w:rsidP="00B37A2A">
            <w:pPr>
              <w:pStyle w:val="Text"/>
              <w:rPr>
                <w:noProof/>
                <w:color w:val="000000"/>
                <w:sz w:val="22"/>
                <w:szCs w:val="22"/>
                <w:lang w:val="sr-Latn-ME"/>
              </w:rPr>
            </w:pPr>
          </w:p>
        </w:tc>
      </w:tr>
      <w:tr w:rsidR="0063578C" w:rsidRPr="00A14E37" w14:paraId="6627FBFA" w14:textId="77777777" w:rsidTr="0063578C">
        <w:tc>
          <w:tcPr>
            <w:tcW w:w="2943" w:type="dxa"/>
          </w:tcPr>
          <w:p w14:paraId="49289D9C"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Često</w:t>
            </w:r>
          </w:p>
        </w:tc>
        <w:tc>
          <w:tcPr>
            <w:tcW w:w="6617" w:type="dxa"/>
          </w:tcPr>
          <w:p w14:paraId="3633393F"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Mučnina, povraćanje, bol/nelagodnost u abdomenu, dijareja, gingivalna hiperplazija, peptični ulkus</w:t>
            </w:r>
          </w:p>
        </w:tc>
      </w:tr>
      <w:tr w:rsidR="0063578C" w:rsidRPr="00A14E37" w14:paraId="6E24E018" w14:textId="77777777" w:rsidTr="0063578C">
        <w:tc>
          <w:tcPr>
            <w:tcW w:w="2943" w:type="dxa"/>
          </w:tcPr>
          <w:p w14:paraId="26FA9AB6"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Rijetko</w:t>
            </w:r>
          </w:p>
        </w:tc>
        <w:tc>
          <w:tcPr>
            <w:tcW w:w="6617" w:type="dxa"/>
          </w:tcPr>
          <w:p w14:paraId="770DF960"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Pankreatitis</w:t>
            </w:r>
          </w:p>
        </w:tc>
      </w:tr>
      <w:tr w:rsidR="0063578C" w:rsidRPr="00A14E37" w14:paraId="0BA64D58" w14:textId="77777777" w:rsidTr="0063578C">
        <w:tc>
          <w:tcPr>
            <w:tcW w:w="2943" w:type="dxa"/>
          </w:tcPr>
          <w:p w14:paraId="17B5DB41" w14:textId="68979271" w:rsidR="0063578C" w:rsidRPr="00A14E37" w:rsidRDefault="00A802A4" w:rsidP="00B37A2A">
            <w:pPr>
              <w:pStyle w:val="Text"/>
              <w:rPr>
                <w:b/>
                <w:bCs/>
                <w:noProof/>
                <w:color w:val="000000"/>
                <w:sz w:val="22"/>
                <w:szCs w:val="22"/>
                <w:lang w:val="sr-Latn-ME"/>
              </w:rPr>
            </w:pPr>
            <w:r w:rsidRPr="00A14E37">
              <w:rPr>
                <w:b/>
                <w:bCs/>
                <w:noProof/>
                <w:color w:val="000000"/>
                <w:sz w:val="22"/>
                <w:szCs w:val="22"/>
                <w:lang w:val="sr-Latn-ME"/>
              </w:rPr>
              <w:t>Hepatobilijarni poremećaji</w:t>
            </w:r>
            <w:r w:rsidRPr="00A14E37">
              <w:rPr>
                <w:noProof/>
                <w:color w:val="000000"/>
                <w:sz w:val="22"/>
                <w:szCs w:val="22"/>
                <w:lang w:val="sr-Latn-ME"/>
              </w:rPr>
              <w:t xml:space="preserve"> </w:t>
            </w:r>
          </w:p>
        </w:tc>
        <w:tc>
          <w:tcPr>
            <w:tcW w:w="6617" w:type="dxa"/>
          </w:tcPr>
          <w:p w14:paraId="36A8FAB2" w14:textId="77777777" w:rsidR="0063578C" w:rsidRPr="00A14E37" w:rsidRDefault="0063578C" w:rsidP="00B37A2A">
            <w:pPr>
              <w:pStyle w:val="Text"/>
              <w:rPr>
                <w:noProof/>
                <w:color w:val="000000"/>
                <w:sz w:val="22"/>
                <w:szCs w:val="22"/>
                <w:lang w:val="sr-Latn-ME"/>
              </w:rPr>
            </w:pPr>
          </w:p>
        </w:tc>
      </w:tr>
      <w:tr w:rsidR="0063578C" w:rsidRPr="00A14E37" w14:paraId="1483AF60" w14:textId="77777777" w:rsidTr="0063578C">
        <w:tc>
          <w:tcPr>
            <w:tcW w:w="2943" w:type="dxa"/>
          </w:tcPr>
          <w:p w14:paraId="05F1D1CF"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lastRenderedPageBreak/>
              <w:t>Često</w:t>
            </w:r>
          </w:p>
          <w:p w14:paraId="290AA574"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Nepoznato*</w:t>
            </w:r>
          </w:p>
        </w:tc>
        <w:tc>
          <w:tcPr>
            <w:tcW w:w="6617" w:type="dxa"/>
          </w:tcPr>
          <w:p w14:paraId="187A0FE9" w14:textId="408413E6" w:rsidR="0063578C" w:rsidRPr="00A14E37" w:rsidRDefault="0063578C" w:rsidP="006D0274">
            <w:pPr>
              <w:pStyle w:val="Text"/>
              <w:rPr>
                <w:noProof/>
                <w:color w:val="000000"/>
                <w:sz w:val="22"/>
                <w:szCs w:val="22"/>
                <w:lang w:val="sr-Latn-ME"/>
              </w:rPr>
            </w:pPr>
            <w:r w:rsidRPr="00A14E37">
              <w:rPr>
                <w:noProof/>
                <w:color w:val="000000"/>
                <w:sz w:val="22"/>
                <w:szCs w:val="22"/>
                <w:lang w:val="sr-Latn-ME"/>
              </w:rPr>
              <w:t xml:space="preserve">Abnormalna funkcija jetre (vidjeti </w:t>
            </w:r>
            <w:r w:rsidR="00C37D5C" w:rsidRPr="00A14E37">
              <w:rPr>
                <w:noProof/>
                <w:color w:val="000000"/>
                <w:sz w:val="22"/>
                <w:szCs w:val="22"/>
                <w:lang w:val="sr-Latn-ME"/>
              </w:rPr>
              <w:t>dio</w:t>
            </w:r>
            <w:r w:rsidRPr="00A14E37">
              <w:rPr>
                <w:noProof/>
                <w:color w:val="000000"/>
                <w:sz w:val="22"/>
                <w:szCs w:val="22"/>
                <w:lang w:val="sr-Latn-ME"/>
              </w:rPr>
              <w:t xml:space="preserve"> 4.4)</w:t>
            </w:r>
          </w:p>
          <w:p w14:paraId="1DC11D09" w14:textId="25FC2A16" w:rsidR="0063578C" w:rsidRPr="00A14E37" w:rsidRDefault="0063578C" w:rsidP="000E6E8B">
            <w:pPr>
              <w:pStyle w:val="Text"/>
              <w:rPr>
                <w:noProof/>
                <w:color w:val="000000"/>
                <w:sz w:val="22"/>
                <w:szCs w:val="22"/>
                <w:lang w:val="sr-Latn-ME"/>
              </w:rPr>
            </w:pPr>
            <w:r w:rsidRPr="00A14E37">
              <w:rPr>
                <w:noProof/>
                <w:color w:val="000000"/>
                <w:sz w:val="22"/>
                <w:szCs w:val="22"/>
                <w:lang w:val="sr-Latn-ME"/>
              </w:rPr>
              <w:t xml:space="preserve">Hepatotoksičnost i oštećenje jetre uključujući holestazu, žuticu, hepatitis i insuficijenciju jetre ponekad sa smrtnim ishodom (vidjeti </w:t>
            </w:r>
            <w:r w:rsidR="00C37D5C" w:rsidRPr="00A14E37">
              <w:rPr>
                <w:noProof/>
                <w:color w:val="000000"/>
                <w:sz w:val="22"/>
                <w:szCs w:val="22"/>
                <w:lang w:val="sr-Latn-ME"/>
              </w:rPr>
              <w:t>dio</w:t>
            </w:r>
            <w:r w:rsidRPr="00A14E37">
              <w:rPr>
                <w:noProof/>
                <w:color w:val="000000"/>
                <w:sz w:val="22"/>
                <w:szCs w:val="22"/>
                <w:lang w:val="sr-Latn-ME"/>
              </w:rPr>
              <w:t xml:space="preserve"> 4.4)</w:t>
            </w:r>
          </w:p>
        </w:tc>
      </w:tr>
      <w:tr w:rsidR="0063578C" w:rsidRPr="00A14E37" w14:paraId="521C85AD" w14:textId="77777777" w:rsidTr="0063578C">
        <w:tc>
          <w:tcPr>
            <w:tcW w:w="2943" w:type="dxa"/>
          </w:tcPr>
          <w:p w14:paraId="1AEBA5D5"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Poremećaji kože i potkožnog tkiva</w:t>
            </w:r>
          </w:p>
        </w:tc>
        <w:tc>
          <w:tcPr>
            <w:tcW w:w="6617" w:type="dxa"/>
          </w:tcPr>
          <w:p w14:paraId="5D459972" w14:textId="77777777" w:rsidR="0063578C" w:rsidRPr="00A14E37" w:rsidRDefault="0063578C" w:rsidP="00B37A2A">
            <w:pPr>
              <w:pStyle w:val="Text"/>
              <w:rPr>
                <w:noProof/>
                <w:color w:val="000000"/>
                <w:sz w:val="22"/>
                <w:szCs w:val="22"/>
                <w:lang w:val="sr-Latn-ME"/>
              </w:rPr>
            </w:pPr>
          </w:p>
        </w:tc>
      </w:tr>
      <w:tr w:rsidR="0063578C" w:rsidRPr="00A14E37" w14:paraId="17A9F847" w14:textId="77777777" w:rsidTr="0063578C">
        <w:tc>
          <w:tcPr>
            <w:tcW w:w="2943" w:type="dxa"/>
          </w:tcPr>
          <w:p w14:paraId="2B4120D4"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Veoma često</w:t>
            </w:r>
          </w:p>
          <w:p w14:paraId="7C953CD4"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Često</w:t>
            </w:r>
          </w:p>
        </w:tc>
        <w:tc>
          <w:tcPr>
            <w:tcW w:w="6617" w:type="dxa"/>
          </w:tcPr>
          <w:p w14:paraId="044B8CBA" w14:textId="77777777" w:rsidR="0063578C" w:rsidRPr="00A14E37" w:rsidRDefault="0063578C" w:rsidP="006D0274">
            <w:pPr>
              <w:pStyle w:val="Text"/>
              <w:rPr>
                <w:noProof/>
                <w:color w:val="000000"/>
                <w:sz w:val="22"/>
                <w:szCs w:val="22"/>
                <w:lang w:val="sr-Latn-ME"/>
              </w:rPr>
            </w:pPr>
            <w:r w:rsidRPr="00A14E37">
              <w:rPr>
                <w:noProof/>
                <w:color w:val="000000"/>
                <w:sz w:val="22"/>
                <w:szCs w:val="22"/>
                <w:lang w:val="sr-Latn-ME"/>
              </w:rPr>
              <w:t xml:space="preserve">Hirzutizam </w:t>
            </w:r>
          </w:p>
          <w:p w14:paraId="61626AD9" w14:textId="77777777" w:rsidR="0063578C" w:rsidRPr="00A14E37" w:rsidRDefault="0063578C" w:rsidP="000E6E8B">
            <w:pPr>
              <w:pStyle w:val="Text"/>
              <w:rPr>
                <w:noProof/>
                <w:color w:val="000000"/>
                <w:sz w:val="22"/>
                <w:szCs w:val="22"/>
                <w:lang w:val="sr-Latn-ME"/>
              </w:rPr>
            </w:pPr>
            <w:r w:rsidRPr="00A14E37">
              <w:rPr>
                <w:noProof/>
                <w:color w:val="000000"/>
                <w:sz w:val="22"/>
                <w:szCs w:val="22"/>
                <w:lang w:val="sr-Latn-ME"/>
              </w:rPr>
              <w:t>Akne, hipertrihoza</w:t>
            </w:r>
          </w:p>
        </w:tc>
      </w:tr>
      <w:tr w:rsidR="0063578C" w:rsidRPr="00A14E37" w14:paraId="50AFAED5" w14:textId="77777777" w:rsidTr="0063578C">
        <w:tc>
          <w:tcPr>
            <w:tcW w:w="2943" w:type="dxa"/>
          </w:tcPr>
          <w:p w14:paraId="6EA66F6B"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Povremeno</w:t>
            </w:r>
          </w:p>
        </w:tc>
        <w:tc>
          <w:tcPr>
            <w:tcW w:w="6617" w:type="dxa"/>
          </w:tcPr>
          <w:p w14:paraId="020D3B7C"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Alergijski osip</w:t>
            </w:r>
          </w:p>
        </w:tc>
      </w:tr>
      <w:tr w:rsidR="0063578C" w:rsidRPr="00A14E37" w14:paraId="414CA1FE" w14:textId="77777777" w:rsidTr="0063578C">
        <w:tc>
          <w:tcPr>
            <w:tcW w:w="2943" w:type="dxa"/>
          </w:tcPr>
          <w:p w14:paraId="7ED2F05A"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Poremećaji mišićnoskeletnog i vezivnog sistema</w:t>
            </w:r>
          </w:p>
        </w:tc>
        <w:tc>
          <w:tcPr>
            <w:tcW w:w="6617" w:type="dxa"/>
          </w:tcPr>
          <w:p w14:paraId="7D5BAEC4" w14:textId="77777777" w:rsidR="0063578C" w:rsidRPr="00A14E37" w:rsidRDefault="0063578C" w:rsidP="00B37A2A">
            <w:pPr>
              <w:pStyle w:val="Text"/>
              <w:rPr>
                <w:noProof/>
                <w:color w:val="000000"/>
                <w:sz w:val="22"/>
                <w:szCs w:val="22"/>
                <w:lang w:val="sr-Latn-ME"/>
              </w:rPr>
            </w:pPr>
          </w:p>
        </w:tc>
      </w:tr>
      <w:tr w:rsidR="0063578C" w:rsidRPr="00A14E37" w14:paraId="0E787297" w14:textId="77777777" w:rsidTr="0063578C">
        <w:tc>
          <w:tcPr>
            <w:tcW w:w="2943" w:type="dxa"/>
          </w:tcPr>
          <w:p w14:paraId="33EF72CD"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Često</w:t>
            </w:r>
          </w:p>
        </w:tc>
        <w:tc>
          <w:tcPr>
            <w:tcW w:w="6617" w:type="dxa"/>
          </w:tcPr>
          <w:p w14:paraId="04140109"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Mijalgija, grčevi u mišićima</w:t>
            </w:r>
          </w:p>
        </w:tc>
      </w:tr>
      <w:tr w:rsidR="0063578C" w:rsidRPr="00A14E37" w14:paraId="6E72F5C9" w14:textId="77777777" w:rsidTr="0063578C">
        <w:tc>
          <w:tcPr>
            <w:tcW w:w="2943" w:type="dxa"/>
          </w:tcPr>
          <w:p w14:paraId="3DD0C6CC"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Rijetko</w:t>
            </w:r>
          </w:p>
          <w:p w14:paraId="0D6765F1"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Nepoznato*</w:t>
            </w:r>
          </w:p>
        </w:tc>
        <w:tc>
          <w:tcPr>
            <w:tcW w:w="6617" w:type="dxa"/>
          </w:tcPr>
          <w:p w14:paraId="52BE7C42" w14:textId="77777777" w:rsidR="0063578C" w:rsidRPr="00A14E37" w:rsidRDefault="0063578C" w:rsidP="006D0274">
            <w:pPr>
              <w:pStyle w:val="Text"/>
              <w:rPr>
                <w:noProof/>
                <w:color w:val="000000"/>
                <w:sz w:val="22"/>
                <w:szCs w:val="22"/>
                <w:lang w:val="sr-Latn-ME"/>
              </w:rPr>
            </w:pPr>
            <w:r w:rsidRPr="00A14E37">
              <w:rPr>
                <w:noProof/>
                <w:color w:val="000000"/>
                <w:sz w:val="22"/>
                <w:szCs w:val="22"/>
                <w:lang w:val="sr-Latn-ME"/>
              </w:rPr>
              <w:t>Slabost mišića, miopatija</w:t>
            </w:r>
          </w:p>
          <w:p w14:paraId="70B1C22C" w14:textId="77777777" w:rsidR="0063578C" w:rsidRPr="00A14E37" w:rsidRDefault="0063578C" w:rsidP="000E6E8B">
            <w:pPr>
              <w:pStyle w:val="Text"/>
              <w:rPr>
                <w:noProof/>
                <w:color w:val="000000"/>
                <w:sz w:val="22"/>
                <w:szCs w:val="22"/>
                <w:lang w:val="sr-Latn-ME"/>
              </w:rPr>
            </w:pPr>
            <w:r w:rsidRPr="00A14E37">
              <w:rPr>
                <w:noProof/>
                <w:color w:val="000000"/>
                <w:sz w:val="22"/>
                <w:szCs w:val="22"/>
                <w:lang w:val="sr-Latn-ME"/>
              </w:rPr>
              <w:t>Bol u donjim ekstremitetima</w:t>
            </w:r>
          </w:p>
        </w:tc>
      </w:tr>
      <w:tr w:rsidR="0063578C" w:rsidRPr="00A14E37" w14:paraId="403A398F" w14:textId="77777777" w:rsidTr="0063578C">
        <w:tc>
          <w:tcPr>
            <w:tcW w:w="2943" w:type="dxa"/>
          </w:tcPr>
          <w:p w14:paraId="4B4C1E20"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Poremećaj bubrega i urinarnog sistema</w:t>
            </w:r>
          </w:p>
        </w:tc>
        <w:tc>
          <w:tcPr>
            <w:tcW w:w="6617" w:type="dxa"/>
          </w:tcPr>
          <w:p w14:paraId="422C8013" w14:textId="77777777" w:rsidR="0063578C" w:rsidRPr="00A14E37" w:rsidRDefault="0063578C" w:rsidP="00B37A2A">
            <w:pPr>
              <w:pStyle w:val="Text"/>
              <w:rPr>
                <w:noProof/>
                <w:color w:val="000000"/>
                <w:sz w:val="22"/>
                <w:szCs w:val="22"/>
                <w:lang w:val="sr-Latn-ME"/>
              </w:rPr>
            </w:pPr>
          </w:p>
        </w:tc>
      </w:tr>
      <w:tr w:rsidR="0063578C" w:rsidRPr="00A14E37" w14:paraId="75AF2BC3" w14:textId="77777777" w:rsidTr="0063578C">
        <w:tc>
          <w:tcPr>
            <w:tcW w:w="2943" w:type="dxa"/>
          </w:tcPr>
          <w:p w14:paraId="14BF08EE"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Veoma često</w:t>
            </w:r>
          </w:p>
        </w:tc>
        <w:tc>
          <w:tcPr>
            <w:tcW w:w="6617" w:type="dxa"/>
          </w:tcPr>
          <w:p w14:paraId="7FC64E1A" w14:textId="55E74510" w:rsidR="0063578C" w:rsidRPr="00A14E37" w:rsidRDefault="0063578C" w:rsidP="00B37A2A">
            <w:pPr>
              <w:pStyle w:val="Text"/>
              <w:rPr>
                <w:noProof/>
                <w:color w:val="000000"/>
                <w:sz w:val="22"/>
                <w:szCs w:val="22"/>
                <w:lang w:val="sr-Latn-ME"/>
              </w:rPr>
            </w:pPr>
            <w:r w:rsidRPr="00A14E37">
              <w:rPr>
                <w:noProof/>
                <w:color w:val="000000"/>
                <w:sz w:val="22"/>
                <w:szCs w:val="22"/>
                <w:lang w:val="sr-Latn-ME"/>
              </w:rPr>
              <w:t xml:space="preserve">Poremećaj funkcije bubrega (vidjeti </w:t>
            </w:r>
            <w:r w:rsidR="00C37D5C" w:rsidRPr="00A14E37">
              <w:rPr>
                <w:noProof/>
                <w:color w:val="000000"/>
                <w:sz w:val="22"/>
                <w:szCs w:val="22"/>
                <w:lang w:val="sr-Latn-ME"/>
              </w:rPr>
              <w:t>dio</w:t>
            </w:r>
            <w:r w:rsidRPr="00A14E37">
              <w:rPr>
                <w:noProof/>
                <w:color w:val="000000"/>
                <w:sz w:val="22"/>
                <w:szCs w:val="22"/>
                <w:lang w:val="sr-Latn-ME"/>
              </w:rPr>
              <w:t xml:space="preserve"> 4.4)</w:t>
            </w:r>
          </w:p>
        </w:tc>
      </w:tr>
      <w:tr w:rsidR="0063578C" w:rsidRPr="00A14E37" w14:paraId="01842B17" w14:textId="77777777" w:rsidTr="0063578C">
        <w:tc>
          <w:tcPr>
            <w:tcW w:w="2943" w:type="dxa"/>
          </w:tcPr>
          <w:p w14:paraId="5C2EBC78"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 xml:space="preserve">Poremećaji reproduktivnog       </w:t>
            </w:r>
          </w:p>
          <w:p w14:paraId="08011F57"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sistema i dojki</w:t>
            </w:r>
          </w:p>
        </w:tc>
        <w:tc>
          <w:tcPr>
            <w:tcW w:w="6617" w:type="dxa"/>
          </w:tcPr>
          <w:p w14:paraId="2E1BF49E" w14:textId="77777777" w:rsidR="0063578C" w:rsidRPr="00A14E37" w:rsidRDefault="0063578C" w:rsidP="006D0274">
            <w:pPr>
              <w:pStyle w:val="Text"/>
              <w:rPr>
                <w:noProof/>
                <w:color w:val="000000"/>
                <w:sz w:val="22"/>
                <w:szCs w:val="22"/>
                <w:lang w:val="sr-Latn-ME"/>
              </w:rPr>
            </w:pPr>
          </w:p>
        </w:tc>
      </w:tr>
      <w:tr w:rsidR="0063578C" w:rsidRPr="00A14E37" w14:paraId="183826DA" w14:textId="77777777" w:rsidTr="0063578C">
        <w:tc>
          <w:tcPr>
            <w:tcW w:w="2943" w:type="dxa"/>
          </w:tcPr>
          <w:p w14:paraId="4675D517"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Rijetko</w:t>
            </w:r>
          </w:p>
        </w:tc>
        <w:tc>
          <w:tcPr>
            <w:tcW w:w="6617" w:type="dxa"/>
          </w:tcPr>
          <w:p w14:paraId="317CB4FD"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Poremećaj menstruacije, ginekomastija</w:t>
            </w:r>
          </w:p>
        </w:tc>
      </w:tr>
      <w:tr w:rsidR="0063578C" w:rsidRPr="00A14E37" w14:paraId="06A0EA06" w14:textId="77777777" w:rsidTr="0063578C">
        <w:tc>
          <w:tcPr>
            <w:tcW w:w="2943" w:type="dxa"/>
          </w:tcPr>
          <w:p w14:paraId="3D3743F9" w14:textId="77777777" w:rsidR="0063578C" w:rsidRPr="00A14E37" w:rsidRDefault="0063578C" w:rsidP="00B37A2A">
            <w:pPr>
              <w:pStyle w:val="Text"/>
              <w:rPr>
                <w:b/>
                <w:noProof/>
                <w:color w:val="000000"/>
                <w:sz w:val="22"/>
                <w:szCs w:val="22"/>
                <w:lang w:val="sr-Latn-ME"/>
              </w:rPr>
            </w:pPr>
            <w:r w:rsidRPr="00A14E37">
              <w:rPr>
                <w:b/>
                <w:noProof/>
                <w:color w:val="000000"/>
                <w:sz w:val="22"/>
                <w:szCs w:val="22"/>
                <w:lang w:val="sr-Latn-ME"/>
              </w:rPr>
              <w:t xml:space="preserve">Opšti poremećaji i stanja na </w:t>
            </w:r>
          </w:p>
          <w:p w14:paraId="0C378BF0" w14:textId="77777777" w:rsidR="0063578C" w:rsidRPr="00A14E37" w:rsidRDefault="0063578C" w:rsidP="00B37A2A">
            <w:pPr>
              <w:pStyle w:val="Text"/>
              <w:rPr>
                <w:noProof/>
                <w:color w:val="000000"/>
                <w:sz w:val="22"/>
                <w:szCs w:val="22"/>
                <w:lang w:val="sr-Latn-ME"/>
              </w:rPr>
            </w:pPr>
            <w:r w:rsidRPr="00A14E37">
              <w:rPr>
                <w:b/>
                <w:noProof/>
                <w:color w:val="000000"/>
                <w:sz w:val="22"/>
                <w:szCs w:val="22"/>
                <w:lang w:val="sr-Latn-ME"/>
              </w:rPr>
              <w:t>mjestu primjene lijeka</w:t>
            </w:r>
          </w:p>
        </w:tc>
        <w:tc>
          <w:tcPr>
            <w:tcW w:w="6617" w:type="dxa"/>
          </w:tcPr>
          <w:p w14:paraId="4A003FEB" w14:textId="77777777" w:rsidR="0063578C" w:rsidRPr="00A14E37" w:rsidRDefault="0063578C" w:rsidP="006D0274">
            <w:pPr>
              <w:pStyle w:val="Text"/>
              <w:rPr>
                <w:noProof/>
                <w:color w:val="000000"/>
                <w:sz w:val="22"/>
                <w:szCs w:val="22"/>
                <w:lang w:val="sr-Latn-ME"/>
              </w:rPr>
            </w:pPr>
          </w:p>
        </w:tc>
      </w:tr>
      <w:tr w:rsidR="0063578C" w:rsidRPr="00A14E37" w14:paraId="46139514" w14:textId="77777777" w:rsidTr="0063578C">
        <w:tc>
          <w:tcPr>
            <w:tcW w:w="2943" w:type="dxa"/>
          </w:tcPr>
          <w:p w14:paraId="663E9EE0"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Često</w:t>
            </w:r>
          </w:p>
        </w:tc>
        <w:tc>
          <w:tcPr>
            <w:tcW w:w="6617" w:type="dxa"/>
          </w:tcPr>
          <w:p w14:paraId="0B61E825"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Pireksija, umor</w:t>
            </w:r>
          </w:p>
        </w:tc>
      </w:tr>
      <w:tr w:rsidR="0063578C" w:rsidRPr="00A14E37" w14:paraId="1CFEACAA" w14:textId="77777777" w:rsidTr="0063578C">
        <w:tc>
          <w:tcPr>
            <w:tcW w:w="2943" w:type="dxa"/>
          </w:tcPr>
          <w:p w14:paraId="784AFE99" w14:textId="77777777" w:rsidR="0063578C" w:rsidRPr="00A14E37" w:rsidRDefault="0063578C" w:rsidP="00B37A2A">
            <w:pPr>
              <w:pStyle w:val="Text"/>
              <w:rPr>
                <w:noProof/>
                <w:color w:val="000000"/>
                <w:sz w:val="22"/>
                <w:szCs w:val="22"/>
                <w:lang w:val="sr-Latn-ME"/>
              </w:rPr>
            </w:pPr>
            <w:r w:rsidRPr="00A14E37">
              <w:rPr>
                <w:noProof/>
                <w:color w:val="000000"/>
                <w:sz w:val="22"/>
                <w:szCs w:val="22"/>
                <w:lang w:val="sr-Latn-ME"/>
              </w:rPr>
              <w:t xml:space="preserve">Povremeno </w:t>
            </w:r>
          </w:p>
        </w:tc>
        <w:tc>
          <w:tcPr>
            <w:tcW w:w="6617" w:type="dxa"/>
          </w:tcPr>
          <w:p w14:paraId="701627B8" w14:textId="783EF9B3" w:rsidR="0063578C" w:rsidRPr="00A14E37" w:rsidRDefault="0063578C" w:rsidP="00B37A2A">
            <w:pPr>
              <w:pStyle w:val="Text"/>
              <w:rPr>
                <w:noProof/>
                <w:color w:val="000000"/>
                <w:sz w:val="22"/>
                <w:szCs w:val="22"/>
                <w:lang w:val="sr-Latn-ME"/>
              </w:rPr>
            </w:pPr>
            <w:r w:rsidRPr="00A14E37">
              <w:rPr>
                <w:noProof/>
                <w:color w:val="000000"/>
                <w:sz w:val="22"/>
                <w:szCs w:val="22"/>
                <w:lang w:val="sr-Latn-ME"/>
              </w:rPr>
              <w:t>Edem, povećanje t</w:t>
            </w:r>
            <w:r w:rsidR="000E6E8B" w:rsidRPr="00A14E37">
              <w:rPr>
                <w:noProof/>
                <w:color w:val="000000"/>
                <w:sz w:val="22"/>
                <w:szCs w:val="22"/>
                <w:lang w:val="sr-Latn-ME"/>
              </w:rPr>
              <w:t>j</w:t>
            </w:r>
            <w:r w:rsidRPr="00A14E37">
              <w:rPr>
                <w:noProof/>
                <w:color w:val="000000"/>
                <w:sz w:val="22"/>
                <w:szCs w:val="22"/>
                <w:lang w:val="sr-Latn-ME"/>
              </w:rPr>
              <w:t>elesne mase</w:t>
            </w:r>
          </w:p>
        </w:tc>
      </w:tr>
    </w:tbl>
    <w:p w14:paraId="7132C21B" w14:textId="05D2A81D" w:rsidR="0063578C" w:rsidRPr="00A14E37" w:rsidRDefault="0063578C" w:rsidP="002045DA">
      <w:pPr>
        <w:pStyle w:val="Header"/>
        <w:tabs>
          <w:tab w:val="left" w:pos="284"/>
        </w:tabs>
        <w:spacing w:before="80" w:after="80"/>
        <w:jc w:val="both"/>
        <w:rPr>
          <w:sz w:val="22"/>
          <w:szCs w:val="22"/>
          <w:lang w:val="sr-Latn-ME"/>
        </w:rPr>
      </w:pPr>
      <w:r w:rsidRPr="00A14E37">
        <w:rPr>
          <w:sz w:val="22"/>
          <w:szCs w:val="22"/>
          <w:lang w:val="sr-Latn-ME"/>
        </w:rPr>
        <w:t xml:space="preserve">* Neželjeni događaji zabilježeni nakon stavljanja lijeka u promet pri čemu je učestalost neželjenih reakcija nepoznata zbog neutvrđene </w:t>
      </w:r>
      <w:r w:rsidR="007F6121" w:rsidRPr="00A14E37">
        <w:rPr>
          <w:sz w:val="22"/>
          <w:szCs w:val="22"/>
          <w:lang w:val="sr-Latn-ME"/>
        </w:rPr>
        <w:t xml:space="preserve">veličine </w:t>
      </w:r>
      <w:r w:rsidRPr="00A14E37">
        <w:rPr>
          <w:sz w:val="22"/>
          <w:szCs w:val="22"/>
          <w:lang w:val="sr-Latn-ME"/>
        </w:rPr>
        <w:t>populacije.</w:t>
      </w:r>
    </w:p>
    <w:p w14:paraId="6B023C6D" w14:textId="143EC618" w:rsidR="001334FF" w:rsidRPr="00A14E37" w:rsidRDefault="001334FF" w:rsidP="002045DA">
      <w:pPr>
        <w:pStyle w:val="Header"/>
        <w:tabs>
          <w:tab w:val="left" w:pos="284"/>
        </w:tabs>
        <w:spacing w:before="80" w:after="80"/>
        <w:jc w:val="both"/>
        <w:rPr>
          <w:sz w:val="22"/>
          <w:szCs w:val="22"/>
          <w:lang w:val="sr-Latn-ME"/>
        </w:rPr>
      </w:pPr>
      <w:r w:rsidRPr="00A14E37">
        <w:rPr>
          <w:sz w:val="22"/>
          <w:szCs w:val="22"/>
          <w:vertAlign w:val="superscript"/>
          <w:lang w:val="sr-Latn-ME"/>
        </w:rPr>
        <w:t xml:space="preserve"># </w:t>
      </w:r>
      <w:r w:rsidRPr="00A14E37">
        <w:rPr>
          <w:sz w:val="22"/>
          <w:szCs w:val="22"/>
          <w:lang w:val="sr-Latn-ME"/>
        </w:rPr>
        <w:t>Oštećenje sluha je zab</w:t>
      </w:r>
      <w:r w:rsidR="00A76B1D" w:rsidRPr="00A14E37">
        <w:rPr>
          <w:sz w:val="22"/>
          <w:szCs w:val="22"/>
          <w:lang w:val="sr-Latn-ME"/>
        </w:rPr>
        <w:t>i</w:t>
      </w:r>
      <w:r w:rsidRPr="00A14E37">
        <w:rPr>
          <w:sz w:val="22"/>
          <w:szCs w:val="22"/>
          <w:lang w:val="sr-Latn-ME"/>
        </w:rPr>
        <w:t>l</w:t>
      </w:r>
      <w:r w:rsidR="00A76B1D" w:rsidRPr="00A14E37">
        <w:rPr>
          <w:sz w:val="22"/>
          <w:szCs w:val="22"/>
          <w:lang w:val="sr-Latn-ME"/>
        </w:rPr>
        <w:t>j</w:t>
      </w:r>
      <w:r w:rsidRPr="00A14E37">
        <w:rPr>
          <w:sz w:val="22"/>
          <w:szCs w:val="22"/>
          <w:lang w:val="sr-Latn-ME"/>
        </w:rPr>
        <w:t>eženo nakon stavljanja l</w:t>
      </w:r>
      <w:r w:rsidR="00A76B1D" w:rsidRPr="00A14E37">
        <w:rPr>
          <w:sz w:val="22"/>
          <w:szCs w:val="22"/>
          <w:lang w:val="sr-Latn-ME"/>
        </w:rPr>
        <w:t>ij</w:t>
      </w:r>
      <w:r w:rsidRPr="00A14E37">
        <w:rPr>
          <w:sz w:val="22"/>
          <w:szCs w:val="22"/>
          <w:lang w:val="sr-Latn-ME"/>
        </w:rPr>
        <w:t>eka u promet kod pacijenata sa visokim nivoima ciklosporina.</w:t>
      </w:r>
    </w:p>
    <w:p w14:paraId="2DA4885E" w14:textId="77777777" w:rsidR="001334FF" w:rsidRPr="00A14E37" w:rsidRDefault="001334FF" w:rsidP="002045DA">
      <w:pPr>
        <w:pStyle w:val="Header"/>
        <w:tabs>
          <w:tab w:val="left" w:pos="284"/>
        </w:tabs>
        <w:spacing w:before="80" w:after="80"/>
        <w:jc w:val="both"/>
        <w:rPr>
          <w:b/>
          <w:bCs/>
          <w:sz w:val="22"/>
          <w:szCs w:val="22"/>
          <w:lang w:val="sr-Latn-ME"/>
        </w:rPr>
      </w:pPr>
    </w:p>
    <w:p w14:paraId="434D8988" w14:textId="77777777" w:rsidR="0063578C" w:rsidRPr="00A14E37" w:rsidRDefault="0063578C" w:rsidP="00B37A2A">
      <w:pPr>
        <w:pStyle w:val="Text"/>
        <w:rPr>
          <w:b/>
          <w:noProof/>
          <w:sz w:val="22"/>
          <w:szCs w:val="22"/>
          <w:u w:val="single"/>
          <w:lang w:val="sr-Latn-ME"/>
        </w:rPr>
      </w:pPr>
      <w:r w:rsidRPr="00A14E37">
        <w:rPr>
          <w:b/>
          <w:noProof/>
          <w:sz w:val="22"/>
          <w:szCs w:val="22"/>
          <w:u w:val="single"/>
          <w:lang w:val="sr-Latn-ME"/>
        </w:rPr>
        <w:t>Ostale neželjene reakcije iz post-marketinškog iskustva</w:t>
      </w:r>
    </w:p>
    <w:p w14:paraId="10A20CD6" w14:textId="52A77453" w:rsidR="0063578C" w:rsidRPr="00A14E37" w:rsidRDefault="0063578C" w:rsidP="00B37A2A">
      <w:pPr>
        <w:pStyle w:val="Text"/>
        <w:rPr>
          <w:noProof/>
          <w:sz w:val="22"/>
          <w:szCs w:val="22"/>
          <w:lang w:val="sr-Latn-ME"/>
        </w:rPr>
      </w:pPr>
      <w:r w:rsidRPr="00A14E37">
        <w:rPr>
          <w:noProof/>
          <w:sz w:val="22"/>
          <w:szCs w:val="22"/>
          <w:lang w:val="sr-Latn-ME"/>
        </w:rPr>
        <w:t>Postoje zahtijevani i spontani postmarketinški izveštaji o hepatotoksičnosti i oštećenju jetre uključujući holestazu, ikterus</w:t>
      </w:r>
      <w:r w:rsidR="0063700F" w:rsidRPr="00A14E37">
        <w:rPr>
          <w:noProof/>
          <w:sz w:val="22"/>
          <w:szCs w:val="22"/>
          <w:lang w:val="sr-Latn-ME"/>
        </w:rPr>
        <w:t>ni</w:t>
      </w:r>
      <w:r w:rsidRPr="00A14E37">
        <w:rPr>
          <w:noProof/>
          <w:sz w:val="22"/>
          <w:szCs w:val="22"/>
          <w:lang w:val="sr-Latn-ME"/>
        </w:rPr>
        <w:t xml:space="preserve"> hepatitis i insuficijenciju jetre kod pacijenata liječenih ciklosporinom. Većina izvještaja uključuje pacijente sa značajnim ko-morbiditetima, postojećim stanjima i drugim </w:t>
      </w:r>
      <w:r w:rsidR="0063700F" w:rsidRPr="00A14E37">
        <w:rPr>
          <w:noProof/>
          <w:sz w:val="22"/>
          <w:szCs w:val="22"/>
          <w:lang w:val="sr-Latn-ME"/>
        </w:rPr>
        <w:t>doprinosećim</w:t>
      </w:r>
      <w:r w:rsidRPr="00A14E37">
        <w:rPr>
          <w:noProof/>
          <w:sz w:val="22"/>
          <w:szCs w:val="22"/>
          <w:lang w:val="sr-Latn-ME"/>
        </w:rPr>
        <w:t xml:space="preserve"> faktorima uključujući komplikacije infekcija i istovremenu primjenu lijeka sa hepatotoksičnim potencijalom. U nekim slučajevima, većinom kod pacijenata sa transplantatima, prijavljivani su </w:t>
      </w:r>
      <w:r w:rsidR="008715DF" w:rsidRPr="00A14E37">
        <w:rPr>
          <w:noProof/>
          <w:sz w:val="22"/>
          <w:szCs w:val="22"/>
          <w:lang w:val="sr-Latn-ME"/>
        </w:rPr>
        <w:t>smrtni</w:t>
      </w:r>
      <w:r w:rsidRPr="00A14E37">
        <w:rPr>
          <w:noProof/>
          <w:sz w:val="22"/>
          <w:szCs w:val="22"/>
          <w:lang w:val="sr-Latn-ME"/>
        </w:rPr>
        <w:t xml:space="preserve"> ishodi (vidjeti </w:t>
      </w:r>
      <w:r w:rsidR="00C37D5C" w:rsidRPr="00A14E37">
        <w:rPr>
          <w:noProof/>
          <w:sz w:val="22"/>
          <w:szCs w:val="22"/>
          <w:lang w:val="sr-Latn-ME"/>
        </w:rPr>
        <w:t>dio</w:t>
      </w:r>
      <w:r w:rsidRPr="00A14E37">
        <w:rPr>
          <w:noProof/>
          <w:sz w:val="22"/>
          <w:szCs w:val="22"/>
          <w:lang w:val="sr-Latn-ME"/>
        </w:rPr>
        <w:t xml:space="preserve"> 4.4).</w:t>
      </w:r>
    </w:p>
    <w:p w14:paraId="33D32CD5" w14:textId="77777777" w:rsidR="0063578C" w:rsidRPr="00A14E37" w:rsidRDefault="0063578C" w:rsidP="00B37A2A">
      <w:pPr>
        <w:pStyle w:val="Default"/>
        <w:jc w:val="both"/>
        <w:rPr>
          <w:sz w:val="22"/>
          <w:szCs w:val="22"/>
          <w:lang w:val="sr-Latn-ME"/>
        </w:rPr>
      </w:pPr>
    </w:p>
    <w:p w14:paraId="476BBEF8" w14:textId="77777777" w:rsidR="0063578C" w:rsidRPr="00A14E37" w:rsidRDefault="0063578C" w:rsidP="006D0274">
      <w:pPr>
        <w:pStyle w:val="Default"/>
        <w:jc w:val="both"/>
        <w:rPr>
          <w:sz w:val="22"/>
          <w:szCs w:val="22"/>
          <w:u w:val="single"/>
          <w:lang w:val="sr-Latn-ME"/>
        </w:rPr>
      </w:pPr>
      <w:r w:rsidRPr="00A14E37">
        <w:rPr>
          <w:sz w:val="22"/>
          <w:szCs w:val="22"/>
          <w:u w:val="single"/>
          <w:lang w:val="sr-Latn-ME"/>
        </w:rPr>
        <w:t xml:space="preserve">Akutna i hronična nefrotoksičnost </w:t>
      </w:r>
    </w:p>
    <w:p w14:paraId="0B8A16E6" w14:textId="308A84D6" w:rsidR="0063578C" w:rsidRPr="00A14E37" w:rsidRDefault="0063578C" w:rsidP="000E6E8B">
      <w:pPr>
        <w:pStyle w:val="Default"/>
        <w:jc w:val="both"/>
        <w:rPr>
          <w:sz w:val="22"/>
          <w:szCs w:val="22"/>
          <w:lang w:val="sr-Latn-ME"/>
        </w:rPr>
      </w:pPr>
      <w:r w:rsidRPr="00A14E37">
        <w:rPr>
          <w:sz w:val="22"/>
          <w:szCs w:val="22"/>
          <w:lang w:val="sr-Latn-ME"/>
        </w:rPr>
        <w:t xml:space="preserve">Pacijenti koji primaju terapije inhibitorom kalcineurina (CNI), uključujući ciklosporin i protokole koji sadrže ciklosporin, izloženi su povećanom riziku od akutne ili hronične nefrotoksičnosti. Postoje izvještaji iz kliničkih ispitivanja i nakon stavljanja lijeka u promet povezani sa primjenom lijeka Sandimmun Neoral. U slučajevima akutne nefrotoksičnosti zabilježeni su poremećaji homeostaze jona, kao što su hiperkalemija, hipomagnezemija i hiperurikemija. Slučajevi u kojima su zabilježene hronične morfološke promjene uključivali su arteriolarnu hijalinozu, tubularnu atrofiju i intersticijalnu fibrozu (vidjeti </w:t>
      </w:r>
      <w:r w:rsidR="00C37D5C" w:rsidRPr="00A14E37">
        <w:rPr>
          <w:sz w:val="22"/>
          <w:szCs w:val="22"/>
          <w:lang w:val="sr-Latn-ME"/>
        </w:rPr>
        <w:t>dio</w:t>
      </w:r>
      <w:r w:rsidRPr="00A14E37">
        <w:rPr>
          <w:sz w:val="22"/>
          <w:szCs w:val="22"/>
          <w:lang w:val="sr-Latn-ME"/>
        </w:rPr>
        <w:t xml:space="preserve"> 4.4). </w:t>
      </w:r>
    </w:p>
    <w:p w14:paraId="4B9D311F" w14:textId="0FB1F4D4" w:rsidR="0063578C" w:rsidRPr="00A14E37" w:rsidRDefault="0063578C">
      <w:pPr>
        <w:pStyle w:val="Default"/>
        <w:jc w:val="both"/>
        <w:rPr>
          <w:sz w:val="22"/>
          <w:szCs w:val="22"/>
          <w:lang w:val="sr-Latn-ME"/>
        </w:rPr>
      </w:pPr>
    </w:p>
    <w:p w14:paraId="390A336C" w14:textId="77777777" w:rsidR="00264435" w:rsidRPr="00A14E37" w:rsidRDefault="00264435">
      <w:pPr>
        <w:pStyle w:val="Default"/>
        <w:jc w:val="both"/>
        <w:rPr>
          <w:sz w:val="22"/>
          <w:szCs w:val="22"/>
          <w:lang w:val="sr-Latn-ME"/>
        </w:rPr>
      </w:pPr>
    </w:p>
    <w:p w14:paraId="68725B9C" w14:textId="77777777" w:rsidR="0063578C" w:rsidRPr="00A14E37" w:rsidRDefault="0063578C">
      <w:pPr>
        <w:pStyle w:val="Default"/>
        <w:jc w:val="both"/>
        <w:rPr>
          <w:sz w:val="22"/>
          <w:szCs w:val="22"/>
          <w:u w:val="single"/>
          <w:lang w:val="sr-Latn-ME"/>
        </w:rPr>
      </w:pPr>
      <w:r w:rsidRPr="00A14E37">
        <w:rPr>
          <w:sz w:val="22"/>
          <w:szCs w:val="22"/>
          <w:u w:val="single"/>
          <w:lang w:val="sr-Latn-ME"/>
        </w:rPr>
        <w:lastRenderedPageBreak/>
        <w:t>Bol u donjim ekstremitetima</w:t>
      </w:r>
    </w:p>
    <w:p w14:paraId="0631585A" w14:textId="77777777" w:rsidR="0063578C" w:rsidRPr="00A14E37" w:rsidRDefault="0063578C">
      <w:pPr>
        <w:pStyle w:val="Default"/>
        <w:jc w:val="both"/>
        <w:rPr>
          <w:sz w:val="22"/>
          <w:szCs w:val="22"/>
          <w:lang w:val="sr-Latn-ME"/>
        </w:rPr>
      </w:pPr>
      <w:r w:rsidRPr="00A14E37">
        <w:rPr>
          <w:sz w:val="22"/>
          <w:szCs w:val="22"/>
          <w:lang w:val="sr-Latn-ME"/>
        </w:rPr>
        <w:t>Prijavljeni su izolovani slučajevi bola u ekstremitetima povezanih sa primjenom ciklosporina. Bol u donjim ekstremitetima je prijavljen uz sindrom bola indukovanog inhibitorima kalcineurina (CIPS).</w:t>
      </w:r>
    </w:p>
    <w:p w14:paraId="2E171EA8" w14:textId="77777777" w:rsidR="0063578C" w:rsidRPr="00A14E37" w:rsidRDefault="0063578C">
      <w:pPr>
        <w:pStyle w:val="Default"/>
        <w:jc w:val="both"/>
        <w:rPr>
          <w:sz w:val="22"/>
          <w:szCs w:val="22"/>
          <w:lang w:val="sr-Latn-ME"/>
        </w:rPr>
      </w:pPr>
    </w:p>
    <w:p w14:paraId="47FFE215" w14:textId="77777777" w:rsidR="0063578C" w:rsidRPr="00A14E37" w:rsidRDefault="0063578C">
      <w:pPr>
        <w:pStyle w:val="Default"/>
        <w:jc w:val="both"/>
        <w:rPr>
          <w:sz w:val="22"/>
          <w:szCs w:val="22"/>
          <w:u w:val="single"/>
          <w:lang w:val="sr-Latn-ME"/>
        </w:rPr>
      </w:pPr>
      <w:r w:rsidRPr="00A14E37">
        <w:rPr>
          <w:sz w:val="22"/>
          <w:szCs w:val="22"/>
          <w:u w:val="single"/>
          <w:lang w:val="sr-Latn-ME"/>
        </w:rPr>
        <w:t xml:space="preserve">Pedijatrijska populacija </w:t>
      </w:r>
    </w:p>
    <w:p w14:paraId="5D6B9AB5" w14:textId="68D16209" w:rsidR="0063578C" w:rsidRPr="00A14E37" w:rsidRDefault="0063578C" w:rsidP="002045DA">
      <w:pPr>
        <w:pStyle w:val="Default"/>
        <w:jc w:val="both"/>
        <w:rPr>
          <w:sz w:val="22"/>
          <w:szCs w:val="22"/>
          <w:lang w:val="sr-Latn-ME"/>
        </w:rPr>
      </w:pPr>
      <w:r w:rsidRPr="00A14E37">
        <w:rPr>
          <w:sz w:val="22"/>
          <w:szCs w:val="22"/>
          <w:lang w:val="sr-Latn-ME"/>
        </w:rPr>
        <w:t xml:space="preserve">Klinička ispitivanja su uključivala djecu starosti od 1 godine </w:t>
      </w:r>
      <w:r w:rsidR="008715DF" w:rsidRPr="00A14E37">
        <w:rPr>
          <w:sz w:val="22"/>
          <w:szCs w:val="22"/>
          <w:lang w:val="sr-Latn-ME"/>
        </w:rPr>
        <w:t xml:space="preserve">i </w:t>
      </w:r>
      <w:r w:rsidR="00332345" w:rsidRPr="00A14E37">
        <w:rPr>
          <w:sz w:val="22"/>
          <w:szCs w:val="22"/>
          <w:lang w:val="sr-Latn-ME"/>
        </w:rPr>
        <w:t>više godina</w:t>
      </w:r>
      <w:r w:rsidRPr="00A14E37">
        <w:rPr>
          <w:sz w:val="22"/>
          <w:szCs w:val="22"/>
          <w:lang w:val="sr-Latn-ME"/>
        </w:rPr>
        <w:t xml:space="preserve"> koja su uzimala doze ciklosporina sa bezbjednosnim profilom uporedivim sa onim kod odraslih osoba.</w:t>
      </w:r>
    </w:p>
    <w:p w14:paraId="16BDBEDF" w14:textId="77777777" w:rsidR="00264435" w:rsidRPr="00A14E37" w:rsidRDefault="00264435" w:rsidP="002045DA">
      <w:pPr>
        <w:pStyle w:val="Default"/>
        <w:jc w:val="both"/>
        <w:rPr>
          <w:rFonts w:eastAsia="Calibri"/>
          <w:lang w:val="sr-Latn-ME"/>
        </w:rPr>
      </w:pPr>
    </w:p>
    <w:p w14:paraId="057F386E" w14:textId="77777777" w:rsidR="00B71BB8" w:rsidRPr="00A14E37" w:rsidRDefault="00B71BB8" w:rsidP="00B37A2A">
      <w:pPr>
        <w:jc w:val="both"/>
        <w:rPr>
          <w:rFonts w:eastAsia="Calibri"/>
          <w:sz w:val="22"/>
          <w:szCs w:val="22"/>
          <w:u w:val="single"/>
          <w:lang w:val="sr-Latn-ME"/>
        </w:rPr>
      </w:pPr>
      <w:r w:rsidRPr="00A14E37">
        <w:rPr>
          <w:rFonts w:eastAsia="Calibri"/>
          <w:sz w:val="22"/>
          <w:szCs w:val="22"/>
          <w:u w:val="single"/>
          <w:lang w:val="sr-Latn-ME"/>
        </w:rPr>
        <w:t>Prijavljivanje sumnji na neželjena dejstva</w:t>
      </w:r>
    </w:p>
    <w:p w14:paraId="7CA49991" w14:textId="42D27FA9" w:rsidR="00B71BB8" w:rsidRPr="00A14E37" w:rsidRDefault="00B71BB8" w:rsidP="00B37A2A">
      <w:pPr>
        <w:jc w:val="both"/>
        <w:rPr>
          <w:rFonts w:eastAsia="Calibri"/>
          <w:sz w:val="22"/>
          <w:szCs w:val="22"/>
          <w:lang w:val="sr-Latn-ME"/>
        </w:rPr>
      </w:pPr>
      <w:r w:rsidRPr="00A14E3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w:t>
      </w:r>
      <w:r w:rsidR="00A81606">
        <w:rPr>
          <w:rFonts w:eastAsia="Calibri"/>
          <w:sz w:val="22"/>
          <w:szCs w:val="22"/>
          <w:lang w:val="sr-Latn-ME"/>
        </w:rPr>
        <w:t>dicinska sredstva Crne Gore (CIn</w:t>
      </w:r>
      <w:r w:rsidRPr="00A14E37">
        <w:rPr>
          <w:rFonts w:eastAsia="Calibri"/>
          <w:sz w:val="22"/>
          <w:szCs w:val="22"/>
          <w:lang w:val="sr-Latn-ME"/>
        </w:rPr>
        <w:t>MED):</w:t>
      </w:r>
    </w:p>
    <w:p w14:paraId="44990051" w14:textId="77777777" w:rsidR="00A81606" w:rsidRDefault="00A81606" w:rsidP="006D0274">
      <w:pPr>
        <w:pStyle w:val="NoSpacing"/>
        <w:jc w:val="both"/>
        <w:rPr>
          <w:rFonts w:eastAsia="Calibri"/>
          <w:sz w:val="22"/>
          <w:szCs w:val="22"/>
          <w:lang w:val="sr-Latn-ME"/>
        </w:rPr>
      </w:pPr>
      <w:bookmarkStart w:id="0" w:name="_GoBack"/>
      <w:bookmarkEnd w:id="0"/>
    </w:p>
    <w:p w14:paraId="51A44610" w14:textId="26FCA029" w:rsidR="00B71BB8" w:rsidRPr="00A14E37" w:rsidRDefault="00B71BB8" w:rsidP="006D0274">
      <w:pPr>
        <w:pStyle w:val="NoSpacing"/>
        <w:jc w:val="both"/>
        <w:rPr>
          <w:rFonts w:eastAsia="Calibri"/>
          <w:sz w:val="22"/>
          <w:szCs w:val="22"/>
          <w:lang w:val="sr-Latn-ME"/>
        </w:rPr>
      </w:pPr>
      <w:r w:rsidRPr="00A14E37">
        <w:rPr>
          <w:rFonts w:eastAsia="Calibri"/>
          <w:sz w:val="22"/>
          <w:szCs w:val="22"/>
          <w:lang w:val="sr-Latn-ME"/>
        </w:rPr>
        <w:t>Institut za ljekove i medicinska sredstva Crne Gore</w:t>
      </w:r>
    </w:p>
    <w:p w14:paraId="2620AD5B" w14:textId="77777777" w:rsidR="00B71BB8" w:rsidRPr="00A14E37" w:rsidRDefault="00B71BB8" w:rsidP="000E6E8B">
      <w:pPr>
        <w:pStyle w:val="NoSpacing"/>
        <w:jc w:val="both"/>
        <w:rPr>
          <w:rFonts w:eastAsia="Calibri"/>
          <w:sz w:val="22"/>
          <w:szCs w:val="22"/>
          <w:lang w:val="sr-Latn-ME"/>
        </w:rPr>
      </w:pPr>
      <w:r w:rsidRPr="00A14E37">
        <w:rPr>
          <w:rFonts w:eastAsia="Calibri"/>
          <w:sz w:val="22"/>
          <w:szCs w:val="22"/>
          <w:lang w:val="sr-Latn-ME"/>
        </w:rPr>
        <w:t>Odjeljenje za farmakovigilancu</w:t>
      </w:r>
    </w:p>
    <w:p w14:paraId="4EA731DB" w14:textId="77777777" w:rsidR="00B71BB8" w:rsidRPr="00A14E37" w:rsidRDefault="00B71BB8">
      <w:pPr>
        <w:pStyle w:val="NoSpacing"/>
        <w:jc w:val="both"/>
        <w:rPr>
          <w:rFonts w:eastAsia="Calibri"/>
          <w:sz w:val="22"/>
          <w:szCs w:val="22"/>
          <w:lang w:val="sr-Latn-ME"/>
        </w:rPr>
      </w:pPr>
      <w:r w:rsidRPr="00A14E37">
        <w:rPr>
          <w:rFonts w:eastAsia="Calibri"/>
          <w:sz w:val="22"/>
          <w:szCs w:val="22"/>
          <w:lang w:val="sr-Latn-ME"/>
        </w:rPr>
        <w:t>Bulevar Ivana Crnojevića 64a, 81000 Podgorica</w:t>
      </w:r>
    </w:p>
    <w:p w14:paraId="7F30886E" w14:textId="77777777" w:rsidR="00B71BB8" w:rsidRPr="00A14E37" w:rsidRDefault="00B71BB8">
      <w:pPr>
        <w:pStyle w:val="NoSpacing"/>
        <w:jc w:val="both"/>
        <w:rPr>
          <w:rFonts w:eastAsia="Calibri"/>
          <w:sz w:val="22"/>
          <w:szCs w:val="22"/>
          <w:lang w:val="sr-Latn-ME"/>
        </w:rPr>
      </w:pPr>
    </w:p>
    <w:p w14:paraId="03EED70E" w14:textId="77777777" w:rsidR="00B71BB8" w:rsidRPr="00A14E37" w:rsidRDefault="00B71BB8">
      <w:pPr>
        <w:pStyle w:val="NoSpacing"/>
        <w:jc w:val="both"/>
        <w:rPr>
          <w:rFonts w:eastAsia="Calibri"/>
          <w:sz w:val="22"/>
          <w:szCs w:val="22"/>
          <w:lang w:val="sr-Latn-ME"/>
        </w:rPr>
      </w:pPr>
      <w:r w:rsidRPr="00A14E37">
        <w:rPr>
          <w:rFonts w:eastAsia="Calibri"/>
          <w:sz w:val="22"/>
          <w:szCs w:val="22"/>
          <w:lang w:val="sr-Latn-ME"/>
        </w:rPr>
        <w:t>tel: +382 (0) 20 310 280</w:t>
      </w:r>
    </w:p>
    <w:p w14:paraId="7CBCE78F" w14:textId="77777777" w:rsidR="00B71BB8" w:rsidRPr="00A14E37" w:rsidRDefault="00B71BB8">
      <w:pPr>
        <w:pStyle w:val="NoSpacing"/>
        <w:jc w:val="both"/>
        <w:rPr>
          <w:rFonts w:eastAsia="Calibri"/>
          <w:sz w:val="22"/>
          <w:szCs w:val="22"/>
          <w:lang w:val="sr-Latn-ME"/>
        </w:rPr>
      </w:pPr>
      <w:r w:rsidRPr="00A14E37">
        <w:rPr>
          <w:rFonts w:eastAsia="Calibri"/>
          <w:sz w:val="22"/>
          <w:szCs w:val="22"/>
          <w:lang w:val="sr-Latn-ME"/>
        </w:rPr>
        <w:t>fax: +382 (0) 20 310 581</w:t>
      </w:r>
    </w:p>
    <w:p w14:paraId="760C50FB" w14:textId="77777777" w:rsidR="00B71BB8" w:rsidRPr="00A14E37" w:rsidRDefault="00BC024A">
      <w:pPr>
        <w:pStyle w:val="NoSpacing"/>
        <w:jc w:val="both"/>
        <w:rPr>
          <w:rFonts w:eastAsia="Calibri"/>
          <w:sz w:val="22"/>
          <w:szCs w:val="22"/>
          <w:lang w:val="sr-Latn-ME"/>
        </w:rPr>
      </w:pPr>
      <w:hyperlink r:id="rId8" w:history="1">
        <w:r w:rsidR="00B71BB8" w:rsidRPr="00A14E37">
          <w:rPr>
            <w:rStyle w:val="Hyperlink"/>
            <w:rFonts w:eastAsia="Calibri"/>
            <w:sz w:val="22"/>
            <w:szCs w:val="22"/>
            <w:lang w:val="sr-Latn-ME"/>
          </w:rPr>
          <w:t>www.cinmed.me</w:t>
        </w:r>
      </w:hyperlink>
    </w:p>
    <w:p w14:paraId="518BAD16" w14:textId="77777777" w:rsidR="00B71BB8" w:rsidRPr="00A14E37" w:rsidRDefault="00BC024A">
      <w:pPr>
        <w:pStyle w:val="NoSpacing"/>
        <w:jc w:val="both"/>
        <w:rPr>
          <w:rFonts w:eastAsia="Calibri"/>
          <w:color w:val="0000FF"/>
          <w:sz w:val="22"/>
          <w:szCs w:val="22"/>
          <w:u w:val="single"/>
          <w:lang w:val="sr-Latn-ME"/>
        </w:rPr>
      </w:pPr>
      <w:hyperlink r:id="rId9" w:history="1">
        <w:r w:rsidR="00B71BB8" w:rsidRPr="00A14E37">
          <w:rPr>
            <w:rStyle w:val="Hyperlink"/>
            <w:rFonts w:eastAsia="Calibri"/>
            <w:sz w:val="22"/>
            <w:szCs w:val="22"/>
            <w:lang w:val="sr-Latn-ME"/>
          </w:rPr>
          <w:t>nezeljenadejstva@cinmed.me</w:t>
        </w:r>
      </w:hyperlink>
    </w:p>
    <w:p w14:paraId="767C013A" w14:textId="77777777" w:rsidR="00B71BB8" w:rsidRPr="00A14E37" w:rsidRDefault="00B71BB8">
      <w:pPr>
        <w:pStyle w:val="NoSpacing"/>
        <w:jc w:val="both"/>
        <w:rPr>
          <w:rFonts w:eastAsia="Calibri"/>
          <w:sz w:val="22"/>
          <w:szCs w:val="22"/>
          <w:lang w:val="sr-Latn-ME"/>
        </w:rPr>
      </w:pPr>
      <w:r w:rsidRPr="00A14E37">
        <w:rPr>
          <w:rFonts w:eastAsia="Calibri"/>
          <w:sz w:val="22"/>
          <w:szCs w:val="22"/>
          <w:lang w:val="sr-Latn-ME"/>
        </w:rPr>
        <w:t>putem IS zdravstvene zaštite</w:t>
      </w:r>
    </w:p>
    <w:p w14:paraId="0E47FEEA" w14:textId="77777777" w:rsidR="00B71BB8" w:rsidRPr="00A14E37" w:rsidRDefault="00B71BB8">
      <w:pPr>
        <w:pStyle w:val="NoSpacing"/>
        <w:jc w:val="both"/>
        <w:rPr>
          <w:rFonts w:eastAsia="Calibri"/>
          <w:sz w:val="22"/>
          <w:szCs w:val="22"/>
          <w:lang w:val="sr-Latn-ME"/>
        </w:rPr>
      </w:pPr>
      <w:r w:rsidRPr="00A14E37">
        <w:rPr>
          <w:rFonts w:eastAsia="Calibri"/>
          <w:sz w:val="22"/>
          <w:szCs w:val="22"/>
          <w:lang w:val="sr-Latn-ME"/>
        </w:rPr>
        <w:t>QR kod za online prijavu sumnje na neželjeno dejstvo lijeka:</w:t>
      </w:r>
    </w:p>
    <w:p w14:paraId="7B0B1FC3" w14:textId="77777777" w:rsidR="00B71BB8" w:rsidRPr="00A14E37" w:rsidRDefault="00B71BB8">
      <w:pPr>
        <w:pStyle w:val="NoSpacing"/>
        <w:jc w:val="both"/>
        <w:rPr>
          <w:rFonts w:eastAsia="Calibri"/>
          <w:sz w:val="22"/>
          <w:szCs w:val="22"/>
          <w:lang w:val="sr-Latn-ME"/>
        </w:rPr>
      </w:pPr>
    </w:p>
    <w:p w14:paraId="74CE63FD" w14:textId="2AC0E4E7" w:rsidR="00B71BB8" w:rsidRPr="00A14E37" w:rsidRDefault="00264435" w:rsidP="002045DA">
      <w:pPr>
        <w:pStyle w:val="NoSpacing"/>
        <w:jc w:val="both"/>
        <w:rPr>
          <w:rFonts w:eastAsia="Calibri"/>
          <w:sz w:val="22"/>
          <w:szCs w:val="22"/>
          <w:lang w:val="sr-Latn-ME"/>
        </w:rPr>
      </w:pPr>
      <w:r w:rsidRPr="00A14E37">
        <w:rPr>
          <w:b/>
          <w:bCs/>
          <w:noProof/>
          <w:sz w:val="22"/>
          <w:szCs w:val="22"/>
        </w:rPr>
        <w:drawing>
          <wp:inline distT="0" distB="0" distL="0" distR="0" wp14:anchorId="757BCB00" wp14:editId="03082D2F">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4C73C97" w14:textId="77777777" w:rsidR="00836B35" w:rsidRPr="00A14E37" w:rsidRDefault="00836B35" w:rsidP="002045DA">
      <w:pPr>
        <w:tabs>
          <w:tab w:val="left" w:pos="540"/>
          <w:tab w:val="left" w:pos="569"/>
        </w:tabs>
        <w:jc w:val="both"/>
        <w:rPr>
          <w:b/>
          <w:bCs/>
          <w:sz w:val="22"/>
          <w:szCs w:val="22"/>
          <w:lang w:val="sr-Latn-ME"/>
        </w:rPr>
      </w:pPr>
    </w:p>
    <w:p w14:paraId="7A6C6004" w14:textId="77777777" w:rsidR="00CD6F02"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4.9. </w:t>
      </w:r>
      <w:r w:rsidR="00480FB1" w:rsidRPr="00A14E37">
        <w:rPr>
          <w:b/>
          <w:bCs/>
          <w:sz w:val="22"/>
          <w:szCs w:val="22"/>
          <w:lang w:val="sr-Latn-ME"/>
        </w:rPr>
        <w:tab/>
      </w:r>
      <w:r w:rsidRPr="00A14E37">
        <w:rPr>
          <w:b/>
          <w:bCs/>
          <w:sz w:val="22"/>
          <w:szCs w:val="22"/>
          <w:lang w:val="sr-Latn-ME"/>
        </w:rPr>
        <w:t>Predoziranje</w:t>
      </w:r>
      <w:r w:rsidR="002846DB" w:rsidRPr="00A14E37">
        <w:rPr>
          <w:b/>
          <w:bCs/>
          <w:sz w:val="22"/>
          <w:szCs w:val="22"/>
          <w:lang w:val="sr-Latn-ME"/>
        </w:rPr>
        <w:t xml:space="preserve"> </w:t>
      </w:r>
    </w:p>
    <w:p w14:paraId="2AAC80A0" w14:textId="77777777" w:rsidR="00CD6F02" w:rsidRPr="00A14E37" w:rsidRDefault="00CD6F02" w:rsidP="002045DA">
      <w:pPr>
        <w:tabs>
          <w:tab w:val="left" w:pos="540"/>
          <w:tab w:val="left" w:pos="569"/>
        </w:tabs>
        <w:jc w:val="both"/>
        <w:rPr>
          <w:b/>
          <w:bCs/>
          <w:sz w:val="22"/>
          <w:szCs w:val="22"/>
          <w:lang w:val="sr-Latn-ME"/>
        </w:rPr>
      </w:pPr>
    </w:p>
    <w:p w14:paraId="36CF47AD" w14:textId="0BA0E58D" w:rsidR="0063578C" w:rsidRPr="00A14E37" w:rsidRDefault="0063578C" w:rsidP="00B37A2A">
      <w:pPr>
        <w:pStyle w:val="Text"/>
        <w:spacing w:before="0"/>
        <w:rPr>
          <w:noProof/>
          <w:color w:val="000000"/>
          <w:sz w:val="22"/>
          <w:szCs w:val="22"/>
          <w:lang w:val="sr-Latn-ME"/>
        </w:rPr>
      </w:pPr>
      <w:r w:rsidRPr="00A14E37">
        <w:rPr>
          <w:noProof/>
          <w:color w:val="000000"/>
          <w:sz w:val="22"/>
          <w:szCs w:val="22"/>
          <w:lang w:val="sr-Latn-ME"/>
        </w:rPr>
        <w:t>Oralna vrijednost LD</w:t>
      </w:r>
      <w:r w:rsidRPr="00A14E37">
        <w:rPr>
          <w:noProof/>
          <w:color w:val="000000"/>
          <w:sz w:val="22"/>
          <w:szCs w:val="22"/>
          <w:vertAlign w:val="subscript"/>
          <w:lang w:val="sr-Latn-ME"/>
        </w:rPr>
        <w:t>50</w:t>
      </w:r>
      <w:r w:rsidRPr="00A14E37">
        <w:rPr>
          <w:noProof/>
          <w:color w:val="000000"/>
          <w:sz w:val="22"/>
          <w:szCs w:val="22"/>
          <w:lang w:val="sr-Latn-ME"/>
        </w:rPr>
        <w:t xml:space="preserve"> ciklosporina kod miševa iznosi 2329 mg/kg, kod pacova 1480 mg/kg i kod kunića &gt;1000 mg/kg. Intravenska vrijednost LD</w:t>
      </w:r>
      <w:r w:rsidRPr="00A14E37">
        <w:rPr>
          <w:noProof/>
          <w:color w:val="000000"/>
          <w:sz w:val="22"/>
          <w:szCs w:val="22"/>
          <w:vertAlign w:val="subscript"/>
          <w:lang w:val="sr-Latn-ME"/>
        </w:rPr>
        <w:t>50</w:t>
      </w:r>
      <w:r w:rsidRPr="00A14E37">
        <w:rPr>
          <w:noProof/>
          <w:color w:val="000000"/>
          <w:sz w:val="22"/>
          <w:szCs w:val="22"/>
          <w:lang w:val="sr-Latn-ME"/>
        </w:rPr>
        <w:t xml:space="preserve"> kod miševa iznosi 148 mg/kg, kod pacova 104 mg/kg i kod kunića 46 mg/kg.</w:t>
      </w:r>
    </w:p>
    <w:p w14:paraId="48FD919D" w14:textId="77777777" w:rsidR="0063578C" w:rsidRPr="00A14E37" w:rsidRDefault="0063578C" w:rsidP="00B37A2A">
      <w:pPr>
        <w:pStyle w:val="Text"/>
        <w:spacing w:before="0"/>
        <w:rPr>
          <w:b/>
          <w:noProof/>
          <w:color w:val="000000"/>
          <w:sz w:val="22"/>
          <w:szCs w:val="22"/>
          <w:lang w:val="sr-Latn-ME"/>
        </w:rPr>
      </w:pPr>
    </w:p>
    <w:p w14:paraId="42C7FEBD" w14:textId="77777777" w:rsidR="0063578C" w:rsidRPr="00A14E37" w:rsidRDefault="0063578C" w:rsidP="00B37A2A">
      <w:pPr>
        <w:pStyle w:val="Text"/>
        <w:spacing w:before="0"/>
        <w:rPr>
          <w:b/>
          <w:noProof/>
          <w:color w:val="000000"/>
          <w:sz w:val="22"/>
          <w:szCs w:val="22"/>
          <w:u w:val="single"/>
          <w:lang w:val="sr-Latn-ME"/>
        </w:rPr>
      </w:pPr>
      <w:r w:rsidRPr="00A14E37">
        <w:rPr>
          <w:b/>
          <w:noProof/>
          <w:color w:val="000000"/>
          <w:sz w:val="22"/>
          <w:szCs w:val="22"/>
          <w:u w:val="single"/>
          <w:lang w:val="sr-Latn-ME"/>
        </w:rPr>
        <w:t>Simptomi</w:t>
      </w:r>
    </w:p>
    <w:p w14:paraId="0D84762D" w14:textId="2D55377C" w:rsidR="0063578C" w:rsidRPr="00A14E37" w:rsidRDefault="0063578C" w:rsidP="006D0274">
      <w:pPr>
        <w:pStyle w:val="Text"/>
        <w:rPr>
          <w:noProof/>
          <w:color w:val="000000"/>
          <w:sz w:val="22"/>
          <w:szCs w:val="22"/>
          <w:lang w:val="sr-Latn-ME"/>
        </w:rPr>
      </w:pPr>
      <w:r w:rsidRPr="00A14E37">
        <w:rPr>
          <w:noProof/>
          <w:color w:val="000000"/>
          <w:sz w:val="22"/>
          <w:szCs w:val="22"/>
          <w:lang w:val="sr-Latn-ME"/>
        </w:rPr>
        <w:t>Ograničena su iskustva sa akutnim predoziranjem ciklosporinom. Oralna doza ciklosporina do 10 g (oko 150</w:t>
      </w:r>
      <w:r w:rsidR="000E6E8B" w:rsidRPr="00A14E37">
        <w:rPr>
          <w:noProof/>
          <w:color w:val="000000"/>
          <w:sz w:val="22"/>
          <w:szCs w:val="22"/>
          <w:lang w:val="sr-Latn-ME"/>
        </w:rPr>
        <w:t xml:space="preserve"> </w:t>
      </w:r>
      <w:r w:rsidRPr="00A14E37">
        <w:rPr>
          <w:noProof/>
          <w:color w:val="000000"/>
          <w:sz w:val="22"/>
          <w:szCs w:val="22"/>
          <w:lang w:val="sr-Latn-ME"/>
        </w:rPr>
        <w:t>mg/kg) je tolerisana sa relativno malim kliničkim posljedicama, kao što su povraćanje, pospanost, glavobolja, tahikardija, i kod nekih pacijenata, umjereno težak, reverzibilan poremećaj funkcije bubrega. Ipak, ozbiljni simptomi intoksikacije su prijavljeni kod slučajnog parenteralnog predoziranja ciklosporinom kod nedonoščadi.</w:t>
      </w:r>
    </w:p>
    <w:p w14:paraId="2DB643D6" w14:textId="77777777" w:rsidR="0063578C" w:rsidRPr="00A14E37" w:rsidRDefault="0063578C" w:rsidP="002045DA">
      <w:pPr>
        <w:pStyle w:val="Text"/>
        <w:spacing w:line="276" w:lineRule="auto"/>
        <w:rPr>
          <w:b/>
          <w:noProof/>
          <w:color w:val="000000"/>
          <w:sz w:val="22"/>
          <w:szCs w:val="22"/>
          <w:u w:val="single"/>
          <w:lang w:val="sr-Latn-ME"/>
        </w:rPr>
      </w:pPr>
      <w:r w:rsidRPr="00A14E37">
        <w:rPr>
          <w:b/>
          <w:noProof/>
          <w:color w:val="000000"/>
          <w:sz w:val="22"/>
          <w:szCs w:val="22"/>
          <w:u w:val="single"/>
          <w:lang w:val="sr-Latn-ME"/>
        </w:rPr>
        <w:t>Terapija</w:t>
      </w:r>
    </w:p>
    <w:p w14:paraId="44553804" w14:textId="55DA90BB" w:rsidR="00227BDB" w:rsidRPr="00A14E37" w:rsidRDefault="0063578C" w:rsidP="002045DA">
      <w:pPr>
        <w:tabs>
          <w:tab w:val="left" w:pos="540"/>
          <w:tab w:val="left" w:pos="569"/>
        </w:tabs>
        <w:jc w:val="both"/>
        <w:rPr>
          <w:noProof/>
          <w:sz w:val="22"/>
          <w:szCs w:val="22"/>
          <w:lang w:val="sr-Latn-ME"/>
        </w:rPr>
      </w:pPr>
      <w:r w:rsidRPr="00A14E37">
        <w:rPr>
          <w:noProof/>
          <w:color w:val="000000"/>
          <w:sz w:val="22"/>
          <w:szCs w:val="22"/>
          <w:lang w:val="sr-Latn-ME"/>
        </w:rPr>
        <w:t>U svim slučajevima predoziranja, mogu uslijediti opšte suportivne mjere i simptomatska terapija. Izazivanje povraćanja i ispiranje želuca mogu biti od koristi u prvih nekoliko sati posl</w:t>
      </w:r>
      <w:r w:rsidR="000E6E8B" w:rsidRPr="00A14E37">
        <w:rPr>
          <w:noProof/>
          <w:color w:val="000000"/>
          <w:sz w:val="22"/>
          <w:szCs w:val="22"/>
          <w:lang w:val="sr-Latn-ME"/>
        </w:rPr>
        <w:t>ij</w:t>
      </w:r>
      <w:r w:rsidRPr="00A14E37">
        <w:rPr>
          <w:noProof/>
          <w:color w:val="000000"/>
          <w:sz w:val="22"/>
          <w:szCs w:val="22"/>
          <w:lang w:val="sr-Latn-ME"/>
        </w:rPr>
        <w:t>e oralnog uzimanja</w:t>
      </w:r>
      <w:r w:rsidRPr="00A14E37">
        <w:rPr>
          <w:noProof/>
          <w:sz w:val="22"/>
          <w:szCs w:val="22"/>
          <w:lang w:val="sr-Latn-ME"/>
        </w:rPr>
        <w:t xml:space="preserve">. Ciklosporin se ne može </w:t>
      </w:r>
      <w:r w:rsidR="00FB6D65" w:rsidRPr="00A14E37">
        <w:rPr>
          <w:noProof/>
          <w:sz w:val="22"/>
          <w:szCs w:val="22"/>
          <w:lang w:val="sr-Latn-ME"/>
        </w:rPr>
        <w:t>ukloniti dijalizom</w:t>
      </w:r>
      <w:r w:rsidRPr="00A14E37">
        <w:rPr>
          <w:noProof/>
          <w:sz w:val="22"/>
          <w:szCs w:val="22"/>
          <w:lang w:val="sr-Latn-ME"/>
        </w:rPr>
        <w:t xml:space="preserve"> u nekoj većoj mjeri niti dobro ukloniti hemoperfuzijom aktivnim ugljem.</w:t>
      </w:r>
    </w:p>
    <w:p w14:paraId="1452D20A" w14:textId="04947803" w:rsidR="0063578C" w:rsidRPr="00A14E37" w:rsidRDefault="0063578C" w:rsidP="002045DA">
      <w:pPr>
        <w:tabs>
          <w:tab w:val="left" w:pos="540"/>
          <w:tab w:val="left" w:pos="569"/>
        </w:tabs>
        <w:jc w:val="both"/>
        <w:rPr>
          <w:b/>
          <w:bCs/>
          <w:sz w:val="22"/>
          <w:szCs w:val="22"/>
          <w:lang w:val="sr-Latn-ME"/>
        </w:rPr>
      </w:pPr>
    </w:p>
    <w:p w14:paraId="4ECCADC8" w14:textId="77777777" w:rsidR="00264435" w:rsidRPr="00A14E37" w:rsidRDefault="00264435" w:rsidP="002045DA">
      <w:pPr>
        <w:tabs>
          <w:tab w:val="left" w:pos="540"/>
          <w:tab w:val="left" w:pos="569"/>
        </w:tabs>
        <w:jc w:val="both"/>
        <w:rPr>
          <w:b/>
          <w:bCs/>
          <w:sz w:val="22"/>
          <w:szCs w:val="22"/>
          <w:lang w:val="sr-Latn-ME"/>
        </w:rPr>
      </w:pPr>
    </w:p>
    <w:p w14:paraId="48508247" w14:textId="77777777" w:rsidR="0072020E"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5. </w:t>
      </w:r>
      <w:r w:rsidR="00480FB1" w:rsidRPr="00A14E37">
        <w:rPr>
          <w:b/>
          <w:bCs/>
          <w:sz w:val="22"/>
          <w:szCs w:val="22"/>
          <w:lang w:val="sr-Latn-ME"/>
        </w:rPr>
        <w:tab/>
      </w:r>
      <w:r w:rsidRPr="00A14E37">
        <w:rPr>
          <w:b/>
          <w:bCs/>
          <w:sz w:val="22"/>
          <w:szCs w:val="22"/>
          <w:lang w:val="sr-Latn-ME"/>
        </w:rPr>
        <w:t>FARMAKOLOŠK</w:t>
      </w:r>
      <w:r w:rsidR="000D425A" w:rsidRPr="00A14E37">
        <w:rPr>
          <w:b/>
          <w:bCs/>
          <w:sz w:val="22"/>
          <w:szCs w:val="22"/>
          <w:lang w:val="sr-Latn-ME"/>
        </w:rPr>
        <w:t>I</w:t>
      </w:r>
      <w:r w:rsidRPr="00A14E37">
        <w:rPr>
          <w:b/>
          <w:bCs/>
          <w:sz w:val="22"/>
          <w:szCs w:val="22"/>
          <w:lang w:val="sr-Latn-ME"/>
        </w:rPr>
        <w:t xml:space="preserve"> PODACI</w:t>
      </w:r>
    </w:p>
    <w:p w14:paraId="53A2C3EB" w14:textId="77777777" w:rsidR="0072020E" w:rsidRPr="00A14E37" w:rsidRDefault="0072020E" w:rsidP="002045DA">
      <w:pPr>
        <w:tabs>
          <w:tab w:val="left" w:pos="540"/>
          <w:tab w:val="left" w:pos="569"/>
        </w:tabs>
        <w:jc w:val="both"/>
        <w:rPr>
          <w:b/>
          <w:bCs/>
          <w:sz w:val="22"/>
          <w:szCs w:val="22"/>
          <w:lang w:val="sr-Latn-ME"/>
        </w:rPr>
      </w:pPr>
    </w:p>
    <w:p w14:paraId="2642FE51" w14:textId="77777777" w:rsidR="0072020E"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5.1. </w:t>
      </w:r>
      <w:r w:rsidR="00480FB1" w:rsidRPr="00A14E37">
        <w:rPr>
          <w:b/>
          <w:bCs/>
          <w:sz w:val="22"/>
          <w:szCs w:val="22"/>
          <w:lang w:val="sr-Latn-ME"/>
        </w:rPr>
        <w:tab/>
      </w:r>
      <w:r w:rsidRPr="00A14E37">
        <w:rPr>
          <w:b/>
          <w:bCs/>
          <w:sz w:val="22"/>
          <w:szCs w:val="22"/>
          <w:lang w:val="sr-Latn-ME"/>
        </w:rPr>
        <w:t>Farmakodinamski podaci</w:t>
      </w:r>
      <w:r w:rsidR="003A7059" w:rsidRPr="00A14E37">
        <w:rPr>
          <w:b/>
          <w:bCs/>
          <w:sz w:val="22"/>
          <w:szCs w:val="22"/>
          <w:lang w:val="sr-Latn-ME"/>
        </w:rPr>
        <w:t xml:space="preserve"> </w:t>
      </w:r>
    </w:p>
    <w:p w14:paraId="73232B23" w14:textId="77777777" w:rsidR="00F45F77" w:rsidRPr="00A14E37" w:rsidRDefault="00F45F77" w:rsidP="002045DA">
      <w:pPr>
        <w:tabs>
          <w:tab w:val="left" w:pos="540"/>
          <w:tab w:val="left" w:pos="569"/>
        </w:tabs>
        <w:jc w:val="both"/>
        <w:rPr>
          <w:b/>
          <w:bCs/>
          <w:sz w:val="22"/>
          <w:szCs w:val="22"/>
          <w:lang w:val="sr-Latn-ME"/>
        </w:rPr>
      </w:pPr>
    </w:p>
    <w:p w14:paraId="273AC305" w14:textId="77777777" w:rsidR="0072020E" w:rsidRPr="00A14E37" w:rsidRDefault="0072020E" w:rsidP="002045DA">
      <w:pPr>
        <w:tabs>
          <w:tab w:val="left" w:pos="540"/>
          <w:tab w:val="left" w:pos="569"/>
        </w:tabs>
        <w:jc w:val="both"/>
        <w:rPr>
          <w:bCs/>
          <w:sz w:val="22"/>
          <w:szCs w:val="22"/>
          <w:lang w:val="sr-Latn-ME"/>
        </w:rPr>
      </w:pPr>
      <w:r w:rsidRPr="00A14E37">
        <w:rPr>
          <w:bCs/>
          <w:sz w:val="22"/>
          <w:szCs w:val="22"/>
          <w:lang w:val="sr-Latn-ME"/>
        </w:rPr>
        <w:t>Farmakoterapijska grupa:</w:t>
      </w:r>
      <w:r w:rsidR="0063578C" w:rsidRPr="00A14E37">
        <w:rPr>
          <w:bCs/>
          <w:sz w:val="22"/>
          <w:szCs w:val="22"/>
          <w:lang w:val="sr-Latn-ME"/>
        </w:rPr>
        <w:t xml:space="preserve"> </w:t>
      </w:r>
      <w:r w:rsidR="0063578C" w:rsidRPr="00A14E37">
        <w:rPr>
          <w:noProof/>
          <w:color w:val="000000"/>
          <w:sz w:val="22"/>
          <w:szCs w:val="22"/>
          <w:lang w:val="sr-Latn-ME"/>
        </w:rPr>
        <w:t>Imunosupresivi, inhibitori kalcineurina</w:t>
      </w:r>
    </w:p>
    <w:p w14:paraId="14586079" w14:textId="77777777" w:rsidR="0072020E" w:rsidRPr="00A14E37" w:rsidRDefault="0072020E" w:rsidP="002045DA">
      <w:pPr>
        <w:tabs>
          <w:tab w:val="left" w:pos="540"/>
          <w:tab w:val="left" w:pos="569"/>
        </w:tabs>
        <w:jc w:val="both"/>
        <w:rPr>
          <w:bCs/>
          <w:sz w:val="22"/>
          <w:szCs w:val="22"/>
          <w:lang w:val="sr-Latn-ME"/>
        </w:rPr>
      </w:pPr>
    </w:p>
    <w:p w14:paraId="1D79CAA4" w14:textId="77777777" w:rsidR="0072020E" w:rsidRPr="00A14E37" w:rsidRDefault="0072020E">
      <w:pPr>
        <w:tabs>
          <w:tab w:val="left" w:pos="540"/>
          <w:tab w:val="left" w:pos="569"/>
        </w:tabs>
        <w:jc w:val="both"/>
        <w:rPr>
          <w:bCs/>
          <w:sz w:val="22"/>
          <w:szCs w:val="22"/>
          <w:lang w:val="sr-Latn-ME"/>
        </w:rPr>
      </w:pPr>
      <w:r w:rsidRPr="00A14E37">
        <w:rPr>
          <w:bCs/>
          <w:sz w:val="22"/>
          <w:szCs w:val="22"/>
          <w:lang w:val="sr-Latn-ME"/>
        </w:rPr>
        <w:t>ATC kod:</w:t>
      </w:r>
      <w:r w:rsidR="0063578C" w:rsidRPr="00A14E37">
        <w:rPr>
          <w:bCs/>
          <w:sz w:val="22"/>
          <w:szCs w:val="22"/>
          <w:lang w:val="sr-Latn-ME"/>
        </w:rPr>
        <w:t xml:space="preserve"> </w:t>
      </w:r>
      <w:r w:rsidR="0063578C" w:rsidRPr="00A14E37">
        <w:rPr>
          <w:noProof/>
          <w:color w:val="000000"/>
          <w:sz w:val="22"/>
          <w:szCs w:val="22"/>
          <w:lang w:val="sr-Latn-ME"/>
        </w:rPr>
        <w:t>L04AD01</w:t>
      </w:r>
    </w:p>
    <w:p w14:paraId="645FB065" w14:textId="77777777" w:rsidR="002E37A5" w:rsidRPr="00A14E37" w:rsidRDefault="002E37A5">
      <w:pPr>
        <w:tabs>
          <w:tab w:val="left" w:pos="540"/>
          <w:tab w:val="left" w:pos="569"/>
        </w:tabs>
        <w:jc w:val="both"/>
        <w:rPr>
          <w:b/>
          <w:bCs/>
          <w:sz w:val="22"/>
          <w:szCs w:val="22"/>
          <w:lang w:val="sr-Latn-ME"/>
        </w:rPr>
      </w:pPr>
    </w:p>
    <w:p w14:paraId="45FF0315" w14:textId="77777777" w:rsidR="0063578C" w:rsidRPr="00A14E37" w:rsidRDefault="0063578C" w:rsidP="00F949C5">
      <w:pPr>
        <w:pStyle w:val="Text"/>
        <w:spacing w:before="0"/>
        <w:rPr>
          <w:noProof/>
          <w:color w:val="000000"/>
          <w:sz w:val="22"/>
          <w:szCs w:val="22"/>
          <w:lang w:val="sr-Latn-ME"/>
        </w:rPr>
      </w:pPr>
      <w:r w:rsidRPr="00A14E37">
        <w:rPr>
          <w:noProof/>
          <w:color w:val="000000"/>
          <w:sz w:val="22"/>
          <w:szCs w:val="22"/>
          <w:lang w:val="sr-Latn-ME"/>
        </w:rPr>
        <w:t>Ciklosporin (poznat i kao ciklosporin A) je ciklični polipeptid koji se sastoji od 11 aminokiselina. On predstavlja moćan imunosupresiv, koji kod životinja produžava preživljavanje alogenih transplantata kože, srca, bubrega, pankreasa, kostne srži, tankog crijeva ili pluća. Ispitivanja pokazuju da ciklosporin inhibira nastanak ćelijski posredovanih reakcija, uključujući i imunitet na nivou alografta, odloženu preosjetljivost kože, eksperimentalni alergijski encefalomijelitis, Freund-ov adjuvantni artritis, ‘graft-versus-host disease’ (GVHD), kao i proizvodnju antitijela koja zavisi od T-ćelija. Na ćelijskom nivou inhibira proizvodnju i oslobađanje limfokina uključujući i interleukin 2 (faktor rasta T-ćelija, TCGF). Ciklosporin izgleda blokira preostale limfocite u fazi G</w:t>
      </w:r>
      <w:r w:rsidRPr="00A14E37">
        <w:rPr>
          <w:noProof/>
          <w:color w:val="000000"/>
          <w:sz w:val="22"/>
          <w:szCs w:val="22"/>
          <w:vertAlign w:val="subscript"/>
          <w:lang w:val="sr-Latn-ME"/>
        </w:rPr>
        <w:t>0</w:t>
      </w:r>
      <w:r w:rsidRPr="00A14E37">
        <w:rPr>
          <w:noProof/>
          <w:color w:val="000000"/>
          <w:sz w:val="22"/>
          <w:szCs w:val="22"/>
          <w:lang w:val="sr-Latn-ME"/>
        </w:rPr>
        <w:t xml:space="preserve"> ili G</w:t>
      </w:r>
      <w:r w:rsidRPr="00A14E37">
        <w:rPr>
          <w:noProof/>
          <w:color w:val="000000"/>
          <w:sz w:val="22"/>
          <w:szCs w:val="22"/>
          <w:vertAlign w:val="subscript"/>
          <w:lang w:val="sr-Latn-ME"/>
        </w:rPr>
        <w:t>1</w:t>
      </w:r>
      <w:r w:rsidRPr="00A14E37">
        <w:rPr>
          <w:noProof/>
          <w:color w:val="000000"/>
          <w:sz w:val="22"/>
          <w:szCs w:val="22"/>
          <w:lang w:val="sr-Latn-ME"/>
        </w:rPr>
        <w:t xml:space="preserve"> ćelijskog ciklusa i aktiviranim T-ćelijama inhibira antigenom pokrenuto oslobađanje limfokina.</w:t>
      </w:r>
    </w:p>
    <w:p w14:paraId="63262826" w14:textId="3F17574B" w:rsidR="0063578C" w:rsidRPr="00A14E37" w:rsidRDefault="0063578C" w:rsidP="00B37A2A">
      <w:pPr>
        <w:pStyle w:val="Text"/>
        <w:rPr>
          <w:noProof/>
          <w:sz w:val="22"/>
          <w:szCs w:val="22"/>
          <w:lang w:val="sr-Latn-ME"/>
        </w:rPr>
      </w:pPr>
      <w:r w:rsidRPr="00A14E37">
        <w:rPr>
          <w:noProof/>
          <w:sz w:val="22"/>
          <w:szCs w:val="22"/>
          <w:lang w:val="sr-Latn-ME"/>
        </w:rPr>
        <w:t>Svi raspoloživi dokazi ukazuju da ciklosporin specifično i reverzibilno djeluje na limfocite. On za razliku od citostatika ne d</w:t>
      </w:r>
      <w:r w:rsidR="003D2691" w:rsidRPr="00A14E37">
        <w:rPr>
          <w:noProof/>
          <w:sz w:val="22"/>
          <w:szCs w:val="22"/>
          <w:lang w:val="sr-Latn-ME"/>
        </w:rPr>
        <w:t>j</w:t>
      </w:r>
      <w:r w:rsidRPr="00A14E37">
        <w:rPr>
          <w:noProof/>
          <w:sz w:val="22"/>
          <w:szCs w:val="22"/>
          <w:lang w:val="sr-Latn-ME"/>
        </w:rPr>
        <w:t>eluje negativno na hem</w:t>
      </w:r>
      <w:r w:rsidR="00925CB3" w:rsidRPr="00A14E37">
        <w:rPr>
          <w:noProof/>
          <w:sz w:val="22"/>
          <w:szCs w:val="22"/>
          <w:lang w:val="sr-Latn-ME"/>
        </w:rPr>
        <w:t>at</w:t>
      </w:r>
      <w:r w:rsidRPr="00A14E37">
        <w:rPr>
          <w:noProof/>
          <w:sz w:val="22"/>
          <w:szCs w:val="22"/>
          <w:lang w:val="sr-Latn-ME"/>
        </w:rPr>
        <w:t xml:space="preserve">opoezu i ne utiče na funkciju fagocitnih ćelija. </w:t>
      </w:r>
    </w:p>
    <w:p w14:paraId="49DF2CBF" w14:textId="7D9B7F79" w:rsidR="0063578C" w:rsidRPr="00A14E37" w:rsidRDefault="0063578C" w:rsidP="00F949C5">
      <w:pPr>
        <w:pStyle w:val="Text"/>
        <w:spacing w:before="0"/>
        <w:rPr>
          <w:noProof/>
          <w:color w:val="000000"/>
          <w:sz w:val="22"/>
          <w:szCs w:val="22"/>
          <w:lang w:val="sr-Latn-ME"/>
        </w:rPr>
      </w:pPr>
      <w:r w:rsidRPr="00A14E37">
        <w:rPr>
          <w:noProof/>
          <w:color w:val="000000"/>
          <w:sz w:val="22"/>
          <w:szCs w:val="22"/>
          <w:lang w:val="sr-Latn-ME"/>
        </w:rPr>
        <w:t xml:space="preserve">Uspješna transplantacija organa i kostne srži urađena je </w:t>
      </w:r>
      <w:r w:rsidR="00925CB3" w:rsidRPr="00A14E37">
        <w:rPr>
          <w:noProof/>
          <w:color w:val="000000"/>
          <w:sz w:val="22"/>
          <w:szCs w:val="22"/>
          <w:lang w:val="sr-Latn-ME"/>
        </w:rPr>
        <w:t xml:space="preserve">na </w:t>
      </w:r>
      <w:r w:rsidRPr="00A14E37">
        <w:rPr>
          <w:noProof/>
          <w:color w:val="000000"/>
          <w:sz w:val="22"/>
          <w:szCs w:val="22"/>
          <w:lang w:val="sr-Latn-ME"/>
        </w:rPr>
        <w:t xml:space="preserve">muškarcu koji je koristio </w:t>
      </w:r>
      <w:r w:rsidR="00925CB3" w:rsidRPr="00A14E37">
        <w:rPr>
          <w:noProof/>
          <w:color w:val="000000"/>
          <w:sz w:val="22"/>
          <w:szCs w:val="22"/>
          <w:lang w:val="sr-Latn-ME"/>
        </w:rPr>
        <w:t>ciklosporin</w:t>
      </w:r>
      <w:r w:rsidRPr="00A14E37">
        <w:rPr>
          <w:noProof/>
          <w:color w:val="000000"/>
          <w:sz w:val="22"/>
          <w:szCs w:val="22"/>
          <w:lang w:val="sr-Latn-ME"/>
        </w:rPr>
        <w:t xml:space="preserve"> radi profilakse i terapije odbacivanja organa i GVHD</w:t>
      </w:r>
      <w:r w:rsidRPr="00A14E37">
        <w:rPr>
          <w:noProof/>
          <w:sz w:val="22"/>
          <w:szCs w:val="22"/>
          <w:lang w:val="sr-Latn-ME"/>
        </w:rPr>
        <w:t>. Ciklosporin je uspešno primjenjivan kod  hepatitis C virus  (HCV)</w:t>
      </w:r>
      <w:r w:rsidR="00925CB3" w:rsidRPr="00A14E37">
        <w:rPr>
          <w:noProof/>
          <w:sz w:val="22"/>
          <w:szCs w:val="22"/>
          <w:lang w:val="sr-Latn-ME"/>
        </w:rPr>
        <w:t xml:space="preserve"> pozitivnih</w:t>
      </w:r>
      <w:r w:rsidRPr="00A14E37">
        <w:rPr>
          <w:noProof/>
          <w:sz w:val="22"/>
          <w:szCs w:val="22"/>
          <w:lang w:val="sr-Latn-ME"/>
        </w:rPr>
        <w:t xml:space="preserve"> i HCV negativnih primalaca transplantata jetre. Pozitivno dejstvo </w:t>
      </w:r>
      <w:r w:rsidR="00925CB3" w:rsidRPr="00A14E37">
        <w:rPr>
          <w:noProof/>
          <w:sz w:val="22"/>
          <w:szCs w:val="22"/>
          <w:lang w:val="sr-Latn-ME"/>
        </w:rPr>
        <w:t>ciklosporina</w:t>
      </w:r>
      <w:r w:rsidRPr="00A14E37">
        <w:rPr>
          <w:noProof/>
          <w:sz w:val="22"/>
          <w:szCs w:val="22"/>
          <w:lang w:val="sr-Latn-ME"/>
        </w:rPr>
        <w:t xml:space="preserve"> je dokazano i u raznim stanjima za koje se zna ili smatra da su autoimunog</w:t>
      </w:r>
      <w:r w:rsidRPr="00A14E37">
        <w:rPr>
          <w:noProof/>
          <w:color w:val="000000"/>
          <w:sz w:val="22"/>
          <w:szCs w:val="22"/>
          <w:lang w:val="sr-Latn-ME"/>
        </w:rPr>
        <w:t xml:space="preserve"> porijekla.</w:t>
      </w:r>
    </w:p>
    <w:p w14:paraId="0A55B6FD" w14:textId="77777777" w:rsidR="00264435" w:rsidRPr="00A14E37" w:rsidRDefault="00264435" w:rsidP="00F949C5">
      <w:pPr>
        <w:pStyle w:val="Text"/>
        <w:spacing w:before="0"/>
        <w:rPr>
          <w:noProof/>
          <w:color w:val="000000"/>
          <w:sz w:val="22"/>
          <w:szCs w:val="22"/>
          <w:lang w:val="sr-Latn-ME"/>
        </w:rPr>
      </w:pPr>
    </w:p>
    <w:p w14:paraId="11C4674B" w14:textId="77777777" w:rsidR="0063578C" w:rsidRPr="00A14E37" w:rsidRDefault="0063578C">
      <w:pPr>
        <w:tabs>
          <w:tab w:val="left" w:pos="540"/>
          <w:tab w:val="left" w:pos="569"/>
        </w:tabs>
        <w:jc w:val="both"/>
        <w:rPr>
          <w:sz w:val="22"/>
          <w:szCs w:val="22"/>
          <w:lang w:val="sr-Latn-ME"/>
        </w:rPr>
      </w:pPr>
      <w:r w:rsidRPr="00A14E37">
        <w:rPr>
          <w:sz w:val="22"/>
          <w:szCs w:val="22"/>
          <w:u w:val="single"/>
          <w:lang w:val="sr-Latn-ME"/>
        </w:rPr>
        <w:t>Pedijatrijska populacija</w:t>
      </w:r>
      <w:r w:rsidRPr="00A14E37">
        <w:rPr>
          <w:sz w:val="22"/>
          <w:szCs w:val="22"/>
          <w:lang w:val="sr-Latn-ME"/>
        </w:rPr>
        <w:t>: pokazalo se da je ciklosporin efikasan kod nefrotskog sindroma zavisnog od steroida.</w:t>
      </w:r>
    </w:p>
    <w:p w14:paraId="36BB5BCC" w14:textId="77777777" w:rsidR="0063578C" w:rsidRPr="00A14E37" w:rsidRDefault="0063578C">
      <w:pPr>
        <w:tabs>
          <w:tab w:val="left" w:pos="540"/>
          <w:tab w:val="left" w:pos="569"/>
        </w:tabs>
        <w:jc w:val="both"/>
        <w:rPr>
          <w:b/>
          <w:bCs/>
          <w:sz w:val="22"/>
          <w:szCs w:val="22"/>
          <w:lang w:val="sr-Latn-ME"/>
        </w:rPr>
      </w:pPr>
    </w:p>
    <w:p w14:paraId="4CBD79C0" w14:textId="77777777"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5.2. </w:t>
      </w:r>
      <w:r w:rsidR="00480FB1" w:rsidRPr="00A14E37">
        <w:rPr>
          <w:b/>
          <w:bCs/>
          <w:sz w:val="22"/>
          <w:szCs w:val="22"/>
          <w:lang w:val="sr-Latn-ME"/>
        </w:rPr>
        <w:tab/>
      </w:r>
      <w:r w:rsidRPr="00A14E37">
        <w:rPr>
          <w:b/>
          <w:bCs/>
          <w:sz w:val="22"/>
          <w:szCs w:val="22"/>
          <w:lang w:val="sr-Latn-ME"/>
        </w:rPr>
        <w:t>Farmakokinetički podaci</w:t>
      </w:r>
      <w:r w:rsidR="003A7059" w:rsidRPr="00A14E37">
        <w:rPr>
          <w:b/>
          <w:bCs/>
          <w:sz w:val="22"/>
          <w:szCs w:val="22"/>
          <w:lang w:val="sr-Latn-ME"/>
        </w:rPr>
        <w:t xml:space="preserve"> </w:t>
      </w:r>
    </w:p>
    <w:p w14:paraId="1BF49005" w14:textId="77777777" w:rsidR="0072020E" w:rsidRPr="00A14E37" w:rsidRDefault="0072020E">
      <w:pPr>
        <w:tabs>
          <w:tab w:val="left" w:pos="540"/>
          <w:tab w:val="left" w:pos="569"/>
        </w:tabs>
        <w:jc w:val="both"/>
        <w:rPr>
          <w:bCs/>
          <w:sz w:val="22"/>
          <w:szCs w:val="22"/>
          <w:lang w:val="sr-Latn-ME"/>
        </w:rPr>
      </w:pPr>
    </w:p>
    <w:p w14:paraId="1045DE6B" w14:textId="77777777" w:rsidR="0063578C" w:rsidRPr="00A14E37" w:rsidRDefault="0063578C" w:rsidP="00F949C5">
      <w:pPr>
        <w:pStyle w:val="Text"/>
        <w:spacing w:before="0"/>
        <w:rPr>
          <w:noProof/>
          <w:color w:val="000000"/>
          <w:sz w:val="22"/>
          <w:szCs w:val="22"/>
          <w:u w:val="single"/>
          <w:lang w:val="sr-Latn-ME"/>
        </w:rPr>
      </w:pPr>
      <w:r w:rsidRPr="00A14E37">
        <w:rPr>
          <w:noProof/>
          <w:color w:val="000000"/>
          <w:sz w:val="22"/>
          <w:szCs w:val="22"/>
          <w:u w:val="single"/>
          <w:lang w:val="sr-Latn-ME"/>
        </w:rPr>
        <w:t xml:space="preserve">Resorpcija </w:t>
      </w:r>
    </w:p>
    <w:p w14:paraId="6372771A" w14:textId="77777777" w:rsidR="0063578C" w:rsidRPr="00A14E37" w:rsidRDefault="0063578C">
      <w:pPr>
        <w:pStyle w:val="Default"/>
        <w:jc w:val="both"/>
        <w:rPr>
          <w:sz w:val="22"/>
          <w:szCs w:val="22"/>
          <w:lang w:val="sr-Latn-ME"/>
        </w:rPr>
      </w:pPr>
    </w:p>
    <w:p w14:paraId="394FFE2E" w14:textId="3918D6CF" w:rsidR="0063578C" w:rsidRPr="00A14E37" w:rsidRDefault="0063578C">
      <w:pPr>
        <w:pStyle w:val="Default"/>
        <w:jc w:val="both"/>
        <w:rPr>
          <w:sz w:val="22"/>
          <w:szCs w:val="22"/>
          <w:lang w:val="sr-Latn-ME"/>
        </w:rPr>
      </w:pPr>
      <w:r w:rsidRPr="00A14E37">
        <w:rPr>
          <w:sz w:val="22"/>
          <w:szCs w:val="22"/>
          <w:lang w:val="sr-Latn-ME"/>
        </w:rPr>
        <w:t>Nakon oralne primjene lijeka Sandimmun Neoral vršne koncentracije ciklosporina u krvi postižu se u roku od 1-2 sata. Apsolutna oralna bioraspoloživost ciklosporina nakon primjene lijeka Sandimmun Neoral iznosi 20 do 50%. Smanjenje od oko 13 odnosno 33% za PIK odnosno C</w:t>
      </w:r>
      <w:r w:rsidRPr="00A14E37">
        <w:rPr>
          <w:sz w:val="22"/>
          <w:szCs w:val="22"/>
          <w:vertAlign w:val="subscript"/>
          <w:lang w:val="sr-Latn-ME"/>
        </w:rPr>
        <w:t xml:space="preserve">max </w:t>
      </w:r>
      <w:r w:rsidRPr="00A14E37">
        <w:rPr>
          <w:sz w:val="22"/>
          <w:szCs w:val="22"/>
          <w:lang w:val="sr-Latn-ME"/>
        </w:rPr>
        <w:t xml:space="preserve">je uočeno kada se lijek Sandimmun Neoral primjenjivao uz obrok sa visokim </w:t>
      </w:r>
      <w:r w:rsidR="00925CB3" w:rsidRPr="00A14E37">
        <w:rPr>
          <w:sz w:val="22"/>
          <w:szCs w:val="22"/>
          <w:lang w:val="sr-Latn-ME"/>
        </w:rPr>
        <w:t>sadržajem</w:t>
      </w:r>
      <w:r w:rsidRPr="00A14E37">
        <w:rPr>
          <w:sz w:val="22"/>
          <w:szCs w:val="22"/>
          <w:lang w:val="sr-Latn-ME"/>
        </w:rPr>
        <w:t xml:space="preserve"> masnoća. Odnos između primijenjene doze i izloženosti (PIK) ciklosporinu je linearan u okviru terapijskog raspona doze. Varijabilnost među ispitanicima i kod pojedinačnih ispitanika za PIK i C</w:t>
      </w:r>
      <w:r w:rsidRPr="00A14E37">
        <w:rPr>
          <w:sz w:val="22"/>
          <w:szCs w:val="22"/>
          <w:vertAlign w:val="subscript"/>
          <w:lang w:val="sr-Latn-ME"/>
        </w:rPr>
        <w:t>max</w:t>
      </w:r>
      <w:r w:rsidRPr="00A14E37">
        <w:rPr>
          <w:sz w:val="22"/>
          <w:szCs w:val="22"/>
          <w:lang w:val="sr-Latn-ME"/>
        </w:rPr>
        <w:t xml:space="preserve"> iznosi otprilike 10-20%. Sandimmun Neoral </w:t>
      </w:r>
      <w:r w:rsidR="00E62BFC" w:rsidRPr="00A14E37">
        <w:rPr>
          <w:sz w:val="22"/>
          <w:szCs w:val="22"/>
          <w:lang w:val="sr-Latn-ME"/>
        </w:rPr>
        <w:t xml:space="preserve">oralni </w:t>
      </w:r>
      <w:r w:rsidRPr="00A14E37">
        <w:rPr>
          <w:sz w:val="22"/>
          <w:szCs w:val="22"/>
          <w:lang w:val="sr-Latn-ME"/>
        </w:rPr>
        <w:t xml:space="preserve">rastvor i meke želatinske kapsule su bioekvivalentni. </w:t>
      </w:r>
    </w:p>
    <w:p w14:paraId="51CB72E8" w14:textId="77777777" w:rsidR="00264435" w:rsidRPr="00A14E37" w:rsidRDefault="00264435">
      <w:pPr>
        <w:pStyle w:val="Default"/>
        <w:jc w:val="both"/>
        <w:rPr>
          <w:sz w:val="22"/>
          <w:szCs w:val="22"/>
          <w:lang w:val="sr-Latn-ME"/>
        </w:rPr>
      </w:pPr>
    </w:p>
    <w:p w14:paraId="4CD70D77" w14:textId="2CAEA04B" w:rsidR="000E6E8B" w:rsidRPr="00A14E37" w:rsidRDefault="0063578C" w:rsidP="00F949C5">
      <w:pPr>
        <w:pStyle w:val="Text"/>
        <w:spacing w:before="0"/>
        <w:rPr>
          <w:sz w:val="22"/>
          <w:szCs w:val="22"/>
          <w:lang w:val="sr-Latn-ME"/>
        </w:rPr>
      </w:pPr>
      <w:r w:rsidRPr="00A14E37">
        <w:rPr>
          <w:sz w:val="22"/>
          <w:szCs w:val="22"/>
          <w:lang w:val="sr-Latn-ME"/>
        </w:rPr>
        <w:t>Primjena lijeka Sandimmun Neoral ima za rezultat 59% viši C</w:t>
      </w:r>
      <w:r w:rsidRPr="00A14E37">
        <w:rPr>
          <w:sz w:val="22"/>
          <w:szCs w:val="22"/>
          <w:vertAlign w:val="subscript"/>
          <w:lang w:val="sr-Latn-ME"/>
        </w:rPr>
        <w:t>max</w:t>
      </w:r>
      <w:r w:rsidRPr="00A14E37">
        <w:rPr>
          <w:sz w:val="22"/>
          <w:szCs w:val="22"/>
          <w:lang w:val="sr-Latn-ME"/>
        </w:rPr>
        <w:t xml:space="preserve"> i otprilike 29% veću bioraspoloživost od lijeka Sandimmun. Raspoloživi podaci upućuju na to da nakon prebacivanja u odnosu 1:1 sa lijeka Sandimmun mekih želatinskih kapsula na lijek Sandimmun Neoral meke želatinske kapsule, najniže koncentracije u punoj krvi su uporedive i ostaju u okviru željenog terapijskog raspona. Primjena lijeka Sandimmun Neoral poboljšava linearnost doze kod izloženosti ciklosporinu (PIK</w:t>
      </w:r>
      <w:r w:rsidRPr="00A14E37">
        <w:rPr>
          <w:sz w:val="22"/>
          <w:szCs w:val="22"/>
          <w:vertAlign w:val="subscript"/>
          <w:lang w:val="sr-Latn-ME"/>
        </w:rPr>
        <w:t>B</w:t>
      </w:r>
      <w:r w:rsidRPr="00A14E37">
        <w:rPr>
          <w:sz w:val="22"/>
          <w:szCs w:val="22"/>
          <w:lang w:val="sr-Latn-ME"/>
        </w:rPr>
        <w:t xml:space="preserve">). Ona omogućava ravnomjerniju resorpciju i manji uticaj istovremeno uzete hrane ili dnevnog ritma </w:t>
      </w:r>
      <w:r w:rsidR="00345347" w:rsidRPr="00A14E37">
        <w:rPr>
          <w:sz w:val="22"/>
          <w:szCs w:val="22"/>
          <w:lang w:val="sr-Latn-ME"/>
        </w:rPr>
        <w:t xml:space="preserve">u odnosu </w:t>
      </w:r>
      <w:r w:rsidRPr="00A14E37">
        <w:rPr>
          <w:sz w:val="22"/>
          <w:szCs w:val="22"/>
          <w:lang w:val="sr-Latn-ME"/>
        </w:rPr>
        <w:t xml:space="preserve"> </w:t>
      </w:r>
      <w:r w:rsidR="003046CF" w:rsidRPr="00A14E37">
        <w:rPr>
          <w:sz w:val="22"/>
          <w:szCs w:val="22"/>
          <w:lang w:val="sr-Latn-ME"/>
        </w:rPr>
        <w:t xml:space="preserve">na </w:t>
      </w:r>
      <w:r w:rsidRPr="00A14E37">
        <w:rPr>
          <w:sz w:val="22"/>
          <w:szCs w:val="22"/>
          <w:lang w:val="sr-Latn-ME"/>
        </w:rPr>
        <w:t xml:space="preserve">lijek Sandimmun. </w:t>
      </w:r>
    </w:p>
    <w:p w14:paraId="717C818C" w14:textId="6AB35DA6" w:rsidR="00264435" w:rsidRPr="00A14E37" w:rsidRDefault="00264435" w:rsidP="00F949C5">
      <w:pPr>
        <w:pStyle w:val="Text"/>
        <w:spacing w:before="0"/>
        <w:rPr>
          <w:sz w:val="22"/>
          <w:szCs w:val="22"/>
          <w:lang w:val="sr-Latn-ME"/>
        </w:rPr>
      </w:pPr>
    </w:p>
    <w:p w14:paraId="712C7781" w14:textId="77777777" w:rsidR="0063578C" w:rsidRPr="00A14E37" w:rsidRDefault="0063578C" w:rsidP="00F949C5">
      <w:pPr>
        <w:rPr>
          <w:noProof/>
          <w:color w:val="000000"/>
          <w:sz w:val="22"/>
          <w:szCs w:val="22"/>
          <w:u w:val="single"/>
          <w:lang w:val="sr-Latn-ME"/>
        </w:rPr>
      </w:pPr>
      <w:r w:rsidRPr="00A14E37">
        <w:rPr>
          <w:noProof/>
          <w:color w:val="000000"/>
          <w:sz w:val="22"/>
          <w:szCs w:val="22"/>
          <w:u w:val="single"/>
          <w:lang w:val="sr-Latn-ME"/>
        </w:rPr>
        <w:t>Distribucija</w:t>
      </w:r>
    </w:p>
    <w:p w14:paraId="51F17192" w14:textId="027A1896" w:rsidR="0063578C" w:rsidRPr="00A14E37" w:rsidRDefault="0063578C" w:rsidP="00B37A2A">
      <w:pPr>
        <w:pStyle w:val="Text"/>
        <w:rPr>
          <w:noProof/>
          <w:color w:val="000000"/>
          <w:sz w:val="22"/>
          <w:szCs w:val="22"/>
          <w:lang w:val="sr-Latn-ME"/>
        </w:rPr>
      </w:pPr>
      <w:r w:rsidRPr="00A14E37">
        <w:rPr>
          <w:noProof/>
          <w:color w:val="000000"/>
          <w:sz w:val="22"/>
          <w:szCs w:val="22"/>
          <w:lang w:val="sr-Latn-ME"/>
        </w:rPr>
        <w:t>Ciklosporin se u velikoj mjeri distribuira van volumena</w:t>
      </w:r>
      <w:r w:rsidR="00345347" w:rsidRPr="00A14E37">
        <w:rPr>
          <w:noProof/>
          <w:color w:val="000000"/>
          <w:sz w:val="22"/>
          <w:szCs w:val="22"/>
          <w:lang w:val="sr-Latn-ME"/>
        </w:rPr>
        <w:t xml:space="preserve"> krvi</w:t>
      </w:r>
      <w:r w:rsidRPr="00A14E37">
        <w:rPr>
          <w:noProof/>
          <w:color w:val="000000"/>
          <w:sz w:val="22"/>
          <w:szCs w:val="22"/>
          <w:lang w:val="sr-Latn-ME"/>
        </w:rPr>
        <w:t>,</w:t>
      </w:r>
      <w:r w:rsidRPr="00A14E37">
        <w:rPr>
          <w:sz w:val="22"/>
          <w:szCs w:val="22"/>
          <w:lang w:val="sr-Latn-ME"/>
        </w:rPr>
        <w:t xml:space="preserve"> uz prosječan prividni volumen distribucije od 3,5 l/kg</w:t>
      </w:r>
      <w:r w:rsidRPr="00A14E37">
        <w:rPr>
          <w:noProof/>
          <w:color w:val="000000"/>
          <w:sz w:val="22"/>
          <w:szCs w:val="22"/>
          <w:lang w:val="sr-Latn-ME"/>
        </w:rPr>
        <w:t>. U krvi</w:t>
      </w:r>
      <w:r w:rsidR="00925CB3" w:rsidRPr="00A14E37">
        <w:rPr>
          <w:noProof/>
          <w:color w:val="000000"/>
          <w:sz w:val="22"/>
          <w:szCs w:val="22"/>
          <w:lang w:val="sr-Latn-ME"/>
        </w:rPr>
        <w:t>,</w:t>
      </w:r>
      <w:r w:rsidRPr="00A14E37">
        <w:rPr>
          <w:noProof/>
          <w:color w:val="000000"/>
          <w:sz w:val="22"/>
          <w:szCs w:val="22"/>
          <w:lang w:val="sr-Latn-ME"/>
        </w:rPr>
        <w:t xml:space="preserve"> 33-47% je prisutno u plazmi, 4-9% u limfocitima, 5-12% u granulocitima i 41-58% u eritrocitima. U plazmi se </w:t>
      </w:r>
      <w:r w:rsidR="00925CB3" w:rsidRPr="00A14E37">
        <w:rPr>
          <w:noProof/>
          <w:color w:val="000000"/>
          <w:sz w:val="22"/>
          <w:szCs w:val="22"/>
          <w:lang w:val="sr-Latn-ME"/>
        </w:rPr>
        <w:t>približno</w:t>
      </w:r>
      <w:r w:rsidRPr="00A14E37">
        <w:rPr>
          <w:noProof/>
          <w:color w:val="000000"/>
          <w:sz w:val="22"/>
          <w:szCs w:val="22"/>
          <w:lang w:val="sr-Latn-ME"/>
        </w:rPr>
        <w:t xml:space="preserve"> 90% vezuje za proteine, uglavnom lipoproteine.</w:t>
      </w:r>
    </w:p>
    <w:p w14:paraId="369EC27C" w14:textId="77777777" w:rsidR="0063578C" w:rsidRPr="00A14E37" w:rsidRDefault="0063578C" w:rsidP="002045DA">
      <w:pPr>
        <w:pStyle w:val="Text"/>
        <w:rPr>
          <w:noProof/>
          <w:color w:val="000000"/>
          <w:sz w:val="22"/>
          <w:szCs w:val="22"/>
          <w:u w:val="single"/>
          <w:lang w:val="sr-Latn-ME"/>
        </w:rPr>
      </w:pPr>
      <w:r w:rsidRPr="00A14E37">
        <w:rPr>
          <w:noProof/>
          <w:color w:val="000000"/>
          <w:sz w:val="22"/>
          <w:szCs w:val="22"/>
          <w:u w:val="single"/>
          <w:lang w:val="sr-Latn-ME"/>
        </w:rPr>
        <w:t>Biotransformacija</w:t>
      </w:r>
    </w:p>
    <w:p w14:paraId="0397DDBA" w14:textId="31C429F1" w:rsidR="0063578C" w:rsidRPr="00A14E37" w:rsidRDefault="0063578C" w:rsidP="00B37A2A">
      <w:pPr>
        <w:pStyle w:val="Text"/>
        <w:rPr>
          <w:noProof/>
          <w:color w:val="000000"/>
          <w:sz w:val="22"/>
          <w:szCs w:val="22"/>
          <w:lang w:val="sr-Latn-ME"/>
        </w:rPr>
      </w:pPr>
      <w:r w:rsidRPr="00A14E37">
        <w:rPr>
          <w:noProof/>
          <w:color w:val="000000"/>
          <w:sz w:val="22"/>
          <w:szCs w:val="22"/>
          <w:lang w:val="sr-Latn-ME"/>
        </w:rPr>
        <w:t xml:space="preserve">Ciklosporin se intenzivno biološki transformiše u </w:t>
      </w:r>
      <w:r w:rsidR="00345347" w:rsidRPr="00A14E37">
        <w:rPr>
          <w:noProof/>
          <w:color w:val="000000"/>
          <w:sz w:val="22"/>
          <w:szCs w:val="22"/>
          <w:lang w:val="sr-Latn-ME"/>
        </w:rPr>
        <w:t xml:space="preserve">do </w:t>
      </w:r>
      <w:r w:rsidR="00925CB3" w:rsidRPr="00A14E37">
        <w:rPr>
          <w:noProof/>
          <w:color w:val="000000"/>
          <w:sz w:val="22"/>
          <w:szCs w:val="22"/>
          <w:lang w:val="sr-Latn-ME"/>
        </w:rPr>
        <w:t>približno</w:t>
      </w:r>
      <w:r w:rsidRPr="00A14E37">
        <w:rPr>
          <w:noProof/>
          <w:color w:val="000000"/>
          <w:sz w:val="22"/>
          <w:szCs w:val="22"/>
          <w:lang w:val="sr-Latn-ME"/>
        </w:rPr>
        <w:t xml:space="preserve"> 15 metabolita. </w:t>
      </w:r>
      <w:r w:rsidRPr="00A14E37">
        <w:rPr>
          <w:sz w:val="22"/>
          <w:szCs w:val="22"/>
          <w:lang w:val="sr-Latn-ME"/>
        </w:rPr>
        <w:t>Metabolizam se uglavnom odvija u jetri putem cito</w:t>
      </w:r>
      <w:r w:rsidR="00151103" w:rsidRPr="00A14E37">
        <w:rPr>
          <w:sz w:val="22"/>
          <w:szCs w:val="22"/>
          <w:lang w:val="sr-Latn-ME"/>
        </w:rPr>
        <w:t>h</w:t>
      </w:r>
      <w:r w:rsidRPr="00A14E37">
        <w:rPr>
          <w:sz w:val="22"/>
          <w:szCs w:val="22"/>
          <w:lang w:val="sr-Latn-ME"/>
        </w:rPr>
        <w:t>roma P450 3A4 (CYP3A4), a glavni putevi metabolizma se sastoje od mono- i dihidroksilacije i N-demetilacije na raznim mjestima u molekulu. Svi dosad identifikovani metaboliti sadrže netaknutu peptidnu strukturu neizmenjenog lijeka, a neki posjeduju slabu imunosupresivnu aktivnost (do jedne desetine aktivnosti nepromijenjenog lijeka).</w:t>
      </w:r>
    </w:p>
    <w:p w14:paraId="7421D167" w14:textId="348CAA68" w:rsidR="0063578C" w:rsidRPr="00A14E37" w:rsidRDefault="0063578C" w:rsidP="00B37A2A">
      <w:pPr>
        <w:pStyle w:val="Text"/>
        <w:rPr>
          <w:noProof/>
          <w:color w:val="000000"/>
          <w:sz w:val="22"/>
          <w:szCs w:val="22"/>
          <w:u w:val="single"/>
          <w:lang w:val="sr-Latn-ME"/>
        </w:rPr>
      </w:pPr>
      <w:r w:rsidRPr="00A14E37">
        <w:rPr>
          <w:noProof/>
          <w:color w:val="000000"/>
          <w:sz w:val="22"/>
          <w:szCs w:val="22"/>
          <w:u w:val="single"/>
          <w:lang w:val="sr-Latn-ME"/>
        </w:rPr>
        <w:t xml:space="preserve">Eliminacija </w:t>
      </w:r>
    </w:p>
    <w:p w14:paraId="506B5C65" w14:textId="5460D0C3" w:rsidR="0063578C" w:rsidRPr="00A14E37" w:rsidRDefault="0063578C" w:rsidP="006D0274">
      <w:pPr>
        <w:pStyle w:val="Text"/>
        <w:rPr>
          <w:noProof/>
          <w:color w:val="000000"/>
          <w:sz w:val="22"/>
          <w:szCs w:val="22"/>
          <w:lang w:val="sr-Latn-ME"/>
        </w:rPr>
      </w:pPr>
      <w:r w:rsidRPr="00A14E37">
        <w:rPr>
          <w:noProof/>
          <w:color w:val="000000"/>
          <w:sz w:val="22"/>
          <w:szCs w:val="22"/>
          <w:lang w:val="sr-Latn-ME"/>
        </w:rPr>
        <w:lastRenderedPageBreak/>
        <w:t xml:space="preserve">Eliminacija se primarno vrši preko žuči, a samo 6% </w:t>
      </w:r>
      <w:r w:rsidR="00925CB3" w:rsidRPr="00A14E37">
        <w:rPr>
          <w:noProof/>
          <w:color w:val="000000"/>
          <w:sz w:val="22"/>
          <w:szCs w:val="22"/>
          <w:lang w:val="sr-Latn-ME"/>
        </w:rPr>
        <w:t xml:space="preserve">od </w:t>
      </w:r>
      <w:r w:rsidRPr="00A14E37">
        <w:rPr>
          <w:noProof/>
          <w:color w:val="000000"/>
          <w:sz w:val="22"/>
          <w:szCs w:val="22"/>
          <w:lang w:val="sr-Latn-ME"/>
        </w:rPr>
        <w:t xml:space="preserve">doze za oralnu primjenu se izlučuje urinom; samo 0,1% se izlučuje urinom kao neizmijenjen </w:t>
      </w:r>
      <w:r w:rsidR="003734EB" w:rsidRPr="00A14E37">
        <w:rPr>
          <w:noProof/>
          <w:color w:val="000000"/>
          <w:sz w:val="22"/>
          <w:szCs w:val="22"/>
          <w:lang w:val="sr-Latn-ME"/>
        </w:rPr>
        <w:t xml:space="preserve">izvorni </w:t>
      </w:r>
      <w:r w:rsidRPr="00A14E37">
        <w:rPr>
          <w:noProof/>
          <w:color w:val="000000"/>
          <w:sz w:val="22"/>
          <w:szCs w:val="22"/>
          <w:lang w:val="sr-Latn-ME"/>
        </w:rPr>
        <w:t>lijek.</w:t>
      </w:r>
    </w:p>
    <w:p w14:paraId="41C471D2" w14:textId="2E3B0661" w:rsidR="0063578C" w:rsidRPr="00A14E37" w:rsidRDefault="0063578C" w:rsidP="000E6E8B">
      <w:pPr>
        <w:pStyle w:val="Text"/>
        <w:rPr>
          <w:noProof/>
          <w:color w:val="000000"/>
          <w:sz w:val="22"/>
          <w:szCs w:val="22"/>
          <w:lang w:val="sr-Latn-ME"/>
        </w:rPr>
      </w:pPr>
      <w:r w:rsidRPr="00A14E37">
        <w:rPr>
          <w:noProof/>
          <w:color w:val="000000"/>
          <w:sz w:val="22"/>
          <w:szCs w:val="22"/>
          <w:lang w:val="sr-Latn-ME"/>
        </w:rPr>
        <w:t xml:space="preserve">Postoji velika varijabilnost podataka o terminalnom poluvremenu eliminacije ciklosporina u zavisnosti od primijenjenog testa i od ciljne populacije. Terminalno poluvrijeme eliminacije je bilo u rasponu od 6,3 sata kod zdravih </w:t>
      </w:r>
      <w:r w:rsidR="006D6FB2" w:rsidRPr="00A14E37">
        <w:rPr>
          <w:noProof/>
          <w:color w:val="000000"/>
          <w:sz w:val="22"/>
          <w:szCs w:val="22"/>
          <w:lang w:val="sr-Latn-ME"/>
        </w:rPr>
        <w:t>ispitanika</w:t>
      </w:r>
      <w:r w:rsidRPr="00A14E37">
        <w:rPr>
          <w:noProof/>
          <w:color w:val="000000"/>
          <w:sz w:val="22"/>
          <w:szCs w:val="22"/>
          <w:lang w:val="sr-Latn-ME"/>
        </w:rPr>
        <w:t xml:space="preserve"> do 20,4 sata kod pacijenata sa teškim oboljenjem jetre (vidjeti </w:t>
      </w:r>
      <w:r w:rsidR="00C37D5C" w:rsidRPr="00A14E37">
        <w:rPr>
          <w:noProof/>
          <w:color w:val="000000"/>
          <w:sz w:val="22"/>
          <w:szCs w:val="22"/>
          <w:lang w:val="sr-Latn-ME"/>
        </w:rPr>
        <w:t>djelove</w:t>
      </w:r>
      <w:r w:rsidRPr="00A14E37">
        <w:rPr>
          <w:noProof/>
          <w:color w:val="000000"/>
          <w:sz w:val="22"/>
          <w:szCs w:val="22"/>
          <w:lang w:val="sr-Latn-ME"/>
        </w:rPr>
        <w:t xml:space="preserve"> 4.2 i 4.4).</w:t>
      </w:r>
      <w:r w:rsidRPr="00A14E37">
        <w:rPr>
          <w:sz w:val="22"/>
          <w:szCs w:val="22"/>
          <w:lang w:val="sr-Latn-ME"/>
        </w:rPr>
        <w:t xml:space="preserve"> Poluvrijeme </w:t>
      </w:r>
      <w:r w:rsidR="006D6FB2" w:rsidRPr="00A14E37">
        <w:rPr>
          <w:sz w:val="22"/>
          <w:szCs w:val="22"/>
          <w:lang w:val="sr-Latn-ME"/>
        </w:rPr>
        <w:t xml:space="preserve">eliminacije </w:t>
      </w:r>
      <w:r w:rsidRPr="00A14E37">
        <w:rPr>
          <w:sz w:val="22"/>
          <w:szCs w:val="22"/>
          <w:lang w:val="sr-Latn-ME"/>
        </w:rPr>
        <w:t>kod pacijenata sa transplantatom bubrega je bi</w:t>
      </w:r>
      <w:r w:rsidR="006D6FB2" w:rsidRPr="00A14E37">
        <w:rPr>
          <w:sz w:val="22"/>
          <w:szCs w:val="22"/>
          <w:lang w:val="sr-Latn-ME"/>
        </w:rPr>
        <w:t>l</w:t>
      </w:r>
      <w:r w:rsidRPr="00A14E37">
        <w:rPr>
          <w:sz w:val="22"/>
          <w:szCs w:val="22"/>
          <w:lang w:val="sr-Latn-ME"/>
        </w:rPr>
        <w:t>o otprilike 11 sati, sa rasponom između 4 i 25 sati</w:t>
      </w:r>
      <w:r w:rsidRPr="00A14E37">
        <w:rPr>
          <w:noProof/>
          <w:color w:val="000000"/>
          <w:sz w:val="22"/>
          <w:szCs w:val="22"/>
          <w:lang w:val="sr-Latn-ME"/>
        </w:rPr>
        <w:t>.</w:t>
      </w:r>
    </w:p>
    <w:p w14:paraId="284F6B0B" w14:textId="77777777" w:rsidR="0063578C" w:rsidRPr="00A14E37" w:rsidRDefault="0063578C">
      <w:pPr>
        <w:pStyle w:val="Default"/>
        <w:jc w:val="both"/>
        <w:rPr>
          <w:sz w:val="22"/>
          <w:szCs w:val="22"/>
          <w:lang w:val="sr-Latn-ME"/>
        </w:rPr>
      </w:pPr>
    </w:p>
    <w:p w14:paraId="09CA521A" w14:textId="77777777" w:rsidR="0063578C" w:rsidRPr="00A14E37" w:rsidRDefault="0063578C">
      <w:pPr>
        <w:pStyle w:val="Default"/>
        <w:jc w:val="both"/>
        <w:rPr>
          <w:sz w:val="22"/>
          <w:szCs w:val="22"/>
          <w:u w:val="single"/>
          <w:lang w:val="sr-Latn-ME"/>
        </w:rPr>
      </w:pPr>
      <w:r w:rsidRPr="00A14E37">
        <w:rPr>
          <w:sz w:val="22"/>
          <w:szCs w:val="22"/>
          <w:u w:val="single"/>
          <w:lang w:val="sr-Latn-ME"/>
        </w:rPr>
        <w:t xml:space="preserve">Posebne populacije </w:t>
      </w:r>
    </w:p>
    <w:p w14:paraId="31BC5F67" w14:textId="77777777" w:rsidR="0063578C" w:rsidRPr="00A14E37" w:rsidRDefault="0063578C">
      <w:pPr>
        <w:pStyle w:val="Default"/>
        <w:jc w:val="both"/>
        <w:rPr>
          <w:i/>
          <w:iCs/>
          <w:sz w:val="22"/>
          <w:szCs w:val="22"/>
          <w:lang w:val="sr-Latn-ME"/>
        </w:rPr>
      </w:pPr>
    </w:p>
    <w:p w14:paraId="22A4AF7D" w14:textId="3E968EA6" w:rsidR="0063578C" w:rsidRPr="00A14E37" w:rsidRDefault="0063578C">
      <w:pPr>
        <w:pStyle w:val="Default"/>
        <w:jc w:val="both"/>
        <w:rPr>
          <w:sz w:val="22"/>
          <w:szCs w:val="22"/>
          <w:lang w:val="sr-Latn-ME"/>
        </w:rPr>
      </w:pPr>
      <w:r w:rsidRPr="00A14E37">
        <w:rPr>
          <w:i/>
          <w:iCs/>
          <w:sz w:val="22"/>
          <w:szCs w:val="22"/>
          <w:lang w:val="sr-Latn-ME"/>
        </w:rPr>
        <w:t xml:space="preserve">Pacijenti sa oštećenjem </w:t>
      </w:r>
      <w:r w:rsidR="003734EB" w:rsidRPr="00A14E37">
        <w:rPr>
          <w:i/>
          <w:iCs/>
          <w:sz w:val="22"/>
          <w:szCs w:val="22"/>
          <w:lang w:val="sr-Latn-ME"/>
        </w:rPr>
        <w:t xml:space="preserve">funkcije </w:t>
      </w:r>
      <w:r w:rsidRPr="00A14E37">
        <w:rPr>
          <w:i/>
          <w:iCs/>
          <w:sz w:val="22"/>
          <w:szCs w:val="22"/>
          <w:lang w:val="sr-Latn-ME"/>
        </w:rPr>
        <w:t xml:space="preserve">bubrega </w:t>
      </w:r>
    </w:p>
    <w:p w14:paraId="22ED0350" w14:textId="77777777" w:rsidR="0063578C" w:rsidRPr="00A14E37" w:rsidRDefault="0063578C">
      <w:pPr>
        <w:pStyle w:val="Default"/>
        <w:jc w:val="both"/>
        <w:rPr>
          <w:sz w:val="22"/>
          <w:szCs w:val="22"/>
          <w:lang w:val="sr-Latn-ME"/>
        </w:rPr>
      </w:pPr>
      <w:r w:rsidRPr="00A14E37">
        <w:rPr>
          <w:sz w:val="22"/>
          <w:szCs w:val="22"/>
          <w:lang w:val="sr-Latn-ME"/>
        </w:rPr>
        <w:t xml:space="preserve">U ispitivanju sprovedenom kod pacijenata sa terminalnom insuficijencijom bubrega sistemski klirens iznosio je otprilike dvije trećine srednjeg sistemskog klirensa kod pacijenata sa bubrezima normalne funkcije. Manje od 1% primjenjene doze uklanja se dijalizom. </w:t>
      </w:r>
    </w:p>
    <w:p w14:paraId="79A4D0AD" w14:textId="77777777" w:rsidR="0063578C" w:rsidRPr="00A14E37" w:rsidRDefault="0063578C">
      <w:pPr>
        <w:pStyle w:val="Default"/>
        <w:jc w:val="both"/>
        <w:rPr>
          <w:sz w:val="22"/>
          <w:szCs w:val="22"/>
          <w:lang w:val="sr-Latn-ME"/>
        </w:rPr>
      </w:pPr>
    </w:p>
    <w:p w14:paraId="42E67B07" w14:textId="654B7CD6" w:rsidR="0063578C" w:rsidRPr="00A14E37" w:rsidRDefault="0063578C">
      <w:pPr>
        <w:pStyle w:val="Default"/>
        <w:jc w:val="both"/>
        <w:rPr>
          <w:sz w:val="22"/>
          <w:szCs w:val="22"/>
          <w:lang w:val="sr-Latn-ME"/>
        </w:rPr>
      </w:pPr>
      <w:r w:rsidRPr="00A14E37">
        <w:rPr>
          <w:i/>
          <w:iCs/>
          <w:sz w:val="22"/>
          <w:szCs w:val="22"/>
          <w:lang w:val="sr-Latn-ME"/>
        </w:rPr>
        <w:t>Pacijenti sa oštećenjem</w:t>
      </w:r>
      <w:r w:rsidR="003734EB" w:rsidRPr="00A14E37">
        <w:rPr>
          <w:i/>
          <w:iCs/>
          <w:sz w:val="22"/>
          <w:szCs w:val="22"/>
          <w:lang w:val="sr-Latn-ME"/>
        </w:rPr>
        <w:t xml:space="preserve"> funkcije</w:t>
      </w:r>
      <w:r w:rsidRPr="00A14E37">
        <w:rPr>
          <w:i/>
          <w:iCs/>
          <w:sz w:val="22"/>
          <w:szCs w:val="22"/>
          <w:lang w:val="sr-Latn-ME"/>
        </w:rPr>
        <w:t xml:space="preserve"> jetre </w:t>
      </w:r>
    </w:p>
    <w:p w14:paraId="1F0A90E3" w14:textId="77777777" w:rsidR="0063578C" w:rsidRPr="00A14E37" w:rsidRDefault="0063578C">
      <w:pPr>
        <w:pStyle w:val="Text"/>
        <w:rPr>
          <w:sz w:val="22"/>
          <w:szCs w:val="22"/>
          <w:lang w:val="sr-Latn-ME"/>
        </w:rPr>
      </w:pPr>
      <w:r w:rsidRPr="00A14E37">
        <w:rPr>
          <w:sz w:val="22"/>
          <w:szCs w:val="22"/>
          <w:lang w:val="sr-Latn-ME"/>
        </w:rPr>
        <w:t>Kod pacijenata sa oštećenjem jetre može se uočiti povećanje kod izloženosti ciklosporinu od otprilike 2 do 3 puta. U ispitivanju sprovedenom kod pacijenata sa teškom bolešću jetre sa cirozom dokazanom biopsijom, terminalno poluvrijeme je bilo 20,4 sati (raspon između 10,8 i 48,0 sati) u poređenju sa 7,4 do 11,0 sati kod zdravih ispitanika.</w:t>
      </w:r>
    </w:p>
    <w:p w14:paraId="73652A08" w14:textId="77777777" w:rsidR="0063578C" w:rsidRPr="00A14E37" w:rsidRDefault="0063578C" w:rsidP="002045DA">
      <w:pPr>
        <w:pStyle w:val="Text"/>
        <w:rPr>
          <w:sz w:val="22"/>
          <w:szCs w:val="22"/>
          <w:lang w:val="sr-Latn-ME"/>
        </w:rPr>
      </w:pPr>
    </w:p>
    <w:p w14:paraId="0B0A5F62" w14:textId="77777777" w:rsidR="0063578C" w:rsidRPr="00A14E37" w:rsidRDefault="0063578C" w:rsidP="00B37A2A">
      <w:pPr>
        <w:pStyle w:val="Default"/>
        <w:jc w:val="both"/>
        <w:rPr>
          <w:sz w:val="22"/>
          <w:szCs w:val="22"/>
          <w:u w:val="single"/>
          <w:lang w:val="sr-Latn-ME"/>
        </w:rPr>
      </w:pPr>
      <w:r w:rsidRPr="00A14E37">
        <w:rPr>
          <w:sz w:val="22"/>
          <w:szCs w:val="22"/>
          <w:u w:val="single"/>
          <w:lang w:val="sr-Latn-ME"/>
        </w:rPr>
        <w:t xml:space="preserve">Pedijatrijska populacija </w:t>
      </w:r>
    </w:p>
    <w:p w14:paraId="27F9EA6D" w14:textId="77777777" w:rsidR="0063578C" w:rsidRPr="00A14E37" w:rsidRDefault="0063578C" w:rsidP="00B37A2A">
      <w:pPr>
        <w:pStyle w:val="Default"/>
        <w:jc w:val="both"/>
        <w:rPr>
          <w:sz w:val="22"/>
          <w:szCs w:val="22"/>
          <w:lang w:val="sr-Latn-ME"/>
        </w:rPr>
      </w:pPr>
    </w:p>
    <w:p w14:paraId="39A31770" w14:textId="0B7C41E2" w:rsidR="0063578C" w:rsidRPr="00A14E37" w:rsidRDefault="0063578C" w:rsidP="00A14E37">
      <w:pPr>
        <w:pStyle w:val="Default"/>
        <w:jc w:val="both"/>
        <w:rPr>
          <w:color w:val="auto"/>
          <w:sz w:val="22"/>
          <w:szCs w:val="22"/>
          <w:lang w:val="sr-Latn-ME"/>
        </w:rPr>
      </w:pPr>
      <w:r w:rsidRPr="00A14E37">
        <w:rPr>
          <w:sz w:val="22"/>
          <w:szCs w:val="22"/>
          <w:lang w:val="sr-Latn-ME"/>
        </w:rPr>
        <w:t xml:space="preserve">Farmakokinetički podaci od pedijatrijskih pacijenata koji su primali lijek Sandimmun Neoral ili lijek Sandimmun su veoma ograničeni. Kod 15 pacijenata sa transplantiranim bubregom starosti od 3-16 godina klirens ciklosporina iz pune krvi nakon intravenske primjene lijeka Sandimmun je bio 10,6±3,7 ml/min/kg (test: </w:t>
      </w:r>
      <w:r w:rsidRPr="00A14E37">
        <w:rPr>
          <w:color w:val="auto"/>
          <w:sz w:val="22"/>
          <w:szCs w:val="22"/>
          <w:lang w:val="sr-Latn-ME"/>
        </w:rPr>
        <w:t>Cyclo-trac specifična RIA). U ispitivanju 7 pacijenata sa transplantiranim bubregom starosti od 2-16 godina, klirens ciklosporina je bio u rasponu od 9,8 do</w:t>
      </w:r>
      <w:r w:rsidR="00D62D62" w:rsidRPr="00A14E37">
        <w:rPr>
          <w:color w:val="auto"/>
          <w:sz w:val="22"/>
          <w:szCs w:val="22"/>
          <w:lang w:val="sr-Latn-ME"/>
        </w:rPr>
        <w:t xml:space="preserve"> </w:t>
      </w:r>
      <w:r w:rsidRPr="00A14E37">
        <w:rPr>
          <w:color w:val="auto"/>
          <w:sz w:val="22"/>
          <w:szCs w:val="22"/>
          <w:lang w:val="sr-Latn-ME"/>
        </w:rPr>
        <w:t>15,5 ml/min/kg. Kod 9 pacijenata sa transplantiranom jetrom starosti od 0,65-6 godina, klirens je bio 9,3±5,4 ml/min/kg (test: HPLC). U poređenju sa odraslom populacijom</w:t>
      </w:r>
      <w:r w:rsidR="00A56D48" w:rsidRPr="00A14E37">
        <w:rPr>
          <w:color w:val="auto"/>
          <w:sz w:val="22"/>
          <w:szCs w:val="22"/>
          <w:lang w:val="sr-Latn-ME"/>
        </w:rPr>
        <w:t xml:space="preserve"> sa transplantatima</w:t>
      </w:r>
      <w:r w:rsidRPr="00A14E37">
        <w:rPr>
          <w:color w:val="auto"/>
          <w:sz w:val="22"/>
          <w:szCs w:val="22"/>
          <w:lang w:val="sr-Latn-ME"/>
        </w:rPr>
        <w:t xml:space="preserve">, razlike u bioraspoloživosti između lijeka Sandimmun Neoral i lijeka Sandimmun </w:t>
      </w:r>
      <w:r w:rsidR="00A56D48" w:rsidRPr="00A14E37">
        <w:rPr>
          <w:color w:val="auto"/>
          <w:sz w:val="22"/>
          <w:szCs w:val="22"/>
          <w:lang w:val="sr-Latn-ME"/>
        </w:rPr>
        <w:t>kod d</w:t>
      </w:r>
      <w:r w:rsidR="003C256E" w:rsidRPr="00A14E37">
        <w:rPr>
          <w:color w:val="auto"/>
          <w:sz w:val="22"/>
          <w:szCs w:val="22"/>
          <w:lang w:val="sr-Latn-ME"/>
        </w:rPr>
        <w:t>j</w:t>
      </w:r>
      <w:r w:rsidR="00A56D48" w:rsidRPr="00A14E37">
        <w:rPr>
          <w:color w:val="auto"/>
          <w:sz w:val="22"/>
          <w:szCs w:val="22"/>
          <w:lang w:val="sr-Latn-ME"/>
        </w:rPr>
        <w:t>ece</w:t>
      </w:r>
      <w:r w:rsidRPr="00A14E37">
        <w:rPr>
          <w:color w:val="auto"/>
          <w:sz w:val="22"/>
          <w:szCs w:val="22"/>
          <w:lang w:val="sr-Latn-ME"/>
        </w:rPr>
        <w:t xml:space="preserve"> su uporedive sa onima uočenim kod odraslih osoba.</w:t>
      </w:r>
    </w:p>
    <w:p w14:paraId="40C6F43C" w14:textId="77777777" w:rsidR="0063578C" w:rsidRPr="00A14E37" w:rsidRDefault="0063578C" w:rsidP="00A14E37">
      <w:pPr>
        <w:tabs>
          <w:tab w:val="left" w:pos="540"/>
          <w:tab w:val="left" w:pos="569"/>
        </w:tabs>
        <w:jc w:val="both"/>
        <w:rPr>
          <w:bCs/>
          <w:sz w:val="22"/>
          <w:szCs w:val="22"/>
          <w:lang w:val="sr-Latn-ME"/>
        </w:rPr>
      </w:pPr>
    </w:p>
    <w:p w14:paraId="2B9485C1" w14:textId="77777777" w:rsidR="0072020E" w:rsidRPr="00A14E37" w:rsidRDefault="0072020E" w:rsidP="00A14E37">
      <w:pPr>
        <w:tabs>
          <w:tab w:val="left" w:pos="540"/>
          <w:tab w:val="left" w:pos="569"/>
        </w:tabs>
        <w:jc w:val="both"/>
        <w:rPr>
          <w:b/>
          <w:bCs/>
          <w:sz w:val="22"/>
          <w:szCs w:val="22"/>
          <w:lang w:val="sr-Latn-ME"/>
        </w:rPr>
      </w:pPr>
      <w:r w:rsidRPr="00A14E37">
        <w:rPr>
          <w:b/>
          <w:bCs/>
          <w:sz w:val="22"/>
          <w:szCs w:val="22"/>
          <w:lang w:val="sr-Latn-ME"/>
        </w:rPr>
        <w:t xml:space="preserve">5.3. </w:t>
      </w:r>
      <w:r w:rsidR="00480FB1" w:rsidRPr="00A14E37">
        <w:rPr>
          <w:b/>
          <w:bCs/>
          <w:sz w:val="22"/>
          <w:szCs w:val="22"/>
          <w:lang w:val="sr-Latn-ME"/>
        </w:rPr>
        <w:tab/>
      </w:r>
      <w:r w:rsidRPr="00A14E37">
        <w:rPr>
          <w:b/>
          <w:bCs/>
          <w:sz w:val="22"/>
          <w:szCs w:val="22"/>
          <w:lang w:val="sr-Latn-ME"/>
        </w:rPr>
        <w:t xml:space="preserve">Pretklinički podaci o bezbjednosti </w:t>
      </w:r>
    </w:p>
    <w:p w14:paraId="7BDBFC6D" w14:textId="77777777" w:rsidR="00836B35" w:rsidRPr="00A14E37" w:rsidRDefault="00836B35" w:rsidP="00A14E37">
      <w:pPr>
        <w:tabs>
          <w:tab w:val="left" w:pos="540"/>
          <w:tab w:val="left" w:pos="569"/>
        </w:tabs>
        <w:jc w:val="both"/>
        <w:rPr>
          <w:bCs/>
          <w:sz w:val="22"/>
          <w:szCs w:val="22"/>
          <w:lang w:val="sr-Latn-ME"/>
        </w:rPr>
      </w:pPr>
    </w:p>
    <w:p w14:paraId="416FCE18" w14:textId="751B909F" w:rsidR="0063578C" w:rsidRPr="00A14E37" w:rsidRDefault="00251F19" w:rsidP="00A14E37">
      <w:pPr>
        <w:pStyle w:val="Text"/>
        <w:spacing w:before="0"/>
        <w:rPr>
          <w:noProof/>
          <w:color w:val="000000"/>
          <w:sz w:val="22"/>
          <w:szCs w:val="22"/>
          <w:lang w:val="sr-Latn-ME"/>
        </w:rPr>
      </w:pPr>
      <w:r w:rsidRPr="00A14E37">
        <w:rPr>
          <w:noProof/>
          <w:color w:val="000000"/>
          <w:sz w:val="22"/>
          <w:szCs w:val="22"/>
          <w:lang w:val="sr-Latn-ME"/>
        </w:rPr>
        <w:t>Nema dokaza o teratogenim dejstvima ciklosporina prim</w:t>
      </w:r>
      <w:r w:rsidR="00A427E6" w:rsidRPr="00A14E37">
        <w:rPr>
          <w:noProof/>
          <w:color w:val="000000"/>
          <w:sz w:val="22"/>
          <w:szCs w:val="22"/>
          <w:lang w:val="sr-Latn-ME"/>
        </w:rPr>
        <w:t>ij</w:t>
      </w:r>
      <w:r w:rsidRPr="00A14E37">
        <w:rPr>
          <w:noProof/>
          <w:color w:val="000000"/>
          <w:sz w:val="22"/>
          <w:szCs w:val="22"/>
          <w:lang w:val="sr-Latn-ME"/>
        </w:rPr>
        <w:t>enjenog oralno (do 300</w:t>
      </w:r>
      <w:r w:rsidR="008F39E6" w:rsidRPr="00A14E37">
        <w:rPr>
          <w:noProof/>
          <w:color w:val="000000"/>
          <w:sz w:val="22"/>
          <w:szCs w:val="22"/>
          <w:lang w:val="sr-Latn-ME"/>
        </w:rPr>
        <w:t xml:space="preserve"> </w:t>
      </w:r>
      <w:r w:rsidRPr="00A14E37">
        <w:rPr>
          <w:noProof/>
          <w:color w:val="000000"/>
          <w:sz w:val="22"/>
          <w:szCs w:val="22"/>
          <w:lang w:val="sr-Latn-ME"/>
        </w:rPr>
        <w:t>mg/kg/dan) kod pacova i kunića. Ciklosporin je embriotoksičan i fetotoksičan na šta ukazuje smanjena t</w:t>
      </w:r>
      <w:r w:rsidR="00A427E6" w:rsidRPr="00A14E37">
        <w:rPr>
          <w:noProof/>
          <w:color w:val="000000"/>
          <w:sz w:val="22"/>
          <w:szCs w:val="22"/>
          <w:lang w:val="sr-Latn-ME"/>
        </w:rPr>
        <w:t>j</w:t>
      </w:r>
      <w:r w:rsidRPr="00A14E37">
        <w:rPr>
          <w:noProof/>
          <w:color w:val="000000"/>
          <w:sz w:val="22"/>
          <w:szCs w:val="22"/>
          <w:lang w:val="sr-Latn-ME"/>
        </w:rPr>
        <w:t>elesna masa fetusa zajedno sa povezanim poremećajem razvoja skeleta. NOEL (engl. no observed effect level) su ispod maksimalne preporučene doze kod ljudi (MRHD) na osnovu površine t</w:t>
      </w:r>
      <w:r w:rsidR="00A427E6" w:rsidRPr="00A14E37">
        <w:rPr>
          <w:noProof/>
          <w:color w:val="000000"/>
          <w:sz w:val="22"/>
          <w:szCs w:val="22"/>
          <w:lang w:val="sr-Latn-ME"/>
        </w:rPr>
        <w:t>ij</w:t>
      </w:r>
      <w:r w:rsidRPr="00A14E37">
        <w:rPr>
          <w:noProof/>
          <w:color w:val="000000"/>
          <w:sz w:val="22"/>
          <w:szCs w:val="22"/>
          <w:lang w:val="sr-Latn-ME"/>
        </w:rPr>
        <w:t>ela (BSA). Gravidne ženke pacova, koje su primile 6 i 12 mg/kg/dan ciklosporina intravenski (ispod MRDH na osnovu BSA), su imale fetuse sa povećanom incidencom ventrikularnog septalnog defekta.</w:t>
      </w:r>
    </w:p>
    <w:p w14:paraId="79424927" w14:textId="0CFDED2A" w:rsidR="0063578C" w:rsidRPr="00A14E37" w:rsidRDefault="0063578C" w:rsidP="00B37A2A">
      <w:pPr>
        <w:pStyle w:val="Text"/>
        <w:rPr>
          <w:sz w:val="22"/>
          <w:szCs w:val="22"/>
          <w:lang w:val="sr-Latn-ME"/>
        </w:rPr>
      </w:pPr>
      <w:r w:rsidRPr="00A14E37">
        <w:rPr>
          <w:noProof/>
          <w:color w:val="000000"/>
          <w:sz w:val="22"/>
          <w:szCs w:val="22"/>
          <w:lang w:val="sr-Latn-ME"/>
        </w:rPr>
        <w:t xml:space="preserve">Kunići koji su </w:t>
      </w:r>
      <w:r w:rsidRPr="00A14E37">
        <w:rPr>
          <w:i/>
          <w:iCs/>
          <w:noProof/>
          <w:color w:val="000000"/>
          <w:sz w:val="22"/>
          <w:szCs w:val="22"/>
          <w:lang w:val="sr-Latn-ME"/>
        </w:rPr>
        <w:t>in utero</w:t>
      </w:r>
      <w:r w:rsidRPr="00A14E37">
        <w:rPr>
          <w:noProof/>
          <w:color w:val="000000"/>
          <w:sz w:val="22"/>
          <w:szCs w:val="22"/>
          <w:lang w:val="sr-Latn-ME"/>
        </w:rPr>
        <w:t xml:space="preserve"> bili izloženi ciklosporinu (10 mg/kg/dan su</w:t>
      </w:r>
      <w:r w:rsidR="008F39E6" w:rsidRPr="00A14E37">
        <w:rPr>
          <w:noProof/>
          <w:color w:val="000000"/>
          <w:sz w:val="22"/>
          <w:szCs w:val="22"/>
          <w:lang w:val="sr-Latn-ME"/>
        </w:rPr>
        <w:t>b</w:t>
      </w:r>
      <w:r w:rsidRPr="00A14E37">
        <w:rPr>
          <w:noProof/>
          <w:color w:val="000000"/>
          <w:sz w:val="22"/>
          <w:szCs w:val="22"/>
          <w:lang w:val="sr-Latn-ME"/>
        </w:rPr>
        <w:t xml:space="preserve">kutano) u dva objavljena istraživanja pokazali su smanjen broj nefrona, hipertrofiju bubrega, sistemsku hipertenziju i progresivnu insuficijenciju bubrega sve do 35 nedjelja starosti. Ovi nalazi nijesu uočeni na drugim vrstama i njihov značaj za ljude nije poznat. </w:t>
      </w:r>
    </w:p>
    <w:p w14:paraId="7B207440" w14:textId="7A50B980" w:rsidR="00251F19" w:rsidRPr="00A14E37" w:rsidRDefault="00251F19" w:rsidP="006D0274">
      <w:pPr>
        <w:pStyle w:val="Text"/>
        <w:rPr>
          <w:noProof/>
          <w:sz w:val="22"/>
          <w:szCs w:val="22"/>
          <w:lang w:val="sr-Latn-ME"/>
        </w:rPr>
      </w:pPr>
      <w:r w:rsidRPr="00A14E37">
        <w:rPr>
          <w:noProof/>
          <w:sz w:val="22"/>
          <w:szCs w:val="22"/>
          <w:lang w:val="sr-Latn-ME"/>
        </w:rPr>
        <w:t>U peri- i postnatalnim razvojnim studijama kod pacova, ciklosporin je povećao pre- i post-implantacionu smrtnost potomaka i smanjio t</w:t>
      </w:r>
      <w:r w:rsidR="00A427E6" w:rsidRPr="00A14E37">
        <w:rPr>
          <w:noProof/>
          <w:sz w:val="22"/>
          <w:szCs w:val="22"/>
          <w:lang w:val="sr-Latn-ME"/>
        </w:rPr>
        <w:t>j</w:t>
      </w:r>
      <w:r w:rsidRPr="00A14E37">
        <w:rPr>
          <w:noProof/>
          <w:sz w:val="22"/>
          <w:szCs w:val="22"/>
          <w:lang w:val="sr-Latn-ME"/>
        </w:rPr>
        <w:t>elesnu masu preživelih mladunaca pri najvećim dozama od 45 mg/kg/dan. NOEL je ispod MRHD na osnovu BSA.</w:t>
      </w:r>
    </w:p>
    <w:p w14:paraId="6B1FF1D2" w14:textId="6B626A26" w:rsidR="00251F19" w:rsidRPr="00A14E37" w:rsidRDefault="00251F19" w:rsidP="000E6E8B">
      <w:pPr>
        <w:pStyle w:val="Text"/>
        <w:rPr>
          <w:noProof/>
          <w:sz w:val="22"/>
          <w:szCs w:val="22"/>
          <w:lang w:val="sr-Latn-ME"/>
        </w:rPr>
      </w:pPr>
      <w:r w:rsidRPr="00A14E37">
        <w:rPr>
          <w:noProof/>
          <w:sz w:val="22"/>
          <w:szCs w:val="22"/>
          <w:lang w:val="sr-Latn-ME"/>
        </w:rPr>
        <w:t>U studijama fertilnosti kod pacova, ni</w:t>
      </w:r>
      <w:r w:rsidR="006E75FB" w:rsidRPr="00A14E37">
        <w:rPr>
          <w:noProof/>
          <w:sz w:val="22"/>
          <w:szCs w:val="22"/>
          <w:lang w:val="sr-Latn-ME"/>
        </w:rPr>
        <w:t>je</w:t>
      </w:r>
      <w:r w:rsidRPr="00A14E37">
        <w:rPr>
          <w:noProof/>
          <w:sz w:val="22"/>
          <w:szCs w:val="22"/>
          <w:lang w:val="sr-Latn-ME"/>
        </w:rPr>
        <w:t>su zab</w:t>
      </w:r>
      <w:r w:rsidR="00A427E6" w:rsidRPr="00A14E37">
        <w:rPr>
          <w:noProof/>
          <w:sz w:val="22"/>
          <w:szCs w:val="22"/>
          <w:lang w:val="sr-Latn-ME"/>
        </w:rPr>
        <w:t>i</w:t>
      </w:r>
      <w:r w:rsidRPr="00A14E37">
        <w:rPr>
          <w:noProof/>
          <w:sz w:val="22"/>
          <w:szCs w:val="22"/>
          <w:lang w:val="sr-Latn-ME"/>
        </w:rPr>
        <w:t>l</w:t>
      </w:r>
      <w:r w:rsidR="00A427E6" w:rsidRPr="00A14E37">
        <w:rPr>
          <w:noProof/>
          <w:sz w:val="22"/>
          <w:szCs w:val="22"/>
          <w:lang w:val="sr-Latn-ME"/>
        </w:rPr>
        <w:t>j</w:t>
      </w:r>
      <w:r w:rsidRPr="00A14E37">
        <w:rPr>
          <w:noProof/>
          <w:sz w:val="22"/>
          <w:szCs w:val="22"/>
          <w:lang w:val="sr-Latn-ME"/>
        </w:rPr>
        <w:t>ežena neželjena dejstva na fertilnost i reprodukciju mužjaka i ženki pacova sa 15</w:t>
      </w:r>
      <w:r w:rsidR="008F39E6" w:rsidRPr="00A14E37">
        <w:rPr>
          <w:noProof/>
          <w:sz w:val="22"/>
          <w:szCs w:val="22"/>
          <w:lang w:val="sr-Latn-ME"/>
        </w:rPr>
        <w:t xml:space="preserve"> </w:t>
      </w:r>
      <w:r w:rsidRPr="00A14E37">
        <w:rPr>
          <w:noProof/>
          <w:sz w:val="22"/>
          <w:szCs w:val="22"/>
          <w:lang w:val="sr-Latn-ME"/>
        </w:rPr>
        <w:t xml:space="preserve">mg/kg/dan (ispod MRHD na osnovu BSA).   </w:t>
      </w:r>
    </w:p>
    <w:p w14:paraId="7EFD6695" w14:textId="77777777" w:rsidR="0063578C" w:rsidRPr="00A14E37" w:rsidRDefault="0063578C">
      <w:pPr>
        <w:pStyle w:val="Text"/>
        <w:rPr>
          <w:sz w:val="22"/>
          <w:szCs w:val="22"/>
          <w:lang w:val="sr-Latn-ME"/>
        </w:rPr>
      </w:pPr>
      <w:r w:rsidRPr="00A14E37">
        <w:rPr>
          <w:sz w:val="22"/>
          <w:szCs w:val="22"/>
          <w:lang w:val="sr-Latn-ME"/>
        </w:rPr>
        <w:t xml:space="preserve">Ciklosporin je bio ispitan u brojnim </w:t>
      </w:r>
      <w:r w:rsidRPr="00A14E37">
        <w:rPr>
          <w:i/>
          <w:iCs/>
          <w:sz w:val="22"/>
          <w:szCs w:val="22"/>
          <w:lang w:val="sr-Latn-ME"/>
        </w:rPr>
        <w:t xml:space="preserve">in vitro </w:t>
      </w:r>
      <w:r w:rsidRPr="00A14E37">
        <w:rPr>
          <w:sz w:val="22"/>
          <w:szCs w:val="22"/>
          <w:lang w:val="sr-Latn-ME"/>
        </w:rPr>
        <w:t xml:space="preserve">i </w:t>
      </w:r>
      <w:r w:rsidRPr="00A14E37">
        <w:rPr>
          <w:i/>
          <w:iCs/>
          <w:sz w:val="22"/>
          <w:szCs w:val="22"/>
          <w:lang w:val="sr-Latn-ME"/>
        </w:rPr>
        <w:t xml:space="preserve">in vivo </w:t>
      </w:r>
      <w:r w:rsidRPr="00A14E37">
        <w:rPr>
          <w:sz w:val="22"/>
          <w:szCs w:val="22"/>
          <w:lang w:val="sr-Latn-ME"/>
        </w:rPr>
        <w:t xml:space="preserve">testovima genotoksičnosti i nije bilo dokaza klinički relevantnog mutagenog potencijala. </w:t>
      </w:r>
    </w:p>
    <w:p w14:paraId="5A55676D" w14:textId="77777777" w:rsidR="0063578C" w:rsidRPr="00A14E37" w:rsidRDefault="0063578C">
      <w:pPr>
        <w:pStyle w:val="Text"/>
        <w:rPr>
          <w:noProof/>
          <w:color w:val="000000"/>
          <w:sz w:val="22"/>
          <w:szCs w:val="22"/>
          <w:lang w:val="sr-Latn-ME"/>
        </w:rPr>
      </w:pPr>
      <w:r w:rsidRPr="00A14E37">
        <w:rPr>
          <w:noProof/>
          <w:color w:val="000000"/>
          <w:sz w:val="22"/>
          <w:szCs w:val="22"/>
          <w:lang w:val="sr-Latn-ME"/>
        </w:rPr>
        <w:t xml:space="preserve">Studije karcinogenosti su sprovedene na mužjacima i ženkama pacova i miševa. U 78-nedjeljnom ispitivanju miševa uz doze od 1, 4 i 16 mg/kg na dan, dobijen je dokaz o statistički značajnoj tendenciji </w:t>
      </w:r>
      <w:r w:rsidRPr="00A14E37">
        <w:rPr>
          <w:noProof/>
          <w:color w:val="000000"/>
          <w:sz w:val="22"/>
          <w:szCs w:val="22"/>
          <w:lang w:val="sr-Latn-ME"/>
        </w:rPr>
        <w:lastRenderedPageBreak/>
        <w:t>ka limfocitnim limfomima kod ženki, a incidenca hepatocelularnih karcinoma kod mužjaka koji su dobijali srednju dozu znatno je premašivala kontrolnu vrijednost. U 24-mjesečnom ispitivanju pacova sprovedenom uz doze od 0,5, 2 i 8 mg/kg na dan, adenomi insularne ćelije pankreasa su znatno premašili kontrolnu vrijednost na nivou malih doza. Hepatocelularni karcinomi i adenomi insularnih ćelija pankreasa nijesu bili dozno zavisni.</w:t>
      </w:r>
    </w:p>
    <w:p w14:paraId="196D9FD6" w14:textId="2580250D" w:rsidR="00396DFD" w:rsidRPr="00A14E37" w:rsidRDefault="00396DFD" w:rsidP="002045DA">
      <w:pPr>
        <w:tabs>
          <w:tab w:val="left" w:pos="540"/>
          <w:tab w:val="left" w:pos="569"/>
        </w:tabs>
        <w:jc w:val="both"/>
        <w:rPr>
          <w:b/>
          <w:bCs/>
          <w:sz w:val="22"/>
          <w:szCs w:val="22"/>
          <w:lang w:val="sr-Latn-ME"/>
        </w:rPr>
      </w:pPr>
    </w:p>
    <w:p w14:paraId="401A3339" w14:textId="77777777" w:rsidR="00264435" w:rsidRPr="00A14E37" w:rsidRDefault="00264435" w:rsidP="002045DA">
      <w:pPr>
        <w:tabs>
          <w:tab w:val="left" w:pos="540"/>
          <w:tab w:val="left" w:pos="569"/>
        </w:tabs>
        <w:jc w:val="both"/>
        <w:rPr>
          <w:b/>
          <w:bCs/>
          <w:sz w:val="22"/>
          <w:szCs w:val="22"/>
          <w:lang w:val="sr-Latn-ME"/>
        </w:rPr>
      </w:pPr>
    </w:p>
    <w:p w14:paraId="1D99830D" w14:textId="77777777"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 </w:t>
      </w:r>
      <w:r w:rsidR="00480FB1" w:rsidRPr="00A14E37">
        <w:rPr>
          <w:b/>
          <w:bCs/>
          <w:sz w:val="22"/>
          <w:szCs w:val="22"/>
          <w:lang w:val="sr-Latn-ME"/>
        </w:rPr>
        <w:tab/>
      </w:r>
      <w:r w:rsidRPr="00A14E37">
        <w:rPr>
          <w:b/>
          <w:bCs/>
          <w:sz w:val="22"/>
          <w:szCs w:val="22"/>
          <w:lang w:val="sr-Latn-ME"/>
        </w:rPr>
        <w:t>FARMACEUTSKI PODACI</w:t>
      </w:r>
    </w:p>
    <w:p w14:paraId="254546F1" w14:textId="77777777" w:rsidR="00836B35" w:rsidRPr="00A14E37" w:rsidRDefault="00836B35">
      <w:pPr>
        <w:tabs>
          <w:tab w:val="left" w:pos="540"/>
          <w:tab w:val="left" w:pos="569"/>
        </w:tabs>
        <w:jc w:val="both"/>
        <w:rPr>
          <w:bCs/>
          <w:sz w:val="22"/>
          <w:szCs w:val="22"/>
          <w:lang w:val="sr-Latn-ME"/>
        </w:rPr>
      </w:pPr>
    </w:p>
    <w:p w14:paraId="6DBF4E62" w14:textId="33BB3826"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6.1. </w:t>
      </w:r>
      <w:r w:rsidR="00480FB1" w:rsidRPr="00A14E37">
        <w:rPr>
          <w:b/>
          <w:bCs/>
          <w:sz w:val="22"/>
          <w:szCs w:val="22"/>
          <w:lang w:val="sr-Latn-ME"/>
        </w:rPr>
        <w:tab/>
      </w:r>
      <w:r w:rsidRPr="00A14E37">
        <w:rPr>
          <w:b/>
          <w:bCs/>
          <w:sz w:val="22"/>
          <w:szCs w:val="22"/>
          <w:lang w:val="sr-Latn-ME"/>
        </w:rPr>
        <w:t>Lista pomoćnih supstanci</w:t>
      </w:r>
      <w:r w:rsidR="002E0135" w:rsidRPr="00A14E37">
        <w:rPr>
          <w:b/>
          <w:bCs/>
          <w:sz w:val="22"/>
          <w:szCs w:val="22"/>
          <w:lang w:val="sr-Latn-ME"/>
        </w:rPr>
        <w:t xml:space="preserve"> (ekscipijenasa)</w:t>
      </w:r>
    </w:p>
    <w:p w14:paraId="3065E1FF" w14:textId="77777777" w:rsidR="00C37D5C" w:rsidRPr="00A14E37" w:rsidRDefault="00C37D5C">
      <w:pPr>
        <w:tabs>
          <w:tab w:val="left" w:pos="540"/>
          <w:tab w:val="left" w:pos="569"/>
        </w:tabs>
        <w:jc w:val="both"/>
        <w:rPr>
          <w:b/>
          <w:bCs/>
          <w:sz w:val="22"/>
          <w:szCs w:val="22"/>
          <w:lang w:val="sr-Latn-ME"/>
        </w:rPr>
      </w:pPr>
    </w:p>
    <w:p w14:paraId="5F2F06B4" w14:textId="03C4467A" w:rsidR="0063578C" w:rsidRPr="00A14E37" w:rsidRDefault="0063578C">
      <w:pPr>
        <w:pStyle w:val="Text"/>
        <w:spacing w:before="0"/>
        <w:rPr>
          <w:noProof/>
          <w:color w:val="000000"/>
          <w:sz w:val="22"/>
          <w:szCs w:val="22"/>
          <w:lang w:val="sr-Latn-ME"/>
        </w:rPr>
      </w:pPr>
      <w:r w:rsidRPr="00A14E37">
        <w:rPr>
          <w:noProof/>
          <w:color w:val="000000"/>
          <w:sz w:val="22"/>
          <w:szCs w:val="22"/>
          <w:lang w:val="sr-Latn-ME"/>
        </w:rPr>
        <w:t xml:space="preserve">DL alfa </w:t>
      </w:r>
      <w:r w:rsidR="00264435" w:rsidRPr="00A14E37">
        <w:rPr>
          <w:noProof/>
          <w:color w:val="000000"/>
          <w:sz w:val="22"/>
          <w:szCs w:val="22"/>
          <w:lang w:val="sr-Latn-ME"/>
        </w:rPr>
        <w:t>t</w:t>
      </w:r>
      <w:r w:rsidRPr="00A14E37">
        <w:rPr>
          <w:noProof/>
          <w:color w:val="000000"/>
          <w:sz w:val="22"/>
          <w:szCs w:val="22"/>
          <w:lang w:val="sr-Latn-ME"/>
        </w:rPr>
        <w:t>okoferol</w:t>
      </w:r>
    </w:p>
    <w:p w14:paraId="2A210008" w14:textId="256C094D" w:rsidR="0063578C" w:rsidRPr="00A14E37" w:rsidRDefault="0063578C">
      <w:pPr>
        <w:pStyle w:val="Text"/>
        <w:spacing w:before="0"/>
        <w:rPr>
          <w:noProof/>
          <w:color w:val="000000"/>
          <w:sz w:val="22"/>
          <w:szCs w:val="22"/>
          <w:lang w:val="sr-Latn-ME"/>
        </w:rPr>
      </w:pPr>
      <w:r w:rsidRPr="00A14E37">
        <w:rPr>
          <w:noProof/>
          <w:color w:val="000000"/>
          <w:sz w:val="22"/>
          <w:szCs w:val="22"/>
          <w:lang w:val="sr-Latn-ME"/>
        </w:rPr>
        <w:t xml:space="preserve">etanol, </w:t>
      </w:r>
      <w:r w:rsidR="00264435" w:rsidRPr="00A14E37">
        <w:rPr>
          <w:noProof/>
          <w:color w:val="000000"/>
          <w:sz w:val="22"/>
          <w:szCs w:val="22"/>
          <w:lang w:val="sr-Latn-ME"/>
        </w:rPr>
        <w:t>bezvodni</w:t>
      </w:r>
    </w:p>
    <w:p w14:paraId="4F0B082D" w14:textId="3CAD927C" w:rsidR="0063578C" w:rsidRPr="00A14E37" w:rsidRDefault="0063578C">
      <w:pPr>
        <w:pStyle w:val="Text"/>
        <w:spacing w:before="0"/>
        <w:rPr>
          <w:noProof/>
          <w:color w:val="000000"/>
          <w:sz w:val="22"/>
          <w:szCs w:val="22"/>
          <w:lang w:val="sr-Latn-ME"/>
        </w:rPr>
      </w:pPr>
      <w:r w:rsidRPr="00A14E37">
        <w:rPr>
          <w:noProof/>
          <w:color w:val="000000"/>
          <w:sz w:val="22"/>
          <w:szCs w:val="22"/>
          <w:lang w:val="sr-Latn-ME"/>
        </w:rPr>
        <w:t>propilen</w:t>
      </w:r>
      <w:r w:rsidR="00264435" w:rsidRPr="00A14E37">
        <w:rPr>
          <w:noProof/>
          <w:color w:val="000000"/>
          <w:sz w:val="22"/>
          <w:szCs w:val="22"/>
          <w:lang w:val="sr-Latn-ME"/>
        </w:rPr>
        <w:t xml:space="preserve"> </w:t>
      </w:r>
      <w:r w:rsidRPr="00A14E37">
        <w:rPr>
          <w:noProof/>
          <w:color w:val="000000"/>
          <w:sz w:val="22"/>
          <w:szCs w:val="22"/>
          <w:lang w:val="sr-Latn-ME"/>
        </w:rPr>
        <w:t xml:space="preserve">glikol </w:t>
      </w:r>
    </w:p>
    <w:p w14:paraId="754574F2" w14:textId="69D96BC5" w:rsidR="0063578C" w:rsidRPr="00A14E37" w:rsidRDefault="0063578C">
      <w:pPr>
        <w:pStyle w:val="Text"/>
        <w:spacing w:before="0"/>
        <w:rPr>
          <w:noProof/>
          <w:color w:val="000000"/>
          <w:sz w:val="22"/>
          <w:szCs w:val="22"/>
          <w:lang w:val="sr-Latn-ME"/>
        </w:rPr>
      </w:pPr>
      <w:r w:rsidRPr="00A14E37">
        <w:rPr>
          <w:noProof/>
          <w:color w:val="000000"/>
          <w:sz w:val="22"/>
          <w:szCs w:val="22"/>
          <w:lang w:val="sr-Latn-ME"/>
        </w:rPr>
        <w:t>mono</w:t>
      </w:r>
      <w:r w:rsidR="00264435" w:rsidRPr="00A14E37">
        <w:rPr>
          <w:noProof/>
          <w:color w:val="000000"/>
          <w:sz w:val="22"/>
          <w:szCs w:val="22"/>
          <w:lang w:val="sr-Latn-ME"/>
        </w:rPr>
        <w:t>gliceridi</w:t>
      </w:r>
      <w:r w:rsidRPr="00A14E37">
        <w:rPr>
          <w:noProof/>
          <w:color w:val="000000"/>
          <w:sz w:val="22"/>
          <w:szCs w:val="22"/>
          <w:lang w:val="sr-Latn-ME"/>
        </w:rPr>
        <w:t>, di</w:t>
      </w:r>
      <w:r w:rsidR="00264435" w:rsidRPr="00A14E37">
        <w:rPr>
          <w:noProof/>
          <w:color w:val="000000"/>
          <w:sz w:val="22"/>
          <w:szCs w:val="22"/>
          <w:lang w:val="sr-Latn-ME"/>
        </w:rPr>
        <w:t>gliceridi</w:t>
      </w:r>
      <w:r w:rsidRPr="00A14E37">
        <w:rPr>
          <w:noProof/>
          <w:color w:val="000000"/>
          <w:sz w:val="22"/>
          <w:szCs w:val="22"/>
          <w:lang w:val="sr-Latn-ME"/>
        </w:rPr>
        <w:t xml:space="preserve"> i trigliceridi</w:t>
      </w:r>
      <w:r w:rsidR="00264435" w:rsidRPr="00A14E37">
        <w:rPr>
          <w:noProof/>
          <w:color w:val="000000"/>
          <w:sz w:val="22"/>
          <w:szCs w:val="22"/>
          <w:lang w:val="sr-Latn-ME"/>
        </w:rPr>
        <w:t xml:space="preserve"> iz</w:t>
      </w:r>
      <w:r w:rsidRPr="00A14E37">
        <w:rPr>
          <w:noProof/>
          <w:color w:val="000000"/>
          <w:sz w:val="22"/>
          <w:szCs w:val="22"/>
          <w:lang w:val="sr-Latn-ME"/>
        </w:rPr>
        <w:t xml:space="preserve"> ulja kukuruza</w:t>
      </w:r>
    </w:p>
    <w:p w14:paraId="04A45683" w14:textId="53CC1C8C" w:rsidR="0063578C" w:rsidRPr="00A14E37" w:rsidRDefault="0063578C">
      <w:pPr>
        <w:pStyle w:val="Text"/>
        <w:spacing w:before="0"/>
        <w:rPr>
          <w:noProof/>
          <w:color w:val="000000"/>
          <w:sz w:val="22"/>
          <w:szCs w:val="22"/>
          <w:lang w:val="sr-Latn-ME"/>
        </w:rPr>
      </w:pPr>
      <w:r w:rsidRPr="00A14E37">
        <w:rPr>
          <w:noProof/>
          <w:color w:val="000000"/>
          <w:sz w:val="22"/>
          <w:szCs w:val="22"/>
          <w:lang w:val="sr-Latn-ME"/>
        </w:rPr>
        <w:t>makrogolglicerol hidroksistearat</w:t>
      </w:r>
    </w:p>
    <w:p w14:paraId="2F9796F7" w14:textId="77777777" w:rsidR="0072020E" w:rsidRPr="00A14E37" w:rsidRDefault="0072020E">
      <w:pPr>
        <w:tabs>
          <w:tab w:val="left" w:pos="540"/>
          <w:tab w:val="left" w:pos="569"/>
        </w:tabs>
        <w:jc w:val="both"/>
        <w:rPr>
          <w:bCs/>
          <w:sz w:val="22"/>
          <w:szCs w:val="22"/>
          <w:lang w:val="sr-Latn-ME"/>
        </w:rPr>
      </w:pPr>
    </w:p>
    <w:p w14:paraId="65873E1F" w14:textId="2CC3E35D"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6.2. </w:t>
      </w:r>
      <w:r w:rsidR="00480FB1" w:rsidRPr="00A14E37">
        <w:rPr>
          <w:b/>
          <w:bCs/>
          <w:sz w:val="22"/>
          <w:szCs w:val="22"/>
          <w:lang w:val="sr-Latn-ME"/>
        </w:rPr>
        <w:tab/>
      </w:r>
      <w:r w:rsidRPr="00A14E37">
        <w:rPr>
          <w:b/>
          <w:bCs/>
          <w:sz w:val="22"/>
          <w:szCs w:val="22"/>
          <w:lang w:val="sr-Latn-ME"/>
        </w:rPr>
        <w:t>Inkompatibilnost</w:t>
      </w:r>
      <w:r w:rsidR="002846DB" w:rsidRPr="00A14E37">
        <w:rPr>
          <w:b/>
          <w:bCs/>
          <w:sz w:val="22"/>
          <w:szCs w:val="22"/>
          <w:lang w:val="sr-Latn-ME"/>
        </w:rPr>
        <w:t>i</w:t>
      </w:r>
    </w:p>
    <w:p w14:paraId="71F63336" w14:textId="77777777" w:rsidR="00C37D5C" w:rsidRPr="00A14E37" w:rsidRDefault="00C37D5C">
      <w:pPr>
        <w:tabs>
          <w:tab w:val="left" w:pos="540"/>
          <w:tab w:val="left" w:pos="569"/>
        </w:tabs>
        <w:jc w:val="both"/>
        <w:rPr>
          <w:b/>
          <w:bCs/>
          <w:sz w:val="22"/>
          <w:szCs w:val="22"/>
          <w:lang w:val="sr-Latn-ME"/>
        </w:rPr>
      </w:pPr>
    </w:p>
    <w:p w14:paraId="1067148A" w14:textId="77777777" w:rsidR="0072020E" w:rsidRPr="00A14E37" w:rsidRDefault="0063578C">
      <w:pPr>
        <w:tabs>
          <w:tab w:val="left" w:pos="540"/>
          <w:tab w:val="left" w:pos="569"/>
        </w:tabs>
        <w:jc w:val="both"/>
        <w:rPr>
          <w:sz w:val="22"/>
          <w:szCs w:val="22"/>
          <w:lang w:val="sr-Latn-ME"/>
        </w:rPr>
      </w:pPr>
      <w:r w:rsidRPr="00A14E37">
        <w:rPr>
          <w:sz w:val="22"/>
          <w:szCs w:val="22"/>
          <w:lang w:val="sr-Latn-ME"/>
        </w:rPr>
        <w:t>Nije poznata.</w:t>
      </w:r>
    </w:p>
    <w:p w14:paraId="5D8BAD79" w14:textId="77777777" w:rsidR="0063578C" w:rsidRPr="00A14E37" w:rsidRDefault="0063578C">
      <w:pPr>
        <w:tabs>
          <w:tab w:val="left" w:pos="540"/>
          <w:tab w:val="left" w:pos="569"/>
        </w:tabs>
        <w:jc w:val="both"/>
        <w:rPr>
          <w:bCs/>
          <w:sz w:val="22"/>
          <w:szCs w:val="22"/>
          <w:lang w:val="sr-Latn-ME"/>
        </w:rPr>
      </w:pPr>
    </w:p>
    <w:p w14:paraId="528AF5C4" w14:textId="3629FEBA" w:rsidR="0072020E" w:rsidRPr="00A14E37" w:rsidRDefault="0072020E">
      <w:pPr>
        <w:tabs>
          <w:tab w:val="left" w:pos="540"/>
          <w:tab w:val="left" w:pos="569"/>
        </w:tabs>
        <w:jc w:val="both"/>
        <w:rPr>
          <w:b/>
          <w:bCs/>
          <w:sz w:val="22"/>
          <w:szCs w:val="22"/>
          <w:lang w:val="sr-Latn-ME"/>
        </w:rPr>
      </w:pPr>
      <w:r w:rsidRPr="00A14E37">
        <w:rPr>
          <w:b/>
          <w:bCs/>
          <w:sz w:val="22"/>
          <w:szCs w:val="22"/>
          <w:lang w:val="sr-Latn-ME"/>
        </w:rPr>
        <w:t>6.3.</w:t>
      </w:r>
      <w:r w:rsidR="00C05DF8" w:rsidRPr="00A14E37">
        <w:rPr>
          <w:b/>
          <w:bCs/>
          <w:sz w:val="22"/>
          <w:szCs w:val="22"/>
          <w:lang w:val="sr-Latn-ME"/>
        </w:rPr>
        <w:t xml:space="preserve"> </w:t>
      </w:r>
      <w:r w:rsidR="00480FB1" w:rsidRPr="00A14E37">
        <w:rPr>
          <w:b/>
          <w:bCs/>
          <w:sz w:val="22"/>
          <w:szCs w:val="22"/>
          <w:lang w:val="sr-Latn-ME"/>
        </w:rPr>
        <w:tab/>
      </w:r>
      <w:r w:rsidRPr="00A14E37">
        <w:rPr>
          <w:b/>
          <w:bCs/>
          <w:sz w:val="22"/>
          <w:szCs w:val="22"/>
          <w:lang w:val="sr-Latn-ME"/>
        </w:rPr>
        <w:t>Rok upotrebe</w:t>
      </w:r>
    </w:p>
    <w:p w14:paraId="041E0542" w14:textId="77777777" w:rsidR="00C37D5C" w:rsidRPr="00A14E37" w:rsidRDefault="00C37D5C">
      <w:pPr>
        <w:tabs>
          <w:tab w:val="left" w:pos="540"/>
          <w:tab w:val="left" w:pos="569"/>
        </w:tabs>
        <w:jc w:val="both"/>
        <w:rPr>
          <w:b/>
          <w:bCs/>
          <w:sz w:val="22"/>
          <w:szCs w:val="22"/>
          <w:lang w:val="sr-Latn-ME"/>
        </w:rPr>
      </w:pPr>
    </w:p>
    <w:p w14:paraId="38032EE1" w14:textId="77777777" w:rsidR="0063578C" w:rsidRPr="00A14E37" w:rsidRDefault="0063578C">
      <w:pPr>
        <w:pStyle w:val="Header"/>
        <w:tabs>
          <w:tab w:val="left" w:pos="284"/>
        </w:tabs>
        <w:jc w:val="both"/>
        <w:rPr>
          <w:sz w:val="22"/>
          <w:szCs w:val="22"/>
          <w:lang w:val="sr-Latn-ME"/>
        </w:rPr>
      </w:pPr>
      <w:r w:rsidRPr="00A14E37">
        <w:rPr>
          <w:sz w:val="22"/>
          <w:szCs w:val="22"/>
          <w:lang w:val="sr-Latn-ME"/>
        </w:rPr>
        <w:t>3 godine.</w:t>
      </w:r>
    </w:p>
    <w:p w14:paraId="6D2A3CEF" w14:textId="77777777" w:rsidR="0063578C" w:rsidRPr="00A14E37" w:rsidRDefault="0063578C">
      <w:pPr>
        <w:pStyle w:val="Header"/>
        <w:tabs>
          <w:tab w:val="left" w:pos="284"/>
        </w:tabs>
        <w:jc w:val="both"/>
        <w:rPr>
          <w:sz w:val="22"/>
          <w:szCs w:val="22"/>
          <w:lang w:val="sr-Latn-ME"/>
        </w:rPr>
      </w:pPr>
    </w:p>
    <w:p w14:paraId="08709CCE" w14:textId="58701B72" w:rsidR="0063578C" w:rsidRPr="00A14E37" w:rsidRDefault="00264435">
      <w:pPr>
        <w:pStyle w:val="Header"/>
        <w:tabs>
          <w:tab w:val="left" w:pos="284"/>
        </w:tabs>
        <w:jc w:val="both"/>
        <w:rPr>
          <w:sz w:val="22"/>
          <w:szCs w:val="22"/>
          <w:lang w:val="sr-Latn-ME"/>
        </w:rPr>
      </w:pPr>
      <w:r w:rsidRPr="00A14E37">
        <w:rPr>
          <w:sz w:val="22"/>
          <w:szCs w:val="22"/>
          <w:lang w:val="sr-Latn-ME"/>
        </w:rPr>
        <w:t>Rok upotrebe nakon prvog otvaranja: 2 mjeseca</w:t>
      </w:r>
      <w:r w:rsidR="0063578C" w:rsidRPr="00A14E37">
        <w:rPr>
          <w:sz w:val="22"/>
          <w:szCs w:val="22"/>
          <w:lang w:val="sr-Latn-ME"/>
        </w:rPr>
        <w:t>.</w:t>
      </w:r>
    </w:p>
    <w:p w14:paraId="4151FB13" w14:textId="385735F4" w:rsidR="00264435" w:rsidRPr="00A14E37" w:rsidRDefault="00264435">
      <w:pPr>
        <w:pStyle w:val="Header"/>
        <w:tabs>
          <w:tab w:val="left" w:pos="284"/>
        </w:tabs>
        <w:jc w:val="both"/>
        <w:rPr>
          <w:sz w:val="22"/>
          <w:szCs w:val="22"/>
          <w:lang w:val="sr-Latn-ME"/>
        </w:rPr>
      </w:pPr>
      <w:r w:rsidRPr="00A14E37">
        <w:rPr>
          <w:sz w:val="22"/>
          <w:szCs w:val="22"/>
          <w:lang w:val="sr-Latn-ME"/>
        </w:rPr>
        <w:t>Za uslove čuvanja nakon prvog</w:t>
      </w:r>
      <w:r w:rsidR="009D6F6C" w:rsidRPr="00A14E37">
        <w:rPr>
          <w:sz w:val="22"/>
          <w:szCs w:val="22"/>
          <w:lang w:val="sr-Latn-ME"/>
        </w:rPr>
        <w:t xml:space="preserve"> otvaranja lijeka, vidjeti dio 6.4.</w:t>
      </w:r>
    </w:p>
    <w:p w14:paraId="633C479A" w14:textId="77777777" w:rsidR="0072020E" w:rsidRPr="00A14E37" w:rsidRDefault="0072020E">
      <w:pPr>
        <w:tabs>
          <w:tab w:val="left" w:pos="540"/>
          <w:tab w:val="left" w:pos="569"/>
        </w:tabs>
        <w:jc w:val="both"/>
        <w:rPr>
          <w:bCs/>
          <w:sz w:val="22"/>
          <w:szCs w:val="22"/>
          <w:lang w:val="sr-Latn-ME"/>
        </w:rPr>
      </w:pPr>
    </w:p>
    <w:p w14:paraId="1A93C4B3" w14:textId="2A56F692"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6.4. </w:t>
      </w:r>
      <w:r w:rsidR="00480FB1" w:rsidRPr="00A14E37">
        <w:rPr>
          <w:b/>
          <w:bCs/>
          <w:sz w:val="22"/>
          <w:szCs w:val="22"/>
          <w:lang w:val="sr-Latn-ME"/>
        </w:rPr>
        <w:tab/>
      </w:r>
      <w:r w:rsidRPr="00A14E37">
        <w:rPr>
          <w:b/>
          <w:bCs/>
          <w:sz w:val="22"/>
          <w:szCs w:val="22"/>
          <w:lang w:val="sr-Latn-ME"/>
        </w:rPr>
        <w:t>Posebne mjere upozorenja pri čuvanju</w:t>
      </w:r>
      <w:r w:rsidR="00F8570A" w:rsidRPr="00A14E37">
        <w:rPr>
          <w:b/>
          <w:bCs/>
          <w:sz w:val="22"/>
          <w:szCs w:val="22"/>
          <w:lang w:val="sr-Latn-ME"/>
        </w:rPr>
        <w:t xml:space="preserve"> lijeka</w:t>
      </w:r>
    </w:p>
    <w:p w14:paraId="653E14E8" w14:textId="77777777" w:rsidR="00C37D5C" w:rsidRPr="00A14E37" w:rsidRDefault="00C37D5C">
      <w:pPr>
        <w:tabs>
          <w:tab w:val="left" w:pos="540"/>
          <w:tab w:val="left" w:pos="569"/>
        </w:tabs>
        <w:jc w:val="both"/>
        <w:rPr>
          <w:b/>
          <w:bCs/>
          <w:sz w:val="22"/>
          <w:szCs w:val="22"/>
          <w:lang w:val="sr-Latn-ME"/>
        </w:rPr>
      </w:pPr>
    </w:p>
    <w:p w14:paraId="296B9B0F" w14:textId="3EEAB660" w:rsidR="009D6F6C" w:rsidRPr="00A14E37" w:rsidRDefault="009D6F6C">
      <w:pPr>
        <w:tabs>
          <w:tab w:val="left" w:pos="540"/>
          <w:tab w:val="left" w:pos="569"/>
        </w:tabs>
        <w:jc w:val="both"/>
        <w:rPr>
          <w:noProof/>
          <w:sz w:val="22"/>
          <w:szCs w:val="22"/>
          <w:lang w:val="sr-Latn-ME"/>
        </w:rPr>
      </w:pPr>
      <w:r w:rsidRPr="00A14E37">
        <w:rPr>
          <w:noProof/>
          <w:sz w:val="22"/>
          <w:szCs w:val="22"/>
          <w:lang w:val="sr-Latn-ME"/>
        </w:rPr>
        <w:t>Č</w:t>
      </w:r>
      <w:r w:rsidR="0063578C" w:rsidRPr="00A14E37">
        <w:rPr>
          <w:noProof/>
          <w:sz w:val="22"/>
          <w:szCs w:val="22"/>
          <w:lang w:val="sr-Latn-ME"/>
        </w:rPr>
        <w:t>uvati na temperaturi do 25°C</w:t>
      </w:r>
      <w:r w:rsidRPr="00A14E37">
        <w:rPr>
          <w:noProof/>
          <w:sz w:val="22"/>
          <w:szCs w:val="22"/>
          <w:lang w:val="sr-Latn-ME"/>
        </w:rPr>
        <w:t>,</w:t>
      </w:r>
      <w:r w:rsidR="0063578C" w:rsidRPr="00A14E37">
        <w:rPr>
          <w:noProof/>
          <w:sz w:val="22"/>
          <w:szCs w:val="22"/>
          <w:lang w:val="sr-Latn-ME"/>
        </w:rPr>
        <w:t xml:space="preserve"> na duže periode ne ispod 20°C</w:t>
      </w:r>
      <w:r w:rsidRPr="00A14E37">
        <w:rPr>
          <w:noProof/>
          <w:sz w:val="22"/>
          <w:szCs w:val="22"/>
          <w:lang w:val="sr-Latn-ME"/>
        </w:rPr>
        <w:t>.</w:t>
      </w:r>
      <w:r w:rsidR="0063578C" w:rsidRPr="00A14E37">
        <w:rPr>
          <w:noProof/>
          <w:sz w:val="22"/>
          <w:szCs w:val="22"/>
          <w:lang w:val="sr-Latn-ME"/>
        </w:rPr>
        <w:t xml:space="preserve"> </w:t>
      </w:r>
    </w:p>
    <w:p w14:paraId="115E378E" w14:textId="77777777" w:rsidR="009D6F6C" w:rsidRPr="00A14E37" w:rsidRDefault="009D6F6C">
      <w:pPr>
        <w:tabs>
          <w:tab w:val="left" w:pos="540"/>
          <w:tab w:val="left" w:pos="569"/>
        </w:tabs>
        <w:jc w:val="both"/>
        <w:rPr>
          <w:noProof/>
          <w:sz w:val="22"/>
          <w:szCs w:val="22"/>
          <w:lang w:val="sr-Latn-ME"/>
        </w:rPr>
      </w:pPr>
    </w:p>
    <w:p w14:paraId="53CB53F4" w14:textId="79D236AC" w:rsidR="009D6F6C" w:rsidRPr="00A14E37" w:rsidRDefault="009D6F6C">
      <w:pPr>
        <w:tabs>
          <w:tab w:val="left" w:pos="540"/>
          <w:tab w:val="left" w:pos="569"/>
        </w:tabs>
        <w:jc w:val="both"/>
        <w:rPr>
          <w:noProof/>
          <w:color w:val="000000"/>
          <w:sz w:val="22"/>
          <w:szCs w:val="22"/>
          <w:lang w:val="sr-Latn-ME"/>
        </w:rPr>
      </w:pPr>
      <w:r w:rsidRPr="00A14E37">
        <w:rPr>
          <w:noProof/>
          <w:sz w:val="22"/>
          <w:szCs w:val="22"/>
          <w:lang w:val="sr-Latn-ME"/>
        </w:rPr>
        <w:t>Oralni rastvor</w:t>
      </w:r>
      <w:r w:rsidR="0063578C" w:rsidRPr="00A14E37">
        <w:rPr>
          <w:noProof/>
          <w:sz w:val="22"/>
          <w:szCs w:val="22"/>
          <w:lang w:val="sr-Latn-ME"/>
        </w:rPr>
        <w:t xml:space="preserve"> </w:t>
      </w:r>
      <w:r w:rsidR="0063578C" w:rsidRPr="00A14E37">
        <w:rPr>
          <w:noProof/>
          <w:color w:val="000000"/>
          <w:sz w:val="22"/>
          <w:szCs w:val="22"/>
          <w:lang w:val="sr-Latn-ME"/>
        </w:rPr>
        <w:t xml:space="preserve">sadrži uljane komponente prirodnog porijekla koje su na niskim temperaturama sklone zgušnjavanju. </w:t>
      </w:r>
    </w:p>
    <w:p w14:paraId="7670599C" w14:textId="77777777" w:rsidR="009D6F6C" w:rsidRPr="00A14E37" w:rsidRDefault="0063578C">
      <w:pPr>
        <w:tabs>
          <w:tab w:val="left" w:pos="540"/>
          <w:tab w:val="left" w:pos="569"/>
        </w:tabs>
        <w:jc w:val="both"/>
        <w:rPr>
          <w:noProof/>
          <w:color w:val="000000"/>
          <w:sz w:val="22"/>
          <w:szCs w:val="22"/>
          <w:lang w:val="sr-Latn-ME"/>
        </w:rPr>
      </w:pPr>
      <w:r w:rsidRPr="00A14E37">
        <w:rPr>
          <w:noProof/>
          <w:color w:val="000000"/>
          <w:sz w:val="22"/>
          <w:szCs w:val="22"/>
          <w:lang w:val="sr-Latn-ME"/>
        </w:rPr>
        <w:t>Na temperaturi ispod 20°C (npr. u frižideru) se mogu javiti želatinozne formacije, koje nestaju</w:t>
      </w:r>
      <w:r w:rsidR="009D6F6C" w:rsidRPr="00A14E37">
        <w:rPr>
          <w:noProof/>
          <w:color w:val="000000"/>
          <w:sz w:val="22"/>
          <w:szCs w:val="22"/>
          <w:lang w:val="sr-Latn-ME"/>
        </w:rPr>
        <w:t xml:space="preserve"> kada se rastvor ponovo ostavi</w:t>
      </w:r>
      <w:r w:rsidRPr="00A14E37">
        <w:rPr>
          <w:noProof/>
          <w:color w:val="000000"/>
          <w:sz w:val="22"/>
          <w:szCs w:val="22"/>
          <w:lang w:val="sr-Latn-ME"/>
        </w:rPr>
        <w:t xml:space="preserve"> na sobnoj temperaturi. </w:t>
      </w:r>
    </w:p>
    <w:p w14:paraId="31EDD421" w14:textId="22D4F13D" w:rsidR="00EC2532" w:rsidRPr="00A14E37" w:rsidRDefault="0063578C">
      <w:pPr>
        <w:tabs>
          <w:tab w:val="left" w:pos="540"/>
          <w:tab w:val="left" w:pos="569"/>
        </w:tabs>
        <w:jc w:val="both"/>
        <w:rPr>
          <w:sz w:val="22"/>
          <w:szCs w:val="22"/>
          <w:lang w:val="sr-Latn-ME"/>
        </w:rPr>
      </w:pPr>
      <w:r w:rsidRPr="00A14E37">
        <w:rPr>
          <w:noProof/>
          <w:color w:val="000000"/>
          <w:sz w:val="22"/>
          <w:szCs w:val="22"/>
          <w:lang w:val="sr-Latn-ME"/>
        </w:rPr>
        <w:t xml:space="preserve">Mogu se primijetiti manje pahuljaste čestice ili blago taloženje. Ove pojave ne utiču na efikasnost i bezbjednost lijeka, a mjerenje špricom za doziranje i dalje će ostati precizno. </w:t>
      </w:r>
    </w:p>
    <w:p w14:paraId="0BEFCC4F" w14:textId="77777777" w:rsidR="0063578C" w:rsidRPr="00A14E37" w:rsidRDefault="0063578C">
      <w:pPr>
        <w:tabs>
          <w:tab w:val="left" w:pos="540"/>
          <w:tab w:val="left" w:pos="569"/>
        </w:tabs>
        <w:jc w:val="both"/>
        <w:rPr>
          <w:bCs/>
          <w:sz w:val="22"/>
          <w:szCs w:val="22"/>
          <w:lang w:val="sr-Latn-ME"/>
        </w:rPr>
      </w:pPr>
    </w:p>
    <w:p w14:paraId="097DAFC5" w14:textId="77777777" w:rsidR="0072020E"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6.5. </w:t>
      </w:r>
      <w:r w:rsidR="00480FB1" w:rsidRPr="00A14E37">
        <w:rPr>
          <w:b/>
          <w:bCs/>
          <w:sz w:val="22"/>
          <w:szCs w:val="22"/>
          <w:lang w:val="sr-Latn-ME"/>
        </w:rPr>
        <w:tab/>
      </w:r>
      <w:r w:rsidR="002846DB" w:rsidRPr="00A14E37">
        <w:rPr>
          <w:b/>
          <w:bCs/>
          <w:sz w:val="22"/>
          <w:szCs w:val="22"/>
          <w:lang w:val="sr-Latn-ME"/>
        </w:rPr>
        <w:t xml:space="preserve">Vrsta i sadržaj </w:t>
      </w:r>
      <w:r w:rsidR="00F8570A" w:rsidRPr="00A14E37">
        <w:rPr>
          <w:b/>
          <w:bCs/>
          <w:sz w:val="22"/>
          <w:szCs w:val="22"/>
          <w:lang w:val="sr-Latn-ME"/>
        </w:rPr>
        <w:t>pakovanja</w:t>
      </w:r>
      <w:r w:rsidR="00C06864" w:rsidRPr="00A14E37">
        <w:rPr>
          <w:b/>
          <w:bCs/>
          <w:sz w:val="22"/>
          <w:szCs w:val="22"/>
          <w:lang w:val="sr-Latn-ME"/>
        </w:rPr>
        <w:t xml:space="preserve"> </w:t>
      </w:r>
    </w:p>
    <w:p w14:paraId="7095646F" w14:textId="77777777" w:rsidR="009D6F6C" w:rsidRPr="00A14E37" w:rsidRDefault="009D6F6C" w:rsidP="00F949C5">
      <w:pPr>
        <w:pStyle w:val="Text"/>
        <w:spacing w:before="0"/>
        <w:rPr>
          <w:noProof/>
          <w:color w:val="000000"/>
          <w:sz w:val="22"/>
          <w:szCs w:val="22"/>
          <w:lang w:val="sr-Latn-ME"/>
        </w:rPr>
      </w:pPr>
    </w:p>
    <w:p w14:paraId="35CCCD77" w14:textId="0116FB6C" w:rsidR="0063578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 xml:space="preserve">Unutrašnje pakovanje je bočica od smeđeg stakla (staklo tip III), sa gumenim čepom sive boje (brombutil guma) i aluminijumskim prstenom sa </w:t>
      </w:r>
      <w:r w:rsidRPr="00A14E37">
        <w:rPr>
          <w:i/>
          <w:noProof/>
          <w:color w:val="000000"/>
          <w:sz w:val="22"/>
          <w:szCs w:val="22"/>
          <w:lang w:val="sr-Latn-ME"/>
        </w:rPr>
        <w:t>flip off</w:t>
      </w:r>
      <w:r w:rsidRPr="00A14E37">
        <w:rPr>
          <w:noProof/>
          <w:color w:val="000000"/>
          <w:sz w:val="22"/>
          <w:szCs w:val="22"/>
          <w:lang w:val="sr-Latn-ME"/>
        </w:rPr>
        <w:t xml:space="preserve"> poklopcem. </w:t>
      </w:r>
    </w:p>
    <w:p w14:paraId="5CB208DA" w14:textId="77777777" w:rsidR="009D6F6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Spoljašnje pakovanje je složiva kartonska kutija u kojoj se nalazi 1 staklena bočica sa 50 ml oralnog rastvora i:</w:t>
      </w:r>
    </w:p>
    <w:p w14:paraId="68B3BC6E" w14:textId="6CC7F81A" w:rsidR="0063578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 dodatni zatvarač crne boje sa navojem koji se stavlja na bočicu nakon otvaranja,</w:t>
      </w:r>
    </w:p>
    <w:p w14:paraId="75976EA6" w14:textId="5C00356D" w:rsidR="009D6F6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 pribor za davanje lijeka koji sadrži bijeli cjevasti dio sa zatvaračem i špric za doziranje od 1 ml (na špricu se nalazi graduisana skala od 0,05 ml do 1 ml, sa naznačenim podiocima od 0,05 ml),</w:t>
      </w:r>
    </w:p>
    <w:p w14:paraId="0F0E8605" w14:textId="3D9636A1" w:rsidR="009D6F6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 pribor za davanje lijeka koji sadrži bijeli cjevasti dio sa zatvaračem i špric za doziranje od 4 ml (na špricu se nalazi graduisana skala od 0,5 ml do 4 ml, sa naznačenim podiocima od 0,1 ml),</w:t>
      </w:r>
    </w:p>
    <w:p w14:paraId="46BA9FE5" w14:textId="7B3F8060" w:rsidR="009D6F6C" w:rsidRPr="00A14E37" w:rsidRDefault="009D6F6C" w:rsidP="00F949C5">
      <w:pPr>
        <w:pStyle w:val="Text"/>
        <w:spacing w:before="0"/>
        <w:rPr>
          <w:noProof/>
          <w:color w:val="000000"/>
          <w:sz w:val="22"/>
          <w:szCs w:val="22"/>
          <w:lang w:val="sr-Latn-ME"/>
        </w:rPr>
      </w:pPr>
      <w:r w:rsidRPr="00A14E37">
        <w:rPr>
          <w:noProof/>
          <w:color w:val="000000"/>
          <w:sz w:val="22"/>
          <w:szCs w:val="22"/>
          <w:lang w:val="sr-Latn-ME"/>
        </w:rPr>
        <w:t>- Uputstvo za lijek.</w:t>
      </w:r>
    </w:p>
    <w:p w14:paraId="5250C3AB" w14:textId="77777777" w:rsidR="0072020E" w:rsidRPr="00A14E37" w:rsidRDefault="0072020E">
      <w:pPr>
        <w:tabs>
          <w:tab w:val="left" w:pos="540"/>
          <w:tab w:val="left" w:pos="569"/>
        </w:tabs>
        <w:jc w:val="both"/>
        <w:rPr>
          <w:bCs/>
          <w:sz w:val="22"/>
          <w:szCs w:val="22"/>
          <w:lang w:val="sr-Latn-ME"/>
        </w:rPr>
      </w:pPr>
    </w:p>
    <w:p w14:paraId="7F6F4CB0" w14:textId="77777777" w:rsidR="002846DB" w:rsidRPr="00A14E37" w:rsidRDefault="0072020E">
      <w:pPr>
        <w:tabs>
          <w:tab w:val="left" w:pos="540"/>
          <w:tab w:val="left" w:pos="569"/>
        </w:tabs>
        <w:jc w:val="both"/>
        <w:rPr>
          <w:b/>
          <w:bCs/>
          <w:sz w:val="22"/>
          <w:szCs w:val="22"/>
          <w:lang w:val="sr-Latn-ME"/>
        </w:rPr>
      </w:pPr>
      <w:r w:rsidRPr="00A14E37">
        <w:rPr>
          <w:b/>
          <w:bCs/>
          <w:sz w:val="22"/>
          <w:szCs w:val="22"/>
          <w:lang w:val="sr-Latn-ME"/>
        </w:rPr>
        <w:t xml:space="preserve">6.6. </w:t>
      </w:r>
      <w:r w:rsidR="00480FB1" w:rsidRPr="00A14E37">
        <w:rPr>
          <w:b/>
          <w:bCs/>
          <w:sz w:val="22"/>
          <w:szCs w:val="22"/>
          <w:lang w:val="sr-Latn-ME"/>
        </w:rPr>
        <w:tab/>
      </w:r>
      <w:r w:rsidRPr="00A14E37">
        <w:rPr>
          <w:b/>
          <w:bCs/>
          <w:color w:val="000000"/>
          <w:sz w:val="22"/>
          <w:szCs w:val="22"/>
          <w:lang w:val="sr-Latn-ME"/>
        </w:rPr>
        <w:t>Posebne mjere opreza pri odlaganju materijala koji treba odbaciti nakon primjene lijeka</w:t>
      </w:r>
      <w:r w:rsidRPr="00A14E37">
        <w:rPr>
          <w:b/>
          <w:bCs/>
          <w:sz w:val="22"/>
          <w:szCs w:val="22"/>
          <w:lang w:val="sr-Latn-ME"/>
        </w:rPr>
        <w:t xml:space="preserve"> </w:t>
      </w:r>
      <w:r w:rsidR="00310F03" w:rsidRPr="00A14E37">
        <w:rPr>
          <w:b/>
          <w:bCs/>
          <w:sz w:val="22"/>
          <w:szCs w:val="22"/>
          <w:lang w:val="sr-Latn-ME"/>
        </w:rPr>
        <w:t xml:space="preserve">(i druga uputsva za rukovanje lijekom) </w:t>
      </w:r>
    </w:p>
    <w:p w14:paraId="6BDDE669" w14:textId="77777777" w:rsidR="00B66A70" w:rsidRPr="00A14E37" w:rsidRDefault="00B66A70">
      <w:pPr>
        <w:tabs>
          <w:tab w:val="left" w:pos="540"/>
          <w:tab w:val="left" w:pos="569"/>
        </w:tabs>
        <w:jc w:val="both"/>
        <w:rPr>
          <w:b/>
          <w:bCs/>
          <w:sz w:val="22"/>
          <w:szCs w:val="22"/>
          <w:lang w:val="sr-Latn-ME"/>
        </w:rPr>
      </w:pPr>
    </w:p>
    <w:p w14:paraId="7BDC6795" w14:textId="2B35CF98" w:rsidR="009D6F6C" w:rsidRPr="00A14E37" w:rsidRDefault="009D6F6C">
      <w:pPr>
        <w:tabs>
          <w:tab w:val="left" w:pos="540"/>
          <w:tab w:val="left" w:pos="569"/>
        </w:tabs>
        <w:jc w:val="both"/>
        <w:rPr>
          <w:sz w:val="22"/>
          <w:szCs w:val="22"/>
          <w:lang w:val="sr-Latn-ME"/>
        </w:rPr>
      </w:pPr>
      <w:r w:rsidRPr="00A14E37">
        <w:rPr>
          <w:sz w:val="22"/>
          <w:szCs w:val="22"/>
          <w:lang w:val="sr-Latn-ME"/>
        </w:rPr>
        <w:t>Svu neiskorišćenu količinu l</w:t>
      </w:r>
      <w:r w:rsidR="00FE3252" w:rsidRPr="00A14E37">
        <w:rPr>
          <w:sz w:val="22"/>
          <w:szCs w:val="22"/>
          <w:lang w:val="sr-Latn-ME"/>
        </w:rPr>
        <w:t>ij</w:t>
      </w:r>
      <w:r w:rsidRPr="00A14E37">
        <w:rPr>
          <w:sz w:val="22"/>
          <w:szCs w:val="22"/>
          <w:lang w:val="sr-Latn-ME"/>
        </w:rPr>
        <w:t>eka ili otpadnog materijala nakon njegove upotrebe treba ukloniti, u skladu sa važećim propisima.</w:t>
      </w:r>
    </w:p>
    <w:p w14:paraId="516104CB" w14:textId="1BCF2623" w:rsidR="0072020E" w:rsidRDefault="0072020E">
      <w:pPr>
        <w:tabs>
          <w:tab w:val="left" w:pos="540"/>
          <w:tab w:val="left" w:pos="569"/>
        </w:tabs>
        <w:jc w:val="both"/>
        <w:rPr>
          <w:bCs/>
          <w:sz w:val="22"/>
          <w:szCs w:val="22"/>
          <w:lang w:val="sr-Latn-ME"/>
        </w:rPr>
      </w:pPr>
    </w:p>
    <w:p w14:paraId="74F6C9A1" w14:textId="21FD017E" w:rsidR="00A14E37" w:rsidRDefault="00A14E37">
      <w:pPr>
        <w:tabs>
          <w:tab w:val="left" w:pos="540"/>
          <w:tab w:val="left" w:pos="569"/>
        </w:tabs>
        <w:jc w:val="both"/>
        <w:rPr>
          <w:bCs/>
          <w:sz w:val="22"/>
          <w:szCs w:val="22"/>
          <w:lang w:val="sr-Latn-ME"/>
        </w:rPr>
      </w:pPr>
    </w:p>
    <w:p w14:paraId="022EFBC5" w14:textId="77777777" w:rsidR="00A14E37" w:rsidRPr="00A14E37" w:rsidRDefault="00A14E37">
      <w:pPr>
        <w:tabs>
          <w:tab w:val="left" w:pos="540"/>
          <w:tab w:val="left" w:pos="569"/>
        </w:tabs>
        <w:jc w:val="both"/>
        <w:rPr>
          <w:bCs/>
          <w:sz w:val="22"/>
          <w:szCs w:val="22"/>
          <w:lang w:val="sr-Latn-ME"/>
        </w:rPr>
      </w:pPr>
    </w:p>
    <w:p w14:paraId="1201B744" w14:textId="77777777" w:rsidR="0063578C" w:rsidRPr="00A14E37" w:rsidRDefault="0063578C">
      <w:pPr>
        <w:autoSpaceDE w:val="0"/>
        <w:autoSpaceDN w:val="0"/>
        <w:adjustRightInd w:val="0"/>
        <w:jc w:val="both"/>
        <w:rPr>
          <w:b/>
          <w:sz w:val="22"/>
          <w:szCs w:val="22"/>
          <w:lang w:val="sr-Latn-ME"/>
        </w:rPr>
      </w:pPr>
      <w:r w:rsidRPr="00A14E37">
        <w:rPr>
          <w:b/>
          <w:sz w:val="22"/>
          <w:szCs w:val="22"/>
          <w:lang w:val="sr-Latn-ME"/>
        </w:rPr>
        <w:t>Uputstvo za upotrebu i rukovanje</w:t>
      </w:r>
    </w:p>
    <w:p w14:paraId="66E0652C" w14:textId="77777777" w:rsidR="0063578C" w:rsidRPr="00A14E37" w:rsidRDefault="0063578C">
      <w:pPr>
        <w:autoSpaceDE w:val="0"/>
        <w:autoSpaceDN w:val="0"/>
        <w:adjustRightInd w:val="0"/>
        <w:jc w:val="both"/>
        <w:rPr>
          <w:b/>
          <w:sz w:val="22"/>
          <w:szCs w:val="22"/>
          <w:lang w:val="sr-Latn-ME"/>
        </w:rPr>
      </w:pPr>
    </w:p>
    <w:p w14:paraId="49962F09" w14:textId="4ADD9C93" w:rsidR="0063578C" w:rsidRPr="00A14E37" w:rsidRDefault="0063578C">
      <w:pPr>
        <w:autoSpaceDE w:val="0"/>
        <w:autoSpaceDN w:val="0"/>
        <w:adjustRightInd w:val="0"/>
        <w:jc w:val="both"/>
        <w:rPr>
          <w:sz w:val="22"/>
          <w:szCs w:val="22"/>
          <w:lang w:val="sr-Latn-ME"/>
        </w:rPr>
      </w:pPr>
      <w:r w:rsidRPr="00A14E37">
        <w:rPr>
          <w:sz w:val="22"/>
          <w:szCs w:val="22"/>
          <w:lang w:val="sr-Latn-ME"/>
        </w:rPr>
        <w:t>Sandimmun Neoral, oralni rastvor u pakovanju ima dva šprica za mjerenje doza. Špric od 1 ml se koristi za mjerenje doza manjih ili jednakih 1ml (jedan podiok od 0,05</w:t>
      </w:r>
      <w:r w:rsidR="009D6F6C" w:rsidRPr="00A14E37">
        <w:rPr>
          <w:sz w:val="22"/>
          <w:szCs w:val="22"/>
          <w:lang w:val="sr-Latn-ME"/>
        </w:rPr>
        <w:t xml:space="preserve"> </w:t>
      </w:r>
      <w:r w:rsidRPr="00A14E37">
        <w:rPr>
          <w:sz w:val="22"/>
          <w:szCs w:val="22"/>
          <w:lang w:val="sr-Latn-ME"/>
        </w:rPr>
        <w:t>ml odgovara 5 mg ciklosporina). Špric od 4 ml se koristi za mjerenje doza većih od 1</w:t>
      </w:r>
      <w:r w:rsidR="008F39E6" w:rsidRPr="00A14E37">
        <w:rPr>
          <w:sz w:val="22"/>
          <w:szCs w:val="22"/>
          <w:lang w:val="sr-Latn-ME"/>
        </w:rPr>
        <w:t xml:space="preserve"> </w:t>
      </w:r>
      <w:r w:rsidRPr="00A14E37">
        <w:rPr>
          <w:sz w:val="22"/>
          <w:szCs w:val="22"/>
          <w:lang w:val="sr-Latn-ME"/>
        </w:rPr>
        <w:t>ml do 4 ml (jedan podiok od 0,1 ml odgovara 10 mg ciklosporina).</w:t>
      </w:r>
    </w:p>
    <w:p w14:paraId="2197553F" w14:textId="77777777" w:rsidR="0063578C" w:rsidRPr="00A14E37" w:rsidRDefault="0063578C">
      <w:pPr>
        <w:autoSpaceDE w:val="0"/>
        <w:autoSpaceDN w:val="0"/>
        <w:adjustRightInd w:val="0"/>
        <w:jc w:val="both"/>
        <w:rPr>
          <w:b/>
          <w:sz w:val="22"/>
          <w:szCs w:val="22"/>
          <w:lang w:val="sr-Latn-ME"/>
        </w:rPr>
      </w:pPr>
    </w:p>
    <w:p w14:paraId="45AE17B8" w14:textId="7B4937BB" w:rsidR="0063578C" w:rsidRPr="00A14E37" w:rsidRDefault="0063578C" w:rsidP="00D94D50">
      <w:pPr>
        <w:pStyle w:val="Heading3"/>
        <w:spacing w:before="0"/>
        <w:jc w:val="both"/>
        <w:rPr>
          <w:rFonts w:ascii="Times New Roman" w:hAnsi="Times New Roman" w:cs="Times New Roman"/>
          <w:b/>
          <w:color w:val="auto"/>
          <w:sz w:val="22"/>
          <w:szCs w:val="22"/>
          <w:lang w:val="sr-Latn-ME"/>
        </w:rPr>
      </w:pPr>
      <w:r w:rsidRPr="00A14E37">
        <w:rPr>
          <w:rFonts w:ascii="Times New Roman" w:hAnsi="Times New Roman" w:cs="Times New Roman"/>
          <w:b/>
          <w:color w:val="auto"/>
          <w:sz w:val="22"/>
          <w:szCs w:val="22"/>
          <w:lang w:val="sr-Latn-ME"/>
        </w:rPr>
        <w:t>Prva upotreba Sandimmun Neoral</w:t>
      </w:r>
      <w:r w:rsidRPr="00A14E37">
        <w:rPr>
          <w:rFonts w:ascii="Times New Roman" w:hAnsi="Times New Roman" w:cs="Times New Roman"/>
          <w:b/>
          <w:noProof/>
          <w:color w:val="auto"/>
          <w:sz w:val="22"/>
          <w:szCs w:val="22"/>
          <w:lang w:val="sr-Latn-ME"/>
        </w:rPr>
        <w:t xml:space="preserve"> </w:t>
      </w:r>
      <w:r w:rsidRPr="00A14E37">
        <w:rPr>
          <w:rFonts w:ascii="Times New Roman" w:hAnsi="Times New Roman" w:cs="Times New Roman"/>
          <w:b/>
          <w:color w:val="auto"/>
          <w:sz w:val="22"/>
          <w:szCs w:val="22"/>
          <w:lang w:val="sr-Latn-ME"/>
        </w:rPr>
        <w:t>oralnog rastvora</w:t>
      </w:r>
    </w:p>
    <w:p w14:paraId="42D0D2C6" w14:textId="77777777" w:rsidR="0063578C" w:rsidRPr="00A14E37" w:rsidRDefault="0063578C" w:rsidP="002045DA">
      <w:pPr>
        <w:jc w:val="both"/>
        <w:rPr>
          <w:sz w:val="22"/>
          <w:szCs w:val="22"/>
          <w:lang w:val="sr-Latn-ME"/>
        </w:rPr>
      </w:pPr>
    </w:p>
    <w:tbl>
      <w:tblPr>
        <w:tblW w:w="8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1"/>
        <w:gridCol w:w="2837"/>
      </w:tblGrid>
      <w:tr w:rsidR="0063578C" w:rsidRPr="00A14E37" w14:paraId="377B402E" w14:textId="77777777" w:rsidTr="0031444A">
        <w:trPr>
          <w:trHeight w:val="789"/>
        </w:trPr>
        <w:tc>
          <w:tcPr>
            <w:tcW w:w="5831" w:type="dxa"/>
            <w:tcBorders>
              <w:top w:val="single" w:sz="4" w:space="0" w:color="auto"/>
            </w:tcBorders>
          </w:tcPr>
          <w:p w14:paraId="6032C31B" w14:textId="77777777" w:rsidR="0063578C" w:rsidRPr="00A14E37" w:rsidRDefault="0063578C" w:rsidP="002045DA">
            <w:pPr>
              <w:pStyle w:val="Table"/>
              <w:numPr>
                <w:ilvl w:val="0"/>
                <w:numId w:val="13"/>
              </w:numPr>
              <w:jc w:val="both"/>
              <w:rPr>
                <w:rFonts w:ascii="Times New Roman" w:hAnsi="Times New Roman"/>
                <w:sz w:val="22"/>
                <w:szCs w:val="22"/>
                <w:lang w:val="sr-Latn-ME"/>
              </w:rPr>
            </w:pPr>
            <w:r w:rsidRPr="00A14E37">
              <w:rPr>
                <w:rFonts w:ascii="Times New Roman" w:hAnsi="Times New Roman"/>
                <w:sz w:val="22"/>
                <w:szCs w:val="22"/>
                <w:lang w:val="sr-Latn-ME"/>
              </w:rPr>
              <w:t>Podignite kapicu koja se nalazi u centru metalnog sigurnosnog prstena.</w:t>
            </w:r>
          </w:p>
        </w:tc>
        <w:tc>
          <w:tcPr>
            <w:tcW w:w="2837" w:type="dxa"/>
            <w:tcBorders>
              <w:top w:val="single" w:sz="4" w:space="0" w:color="auto"/>
            </w:tcBorders>
          </w:tcPr>
          <w:p w14:paraId="1673C019" w14:textId="77A37A58" w:rsidR="0063578C" w:rsidRPr="00A14E37" w:rsidRDefault="00BC16A1" w:rsidP="002045DA">
            <w:pPr>
              <w:pStyle w:val="Table"/>
              <w:jc w:val="both"/>
              <w:rPr>
                <w:rFonts w:ascii="Times New Roman" w:hAnsi="Times New Roman"/>
                <w:sz w:val="22"/>
                <w:szCs w:val="22"/>
                <w:lang w:val="sr-Latn-ME"/>
              </w:rPr>
            </w:pPr>
            <w:r w:rsidRPr="00A14E37">
              <w:rPr>
                <w:rFonts w:ascii="Times New Roman" w:hAnsi="Times New Roman"/>
                <w:noProof/>
                <w:sz w:val="22"/>
                <w:szCs w:val="22"/>
                <w:lang w:val="en-US"/>
              </w:rPr>
              <w:drawing>
                <wp:inline distT="0" distB="0" distL="0" distR="0" wp14:anchorId="68664C8B" wp14:editId="1F5EB798">
                  <wp:extent cx="1200150" cy="1438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1438275"/>
                          </a:xfrm>
                          <a:prstGeom prst="rect">
                            <a:avLst/>
                          </a:prstGeom>
                          <a:noFill/>
                          <a:ln>
                            <a:noFill/>
                          </a:ln>
                        </pic:spPr>
                      </pic:pic>
                    </a:graphicData>
                  </a:graphic>
                </wp:inline>
              </w:drawing>
            </w:r>
          </w:p>
          <w:p w14:paraId="719D3806" w14:textId="77777777" w:rsidR="0063578C" w:rsidRPr="00A14E37" w:rsidRDefault="0063578C" w:rsidP="002045DA">
            <w:pPr>
              <w:pStyle w:val="Table"/>
              <w:jc w:val="both"/>
              <w:rPr>
                <w:rFonts w:ascii="Times New Roman" w:hAnsi="Times New Roman"/>
                <w:sz w:val="22"/>
                <w:szCs w:val="22"/>
                <w:lang w:val="sr-Latn-ME"/>
              </w:rPr>
            </w:pPr>
          </w:p>
        </w:tc>
      </w:tr>
      <w:tr w:rsidR="0063578C" w:rsidRPr="00A14E37" w14:paraId="51AC2BC3" w14:textId="77777777" w:rsidTr="0031444A">
        <w:trPr>
          <w:trHeight w:val="685"/>
        </w:trPr>
        <w:tc>
          <w:tcPr>
            <w:tcW w:w="5831" w:type="dxa"/>
          </w:tcPr>
          <w:p w14:paraId="0E5A043F" w14:textId="0BD6FF31" w:rsidR="0063578C" w:rsidRPr="00A14E37" w:rsidRDefault="0063578C" w:rsidP="002045DA">
            <w:pPr>
              <w:pStyle w:val="Table"/>
              <w:numPr>
                <w:ilvl w:val="0"/>
                <w:numId w:val="13"/>
              </w:numPr>
              <w:jc w:val="both"/>
              <w:rPr>
                <w:rFonts w:ascii="Times New Roman" w:hAnsi="Times New Roman"/>
                <w:sz w:val="22"/>
                <w:szCs w:val="22"/>
                <w:lang w:val="sr-Latn-ME"/>
              </w:rPr>
            </w:pPr>
            <w:r w:rsidRPr="00A14E37">
              <w:rPr>
                <w:rFonts w:ascii="Times New Roman" w:hAnsi="Times New Roman"/>
                <w:sz w:val="22"/>
                <w:szCs w:val="22"/>
                <w:lang w:val="sr-Latn-ME"/>
              </w:rPr>
              <w:t xml:space="preserve">Skinite </w:t>
            </w:r>
            <w:r w:rsidR="009D6F6C" w:rsidRPr="00A14E37">
              <w:rPr>
                <w:rFonts w:ascii="Times New Roman" w:hAnsi="Times New Roman"/>
                <w:sz w:val="22"/>
                <w:szCs w:val="22"/>
                <w:lang w:val="sr-Latn-ME"/>
              </w:rPr>
              <w:t xml:space="preserve">metalni </w:t>
            </w:r>
            <w:r w:rsidRPr="00A14E37">
              <w:rPr>
                <w:rFonts w:ascii="Times New Roman" w:hAnsi="Times New Roman"/>
                <w:sz w:val="22"/>
                <w:szCs w:val="22"/>
                <w:lang w:val="sr-Latn-ME"/>
              </w:rPr>
              <w:t>prsten u potpunosti.</w:t>
            </w:r>
          </w:p>
          <w:p w14:paraId="2E61AF11" w14:textId="77777777" w:rsidR="0063578C" w:rsidRPr="00A14E37" w:rsidRDefault="0063578C" w:rsidP="002045DA">
            <w:pPr>
              <w:pStyle w:val="Table"/>
              <w:jc w:val="both"/>
              <w:rPr>
                <w:rFonts w:ascii="Times New Roman" w:hAnsi="Times New Roman"/>
                <w:sz w:val="22"/>
                <w:szCs w:val="22"/>
                <w:lang w:val="sr-Latn-ME"/>
              </w:rPr>
            </w:pPr>
          </w:p>
        </w:tc>
        <w:tc>
          <w:tcPr>
            <w:tcW w:w="2837" w:type="dxa"/>
          </w:tcPr>
          <w:p w14:paraId="7485F245" w14:textId="6529D5A2" w:rsidR="0063578C" w:rsidRPr="00A14E37" w:rsidRDefault="00BC16A1" w:rsidP="002045DA">
            <w:pPr>
              <w:pStyle w:val="Table"/>
              <w:jc w:val="both"/>
              <w:rPr>
                <w:rFonts w:ascii="Times New Roman" w:hAnsi="Times New Roman"/>
                <w:sz w:val="22"/>
                <w:szCs w:val="22"/>
                <w:lang w:val="sr-Latn-ME"/>
              </w:rPr>
            </w:pPr>
            <w:r w:rsidRPr="00A14E37">
              <w:rPr>
                <w:rFonts w:ascii="Times New Roman" w:hAnsi="Times New Roman"/>
                <w:noProof/>
                <w:sz w:val="22"/>
                <w:szCs w:val="22"/>
                <w:lang w:val="en-US"/>
              </w:rPr>
              <w:drawing>
                <wp:inline distT="0" distB="0" distL="0" distR="0" wp14:anchorId="505DBE6D" wp14:editId="3890969A">
                  <wp:extent cx="1200150" cy="1428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1428750"/>
                          </a:xfrm>
                          <a:prstGeom prst="rect">
                            <a:avLst/>
                          </a:prstGeom>
                          <a:noFill/>
                          <a:ln>
                            <a:noFill/>
                          </a:ln>
                        </pic:spPr>
                      </pic:pic>
                    </a:graphicData>
                  </a:graphic>
                </wp:inline>
              </w:drawing>
            </w:r>
          </w:p>
        </w:tc>
      </w:tr>
      <w:tr w:rsidR="0063578C" w:rsidRPr="00A14E37" w14:paraId="7106E820" w14:textId="77777777" w:rsidTr="0031444A">
        <w:trPr>
          <w:trHeight w:val="690"/>
        </w:trPr>
        <w:tc>
          <w:tcPr>
            <w:tcW w:w="5831" w:type="dxa"/>
          </w:tcPr>
          <w:p w14:paraId="5517CADB" w14:textId="602EAFDB" w:rsidR="0063578C" w:rsidRPr="00A14E37" w:rsidRDefault="00CA111F" w:rsidP="002045DA">
            <w:pPr>
              <w:pStyle w:val="Table"/>
              <w:numPr>
                <w:ilvl w:val="0"/>
                <w:numId w:val="13"/>
              </w:numPr>
              <w:jc w:val="both"/>
              <w:rPr>
                <w:rFonts w:ascii="Times New Roman" w:hAnsi="Times New Roman"/>
                <w:sz w:val="22"/>
                <w:szCs w:val="22"/>
                <w:lang w:val="sr-Latn-ME"/>
              </w:rPr>
            </w:pPr>
            <w:r w:rsidRPr="00A14E37">
              <w:rPr>
                <w:rFonts w:ascii="Times New Roman" w:hAnsi="Times New Roman"/>
                <w:sz w:val="22"/>
                <w:szCs w:val="22"/>
                <w:lang w:val="sr-Latn-ME"/>
              </w:rPr>
              <w:t>Skinite</w:t>
            </w:r>
            <w:r w:rsidR="0063578C" w:rsidRPr="00A14E37">
              <w:rPr>
                <w:rFonts w:ascii="Times New Roman" w:hAnsi="Times New Roman"/>
                <w:sz w:val="22"/>
                <w:szCs w:val="22"/>
                <w:lang w:val="sr-Latn-ME"/>
              </w:rPr>
              <w:t xml:space="preserve"> </w:t>
            </w:r>
            <w:r w:rsidR="00824DD6" w:rsidRPr="00A14E37">
              <w:rPr>
                <w:rFonts w:ascii="Times New Roman" w:hAnsi="Times New Roman"/>
                <w:sz w:val="22"/>
                <w:szCs w:val="22"/>
                <w:lang w:val="sr-Latn-ME"/>
              </w:rPr>
              <w:t>sivi</w:t>
            </w:r>
            <w:r w:rsidR="0063578C" w:rsidRPr="00A14E37">
              <w:rPr>
                <w:rFonts w:ascii="Times New Roman" w:hAnsi="Times New Roman"/>
                <w:sz w:val="22"/>
                <w:szCs w:val="22"/>
                <w:lang w:val="sr-Latn-ME"/>
              </w:rPr>
              <w:t xml:space="preserve"> gumeni </w:t>
            </w:r>
            <w:r w:rsidR="009D6F6C" w:rsidRPr="00A14E37">
              <w:rPr>
                <w:rFonts w:ascii="Times New Roman" w:hAnsi="Times New Roman"/>
                <w:sz w:val="22"/>
                <w:szCs w:val="22"/>
                <w:lang w:val="sr-Latn-ME"/>
              </w:rPr>
              <w:t>če</w:t>
            </w:r>
            <w:r w:rsidRPr="00A14E37">
              <w:rPr>
                <w:rFonts w:ascii="Times New Roman" w:hAnsi="Times New Roman"/>
                <w:sz w:val="22"/>
                <w:szCs w:val="22"/>
                <w:lang w:val="sr-Latn-ME"/>
              </w:rPr>
              <w:t>p</w:t>
            </w:r>
            <w:r w:rsidR="0063578C" w:rsidRPr="00A14E37">
              <w:rPr>
                <w:rFonts w:ascii="Times New Roman" w:hAnsi="Times New Roman"/>
                <w:sz w:val="22"/>
                <w:szCs w:val="22"/>
                <w:lang w:val="sr-Latn-ME"/>
              </w:rPr>
              <w:t xml:space="preserve"> sa bočice i bacite ga.</w:t>
            </w:r>
          </w:p>
          <w:p w14:paraId="0CCE066F" w14:textId="77777777" w:rsidR="0063578C" w:rsidRPr="00A14E37" w:rsidRDefault="0063578C" w:rsidP="002045DA">
            <w:pPr>
              <w:pStyle w:val="Table"/>
              <w:jc w:val="both"/>
              <w:rPr>
                <w:rFonts w:ascii="Times New Roman" w:hAnsi="Times New Roman"/>
                <w:sz w:val="22"/>
                <w:szCs w:val="22"/>
                <w:lang w:val="sr-Latn-ME"/>
              </w:rPr>
            </w:pPr>
          </w:p>
        </w:tc>
        <w:tc>
          <w:tcPr>
            <w:tcW w:w="2837" w:type="dxa"/>
          </w:tcPr>
          <w:p w14:paraId="56D97FC1" w14:textId="2AADE1BE" w:rsidR="0063578C" w:rsidRPr="00A14E37" w:rsidRDefault="00BC16A1" w:rsidP="002045DA">
            <w:pPr>
              <w:pStyle w:val="Table"/>
              <w:jc w:val="both"/>
              <w:rPr>
                <w:rFonts w:ascii="Times New Roman" w:hAnsi="Times New Roman"/>
                <w:sz w:val="22"/>
                <w:szCs w:val="22"/>
                <w:lang w:val="sr-Latn-ME"/>
              </w:rPr>
            </w:pPr>
            <w:r w:rsidRPr="00A14E37">
              <w:rPr>
                <w:rFonts w:ascii="Times New Roman" w:hAnsi="Times New Roman"/>
                <w:noProof/>
                <w:sz w:val="22"/>
                <w:szCs w:val="22"/>
                <w:lang w:val="en-US"/>
              </w:rPr>
              <w:drawing>
                <wp:inline distT="0" distB="0" distL="0" distR="0" wp14:anchorId="6941E2A9" wp14:editId="3D8936FA">
                  <wp:extent cx="1181100" cy="1533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533525"/>
                          </a:xfrm>
                          <a:prstGeom prst="rect">
                            <a:avLst/>
                          </a:prstGeom>
                          <a:noFill/>
                          <a:ln>
                            <a:noFill/>
                          </a:ln>
                        </pic:spPr>
                      </pic:pic>
                    </a:graphicData>
                  </a:graphic>
                </wp:inline>
              </w:drawing>
            </w:r>
          </w:p>
        </w:tc>
      </w:tr>
    </w:tbl>
    <w:p w14:paraId="64314A15" w14:textId="77777777" w:rsidR="008F39E6" w:rsidRPr="00A14E37" w:rsidRDefault="008F39E6">
      <w:pPr>
        <w:rPr>
          <w:lang w:val="sr-Latn-ME"/>
        </w:rPr>
      </w:pPr>
    </w:p>
    <w:tbl>
      <w:tblPr>
        <w:tblW w:w="8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1"/>
        <w:gridCol w:w="2837"/>
      </w:tblGrid>
      <w:tr w:rsidR="0063578C" w:rsidRPr="00A14E37" w14:paraId="4C8FD2BC" w14:textId="77777777" w:rsidTr="0031444A">
        <w:trPr>
          <w:trHeight w:val="685"/>
        </w:trPr>
        <w:tc>
          <w:tcPr>
            <w:tcW w:w="5831" w:type="dxa"/>
          </w:tcPr>
          <w:p w14:paraId="31040BBC" w14:textId="2340ACD3" w:rsidR="0063578C" w:rsidRPr="00A14E37" w:rsidRDefault="00077160" w:rsidP="002045DA">
            <w:pPr>
              <w:pStyle w:val="Table"/>
              <w:numPr>
                <w:ilvl w:val="0"/>
                <w:numId w:val="13"/>
              </w:numPr>
              <w:jc w:val="both"/>
              <w:rPr>
                <w:rFonts w:ascii="Times New Roman" w:hAnsi="Times New Roman"/>
                <w:sz w:val="22"/>
                <w:szCs w:val="22"/>
                <w:lang w:val="sr-Latn-ME"/>
              </w:rPr>
            </w:pPr>
            <w:r w:rsidRPr="00A14E37">
              <w:rPr>
                <w:rFonts w:ascii="Times New Roman" w:hAnsi="Times New Roman"/>
                <w:sz w:val="22"/>
                <w:szCs w:val="22"/>
                <w:lang w:val="sr-Latn-ME"/>
              </w:rPr>
              <w:lastRenderedPageBreak/>
              <w:t>Gurnite cjevasti dio b</w:t>
            </w:r>
            <w:r w:rsidR="0063578C" w:rsidRPr="00A14E37">
              <w:rPr>
                <w:rFonts w:ascii="Times New Roman" w:hAnsi="Times New Roman"/>
                <w:sz w:val="22"/>
                <w:szCs w:val="22"/>
                <w:lang w:val="sr-Latn-ME"/>
              </w:rPr>
              <w:t>ijel</w:t>
            </w:r>
            <w:r w:rsidRPr="00A14E37">
              <w:rPr>
                <w:rFonts w:ascii="Times New Roman" w:hAnsi="Times New Roman"/>
                <w:sz w:val="22"/>
                <w:szCs w:val="22"/>
                <w:lang w:val="sr-Latn-ME"/>
              </w:rPr>
              <w:t>og</w:t>
            </w:r>
            <w:r w:rsidR="0063578C" w:rsidRPr="00A14E37">
              <w:rPr>
                <w:rFonts w:ascii="Times New Roman" w:hAnsi="Times New Roman"/>
                <w:sz w:val="22"/>
                <w:szCs w:val="22"/>
                <w:lang w:val="sr-Latn-ME"/>
              </w:rPr>
              <w:t xml:space="preserve"> </w:t>
            </w:r>
            <w:r w:rsidRPr="00A14E37">
              <w:rPr>
                <w:rFonts w:ascii="Times New Roman" w:hAnsi="Times New Roman"/>
                <w:sz w:val="22"/>
                <w:szCs w:val="22"/>
                <w:lang w:val="sr-Latn-ME"/>
              </w:rPr>
              <w:t>zatvarača čvrsto</w:t>
            </w:r>
            <w:r w:rsidR="0063578C" w:rsidRPr="00A14E37">
              <w:rPr>
                <w:rFonts w:ascii="Times New Roman" w:hAnsi="Times New Roman"/>
                <w:sz w:val="22"/>
                <w:szCs w:val="22"/>
                <w:lang w:val="sr-Latn-ME"/>
              </w:rPr>
              <w:t xml:space="preserve"> u vrat bočice.</w:t>
            </w:r>
          </w:p>
          <w:p w14:paraId="03430BBC" w14:textId="77777777" w:rsidR="0063578C" w:rsidRPr="00A14E37" w:rsidRDefault="0063578C" w:rsidP="002045DA">
            <w:pPr>
              <w:pStyle w:val="Table"/>
              <w:jc w:val="both"/>
              <w:rPr>
                <w:rFonts w:ascii="Times New Roman" w:hAnsi="Times New Roman"/>
                <w:sz w:val="22"/>
                <w:szCs w:val="22"/>
                <w:lang w:val="sr-Latn-ME"/>
              </w:rPr>
            </w:pPr>
          </w:p>
        </w:tc>
        <w:tc>
          <w:tcPr>
            <w:tcW w:w="2837" w:type="dxa"/>
          </w:tcPr>
          <w:p w14:paraId="3E25D602" w14:textId="77777777" w:rsidR="0063578C" w:rsidRPr="00A14E37" w:rsidRDefault="0063578C" w:rsidP="002045DA">
            <w:pPr>
              <w:pStyle w:val="Table"/>
              <w:jc w:val="both"/>
              <w:rPr>
                <w:rFonts w:ascii="Times New Roman" w:hAnsi="Times New Roman"/>
                <w:color w:val="0000FF"/>
                <w:sz w:val="22"/>
                <w:szCs w:val="22"/>
                <w:lang w:val="sr-Latn-ME"/>
              </w:rPr>
            </w:pPr>
            <w:r w:rsidRPr="00A14E37">
              <w:rPr>
                <w:rFonts w:ascii="Times New Roman" w:hAnsi="Times New Roman"/>
                <w:noProof/>
                <w:color w:val="0000FF"/>
                <w:sz w:val="22"/>
                <w:szCs w:val="22"/>
                <w:lang w:val="en-US"/>
              </w:rPr>
              <w:drawing>
                <wp:inline distT="0" distB="0" distL="0" distR="0" wp14:anchorId="6CC0AB4C" wp14:editId="367886C9">
                  <wp:extent cx="1047750" cy="1228725"/>
                  <wp:effectExtent l="0" t="0" r="0" b="9525"/>
                  <wp:docPr id="8" name="Picture 8" descr="SandimmunNeoral%2004%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dimmunNeoral%2004%20abbildung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78C" w:rsidRPr="00A14E37" w14:paraId="39CB1DCB" w14:textId="77777777" w:rsidTr="0031444A">
        <w:trPr>
          <w:trHeight w:val="664"/>
        </w:trPr>
        <w:tc>
          <w:tcPr>
            <w:tcW w:w="5831" w:type="dxa"/>
            <w:tcBorders>
              <w:top w:val="single" w:sz="4" w:space="0" w:color="auto"/>
            </w:tcBorders>
          </w:tcPr>
          <w:p w14:paraId="000527C3" w14:textId="0332DADF" w:rsidR="00077160" w:rsidRPr="00A14E37" w:rsidRDefault="0063578C" w:rsidP="002045DA">
            <w:pPr>
              <w:numPr>
                <w:ilvl w:val="0"/>
                <w:numId w:val="13"/>
              </w:numPr>
              <w:tabs>
                <w:tab w:val="left" w:pos="284"/>
              </w:tabs>
              <w:jc w:val="both"/>
              <w:rPr>
                <w:sz w:val="22"/>
                <w:szCs w:val="22"/>
                <w:lang w:val="sr-Latn-ME"/>
              </w:rPr>
            </w:pPr>
            <w:r w:rsidRPr="00A14E37">
              <w:rPr>
                <w:sz w:val="22"/>
                <w:szCs w:val="22"/>
                <w:lang w:val="sr-Latn-ME"/>
              </w:rPr>
              <w:t xml:space="preserve">Izaberite špric u zavisnosti od </w:t>
            </w:r>
            <w:r w:rsidR="00077160" w:rsidRPr="00A14E37">
              <w:rPr>
                <w:sz w:val="22"/>
                <w:szCs w:val="22"/>
                <w:lang w:val="sr-Latn-ME"/>
              </w:rPr>
              <w:t>toga koliko lijeka treba da odmjerite</w:t>
            </w:r>
            <w:r w:rsidRPr="00A14E37">
              <w:rPr>
                <w:sz w:val="22"/>
                <w:szCs w:val="22"/>
                <w:lang w:val="sr-Latn-ME"/>
              </w:rPr>
              <w:t xml:space="preserve">. </w:t>
            </w:r>
          </w:p>
          <w:p w14:paraId="09FEDAE5" w14:textId="48459521" w:rsidR="00077160" w:rsidRPr="00A14E37" w:rsidRDefault="0063578C" w:rsidP="00D94D50">
            <w:pPr>
              <w:tabs>
                <w:tab w:val="left" w:pos="284"/>
              </w:tabs>
              <w:ind w:left="720"/>
              <w:jc w:val="both"/>
              <w:rPr>
                <w:sz w:val="22"/>
                <w:szCs w:val="22"/>
                <w:lang w:val="sr-Latn-ME"/>
              </w:rPr>
            </w:pPr>
            <w:r w:rsidRPr="00A14E37">
              <w:rPr>
                <w:sz w:val="22"/>
                <w:szCs w:val="22"/>
                <w:lang w:val="sr-Latn-ME"/>
              </w:rPr>
              <w:t xml:space="preserve">Za količine manje od 1 ml ili od 1 ml, koristite špric od 1 ml. </w:t>
            </w:r>
          </w:p>
          <w:p w14:paraId="09B9160B" w14:textId="685C2480" w:rsidR="0063578C" w:rsidRPr="00A14E37" w:rsidRDefault="0063578C">
            <w:pPr>
              <w:ind w:left="720"/>
              <w:jc w:val="both"/>
              <w:rPr>
                <w:sz w:val="22"/>
                <w:szCs w:val="22"/>
                <w:lang w:val="sr-Latn-ME"/>
              </w:rPr>
            </w:pPr>
            <w:r w:rsidRPr="00A14E37">
              <w:rPr>
                <w:sz w:val="22"/>
                <w:szCs w:val="22"/>
                <w:lang w:val="sr-Latn-ME"/>
              </w:rPr>
              <w:t xml:space="preserve">Za količine veće od 1 ml, koristite špric od 4 ml. Ubacite </w:t>
            </w:r>
            <w:r w:rsidR="00077160" w:rsidRPr="00A14E37">
              <w:rPr>
                <w:sz w:val="22"/>
                <w:szCs w:val="22"/>
                <w:lang w:val="sr-Latn-ME"/>
              </w:rPr>
              <w:t xml:space="preserve">vrh </w:t>
            </w:r>
            <w:r w:rsidRPr="00A14E37">
              <w:rPr>
                <w:sz w:val="22"/>
                <w:szCs w:val="22"/>
                <w:lang w:val="sr-Latn-ME"/>
              </w:rPr>
              <w:t>špric</w:t>
            </w:r>
            <w:r w:rsidR="00077160" w:rsidRPr="00A14E37">
              <w:rPr>
                <w:sz w:val="22"/>
                <w:szCs w:val="22"/>
                <w:lang w:val="sr-Latn-ME"/>
              </w:rPr>
              <w:t>a</w:t>
            </w:r>
            <w:r w:rsidRPr="00A14E37">
              <w:rPr>
                <w:sz w:val="22"/>
                <w:szCs w:val="22"/>
                <w:lang w:val="sr-Latn-ME"/>
              </w:rPr>
              <w:t xml:space="preserve"> u bijeli zatvarač.</w:t>
            </w:r>
          </w:p>
          <w:p w14:paraId="1C8F669C" w14:textId="77777777" w:rsidR="0063578C" w:rsidRPr="00A14E37" w:rsidRDefault="0063578C" w:rsidP="002045DA">
            <w:pPr>
              <w:jc w:val="both"/>
              <w:rPr>
                <w:sz w:val="22"/>
                <w:szCs w:val="22"/>
                <w:lang w:val="sr-Latn-ME"/>
              </w:rPr>
            </w:pPr>
          </w:p>
        </w:tc>
        <w:tc>
          <w:tcPr>
            <w:tcW w:w="2837" w:type="dxa"/>
            <w:tcBorders>
              <w:top w:val="single" w:sz="4" w:space="0" w:color="auto"/>
            </w:tcBorders>
          </w:tcPr>
          <w:p w14:paraId="44603481" w14:textId="77777777" w:rsidR="0063578C" w:rsidRPr="00A14E37" w:rsidRDefault="0063578C" w:rsidP="002045DA">
            <w:pPr>
              <w:jc w:val="both"/>
              <w:rPr>
                <w:sz w:val="22"/>
                <w:szCs w:val="22"/>
                <w:lang w:val="sr-Latn-ME"/>
              </w:rPr>
            </w:pPr>
            <w:r w:rsidRPr="00A14E37">
              <w:rPr>
                <w:noProof/>
                <w:sz w:val="22"/>
                <w:szCs w:val="22"/>
              </w:rPr>
              <w:drawing>
                <wp:inline distT="0" distB="0" distL="0" distR="0" wp14:anchorId="48D79061" wp14:editId="10CABE65">
                  <wp:extent cx="1047750" cy="1228725"/>
                  <wp:effectExtent l="0" t="0" r="0" b="9525"/>
                  <wp:docPr id="7" name="Picture 7" descr="SandimmunNeoral%2005%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ndimmunNeoral%2005%20abbildung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78C" w:rsidRPr="00A14E37" w14:paraId="603B9720" w14:textId="77777777" w:rsidTr="0031444A">
        <w:trPr>
          <w:trHeight w:val="669"/>
        </w:trPr>
        <w:tc>
          <w:tcPr>
            <w:tcW w:w="5831" w:type="dxa"/>
          </w:tcPr>
          <w:p w14:paraId="4042C1EC" w14:textId="2FA792D9" w:rsidR="0063578C" w:rsidRPr="00A14E37" w:rsidRDefault="0014625A" w:rsidP="00A14E37">
            <w:pPr>
              <w:numPr>
                <w:ilvl w:val="0"/>
                <w:numId w:val="13"/>
              </w:numPr>
              <w:tabs>
                <w:tab w:val="left" w:pos="284"/>
              </w:tabs>
              <w:jc w:val="both"/>
              <w:rPr>
                <w:sz w:val="22"/>
                <w:szCs w:val="22"/>
                <w:lang w:val="sr-Latn-ME"/>
              </w:rPr>
            </w:pPr>
            <w:r w:rsidRPr="00A14E37">
              <w:rPr>
                <w:sz w:val="22"/>
                <w:szCs w:val="22"/>
                <w:lang w:val="sr-Latn-ME"/>
              </w:rPr>
              <w:t xml:space="preserve">Povucite klip dok ne izvučete propisanu količinu rastvora </w:t>
            </w:r>
            <w:r w:rsidR="00E54B11" w:rsidRPr="00A14E37">
              <w:rPr>
                <w:sz w:val="22"/>
                <w:szCs w:val="22"/>
                <w:lang w:val="sr-Latn-ME"/>
              </w:rPr>
              <w:t>(d</w:t>
            </w:r>
            <w:r w:rsidRPr="00A14E37">
              <w:rPr>
                <w:sz w:val="22"/>
                <w:szCs w:val="22"/>
                <w:lang w:val="sr-Latn-ME"/>
              </w:rPr>
              <w:t>onji dio prstena klipa treba da bude ispred podioka šprica koji odgovara propisanoj dozi lijeka</w:t>
            </w:r>
            <w:r w:rsidR="00E54B11" w:rsidRPr="00A14E37">
              <w:rPr>
                <w:sz w:val="22"/>
                <w:szCs w:val="22"/>
                <w:lang w:val="sr-Latn-ME"/>
              </w:rPr>
              <w:t>)</w:t>
            </w:r>
            <w:r w:rsidRPr="00A14E37">
              <w:rPr>
                <w:sz w:val="22"/>
                <w:szCs w:val="22"/>
                <w:lang w:val="sr-Latn-ME"/>
              </w:rPr>
              <w:t>.</w:t>
            </w:r>
          </w:p>
        </w:tc>
        <w:tc>
          <w:tcPr>
            <w:tcW w:w="2837" w:type="dxa"/>
          </w:tcPr>
          <w:p w14:paraId="5C165805" w14:textId="77777777" w:rsidR="0063578C" w:rsidRPr="00A14E37" w:rsidRDefault="0063578C" w:rsidP="002045DA">
            <w:pPr>
              <w:jc w:val="both"/>
              <w:rPr>
                <w:sz w:val="22"/>
                <w:szCs w:val="22"/>
                <w:lang w:val="sr-Latn-ME"/>
              </w:rPr>
            </w:pPr>
            <w:r w:rsidRPr="00A14E37">
              <w:rPr>
                <w:noProof/>
                <w:sz w:val="22"/>
                <w:szCs w:val="22"/>
              </w:rPr>
              <w:drawing>
                <wp:inline distT="0" distB="0" distL="0" distR="0" wp14:anchorId="4CF6E469" wp14:editId="36A56111">
                  <wp:extent cx="1047750" cy="1228725"/>
                  <wp:effectExtent l="0" t="0" r="0" b="9525"/>
                  <wp:docPr id="6" name="Picture 6" descr="SandimmunNeoral%2006%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ndimmunNeoral%2006%20abbildung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78C" w:rsidRPr="00A14E37" w14:paraId="1F5D32B0" w14:textId="77777777" w:rsidTr="0031444A">
        <w:trPr>
          <w:trHeight w:val="664"/>
        </w:trPr>
        <w:tc>
          <w:tcPr>
            <w:tcW w:w="5831" w:type="dxa"/>
          </w:tcPr>
          <w:p w14:paraId="1CB61B71" w14:textId="0291AD13" w:rsidR="0014625A" w:rsidRPr="00A14E37" w:rsidRDefault="0014625A" w:rsidP="00A14E37">
            <w:pPr>
              <w:numPr>
                <w:ilvl w:val="0"/>
                <w:numId w:val="13"/>
              </w:numPr>
              <w:tabs>
                <w:tab w:val="left" w:pos="284"/>
              </w:tabs>
              <w:jc w:val="both"/>
              <w:rPr>
                <w:sz w:val="22"/>
                <w:szCs w:val="22"/>
                <w:lang w:val="sr-Latn-ME"/>
              </w:rPr>
            </w:pPr>
            <w:r w:rsidRPr="00A14E37">
              <w:rPr>
                <w:sz w:val="22"/>
                <w:szCs w:val="22"/>
                <w:lang w:val="sr-Latn-ME"/>
              </w:rPr>
              <w:t>Spuštajte i povlačite klip nekoliko puta</w:t>
            </w:r>
            <w:r w:rsidR="00C00269" w:rsidRPr="00A14E37">
              <w:rPr>
                <w:sz w:val="22"/>
                <w:szCs w:val="22"/>
                <w:lang w:val="sr-Latn-ME"/>
              </w:rPr>
              <w:t xml:space="preserve"> da biste</w:t>
            </w:r>
            <w:r w:rsidR="00A14E37">
              <w:rPr>
                <w:sz w:val="22"/>
                <w:szCs w:val="22"/>
                <w:lang w:val="sr-Latn-ME"/>
              </w:rPr>
              <w:t xml:space="preserve"> </w:t>
            </w:r>
            <w:r w:rsidRPr="00A14E37">
              <w:rPr>
                <w:sz w:val="22"/>
                <w:szCs w:val="22"/>
                <w:lang w:val="sr-Latn-ME"/>
              </w:rPr>
              <w:t>izbaci</w:t>
            </w:r>
            <w:r w:rsidR="00C00269" w:rsidRPr="00A14E37">
              <w:rPr>
                <w:sz w:val="22"/>
                <w:szCs w:val="22"/>
                <w:lang w:val="sr-Latn-ME"/>
              </w:rPr>
              <w:t>l</w:t>
            </w:r>
            <w:r w:rsidRPr="00A14E37">
              <w:rPr>
                <w:sz w:val="22"/>
                <w:szCs w:val="22"/>
                <w:lang w:val="sr-Latn-ME"/>
              </w:rPr>
              <w:t>i sv</w:t>
            </w:r>
            <w:r w:rsidR="00C00269" w:rsidRPr="00A14E37">
              <w:rPr>
                <w:sz w:val="22"/>
                <w:szCs w:val="22"/>
                <w:lang w:val="sr-Latn-ME"/>
              </w:rPr>
              <w:t>e</w:t>
            </w:r>
            <w:r w:rsidRPr="00A14E37">
              <w:rPr>
                <w:sz w:val="22"/>
                <w:szCs w:val="22"/>
                <w:lang w:val="sr-Latn-ME"/>
              </w:rPr>
              <w:t xml:space="preserve"> već</w:t>
            </w:r>
            <w:r w:rsidR="00C00269" w:rsidRPr="00A14E37">
              <w:rPr>
                <w:sz w:val="22"/>
                <w:szCs w:val="22"/>
                <w:lang w:val="sr-Latn-ME"/>
              </w:rPr>
              <w:t>e</w:t>
            </w:r>
            <w:r w:rsidRPr="00A14E37">
              <w:rPr>
                <w:sz w:val="22"/>
                <w:szCs w:val="22"/>
                <w:lang w:val="sr-Latn-ME"/>
              </w:rPr>
              <w:t xml:space="preserve"> mjehurić</w:t>
            </w:r>
            <w:r w:rsidR="00C00269" w:rsidRPr="00A14E37">
              <w:rPr>
                <w:sz w:val="22"/>
                <w:szCs w:val="22"/>
                <w:lang w:val="sr-Latn-ME"/>
              </w:rPr>
              <w:t>e prije izvlačenja šprica koji sadrži propisanu dozu lijeka iz boce</w:t>
            </w:r>
            <w:r w:rsidRPr="00A14E37">
              <w:rPr>
                <w:sz w:val="22"/>
                <w:szCs w:val="22"/>
                <w:lang w:val="sr-Latn-ME"/>
              </w:rPr>
              <w:t>. Zanemarljivo je ukoliko ostane nekolicina malih mjehurića u špricu</w:t>
            </w:r>
            <w:r w:rsidR="00C00269" w:rsidRPr="00A14E37">
              <w:rPr>
                <w:sz w:val="22"/>
                <w:szCs w:val="22"/>
                <w:lang w:val="sr-Latn-ME"/>
              </w:rPr>
              <w:t xml:space="preserve"> i</w:t>
            </w:r>
            <w:r w:rsidRPr="00A14E37">
              <w:rPr>
                <w:sz w:val="22"/>
                <w:szCs w:val="22"/>
                <w:lang w:val="sr-Latn-ME"/>
              </w:rPr>
              <w:t xml:space="preserve"> </w:t>
            </w:r>
            <w:r w:rsidR="00C00269" w:rsidRPr="00A14E37">
              <w:rPr>
                <w:sz w:val="22"/>
                <w:szCs w:val="22"/>
                <w:lang w:val="sr-Latn-ME"/>
              </w:rPr>
              <w:t>o</w:t>
            </w:r>
            <w:r w:rsidRPr="00A14E37">
              <w:rPr>
                <w:sz w:val="22"/>
                <w:szCs w:val="22"/>
                <w:lang w:val="sr-Latn-ME"/>
              </w:rPr>
              <w:t>vo svakako neće uticati na dozu.</w:t>
            </w:r>
          </w:p>
          <w:p w14:paraId="69218243" w14:textId="2442B4C2" w:rsidR="0063578C" w:rsidRPr="00A14E37" w:rsidRDefault="0014625A" w:rsidP="00FB1A50">
            <w:pPr>
              <w:jc w:val="both"/>
              <w:rPr>
                <w:sz w:val="22"/>
                <w:szCs w:val="22"/>
                <w:lang w:val="sr-Latn-ME"/>
              </w:rPr>
            </w:pPr>
            <w:r w:rsidRPr="00A14E37">
              <w:rPr>
                <w:sz w:val="22"/>
                <w:szCs w:val="22"/>
                <w:lang w:val="sr-Latn-ME"/>
              </w:rPr>
              <w:t xml:space="preserve">             </w:t>
            </w:r>
          </w:p>
        </w:tc>
        <w:tc>
          <w:tcPr>
            <w:tcW w:w="2837" w:type="dxa"/>
          </w:tcPr>
          <w:p w14:paraId="458F23CC" w14:textId="77777777" w:rsidR="0063578C" w:rsidRPr="00A14E37" w:rsidRDefault="0063578C" w:rsidP="002045DA">
            <w:pPr>
              <w:jc w:val="both"/>
              <w:rPr>
                <w:sz w:val="22"/>
                <w:szCs w:val="22"/>
                <w:lang w:val="sr-Latn-ME"/>
              </w:rPr>
            </w:pPr>
            <w:r w:rsidRPr="00A14E37">
              <w:rPr>
                <w:noProof/>
                <w:sz w:val="22"/>
                <w:szCs w:val="22"/>
              </w:rPr>
              <w:drawing>
                <wp:inline distT="0" distB="0" distL="0" distR="0" wp14:anchorId="0189A99D" wp14:editId="193C96BF">
                  <wp:extent cx="1047750" cy="1228725"/>
                  <wp:effectExtent l="0" t="0" r="0" b="9525"/>
                  <wp:docPr id="5" name="Picture 5" descr="SandimmunNeoral%2007%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dimmunNeoral%2007%20abbildung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1228725"/>
                          </a:xfrm>
                          <a:prstGeom prst="rect">
                            <a:avLst/>
                          </a:prstGeom>
                          <a:noFill/>
                          <a:ln>
                            <a:noFill/>
                          </a:ln>
                        </pic:spPr>
                      </pic:pic>
                    </a:graphicData>
                  </a:graphic>
                </wp:inline>
              </w:drawing>
            </w:r>
          </w:p>
        </w:tc>
      </w:tr>
      <w:tr w:rsidR="0063578C" w:rsidRPr="00A14E37" w14:paraId="443E4793" w14:textId="77777777" w:rsidTr="0031444A">
        <w:trPr>
          <w:trHeight w:val="752"/>
        </w:trPr>
        <w:tc>
          <w:tcPr>
            <w:tcW w:w="5831" w:type="dxa"/>
          </w:tcPr>
          <w:p w14:paraId="0BA7292E" w14:textId="77ADA70D" w:rsidR="0014625A" w:rsidRPr="00A14E37" w:rsidRDefault="0014625A" w:rsidP="0014625A">
            <w:pPr>
              <w:numPr>
                <w:ilvl w:val="0"/>
                <w:numId w:val="13"/>
              </w:numPr>
              <w:tabs>
                <w:tab w:val="left" w:pos="284"/>
              </w:tabs>
              <w:jc w:val="both"/>
              <w:rPr>
                <w:sz w:val="22"/>
                <w:szCs w:val="22"/>
                <w:lang w:val="sr-Latn-ME"/>
              </w:rPr>
            </w:pPr>
            <w:r w:rsidRPr="00A14E37">
              <w:rPr>
                <w:sz w:val="22"/>
                <w:szCs w:val="22"/>
                <w:lang w:val="sr-Latn-ME"/>
              </w:rPr>
              <w:t>Istisnite lijek iz šprica u malu čašu sa nešto tečnosti</w:t>
            </w:r>
            <w:r w:rsidR="00C00269" w:rsidRPr="00A14E37">
              <w:rPr>
                <w:sz w:val="22"/>
                <w:szCs w:val="22"/>
                <w:lang w:val="sr-Latn-ME"/>
              </w:rPr>
              <w:t xml:space="preserve"> (ne sme da bude sok od grejpfruta)</w:t>
            </w:r>
            <w:r w:rsidRPr="00A14E37">
              <w:rPr>
                <w:sz w:val="22"/>
                <w:szCs w:val="22"/>
                <w:lang w:val="sr-Latn-ME"/>
              </w:rPr>
              <w:t>.</w:t>
            </w:r>
          </w:p>
          <w:p w14:paraId="26E38881" w14:textId="697299A0" w:rsidR="0014625A" w:rsidRPr="00A14E37" w:rsidRDefault="0014625A" w:rsidP="00A14E37">
            <w:pPr>
              <w:tabs>
                <w:tab w:val="left" w:pos="284"/>
              </w:tabs>
              <w:ind w:left="720"/>
              <w:jc w:val="both"/>
              <w:rPr>
                <w:sz w:val="22"/>
                <w:szCs w:val="22"/>
                <w:lang w:val="sr-Latn-ME"/>
              </w:rPr>
            </w:pPr>
            <w:r w:rsidRPr="00A14E37">
              <w:rPr>
                <w:sz w:val="22"/>
                <w:szCs w:val="22"/>
                <w:lang w:val="sr-Latn-ME"/>
              </w:rPr>
              <w:t>Izbjegavajte kontakt između šprica i tečnosti u čaši.</w:t>
            </w:r>
            <w:r w:rsidR="00C00269" w:rsidRPr="00A14E37">
              <w:rPr>
                <w:sz w:val="22"/>
                <w:szCs w:val="22"/>
                <w:lang w:val="sr-Latn-ME"/>
              </w:rPr>
              <w:t xml:space="preserve"> Lijek možete da pomiješate prije samog unosa.</w:t>
            </w:r>
          </w:p>
          <w:p w14:paraId="556E3ACA" w14:textId="090DEB39" w:rsidR="0063578C" w:rsidRPr="00A14E37" w:rsidRDefault="0014625A" w:rsidP="00D94D50">
            <w:pPr>
              <w:tabs>
                <w:tab w:val="left" w:pos="284"/>
              </w:tabs>
              <w:ind w:left="720"/>
              <w:jc w:val="both"/>
              <w:rPr>
                <w:sz w:val="22"/>
                <w:szCs w:val="22"/>
                <w:lang w:val="sr-Latn-ME"/>
              </w:rPr>
            </w:pPr>
            <w:r w:rsidRPr="00A14E37">
              <w:rPr>
                <w:sz w:val="22"/>
                <w:szCs w:val="22"/>
                <w:lang w:val="sr-Latn-ME"/>
              </w:rPr>
              <w:t>Promiješajte i odmah popite cijeli sadržaj iz čaše.</w:t>
            </w:r>
            <w:r w:rsidR="00C00269" w:rsidRPr="00A14E37">
              <w:rPr>
                <w:sz w:val="22"/>
                <w:szCs w:val="22"/>
                <w:lang w:val="sr-Latn-ME"/>
              </w:rPr>
              <w:t xml:space="preserve"> Kada se lijek pomiješa treba ga uzeti odmah nakon pripreme.</w:t>
            </w:r>
          </w:p>
        </w:tc>
        <w:tc>
          <w:tcPr>
            <w:tcW w:w="2837" w:type="dxa"/>
          </w:tcPr>
          <w:p w14:paraId="00D241B6" w14:textId="77777777" w:rsidR="0063578C" w:rsidRPr="00A14E37" w:rsidRDefault="0063578C" w:rsidP="002045DA">
            <w:pPr>
              <w:jc w:val="both"/>
              <w:rPr>
                <w:b/>
                <w:sz w:val="22"/>
                <w:szCs w:val="22"/>
                <w:lang w:val="sr-Latn-ME"/>
              </w:rPr>
            </w:pPr>
            <w:r w:rsidRPr="00A14E37">
              <w:rPr>
                <w:b/>
                <w:noProof/>
                <w:sz w:val="22"/>
                <w:szCs w:val="22"/>
              </w:rPr>
              <w:drawing>
                <wp:inline distT="0" distB="0" distL="0" distR="0" wp14:anchorId="446FE565" wp14:editId="13C02807">
                  <wp:extent cx="981075" cy="1228725"/>
                  <wp:effectExtent l="0" t="0" r="9525" b="9525"/>
                  <wp:docPr id="4" name="Picture 4" descr="Sand%20Neu%20Prep%20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nd%20Neu%20Prep%206%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81075" cy="1228725"/>
                          </a:xfrm>
                          <a:prstGeom prst="rect">
                            <a:avLst/>
                          </a:prstGeom>
                          <a:noFill/>
                          <a:ln>
                            <a:noFill/>
                          </a:ln>
                        </pic:spPr>
                      </pic:pic>
                    </a:graphicData>
                  </a:graphic>
                </wp:inline>
              </w:drawing>
            </w:r>
          </w:p>
          <w:p w14:paraId="1D2F8CEE" w14:textId="77777777" w:rsidR="0063578C" w:rsidRPr="00A14E37" w:rsidRDefault="0063578C" w:rsidP="002045DA">
            <w:pPr>
              <w:jc w:val="both"/>
              <w:rPr>
                <w:sz w:val="22"/>
                <w:szCs w:val="22"/>
                <w:lang w:val="sr-Latn-ME"/>
              </w:rPr>
            </w:pPr>
          </w:p>
        </w:tc>
      </w:tr>
      <w:tr w:rsidR="0063578C" w:rsidRPr="00A14E37" w14:paraId="40EFF079" w14:textId="77777777" w:rsidTr="0031444A">
        <w:trPr>
          <w:trHeight w:val="669"/>
        </w:trPr>
        <w:tc>
          <w:tcPr>
            <w:tcW w:w="5831" w:type="dxa"/>
          </w:tcPr>
          <w:p w14:paraId="392885E8" w14:textId="14C6426B" w:rsidR="0014625A" w:rsidRPr="00A14E37" w:rsidRDefault="0014625A" w:rsidP="00A14E37">
            <w:pPr>
              <w:numPr>
                <w:ilvl w:val="0"/>
                <w:numId w:val="13"/>
              </w:numPr>
              <w:tabs>
                <w:tab w:val="left" w:pos="284"/>
              </w:tabs>
              <w:jc w:val="both"/>
              <w:rPr>
                <w:sz w:val="22"/>
                <w:szCs w:val="22"/>
                <w:lang w:val="sr-Latn-ME"/>
              </w:rPr>
            </w:pPr>
            <w:r w:rsidRPr="00A14E37">
              <w:rPr>
                <w:sz w:val="22"/>
                <w:szCs w:val="22"/>
                <w:lang w:val="sr-Latn-ME"/>
              </w:rPr>
              <w:t>Poslije upotrebe, izbrišite špric spolja samo suvom maramicom</w:t>
            </w:r>
            <w:r w:rsidR="00C00269" w:rsidRPr="00A14E37">
              <w:rPr>
                <w:sz w:val="22"/>
                <w:szCs w:val="22"/>
                <w:lang w:val="sr-Latn-ME"/>
              </w:rPr>
              <w:t xml:space="preserve"> i</w:t>
            </w:r>
            <w:r w:rsidR="00A14E37">
              <w:rPr>
                <w:sz w:val="22"/>
                <w:szCs w:val="22"/>
                <w:lang w:val="sr-Latn-ME"/>
              </w:rPr>
              <w:t xml:space="preserve"> </w:t>
            </w:r>
            <w:r w:rsidR="00C00269" w:rsidRPr="00A14E37">
              <w:rPr>
                <w:sz w:val="22"/>
                <w:szCs w:val="22"/>
                <w:lang w:val="sr-Latn-ME"/>
              </w:rPr>
              <w:t>z</w:t>
            </w:r>
            <w:r w:rsidRPr="00A14E37">
              <w:rPr>
                <w:sz w:val="22"/>
                <w:szCs w:val="22"/>
                <w:lang w:val="sr-Latn-ME"/>
              </w:rPr>
              <w:t>atim vratite špric u njegovo pakovanje.</w:t>
            </w:r>
          </w:p>
          <w:p w14:paraId="62A5D8F1" w14:textId="77777777" w:rsidR="0014625A" w:rsidRPr="00A14E37" w:rsidRDefault="0014625A" w:rsidP="00A14E37">
            <w:pPr>
              <w:tabs>
                <w:tab w:val="left" w:pos="284"/>
              </w:tabs>
              <w:ind w:left="720"/>
              <w:jc w:val="both"/>
              <w:rPr>
                <w:sz w:val="22"/>
                <w:szCs w:val="22"/>
                <w:lang w:val="sr-Latn-ME"/>
              </w:rPr>
            </w:pPr>
            <w:r w:rsidRPr="00A14E37">
              <w:rPr>
                <w:sz w:val="22"/>
                <w:szCs w:val="22"/>
                <w:lang w:val="sr-Latn-ME"/>
              </w:rPr>
              <w:t>Ostavite bijeli zatvarač i cjevasti dio u bočici.</w:t>
            </w:r>
          </w:p>
          <w:p w14:paraId="244CB1D3" w14:textId="647E5118" w:rsidR="0063578C" w:rsidRPr="00A14E37" w:rsidRDefault="0014625A" w:rsidP="00D94D50">
            <w:pPr>
              <w:tabs>
                <w:tab w:val="left" w:pos="284"/>
              </w:tabs>
              <w:ind w:left="720"/>
              <w:jc w:val="both"/>
              <w:rPr>
                <w:sz w:val="22"/>
                <w:szCs w:val="22"/>
                <w:lang w:val="sr-Latn-ME"/>
              </w:rPr>
            </w:pPr>
            <w:r w:rsidRPr="00A14E37">
              <w:rPr>
                <w:sz w:val="22"/>
                <w:szCs w:val="22"/>
                <w:lang w:val="sr-Latn-ME"/>
              </w:rPr>
              <w:t>Zatvorite bočicu priloženim zatvaračem.</w:t>
            </w:r>
          </w:p>
        </w:tc>
        <w:tc>
          <w:tcPr>
            <w:tcW w:w="2837" w:type="dxa"/>
          </w:tcPr>
          <w:p w14:paraId="2D4EBE86" w14:textId="77777777" w:rsidR="0063578C" w:rsidRPr="00A14E37" w:rsidRDefault="0063578C" w:rsidP="002045DA">
            <w:pPr>
              <w:jc w:val="both"/>
              <w:rPr>
                <w:b/>
                <w:sz w:val="22"/>
                <w:szCs w:val="22"/>
                <w:lang w:val="sr-Latn-ME"/>
              </w:rPr>
            </w:pPr>
            <w:r w:rsidRPr="00A14E37">
              <w:rPr>
                <w:noProof/>
                <w:sz w:val="22"/>
                <w:szCs w:val="22"/>
              </w:rPr>
              <w:drawing>
                <wp:inline distT="0" distB="0" distL="0" distR="0" wp14:anchorId="4DCC458C" wp14:editId="3094DDC2">
                  <wp:extent cx="1066800" cy="1228725"/>
                  <wp:effectExtent l="0" t="0" r="0" b="9525"/>
                  <wp:docPr id="3" name="Picture 3" descr="SandimmunNeoral%2008%20abbild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dimmunNeoral%2008%20abbildung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66800" cy="1228725"/>
                          </a:xfrm>
                          <a:prstGeom prst="rect">
                            <a:avLst/>
                          </a:prstGeom>
                          <a:noFill/>
                          <a:ln>
                            <a:noFill/>
                          </a:ln>
                        </pic:spPr>
                      </pic:pic>
                    </a:graphicData>
                  </a:graphic>
                </wp:inline>
              </w:drawing>
            </w:r>
          </w:p>
        </w:tc>
      </w:tr>
    </w:tbl>
    <w:p w14:paraId="4FE92AF9" w14:textId="77777777" w:rsidR="0063578C" w:rsidRPr="00A14E37" w:rsidRDefault="0063578C" w:rsidP="002045DA">
      <w:pPr>
        <w:pStyle w:val="Header"/>
        <w:tabs>
          <w:tab w:val="left" w:pos="284"/>
        </w:tabs>
        <w:jc w:val="both"/>
        <w:rPr>
          <w:b/>
          <w:bCs/>
          <w:sz w:val="22"/>
          <w:szCs w:val="22"/>
          <w:lang w:val="sr-Latn-ME"/>
        </w:rPr>
      </w:pPr>
    </w:p>
    <w:p w14:paraId="3F226434" w14:textId="68C3D7B9" w:rsidR="0063578C" w:rsidRPr="00A14E37" w:rsidRDefault="0063578C" w:rsidP="002045DA">
      <w:pPr>
        <w:pStyle w:val="Header"/>
        <w:tabs>
          <w:tab w:val="left" w:pos="284"/>
        </w:tabs>
        <w:jc w:val="both"/>
        <w:rPr>
          <w:b/>
          <w:bCs/>
          <w:sz w:val="22"/>
          <w:szCs w:val="22"/>
          <w:lang w:val="sr-Latn-ME"/>
        </w:rPr>
      </w:pPr>
      <w:r w:rsidRPr="00A14E37">
        <w:rPr>
          <w:b/>
          <w:bCs/>
          <w:sz w:val="22"/>
          <w:szCs w:val="22"/>
          <w:lang w:val="sr-Latn-ME"/>
        </w:rPr>
        <w:t>Sl</w:t>
      </w:r>
      <w:r w:rsidR="008F39E6" w:rsidRPr="00A14E37">
        <w:rPr>
          <w:b/>
          <w:bCs/>
          <w:sz w:val="22"/>
          <w:szCs w:val="22"/>
          <w:lang w:val="sr-Latn-ME"/>
        </w:rPr>
        <w:t>j</w:t>
      </w:r>
      <w:r w:rsidRPr="00A14E37">
        <w:rPr>
          <w:b/>
          <w:bCs/>
          <w:sz w:val="22"/>
          <w:szCs w:val="22"/>
          <w:lang w:val="sr-Latn-ME"/>
        </w:rPr>
        <w:t xml:space="preserve">edeća upotreba – počnite od tačke 5. </w:t>
      </w:r>
    </w:p>
    <w:p w14:paraId="256AFF40" w14:textId="15B3F196" w:rsidR="0063578C" w:rsidRPr="00A14E37" w:rsidRDefault="0063578C" w:rsidP="002045DA">
      <w:pPr>
        <w:tabs>
          <w:tab w:val="left" w:pos="540"/>
          <w:tab w:val="left" w:pos="569"/>
        </w:tabs>
        <w:jc w:val="both"/>
        <w:rPr>
          <w:bCs/>
          <w:sz w:val="22"/>
          <w:szCs w:val="22"/>
          <w:lang w:val="sr-Latn-ME"/>
        </w:rPr>
      </w:pPr>
    </w:p>
    <w:p w14:paraId="3347C9BB" w14:textId="77777777" w:rsidR="00C37D5C" w:rsidRPr="00A14E37" w:rsidRDefault="00C37D5C" w:rsidP="002045DA">
      <w:pPr>
        <w:tabs>
          <w:tab w:val="left" w:pos="540"/>
          <w:tab w:val="left" w:pos="569"/>
        </w:tabs>
        <w:jc w:val="both"/>
        <w:rPr>
          <w:bCs/>
          <w:sz w:val="22"/>
          <w:szCs w:val="22"/>
          <w:lang w:val="sr-Latn-ME"/>
        </w:rPr>
      </w:pPr>
    </w:p>
    <w:p w14:paraId="14CF045B" w14:textId="77777777" w:rsidR="00F8570A"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7. </w:t>
      </w:r>
      <w:r w:rsidR="00480FB1" w:rsidRPr="00A14E37">
        <w:rPr>
          <w:b/>
          <w:bCs/>
          <w:sz w:val="22"/>
          <w:szCs w:val="22"/>
          <w:lang w:val="sr-Latn-ME"/>
        </w:rPr>
        <w:tab/>
      </w:r>
      <w:r w:rsidRPr="00A14E37">
        <w:rPr>
          <w:b/>
          <w:bCs/>
          <w:sz w:val="22"/>
          <w:szCs w:val="22"/>
          <w:lang w:val="sr-Latn-ME"/>
        </w:rPr>
        <w:t>NOSILAC DOZVOLE</w:t>
      </w:r>
      <w:r w:rsidR="00483928" w:rsidRPr="00A14E37">
        <w:rPr>
          <w:b/>
          <w:bCs/>
          <w:sz w:val="22"/>
          <w:szCs w:val="22"/>
          <w:lang w:val="sr-Latn-ME"/>
        </w:rPr>
        <w:t xml:space="preserve"> </w:t>
      </w:r>
    </w:p>
    <w:p w14:paraId="64E6E32F" w14:textId="77777777" w:rsidR="00C61BE0" w:rsidRPr="00A14E37" w:rsidRDefault="00C61BE0" w:rsidP="002045DA">
      <w:pPr>
        <w:tabs>
          <w:tab w:val="left" w:pos="540"/>
          <w:tab w:val="left" w:pos="569"/>
        </w:tabs>
        <w:jc w:val="both"/>
        <w:rPr>
          <w:bCs/>
          <w:sz w:val="22"/>
          <w:szCs w:val="22"/>
          <w:lang w:val="sr-Latn-ME"/>
        </w:rPr>
      </w:pPr>
    </w:p>
    <w:p w14:paraId="08A670E6" w14:textId="77777777" w:rsidR="0063578C" w:rsidRPr="00A14E37" w:rsidRDefault="0063578C" w:rsidP="002045DA">
      <w:pPr>
        <w:pStyle w:val="Header"/>
        <w:jc w:val="both"/>
        <w:rPr>
          <w:sz w:val="22"/>
          <w:szCs w:val="22"/>
          <w:lang w:val="sr-Latn-ME"/>
        </w:rPr>
      </w:pPr>
      <w:r w:rsidRPr="00A14E37">
        <w:rPr>
          <w:sz w:val="22"/>
          <w:szCs w:val="22"/>
          <w:lang w:val="sr-Latn-ME"/>
        </w:rPr>
        <w:t>“Novartis Pharma Services AG” dio stranog društva Podgorica</w:t>
      </w:r>
    </w:p>
    <w:p w14:paraId="7445CD77" w14:textId="122C1FD4" w:rsidR="00C37FD7" w:rsidRPr="00A14E37" w:rsidRDefault="0063578C" w:rsidP="002045DA">
      <w:pPr>
        <w:tabs>
          <w:tab w:val="left" w:pos="540"/>
          <w:tab w:val="left" w:pos="569"/>
        </w:tabs>
        <w:jc w:val="both"/>
        <w:rPr>
          <w:sz w:val="22"/>
          <w:szCs w:val="22"/>
          <w:lang w:val="sr-Latn-ME"/>
        </w:rPr>
      </w:pPr>
      <w:r w:rsidRPr="00A14E37">
        <w:rPr>
          <w:sz w:val="22"/>
          <w:szCs w:val="22"/>
          <w:lang w:val="sr-Latn-ME"/>
        </w:rPr>
        <w:t>Ul. Svetlane Kane Radević br. 3, Podgorica</w:t>
      </w:r>
      <w:r w:rsidR="00C37D5C" w:rsidRPr="00A14E37">
        <w:rPr>
          <w:sz w:val="22"/>
          <w:szCs w:val="22"/>
          <w:lang w:val="sr-Latn-ME"/>
        </w:rPr>
        <w:t>, Crna Gora</w:t>
      </w:r>
    </w:p>
    <w:p w14:paraId="34E84AFD" w14:textId="2C9A55CC" w:rsidR="0063578C" w:rsidRDefault="0063578C" w:rsidP="002045DA">
      <w:pPr>
        <w:tabs>
          <w:tab w:val="left" w:pos="540"/>
          <w:tab w:val="left" w:pos="569"/>
        </w:tabs>
        <w:jc w:val="both"/>
        <w:rPr>
          <w:bCs/>
          <w:sz w:val="22"/>
          <w:szCs w:val="22"/>
          <w:lang w:val="sr-Latn-ME"/>
        </w:rPr>
      </w:pPr>
    </w:p>
    <w:p w14:paraId="37DA3F16" w14:textId="77777777" w:rsidR="00A14E37" w:rsidRPr="00A14E37" w:rsidRDefault="00A14E37" w:rsidP="002045DA">
      <w:pPr>
        <w:tabs>
          <w:tab w:val="left" w:pos="540"/>
          <w:tab w:val="left" w:pos="569"/>
        </w:tabs>
        <w:jc w:val="both"/>
        <w:rPr>
          <w:bCs/>
          <w:sz w:val="22"/>
          <w:szCs w:val="22"/>
          <w:lang w:val="sr-Latn-ME"/>
        </w:rPr>
      </w:pPr>
    </w:p>
    <w:p w14:paraId="4E919005" w14:textId="77777777" w:rsidR="0072020E"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8. </w:t>
      </w:r>
      <w:r w:rsidR="00480FB1" w:rsidRPr="00A14E37">
        <w:rPr>
          <w:b/>
          <w:bCs/>
          <w:sz w:val="22"/>
          <w:szCs w:val="22"/>
          <w:lang w:val="sr-Latn-ME"/>
        </w:rPr>
        <w:tab/>
      </w:r>
      <w:r w:rsidRPr="00A14E37">
        <w:rPr>
          <w:b/>
          <w:bCs/>
          <w:sz w:val="22"/>
          <w:szCs w:val="22"/>
          <w:lang w:val="sr-Latn-ME"/>
        </w:rPr>
        <w:t>BROJ DOZVOLE</w:t>
      </w:r>
      <w:r w:rsidR="008A6D43" w:rsidRPr="00A14E37">
        <w:rPr>
          <w:b/>
          <w:bCs/>
          <w:sz w:val="22"/>
          <w:szCs w:val="22"/>
          <w:lang w:val="sr-Latn-ME"/>
        </w:rPr>
        <w:t xml:space="preserve"> ZA STAVLJANJE LIJEKA U PROMET</w:t>
      </w:r>
    </w:p>
    <w:p w14:paraId="414EEDED" w14:textId="77777777" w:rsidR="0072020E" w:rsidRPr="00A14E37" w:rsidRDefault="0072020E" w:rsidP="002045DA">
      <w:pPr>
        <w:tabs>
          <w:tab w:val="left" w:pos="540"/>
          <w:tab w:val="left" w:pos="569"/>
        </w:tabs>
        <w:jc w:val="both"/>
        <w:rPr>
          <w:bCs/>
          <w:sz w:val="22"/>
          <w:szCs w:val="22"/>
          <w:lang w:val="sr-Latn-ME"/>
        </w:rPr>
      </w:pPr>
    </w:p>
    <w:p w14:paraId="2DF3C6AE" w14:textId="55499C63" w:rsidR="00C37D5C" w:rsidRPr="00A14E37" w:rsidRDefault="00A14E37" w:rsidP="002045DA">
      <w:pPr>
        <w:tabs>
          <w:tab w:val="left" w:pos="540"/>
          <w:tab w:val="left" w:pos="569"/>
        </w:tabs>
        <w:jc w:val="both"/>
        <w:rPr>
          <w:bCs/>
          <w:sz w:val="22"/>
          <w:szCs w:val="22"/>
          <w:lang w:val="sr-Latn-ME"/>
        </w:rPr>
      </w:pPr>
      <w:r w:rsidRPr="00A14E37">
        <w:rPr>
          <w:bCs/>
          <w:sz w:val="22"/>
          <w:szCs w:val="22"/>
          <w:lang w:val="sr-Latn-ME"/>
        </w:rPr>
        <w:t>2030/25/1795 - 6193</w:t>
      </w:r>
    </w:p>
    <w:p w14:paraId="235B8707" w14:textId="675ACAD9" w:rsidR="00C37D5C" w:rsidRDefault="00C37D5C" w:rsidP="002045DA">
      <w:pPr>
        <w:tabs>
          <w:tab w:val="left" w:pos="540"/>
          <w:tab w:val="left" w:pos="569"/>
        </w:tabs>
        <w:jc w:val="both"/>
        <w:rPr>
          <w:bCs/>
          <w:sz w:val="22"/>
          <w:szCs w:val="22"/>
          <w:lang w:val="sr-Latn-ME"/>
        </w:rPr>
      </w:pPr>
    </w:p>
    <w:p w14:paraId="2124C6AB" w14:textId="77777777" w:rsidR="00A14E37" w:rsidRPr="00A14E37" w:rsidRDefault="00A14E37" w:rsidP="002045DA">
      <w:pPr>
        <w:tabs>
          <w:tab w:val="left" w:pos="540"/>
          <w:tab w:val="left" w:pos="569"/>
        </w:tabs>
        <w:jc w:val="both"/>
        <w:rPr>
          <w:bCs/>
          <w:sz w:val="22"/>
          <w:szCs w:val="22"/>
          <w:lang w:val="sr-Latn-ME"/>
        </w:rPr>
      </w:pPr>
    </w:p>
    <w:p w14:paraId="74B8E770" w14:textId="77777777" w:rsidR="0072020E" w:rsidRPr="00A14E37" w:rsidRDefault="0072020E" w:rsidP="002045DA">
      <w:pPr>
        <w:tabs>
          <w:tab w:val="left" w:pos="540"/>
          <w:tab w:val="left" w:pos="569"/>
        </w:tabs>
        <w:jc w:val="both"/>
        <w:rPr>
          <w:b/>
          <w:bCs/>
          <w:sz w:val="22"/>
          <w:szCs w:val="22"/>
          <w:lang w:val="sr-Latn-ME"/>
        </w:rPr>
      </w:pPr>
      <w:r w:rsidRPr="00A14E37">
        <w:rPr>
          <w:b/>
          <w:bCs/>
          <w:sz w:val="22"/>
          <w:szCs w:val="22"/>
          <w:lang w:val="sr-Latn-ME"/>
        </w:rPr>
        <w:t xml:space="preserve">9. </w:t>
      </w:r>
      <w:r w:rsidR="00480FB1" w:rsidRPr="00A14E37">
        <w:rPr>
          <w:b/>
          <w:bCs/>
          <w:sz w:val="22"/>
          <w:szCs w:val="22"/>
          <w:lang w:val="sr-Latn-ME"/>
        </w:rPr>
        <w:tab/>
      </w:r>
      <w:r w:rsidRPr="00A14E37">
        <w:rPr>
          <w:b/>
          <w:bCs/>
          <w:sz w:val="22"/>
          <w:szCs w:val="22"/>
          <w:lang w:val="sr-Latn-ME"/>
        </w:rPr>
        <w:t xml:space="preserve">DATUM </w:t>
      </w:r>
      <w:r w:rsidR="00C05DF8" w:rsidRPr="00A14E37">
        <w:rPr>
          <w:b/>
          <w:bCs/>
          <w:sz w:val="22"/>
          <w:szCs w:val="22"/>
          <w:lang w:val="sr-Latn-ME"/>
        </w:rPr>
        <w:t xml:space="preserve">PRVE </w:t>
      </w:r>
      <w:r w:rsidR="008A6D43" w:rsidRPr="00A14E37">
        <w:rPr>
          <w:b/>
          <w:bCs/>
          <w:sz w:val="22"/>
          <w:szCs w:val="22"/>
          <w:lang w:val="sr-Latn-ME"/>
        </w:rPr>
        <w:t>DOZVOLE</w:t>
      </w:r>
      <w:r w:rsidR="00C05DF8" w:rsidRPr="00A14E37">
        <w:rPr>
          <w:b/>
          <w:bCs/>
          <w:sz w:val="22"/>
          <w:szCs w:val="22"/>
          <w:lang w:val="sr-Latn-ME"/>
        </w:rPr>
        <w:t>/OBNOVE DOZVOLE</w:t>
      </w:r>
      <w:r w:rsidR="008A6D43" w:rsidRPr="00A14E37">
        <w:rPr>
          <w:b/>
          <w:bCs/>
          <w:sz w:val="22"/>
          <w:szCs w:val="22"/>
          <w:lang w:val="sr-Latn-ME"/>
        </w:rPr>
        <w:t xml:space="preserve"> ZA STAVLJANJE LIJEKA U PROMET</w:t>
      </w:r>
    </w:p>
    <w:p w14:paraId="74939CE2" w14:textId="77777777" w:rsidR="0072020E" w:rsidRPr="00A14E37" w:rsidRDefault="0072020E" w:rsidP="002045DA">
      <w:pPr>
        <w:tabs>
          <w:tab w:val="left" w:pos="540"/>
          <w:tab w:val="left" w:pos="569"/>
        </w:tabs>
        <w:jc w:val="both"/>
        <w:rPr>
          <w:bCs/>
          <w:sz w:val="22"/>
          <w:szCs w:val="22"/>
          <w:lang w:val="sr-Latn-ME"/>
        </w:rPr>
      </w:pPr>
    </w:p>
    <w:p w14:paraId="56472288" w14:textId="3A350ABD" w:rsidR="0063578C" w:rsidRPr="00A14E37" w:rsidRDefault="00077160" w:rsidP="002045DA">
      <w:pPr>
        <w:tabs>
          <w:tab w:val="left" w:pos="540"/>
          <w:tab w:val="left" w:pos="569"/>
        </w:tabs>
        <w:jc w:val="both"/>
        <w:rPr>
          <w:sz w:val="22"/>
          <w:szCs w:val="22"/>
          <w:lang w:val="sr-Latn-ME"/>
        </w:rPr>
      </w:pPr>
      <w:r w:rsidRPr="00A14E37">
        <w:rPr>
          <w:sz w:val="22"/>
          <w:szCs w:val="22"/>
          <w:lang w:val="sr-Latn-ME"/>
        </w:rPr>
        <w:t xml:space="preserve">Datum prve dozvole: </w:t>
      </w:r>
      <w:r w:rsidR="00C37D5C" w:rsidRPr="00A14E37">
        <w:rPr>
          <w:sz w:val="22"/>
          <w:szCs w:val="22"/>
          <w:lang w:val="sr-Latn-ME"/>
        </w:rPr>
        <w:t>06.03.2015. godine</w:t>
      </w:r>
    </w:p>
    <w:p w14:paraId="1FE9BA6C" w14:textId="3BF3B70A" w:rsidR="00077160" w:rsidRPr="00A14E37" w:rsidRDefault="00077160" w:rsidP="002045DA">
      <w:pPr>
        <w:tabs>
          <w:tab w:val="left" w:pos="540"/>
          <w:tab w:val="left" w:pos="569"/>
        </w:tabs>
        <w:jc w:val="both"/>
        <w:rPr>
          <w:bCs/>
          <w:sz w:val="22"/>
          <w:szCs w:val="22"/>
          <w:lang w:val="sr-Latn-ME"/>
        </w:rPr>
      </w:pPr>
      <w:r w:rsidRPr="00A14E37">
        <w:rPr>
          <w:sz w:val="22"/>
          <w:szCs w:val="22"/>
          <w:lang w:val="sr-Latn-ME"/>
        </w:rPr>
        <w:t>Datum poslednje obnove dozvole:</w:t>
      </w:r>
      <w:r w:rsidR="00A14E37">
        <w:rPr>
          <w:sz w:val="22"/>
          <w:szCs w:val="22"/>
          <w:lang w:val="sr-Latn-ME"/>
        </w:rPr>
        <w:t xml:space="preserve"> </w:t>
      </w:r>
      <w:r w:rsidR="00A14E37" w:rsidRPr="00A14E37">
        <w:rPr>
          <w:sz w:val="22"/>
          <w:szCs w:val="22"/>
          <w:lang w:val="sr-Latn-ME"/>
        </w:rPr>
        <w:t>16.04.2025. godine</w:t>
      </w:r>
    </w:p>
    <w:p w14:paraId="5E1FF7D8" w14:textId="0B00333C" w:rsidR="00C37D5C" w:rsidRPr="00A14E37" w:rsidRDefault="00C37D5C" w:rsidP="002045DA">
      <w:pPr>
        <w:tabs>
          <w:tab w:val="left" w:pos="540"/>
          <w:tab w:val="left" w:pos="569"/>
        </w:tabs>
        <w:jc w:val="both"/>
        <w:rPr>
          <w:bCs/>
          <w:sz w:val="22"/>
          <w:szCs w:val="22"/>
          <w:lang w:val="sr-Latn-ME"/>
        </w:rPr>
      </w:pPr>
    </w:p>
    <w:p w14:paraId="21BA2EAF" w14:textId="77777777" w:rsidR="00C37D5C" w:rsidRPr="00A14E37" w:rsidRDefault="00C37D5C" w:rsidP="002045DA">
      <w:pPr>
        <w:tabs>
          <w:tab w:val="left" w:pos="540"/>
          <w:tab w:val="left" w:pos="569"/>
        </w:tabs>
        <w:jc w:val="both"/>
        <w:rPr>
          <w:bCs/>
          <w:sz w:val="22"/>
          <w:szCs w:val="22"/>
          <w:lang w:val="sr-Latn-ME"/>
        </w:rPr>
      </w:pPr>
    </w:p>
    <w:p w14:paraId="020490AE" w14:textId="77777777" w:rsidR="003F6A59" w:rsidRPr="00A14E37" w:rsidRDefault="0072020E" w:rsidP="002045DA">
      <w:pPr>
        <w:tabs>
          <w:tab w:val="left" w:pos="540"/>
          <w:tab w:val="left" w:pos="569"/>
        </w:tabs>
        <w:ind w:left="540" w:hanging="540"/>
        <w:jc w:val="both"/>
        <w:rPr>
          <w:bCs/>
          <w:sz w:val="22"/>
          <w:szCs w:val="22"/>
          <w:lang w:val="sr-Latn-ME"/>
        </w:rPr>
      </w:pPr>
      <w:r w:rsidRPr="00A14E37">
        <w:rPr>
          <w:b/>
          <w:bCs/>
          <w:sz w:val="22"/>
          <w:szCs w:val="22"/>
          <w:lang w:val="sr-Latn-ME"/>
        </w:rPr>
        <w:t xml:space="preserve">10. </w:t>
      </w:r>
      <w:r w:rsidR="00480FB1" w:rsidRPr="00A14E37">
        <w:rPr>
          <w:b/>
          <w:bCs/>
          <w:sz w:val="22"/>
          <w:szCs w:val="22"/>
          <w:lang w:val="sr-Latn-ME"/>
        </w:rPr>
        <w:tab/>
      </w:r>
      <w:r w:rsidR="002846DB" w:rsidRPr="00A14E37">
        <w:rPr>
          <w:b/>
          <w:bCs/>
          <w:sz w:val="22"/>
          <w:szCs w:val="22"/>
          <w:lang w:val="sr-Latn-ME"/>
        </w:rPr>
        <w:t>D</w:t>
      </w:r>
      <w:r w:rsidR="00EC2532" w:rsidRPr="00A14E37">
        <w:rPr>
          <w:b/>
          <w:bCs/>
          <w:sz w:val="22"/>
          <w:szCs w:val="22"/>
          <w:lang w:val="sr-Latn-ME"/>
        </w:rPr>
        <w:t xml:space="preserve">ATUM REVIZIJE TEKSTA </w:t>
      </w:r>
    </w:p>
    <w:p w14:paraId="042F0B74" w14:textId="77777777" w:rsidR="003F6A59" w:rsidRPr="00A14E37" w:rsidRDefault="003F6A59" w:rsidP="002045DA">
      <w:pPr>
        <w:tabs>
          <w:tab w:val="left" w:pos="540"/>
          <w:tab w:val="left" w:pos="569"/>
        </w:tabs>
        <w:jc w:val="both"/>
        <w:rPr>
          <w:bCs/>
          <w:sz w:val="22"/>
          <w:szCs w:val="22"/>
          <w:lang w:val="sr-Latn-ME"/>
        </w:rPr>
      </w:pPr>
    </w:p>
    <w:p w14:paraId="1BD70303" w14:textId="71B23BF0" w:rsidR="003F6A59" w:rsidRPr="00A14E37" w:rsidRDefault="00A14E37" w:rsidP="002045DA">
      <w:pPr>
        <w:jc w:val="both"/>
        <w:rPr>
          <w:sz w:val="22"/>
          <w:szCs w:val="22"/>
          <w:lang w:val="sr-Latn-ME"/>
        </w:rPr>
      </w:pPr>
      <w:r>
        <w:rPr>
          <w:sz w:val="22"/>
          <w:szCs w:val="22"/>
          <w:lang w:val="sr-Latn-ME"/>
        </w:rPr>
        <w:t>April, 2025. godine</w:t>
      </w:r>
    </w:p>
    <w:sectPr w:rsidR="003F6A59" w:rsidRPr="00A14E37" w:rsidSect="00EF3B86">
      <w:footerReference w:type="default" r:id="rId21"/>
      <w:pgSz w:w="11909" w:h="16834" w:code="9"/>
      <w:pgMar w:top="1140" w:right="1412" w:bottom="1140" w:left="1412"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796BC0" w16cex:dateUtc="2025-04-04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559DC" w16cid:durableId="19796B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D2500" w14:textId="77777777" w:rsidR="00BC024A" w:rsidRDefault="00BC024A">
      <w:r>
        <w:separator/>
      </w:r>
    </w:p>
  </w:endnote>
  <w:endnote w:type="continuationSeparator" w:id="0">
    <w:p w14:paraId="1EE56625" w14:textId="77777777" w:rsidR="00BC024A" w:rsidRDefault="00BC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3530" w14:textId="13A98A21" w:rsidR="002145BA" w:rsidRPr="00B23F69" w:rsidRDefault="002145B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1606">
      <w:rPr>
        <w:noProof/>
        <w:sz w:val="22"/>
        <w:szCs w:val="22"/>
      </w:rPr>
      <w:t>24</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1606">
      <w:rPr>
        <w:noProof/>
        <w:sz w:val="22"/>
        <w:szCs w:val="22"/>
      </w:rPr>
      <w:t>24</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B88A3" w14:textId="77777777" w:rsidR="00BC024A" w:rsidRDefault="00BC024A">
      <w:r>
        <w:separator/>
      </w:r>
    </w:p>
  </w:footnote>
  <w:footnote w:type="continuationSeparator" w:id="0">
    <w:p w14:paraId="599DDB1D" w14:textId="77777777" w:rsidR="00BC024A" w:rsidRDefault="00BC0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DF5E03"/>
    <w:multiLevelType w:val="hybridMultilevel"/>
    <w:tmpl w:val="CD28FDA2"/>
    <w:lvl w:ilvl="0" w:tplc="A8A8AF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C6109E"/>
    <w:multiLevelType w:val="hybridMultilevel"/>
    <w:tmpl w:val="55BA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6658E9"/>
    <w:multiLevelType w:val="hybridMultilevel"/>
    <w:tmpl w:val="BA80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97020C"/>
    <w:multiLevelType w:val="hybridMultilevel"/>
    <w:tmpl w:val="640EECB8"/>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66D69"/>
    <w:multiLevelType w:val="hybridMultilevel"/>
    <w:tmpl w:val="60E6EA28"/>
    <w:lvl w:ilvl="0" w:tplc="5A8E6CA0">
      <w:numFmt w:val="bullet"/>
      <w:lvlText w:val="-"/>
      <w:lvlJc w:val="left"/>
      <w:pPr>
        <w:ind w:left="720" w:hanging="360"/>
      </w:pPr>
      <w:rPr>
        <w:rFonts w:ascii="Times New Roman" w:hAnsi="Times New Roman" w:cs="Times New Roman"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FC2297"/>
    <w:multiLevelType w:val="hybridMultilevel"/>
    <w:tmpl w:val="BA804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3"/>
  </w:num>
  <w:num w:numId="5">
    <w:abstractNumId w:val="6"/>
  </w:num>
  <w:num w:numId="6">
    <w:abstractNumId w:val="1"/>
  </w:num>
  <w:num w:numId="7">
    <w:abstractNumId w:val="12"/>
  </w:num>
  <w:num w:numId="8">
    <w:abstractNumId w:val="5"/>
  </w:num>
  <w:num w:numId="9">
    <w:abstractNumId w:val="9"/>
  </w:num>
  <w:num w:numId="10">
    <w:abstractNumId w:val="16"/>
  </w:num>
  <w:num w:numId="11">
    <w:abstractNumId w:val="7"/>
  </w:num>
  <w:num w:numId="12">
    <w:abstractNumId w:val="2"/>
  </w:num>
  <w:num w:numId="13">
    <w:abstractNumId w:val="15"/>
  </w:num>
  <w:num w:numId="14">
    <w:abstractNumId w:val="8"/>
  </w:num>
  <w:num w:numId="15">
    <w:abstractNumId w:val="4"/>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de-CH"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sv-SE" w:vendorID="64" w:dllVersion="0" w:nlCheck="1" w:checkStyle="0"/>
  <w:activeWritingStyle w:appName="MSWord" w:lang="it-IT" w:vendorID="64" w:dllVersion="0" w:nlCheck="1" w:checkStyle="0"/>
  <w:activeWritingStyle w:appName="MSWord" w:lang="de-CH" w:vendorID="64" w:dllVersion="0" w:nlCheck="1" w:checkStyle="0"/>
  <w:activeWritingStyle w:appName="MSWord" w:lang="pl-PL" w:vendorID="64" w:dllVersion="0" w:nlCheck="1" w:checkStyle="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78AB"/>
    <w:rsid w:val="0003409F"/>
    <w:rsid w:val="00036FA0"/>
    <w:rsid w:val="0003793F"/>
    <w:rsid w:val="0004048A"/>
    <w:rsid w:val="00057E35"/>
    <w:rsid w:val="00061CAB"/>
    <w:rsid w:val="00070999"/>
    <w:rsid w:val="00076726"/>
    <w:rsid w:val="00077160"/>
    <w:rsid w:val="00080303"/>
    <w:rsid w:val="0008323C"/>
    <w:rsid w:val="000A3F58"/>
    <w:rsid w:val="000B0E29"/>
    <w:rsid w:val="000D2343"/>
    <w:rsid w:val="000D3449"/>
    <w:rsid w:val="000D425A"/>
    <w:rsid w:val="000D60CC"/>
    <w:rsid w:val="000E2084"/>
    <w:rsid w:val="000E6718"/>
    <w:rsid w:val="000E6E8B"/>
    <w:rsid w:val="000E6F55"/>
    <w:rsid w:val="000F77FA"/>
    <w:rsid w:val="00107BF7"/>
    <w:rsid w:val="00126F53"/>
    <w:rsid w:val="001334FF"/>
    <w:rsid w:val="0014229B"/>
    <w:rsid w:val="00144859"/>
    <w:rsid w:val="0014625A"/>
    <w:rsid w:val="0014766D"/>
    <w:rsid w:val="00151103"/>
    <w:rsid w:val="001536CC"/>
    <w:rsid w:val="00170AE4"/>
    <w:rsid w:val="001817A0"/>
    <w:rsid w:val="001A3FBA"/>
    <w:rsid w:val="001A5518"/>
    <w:rsid w:val="001A70F5"/>
    <w:rsid w:val="001B1C6A"/>
    <w:rsid w:val="001C1263"/>
    <w:rsid w:val="001C1417"/>
    <w:rsid w:val="001D737C"/>
    <w:rsid w:val="001E390B"/>
    <w:rsid w:val="001F42FB"/>
    <w:rsid w:val="001F719A"/>
    <w:rsid w:val="002031B3"/>
    <w:rsid w:val="002045DA"/>
    <w:rsid w:val="00210877"/>
    <w:rsid w:val="002145BA"/>
    <w:rsid w:val="00215931"/>
    <w:rsid w:val="00227BDB"/>
    <w:rsid w:val="00234CB1"/>
    <w:rsid w:val="002352F8"/>
    <w:rsid w:val="00236613"/>
    <w:rsid w:val="002378C6"/>
    <w:rsid w:val="002510A5"/>
    <w:rsid w:val="00251F19"/>
    <w:rsid w:val="00254A0A"/>
    <w:rsid w:val="00264435"/>
    <w:rsid w:val="00266046"/>
    <w:rsid w:val="00267F78"/>
    <w:rsid w:val="002825A7"/>
    <w:rsid w:val="002846DB"/>
    <w:rsid w:val="00284CCD"/>
    <w:rsid w:val="002A6DA6"/>
    <w:rsid w:val="002B5867"/>
    <w:rsid w:val="002C6637"/>
    <w:rsid w:val="002E0135"/>
    <w:rsid w:val="002E0252"/>
    <w:rsid w:val="002E37A5"/>
    <w:rsid w:val="002F2FB4"/>
    <w:rsid w:val="003046CF"/>
    <w:rsid w:val="00310F03"/>
    <w:rsid w:val="0031444A"/>
    <w:rsid w:val="00317018"/>
    <w:rsid w:val="003247D2"/>
    <w:rsid w:val="00332345"/>
    <w:rsid w:val="003445C1"/>
    <w:rsid w:val="00345347"/>
    <w:rsid w:val="00353274"/>
    <w:rsid w:val="00354D22"/>
    <w:rsid w:val="00355B61"/>
    <w:rsid w:val="00362686"/>
    <w:rsid w:val="00366927"/>
    <w:rsid w:val="00371510"/>
    <w:rsid w:val="003734EB"/>
    <w:rsid w:val="00385FD6"/>
    <w:rsid w:val="00390C3D"/>
    <w:rsid w:val="003931FC"/>
    <w:rsid w:val="00396DFD"/>
    <w:rsid w:val="003A7059"/>
    <w:rsid w:val="003B4A0E"/>
    <w:rsid w:val="003B7A36"/>
    <w:rsid w:val="003C17AB"/>
    <w:rsid w:val="003C256E"/>
    <w:rsid w:val="003C7823"/>
    <w:rsid w:val="003D0FFD"/>
    <w:rsid w:val="003D2691"/>
    <w:rsid w:val="003D3683"/>
    <w:rsid w:val="003D3A03"/>
    <w:rsid w:val="003E1DCC"/>
    <w:rsid w:val="003F114E"/>
    <w:rsid w:val="003F333C"/>
    <w:rsid w:val="003F6A59"/>
    <w:rsid w:val="004065C8"/>
    <w:rsid w:val="00411B4B"/>
    <w:rsid w:val="00415BEE"/>
    <w:rsid w:val="0042261E"/>
    <w:rsid w:val="00427F85"/>
    <w:rsid w:val="00430D93"/>
    <w:rsid w:val="00436220"/>
    <w:rsid w:val="00436F42"/>
    <w:rsid w:val="004378B4"/>
    <w:rsid w:val="004417E2"/>
    <w:rsid w:val="00443990"/>
    <w:rsid w:val="00447495"/>
    <w:rsid w:val="00447D28"/>
    <w:rsid w:val="00451314"/>
    <w:rsid w:val="00452E9D"/>
    <w:rsid w:val="004534C7"/>
    <w:rsid w:val="00463A52"/>
    <w:rsid w:val="004670C0"/>
    <w:rsid w:val="004671AA"/>
    <w:rsid w:val="00480FB1"/>
    <w:rsid w:val="00483928"/>
    <w:rsid w:val="00485875"/>
    <w:rsid w:val="004D6103"/>
    <w:rsid w:val="004E026C"/>
    <w:rsid w:val="004E3BCE"/>
    <w:rsid w:val="004F0E97"/>
    <w:rsid w:val="005141B9"/>
    <w:rsid w:val="00515C21"/>
    <w:rsid w:val="00524AD6"/>
    <w:rsid w:val="00530BD7"/>
    <w:rsid w:val="005409B6"/>
    <w:rsid w:val="005414D3"/>
    <w:rsid w:val="00545CD2"/>
    <w:rsid w:val="00546413"/>
    <w:rsid w:val="005476F3"/>
    <w:rsid w:val="00570505"/>
    <w:rsid w:val="00572527"/>
    <w:rsid w:val="00573E40"/>
    <w:rsid w:val="00576348"/>
    <w:rsid w:val="00580717"/>
    <w:rsid w:val="005A0B2E"/>
    <w:rsid w:val="005A23D2"/>
    <w:rsid w:val="005A36CB"/>
    <w:rsid w:val="005B49B8"/>
    <w:rsid w:val="005C0741"/>
    <w:rsid w:val="005C0EE3"/>
    <w:rsid w:val="005C5EF4"/>
    <w:rsid w:val="005E2E0B"/>
    <w:rsid w:val="005E7A7D"/>
    <w:rsid w:val="00604451"/>
    <w:rsid w:val="0061302A"/>
    <w:rsid w:val="0063578C"/>
    <w:rsid w:val="0063700F"/>
    <w:rsid w:val="00646BD1"/>
    <w:rsid w:val="006561C2"/>
    <w:rsid w:val="00671CB3"/>
    <w:rsid w:val="00674BAF"/>
    <w:rsid w:val="00674FB7"/>
    <w:rsid w:val="00682200"/>
    <w:rsid w:val="00694A32"/>
    <w:rsid w:val="006A1497"/>
    <w:rsid w:val="006B0BD1"/>
    <w:rsid w:val="006B616D"/>
    <w:rsid w:val="006D0274"/>
    <w:rsid w:val="006D037E"/>
    <w:rsid w:val="006D20A5"/>
    <w:rsid w:val="006D37BF"/>
    <w:rsid w:val="006D6FB2"/>
    <w:rsid w:val="006E75FB"/>
    <w:rsid w:val="006F0BAA"/>
    <w:rsid w:val="00702014"/>
    <w:rsid w:val="00702E22"/>
    <w:rsid w:val="00717FD6"/>
    <w:rsid w:val="0072020E"/>
    <w:rsid w:val="00720EA5"/>
    <w:rsid w:val="00727658"/>
    <w:rsid w:val="00727D26"/>
    <w:rsid w:val="00742731"/>
    <w:rsid w:val="00751CD7"/>
    <w:rsid w:val="00755F52"/>
    <w:rsid w:val="00774BDF"/>
    <w:rsid w:val="00786071"/>
    <w:rsid w:val="00797BD4"/>
    <w:rsid w:val="007A3ADD"/>
    <w:rsid w:val="007A3ECB"/>
    <w:rsid w:val="007B53D9"/>
    <w:rsid w:val="007D3D7A"/>
    <w:rsid w:val="007D7C5E"/>
    <w:rsid w:val="007E5821"/>
    <w:rsid w:val="007E716F"/>
    <w:rsid w:val="007F3AC1"/>
    <w:rsid w:val="007F3FAD"/>
    <w:rsid w:val="007F6121"/>
    <w:rsid w:val="00824AB9"/>
    <w:rsid w:val="00824DD6"/>
    <w:rsid w:val="008314DF"/>
    <w:rsid w:val="00833170"/>
    <w:rsid w:val="00835839"/>
    <w:rsid w:val="00836B35"/>
    <w:rsid w:val="00837E19"/>
    <w:rsid w:val="00840F17"/>
    <w:rsid w:val="00843BDE"/>
    <w:rsid w:val="00855747"/>
    <w:rsid w:val="008715DF"/>
    <w:rsid w:val="0089705C"/>
    <w:rsid w:val="008A12E8"/>
    <w:rsid w:val="008A6D43"/>
    <w:rsid w:val="008B491E"/>
    <w:rsid w:val="008C1A28"/>
    <w:rsid w:val="008C2E98"/>
    <w:rsid w:val="008E49BD"/>
    <w:rsid w:val="008E53E9"/>
    <w:rsid w:val="008E5771"/>
    <w:rsid w:val="008F39E6"/>
    <w:rsid w:val="009060C0"/>
    <w:rsid w:val="00912E7F"/>
    <w:rsid w:val="00925CB3"/>
    <w:rsid w:val="009404D7"/>
    <w:rsid w:val="00940B9B"/>
    <w:rsid w:val="0095676E"/>
    <w:rsid w:val="00956983"/>
    <w:rsid w:val="00956EA5"/>
    <w:rsid w:val="00963CF0"/>
    <w:rsid w:val="00964BB1"/>
    <w:rsid w:val="009775D9"/>
    <w:rsid w:val="0099150E"/>
    <w:rsid w:val="00997175"/>
    <w:rsid w:val="009A1847"/>
    <w:rsid w:val="009A41A2"/>
    <w:rsid w:val="009A6F8A"/>
    <w:rsid w:val="009B062A"/>
    <w:rsid w:val="009B478D"/>
    <w:rsid w:val="009D42A5"/>
    <w:rsid w:val="009D6F6C"/>
    <w:rsid w:val="009E7C6F"/>
    <w:rsid w:val="009F1793"/>
    <w:rsid w:val="009F2D23"/>
    <w:rsid w:val="00A01D69"/>
    <w:rsid w:val="00A02335"/>
    <w:rsid w:val="00A14E37"/>
    <w:rsid w:val="00A34796"/>
    <w:rsid w:val="00A3592E"/>
    <w:rsid w:val="00A427E6"/>
    <w:rsid w:val="00A46C9A"/>
    <w:rsid w:val="00A56D48"/>
    <w:rsid w:val="00A6026D"/>
    <w:rsid w:val="00A60CF3"/>
    <w:rsid w:val="00A619F3"/>
    <w:rsid w:val="00A62A73"/>
    <w:rsid w:val="00A642B6"/>
    <w:rsid w:val="00A76B1D"/>
    <w:rsid w:val="00A802A4"/>
    <w:rsid w:val="00A81606"/>
    <w:rsid w:val="00A87FF6"/>
    <w:rsid w:val="00AA0A3B"/>
    <w:rsid w:val="00AB50CA"/>
    <w:rsid w:val="00AC53CE"/>
    <w:rsid w:val="00AD2193"/>
    <w:rsid w:val="00AD4762"/>
    <w:rsid w:val="00AE126F"/>
    <w:rsid w:val="00AE4668"/>
    <w:rsid w:val="00AF2AC7"/>
    <w:rsid w:val="00AF74CE"/>
    <w:rsid w:val="00B12E5E"/>
    <w:rsid w:val="00B208DB"/>
    <w:rsid w:val="00B22548"/>
    <w:rsid w:val="00B23F69"/>
    <w:rsid w:val="00B333C7"/>
    <w:rsid w:val="00B33FEA"/>
    <w:rsid w:val="00B35773"/>
    <w:rsid w:val="00B37A2A"/>
    <w:rsid w:val="00B458DC"/>
    <w:rsid w:val="00B60619"/>
    <w:rsid w:val="00B66A70"/>
    <w:rsid w:val="00B67366"/>
    <w:rsid w:val="00B677A3"/>
    <w:rsid w:val="00B67D57"/>
    <w:rsid w:val="00B70F1A"/>
    <w:rsid w:val="00B71BB8"/>
    <w:rsid w:val="00B75078"/>
    <w:rsid w:val="00B80EE1"/>
    <w:rsid w:val="00B84135"/>
    <w:rsid w:val="00B84187"/>
    <w:rsid w:val="00B93D1A"/>
    <w:rsid w:val="00BB702A"/>
    <w:rsid w:val="00BC024A"/>
    <w:rsid w:val="00BC16A1"/>
    <w:rsid w:val="00BC526D"/>
    <w:rsid w:val="00BD5082"/>
    <w:rsid w:val="00BE4DAB"/>
    <w:rsid w:val="00BE73D5"/>
    <w:rsid w:val="00BE7764"/>
    <w:rsid w:val="00BF6F94"/>
    <w:rsid w:val="00C00269"/>
    <w:rsid w:val="00C04D34"/>
    <w:rsid w:val="00C05DF8"/>
    <w:rsid w:val="00C06864"/>
    <w:rsid w:val="00C10F54"/>
    <w:rsid w:val="00C14B41"/>
    <w:rsid w:val="00C176CB"/>
    <w:rsid w:val="00C20ED9"/>
    <w:rsid w:val="00C23D8D"/>
    <w:rsid w:val="00C2759B"/>
    <w:rsid w:val="00C37AA3"/>
    <w:rsid w:val="00C37D5C"/>
    <w:rsid w:val="00C37FD7"/>
    <w:rsid w:val="00C42109"/>
    <w:rsid w:val="00C43261"/>
    <w:rsid w:val="00C43419"/>
    <w:rsid w:val="00C44CF3"/>
    <w:rsid w:val="00C466E6"/>
    <w:rsid w:val="00C61BE0"/>
    <w:rsid w:val="00C61F42"/>
    <w:rsid w:val="00C70B0E"/>
    <w:rsid w:val="00C773CA"/>
    <w:rsid w:val="00C83785"/>
    <w:rsid w:val="00C844A9"/>
    <w:rsid w:val="00C911CD"/>
    <w:rsid w:val="00C94C0D"/>
    <w:rsid w:val="00C95B95"/>
    <w:rsid w:val="00C9651F"/>
    <w:rsid w:val="00CA0693"/>
    <w:rsid w:val="00CA111F"/>
    <w:rsid w:val="00CA1FEB"/>
    <w:rsid w:val="00CD320C"/>
    <w:rsid w:val="00CD4F85"/>
    <w:rsid w:val="00CD6F02"/>
    <w:rsid w:val="00CE246D"/>
    <w:rsid w:val="00CF07A0"/>
    <w:rsid w:val="00CF3E03"/>
    <w:rsid w:val="00D0082A"/>
    <w:rsid w:val="00D01254"/>
    <w:rsid w:val="00D03E0B"/>
    <w:rsid w:val="00D20E75"/>
    <w:rsid w:val="00D21455"/>
    <w:rsid w:val="00D45E64"/>
    <w:rsid w:val="00D47634"/>
    <w:rsid w:val="00D562BD"/>
    <w:rsid w:val="00D61309"/>
    <w:rsid w:val="00D62D62"/>
    <w:rsid w:val="00D62FBC"/>
    <w:rsid w:val="00D709B3"/>
    <w:rsid w:val="00D75B82"/>
    <w:rsid w:val="00D80BDD"/>
    <w:rsid w:val="00D94D50"/>
    <w:rsid w:val="00DA2ED6"/>
    <w:rsid w:val="00DB70DA"/>
    <w:rsid w:val="00DB76B8"/>
    <w:rsid w:val="00DC29B0"/>
    <w:rsid w:val="00DC2EA1"/>
    <w:rsid w:val="00DC33F5"/>
    <w:rsid w:val="00DC38BE"/>
    <w:rsid w:val="00DD58B5"/>
    <w:rsid w:val="00DD6AAF"/>
    <w:rsid w:val="00DE3F5C"/>
    <w:rsid w:val="00DF1D20"/>
    <w:rsid w:val="00E0035E"/>
    <w:rsid w:val="00E00E7C"/>
    <w:rsid w:val="00E03FCA"/>
    <w:rsid w:val="00E21324"/>
    <w:rsid w:val="00E246B9"/>
    <w:rsid w:val="00E31378"/>
    <w:rsid w:val="00E31FEA"/>
    <w:rsid w:val="00E44C3F"/>
    <w:rsid w:val="00E45169"/>
    <w:rsid w:val="00E47787"/>
    <w:rsid w:val="00E51C30"/>
    <w:rsid w:val="00E54B11"/>
    <w:rsid w:val="00E62BFC"/>
    <w:rsid w:val="00E64180"/>
    <w:rsid w:val="00E673CF"/>
    <w:rsid w:val="00E74AEE"/>
    <w:rsid w:val="00E868E5"/>
    <w:rsid w:val="00E9237A"/>
    <w:rsid w:val="00E939FA"/>
    <w:rsid w:val="00E94932"/>
    <w:rsid w:val="00EA5765"/>
    <w:rsid w:val="00EC2532"/>
    <w:rsid w:val="00EC7369"/>
    <w:rsid w:val="00ED77E1"/>
    <w:rsid w:val="00ED7812"/>
    <w:rsid w:val="00EE11A2"/>
    <w:rsid w:val="00EF3B86"/>
    <w:rsid w:val="00EF5D69"/>
    <w:rsid w:val="00F14B4C"/>
    <w:rsid w:val="00F317E9"/>
    <w:rsid w:val="00F34554"/>
    <w:rsid w:val="00F35480"/>
    <w:rsid w:val="00F45F77"/>
    <w:rsid w:val="00F5167F"/>
    <w:rsid w:val="00F52258"/>
    <w:rsid w:val="00F8570A"/>
    <w:rsid w:val="00F91C7B"/>
    <w:rsid w:val="00F93F0D"/>
    <w:rsid w:val="00F949C5"/>
    <w:rsid w:val="00FA26C9"/>
    <w:rsid w:val="00FB1A50"/>
    <w:rsid w:val="00FB6D65"/>
    <w:rsid w:val="00FC3411"/>
    <w:rsid w:val="00FE3252"/>
    <w:rsid w:val="00FE3A19"/>
    <w:rsid w:val="00FF30A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11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semiHidden/>
    <w:unhideWhenUsed/>
    <w:qFormat/>
    <w:rsid w:val="00BB702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D80BD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customStyle="1" w:styleId="Text">
    <w:name w:val="Text"/>
    <w:basedOn w:val="Normal"/>
    <w:rsid w:val="00D80BDD"/>
    <w:pPr>
      <w:spacing w:before="120"/>
      <w:jc w:val="both"/>
    </w:pPr>
    <w:rPr>
      <w:szCs w:val="20"/>
      <w:lang w:val="en-GB"/>
    </w:rPr>
  </w:style>
  <w:style w:type="character" w:customStyle="1" w:styleId="HeaderChar">
    <w:name w:val="Header Char"/>
    <w:link w:val="Header"/>
    <w:rsid w:val="00D80BDD"/>
    <w:rPr>
      <w:sz w:val="24"/>
      <w:szCs w:val="24"/>
      <w:lang w:val="en-US" w:eastAsia="en-US"/>
    </w:rPr>
  </w:style>
  <w:style w:type="character" w:customStyle="1" w:styleId="Heading4Char">
    <w:name w:val="Heading 4 Char"/>
    <w:basedOn w:val="DefaultParagraphFont"/>
    <w:link w:val="Heading4"/>
    <w:semiHidden/>
    <w:rsid w:val="00D80BDD"/>
    <w:rPr>
      <w:rFonts w:asciiTheme="majorHAnsi" w:eastAsiaTheme="majorEastAsia" w:hAnsiTheme="majorHAnsi" w:cstheme="majorBidi"/>
      <w:i/>
      <w:iCs/>
      <w:color w:val="2E74B5" w:themeColor="accent1" w:themeShade="BF"/>
      <w:sz w:val="24"/>
      <w:szCs w:val="24"/>
      <w:lang w:val="en-US" w:eastAsia="en-US"/>
    </w:rPr>
  </w:style>
  <w:style w:type="character" w:customStyle="1" w:styleId="Heading3Char">
    <w:name w:val="Heading 3 Char"/>
    <w:basedOn w:val="DefaultParagraphFont"/>
    <w:link w:val="Heading3"/>
    <w:semiHidden/>
    <w:rsid w:val="00BB702A"/>
    <w:rPr>
      <w:rFonts w:asciiTheme="majorHAnsi" w:eastAsiaTheme="majorEastAsia" w:hAnsiTheme="majorHAnsi" w:cstheme="majorBidi"/>
      <w:color w:val="1F4D78" w:themeColor="accent1" w:themeShade="7F"/>
      <w:sz w:val="24"/>
      <w:szCs w:val="24"/>
      <w:lang w:val="en-US" w:eastAsia="en-US"/>
    </w:rPr>
  </w:style>
  <w:style w:type="character" w:customStyle="1" w:styleId="hps">
    <w:name w:val="hps"/>
    <w:rsid w:val="00BB702A"/>
  </w:style>
  <w:style w:type="paragraph" w:customStyle="1" w:styleId="Default">
    <w:name w:val="Default"/>
    <w:rsid w:val="00BB702A"/>
    <w:pPr>
      <w:autoSpaceDE w:val="0"/>
      <w:autoSpaceDN w:val="0"/>
      <w:adjustRightInd w:val="0"/>
    </w:pPr>
    <w:rPr>
      <w:color w:val="000000"/>
      <w:sz w:val="24"/>
      <w:szCs w:val="24"/>
      <w:lang w:val="en-US" w:eastAsia="en-US"/>
    </w:rPr>
  </w:style>
  <w:style w:type="paragraph" w:customStyle="1" w:styleId="Nottoc-headings">
    <w:name w:val="Not toc-headings"/>
    <w:basedOn w:val="Normal"/>
    <w:next w:val="Text"/>
    <w:rsid w:val="00BB702A"/>
    <w:pPr>
      <w:keepNext/>
      <w:keepLines/>
      <w:spacing w:before="240" w:after="60"/>
      <w:ind w:left="1701" w:hanging="1701"/>
    </w:pPr>
    <w:rPr>
      <w:rFonts w:ascii="Arial" w:hAnsi="Arial"/>
      <w:b/>
      <w:sz w:val="22"/>
      <w:szCs w:val="20"/>
      <w:lang w:val="en-GB"/>
    </w:rPr>
  </w:style>
  <w:style w:type="paragraph" w:customStyle="1" w:styleId="Table">
    <w:name w:val="Table"/>
    <w:basedOn w:val="Nottoc-headings"/>
    <w:rsid w:val="0063578C"/>
    <w:pPr>
      <w:tabs>
        <w:tab w:val="left" w:pos="284"/>
      </w:tabs>
      <w:spacing w:before="40" w:after="20"/>
      <w:ind w:left="0" w:firstLine="0"/>
    </w:pPr>
    <w:rPr>
      <w:b w:val="0"/>
      <w:sz w:val="20"/>
    </w:rPr>
  </w:style>
  <w:style w:type="paragraph" w:styleId="Revision">
    <w:name w:val="Revision"/>
    <w:hidden/>
    <w:uiPriority w:val="99"/>
    <w:semiHidden/>
    <w:rsid w:val="001334FF"/>
    <w:rPr>
      <w:sz w:val="24"/>
      <w:szCs w:val="24"/>
      <w:lang w:val="en-US" w:eastAsia="en-US"/>
    </w:rPr>
  </w:style>
  <w:style w:type="character" w:styleId="Hyperlink">
    <w:name w:val="Hyperlink"/>
    <w:basedOn w:val="DefaultParagraphFont"/>
    <w:uiPriority w:val="99"/>
    <w:unhideWhenUsed/>
    <w:rsid w:val="00B71BB8"/>
    <w:rPr>
      <w:color w:val="0000FF"/>
      <w:u w:val="single"/>
    </w:rPr>
  </w:style>
  <w:style w:type="paragraph" w:styleId="ListParagraph">
    <w:name w:val="List Paragraph"/>
    <w:basedOn w:val="Normal"/>
    <w:uiPriority w:val="34"/>
    <w:qFormat/>
    <w:rsid w:val="00077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vigiflow-eforms.who-umc.org/me/meadr"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image" Target="media/image5.png"/><Relationship Id="rId22" Type="http://schemas.openxmlformats.org/officeDocument/2006/relationships/fontTable" Target="fontTable.xml"/><Relationship Id="rId27"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ED16-9A79-4357-B5DB-38721ACD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10452</Words>
  <Characters>59580</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69893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Jovana Jovanovic</cp:lastModifiedBy>
  <cp:revision>5</cp:revision>
  <dcterms:created xsi:type="dcterms:W3CDTF">2025-04-14T10:57:00Z</dcterms:created>
  <dcterms:modified xsi:type="dcterms:W3CDTF">2025-04-15T08:05:00Z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Owner">
    <vt:lpwstr>STEVIIV1@novartis.net</vt:lpwstr>
  </property>
  <property fmtid="{D5CDD505-2E9C-101B-9397-08002B2CF9AE}" pid="6" name="MSIP_Label_4929bff8-5b33-42aa-95d2-28f72e792cb0_SetDate">
    <vt:lpwstr>2019-11-21T13:35:44.7748953Z</vt:lpwstr>
  </property>
  <property fmtid="{D5CDD505-2E9C-101B-9397-08002B2CF9AE}" pid="7" name="MSIP_Label_4929bff8-5b33-42aa-95d2-28f72e792cb0_Name">
    <vt:lpwstr>Business Use Only</vt:lpwstr>
  </property>
  <property fmtid="{D5CDD505-2E9C-101B-9397-08002B2CF9AE}" pid="8" name="MSIP_Label_4929bff8-5b33-42aa-95d2-28f72e792cb0_Application">
    <vt:lpwstr>Microsoft Azure Information Protection</vt:lpwstr>
  </property>
  <property fmtid="{D5CDD505-2E9C-101B-9397-08002B2CF9AE}" pid="9" name="MSIP_Label_4929bff8-5b33-42aa-95d2-28f72e792cb0_ActionId">
    <vt:lpwstr>58a6b701-313b-4468-963a-79c1e5050933</vt:lpwstr>
  </property>
  <property fmtid="{D5CDD505-2E9C-101B-9397-08002B2CF9AE}" pid="10" name="MSIP_Label_4929bff8-5b33-42aa-95d2-28f72e792cb0_Extended_MSFT_Method">
    <vt:lpwstr>Automatic</vt:lpwstr>
  </property>
  <property fmtid="{D5CDD505-2E9C-101B-9397-08002B2CF9AE}" pid="11" name="Confidentiality">
    <vt:lpwstr>Business Use Only</vt:lpwstr>
  </property>
</Properties>
</file>