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8A2B7" w14:textId="77777777" w:rsidR="001A5518" w:rsidRPr="00853B61" w:rsidRDefault="001A5518" w:rsidP="004B1590">
      <w:pPr>
        <w:jc w:val="both"/>
        <w:rPr>
          <w:b/>
          <w:bCs/>
          <w:i/>
          <w:iCs/>
          <w:sz w:val="22"/>
          <w:szCs w:val="22"/>
          <w:u w:val="single"/>
          <w:lang w:val="sr-Latn-ME"/>
        </w:rPr>
      </w:pPr>
    </w:p>
    <w:p w14:paraId="3B4742F0" w14:textId="77777777" w:rsidR="00F91C7B" w:rsidRPr="00853B61" w:rsidRDefault="00F91C7B" w:rsidP="004B1590">
      <w:pPr>
        <w:jc w:val="both"/>
        <w:rPr>
          <w:b/>
          <w:bCs/>
          <w:i/>
          <w:iCs/>
          <w:sz w:val="22"/>
          <w:szCs w:val="22"/>
          <w:u w:val="single"/>
          <w:lang w:val="sr-Latn-ME"/>
        </w:rPr>
      </w:pPr>
    </w:p>
    <w:p w14:paraId="37DFD6B7" w14:textId="77777777" w:rsidR="002510A5" w:rsidRPr="00853B61" w:rsidRDefault="002510A5" w:rsidP="004B1590">
      <w:pPr>
        <w:jc w:val="center"/>
        <w:rPr>
          <w:b/>
          <w:bCs/>
          <w:iCs/>
          <w:sz w:val="22"/>
          <w:szCs w:val="22"/>
          <w:u w:val="single"/>
          <w:lang w:val="sr-Latn-ME"/>
        </w:rPr>
      </w:pPr>
      <w:r w:rsidRPr="00853B61">
        <w:rPr>
          <w:b/>
          <w:bCs/>
          <w:iCs/>
          <w:sz w:val="22"/>
          <w:szCs w:val="22"/>
          <w:u w:val="single"/>
          <w:lang w:val="sr-Latn-ME"/>
        </w:rPr>
        <w:t>SAŽETAK KARAKTERISTIKA LIJEKA</w:t>
      </w:r>
    </w:p>
    <w:p w14:paraId="213D090B" w14:textId="77777777" w:rsidR="002510A5" w:rsidRPr="00853B61" w:rsidRDefault="002510A5" w:rsidP="004B1590">
      <w:pPr>
        <w:jc w:val="both"/>
        <w:rPr>
          <w:b/>
          <w:bCs/>
          <w:i/>
          <w:iCs/>
          <w:sz w:val="22"/>
          <w:szCs w:val="22"/>
          <w:u w:val="single"/>
          <w:lang w:val="sr-Latn-ME"/>
        </w:rPr>
      </w:pPr>
    </w:p>
    <w:p w14:paraId="3D90A750" w14:textId="77777777" w:rsidR="003C17AB" w:rsidRPr="00853B61" w:rsidRDefault="003C17AB" w:rsidP="004B1590">
      <w:pPr>
        <w:jc w:val="both"/>
        <w:rPr>
          <w:sz w:val="22"/>
          <w:szCs w:val="22"/>
          <w:lang w:val="sr-Latn-ME"/>
        </w:rPr>
      </w:pPr>
    </w:p>
    <w:p w14:paraId="716F8A5E" w14:textId="4B319C23" w:rsidR="00C37FD7" w:rsidRPr="00853B61" w:rsidRDefault="005C5EF4" w:rsidP="004B1590">
      <w:pPr>
        <w:tabs>
          <w:tab w:val="left" w:pos="540"/>
          <w:tab w:val="left" w:pos="569"/>
        </w:tabs>
        <w:jc w:val="both"/>
        <w:rPr>
          <w:bCs/>
          <w:i/>
          <w:sz w:val="22"/>
          <w:szCs w:val="22"/>
          <w:lang w:val="sr-Latn-ME"/>
        </w:rPr>
      </w:pPr>
      <w:r w:rsidRPr="00853B61">
        <w:rPr>
          <w:noProof/>
          <w:sz w:val="22"/>
          <w:szCs w:val="22"/>
          <w:lang w:val="sr-Latn-ME" w:eastAsia="sr-Latn-ME"/>
        </w:rPr>
        <w:drawing>
          <wp:inline distT="0" distB="0" distL="0" distR="0" wp14:anchorId="60D4DCC6" wp14:editId="1C43602A">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853B61">
        <w:rPr>
          <w:noProof/>
          <w:sz w:val="22"/>
          <w:szCs w:val="22"/>
          <w:lang w:val="sr-Latn-ME"/>
        </w:rPr>
        <w:t xml:space="preserve"> Ovaj lijek je pod dodatnim praćenjem.</w:t>
      </w:r>
      <w:r w:rsidR="003C17AB" w:rsidRPr="00853B61">
        <w:rPr>
          <w:sz w:val="22"/>
          <w:szCs w:val="22"/>
          <w:lang w:val="sr-Latn-ME"/>
        </w:rPr>
        <w:t xml:space="preserve"> </w:t>
      </w:r>
      <w:r w:rsidR="003C17AB" w:rsidRPr="00853B61">
        <w:rPr>
          <w:noProof/>
          <w:sz w:val="22"/>
          <w:szCs w:val="22"/>
          <w:lang w:val="sr-Latn-ME"/>
        </w:rPr>
        <w:t>Time se omogućava brzo otkrivanje novih bezbjednosnih informacija. Zdravstveni radnici treba da prijave svaku sumnju na neželjeno dejstvo ovog lijeka.</w:t>
      </w:r>
      <w:r w:rsidR="003C17AB" w:rsidRPr="00853B61">
        <w:rPr>
          <w:sz w:val="22"/>
          <w:szCs w:val="22"/>
          <w:lang w:val="sr-Latn-ME"/>
        </w:rPr>
        <w:t xml:space="preserve"> Za način prijavljivanja neželjenih dejstava vidjeti </w:t>
      </w:r>
      <w:r w:rsidR="007A3ECB" w:rsidRPr="00853B61">
        <w:rPr>
          <w:sz w:val="22"/>
          <w:szCs w:val="22"/>
          <w:lang w:val="sr-Latn-ME"/>
        </w:rPr>
        <w:t xml:space="preserve">dio </w:t>
      </w:r>
      <w:r w:rsidR="003C17AB" w:rsidRPr="00853B61">
        <w:rPr>
          <w:sz w:val="22"/>
          <w:szCs w:val="22"/>
          <w:lang w:val="sr-Latn-ME"/>
        </w:rPr>
        <w:t>4.8</w:t>
      </w:r>
      <w:r w:rsidR="003C17AB" w:rsidRPr="00853B61">
        <w:rPr>
          <w:noProof/>
          <w:sz w:val="22"/>
          <w:szCs w:val="22"/>
          <w:lang w:val="sr-Latn-ME"/>
        </w:rPr>
        <w:t>.</w:t>
      </w:r>
      <w:r w:rsidR="00107BF7" w:rsidRPr="00853B61">
        <w:rPr>
          <w:noProof/>
          <w:sz w:val="22"/>
          <w:szCs w:val="22"/>
          <w:lang w:val="sr-Latn-ME"/>
        </w:rPr>
        <w:t xml:space="preserve"> </w:t>
      </w:r>
    </w:p>
    <w:p w14:paraId="5F1C1DF9" w14:textId="77777777" w:rsidR="003C17AB" w:rsidRPr="00853B61" w:rsidRDefault="003C17AB" w:rsidP="004B1590">
      <w:pPr>
        <w:tabs>
          <w:tab w:val="left" w:pos="540"/>
          <w:tab w:val="left" w:pos="569"/>
        </w:tabs>
        <w:jc w:val="both"/>
        <w:rPr>
          <w:noProof/>
          <w:sz w:val="22"/>
          <w:szCs w:val="22"/>
          <w:lang w:val="sr-Latn-ME"/>
        </w:rPr>
      </w:pPr>
    </w:p>
    <w:p w14:paraId="54B6D3F7" w14:textId="77777777" w:rsidR="00C37FD7" w:rsidRPr="00853B61" w:rsidRDefault="00C37FD7" w:rsidP="004B1590">
      <w:pPr>
        <w:tabs>
          <w:tab w:val="left" w:pos="540"/>
          <w:tab w:val="left" w:pos="569"/>
        </w:tabs>
        <w:jc w:val="both"/>
        <w:rPr>
          <w:bCs/>
          <w:sz w:val="22"/>
          <w:szCs w:val="22"/>
          <w:lang w:val="sr-Latn-ME"/>
        </w:rPr>
      </w:pPr>
    </w:p>
    <w:p w14:paraId="04EE83E6"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1.</w:t>
      </w:r>
      <w:r w:rsidR="00F5167F" w:rsidRPr="00853B61">
        <w:rPr>
          <w:b/>
          <w:bCs/>
          <w:sz w:val="22"/>
          <w:szCs w:val="22"/>
          <w:lang w:val="sr-Latn-ME"/>
        </w:rPr>
        <w:tab/>
      </w:r>
      <w:r w:rsidR="002846DB" w:rsidRPr="00853B61">
        <w:rPr>
          <w:b/>
          <w:bCs/>
          <w:sz w:val="22"/>
          <w:szCs w:val="22"/>
          <w:lang w:val="sr-Latn-ME"/>
        </w:rPr>
        <w:t xml:space="preserve">NAZIV </w:t>
      </w:r>
      <w:r w:rsidRPr="00853B61">
        <w:rPr>
          <w:b/>
          <w:bCs/>
          <w:sz w:val="22"/>
          <w:szCs w:val="22"/>
          <w:lang w:val="sr-Latn-ME"/>
        </w:rPr>
        <w:t>LIJEKA</w:t>
      </w:r>
    </w:p>
    <w:p w14:paraId="4D46C7E0" w14:textId="77777777" w:rsidR="00EC2532" w:rsidRPr="00853B61" w:rsidRDefault="00EC2532" w:rsidP="004B1590">
      <w:pPr>
        <w:jc w:val="both"/>
        <w:rPr>
          <w:sz w:val="22"/>
          <w:szCs w:val="22"/>
          <w:lang w:val="sr-Latn-ME"/>
        </w:rPr>
      </w:pPr>
    </w:p>
    <w:p w14:paraId="5F14D5A2" w14:textId="2A2457F4" w:rsidR="00784247" w:rsidRPr="00853B61" w:rsidRDefault="00784247" w:rsidP="004B1590">
      <w:pPr>
        <w:jc w:val="both"/>
        <w:rPr>
          <w:sz w:val="22"/>
          <w:szCs w:val="22"/>
          <w:lang w:val="sr-Latn-ME"/>
        </w:rPr>
      </w:pPr>
      <w:r w:rsidRPr="00853B61">
        <w:rPr>
          <w:sz w:val="22"/>
          <w:szCs w:val="22"/>
          <w:lang w:val="sr-Latn-ME"/>
        </w:rPr>
        <w:t>Voydeya</w:t>
      </w:r>
      <w:r w:rsidR="00237EA4" w:rsidRPr="00853B61">
        <w:rPr>
          <w:sz w:val="22"/>
          <w:szCs w:val="22"/>
          <w:lang w:val="sr-Latn-ME"/>
        </w:rPr>
        <w:t>,</w:t>
      </w:r>
      <w:r w:rsidRPr="00853B61">
        <w:rPr>
          <w:sz w:val="22"/>
          <w:szCs w:val="22"/>
          <w:lang w:val="sr-Latn-ME"/>
        </w:rPr>
        <w:t xml:space="preserve"> 50 mg</w:t>
      </w:r>
      <w:r w:rsidR="007C79BF" w:rsidRPr="00853B61">
        <w:rPr>
          <w:sz w:val="22"/>
          <w:szCs w:val="22"/>
          <w:lang w:val="sr-Latn-ME"/>
        </w:rPr>
        <w:t>,</w:t>
      </w:r>
      <w:r w:rsidR="00750A03" w:rsidRPr="00853B61">
        <w:rPr>
          <w:sz w:val="22"/>
          <w:szCs w:val="22"/>
          <w:lang w:val="sr-Latn-ME"/>
        </w:rPr>
        <w:t xml:space="preserve"> </w:t>
      </w:r>
      <w:r w:rsidRPr="00853B61">
        <w:rPr>
          <w:sz w:val="22"/>
          <w:szCs w:val="22"/>
          <w:lang w:val="sr-Latn-ME"/>
        </w:rPr>
        <w:t>film</w:t>
      </w:r>
      <w:r w:rsidR="00043875" w:rsidRPr="00853B61">
        <w:rPr>
          <w:sz w:val="22"/>
          <w:szCs w:val="22"/>
          <w:lang w:val="sr-Latn-ME"/>
        </w:rPr>
        <w:t xml:space="preserve"> </w:t>
      </w:r>
      <w:r w:rsidRPr="00853B61">
        <w:rPr>
          <w:sz w:val="22"/>
          <w:szCs w:val="22"/>
          <w:lang w:val="sr-Latn-ME"/>
        </w:rPr>
        <w:t>tablet</w:t>
      </w:r>
      <w:r w:rsidR="00083056" w:rsidRPr="00853B61">
        <w:rPr>
          <w:sz w:val="22"/>
          <w:szCs w:val="22"/>
          <w:lang w:val="sr-Latn-ME"/>
        </w:rPr>
        <w:t>a</w:t>
      </w:r>
      <w:r w:rsidRPr="00853B61">
        <w:rPr>
          <w:sz w:val="22"/>
          <w:szCs w:val="22"/>
          <w:lang w:val="sr-Latn-ME"/>
        </w:rPr>
        <w:t xml:space="preserve"> </w:t>
      </w:r>
    </w:p>
    <w:p w14:paraId="0C5C4768" w14:textId="0BC5B687" w:rsidR="00784247" w:rsidRPr="00853B61" w:rsidRDefault="00784247" w:rsidP="004B1590">
      <w:pPr>
        <w:jc w:val="both"/>
        <w:rPr>
          <w:sz w:val="22"/>
          <w:szCs w:val="22"/>
          <w:lang w:val="sr-Latn-ME"/>
        </w:rPr>
      </w:pPr>
      <w:r w:rsidRPr="00853B61">
        <w:rPr>
          <w:sz w:val="22"/>
          <w:szCs w:val="22"/>
          <w:lang w:val="sr-Latn-ME"/>
        </w:rPr>
        <w:t>Voydeya</w:t>
      </w:r>
      <w:r w:rsidR="00237EA4" w:rsidRPr="00853B61">
        <w:rPr>
          <w:sz w:val="22"/>
          <w:szCs w:val="22"/>
          <w:lang w:val="sr-Latn-ME"/>
        </w:rPr>
        <w:t>,</w:t>
      </w:r>
      <w:r w:rsidRPr="00853B61">
        <w:rPr>
          <w:sz w:val="22"/>
          <w:szCs w:val="22"/>
          <w:lang w:val="sr-Latn-ME"/>
        </w:rPr>
        <w:t xml:space="preserve"> 100 mg</w:t>
      </w:r>
      <w:r w:rsidR="00237EA4" w:rsidRPr="00853B61">
        <w:rPr>
          <w:sz w:val="22"/>
          <w:szCs w:val="22"/>
          <w:lang w:val="sr-Latn-ME"/>
        </w:rPr>
        <w:t>,</w:t>
      </w:r>
      <w:r w:rsidRPr="00853B61">
        <w:rPr>
          <w:sz w:val="22"/>
          <w:szCs w:val="22"/>
          <w:lang w:val="sr-Latn-ME"/>
        </w:rPr>
        <w:t xml:space="preserve"> film</w:t>
      </w:r>
      <w:r w:rsidR="00D31944" w:rsidRPr="00853B61">
        <w:rPr>
          <w:sz w:val="22"/>
          <w:szCs w:val="22"/>
          <w:lang w:val="sr-Latn-ME"/>
        </w:rPr>
        <w:t xml:space="preserve"> </w:t>
      </w:r>
      <w:r w:rsidRPr="00853B61">
        <w:rPr>
          <w:sz w:val="22"/>
          <w:szCs w:val="22"/>
          <w:lang w:val="sr-Latn-ME"/>
        </w:rPr>
        <w:t>tablet</w:t>
      </w:r>
      <w:r w:rsidR="00083056" w:rsidRPr="00853B61">
        <w:rPr>
          <w:sz w:val="22"/>
          <w:szCs w:val="22"/>
          <w:lang w:val="sr-Latn-ME"/>
        </w:rPr>
        <w:t>a</w:t>
      </w:r>
    </w:p>
    <w:p w14:paraId="450F10A0" w14:textId="77777777" w:rsidR="000D425A" w:rsidRPr="00853B61" w:rsidRDefault="000D425A" w:rsidP="004B1590">
      <w:pPr>
        <w:jc w:val="both"/>
        <w:rPr>
          <w:bCs/>
          <w:sz w:val="22"/>
          <w:szCs w:val="22"/>
          <w:lang w:val="sr-Latn-ME"/>
        </w:rPr>
      </w:pPr>
    </w:p>
    <w:p w14:paraId="6DFDB592" w14:textId="2948ACDD" w:rsidR="006D20A5" w:rsidRPr="00853B61" w:rsidRDefault="006D20A5" w:rsidP="004B1590">
      <w:pPr>
        <w:jc w:val="both"/>
        <w:rPr>
          <w:sz w:val="22"/>
          <w:szCs w:val="22"/>
          <w:lang w:val="sr-Latn-ME"/>
        </w:rPr>
      </w:pPr>
      <w:r w:rsidRPr="00853B61">
        <w:rPr>
          <w:sz w:val="22"/>
          <w:szCs w:val="22"/>
          <w:lang w:val="sr-Latn-ME"/>
        </w:rPr>
        <w:t>INN:</w:t>
      </w:r>
      <w:r w:rsidR="00237EA4" w:rsidRPr="00853B61">
        <w:rPr>
          <w:sz w:val="22"/>
          <w:szCs w:val="22"/>
          <w:lang w:val="sr-Latn-ME"/>
        </w:rPr>
        <w:t xml:space="preserve"> danikopan</w:t>
      </w:r>
    </w:p>
    <w:p w14:paraId="56F3D930" w14:textId="77B04DDA" w:rsidR="00530BD7" w:rsidRPr="00853B61" w:rsidRDefault="00530BD7" w:rsidP="004B1590">
      <w:pPr>
        <w:jc w:val="both"/>
        <w:rPr>
          <w:bCs/>
          <w:sz w:val="22"/>
          <w:szCs w:val="22"/>
          <w:lang w:val="sr-Latn-ME"/>
        </w:rPr>
      </w:pPr>
    </w:p>
    <w:p w14:paraId="41A7A8E5" w14:textId="77777777" w:rsidR="00EC4B71" w:rsidRPr="00853B61" w:rsidRDefault="00EC4B71" w:rsidP="004B1590">
      <w:pPr>
        <w:jc w:val="both"/>
        <w:rPr>
          <w:bCs/>
          <w:sz w:val="22"/>
          <w:szCs w:val="22"/>
          <w:lang w:val="sr-Latn-ME"/>
        </w:rPr>
      </w:pPr>
    </w:p>
    <w:p w14:paraId="63DFE6F1"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2. </w:t>
      </w:r>
      <w:r w:rsidR="00F5167F" w:rsidRPr="00853B61">
        <w:rPr>
          <w:b/>
          <w:bCs/>
          <w:sz w:val="22"/>
          <w:szCs w:val="22"/>
          <w:lang w:val="sr-Latn-ME"/>
        </w:rPr>
        <w:tab/>
      </w:r>
      <w:r w:rsidRPr="00853B61">
        <w:rPr>
          <w:b/>
          <w:bCs/>
          <w:sz w:val="22"/>
          <w:szCs w:val="22"/>
          <w:lang w:val="sr-Latn-ME"/>
        </w:rPr>
        <w:t>KVALITATIVNI I KVANTITATIVNI SASTAV</w:t>
      </w:r>
    </w:p>
    <w:p w14:paraId="1FABA9F5" w14:textId="77777777" w:rsidR="005A0B2E" w:rsidRPr="00853B61" w:rsidRDefault="005A0B2E" w:rsidP="004B1590">
      <w:pPr>
        <w:jc w:val="both"/>
        <w:rPr>
          <w:sz w:val="22"/>
          <w:szCs w:val="22"/>
          <w:lang w:val="sr-Latn-ME"/>
        </w:rPr>
      </w:pPr>
    </w:p>
    <w:p w14:paraId="2B117989" w14:textId="6539553E" w:rsidR="00784247" w:rsidRPr="00853B61" w:rsidRDefault="00784247" w:rsidP="004B1590">
      <w:pPr>
        <w:jc w:val="both"/>
        <w:rPr>
          <w:sz w:val="22"/>
          <w:szCs w:val="22"/>
          <w:lang w:val="sr-Latn-ME"/>
        </w:rPr>
      </w:pPr>
      <w:r w:rsidRPr="00853B61">
        <w:rPr>
          <w:sz w:val="22"/>
          <w:szCs w:val="22"/>
          <w:u w:val="single"/>
          <w:lang w:val="sr-Latn-ME"/>
        </w:rPr>
        <w:t>Voydeya</w:t>
      </w:r>
      <w:r w:rsidR="00237EA4" w:rsidRPr="00853B61">
        <w:rPr>
          <w:sz w:val="22"/>
          <w:szCs w:val="22"/>
          <w:u w:val="single"/>
          <w:lang w:val="sr-Latn-ME"/>
        </w:rPr>
        <w:t>,</w:t>
      </w:r>
      <w:r w:rsidRPr="00853B61">
        <w:rPr>
          <w:sz w:val="22"/>
          <w:szCs w:val="22"/>
          <w:u w:val="single"/>
          <w:lang w:val="sr-Latn-ME"/>
        </w:rPr>
        <w:t xml:space="preserve"> 50 mg</w:t>
      </w:r>
      <w:r w:rsidR="00237EA4" w:rsidRPr="00853B61">
        <w:rPr>
          <w:sz w:val="22"/>
          <w:szCs w:val="22"/>
          <w:u w:val="single"/>
          <w:lang w:val="sr-Latn-ME"/>
        </w:rPr>
        <w:t>,</w:t>
      </w:r>
      <w:r w:rsidRPr="00853B61">
        <w:rPr>
          <w:sz w:val="22"/>
          <w:szCs w:val="22"/>
          <w:u w:val="single"/>
          <w:lang w:val="sr-Latn-ME"/>
        </w:rPr>
        <w:t xml:space="preserve"> film</w:t>
      </w:r>
      <w:r w:rsidR="00043875" w:rsidRPr="00853B61">
        <w:rPr>
          <w:sz w:val="22"/>
          <w:szCs w:val="22"/>
          <w:u w:val="single"/>
          <w:lang w:val="sr-Latn-ME"/>
        </w:rPr>
        <w:t xml:space="preserve"> </w:t>
      </w:r>
      <w:r w:rsidRPr="00853B61">
        <w:rPr>
          <w:sz w:val="22"/>
          <w:szCs w:val="22"/>
          <w:u w:val="single"/>
          <w:lang w:val="sr-Latn-ME"/>
        </w:rPr>
        <w:t>tablet</w:t>
      </w:r>
      <w:r w:rsidR="005214B4" w:rsidRPr="00853B61">
        <w:rPr>
          <w:sz w:val="22"/>
          <w:szCs w:val="22"/>
          <w:u w:val="single"/>
          <w:lang w:val="sr-Latn-ME"/>
        </w:rPr>
        <w:t>a</w:t>
      </w:r>
    </w:p>
    <w:p w14:paraId="58703C62" w14:textId="77777777" w:rsidR="00784247" w:rsidRPr="00853B61" w:rsidRDefault="00784247" w:rsidP="004B1590">
      <w:pPr>
        <w:jc w:val="both"/>
        <w:rPr>
          <w:sz w:val="22"/>
          <w:szCs w:val="22"/>
          <w:lang w:val="sr-Latn-ME"/>
        </w:rPr>
      </w:pPr>
    </w:p>
    <w:p w14:paraId="602AB96A" w14:textId="5B19A068" w:rsidR="00784247" w:rsidRPr="00853B61" w:rsidRDefault="00784247" w:rsidP="004B1590">
      <w:pPr>
        <w:jc w:val="both"/>
        <w:rPr>
          <w:sz w:val="22"/>
          <w:szCs w:val="22"/>
          <w:lang w:val="sr-Latn-ME"/>
        </w:rPr>
      </w:pPr>
      <w:r w:rsidRPr="00853B61">
        <w:rPr>
          <w:sz w:val="22"/>
          <w:szCs w:val="22"/>
          <w:lang w:val="sr-Latn-ME"/>
        </w:rPr>
        <w:t xml:space="preserve">Svaka </w:t>
      </w:r>
      <w:r w:rsidR="005214B4" w:rsidRPr="00853B61">
        <w:rPr>
          <w:sz w:val="22"/>
          <w:szCs w:val="22"/>
          <w:lang w:val="sr-Latn-ME"/>
        </w:rPr>
        <w:t>film tableta</w:t>
      </w:r>
      <w:r w:rsidRPr="00853B61">
        <w:rPr>
          <w:sz w:val="22"/>
          <w:szCs w:val="22"/>
          <w:lang w:val="sr-Latn-ME"/>
        </w:rPr>
        <w:t xml:space="preserve"> sadrži 50 mg danikopana. </w:t>
      </w:r>
    </w:p>
    <w:p w14:paraId="4C7E6A66" w14:textId="77777777" w:rsidR="00784247" w:rsidRPr="00853B61" w:rsidRDefault="00784247" w:rsidP="004B1590">
      <w:pPr>
        <w:jc w:val="both"/>
        <w:rPr>
          <w:sz w:val="22"/>
          <w:szCs w:val="22"/>
          <w:lang w:val="sr-Latn-ME"/>
        </w:rPr>
      </w:pPr>
    </w:p>
    <w:p w14:paraId="64C95D9B" w14:textId="743FB295" w:rsidR="00784247" w:rsidRPr="00853B61" w:rsidRDefault="00784247" w:rsidP="004B1590">
      <w:pPr>
        <w:jc w:val="both"/>
        <w:rPr>
          <w:sz w:val="22"/>
          <w:szCs w:val="22"/>
          <w:u w:val="single"/>
          <w:lang w:val="sr-Latn-ME"/>
        </w:rPr>
      </w:pPr>
      <w:r w:rsidRPr="00853B61">
        <w:rPr>
          <w:sz w:val="22"/>
          <w:szCs w:val="22"/>
          <w:u w:val="single"/>
          <w:lang w:val="sr-Latn-ME"/>
        </w:rPr>
        <w:t>Voydeya</w:t>
      </w:r>
      <w:r w:rsidR="00237EA4" w:rsidRPr="00853B61">
        <w:rPr>
          <w:sz w:val="22"/>
          <w:szCs w:val="22"/>
          <w:u w:val="single"/>
          <w:lang w:val="sr-Latn-ME"/>
        </w:rPr>
        <w:t>,</w:t>
      </w:r>
      <w:r w:rsidRPr="00853B61">
        <w:rPr>
          <w:sz w:val="22"/>
          <w:szCs w:val="22"/>
          <w:u w:val="single"/>
          <w:lang w:val="sr-Latn-ME"/>
        </w:rPr>
        <w:t xml:space="preserve"> 100 mg</w:t>
      </w:r>
      <w:r w:rsidR="00237EA4" w:rsidRPr="00853B61">
        <w:rPr>
          <w:sz w:val="22"/>
          <w:szCs w:val="22"/>
          <w:u w:val="single"/>
          <w:lang w:val="sr-Latn-ME"/>
        </w:rPr>
        <w:t>,</w:t>
      </w:r>
      <w:r w:rsidRPr="00853B61">
        <w:rPr>
          <w:sz w:val="22"/>
          <w:szCs w:val="22"/>
          <w:u w:val="single"/>
          <w:lang w:val="sr-Latn-ME"/>
        </w:rPr>
        <w:t xml:space="preserve"> film</w:t>
      </w:r>
      <w:r w:rsidR="00043875" w:rsidRPr="00853B61">
        <w:rPr>
          <w:sz w:val="22"/>
          <w:szCs w:val="22"/>
          <w:u w:val="single"/>
          <w:lang w:val="sr-Latn-ME"/>
        </w:rPr>
        <w:t xml:space="preserve"> </w:t>
      </w:r>
      <w:r w:rsidRPr="00853B61">
        <w:rPr>
          <w:sz w:val="22"/>
          <w:szCs w:val="22"/>
          <w:u w:val="single"/>
          <w:lang w:val="sr-Latn-ME"/>
        </w:rPr>
        <w:t>tablet</w:t>
      </w:r>
      <w:r w:rsidR="005214B4" w:rsidRPr="00853B61">
        <w:rPr>
          <w:sz w:val="22"/>
          <w:szCs w:val="22"/>
          <w:u w:val="single"/>
          <w:lang w:val="sr-Latn-ME"/>
        </w:rPr>
        <w:t>a</w:t>
      </w:r>
    </w:p>
    <w:p w14:paraId="1BFF2AF8" w14:textId="77777777" w:rsidR="00784247" w:rsidRPr="00853B61" w:rsidRDefault="00784247" w:rsidP="004B1590">
      <w:pPr>
        <w:jc w:val="both"/>
        <w:rPr>
          <w:sz w:val="22"/>
          <w:szCs w:val="22"/>
          <w:lang w:val="sr-Latn-ME"/>
        </w:rPr>
      </w:pPr>
    </w:p>
    <w:p w14:paraId="17032EBB" w14:textId="012B8AAE" w:rsidR="00784247" w:rsidRPr="00853B61" w:rsidRDefault="00784247" w:rsidP="004B1590">
      <w:pPr>
        <w:jc w:val="both"/>
        <w:rPr>
          <w:sz w:val="22"/>
          <w:szCs w:val="22"/>
          <w:lang w:val="sr-Latn-ME"/>
        </w:rPr>
      </w:pPr>
      <w:r w:rsidRPr="00853B61">
        <w:rPr>
          <w:sz w:val="22"/>
          <w:szCs w:val="22"/>
          <w:lang w:val="sr-Latn-ME"/>
        </w:rPr>
        <w:t xml:space="preserve">Svaka </w:t>
      </w:r>
      <w:r w:rsidR="005214B4" w:rsidRPr="00853B61">
        <w:rPr>
          <w:sz w:val="22"/>
          <w:szCs w:val="22"/>
          <w:lang w:val="sr-Latn-ME"/>
        </w:rPr>
        <w:t>film tableta</w:t>
      </w:r>
      <w:r w:rsidRPr="00853B61">
        <w:rPr>
          <w:sz w:val="22"/>
          <w:szCs w:val="22"/>
          <w:lang w:val="sr-Latn-ME"/>
        </w:rPr>
        <w:t xml:space="preserve"> sadrži 100 mg danikopana. </w:t>
      </w:r>
    </w:p>
    <w:p w14:paraId="41E6D467" w14:textId="77777777" w:rsidR="00784247" w:rsidRPr="00853B61" w:rsidRDefault="00784247" w:rsidP="004B1590">
      <w:pPr>
        <w:jc w:val="both"/>
        <w:rPr>
          <w:sz w:val="22"/>
          <w:szCs w:val="22"/>
          <w:lang w:val="sr-Latn-ME"/>
        </w:rPr>
      </w:pPr>
    </w:p>
    <w:p w14:paraId="1C18F3A1" w14:textId="7024769A" w:rsidR="00784247" w:rsidRPr="00853B61" w:rsidRDefault="00784247" w:rsidP="004B1590">
      <w:pPr>
        <w:jc w:val="both"/>
        <w:rPr>
          <w:sz w:val="22"/>
          <w:szCs w:val="22"/>
          <w:lang w:val="sr-Latn-ME"/>
        </w:rPr>
      </w:pPr>
      <w:r w:rsidRPr="00853B61">
        <w:rPr>
          <w:sz w:val="22"/>
          <w:szCs w:val="22"/>
          <w:u w:val="single"/>
          <w:lang w:val="sr-Latn-ME"/>
        </w:rPr>
        <w:t>Pomoćna supstanca sa poznatim dejstvom</w:t>
      </w:r>
    </w:p>
    <w:p w14:paraId="0037ECB7" w14:textId="77777777" w:rsidR="00784247" w:rsidRPr="00853B61" w:rsidRDefault="00784247" w:rsidP="004B1590">
      <w:pPr>
        <w:jc w:val="both"/>
        <w:rPr>
          <w:sz w:val="22"/>
          <w:szCs w:val="22"/>
          <w:lang w:val="sr-Latn-ME"/>
        </w:rPr>
      </w:pPr>
    </w:p>
    <w:p w14:paraId="7A1C43DB" w14:textId="41B96F2F" w:rsidR="00784247" w:rsidRPr="00853B61" w:rsidRDefault="00784247" w:rsidP="004B1590">
      <w:pPr>
        <w:jc w:val="both"/>
        <w:rPr>
          <w:sz w:val="22"/>
          <w:szCs w:val="22"/>
          <w:lang w:val="sr-Latn-ME"/>
        </w:rPr>
      </w:pPr>
      <w:r w:rsidRPr="00853B61">
        <w:rPr>
          <w:sz w:val="22"/>
          <w:szCs w:val="22"/>
          <w:lang w:val="sr-Latn-ME"/>
        </w:rPr>
        <w:t>Svaka tableta od 50 mg sadrži 57,5 mg laktoze</w:t>
      </w:r>
      <w:r w:rsidR="00B97AFB">
        <w:rPr>
          <w:sz w:val="22"/>
          <w:szCs w:val="22"/>
          <w:lang w:val="sr-Latn-ME"/>
        </w:rPr>
        <w:t xml:space="preserve"> u obliku lak</w:t>
      </w:r>
      <w:r w:rsidR="004B1590" w:rsidRPr="00853B61">
        <w:rPr>
          <w:sz w:val="22"/>
          <w:szCs w:val="22"/>
          <w:lang w:val="sr-Latn-ME"/>
        </w:rPr>
        <w:t>toza monohidrata</w:t>
      </w:r>
      <w:r w:rsidRPr="00853B61">
        <w:rPr>
          <w:sz w:val="22"/>
          <w:szCs w:val="22"/>
          <w:lang w:val="sr-Latn-ME"/>
        </w:rPr>
        <w:t xml:space="preserve">. </w:t>
      </w:r>
    </w:p>
    <w:p w14:paraId="044725AF" w14:textId="016149A7" w:rsidR="00784247" w:rsidRPr="00853B61" w:rsidRDefault="00784247" w:rsidP="004B1590">
      <w:pPr>
        <w:jc w:val="both"/>
        <w:rPr>
          <w:sz w:val="22"/>
          <w:szCs w:val="22"/>
          <w:lang w:val="sr-Latn-ME"/>
        </w:rPr>
      </w:pPr>
      <w:r w:rsidRPr="00853B61">
        <w:rPr>
          <w:sz w:val="22"/>
          <w:szCs w:val="22"/>
          <w:lang w:val="sr-Latn-ME"/>
        </w:rPr>
        <w:t xml:space="preserve">Svaka tableta od 100 mg sadrži 115 mg </w:t>
      </w:r>
      <w:r w:rsidR="00B97AFB">
        <w:rPr>
          <w:sz w:val="22"/>
          <w:szCs w:val="22"/>
          <w:lang w:val="sr-Latn-ME"/>
        </w:rPr>
        <w:t>laktoze u obliku lak</w:t>
      </w:r>
      <w:r w:rsidR="004B1590" w:rsidRPr="00853B61">
        <w:rPr>
          <w:sz w:val="22"/>
          <w:szCs w:val="22"/>
          <w:lang w:val="sr-Latn-ME"/>
        </w:rPr>
        <w:t>toza monohidrata</w:t>
      </w:r>
      <w:r w:rsidRPr="00853B61">
        <w:rPr>
          <w:sz w:val="22"/>
          <w:szCs w:val="22"/>
          <w:lang w:val="sr-Latn-ME"/>
        </w:rPr>
        <w:t>.</w:t>
      </w:r>
    </w:p>
    <w:p w14:paraId="1FE4B42D" w14:textId="77777777" w:rsidR="00784247" w:rsidRPr="00853B61" w:rsidRDefault="00784247" w:rsidP="004B1590">
      <w:pPr>
        <w:jc w:val="both"/>
        <w:rPr>
          <w:sz w:val="22"/>
          <w:szCs w:val="22"/>
          <w:lang w:val="sr-Latn-ME"/>
        </w:rPr>
      </w:pPr>
    </w:p>
    <w:p w14:paraId="04D0F709" w14:textId="7C80D6EF" w:rsidR="0003793F" w:rsidRPr="00853B61" w:rsidRDefault="0003793F" w:rsidP="004B1590">
      <w:pPr>
        <w:jc w:val="both"/>
        <w:rPr>
          <w:sz w:val="22"/>
          <w:szCs w:val="22"/>
          <w:lang w:val="sr-Latn-ME"/>
        </w:rPr>
      </w:pPr>
      <w:r w:rsidRPr="00853B61">
        <w:rPr>
          <w:sz w:val="22"/>
          <w:szCs w:val="22"/>
          <w:lang w:val="sr-Latn-ME"/>
        </w:rPr>
        <w:t>Za spisak svih ekscipijenasa, pogledati dio 6.1.</w:t>
      </w:r>
    </w:p>
    <w:p w14:paraId="5FA1D980" w14:textId="5B935DA2" w:rsidR="00C37FD7" w:rsidRPr="00853B61" w:rsidRDefault="00C37FD7" w:rsidP="004B1590">
      <w:pPr>
        <w:jc w:val="both"/>
        <w:rPr>
          <w:sz w:val="22"/>
          <w:szCs w:val="22"/>
          <w:lang w:val="sr-Latn-ME"/>
        </w:rPr>
      </w:pPr>
    </w:p>
    <w:p w14:paraId="3F7BFC20" w14:textId="77777777" w:rsidR="00EC4B71" w:rsidRPr="00853B61" w:rsidRDefault="00EC4B71" w:rsidP="004B1590">
      <w:pPr>
        <w:jc w:val="both"/>
        <w:rPr>
          <w:sz w:val="22"/>
          <w:szCs w:val="22"/>
          <w:lang w:val="sr-Latn-ME"/>
        </w:rPr>
      </w:pPr>
    </w:p>
    <w:p w14:paraId="5F21FD68"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3. </w:t>
      </w:r>
      <w:r w:rsidR="00F5167F" w:rsidRPr="00853B61">
        <w:rPr>
          <w:b/>
          <w:bCs/>
          <w:sz w:val="22"/>
          <w:szCs w:val="22"/>
          <w:lang w:val="sr-Latn-ME"/>
        </w:rPr>
        <w:tab/>
      </w:r>
      <w:r w:rsidRPr="00853B61">
        <w:rPr>
          <w:b/>
          <w:bCs/>
          <w:sz w:val="22"/>
          <w:szCs w:val="22"/>
          <w:lang w:val="sr-Latn-ME"/>
        </w:rPr>
        <w:t>FARMACEUTSKI OBLIK</w:t>
      </w:r>
      <w:r w:rsidR="009F2D23" w:rsidRPr="00853B61">
        <w:rPr>
          <w:b/>
          <w:bCs/>
          <w:sz w:val="22"/>
          <w:szCs w:val="22"/>
          <w:lang w:val="sr-Latn-ME"/>
        </w:rPr>
        <w:t xml:space="preserve"> </w:t>
      </w:r>
    </w:p>
    <w:p w14:paraId="36036CED" w14:textId="77777777" w:rsidR="00411B4B" w:rsidRPr="00853B61" w:rsidRDefault="00411B4B" w:rsidP="004B1590">
      <w:pPr>
        <w:jc w:val="both"/>
        <w:rPr>
          <w:bCs/>
          <w:sz w:val="22"/>
          <w:szCs w:val="22"/>
          <w:lang w:val="sr-Latn-ME"/>
        </w:rPr>
      </w:pPr>
    </w:p>
    <w:p w14:paraId="14DC87DD" w14:textId="23CF7EFC" w:rsidR="00784247" w:rsidRPr="00853B61" w:rsidRDefault="00784247" w:rsidP="004B1590">
      <w:pPr>
        <w:jc w:val="both"/>
        <w:rPr>
          <w:bCs/>
          <w:sz w:val="22"/>
          <w:szCs w:val="22"/>
          <w:lang w:val="sr-Latn-ME"/>
        </w:rPr>
      </w:pPr>
      <w:r w:rsidRPr="00853B61">
        <w:rPr>
          <w:bCs/>
          <w:sz w:val="22"/>
          <w:szCs w:val="22"/>
          <w:lang w:val="sr-Latn-ME"/>
        </w:rPr>
        <w:t>Film tableta.</w:t>
      </w:r>
    </w:p>
    <w:p w14:paraId="6B54F064" w14:textId="77777777" w:rsidR="00784247" w:rsidRPr="00853B61" w:rsidRDefault="00784247" w:rsidP="004B1590">
      <w:pPr>
        <w:jc w:val="both"/>
        <w:rPr>
          <w:bCs/>
          <w:sz w:val="22"/>
          <w:szCs w:val="22"/>
          <w:lang w:val="sr-Latn-ME"/>
        </w:rPr>
      </w:pPr>
    </w:p>
    <w:p w14:paraId="349714A1" w14:textId="7E73E0F7" w:rsidR="00784247" w:rsidRPr="00853B61" w:rsidRDefault="00784247" w:rsidP="004B1590">
      <w:pPr>
        <w:jc w:val="both"/>
        <w:rPr>
          <w:bCs/>
          <w:sz w:val="22"/>
          <w:szCs w:val="22"/>
          <w:lang w:val="sr-Latn-ME"/>
        </w:rPr>
      </w:pPr>
      <w:r w:rsidRPr="00853B61">
        <w:rPr>
          <w:bCs/>
          <w:sz w:val="22"/>
          <w:szCs w:val="22"/>
          <w:u w:val="single"/>
          <w:lang w:val="sr-Latn-ME"/>
        </w:rPr>
        <w:t>Voydeya</w:t>
      </w:r>
      <w:r w:rsidR="00043875" w:rsidRPr="00853B61">
        <w:rPr>
          <w:bCs/>
          <w:sz w:val="22"/>
          <w:szCs w:val="22"/>
          <w:u w:val="single"/>
          <w:lang w:val="sr-Latn-ME"/>
        </w:rPr>
        <w:t>,</w:t>
      </w:r>
      <w:r w:rsidRPr="00853B61">
        <w:rPr>
          <w:bCs/>
          <w:sz w:val="22"/>
          <w:szCs w:val="22"/>
          <w:u w:val="single"/>
          <w:lang w:val="sr-Latn-ME"/>
        </w:rPr>
        <w:t xml:space="preserve"> 50 mg</w:t>
      </w:r>
      <w:r w:rsidR="00043875" w:rsidRPr="00853B61">
        <w:rPr>
          <w:bCs/>
          <w:sz w:val="22"/>
          <w:szCs w:val="22"/>
          <w:u w:val="single"/>
          <w:lang w:val="sr-Latn-ME"/>
        </w:rPr>
        <w:t>,</w:t>
      </w:r>
      <w:r w:rsidRPr="00853B61">
        <w:rPr>
          <w:bCs/>
          <w:sz w:val="22"/>
          <w:szCs w:val="22"/>
          <w:u w:val="single"/>
          <w:lang w:val="sr-Latn-ME"/>
        </w:rPr>
        <w:t xml:space="preserve"> film tablet</w:t>
      </w:r>
      <w:r w:rsidR="00EC4B71" w:rsidRPr="00853B61">
        <w:rPr>
          <w:bCs/>
          <w:sz w:val="22"/>
          <w:szCs w:val="22"/>
          <w:u w:val="single"/>
          <w:lang w:val="sr-Latn-ME"/>
        </w:rPr>
        <w:t>a</w:t>
      </w:r>
    </w:p>
    <w:p w14:paraId="22FF3856" w14:textId="77777777" w:rsidR="00784247" w:rsidRPr="00853B61" w:rsidRDefault="00784247" w:rsidP="004B1590">
      <w:pPr>
        <w:jc w:val="both"/>
        <w:rPr>
          <w:bCs/>
          <w:sz w:val="22"/>
          <w:szCs w:val="22"/>
          <w:lang w:val="sr-Latn-ME"/>
        </w:rPr>
      </w:pPr>
    </w:p>
    <w:p w14:paraId="3420F889" w14:textId="28DC8344" w:rsidR="00784247" w:rsidRPr="00853B61" w:rsidRDefault="00784247" w:rsidP="004B1590">
      <w:pPr>
        <w:jc w:val="both"/>
        <w:rPr>
          <w:bCs/>
          <w:sz w:val="22"/>
          <w:szCs w:val="22"/>
          <w:lang w:val="sr-Latn-ME"/>
        </w:rPr>
      </w:pPr>
      <w:r w:rsidRPr="00853B61">
        <w:rPr>
          <w:bCs/>
          <w:sz w:val="22"/>
          <w:szCs w:val="22"/>
          <w:lang w:val="sr-Latn-ME"/>
        </w:rPr>
        <w:t>B</w:t>
      </w:r>
      <w:r w:rsidR="00237EA4" w:rsidRPr="00853B61">
        <w:rPr>
          <w:bCs/>
          <w:sz w:val="22"/>
          <w:szCs w:val="22"/>
          <w:lang w:val="sr-Latn-ME"/>
        </w:rPr>
        <w:t>ij</w:t>
      </w:r>
      <w:r w:rsidRPr="00853B61">
        <w:rPr>
          <w:bCs/>
          <w:sz w:val="22"/>
          <w:szCs w:val="22"/>
          <w:lang w:val="sr-Latn-ME"/>
        </w:rPr>
        <w:t>ele do b</w:t>
      </w:r>
      <w:r w:rsidR="00237EA4" w:rsidRPr="00853B61">
        <w:rPr>
          <w:bCs/>
          <w:sz w:val="22"/>
          <w:szCs w:val="22"/>
          <w:lang w:val="sr-Latn-ME"/>
        </w:rPr>
        <w:t>j</w:t>
      </w:r>
      <w:r w:rsidRPr="00853B61">
        <w:rPr>
          <w:bCs/>
          <w:sz w:val="22"/>
          <w:szCs w:val="22"/>
          <w:lang w:val="sr-Latn-ME"/>
        </w:rPr>
        <w:t xml:space="preserve">eličaste, okrugle, </w:t>
      </w:r>
      <w:r w:rsidR="005338DC" w:rsidRPr="00853B61">
        <w:rPr>
          <w:bCs/>
          <w:sz w:val="22"/>
          <w:szCs w:val="22"/>
          <w:lang w:val="sr-Latn-ME"/>
        </w:rPr>
        <w:t>film tablete</w:t>
      </w:r>
      <w:r w:rsidRPr="00853B61">
        <w:rPr>
          <w:bCs/>
          <w:sz w:val="22"/>
          <w:szCs w:val="22"/>
          <w:lang w:val="sr-Latn-ME"/>
        </w:rPr>
        <w:t xml:space="preserve">, </w:t>
      </w:r>
      <w:r w:rsidR="007C79BF" w:rsidRPr="00853B61">
        <w:rPr>
          <w:bCs/>
          <w:sz w:val="22"/>
          <w:szCs w:val="22"/>
          <w:lang w:val="sr-Latn-ME"/>
        </w:rPr>
        <w:t xml:space="preserve">prečnika oko 8 mm, </w:t>
      </w:r>
      <w:r w:rsidR="00EC4B71" w:rsidRPr="00853B61">
        <w:rPr>
          <w:bCs/>
          <w:sz w:val="22"/>
          <w:szCs w:val="22"/>
          <w:lang w:val="sr-Latn-ME"/>
        </w:rPr>
        <w:t xml:space="preserve">sa utisnutim </w:t>
      </w:r>
      <w:r w:rsidRPr="00853B61">
        <w:rPr>
          <w:bCs/>
          <w:sz w:val="22"/>
          <w:szCs w:val="22"/>
          <w:lang w:val="sr-Latn-ME"/>
        </w:rPr>
        <w:t xml:space="preserve">„DCN” iznad „50” na jednoj </w:t>
      </w:r>
      <w:r w:rsidR="00EC4B71" w:rsidRPr="00853B61">
        <w:rPr>
          <w:bCs/>
          <w:sz w:val="22"/>
          <w:szCs w:val="22"/>
          <w:lang w:val="sr-Latn-ME"/>
        </w:rPr>
        <w:t>stra</w:t>
      </w:r>
      <w:r w:rsidR="007C79BF" w:rsidRPr="00853B61">
        <w:rPr>
          <w:bCs/>
          <w:sz w:val="22"/>
          <w:szCs w:val="22"/>
          <w:lang w:val="sr-Latn-ME"/>
        </w:rPr>
        <w:t>ni</w:t>
      </w:r>
      <w:r w:rsidR="00EC4B71" w:rsidRPr="00853B61">
        <w:rPr>
          <w:bCs/>
          <w:sz w:val="22"/>
          <w:szCs w:val="22"/>
          <w:lang w:val="sr-Latn-ME"/>
        </w:rPr>
        <w:t xml:space="preserve"> i</w:t>
      </w:r>
      <w:r w:rsidRPr="00853B61">
        <w:rPr>
          <w:bCs/>
          <w:sz w:val="22"/>
          <w:szCs w:val="22"/>
          <w:lang w:val="sr-Latn-ME"/>
        </w:rPr>
        <w:t xml:space="preserve"> bez </w:t>
      </w:r>
      <w:r w:rsidR="00EC4B71" w:rsidRPr="00853B61">
        <w:rPr>
          <w:bCs/>
          <w:sz w:val="22"/>
          <w:szCs w:val="22"/>
          <w:lang w:val="sr-Latn-ME"/>
        </w:rPr>
        <w:t>oznaka</w:t>
      </w:r>
      <w:r w:rsidRPr="00853B61">
        <w:rPr>
          <w:bCs/>
          <w:sz w:val="22"/>
          <w:szCs w:val="22"/>
          <w:lang w:val="sr-Latn-ME"/>
        </w:rPr>
        <w:t xml:space="preserve"> na drugoj strani.</w:t>
      </w:r>
    </w:p>
    <w:p w14:paraId="042BECE6" w14:textId="77777777" w:rsidR="00784247" w:rsidRPr="00853B61" w:rsidRDefault="00784247" w:rsidP="004B1590">
      <w:pPr>
        <w:jc w:val="both"/>
        <w:rPr>
          <w:bCs/>
          <w:sz w:val="22"/>
          <w:szCs w:val="22"/>
          <w:u w:val="single"/>
          <w:lang w:val="sr-Latn-ME"/>
        </w:rPr>
      </w:pPr>
    </w:p>
    <w:p w14:paraId="6FEB6992" w14:textId="2EA47DE1" w:rsidR="00784247" w:rsidRPr="00853B61" w:rsidRDefault="00784247" w:rsidP="004B1590">
      <w:pPr>
        <w:jc w:val="both"/>
        <w:rPr>
          <w:bCs/>
          <w:sz w:val="22"/>
          <w:szCs w:val="22"/>
          <w:lang w:val="sr-Latn-ME"/>
        </w:rPr>
      </w:pPr>
      <w:r w:rsidRPr="00853B61">
        <w:rPr>
          <w:bCs/>
          <w:sz w:val="22"/>
          <w:szCs w:val="22"/>
          <w:u w:val="single"/>
          <w:lang w:val="sr-Latn-ME"/>
        </w:rPr>
        <w:t>Voydeya</w:t>
      </w:r>
      <w:r w:rsidR="00237EA4" w:rsidRPr="00853B61">
        <w:rPr>
          <w:bCs/>
          <w:sz w:val="22"/>
          <w:szCs w:val="22"/>
          <w:u w:val="single"/>
          <w:lang w:val="sr-Latn-ME"/>
        </w:rPr>
        <w:t>,</w:t>
      </w:r>
      <w:r w:rsidRPr="00853B61">
        <w:rPr>
          <w:bCs/>
          <w:sz w:val="22"/>
          <w:szCs w:val="22"/>
          <w:u w:val="single"/>
          <w:lang w:val="sr-Latn-ME"/>
        </w:rPr>
        <w:t xml:space="preserve"> 100 mg</w:t>
      </w:r>
      <w:r w:rsidR="00237EA4" w:rsidRPr="00853B61">
        <w:rPr>
          <w:bCs/>
          <w:sz w:val="22"/>
          <w:szCs w:val="22"/>
          <w:u w:val="single"/>
          <w:lang w:val="sr-Latn-ME"/>
        </w:rPr>
        <w:t>,</w:t>
      </w:r>
      <w:r w:rsidRPr="00853B61">
        <w:rPr>
          <w:bCs/>
          <w:sz w:val="22"/>
          <w:szCs w:val="22"/>
          <w:u w:val="single"/>
          <w:lang w:val="sr-Latn-ME"/>
        </w:rPr>
        <w:t xml:space="preserve"> film tablet</w:t>
      </w:r>
      <w:r w:rsidR="00EC4B71" w:rsidRPr="00853B61">
        <w:rPr>
          <w:bCs/>
          <w:sz w:val="22"/>
          <w:szCs w:val="22"/>
          <w:u w:val="single"/>
          <w:lang w:val="sr-Latn-ME"/>
        </w:rPr>
        <w:t>a</w:t>
      </w:r>
    </w:p>
    <w:p w14:paraId="353E0305" w14:textId="77777777" w:rsidR="00784247" w:rsidRPr="00853B61" w:rsidRDefault="00784247" w:rsidP="004B1590">
      <w:pPr>
        <w:jc w:val="both"/>
        <w:rPr>
          <w:bCs/>
          <w:sz w:val="22"/>
          <w:szCs w:val="22"/>
          <w:lang w:val="sr-Latn-ME"/>
        </w:rPr>
      </w:pPr>
    </w:p>
    <w:p w14:paraId="2706AFC2" w14:textId="25DF9FFC" w:rsidR="00784247" w:rsidRPr="00853B61" w:rsidRDefault="00784247" w:rsidP="004B1590">
      <w:pPr>
        <w:jc w:val="both"/>
        <w:rPr>
          <w:bCs/>
          <w:sz w:val="22"/>
          <w:szCs w:val="22"/>
          <w:lang w:val="sr-Latn-ME"/>
        </w:rPr>
      </w:pPr>
      <w:r w:rsidRPr="00853B61">
        <w:rPr>
          <w:bCs/>
          <w:sz w:val="22"/>
          <w:szCs w:val="22"/>
          <w:lang w:val="sr-Latn-ME"/>
        </w:rPr>
        <w:t>B</w:t>
      </w:r>
      <w:r w:rsidR="00237EA4" w:rsidRPr="00853B61">
        <w:rPr>
          <w:bCs/>
          <w:sz w:val="22"/>
          <w:szCs w:val="22"/>
          <w:lang w:val="sr-Latn-ME"/>
        </w:rPr>
        <w:t>ij</w:t>
      </w:r>
      <w:r w:rsidRPr="00853B61">
        <w:rPr>
          <w:bCs/>
          <w:sz w:val="22"/>
          <w:szCs w:val="22"/>
          <w:lang w:val="sr-Latn-ME"/>
        </w:rPr>
        <w:t>ele do b</w:t>
      </w:r>
      <w:r w:rsidR="00237EA4" w:rsidRPr="00853B61">
        <w:rPr>
          <w:bCs/>
          <w:sz w:val="22"/>
          <w:szCs w:val="22"/>
          <w:lang w:val="sr-Latn-ME"/>
        </w:rPr>
        <w:t>j</w:t>
      </w:r>
      <w:r w:rsidRPr="00853B61">
        <w:rPr>
          <w:bCs/>
          <w:sz w:val="22"/>
          <w:szCs w:val="22"/>
          <w:lang w:val="sr-Latn-ME"/>
        </w:rPr>
        <w:t xml:space="preserve">eličaste, okrugle, </w:t>
      </w:r>
      <w:r w:rsidR="005338DC" w:rsidRPr="00853B61">
        <w:rPr>
          <w:bCs/>
          <w:sz w:val="22"/>
          <w:szCs w:val="22"/>
          <w:lang w:val="sr-Latn-ME"/>
        </w:rPr>
        <w:t>film tablete</w:t>
      </w:r>
      <w:r w:rsidRPr="00853B61">
        <w:rPr>
          <w:bCs/>
          <w:sz w:val="22"/>
          <w:szCs w:val="22"/>
          <w:lang w:val="sr-Latn-ME"/>
        </w:rPr>
        <w:t>,</w:t>
      </w:r>
      <w:r w:rsidR="007C79BF" w:rsidRPr="00853B61">
        <w:rPr>
          <w:bCs/>
          <w:sz w:val="22"/>
          <w:szCs w:val="22"/>
          <w:lang w:val="sr-Latn-ME"/>
        </w:rPr>
        <w:t xml:space="preserve"> prečnika oko 10,3 mm,</w:t>
      </w:r>
      <w:r w:rsidRPr="00853B61">
        <w:rPr>
          <w:bCs/>
          <w:sz w:val="22"/>
          <w:szCs w:val="22"/>
          <w:lang w:val="sr-Latn-ME"/>
        </w:rPr>
        <w:t xml:space="preserve"> </w:t>
      </w:r>
      <w:r w:rsidR="00EC4B71" w:rsidRPr="00853B61">
        <w:rPr>
          <w:bCs/>
          <w:sz w:val="22"/>
          <w:szCs w:val="22"/>
          <w:lang w:val="sr-Latn-ME"/>
        </w:rPr>
        <w:t xml:space="preserve">sa utisnutim </w:t>
      </w:r>
      <w:r w:rsidRPr="00853B61">
        <w:rPr>
          <w:bCs/>
          <w:sz w:val="22"/>
          <w:szCs w:val="22"/>
          <w:lang w:val="sr-Latn-ME"/>
        </w:rPr>
        <w:t xml:space="preserve">„DCN” iznad „100” na jednoj </w:t>
      </w:r>
      <w:r w:rsidR="00EC4B71" w:rsidRPr="00853B61">
        <w:rPr>
          <w:bCs/>
          <w:sz w:val="22"/>
          <w:szCs w:val="22"/>
          <w:lang w:val="sr-Latn-ME"/>
        </w:rPr>
        <w:t xml:space="preserve">strani i bez oznaka </w:t>
      </w:r>
      <w:r w:rsidRPr="00853B61">
        <w:rPr>
          <w:bCs/>
          <w:sz w:val="22"/>
          <w:szCs w:val="22"/>
          <w:lang w:val="sr-Latn-ME"/>
        </w:rPr>
        <w:t>na drugoj strani.</w:t>
      </w:r>
    </w:p>
    <w:p w14:paraId="3C769A63" w14:textId="2B147ABA" w:rsidR="00EC2532" w:rsidRPr="00853B61" w:rsidRDefault="00EC2532" w:rsidP="004B1590">
      <w:pPr>
        <w:jc w:val="both"/>
        <w:rPr>
          <w:bCs/>
          <w:sz w:val="22"/>
          <w:szCs w:val="22"/>
          <w:lang w:val="sr-Latn-ME"/>
        </w:rPr>
      </w:pPr>
    </w:p>
    <w:p w14:paraId="4BB50963" w14:textId="6CBD8096" w:rsidR="000638AF" w:rsidRDefault="000638AF" w:rsidP="004B1590">
      <w:pPr>
        <w:jc w:val="both"/>
        <w:rPr>
          <w:bCs/>
          <w:sz w:val="22"/>
          <w:szCs w:val="22"/>
          <w:lang w:val="sr-Latn-ME"/>
        </w:rPr>
      </w:pPr>
    </w:p>
    <w:p w14:paraId="3CFAE724" w14:textId="274BEEBF" w:rsidR="00B97AFB" w:rsidRDefault="00B97AFB" w:rsidP="004B1590">
      <w:pPr>
        <w:jc w:val="both"/>
        <w:rPr>
          <w:bCs/>
          <w:sz w:val="22"/>
          <w:szCs w:val="22"/>
          <w:lang w:val="sr-Latn-ME"/>
        </w:rPr>
      </w:pPr>
    </w:p>
    <w:p w14:paraId="2712D90C" w14:textId="312E4EEC" w:rsidR="00B97AFB" w:rsidRDefault="00B97AFB" w:rsidP="004B1590">
      <w:pPr>
        <w:jc w:val="both"/>
        <w:rPr>
          <w:bCs/>
          <w:sz w:val="22"/>
          <w:szCs w:val="22"/>
          <w:lang w:val="sr-Latn-ME"/>
        </w:rPr>
      </w:pPr>
    </w:p>
    <w:p w14:paraId="58968807" w14:textId="324CDACA" w:rsidR="00B97AFB" w:rsidRDefault="00B97AFB" w:rsidP="004B1590">
      <w:pPr>
        <w:jc w:val="both"/>
        <w:rPr>
          <w:bCs/>
          <w:sz w:val="22"/>
          <w:szCs w:val="22"/>
          <w:lang w:val="sr-Latn-ME"/>
        </w:rPr>
      </w:pPr>
    </w:p>
    <w:p w14:paraId="49723978" w14:textId="179B031E" w:rsidR="00B97AFB" w:rsidRDefault="00B97AFB" w:rsidP="004B1590">
      <w:pPr>
        <w:jc w:val="both"/>
        <w:rPr>
          <w:bCs/>
          <w:sz w:val="22"/>
          <w:szCs w:val="22"/>
          <w:lang w:val="sr-Latn-ME"/>
        </w:rPr>
      </w:pPr>
    </w:p>
    <w:p w14:paraId="30D34C39" w14:textId="580107BE" w:rsidR="00B97AFB" w:rsidRDefault="00B97AFB" w:rsidP="004B1590">
      <w:pPr>
        <w:jc w:val="both"/>
        <w:rPr>
          <w:bCs/>
          <w:sz w:val="22"/>
          <w:szCs w:val="22"/>
          <w:lang w:val="sr-Latn-ME"/>
        </w:rPr>
      </w:pPr>
    </w:p>
    <w:p w14:paraId="3A92FB4F" w14:textId="77777777" w:rsidR="00B97AFB" w:rsidRPr="00853B61" w:rsidRDefault="00B97AFB" w:rsidP="004B1590">
      <w:pPr>
        <w:jc w:val="both"/>
        <w:rPr>
          <w:bCs/>
          <w:sz w:val="22"/>
          <w:szCs w:val="22"/>
          <w:lang w:val="sr-Latn-ME"/>
        </w:rPr>
      </w:pPr>
    </w:p>
    <w:p w14:paraId="2D0D9D16"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lastRenderedPageBreak/>
        <w:t xml:space="preserve">4. </w:t>
      </w:r>
      <w:r w:rsidR="00480FB1" w:rsidRPr="00853B61">
        <w:rPr>
          <w:b/>
          <w:bCs/>
          <w:sz w:val="22"/>
          <w:szCs w:val="22"/>
          <w:lang w:val="sr-Latn-ME"/>
        </w:rPr>
        <w:tab/>
      </w:r>
      <w:r w:rsidRPr="00853B61">
        <w:rPr>
          <w:b/>
          <w:bCs/>
          <w:sz w:val="22"/>
          <w:szCs w:val="22"/>
          <w:lang w:val="sr-Latn-ME"/>
        </w:rPr>
        <w:t>KLINIČKI PODACI</w:t>
      </w:r>
    </w:p>
    <w:p w14:paraId="7E5015A7" w14:textId="77777777" w:rsidR="00CD6F02" w:rsidRPr="00853B61" w:rsidRDefault="00CD6F02" w:rsidP="004B1590">
      <w:pPr>
        <w:tabs>
          <w:tab w:val="left" w:pos="540"/>
          <w:tab w:val="left" w:pos="569"/>
        </w:tabs>
        <w:jc w:val="both"/>
        <w:rPr>
          <w:bCs/>
          <w:sz w:val="22"/>
          <w:szCs w:val="22"/>
          <w:lang w:val="sr-Latn-ME"/>
        </w:rPr>
      </w:pPr>
    </w:p>
    <w:p w14:paraId="615B9E81"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4.1. </w:t>
      </w:r>
      <w:r w:rsidR="00480FB1" w:rsidRPr="00853B61">
        <w:rPr>
          <w:b/>
          <w:bCs/>
          <w:sz w:val="22"/>
          <w:szCs w:val="22"/>
          <w:lang w:val="sr-Latn-ME"/>
        </w:rPr>
        <w:tab/>
      </w:r>
      <w:r w:rsidRPr="00853B61">
        <w:rPr>
          <w:b/>
          <w:bCs/>
          <w:sz w:val="22"/>
          <w:szCs w:val="22"/>
          <w:lang w:val="sr-Latn-ME"/>
        </w:rPr>
        <w:t>Terapijske indikacije</w:t>
      </w:r>
    </w:p>
    <w:p w14:paraId="3E51360D" w14:textId="77777777" w:rsidR="00784247" w:rsidRPr="00853B61" w:rsidRDefault="00784247" w:rsidP="004B1590">
      <w:pPr>
        <w:tabs>
          <w:tab w:val="left" w:pos="540"/>
          <w:tab w:val="left" w:pos="569"/>
        </w:tabs>
        <w:jc w:val="both"/>
        <w:rPr>
          <w:sz w:val="22"/>
          <w:szCs w:val="22"/>
          <w:lang w:val="sr-Latn-ME"/>
        </w:rPr>
      </w:pPr>
    </w:p>
    <w:p w14:paraId="12DC9801" w14:textId="0F094B69" w:rsidR="00411B4B" w:rsidRPr="00853B61" w:rsidRDefault="00784247" w:rsidP="004B1590">
      <w:pPr>
        <w:tabs>
          <w:tab w:val="left" w:pos="540"/>
          <w:tab w:val="left" w:pos="569"/>
        </w:tabs>
        <w:jc w:val="both"/>
        <w:rPr>
          <w:b/>
          <w:bCs/>
          <w:sz w:val="22"/>
          <w:szCs w:val="22"/>
          <w:lang w:val="sr-Latn-ME"/>
        </w:rPr>
      </w:pPr>
      <w:r w:rsidRPr="00853B61">
        <w:rPr>
          <w:sz w:val="22"/>
          <w:szCs w:val="22"/>
          <w:lang w:val="sr-Latn-ME"/>
        </w:rPr>
        <w:t>L</w:t>
      </w:r>
      <w:r w:rsidR="00237EA4" w:rsidRPr="00853B61">
        <w:rPr>
          <w:sz w:val="22"/>
          <w:szCs w:val="22"/>
          <w:lang w:val="sr-Latn-ME"/>
        </w:rPr>
        <w:t>ij</w:t>
      </w:r>
      <w:r w:rsidRPr="00853B61">
        <w:rPr>
          <w:sz w:val="22"/>
          <w:szCs w:val="22"/>
          <w:lang w:val="sr-Latn-ME"/>
        </w:rPr>
        <w:t>ek Voydeya je indikovan kao dodatak za ravulizumab ili ekulizumab za l</w:t>
      </w:r>
      <w:r w:rsidR="00237EA4" w:rsidRPr="00853B61">
        <w:rPr>
          <w:sz w:val="22"/>
          <w:szCs w:val="22"/>
          <w:lang w:val="sr-Latn-ME"/>
        </w:rPr>
        <w:t>ij</w:t>
      </w:r>
      <w:r w:rsidRPr="00853B61">
        <w:rPr>
          <w:sz w:val="22"/>
          <w:szCs w:val="22"/>
          <w:lang w:val="sr-Latn-ME"/>
        </w:rPr>
        <w:t xml:space="preserve">ečenje odraslih pacijenata s paroksizmalnom noćnom hemoglobinurijom (PNH) koji imaju rezidualnu hemolitičku anemiju (pogledajte </w:t>
      </w:r>
      <w:r w:rsidR="00237EA4" w:rsidRPr="00853B61">
        <w:rPr>
          <w:sz w:val="22"/>
          <w:szCs w:val="22"/>
          <w:lang w:val="sr-Latn-ME"/>
        </w:rPr>
        <w:t>dio</w:t>
      </w:r>
      <w:r w:rsidRPr="00853B61">
        <w:rPr>
          <w:sz w:val="22"/>
          <w:szCs w:val="22"/>
          <w:lang w:val="sr-Latn-ME"/>
        </w:rPr>
        <w:t xml:space="preserve"> 5.1).</w:t>
      </w:r>
    </w:p>
    <w:p w14:paraId="6CBF993E" w14:textId="77777777" w:rsidR="00237EA4" w:rsidRPr="00853B61" w:rsidRDefault="00237EA4" w:rsidP="004B1590">
      <w:pPr>
        <w:tabs>
          <w:tab w:val="left" w:pos="540"/>
          <w:tab w:val="left" w:pos="569"/>
        </w:tabs>
        <w:jc w:val="both"/>
        <w:rPr>
          <w:bCs/>
          <w:sz w:val="22"/>
          <w:szCs w:val="22"/>
          <w:lang w:val="sr-Latn-ME"/>
        </w:rPr>
      </w:pPr>
    </w:p>
    <w:p w14:paraId="33C00960"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4.2. </w:t>
      </w:r>
      <w:r w:rsidR="00480FB1" w:rsidRPr="00853B61">
        <w:rPr>
          <w:b/>
          <w:bCs/>
          <w:sz w:val="22"/>
          <w:szCs w:val="22"/>
          <w:lang w:val="sr-Latn-ME"/>
        </w:rPr>
        <w:tab/>
      </w:r>
      <w:r w:rsidRPr="00853B61">
        <w:rPr>
          <w:b/>
          <w:bCs/>
          <w:sz w:val="22"/>
          <w:szCs w:val="22"/>
          <w:lang w:val="sr-Latn-ME"/>
        </w:rPr>
        <w:t>Doziranje i način primjene</w:t>
      </w:r>
    </w:p>
    <w:p w14:paraId="69346564" w14:textId="77777777" w:rsidR="0072020E" w:rsidRPr="00853B61" w:rsidRDefault="0072020E" w:rsidP="004B1590">
      <w:pPr>
        <w:tabs>
          <w:tab w:val="left" w:pos="540"/>
          <w:tab w:val="left" w:pos="569"/>
        </w:tabs>
        <w:jc w:val="both"/>
        <w:rPr>
          <w:bCs/>
          <w:sz w:val="22"/>
          <w:szCs w:val="22"/>
          <w:lang w:val="sr-Latn-ME"/>
        </w:rPr>
      </w:pPr>
    </w:p>
    <w:p w14:paraId="1C61AF04" w14:textId="37D298D6"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Terapiju mora da pokrene zdravstveni radnik sa iskustvom u l</w:t>
      </w:r>
      <w:r w:rsidR="00237EA4" w:rsidRPr="00853B61">
        <w:rPr>
          <w:bCs/>
          <w:sz w:val="22"/>
          <w:szCs w:val="22"/>
          <w:lang w:val="sr-Latn-ME"/>
        </w:rPr>
        <w:t>ij</w:t>
      </w:r>
      <w:r w:rsidRPr="00853B61">
        <w:rPr>
          <w:bCs/>
          <w:sz w:val="22"/>
          <w:szCs w:val="22"/>
          <w:lang w:val="sr-Latn-ME"/>
        </w:rPr>
        <w:t>ečenju pacijenata sa hematološkim poremećajima.</w:t>
      </w:r>
    </w:p>
    <w:p w14:paraId="611B54A8" w14:textId="77777777" w:rsidR="00784247" w:rsidRPr="00853B61" w:rsidRDefault="00784247" w:rsidP="004B1590">
      <w:pPr>
        <w:tabs>
          <w:tab w:val="left" w:pos="540"/>
          <w:tab w:val="left" w:pos="569"/>
        </w:tabs>
        <w:jc w:val="both"/>
        <w:rPr>
          <w:bCs/>
          <w:sz w:val="22"/>
          <w:szCs w:val="22"/>
          <w:lang w:val="sr-Latn-ME"/>
        </w:rPr>
      </w:pPr>
    </w:p>
    <w:p w14:paraId="1A228C0A" w14:textId="77777777" w:rsidR="00452E9D" w:rsidRPr="00853B61" w:rsidRDefault="00452E9D" w:rsidP="004B1590">
      <w:pPr>
        <w:tabs>
          <w:tab w:val="left" w:pos="540"/>
          <w:tab w:val="left" w:pos="569"/>
        </w:tabs>
        <w:jc w:val="both"/>
        <w:rPr>
          <w:bCs/>
          <w:sz w:val="22"/>
          <w:szCs w:val="22"/>
          <w:u w:val="single"/>
          <w:lang w:val="sr-Latn-ME"/>
        </w:rPr>
      </w:pPr>
      <w:r w:rsidRPr="00853B61">
        <w:rPr>
          <w:bCs/>
          <w:sz w:val="22"/>
          <w:szCs w:val="22"/>
          <w:u w:val="single"/>
          <w:lang w:val="sr-Latn-ME"/>
        </w:rPr>
        <w:t>Doziranje</w:t>
      </w:r>
    </w:p>
    <w:p w14:paraId="3A6325E3" w14:textId="77777777" w:rsidR="00452E9D" w:rsidRPr="00853B61" w:rsidRDefault="00452E9D" w:rsidP="004B1590">
      <w:pPr>
        <w:tabs>
          <w:tab w:val="left" w:pos="540"/>
          <w:tab w:val="left" w:pos="569"/>
        </w:tabs>
        <w:jc w:val="both"/>
        <w:rPr>
          <w:bCs/>
          <w:sz w:val="22"/>
          <w:szCs w:val="22"/>
          <w:u w:val="single"/>
          <w:lang w:val="sr-Latn-ME"/>
        </w:rPr>
      </w:pPr>
    </w:p>
    <w:p w14:paraId="14D043D2" w14:textId="624CCFF3"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Preporučena početna doza je 150 mg tri puta dnevno oralnim putem, na oko 8 sati (± 2 sata). Doza se može povećati na 200 mg tri puta dnevno nakon najmanje 4 ne</w:t>
      </w:r>
      <w:r w:rsidR="00237EA4" w:rsidRPr="00853B61">
        <w:rPr>
          <w:bCs/>
          <w:sz w:val="22"/>
          <w:szCs w:val="22"/>
          <w:lang w:val="sr-Latn-ME"/>
        </w:rPr>
        <w:t>dj</w:t>
      </w:r>
      <w:r w:rsidRPr="00853B61">
        <w:rPr>
          <w:bCs/>
          <w:sz w:val="22"/>
          <w:szCs w:val="22"/>
          <w:lang w:val="sr-Latn-ME"/>
        </w:rPr>
        <w:t>elje terapije u zavisnosti od kliničkog odgovora.</w:t>
      </w:r>
    </w:p>
    <w:p w14:paraId="14C695BA" w14:textId="77777777" w:rsidR="00784247" w:rsidRPr="00853B61" w:rsidRDefault="00784247" w:rsidP="004B1590">
      <w:pPr>
        <w:tabs>
          <w:tab w:val="left" w:pos="540"/>
          <w:tab w:val="left" w:pos="569"/>
        </w:tabs>
        <w:jc w:val="both"/>
        <w:rPr>
          <w:bCs/>
          <w:sz w:val="22"/>
          <w:szCs w:val="22"/>
          <w:lang w:val="sr-Latn-ME"/>
        </w:rPr>
      </w:pPr>
    </w:p>
    <w:p w14:paraId="216AAA28"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Propuštene doze</w:t>
      </w:r>
    </w:p>
    <w:p w14:paraId="140E931B" w14:textId="2F842C57"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U slučaju propuštene doze pacijente treba uputiti da uzmu dozu čim se s</w:t>
      </w:r>
      <w:r w:rsidR="00237EA4" w:rsidRPr="00853B61">
        <w:rPr>
          <w:bCs/>
          <w:sz w:val="22"/>
          <w:szCs w:val="22"/>
          <w:lang w:val="sr-Latn-ME"/>
        </w:rPr>
        <w:t>j</w:t>
      </w:r>
      <w:r w:rsidRPr="00853B61">
        <w:rPr>
          <w:bCs/>
          <w:sz w:val="22"/>
          <w:szCs w:val="22"/>
          <w:lang w:val="sr-Latn-ME"/>
        </w:rPr>
        <w:t>ete, osim u slučajevima kada je to gotovo u vr</w:t>
      </w:r>
      <w:r w:rsidR="00237EA4" w:rsidRPr="00853B61">
        <w:rPr>
          <w:bCs/>
          <w:sz w:val="22"/>
          <w:szCs w:val="22"/>
          <w:lang w:val="sr-Latn-ME"/>
        </w:rPr>
        <w:t>ij</w:t>
      </w:r>
      <w:r w:rsidRPr="00853B61">
        <w:rPr>
          <w:bCs/>
          <w:sz w:val="22"/>
          <w:szCs w:val="22"/>
          <w:lang w:val="sr-Latn-ME"/>
        </w:rPr>
        <w:t>eme za uzimanje sl</w:t>
      </w:r>
      <w:r w:rsidR="00237EA4" w:rsidRPr="00853B61">
        <w:rPr>
          <w:bCs/>
          <w:sz w:val="22"/>
          <w:szCs w:val="22"/>
          <w:lang w:val="sr-Latn-ME"/>
        </w:rPr>
        <w:t>j</w:t>
      </w:r>
      <w:r w:rsidRPr="00853B61">
        <w:rPr>
          <w:bCs/>
          <w:sz w:val="22"/>
          <w:szCs w:val="22"/>
          <w:lang w:val="sr-Latn-ME"/>
        </w:rPr>
        <w:t>edeće doze. U tom slučaju, pacijenti treba da preskoče propuštenu dozu i uzmu l</w:t>
      </w:r>
      <w:r w:rsidR="00237EA4" w:rsidRPr="00853B61">
        <w:rPr>
          <w:bCs/>
          <w:sz w:val="22"/>
          <w:szCs w:val="22"/>
          <w:lang w:val="sr-Latn-ME"/>
        </w:rPr>
        <w:t>ij</w:t>
      </w:r>
      <w:r w:rsidRPr="00853B61">
        <w:rPr>
          <w:bCs/>
          <w:sz w:val="22"/>
          <w:szCs w:val="22"/>
          <w:lang w:val="sr-Latn-ME"/>
        </w:rPr>
        <w:t>ek prema rasporedu za sl</w:t>
      </w:r>
      <w:r w:rsidR="00237EA4" w:rsidRPr="00853B61">
        <w:rPr>
          <w:bCs/>
          <w:sz w:val="22"/>
          <w:szCs w:val="22"/>
          <w:lang w:val="sr-Latn-ME"/>
        </w:rPr>
        <w:t>j</w:t>
      </w:r>
      <w:r w:rsidRPr="00853B61">
        <w:rPr>
          <w:bCs/>
          <w:sz w:val="22"/>
          <w:szCs w:val="22"/>
          <w:lang w:val="sr-Latn-ME"/>
        </w:rPr>
        <w:t>edeću dozu. Pacijente treba uputiti da ne uzimaju 2 ili više doza istovremeno.</w:t>
      </w:r>
    </w:p>
    <w:p w14:paraId="3A16809B" w14:textId="77777777" w:rsidR="00784247" w:rsidRPr="00853B61" w:rsidRDefault="00784247" w:rsidP="004B1590">
      <w:pPr>
        <w:tabs>
          <w:tab w:val="left" w:pos="540"/>
          <w:tab w:val="left" w:pos="569"/>
        </w:tabs>
        <w:jc w:val="both"/>
        <w:rPr>
          <w:bCs/>
          <w:sz w:val="22"/>
          <w:szCs w:val="22"/>
          <w:lang w:val="sr-Latn-ME"/>
        </w:rPr>
      </w:pPr>
    </w:p>
    <w:p w14:paraId="0E2E2CBB"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Prekid terapije</w:t>
      </w:r>
    </w:p>
    <w:p w14:paraId="1C76C512" w14:textId="0B284B84"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 xml:space="preserve">Zbog mogućnosti povišenih nivoa alanin aminotransferaze (ALT) nakon prekida terapije (pogledajte </w:t>
      </w:r>
      <w:r w:rsidR="00237EA4" w:rsidRPr="00853B61">
        <w:rPr>
          <w:bCs/>
          <w:sz w:val="22"/>
          <w:szCs w:val="22"/>
          <w:lang w:val="sr-Latn-ME"/>
        </w:rPr>
        <w:t>dio</w:t>
      </w:r>
      <w:r w:rsidRPr="00853B61">
        <w:rPr>
          <w:bCs/>
          <w:sz w:val="22"/>
          <w:szCs w:val="22"/>
          <w:lang w:val="sr-Latn-ME"/>
        </w:rPr>
        <w:t xml:space="preserve"> 4.4), ako se terapija prekine, doza se mora postepeno smanjivati u periodu od 6 dana do potpunog prestanka na sl</w:t>
      </w:r>
      <w:r w:rsidR="00237EA4" w:rsidRPr="00853B61">
        <w:rPr>
          <w:bCs/>
          <w:sz w:val="22"/>
          <w:szCs w:val="22"/>
          <w:lang w:val="sr-Latn-ME"/>
        </w:rPr>
        <w:t>j</w:t>
      </w:r>
      <w:r w:rsidRPr="00853B61">
        <w:rPr>
          <w:bCs/>
          <w:sz w:val="22"/>
          <w:szCs w:val="22"/>
          <w:lang w:val="sr-Latn-ME"/>
        </w:rPr>
        <w:t>edeći način:</w:t>
      </w:r>
    </w:p>
    <w:p w14:paraId="137313CA" w14:textId="77777777" w:rsidR="00784247" w:rsidRPr="00853B61" w:rsidRDefault="00784247" w:rsidP="004B1590">
      <w:pPr>
        <w:numPr>
          <w:ilvl w:val="0"/>
          <w:numId w:val="12"/>
        </w:numPr>
        <w:tabs>
          <w:tab w:val="left" w:pos="540"/>
          <w:tab w:val="left" w:pos="578"/>
        </w:tabs>
        <w:jc w:val="both"/>
        <w:rPr>
          <w:bCs/>
          <w:sz w:val="22"/>
          <w:szCs w:val="22"/>
          <w:lang w:val="sr-Latn-ME"/>
        </w:rPr>
      </w:pPr>
      <w:r w:rsidRPr="00853B61">
        <w:rPr>
          <w:bCs/>
          <w:sz w:val="22"/>
          <w:szCs w:val="22"/>
          <w:lang w:val="sr-Latn-ME"/>
        </w:rPr>
        <w:t>Režim od 100 mg: 100 mg dva puta dnevno u periodu od 3 dana, zatim 100 mg jednom dnevno u periodu od 3 dana.</w:t>
      </w:r>
    </w:p>
    <w:p w14:paraId="40CAF477" w14:textId="77777777" w:rsidR="00784247" w:rsidRPr="00853B61" w:rsidRDefault="00784247" w:rsidP="004B1590">
      <w:pPr>
        <w:numPr>
          <w:ilvl w:val="0"/>
          <w:numId w:val="12"/>
        </w:numPr>
        <w:tabs>
          <w:tab w:val="left" w:pos="540"/>
        </w:tabs>
        <w:jc w:val="both"/>
        <w:rPr>
          <w:bCs/>
          <w:sz w:val="22"/>
          <w:szCs w:val="22"/>
          <w:lang w:val="sr-Latn-ME"/>
        </w:rPr>
      </w:pPr>
      <w:r w:rsidRPr="00853B61">
        <w:rPr>
          <w:bCs/>
          <w:sz w:val="22"/>
          <w:szCs w:val="22"/>
          <w:lang w:val="sr-Latn-ME"/>
        </w:rPr>
        <w:tab/>
        <w:t>Režim od 150 mg: 100 mg tri puta dnevno u periodu od 3 dana, zatim 50 mg tri puta dnevno u periodu od 3 dana.</w:t>
      </w:r>
    </w:p>
    <w:p w14:paraId="07482A66" w14:textId="77777777" w:rsidR="00784247" w:rsidRPr="00853B61" w:rsidRDefault="00784247" w:rsidP="004B1590">
      <w:pPr>
        <w:numPr>
          <w:ilvl w:val="0"/>
          <w:numId w:val="12"/>
        </w:numPr>
        <w:tabs>
          <w:tab w:val="left" w:pos="540"/>
          <w:tab w:val="left" w:pos="578"/>
        </w:tabs>
        <w:jc w:val="both"/>
        <w:rPr>
          <w:bCs/>
          <w:sz w:val="22"/>
          <w:szCs w:val="22"/>
          <w:lang w:val="sr-Latn-ME"/>
        </w:rPr>
      </w:pPr>
      <w:r w:rsidRPr="00853B61">
        <w:rPr>
          <w:bCs/>
          <w:sz w:val="22"/>
          <w:szCs w:val="22"/>
          <w:lang w:val="sr-Latn-ME"/>
        </w:rPr>
        <w:t xml:space="preserve">Režim od 200 mg: 100 mg tri puta dnevno u periodu od 3 dana, zatim 100 mg dva puta dnevno u periodu od 3 dana. </w:t>
      </w:r>
    </w:p>
    <w:p w14:paraId="6CC03342" w14:textId="77777777" w:rsidR="00784247" w:rsidRPr="00853B61" w:rsidRDefault="00784247" w:rsidP="004B1590">
      <w:pPr>
        <w:tabs>
          <w:tab w:val="left" w:pos="540"/>
          <w:tab w:val="left" w:pos="578"/>
        </w:tabs>
        <w:jc w:val="both"/>
        <w:rPr>
          <w:bCs/>
          <w:sz w:val="22"/>
          <w:szCs w:val="22"/>
          <w:lang w:val="sr-Latn-ME"/>
        </w:rPr>
      </w:pPr>
    </w:p>
    <w:p w14:paraId="45114907" w14:textId="43D5663E" w:rsidR="00784247" w:rsidRPr="00853B61" w:rsidRDefault="00784247" w:rsidP="004B1590">
      <w:pPr>
        <w:tabs>
          <w:tab w:val="left" w:pos="540"/>
          <w:tab w:val="left" w:pos="578"/>
        </w:tabs>
        <w:jc w:val="both"/>
        <w:rPr>
          <w:bCs/>
          <w:sz w:val="22"/>
          <w:szCs w:val="22"/>
          <w:u w:val="single"/>
          <w:lang w:val="sr-Latn-ME"/>
        </w:rPr>
      </w:pPr>
      <w:r w:rsidRPr="00853B61">
        <w:rPr>
          <w:bCs/>
          <w:sz w:val="22"/>
          <w:szCs w:val="22"/>
          <w:u w:val="single"/>
          <w:lang w:val="sr-Latn-ME"/>
        </w:rPr>
        <w:t>Posebne populacije</w:t>
      </w:r>
    </w:p>
    <w:p w14:paraId="0610EDD9" w14:textId="77777777" w:rsidR="00784247" w:rsidRPr="00853B61" w:rsidRDefault="00784247" w:rsidP="004B1590">
      <w:pPr>
        <w:tabs>
          <w:tab w:val="left" w:pos="540"/>
          <w:tab w:val="left" w:pos="578"/>
        </w:tabs>
        <w:jc w:val="both"/>
        <w:rPr>
          <w:bCs/>
          <w:sz w:val="22"/>
          <w:szCs w:val="22"/>
          <w:lang w:val="sr-Latn-ME"/>
        </w:rPr>
      </w:pPr>
    </w:p>
    <w:p w14:paraId="432B7C8A"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Stariji pacijenti</w:t>
      </w:r>
    </w:p>
    <w:p w14:paraId="7655A2A8" w14:textId="42EACF9C"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Nije potrebno prilagođavanje doze kod starijih pacijenata. Međutim, iskustvo s danikopanom kod pacijenata starosti ≥</w:t>
      </w:r>
      <w:r w:rsidR="00603C49" w:rsidRPr="00853B61">
        <w:rPr>
          <w:bCs/>
          <w:sz w:val="22"/>
          <w:szCs w:val="22"/>
          <w:lang w:val="sr-Latn-ME"/>
        </w:rPr>
        <w:t xml:space="preserve"> </w:t>
      </w:r>
      <w:r w:rsidRPr="00853B61">
        <w:rPr>
          <w:bCs/>
          <w:sz w:val="22"/>
          <w:szCs w:val="22"/>
          <w:lang w:val="sr-Latn-ME"/>
        </w:rPr>
        <w:t xml:space="preserve">65 godina je ograničeno (pogledajte </w:t>
      </w:r>
      <w:r w:rsidR="00237EA4" w:rsidRPr="00853B61">
        <w:rPr>
          <w:bCs/>
          <w:sz w:val="22"/>
          <w:szCs w:val="22"/>
          <w:lang w:val="sr-Latn-ME"/>
        </w:rPr>
        <w:t>dio</w:t>
      </w:r>
      <w:r w:rsidRPr="00853B61">
        <w:rPr>
          <w:bCs/>
          <w:sz w:val="22"/>
          <w:szCs w:val="22"/>
          <w:lang w:val="sr-Latn-ME"/>
        </w:rPr>
        <w:t xml:space="preserve"> 5.1).</w:t>
      </w:r>
    </w:p>
    <w:p w14:paraId="4E4DEFC8" w14:textId="77777777" w:rsidR="00784247" w:rsidRPr="00853B61" w:rsidRDefault="00784247" w:rsidP="004B1590">
      <w:pPr>
        <w:tabs>
          <w:tab w:val="left" w:pos="540"/>
          <w:tab w:val="left" w:pos="569"/>
        </w:tabs>
        <w:jc w:val="both"/>
        <w:rPr>
          <w:bCs/>
          <w:sz w:val="22"/>
          <w:szCs w:val="22"/>
          <w:lang w:val="sr-Latn-ME"/>
        </w:rPr>
      </w:pPr>
    </w:p>
    <w:p w14:paraId="1EF4A31A"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Oštećenje funkcije bubrega</w:t>
      </w:r>
    </w:p>
    <w:p w14:paraId="2A21CEF3" w14:textId="0FE4F230"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Nije potrebno prilagođavanje doze kod pacijenata sa blagom (proc</w:t>
      </w:r>
      <w:r w:rsidR="00237EA4" w:rsidRPr="00853B61">
        <w:rPr>
          <w:bCs/>
          <w:sz w:val="22"/>
          <w:szCs w:val="22"/>
          <w:lang w:val="sr-Latn-ME"/>
        </w:rPr>
        <w:t>ij</w:t>
      </w:r>
      <w:r w:rsidRPr="00853B61">
        <w:rPr>
          <w:bCs/>
          <w:sz w:val="22"/>
          <w:szCs w:val="22"/>
          <w:lang w:val="sr-Latn-ME"/>
        </w:rPr>
        <w:t>enjena brzina glomerularne filtracije [eGFR] ≥ 60 do &lt; 90 ml/min/1,73 m</w:t>
      </w:r>
      <w:r w:rsidRPr="00853B61">
        <w:rPr>
          <w:bCs/>
          <w:sz w:val="22"/>
          <w:szCs w:val="22"/>
          <w:vertAlign w:val="superscript"/>
          <w:lang w:val="sr-Latn-ME"/>
        </w:rPr>
        <w:t>2</w:t>
      </w:r>
      <w:r w:rsidRPr="00853B61">
        <w:rPr>
          <w:bCs/>
          <w:sz w:val="22"/>
          <w:szCs w:val="22"/>
          <w:lang w:val="sr-Latn-ME"/>
        </w:rPr>
        <w:t>) ili um</w:t>
      </w:r>
      <w:r w:rsidR="00237EA4" w:rsidRPr="00853B61">
        <w:rPr>
          <w:bCs/>
          <w:sz w:val="22"/>
          <w:szCs w:val="22"/>
          <w:lang w:val="sr-Latn-ME"/>
        </w:rPr>
        <w:t>j</w:t>
      </w:r>
      <w:r w:rsidRPr="00853B61">
        <w:rPr>
          <w:bCs/>
          <w:sz w:val="22"/>
          <w:szCs w:val="22"/>
          <w:lang w:val="sr-Latn-ME"/>
        </w:rPr>
        <w:t>erenom (eGFR ≥ 30 do &lt; 60 ml/min/1,73 m</w:t>
      </w:r>
      <w:r w:rsidRPr="00853B61">
        <w:rPr>
          <w:bCs/>
          <w:sz w:val="22"/>
          <w:szCs w:val="22"/>
          <w:vertAlign w:val="superscript"/>
          <w:lang w:val="sr-Latn-ME"/>
        </w:rPr>
        <w:t>2</w:t>
      </w:r>
      <w:r w:rsidRPr="00853B61">
        <w:rPr>
          <w:bCs/>
          <w:sz w:val="22"/>
          <w:szCs w:val="22"/>
          <w:lang w:val="sr-Latn-ME"/>
        </w:rPr>
        <w:t>) insuficijencijom bubrega. Kod pacijenata s ozbiljnom insuficijencijom bubrega (eGFR &lt; 30 ml/min/1,73 m</w:t>
      </w:r>
      <w:r w:rsidRPr="00853B61">
        <w:rPr>
          <w:bCs/>
          <w:sz w:val="22"/>
          <w:szCs w:val="22"/>
          <w:vertAlign w:val="superscript"/>
          <w:lang w:val="sr-Latn-ME"/>
        </w:rPr>
        <w:t>2</w:t>
      </w:r>
      <w:r w:rsidRPr="00853B61">
        <w:rPr>
          <w:bCs/>
          <w:sz w:val="22"/>
          <w:szCs w:val="22"/>
          <w:lang w:val="sr-Latn-ME"/>
        </w:rPr>
        <w:t>), preporučena početna doza je 100 mg tri puta dnevno oralnim putem, na oko 8 sati (± 2 sata). Doza se može povećati na 150 mg tri puta dnevno nakon najmanje 4 ned</w:t>
      </w:r>
      <w:r w:rsidR="00237EA4" w:rsidRPr="00853B61">
        <w:rPr>
          <w:bCs/>
          <w:sz w:val="22"/>
          <w:szCs w:val="22"/>
          <w:lang w:val="sr-Latn-ME"/>
        </w:rPr>
        <w:t>j</w:t>
      </w:r>
      <w:r w:rsidRPr="00853B61">
        <w:rPr>
          <w:bCs/>
          <w:sz w:val="22"/>
          <w:szCs w:val="22"/>
          <w:lang w:val="sr-Latn-ME"/>
        </w:rPr>
        <w:t xml:space="preserve">elje terapije u zavisnosti od kliničkog odgovora (pogledajte </w:t>
      </w:r>
      <w:r w:rsidR="00237EA4" w:rsidRPr="00853B61">
        <w:rPr>
          <w:bCs/>
          <w:sz w:val="22"/>
          <w:szCs w:val="22"/>
          <w:lang w:val="sr-Latn-ME"/>
        </w:rPr>
        <w:t>djelov</w:t>
      </w:r>
      <w:r w:rsidRPr="00853B61">
        <w:rPr>
          <w:bCs/>
          <w:sz w:val="22"/>
          <w:szCs w:val="22"/>
          <w:lang w:val="sr-Latn-ME"/>
        </w:rPr>
        <w:t>e 4.4 i 5.2).</w:t>
      </w:r>
    </w:p>
    <w:p w14:paraId="44C5E4A2" w14:textId="77777777" w:rsidR="00784247" w:rsidRPr="00853B61" w:rsidRDefault="00784247" w:rsidP="004B1590">
      <w:pPr>
        <w:tabs>
          <w:tab w:val="left" w:pos="540"/>
          <w:tab w:val="left" w:pos="569"/>
        </w:tabs>
        <w:jc w:val="both"/>
        <w:rPr>
          <w:bCs/>
          <w:i/>
          <w:iCs/>
          <w:sz w:val="22"/>
          <w:szCs w:val="22"/>
          <w:lang w:val="sr-Latn-ME"/>
        </w:rPr>
      </w:pPr>
    </w:p>
    <w:p w14:paraId="6E0D0416" w14:textId="528148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Insuficijencija jetre</w:t>
      </w:r>
    </w:p>
    <w:p w14:paraId="0462A899" w14:textId="76EB6341"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Nije potrebno prilagođavanje doze kod pacijenata sa blagom (Child-Pugh klasa A) ili um</w:t>
      </w:r>
      <w:r w:rsidR="00237EA4" w:rsidRPr="00853B61">
        <w:rPr>
          <w:bCs/>
          <w:sz w:val="22"/>
          <w:szCs w:val="22"/>
          <w:lang w:val="sr-Latn-ME"/>
        </w:rPr>
        <w:t>j</w:t>
      </w:r>
      <w:r w:rsidRPr="00853B61">
        <w:rPr>
          <w:bCs/>
          <w:sz w:val="22"/>
          <w:szCs w:val="22"/>
          <w:lang w:val="sr-Latn-ME"/>
        </w:rPr>
        <w:t xml:space="preserve">erenom (Child-Pugh klasa B) insuficijencijom jetre (pogledajte </w:t>
      </w:r>
      <w:r w:rsidR="00237EA4" w:rsidRPr="00853B61">
        <w:rPr>
          <w:bCs/>
          <w:sz w:val="22"/>
          <w:szCs w:val="22"/>
          <w:lang w:val="sr-Latn-ME"/>
        </w:rPr>
        <w:t>dio</w:t>
      </w:r>
      <w:r w:rsidRPr="00853B61">
        <w:rPr>
          <w:bCs/>
          <w:sz w:val="22"/>
          <w:szCs w:val="22"/>
          <w:lang w:val="sr-Latn-ME"/>
        </w:rPr>
        <w:t xml:space="preserve"> 5.2). Studije ni</w:t>
      </w:r>
      <w:r w:rsidR="00B73FE1" w:rsidRPr="00853B61">
        <w:rPr>
          <w:bCs/>
          <w:sz w:val="22"/>
          <w:szCs w:val="22"/>
          <w:lang w:val="sr-Latn-ME"/>
        </w:rPr>
        <w:t>je</w:t>
      </w:r>
      <w:r w:rsidRPr="00853B61">
        <w:rPr>
          <w:bCs/>
          <w:sz w:val="22"/>
          <w:szCs w:val="22"/>
          <w:lang w:val="sr-Latn-ME"/>
        </w:rPr>
        <w:t xml:space="preserve">su obavljene kod pacijenata sa ozbiljnom insuficijencijom jetre (Child-Pugh klasa C). Stoga se danikopan ne preporučuje kod ove populacije pacijenata (pogledajte </w:t>
      </w:r>
      <w:r w:rsidR="00237EA4" w:rsidRPr="00853B61">
        <w:rPr>
          <w:bCs/>
          <w:sz w:val="22"/>
          <w:szCs w:val="22"/>
          <w:lang w:val="sr-Latn-ME"/>
        </w:rPr>
        <w:t>dio</w:t>
      </w:r>
      <w:r w:rsidRPr="00853B61">
        <w:rPr>
          <w:bCs/>
          <w:sz w:val="22"/>
          <w:szCs w:val="22"/>
          <w:lang w:val="sr-Latn-ME"/>
        </w:rPr>
        <w:t xml:space="preserve"> 4.4).</w:t>
      </w:r>
    </w:p>
    <w:p w14:paraId="2D299238" w14:textId="77777777" w:rsidR="00784247" w:rsidRPr="00853B61" w:rsidRDefault="00784247" w:rsidP="004B1590">
      <w:pPr>
        <w:tabs>
          <w:tab w:val="left" w:pos="540"/>
          <w:tab w:val="left" w:pos="569"/>
        </w:tabs>
        <w:jc w:val="both"/>
        <w:rPr>
          <w:bCs/>
          <w:sz w:val="22"/>
          <w:szCs w:val="22"/>
          <w:u w:val="single"/>
          <w:lang w:val="sr-Latn-ME"/>
        </w:rPr>
      </w:pPr>
    </w:p>
    <w:p w14:paraId="50495B27" w14:textId="77777777" w:rsidR="00B97AFB" w:rsidRDefault="00B97AFB" w:rsidP="004B1590">
      <w:pPr>
        <w:tabs>
          <w:tab w:val="left" w:pos="540"/>
          <w:tab w:val="left" w:pos="569"/>
        </w:tabs>
        <w:jc w:val="both"/>
        <w:rPr>
          <w:bCs/>
          <w:sz w:val="22"/>
          <w:szCs w:val="22"/>
          <w:u w:val="single"/>
          <w:lang w:val="sr-Latn-ME"/>
        </w:rPr>
      </w:pPr>
    </w:p>
    <w:p w14:paraId="57EA9893" w14:textId="7F3FDE8A"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lastRenderedPageBreak/>
        <w:t>Pedijatrijska populacija</w:t>
      </w:r>
    </w:p>
    <w:p w14:paraId="5DEC1292" w14:textId="77777777" w:rsidR="00784247" w:rsidRPr="00853B61" w:rsidRDefault="00784247" w:rsidP="004B1590">
      <w:pPr>
        <w:tabs>
          <w:tab w:val="left" w:pos="540"/>
          <w:tab w:val="left" w:pos="569"/>
        </w:tabs>
        <w:jc w:val="both"/>
        <w:rPr>
          <w:bCs/>
          <w:sz w:val="22"/>
          <w:szCs w:val="22"/>
          <w:lang w:val="sr-Latn-ME"/>
        </w:rPr>
      </w:pPr>
    </w:p>
    <w:p w14:paraId="44915CB5" w14:textId="3057D0BD"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Bezb</w:t>
      </w:r>
      <w:r w:rsidR="00237EA4" w:rsidRPr="00853B61">
        <w:rPr>
          <w:bCs/>
          <w:sz w:val="22"/>
          <w:szCs w:val="22"/>
          <w:lang w:val="sr-Latn-ME"/>
        </w:rPr>
        <w:t>j</w:t>
      </w:r>
      <w:r w:rsidRPr="00853B61">
        <w:rPr>
          <w:bCs/>
          <w:sz w:val="22"/>
          <w:szCs w:val="22"/>
          <w:lang w:val="sr-Latn-ME"/>
        </w:rPr>
        <w:t>ednost i efikasnost l</w:t>
      </w:r>
      <w:r w:rsidR="00237EA4" w:rsidRPr="00853B61">
        <w:rPr>
          <w:bCs/>
          <w:sz w:val="22"/>
          <w:szCs w:val="22"/>
          <w:lang w:val="sr-Latn-ME"/>
        </w:rPr>
        <w:t>ij</w:t>
      </w:r>
      <w:r w:rsidRPr="00853B61">
        <w:rPr>
          <w:bCs/>
          <w:sz w:val="22"/>
          <w:szCs w:val="22"/>
          <w:lang w:val="sr-Latn-ME"/>
        </w:rPr>
        <w:t>eka Voydeya još ni</w:t>
      </w:r>
      <w:r w:rsidR="00B73FE1" w:rsidRPr="00853B61">
        <w:rPr>
          <w:bCs/>
          <w:sz w:val="22"/>
          <w:szCs w:val="22"/>
          <w:lang w:val="sr-Latn-ME"/>
        </w:rPr>
        <w:t>je</w:t>
      </w:r>
      <w:r w:rsidRPr="00853B61">
        <w:rPr>
          <w:bCs/>
          <w:sz w:val="22"/>
          <w:szCs w:val="22"/>
          <w:lang w:val="sr-Latn-ME"/>
        </w:rPr>
        <w:t>su utvrđene kod d</w:t>
      </w:r>
      <w:r w:rsidR="00237EA4" w:rsidRPr="00853B61">
        <w:rPr>
          <w:bCs/>
          <w:sz w:val="22"/>
          <w:szCs w:val="22"/>
          <w:lang w:val="sr-Latn-ME"/>
        </w:rPr>
        <w:t>j</w:t>
      </w:r>
      <w:r w:rsidRPr="00853B61">
        <w:rPr>
          <w:bCs/>
          <w:sz w:val="22"/>
          <w:szCs w:val="22"/>
          <w:lang w:val="sr-Latn-ME"/>
        </w:rPr>
        <w:t>ece mlađe od 18 godina. Nema dostupnih podataka.</w:t>
      </w:r>
    </w:p>
    <w:p w14:paraId="145E4417" w14:textId="77777777" w:rsidR="00784247" w:rsidRPr="00853B61" w:rsidRDefault="00784247" w:rsidP="004B1590">
      <w:pPr>
        <w:tabs>
          <w:tab w:val="left" w:pos="540"/>
          <w:tab w:val="left" w:pos="569"/>
        </w:tabs>
        <w:jc w:val="both"/>
        <w:rPr>
          <w:bCs/>
          <w:sz w:val="22"/>
          <w:szCs w:val="22"/>
          <w:u w:val="single"/>
          <w:lang w:val="sr-Latn-ME"/>
        </w:rPr>
      </w:pPr>
    </w:p>
    <w:p w14:paraId="08B14F88" w14:textId="77777777" w:rsidR="00452E9D" w:rsidRPr="00853B61" w:rsidRDefault="00452E9D" w:rsidP="004B1590">
      <w:pPr>
        <w:tabs>
          <w:tab w:val="left" w:pos="540"/>
          <w:tab w:val="left" w:pos="569"/>
        </w:tabs>
        <w:jc w:val="both"/>
        <w:rPr>
          <w:bCs/>
          <w:sz w:val="22"/>
          <w:szCs w:val="22"/>
          <w:u w:val="single"/>
          <w:lang w:val="sr-Latn-ME"/>
        </w:rPr>
      </w:pPr>
      <w:r w:rsidRPr="00853B61">
        <w:rPr>
          <w:bCs/>
          <w:sz w:val="22"/>
          <w:szCs w:val="22"/>
          <w:u w:val="single"/>
          <w:lang w:val="sr-Latn-ME"/>
        </w:rPr>
        <w:t>Način primjene</w:t>
      </w:r>
    </w:p>
    <w:p w14:paraId="1544D49F" w14:textId="77777777" w:rsidR="00452E9D" w:rsidRPr="00853B61" w:rsidRDefault="00452E9D" w:rsidP="004B1590">
      <w:pPr>
        <w:tabs>
          <w:tab w:val="left" w:pos="540"/>
          <w:tab w:val="left" w:pos="569"/>
        </w:tabs>
        <w:jc w:val="both"/>
        <w:rPr>
          <w:bCs/>
          <w:sz w:val="22"/>
          <w:szCs w:val="22"/>
          <w:lang w:val="sr-Latn-ME"/>
        </w:rPr>
      </w:pPr>
    </w:p>
    <w:p w14:paraId="15E051B4" w14:textId="7FB01604"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Oralna prim</w:t>
      </w:r>
      <w:r w:rsidR="00237EA4" w:rsidRPr="00853B61">
        <w:rPr>
          <w:bCs/>
          <w:sz w:val="22"/>
          <w:szCs w:val="22"/>
          <w:lang w:val="sr-Latn-ME"/>
        </w:rPr>
        <w:t>j</w:t>
      </w:r>
      <w:r w:rsidRPr="00853B61">
        <w:rPr>
          <w:bCs/>
          <w:sz w:val="22"/>
          <w:szCs w:val="22"/>
          <w:lang w:val="sr-Latn-ME"/>
        </w:rPr>
        <w:t>en</w:t>
      </w:r>
      <w:r w:rsidR="00237EA4" w:rsidRPr="00853B61">
        <w:rPr>
          <w:bCs/>
          <w:sz w:val="22"/>
          <w:szCs w:val="22"/>
          <w:lang w:val="sr-Latn-ME"/>
        </w:rPr>
        <w:t>a</w:t>
      </w:r>
      <w:r w:rsidRPr="00853B61">
        <w:rPr>
          <w:bCs/>
          <w:sz w:val="22"/>
          <w:szCs w:val="22"/>
          <w:lang w:val="sr-Latn-ME"/>
        </w:rPr>
        <w:t>.</w:t>
      </w:r>
    </w:p>
    <w:p w14:paraId="4A480177" w14:textId="729EABD8" w:rsidR="00237EA4" w:rsidRPr="00853B61" w:rsidRDefault="00784247" w:rsidP="004B1590">
      <w:pPr>
        <w:tabs>
          <w:tab w:val="left" w:pos="540"/>
          <w:tab w:val="left" w:pos="569"/>
        </w:tabs>
        <w:jc w:val="both"/>
        <w:rPr>
          <w:bCs/>
          <w:sz w:val="22"/>
          <w:szCs w:val="22"/>
          <w:lang w:val="sr-Latn-ME"/>
        </w:rPr>
      </w:pPr>
      <w:r w:rsidRPr="00853B61">
        <w:rPr>
          <w:bCs/>
          <w:sz w:val="22"/>
          <w:szCs w:val="22"/>
          <w:lang w:val="sr-Latn-ME"/>
        </w:rPr>
        <w:t xml:space="preserve">Tablete treba uzimati s hranom (obrokom ili užinom) (pogledajte </w:t>
      </w:r>
      <w:r w:rsidR="00237EA4" w:rsidRPr="00853B61">
        <w:rPr>
          <w:bCs/>
          <w:sz w:val="22"/>
          <w:szCs w:val="22"/>
          <w:lang w:val="sr-Latn-ME"/>
        </w:rPr>
        <w:t>dio</w:t>
      </w:r>
      <w:r w:rsidRPr="00853B61">
        <w:rPr>
          <w:bCs/>
          <w:sz w:val="22"/>
          <w:szCs w:val="22"/>
          <w:lang w:val="sr-Latn-ME"/>
        </w:rPr>
        <w:t xml:space="preserve"> 5.2).</w:t>
      </w:r>
    </w:p>
    <w:p w14:paraId="0C9DA4CB"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4.3. </w:t>
      </w:r>
      <w:r w:rsidR="00480FB1" w:rsidRPr="00853B61">
        <w:rPr>
          <w:b/>
          <w:bCs/>
          <w:sz w:val="22"/>
          <w:szCs w:val="22"/>
          <w:lang w:val="sr-Latn-ME"/>
        </w:rPr>
        <w:tab/>
      </w:r>
      <w:r w:rsidRPr="00853B61">
        <w:rPr>
          <w:b/>
          <w:bCs/>
          <w:sz w:val="22"/>
          <w:szCs w:val="22"/>
          <w:lang w:val="sr-Latn-ME"/>
        </w:rPr>
        <w:t>Kontraindikacije</w:t>
      </w:r>
    </w:p>
    <w:p w14:paraId="16C7A8BC" w14:textId="77777777" w:rsidR="0072020E" w:rsidRPr="00853B61" w:rsidRDefault="0072020E" w:rsidP="004B1590">
      <w:pPr>
        <w:tabs>
          <w:tab w:val="left" w:pos="540"/>
          <w:tab w:val="left" w:pos="569"/>
        </w:tabs>
        <w:jc w:val="both"/>
        <w:rPr>
          <w:bCs/>
          <w:sz w:val="22"/>
          <w:szCs w:val="22"/>
          <w:lang w:val="sr-Latn-ME"/>
        </w:rPr>
      </w:pPr>
    </w:p>
    <w:p w14:paraId="73A1B17B" w14:textId="59B0FBF6" w:rsidR="00784247" w:rsidRPr="00853B61" w:rsidRDefault="00784247" w:rsidP="004B1590">
      <w:pPr>
        <w:numPr>
          <w:ilvl w:val="2"/>
          <w:numId w:val="13"/>
        </w:numPr>
        <w:tabs>
          <w:tab w:val="left" w:pos="540"/>
          <w:tab w:val="left" w:pos="578"/>
        </w:tabs>
        <w:jc w:val="both"/>
        <w:rPr>
          <w:bCs/>
          <w:sz w:val="22"/>
          <w:szCs w:val="22"/>
          <w:lang w:val="sr-Latn-ME"/>
        </w:rPr>
      </w:pPr>
      <w:r w:rsidRPr="00853B61">
        <w:rPr>
          <w:bCs/>
          <w:sz w:val="22"/>
          <w:szCs w:val="22"/>
          <w:lang w:val="sr-Latn-ME"/>
        </w:rPr>
        <w:t>Preos</w:t>
      </w:r>
      <w:r w:rsidR="00237EA4" w:rsidRPr="00853B61">
        <w:rPr>
          <w:bCs/>
          <w:sz w:val="22"/>
          <w:szCs w:val="22"/>
          <w:lang w:val="sr-Latn-ME"/>
        </w:rPr>
        <w:t>j</w:t>
      </w:r>
      <w:r w:rsidRPr="00853B61">
        <w:rPr>
          <w:bCs/>
          <w:sz w:val="22"/>
          <w:szCs w:val="22"/>
          <w:lang w:val="sr-Latn-ME"/>
        </w:rPr>
        <w:t xml:space="preserve">etljivost na aktivnu supstancu ili bilo koju od pomoćnih supstanci navedenih u </w:t>
      </w:r>
      <w:r w:rsidR="00237EA4" w:rsidRPr="00853B61">
        <w:rPr>
          <w:bCs/>
          <w:sz w:val="22"/>
          <w:szCs w:val="22"/>
          <w:lang w:val="sr-Latn-ME"/>
        </w:rPr>
        <w:t>dijelu</w:t>
      </w:r>
      <w:r w:rsidRPr="00853B61">
        <w:rPr>
          <w:bCs/>
          <w:sz w:val="22"/>
          <w:szCs w:val="22"/>
          <w:lang w:val="sr-Latn-ME"/>
        </w:rPr>
        <w:t xml:space="preserve"> 6.1.</w:t>
      </w:r>
    </w:p>
    <w:p w14:paraId="1D22A1D0" w14:textId="4D780060" w:rsidR="00784247" w:rsidRPr="00853B61" w:rsidRDefault="00784247" w:rsidP="004B1590">
      <w:pPr>
        <w:numPr>
          <w:ilvl w:val="2"/>
          <w:numId w:val="13"/>
        </w:numPr>
        <w:tabs>
          <w:tab w:val="left" w:pos="540"/>
          <w:tab w:val="left" w:pos="578"/>
        </w:tabs>
        <w:jc w:val="both"/>
        <w:rPr>
          <w:bCs/>
          <w:sz w:val="22"/>
          <w:szCs w:val="22"/>
          <w:lang w:val="sr-Latn-ME"/>
        </w:rPr>
      </w:pPr>
      <w:r w:rsidRPr="00853B61">
        <w:rPr>
          <w:bCs/>
          <w:sz w:val="22"/>
          <w:szCs w:val="22"/>
          <w:lang w:val="sr-Latn-ME"/>
        </w:rPr>
        <w:t>Pacijenti s neizl</w:t>
      </w:r>
      <w:r w:rsidR="00237EA4" w:rsidRPr="00853B61">
        <w:rPr>
          <w:bCs/>
          <w:sz w:val="22"/>
          <w:szCs w:val="22"/>
          <w:lang w:val="sr-Latn-ME"/>
        </w:rPr>
        <w:t>ij</w:t>
      </w:r>
      <w:r w:rsidRPr="00853B61">
        <w:rPr>
          <w:bCs/>
          <w:sz w:val="22"/>
          <w:szCs w:val="22"/>
          <w:lang w:val="sr-Latn-ME"/>
        </w:rPr>
        <w:t xml:space="preserve">ečenom infekcijom </w:t>
      </w:r>
      <w:r w:rsidRPr="00853B61">
        <w:rPr>
          <w:bCs/>
          <w:i/>
          <w:iCs/>
          <w:sz w:val="22"/>
          <w:szCs w:val="22"/>
          <w:lang w:val="sr-Latn-ME"/>
        </w:rPr>
        <w:t xml:space="preserve">Neisseria meningitidis </w:t>
      </w:r>
      <w:r w:rsidRPr="00853B61">
        <w:rPr>
          <w:bCs/>
          <w:sz w:val="22"/>
          <w:szCs w:val="22"/>
          <w:lang w:val="sr-Latn-ME"/>
        </w:rPr>
        <w:t xml:space="preserve">na početku terapije (pogledajte </w:t>
      </w:r>
      <w:r w:rsidR="00237EA4" w:rsidRPr="00853B61">
        <w:rPr>
          <w:bCs/>
          <w:sz w:val="22"/>
          <w:szCs w:val="22"/>
          <w:lang w:val="sr-Latn-ME"/>
        </w:rPr>
        <w:t>dio</w:t>
      </w:r>
      <w:r w:rsidRPr="00853B61">
        <w:rPr>
          <w:bCs/>
          <w:sz w:val="22"/>
          <w:szCs w:val="22"/>
          <w:lang w:val="sr-Latn-ME"/>
        </w:rPr>
        <w:t xml:space="preserve"> 4.4).</w:t>
      </w:r>
    </w:p>
    <w:p w14:paraId="79396B5A" w14:textId="4ECFE8EC" w:rsidR="00784247" w:rsidRPr="00853B61" w:rsidRDefault="00784247" w:rsidP="004B1590">
      <w:pPr>
        <w:numPr>
          <w:ilvl w:val="2"/>
          <w:numId w:val="13"/>
        </w:numPr>
        <w:tabs>
          <w:tab w:val="left" w:pos="540"/>
          <w:tab w:val="left" w:pos="569"/>
        </w:tabs>
        <w:jc w:val="both"/>
        <w:rPr>
          <w:bCs/>
          <w:sz w:val="22"/>
          <w:szCs w:val="22"/>
          <w:lang w:val="sr-Latn-ME"/>
        </w:rPr>
      </w:pPr>
      <w:r w:rsidRPr="00853B61">
        <w:rPr>
          <w:bCs/>
          <w:sz w:val="22"/>
          <w:szCs w:val="22"/>
          <w:lang w:val="sr-Latn-ME"/>
        </w:rPr>
        <w:t>Pacijenti koji trenutno ni</w:t>
      </w:r>
      <w:r w:rsidR="00B73FE1" w:rsidRPr="00853B61">
        <w:rPr>
          <w:bCs/>
          <w:sz w:val="22"/>
          <w:szCs w:val="22"/>
          <w:lang w:val="sr-Latn-ME"/>
        </w:rPr>
        <w:t>je</w:t>
      </w:r>
      <w:r w:rsidRPr="00853B61">
        <w:rPr>
          <w:bCs/>
          <w:sz w:val="22"/>
          <w:szCs w:val="22"/>
          <w:lang w:val="sr-Latn-ME"/>
        </w:rPr>
        <w:t xml:space="preserve">su vakcinisani protiv </w:t>
      </w:r>
      <w:r w:rsidRPr="00853B61">
        <w:rPr>
          <w:bCs/>
          <w:i/>
          <w:iCs/>
          <w:sz w:val="22"/>
          <w:szCs w:val="22"/>
          <w:lang w:val="sr-Latn-ME"/>
        </w:rPr>
        <w:t>Neisseria meningitidis,</w:t>
      </w:r>
      <w:r w:rsidRPr="00853B61">
        <w:rPr>
          <w:bCs/>
          <w:sz w:val="22"/>
          <w:szCs w:val="22"/>
          <w:lang w:val="sr-Latn-ME"/>
        </w:rPr>
        <w:t xml:space="preserve"> osim ako ne primaju profilaktičku terapiju odgovarajućim antibioticima do 2 ned</w:t>
      </w:r>
      <w:r w:rsidR="00237EA4" w:rsidRPr="00853B61">
        <w:rPr>
          <w:bCs/>
          <w:sz w:val="22"/>
          <w:szCs w:val="22"/>
          <w:lang w:val="sr-Latn-ME"/>
        </w:rPr>
        <w:t>j</w:t>
      </w:r>
      <w:r w:rsidRPr="00853B61">
        <w:rPr>
          <w:bCs/>
          <w:sz w:val="22"/>
          <w:szCs w:val="22"/>
          <w:lang w:val="sr-Latn-ME"/>
        </w:rPr>
        <w:t xml:space="preserve">elje nakon vakcinacije (pogledajte </w:t>
      </w:r>
      <w:r w:rsidR="00237EA4" w:rsidRPr="00853B61">
        <w:rPr>
          <w:bCs/>
          <w:sz w:val="22"/>
          <w:szCs w:val="22"/>
          <w:lang w:val="sr-Latn-ME"/>
        </w:rPr>
        <w:t xml:space="preserve">dio </w:t>
      </w:r>
      <w:r w:rsidRPr="00853B61">
        <w:rPr>
          <w:bCs/>
          <w:sz w:val="22"/>
          <w:szCs w:val="22"/>
          <w:lang w:val="sr-Latn-ME"/>
        </w:rPr>
        <w:t>4.4).</w:t>
      </w:r>
    </w:p>
    <w:p w14:paraId="4AFC7BC7" w14:textId="77777777" w:rsidR="00784247" w:rsidRPr="00853B61" w:rsidRDefault="00784247" w:rsidP="004B1590">
      <w:pPr>
        <w:tabs>
          <w:tab w:val="left" w:pos="540"/>
          <w:tab w:val="left" w:pos="569"/>
        </w:tabs>
        <w:jc w:val="both"/>
        <w:rPr>
          <w:bCs/>
          <w:sz w:val="22"/>
          <w:szCs w:val="22"/>
          <w:lang w:val="sr-Latn-ME"/>
        </w:rPr>
      </w:pPr>
    </w:p>
    <w:p w14:paraId="04A0F57D"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 xml:space="preserve">4.4. </w:t>
      </w:r>
      <w:r w:rsidR="00480FB1" w:rsidRPr="00853B61">
        <w:rPr>
          <w:b/>
          <w:bCs/>
          <w:sz w:val="22"/>
          <w:szCs w:val="22"/>
          <w:lang w:val="sr-Latn-ME"/>
        </w:rPr>
        <w:tab/>
      </w:r>
      <w:r w:rsidRPr="00853B61">
        <w:rPr>
          <w:b/>
          <w:bCs/>
          <w:sz w:val="22"/>
          <w:szCs w:val="22"/>
          <w:lang w:val="sr-Latn-ME"/>
        </w:rPr>
        <w:t>Posebna upozorenja i mjere opreza pri upotrebi lijeka</w:t>
      </w:r>
    </w:p>
    <w:p w14:paraId="2DF670F0" w14:textId="77777777" w:rsidR="0072020E" w:rsidRPr="00853B61" w:rsidRDefault="0072020E" w:rsidP="004B1590">
      <w:pPr>
        <w:tabs>
          <w:tab w:val="left" w:pos="540"/>
          <w:tab w:val="left" w:pos="569"/>
        </w:tabs>
        <w:jc w:val="both"/>
        <w:rPr>
          <w:bCs/>
          <w:sz w:val="22"/>
          <w:szCs w:val="22"/>
          <w:lang w:val="sr-Latn-ME"/>
        </w:rPr>
      </w:pPr>
    </w:p>
    <w:p w14:paraId="42E6DAE1" w14:textId="77777777"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Opšte</w:t>
      </w:r>
    </w:p>
    <w:p w14:paraId="2D67B3C5" w14:textId="77777777" w:rsidR="00784247" w:rsidRPr="00853B61" w:rsidRDefault="00784247" w:rsidP="004B1590">
      <w:pPr>
        <w:tabs>
          <w:tab w:val="left" w:pos="540"/>
          <w:tab w:val="left" w:pos="569"/>
        </w:tabs>
        <w:jc w:val="both"/>
        <w:rPr>
          <w:bCs/>
          <w:sz w:val="22"/>
          <w:szCs w:val="22"/>
          <w:lang w:val="sr-Latn-ME"/>
        </w:rPr>
      </w:pPr>
    </w:p>
    <w:p w14:paraId="7E6851B9" w14:textId="2BF69E62"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Danikopan se ne sm</w:t>
      </w:r>
      <w:r w:rsidR="00237EA4" w:rsidRPr="00853B61">
        <w:rPr>
          <w:bCs/>
          <w:sz w:val="22"/>
          <w:szCs w:val="22"/>
          <w:lang w:val="sr-Latn-ME"/>
        </w:rPr>
        <w:t>ij</w:t>
      </w:r>
      <w:r w:rsidRPr="00853B61">
        <w:rPr>
          <w:bCs/>
          <w:sz w:val="22"/>
          <w:szCs w:val="22"/>
          <w:lang w:val="sr-Latn-ME"/>
        </w:rPr>
        <w:t>e davati kao monoterapija zato što efikasnost nije utvrđena. Sm</w:t>
      </w:r>
      <w:r w:rsidR="00237EA4" w:rsidRPr="00853B61">
        <w:rPr>
          <w:bCs/>
          <w:sz w:val="22"/>
          <w:szCs w:val="22"/>
          <w:lang w:val="sr-Latn-ME"/>
        </w:rPr>
        <w:t>ij</w:t>
      </w:r>
      <w:r w:rsidRPr="00853B61">
        <w:rPr>
          <w:bCs/>
          <w:sz w:val="22"/>
          <w:szCs w:val="22"/>
          <w:lang w:val="sr-Latn-ME"/>
        </w:rPr>
        <w:t>e se prepisivati isključivo kao dodatak ravulizumabu ili ekulizumabu.</w:t>
      </w:r>
    </w:p>
    <w:p w14:paraId="03141927" w14:textId="77777777" w:rsidR="00784247" w:rsidRPr="00853B61" w:rsidRDefault="00784247" w:rsidP="004B1590">
      <w:pPr>
        <w:tabs>
          <w:tab w:val="left" w:pos="540"/>
          <w:tab w:val="left" w:pos="569"/>
        </w:tabs>
        <w:jc w:val="both"/>
        <w:rPr>
          <w:bCs/>
          <w:sz w:val="22"/>
          <w:szCs w:val="22"/>
          <w:lang w:val="sr-Latn-ME"/>
        </w:rPr>
      </w:pPr>
    </w:p>
    <w:p w14:paraId="351592DC" w14:textId="77777777"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Ozbiljne infekcije</w:t>
      </w:r>
    </w:p>
    <w:p w14:paraId="17AFC36A" w14:textId="77777777" w:rsidR="00784247" w:rsidRPr="00853B61" w:rsidRDefault="00784247" w:rsidP="004B1590">
      <w:pPr>
        <w:tabs>
          <w:tab w:val="left" w:pos="540"/>
          <w:tab w:val="left" w:pos="569"/>
        </w:tabs>
        <w:jc w:val="both"/>
        <w:rPr>
          <w:bCs/>
          <w:sz w:val="22"/>
          <w:szCs w:val="22"/>
          <w:lang w:val="sr-Latn-ME"/>
        </w:rPr>
      </w:pPr>
    </w:p>
    <w:p w14:paraId="4CE87A8C"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Meningokokne infekcije</w:t>
      </w:r>
    </w:p>
    <w:p w14:paraId="0DB219D0" w14:textId="522FE16A"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Pacijenti koji primaju terapiju inhibitorima komplementa mogu da imaju povećanu os</w:t>
      </w:r>
      <w:r w:rsidR="00237EA4" w:rsidRPr="00853B61">
        <w:rPr>
          <w:bCs/>
          <w:sz w:val="22"/>
          <w:szCs w:val="22"/>
          <w:lang w:val="sr-Latn-ME"/>
        </w:rPr>
        <w:t>j</w:t>
      </w:r>
      <w:r w:rsidRPr="00853B61">
        <w:rPr>
          <w:bCs/>
          <w:sz w:val="22"/>
          <w:szCs w:val="22"/>
          <w:lang w:val="sr-Latn-ME"/>
        </w:rPr>
        <w:t>etljivost na meningokokne infekcije (</w:t>
      </w:r>
      <w:r w:rsidRPr="00853B61">
        <w:rPr>
          <w:bCs/>
          <w:i/>
          <w:iCs/>
          <w:sz w:val="22"/>
          <w:szCs w:val="22"/>
          <w:lang w:val="sr-Latn-ME"/>
        </w:rPr>
        <w:t>Neisseria meningitidis</w:t>
      </w:r>
      <w:r w:rsidRPr="00853B61">
        <w:rPr>
          <w:bCs/>
          <w:sz w:val="22"/>
          <w:szCs w:val="22"/>
          <w:lang w:val="sr-Latn-ME"/>
        </w:rPr>
        <w:t>). Pacijenti moraju da prime važeće vakcine protiv meningokoknih infekcija u skladu s trenutnim nacionalnim sm</w:t>
      </w:r>
      <w:r w:rsidR="00097901" w:rsidRPr="00853B61">
        <w:rPr>
          <w:bCs/>
          <w:sz w:val="22"/>
          <w:szCs w:val="22"/>
          <w:lang w:val="sr-Latn-ME"/>
        </w:rPr>
        <w:t>j</w:t>
      </w:r>
      <w:r w:rsidRPr="00853B61">
        <w:rPr>
          <w:bCs/>
          <w:sz w:val="22"/>
          <w:szCs w:val="22"/>
          <w:lang w:val="sr-Latn-ME"/>
        </w:rPr>
        <w:t>ernicama za upotrebu vakcinacije pr</w:t>
      </w:r>
      <w:r w:rsidR="00237EA4" w:rsidRPr="00853B61">
        <w:rPr>
          <w:bCs/>
          <w:sz w:val="22"/>
          <w:szCs w:val="22"/>
          <w:lang w:val="sr-Latn-ME"/>
        </w:rPr>
        <w:t>ij</w:t>
      </w:r>
      <w:r w:rsidRPr="00853B61">
        <w:rPr>
          <w:bCs/>
          <w:sz w:val="22"/>
          <w:szCs w:val="22"/>
          <w:lang w:val="sr-Latn-ME"/>
        </w:rPr>
        <w:t>e nego što prime prvu dozu danikopana.</w:t>
      </w:r>
    </w:p>
    <w:p w14:paraId="049508F2" w14:textId="77777777" w:rsidR="00784247" w:rsidRPr="00853B61" w:rsidRDefault="00784247" w:rsidP="004B1590">
      <w:pPr>
        <w:tabs>
          <w:tab w:val="left" w:pos="540"/>
          <w:tab w:val="left" w:pos="569"/>
        </w:tabs>
        <w:jc w:val="both"/>
        <w:rPr>
          <w:bCs/>
          <w:sz w:val="22"/>
          <w:szCs w:val="22"/>
          <w:lang w:val="sr-Latn-ME"/>
        </w:rPr>
      </w:pPr>
    </w:p>
    <w:p w14:paraId="6484F139" w14:textId="6E441E04"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Pacijenti koji započnu terapiju manje od 2 ned</w:t>
      </w:r>
      <w:r w:rsidR="00237EA4" w:rsidRPr="00853B61">
        <w:rPr>
          <w:bCs/>
          <w:sz w:val="22"/>
          <w:szCs w:val="22"/>
          <w:lang w:val="sr-Latn-ME"/>
        </w:rPr>
        <w:t>j</w:t>
      </w:r>
      <w:r w:rsidRPr="00853B61">
        <w:rPr>
          <w:bCs/>
          <w:sz w:val="22"/>
          <w:szCs w:val="22"/>
          <w:lang w:val="sr-Latn-ME"/>
        </w:rPr>
        <w:t>elje nakon što prime vakcinu protiv meningokoknih infekcija moraju da primaju terapiju uz odgovarajuće profilaktičke antibiotike do 2 ned</w:t>
      </w:r>
      <w:r w:rsidR="00237EA4" w:rsidRPr="00853B61">
        <w:rPr>
          <w:bCs/>
          <w:sz w:val="22"/>
          <w:szCs w:val="22"/>
          <w:lang w:val="sr-Latn-ME"/>
        </w:rPr>
        <w:t>j</w:t>
      </w:r>
      <w:r w:rsidRPr="00853B61">
        <w:rPr>
          <w:bCs/>
          <w:sz w:val="22"/>
          <w:szCs w:val="22"/>
          <w:lang w:val="sr-Latn-ME"/>
        </w:rPr>
        <w:t>elje nakon vakcinacije. Pacijenti moraju da budu vakcinisani protiv serogrupa A, C, Y, i W135 radi spr</w:t>
      </w:r>
      <w:r w:rsidR="00237EA4" w:rsidRPr="00853B61">
        <w:rPr>
          <w:bCs/>
          <w:sz w:val="22"/>
          <w:szCs w:val="22"/>
          <w:lang w:val="sr-Latn-ME"/>
        </w:rPr>
        <w:t>j</w:t>
      </w:r>
      <w:r w:rsidRPr="00853B61">
        <w:rPr>
          <w:bCs/>
          <w:sz w:val="22"/>
          <w:szCs w:val="22"/>
          <w:lang w:val="sr-Latn-ME"/>
        </w:rPr>
        <w:t>ečavanja uobičajeno patogenih meningokoknih serogrupa. Vakcinacija protiv serogrupe B se takođe preporučuje u slučajevima kada je dostupna. Treba uzeti u obzir zvanične sm</w:t>
      </w:r>
      <w:r w:rsidR="00237EA4" w:rsidRPr="00853B61">
        <w:rPr>
          <w:bCs/>
          <w:sz w:val="22"/>
          <w:szCs w:val="22"/>
          <w:lang w:val="sr-Latn-ME"/>
        </w:rPr>
        <w:t>j</w:t>
      </w:r>
      <w:r w:rsidRPr="00853B61">
        <w:rPr>
          <w:bCs/>
          <w:sz w:val="22"/>
          <w:szCs w:val="22"/>
          <w:lang w:val="sr-Latn-ME"/>
        </w:rPr>
        <w:t>ernice o odgovarajućoj upotrebi antibakterijskih sredstava.</w:t>
      </w:r>
    </w:p>
    <w:p w14:paraId="5B26F238" w14:textId="77777777" w:rsidR="00784247" w:rsidRPr="00853B61" w:rsidRDefault="00784247" w:rsidP="004B1590">
      <w:pPr>
        <w:tabs>
          <w:tab w:val="left" w:pos="540"/>
          <w:tab w:val="left" w:pos="569"/>
        </w:tabs>
        <w:jc w:val="both"/>
        <w:rPr>
          <w:bCs/>
          <w:sz w:val="22"/>
          <w:szCs w:val="22"/>
          <w:lang w:val="sr-Latn-ME"/>
        </w:rPr>
      </w:pPr>
    </w:p>
    <w:p w14:paraId="0027385F" w14:textId="2678B8E1"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Kod svih pacijenata koji se l</w:t>
      </w:r>
      <w:r w:rsidR="00237EA4" w:rsidRPr="00853B61">
        <w:rPr>
          <w:bCs/>
          <w:sz w:val="22"/>
          <w:szCs w:val="22"/>
          <w:lang w:val="sr-Latn-ME"/>
        </w:rPr>
        <w:t>ij</w:t>
      </w:r>
      <w:r w:rsidRPr="00853B61">
        <w:rPr>
          <w:bCs/>
          <w:sz w:val="22"/>
          <w:szCs w:val="22"/>
          <w:lang w:val="sr-Latn-ME"/>
        </w:rPr>
        <w:t>eče danikopanom treba pratiti rane znakove meningokokne infekcije i sepse i potrebno je odmah izvršiti proc</w:t>
      </w:r>
      <w:r w:rsidR="00237EA4" w:rsidRPr="00853B61">
        <w:rPr>
          <w:bCs/>
          <w:sz w:val="22"/>
          <w:szCs w:val="22"/>
          <w:lang w:val="sr-Latn-ME"/>
        </w:rPr>
        <w:t>j</w:t>
      </w:r>
      <w:r w:rsidRPr="00853B61">
        <w:rPr>
          <w:bCs/>
          <w:sz w:val="22"/>
          <w:szCs w:val="22"/>
          <w:lang w:val="sr-Latn-ME"/>
        </w:rPr>
        <w:t>enu u slučaju sumnje na infekciju i l</w:t>
      </w:r>
      <w:r w:rsidR="00237EA4" w:rsidRPr="00853B61">
        <w:rPr>
          <w:bCs/>
          <w:sz w:val="22"/>
          <w:szCs w:val="22"/>
          <w:lang w:val="sr-Latn-ME"/>
        </w:rPr>
        <w:t>ij</w:t>
      </w:r>
      <w:r w:rsidRPr="00853B61">
        <w:rPr>
          <w:bCs/>
          <w:sz w:val="22"/>
          <w:szCs w:val="22"/>
          <w:lang w:val="sr-Latn-ME"/>
        </w:rPr>
        <w:t>ečiti pacijente odgovarajućim antibioticima. Pacijente treba informisati o ovim znacima i simptomima i preduzeti korake da odmah zatraže pomoć l</w:t>
      </w:r>
      <w:r w:rsidR="00180A70" w:rsidRPr="00853B61">
        <w:rPr>
          <w:bCs/>
          <w:sz w:val="22"/>
          <w:szCs w:val="22"/>
          <w:lang w:val="sr-Latn-ME"/>
        </w:rPr>
        <w:t>j</w:t>
      </w:r>
      <w:r w:rsidRPr="00853B61">
        <w:rPr>
          <w:bCs/>
          <w:sz w:val="22"/>
          <w:szCs w:val="22"/>
          <w:lang w:val="sr-Latn-ME"/>
        </w:rPr>
        <w:t>ekara.</w:t>
      </w:r>
    </w:p>
    <w:p w14:paraId="7BAA48CF" w14:textId="77777777" w:rsidR="00784247" w:rsidRPr="00853B61" w:rsidRDefault="00784247" w:rsidP="004B1590">
      <w:pPr>
        <w:tabs>
          <w:tab w:val="left" w:pos="540"/>
          <w:tab w:val="left" w:pos="569"/>
        </w:tabs>
        <w:jc w:val="both"/>
        <w:rPr>
          <w:bCs/>
          <w:sz w:val="22"/>
          <w:szCs w:val="22"/>
          <w:lang w:val="sr-Latn-ME"/>
        </w:rPr>
      </w:pPr>
    </w:p>
    <w:p w14:paraId="4EB82529"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Ostale ozbiljne infekcije</w:t>
      </w:r>
    </w:p>
    <w:p w14:paraId="097676C8" w14:textId="7A26C5FB"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Danikopan treba oprezno davati pacijentima s aktivnim sistemskim infekcijama. Danikopan selektivno blokira aktivaciju alternativne putanje komplementa i zato pacijenti mogu imati povećanu os</w:t>
      </w:r>
      <w:r w:rsidR="00180A70" w:rsidRPr="00853B61">
        <w:rPr>
          <w:bCs/>
          <w:sz w:val="22"/>
          <w:szCs w:val="22"/>
          <w:lang w:val="sr-Latn-ME"/>
        </w:rPr>
        <w:t>j</w:t>
      </w:r>
      <w:r w:rsidRPr="00853B61">
        <w:rPr>
          <w:bCs/>
          <w:sz w:val="22"/>
          <w:szCs w:val="22"/>
          <w:lang w:val="sr-Latn-ME"/>
        </w:rPr>
        <w:t xml:space="preserve">etljivost na ozbiljne infekcije (osim </w:t>
      </w:r>
      <w:r w:rsidRPr="00853B61">
        <w:rPr>
          <w:bCs/>
          <w:i/>
          <w:iCs/>
          <w:sz w:val="22"/>
          <w:szCs w:val="22"/>
          <w:lang w:val="sr-Latn-ME"/>
        </w:rPr>
        <w:t>Neisseria meningitidis</w:t>
      </w:r>
      <w:r w:rsidRPr="00853B61">
        <w:rPr>
          <w:bCs/>
          <w:sz w:val="22"/>
          <w:szCs w:val="22"/>
          <w:lang w:val="sr-Latn-ME"/>
        </w:rPr>
        <w:t>). Pr</w:t>
      </w:r>
      <w:r w:rsidR="00180A70" w:rsidRPr="00853B61">
        <w:rPr>
          <w:bCs/>
          <w:sz w:val="22"/>
          <w:szCs w:val="22"/>
          <w:lang w:val="sr-Latn-ME"/>
        </w:rPr>
        <w:t>ij</w:t>
      </w:r>
      <w:r w:rsidRPr="00853B61">
        <w:rPr>
          <w:bCs/>
          <w:sz w:val="22"/>
          <w:szCs w:val="22"/>
          <w:lang w:val="sr-Latn-ME"/>
        </w:rPr>
        <w:t>e započinjanja terapije danikopanom kao dodatkom osnovnoj terapiji ravulizumabom ili ekulizumabom u ob</w:t>
      </w:r>
      <w:r w:rsidR="00097901" w:rsidRPr="00853B61">
        <w:rPr>
          <w:bCs/>
          <w:sz w:val="22"/>
          <w:szCs w:val="22"/>
          <w:lang w:val="sr-Latn-ME"/>
        </w:rPr>
        <w:t>ij</w:t>
      </w:r>
      <w:r w:rsidRPr="00853B61">
        <w:rPr>
          <w:bCs/>
          <w:sz w:val="22"/>
          <w:szCs w:val="22"/>
          <w:lang w:val="sr-Latn-ME"/>
        </w:rPr>
        <w:t>e grupe, preporučuje se da pacijenti započnu imunizaciju u skladu sa trenutnim sm</w:t>
      </w:r>
      <w:r w:rsidR="00180A70" w:rsidRPr="00853B61">
        <w:rPr>
          <w:bCs/>
          <w:sz w:val="22"/>
          <w:szCs w:val="22"/>
          <w:lang w:val="sr-Latn-ME"/>
        </w:rPr>
        <w:t>j</w:t>
      </w:r>
      <w:r w:rsidRPr="00853B61">
        <w:rPr>
          <w:bCs/>
          <w:sz w:val="22"/>
          <w:szCs w:val="22"/>
          <w:lang w:val="sr-Latn-ME"/>
        </w:rPr>
        <w:t>ernicama za imunizaciju.</w:t>
      </w:r>
    </w:p>
    <w:p w14:paraId="20B784D0" w14:textId="77777777" w:rsidR="00784247" w:rsidRPr="00853B61" w:rsidRDefault="00784247" w:rsidP="004B1590">
      <w:pPr>
        <w:tabs>
          <w:tab w:val="left" w:pos="540"/>
          <w:tab w:val="left" w:pos="569"/>
        </w:tabs>
        <w:jc w:val="both"/>
        <w:rPr>
          <w:bCs/>
          <w:sz w:val="22"/>
          <w:szCs w:val="22"/>
          <w:lang w:val="sr-Latn-ME"/>
        </w:rPr>
      </w:pPr>
    </w:p>
    <w:p w14:paraId="3B6EF535" w14:textId="77777777" w:rsidR="00784247" w:rsidRPr="00853B61" w:rsidRDefault="00784247" w:rsidP="004B1590">
      <w:pPr>
        <w:tabs>
          <w:tab w:val="left" w:pos="540"/>
          <w:tab w:val="left" w:pos="569"/>
        </w:tabs>
        <w:jc w:val="both"/>
        <w:rPr>
          <w:bCs/>
          <w:sz w:val="22"/>
          <w:szCs w:val="22"/>
          <w:u w:val="single"/>
          <w:lang w:val="sr-Latn-ME"/>
        </w:rPr>
      </w:pPr>
      <w:r w:rsidRPr="00853B61">
        <w:rPr>
          <w:bCs/>
          <w:sz w:val="22"/>
          <w:szCs w:val="22"/>
          <w:u w:val="single"/>
          <w:lang w:val="sr-Latn-ME"/>
        </w:rPr>
        <w:t>Ozbiljna insuficijencija bubrega</w:t>
      </w:r>
    </w:p>
    <w:p w14:paraId="63620C16" w14:textId="77777777" w:rsidR="00784247" w:rsidRPr="00853B61" w:rsidRDefault="00784247" w:rsidP="004B1590">
      <w:pPr>
        <w:tabs>
          <w:tab w:val="left" w:pos="540"/>
          <w:tab w:val="left" w:pos="569"/>
        </w:tabs>
        <w:jc w:val="both"/>
        <w:rPr>
          <w:bCs/>
          <w:sz w:val="22"/>
          <w:szCs w:val="22"/>
          <w:lang w:val="sr-Latn-ME"/>
        </w:rPr>
      </w:pPr>
    </w:p>
    <w:p w14:paraId="2AC1BD55" w14:textId="77777777"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Kod pacijenata s ozbiljnom insuficijencijom bubrega kod kojih dolazi do povećanja doze do 150 mg tri puta dnevno treba pratiti da li ima neželjenih događaja tokom terapije danikopanom zbog veće izloženosti koja se očekuje kod ovih pacijenata.</w:t>
      </w:r>
    </w:p>
    <w:p w14:paraId="65893FDE" w14:textId="77777777" w:rsidR="00784247" w:rsidRPr="00853B61" w:rsidRDefault="00784247" w:rsidP="004B1590">
      <w:pPr>
        <w:tabs>
          <w:tab w:val="left" w:pos="540"/>
          <w:tab w:val="left" w:pos="569"/>
        </w:tabs>
        <w:jc w:val="both"/>
        <w:rPr>
          <w:bCs/>
          <w:sz w:val="22"/>
          <w:szCs w:val="22"/>
          <w:lang w:val="sr-Latn-ME"/>
        </w:rPr>
      </w:pPr>
    </w:p>
    <w:p w14:paraId="5D640741" w14:textId="18D2308D"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Mala t</w:t>
      </w:r>
      <w:r w:rsidR="00180A70" w:rsidRPr="00853B61">
        <w:rPr>
          <w:bCs/>
          <w:sz w:val="22"/>
          <w:szCs w:val="22"/>
          <w:u w:val="single"/>
          <w:lang w:val="sr-Latn-ME"/>
        </w:rPr>
        <w:t>j</w:t>
      </w:r>
      <w:r w:rsidRPr="00853B61">
        <w:rPr>
          <w:bCs/>
          <w:sz w:val="22"/>
          <w:szCs w:val="22"/>
          <w:u w:val="single"/>
          <w:lang w:val="sr-Latn-ME"/>
        </w:rPr>
        <w:t>elesna masa</w:t>
      </w:r>
    </w:p>
    <w:p w14:paraId="6177401F" w14:textId="77777777" w:rsidR="00784247" w:rsidRPr="00853B61" w:rsidRDefault="00784247" w:rsidP="004B1590">
      <w:pPr>
        <w:tabs>
          <w:tab w:val="left" w:pos="540"/>
          <w:tab w:val="left" w:pos="569"/>
        </w:tabs>
        <w:jc w:val="both"/>
        <w:rPr>
          <w:bCs/>
          <w:sz w:val="22"/>
          <w:szCs w:val="22"/>
          <w:lang w:val="sr-Latn-ME"/>
        </w:rPr>
      </w:pPr>
    </w:p>
    <w:p w14:paraId="49CD5B5B" w14:textId="4CE4B8F8" w:rsidR="00AB7647" w:rsidRPr="00853B61" w:rsidRDefault="00784247" w:rsidP="004B1590">
      <w:pPr>
        <w:tabs>
          <w:tab w:val="left" w:pos="540"/>
          <w:tab w:val="left" w:pos="569"/>
        </w:tabs>
        <w:jc w:val="both"/>
        <w:rPr>
          <w:bCs/>
          <w:sz w:val="22"/>
          <w:szCs w:val="22"/>
          <w:u w:val="single"/>
          <w:lang w:val="sr-Latn-ME"/>
        </w:rPr>
      </w:pPr>
      <w:r w:rsidRPr="00853B61">
        <w:rPr>
          <w:bCs/>
          <w:sz w:val="22"/>
          <w:szCs w:val="22"/>
          <w:lang w:val="sr-Latn-ME"/>
        </w:rPr>
        <w:t>Kod pacijenata težine &lt; 60 kg treba pratiti da li ima neželjenih događaja tokom terapije danikopanom zbog veće izloženosti koja se očekuje kod ovih pacijenata.</w:t>
      </w:r>
    </w:p>
    <w:p w14:paraId="5E460AA7" w14:textId="43769EC1"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Povišeni enzimi jetre</w:t>
      </w:r>
    </w:p>
    <w:p w14:paraId="40139829" w14:textId="77777777" w:rsidR="00784247" w:rsidRPr="00853B61" w:rsidRDefault="00784247" w:rsidP="004B1590">
      <w:pPr>
        <w:tabs>
          <w:tab w:val="left" w:pos="540"/>
          <w:tab w:val="left" w:pos="569"/>
        </w:tabs>
        <w:jc w:val="both"/>
        <w:rPr>
          <w:bCs/>
          <w:sz w:val="22"/>
          <w:szCs w:val="22"/>
          <w:lang w:val="sr-Latn-ME"/>
        </w:rPr>
      </w:pPr>
    </w:p>
    <w:p w14:paraId="4AC14186" w14:textId="6ECABCD5"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 xml:space="preserve">Povišeni nivoi alanin aminotransferaze (ALT) su uočeni u kliničkim ispitivanjima (pogledajte </w:t>
      </w:r>
      <w:r w:rsidR="00180A70" w:rsidRPr="00853B61">
        <w:rPr>
          <w:bCs/>
          <w:sz w:val="22"/>
          <w:szCs w:val="22"/>
          <w:lang w:val="sr-Latn-ME"/>
        </w:rPr>
        <w:t>dio</w:t>
      </w:r>
      <w:r w:rsidRPr="00853B61">
        <w:rPr>
          <w:bCs/>
          <w:sz w:val="22"/>
          <w:szCs w:val="22"/>
          <w:lang w:val="sr-Latn-ME"/>
        </w:rPr>
        <w:t xml:space="preserve"> 4.8). Preporučuje se obavljanj</w:t>
      </w:r>
      <w:r w:rsidR="00A52274" w:rsidRPr="00853B61">
        <w:rPr>
          <w:bCs/>
          <w:sz w:val="22"/>
          <w:szCs w:val="22"/>
          <w:lang w:val="sr-Latn-ME"/>
        </w:rPr>
        <w:t>e</w:t>
      </w:r>
      <w:r w:rsidRPr="00853B61">
        <w:rPr>
          <w:bCs/>
          <w:sz w:val="22"/>
          <w:szCs w:val="22"/>
          <w:lang w:val="sr-Latn-ME"/>
        </w:rPr>
        <w:t xml:space="preserve"> testova enzima jetre pr</w:t>
      </w:r>
      <w:r w:rsidR="00180A70" w:rsidRPr="00853B61">
        <w:rPr>
          <w:bCs/>
          <w:sz w:val="22"/>
          <w:szCs w:val="22"/>
          <w:lang w:val="sr-Latn-ME"/>
        </w:rPr>
        <w:t>ij</w:t>
      </w:r>
      <w:r w:rsidRPr="00853B61">
        <w:rPr>
          <w:bCs/>
          <w:sz w:val="22"/>
          <w:szCs w:val="22"/>
          <w:lang w:val="sr-Latn-ME"/>
        </w:rPr>
        <w:t>e početka terapije. Nakon pokretanja terapije se preporučuje rutinsko hemijsko laboratorijsko praćenje u skladu s upravljanjem PNH.</w:t>
      </w:r>
    </w:p>
    <w:p w14:paraId="72FB8958" w14:textId="7EFAC473"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 xml:space="preserve">Privremeni ili trajni prekid terapije treba razmotriti ako su povišeni nivoi klinički značajni ili ako pacijenti postanu simptomatski. Danikopan se ne preporučuje kod pacijenata s teškim oštećenjem funkcije jetre (pogledajte </w:t>
      </w:r>
      <w:r w:rsidR="00180A70" w:rsidRPr="00853B61">
        <w:rPr>
          <w:bCs/>
          <w:sz w:val="22"/>
          <w:szCs w:val="22"/>
          <w:lang w:val="sr-Latn-ME"/>
        </w:rPr>
        <w:t>dio</w:t>
      </w:r>
      <w:r w:rsidRPr="00853B61">
        <w:rPr>
          <w:bCs/>
          <w:sz w:val="22"/>
          <w:szCs w:val="22"/>
          <w:lang w:val="sr-Latn-ME"/>
        </w:rPr>
        <w:t xml:space="preserve"> 4.2).</w:t>
      </w:r>
    </w:p>
    <w:p w14:paraId="039BE11B" w14:textId="77777777" w:rsidR="00180A70" w:rsidRPr="00853B61" w:rsidRDefault="00180A70" w:rsidP="004B1590">
      <w:pPr>
        <w:tabs>
          <w:tab w:val="left" w:pos="540"/>
          <w:tab w:val="left" w:pos="569"/>
        </w:tabs>
        <w:jc w:val="both"/>
        <w:rPr>
          <w:bCs/>
          <w:sz w:val="22"/>
          <w:szCs w:val="22"/>
          <w:u w:val="single"/>
          <w:lang w:val="sr-Latn-ME"/>
        </w:rPr>
      </w:pPr>
    </w:p>
    <w:p w14:paraId="06974A8D" w14:textId="754F7080"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Prekid terapije</w:t>
      </w:r>
    </w:p>
    <w:p w14:paraId="7513A72F" w14:textId="77777777" w:rsidR="00784247" w:rsidRPr="00853B61" w:rsidRDefault="00784247" w:rsidP="004B1590">
      <w:pPr>
        <w:tabs>
          <w:tab w:val="left" w:pos="540"/>
          <w:tab w:val="left" w:pos="569"/>
        </w:tabs>
        <w:jc w:val="both"/>
        <w:rPr>
          <w:bCs/>
          <w:sz w:val="22"/>
          <w:szCs w:val="22"/>
          <w:lang w:val="sr-Latn-ME"/>
        </w:rPr>
      </w:pPr>
    </w:p>
    <w:p w14:paraId="0E01BD79" w14:textId="2B63D53B"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Na dozama većim od 200 mg tri puta dnevno, došlo je do povećanja nivoa ALT nakon prekida terapije bez postepenog smanjivanja doze kod zdravih ispitanika (vid</w:t>
      </w:r>
      <w:r w:rsidR="00180A70" w:rsidRPr="00853B61">
        <w:rPr>
          <w:bCs/>
          <w:sz w:val="22"/>
          <w:szCs w:val="22"/>
          <w:lang w:val="sr-Latn-ME"/>
        </w:rPr>
        <w:t>j</w:t>
      </w:r>
      <w:r w:rsidRPr="00853B61">
        <w:rPr>
          <w:bCs/>
          <w:sz w:val="22"/>
          <w:szCs w:val="22"/>
          <w:lang w:val="sr-Latn-ME"/>
        </w:rPr>
        <w:t xml:space="preserve">eti </w:t>
      </w:r>
      <w:r w:rsidR="00180A70" w:rsidRPr="00853B61">
        <w:rPr>
          <w:bCs/>
          <w:sz w:val="22"/>
          <w:szCs w:val="22"/>
          <w:lang w:val="sr-Latn-ME"/>
        </w:rPr>
        <w:t>dio</w:t>
      </w:r>
      <w:r w:rsidRPr="00853B61">
        <w:rPr>
          <w:bCs/>
          <w:sz w:val="22"/>
          <w:szCs w:val="22"/>
          <w:lang w:val="sr-Latn-ME"/>
        </w:rPr>
        <w:t xml:space="preserve"> 4.9). Po prekidu terapije, dozu treba postepeno smanjivati u periodu od 6 dana (vid</w:t>
      </w:r>
      <w:r w:rsidR="00180A70" w:rsidRPr="00853B61">
        <w:rPr>
          <w:bCs/>
          <w:sz w:val="22"/>
          <w:szCs w:val="22"/>
          <w:lang w:val="sr-Latn-ME"/>
        </w:rPr>
        <w:t>j</w:t>
      </w:r>
      <w:r w:rsidRPr="00853B61">
        <w:rPr>
          <w:bCs/>
          <w:sz w:val="22"/>
          <w:szCs w:val="22"/>
          <w:lang w:val="sr-Latn-ME"/>
        </w:rPr>
        <w:t xml:space="preserve">eti </w:t>
      </w:r>
      <w:r w:rsidR="00180A70" w:rsidRPr="00853B61">
        <w:rPr>
          <w:bCs/>
          <w:sz w:val="22"/>
          <w:szCs w:val="22"/>
          <w:lang w:val="sr-Latn-ME"/>
        </w:rPr>
        <w:t>dio</w:t>
      </w:r>
      <w:r w:rsidRPr="00853B61">
        <w:rPr>
          <w:bCs/>
          <w:sz w:val="22"/>
          <w:szCs w:val="22"/>
          <w:lang w:val="sr-Latn-ME"/>
        </w:rPr>
        <w:t xml:space="preserve"> 4.2).</w:t>
      </w:r>
    </w:p>
    <w:p w14:paraId="73CE871F" w14:textId="77777777" w:rsidR="00784247" w:rsidRPr="00853B61" w:rsidRDefault="00784247" w:rsidP="004B1590">
      <w:pPr>
        <w:tabs>
          <w:tab w:val="left" w:pos="540"/>
          <w:tab w:val="left" w:pos="569"/>
        </w:tabs>
        <w:jc w:val="both"/>
        <w:rPr>
          <w:bCs/>
          <w:sz w:val="22"/>
          <w:szCs w:val="22"/>
          <w:lang w:val="sr-Latn-ME"/>
        </w:rPr>
      </w:pPr>
    </w:p>
    <w:p w14:paraId="5522AAFE" w14:textId="77777777"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Pomoćne supstance sa poznatim dejstvom</w:t>
      </w:r>
    </w:p>
    <w:p w14:paraId="2E06C07F" w14:textId="77777777" w:rsidR="00784247" w:rsidRPr="00853B61" w:rsidRDefault="00784247" w:rsidP="004B1590">
      <w:pPr>
        <w:tabs>
          <w:tab w:val="left" w:pos="540"/>
          <w:tab w:val="left" w:pos="569"/>
        </w:tabs>
        <w:jc w:val="both"/>
        <w:rPr>
          <w:bCs/>
          <w:sz w:val="22"/>
          <w:szCs w:val="22"/>
          <w:lang w:val="sr-Latn-ME"/>
        </w:rPr>
      </w:pPr>
    </w:p>
    <w:p w14:paraId="54138308"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Laktoza</w:t>
      </w:r>
    </w:p>
    <w:p w14:paraId="0B969AE8" w14:textId="47296FCC"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Ovaj l</w:t>
      </w:r>
      <w:r w:rsidR="00180A70" w:rsidRPr="00853B61">
        <w:rPr>
          <w:bCs/>
          <w:sz w:val="22"/>
          <w:szCs w:val="22"/>
          <w:lang w:val="sr-Latn-ME"/>
        </w:rPr>
        <w:t>ij</w:t>
      </w:r>
      <w:r w:rsidRPr="00853B61">
        <w:rPr>
          <w:bCs/>
          <w:sz w:val="22"/>
          <w:szCs w:val="22"/>
          <w:lang w:val="sr-Latn-ME"/>
        </w:rPr>
        <w:t>ek sadrži monohidrat laktoze. Pacijenti sa r</w:t>
      </w:r>
      <w:r w:rsidR="00180A70" w:rsidRPr="00853B61">
        <w:rPr>
          <w:bCs/>
          <w:sz w:val="22"/>
          <w:szCs w:val="22"/>
          <w:lang w:val="sr-Latn-ME"/>
        </w:rPr>
        <w:t>ij</w:t>
      </w:r>
      <w:r w:rsidRPr="00853B61">
        <w:rPr>
          <w:bCs/>
          <w:sz w:val="22"/>
          <w:szCs w:val="22"/>
          <w:lang w:val="sr-Latn-ME"/>
        </w:rPr>
        <w:t>etkim nasl</w:t>
      </w:r>
      <w:r w:rsidR="00180A70" w:rsidRPr="00853B61">
        <w:rPr>
          <w:bCs/>
          <w:sz w:val="22"/>
          <w:szCs w:val="22"/>
          <w:lang w:val="sr-Latn-ME"/>
        </w:rPr>
        <w:t>j</w:t>
      </w:r>
      <w:r w:rsidRPr="00853B61">
        <w:rPr>
          <w:bCs/>
          <w:sz w:val="22"/>
          <w:szCs w:val="22"/>
          <w:lang w:val="sr-Latn-ME"/>
        </w:rPr>
        <w:t>ednim problemima intolerancije na galaktozu, totalne deficijencije laktaze ili glukozno-galaktozne malapsorpcije ne treba da uzimaju ovaj l</w:t>
      </w:r>
      <w:r w:rsidR="00180A70" w:rsidRPr="00853B61">
        <w:rPr>
          <w:bCs/>
          <w:sz w:val="22"/>
          <w:szCs w:val="22"/>
          <w:lang w:val="sr-Latn-ME"/>
        </w:rPr>
        <w:t>ij</w:t>
      </w:r>
      <w:r w:rsidRPr="00853B61">
        <w:rPr>
          <w:bCs/>
          <w:sz w:val="22"/>
          <w:szCs w:val="22"/>
          <w:lang w:val="sr-Latn-ME"/>
        </w:rPr>
        <w:t>ek.</w:t>
      </w:r>
    </w:p>
    <w:p w14:paraId="2BC17752" w14:textId="77777777" w:rsidR="00784247" w:rsidRPr="00853B61" w:rsidRDefault="00784247" w:rsidP="004B1590">
      <w:pPr>
        <w:tabs>
          <w:tab w:val="left" w:pos="540"/>
          <w:tab w:val="left" w:pos="569"/>
        </w:tabs>
        <w:jc w:val="both"/>
        <w:rPr>
          <w:bCs/>
          <w:sz w:val="22"/>
          <w:szCs w:val="22"/>
          <w:lang w:val="sr-Latn-ME"/>
        </w:rPr>
      </w:pPr>
    </w:p>
    <w:p w14:paraId="380B51BE"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Natrijum</w:t>
      </w:r>
    </w:p>
    <w:p w14:paraId="254BAE68" w14:textId="0096A6F0"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Ovaj l</w:t>
      </w:r>
      <w:r w:rsidR="00180A70" w:rsidRPr="00853B61">
        <w:rPr>
          <w:bCs/>
          <w:sz w:val="22"/>
          <w:szCs w:val="22"/>
          <w:lang w:val="sr-Latn-ME"/>
        </w:rPr>
        <w:t>ij</w:t>
      </w:r>
      <w:r w:rsidRPr="00853B61">
        <w:rPr>
          <w:bCs/>
          <w:sz w:val="22"/>
          <w:szCs w:val="22"/>
          <w:lang w:val="sr-Latn-ME"/>
        </w:rPr>
        <w:t xml:space="preserve">ek sadrži manje od 1 mmol natrijuma (23 mg) po </w:t>
      </w:r>
      <w:r w:rsidR="005338DC" w:rsidRPr="00853B61">
        <w:rPr>
          <w:bCs/>
          <w:sz w:val="22"/>
          <w:szCs w:val="22"/>
          <w:lang w:val="sr-Latn-ME"/>
        </w:rPr>
        <w:t>film tableti</w:t>
      </w:r>
      <w:r w:rsidRPr="00853B61">
        <w:rPr>
          <w:bCs/>
          <w:sz w:val="22"/>
          <w:szCs w:val="22"/>
          <w:lang w:val="sr-Latn-ME"/>
        </w:rPr>
        <w:t>, te se može reći da je u suštini bez natrijuma.</w:t>
      </w:r>
    </w:p>
    <w:p w14:paraId="4E23C793" w14:textId="77777777" w:rsidR="00057E35" w:rsidRPr="00853B61" w:rsidRDefault="00057E35" w:rsidP="004B1590">
      <w:pPr>
        <w:tabs>
          <w:tab w:val="left" w:pos="540"/>
          <w:tab w:val="left" w:pos="569"/>
        </w:tabs>
        <w:jc w:val="both"/>
        <w:rPr>
          <w:bCs/>
          <w:sz w:val="22"/>
          <w:szCs w:val="22"/>
          <w:lang w:val="sr-Latn-ME"/>
        </w:rPr>
      </w:pPr>
    </w:p>
    <w:p w14:paraId="4DAC25DF" w14:textId="77777777" w:rsidR="00411B4B" w:rsidRPr="00853B61" w:rsidRDefault="00411B4B" w:rsidP="004B1590">
      <w:pPr>
        <w:tabs>
          <w:tab w:val="left" w:pos="540"/>
          <w:tab w:val="left" w:pos="569"/>
        </w:tabs>
        <w:jc w:val="both"/>
        <w:rPr>
          <w:b/>
          <w:bCs/>
          <w:sz w:val="22"/>
          <w:szCs w:val="22"/>
          <w:lang w:val="sr-Latn-ME"/>
        </w:rPr>
      </w:pPr>
      <w:r w:rsidRPr="00853B61">
        <w:rPr>
          <w:b/>
          <w:bCs/>
          <w:sz w:val="22"/>
          <w:szCs w:val="22"/>
          <w:lang w:val="sr-Latn-ME"/>
        </w:rPr>
        <w:t>4.5.</w:t>
      </w:r>
      <w:r w:rsidR="000D60CC" w:rsidRPr="00853B61">
        <w:rPr>
          <w:b/>
          <w:bCs/>
          <w:sz w:val="22"/>
          <w:szCs w:val="22"/>
          <w:lang w:val="sr-Latn-ME"/>
        </w:rPr>
        <w:tab/>
      </w:r>
      <w:r w:rsidRPr="00853B61">
        <w:rPr>
          <w:b/>
          <w:bCs/>
          <w:sz w:val="22"/>
          <w:szCs w:val="22"/>
          <w:lang w:val="sr-Latn-ME"/>
        </w:rPr>
        <w:t>Interakcije sa drugim ljekovima i druge vrste interakcija</w:t>
      </w:r>
    </w:p>
    <w:p w14:paraId="6035C330" w14:textId="77777777" w:rsidR="0072020E" w:rsidRPr="00853B61" w:rsidRDefault="0072020E" w:rsidP="004B1590">
      <w:pPr>
        <w:tabs>
          <w:tab w:val="left" w:pos="540"/>
          <w:tab w:val="left" w:pos="569"/>
        </w:tabs>
        <w:jc w:val="both"/>
        <w:rPr>
          <w:bCs/>
          <w:sz w:val="22"/>
          <w:szCs w:val="22"/>
          <w:lang w:val="sr-Latn-ME"/>
        </w:rPr>
      </w:pPr>
    </w:p>
    <w:p w14:paraId="1C248ECF" w14:textId="0D653B73" w:rsidR="00784247" w:rsidRPr="00853B61" w:rsidRDefault="00784247" w:rsidP="004B1590">
      <w:pPr>
        <w:tabs>
          <w:tab w:val="left" w:pos="540"/>
          <w:tab w:val="left" w:pos="569"/>
        </w:tabs>
        <w:jc w:val="both"/>
        <w:rPr>
          <w:bCs/>
          <w:sz w:val="22"/>
          <w:szCs w:val="22"/>
          <w:lang w:val="sr-Latn-ME"/>
        </w:rPr>
      </w:pPr>
      <w:r w:rsidRPr="00853B61">
        <w:rPr>
          <w:bCs/>
          <w:sz w:val="22"/>
          <w:szCs w:val="22"/>
          <w:u w:val="single"/>
          <w:lang w:val="sr-Latn-ME"/>
        </w:rPr>
        <w:t>Uticaj danikopana na druge l</w:t>
      </w:r>
      <w:r w:rsidR="00180A70" w:rsidRPr="00853B61">
        <w:rPr>
          <w:bCs/>
          <w:sz w:val="22"/>
          <w:szCs w:val="22"/>
          <w:u w:val="single"/>
          <w:lang w:val="sr-Latn-ME"/>
        </w:rPr>
        <w:t>j</w:t>
      </w:r>
      <w:r w:rsidRPr="00853B61">
        <w:rPr>
          <w:bCs/>
          <w:sz w:val="22"/>
          <w:szCs w:val="22"/>
          <w:u w:val="single"/>
          <w:lang w:val="sr-Latn-ME"/>
        </w:rPr>
        <w:t>ekove</w:t>
      </w:r>
    </w:p>
    <w:p w14:paraId="41876A53" w14:textId="77777777" w:rsidR="00784247" w:rsidRPr="00853B61" w:rsidRDefault="00784247" w:rsidP="004B1590">
      <w:pPr>
        <w:tabs>
          <w:tab w:val="left" w:pos="540"/>
          <w:tab w:val="left" w:pos="569"/>
        </w:tabs>
        <w:jc w:val="both"/>
        <w:rPr>
          <w:bCs/>
          <w:sz w:val="22"/>
          <w:szCs w:val="22"/>
          <w:lang w:val="sr-Latn-ME"/>
        </w:rPr>
      </w:pPr>
    </w:p>
    <w:p w14:paraId="0306C4CD"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P-gp supstrati</w:t>
      </w:r>
    </w:p>
    <w:p w14:paraId="35B8AD5D" w14:textId="7FA661C5"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Koadministracija jedne oralne doze od 180 mg feksofenadina, supstrata P-gp, sa dozama danikopana od 150 mg tri puta dnevno, dovela je do povećanja C</w:t>
      </w:r>
      <w:r w:rsidRPr="00853B61">
        <w:rPr>
          <w:bCs/>
          <w:sz w:val="22"/>
          <w:szCs w:val="22"/>
          <w:vertAlign w:val="subscript"/>
          <w:lang w:val="sr-Latn-ME"/>
        </w:rPr>
        <w:t>max</w:t>
      </w:r>
      <w:r w:rsidRPr="00853B61">
        <w:rPr>
          <w:bCs/>
          <w:sz w:val="22"/>
          <w:szCs w:val="22"/>
          <w:lang w:val="sr-Latn-ME"/>
        </w:rPr>
        <w:t xml:space="preserve"> AUC</w:t>
      </w:r>
      <w:r w:rsidRPr="00853B61">
        <w:rPr>
          <w:bCs/>
          <w:sz w:val="22"/>
          <w:szCs w:val="22"/>
          <w:vertAlign w:val="subscript"/>
          <w:lang w:val="sr-Latn-ME"/>
        </w:rPr>
        <w:t>0-inf</w:t>
      </w:r>
      <w:r w:rsidRPr="00853B61">
        <w:rPr>
          <w:bCs/>
          <w:sz w:val="22"/>
          <w:szCs w:val="22"/>
          <w:lang w:val="sr-Latn-ME"/>
        </w:rPr>
        <w:t xml:space="preserve"> feksofenadina za 1,42, odnosno 1,62 puta. Rezultati ukazuju na to da je danikopan blagi inhibitor P-gp. Može biti potreban oprez pri koadministraciji l</w:t>
      </w:r>
      <w:r w:rsidR="00180A70" w:rsidRPr="00853B61">
        <w:rPr>
          <w:bCs/>
          <w:sz w:val="22"/>
          <w:szCs w:val="22"/>
          <w:lang w:val="sr-Latn-ME"/>
        </w:rPr>
        <w:t>j</w:t>
      </w:r>
      <w:r w:rsidRPr="00853B61">
        <w:rPr>
          <w:bCs/>
          <w:sz w:val="22"/>
          <w:szCs w:val="22"/>
          <w:lang w:val="sr-Latn-ME"/>
        </w:rPr>
        <w:t>ekova koji su poznati supstrati P-gp (kao što su dabigatran, digoksin, edoksaban, feksofenadin, takrolimus).</w:t>
      </w:r>
    </w:p>
    <w:p w14:paraId="5A2D6443" w14:textId="77777777" w:rsidR="00784247" w:rsidRPr="00853B61" w:rsidRDefault="00784247" w:rsidP="004B1590">
      <w:pPr>
        <w:tabs>
          <w:tab w:val="left" w:pos="540"/>
          <w:tab w:val="left" w:pos="569"/>
        </w:tabs>
        <w:jc w:val="both"/>
        <w:rPr>
          <w:bCs/>
          <w:sz w:val="22"/>
          <w:szCs w:val="22"/>
          <w:lang w:val="sr-Latn-ME"/>
        </w:rPr>
      </w:pPr>
    </w:p>
    <w:p w14:paraId="08DF87CE" w14:textId="77777777" w:rsidR="00784247" w:rsidRPr="00853B61" w:rsidRDefault="00784247" w:rsidP="004B1590">
      <w:pPr>
        <w:tabs>
          <w:tab w:val="left" w:pos="540"/>
          <w:tab w:val="left" w:pos="569"/>
        </w:tabs>
        <w:jc w:val="both"/>
        <w:rPr>
          <w:bCs/>
          <w:i/>
          <w:sz w:val="22"/>
          <w:szCs w:val="22"/>
          <w:lang w:val="sr-Latn-ME"/>
        </w:rPr>
      </w:pPr>
      <w:r w:rsidRPr="00853B61">
        <w:rPr>
          <w:bCs/>
          <w:i/>
          <w:iCs/>
          <w:sz w:val="22"/>
          <w:szCs w:val="22"/>
          <w:lang w:val="sr-Latn-ME"/>
        </w:rPr>
        <w:t>BCRP supstrati</w:t>
      </w:r>
    </w:p>
    <w:p w14:paraId="0269AB1A" w14:textId="2D01CF35" w:rsidR="00784247" w:rsidRPr="00853B61" w:rsidRDefault="00784247" w:rsidP="004B1590">
      <w:pPr>
        <w:tabs>
          <w:tab w:val="left" w:pos="540"/>
          <w:tab w:val="left" w:pos="569"/>
        </w:tabs>
        <w:jc w:val="both"/>
        <w:rPr>
          <w:bCs/>
          <w:sz w:val="22"/>
          <w:szCs w:val="22"/>
          <w:lang w:val="sr-Latn-ME"/>
        </w:rPr>
      </w:pPr>
      <w:r w:rsidRPr="00853B61">
        <w:rPr>
          <w:bCs/>
          <w:sz w:val="22"/>
          <w:szCs w:val="22"/>
          <w:lang w:val="sr-Latn-ME"/>
        </w:rPr>
        <w:t>Koadministracija jedne oralne doze od 20 mg rosuvastatina, supstrata BCRP, sa dozama danikopana od 200 mg tri puta dnevno, dovela je do povećanja Cmax AUC0-inf rosuvastatina za 3,29, odnosno 2,25 puta. Rezultat ukazuje na to da je danikopan inhibitor BCRP. Može biti potreban oprez pri koadministraciji l</w:t>
      </w:r>
      <w:r w:rsidR="00180A70" w:rsidRPr="00853B61">
        <w:rPr>
          <w:bCs/>
          <w:sz w:val="22"/>
          <w:szCs w:val="22"/>
          <w:lang w:val="sr-Latn-ME"/>
        </w:rPr>
        <w:t>j</w:t>
      </w:r>
      <w:r w:rsidRPr="00853B61">
        <w:rPr>
          <w:bCs/>
          <w:sz w:val="22"/>
          <w:szCs w:val="22"/>
          <w:lang w:val="sr-Latn-ME"/>
        </w:rPr>
        <w:t>ekova koji su poznati supstrati BCRP (kao što su rosuvastatin i sulfasalazin).</w:t>
      </w:r>
    </w:p>
    <w:p w14:paraId="4D50499B" w14:textId="77777777" w:rsidR="00784247" w:rsidRPr="00853B61" w:rsidRDefault="00784247" w:rsidP="004B1590">
      <w:pPr>
        <w:tabs>
          <w:tab w:val="left" w:pos="540"/>
          <w:tab w:val="left" w:pos="569"/>
        </w:tabs>
        <w:jc w:val="both"/>
        <w:rPr>
          <w:bCs/>
          <w:sz w:val="22"/>
          <w:szCs w:val="22"/>
          <w:lang w:val="sr-Latn-ME"/>
        </w:rPr>
      </w:pPr>
    </w:p>
    <w:p w14:paraId="098DE6DA" w14:textId="77777777" w:rsidR="0072020E" w:rsidRPr="00853B61" w:rsidRDefault="0072020E" w:rsidP="004B1590">
      <w:pPr>
        <w:tabs>
          <w:tab w:val="left" w:pos="540"/>
          <w:tab w:val="left" w:pos="569"/>
        </w:tabs>
        <w:jc w:val="both"/>
        <w:rPr>
          <w:b/>
          <w:sz w:val="22"/>
          <w:szCs w:val="22"/>
          <w:lang w:val="sr-Latn-ME"/>
        </w:rPr>
      </w:pPr>
      <w:r w:rsidRPr="00853B61">
        <w:rPr>
          <w:b/>
          <w:bCs/>
          <w:sz w:val="22"/>
          <w:szCs w:val="22"/>
          <w:lang w:val="sr-Latn-ME"/>
        </w:rPr>
        <w:t xml:space="preserve">4.6. </w:t>
      </w:r>
      <w:r w:rsidR="00480FB1" w:rsidRPr="00853B61">
        <w:rPr>
          <w:b/>
          <w:bCs/>
          <w:sz w:val="22"/>
          <w:szCs w:val="22"/>
          <w:lang w:val="sr-Latn-ME"/>
        </w:rPr>
        <w:tab/>
      </w:r>
      <w:r w:rsidR="006D20A5" w:rsidRPr="00853B61">
        <w:rPr>
          <w:b/>
          <w:sz w:val="22"/>
          <w:szCs w:val="22"/>
          <w:lang w:val="sr-Latn-ME"/>
        </w:rPr>
        <w:t>Plodnost, trudnoća i dojenje</w:t>
      </w:r>
    </w:p>
    <w:p w14:paraId="23DDE794" w14:textId="77777777" w:rsidR="002031B3" w:rsidRPr="00853B61" w:rsidRDefault="002031B3" w:rsidP="004B1590">
      <w:pPr>
        <w:tabs>
          <w:tab w:val="left" w:pos="540"/>
          <w:tab w:val="left" w:pos="569"/>
        </w:tabs>
        <w:jc w:val="both"/>
        <w:rPr>
          <w:sz w:val="22"/>
          <w:szCs w:val="22"/>
          <w:u w:val="single"/>
          <w:lang w:val="sr-Latn-ME"/>
        </w:rPr>
      </w:pPr>
    </w:p>
    <w:p w14:paraId="1309DCF4" w14:textId="77777777" w:rsidR="002031B3" w:rsidRPr="00853B61" w:rsidRDefault="002031B3" w:rsidP="004B1590">
      <w:pPr>
        <w:tabs>
          <w:tab w:val="left" w:pos="540"/>
          <w:tab w:val="left" w:pos="569"/>
        </w:tabs>
        <w:jc w:val="both"/>
        <w:rPr>
          <w:sz w:val="22"/>
          <w:szCs w:val="22"/>
          <w:u w:val="single"/>
          <w:lang w:val="sr-Latn-ME"/>
        </w:rPr>
      </w:pPr>
      <w:r w:rsidRPr="00853B61">
        <w:rPr>
          <w:sz w:val="22"/>
          <w:szCs w:val="22"/>
          <w:u w:val="single"/>
          <w:lang w:val="sr-Latn-ME"/>
        </w:rPr>
        <w:t>Plodnost</w:t>
      </w:r>
    </w:p>
    <w:p w14:paraId="7C6E3B5A" w14:textId="32DC2B5F" w:rsidR="002031B3" w:rsidRPr="00853B61" w:rsidRDefault="00784247" w:rsidP="004B1590">
      <w:pPr>
        <w:tabs>
          <w:tab w:val="left" w:pos="540"/>
          <w:tab w:val="left" w:pos="569"/>
        </w:tabs>
        <w:jc w:val="both"/>
        <w:rPr>
          <w:sz w:val="22"/>
          <w:szCs w:val="22"/>
          <w:lang w:val="sr-Latn-ME"/>
        </w:rPr>
      </w:pPr>
      <w:r w:rsidRPr="00853B61">
        <w:rPr>
          <w:sz w:val="22"/>
          <w:szCs w:val="22"/>
          <w:lang w:val="sr-Latn-ME"/>
        </w:rPr>
        <w:t>Nema dostupnih podataka o uticaju danikopana na plodnost kod ljudi. Studije na životinjama su pokazale potencijalna dejstva na plodnost i reproduktivni učinak kod mužjaka (vid</w:t>
      </w:r>
      <w:r w:rsidR="00180A70" w:rsidRPr="00853B61">
        <w:rPr>
          <w:sz w:val="22"/>
          <w:szCs w:val="22"/>
          <w:lang w:val="sr-Latn-ME"/>
        </w:rPr>
        <w:t>j</w:t>
      </w:r>
      <w:r w:rsidRPr="00853B61">
        <w:rPr>
          <w:sz w:val="22"/>
          <w:szCs w:val="22"/>
          <w:lang w:val="sr-Latn-ME"/>
        </w:rPr>
        <w:t xml:space="preserve">eti </w:t>
      </w:r>
      <w:r w:rsidR="00180A70" w:rsidRPr="00853B61">
        <w:rPr>
          <w:sz w:val="22"/>
          <w:szCs w:val="22"/>
          <w:lang w:val="sr-Latn-ME"/>
        </w:rPr>
        <w:t>dio</w:t>
      </w:r>
      <w:r w:rsidRPr="00853B61">
        <w:rPr>
          <w:sz w:val="22"/>
          <w:szCs w:val="22"/>
          <w:lang w:val="sr-Latn-ME"/>
        </w:rPr>
        <w:t xml:space="preserve"> 5.3).</w:t>
      </w:r>
    </w:p>
    <w:p w14:paraId="31FBE7D4" w14:textId="77777777" w:rsidR="00784247" w:rsidRPr="00853B61" w:rsidRDefault="00784247" w:rsidP="004B1590">
      <w:pPr>
        <w:tabs>
          <w:tab w:val="left" w:pos="540"/>
          <w:tab w:val="left" w:pos="569"/>
        </w:tabs>
        <w:jc w:val="both"/>
        <w:rPr>
          <w:sz w:val="22"/>
          <w:szCs w:val="22"/>
          <w:u w:val="single"/>
          <w:lang w:val="sr-Latn-ME"/>
        </w:rPr>
      </w:pPr>
    </w:p>
    <w:p w14:paraId="7D953E20" w14:textId="77777777" w:rsidR="00B97AFB" w:rsidRDefault="00B97AFB" w:rsidP="004B1590">
      <w:pPr>
        <w:tabs>
          <w:tab w:val="left" w:pos="540"/>
          <w:tab w:val="left" w:pos="569"/>
        </w:tabs>
        <w:jc w:val="both"/>
        <w:rPr>
          <w:sz w:val="22"/>
          <w:szCs w:val="22"/>
          <w:u w:val="single"/>
          <w:lang w:val="sr-Latn-ME"/>
        </w:rPr>
      </w:pPr>
    </w:p>
    <w:p w14:paraId="2ABCAE6D" w14:textId="77777777" w:rsidR="00B97AFB" w:rsidRDefault="00B97AFB" w:rsidP="004B1590">
      <w:pPr>
        <w:tabs>
          <w:tab w:val="left" w:pos="540"/>
          <w:tab w:val="left" w:pos="569"/>
        </w:tabs>
        <w:jc w:val="both"/>
        <w:rPr>
          <w:sz w:val="22"/>
          <w:szCs w:val="22"/>
          <w:u w:val="single"/>
          <w:lang w:val="sr-Latn-ME"/>
        </w:rPr>
      </w:pPr>
    </w:p>
    <w:p w14:paraId="5A214EB4" w14:textId="77777777" w:rsidR="00B97AFB" w:rsidRDefault="00B97AFB" w:rsidP="004B1590">
      <w:pPr>
        <w:tabs>
          <w:tab w:val="left" w:pos="540"/>
          <w:tab w:val="left" w:pos="569"/>
        </w:tabs>
        <w:jc w:val="both"/>
        <w:rPr>
          <w:sz w:val="22"/>
          <w:szCs w:val="22"/>
          <w:u w:val="single"/>
          <w:lang w:val="sr-Latn-ME"/>
        </w:rPr>
      </w:pPr>
    </w:p>
    <w:p w14:paraId="2BE7ED2C" w14:textId="1B34F82B" w:rsidR="007A3ECB" w:rsidRPr="00853B61" w:rsidRDefault="007A3ECB" w:rsidP="004B1590">
      <w:pPr>
        <w:tabs>
          <w:tab w:val="left" w:pos="540"/>
          <w:tab w:val="left" w:pos="569"/>
        </w:tabs>
        <w:jc w:val="both"/>
        <w:rPr>
          <w:sz w:val="22"/>
          <w:szCs w:val="22"/>
          <w:u w:val="single"/>
          <w:lang w:val="sr-Latn-ME"/>
        </w:rPr>
      </w:pPr>
      <w:r w:rsidRPr="00853B61">
        <w:rPr>
          <w:sz w:val="22"/>
          <w:szCs w:val="22"/>
          <w:u w:val="single"/>
          <w:lang w:val="sr-Latn-ME"/>
        </w:rPr>
        <w:lastRenderedPageBreak/>
        <w:t>Trudnoća</w:t>
      </w:r>
    </w:p>
    <w:p w14:paraId="3FC44B13" w14:textId="72BB2512" w:rsidR="00784247" w:rsidRPr="00853B61" w:rsidRDefault="00784247" w:rsidP="004B1590">
      <w:pPr>
        <w:tabs>
          <w:tab w:val="left" w:pos="540"/>
          <w:tab w:val="left" w:pos="569"/>
        </w:tabs>
        <w:jc w:val="both"/>
        <w:rPr>
          <w:sz w:val="22"/>
          <w:szCs w:val="22"/>
          <w:lang w:val="sr-Latn-ME"/>
        </w:rPr>
      </w:pPr>
      <w:r w:rsidRPr="00853B61">
        <w:rPr>
          <w:sz w:val="22"/>
          <w:szCs w:val="22"/>
          <w:lang w:val="sr-Latn-ME"/>
        </w:rPr>
        <w:t>Nema podataka o prim</w:t>
      </w:r>
      <w:r w:rsidR="00180A70" w:rsidRPr="00853B61">
        <w:rPr>
          <w:sz w:val="22"/>
          <w:szCs w:val="22"/>
          <w:lang w:val="sr-Latn-ME"/>
        </w:rPr>
        <w:t>j</w:t>
      </w:r>
      <w:r w:rsidRPr="00853B61">
        <w:rPr>
          <w:sz w:val="22"/>
          <w:szCs w:val="22"/>
          <w:lang w:val="sr-Latn-ME"/>
        </w:rPr>
        <w:t xml:space="preserve">eni danikopana kod trudnica. Studije sprovedene na životinjama ne ukazuju na direktna ili indirektna štetna dejstva u smislu reproduktivne toksičnosti na terapijski relevantnim dozama (pogledati </w:t>
      </w:r>
      <w:r w:rsidR="00180A70" w:rsidRPr="00853B61">
        <w:rPr>
          <w:sz w:val="22"/>
          <w:szCs w:val="22"/>
          <w:lang w:val="sr-Latn-ME"/>
        </w:rPr>
        <w:t>dio</w:t>
      </w:r>
      <w:r w:rsidRPr="00853B61">
        <w:rPr>
          <w:sz w:val="22"/>
          <w:szCs w:val="22"/>
          <w:lang w:val="sr-Latn-ME"/>
        </w:rPr>
        <w:t xml:space="preserve"> 5.3). Kao m</w:t>
      </w:r>
      <w:r w:rsidR="00180A70" w:rsidRPr="00853B61">
        <w:rPr>
          <w:sz w:val="22"/>
          <w:szCs w:val="22"/>
          <w:lang w:val="sr-Latn-ME"/>
        </w:rPr>
        <w:t>j</w:t>
      </w:r>
      <w:r w:rsidRPr="00853B61">
        <w:rPr>
          <w:sz w:val="22"/>
          <w:szCs w:val="22"/>
          <w:lang w:val="sr-Latn-ME"/>
        </w:rPr>
        <w:t>era opreza, poželjno je izb</w:t>
      </w:r>
      <w:r w:rsidR="00180A70" w:rsidRPr="00853B61">
        <w:rPr>
          <w:sz w:val="22"/>
          <w:szCs w:val="22"/>
          <w:lang w:val="sr-Latn-ME"/>
        </w:rPr>
        <w:t>j</w:t>
      </w:r>
      <w:r w:rsidRPr="00853B61">
        <w:rPr>
          <w:sz w:val="22"/>
          <w:szCs w:val="22"/>
          <w:lang w:val="sr-Latn-ME"/>
        </w:rPr>
        <w:t>egavati prim</w:t>
      </w:r>
      <w:r w:rsidR="00180A70" w:rsidRPr="00853B61">
        <w:rPr>
          <w:sz w:val="22"/>
          <w:szCs w:val="22"/>
          <w:lang w:val="sr-Latn-ME"/>
        </w:rPr>
        <w:t>j</w:t>
      </w:r>
      <w:r w:rsidRPr="00853B61">
        <w:rPr>
          <w:sz w:val="22"/>
          <w:szCs w:val="22"/>
          <w:lang w:val="sr-Latn-ME"/>
        </w:rPr>
        <w:t>enu l</w:t>
      </w:r>
      <w:r w:rsidR="00180A70" w:rsidRPr="00853B61">
        <w:rPr>
          <w:sz w:val="22"/>
          <w:szCs w:val="22"/>
          <w:lang w:val="sr-Latn-ME"/>
        </w:rPr>
        <w:t>ij</w:t>
      </w:r>
      <w:r w:rsidRPr="00853B61">
        <w:rPr>
          <w:sz w:val="22"/>
          <w:szCs w:val="22"/>
          <w:lang w:val="sr-Latn-ME"/>
        </w:rPr>
        <w:t>eka Voydeya tokom trudnoće.</w:t>
      </w:r>
    </w:p>
    <w:p w14:paraId="7B828606" w14:textId="77777777" w:rsidR="002031B3" w:rsidRPr="00853B61" w:rsidRDefault="002031B3" w:rsidP="004B1590">
      <w:pPr>
        <w:tabs>
          <w:tab w:val="left" w:pos="540"/>
          <w:tab w:val="left" w:pos="569"/>
        </w:tabs>
        <w:jc w:val="both"/>
        <w:rPr>
          <w:sz w:val="22"/>
          <w:szCs w:val="22"/>
          <w:u w:val="single"/>
          <w:lang w:val="sr-Latn-ME"/>
        </w:rPr>
      </w:pPr>
    </w:p>
    <w:p w14:paraId="595C9A9A" w14:textId="214E21E1" w:rsidR="0072020E" w:rsidRPr="00853B61" w:rsidRDefault="007A3ECB">
      <w:pPr>
        <w:tabs>
          <w:tab w:val="left" w:pos="540"/>
          <w:tab w:val="left" w:pos="569"/>
        </w:tabs>
        <w:jc w:val="both"/>
        <w:rPr>
          <w:b/>
          <w:bCs/>
          <w:sz w:val="22"/>
          <w:szCs w:val="22"/>
          <w:lang w:val="sr-Latn-ME"/>
        </w:rPr>
      </w:pPr>
      <w:r w:rsidRPr="00853B61">
        <w:rPr>
          <w:sz w:val="22"/>
          <w:szCs w:val="22"/>
          <w:u w:val="single"/>
          <w:lang w:val="sr-Latn-ME"/>
        </w:rPr>
        <w:t>Dojenje</w:t>
      </w:r>
    </w:p>
    <w:p w14:paraId="24FB4C31" w14:textId="108A20BF" w:rsidR="00784247" w:rsidRPr="00853B61" w:rsidRDefault="00784247" w:rsidP="00AA0834">
      <w:pPr>
        <w:widowControl w:val="0"/>
        <w:autoSpaceDE w:val="0"/>
        <w:autoSpaceDN w:val="0"/>
        <w:ind w:right="725"/>
        <w:jc w:val="both"/>
        <w:rPr>
          <w:b/>
          <w:bCs/>
          <w:sz w:val="22"/>
          <w:szCs w:val="22"/>
          <w:lang w:val="sr-Latn-ME"/>
        </w:rPr>
      </w:pPr>
      <w:r w:rsidRPr="00853B61">
        <w:rPr>
          <w:sz w:val="22"/>
          <w:szCs w:val="22"/>
          <w:lang w:val="sr-Latn-ME"/>
        </w:rPr>
        <w:t>Dostupni podaci o farmakodinamici/toksikologiji kod životinja pokazali su da se</w:t>
      </w:r>
      <w:r w:rsidR="00AB7647" w:rsidRPr="00853B61">
        <w:rPr>
          <w:sz w:val="22"/>
          <w:szCs w:val="22"/>
          <w:lang w:val="sr-Latn-ME"/>
        </w:rPr>
        <w:t xml:space="preserve"> </w:t>
      </w:r>
      <w:r w:rsidRPr="00853B61">
        <w:rPr>
          <w:sz w:val="22"/>
          <w:szCs w:val="22"/>
          <w:lang w:val="sr-Latn-ME"/>
        </w:rPr>
        <w:t>danikopan/metaboliti izlučuju u ml</w:t>
      </w:r>
      <w:r w:rsidR="00180A70" w:rsidRPr="00853B61">
        <w:rPr>
          <w:sz w:val="22"/>
          <w:szCs w:val="22"/>
          <w:lang w:val="sr-Latn-ME"/>
        </w:rPr>
        <w:t>ij</w:t>
      </w:r>
      <w:r w:rsidRPr="00853B61">
        <w:rPr>
          <w:sz w:val="22"/>
          <w:szCs w:val="22"/>
          <w:lang w:val="sr-Latn-ME"/>
        </w:rPr>
        <w:t xml:space="preserve">eko (pogledati </w:t>
      </w:r>
      <w:r w:rsidR="00180A70" w:rsidRPr="00853B61">
        <w:rPr>
          <w:sz w:val="22"/>
          <w:szCs w:val="22"/>
          <w:lang w:val="sr-Latn-ME"/>
        </w:rPr>
        <w:t>dio</w:t>
      </w:r>
      <w:r w:rsidRPr="00853B61">
        <w:rPr>
          <w:sz w:val="22"/>
          <w:szCs w:val="22"/>
          <w:lang w:val="sr-Latn-ME"/>
        </w:rPr>
        <w:t xml:space="preserve"> 5.3). Ne može se isključiti rizik za novorođenče/odojče. Voydeya se ne sm</w:t>
      </w:r>
      <w:r w:rsidR="00180A70" w:rsidRPr="00853B61">
        <w:rPr>
          <w:sz w:val="22"/>
          <w:szCs w:val="22"/>
          <w:lang w:val="sr-Latn-ME"/>
        </w:rPr>
        <w:t>ij</w:t>
      </w:r>
      <w:r w:rsidRPr="00853B61">
        <w:rPr>
          <w:sz w:val="22"/>
          <w:szCs w:val="22"/>
          <w:lang w:val="sr-Latn-ME"/>
        </w:rPr>
        <w:t>e koristiti tokom dojenja i dojenje se ne sm</w:t>
      </w:r>
      <w:r w:rsidR="00180A70" w:rsidRPr="00853B61">
        <w:rPr>
          <w:sz w:val="22"/>
          <w:szCs w:val="22"/>
          <w:lang w:val="sr-Latn-ME"/>
        </w:rPr>
        <w:t>ij</w:t>
      </w:r>
      <w:r w:rsidRPr="00853B61">
        <w:rPr>
          <w:sz w:val="22"/>
          <w:szCs w:val="22"/>
          <w:lang w:val="sr-Latn-ME"/>
        </w:rPr>
        <w:t>e započeti do 3 dana nakon prekida terapije.</w:t>
      </w:r>
    </w:p>
    <w:p w14:paraId="6D312D5D" w14:textId="77777777" w:rsidR="00B97AFB" w:rsidRDefault="00B97AFB" w:rsidP="004B1590">
      <w:pPr>
        <w:tabs>
          <w:tab w:val="left" w:pos="540"/>
          <w:tab w:val="left" w:pos="569"/>
        </w:tabs>
        <w:ind w:left="540" w:hanging="540"/>
        <w:jc w:val="both"/>
        <w:rPr>
          <w:b/>
          <w:bCs/>
          <w:sz w:val="22"/>
          <w:szCs w:val="22"/>
          <w:lang w:val="sr-Latn-ME"/>
        </w:rPr>
      </w:pPr>
    </w:p>
    <w:p w14:paraId="39097C7C" w14:textId="589BD46D" w:rsidR="0072020E" w:rsidRPr="00853B61" w:rsidRDefault="0072020E" w:rsidP="004B1590">
      <w:pPr>
        <w:tabs>
          <w:tab w:val="left" w:pos="540"/>
          <w:tab w:val="left" w:pos="569"/>
        </w:tabs>
        <w:ind w:left="540" w:hanging="540"/>
        <w:jc w:val="both"/>
        <w:rPr>
          <w:b/>
          <w:bCs/>
          <w:sz w:val="22"/>
          <w:szCs w:val="22"/>
          <w:lang w:val="sr-Latn-ME"/>
        </w:rPr>
      </w:pPr>
      <w:r w:rsidRPr="00853B61">
        <w:rPr>
          <w:b/>
          <w:bCs/>
          <w:sz w:val="22"/>
          <w:szCs w:val="22"/>
          <w:lang w:val="sr-Latn-ME"/>
        </w:rPr>
        <w:t xml:space="preserve">4.7. </w:t>
      </w:r>
      <w:r w:rsidR="00480FB1" w:rsidRPr="00853B61">
        <w:rPr>
          <w:b/>
          <w:bCs/>
          <w:sz w:val="22"/>
          <w:szCs w:val="22"/>
          <w:lang w:val="sr-Latn-ME"/>
        </w:rPr>
        <w:tab/>
      </w:r>
      <w:r w:rsidRPr="00853B61">
        <w:rPr>
          <w:b/>
          <w:bCs/>
          <w:sz w:val="22"/>
          <w:szCs w:val="22"/>
          <w:lang w:val="sr-Latn-ME"/>
        </w:rPr>
        <w:t xml:space="preserve">Uticaj na </w:t>
      </w:r>
      <w:r w:rsidR="002031B3" w:rsidRPr="00853B61">
        <w:rPr>
          <w:b/>
          <w:bCs/>
          <w:sz w:val="22"/>
          <w:szCs w:val="22"/>
          <w:lang w:val="sr-Latn-ME"/>
        </w:rPr>
        <w:t xml:space="preserve">sposobnost </w:t>
      </w:r>
      <w:r w:rsidR="00F34554" w:rsidRPr="00853B61">
        <w:rPr>
          <w:b/>
          <w:bCs/>
          <w:sz w:val="22"/>
          <w:szCs w:val="22"/>
          <w:lang w:val="sr-Latn-ME"/>
        </w:rPr>
        <w:t>upravljanja vozili</w:t>
      </w:r>
      <w:r w:rsidRPr="00853B61">
        <w:rPr>
          <w:b/>
          <w:bCs/>
          <w:sz w:val="22"/>
          <w:szCs w:val="22"/>
          <w:lang w:val="sr-Latn-ME"/>
        </w:rPr>
        <w:t>m</w:t>
      </w:r>
      <w:r w:rsidR="00F34554" w:rsidRPr="00853B61">
        <w:rPr>
          <w:b/>
          <w:bCs/>
          <w:sz w:val="22"/>
          <w:szCs w:val="22"/>
          <w:lang w:val="sr-Latn-ME"/>
        </w:rPr>
        <w:t>a</w:t>
      </w:r>
      <w:r w:rsidRPr="00853B61">
        <w:rPr>
          <w:b/>
          <w:bCs/>
          <w:sz w:val="22"/>
          <w:szCs w:val="22"/>
          <w:lang w:val="sr-Latn-ME"/>
        </w:rPr>
        <w:t xml:space="preserve"> i </w:t>
      </w:r>
      <w:r w:rsidR="000D3449" w:rsidRPr="00853B61">
        <w:rPr>
          <w:b/>
          <w:bCs/>
          <w:sz w:val="22"/>
          <w:szCs w:val="22"/>
          <w:lang w:val="sr-Latn-ME"/>
        </w:rPr>
        <w:t xml:space="preserve">rukovanje </w:t>
      </w:r>
      <w:r w:rsidRPr="00853B61">
        <w:rPr>
          <w:b/>
          <w:bCs/>
          <w:sz w:val="22"/>
          <w:szCs w:val="22"/>
          <w:lang w:val="sr-Latn-ME"/>
        </w:rPr>
        <w:t>mašinama</w:t>
      </w:r>
    </w:p>
    <w:p w14:paraId="37E3A3FD" w14:textId="77777777" w:rsidR="00784247" w:rsidRPr="00853B61" w:rsidRDefault="00784247" w:rsidP="004B1590">
      <w:pPr>
        <w:tabs>
          <w:tab w:val="left" w:pos="540"/>
          <w:tab w:val="left" w:pos="569"/>
        </w:tabs>
        <w:jc w:val="both"/>
        <w:rPr>
          <w:b/>
          <w:bCs/>
          <w:sz w:val="22"/>
          <w:szCs w:val="22"/>
          <w:lang w:val="sr-Latn-ME"/>
        </w:rPr>
      </w:pPr>
    </w:p>
    <w:p w14:paraId="11768241" w14:textId="322A26B2" w:rsidR="00784247" w:rsidRPr="00853B61" w:rsidRDefault="00784247" w:rsidP="004B1590">
      <w:pPr>
        <w:tabs>
          <w:tab w:val="left" w:pos="540"/>
          <w:tab w:val="left" w:pos="569"/>
        </w:tabs>
        <w:jc w:val="both"/>
        <w:rPr>
          <w:sz w:val="22"/>
          <w:szCs w:val="22"/>
          <w:lang w:val="sr-Latn-ME"/>
        </w:rPr>
      </w:pPr>
      <w:r w:rsidRPr="00853B61">
        <w:rPr>
          <w:sz w:val="22"/>
          <w:szCs w:val="22"/>
          <w:lang w:val="sr-Latn-ME"/>
        </w:rPr>
        <w:t>Voydeya nema nikakav ili ima zanemarljiv uticaj na sposobnost upravljanja vozilima i rukovanja mašinama.</w:t>
      </w:r>
    </w:p>
    <w:p w14:paraId="65E58FCF" w14:textId="77777777" w:rsidR="00180A70" w:rsidRPr="00853B61" w:rsidRDefault="00180A70" w:rsidP="004B1590">
      <w:pPr>
        <w:tabs>
          <w:tab w:val="left" w:pos="540"/>
          <w:tab w:val="left" w:pos="569"/>
        </w:tabs>
        <w:jc w:val="both"/>
        <w:rPr>
          <w:b/>
          <w:bCs/>
          <w:sz w:val="22"/>
          <w:szCs w:val="22"/>
          <w:lang w:val="sr-Latn-ME"/>
        </w:rPr>
      </w:pPr>
    </w:p>
    <w:p w14:paraId="6E9B54BC" w14:textId="3316EC5D"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4.8. </w:t>
      </w:r>
      <w:r w:rsidR="00480FB1" w:rsidRPr="00853B61">
        <w:rPr>
          <w:b/>
          <w:bCs/>
          <w:sz w:val="22"/>
          <w:szCs w:val="22"/>
          <w:lang w:val="sr-Latn-ME"/>
        </w:rPr>
        <w:tab/>
      </w:r>
      <w:r w:rsidRPr="00853B61">
        <w:rPr>
          <w:b/>
          <w:bCs/>
          <w:sz w:val="22"/>
          <w:szCs w:val="22"/>
          <w:lang w:val="sr-Latn-ME"/>
        </w:rPr>
        <w:t>Neželjena dejstva</w:t>
      </w:r>
    </w:p>
    <w:p w14:paraId="580EABB4" w14:textId="77777777" w:rsidR="004E70AD" w:rsidRPr="00853B61" w:rsidRDefault="004E70AD" w:rsidP="004B1590">
      <w:pPr>
        <w:tabs>
          <w:tab w:val="left" w:pos="540"/>
          <w:tab w:val="left" w:pos="569"/>
        </w:tabs>
        <w:jc w:val="both"/>
        <w:rPr>
          <w:b/>
          <w:bCs/>
          <w:sz w:val="22"/>
          <w:szCs w:val="22"/>
          <w:lang w:val="sr-Latn-ME"/>
        </w:rPr>
      </w:pPr>
    </w:p>
    <w:p w14:paraId="45FAD537" w14:textId="32CAE4EC" w:rsidR="00784247" w:rsidRPr="00853B61" w:rsidRDefault="00784247" w:rsidP="004B1590">
      <w:pPr>
        <w:tabs>
          <w:tab w:val="left" w:pos="540"/>
          <w:tab w:val="left" w:pos="569"/>
        </w:tabs>
        <w:jc w:val="both"/>
        <w:rPr>
          <w:sz w:val="22"/>
          <w:szCs w:val="22"/>
          <w:lang w:val="sr-Latn-ME"/>
        </w:rPr>
      </w:pPr>
      <w:r w:rsidRPr="00853B61">
        <w:rPr>
          <w:sz w:val="22"/>
          <w:szCs w:val="22"/>
          <w:u w:val="single"/>
          <w:lang w:val="sr-Latn-ME"/>
        </w:rPr>
        <w:t>Sažetak bezb</w:t>
      </w:r>
      <w:r w:rsidR="00180A70" w:rsidRPr="00853B61">
        <w:rPr>
          <w:sz w:val="22"/>
          <w:szCs w:val="22"/>
          <w:u w:val="single"/>
          <w:lang w:val="sr-Latn-ME"/>
        </w:rPr>
        <w:t>j</w:t>
      </w:r>
      <w:r w:rsidRPr="00853B61">
        <w:rPr>
          <w:sz w:val="22"/>
          <w:szCs w:val="22"/>
          <w:u w:val="single"/>
          <w:lang w:val="sr-Latn-ME"/>
        </w:rPr>
        <w:t>ednosnog profila</w:t>
      </w:r>
    </w:p>
    <w:p w14:paraId="42D282C9" w14:textId="77777777" w:rsidR="00784247" w:rsidRPr="00853B61" w:rsidRDefault="00784247" w:rsidP="004B1590">
      <w:pPr>
        <w:tabs>
          <w:tab w:val="left" w:pos="540"/>
          <w:tab w:val="left" w:pos="569"/>
        </w:tabs>
        <w:jc w:val="both"/>
        <w:rPr>
          <w:sz w:val="22"/>
          <w:szCs w:val="22"/>
          <w:lang w:val="sr-Latn-ME"/>
        </w:rPr>
      </w:pPr>
    </w:p>
    <w:p w14:paraId="20F030C3" w14:textId="22BB0AEF" w:rsidR="00784247" w:rsidRPr="00853B61" w:rsidRDefault="00784247" w:rsidP="004B1590">
      <w:pPr>
        <w:tabs>
          <w:tab w:val="left" w:pos="540"/>
          <w:tab w:val="left" w:pos="569"/>
        </w:tabs>
        <w:jc w:val="both"/>
        <w:rPr>
          <w:sz w:val="22"/>
          <w:szCs w:val="22"/>
          <w:lang w:val="sr-Latn-ME"/>
        </w:rPr>
      </w:pPr>
      <w:r w:rsidRPr="00853B61">
        <w:rPr>
          <w:sz w:val="22"/>
          <w:szCs w:val="22"/>
          <w:lang w:val="sr-Latn-ME"/>
        </w:rPr>
        <w:t>Najčešće neželjene reakcije su pireksija (2</w:t>
      </w:r>
      <w:r w:rsidR="004B1590" w:rsidRPr="00853B61">
        <w:rPr>
          <w:sz w:val="22"/>
          <w:szCs w:val="22"/>
          <w:lang w:val="sr-Latn-ME"/>
        </w:rPr>
        <w:t>8</w:t>
      </w:r>
      <w:r w:rsidRPr="00853B61">
        <w:rPr>
          <w:sz w:val="22"/>
          <w:szCs w:val="22"/>
          <w:lang w:val="sr-Latn-ME"/>
        </w:rPr>
        <w:t>,</w:t>
      </w:r>
      <w:r w:rsidR="004B1590" w:rsidRPr="00853B61">
        <w:rPr>
          <w:sz w:val="22"/>
          <w:szCs w:val="22"/>
          <w:lang w:val="sr-Latn-ME"/>
        </w:rPr>
        <w:t>1</w:t>
      </w:r>
      <w:r w:rsidRPr="00853B61">
        <w:rPr>
          <w:sz w:val="22"/>
          <w:szCs w:val="22"/>
          <w:lang w:val="sr-Latn-ME"/>
        </w:rPr>
        <w:t>%), glavobolja (</w:t>
      </w:r>
      <w:r w:rsidR="004B1590" w:rsidRPr="00853B61">
        <w:rPr>
          <w:sz w:val="22"/>
          <w:szCs w:val="22"/>
          <w:lang w:val="sr-Latn-ME"/>
        </w:rPr>
        <w:t>25</w:t>
      </w:r>
      <w:r w:rsidRPr="00853B61">
        <w:rPr>
          <w:sz w:val="22"/>
          <w:szCs w:val="22"/>
          <w:lang w:val="sr-Latn-ME"/>
        </w:rPr>
        <w:t>%), povišeni enzimi jetre (11,5%).</w:t>
      </w:r>
    </w:p>
    <w:p w14:paraId="398B7737" w14:textId="77777777" w:rsidR="00784247" w:rsidRPr="00853B61" w:rsidRDefault="00784247" w:rsidP="004B1590">
      <w:pPr>
        <w:tabs>
          <w:tab w:val="left" w:pos="540"/>
          <w:tab w:val="left" w:pos="569"/>
        </w:tabs>
        <w:jc w:val="both"/>
        <w:rPr>
          <w:sz w:val="22"/>
          <w:szCs w:val="22"/>
          <w:lang w:val="sr-Latn-ME"/>
        </w:rPr>
      </w:pPr>
    </w:p>
    <w:p w14:paraId="366952AC" w14:textId="77777777" w:rsidR="00784247" w:rsidRPr="00853B61" w:rsidRDefault="00784247" w:rsidP="004B1590">
      <w:pPr>
        <w:tabs>
          <w:tab w:val="left" w:pos="540"/>
          <w:tab w:val="left" w:pos="569"/>
        </w:tabs>
        <w:jc w:val="both"/>
        <w:rPr>
          <w:sz w:val="22"/>
          <w:szCs w:val="22"/>
          <w:lang w:val="sr-Latn-ME"/>
        </w:rPr>
      </w:pPr>
      <w:r w:rsidRPr="00853B61">
        <w:rPr>
          <w:sz w:val="22"/>
          <w:szCs w:val="22"/>
          <w:u w:val="single"/>
          <w:lang w:val="sr-Latn-ME"/>
        </w:rPr>
        <w:t>Tabelarni prikaz neželjenih reakcija</w:t>
      </w:r>
    </w:p>
    <w:p w14:paraId="01955439" w14:textId="77777777" w:rsidR="00784247" w:rsidRPr="00853B61" w:rsidRDefault="00784247" w:rsidP="004B1590">
      <w:pPr>
        <w:tabs>
          <w:tab w:val="left" w:pos="540"/>
          <w:tab w:val="left" w:pos="569"/>
        </w:tabs>
        <w:jc w:val="both"/>
        <w:rPr>
          <w:sz w:val="22"/>
          <w:szCs w:val="22"/>
          <w:lang w:val="sr-Latn-ME"/>
        </w:rPr>
      </w:pPr>
    </w:p>
    <w:p w14:paraId="58CCC9F9" w14:textId="2BE8D24C" w:rsidR="00784247" w:rsidRPr="00853B61" w:rsidRDefault="00784247" w:rsidP="004B1590">
      <w:pPr>
        <w:tabs>
          <w:tab w:val="left" w:pos="540"/>
          <w:tab w:val="left" w:pos="569"/>
        </w:tabs>
        <w:jc w:val="both"/>
        <w:rPr>
          <w:sz w:val="22"/>
          <w:szCs w:val="22"/>
          <w:lang w:val="sr-Latn-ME"/>
        </w:rPr>
      </w:pPr>
      <w:r w:rsidRPr="00853B61">
        <w:rPr>
          <w:sz w:val="22"/>
          <w:szCs w:val="22"/>
          <w:lang w:val="sr-Latn-ME"/>
        </w:rPr>
        <w:t>Tabela 1 sadrži neželjene reakcije zab</w:t>
      </w:r>
      <w:r w:rsidR="00180A70" w:rsidRPr="00853B61">
        <w:rPr>
          <w:sz w:val="22"/>
          <w:szCs w:val="22"/>
          <w:lang w:val="sr-Latn-ME"/>
        </w:rPr>
        <w:t>ilj</w:t>
      </w:r>
      <w:r w:rsidRPr="00853B61">
        <w:rPr>
          <w:sz w:val="22"/>
          <w:szCs w:val="22"/>
          <w:lang w:val="sr-Latn-ME"/>
        </w:rPr>
        <w:t>ežene u kliničkim ispitivanjima s danikopanom. Neželjene reakcije su navedene po klasi sistema organa i poželjnom terminu prim</w:t>
      </w:r>
      <w:r w:rsidR="00180A70" w:rsidRPr="00853B61">
        <w:rPr>
          <w:sz w:val="22"/>
          <w:szCs w:val="22"/>
          <w:lang w:val="sr-Latn-ME"/>
        </w:rPr>
        <w:t>j</w:t>
      </w:r>
      <w:r w:rsidRPr="00853B61">
        <w:rPr>
          <w:sz w:val="22"/>
          <w:szCs w:val="22"/>
          <w:lang w:val="sr-Latn-ME"/>
        </w:rPr>
        <w:t>enom MedDRA konvencije učestalosti kao veoma česte (≥ 1/10); česte (≥ 1/100 do &lt; 1/10) i povremene (≥ 1/1 000 do &lt; 1/100). U svakoj grupi učestalosti, neželjene reakcije predstavljene su po opadajućoj ozbiljnosti.</w:t>
      </w:r>
    </w:p>
    <w:p w14:paraId="436D494C" w14:textId="77777777" w:rsidR="00784247" w:rsidRPr="00853B61" w:rsidRDefault="00784247" w:rsidP="004B1590">
      <w:pPr>
        <w:tabs>
          <w:tab w:val="left" w:pos="540"/>
          <w:tab w:val="left" w:pos="569"/>
        </w:tabs>
        <w:jc w:val="both"/>
        <w:rPr>
          <w:sz w:val="22"/>
          <w:szCs w:val="22"/>
          <w:lang w:val="sr-Latn-ME"/>
        </w:rPr>
      </w:pPr>
    </w:p>
    <w:p w14:paraId="52A1C6DE" w14:textId="77777777" w:rsidR="00784247" w:rsidRPr="00853B61" w:rsidRDefault="00784247" w:rsidP="004B1590">
      <w:pPr>
        <w:tabs>
          <w:tab w:val="left" w:pos="540"/>
          <w:tab w:val="left" w:pos="569"/>
        </w:tabs>
        <w:jc w:val="both"/>
        <w:rPr>
          <w:b/>
          <w:bCs/>
          <w:sz w:val="22"/>
          <w:szCs w:val="22"/>
          <w:lang w:val="sr-Latn-ME"/>
        </w:rPr>
      </w:pPr>
      <w:r w:rsidRPr="00853B61">
        <w:rPr>
          <w:b/>
          <w:bCs/>
          <w:sz w:val="22"/>
          <w:szCs w:val="22"/>
          <w:lang w:val="sr-Latn-ME"/>
        </w:rPr>
        <w:t>Tabela 1: Tabelarni prikaz neželjenih reakcija</w:t>
      </w:r>
    </w:p>
    <w:p w14:paraId="23571FD2" w14:textId="77777777" w:rsidR="00784247" w:rsidRPr="00853B61" w:rsidRDefault="00784247" w:rsidP="004B1590">
      <w:pPr>
        <w:tabs>
          <w:tab w:val="left" w:pos="540"/>
          <w:tab w:val="left" w:pos="569"/>
        </w:tabs>
        <w:jc w:val="both"/>
        <w:rPr>
          <w:b/>
          <w:sz w:val="22"/>
          <w:szCs w:val="22"/>
          <w:lang w:val="sr-Latn-ME"/>
        </w:rPr>
      </w:pPr>
    </w:p>
    <w:tbl>
      <w:tblPr>
        <w:tblW w:w="0" w:type="auto"/>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2833"/>
        <w:gridCol w:w="2832"/>
      </w:tblGrid>
      <w:tr w:rsidR="00784247" w:rsidRPr="00853B61" w14:paraId="3323BE98" w14:textId="77777777" w:rsidTr="003F3121">
        <w:trPr>
          <w:trHeight w:val="505"/>
        </w:trPr>
        <w:tc>
          <w:tcPr>
            <w:tcW w:w="3399" w:type="dxa"/>
          </w:tcPr>
          <w:p w14:paraId="606C87B7" w14:textId="77777777" w:rsidR="00784247" w:rsidRPr="00853B61" w:rsidRDefault="00784247" w:rsidP="004B1590">
            <w:pPr>
              <w:tabs>
                <w:tab w:val="left" w:pos="540"/>
                <w:tab w:val="left" w:pos="569"/>
              </w:tabs>
              <w:jc w:val="both"/>
              <w:rPr>
                <w:b/>
                <w:sz w:val="22"/>
                <w:szCs w:val="22"/>
                <w:lang w:val="sr-Latn-ME"/>
              </w:rPr>
            </w:pPr>
            <w:r w:rsidRPr="00853B61">
              <w:rPr>
                <w:b/>
                <w:bCs/>
                <w:sz w:val="22"/>
                <w:szCs w:val="22"/>
                <w:lang w:val="sr-Latn-ME"/>
              </w:rPr>
              <w:t>Klasa sistema organa MedDRA</w:t>
            </w:r>
          </w:p>
        </w:tc>
        <w:tc>
          <w:tcPr>
            <w:tcW w:w="2833" w:type="dxa"/>
          </w:tcPr>
          <w:p w14:paraId="3E9F5BCF"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Veoma česta (≥ 1/10)</w:t>
            </w:r>
          </w:p>
        </w:tc>
        <w:tc>
          <w:tcPr>
            <w:tcW w:w="2832" w:type="dxa"/>
          </w:tcPr>
          <w:p w14:paraId="0291F65C"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Česta</w:t>
            </w:r>
          </w:p>
          <w:p w14:paraId="34A4D8F3" w14:textId="19466816"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w:t>
            </w:r>
            <w:r w:rsidR="00A52274" w:rsidRPr="00853B61">
              <w:rPr>
                <w:b/>
                <w:bCs/>
                <w:sz w:val="22"/>
                <w:szCs w:val="22"/>
                <w:lang w:val="sr-Latn-ME"/>
              </w:rPr>
              <w:t xml:space="preserve"> </w:t>
            </w:r>
            <w:r w:rsidRPr="00853B61">
              <w:rPr>
                <w:b/>
                <w:bCs/>
                <w:sz w:val="22"/>
                <w:szCs w:val="22"/>
                <w:lang w:val="sr-Latn-ME"/>
              </w:rPr>
              <w:t>1/100 do &lt;</w:t>
            </w:r>
            <w:r w:rsidR="00A52274" w:rsidRPr="00853B61">
              <w:rPr>
                <w:b/>
                <w:bCs/>
                <w:sz w:val="22"/>
                <w:szCs w:val="22"/>
                <w:lang w:val="sr-Latn-ME"/>
              </w:rPr>
              <w:t xml:space="preserve"> </w:t>
            </w:r>
            <w:r w:rsidRPr="00853B61">
              <w:rPr>
                <w:b/>
                <w:bCs/>
                <w:sz w:val="22"/>
                <w:szCs w:val="22"/>
                <w:lang w:val="sr-Latn-ME"/>
              </w:rPr>
              <w:t>1/10)</w:t>
            </w:r>
          </w:p>
        </w:tc>
      </w:tr>
      <w:tr w:rsidR="00784247" w:rsidRPr="00853B61" w14:paraId="7333C67C" w14:textId="77777777" w:rsidTr="003F3121">
        <w:trPr>
          <w:trHeight w:val="395"/>
        </w:trPr>
        <w:tc>
          <w:tcPr>
            <w:tcW w:w="3399" w:type="dxa"/>
          </w:tcPr>
          <w:p w14:paraId="7D538F4D"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Poremećaji nervnog sistema</w:t>
            </w:r>
          </w:p>
        </w:tc>
        <w:tc>
          <w:tcPr>
            <w:tcW w:w="2833" w:type="dxa"/>
          </w:tcPr>
          <w:p w14:paraId="09AD851F" w14:textId="77777777" w:rsidR="00784247" w:rsidRPr="00853B61" w:rsidRDefault="00784247" w:rsidP="00AA0834">
            <w:pPr>
              <w:tabs>
                <w:tab w:val="left" w:pos="540"/>
                <w:tab w:val="left" w:pos="569"/>
              </w:tabs>
              <w:jc w:val="center"/>
              <w:rPr>
                <w:sz w:val="22"/>
                <w:szCs w:val="22"/>
                <w:lang w:val="sr-Latn-ME"/>
              </w:rPr>
            </w:pPr>
            <w:r w:rsidRPr="00853B61">
              <w:rPr>
                <w:sz w:val="22"/>
                <w:szCs w:val="22"/>
                <w:lang w:val="sr-Latn-ME"/>
              </w:rPr>
              <w:t>Glavobolja</w:t>
            </w:r>
          </w:p>
        </w:tc>
        <w:tc>
          <w:tcPr>
            <w:tcW w:w="2832" w:type="dxa"/>
          </w:tcPr>
          <w:p w14:paraId="60D8AB62" w14:textId="77777777" w:rsidR="00784247" w:rsidRPr="00853B61" w:rsidRDefault="00784247" w:rsidP="00AA0834">
            <w:pPr>
              <w:tabs>
                <w:tab w:val="left" w:pos="540"/>
                <w:tab w:val="left" w:pos="569"/>
              </w:tabs>
              <w:jc w:val="center"/>
              <w:rPr>
                <w:sz w:val="22"/>
                <w:szCs w:val="22"/>
                <w:lang w:val="sr-Latn-ME"/>
              </w:rPr>
            </w:pPr>
          </w:p>
        </w:tc>
      </w:tr>
      <w:tr w:rsidR="00784247" w:rsidRPr="00853B61" w14:paraId="251E0ED0" w14:textId="77777777" w:rsidTr="003F3121">
        <w:trPr>
          <w:trHeight w:val="398"/>
        </w:trPr>
        <w:tc>
          <w:tcPr>
            <w:tcW w:w="3399" w:type="dxa"/>
          </w:tcPr>
          <w:p w14:paraId="245274DD"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Vaskularni poremećaji</w:t>
            </w:r>
          </w:p>
        </w:tc>
        <w:tc>
          <w:tcPr>
            <w:tcW w:w="2833" w:type="dxa"/>
          </w:tcPr>
          <w:p w14:paraId="0A5A18D5" w14:textId="77777777" w:rsidR="00784247" w:rsidRPr="00853B61" w:rsidRDefault="00784247" w:rsidP="00AA0834">
            <w:pPr>
              <w:tabs>
                <w:tab w:val="left" w:pos="540"/>
                <w:tab w:val="left" w:pos="569"/>
              </w:tabs>
              <w:jc w:val="center"/>
              <w:rPr>
                <w:sz w:val="22"/>
                <w:szCs w:val="22"/>
                <w:lang w:val="sr-Latn-ME"/>
              </w:rPr>
            </w:pPr>
          </w:p>
        </w:tc>
        <w:tc>
          <w:tcPr>
            <w:tcW w:w="2832" w:type="dxa"/>
          </w:tcPr>
          <w:p w14:paraId="3D774EFD" w14:textId="77777777" w:rsidR="00784247" w:rsidRPr="00853B61" w:rsidRDefault="00784247" w:rsidP="00AA0834">
            <w:pPr>
              <w:tabs>
                <w:tab w:val="left" w:pos="540"/>
                <w:tab w:val="left" w:pos="569"/>
              </w:tabs>
              <w:jc w:val="center"/>
              <w:rPr>
                <w:sz w:val="22"/>
                <w:szCs w:val="22"/>
                <w:lang w:val="sr-Latn-ME"/>
              </w:rPr>
            </w:pPr>
            <w:r w:rsidRPr="00853B61">
              <w:rPr>
                <w:sz w:val="22"/>
                <w:szCs w:val="22"/>
                <w:lang w:val="sr-Latn-ME"/>
              </w:rPr>
              <w:t>Hipertenzija</w:t>
            </w:r>
          </w:p>
        </w:tc>
      </w:tr>
      <w:tr w:rsidR="00784247" w:rsidRPr="00853B61" w14:paraId="5A88C093" w14:textId="77777777" w:rsidTr="003F3121">
        <w:trPr>
          <w:trHeight w:val="395"/>
        </w:trPr>
        <w:tc>
          <w:tcPr>
            <w:tcW w:w="3399" w:type="dxa"/>
          </w:tcPr>
          <w:p w14:paraId="0D2AFF4F"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Gastrointestinalni poremećaji</w:t>
            </w:r>
          </w:p>
        </w:tc>
        <w:tc>
          <w:tcPr>
            <w:tcW w:w="2833" w:type="dxa"/>
          </w:tcPr>
          <w:p w14:paraId="45912096" w14:textId="77777777" w:rsidR="00784247" w:rsidRPr="00853B61" w:rsidRDefault="00784247" w:rsidP="00AA0834">
            <w:pPr>
              <w:tabs>
                <w:tab w:val="left" w:pos="540"/>
                <w:tab w:val="left" w:pos="569"/>
              </w:tabs>
              <w:jc w:val="center"/>
              <w:rPr>
                <w:sz w:val="22"/>
                <w:szCs w:val="22"/>
                <w:lang w:val="sr-Latn-ME"/>
              </w:rPr>
            </w:pPr>
          </w:p>
        </w:tc>
        <w:tc>
          <w:tcPr>
            <w:tcW w:w="2832" w:type="dxa"/>
          </w:tcPr>
          <w:p w14:paraId="6B9BFEBE" w14:textId="77777777" w:rsidR="00784247" w:rsidRPr="00853B61" w:rsidRDefault="00784247" w:rsidP="00AA0834">
            <w:pPr>
              <w:tabs>
                <w:tab w:val="left" w:pos="540"/>
                <w:tab w:val="left" w:pos="569"/>
              </w:tabs>
              <w:jc w:val="center"/>
              <w:rPr>
                <w:sz w:val="22"/>
                <w:szCs w:val="22"/>
                <w:lang w:val="sr-Latn-ME"/>
              </w:rPr>
            </w:pPr>
            <w:r w:rsidRPr="00853B61">
              <w:rPr>
                <w:sz w:val="22"/>
                <w:szCs w:val="22"/>
                <w:lang w:val="sr-Latn-ME"/>
              </w:rPr>
              <w:t>Povraćanje</w:t>
            </w:r>
          </w:p>
        </w:tc>
      </w:tr>
      <w:tr w:rsidR="00784247" w:rsidRPr="00853B61" w14:paraId="7DC437F7" w14:textId="77777777" w:rsidTr="003F3121">
        <w:trPr>
          <w:trHeight w:val="398"/>
        </w:trPr>
        <w:tc>
          <w:tcPr>
            <w:tcW w:w="3399" w:type="dxa"/>
          </w:tcPr>
          <w:p w14:paraId="4B50A37D"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Hepatobilijarni poremećaji</w:t>
            </w:r>
          </w:p>
        </w:tc>
        <w:tc>
          <w:tcPr>
            <w:tcW w:w="2833" w:type="dxa"/>
          </w:tcPr>
          <w:p w14:paraId="6F9CD550" w14:textId="77777777" w:rsidR="00784247" w:rsidRPr="00853B61" w:rsidRDefault="00784247" w:rsidP="00AA0834">
            <w:pPr>
              <w:tabs>
                <w:tab w:val="left" w:pos="540"/>
                <w:tab w:val="left" w:pos="569"/>
              </w:tabs>
              <w:jc w:val="center"/>
              <w:rPr>
                <w:sz w:val="22"/>
                <w:szCs w:val="22"/>
                <w:lang w:val="sr-Latn-ME"/>
              </w:rPr>
            </w:pPr>
            <w:r w:rsidRPr="00853B61">
              <w:rPr>
                <w:sz w:val="22"/>
                <w:szCs w:val="22"/>
                <w:lang w:val="sr-Latn-ME"/>
              </w:rPr>
              <w:t>Povišeni enzimi jetre</w:t>
            </w:r>
            <w:r w:rsidRPr="00853B61">
              <w:rPr>
                <w:sz w:val="22"/>
                <w:szCs w:val="22"/>
                <w:vertAlign w:val="superscript"/>
                <w:lang w:val="sr-Latn-ME"/>
              </w:rPr>
              <w:t>a</w:t>
            </w:r>
          </w:p>
        </w:tc>
        <w:tc>
          <w:tcPr>
            <w:tcW w:w="2832" w:type="dxa"/>
          </w:tcPr>
          <w:p w14:paraId="6EB05545" w14:textId="77777777" w:rsidR="00784247" w:rsidRPr="00853B61" w:rsidRDefault="00784247" w:rsidP="00AA0834">
            <w:pPr>
              <w:tabs>
                <w:tab w:val="left" w:pos="540"/>
                <w:tab w:val="left" w:pos="569"/>
              </w:tabs>
              <w:jc w:val="center"/>
              <w:rPr>
                <w:sz w:val="22"/>
                <w:szCs w:val="22"/>
                <w:lang w:val="sr-Latn-ME"/>
              </w:rPr>
            </w:pPr>
          </w:p>
        </w:tc>
      </w:tr>
      <w:tr w:rsidR="00784247" w:rsidRPr="00853B61" w14:paraId="3A5C3E85" w14:textId="77777777" w:rsidTr="003F3121">
        <w:trPr>
          <w:trHeight w:val="506"/>
        </w:trPr>
        <w:tc>
          <w:tcPr>
            <w:tcW w:w="3399" w:type="dxa"/>
          </w:tcPr>
          <w:p w14:paraId="6BA40154"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Poremećaji mišićno-koštanog sistema i vezivnog tkiva</w:t>
            </w:r>
          </w:p>
        </w:tc>
        <w:tc>
          <w:tcPr>
            <w:tcW w:w="2833" w:type="dxa"/>
          </w:tcPr>
          <w:p w14:paraId="0DD3E470" w14:textId="3A0E1C67" w:rsidR="00784247" w:rsidRPr="00853B61" w:rsidRDefault="00784247" w:rsidP="00AA0834">
            <w:pPr>
              <w:tabs>
                <w:tab w:val="left" w:pos="540"/>
                <w:tab w:val="left" w:pos="569"/>
              </w:tabs>
              <w:jc w:val="center"/>
              <w:rPr>
                <w:sz w:val="22"/>
                <w:szCs w:val="22"/>
                <w:lang w:val="sr-Latn-ME"/>
              </w:rPr>
            </w:pPr>
          </w:p>
        </w:tc>
        <w:tc>
          <w:tcPr>
            <w:tcW w:w="2832" w:type="dxa"/>
          </w:tcPr>
          <w:p w14:paraId="14EF45FA" w14:textId="4A647209" w:rsidR="00784247" w:rsidRPr="00853B61" w:rsidRDefault="004B1590" w:rsidP="00AA0834">
            <w:pPr>
              <w:tabs>
                <w:tab w:val="left" w:pos="540"/>
                <w:tab w:val="left" w:pos="569"/>
              </w:tabs>
              <w:jc w:val="center"/>
              <w:rPr>
                <w:sz w:val="22"/>
                <w:szCs w:val="22"/>
                <w:lang w:val="sr-Latn-ME"/>
              </w:rPr>
            </w:pPr>
            <w:r w:rsidRPr="00853B61">
              <w:rPr>
                <w:sz w:val="22"/>
                <w:szCs w:val="22"/>
                <w:lang w:val="sr-Latn-ME"/>
              </w:rPr>
              <w:t>Bolovi u ekstremitetima</w:t>
            </w:r>
          </w:p>
        </w:tc>
      </w:tr>
      <w:tr w:rsidR="00784247" w:rsidRPr="00853B61" w14:paraId="6322C736" w14:textId="77777777" w:rsidTr="003F3121">
        <w:trPr>
          <w:trHeight w:val="503"/>
        </w:trPr>
        <w:tc>
          <w:tcPr>
            <w:tcW w:w="3399" w:type="dxa"/>
          </w:tcPr>
          <w:p w14:paraId="7FD73EB7"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Opšti poremećaji i</w:t>
            </w:r>
          </w:p>
          <w:p w14:paraId="7F8E00D7" w14:textId="144A558D" w:rsidR="00784247" w:rsidRPr="00853B61" w:rsidRDefault="00784247" w:rsidP="004B1590">
            <w:pPr>
              <w:tabs>
                <w:tab w:val="left" w:pos="540"/>
                <w:tab w:val="left" w:pos="569"/>
              </w:tabs>
              <w:jc w:val="both"/>
              <w:rPr>
                <w:sz w:val="22"/>
                <w:szCs w:val="22"/>
                <w:lang w:val="sr-Latn-ME"/>
              </w:rPr>
            </w:pPr>
            <w:r w:rsidRPr="00853B61">
              <w:rPr>
                <w:sz w:val="22"/>
                <w:szCs w:val="22"/>
                <w:lang w:val="sr-Latn-ME"/>
              </w:rPr>
              <w:t>stanja na m</w:t>
            </w:r>
            <w:r w:rsidR="00180A70" w:rsidRPr="00853B61">
              <w:rPr>
                <w:sz w:val="22"/>
                <w:szCs w:val="22"/>
                <w:lang w:val="sr-Latn-ME"/>
              </w:rPr>
              <w:t>j</w:t>
            </w:r>
            <w:r w:rsidRPr="00853B61">
              <w:rPr>
                <w:sz w:val="22"/>
                <w:szCs w:val="22"/>
                <w:lang w:val="sr-Latn-ME"/>
              </w:rPr>
              <w:t>estu prim</w:t>
            </w:r>
            <w:r w:rsidR="00180A70" w:rsidRPr="00853B61">
              <w:rPr>
                <w:sz w:val="22"/>
                <w:szCs w:val="22"/>
                <w:lang w:val="sr-Latn-ME"/>
              </w:rPr>
              <w:t>j</w:t>
            </w:r>
            <w:r w:rsidRPr="00853B61">
              <w:rPr>
                <w:sz w:val="22"/>
                <w:szCs w:val="22"/>
                <w:lang w:val="sr-Latn-ME"/>
              </w:rPr>
              <w:t>ene</w:t>
            </w:r>
          </w:p>
        </w:tc>
        <w:tc>
          <w:tcPr>
            <w:tcW w:w="2833" w:type="dxa"/>
          </w:tcPr>
          <w:p w14:paraId="05C33CCF" w14:textId="77777777" w:rsidR="00784247" w:rsidRPr="00853B61" w:rsidRDefault="00784247" w:rsidP="00AA0834">
            <w:pPr>
              <w:tabs>
                <w:tab w:val="left" w:pos="540"/>
                <w:tab w:val="left" w:pos="569"/>
              </w:tabs>
              <w:jc w:val="center"/>
              <w:rPr>
                <w:sz w:val="22"/>
                <w:szCs w:val="22"/>
                <w:lang w:val="sr-Latn-ME"/>
              </w:rPr>
            </w:pPr>
            <w:r w:rsidRPr="00853B61">
              <w:rPr>
                <w:sz w:val="22"/>
                <w:szCs w:val="22"/>
                <w:lang w:val="sr-Latn-ME"/>
              </w:rPr>
              <w:t>Pireksija</w:t>
            </w:r>
          </w:p>
        </w:tc>
        <w:tc>
          <w:tcPr>
            <w:tcW w:w="2832" w:type="dxa"/>
          </w:tcPr>
          <w:p w14:paraId="2E0078B0" w14:textId="77777777" w:rsidR="00784247" w:rsidRPr="00853B61" w:rsidRDefault="00784247" w:rsidP="00AA0834">
            <w:pPr>
              <w:tabs>
                <w:tab w:val="left" w:pos="540"/>
                <w:tab w:val="left" w:pos="569"/>
              </w:tabs>
              <w:jc w:val="center"/>
              <w:rPr>
                <w:sz w:val="22"/>
                <w:szCs w:val="22"/>
                <w:lang w:val="sr-Latn-ME"/>
              </w:rPr>
            </w:pPr>
          </w:p>
        </w:tc>
      </w:tr>
    </w:tbl>
    <w:p w14:paraId="48414333" w14:textId="77777777" w:rsidR="00784247" w:rsidRPr="00853B61" w:rsidRDefault="00784247" w:rsidP="004B1590">
      <w:pPr>
        <w:tabs>
          <w:tab w:val="left" w:pos="540"/>
          <w:tab w:val="left" w:pos="569"/>
        </w:tabs>
        <w:jc w:val="both"/>
        <w:rPr>
          <w:sz w:val="22"/>
          <w:szCs w:val="22"/>
          <w:lang w:val="sr-Latn-ME"/>
        </w:rPr>
      </w:pPr>
      <w:r w:rsidRPr="00853B61">
        <w:rPr>
          <w:sz w:val="22"/>
          <w:szCs w:val="22"/>
          <w:vertAlign w:val="superscript"/>
          <w:lang w:val="sr-Latn-ME"/>
        </w:rPr>
        <w:t>a</w:t>
      </w:r>
      <w:r w:rsidRPr="00853B61">
        <w:rPr>
          <w:sz w:val="22"/>
          <w:szCs w:val="22"/>
          <w:lang w:val="sr-Latn-ME"/>
        </w:rPr>
        <w:t xml:space="preserve"> Povišeni enzimi jetre uključuju poželjne termine povišene alanin aminotransferaze, povišen nivo aspartat aminotransferaze, abnormalnu funkciju jetre, povišen nivo enzima jetre i povišen nivo transaminaza.</w:t>
      </w:r>
    </w:p>
    <w:p w14:paraId="17596A54" w14:textId="77777777" w:rsidR="00784247" w:rsidRPr="00853B61" w:rsidRDefault="00784247" w:rsidP="004B1590">
      <w:pPr>
        <w:tabs>
          <w:tab w:val="left" w:pos="540"/>
          <w:tab w:val="left" w:pos="569"/>
        </w:tabs>
        <w:jc w:val="both"/>
        <w:rPr>
          <w:sz w:val="22"/>
          <w:szCs w:val="22"/>
          <w:lang w:val="sr-Latn-ME"/>
        </w:rPr>
      </w:pPr>
    </w:p>
    <w:p w14:paraId="0ABBDA8A" w14:textId="77777777" w:rsidR="00784247" w:rsidRPr="00853B61" w:rsidRDefault="00784247" w:rsidP="004B1590">
      <w:pPr>
        <w:tabs>
          <w:tab w:val="left" w:pos="540"/>
          <w:tab w:val="left" w:pos="569"/>
        </w:tabs>
        <w:jc w:val="both"/>
        <w:rPr>
          <w:sz w:val="22"/>
          <w:szCs w:val="22"/>
          <w:lang w:val="sr-Latn-ME"/>
        </w:rPr>
      </w:pPr>
      <w:r w:rsidRPr="00853B61">
        <w:rPr>
          <w:sz w:val="22"/>
          <w:szCs w:val="22"/>
          <w:u w:val="single"/>
          <w:lang w:val="sr-Latn-ME"/>
        </w:rPr>
        <w:t>Opis izabranih neželjenih reakcija</w:t>
      </w:r>
    </w:p>
    <w:p w14:paraId="63BB9FE5" w14:textId="77777777" w:rsidR="00784247" w:rsidRPr="00853B61" w:rsidRDefault="00784247" w:rsidP="004B1590">
      <w:pPr>
        <w:tabs>
          <w:tab w:val="left" w:pos="540"/>
          <w:tab w:val="left" w:pos="569"/>
        </w:tabs>
        <w:jc w:val="both"/>
        <w:rPr>
          <w:sz w:val="22"/>
          <w:szCs w:val="22"/>
          <w:lang w:val="sr-Latn-ME"/>
        </w:rPr>
      </w:pPr>
    </w:p>
    <w:p w14:paraId="2FF20423" w14:textId="77777777" w:rsidR="00784247" w:rsidRPr="00853B61" w:rsidRDefault="00784247" w:rsidP="004B1590">
      <w:pPr>
        <w:tabs>
          <w:tab w:val="left" w:pos="540"/>
          <w:tab w:val="left" w:pos="569"/>
        </w:tabs>
        <w:jc w:val="both"/>
        <w:rPr>
          <w:i/>
          <w:sz w:val="22"/>
          <w:szCs w:val="22"/>
          <w:lang w:val="sr-Latn-ME"/>
        </w:rPr>
      </w:pPr>
      <w:r w:rsidRPr="00853B61">
        <w:rPr>
          <w:i/>
          <w:iCs/>
          <w:sz w:val="22"/>
          <w:szCs w:val="22"/>
          <w:lang w:val="sr-Latn-ME"/>
        </w:rPr>
        <w:t>Povišenje enzima jetre</w:t>
      </w:r>
    </w:p>
    <w:p w14:paraId="7295746D" w14:textId="391CDE90" w:rsidR="00784247" w:rsidRPr="00853B61" w:rsidRDefault="00784247" w:rsidP="004B1590">
      <w:pPr>
        <w:tabs>
          <w:tab w:val="left" w:pos="540"/>
          <w:tab w:val="left" w:pos="569"/>
        </w:tabs>
        <w:jc w:val="both"/>
        <w:rPr>
          <w:sz w:val="22"/>
          <w:szCs w:val="22"/>
          <w:lang w:val="sr-Latn-ME"/>
        </w:rPr>
      </w:pPr>
      <w:r w:rsidRPr="00853B61">
        <w:rPr>
          <w:sz w:val="22"/>
          <w:szCs w:val="22"/>
          <w:lang w:val="sr-Latn-ME"/>
        </w:rPr>
        <w:t>Tokom perioda randomizovane kontrolisane studije ALXN2040-PNH-301 od 12 ned</w:t>
      </w:r>
      <w:r w:rsidR="00180A70" w:rsidRPr="00853B61">
        <w:rPr>
          <w:sz w:val="22"/>
          <w:szCs w:val="22"/>
          <w:lang w:val="sr-Latn-ME"/>
        </w:rPr>
        <w:t>j</w:t>
      </w:r>
      <w:r w:rsidRPr="00853B61">
        <w:rPr>
          <w:sz w:val="22"/>
          <w:szCs w:val="22"/>
          <w:lang w:val="sr-Latn-ME"/>
        </w:rPr>
        <w:t>elja laboratorijske abnormalnosti povezane sa povišenim nivoima ALT uočene su kod 14,0% pacijenata koji su primali danikopan. Kod pacijenata koji su l</w:t>
      </w:r>
      <w:r w:rsidR="00180A70" w:rsidRPr="00853B61">
        <w:rPr>
          <w:sz w:val="22"/>
          <w:szCs w:val="22"/>
          <w:lang w:val="sr-Latn-ME"/>
        </w:rPr>
        <w:t>ij</w:t>
      </w:r>
      <w:r w:rsidRPr="00853B61">
        <w:rPr>
          <w:sz w:val="22"/>
          <w:szCs w:val="22"/>
          <w:lang w:val="sr-Latn-ME"/>
        </w:rPr>
        <w:t>ečeni danikopanom povišeni nivoi ALT &gt; 3 × gornje granice normale (ULN) i ≤ 5 × ULN javili su se kod 8,8% pacijenata, a &gt; 5 × ULN i ≤ 10 × ULN kod 5,3% pacijenata. Svi pacijenti su bili asimptomatski, a sva povišenja su bila prolazna. Do nekih povišenja je došlo u kontekstu hemolize.</w:t>
      </w:r>
    </w:p>
    <w:p w14:paraId="075BA4E4" w14:textId="77777777" w:rsidR="00784247" w:rsidRPr="00853B61" w:rsidRDefault="00784247" w:rsidP="004B1590">
      <w:pPr>
        <w:tabs>
          <w:tab w:val="left" w:pos="540"/>
          <w:tab w:val="left" w:pos="569"/>
        </w:tabs>
        <w:jc w:val="both"/>
        <w:rPr>
          <w:b/>
          <w:bCs/>
          <w:sz w:val="22"/>
          <w:szCs w:val="22"/>
          <w:lang w:val="sr-Latn-ME"/>
        </w:rPr>
      </w:pPr>
    </w:p>
    <w:p w14:paraId="45DDF886" w14:textId="77777777" w:rsidR="005A23D2" w:rsidRPr="00853B61" w:rsidRDefault="005A23D2" w:rsidP="004B1590">
      <w:pPr>
        <w:spacing w:after="200" w:line="276" w:lineRule="auto"/>
        <w:jc w:val="both"/>
        <w:rPr>
          <w:rFonts w:eastAsia="Calibri"/>
          <w:sz w:val="22"/>
          <w:szCs w:val="22"/>
          <w:u w:val="single"/>
          <w:lang w:val="sr-Latn-ME"/>
        </w:rPr>
      </w:pPr>
      <w:r w:rsidRPr="00853B61">
        <w:rPr>
          <w:rFonts w:eastAsia="Calibri"/>
          <w:sz w:val="22"/>
          <w:szCs w:val="22"/>
          <w:u w:val="single"/>
          <w:lang w:val="sr-Latn-ME"/>
        </w:rPr>
        <w:t>Prijavljivanje sumnji na neželjena dejstva</w:t>
      </w:r>
    </w:p>
    <w:p w14:paraId="6F94083D" w14:textId="77777777" w:rsidR="005A23D2" w:rsidRPr="00853B61" w:rsidRDefault="005A23D2" w:rsidP="004B1590">
      <w:pPr>
        <w:spacing w:after="200"/>
        <w:jc w:val="both"/>
        <w:rPr>
          <w:rFonts w:eastAsia="Calibri"/>
          <w:sz w:val="22"/>
          <w:szCs w:val="22"/>
          <w:lang w:val="sr-Latn-ME"/>
        </w:rPr>
      </w:pPr>
      <w:r w:rsidRPr="00853B61">
        <w:rPr>
          <w:rFonts w:eastAsia="Calibri"/>
          <w:sz w:val="22"/>
          <w:szCs w:val="22"/>
          <w:lang w:val="sr-Latn-ME"/>
        </w:rPr>
        <w:t>Prijavljivanje neželjenih dejstava nakon dobijanja dozvole je od velikog značaja jer obezbjeđuje kont</w:t>
      </w:r>
      <w:r w:rsidR="00EA5765" w:rsidRPr="00853B61">
        <w:rPr>
          <w:rFonts w:eastAsia="Calibri"/>
          <w:sz w:val="22"/>
          <w:szCs w:val="22"/>
          <w:lang w:val="sr-Latn-ME"/>
        </w:rPr>
        <w:t>inuirano praćenje odnosa korist</w:t>
      </w:r>
      <w:r w:rsidRPr="00853B61">
        <w:rPr>
          <w:rFonts w:eastAsia="Calibri"/>
          <w:sz w:val="22"/>
          <w:szCs w:val="22"/>
          <w:lang w:val="sr-Latn-ME"/>
        </w:rPr>
        <w:t>/rizik primjene lijeka. Zdravstveni radnici treba da prijave svaku sumnju na neželjeno</w:t>
      </w:r>
      <w:r w:rsidR="009B062A" w:rsidRPr="00853B61">
        <w:rPr>
          <w:rFonts w:eastAsia="Calibri"/>
          <w:sz w:val="22"/>
          <w:szCs w:val="22"/>
          <w:lang w:val="sr-Latn-ME"/>
        </w:rPr>
        <w:t xml:space="preserve"> </w:t>
      </w:r>
      <w:r w:rsidRPr="00853B61">
        <w:rPr>
          <w:rFonts w:eastAsia="Calibri"/>
          <w:sz w:val="22"/>
          <w:szCs w:val="22"/>
          <w:lang w:val="sr-Latn-ME"/>
        </w:rPr>
        <w:t xml:space="preserve">dejstvo ovog lijeka </w:t>
      </w:r>
      <w:r w:rsidR="004E70AD" w:rsidRPr="00853B61">
        <w:rPr>
          <w:rFonts w:eastAsia="Calibri"/>
          <w:sz w:val="22"/>
          <w:szCs w:val="22"/>
          <w:lang w:val="sr-Latn-ME"/>
        </w:rPr>
        <w:t>Institutu</w:t>
      </w:r>
      <w:r w:rsidRPr="00853B61">
        <w:rPr>
          <w:rFonts w:eastAsia="Calibri"/>
          <w:sz w:val="22"/>
          <w:szCs w:val="22"/>
          <w:lang w:val="sr-Latn-ME"/>
        </w:rPr>
        <w:t xml:space="preserve"> za ljekove i medicinska sredstva</w:t>
      </w:r>
      <w:r w:rsidR="004E70AD" w:rsidRPr="00853B61">
        <w:rPr>
          <w:rFonts w:eastAsia="Calibri"/>
          <w:sz w:val="22"/>
          <w:szCs w:val="22"/>
          <w:lang w:val="sr-Latn-ME"/>
        </w:rPr>
        <w:t xml:space="preserve"> </w:t>
      </w:r>
      <w:r w:rsidRPr="00853B61">
        <w:rPr>
          <w:rFonts w:eastAsia="Calibri"/>
          <w:sz w:val="22"/>
          <w:szCs w:val="22"/>
          <w:lang w:val="sr-Latn-ME"/>
        </w:rPr>
        <w:t>(</w:t>
      </w:r>
      <w:r w:rsidR="004E70AD" w:rsidRPr="00853B61">
        <w:rPr>
          <w:rFonts w:eastAsia="Calibri"/>
          <w:sz w:val="22"/>
          <w:szCs w:val="22"/>
          <w:lang w:val="sr-Latn-ME"/>
        </w:rPr>
        <w:t>CInMED</w:t>
      </w:r>
      <w:r w:rsidRPr="00853B61">
        <w:rPr>
          <w:rFonts w:eastAsia="Calibri"/>
          <w:sz w:val="22"/>
          <w:szCs w:val="22"/>
          <w:lang w:val="sr-Latn-ME"/>
        </w:rPr>
        <w:t>):</w:t>
      </w:r>
    </w:p>
    <w:p w14:paraId="1D0D0B04" w14:textId="77777777" w:rsidR="005A23D2" w:rsidRPr="00853B61" w:rsidRDefault="004E70AD" w:rsidP="004B1590">
      <w:pPr>
        <w:pStyle w:val="NoSpacing"/>
        <w:jc w:val="both"/>
        <w:rPr>
          <w:rFonts w:eastAsia="Calibri"/>
          <w:sz w:val="22"/>
          <w:szCs w:val="22"/>
          <w:lang w:val="sr-Latn-ME"/>
        </w:rPr>
      </w:pPr>
      <w:r w:rsidRPr="00853B61">
        <w:rPr>
          <w:rFonts w:eastAsia="Calibri"/>
          <w:sz w:val="22"/>
          <w:szCs w:val="22"/>
          <w:lang w:val="sr-Latn-ME"/>
        </w:rPr>
        <w:t xml:space="preserve">Institut </w:t>
      </w:r>
      <w:r w:rsidR="005A23D2" w:rsidRPr="00853B61">
        <w:rPr>
          <w:rFonts w:eastAsia="Calibri"/>
          <w:sz w:val="22"/>
          <w:szCs w:val="22"/>
          <w:lang w:val="sr-Latn-ME"/>
        </w:rPr>
        <w:t xml:space="preserve">za ljekove i medicinska sredstva </w:t>
      </w:r>
    </w:p>
    <w:p w14:paraId="186C5FDD" w14:textId="77777777" w:rsidR="005A23D2" w:rsidRPr="00853B61" w:rsidRDefault="005A23D2" w:rsidP="004B1590">
      <w:pPr>
        <w:pStyle w:val="NoSpacing"/>
        <w:jc w:val="both"/>
        <w:rPr>
          <w:rFonts w:eastAsia="Calibri"/>
          <w:sz w:val="22"/>
          <w:szCs w:val="22"/>
          <w:lang w:val="sr-Latn-ME"/>
        </w:rPr>
      </w:pPr>
      <w:r w:rsidRPr="00853B61">
        <w:rPr>
          <w:rFonts w:eastAsia="Calibri"/>
          <w:sz w:val="22"/>
          <w:szCs w:val="22"/>
          <w:lang w:val="sr-Latn-ME"/>
        </w:rPr>
        <w:t>Odjeljenje za farmakovigilancu</w:t>
      </w:r>
    </w:p>
    <w:p w14:paraId="10A658BC" w14:textId="77777777" w:rsidR="00EA5765" w:rsidRPr="00853B61" w:rsidRDefault="005A23D2" w:rsidP="004B1590">
      <w:pPr>
        <w:pStyle w:val="NoSpacing"/>
        <w:jc w:val="both"/>
        <w:rPr>
          <w:rFonts w:eastAsia="Calibri"/>
          <w:sz w:val="22"/>
          <w:szCs w:val="22"/>
          <w:lang w:val="sr-Latn-ME"/>
        </w:rPr>
      </w:pPr>
      <w:r w:rsidRPr="00853B61">
        <w:rPr>
          <w:rFonts w:eastAsia="Calibri"/>
          <w:sz w:val="22"/>
          <w:szCs w:val="22"/>
          <w:lang w:val="sr-Latn-ME"/>
        </w:rPr>
        <w:t>Bulevar Ivana Crnojevića 64a, 81000 Podgorica</w:t>
      </w:r>
    </w:p>
    <w:p w14:paraId="58A6E7A8" w14:textId="77777777" w:rsidR="00EA5765" w:rsidRPr="00853B61" w:rsidRDefault="00EA5765" w:rsidP="004B1590">
      <w:pPr>
        <w:pStyle w:val="NoSpacing"/>
        <w:jc w:val="both"/>
        <w:rPr>
          <w:rFonts w:eastAsia="Calibri"/>
          <w:sz w:val="22"/>
          <w:szCs w:val="22"/>
          <w:lang w:val="sr-Latn-ME"/>
        </w:rPr>
      </w:pPr>
    </w:p>
    <w:p w14:paraId="1611FD30" w14:textId="77777777" w:rsidR="005A23D2" w:rsidRPr="00853B61" w:rsidRDefault="005A23D2" w:rsidP="004B1590">
      <w:pPr>
        <w:pStyle w:val="NoSpacing"/>
        <w:jc w:val="both"/>
        <w:rPr>
          <w:rFonts w:eastAsia="Calibri"/>
          <w:sz w:val="22"/>
          <w:szCs w:val="22"/>
          <w:lang w:val="sr-Latn-ME"/>
        </w:rPr>
      </w:pPr>
      <w:r w:rsidRPr="00853B61">
        <w:rPr>
          <w:rFonts w:eastAsia="Calibri"/>
          <w:sz w:val="22"/>
          <w:szCs w:val="22"/>
          <w:lang w:val="sr-Latn-ME"/>
        </w:rPr>
        <w:t>tel: +382 (0) 20 310 280</w:t>
      </w:r>
    </w:p>
    <w:p w14:paraId="4B2AD628" w14:textId="77777777" w:rsidR="00EA5765" w:rsidRPr="00853B61" w:rsidRDefault="005A23D2" w:rsidP="004B1590">
      <w:pPr>
        <w:pStyle w:val="NoSpacing"/>
        <w:tabs>
          <w:tab w:val="left" w:pos="6720"/>
        </w:tabs>
        <w:jc w:val="both"/>
        <w:rPr>
          <w:rFonts w:eastAsia="Calibri"/>
          <w:sz w:val="22"/>
          <w:szCs w:val="22"/>
          <w:lang w:val="sr-Latn-ME"/>
        </w:rPr>
      </w:pPr>
      <w:r w:rsidRPr="00853B61">
        <w:rPr>
          <w:rFonts w:eastAsia="Calibri"/>
          <w:sz w:val="22"/>
          <w:szCs w:val="22"/>
          <w:lang w:val="sr-Latn-ME"/>
        </w:rPr>
        <w:t>fax:</w:t>
      </w:r>
      <w:r w:rsidR="00EA5765" w:rsidRPr="00853B61">
        <w:rPr>
          <w:rFonts w:eastAsia="Calibri"/>
          <w:sz w:val="22"/>
          <w:szCs w:val="22"/>
          <w:lang w:val="sr-Latn-ME"/>
        </w:rPr>
        <w:t xml:space="preserve"> </w:t>
      </w:r>
      <w:r w:rsidRPr="00853B61">
        <w:rPr>
          <w:rFonts w:eastAsia="Calibri"/>
          <w:sz w:val="22"/>
          <w:szCs w:val="22"/>
          <w:lang w:val="sr-Latn-ME"/>
        </w:rPr>
        <w:t>+382 (0) 20 310 581</w:t>
      </w:r>
      <w:r w:rsidR="00FF3EDF" w:rsidRPr="00853B61">
        <w:rPr>
          <w:rFonts w:eastAsia="Calibri"/>
          <w:sz w:val="22"/>
          <w:szCs w:val="22"/>
          <w:lang w:val="sr-Latn-ME"/>
        </w:rPr>
        <w:tab/>
      </w:r>
    </w:p>
    <w:p w14:paraId="45668D74" w14:textId="77777777" w:rsidR="005A23D2" w:rsidRPr="00853B61" w:rsidRDefault="006D54A1" w:rsidP="004B1590">
      <w:pPr>
        <w:pStyle w:val="NoSpacing"/>
        <w:jc w:val="both"/>
        <w:rPr>
          <w:rFonts w:eastAsia="Calibri"/>
          <w:sz w:val="22"/>
          <w:szCs w:val="22"/>
          <w:lang w:val="sr-Latn-ME"/>
        </w:rPr>
      </w:pPr>
      <w:hyperlink r:id="rId9" w:history="1">
        <w:r w:rsidR="004E70AD" w:rsidRPr="00853B61">
          <w:rPr>
            <w:rStyle w:val="Hyperlink"/>
            <w:rFonts w:eastAsia="Calibri"/>
            <w:sz w:val="22"/>
            <w:szCs w:val="22"/>
            <w:lang w:val="sr-Latn-ME"/>
          </w:rPr>
          <w:t>www.cinmed.me</w:t>
        </w:r>
      </w:hyperlink>
    </w:p>
    <w:p w14:paraId="0A4D7B94" w14:textId="77777777" w:rsidR="00EA5765" w:rsidRPr="00853B61" w:rsidRDefault="006D54A1" w:rsidP="004B1590">
      <w:pPr>
        <w:pStyle w:val="NoSpacing"/>
        <w:jc w:val="both"/>
        <w:rPr>
          <w:rFonts w:eastAsia="Calibri"/>
          <w:color w:val="0000FF"/>
          <w:sz w:val="22"/>
          <w:szCs w:val="22"/>
          <w:u w:val="single"/>
          <w:lang w:val="sr-Latn-ME"/>
        </w:rPr>
      </w:pPr>
      <w:hyperlink r:id="rId10" w:history="1">
        <w:r w:rsidR="004E70AD" w:rsidRPr="00853B61">
          <w:rPr>
            <w:rStyle w:val="Hyperlink"/>
            <w:rFonts w:eastAsia="Calibri"/>
            <w:sz w:val="22"/>
            <w:szCs w:val="22"/>
            <w:lang w:val="sr-Latn-ME"/>
          </w:rPr>
          <w:t>nezeljenadejstva@cinmed.me</w:t>
        </w:r>
      </w:hyperlink>
    </w:p>
    <w:p w14:paraId="598A8779" w14:textId="77777777" w:rsidR="005A23D2" w:rsidRPr="00853B61" w:rsidRDefault="005A23D2" w:rsidP="004B1590">
      <w:pPr>
        <w:pStyle w:val="NoSpacing"/>
        <w:jc w:val="both"/>
        <w:rPr>
          <w:rFonts w:eastAsia="Calibri"/>
          <w:sz w:val="22"/>
          <w:szCs w:val="22"/>
          <w:lang w:val="sr-Latn-ME"/>
        </w:rPr>
      </w:pPr>
      <w:r w:rsidRPr="00853B61">
        <w:rPr>
          <w:rFonts w:eastAsia="Calibri"/>
          <w:sz w:val="22"/>
          <w:szCs w:val="22"/>
          <w:lang w:val="sr-Latn-ME"/>
        </w:rPr>
        <w:t>putem IS zdravstvene zaštite</w:t>
      </w:r>
    </w:p>
    <w:p w14:paraId="327C1B54" w14:textId="77777777" w:rsidR="007E31E9" w:rsidRPr="00853B61" w:rsidRDefault="007E31E9" w:rsidP="004B1590">
      <w:pPr>
        <w:pStyle w:val="NoSpacing"/>
        <w:jc w:val="both"/>
        <w:rPr>
          <w:rFonts w:eastAsia="Calibri"/>
          <w:sz w:val="22"/>
          <w:szCs w:val="22"/>
          <w:lang w:val="sr-Latn-ME"/>
        </w:rPr>
      </w:pPr>
      <w:r w:rsidRPr="00853B61">
        <w:rPr>
          <w:rFonts w:eastAsia="Calibri"/>
          <w:sz w:val="22"/>
          <w:szCs w:val="22"/>
          <w:lang w:val="sr-Latn-ME"/>
        </w:rPr>
        <w:t>QR kod za online prijavu</w:t>
      </w:r>
      <w:r w:rsidR="00D74CD2" w:rsidRPr="00853B61">
        <w:rPr>
          <w:rFonts w:eastAsia="Calibri"/>
          <w:sz w:val="22"/>
          <w:szCs w:val="22"/>
          <w:lang w:val="sr-Latn-ME"/>
        </w:rPr>
        <w:t xml:space="preserve"> sumnje na neželjeno dejstvo lijeka</w:t>
      </w:r>
      <w:r w:rsidRPr="00853B61">
        <w:rPr>
          <w:rFonts w:eastAsia="Calibri"/>
          <w:sz w:val="22"/>
          <w:szCs w:val="22"/>
          <w:lang w:val="sr-Latn-ME"/>
        </w:rPr>
        <w:t>:</w:t>
      </w:r>
    </w:p>
    <w:p w14:paraId="5E312E58" w14:textId="77777777" w:rsidR="004F17E2" w:rsidRPr="00853B61" w:rsidRDefault="004F17E2" w:rsidP="004B1590">
      <w:pPr>
        <w:pStyle w:val="NoSpacing"/>
        <w:jc w:val="both"/>
        <w:rPr>
          <w:rFonts w:eastAsia="Calibri"/>
          <w:sz w:val="22"/>
          <w:szCs w:val="22"/>
          <w:lang w:val="sr-Latn-ME"/>
        </w:rPr>
      </w:pPr>
    </w:p>
    <w:p w14:paraId="1FCBD517" w14:textId="77777777" w:rsidR="00836B35" w:rsidRPr="00853B61" w:rsidRDefault="007F661E" w:rsidP="004B1590">
      <w:pPr>
        <w:tabs>
          <w:tab w:val="left" w:pos="540"/>
          <w:tab w:val="left" w:pos="569"/>
        </w:tabs>
        <w:jc w:val="both"/>
        <w:rPr>
          <w:b/>
          <w:bCs/>
          <w:sz w:val="22"/>
          <w:szCs w:val="22"/>
          <w:lang w:val="sr-Latn-ME"/>
        </w:rPr>
      </w:pPr>
      <w:r w:rsidRPr="00853B61">
        <w:rPr>
          <w:b/>
          <w:bCs/>
          <w:noProof/>
          <w:sz w:val="22"/>
          <w:szCs w:val="22"/>
          <w:lang w:val="sr-Latn-ME" w:eastAsia="sr-Latn-ME"/>
        </w:rPr>
        <w:drawing>
          <wp:inline distT="0" distB="0" distL="0" distR="0" wp14:anchorId="1BB09B30" wp14:editId="00BE36A7">
            <wp:extent cx="980796" cy="972000"/>
            <wp:effectExtent l="0" t="0" r="0" b="0"/>
            <wp:docPr id="10"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9BA9524" w14:textId="77777777" w:rsidR="007F661E" w:rsidRPr="00853B61" w:rsidRDefault="007F661E" w:rsidP="004B1590">
      <w:pPr>
        <w:tabs>
          <w:tab w:val="left" w:pos="540"/>
          <w:tab w:val="left" w:pos="569"/>
        </w:tabs>
        <w:jc w:val="both"/>
        <w:rPr>
          <w:b/>
          <w:bCs/>
          <w:sz w:val="22"/>
          <w:szCs w:val="22"/>
          <w:lang w:val="sr-Latn-ME"/>
        </w:rPr>
      </w:pPr>
    </w:p>
    <w:p w14:paraId="35F8725A" w14:textId="77777777" w:rsidR="00CD6F02"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4.9. </w:t>
      </w:r>
      <w:r w:rsidR="00480FB1" w:rsidRPr="00853B61">
        <w:rPr>
          <w:b/>
          <w:bCs/>
          <w:sz w:val="22"/>
          <w:szCs w:val="22"/>
          <w:lang w:val="sr-Latn-ME"/>
        </w:rPr>
        <w:tab/>
      </w:r>
      <w:r w:rsidRPr="00853B61">
        <w:rPr>
          <w:b/>
          <w:bCs/>
          <w:sz w:val="22"/>
          <w:szCs w:val="22"/>
          <w:lang w:val="sr-Latn-ME"/>
        </w:rPr>
        <w:t>Predoziranje</w:t>
      </w:r>
      <w:r w:rsidR="002846DB" w:rsidRPr="00853B61">
        <w:rPr>
          <w:b/>
          <w:bCs/>
          <w:sz w:val="22"/>
          <w:szCs w:val="22"/>
          <w:lang w:val="sr-Latn-ME"/>
        </w:rPr>
        <w:t xml:space="preserve"> </w:t>
      </w:r>
    </w:p>
    <w:p w14:paraId="1747AC3B" w14:textId="77777777" w:rsidR="00CD6F02" w:rsidRPr="00853B61" w:rsidRDefault="00CD6F02" w:rsidP="004B1590">
      <w:pPr>
        <w:tabs>
          <w:tab w:val="left" w:pos="540"/>
          <w:tab w:val="left" w:pos="569"/>
        </w:tabs>
        <w:jc w:val="both"/>
        <w:rPr>
          <w:sz w:val="22"/>
          <w:szCs w:val="22"/>
          <w:lang w:val="sr-Latn-ME"/>
        </w:rPr>
      </w:pPr>
    </w:p>
    <w:p w14:paraId="56C2E5B3"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Zdravi dobrovoljci su uzimali pojedinačne doze do 1200 mg i višestruke doze do 800 mg dva puta dnevno. Do povišenja nivoa ALT je došlo nakon prestanka terapije bez postepenog smanjivanja doze kod 2 ispitanika koji su primali 500 mg i 800 mg dva puta dnevno u periodu od 14 dana. Svi abnormalni nalazi nivoa ALT su bili prolazni, bez dokaza abnormalnosti u funkciji jetre i spontano su se povukli.</w:t>
      </w:r>
    </w:p>
    <w:p w14:paraId="0DF2FA44" w14:textId="77777777" w:rsidR="00784247" w:rsidRPr="00853B61" w:rsidRDefault="00784247" w:rsidP="004B1590">
      <w:pPr>
        <w:tabs>
          <w:tab w:val="left" w:pos="540"/>
          <w:tab w:val="left" w:pos="569"/>
        </w:tabs>
        <w:jc w:val="both"/>
        <w:rPr>
          <w:sz w:val="22"/>
          <w:szCs w:val="22"/>
          <w:lang w:val="sr-Latn-ME"/>
        </w:rPr>
      </w:pPr>
    </w:p>
    <w:p w14:paraId="15C58D1A" w14:textId="23931786" w:rsidR="00784247" w:rsidRPr="00853B61" w:rsidRDefault="00784247" w:rsidP="004B1590">
      <w:pPr>
        <w:tabs>
          <w:tab w:val="left" w:pos="540"/>
          <w:tab w:val="left" w:pos="569"/>
        </w:tabs>
        <w:jc w:val="both"/>
        <w:rPr>
          <w:sz w:val="22"/>
          <w:szCs w:val="22"/>
          <w:lang w:val="sr-Latn-ME"/>
        </w:rPr>
      </w:pPr>
      <w:r w:rsidRPr="00853B61">
        <w:rPr>
          <w:sz w:val="22"/>
          <w:szCs w:val="22"/>
          <w:lang w:val="sr-Latn-ME"/>
        </w:rPr>
        <w:t>U slučaju predoziranja, može doći do povišenja nivoa aminotransferaze i drugih parametara jetre. Preporučuju se opšte suportivne m</w:t>
      </w:r>
      <w:r w:rsidR="00180A70" w:rsidRPr="00853B61">
        <w:rPr>
          <w:sz w:val="22"/>
          <w:szCs w:val="22"/>
          <w:lang w:val="sr-Latn-ME"/>
        </w:rPr>
        <w:t>j</w:t>
      </w:r>
      <w:r w:rsidRPr="00853B61">
        <w:rPr>
          <w:sz w:val="22"/>
          <w:szCs w:val="22"/>
          <w:lang w:val="sr-Latn-ME"/>
        </w:rPr>
        <w:t>ere. Nije poznato da li se danikopan može ukloniti dijalizom.</w:t>
      </w:r>
    </w:p>
    <w:p w14:paraId="33A71C7D" w14:textId="1619C648" w:rsidR="00227BDB" w:rsidRPr="00853B61" w:rsidRDefault="00227BDB" w:rsidP="004B1590">
      <w:pPr>
        <w:tabs>
          <w:tab w:val="left" w:pos="540"/>
          <w:tab w:val="left" w:pos="569"/>
        </w:tabs>
        <w:jc w:val="both"/>
        <w:rPr>
          <w:b/>
          <w:bCs/>
          <w:sz w:val="22"/>
          <w:szCs w:val="22"/>
          <w:lang w:val="sr-Latn-ME"/>
        </w:rPr>
      </w:pPr>
    </w:p>
    <w:p w14:paraId="75D887BA" w14:textId="77777777" w:rsidR="000638AF" w:rsidRPr="00853B61" w:rsidRDefault="000638AF" w:rsidP="004B1590">
      <w:pPr>
        <w:tabs>
          <w:tab w:val="left" w:pos="540"/>
          <w:tab w:val="left" w:pos="569"/>
        </w:tabs>
        <w:jc w:val="both"/>
        <w:rPr>
          <w:b/>
          <w:bCs/>
          <w:sz w:val="22"/>
          <w:szCs w:val="22"/>
          <w:lang w:val="sr-Latn-ME"/>
        </w:rPr>
      </w:pPr>
    </w:p>
    <w:p w14:paraId="2CFCC512"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5. </w:t>
      </w:r>
      <w:r w:rsidR="00480FB1" w:rsidRPr="00853B61">
        <w:rPr>
          <w:b/>
          <w:bCs/>
          <w:sz w:val="22"/>
          <w:szCs w:val="22"/>
          <w:lang w:val="sr-Latn-ME"/>
        </w:rPr>
        <w:tab/>
      </w:r>
      <w:r w:rsidRPr="00853B61">
        <w:rPr>
          <w:b/>
          <w:bCs/>
          <w:sz w:val="22"/>
          <w:szCs w:val="22"/>
          <w:lang w:val="sr-Latn-ME"/>
        </w:rPr>
        <w:t>FARMAKOLOŠK</w:t>
      </w:r>
      <w:r w:rsidR="000D425A" w:rsidRPr="00853B61">
        <w:rPr>
          <w:b/>
          <w:bCs/>
          <w:sz w:val="22"/>
          <w:szCs w:val="22"/>
          <w:lang w:val="sr-Latn-ME"/>
        </w:rPr>
        <w:t>I</w:t>
      </w:r>
      <w:r w:rsidRPr="00853B61">
        <w:rPr>
          <w:b/>
          <w:bCs/>
          <w:sz w:val="22"/>
          <w:szCs w:val="22"/>
          <w:lang w:val="sr-Latn-ME"/>
        </w:rPr>
        <w:t xml:space="preserve"> PODACI</w:t>
      </w:r>
    </w:p>
    <w:p w14:paraId="78211F53" w14:textId="77777777" w:rsidR="0072020E" w:rsidRPr="00853B61" w:rsidRDefault="0072020E" w:rsidP="004B1590">
      <w:pPr>
        <w:tabs>
          <w:tab w:val="left" w:pos="540"/>
          <w:tab w:val="left" w:pos="569"/>
        </w:tabs>
        <w:jc w:val="both"/>
        <w:rPr>
          <w:b/>
          <w:bCs/>
          <w:sz w:val="22"/>
          <w:szCs w:val="22"/>
          <w:lang w:val="sr-Latn-ME"/>
        </w:rPr>
      </w:pPr>
    </w:p>
    <w:p w14:paraId="29BBA08D"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5.1. </w:t>
      </w:r>
      <w:r w:rsidR="00480FB1" w:rsidRPr="00853B61">
        <w:rPr>
          <w:b/>
          <w:bCs/>
          <w:sz w:val="22"/>
          <w:szCs w:val="22"/>
          <w:lang w:val="sr-Latn-ME"/>
        </w:rPr>
        <w:tab/>
      </w:r>
      <w:r w:rsidRPr="00853B61">
        <w:rPr>
          <w:b/>
          <w:bCs/>
          <w:sz w:val="22"/>
          <w:szCs w:val="22"/>
          <w:lang w:val="sr-Latn-ME"/>
        </w:rPr>
        <w:t>Farmakodinamski podaci</w:t>
      </w:r>
      <w:r w:rsidR="003A7059" w:rsidRPr="00853B61">
        <w:rPr>
          <w:b/>
          <w:bCs/>
          <w:sz w:val="22"/>
          <w:szCs w:val="22"/>
          <w:lang w:val="sr-Latn-ME"/>
        </w:rPr>
        <w:t xml:space="preserve"> </w:t>
      </w:r>
    </w:p>
    <w:p w14:paraId="1E0AFC32" w14:textId="77777777" w:rsidR="00F45F77" w:rsidRPr="00853B61" w:rsidRDefault="00F45F77" w:rsidP="004B1590">
      <w:pPr>
        <w:tabs>
          <w:tab w:val="left" w:pos="540"/>
          <w:tab w:val="left" w:pos="569"/>
        </w:tabs>
        <w:jc w:val="both"/>
        <w:rPr>
          <w:b/>
          <w:bCs/>
          <w:sz w:val="22"/>
          <w:szCs w:val="22"/>
          <w:lang w:val="sr-Latn-ME"/>
        </w:rPr>
      </w:pPr>
    </w:p>
    <w:p w14:paraId="2679BBC5" w14:textId="7A60880B" w:rsidR="0072020E" w:rsidRPr="00853B61" w:rsidRDefault="0072020E" w:rsidP="004B1590">
      <w:pPr>
        <w:tabs>
          <w:tab w:val="left" w:pos="540"/>
          <w:tab w:val="left" w:pos="569"/>
        </w:tabs>
        <w:jc w:val="both"/>
        <w:rPr>
          <w:bCs/>
          <w:sz w:val="22"/>
          <w:szCs w:val="22"/>
          <w:lang w:val="sr-Latn-ME"/>
        </w:rPr>
      </w:pPr>
      <w:r w:rsidRPr="00853B61">
        <w:rPr>
          <w:bCs/>
          <w:sz w:val="22"/>
          <w:szCs w:val="22"/>
          <w:lang w:val="sr-Latn-ME"/>
        </w:rPr>
        <w:t>Farmakoterapijska grupa:</w:t>
      </w:r>
      <w:r w:rsidR="00784247" w:rsidRPr="00853B61">
        <w:rPr>
          <w:sz w:val="22"/>
          <w:szCs w:val="22"/>
          <w:lang w:val="sr-Latn-ME"/>
        </w:rPr>
        <w:t xml:space="preserve"> </w:t>
      </w:r>
      <w:r w:rsidR="00784247" w:rsidRPr="00853B61">
        <w:rPr>
          <w:bCs/>
          <w:sz w:val="22"/>
          <w:szCs w:val="22"/>
          <w:lang w:val="sr-Latn-ME"/>
        </w:rPr>
        <w:t>Imunosupresivi, Inhibitori komplementa</w:t>
      </w:r>
    </w:p>
    <w:p w14:paraId="2725317C" w14:textId="77777777" w:rsidR="0072020E" w:rsidRPr="00853B61" w:rsidRDefault="0072020E" w:rsidP="004B1590">
      <w:pPr>
        <w:tabs>
          <w:tab w:val="left" w:pos="540"/>
          <w:tab w:val="left" w:pos="569"/>
        </w:tabs>
        <w:jc w:val="both"/>
        <w:rPr>
          <w:bCs/>
          <w:sz w:val="22"/>
          <w:szCs w:val="22"/>
          <w:lang w:val="sr-Latn-ME"/>
        </w:rPr>
      </w:pPr>
    </w:p>
    <w:p w14:paraId="58E82F5F" w14:textId="05FC0D5E" w:rsidR="0072020E" w:rsidRPr="00853B61" w:rsidRDefault="0072020E" w:rsidP="004B1590">
      <w:pPr>
        <w:tabs>
          <w:tab w:val="left" w:pos="540"/>
          <w:tab w:val="left" w:pos="569"/>
        </w:tabs>
        <w:jc w:val="both"/>
        <w:rPr>
          <w:bCs/>
          <w:sz w:val="22"/>
          <w:szCs w:val="22"/>
          <w:lang w:val="sr-Latn-ME"/>
        </w:rPr>
      </w:pPr>
      <w:r w:rsidRPr="00853B61">
        <w:rPr>
          <w:bCs/>
          <w:sz w:val="22"/>
          <w:szCs w:val="22"/>
          <w:lang w:val="sr-Latn-ME"/>
        </w:rPr>
        <w:t>ATC kod:</w:t>
      </w:r>
      <w:r w:rsidR="00784247" w:rsidRPr="00853B61">
        <w:rPr>
          <w:sz w:val="22"/>
          <w:szCs w:val="22"/>
          <w:lang w:val="sr-Latn-ME"/>
        </w:rPr>
        <w:t xml:space="preserve"> </w:t>
      </w:r>
      <w:r w:rsidR="00784247" w:rsidRPr="00853B61">
        <w:rPr>
          <w:bCs/>
          <w:sz w:val="22"/>
          <w:szCs w:val="22"/>
          <w:lang w:val="sr-Latn-ME"/>
        </w:rPr>
        <w:t>L04AJ09</w:t>
      </w:r>
    </w:p>
    <w:p w14:paraId="5E6E3ABC" w14:textId="77777777" w:rsidR="002E37A5" w:rsidRPr="00853B61" w:rsidRDefault="002E37A5" w:rsidP="004B1590">
      <w:pPr>
        <w:tabs>
          <w:tab w:val="left" w:pos="540"/>
          <w:tab w:val="left" w:pos="569"/>
        </w:tabs>
        <w:jc w:val="both"/>
        <w:rPr>
          <w:b/>
          <w:bCs/>
          <w:sz w:val="22"/>
          <w:szCs w:val="22"/>
          <w:lang w:val="sr-Latn-ME"/>
        </w:rPr>
      </w:pPr>
    </w:p>
    <w:p w14:paraId="44DDFFCA" w14:textId="77777777" w:rsidR="00784247" w:rsidRPr="00853B61" w:rsidRDefault="00784247" w:rsidP="004B1590">
      <w:pPr>
        <w:tabs>
          <w:tab w:val="left" w:pos="540"/>
          <w:tab w:val="left" w:pos="569"/>
        </w:tabs>
        <w:jc w:val="both"/>
        <w:rPr>
          <w:sz w:val="22"/>
          <w:szCs w:val="22"/>
          <w:u w:val="single"/>
          <w:lang w:val="sr-Latn-ME"/>
        </w:rPr>
      </w:pPr>
      <w:r w:rsidRPr="00853B61">
        <w:rPr>
          <w:sz w:val="22"/>
          <w:szCs w:val="22"/>
          <w:u w:val="single"/>
          <w:lang w:val="sr-Latn-ME"/>
        </w:rPr>
        <w:t>Mehanizam dejstva</w:t>
      </w:r>
    </w:p>
    <w:p w14:paraId="73D78557" w14:textId="77777777" w:rsidR="00784247" w:rsidRPr="00853B61" w:rsidRDefault="00784247" w:rsidP="004B1590">
      <w:pPr>
        <w:tabs>
          <w:tab w:val="left" w:pos="540"/>
          <w:tab w:val="left" w:pos="569"/>
        </w:tabs>
        <w:jc w:val="both"/>
        <w:rPr>
          <w:sz w:val="22"/>
          <w:szCs w:val="22"/>
          <w:lang w:val="sr-Latn-ME"/>
        </w:rPr>
      </w:pPr>
    </w:p>
    <w:p w14:paraId="13AAB676" w14:textId="08A9C794" w:rsidR="00784247" w:rsidRPr="00853B61" w:rsidRDefault="00784247" w:rsidP="004B1590">
      <w:pPr>
        <w:tabs>
          <w:tab w:val="left" w:pos="540"/>
          <w:tab w:val="left" w:pos="569"/>
        </w:tabs>
        <w:jc w:val="both"/>
        <w:rPr>
          <w:sz w:val="22"/>
          <w:szCs w:val="22"/>
          <w:lang w:val="sr-Latn-ME"/>
        </w:rPr>
      </w:pPr>
      <w:r w:rsidRPr="00853B61">
        <w:rPr>
          <w:sz w:val="22"/>
          <w:szCs w:val="22"/>
          <w:lang w:val="sr-Latn-ME"/>
        </w:rPr>
        <w:t>Danikopan se reverzibilno vezuje za faktor komplementa D (FD) i d</w:t>
      </w:r>
      <w:r w:rsidR="00180A70" w:rsidRPr="00853B61">
        <w:rPr>
          <w:sz w:val="22"/>
          <w:szCs w:val="22"/>
          <w:lang w:val="sr-Latn-ME"/>
        </w:rPr>
        <w:t>j</w:t>
      </w:r>
      <w:r w:rsidRPr="00853B61">
        <w:rPr>
          <w:sz w:val="22"/>
          <w:szCs w:val="22"/>
          <w:lang w:val="sr-Latn-ME"/>
        </w:rPr>
        <w:t>eluje kao selektivni inhibitor funkcije FD. Inhibiranjem FD, danikopan selektivno blokira aktivaciju alternativne putanje (AP) komplementa, što dovodi do prevencije proizvodnje višestrukih efektora, koji uključuju C3 fragmente, nakon aktivacije AP. Druge 2 putanje komplementa (klasična i lektin) ostaju aktivne. Inhibitorno dejstvo danikopana na aktivaciju AP inhibira taloženje fragmenata C3 na PNH crvenim krvnim zrncima; takvo taloženje je glavni uzrok EVH koji može postati klinički značajan kod male podgrupe pacijenata sa PNH na inhibitoru C5. Održavanje inhibicije C5 kontroliše patofiziološke posl</w:t>
      </w:r>
      <w:r w:rsidR="00180A70" w:rsidRPr="00853B61">
        <w:rPr>
          <w:sz w:val="22"/>
          <w:szCs w:val="22"/>
          <w:lang w:val="sr-Latn-ME"/>
        </w:rPr>
        <w:t>j</w:t>
      </w:r>
      <w:r w:rsidRPr="00853B61">
        <w:rPr>
          <w:sz w:val="22"/>
          <w:szCs w:val="22"/>
          <w:lang w:val="sr-Latn-ME"/>
        </w:rPr>
        <w:t>edice aktivacije terminalnog komplementa postojeće PNH koje su opasne po život.</w:t>
      </w:r>
    </w:p>
    <w:p w14:paraId="17268AB0" w14:textId="77777777" w:rsidR="00784247" w:rsidRPr="00853B61" w:rsidRDefault="00784247" w:rsidP="004B1590">
      <w:pPr>
        <w:tabs>
          <w:tab w:val="left" w:pos="540"/>
          <w:tab w:val="left" w:pos="569"/>
        </w:tabs>
        <w:jc w:val="both"/>
        <w:rPr>
          <w:sz w:val="22"/>
          <w:szCs w:val="22"/>
          <w:lang w:val="sr-Latn-ME"/>
        </w:rPr>
      </w:pPr>
    </w:p>
    <w:p w14:paraId="79A811F2" w14:textId="77777777" w:rsidR="00B97AFB" w:rsidRDefault="00B97AFB" w:rsidP="004B1590">
      <w:pPr>
        <w:tabs>
          <w:tab w:val="left" w:pos="540"/>
          <w:tab w:val="left" w:pos="569"/>
        </w:tabs>
        <w:jc w:val="both"/>
        <w:rPr>
          <w:sz w:val="22"/>
          <w:szCs w:val="22"/>
          <w:u w:val="single"/>
          <w:lang w:val="sr-Latn-ME"/>
        </w:rPr>
      </w:pPr>
    </w:p>
    <w:p w14:paraId="27811F47" w14:textId="77777777" w:rsidR="00B97AFB" w:rsidRDefault="00B97AFB" w:rsidP="004B1590">
      <w:pPr>
        <w:tabs>
          <w:tab w:val="left" w:pos="540"/>
          <w:tab w:val="left" w:pos="569"/>
        </w:tabs>
        <w:jc w:val="both"/>
        <w:rPr>
          <w:sz w:val="22"/>
          <w:szCs w:val="22"/>
          <w:u w:val="single"/>
          <w:lang w:val="sr-Latn-ME"/>
        </w:rPr>
      </w:pPr>
    </w:p>
    <w:p w14:paraId="3CA32FCB" w14:textId="620651E8" w:rsidR="00784247" w:rsidRPr="00853B61" w:rsidRDefault="00784247" w:rsidP="004B1590">
      <w:pPr>
        <w:tabs>
          <w:tab w:val="left" w:pos="540"/>
          <w:tab w:val="left" w:pos="569"/>
        </w:tabs>
        <w:jc w:val="both"/>
        <w:rPr>
          <w:sz w:val="22"/>
          <w:szCs w:val="22"/>
          <w:lang w:val="sr-Latn-ME"/>
        </w:rPr>
      </w:pPr>
      <w:r w:rsidRPr="00853B61">
        <w:rPr>
          <w:sz w:val="22"/>
          <w:szCs w:val="22"/>
          <w:u w:val="single"/>
          <w:lang w:val="sr-Latn-ME"/>
        </w:rPr>
        <w:lastRenderedPageBreak/>
        <w:t>Farmakodinamska dejstva</w:t>
      </w:r>
    </w:p>
    <w:p w14:paraId="5B6D5EE1" w14:textId="77777777" w:rsidR="00784247" w:rsidRPr="00853B61" w:rsidRDefault="00784247" w:rsidP="004B1590">
      <w:pPr>
        <w:tabs>
          <w:tab w:val="left" w:pos="540"/>
          <w:tab w:val="left" w:pos="569"/>
        </w:tabs>
        <w:jc w:val="both"/>
        <w:rPr>
          <w:sz w:val="22"/>
          <w:szCs w:val="22"/>
          <w:lang w:val="sr-Latn-ME"/>
        </w:rPr>
      </w:pPr>
    </w:p>
    <w:p w14:paraId="586E649F" w14:textId="7472374B" w:rsidR="00AB7647" w:rsidRPr="00853B61" w:rsidRDefault="00784247" w:rsidP="004B1590">
      <w:pPr>
        <w:tabs>
          <w:tab w:val="left" w:pos="540"/>
          <w:tab w:val="left" w:pos="569"/>
        </w:tabs>
        <w:jc w:val="both"/>
        <w:rPr>
          <w:sz w:val="22"/>
          <w:szCs w:val="22"/>
          <w:lang w:val="sr-Latn-ME"/>
        </w:rPr>
      </w:pPr>
      <w:r w:rsidRPr="00853B61">
        <w:rPr>
          <w:sz w:val="22"/>
          <w:szCs w:val="22"/>
          <w:lang w:val="sr-Latn-ME"/>
        </w:rPr>
        <w:t>U kliničkom ispitivanju kod pacijenata sa PNH sa klinički značajnim EVH koji su l</w:t>
      </w:r>
      <w:r w:rsidR="00180A70" w:rsidRPr="00853B61">
        <w:rPr>
          <w:sz w:val="22"/>
          <w:szCs w:val="22"/>
          <w:lang w:val="sr-Latn-ME"/>
        </w:rPr>
        <w:t>ij</w:t>
      </w:r>
      <w:r w:rsidRPr="00853B61">
        <w:rPr>
          <w:sz w:val="22"/>
          <w:szCs w:val="22"/>
          <w:lang w:val="sr-Latn-ME"/>
        </w:rPr>
        <w:t>ečeni ravulizumabom ili ekulizumabom, danikopan je pokazao očekivanu inhibiciju aktivnosti AP, smanjenje nivoa Bb u plazmi (razd</w:t>
      </w:r>
      <w:r w:rsidR="00180A70" w:rsidRPr="00853B61">
        <w:rPr>
          <w:sz w:val="22"/>
          <w:szCs w:val="22"/>
          <w:lang w:val="sr-Latn-ME"/>
        </w:rPr>
        <w:t>ij</w:t>
      </w:r>
      <w:r w:rsidRPr="00853B61">
        <w:rPr>
          <w:sz w:val="22"/>
          <w:szCs w:val="22"/>
          <w:lang w:val="sr-Latn-ME"/>
        </w:rPr>
        <w:t>eljeni proizvod faktora komplementa B od FD), kao i smanjeno taloženje fragmenta C3 na cirkulišućim crvenim krvnim zrncima PNH.</w:t>
      </w:r>
    </w:p>
    <w:p w14:paraId="7509B294" w14:textId="77777777" w:rsidR="00AB7647" w:rsidRPr="00853B61" w:rsidRDefault="00AB7647" w:rsidP="004B1590">
      <w:pPr>
        <w:tabs>
          <w:tab w:val="left" w:pos="540"/>
          <w:tab w:val="left" w:pos="569"/>
        </w:tabs>
        <w:jc w:val="both"/>
        <w:rPr>
          <w:sz w:val="22"/>
          <w:szCs w:val="22"/>
          <w:lang w:val="sr-Latn-ME"/>
        </w:rPr>
      </w:pPr>
    </w:p>
    <w:p w14:paraId="2D317790" w14:textId="77777777" w:rsidR="00784247" w:rsidRPr="00853B61" w:rsidRDefault="00784247" w:rsidP="004B1590">
      <w:pPr>
        <w:tabs>
          <w:tab w:val="left" w:pos="540"/>
          <w:tab w:val="left" w:pos="569"/>
        </w:tabs>
        <w:jc w:val="both"/>
        <w:rPr>
          <w:i/>
          <w:sz w:val="22"/>
          <w:szCs w:val="22"/>
          <w:lang w:val="sr-Latn-ME"/>
        </w:rPr>
      </w:pPr>
      <w:r w:rsidRPr="00853B61">
        <w:rPr>
          <w:i/>
          <w:iCs/>
          <w:sz w:val="22"/>
          <w:szCs w:val="22"/>
          <w:lang w:val="sr-Latn-ME"/>
        </w:rPr>
        <w:t>Elektrofiziologija srca</w:t>
      </w:r>
    </w:p>
    <w:p w14:paraId="227EB70D" w14:textId="48954A19" w:rsidR="00B41AA0" w:rsidRPr="00853B61" w:rsidRDefault="00784247" w:rsidP="004B1590">
      <w:pPr>
        <w:tabs>
          <w:tab w:val="left" w:pos="540"/>
          <w:tab w:val="left" w:pos="569"/>
        </w:tabs>
        <w:jc w:val="both"/>
        <w:rPr>
          <w:sz w:val="22"/>
          <w:szCs w:val="22"/>
          <w:lang w:val="sr-Latn-ME"/>
        </w:rPr>
      </w:pPr>
      <w:r w:rsidRPr="00853B61">
        <w:rPr>
          <w:sz w:val="22"/>
          <w:szCs w:val="22"/>
          <w:lang w:val="sr-Latn-ME"/>
        </w:rPr>
        <w:t>Pojedinačne oralne doze danikopana prim</w:t>
      </w:r>
      <w:r w:rsidR="00180A70" w:rsidRPr="00853B61">
        <w:rPr>
          <w:sz w:val="22"/>
          <w:szCs w:val="22"/>
          <w:lang w:val="sr-Latn-ME"/>
        </w:rPr>
        <w:t>ij</w:t>
      </w:r>
      <w:r w:rsidRPr="00853B61">
        <w:rPr>
          <w:sz w:val="22"/>
          <w:szCs w:val="22"/>
          <w:lang w:val="sr-Latn-ME"/>
        </w:rPr>
        <w:t>enjene u dozama od 400 mg, 800 mg ili 1200 mg ni</w:t>
      </w:r>
      <w:r w:rsidR="0055279C" w:rsidRPr="00853B61">
        <w:rPr>
          <w:sz w:val="22"/>
          <w:szCs w:val="22"/>
          <w:lang w:val="sr-Latn-ME"/>
        </w:rPr>
        <w:t>je</w:t>
      </w:r>
      <w:r w:rsidRPr="00853B61">
        <w:rPr>
          <w:sz w:val="22"/>
          <w:szCs w:val="22"/>
          <w:lang w:val="sr-Latn-ME"/>
        </w:rPr>
        <w:t>su produžile QTc interval. Nije bilo kategoričkih upozorenja u vezi s intervalima elektrokardiograma ili abnormalnostima talasnog oblika.</w:t>
      </w:r>
    </w:p>
    <w:p w14:paraId="62379BDE" w14:textId="4C46391C" w:rsidR="00784247" w:rsidRPr="00853B61" w:rsidRDefault="00784247" w:rsidP="004B1590">
      <w:pPr>
        <w:tabs>
          <w:tab w:val="left" w:pos="540"/>
          <w:tab w:val="left" w:pos="569"/>
        </w:tabs>
        <w:jc w:val="both"/>
        <w:rPr>
          <w:sz w:val="22"/>
          <w:szCs w:val="22"/>
          <w:u w:val="single"/>
          <w:lang w:val="sr-Latn-ME"/>
        </w:rPr>
      </w:pPr>
      <w:r w:rsidRPr="00853B61">
        <w:rPr>
          <w:sz w:val="22"/>
          <w:szCs w:val="22"/>
          <w:u w:val="single"/>
          <w:lang w:val="sr-Latn-ME"/>
        </w:rPr>
        <w:t>Klinička efikasnost i bezb</w:t>
      </w:r>
      <w:r w:rsidR="00180A70" w:rsidRPr="00853B61">
        <w:rPr>
          <w:sz w:val="22"/>
          <w:szCs w:val="22"/>
          <w:u w:val="single"/>
          <w:lang w:val="sr-Latn-ME"/>
        </w:rPr>
        <w:t>j</w:t>
      </w:r>
      <w:r w:rsidRPr="00853B61">
        <w:rPr>
          <w:sz w:val="22"/>
          <w:szCs w:val="22"/>
          <w:u w:val="single"/>
          <w:lang w:val="sr-Latn-ME"/>
        </w:rPr>
        <w:t>ednost</w:t>
      </w:r>
    </w:p>
    <w:p w14:paraId="19A81F38" w14:textId="77777777" w:rsidR="00784247" w:rsidRPr="00853B61" w:rsidRDefault="00784247" w:rsidP="004B1590">
      <w:pPr>
        <w:tabs>
          <w:tab w:val="left" w:pos="540"/>
          <w:tab w:val="left" w:pos="569"/>
        </w:tabs>
        <w:jc w:val="both"/>
        <w:rPr>
          <w:sz w:val="22"/>
          <w:szCs w:val="22"/>
          <w:lang w:val="sr-Latn-ME"/>
        </w:rPr>
      </w:pPr>
    </w:p>
    <w:p w14:paraId="0A637941" w14:textId="0BA79D9A" w:rsidR="00784247" w:rsidRPr="00853B61" w:rsidRDefault="00784247" w:rsidP="004B1590">
      <w:pPr>
        <w:tabs>
          <w:tab w:val="left" w:pos="540"/>
          <w:tab w:val="left" w:pos="569"/>
        </w:tabs>
        <w:jc w:val="both"/>
        <w:rPr>
          <w:sz w:val="22"/>
          <w:szCs w:val="22"/>
          <w:lang w:val="sr-Latn-ME"/>
        </w:rPr>
      </w:pPr>
      <w:r w:rsidRPr="00853B61">
        <w:rPr>
          <w:sz w:val="22"/>
          <w:szCs w:val="22"/>
          <w:lang w:val="sr-Latn-ME"/>
        </w:rPr>
        <w:t>Efikasnost i bezb</w:t>
      </w:r>
      <w:r w:rsidR="00180A70" w:rsidRPr="00853B61">
        <w:rPr>
          <w:sz w:val="22"/>
          <w:szCs w:val="22"/>
          <w:lang w:val="sr-Latn-ME"/>
        </w:rPr>
        <w:t>j</w:t>
      </w:r>
      <w:r w:rsidRPr="00853B61">
        <w:rPr>
          <w:sz w:val="22"/>
          <w:szCs w:val="22"/>
          <w:lang w:val="sr-Latn-ME"/>
        </w:rPr>
        <w:t>ednost danikopana kod odraslih pacijenata sa PNH koji imaju klinički značajan EVH proc</w:t>
      </w:r>
      <w:r w:rsidR="00180A70" w:rsidRPr="00853B61">
        <w:rPr>
          <w:sz w:val="22"/>
          <w:szCs w:val="22"/>
          <w:lang w:val="sr-Latn-ME"/>
        </w:rPr>
        <w:t>ij</w:t>
      </w:r>
      <w:r w:rsidRPr="00853B61">
        <w:rPr>
          <w:sz w:val="22"/>
          <w:szCs w:val="22"/>
          <w:lang w:val="sr-Latn-ME"/>
        </w:rPr>
        <w:t>enjene su u višeregionalnoj, randomizovanoj, dvostruko sl</w:t>
      </w:r>
      <w:r w:rsidR="00180A70" w:rsidRPr="00853B61">
        <w:rPr>
          <w:sz w:val="22"/>
          <w:szCs w:val="22"/>
          <w:lang w:val="sr-Latn-ME"/>
        </w:rPr>
        <w:t>ij</w:t>
      </w:r>
      <w:r w:rsidRPr="00853B61">
        <w:rPr>
          <w:sz w:val="22"/>
          <w:szCs w:val="22"/>
          <w:lang w:val="sr-Latn-ME"/>
        </w:rPr>
        <w:t>epoj, placebom kontrolisanoj studiji faze 3 (ALXN2040-PNH-301). U studiju je bilo uključeno 86 pacijenata sa PNH koji su bili l</w:t>
      </w:r>
      <w:r w:rsidR="00180A70" w:rsidRPr="00853B61">
        <w:rPr>
          <w:sz w:val="22"/>
          <w:szCs w:val="22"/>
          <w:lang w:val="sr-Latn-ME"/>
        </w:rPr>
        <w:t>ij</w:t>
      </w:r>
      <w:r w:rsidRPr="00853B61">
        <w:rPr>
          <w:sz w:val="22"/>
          <w:szCs w:val="22"/>
          <w:lang w:val="sr-Latn-ME"/>
        </w:rPr>
        <w:t>ečeni stabilnom dozom ravulizumaba ili ekulizumaba najmanje prethodnih 6 m</w:t>
      </w:r>
      <w:r w:rsidR="00180A70" w:rsidRPr="00853B61">
        <w:rPr>
          <w:sz w:val="22"/>
          <w:szCs w:val="22"/>
          <w:lang w:val="sr-Latn-ME"/>
        </w:rPr>
        <w:t>j</w:t>
      </w:r>
      <w:r w:rsidRPr="00853B61">
        <w:rPr>
          <w:sz w:val="22"/>
          <w:szCs w:val="22"/>
          <w:lang w:val="sr-Latn-ME"/>
        </w:rPr>
        <w:t>eseci i koji su imali anemiju (hemoglobin [Hgb] ≤ 9,5 g/dl [5,9 mmol/l]) sa apsolutnim brojem retikulocita ≥ 120 × 10</w:t>
      </w:r>
      <w:r w:rsidRPr="00853B61">
        <w:rPr>
          <w:sz w:val="22"/>
          <w:szCs w:val="22"/>
          <w:vertAlign w:val="superscript"/>
          <w:lang w:val="sr-Latn-ME"/>
        </w:rPr>
        <w:t>9</w:t>
      </w:r>
      <w:r w:rsidRPr="00853B61">
        <w:rPr>
          <w:sz w:val="22"/>
          <w:szCs w:val="22"/>
          <w:lang w:val="sr-Latn-ME"/>
        </w:rPr>
        <w:t>/l, sa transfuzionom potporom ili bez nje.</w:t>
      </w:r>
    </w:p>
    <w:p w14:paraId="252F71C8" w14:textId="77777777" w:rsidR="00784247" w:rsidRPr="00853B61" w:rsidRDefault="00784247" w:rsidP="004B1590">
      <w:pPr>
        <w:tabs>
          <w:tab w:val="left" w:pos="540"/>
          <w:tab w:val="left" w:pos="569"/>
        </w:tabs>
        <w:jc w:val="both"/>
        <w:rPr>
          <w:sz w:val="22"/>
          <w:szCs w:val="22"/>
          <w:lang w:val="sr-Latn-ME"/>
        </w:rPr>
      </w:pPr>
    </w:p>
    <w:p w14:paraId="282CBDDB" w14:textId="5136AA2A" w:rsidR="00784247" w:rsidRPr="00853B61" w:rsidRDefault="00784247" w:rsidP="004B1590">
      <w:pPr>
        <w:tabs>
          <w:tab w:val="left" w:pos="540"/>
          <w:tab w:val="left" w:pos="569"/>
        </w:tabs>
        <w:jc w:val="both"/>
        <w:rPr>
          <w:sz w:val="22"/>
          <w:szCs w:val="22"/>
          <w:lang w:val="sr-Latn-ME"/>
        </w:rPr>
      </w:pPr>
      <w:r w:rsidRPr="00853B61">
        <w:rPr>
          <w:sz w:val="22"/>
          <w:szCs w:val="22"/>
          <w:lang w:val="sr-Latn-ME"/>
        </w:rPr>
        <w:t xml:space="preserve">Danikopan je davan u skladu sa preporučenim doziranjem koje je opisano u </w:t>
      </w:r>
      <w:r w:rsidR="00180A70" w:rsidRPr="00853B61">
        <w:rPr>
          <w:sz w:val="22"/>
          <w:szCs w:val="22"/>
          <w:lang w:val="sr-Latn-ME"/>
        </w:rPr>
        <w:t>dijel</w:t>
      </w:r>
      <w:r w:rsidRPr="00853B61">
        <w:rPr>
          <w:sz w:val="22"/>
          <w:szCs w:val="22"/>
          <w:lang w:val="sr-Latn-ME"/>
        </w:rPr>
        <w:t>u 4.2 (150 mg tri puta dnevno do najviše 200 mg tri puta dnevno u zavisnosti od kliničkog odgovora).</w:t>
      </w:r>
    </w:p>
    <w:p w14:paraId="577C36E0" w14:textId="77777777" w:rsidR="00784247" w:rsidRPr="00853B61" w:rsidRDefault="00784247" w:rsidP="004B1590">
      <w:pPr>
        <w:tabs>
          <w:tab w:val="left" w:pos="540"/>
          <w:tab w:val="left" w:pos="569"/>
        </w:tabs>
        <w:jc w:val="both"/>
        <w:rPr>
          <w:sz w:val="22"/>
          <w:szCs w:val="22"/>
          <w:lang w:val="sr-Latn-ME"/>
        </w:rPr>
      </w:pPr>
    </w:p>
    <w:p w14:paraId="535211AE" w14:textId="0AA84253" w:rsidR="00784247" w:rsidRPr="00853B61" w:rsidRDefault="00784247" w:rsidP="004B1590">
      <w:pPr>
        <w:tabs>
          <w:tab w:val="left" w:pos="540"/>
          <w:tab w:val="left" w:pos="569"/>
        </w:tabs>
        <w:jc w:val="both"/>
        <w:rPr>
          <w:sz w:val="22"/>
          <w:szCs w:val="22"/>
          <w:lang w:val="sr-Latn-ME"/>
        </w:rPr>
      </w:pPr>
      <w:r w:rsidRPr="00853B61">
        <w:rPr>
          <w:sz w:val="22"/>
          <w:szCs w:val="22"/>
          <w:lang w:val="sr-Latn-ME"/>
        </w:rPr>
        <w:t>Kod pacijenata je proc</w:t>
      </w:r>
      <w:r w:rsidR="00180A70" w:rsidRPr="00853B61">
        <w:rPr>
          <w:sz w:val="22"/>
          <w:szCs w:val="22"/>
          <w:lang w:val="sr-Latn-ME"/>
        </w:rPr>
        <w:t>j</w:t>
      </w:r>
      <w:r w:rsidRPr="00853B61">
        <w:rPr>
          <w:sz w:val="22"/>
          <w:szCs w:val="22"/>
          <w:lang w:val="sr-Latn-ME"/>
        </w:rPr>
        <w:t>enjivana istorija vakcinacije i morali su da budu vakcinisani protiv meningokokne infekcije pr</w:t>
      </w:r>
      <w:r w:rsidR="00180A70" w:rsidRPr="00853B61">
        <w:rPr>
          <w:sz w:val="22"/>
          <w:szCs w:val="22"/>
          <w:lang w:val="sr-Latn-ME"/>
        </w:rPr>
        <w:t>ij</w:t>
      </w:r>
      <w:r w:rsidRPr="00853B61">
        <w:rPr>
          <w:sz w:val="22"/>
          <w:szCs w:val="22"/>
          <w:lang w:val="sr-Latn-ME"/>
        </w:rPr>
        <w:t>e ili u vr</w:t>
      </w:r>
      <w:r w:rsidR="00180A70" w:rsidRPr="00853B61">
        <w:rPr>
          <w:sz w:val="22"/>
          <w:szCs w:val="22"/>
          <w:lang w:val="sr-Latn-ME"/>
        </w:rPr>
        <w:t>ij</w:t>
      </w:r>
      <w:r w:rsidRPr="00853B61">
        <w:rPr>
          <w:sz w:val="22"/>
          <w:szCs w:val="22"/>
          <w:lang w:val="sr-Latn-ME"/>
        </w:rPr>
        <w:t>eme početka l</w:t>
      </w:r>
      <w:r w:rsidR="00180A70" w:rsidRPr="00853B61">
        <w:rPr>
          <w:sz w:val="22"/>
          <w:szCs w:val="22"/>
          <w:lang w:val="sr-Latn-ME"/>
        </w:rPr>
        <w:t>ij</w:t>
      </w:r>
      <w:r w:rsidRPr="00853B61">
        <w:rPr>
          <w:sz w:val="22"/>
          <w:szCs w:val="22"/>
          <w:lang w:val="sr-Latn-ME"/>
        </w:rPr>
        <w:t>ečenja danikopanom ako status vakcinacije u roku od 3 godine nije mogao da se potvrdi.</w:t>
      </w:r>
    </w:p>
    <w:p w14:paraId="0E7D260B" w14:textId="77777777" w:rsidR="00784247" w:rsidRPr="00853B61" w:rsidRDefault="00784247" w:rsidP="004B1590">
      <w:pPr>
        <w:tabs>
          <w:tab w:val="left" w:pos="540"/>
          <w:tab w:val="left" w:pos="569"/>
        </w:tabs>
        <w:jc w:val="both"/>
        <w:rPr>
          <w:sz w:val="22"/>
          <w:szCs w:val="22"/>
          <w:lang w:val="sr-Latn-ME"/>
        </w:rPr>
      </w:pPr>
    </w:p>
    <w:p w14:paraId="7F62065E" w14:textId="64C38F3E" w:rsidR="00784247" w:rsidRPr="00853B61" w:rsidRDefault="00784247" w:rsidP="004B1590">
      <w:pPr>
        <w:tabs>
          <w:tab w:val="left" w:pos="540"/>
          <w:tab w:val="left" w:pos="569"/>
        </w:tabs>
        <w:jc w:val="both"/>
        <w:rPr>
          <w:sz w:val="22"/>
          <w:szCs w:val="22"/>
          <w:lang w:val="sr-Latn-ME"/>
        </w:rPr>
      </w:pPr>
      <w:r w:rsidRPr="00853B61">
        <w:rPr>
          <w:sz w:val="22"/>
          <w:szCs w:val="22"/>
          <w:lang w:val="sr-Latn-ME"/>
        </w:rPr>
        <w:t>Pacijenti su randomizirani na danikopan ili placebo tri puta dnevno u odnosu 2:1 tokom 12 ned</w:t>
      </w:r>
      <w:r w:rsidR="00180A70" w:rsidRPr="00853B61">
        <w:rPr>
          <w:sz w:val="22"/>
          <w:szCs w:val="22"/>
          <w:lang w:val="sr-Latn-ME"/>
        </w:rPr>
        <w:t>j</w:t>
      </w:r>
      <w:r w:rsidRPr="00853B61">
        <w:rPr>
          <w:sz w:val="22"/>
          <w:szCs w:val="22"/>
          <w:lang w:val="sr-Latn-ME"/>
        </w:rPr>
        <w:t>elja kao dodatak osnovnoj terapiji ravulizumabom ili ekulizumabom u ob</w:t>
      </w:r>
      <w:r w:rsidR="00180A70" w:rsidRPr="00853B61">
        <w:rPr>
          <w:sz w:val="22"/>
          <w:szCs w:val="22"/>
          <w:lang w:val="sr-Latn-ME"/>
        </w:rPr>
        <w:t>ij</w:t>
      </w:r>
      <w:r w:rsidRPr="00853B61">
        <w:rPr>
          <w:sz w:val="22"/>
          <w:szCs w:val="22"/>
          <w:lang w:val="sr-Latn-ME"/>
        </w:rPr>
        <w:t>e grupe. Nakon 12. ned</w:t>
      </w:r>
      <w:r w:rsidR="00180A70" w:rsidRPr="00853B61">
        <w:rPr>
          <w:sz w:val="22"/>
          <w:szCs w:val="22"/>
          <w:lang w:val="sr-Latn-ME"/>
        </w:rPr>
        <w:t>j</w:t>
      </w:r>
      <w:r w:rsidRPr="00853B61">
        <w:rPr>
          <w:sz w:val="22"/>
          <w:szCs w:val="22"/>
          <w:lang w:val="sr-Latn-ME"/>
        </w:rPr>
        <w:t>elje, svi pacijenti su dobili danikopan kao dodatak osnovnoj terapiji ravulizumabom ili ekulizumabom</w:t>
      </w:r>
      <w:r w:rsidR="00237EA4" w:rsidRPr="00853B61">
        <w:rPr>
          <w:sz w:val="22"/>
          <w:szCs w:val="22"/>
          <w:lang w:val="sr-Latn-ME"/>
        </w:rPr>
        <w:t xml:space="preserve"> </w:t>
      </w:r>
      <w:r w:rsidRPr="00853B61">
        <w:rPr>
          <w:sz w:val="22"/>
          <w:szCs w:val="22"/>
          <w:lang w:val="sr-Latn-ME"/>
        </w:rPr>
        <w:t>do 24. ned</w:t>
      </w:r>
      <w:r w:rsidR="00180A70" w:rsidRPr="00853B61">
        <w:rPr>
          <w:sz w:val="22"/>
          <w:szCs w:val="22"/>
          <w:lang w:val="sr-Latn-ME"/>
        </w:rPr>
        <w:t>j</w:t>
      </w:r>
      <w:r w:rsidRPr="00853B61">
        <w:rPr>
          <w:sz w:val="22"/>
          <w:szCs w:val="22"/>
          <w:lang w:val="sr-Latn-ME"/>
        </w:rPr>
        <w:t>elje. Na kraju perioda terapije (24. ned</w:t>
      </w:r>
      <w:r w:rsidR="00180A70" w:rsidRPr="00853B61">
        <w:rPr>
          <w:sz w:val="22"/>
          <w:szCs w:val="22"/>
          <w:lang w:val="sr-Latn-ME"/>
        </w:rPr>
        <w:t>j</w:t>
      </w:r>
      <w:r w:rsidRPr="00853B61">
        <w:rPr>
          <w:sz w:val="22"/>
          <w:szCs w:val="22"/>
          <w:lang w:val="sr-Latn-ME"/>
        </w:rPr>
        <w:t>elja), pacijentima je ponuđeno da uđu u period dugoročnog produžetka studije (LTE) i nastavili su da primaju danikopan sa osnovnom terapijom ravulizumabom ili ekulizumabom.</w:t>
      </w:r>
    </w:p>
    <w:p w14:paraId="6E9B4938" w14:textId="77777777" w:rsidR="00784247" w:rsidRPr="00853B61" w:rsidRDefault="00784247" w:rsidP="004B1590">
      <w:pPr>
        <w:tabs>
          <w:tab w:val="left" w:pos="540"/>
          <w:tab w:val="left" w:pos="569"/>
        </w:tabs>
        <w:jc w:val="both"/>
        <w:rPr>
          <w:sz w:val="22"/>
          <w:szCs w:val="22"/>
          <w:lang w:val="sr-Latn-ME"/>
        </w:rPr>
      </w:pPr>
    </w:p>
    <w:p w14:paraId="103A8C82" w14:textId="56679855" w:rsidR="00784247" w:rsidRPr="00853B61" w:rsidRDefault="00784247" w:rsidP="004B1590">
      <w:pPr>
        <w:tabs>
          <w:tab w:val="left" w:pos="540"/>
          <w:tab w:val="left" w:pos="569"/>
        </w:tabs>
        <w:jc w:val="both"/>
        <w:rPr>
          <w:sz w:val="22"/>
          <w:szCs w:val="22"/>
          <w:lang w:val="sr-Latn-ME"/>
        </w:rPr>
      </w:pPr>
      <w:r w:rsidRPr="00853B61">
        <w:rPr>
          <w:sz w:val="22"/>
          <w:szCs w:val="22"/>
          <w:lang w:val="sr-Latn-ME"/>
        </w:rPr>
        <w:t>Demografske ili početne karakteristike su generalno bile izbalansirane između terapijskih grupa. Medicinska istorija PNH bila je slična između terapijske grupe i kontrolne grupe koja je primala placebo. Srednji uzrast na početku bio je 52,8 godina, a većina pacijenata su bile žene (62,8%). Srednje početne vr</w:t>
      </w:r>
      <w:r w:rsidR="00180A70" w:rsidRPr="00853B61">
        <w:rPr>
          <w:sz w:val="22"/>
          <w:szCs w:val="22"/>
          <w:lang w:val="sr-Latn-ME"/>
        </w:rPr>
        <w:t>ij</w:t>
      </w:r>
      <w:r w:rsidRPr="00853B61">
        <w:rPr>
          <w:sz w:val="22"/>
          <w:szCs w:val="22"/>
          <w:lang w:val="sr-Latn-ME"/>
        </w:rPr>
        <w:t>ednosti nivoa hemoglobina su bile 7,75 g/d</w:t>
      </w:r>
      <w:r w:rsidR="00180A70" w:rsidRPr="00853B61">
        <w:rPr>
          <w:sz w:val="22"/>
          <w:szCs w:val="22"/>
          <w:lang w:val="sr-Latn-ME"/>
        </w:rPr>
        <w:t>l</w:t>
      </w:r>
      <w:r w:rsidRPr="00853B61">
        <w:rPr>
          <w:sz w:val="22"/>
          <w:szCs w:val="22"/>
          <w:lang w:val="sr-Latn-ME"/>
        </w:rPr>
        <w:t xml:space="preserve"> [4,81 mmol/l], a srednji broj retikulocita je bio 239,40 × 10</w:t>
      </w:r>
      <w:r w:rsidRPr="00853B61">
        <w:rPr>
          <w:sz w:val="22"/>
          <w:szCs w:val="22"/>
          <w:vertAlign w:val="superscript"/>
          <w:lang w:val="sr-Latn-ME"/>
        </w:rPr>
        <w:t>9</w:t>
      </w:r>
      <w:r w:rsidRPr="00853B61">
        <w:rPr>
          <w:sz w:val="22"/>
          <w:szCs w:val="22"/>
          <w:lang w:val="sr-Latn-ME"/>
        </w:rPr>
        <w:t>/l. U roku od 24 ned</w:t>
      </w:r>
      <w:r w:rsidR="00180A70" w:rsidRPr="00853B61">
        <w:rPr>
          <w:sz w:val="22"/>
          <w:szCs w:val="22"/>
          <w:lang w:val="sr-Latn-ME"/>
        </w:rPr>
        <w:t>j</w:t>
      </w:r>
      <w:r w:rsidRPr="00853B61">
        <w:rPr>
          <w:sz w:val="22"/>
          <w:szCs w:val="22"/>
          <w:lang w:val="sr-Latn-ME"/>
        </w:rPr>
        <w:t>elje pr</w:t>
      </w:r>
      <w:r w:rsidR="00180A70" w:rsidRPr="00853B61">
        <w:rPr>
          <w:sz w:val="22"/>
          <w:szCs w:val="22"/>
          <w:lang w:val="sr-Latn-ME"/>
        </w:rPr>
        <w:t>ij</w:t>
      </w:r>
      <w:r w:rsidRPr="00853B61">
        <w:rPr>
          <w:sz w:val="22"/>
          <w:szCs w:val="22"/>
          <w:lang w:val="sr-Latn-ME"/>
        </w:rPr>
        <w:t>e prve doze, 76 pacijenata (88,4%) imalo je transfuziju pRBC/pune krvi, a pros</w:t>
      </w:r>
      <w:r w:rsidR="00180A70" w:rsidRPr="00853B61">
        <w:rPr>
          <w:sz w:val="22"/>
          <w:szCs w:val="22"/>
          <w:lang w:val="sr-Latn-ME"/>
        </w:rPr>
        <w:t>j</w:t>
      </w:r>
      <w:r w:rsidRPr="00853B61">
        <w:rPr>
          <w:sz w:val="22"/>
          <w:szCs w:val="22"/>
          <w:lang w:val="sr-Latn-ME"/>
        </w:rPr>
        <w:t>ečan broj instanci transfuzije bio je 2,6. Srednja vr</w:t>
      </w:r>
      <w:r w:rsidR="00180A70" w:rsidRPr="00853B61">
        <w:rPr>
          <w:sz w:val="22"/>
          <w:szCs w:val="22"/>
          <w:lang w:val="sr-Latn-ME"/>
        </w:rPr>
        <w:t>ij</w:t>
      </w:r>
      <w:r w:rsidRPr="00853B61">
        <w:rPr>
          <w:sz w:val="22"/>
          <w:szCs w:val="22"/>
          <w:lang w:val="sr-Latn-ME"/>
        </w:rPr>
        <w:t>ednost nivoa LDH bila je 298,13 U/</w:t>
      </w:r>
      <w:r w:rsidR="00B41AA0" w:rsidRPr="00853B61">
        <w:rPr>
          <w:sz w:val="22"/>
          <w:szCs w:val="22"/>
          <w:lang w:val="sr-Latn-ME"/>
        </w:rPr>
        <w:t>l</w:t>
      </w:r>
      <w:r w:rsidRPr="00853B61">
        <w:rPr>
          <w:sz w:val="22"/>
          <w:szCs w:val="22"/>
          <w:lang w:val="sr-Latn-ME"/>
        </w:rPr>
        <w:t>, a srednji rezultati</w:t>
      </w:r>
      <w:r w:rsidR="00882E62" w:rsidRPr="00853B61">
        <w:rPr>
          <w:sz w:val="22"/>
          <w:szCs w:val="22"/>
          <w:lang w:val="sr-Latn-ME"/>
        </w:rPr>
        <w:t xml:space="preserve"> </w:t>
      </w:r>
      <w:r w:rsidRPr="00853B61">
        <w:rPr>
          <w:sz w:val="22"/>
          <w:szCs w:val="22"/>
          <w:lang w:val="sr-Latn-ME"/>
        </w:rPr>
        <w:t>na skali FACIT-</w:t>
      </w:r>
      <w:r w:rsidR="00882E62" w:rsidRPr="00853B61">
        <w:rPr>
          <w:sz w:val="22"/>
          <w:szCs w:val="22"/>
          <w:lang w:val="sr-Latn-ME"/>
        </w:rPr>
        <w:t>u</w:t>
      </w:r>
      <w:r w:rsidRPr="00853B61">
        <w:rPr>
          <w:sz w:val="22"/>
          <w:szCs w:val="22"/>
          <w:lang w:val="sr-Latn-ME"/>
        </w:rPr>
        <w:t>mor</w:t>
      </w:r>
      <w:r w:rsidR="00882E62" w:rsidRPr="00853B61">
        <w:rPr>
          <w:sz w:val="22"/>
          <w:szCs w:val="22"/>
          <w:lang w:val="sr-Latn-ME"/>
        </w:rPr>
        <w:t xml:space="preserve"> (rezultat za umor prema Upitniku za funkcionalnu procjenu terapije za hroničnu bolest [engl. </w:t>
      </w:r>
      <w:r w:rsidR="00882E62" w:rsidRPr="00853B61">
        <w:rPr>
          <w:i/>
          <w:sz w:val="22"/>
          <w:szCs w:val="22"/>
          <w:lang w:val="sr-Latn-ME"/>
        </w:rPr>
        <w:t>Functional Assessment of Chronic Illnes Therapy</w:t>
      </w:r>
      <w:r w:rsidR="00882E62" w:rsidRPr="00853B61">
        <w:rPr>
          <w:sz w:val="22"/>
          <w:szCs w:val="22"/>
          <w:lang w:val="sr-Latn-ME"/>
        </w:rPr>
        <w:t>, FACIT])</w:t>
      </w:r>
      <w:r w:rsidRPr="00853B61">
        <w:rPr>
          <w:sz w:val="22"/>
          <w:szCs w:val="22"/>
          <w:lang w:val="sr-Latn-ME"/>
        </w:rPr>
        <w:t xml:space="preserve"> bili su 33,24. U studiju je uključen 51 pacijent (59,3%) na ravulizumabu i 35 pacijenata (40,7%) na ekulizumabu.</w:t>
      </w:r>
    </w:p>
    <w:p w14:paraId="6543E8B1" w14:textId="77777777" w:rsidR="00237EA4" w:rsidRPr="00853B61" w:rsidRDefault="00237EA4" w:rsidP="004B1590">
      <w:pPr>
        <w:tabs>
          <w:tab w:val="left" w:pos="540"/>
          <w:tab w:val="left" w:pos="569"/>
        </w:tabs>
        <w:jc w:val="both"/>
        <w:rPr>
          <w:sz w:val="22"/>
          <w:szCs w:val="22"/>
          <w:lang w:val="sr-Latn-ME"/>
        </w:rPr>
      </w:pPr>
    </w:p>
    <w:p w14:paraId="312D1E69" w14:textId="3952971F" w:rsidR="00784247" w:rsidRPr="00853B61" w:rsidRDefault="00784247" w:rsidP="004B1590">
      <w:pPr>
        <w:tabs>
          <w:tab w:val="left" w:pos="540"/>
          <w:tab w:val="left" w:pos="569"/>
        </w:tabs>
        <w:jc w:val="both"/>
        <w:rPr>
          <w:sz w:val="22"/>
          <w:szCs w:val="22"/>
          <w:lang w:val="sr-Latn-ME"/>
        </w:rPr>
      </w:pPr>
      <w:r w:rsidRPr="00853B61">
        <w:rPr>
          <w:sz w:val="22"/>
          <w:szCs w:val="22"/>
          <w:lang w:val="sr-Latn-ME"/>
        </w:rPr>
        <w:t>Primarni parametar praćenja bio je prom</w:t>
      </w:r>
      <w:r w:rsidR="00180A70" w:rsidRPr="00853B61">
        <w:rPr>
          <w:sz w:val="22"/>
          <w:szCs w:val="22"/>
          <w:lang w:val="sr-Latn-ME"/>
        </w:rPr>
        <w:t>j</w:t>
      </w:r>
      <w:r w:rsidRPr="00853B61">
        <w:rPr>
          <w:sz w:val="22"/>
          <w:szCs w:val="22"/>
          <w:lang w:val="sr-Latn-ME"/>
        </w:rPr>
        <w:t>ena u nivou Hgb od početne vr</w:t>
      </w:r>
      <w:r w:rsidR="00180A70" w:rsidRPr="00853B61">
        <w:rPr>
          <w:sz w:val="22"/>
          <w:szCs w:val="22"/>
          <w:lang w:val="sr-Latn-ME"/>
        </w:rPr>
        <w:t>ij</w:t>
      </w:r>
      <w:r w:rsidRPr="00853B61">
        <w:rPr>
          <w:sz w:val="22"/>
          <w:szCs w:val="22"/>
          <w:lang w:val="sr-Latn-ME"/>
        </w:rPr>
        <w:t>ednosti do 12. ned</w:t>
      </w:r>
      <w:r w:rsidR="00180A70" w:rsidRPr="00853B61">
        <w:rPr>
          <w:sz w:val="22"/>
          <w:szCs w:val="22"/>
          <w:lang w:val="sr-Latn-ME"/>
        </w:rPr>
        <w:t>j</w:t>
      </w:r>
      <w:r w:rsidRPr="00853B61">
        <w:rPr>
          <w:sz w:val="22"/>
          <w:szCs w:val="22"/>
          <w:lang w:val="sr-Latn-ME"/>
        </w:rPr>
        <w:t>elje. Sekundarni parametri praćenja bili su ud</w:t>
      </w:r>
      <w:r w:rsidR="00180A70" w:rsidRPr="00853B61">
        <w:rPr>
          <w:sz w:val="22"/>
          <w:szCs w:val="22"/>
          <w:lang w:val="sr-Latn-ME"/>
        </w:rPr>
        <w:t>i</w:t>
      </w:r>
      <w:r w:rsidRPr="00853B61">
        <w:rPr>
          <w:sz w:val="22"/>
          <w:szCs w:val="22"/>
          <w:lang w:val="sr-Latn-ME"/>
        </w:rPr>
        <w:t>o pacijenata sa povećanjem Hgb od ≥ 2 g/d</w:t>
      </w:r>
      <w:r w:rsidR="00180A70" w:rsidRPr="00853B61">
        <w:rPr>
          <w:sz w:val="22"/>
          <w:szCs w:val="22"/>
          <w:lang w:val="sr-Latn-ME"/>
        </w:rPr>
        <w:t>l</w:t>
      </w:r>
      <w:r w:rsidRPr="00853B61">
        <w:rPr>
          <w:sz w:val="22"/>
          <w:szCs w:val="22"/>
          <w:lang w:val="sr-Latn-ME"/>
        </w:rPr>
        <w:t xml:space="preserve"> [1,2 mmol/</w:t>
      </w:r>
      <w:r w:rsidR="00180A70" w:rsidRPr="00853B61">
        <w:rPr>
          <w:sz w:val="22"/>
          <w:szCs w:val="22"/>
          <w:lang w:val="sr-Latn-ME"/>
        </w:rPr>
        <w:t>l</w:t>
      </w:r>
      <w:r w:rsidRPr="00853B61">
        <w:rPr>
          <w:sz w:val="22"/>
          <w:szCs w:val="22"/>
          <w:lang w:val="sr-Latn-ME"/>
        </w:rPr>
        <w:t>] u 12. ned</w:t>
      </w:r>
      <w:r w:rsidR="00180A70" w:rsidRPr="00853B61">
        <w:rPr>
          <w:sz w:val="22"/>
          <w:szCs w:val="22"/>
          <w:lang w:val="sr-Latn-ME"/>
        </w:rPr>
        <w:t>j</w:t>
      </w:r>
      <w:r w:rsidRPr="00853B61">
        <w:rPr>
          <w:sz w:val="22"/>
          <w:szCs w:val="22"/>
          <w:lang w:val="sr-Latn-ME"/>
        </w:rPr>
        <w:t>elji u odsustvu transfuzija, ud</w:t>
      </w:r>
      <w:r w:rsidR="00180A70" w:rsidRPr="00853B61">
        <w:rPr>
          <w:sz w:val="22"/>
          <w:szCs w:val="22"/>
          <w:lang w:val="sr-Latn-ME"/>
        </w:rPr>
        <w:t>i</w:t>
      </w:r>
      <w:r w:rsidRPr="00853B61">
        <w:rPr>
          <w:sz w:val="22"/>
          <w:szCs w:val="22"/>
          <w:lang w:val="sr-Latn-ME"/>
        </w:rPr>
        <w:t>o pacijenata sa izb</w:t>
      </w:r>
      <w:r w:rsidR="00180A70" w:rsidRPr="00853B61">
        <w:rPr>
          <w:sz w:val="22"/>
          <w:szCs w:val="22"/>
          <w:lang w:val="sr-Latn-ME"/>
        </w:rPr>
        <w:t>j</w:t>
      </w:r>
      <w:r w:rsidRPr="00853B61">
        <w:rPr>
          <w:sz w:val="22"/>
          <w:szCs w:val="22"/>
          <w:lang w:val="sr-Latn-ME"/>
        </w:rPr>
        <w:t>egavanjem transfuzije do 12. ned</w:t>
      </w:r>
      <w:r w:rsidR="00180A70" w:rsidRPr="00853B61">
        <w:rPr>
          <w:sz w:val="22"/>
          <w:szCs w:val="22"/>
          <w:lang w:val="sr-Latn-ME"/>
        </w:rPr>
        <w:t>j</w:t>
      </w:r>
      <w:r w:rsidRPr="00853B61">
        <w:rPr>
          <w:sz w:val="22"/>
          <w:szCs w:val="22"/>
          <w:lang w:val="sr-Latn-ME"/>
        </w:rPr>
        <w:t>elje, prom</w:t>
      </w:r>
      <w:r w:rsidR="00180A70" w:rsidRPr="00853B61">
        <w:rPr>
          <w:sz w:val="22"/>
          <w:szCs w:val="22"/>
          <w:lang w:val="sr-Latn-ME"/>
        </w:rPr>
        <w:t>j</w:t>
      </w:r>
      <w:r w:rsidRPr="00853B61">
        <w:rPr>
          <w:sz w:val="22"/>
          <w:szCs w:val="22"/>
          <w:lang w:val="sr-Latn-ME"/>
        </w:rPr>
        <w:t>ena u odnosu na početnu vr</w:t>
      </w:r>
      <w:r w:rsidR="00180A70" w:rsidRPr="00853B61">
        <w:rPr>
          <w:sz w:val="22"/>
          <w:szCs w:val="22"/>
          <w:lang w:val="sr-Latn-ME"/>
        </w:rPr>
        <w:t>ij</w:t>
      </w:r>
      <w:r w:rsidRPr="00853B61">
        <w:rPr>
          <w:sz w:val="22"/>
          <w:szCs w:val="22"/>
          <w:lang w:val="sr-Latn-ME"/>
        </w:rPr>
        <w:t>ednost rezultata na skali Funkcionalna proc</w:t>
      </w:r>
      <w:r w:rsidR="00180A70" w:rsidRPr="00853B61">
        <w:rPr>
          <w:sz w:val="22"/>
          <w:szCs w:val="22"/>
          <w:lang w:val="sr-Latn-ME"/>
        </w:rPr>
        <w:t>j</w:t>
      </w:r>
      <w:r w:rsidRPr="00853B61">
        <w:rPr>
          <w:sz w:val="22"/>
          <w:szCs w:val="22"/>
          <w:lang w:val="sr-Latn-ME"/>
        </w:rPr>
        <w:t>ena terapije za hroničnu bolest (FACIT) za umor u 12. ned</w:t>
      </w:r>
      <w:r w:rsidR="00180A70" w:rsidRPr="00853B61">
        <w:rPr>
          <w:sz w:val="22"/>
          <w:szCs w:val="22"/>
          <w:lang w:val="sr-Latn-ME"/>
        </w:rPr>
        <w:t>j</w:t>
      </w:r>
      <w:r w:rsidRPr="00853B61">
        <w:rPr>
          <w:sz w:val="22"/>
          <w:szCs w:val="22"/>
          <w:lang w:val="sr-Latn-ME"/>
        </w:rPr>
        <w:t>elji i prom</w:t>
      </w:r>
      <w:r w:rsidR="00180A70" w:rsidRPr="00853B61">
        <w:rPr>
          <w:sz w:val="22"/>
          <w:szCs w:val="22"/>
          <w:lang w:val="sr-Latn-ME"/>
        </w:rPr>
        <w:t>j</w:t>
      </w:r>
      <w:r w:rsidRPr="00853B61">
        <w:rPr>
          <w:sz w:val="22"/>
          <w:szCs w:val="22"/>
          <w:lang w:val="sr-Latn-ME"/>
        </w:rPr>
        <w:t>ena u odnosnu na početnu vr</w:t>
      </w:r>
      <w:r w:rsidR="00180A70" w:rsidRPr="00853B61">
        <w:rPr>
          <w:sz w:val="22"/>
          <w:szCs w:val="22"/>
          <w:lang w:val="sr-Latn-ME"/>
        </w:rPr>
        <w:t>ij</w:t>
      </w:r>
      <w:r w:rsidRPr="00853B61">
        <w:rPr>
          <w:sz w:val="22"/>
          <w:szCs w:val="22"/>
          <w:lang w:val="sr-Latn-ME"/>
        </w:rPr>
        <w:t>ednost u apsolutnom broju retikulocita u 12. ned</w:t>
      </w:r>
      <w:r w:rsidR="00180A70" w:rsidRPr="00853B61">
        <w:rPr>
          <w:sz w:val="22"/>
          <w:szCs w:val="22"/>
          <w:lang w:val="sr-Latn-ME"/>
        </w:rPr>
        <w:t>j</w:t>
      </w:r>
      <w:r w:rsidRPr="00853B61">
        <w:rPr>
          <w:sz w:val="22"/>
          <w:szCs w:val="22"/>
          <w:lang w:val="sr-Latn-ME"/>
        </w:rPr>
        <w:t>elji. Smatralo se da je izb</w:t>
      </w:r>
      <w:r w:rsidR="00180A70" w:rsidRPr="00853B61">
        <w:rPr>
          <w:sz w:val="22"/>
          <w:szCs w:val="22"/>
          <w:lang w:val="sr-Latn-ME"/>
        </w:rPr>
        <w:t>j</w:t>
      </w:r>
      <w:r w:rsidRPr="00853B61">
        <w:rPr>
          <w:sz w:val="22"/>
          <w:szCs w:val="22"/>
          <w:lang w:val="sr-Latn-ME"/>
        </w:rPr>
        <w:t>egavanje postignuto samo kod pacijenata koji ni</w:t>
      </w:r>
      <w:r w:rsidR="00882E62" w:rsidRPr="00853B61">
        <w:rPr>
          <w:sz w:val="22"/>
          <w:szCs w:val="22"/>
          <w:lang w:val="sr-Latn-ME"/>
        </w:rPr>
        <w:t>je</w:t>
      </w:r>
      <w:r w:rsidRPr="00853B61">
        <w:rPr>
          <w:sz w:val="22"/>
          <w:szCs w:val="22"/>
          <w:lang w:val="sr-Latn-ME"/>
        </w:rPr>
        <w:t>su primili transfuziju i ni</w:t>
      </w:r>
      <w:r w:rsidR="00882E62" w:rsidRPr="00853B61">
        <w:rPr>
          <w:sz w:val="22"/>
          <w:szCs w:val="22"/>
          <w:lang w:val="sr-Latn-ME"/>
        </w:rPr>
        <w:t>je</w:t>
      </w:r>
      <w:r w:rsidRPr="00853B61">
        <w:rPr>
          <w:sz w:val="22"/>
          <w:szCs w:val="22"/>
          <w:lang w:val="sr-Latn-ME"/>
        </w:rPr>
        <w:t>su ispunili uslove za transfuziju određene protokolom od početne pos</w:t>
      </w:r>
      <w:r w:rsidR="00180A70" w:rsidRPr="00853B61">
        <w:rPr>
          <w:sz w:val="22"/>
          <w:szCs w:val="22"/>
          <w:lang w:val="sr-Latn-ME"/>
        </w:rPr>
        <w:t>j</w:t>
      </w:r>
      <w:r w:rsidRPr="00853B61">
        <w:rPr>
          <w:sz w:val="22"/>
          <w:szCs w:val="22"/>
          <w:lang w:val="sr-Latn-ME"/>
        </w:rPr>
        <w:t>ete do 1. perioda terapije od 12 ned</w:t>
      </w:r>
      <w:r w:rsidR="00180A70" w:rsidRPr="00853B61">
        <w:rPr>
          <w:sz w:val="22"/>
          <w:szCs w:val="22"/>
          <w:lang w:val="sr-Latn-ME"/>
        </w:rPr>
        <w:t>j</w:t>
      </w:r>
      <w:r w:rsidRPr="00853B61">
        <w:rPr>
          <w:sz w:val="22"/>
          <w:szCs w:val="22"/>
          <w:lang w:val="sr-Latn-ME"/>
        </w:rPr>
        <w:t>elja.</w:t>
      </w:r>
    </w:p>
    <w:p w14:paraId="2AF46B0D" w14:textId="77777777" w:rsidR="00784247" w:rsidRPr="00853B61" w:rsidRDefault="00784247" w:rsidP="004B1590">
      <w:pPr>
        <w:tabs>
          <w:tab w:val="left" w:pos="540"/>
          <w:tab w:val="left" w:pos="569"/>
        </w:tabs>
        <w:jc w:val="both"/>
        <w:rPr>
          <w:sz w:val="22"/>
          <w:szCs w:val="22"/>
          <w:lang w:val="sr-Latn-ME"/>
        </w:rPr>
      </w:pPr>
    </w:p>
    <w:p w14:paraId="4525B9C6" w14:textId="673AC96C" w:rsidR="00784247" w:rsidRPr="00853B61" w:rsidRDefault="00784247" w:rsidP="004B1590">
      <w:pPr>
        <w:tabs>
          <w:tab w:val="left" w:pos="540"/>
          <w:tab w:val="left" w:pos="569"/>
        </w:tabs>
        <w:jc w:val="both"/>
        <w:rPr>
          <w:sz w:val="22"/>
          <w:szCs w:val="22"/>
          <w:lang w:val="sr-Latn-ME"/>
        </w:rPr>
      </w:pPr>
      <w:r w:rsidRPr="00853B61">
        <w:rPr>
          <w:sz w:val="22"/>
          <w:szCs w:val="22"/>
          <w:lang w:val="sr-Latn-ME"/>
        </w:rPr>
        <w:t>Primarni dokazi za analizu efikasnosti zasnovani su na unapr</w:t>
      </w:r>
      <w:r w:rsidR="00180A70" w:rsidRPr="00853B61">
        <w:rPr>
          <w:sz w:val="22"/>
          <w:szCs w:val="22"/>
          <w:lang w:val="sr-Latn-ME"/>
        </w:rPr>
        <w:t>ij</w:t>
      </w:r>
      <w:r w:rsidRPr="00853B61">
        <w:rPr>
          <w:sz w:val="22"/>
          <w:szCs w:val="22"/>
          <w:lang w:val="sr-Latn-ME"/>
        </w:rPr>
        <w:t>ed određenoj analizi koja je obavljena kada su prva 63 randomizovana ispitanika stigla do kraja (bilo da su završili ili prekinuli) 1. period terapije od 12 ned</w:t>
      </w:r>
      <w:r w:rsidR="00180A70" w:rsidRPr="00853B61">
        <w:rPr>
          <w:sz w:val="22"/>
          <w:szCs w:val="22"/>
          <w:lang w:val="sr-Latn-ME"/>
        </w:rPr>
        <w:t>j</w:t>
      </w:r>
      <w:r w:rsidRPr="00853B61">
        <w:rPr>
          <w:sz w:val="22"/>
          <w:szCs w:val="22"/>
          <w:lang w:val="sr-Latn-ME"/>
        </w:rPr>
        <w:t xml:space="preserve">elja. Danikopan kao dodatak ravulizumabu ili ekulizumabu bio je superiorniji u </w:t>
      </w:r>
      <w:r w:rsidRPr="00853B61">
        <w:rPr>
          <w:sz w:val="22"/>
          <w:szCs w:val="22"/>
          <w:lang w:val="sr-Latn-ME"/>
        </w:rPr>
        <w:lastRenderedPageBreak/>
        <w:t>odnosu na placebo kao dodatak ravulizumabu ili ekulizumabu za primarni parametar praćenja i doveo je do statistički značajnog povećanja nivoa Hgb od početne pos</w:t>
      </w:r>
      <w:r w:rsidR="00592D8E" w:rsidRPr="00853B61">
        <w:rPr>
          <w:sz w:val="22"/>
          <w:szCs w:val="22"/>
          <w:lang w:val="sr-Latn-ME"/>
        </w:rPr>
        <w:t>j</w:t>
      </w:r>
      <w:r w:rsidRPr="00853B61">
        <w:rPr>
          <w:sz w:val="22"/>
          <w:szCs w:val="22"/>
          <w:lang w:val="sr-Latn-ME"/>
        </w:rPr>
        <w:t>ete do 12. ned</w:t>
      </w:r>
      <w:r w:rsidR="00592D8E" w:rsidRPr="00853B61">
        <w:rPr>
          <w:sz w:val="22"/>
          <w:szCs w:val="22"/>
          <w:lang w:val="sr-Latn-ME"/>
        </w:rPr>
        <w:t>j</w:t>
      </w:r>
      <w:r w:rsidRPr="00853B61">
        <w:rPr>
          <w:sz w:val="22"/>
          <w:szCs w:val="22"/>
          <w:lang w:val="sr-Latn-ME"/>
        </w:rPr>
        <w:t>elje. Srednja LS pros</w:t>
      </w:r>
      <w:r w:rsidR="00592D8E" w:rsidRPr="00853B61">
        <w:rPr>
          <w:sz w:val="22"/>
          <w:szCs w:val="22"/>
          <w:lang w:val="sr-Latn-ME"/>
        </w:rPr>
        <w:t>j</w:t>
      </w:r>
      <w:r w:rsidRPr="00853B61">
        <w:rPr>
          <w:sz w:val="22"/>
          <w:szCs w:val="22"/>
          <w:lang w:val="sr-Latn-ME"/>
        </w:rPr>
        <w:t>ečna u HgB prom</w:t>
      </w:r>
      <w:r w:rsidR="00592D8E" w:rsidRPr="00853B61">
        <w:rPr>
          <w:sz w:val="22"/>
          <w:szCs w:val="22"/>
          <w:lang w:val="sr-Latn-ME"/>
        </w:rPr>
        <w:t>j</w:t>
      </w:r>
      <w:r w:rsidRPr="00853B61">
        <w:rPr>
          <w:sz w:val="22"/>
          <w:szCs w:val="22"/>
          <w:lang w:val="sr-Latn-ME"/>
        </w:rPr>
        <w:t>ena od početne vr</w:t>
      </w:r>
      <w:r w:rsidR="00592D8E" w:rsidRPr="00853B61">
        <w:rPr>
          <w:sz w:val="22"/>
          <w:szCs w:val="22"/>
          <w:lang w:val="sr-Latn-ME"/>
        </w:rPr>
        <w:t>ij</w:t>
      </w:r>
      <w:r w:rsidRPr="00853B61">
        <w:rPr>
          <w:sz w:val="22"/>
          <w:szCs w:val="22"/>
          <w:lang w:val="sr-Latn-ME"/>
        </w:rPr>
        <w:t>ednosti bila je 2,94 g/dl [1,82 mmol/l] u grupi koja je primala danikopan u odnosu na 0,50 g/dl [0,31 mmol/l] u grupi koja je primala placebo. Razlika terapijske grupe bila je 2,44 g/dl [1,51 mmol/</w:t>
      </w:r>
      <w:r w:rsidR="00E541AC" w:rsidRPr="00853B61">
        <w:rPr>
          <w:sz w:val="22"/>
          <w:szCs w:val="22"/>
          <w:lang w:val="sr-Latn-ME"/>
        </w:rPr>
        <w:t>l</w:t>
      </w:r>
      <w:r w:rsidRPr="00853B61">
        <w:rPr>
          <w:sz w:val="22"/>
          <w:szCs w:val="22"/>
          <w:lang w:val="sr-Latn-ME"/>
        </w:rPr>
        <w:t>] (95% CI: 1,69 [1,05], 3,20 [1,99]); p &lt; 0,0001). Danikopan je takođe postigao statistički značajno poboljšanje u poređenju sa placebom za sva 4 sekundarna parametra praćenja: ud</w:t>
      </w:r>
      <w:r w:rsidR="00592D8E" w:rsidRPr="00853B61">
        <w:rPr>
          <w:sz w:val="22"/>
          <w:szCs w:val="22"/>
          <w:lang w:val="sr-Latn-ME"/>
        </w:rPr>
        <w:t>i</w:t>
      </w:r>
      <w:r w:rsidRPr="00853B61">
        <w:rPr>
          <w:sz w:val="22"/>
          <w:szCs w:val="22"/>
          <w:lang w:val="sr-Latn-ME"/>
        </w:rPr>
        <w:t>o pacijenata sa povećanjem Hgb od ≥ 2 g/dl [1,2 mmol/l] u nedostatku transfuzije (59,5% u odnosu na 0%, terapijska razlika: 46,9 [95% CI: 29,2, 64,7]; p &lt; 0,0001), ud</w:t>
      </w:r>
      <w:r w:rsidR="00592D8E" w:rsidRPr="00853B61">
        <w:rPr>
          <w:sz w:val="22"/>
          <w:szCs w:val="22"/>
          <w:lang w:val="sr-Latn-ME"/>
        </w:rPr>
        <w:t>i</w:t>
      </w:r>
      <w:r w:rsidRPr="00853B61">
        <w:rPr>
          <w:sz w:val="22"/>
          <w:szCs w:val="22"/>
          <w:lang w:val="sr-Latn-ME"/>
        </w:rPr>
        <w:t>o pacijenata s izb</w:t>
      </w:r>
      <w:r w:rsidR="00592D8E" w:rsidRPr="00853B61">
        <w:rPr>
          <w:sz w:val="22"/>
          <w:szCs w:val="22"/>
          <w:lang w:val="sr-Latn-ME"/>
        </w:rPr>
        <w:t>j</w:t>
      </w:r>
      <w:r w:rsidRPr="00853B61">
        <w:rPr>
          <w:sz w:val="22"/>
          <w:szCs w:val="22"/>
          <w:lang w:val="sr-Latn-ME"/>
        </w:rPr>
        <w:t>egavanjem transfuzije (83,3% u odnosu na 38,1%, terapijska razlika: 41,7 [95% CI: 22,7, 60,8]; p = 0,0004), prom</w:t>
      </w:r>
      <w:r w:rsidR="00592D8E" w:rsidRPr="00853B61">
        <w:rPr>
          <w:sz w:val="22"/>
          <w:szCs w:val="22"/>
          <w:lang w:val="sr-Latn-ME"/>
        </w:rPr>
        <w:t>j</w:t>
      </w:r>
      <w:r w:rsidRPr="00853B61">
        <w:rPr>
          <w:sz w:val="22"/>
          <w:szCs w:val="22"/>
          <w:lang w:val="sr-Latn-ME"/>
        </w:rPr>
        <w:t>ena u rezultatu na skali FACIT-Umor (7,97 u odnosu na 1,85,</w:t>
      </w:r>
      <w:r w:rsidR="00882E62" w:rsidRPr="00853B61">
        <w:rPr>
          <w:sz w:val="22"/>
          <w:szCs w:val="22"/>
          <w:lang w:val="sr-Latn-ME"/>
        </w:rPr>
        <w:t xml:space="preserve"> </w:t>
      </w:r>
      <w:r w:rsidRPr="00853B61">
        <w:rPr>
          <w:sz w:val="22"/>
          <w:szCs w:val="22"/>
          <w:lang w:val="sr-Latn-ME"/>
        </w:rPr>
        <w:t>terapijska razlika: 6,12 [95% CI: 2,33, 9,91), p</w:t>
      </w:r>
      <w:r w:rsidR="00882E62" w:rsidRPr="00853B61">
        <w:rPr>
          <w:sz w:val="22"/>
          <w:szCs w:val="22"/>
          <w:lang w:val="sr-Latn-ME"/>
        </w:rPr>
        <w:t xml:space="preserve"> </w:t>
      </w:r>
      <w:r w:rsidRPr="00853B61">
        <w:rPr>
          <w:sz w:val="22"/>
          <w:szCs w:val="22"/>
          <w:lang w:val="sr-Latn-ME"/>
        </w:rPr>
        <w:t>=</w:t>
      </w:r>
      <w:r w:rsidR="00882E62" w:rsidRPr="00853B61">
        <w:rPr>
          <w:sz w:val="22"/>
          <w:szCs w:val="22"/>
          <w:lang w:val="sr-Latn-ME"/>
        </w:rPr>
        <w:t xml:space="preserve"> </w:t>
      </w:r>
      <w:r w:rsidRPr="00853B61">
        <w:rPr>
          <w:sz w:val="22"/>
          <w:szCs w:val="22"/>
          <w:lang w:val="sr-Latn-ME"/>
        </w:rPr>
        <w:t>0,0021] i prom</w:t>
      </w:r>
      <w:r w:rsidR="00592D8E" w:rsidRPr="00853B61">
        <w:rPr>
          <w:sz w:val="22"/>
          <w:szCs w:val="22"/>
          <w:lang w:val="sr-Latn-ME"/>
        </w:rPr>
        <w:t>j</w:t>
      </w:r>
      <w:r w:rsidRPr="00853B61">
        <w:rPr>
          <w:sz w:val="22"/>
          <w:szCs w:val="22"/>
          <w:lang w:val="sr-Latn-ME"/>
        </w:rPr>
        <w:t>ena u apsolutnom broju retikulocita</w:t>
      </w:r>
      <w:r w:rsidR="00882E62" w:rsidRPr="00853B61">
        <w:rPr>
          <w:sz w:val="22"/>
          <w:szCs w:val="22"/>
          <w:lang w:val="sr-Latn-ME"/>
        </w:rPr>
        <w:t xml:space="preserve"> </w:t>
      </w:r>
      <w:r w:rsidRPr="00853B61">
        <w:rPr>
          <w:sz w:val="22"/>
          <w:szCs w:val="22"/>
          <w:lang w:val="sr-Latn-ME"/>
        </w:rPr>
        <w:t>(-83,8 u odnosu na 3,5, terapijska razlika: -87,2 [95% CI: -117,7</w:t>
      </w:r>
      <w:r w:rsidR="00882E62" w:rsidRPr="00853B61">
        <w:rPr>
          <w:sz w:val="22"/>
          <w:szCs w:val="22"/>
          <w:lang w:val="sr-Latn-ME"/>
        </w:rPr>
        <w:t>;</w:t>
      </w:r>
      <w:r w:rsidRPr="00853B61">
        <w:rPr>
          <w:sz w:val="22"/>
          <w:szCs w:val="22"/>
          <w:lang w:val="sr-Latn-ME"/>
        </w:rPr>
        <w:t xml:space="preserve"> -56,7]; p &lt; 0,0001).</w:t>
      </w:r>
    </w:p>
    <w:p w14:paraId="5354A9E9" w14:textId="77777777" w:rsidR="00784247" w:rsidRPr="00853B61" w:rsidRDefault="00784247" w:rsidP="004B1590">
      <w:pPr>
        <w:tabs>
          <w:tab w:val="left" w:pos="540"/>
          <w:tab w:val="left" w:pos="569"/>
        </w:tabs>
        <w:jc w:val="both"/>
        <w:rPr>
          <w:sz w:val="22"/>
          <w:szCs w:val="22"/>
          <w:lang w:val="sr-Latn-ME"/>
        </w:rPr>
      </w:pPr>
    </w:p>
    <w:p w14:paraId="72072655" w14:textId="635728FF" w:rsidR="00784247" w:rsidRPr="00853B61" w:rsidRDefault="00784247" w:rsidP="004B1590">
      <w:pPr>
        <w:tabs>
          <w:tab w:val="left" w:pos="540"/>
          <w:tab w:val="left" w:pos="569"/>
        </w:tabs>
        <w:jc w:val="both"/>
        <w:rPr>
          <w:sz w:val="22"/>
          <w:szCs w:val="22"/>
          <w:lang w:val="sr-Latn-ME"/>
        </w:rPr>
      </w:pPr>
      <w:r w:rsidRPr="00853B61">
        <w:rPr>
          <w:sz w:val="22"/>
          <w:szCs w:val="22"/>
          <w:lang w:val="sr-Latn-ME"/>
        </w:rPr>
        <w:t>Dodatni rezultati u 12. ned</w:t>
      </w:r>
      <w:r w:rsidR="00592D8E" w:rsidRPr="00853B61">
        <w:rPr>
          <w:sz w:val="22"/>
          <w:szCs w:val="22"/>
          <w:lang w:val="sr-Latn-ME"/>
        </w:rPr>
        <w:t>j</w:t>
      </w:r>
      <w:r w:rsidRPr="00853B61">
        <w:rPr>
          <w:sz w:val="22"/>
          <w:szCs w:val="22"/>
          <w:lang w:val="sr-Latn-ME"/>
        </w:rPr>
        <w:t>elji zasnovani na svim randomizovanim pacijentima (N = 86) su u skladu s rezultatima primarne analize efikasnosti (N = 63). Danikopan kao dodatak ravulizumabu ili ekulizumabu bio je superiorniji u odnosu na placebo kao dodatak ravulizumabu ili ekulizumabu za primarni parametar praćenja i doveo je do statistički značajnog povećanja nivoa Hgb od početne pos</w:t>
      </w:r>
      <w:r w:rsidR="00592D8E" w:rsidRPr="00853B61">
        <w:rPr>
          <w:sz w:val="22"/>
          <w:szCs w:val="22"/>
          <w:lang w:val="sr-Latn-ME"/>
        </w:rPr>
        <w:t>j</w:t>
      </w:r>
      <w:r w:rsidRPr="00853B61">
        <w:rPr>
          <w:sz w:val="22"/>
          <w:szCs w:val="22"/>
          <w:lang w:val="sr-Latn-ME"/>
        </w:rPr>
        <w:t>ete do 12. ned</w:t>
      </w:r>
      <w:r w:rsidR="00592D8E" w:rsidRPr="00853B61">
        <w:rPr>
          <w:sz w:val="22"/>
          <w:szCs w:val="22"/>
          <w:lang w:val="sr-Latn-ME"/>
        </w:rPr>
        <w:t>j</w:t>
      </w:r>
      <w:r w:rsidRPr="00853B61">
        <w:rPr>
          <w:sz w:val="22"/>
          <w:szCs w:val="22"/>
          <w:lang w:val="sr-Latn-ME"/>
        </w:rPr>
        <w:t>elje (pogleda</w:t>
      </w:r>
      <w:r w:rsidR="00B41AA0" w:rsidRPr="00853B61">
        <w:rPr>
          <w:sz w:val="22"/>
          <w:szCs w:val="22"/>
          <w:lang w:val="sr-Latn-ME"/>
        </w:rPr>
        <w:t>j</w:t>
      </w:r>
      <w:r w:rsidRPr="00853B61">
        <w:rPr>
          <w:sz w:val="22"/>
          <w:szCs w:val="22"/>
          <w:lang w:val="sr-Latn-ME"/>
        </w:rPr>
        <w:t>te Tabelu 2 i Sliku 1). Danikopan je takođe postigao statistički značajno poboljšanje u poređenju sa placebom za sva 4 sekundarna parametra praćenja (pogledajte Tabelu 2).</w:t>
      </w:r>
    </w:p>
    <w:p w14:paraId="17569127" w14:textId="77777777" w:rsidR="00784247" w:rsidRPr="00853B61" w:rsidRDefault="00784247" w:rsidP="004B1590">
      <w:pPr>
        <w:tabs>
          <w:tab w:val="left" w:pos="540"/>
          <w:tab w:val="left" w:pos="569"/>
        </w:tabs>
        <w:jc w:val="both"/>
        <w:rPr>
          <w:sz w:val="22"/>
          <w:szCs w:val="22"/>
          <w:lang w:val="sr-Latn-ME"/>
        </w:rPr>
      </w:pPr>
    </w:p>
    <w:p w14:paraId="6F0B4BD3" w14:textId="4728C18B" w:rsidR="00784247" w:rsidRPr="00853B61" w:rsidRDefault="00784247" w:rsidP="004B1590">
      <w:pPr>
        <w:tabs>
          <w:tab w:val="left" w:pos="540"/>
          <w:tab w:val="left" w:pos="569"/>
        </w:tabs>
        <w:jc w:val="both"/>
        <w:rPr>
          <w:sz w:val="22"/>
          <w:szCs w:val="22"/>
          <w:lang w:val="sr-Latn-ME"/>
        </w:rPr>
      </w:pPr>
      <w:r w:rsidRPr="00853B61">
        <w:rPr>
          <w:sz w:val="22"/>
          <w:szCs w:val="22"/>
          <w:lang w:val="sr-Latn-ME"/>
        </w:rPr>
        <w:t>Tokom perioda terapije 1. perioda od 12 ned</w:t>
      </w:r>
      <w:r w:rsidR="00592D8E" w:rsidRPr="00853B61">
        <w:rPr>
          <w:sz w:val="22"/>
          <w:szCs w:val="22"/>
          <w:lang w:val="sr-Latn-ME"/>
        </w:rPr>
        <w:t>j</w:t>
      </w:r>
      <w:r w:rsidRPr="00853B61">
        <w:rPr>
          <w:sz w:val="22"/>
          <w:szCs w:val="22"/>
          <w:lang w:val="sr-Latn-ME"/>
        </w:rPr>
        <w:t>elja, 14 od 57 (24,6%) pacijenata u grupi koja je primala danikopan kao dodatak dobija dozu povećanu sa 150 mg na 200 mg tri puta dnevno. Četiri pacijenta (2 randomizovana na danikopan i 2 na placebo) prekinula su terapiju tokom 1. perioda terapije. Nije bilo prekida terapije zbog hemolize.</w:t>
      </w:r>
    </w:p>
    <w:p w14:paraId="58F4814D" w14:textId="77777777" w:rsidR="00B41AA0" w:rsidRPr="00853B61" w:rsidRDefault="00B41AA0" w:rsidP="004B1590">
      <w:pPr>
        <w:tabs>
          <w:tab w:val="left" w:pos="540"/>
          <w:tab w:val="left" w:pos="569"/>
        </w:tabs>
        <w:jc w:val="both"/>
        <w:rPr>
          <w:sz w:val="22"/>
          <w:szCs w:val="22"/>
          <w:lang w:val="sr-Latn-ME"/>
        </w:rPr>
      </w:pPr>
    </w:p>
    <w:p w14:paraId="10FABB96" w14:textId="0195B935" w:rsidR="00784247" w:rsidRPr="00853B61" w:rsidRDefault="00784247" w:rsidP="004B1590">
      <w:pPr>
        <w:tabs>
          <w:tab w:val="left" w:pos="540"/>
          <w:tab w:val="left" w:pos="569"/>
        </w:tabs>
        <w:jc w:val="both"/>
        <w:rPr>
          <w:b/>
          <w:bCs/>
          <w:sz w:val="22"/>
          <w:szCs w:val="22"/>
          <w:lang w:val="sr-Latn-ME"/>
        </w:rPr>
      </w:pPr>
      <w:r w:rsidRPr="00853B61">
        <w:rPr>
          <w:b/>
          <w:bCs/>
          <w:sz w:val="22"/>
          <w:szCs w:val="22"/>
          <w:lang w:val="sr-Latn-ME"/>
        </w:rPr>
        <w:t>Tabela 2: Analiza primarnih i sekundarnih parametara praćenja u 12. ned</w:t>
      </w:r>
      <w:r w:rsidR="00592D8E" w:rsidRPr="00853B61">
        <w:rPr>
          <w:b/>
          <w:bCs/>
          <w:sz w:val="22"/>
          <w:szCs w:val="22"/>
          <w:lang w:val="sr-Latn-ME"/>
        </w:rPr>
        <w:t>j</w:t>
      </w:r>
      <w:r w:rsidRPr="00853B61">
        <w:rPr>
          <w:b/>
          <w:bCs/>
          <w:sz w:val="22"/>
          <w:szCs w:val="22"/>
          <w:lang w:val="sr-Latn-ME"/>
        </w:rPr>
        <w:t>elji (svi randomizovani pacijenti)</w:t>
      </w:r>
    </w:p>
    <w:p w14:paraId="7DFB3278" w14:textId="77777777" w:rsidR="00784247" w:rsidRPr="00853B61" w:rsidRDefault="00784247" w:rsidP="004B1590">
      <w:pPr>
        <w:tabs>
          <w:tab w:val="left" w:pos="540"/>
          <w:tab w:val="left" w:pos="569"/>
        </w:tabs>
        <w:jc w:val="both"/>
        <w:rPr>
          <w:b/>
          <w:sz w:val="22"/>
          <w:szCs w:val="22"/>
          <w:lang w:val="sr-Latn-ME"/>
        </w:rPr>
      </w:pPr>
    </w:p>
    <w:tbl>
      <w:tblPr>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5"/>
        <w:gridCol w:w="2410"/>
        <w:gridCol w:w="2405"/>
      </w:tblGrid>
      <w:tr w:rsidR="00784247" w:rsidRPr="00853B61" w14:paraId="50733596" w14:textId="77777777" w:rsidTr="003F3121">
        <w:trPr>
          <w:trHeight w:val="1322"/>
        </w:trPr>
        <w:tc>
          <w:tcPr>
            <w:tcW w:w="4395" w:type="dxa"/>
          </w:tcPr>
          <w:p w14:paraId="28CC22A7" w14:textId="77777777" w:rsidR="00784247" w:rsidRPr="00853B61" w:rsidRDefault="00784247" w:rsidP="004B1590">
            <w:pPr>
              <w:tabs>
                <w:tab w:val="left" w:pos="540"/>
                <w:tab w:val="left" w:pos="569"/>
              </w:tabs>
              <w:jc w:val="both"/>
              <w:rPr>
                <w:sz w:val="22"/>
                <w:szCs w:val="22"/>
                <w:lang w:val="sr-Latn-ME"/>
              </w:rPr>
            </w:pPr>
          </w:p>
        </w:tc>
        <w:tc>
          <w:tcPr>
            <w:tcW w:w="2410" w:type="dxa"/>
          </w:tcPr>
          <w:p w14:paraId="3A5A1A4A"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Danikopan (dodatak s ravulizumabom ili ekulizumabom)</w:t>
            </w:r>
          </w:p>
          <w:p w14:paraId="2DAF5683"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N = 57</w:t>
            </w:r>
          </w:p>
        </w:tc>
        <w:tc>
          <w:tcPr>
            <w:tcW w:w="2405" w:type="dxa"/>
          </w:tcPr>
          <w:p w14:paraId="3A9699F6"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Placebo (dodatak sa</w:t>
            </w:r>
          </w:p>
          <w:p w14:paraId="3E9D38F3"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ravulizumabom ili ekulizumabom)</w:t>
            </w:r>
          </w:p>
          <w:p w14:paraId="309EA02A" w14:textId="77777777" w:rsidR="00784247" w:rsidRPr="00853B61" w:rsidRDefault="00784247" w:rsidP="00AA0834">
            <w:pPr>
              <w:tabs>
                <w:tab w:val="left" w:pos="540"/>
                <w:tab w:val="left" w:pos="569"/>
              </w:tabs>
              <w:jc w:val="center"/>
              <w:rPr>
                <w:b/>
                <w:sz w:val="22"/>
                <w:szCs w:val="22"/>
                <w:lang w:val="sr-Latn-ME"/>
              </w:rPr>
            </w:pPr>
            <w:r w:rsidRPr="00853B61">
              <w:rPr>
                <w:b/>
                <w:bCs/>
                <w:sz w:val="22"/>
                <w:szCs w:val="22"/>
                <w:lang w:val="sr-Latn-ME"/>
              </w:rPr>
              <w:t>N = 29</w:t>
            </w:r>
          </w:p>
        </w:tc>
      </w:tr>
      <w:tr w:rsidR="00784247" w:rsidRPr="00853B61" w14:paraId="7A10A322" w14:textId="77777777" w:rsidTr="003F3121">
        <w:trPr>
          <w:trHeight w:val="309"/>
        </w:trPr>
        <w:tc>
          <w:tcPr>
            <w:tcW w:w="9210" w:type="dxa"/>
            <w:gridSpan w:val="3"/>
          </w:tcPr>
          <w:p w14:paraId="6EDB9C86" w14:textId="67EED335" w:rsidR="00784247" w:rsidRPr="00853B61" w:rsidRDefault="00784247" w:rsidP="004B1590">
            <w:pPr>
              <w:tabs>
                <w:tab w:val="left" w:pos="540"/>
                <w:tab w:val="left" w:pos="569"/>
              </w:tabs>
              <w:jc w:val="both"/>
              <w:rPr>
                <w:b/>
                <w:sz w:val="22"/>
                <w:szCs w:val="22"/>
                <w:lang w:val="sr-Latn-ME"/>
              </w:rPr>
            </w:pPr>
            <w:r w:rsidRPr="00853B61">
              <w:rPr>
                <w:b/>
                <w:bCs/>
                <w:sz w:val="22"/>
                <w:szCs w:val="22"/>
                <w:lang w:val="sr-Latn-ME"/>
              </w:rPr>
              <w:t>Prom</w:t>
            </w:r>
            <w:r w:rsidR="00592D8E" w:rsidRPr="00853B61">
              <w:rPr>
                <w:b/>
                <w:bCs/>
                <w:sz w:val="22"/>
                <w:szCs w:val="22"/>
                <w:lang w:val="sr-Latn-ME"/>
              </w:rPr>
              <w:t>j</w:t>
            </w:r>
            <w:r w:rsidRPr="00853B61">
              <w:rPr>
                <w:b/>
                <w:bCs/>
                <w:sz w:val="22"/>
                <w:szCs w:val="22"/>
                <w:lang w:val="sr-Latn-ME"/>
              </w:rPr>
              <w:t>ena u nivou hemoglobina (primarni parametar praćenja)</w:t>
            </w:r>
          </w:p>
        </w:tc>
      </w:tr>
      <w:tr w:rsidR="00784247" w:rsidRPr="00853B61" w14:paraId="7050A1E1" w14:textId="77777777" w:rsidTr="003F3121">
        <w:trPr>
          <w:trHeight w:val="561"/>
        </w:trPr>
        <w:tc>
          <w:tcPr>
            <w:tcW w:w="4395" w:type="dxa"/>
          </w:tcPr>
          <w:p w14:paraId="6B4F4343" w14:textId="583A6589" w:rsidR="00784247" w:rsidRPr="00853B61" w:rsidRDefault="00784247" w:rsidP="004B1590">
            <w:pPr>
              <w:tabs>
                <w:tab w:val="left" w:pos="540"/>
                <w:tab w:val="left" w:pos="569"/>
              </w:tabs>
              <w:jc w:val="both"/>
              <w:rPr>
                <w:sz w:val="22"/>
                <w:szCs w:val="22"/>
                <w:lang w:val="sr-Latn-ME"/>
              </w:rPr>
            </w:pPr>
            <w:r w:rsidRPr="00853B61">
              <w:rPr>
                <w:sz w:val="22"/>
                <w:szCs w:val="22"/>
                <w:lang w:val="sr-Latn-ME"/>
              </w:rPr>
              <w:t>Srednja prom</w:t>
            </w:r>
            <w:r w:rsidR="00592D8E" w:rsidRPr="00853B61">
              <w:rPr>
                <w:sz w:val="22"/>
                <w:szCs w:val="22"/>
                <w:lang w:val="sr-Latn-ME"/>
              </w:rPr>
              <w:t>j</w:t>
            </w:r>
            <w:r w:rsidRPr="00853B61">
              <w:rPr>
                <w:sz w:val="22"/>
                <w:szCs w:val="22"/>
                <w:lang w:val="sr-Latn-ME"/>
              </w:rPr>
              <w:t>ena od početne vr</w:t>
            </w:r>
            <w:r w:rsidR="00592D8E" w:rsidRPr="00853B61">
              <w:rPr>
                <w:sz w:val="22"/>
                <w:szCs w:val="22"/>
                <w:lang w:val="sr-Latn-ME"/>
              </w:rPr>
              <w:t>ij</w:t>
            </w:r>
            <w:r w:rsidRPr="00853B61">
              <w:rPr>
                <w:sz w:val="22"/>
                <w:szCs w:val="22"/>
                <w:lang w:val="sr-Latn-ME"/>
              </w:rPr>
              <w:t>ednosti do 12. ned</w:t>
            </w:r>
            <w:r w:rsidR="00592D8E" w:rsidRPr="00853B61">
              <w:rPr>
                <w:sz w:val="22"/>
                <w:szCs w:val="22"/>
                <w:lang w:val="sr-Latn-ME"/>
              </w:rPr>
              <w:t>j</w:t>
            </w:r>
            <w:r w:rsidRPr="00853B61">
              <w:rPr>
                <w:sz w:val="22"/>
                <w:szCs w:val="22"/>
                <w:lang w:val="sr-Latn-ME"/>
              </w:rPr>
              <w:t>elje (g/dl [mmol/l])</w:t>
            </w:r>
          </w:p>
        </w:tc>
        <w:tc>
          <w:tcPr>
            <w:tcW w:w="2410" w:type="dxa"/>
          </w:tcPr>
          <w:p w14:paraId="5AD4618A"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2,81 [1,74]</w:t>
            </w:r>
          </w:p>
        </w:tc>
        <w:tc>
          <w:tcPr>
            <w:tcW w:w="2405" w:type="dxa"/>
          </w:tcPr>
          <w:p w14:paraId="20AEE33F"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0,46 [0,29]</w:t>
            </w:r>
          </w:p>
        </w:tc>
      </w:tr>
      <w:tr w:rsidR="00784247" w:rsidRPr="00853B61" w14:paraId="09BA0DEE" w14:textId="77777777" w:rsidTr="003F3121">
        <w:trPr>
          <w:trHeight w:val="309"/>
        </w:trPr>
        <w:tc>
          <w:tcPr>
            <w:tcW w:w="4395" w:type="dxa"/>
          </w:tcPr>
          <w:p w14:paraId="605F2534"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Razlika u terapiji* (95% CI)</w:t>
            </w:r>
          </w:p>
        </w:tc>
        <w:tc>
          <w:tcPr>
            <w:tcW w:w="4815" w:type="dxa"/>
            <w:gridSpan w:val="2"/>
          </w:tcPr>
          <w:p w14:paraId="3D232E75"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2,35 [1,46] (1,63 [1,01], 3,06 [1,90])</w:t>
            </w:r>
          </w:p>
        </w:tc>
      </w:tr>
      <w:tr w:rsidR="00784247" w:rsidRPr="00853B61" w14:paraId="5E57232A" w14:textId="77777777" w:rsidTr="003F3121">
        <w:trPr>
          <w:trHeight w:val="561"/>
        </w:trPr>
        <w:tc>
          <w:tcPr>
            <w:tcW w:w="9210" w:type="dxa"/>
            <w:gridSpan w:val="3"/>
          </w:tcPr>
          <w:p w14:paraId="41B52B9E" w14:textId="2748A587" w:rsidR="00784247" w:rsidRPr="00853B61" w:rsidRDefault="00784247" w:rsidP="00AA0834">
            <w:pPr>
              <w:tabs>
                <w:tab w:val="left" w:pos="540"/>
                <w:tab w:val="left" w:pos="569"/>
              </w:tabs>
              <w:rPr>
                <w:b/>
                <w:sz w:val="22"/>
                <w:szCs w:val="22"/>
                <w:lang w:val="sr-Latn-ME"/>
              </w:rPr>
            </w:pPr>
            <w:r w:rsidRPr="00853B61">
              <w:rPr>
                <w:b/>
                <w:bCs/>
                <w:sz w:val="22"/>
                <w:szCs w:val="22"/>
                <w:lang w:val="sr-Latn-ME"/>
              </w:rPr>
              <w:t>Ud</w:t>
            </w:r>
            <w:r w:rsidR="00592D8E" w:rsidRPr="00853B61">
              <w:rPr>
                <w:b/>
                <w:bCs/>
                <w:sz w:val="22"/>
                <w:szCs w:val="22"/>
                <w:lang w:val="sr-Latn-ME"/>
              </w:rPr>
              <w:t>i</w:t>
            </w:r>
            <w:r w:rsidRPr="00853B61">
              <w:rPr>
                <w:b/>
                <w:bCs/>
                <w:sz w:val="22"/>
                <w:szCs w:val="22"/>
                <w:lang w:val="sr-Latn-ME"/>
              </w:rPr>
              <w:t>o pacijenata s povećanjem hemoglobina od ≥ 2 g/dl [1,2 mmol/l] u nedostatku transfuzije</w:t>
            </w:r>
          </w:p>
        </w:tc>
      </w:tr>
      <w:tr w:rsidR="00784247" w:rsidRPr="00853B61" w14:paraId="443A935F" w14:textId="77777777" w:rsidTr="003F3121">
        <w:trPr>
          <w:trHeight w:val="309"/>
        </w:trPr>
        <w:tc>
          <w:tcPr>
            <w:tcW w:w="4395" w:type="dxa"/>
          </w:tcPr>
          <w:p w14:paraId="4FECE922" w14:textId="2902F71F" w:rsidR="00784247" w:rsidRPr="00853B61" w:rsidRDefault="00784247" w:rsidP="004B1590">
            <w:pPr>
              <w:tabs>
                <w:tab w:val="left" w:pos="540"/>
                <w:tab w:val="left" w:pos="569"/>
              </w:tabs>
              <w:jc w:val="both"/>
              <w:rPr>
                <w:sz w:val="22"/>
                <w:szCs w:val="22"/>
                <w:lang w:val="sr-Latn-ME"/>
              </w:rPr>
            </w:pPr>
            <w:r w:rsidRPr="00853B61">
              <w:rPr>
                <w:sz w:val="22"/>
                <w:szCs w:val="22"/>
                <w:lang w:val="sr-Latn-ME"/>
              </w:rPr>
              <w:t>U 12. ned</w:t>
            </w:r>
            <w:r w:rsidR="00592D8E" w:rsidRPr="00853B61">
              <w:rPr>
                <w:sz w:val="22"/>
                <w:szCs w:val="22"/>
                <w:lang w:val="sr-Latn-ME"/>
              </w:rPr>
              <w:t>j</w:t>
            </w:r>
            <w:r w:rsidRPr="00853B61">
              <w:rPr>
                <w:sz w:val="22"/>
                <w:szCs w:val="22"/>
                <w:lang w:val="sr-Latn-ME"/>
              </w:rPr>
              <w:t>elji (%)</w:t>
            </w:r>
          </w:p>
        </w:tc>
        <w:tc>
          <w:tcPr>
            <w:tcW w:w="2410" w:type="dxa"/>
          </w:tcPr>
          <w:p w14:paraId="4EB8A640"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54,4</w:t>
            </w:r>
          </w:p>
        </w:tc>
        <w:tc>
          <w:tcPr>
            <w:tcW w:w="2405" w:type="dxa"/>
          </w:tcPr>
          <w:p w14:paraId="1CCECA7B"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0</w:t>
            </w:r>
          </w:p>
        </w:tc>
      </w:tr>
      <w:tr w:rsidR="00784247" w:rsidRPr="00853B61" w14:paraId="59E07190" w14:textId="77777777" w:rsidTr="003F3121">
        <w:trPr>
          <w:trHeight w:val="309"/>
        </w:trPr>
        <w:tc>
          <w:tcPr>
            <w:tcW w:w="4395" w:type="dxa"/>
          </w:tcPr>
          <w:p w14:paraId="16347051"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Razlika u terapiji** (95% CI)</w:t>
            </w:r>
          </w:p>
        </w:tc>
        <w:tc>
          <w:tcPr>
            <w:tcW w:w="4815" w:type="dxa"/>
            <w:gridSpan w:val="2"/>
          </w:tcPr>
          <w:p w14:paraId="74C58DDE"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47,5 (32,6; 62,4)</w:t>
            </w:r>
          </w:p>
        </w:tc>
      </w:tr>
      <w:tr w:rsidR="00784247" w:rsidRPr="00853B61" w14:paraId="268E58D7" w14:textId="77777777" w:rsidTr="003F3121">
        <w:trPr>
          <w:trHeight w:val="309"/>
        </w:trPr>
        <w:tc>
          <w:tcPr>
            <w:tcW w:w="9210" w:type="dxa"/>
            <w:gridSpan w:val="3"/>
          </w:tcPr>
          <w:p w14:paraId="12717B28" w14:textId="67613111" w:rsidR="00784247" w:rsidRPr="00853B61" w:rsidRDefault="00784247" w:rsidP="004B1590">
            <w:pPr>
              <w:tabs>
                <w:tab w:val="left" w:pos="540"/>
                <w:tab w:val="left" w:pos="569"/>
              </w:tabs>
              <w:jc w:val="both"/>
              <w:rPr>
                <w:b/>
                <w:sz w:val="22"/>
                <w:szCs w:val="22"/>
                <w:lang w:val="sr-Latn-ME"/>
              </w:rPr>
            </w:pPr>
            <w:r w:rsidRPr="00853B61">
              <w:rPr>
                <w:b/>
                <w:bCs/>
                <w:sz w:val="22"/>
                <w:szCs w:val="22"/>
                <w:lang w:val="sr-Latn-ME"/>
              </w:rPr>
              <w:t>Ud</w:t>
            </w:r>
            <w:r w:rsidR="00592D8E" w:rsidRPr="00853B61">
              <w:rPr>
                <w:b/>
                <w:bCs/>
                <w:sz w:val="22"/>
                <w:szCs w:val="22"/>
                <w:lang w:val="sr-Latn-ME"/>
              </w:rPr>
              <w:t>i</w:t>
            </w:r>
            <w:r w:rsidRPr="00853B61">
              <w:rPr>
                <w:b/>
                <w:bCs/>
                <w:sz w:val="22"/>
                <w:szCs w:val="22"/>
                <w:lang w:val="sr-Latn-ME"/>
              </w:rPr>
              <w:t>o pacijentima s izb</w:t>
            </w:r>
            <w:r w:rsidR="00592D8E" w:rsidRPr="00853B61">
              <w:rPr>
                <w:b/>
                <w:bCs/>
                <w:sz w:val="22"/>
                <w:szCs w:val="22"/>
                <w:lang w:val="sr-Latn-ME"/>
              </w:rPr>
              <w:t>j</w:t>
            </w:r>
            <w:r w:rsidRPr="00853B61">
              <w:rPr>
                <w:b/>
                <w:bCs/>
                <w:sz w:val="22"/>
                <w:szCs w:val="22"/>
                <w:lang w:val="sr-Latn-ME"/>
              </w:rPr>
              <w:t>egavanjem transfuzije</w:t>
            </w:r>
          </w:p>
        </w:tc>
      </w:tr>
      <w:tr w:rsidR="00784247" w:rsidRPr="00853B61" w14:paraId="625D9C1C" w14:textId="77777777" w:rsidTr="003F3121">
        <w:trPr>
          <w:trHeight w:val="309"/>
        </w:trPr>
        <w:tc>
          <w:tcPr>
            <w:tcW w:w="4395" w:type="dxa"/>
          </w:tcPr>
          <w:p w14:paraId="3DF3097F" w14:textId="16A44E84" w:rsidR="00784247" w:rsidRPr="00853B61" w:rsidRDefault="00784247" w:rsidP="004B1590">
            <w:pPr>
              <w:tabs>
                <w:tab w:val="left" w:pos="540"/>
                <w:tab w:val="left" w:pos="569"/>
              </w:tabs>
              <w:jc w:val="both"/>
              <w:rPr>
                <w:sz w:val="22"/>
                <w:szCs w:val="22"/>
                <w:lang w:val="sr-Latn-ME"/>
              </w:rPr>
            </w:pPr>
            <w:r w:rsidRPr="00853B61">
              <w:rPr>
                <w:sz w:val="22"/>
                <w:szCs w:val="22"/>
                <w:lang w:val="sr-Latn-ME"/>
              </w:rPr>
              <w:t>Tokom perioda terapije od 12 ned</w:t>
            </w:r>
            <w:r w:rsidR="00592D8E" w:rsidRPr="00853B61">
              <w:rPr>
                <w:sz w:val="22"/>
                <w:szCs w:val="22"/>
                <w:lang w:val="sr-Latn-ME"/>
              </w:rPr>
              <w:t>j</w:t>
            </w:r>
            <w:r w:rsidRPr="00853B61">
              <w:rPr>
                <w:sz w:val="22"/>
                <w:szCs w:val="22"/>
                <w:lang w:val="sr-Latn-ME"/>
              </w:rPr>
              <w:t>elja (%)</w:t>
            </w:r>
          </w:p>
        </w:tc>
        <w:tc>
          <w:tcPr>
            <w:tcW w:w="2410" w:type="dxa"/>
          </w:tcPr>
          <w:p w14:paraId="2FC01B5D"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78,9</w:t>
            </w:r>
          </w:p>
        </w:tc>
        <w:tc>
          <w:tcPr>
            <w:tcW w:w="2405" w:type="dxa"/>
          </w:tcPr>
          <w:p w14:paraId="77E68A89"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27,6</w:t>
            </w:r>
          </w:p>
        </w:tc>
      </w:tr>
      <w:tr w:rsidR="00784247" w:rsidRPr="00853B61" w14:paraId="2D6DF3BC" w14:textId="77777777" w:rsidTr="003F3121">
        <w:trPr>
          <w:trHeight w:val="309"/>
        </w:trPr>
        <w:tc>
          <w:tcPr>
            <w:tcW w:w="4395" w:type="dxa"/>
          </w:tcPr>
          <w:p w14:paraId="3C3ABF34"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Razlika u terapiji** (95% CI)</w:t>
            </w:r>
          </w:p>
        </w:tc>
        <w:tc>
          <w:tcPr>
            <w:tcW w:w="4815" w:type="dxa"/>
            <w:gridSpan w:val="2"/>
          </w:tcPr>
          <w:p w14:paraId="34C61059"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48,4 (31,8; 64,9)</w:t>
            </w:r>
          </w:p>
        </w:tc>
      </w:tr>
      <w:tr w:rsidR="00784247" w:rsidRPr="00853B61" w14:paraId="327E8192" w14:textId="77777777" w:rsidTr="003F3121">
        <w:trPr>
          <w:trHeight w:val="309"/>
        </w:trPr>
        <w:tc>
          <w:tcPr>
            <w:tcW w:w="9210" w:type="dxa"/>
            <w:gridSpan w:val="3"/>
          </w:tcPr>
          <w:p w14:paraId="6E2C3F1F" w14:textId="3864E2AA" w:rsidR="00784247" w:rsidRPr="00853B61" w:rsidRDefault="00784247" w:rsidP="004B1590">
            <w:pPr>
              <w:tabs>
                <w:tab w:val="left" w:pos="540"/>
                <w:tab w:val="left" w:pos="569"/>
              </w:tabs>
              <w:jc w:val="both"/>
              <w:rPr>
                <w:b/>
                <w:sz w:val="22"/>
                <w:szCs w:val="22"/>
                <w:lang w:val="sr-Latn-ME"/>
              </w:rPr>
            </w:pPr>
            <w:r w:rsidRPr="00853B61">
              <w:rPr>
                <w:b/>
                <w:bCs/>
                <w:sz w:val="22"/>
                <w:szCs w:val="22"/>
                <w:lang w:val="sr-Latn-ME"/>
              </w:rPr>
              <w:t>Prom</w:t>
            </w:r>
            <w:r w:rsidR="00592D8E" w:rsidRPr="00853B61">
              <w:rPr>
                <w:b/>
                <w:bCs/>
                <w:sz w:val="22"/>
                <w:szCs w:val="22"/>
                <w:lang w:val="sr-Latn-ME"/>
              </w:rPr>
              <w:t>j</w:t>
            </w:r>
            <w:r w:rsidRPr="00853B61">
              <w:rPr>
                <w:b/>
                <w:bCs/>
                <w:sz w:val="22"/>
                <w:szCs w:val="22"/>
                <w:lang w:val="sr-Latn-ME"/>
              </w:rPr>
              <w:t>ena u rezultatu na skali FACIT-Umor</w:t>
            </w:r>
          </w:p>
        </w:tc>
      </w:tr>
      <w:tr w:rsidR="00784247" w:rsidRPr="00853B61" w14:paraId="5668831B" w14:textId="77777777" w:rsidTr="003F3121">
        <w:trPr>
          <w:trHeight w:val="309"/>
        </w:trPr>
        <w:tc>
          <w:tcPr>
            <w:tcW w:w="4395" w:type="dxa"/>
          </w:tcPr>
          <w:p w14:paraId="3A3D9AE0" w14:textId="64280A5F" w:rsidR="00784247" w:rsidRPr="00853B61" w:rsidRDefault="00784247" w:rsidP="004B1590">
            <w:pPr>
              <w:tabs>
                <w:tab w:val="left" w:pos="540"/>
                <w:tab w:val="left" w:pos="569"/>
              </w:tabs>
              <w:jc w:val="both"/>
              <w:rPr>
                <w:sz w:val="22"/>
                <w:szCs w:val="22"/>
                <w:lang w:val="sr-Latn-ME"/>
              </w:rPr>
            </w:pPr>
            <w:r w:rsidRPr="00853B61">
              <w:rPr>
                <w:sz w:val="22"/>
                <w:szCs w:val="22"/>
                <w:lang w:val="sr-Latn-ME"/>
              </w:rPr>
              <w:t>Srednja prom</w:t>
            </w:r>
            <w:r w:rsidR="00592D8E" w:rsidRPr="00853B61">
              <w:rPr>
                <w:sz w:val="22"/>
                <w:szCs w:val="22"/>
                <w:lang w:val="sr-Latn-ME"/>
              </w:rPr>
              <w:t>j</w:t>
            </w:r>
            <w:r w:rsidRPr="00853B61">
              <w:rPr>
                <w:sz w:val="22"/>
                <w:szCs w:val="22"/>
                <w:lang w:val="sr-Latn-ME"/>
              </w:rPr>
              <w:t>ena od početne vr</w:t>
            </w:r>
            <w:r w:rsidR="00592D8E" w:rsidRPr="00853B61">
              <w:rPr>
                <w:sz w:val="22"/>
                <w:szCs w:val="22"/>
                <w:lang w:val="sr-Latn-ME"/>
              </w:rPr>
              <w:t>ij</w:t>
            </w:r>
            <w:r w:rsidRPr="00853B61">
              <w:rPr>
                <w:sz w:val="22"/>
                <w:szCs w:val="22"/>
                <w:lang w:val="sr-Latn-ME"/>
              </w:rPr>
              <w:t>ednosti do 12. ned</w:t>
            </w:r>
            <w:r w:rsidR="00592D8E" w:rsidRPr="00853B61">
              <w:rPr>
                <w:sz w:val="22"/>
                <w:szCs w:val="22"/>
                <w:lang w:val="sr-Latn-ME"/>
              </w:rPr>
              <w:t>j</w:t>
            </w:r>
            <w:r w:rsidRPr="00853B61">
              <w:rPr>
                <w:sz w:val="22"/>
                <w:szCs w:val="22"/>
                <w:lang w:val="sr-Latn-ME"/>
              </w:rPr>
              <w:t>elje</w:t>
            </w:r>
          </w:p>
        </w:tc>
        <w:tc>
          <w:tcPr>
            <w:tcW w:w="2410" w:type="dxa"/>
          </w:tcPr>
          <w:p w14:paraId="686B5F3C"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8,10</w:t>
            </w:r>
          </w:p>
        </w:tc>
        <w:tc>
          <w:tcPr>
            <w:tcW w:w="2405" w:type="dxa"/>
          </w:tcPr>
          <w:p w14:paraId="7A317528"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2,38</w:t>
            </w:r>
          </w:p>
        </w:tc>
      </w:tr>
      <w:tr w:rsidR="00784247" w:rsidRPr="00853B61" w14:paraId="5660B366" w14:textId="77777777" w:rsidTr="003F3121">
        <w:trPr>
          <w:trHeight w:val="309"/>
        </w:trPr>
        <w:tc>
          <w:tcPr>
            <w:tcW w:w="4395" w:type="dxa"/>
          </w:tcPr>
          <w:p w14:paraId="027A7B27"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Razlika u terapiji* (95% CI)</w:t>
            </w:r>
          </w:p>
        </w:tc>
        <w:tc>
          <w:tcPr>
            <w:tcW w:w="4815" w:type="dxa"/>
            <w:gridSpan w:val="2"/>
          </w:tcPr>
          <w:p w14:paraId="2FD34090" w14:textId="77777777" w:rsidR="00784247" w:rsidRPr="00853B61" w:rsidRDefault="00784247" w:rsidP="004B1590">
            <w:pPr>
              <w:tabs>
                <w:tab w:val="left" w:pos="540"/>
                <w:tab w:val="left" w:pos="569"/>
              </w:tabs>
              <w:jc w:val="center"/>
              <w:rPr>
                <w:sz w:val="22"/>
                <w:szCs w:val="22"/>
                <w:lang w:val="sr-Latn-ME"/>
              </w:rPr>
            </w:pPr>
            <w:r w:rsidRPr="00853B61">
              <w:rPr>
                <w:sz w:val="22"/>
                <w:szCs w:val="22"/>
                <w:lang w:val="sr-Latn-ME"/>
              </w:rPr>
              <w:t>5,72 (2,62; 8,83)</w:t>
            </w:r>
          </w:p>
        </w:tc>
      </w:tr>
      <w:tr w:rsidR="00784247" w:rsidRPr="00853B61" w14:paraId="651C8123" w14:textId="77777777" w:rsidTr="003F3121">
        <w:trPr>
          <w:trHeight w:val="306"/>
        </w:trPr>
        <w:tc>
          <w:tcPr>
            <w:tcW w:w="9210" w:type="dxa"/>
            <w:gridSpan w:val="3"/>
          </w:tcPr>
          <w:p w14:paraId="56CF2DCA" w14:textId="6F22BC65" w:rsidR="00784247" w:rsidRPr="00853B61" w:rsidRDefault="00784247" w:rsidP="004B1590">
            <w:pPr>
              <w:tabs>
                <w:tab w:val="left" w:pos="540"/>
                <w:tab w:val="left" w:pos="569"/>
              </w:tabs>
              <w:jc w:val="both"/>
              <w:rPr>
                <w:b/>
                <w:sz w:val="22"/>
                <w:szCs w:val="22"/>
                <w:lang w:val="sr-Latn-ME"/>
              </w:rPr>
            </w:pPr>
            <w:r w:rsidRPr="00853B61">
              <w:rPr>
                <w:b/>
                <w:bCs/>
                <w:sz w:val="22"/>
                <w:szCs w:val="22"/>
                <w:lang w:val="sr-Latn-ME"/>
              </w:rPr>
              <w:t>Prom</w:t>
            </w:r>
            <w:r w:rsidR="00592D8E" w:rsidRPr="00853B61">
              <w:rPr>
                <w:b/>
                <w:bCs/>
                <w:sz w:val="22"/>
                <w:szCs w:val="22"/>
                <w:lang w:val="sr-Latn-ME"/>
              </w:rPr>
              <w:t>j</w:t>
            </w:r>
            <w:r w:rsidRPr="00853B61">
              <w:rPr>
                <w:b/>
                <w:bCs/>
                <w:sz w:val="22"/>
                <w:szCs w:val="22"/>
                <w:lang w:val="sr-Latn-ME"/>
              </w:rPr>
              <w:t>ena u apsolutnom broju retikulocita</w:t>
            </w:r>
          </w:p>
        </w:tc>
      </w:tr>
      <w:tr w:rsidR="00784247" w:rsidRPr="00853B61" w14:paraId="31558125" w14:textId="77777777" w:rsidTr="003F3121">
        <w:trPr>
          <w:trHeight w:val="309"/>
        </w:trPr>
        <w:tc>
          <w:tcPr>
            <w:tcW w:w="4395" w:type="dxa"/>
          </w:tcPr>
          <w:p w14:paraId="119304FE" w14:textId="554E2B72" w:rsidR="00784247" w:rsidRPr="00853B61" w:rsidRDefault="00784247" w:rsidP="004B1590">
            <w:pPr>
              <w:tabs>
                <w:tab w:val="left" w:pos="540"/>
                <w:tab w:val="left" w:pos="569"/>
              </w:tabs>
              <w:jc w:val="both"/>
              <w:rPr>
                <w:sz w:val="22"/>
                <w:szCs w:val="22"/>
                <w:lang w:val="sr-Latn-ME"/>
              </w:rPr>
            </w:pPr>
            <w:r w:rsidRPr="00853B61">
              <w:rPr>
                <w:sz w:val="22"/>
                <w:szCs w:val="22"/>
                <w:lang w:val="sr-Latn-ME"/>
              </w:rPr>
              <w:t>Srednja prom</w:t>
            </w:r>
            <w:r w:rsidR="00592D8E" w:rsidRPr="00853B61">
              <w:rPr>
                <w:sz w:val="22"/>
                <w:szCs w:val="22"/>
                <w:lang w:val="sr-Latn-ME"/>
              </w:rPr>
              <w:t>j</w:t>
            </w:r>
            <w:r w:rsidRPr="00853B61">
              <w:rPr>
                <w:sz w:val="22"/>
                <w:szCs w:val="22"/>
                <w:lang w:val="sr-Latn-ME"/>
              </w:rPr>
              <w:t>ena od početne vr</w:t>
            </w:r>
            <w:r w:rsidR="00592D8E" w:rsidRPr="00853B61">
              <w:rPr>
                <w:sz w:val="22"/>
                <w:szCs w:val="22"/>
                <w:lang w:val="sr-Latn-ME"/>
              </w:rPr>
              <w:t>ij</w:t>
            </w:r>
            <w:r w:rsidRPr="00853B61">
              <w:rPr>
                <w:sz w:val="22"/>
                <w:szCs w:val="22"/>
                <w:lang w:val="sr-Latn-ME"/>
              </w:rPr>
              <w:t>ednosti do 12. ned</w:t>
            </w:r>
            <w:r w:rsidR="00592D8E" w:rsidRPr="00853B61">
              <w:rPr>
                <w:sz w:val="22"/>
                <w:szCs w:val="22"/>
                <w:lang w:val="sr-Latn-ME"/>
              </w:rPr>
              <w:t>j</w:t>
            </w:r>
            <w:r w:rsidRPr="00853B61">
              <w:rPr>
                <w:sz w:val="22"/>
                <w:szCs w:val="22"/>
                <w:lang w:val="sr-Latn-ME"/>
              </w:rPr>
              <w:t>elje (10</w:t>
            </w:r>
            <w:r w:rsidRPr="00853B61">
              <w:rPr>
                <w:sz w:val="22"/>
                <w:szCs w:val="22"/>
                <w:vertAlign w:val="superscript"/>
                <w:lang w:val="sr-Latn-ME"/>
              </w:rPr>
              <w:t>9</w:t>
            </w:r>
            <w:r w:rsidRPr="00853B61">
              <w:rPr>
                <w:sz w:val="22"/>
                <w:szCs w:val="22"/>
                <w:lang w:val="sr-Latn-ME"/>
              </w:rPr>
              <w:t>/</w:t>
            </w:r>
            <w:r w:rsidR="006C5346" w:rsidRPr="00853B61">
              <w:rPr>
                <w:sz w:val="22"/>
                <w:szCs w:val="22"/>
                <w:lang w:val="sr-Latn-ME"/>
              </w:rPr>
              <w:t>l</w:t>
            </w:r>
            <w:r w:rsidRPr="00853B61">
              <w:rPr>
                <w:sz w:val="22"/>
                <w:szCs w:val="22"/>
                <w:lang w:val="sr-Latn-ME"/>
              </w:rPr>
              <w:t>)</w:t>
            </w:r>
          </w:p>
        </w:tc>
        <w:tc>
          <w:tcPr>
            <w:tcW w:w="2410" w:type="dxa"/>
          </w:tcPr>
          <w:p w14:paraId="50333F9E" w14:textId="0C6CA982" w:rsidR="00784247" w:rsidRPr="00853B61" w:rsidRDefault="00784247" w:rsidP="004B1590">
            <w:pPr>
              <w:tabs>
                <w:tab w:val="left" w:pos="540"/>
                <w:tab w:val="left" w:pos="569"/>
              </w:tabs>
              <w:jc w:val="center"/>
              <w:rPr>
                <w:sz w:val="22"/>
                <w:szCs w:val="22"/>
                <w:lang w:val="sr-Latn-ME"/>
              </w:rPr>
            </w:pPr>
            <w:r w:rsidRPr="00853B61">
              <w:rPr>
                <w:sz w:val="22"/>
                <w:szCs w:val="22"/>
                <w:lang w:val="sr-Latn-ME"/>
              </w:rPr>
              <w:t>-92,</w:t>
            </w:r>
            <w:r w:rsidR="004B1590" w:rsidRPr="00853B61">
              <w:rPr>
                <w:sz w:val="22"/>
                <w:szCs w:val="22"/>
                <w:lang w:val="sr-Latn-ME"/>
              </w:rPr>
              <w:t>5</w:t>
            </w:r>
          </w:p>
        </w:tc>
        <w:tc>
          <w:tcPr>
            <w:tcW w:w="2405" w:type="dxa"/>
          </w:tcPr>
          <w:p w14:paraId="591C64D7" w14:textId="4F93DD1C" w:rsidR="00784247" w:rsidRPr="00853B61" w:rsidRDefault="00784247" w:rsidP="004B1590">
            <w:pPr>
              <w:tabs>
                <w:tab w:val="left" w:pos="540"/>
                <w:tab w:val="left" w:pos="569"/>
              </w:tabs>
              <w:jc w:val="center"/>
              <w:rPr>
                <w:sz w:val="22"/>
                <w:szCs w:val="22"/>
                <w:lang w:val="sr-Latn-ME"/>
              </w:rPr>
            </w:pPr>
            <w:r w:rsidRPr="00853B61">
              <w:rPr>
                <w:sz w:val="22"/>
                <w:szCs w:val="22"/>
                <w:lang w:val="sr-Latn-ME"/>
              </w:rPr>
              <w:t>-0,</w:t>
            </w:r>
            <w:r w:rsidR="004B1590" w:rsidRPr="00853B61">
              <w:rPr>
                <w:sz w:val="22"/>
                <w:szCs w:val="22"/>
                <w:lang w:val="sr-Latn-ME"/>
              </w:rPr>
              <w:t>8</w:t>
            </w:r>
          </w:p>
        </w:tc>
      </w:tr>
      <w:tr w:rsidR="00784247" w:rsidRPr="00853B61" w14:paraId="102902EF" w14:textId="77777777" w:rsidTr="003F3121">
        <w:trPr>
          <w:trHeight w:val="309"/>
        </w:trPr>
        <w:tc>
          <w:tcPr>
            <w:tcW w:w="4395" w:type="dxa"/>
          </w:tcPr>
          <w:p w14:paraId="384837A4" w14:textId="77777777" w:rsidR="00784247" w:rsidRPr="00853B61" w:rsidRDefault="00784247" w:rsidP="004B1590">
            <w:pPr>
              <w:tabs>
                <w:tab w:val="left" w:pos="540"/>
                <w:tab w:val="left" w:pos="569"/>
              </w:tabs>
              <w:jc w:val="both"/>
              <w:rPr>
                <w:sz w:val="22"/>
                <w:szCs w:val="22"/>
                <w:lang w:val="sr-Latn-ME"/>
              </w:rPr>
            </w:pPr>
            <w:r w:rsidRPr="00853B61">
              <w:rPr>
                <w:sz w:val="22"/>
                <w:szCs w:val="22"/>
                <w:lang w:val="sr-Latn-ME"/>
              </w:rPr>
              <w:t>Razlika u terapiji* (95% CI)</w:t>
            </w:r>
          </w:p>
        </w:tc>
        <w:tc>
          <w:tcPr>
            <w:tcW w:w="4815" w:type="dxa"/>
            <w:gridSpan w:val="2"/>
          </w:tcPr>
          <w:p w14:paraId="458B6831" w14:textId="2C73F93B" w:rsidR="00784247" w:rsidRPr="00853B61" w:rsidRDefault="00784247" w:rsidP="004B1590">
            <w:pPr>
              <w:tabs>
                <w:tab w:val="left" w:pos="540"/>
                <w:tab w:val="left" w:pos="569"/>
              </w:tabs>
              <w:jc w:val="center"/>
              <w:rPr>
                <w:sz w:val="22"/>
                <w:szCs w:val="22"/>
                <w:lang w:val="sr-Latn-ME"/>
              </w:rPr>
            </w:pPr>
            <w:r w:rsidRPr="00853B61">
              <w:rPr>
                <w:sz w:val="22"/>
                <w:szCs w:val="22"/>
                <w:lang w:val="sr-Latn-ME"/>
              </w:rPr>
              <w:t>-91,</w:t>
            </w:r>
            <w:r w:rsidR="004B1590" w:rsidRPr="00853B61">
              <w:rPr>
                <w:sz w:val="22"/>
                <w:szCs w:val="22"/>
                <w:lang w:val="sr-Latn-ME"/>
              </w:rPr>
              <w:t>7</w:t>
            </w:r>
            <w:r w:rsidRPr="00853B61">
              <w:rPr>
                <w:sz w:val="22"/>
                <w:szCs w:val="22"/>
                <w:lang w:val="sr-Latn-ME"/>
              </w:rPr>
              <w:t xml:space="preserve"> (-120,0, -63,</w:t>
            </w:r>
            <w:r w:rsidR="004B1590" w:rsidRPr="00853B61">
              <w:rPr>
                <w:sz w:val="22"/>
                <w:szCs w:val="22"/>
                <w:lang w:val="sr-Latn-ME"/>
              </w:rPr>
              <w:t>4</w:t>
            </w:r>
            <w:r w:rsidRPr="00853B61">
              <w:rPr>
                <w:sz w:val="22"/>
                <w:szCs w:val="22"/>
                <w:lang w:val="sr-Latn-ME"/>
              </w:rPr>
              <w:t>)</w:t>
            </w:r>
          </w:p>
        </w:tc>
      </w:tr>
    </w:tbl>
    <w:p w14:paraId="10624A37" w14:textId="3125913F" w:rsidR="00784247" w:rsidRPr="00853B61" w:rsidRDefault="00784247" w:rsidP="004B1590">
      <w:pPr>
        <w:tabs>
          <w:tab w:val="left" w:pos="540"/>
          <w:tab w:val="left" w:pos="569"/>
        </w:tabs>
        <w:jc w:val="both"/>
        <w:rPr>
          <w:sz w:val="22"/>
          <w:szCs w:val="22"/>
          <w:lang w:val="sr-Latn-ME"/>
        </w:rPr>
      </w:pPr>
      <w:r w:rsidRPr="00853B61">
        <w:rPr>
          <w:sz w:val="22"/>
          <w:szCs w:val="22"/>
          <w:lang w:val="sr-Latn-ME"/>
        </w:rPr>
        <w:t>* Na osnovu modela m</w:t>
      </w:r>
      <w:r w:rsidR="00592D8E" w:rsidRPr="00853B61">
        <w:rPr>
          <w:sz w:val="22"/>
          <w:szCs w:val="22"/>
          <w:lang w:val="sr-Latn-ME"/>
        </w:rPr>
        <w:t>j</w:t>
      </w:r>
      <w:r w:rsidRPr="00853B61">
        <w:rPr>
          <w:sz w:val="22"/>
          <w:szCs w:val="22"/>
          <w:lang w:val="sr-Latn-ME"/>
        </w:rPr>
        <w:t>ešovitog dejstva za ponovljena m</w:t>
      </w:r>
      <w:r w:rsidR="00592D8E" w:rsidRPr="00853B61">
        <w:rPr>
          <w:sz w:val="22"/>
          <w:szCs w:val="22"/>
          <w:lang w:val="sr-Latn-ME"/>
        </w:rPr>
        <w:t>j</w:t>
      </w:r>
      <w:r w:rsidRPr="00853B61">
        <w:rPr>
          <w:sz w:val="22"/>
          <w:szCs w:val="22"/>
          <w:lang w:val="sr-Latn-ME"/>
        </w:rPr>
        <w:t>erenja.</w:t>
      </w:r>
    </w:p>
    <w:p w14:paraId="25C5ED15" w14:textId="0941F688" w:rsidR="00784247" w:rsidRPr="00853B61" w:rsidRDefault="00784247" w:rsidP="004B1590">
      <w:pPr>
        <w:tabs>
          <w:tab w:val="left" w:pos="540"/>
          <w:tab w:val="left" w:pos="569"/>
        </w:tabs>
        <w:jc w:val="both"/>
        <w:rPr>
          <w:sz w:val="22"/>
          <w:szCs w:val="22"/>
          <w:lang w:val="sr-Latn-ME"/>
        </w:rPr>
      </w:pPr>
      <w:r w:rsidRPr="00853B61">
        <w:rPr>
          <w:sz w:val="22"/>
          <w:szCs w:val="22"/>
          <w:lang w:val="sr-Latn-ME"/>
        </w:rPr>
        <w:lastRenderedPageBreak/>
        <w:t>** Razlike u stopama i povezani s 95% CI se izračunavaju prim</w:t>
      </w:r>
      <w:r w:rsidR="00592D8E" w:rsidRPr="00853B61">
        <w:rPr>
          <w:sz w:val="22"/>
          <w:szCs w:val="22"/>
          <w:lang w:val="sr-Latn-ME"/>
        </w:rPr>
        <w:t>j</w:t>
      </w:r>
      <w:r w:rsidRPr="00853B61">
        <w:rPr>
          <w:sz w:val="22"/>
          <w:szCs w:val="22"/>
          <w:lang w:val="sr-Latn-ME"/>
        </w:rPr>
        <w:t>enom Miettinen-Nurminen metode korekcije faktora stratifikacije.</w:t>
      </w:r>
    </w:p>
    <w:p w14:paraId="352514F3" w14:textId="429B6E50" w:rsidR="00784247" w:rsidRPr="00853B61" w:rsidRDefault="00784247" w:rsidP="004B1590">
      <w:pPr>
        <w:tabs>
          <w:tab w:val="left" w:pos="540"/>
          <w:tab w:val="left" w:pos="569"/>
        </w:tabs>
        <w:jc w:val="both"/>
        <w:rPr>
          <w:sz w:val="22"/>
          <w:szCs w:val="22"/>
          <w:lang w:val="sr-Latn-ME"/>
        </w:rPr>
      </w:pPr>
      <w:r w:rsidRPr="00853B61">
        <w:rPr>
          <w:sz w:val="22"/>
          <w:szCs w:val="22"/>
          <w:lang w:val="sr-Latn-ME"/>
        </w:rPr>
        <w:t>Skraćenice: CI = interval pouzdanosti; FACIT = Funkcionalna proc</w:t>
      </w:r>
      <w:r w:rsidR="00592D8E" w:rsidRPr="00853B61">
        <w:rPr>
          <w:sz w:val="22"/>
          <w:szCs w:val="22"/>
          <w:lang w:val="sr-Latn-ME"/>
        </w:rPr>
        <w:t>j</w:t>
      </w:r>
      <w:r w:rsidRPr="00853B61">
        <w:rPr>
          <w:sz w:val="22"/>
          <w:szCs w:val="22"/>
          <w:lang w:val="sr-Latn-ME"/>
        </w:rPr>
        <w:t>ena terapije za hroničnu bolest</w:t>
      </w:r>
    </w:p>
    <w:p w14:paraId="2F110C51" w14:textId="77777777" w:rsidR="00B41AA0" w:rsidRPr="00853B61" w:rsidRDefault="00B41AA0" w:rsidP="004B1590">
      <w:pPr>
        <w:tabs>
          <w:tab w:val="left" w:pos="540"/>
          <w:tab w:val="left" w:pos="569"/>
        </w:tabs>
        <w:jc w:val="both"/>
        <w:rPr>
          <w:b/>
          <w:bCs/>
          <w:sz w:val="22"/>
          <w:szCs w:val="22"/>
          <w:lang w:val="sr-Latn-ME"/>
        </w:rPr>
      </w:pPr>
      <w:bookmarkStart w:id="0" w:name="Figure_1:_Mean_change_in_haemoglobin_lev"/>
      <w:bookmarkEnd w:id="0"/>
    </w:p>
    <w:p w14:paraId="6AA16B57" w14:textId="7562B5B2" w:rsidR="00784247" w:rsidRPr="00853B61" w:rsidRDefault="00784247" w:rsidP="004B1590">
      <w:pPr>
        <w:tabs>
          <w:tab w:val="left" w:pos="540"/>
          <w:tab w:val="left" w:pos="569"/>
        </w:tabs>
        <w:jc w:val="both"/>
        <w:rPr>
          <w:b/>
          <w:bCs/>
          <w:sz w:val="22"/>
          <w:szCs w:val="22"/>
          <w:lang w:val="sr-Latn-ME"/>
        </w:rPr>
      </w:pPr>
      <w:r w:rsidRPr="00853B61">
        <w:rPr>
          <w:b/>
          <w:bCs/>
          <w:sz w:val="22"/>
          <w:szCs w:val="22"/>
          <w:lang w:val="sr-Latn-ME"/>
        </w:rPr>
        <w:t>Slika 1: Srednja prom</w:t>
      </w:r>
      <w:r w:rsidR="00592D8E" w:rsidRPr="00853B61">
        <w:rPr>
          <w:b/>
          <w:bCs/>
          <w:sz w:val="22"/>
          <w:szCs w:val="22"/>
          <w:lang w:val="sr-Latn-ME"/>
        </w:rPr>
        <w:t>j</w:t>
      </w:r>
      <w:r w:rsidRPr="00853B61">
        <w:rPr>
          <w:b/>
          <w:bCs/>
          <w:sz w:val="22"/>
          <w:szCs w:val="22"/>
          <w:lang w:val="sr-Latn-ME"/>
        </w:rPr>
        <w:t>ena nivoa hemoglobina od početne vr</w:t>
      </w:r>
      <w:r w:rsidR="00592D8E" w:rsidRPr="00853B61">
        <w:rPr>
          <w:b/>
          <w:bCs/>
          <w:sz w:val="22"/>
          <w:szCs w:val="22"/>
          <w:lang w:val="sr-Latn-ME"/>
        </w:rPr>
        <w:t>ij</w:t>
      </w:r>
      <w:r w:rsidRPr="00853B61">
        <w:rPr>
          <w:b/>
          <w:bCs/>
          <w:sz w:val="22"/>
          <w:szCs w:val="22"/>
          <w:lang w:val="sr-Latn-ME"/>
        </w:rPr>
        <w:t>ednosti do 12. ned</w:t>
      </w:r>
      <w:r w:rsidR="00592D8E" w:rsidRPr="00853B61">
        <w:rPr>
          <w:b/>
          <w:bCs/>
          <w:sz w:val="22"/>
          <w:szCs w:val="22"/>
          <w:lang w:val="sr-Latn-ME"/>
        </w:rPr>
        <w:t>j</w:t>
      </w:r>
      <w:r w:rsidRPr="00853B61">
        <w:rPr>
          <w:b/>
          <w:bCs/>
          <w:sz w:val="22"/>
          <w:szCs w:val="22"/>
          <w:lang w:val="sr-Latn-ME"/>
        </w:rPr>
        <w:t>elje (svi randomizovani pacijenti)</w:t>
      </w:r>
    </w:p>
    <w:p w14:paraId="4D9FEA3B" w14:textId="77777777" w:rsidR="00784247" w:rsidRPr="00853B61" w:rsidRDefault="00784247" w:rsidP="004B1590">
      <w:pPr>
        <w:tabs>
          <w:tab w:val="left" w:pos="540"/>
          <w:tab w:val="left" w:pos="569"/>
        </w:tabs>
        <w:jc w:val="both"/>
        <w:rPr>
          <w:b/>
          <w:sz w:val="22"/>
          <w:szCs w:val="22"/>
          <w:lang w:val="sr-Latn-ME"/>
        </w:rPr>
      </w:pPr>
      <w:r w:rsidRPr="00853B61">
        <w:rPr>
          <w:noProof/>
          <w:sz w:val="22"/>
          <w:szCs w:val="22"/>
          <w:lang w:val="sr-Latn-ME" w:eastAsia="sr-Latn-ME"/>
        </w:rPr>
        <w:drawing>
          <wp:anchor distT="0" distB="0" distL="0" distR="0" simplePos="0" relativeHeight="251659264" behindDoc="1" locked="0" layoutInCell="1" allowOverlap="1" wp14:anchorId="63E316C8" wp14:editId="19EDDFEF">
            <wp:simplePos x="0" y="0"/>
            <wp:positionH relativeFrom="page">
              <wp:posOffset>900430</wp:posOffset>
            </wp:positionH>
            <wp:positionV relativeFrom="paragraph">
              <wp:posOffset>161739</wp:posOffset>
            </wp:positionV>
            <wp:extent cx="5936063" cy="286969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5936063" cy="2869692"/>
                    </a:xfrm>
                    <a:prstGeom prst="rect">
                      <a:avLst/>
                    </a:prstGeom>
                  </pic:spPr>
                </pic:pic>
              </a:graphicData>
            </a:graphic>
          </wp:anchor>
        </w:drawing>
      </w:r>
    </w:p>
    <w:p w14:paraId="43EE0653" w14:textId="2148BBCD" w:rsidR="00784247" w:rsidRPr="00853B61" w:rsidRDefault="00784247" w:rsidP="004B1590">
      <w:pPr>
        <w:tabs>
          <w:tab w:val="left" w:pos="540"/>
          <w:tab w:val="left" w:pos="569"/>
        </w:tabs>
        <w:jc w:val="both"/>
        <w:rPr>
          <w:sz w:val="22"/>
          <w:szCs w:val="22"/>
          <w:lang w:val="sr-Latn-ME"/>
        </w:rPr>
      </w:pPr>
      <w:r w:rsidRPr="00853B61">
        <w:rPr>
          <w:sz w:val="22"/>
          <w:szCs w:val="22"/>
          <w:lang w:val="sr-Latn-ME"/>
        </w:rPr>
        <w:t>Rezultati su u 24. ned</w:t>
      </w:r>
      <w:r w:rsidR="00592D8E" w:rsidRPr="00853B61">
        <w:rPr>
          <w:sz w:val="22"/>
          <w:szCs w:val="22"/>
          <w:lang w:val="sr-Latn-ME"/>
        </w:rPr>
        <w:t>j</w:t>
      </w:r>
      <w:r w:rsidRPr="00853B61">
        <w:rPr>
          <w:sz w:val="22"/>
          <w:szCs w:val="22"/>
          <w:lang w:val="sr-Latn-ME"/>
        </w:rPr>
        <w:t>elji bili u skladu s rezultatima iz 12. ned</w:t>
      </w:r>
      <w:r w:rsidR="00592D8E" w:rsidRPr="00853B61">
        <w:rPr>
          <w:sz w:val="22"/>
          <w:szCs w:val="22"/>
          <w:lang w:val="sr-Latn-ME"/>
        </w:rPr>
        <w:t>j</w:t>
      </w:r>
      <w:r w:rsidRPr="00853B61">
        <w:rPr>
          <w:sz w:val="22"/>
          <w:szCs w:val="22"/>
          <w:lang w:val="sr-Latn-ME"/>
        </w:rPr>
        <w:t>elje i podržavaju održavanje dejstva. Od 55 pacijenata sa PNH koji su primali danikopan u periodu od 24 ned</w:t>
      </w:r>
      <w:r w:rsidR="00592D8E" w:rsidRPr="00853B61">
        <w:rPr>
          <w:sz w:val="22"/>
          <w:szCs w:val="22"/>
          <w:lang w:val="sr-Latn-ME"/>
        </w:rPr>
        <w:t>j</w:t>
      </w:r>
      <w:r w:rsidRPr="00853B61">
        <w:rPr>
          <w:sz w:val="22"/>
          <w:szCs w:val="22"/>
          <w:lang w:val="sr-Latn-ME"/>
        </w:rPr>
        <w:t>elje, LS srednja prom</w:t>
      </w:r>
      <w:r w:rsidR="00592D8E" w:rsidRPr="00853B61">
        <w:rPr>
          <w:sz w:val="22"/>
          <w:szCs w:val="22"/>
          <w:lang w:val="sr-Latn-ME"/>
        </w:rPr>
        <w:t>j</w:t>
      </w:r>
      <w:r w:rsidRPr="00853B61">
        <w:rPr>
          <w:sz w:val="22"/>
          <w:szCs w:val="22"/>
          <w:lang w:val="sr-Latn-ME"/>
        </w:rPr>
        <w:t>ena Hgb od početne pos</w:t>
      </w:r>
      <w:r w:rsidR="00592D8E" w:rsidRPr="00853B61">
        <w:rPr>
          <w:sz w:val="22"/>
          <w:szCs w:val="22"/>
          <w:lang w:val="sr-Latn-ME"/>
        </w:rPr>
        <w:t>j</w:t>
      </w:r>
      <w:r w:rsidRPr="00853B61">
        <w:rPr>
          <w:sz w:val="22"/>
          <w:szCs w:val="22"/>
          <w:lang w:val="sr-Latn-ME"/>
        </w:rPr>
        <w:t>ete do 24. ned</w:t>
      </w:r>
      <w:r w:rsidR="00592D8E" w:rsidRPr="00853B61">
        <w:rPr>
          <w:sz w:val="22"/>
          <w:szCs w:val="22"/>
          <w:lang w:val="sr-Latn-ME"/>
        </w:rPr>
        <w:t>j</w:t>
      </w:r>
      <w:r w:rsidRPr="00853B61">
        <w:rPr>
          <w:sz w:val="22"/>
          <w:szCs w:val="22"/>
          <w:lang w:val="sr-Latn-ME"/>
        </w:rPr>
        <w:t>elje bila je 2,95 g/d</w:t>
      </w:r>
      <w:r w:rsidR="00592D8E" w:rsidRPr="00853B61">
        <w:rPr>
          <w:sz w:val="22"/>
          <w:szCs w:val="22"/>
          <w:lang w:val="sr-Latn-ME"/>
        </w:rPr>
        <w:t>l</w:t>
      </w:r>
      <w:r w:rsidRPr="00853B61">
        <w:rPr>
          <w:sz w:val="22"/>
          <w:szCs w:val="22"/>
          <w:lang w:val="sr-Latn-ME"/>
        </w:rPr>
        <w:t xml:space="preserve"> [1,83 mmol/</w:t>
      </w:r>
      <w:r w:rsidR="00592D8E" w:rsidRPr="00853B61">
        <w:rPr>
          <w:sz w:val="22"/>
          <w:szCs w:val="22"/>
          <w:lang w:val="sr-Latn-ME"/>
        </w:rPr>
        <w:t>l</w:t>
      </w:r>
      <w:r w:rsidRPr="00853B61">
        <w:rPr>
          <w:sz w:val="22"/>
          <w:szCs w:val="22"/>
          <w:lang w:val="sr-Latn-ME"/>
        </w:rPr>
        <w:t>] (95% CI: 2,42 [1,50], 3,48 [2,16]), 69,1% je održalo izb</w:t>
      </w:r>
      <w:r w:rsidR="00592D8E" w:rsidRPr="00853B61">
        <w:rPr>
          <w:sz w:val="22"/>
          <w:szCs w:val="22"/>
          <w:lang w:val="sr-Latn-ME"/>
        </w:rPr>
        <w:t>j</w:t>
      </w:r>
      <w:r w:rsidRPr="00853B61">
        <w:rPr>
          <w:sz w:val="22"/>
          <w:szCs w:val="22"/>
          <w:lang w:val="sr-Latn-ME"/>
        </w:rPr>
        <w:t>egavanje transfuzije do 24. ned</w:t>
      </w:r>
      <w:r w:rsidR="00592D8E" w:rsidRPr="00853B61">
        <w:rPr>
          <w:sz w:val="22"/>
          <w:szCs w:val="22"/>
          <w:lang w:val="sr-Latn-ME"/>
        </w:rPr>
        <w:t>j</w:t>
      </w:r>
      <w:r w:rsidRPr="00853B61">
        <w:rPr>
          <w:sz w:val="22"/>
          <w:szCs w:val="22"/>
          <w:lang w:val="sr-Latn-ME"/>
        </w:rPr>
        <w:t>elje, a 41,8% je imalo povećanje Hgb od ≥ 2 g/dl</w:t>
      </w:r>
      <w:r w:rsidR="00592D8E" w:rsidRPr="00853B61">
        <w:rPr>
          <w:sz w:val="22"/>
          <w:szCs w:val="22"/>
          <w:lang w:val="sr-Latn-ME"/>
        </w:rPr>
        <w:t xml:space="preserve"> </w:t>
      </w:r>
      <w:r w:rsidRPr="00853B61">
        <w:rPr>
          <w:sz w:val="22"/>
          <w:szCs w:val="22"/>
          <w:lang w:val="sr-Latn-ME"/>
        </w:rPr>
        <w:t>[1,2 mmol/l] u nedostatku transfuzije u 24. ned</w:t>
      </w:r>
      <w:r w:rsidR="00592D8E" w:rsidRPr="00853B61">
        <w:rPr>
          <w:sz w:val="22"/>
          <w:szCs w:val="22"/>
          <w:lang w:val="sr-Latn-ME"/>
        </w:rPr>
        <w:t>j</w:t>
      </w:r>
      <w:r w:rsidRPr="00853B61">
        <w:rPr>
          <w:sz w:val="22"/>
          <w:szCs w:val="22"/>
          <w:lang w:val="sr-Latn-ME"/>
        </w:rPr>
        <w:t>elji. Ovi pacijenti su takođe imali konzistentno poboljšanje rezultata na skali FACIT-umor koje se održavalo tokom 24 ned</w:t>
      </w:r>
      <w:r w:rsidR="00592D8E" w:rsidRPr="00853B61">
        <w:rPr>
          <w:sz w:val="22"/>
          <w:szCs w:val="22"/>
          <w:lang w:val="sr-Latn-ME"/>
        </w:rPr>
        <w:t>j</w:t>
      </w:r>
      <w:r w:rsidRPr="00853B61">
        <w:rPr>
          <w:sz w:val="22"/>
          <w:szCs w:val="22"/>
          <w:lang w:val="sr-Latn-ME"/>
        </w:rPr>
        <w:t>elje, srednja prom</w:t>
      </w:r>
      <w:r w:rsidR="00592D8E" w:rsidRPr="00853B61">
        <w:rPr>
          <w:sz w:val="22"/>
          <w:szCs w:val="22"/>
          <w:lang w:val="sr-Latn-ME"/>
        </w:rPr>
        <w:t>j</w:t>
      </w:r>
      <w:r w:rsidRPr="00853B61">
        <w:rPr>
          <w:sz w:val="22"/>
          <w:szCs w:val="22"/>
          <w:lang w:val="sr-Latn-ME"/>
        </w:rPr>
        <w:t>ena u odnosu na početnu vr</w:t>
      </w:r>
      <w:r w:rsidR="00592D8E" w:rsidRPr="00853B61">
        <w:rPr>
          <w:sz w:val="22"/>
          <w:szCs w:val="22"/>
          <w:lang w:val="sr-Latn-ME"/>
        </w:rPr>
        <w:t>ij</w:t>
      </w:r>
      <w:r w:rsidRPr="00853B61">
        <w:rPr>
          <w:sz w:val="22"/>
          <w:szCs w:val="22"/>
          <w:lang w:val="sr-Latn-ME"/>
        </w:rPr>
        <w:t>ednost bila je 6,19 (95% CI: 4,10, 8,29).</w:t>
      </w:r>
    </w:p>
    <w:p w14:paraId="1D757380" w14:textId="77777777" w:rsidR="00784247" w:rsidRPr="00853B61" w:rsidRDefault="00784247" w:rsidP="004B1590">
      <w:pPr>
        <w:tabs>
          <w:tab w:val="left" w:pos="540"/>
          <w:tab w:val="left" w:pos="569"/>
        </w:tabs>
        <w:jc w:val="both"/>
        <w:rPr>
          <w:sz w:val="22"/>
          <w:szCs w:val="22"/>
          <w:lang w:val="sr-Latn-ME"/>
        </w:rPr>
      </w:pPr>
    </w:p>
    <w:p w14:paraId="54A777DD" w14:textId="66E139DB" w:rsidR="00784247" w:rsidRPr="00853B61" w:rsidRDefault="004B1590" w:rsidP="004B1590">
      <w:pPr>
        <w:tabs>
          <w:tab w:val="left" w:pos="540"/>
          <w:tab w:val="left" w:pos="569"/>
        </w:tabs>
        <w:jc w:val="both"/>
        <w:rPr>
          <w:sz w:val="22"/>
          <w:szCs w:val="22"/>
          <w:lang w:val="sr-Latn-ME"/>
        </w:rPr>
      </w:pPr>
      <w:r w:rsidRPr="00853B61">
        <w:rPr>
          <w:sz w:val="22"/>
          <w:szCs w:val="22"/>
          <w:lang w:val="sr-Latn-ME"/>
        </w:rPr>
        <w:t>U LTE je ušlo ukupno 80 pacijenata, pri čemu su svi pacijenti primali dani</w:t>
      </w:r>
      <w:r w:rsidR="006C5346" w:rsidRPr="00853B61">
        <w:rPr>
          <w:sz w:val="22"/>
          <w:szCs w:val="22"/>
          <w:lang w:val="sr-Latn-ME"/>
        </w:rPr>
        <w:t>k</w:t>
      </w:r>
      <w:r w:rsidRPr="00853B61">
        <w:rPr>
          <w:sz w:val="22"/>
          <w:szCs w:val="22"/>
          <w:lang w:val="sr-Latn-ME"/>
        </w:rPr>
        <w:t>opan. Rezultati efikasnosti do 72. nedelje su u skladu sa onima u 12. i 24. ned</w:t>
      </w:r>
      <w:r w:rsidR="006C5346" w:rsidRPr="00853B61">
        <w:rPr>
          <w:sz w:val="22"/>
          <w:szCs w:val="22"/>
          <w:lang w:val="sr-Latn-ME"/>
        </w:rPr>
        <w:t>j</w:t>
      </w:r>
      <w:r w:rsidRPr="00853B61">
        <w:rPr>
          <w:sz w:val="22"/>
          <w:szCs w:val="22"/>
          <w:lang w:val="sr-Latn-ME"/>
        </w:rPr>
        <w:t>elji. Kod pacijenata koji su primali dani</w:t>
      </w:r>
      <w:r w:rsidR="006C5346" w:rsidRPr="00853B61">
        <w:rPr>
          <w:sz w:val="22"/>
          <w:szCs w:val="22"/>
          <w:lang w:val="sr-Latn-ME"/>
        </w:rPr>
        <w:t>k</w:t>
      </w:r>
      <w:r w:rsidRPr="00853B61">
        <w:rPr>
          <w:sz w:val="22"/>
          <w:szCs w:val="22"/>
          <w:lang w:val="sr-Latn-ME"/>
        </w:rPr>
        <w:t>opan tokom 72 ned</w:t>
      </w:r>
      <w:r w:rsidR="006C5346" w:rsidRPr="00853B61">
        <w:rPr>
          <w:sz w:val="22"/>
          <w:szCs w:val="22"/>
          <w:lang w:val="sr-Latn-ME"/>
        </w:rPr>
        <w:t>j</w:t>
      </w:r>
      <w:r w:rsidRPr="00853B61">
        <w:rPr>
          <w:sz w:val="22"/>
          <w:szCs w:val="22"/>
          <w:lang w:val="sr-Latn-ME"/>
        </w:rPr>
        <w:t>elje (N = 38), srednja promjena Hgb od početne do 72</w:t>
      </w:r>
      <w:r w:rsidR="00692164" w:rsidRPr="00853B61">
        <w:rPr>
          <w:sz w:val="22"/>
          <w:szCs w:val="22"/>
          <w:lang w:val="sr-Latn-ME"/>
        </w:rPr>
        <w:t xml:space="preserve"> ned</w:t>
      </w:r>
      <w:r w:rsidR="006C5346" w:rsidRPr="00853B61">
        <w:rPr>
          <w:sz w:val="22"/>
          <w:szCs w:val="22"/>
          <w:lang w:val="sr-Latn-ME"/>
        </w:rPr>
        <w:t>j</w:t>
      </w:r>
      <w:r w:rsidR="00692164" w:rsidRPr="00853B61">
        <w:rPr>
          <w:sz w:val="22"/>
          <w:szCs w:val="22"/>
          <w:lang w:val="sr-Latn-ME"/>
        </w:rPr>
        <w:t>elje bila je 2,81 g/d</w:t>
      </w:r>
      <w:r w:rsidR="006C5346" w:rsidRPr="00853B61">
        <w:rPr>
          <w:sz w:val="22"/>
          <w:szCs w:val="22"/>
          <w:lang w:val="sr-Latn-ME"/>
        </w:rPr>
        <w:t>l</w:t>
      </w:r>
      <w:r w:rsidR="00692164" w:rsidRPr="00853B61">
        <w:rPr>
          <w:sz w:val="22"/>
          <w:szCs w:val="22"/>
          <w:lang w:val="sr-Latn-ME"/>
        </w:rPr>
        <w:t xml:space="preserve"> [1,74 mmol/</w:t>
      </w:r>
      <w:r w:rsidR="006C5346" w:rsidRPr="00853B61">
        <w:rPr>
          <w:sz w:val="22"/>
          <w:szCs w:val="22"/>
          <w:lang w:val="sr-Latn-ME"/>
        </w:rPr>
        <w:t>l</w:t>
      </w:r>
      <w:r w:rsidR="00692164" w:rsidRPr="00853B61">
        <w:rPr>
          <w:sz w:val="22"/>
          <w:szCs w:val="22"/>
          <w:lang w:val="sr-Latn-ME"/>
        </w:rPr>
        <w:t>].</w:t>
      </w:r>
    </w:p>
    <w:p w14:paraId="75FE2B72" w14:textId="77777777" w:rsidR="004B1590" w:rsidRPr="00853B61" w:rsidRDefault="004B1590" w:rsidP="004B1590">
      <w:pPr>
        <w:tabs>
          <w:tab w:val="left" w:pos="540"/>
          <w:tab w:val="left" w:pos="569"/>
        </w:tabs>
        <w:jc w:val="both"/>
        <w:rPr>
          <w:sz w:val="22"/>
          <w:szCs w:val="22"/>
          <w:u w:val="single"/>
          <w:lang w:val="sr-Latn-ME"/>
        </w:rPr>
      </w:pPr>
    </w:p>
    <w:p w14:paraId="37AE3765" w14:textId="765A01A6" w:rsidR="00784247" w:rsidRPr="00853B61" w:rsidRDefault="00784247" w:rsidP="004B1590">
      <w:pPr>
        <w:tabs>
          <w:tab w:val="left" w:pos="540"/>
          <w:tab w:val="left" w:pos="569"/>
        </w:tabs>
        <w:jc w:val="both"/>
        <w:rPr>
          <w:sz w:val="22"/>
          <w:szCs w:val="22"/>
          <w:lang w:val="sr-Latn-ME"/>
        </w:rPr>
      </w:pPr>
      <w:r w:rsidRPr="00853B61">
        <w:rPr>
          <w:sz w:val="22"/>
          <w:szCs w:val="22"/>
          <w:u w:val="single"/>
          <w:lang w:val="sr-Latn-ME"/>
        </w:rPr>
        <w:t>Pedijatrijska populacija</w:t>
      </w:r>
    </w:p>
    <w:p w14:paraId="318FFCED" w14:textId="77777777" w:rsidR="00784247" w:rsidRPr="00853B61" w:rsidRDefault="00784247" w:rsidP="004B1590">
      <w:pPr>
        <w:tabs>
          <w:tab w:val="left" w:pos="540"/>
          <w:tab w:val="left" w:pos="569"/>
        </w:tabs>
        <w:jc w:val="both"/>
        <w:rPr>
          <w:sz w:val="22"/>
          <w:szCs w:val="22"/>
          <w:lang w:val="sr-Latn-ME"/>
        </w:rPr>
      </w:pPr>
    </w:p>
    <w:p w14:paraId="316F5D23" w14:textId="154821CF" w:rsidR="00784247" w:rsidRPr="00853B61" w:rsidRDefault="00784247" w:rsidP="004B1590">
      <w:pPr>
        <w:tabs>
          <w:tab w:val="left" w:pos="540"/>
          <w:tab w:val="left" w:pos="569"/>
        </w:tabs>
        <w:jc w:val="both"/>
        <w:rPr>
          <w:sz w:val="22"/>
          <w:szCs w:val="22"/>
          <w:lang w:val="sr-Latn-ME"/>
        </w:rPr>
      </w:pPr>
      <w:r w:rsidRPr="00853B61">
        <w:rPr>
          <w:sz w:val="22"/>
          <w:szCs w:val="22"/>
          <w:lang w:val="sr-Latn-ME"/>
        </w:rPr>
        <w:t>Evropska agencija za l</w:t>
      </w:r>
      <w:r w:rsidR="00592D8E" w:rsidRPr="00853B61">
        <w:rPr>
          <w:sz w:val="22"/>
          <w:szCs w:val="22"/>
          <w:lang w:val="sr-Latn-ME"/>
        </w:rPr>
        <w:t>j</w:t>
      </w:r>
      <w:r w:rsidRPr="00853B61">
        <w:rPr>
          <w:sz w:val="22"/>
          <w:szCs w:val="22"/>
          <w:lang w:val="sr-Latn-ME"/>
        </w:rPr>
        <w:t>ekove oslobodila je proizvođača obaveze da dostavi rezultate studija l</w:t>
      </w:r>
      <w:r w:rsidR="00592D8E" w:rsidRPr="00853B61">
        <w:rPr>
          <w:sz w:val="22"/>
          <w:szCs w:val="22"/>
          <w:lang w:val="sr-Latn-ME"/>
        </w:rPr>
        <w:t>ij</w:t>
      </w:r>
      <w:r w:rsidRPr="00853B61">
        <w:rPr>
          <w:sz w:val="22"/>
          <w:szCs w:val="22"/>
          <w:lang w:val="sr-Latn-ME"/>
        </w:rPr>
        <w:t>eka Voydeya za jednu ili više podgrupa pedijatrijske populacije u l</w:t>
      </w:r>
      <w:r w:rsidR="00592D8E" w:rsidRPr="00853B61">
        <w:rPr>
          <w:sz w:val="22"/>
          <w:szCs w:val="22"/>
          <w:lang w:val="sr-Latn-ME"/>
        </w:rPr>
        <w:t>ij</w:t>
      </w:r>
      <w:r w:rsidRPr="00853B61">
        <w:rPr>
          <w:sz w:val="22"/>
          <w:szCs w:val="22"/>
          <w:lang w:val="sr-Latn-ME"/>
        </w:rPr>
        <w:t xml:space="preserve">ečenju PNH (informacije o upotrebi kod pedijatrijskih pacijenata pogledajte u </w:t>
      </w:r>
      <w:r w:rsidR="00592D8E" w:rsidRPr="00853B61">
        <w:rPr>
          <w:sz w:val="22"/>
          <w:szCs w:val="22"/>
          <w:lang w:val="sr-Latn-ME"/>
        </w:rPr>
        <w:t>dijelu</w:t>
      </w:r>
      <w:r w:rsidRPr="00853B61">
        <w:rPr>
          <w:sz w:val="22"/>
          <w:szCs w:val="22"/>
          <w:lang w:val="sr-Latn-ME"/>
        </w:rPr>
        <w:t xml:space="preserve"> 4.2.).</w:t>
      </w:r>
    </w:p>
    <w:p w14:paraId="0C664A5D" w14:textId="77777777" w:rsidR="00784247" w:rsidRPr="00853B61" w:rsidRDefault="00784247" w:rsidP="004B1590">
      <w:pPr>
        <w:tabs>
          <w:tab w:val="left" w:pos="540"/>
          <w:tab w:val="left" w:pos="569"/>
        </w:tabs>
        <w:jc w:val="both"/>
        <w:rPr>
          <w:b/>
          <w:bCs/>
          <w:sz w:val="22"/>
          <w:szCs w:val="22"/>
          <w:lang w:val="sr-Latn-ME"/>
        </w:rPr>
      </w:pPr>
    </w:p>
    <w:p w14:paraId="45D0155D"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5.2. </w:t>
      </w:r>
      <w:r w:rsidR="00480FB1" w:rsidRPr="00853B61">
        <w:rPr>
          <w:b/>
          <w:bCs/>
          <w:sz w:val="22"/>
          <w:szCs w:val="22"/>
          <w:lang w:val="sr-Latn-ME"/>
        </w:rPr>
        <w:tab/>
      </w:r>
      <w:r w:rsidRPr="00853B61">
        <w:rPr>
          <w:b/>
          <w:bCs/>
          <w:sz w:val="22"/>
          <w:szCs w:val="22"/>
          <w:lang w:val="sr-Latn-ME"/>
        </w:rPr>
        <w:t>Farmakokinetički podaci</w:t>
      </w:r>
      <w:r w:rsidR="003A7059" w:rsidRPr="00853B61">
        <w:rPr>
          <w:b/>
          <w:bCs/>
          <w:sz w:val="22"/>
          <w:szCs w:val="22"/>
          <w:lang w:val="sr-Latn-ME"/>
        </w:rPr>
        <w:t xml:space="preserve"> </w:t>
      </w:r>
    </w:p>
    <w:p w14:paraId="5AD06D2C" w14:textId="77777777" w:rsidR="0072020E" w:rsidRPr="00853B61" w:rsidRDefault="0072020E" w:rsidP="004B1590">
      <w:pPr>
        <w:tabs>
          <w:tab w:val="left" w:pos="540"/>
          <w:tab w:val="left" w:pos="569"/>
        </w:tabs>
        <w:jc w:val="both"/>
        <w:rPr>
          <w:bCs/>
          <w:sz w:val="22"/>
          <w:szCs w:val="22"/>
          <w:lang w:val="sr-Latn-ME"/>
        </w:rPr>
      </w:pPr>
    </w:p>
    <w:p w14:paraId="7CDCAADD"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Apsorpcija</w:t>
      </w:r>
    </w:p>
    <w:p w14:paraId="3893DCD1" w14:textId="77777777" w:rsidR="00237EA4" w:rsidRPr="00853B61" w:rsidRDefault="00237EA4" w:rsidP="004B1590">
      <w:pPr>
        <w:tabs>
          <w:tab w:val="left" w:pos="540"/>
          <w:tab w:val="left" w:pos="569"/>
        </w:tabs>
        <w:jc w:val="both"/>
        <w:rPr>
          <w:bCs/>
          <w:sz w:val="22"/>
          <w:szCs w:val="22"/>
          <w:lang w:val="sr-Latn-ME"/>
        </w:rPr>
      </w:pPr>
    </w:p>
    <w:p w14:paraId="1B8B1392" w14:textId="3AB2E34E"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Dani</w:t>
      </w:r>
      <w:r w:rsidR="006C5346" w:rsidRPr="00853B61">
        <w:rPr>
          <w:bCs/>
          <w:sz w:val="22"/>
          <w:szCs w:val="22"/>
          <w:lang w:val="sr-Latn-ME"/>
        </w:rPr>
        <w:t>k</w:t>
      </w:r>
      <w:r w:rsidRPr="00853B61">
        <w:rPr>
          <w:bCs/>
          <w:sz w:val="22"/>
          <w:szCs w:val="22"/>
          <w:lang w:val="sr-Latn-ME"/>
        </w:rPr>
        <w:t xml:space="preserve">opan se brzo apsorbuje nakon oralnog doziranja, sa srednjim vremenom do maksimalne uočene koncentracije oko 3 sata nakon doziranja. U opsegu doza od 200 mg do 800 mg, </w:t>
      </w:r>
      <w:r w:rsidR="006C5346" w:rsidRPr="00853B61">
        <w:rPr>
          <w:bCs/>
          <w:sz w:val="22"/>
          <w:szCs w:val="22"/>
          <w:lang w:val="sr-Latn-ME"/>
        </w:rPr>
        <w:t xml:space="preserve">povećanje vrijednosti </w:t>
      </w:r>
      <w:r w:rsidRPr="00853B61">
        <w:rPr>
          <w:bCs/>
          <w:sz w:val="22"/>
          <w:szCs w:val="22"/>
          <w:lang w:val="sr-Latn-ME"/>
        </w:rPr>
        <w:t>C</w:t>
      </w:r>
      <w:r w:rsidRPr="00853B61">
        <w:rPr>
          <w:bCs/>
          <w:sz w:val="22"/>
          <w:szCs w:val="22"/>
          <w:vertAlign w:val="subscript"/>
          <w:lang w:val="sr-Latn-ME"/>
        </w:rPr>
        <w:t>max</w:t>
      </w:r>
      <w:r w:rsidRPr="00853B61">
        <w:rPr>
          <w:bCs/>
          <w:sz w:val="22"/>
          <w:szCs w:val="22"/>
          <w:lang w:val="sr-Latn-ME"/>
        </w:rPr>
        <w:t xml:space="preserve"> </w:t>
      </w:r>
      <w:r w:rsidR="006C5346" w:rsidRPr="00853B61">
        <w:rPr>
          <w:bCs/>
          <w:sz w:val="22"/>
          <w:szCs w:val="22"/>
          <w:lang w:val="sr-Latn-ME"/>
        </w:rPr>
        <w:t xml:space="preserve">bilo je manje od </w:t>
      </w:r>
      <w:r w:rsidRPr="00853B61">
        <w:rPr>
          <w:bCs/>
          <w:sz w:val="22"/>
          <w:szCs w:val="22"/>
          <w:lang w:val="sr-Latn-ME"/>
        </w:rPr>
        <w:t>proporcional</w:t>
      </w:r>
      <w:r w:rsidR="006C5346" w:rsidRPr="00853B61">
        <w:rPr>
          <w:bCs/>
          <w:sz w:val="22"/>
          <w:szCs w:val="22"/>
          <w:lang w:val="sr-Latn-ME"/>
        </w:rPr>
        <w:t>nog dozi</w:t>
      </w:r>
      <w:r w:rsidRPr="00853B61">
        <w:rPr>
          <w:bCs/>
          <w:sz w:val="22"/>
          <w:szCs w:val="22"/>
          <w:lang w:val="sr-Latn-ME"/>
        </w:rPr>
        <w:t>, v</w:t>
      </w:r>
      <w:r w:rsidR="00592D8E" w:rsidRPr="00853B61">
        <w:rPr>
          <w:bCs/>
          <w:sz w:val="22"/>
          <w:szCs w:val="22"/>
          <w:lang w:val="sr-Latn-ME"/>
        </w:rPr>
        <w:t>j</w:t>
      </w:r>
      <w:r w:rsidRPr="00853B61">
        <w:rPr>
          <w:bCs/>
          <w:sz w:val="22"/>
          <w:szCs w:val="22"/>
          <w:lang w:val="sr-Latn-ME"/>
        </w:rPr>
        <w:t>erovatno zbog apsorpcije ograničene rastvorljivosti. Kada je danikopan davan s obrokom s visokim sadržajem masti, vr</w:t>
      </w:r>
      <w:r w:rsidR="00592D8E" w:rsidRPr="00853B61">
        <w:rPr>
          <w:bCs/>
          <w:sz w:val="22"/>
          <w:szCs w:val="22"/>
          <w:lang w:val="sr-Latn-ME"/>
        </w:rPr>
        <w:t>ij</w:t>
      </w:r>
      <w:r w:rsidRPr="00853B61">
        <w:rPr>
          <w:bCs/>
          <w:sz w:val="22"/>
          <w:szCs w:val="22"/>
          <w:lang w:val="sr-Latn-ME"/>
        </w:rPr>
        <w:t>ednosti AUC i C</w:t>
      </w:r>
      <w:r w:rsidRPr="00853B61">
        <w:rPr>
          <w:bCs/>
          <w:sz w:val="22"/>
          <w:szCs w:val="22"/>
          <w:vertAlign w:val="subscript"/>
          <w:lang w:val="sr-Latn-ME"/>
        </w:rPr>
        <w:t>m</w:t>
      </w:r>
      <w:r w:rsidR="006C5346" w:rsidRPr="00853B61">
        <w:rPr>
          <w:bCs/>
          <w:sz w:val="22"/>
          <w:szCs w:val="22"/>
          <w:vertAlign w:val="subscript"/>
          <w:lang w:val="sr-Latn-ME"/>
        </w:rPr>
        <w:t>ax</w:t>
      </w:r>
      <w:r w:rsidRPr="00853B61">
        <w:rPr>
          <w:bCs/>
          <w:sz w:val="22"/>
          <w:szCs w:val="22"/>
          <w:lang w:val="sr-Latn-ME"/>
        </w:rPr>
        <w:t xml:space="preserve"> su bile više oko 25%, odnosno 93%, u odnosu na stanje natašte. Medijana T</w:t>
      </w:r>
      <w:r w:rsidRPr="00853B61">
        <w:rPr>
          <w:bCs/>
          <w:sz w:val="22"/>
          <w:szCs w:val="22"/>
          <w:vertAlign w:val="subscript"/>
          <w:lang w:val="sr-Latn-ME"/>
        </w:rPr>
        <w:t>max</w:t>
      </w:r>
      <w:r w:rsidRPr="00853B61">
        <w:rPr>
          <w:bCs/>
          <w:sz w:val="22"/>
          <w:szCs w:val="22"/>
          <w:lang w:val="sr-Latn-ME"/>
        </w:rPr>
        <w:t xml:space="preserve"> je bila uporediva kada je danikopan prim</w:t>
      </w:r>
      <w:r w:rsidR="00592D8E" w:rsidRPr="00853B61">
        <w:rPr>
          <w:bCs/>
          <w:sz w:val="22"/>
          <w:szCs w:val="22"/>
          <w:lang w:val="sr-Latn-ME"/>
        </w:rPr>
        <w:t>ij</w:t>
      </w:r>
      <w:r w:rsidRPr="00853B61">
        <w:rPr>
          <w:bCs/>
          <w:sz w:val="22"/>
          <w:szCs w:val="22"/>
          <w:lang w:val="sr-Latn-ME"/>
        </w:rPr>
        <w:t>enjen nakon obroka ili natašte nakon oko 3,0, odnosno 2,5 sata (vid</w:t>
      </w:r>
      <w:r w:rsidR="00592D8E" w:rsidRPr="00853B61">
        <w:rPr>
          <w:bCs/>
          <w:sz w:val="22"/>
          <w:szCs w:val="22"/>
          <w:lang w:val="sr-Latn-ME"/>
        </w:rPr>
        <w:t>j</w:t>
      </w:r>
      <w:r w:rsidRPr="00853B61">
        <w:rPr>
          <w:bCs/>
          <w:sz w:val="22"/>
          <w:szCs w:val="22"/>
          <w:lang w:val="sr-Latn-ME"/>
        </w:rPr>
        <w:t xml:space="preserve">eti </w:t>
      </w:r>
      <w:r w:rsidR="00592D8E" w:rsidRPr="00853B61">
        <w:rPr>
          <w:bCs/>
          <w:sz w:val="22"/>
          <w:szCs w:val="22"/>
          <w:lang w:val="sr-Latn-ME"/>
        </w:rPr>
        <w:t>dio</w:t>
      </w:r>
      <w:r w:rsidRPr="00853B61">
        <w:rPr>
          <w:bCs/>
          <w:sz w:val="22"/>
          <w:szCs w:val="22"/>
          <w:lang w:val="sr-Latn-ME"/>
        </w:rPr>
        <w:t xml:space="preserve"> 4.2).</w:t>
      </w:r>
    </w:p>
    <w:p w14:paraId="417A931E" w14:textId="77777777" w:rsidR="00237EA4" w:rsidRPr="00853B61" w:rsidRDefault="00237EA4" w:rsidP="004B1590">
      <w:pPr>
        <w:tabs>
          <w:tab w:val="left" w:pos="540"/>
          <w:tab w:val="left" w:pos="569"/>
        </w:tabs>
        <w:jc w:val="both"/>
        <w:rPr>
          <w:bCs/>
          <w:sz w:val="22"/>
          <w:szCs w:val="22"/>
          <w:lang w:val="sr-Latn-ME"/>
        </w:rPr>
      </w:pPr>
    </w:p>
    <w:p w14:paraId="0D0BA1F8" w14:textId="6C3AEB60" w:rsidR="00B41AA0" w:rsidRPr="00853B61" w:rsidRDefault="00237EA4" w:rsidP="004B1590">
      <w:pPr>
        <w:tabs>
          <w:tab w:val="left" w:pos="540"/>
          <w:tab w:val="left" w:pos="569"/>
        </w:tabs>
        <w:jc w:val="both"/>
        <w:rPr>
          <w:bCs/>
          <w:sz w:val="22"/>
          <w:szCs w:val="22"/>
          <w:lang w:val="sr-Latn-ME"/>
        </w:rPr>
      </w:pPr>
      <w:r w:rsidRPr="00853B61">
        <w:rPr>
          <w:bCs/>
          <w:sz w:val="22"/>
          <w:szCs w:val="22"/>
          <w:lang w:val="sr-Latn-ME"/>
        </w:rPr>
        <w:t xml:space="preserve">Danikopan je visokopermeabilan i supstrat P-gp </w:t>
      </w:r>
      <w:r w:rsidRPr="00853B61">
        <w:rPr>
          <w:bCs/>
          <w:i/>
          <w:iCs/>
          <w:sz w:val="22"/>
          <w:szCs w:val="22"/>
          <w:lang w:val="sr-Latn-ME"/>
        </w:rPr>
        <w:t>in vitro</w:t>
      </w:r>
      <w:r w:rsidRPr="00853B61">
        <w:rPr>
          <w:bCs/>
          <w:sz w:val="22"/>
          <w:szCs w:val="22"/>
          <w:lang w:val="sr-Latn-ME"/>
        </w:rPr>
        <w:t>, ali s niskim odnosom efluksa. Ne čini se da na oralnu izloženost danikopanu d</w:t>
      </w:r>
      <w:r w:rsidR="00592D8E" w:rsidRPr="00853B61">
        <w:rPr>
          <w:bCs/>
          <w:sz w:val="22"/>
          <w:szCs w:val="22"/>
          <w:lang w:val="sr-Latn-ME"/>
        </w:rPr>
        <w:t>j</w:t>
      </w:r>
      <w:r w:rsidRPr="00853B61">
        <w:rPr>
          <w:bCs/>
          <w:sz w:val="22"/>
          <w:szCs w:val="22"/>
          <w:lang w:val="sr-Latn-ME"/>
        </w:rPr>
        <w:t>eluje efluks P-gp u gastrointestinalnom traktu. Danikopan nije supstrat BCRP, OATP1B1 ili OATP1B3.</w:t>
      </w:r>
    </w:p>
    <w:p w14:paraId="55DE66C7" w14:textId="77777777" w:rsidR="00B41AA0" w:rsidRPr="00853B61" w:rsidRDefault="00B41AA0" w:rsidP="004B1590">
      <w:pPr>
        <w:tabs>
          <w:tab w:val="left" w:pos="540"/>
          <w:tab w:val="left" w:pos="569"/>
        </w:tabs>
        <w:jc w:val="both"/>
        <w:rPr>
          <w:bCs/>
          <w:sz w:val="22"/>
          <w:szCs w:val="22"/>
          <w:lang w:val="sr-Latn-ME"/>
        </w:rPr>
      </w:pPr>
    </w:p>
    <w:p w14:paraId="5AC3750C"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Distribucija</w:t>
      </w:r>
    </w:p>
    <w:p w14:paraId="176E42B3" w14:textId="77777777" w:rsidR="00237EA4" w:rsidRPr="00853B61" w:rsidRDefault="00237EA4" w:rsidP="004B1590">
      <w:pPr>
        <w:tabs>
          <w:tab w:val="left" w:pos="540"/>
          <w:tab w:val="left" w:pos="569"/>
        </w:tabs>
        <w:jc w:val="both"/>
        <w:rPr>
          <w:bCs/>
          <w:sz w:val="22"/>
          <w:szCs w:val="22"/>
          <w:lang w:val="sr-Latn-ME"/>
        </w:rPr>
      </w:pPr>
    </w:p>
    <w:p w14:paraId="7C0191BC" w14:textId="0C947061"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Danikopan se veoma vezuje za proteine humane plazme (91,5% do 94,3%) i uglavnom se distribuira u plazmi sa odnosom srednje vr</w:t>
      </w:r>
      <w:r w:rsidR="00592D8E" w:rsidRPr="00853B61">
        <w:rPr>
          <w:bCs/>
          <w:sz w:val="22"/>
          <w:szCs w:val="22"/>
          <w:lang w:val="sr-Latn-ME"/>
        </w:rPr>
        <w:t>ij</w:t>
      </w:r>
      <w:r w:rsidRPr="00853B61">
        <w:rPr>
          <w:bCs/>
          <w:sz w:val="22"/>
          <w:szCs w:val="22"/>
          <w:lang w:val="sr-Latn-ME"/>
        </w:rPr>
        <w:t>ednosti AUC</w:t>
      </w:r>
      <w:r w:rsidRPr="00853B61">
        <w:rPr>
          <w:bCs/>
          <w:sz w:val="22"/>
          <w:szCs w:val="22"/>
          <w:vertAlign w:val="subscript"/>
          <w:lang w:val="sr-Latn-ME"/>
        </w:rPr>
        <w:t>0-∞</w:t>
      </w:r>
      <w:r w:rsidRPr="00853B61">
        <w:rPr>
          <w:bCs/>
          <w:sz w:val="22"/>
          <w:szCs w:val="22"/>
          <w:lang w:val="sr-Latn-ME"/>
        </w:rPr>
        <w:t xml:space="preserve"> pune krvi i plazme od 0,545. Činilo se da koncentracije plazme u danikopanu opadaju na dvofazni način nakon T</w:t>
      </w:r>
      <w:r w:rsidRPr="00853B61">
        <w:rPr>
          <w:bCs/>
          <w:sz w:val="22"/>
          <w:szCs w:val="22"/>
          <w:vertAlign w:val="subscript"/>
          <w:lang w:val="sr-Latn-ME"/>
        </w:rPr>
        <w:t>max</w:t>
      </w:r>
      <w:r w:rsidRPr="00853B61">
        <w:rPr>
          <w:bCs/>
          <w:sz w:val="22"/>
          <w:szCs w:val="22"/>
          <w:lang w:val="sr-Latn-ME"/>
        </w:rPr>
        <w:t>. Proc</w:t>
      </w:r>
      <w:r w:rsidR="00592D8E" w:rsidRPr="00853B61">
        <w:rPr>
          <w:bCs/>
          <w:sz w:val="22"/>
          <w:szCs w:val="22"/>
          <w:lang w:val="sr-Latn-ME"/>
        </w:rPr>
        <w:t>ij</w:t>
      </w:r>
      <w:r w:rsidRPr="00853B61">
        <w:rPr>
          <w:bCs/>
          <w:sz w:val="22"/>
          <w:szCs w:val="22"/>
          <w:lang w:val="sr-Latn-ME"/>
        </w:rPr>
        <w:t>enjeni oralni prividni volumen distribucije za osobu od 75 kg kada se koristi model PK populacije bio je 168 l za Vc/F i 234 l za Vp/F (ukupno 402 l), što ukazuje na um</w:t>
      </w:r>
      <w:r w:rsidR="00592D8E" w:rsidRPr="00853B61">
        <w:rPr>
          <w:bCs/>
          <w:sz w:val="22"/>
          <w:szCs w:val="22"/>
          <w:lang w:val="sr-Latn-ME"/>
        </w:rPr>
        <w:t>j</w:t>
      </w:r>
      <w:r w:rsidRPr="00853B61">
        <w:rPr>
          <w:bCs/>
          <w:sz w:val="22"/>
          <w:szCs w:val="22"/>
          <w:lang w:val="sr-Latn-ME"/>
        </w:rPr>
        <w:t>erenu distribuciju danikopana u periferno tkivo.</w:t>
      </w:r>
    </w:p>
    <w:p w14:paraId="6340C8CA" w14:textId="77777777" w:rsidR="00237EA4" w:rsidRPr="00853B61" w:rsidRDefault="00237EA4" w:rsidP="004B1590">
      <w:pPr>
        <w:tabs>
          <w:tab w:val="left" w:pos="540"/>
          <w:tab w:val="left" w:pos="569"/>
        </w:tabs>
        <w:jc w:val="both"/>
        <w:rPr>
          <w:bCs/>
          <w:sz w:val="22"/>
          <w:szCs w:val="22"/>
          <w:lang w:val="sr-Latn-ME"/>
        </w:rPr>
      </w:pPr>
    </w:p>
    <w:p w14:paraId="4763D203"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Biotransformacija</w:t>
      </w:r>
    </w:p>
    <w:p w14:paraId="5B7C94C1" w14:textId="77777777" w:rsidR="00237EA4" w:rsidRPr="00853B61" w:rsidRDefault="00237EA4" w:rsidP="004B1590">
      <w:pPr>
        <w:tabs>
          <w:tab w:val="left" w:pos="540"/>
          <w:tab w:val="left" w:pos="569"/>
        </w:tabs>
        <w:jc w:val="both"/>
        <w:rPr>
          <w:bCs/>
          <w:sz w:val="22"/>
          <w:szCs w:val="22"/>
          <w:lang w:val="sr-Latn-ME"/>
        </w:rPr>
      </w:pPr>
    </w:p>
    <w:p w14:paraId="55639DE2" w14:textId="35A7ECF1"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Danikopan se u velikoj m</w:t>
      </w:r>
      <w:r w:rsidR="00592D8E" w:rsidRPr="00853B61">
        <w:rPr>
          <w:bCs/>
          <w:sz w:val="22"/>
          <w:szCs w:val="22"/>
          <w:lang w:val="sr-Latn-ME"/>
        </w:rPr>
        <w:t>j</w:t>
      </w:r>
      <w:r w:rsidRPr="00853B61">
        <w:rPr>
          <w:bCs/>
          <w:sz w:val="22"/>
          <w:szCs w:val="22"/>
          <w:lang w:val="sr-Latn-ME"/>
        </w:rPr>
        <w:t>eri metaboliše (96%) nakon oralnog doziranja putanjama oksidacije, redukcije i hidrolize, pri čemu je hidroliza amida identifikovana kao glavna putanja eliminacije. Metabolizam</w:t>
      </w:r>
    </w:p>
    <w:p w14:paraId="2015A851"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 xml:space="preserve">CYP-posredovanih mehanizama je minimalnan. </w:t>
      </w:r>
    </w:p>
    <w:p w14:paraId="2CF5E812" w14:textId="77777777" w:rsidR="00237EA4" w:rsidRPr="00853B61" w:rsidRDefault="00237EA4" w:rsidP="004B1590">
      <w:pPr>
        <w:tabs>
          <w:tab w:val="left" w:pos="540"/>
          <w:tab w:val="left" w:pos="569"/>
        </w:tabs>
        <w:jc w:val="both"/>
        <w:rPr>
          <w:bCs/>
          <w:sz w:val="22"/>
          <w:szCs w:val="22"/>
          <w:lang w:val="sr-Latn-ME"/>
        </w:rPr>
      </w:pPr>
    </w:p>
    <w:p w14:paraId="69ACC4E9" w14:textId="79E6F946" w:rsidR="00237EA4" w:rsidRPr="00853B61" w:rsidRDefault="00237EA4" w:rsidP="004B1590">
      <w:pPr>
        <w:tabs>
          <w:tab w:val="left" w:pos="540"/>
          <w:tab w:val="left" w:pos="569"/>
        </w:tabs>
        <w:jc w:val="both"/>
        <w:rPr>
          <w:bCs/>
          <w:sz w:val="22"/>
          <w:szCs w:val="22"/>
          <w:u w:val="single"/>
          <w:lang w:val="sr-Latn-ME"/>
        </w:rPr>
      </w:pPr>
      <w:r w:rsidRPr="00853B61">
        <w:rPr>
          <w:bCs/>
          <w:sz w:val="22"/>
          <w:szCs w:val="22"/>
          <w:u w:val="single"/>
          <w:lang w:val="sr-Latn-ME"/>
        </w:rPr>
        <w:t>Eliminacija</w:t>
      </w:r>
    </w:p>
    <w:p w14:paraId="626364C4" w14:textId="77777777" w:rsidR="00237EA4" w:rsidRPr="00853B61" w:rsidRDefault="00237EA4" w:rsidP="004B1590">
      <w:pPr>
        <w:tabs>
          <w:tab w:val="left" w:pos="540"/>
          <w:tab w:val="left" w:pos="569"/>
        </w:tabs>
        <w:jc w:val="both"/>
        <w:rPr>
          <w:bCs/>
          <w:sz w:val="22"/>
          <w:szCs w:val="22"/>
          <w:lang w:val="sr-Latn-ME"/>
        </w:rPr>
      </w:pPr>
    </w:p>
    <w:p w14:paraId="240B085F" w14:textId="7F741EC2"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Nakon oralne prim</w:t>
      </w:r>
      <w:r w:rsidR="00592D8E" w:rsidRPr="00853B61">
        <w:rPr>
          <w:bCs/>
          <w:sz w:val="22"/>
          <w:szCs w:val="22"/>
          <w:lang w:val="sr-Latn-ME"/>
        </w:rPr>
        <w:t>j</w:t>
      </w:r>
      <w:r w:rsidRPr="00853B61">
        <w:rPr>
          <w:bCs/>
          <w:sz w:val="22"/>
          <w:szCs w:val="22"/>
          <w:lang w:val="sr-Latn-ME"/>
        </w:rPr>
        <w:t>ene, glavni put eliminacije je putem fecesa (oko 69% prim</w:t>
      </w:r>
      <w:r w:rsidR="001343A1" w:rsidRPr="00853B61">
        <w:rPr>
          <w:bCs/>
          <w:sz w:val="22"/>
          <w:szCs w:val="22"/>
          <w:lang w:val="sr-Latn-ME"/>
        </w:rPr>
        <w:t>ij</w:t>
      </w:r>
      <w:r w:rsidRPr="00853B61">
        <w:rPr>
          <w:bCs/>
          <w:sz w:val="22"/>
          <w:szCs w:val="22"/>
          <w:lang w:val="sr-Latn-ME"/>
        </w:rPr>
        <w:t>enjene doze u poređenju sa oko 25% prim</w:t>
      </w:r>
      <w:r w:rsidR="001343A1" w:rsidRPr="00853B61">
        <w:rPr>
          <w:bCs/>
          <w:sz w:val="22"/>
          <w:szCs w:val="22"/>
          <w:lang w:val="sr-Latn-ME"/>
        </w:rPr>
        <w:t>ij</w:t>
      </w:r>
      <w:r w:rsidRPr="00853B61">
        <w:rPr>
          <w:bCs/>
          <w:sz w:val="22"/>
          <w:szCs w:val="22"/>
          <w:lang w:val="sr-Latn-ME"/>
        </w:rPr>
        <w:t>enjene doze koja se eliminiše putem urina). U analizi farmakokinetike (PK) populacije kod pacijenata sa PNH koji imaju klinički značajan EVH, t</w:t>
      </w:r>
      <w:r w:rsidRPr="00853B61">
        <w:rPr>
          <w:bCs/>
          <w:sz w:val="22"/>
          <w:szCs w:val="22"/>
          <w:vertAlign w:val="subscript"/>
          <w:lang w:val="sr-Latn-ME"/>
        </w:rPr>
        <w:t>½</w:t>
      </w:r>
      <w:r w:rsidRPr="00853B61">
        <w:rPr>
          <w:bCs/>
          <w:sz w:val="22"/>
          <w:szCs w:val="22"/>
          <w:lang w:val="sr-Latn-ME"/>
        </w:rPr>
        <w:t xml:space="preserve"> ima proc</w:t>
      </w:r>
      <w:r w:rsidR="00592D8E" w:rsidRPr="00853B61">
        <w:rPr>
          <w:bCs/>
          <w:sz w:val="22"/>
          <w:szCs w:val="22"/>
          <w:lang w:val="sr-Latn-ME"/>
        </w:rPr>
        <w:t>ij</w:t>
      </w:r>
      <w:r w:rsidRPr="00853B61">
        <w:rPr>
          <w:bCs/>
          <w:sz w:val="22"/>
          <w:szCs w:val="22"/>
          <w:lang w:val="sr-Latn-ME"/>
        </w:rPr>
        <w:t>enjenu srednju vr</w:t>
      </w:r>
      <w:r w:rsidR="00592D8E" w:rsidRPr="00853B61">
        <w:rPr>
          <w:bCs/>
          <w:sz w:val="22"/>
          <w:szCs w:val="22"/>
          <w:lang w:val="sr-Latn-ME"/>
        </w:rPr>
        <w:t>ij</w:t>
      </w:r>
      <w:r w:rsidRPr="00853B61">
        <w:rPr>
          <w:bCs/>
          <w:sz w:val="22"/>
          <w:szCs w:val="22"/>
          <w:lang w:val="sr-Latn-ME"/>
        </w:rPr>
        <w:t>ednost od 7,91 sati.</w:t>
      </w:r>
    </w:p>
    <w:p w14:paraId="7EFFDF64" w14:textId="77777777" w:rsidR="00237EA4" w:rsidRPr="00853B61" w:rsidRDefault="00237EA4" w:rsidP="004B1590">
      <w:pPr>
        <w:tabs>
          <w:tab w:val="left" w:pos="540"/>
          <w:tab w:val="left" w:pos="569"/>
        </w:tabs>
        <w:jc w:val="both"/>
        <w:rPr>
          <w:bCs/>
          <w:sz w:val="22"/>
          <w:szCs w:val="22"/>
          <w:u w:val="single"/>
          <w:lang w:val="sr-Latn-ME"/>
        </w:rPr>
      </w:pPr>
    </w:p>
    <w:p w14:paraId="564CE34D" w14:textId="1A1DA998"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Posebne populacije</w:t>
      </w:r>
    </w:p>
    <w:p w14:paraId="5EB8E30D" w14:textId="77777777" w:rsidR="00237EA4" w:rsidRPr="00853B61" w:rsidRDefault="00237EA4" w:rsidP="004B1590">
      <w:pPr>
        <w:tabs>
          <w:tab w:val="left" w:pos="540"/>
          <w:tab w:val="left" w:pos="569"/>
        </w:tabs>
        <w:jc w:val="both"/>
        <w:rPr>
          <w:bCs/>
          <w:sz w:val="22"/>
          <w:szCs w:val="22"/>
          <w:lang w:val="sr-Latn-ME"/>
        </w:rPr>
      </w:pPr>
    </w:p>
    <w:p w14:paraId="75EB6101" w14:textId="03432558"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Ni</w:t>
      </w:r>
      <w:r w:rsidR="006C5346" w:rsidRPr="00853B61">
        <w:rPr>
          <w:bCs/>
          <w:sz w:val="22"/>
          <w:szCs w:val="22"/>
          <w:lang w:val="sr-Latn-ME"/>
        </w:rPr>
        <w:t>je</w:t>
      </w:r>
      <w:r w:rsidRPr="00853B61">
        <w:rPr>
          <w:bCs/>
          <w:sz w:val="22"/>
          <w:szCs w:val="22"/>
          <w:lang w:val="sr-Latn-ME"/>
        </w:rPr>
        <w:t>su uočene klinički značajne razlike u farmakokinetici danikopana na osnovu pola, starosti ili rase na osnovu proc</w:t>
      </w:r>
      <w:r w:rsidR="00592D8E" w:rsidRPr="00853B61">
        <w:rPr>
          <w:bCs/>
          <w:sz w:val="22"/>
          <w:szCs w:val="22"/>
          <w:lang w:val="sr-Latn-ME"/>
        </w:rPr>
        <w:t>j</w:t>
      </w:r>
      <w:r w:rsidRPr="00853B61">
        <w:rPr>
          <w:bCs/>
          <w:sz w:val="22"/>
          <w:szCs w:val="22"/>
          <w:lang w:val="sr-Latn-ME"/>
        </w:rPr>
        <w:t>ene PK populacije.</w:t>
      </w:r>
    </w:p>
    <w:p w14:paraId="128BE212" w14:textId="77777777" w:rsidR="00592D8E" w:rsidRPr="00853B61" w:rsidRDefault="00592D8E" w:rsidP="004B1590">
      <w:pPr>
        <w:tabs>
          <w:tab w:val="left" w:pos="540"/>
          <w:tab w:val="left" w:pos="569"/>
        </w:tabs>
        <w:jc w:val="both"/>
        <w:rPr>
          <w:bCs/>
          <w:i/>
          <w:iCs/>
          <w:sz w:val="22"/>
          <w:szCs w:val="22"/>
          <w:lang w:val="sr-Latn-ME"/>
        </w:rPr>
      </w:pPr>
    </w:p>
    <w:p w14:paraId="61F56A28" w14:textId="392A01DB" w:rsidR="00237EA4" w:rsidRPr="00853B61" w:rsidRDefault="00237EA4" w:rsidP="004B1590">
      <w:pPr>
        <w:tabs>
          <w:tab w:val="left" w:pos="540"/>
          <w:tab w:val="left" w:pos="569"/>
        </w:tabs>
        <w:jc w:val="both"/>
        <w:rPr>
          <w:bCs/>
          <w:i/>
          <w:sz w:val="22"/>
          <w:szCs w:val="22"/>
          <w:lang w:val="sr-Latn-ME"/>
        </w:rPr>
      </w:pPr>
      <w:r w:rsidRPr="00853B61">
        <w:rPr>
          <w:bCs/>
          <w:i/>
          <w:iCs/>
          <w:sz w:val="22"/>
          <w:szCs w:val="22"/>
          <w:lang w:val="sr-Latn-ME"/>
        </w:rPr>
        <w:t>Oštećenje funkcije bubrega</w:t>
      </w:r>
    </w:p>
    <w:p w14:paraId="1EF6780B" w14:textId="2F73A8FE"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Nakon oralne prim</w:t>
      </w:r>
      <w:r w:rsidR="00592D8E" w:rsidRPr="00853B61">
        <w:rPr>
          <w:bCs/>
          <w:sz w:val="22"/>
          <w:szCs w:val="22"/>
          <w:lang w:val="sr-Latn-ME"/>
        </w:rPr>
        <w:t>j</w:t>
      </w:r>
      <w:r w:rsidRPr="00853B61">
        <w:rPr>
          <w:bCs/>
          <w:sz w:val="22"/>
          <w:szCs w:val="22"/>
          <w:lang w:val="sr-Latn-ME"/>
        </w:rPr>
        <w:t>ene danikopana od 200 mg kod osoba sa teškom insuficijencijom bubrega (eGFR &lt; 30 ml/min/1,73 m</w:t>
      </w:r>
      <w:r w:rsidRPr="00853B61">
        <w:rPr>
          <w:bCs/>
          <w:sz w:val="22"/>
          <w:szCs w:val="22"/>
          <w:vertAlign w:val="superscript"/>
          <w:lang w:val="sr-Latn-ME"/>
        </w:rPr>
        <w:t>2</w:t>
      </w:r>
      <w:r w:rsidRPr="00853B61">
        <w:rPr>
          <w:bCs/>
          <w:sz w:val="22"/>
          <w:szCs w:val="22"/>
          <w:lang w:val="sr-Latn-ME"/>
        </w:rPr>
        <w:t>), stepen izloženosti danikopanu (AUC) se povećao za oko 50% u poređenju s ispitanicima sa normalnom funkcijom bubrega. Lučenje kroz bubrege nije glavna putanja za izbacivanje danikopana iz t</w:t>
      </w:r>
      <w:r w:rsidR="00592D8E" w:rsidRPr="00853B61">
        <w:rPr>
          <w:bCs/>
          <w:sz w:val="22"/>
          <w:szCs w:val="22"/>
          <w:lang w:val="sr-Latn-ME"/>
        </w:rPr>
        <w:t>ij</w:t>
      </w:r>
      <w:r w:rsidRPr="00853B61">
        <w:rPr>
          <w:bCs/>
          <w:sz w:val="22"/>
          <w:szCs w:val="22"/>
          <w:lang w:val="sr-Latn-ME"/>
        </w:rPr>
        <w:t xml:space="preserve">ela, čak ni kod ispitanika s normalnom funkcijom bubrega (pogledajte </w:t>
      </w:r>
      <w:r w:rsidR="00592D8E" w:rsidRPr="00853B61">
        <w:rPr>
          <w:bCs/>
          <w:sz w:val="22"/>
          <w:szCs w:val="22"/>
          <w:lang w:val="sr-Latn-ME"/>
        </w:rPr>
        <w:t>dio</w:t>
      </w:r>
      <w:r w:rsidRPr="00853B61">
        <w:rPr>
          <w:bCs/>
          <w:sz w:val="22"/>
          <w:szCs w:val="22"/>
          <w:lang w:val="sr-Latn-ME"/>
        </w:rPr>
        <w:t xml:space="preserve"> 4.2).</w:t>
      </w:r>
    </w:p>
    <w:p w14:paraId="70680CF8" w14:textId="77777777" w:rsidR="00237EA4" w:rsidRPr="00853B61" w:rsidRDefault="00237EA4" w:rsidP="004B1590">
      <w:pPr>
        <w:tabs>
          <w:tab w:val="left" w:pos="540"/>
          <w:tab w:val="left" w:pos="569"/>
        </w:tabs>
        <w:jc w:val="both"/>
        <w:rPr>
          <w:bCs/>
          <w:sz w:val="22"/>
          <w:szCs w:val="22"/>
          <w:lang w:val="sr-Latn-ME"/>
        </w:rPr>
      </w:pPr>
    </w:p>
    <w:p w14:paraId="62C6712A" w14:textId="77777777" w:rsidR="00237EA4" w:rsidRPr="00853B61" w:rsidRDefault="00237EA4" w:rsidP="004B1590">
      <w:pPr>
        <w:tabs>
          <w:tab w:val="left" w:pos="540"/>
          <w:tab w:val="left" w:pos="569"/>
        </w:tabs>
        <w:jc w:val="both"/>
        <w:rPr>
          <w:bCs/>
          <w:i/>
          <w:sz w:val="22"/>
          <w:szCs w:val="22"/>
          <w:lang w:val="sr-Latn-ME"/>
        </w:rPr>
      </w:pPr>
      <w:r w:rsidRPr="00853B61">
        <w:rPr>
          <w:bCs/>
          <w:i/>
          <w:iCs/>
          <w:sz w:val="22"/>
          <w:szCs w:val="22"/>
          <w:lang w:val="sr-Latn-ME"/>
        </w:rPr>
        <w:t>Insuficijencija jetre</w:t>
      </w:r>
    </w:p>
    <w:p w14:paraId="2A005540" w14:textId="54BB03A8"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Nije uočena značajna razlika u izloženosti danikopanu kod ispitanika sa um</w:t>
      </w:r>
      <w:r w:rsidR="00592D8E" w:rsidRPr="00853B61">
        <w:rPr>
          <w:bCs/>
          <w:sz w:val="22"/>
          <w:szCs w:val="22"/>
          <w:lang w:val="sr-Latn-ME"/>
        </w:rPr>
        <w:t>j</w:t>
      </w:r>
      <w:r w:rsidRPr="00853B61">
        <w:rPr>
          <w:bCs/>
          <w:sz w:val="22"/>
          <w:szCs w:val="22"/>
          <w:lang w:val="sr-Latn-ME"/>
        </w:rPr>
        <w:t>erenom insuficijencijom jetre (Child-Pugh klasa B) u poređenju sa ispitanicima sa normalnom funkcijom jetre (vid</w:t>
      </w:r>
      <w:r w:rsidR="00592D8E" w:rsidRPr="00853B61">
        <w:rPr>
          <w:bCs/>
          <w:sz w:val="22"/>
          <w:szCs w:val="22"/>
          <w:lang w:val="sr-Latn-ME"/>
        </w:rPr>
        <w:t>j</w:t>
      </w:r>
      <w:r w:rsidRPr="00853B61">
        <w:rPr>
          <w:bCs/>
          <w:sz w:val="22"/>
          <w:szCs w:val="22"/>
          <w:lang w:val="sr-Latn-ME"/>
        </w:rPr>
        <w:t>eti</w:t>
      </w:r>
      <w:r w:rsidR="00592D8E" w:rsidRPr="00853B61">
        <w:rPr>
          <w:bCs/>
          <w:sz w:val="22"/>
          <w:szCs w:val="22"/>
          <w:lang w:val="sr-Latn-ME"/>
        </w:rPr>
        <w:t xml:space="preserve"> dio</w:t>
      </w:r>
      <w:r w:rsidRPr="00853B61">
        <w:rPr>
          <w:bCs/>
          <w:sz w:val="22"/>
          <w:szCs w:val="22"/>
          <w:lang w:val="sr-Latn-ME"/>
        </w:rPr>
        <w:t xml:space="preserve"> 4.2). Studije ni</w:t>
      </w:r>
      <w:r w:rsidR="009A713C" w:rsidRPr="00853B61">
        <w:rPr>
          <w:bCs/>
          <w:sz w:val="22"/>
          <w:szCs w:val="22"/>
          <w:lang w:val="sr-Latn-ME"/>
        </w:rPr>
        <w:t>je</w:t>
      </w:r>
      <w:r w:rsidRPr="00853B61">
        <w:rPr>
          <w:bCs/>
          <w:sz w:val="22"/>
          <w:szCs w:val="22"/>
          <w:lang w:val="sr-Latn-ME"/>
        </w:rPr>
        <w:t>su obavljene kod pacijenata s ozbiljnom insuficijencijom jetre (Child-Pugh klasa C).</w:t>
      </w:r>
    </w:p>
    <w:p w14:paraId="3D518EB6" w14:textId="77777777" w:rsidR="00237EA4" w:rsidRPr="00853B61" w:rsidRDefault="00237EA4" w:rsidP="004B1590">
      <w:pPr>
        <w:tabs>
          <w:tab w:val="left" w:pos="540"/>
          <w:tab w:val="left" w:pos="569"/>
        </w:tabs>
        <w:jc w:val="both"/>
        <w:rPr>
          <w:bCs/>
          <w:sz w:val="22"/>
          <w:szCs w:val="22"/>
          <w:lang w:val="sr-Latn-ME"/>
        </w:rPr>
      </w:pPr>
    </w:p>
    <w:p w14:paraId="08F90967"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5.3. </w:t>
      </w:r>
      <w:r w:rsidR="00480FB1" w:rsidRPr="00853B61">
        <w:rPr>
          <w:b/>
          <w:bCs/>
          <w:sz w:val="22"/>
          <w:szCs w:val="22"/>
          <w:lang w:val="sr-Latn-ME"/>
        </w:rPr>
        <w:tab/>
      </w:r>
      <w:r w:rsidRPr="00853B61">
        <w:rPr>
          <w:b/>
          <w:bCs/>
          <w:sz w:val="22"/>
          <w:szCs w:val="22"/>
          <w:lang w:val="sr-Latn-ME"/>
        </w:rPr>
        <w:t xml:space="preserve">Pretklinički podaci o bezbjednosti </w:t>
      </w:r>
    </w:p>
    <w:p w14:paraId="54EA74C8" w14:textId="77777777" w:rsidR="00836B35" w:rsidRPr="00853B61" w:rsidRDefault="00836B35" w:rsidP="004B1590">
      <w:pPr>
        <w:tabs>
          <w:tab w:val="left" w:pos="540"/>
          <w:tab w:val="left" w:pos="569"/>
        </w:tabs>
        <w:jc w:val="both"/>
        <w:rPr>
          <w:bCs/>
          <w:sz w:val="22"/>
          <w:szCs w:val="22"/>
          <w:lang w:val="sr-Latn-ME"/>
        </w:rPr>
      </w:pPr>
    </w:p>
    <w:p w14:paraId="57E70CEC" w14:textId="64B3ED54"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U studiji toksičnosti na pacovima od 6 m</w:t>
      </w:r>
      <w:r w:rsidR="00592D8E" w:rsidRPr="00853B61">
        <w:rPr>
          <w:bCs/>
          <w:sz w:val="22"/>
          <w:szCs w:val="22"/>
          <w:lang w:val="sr-Latn-ME"/>
        </w:rPr>
        <w:t>j</w:t>
      </w:r>
      <w:r w:rsidRPr="00853B61">
        <w:rPr>
          <w:bCs/>
          <w:sz w:val="22"/>
          <w:szCs w:val="22"/>
          <w:lang w:val="sr-Latn-ME"/>
        </w:rPr>
        <w:t>eseci (vrste koje ni</w:t>
      </w:r>
      <w:r w:rsidR="009A713C" w:rsidRPr="00853B61">
        <w:rPr>
          <w:bCs/>
          <w:sz w:val="22"/>
          <w:szCs w:val="22"/>
          <w:lang w:val="sr-Latn-ME"/>
        </w:rPr>
        <w:t>je</w:t>
      </w:r>
      <w:r w:rsidRPr="00853B61">
        <w:rPr>
          <w:bCs/>
          <w:sz w:val="22"/>
          <w:szCs w:val="22"/>
          <w:lang w:val="sr-Latn-ME"/>
        </w:rPr>
        <w:t>su farmakološki os</w:t>
      </w:r>
      <w:r w:rsidR="00592D8E" w:rsidRPr="00853B61">
        <w:rPr>
          <w:bCs/>
          <w:sz w:val="22"/>
          <w:szCs w:val="22"/>
          <w:lang w:val="sr-Latn-ME"/>
        </w:rPr>
        <w:t>j</w:t>
      </w:r>
      <w:r w:rsidRPr="00853B61">
        <w:rPr>
          <w:bCs/>
          <w:sz w:val="22"/>
          <w:szCs w:val="22"/>
          <w:lang w:val="sr-Latn-ME"/>
        </w:rPr>
        <w:t>etljive na danikopan), uočena je hipertrofija jetre, štitne žl</w:t>
      </w:r>
      <w:r w:rsidR="00592D8E" w:rsidRPr="00853B61">
        <w:rPr>
          <w:bCs/>
          <w:sz w:val="22"/>
          <w:szCs w:val="22"/>
          <w:lang w:val="sr-Latn-ME"/>
        </w:rPr>
        <w:t>ij</w:t>
      </w:r>
      <w:r w:rsidRPr="00853B61">
        <w:rPr>
          <w:bCs/>
          <w:sz w:val="22"/>
          <w:szCs w:val="22"/>
          <w:lang w:val="sr-Latn-ME"/>
        </w:rPr>
        <w:t>ezde i nadbubrežne žl</w:t>
      </w:r>
      <w:r w:rsidR="00592D8E" w:rsidRPr="00853B61">
        <w:rPr>
          <w:bCs/>
          <w:sz w:val="22"/>
          <w:szCs w:val="22"/>
          <w:lang w:val="sr-Latn-ME"/>
        </w:rPr>
        <w:t>ij</w:t>
      </w:r>
      <w:r w:rsidRPr="00853B61">
        <w:rPr>
          <w:bCs/>
          <w:sz w:val="22"/>
          <w:szCs w:val="22"/>
          <w:lang w:val="sr-Latn-ME"/>
        </w:rPr>
        <w:t>ezde na dozama od 1000 mg/kg/dnevno (~26 puta iznad izloženosti ljudi na dozi od 200 mg tri puta dnevno na osnovu AUC).</w:t>
      </w:r>
    </w:p>
    <w:p w14:paraId="55E78F9A" w14:textId="77777777" w:rsidR="00237EA4" w:rsidRPr="00853B61" w:rsidRDefault="00237EA4" w:rsidP="004B1590">
      <w:pPr>
        <w:tabs>
          <w:tab w:val="left" w:pos="540"/>
          <w:tab w:val="left" w:pos="569"/>
        </w:tabs>
        <w:jc w:val="both"/>
        <w:rPr>
          <w:bCs/>
          <w:sz w:val="22"/>
          <w:szCs w:val="22"/>
          <w:lang w:val="sr-Latn-ME"/>
        </w:rPr>
      </w:pPr>
    </w:p>
    <w:p w14:paraId="676BD24C" w14:textId="2B64B843"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U studiji toksičnosti obavljenoj na psima u periodu od 9 m</w:t>
      </w:r>
      <w:r w:rsidR="00592D8E" w:rsidRPr="00853B61">
        <w:rPr>
          <w:bCs/>
          <w:sz w:val="22"/>
          <w:szCs w:val="22"/>
          <w:lang w:val="sr-Latn-ME"/>
        </w:rPr>
        <w:t>j</w:t>
      </w:r>
      <w:r w:rsidRPr="00853B61">
        <w:rPr>
          <w:bCs/>
          <w:sz w:val="22"/>
          <w:szCs w:val="22"/>
          <w:lang w:val="sr-Latn-ME"/>
        </w:rPr>
        <w:t>eseci, doza od 150 mg/kg/dnevno nije tolerisana. Dejstva na ciljni organ su uočena na jetri u skladu sa hepatobilijarnom holestazom i uključivala su hipertrofiju/hiperplaziju žučnih kanala i akumulaciju pigmenta u Kupferovim ćelijama i hepatocitima u skladu sa žučnim pigmentom. Povećanja u AST, ALT, ALP, GGT i TBIL su bila u korelaciji s histološkim nalazima u jetri. Hipertrofija/hiperplazija žučnog kanala je uočena kod mužjaka pri dozama većim od ili jednakim 75 mg/kg/dnevno (~5 puta više od izloženosti ljudi pri dozi od 200 mg tri puta dnevno na osnovu AUC). Međutim, nalazi na dozi od 75 mg/kg/dnevno bili su manje ozbiljnosti i veličine i ni</w:t>
      </w:r>
      <w:r w:rsidR="009A713C" w:rsidRPr="00853B61">
        <w:rPr>
          <w:bCs/>
          <w:sz w:val="22"/>
          <w:szCs w:val="22"/>
          <w:lang w:val="sr-Latn-ME"/>
        </w:rPr>
        <w:t>je</w:t>
      </w:r>
      <w:r w:rsidRPr="00853B61">
        <w:rPr>
          <w:bCs/>
          <w:sz w:val="22"/>
          <w:szCs w:val="22"/>
          <w:lang w:val="sr-Latn-ME"/>
        </w:rPr>
        <w:t>su imali korelativne kliničke patološke nalaze.</w:t>
      </w:r>
    </w:p>
    <w:p w14:paraId="08C56CD4" w14:textId="77777777" w:rsidR="00AB7647" w:rsidRPr="00853B61" w:rsidRDefault="00AB7647" w:rsidP="004B1590">
      <w:pPr>
        <w:tabs>
          <w:tab w:val="left" w:pos="540"/>
          <w:tab w:val="left" w:pos="569"/>
        </w:tabs>
        <w:jc w:val="both"/>
        <w:rPr>
          <w:bCs/>
          <w:sz w:val="22"/>
          <w:szCs w:val="22"/>
          <w:lang w:val="sr-Latn-ME"/>
        </w:rPr>
      </w:pPr>
    </w:p>
    <w:p w14:paraId="2E6FA3FF" w14:textId="77777777" w:rsidR="00237EA4" w:rsidRPr="00853B61" w:rsidRDefault="00237EA4" w:rsidP="004B1590">
      <w:pPr>
        <w:tabs>
          <w:tab w:val="left" w:pos="540"/>
          <w:tab w:val="left" w:pos="569"/>
        </w:tabs>
        <w:jc w:val="both"/>
        <w:rPr>
          <w:bCs/>
          <w:sz w:val="22"/>
          <w:szCs w:val="22"/>
          <w:u w:val="single"/>
          <w:lang w:val="sr-Latn-ME"/>
        </w:rPr>
      </w:pPr>
      <w:r w:rsidRPr="00853B61">
        <w:rPr>
          <w:bCs/>
          <w:sz w:val="22"/>
          <w:szCs w:val="22"/>
          <w:u w:val="single"/>
          <w:lang w:val="sr-Latn-ME"/>
        </w:rPr>
        <w:t>Genotoksičnost/kancerogenost</w:t>
      </w:r>
    </w:p>
    <w:p w14:paraId="18BB90F5" w14:textId="77777777" w:rsidR="00237EA4" w:rsidRPr="00853B61" w:rsidRDefault="00237EA4" w:rsidP="004B1590">
      <w:pPr>
        <w:tabs>
          <w:tab w:val="left" w:pos="540"/>
          <w:tab w:val="left" w:pos="569"/>
        </w:tabs>
        <w:jc w:val="both"/>
        <w:rPr>
          <w:bCs/>
          <w:sz w:val="22"/>
          <w:szCs w:val="22"/>
          <w:lang w:val="sr-Latn-ME"/>
        </w:rPr>
      </w:pPr>
    </w:p>
    <w:p w14:paraId="0BF3472E"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 xml:space="preserve">Danikopan nije bio genotoksičan na Ejmsovom testu reverzne mutacije bakterija, </w:t>
      </w:r>
      <w:r w:rsidRPr="00853B61">
        <w:rPr>
          <w:bCs/>
          <w:i/>
          <w:iCs/>
          <w:sz w:val="22"/>
          <w:szCs w:val="22"/>
          <w:lang w:val="sr-Latn-ME"/>
        </w:rPr>
        <w:t>in vitro</w:t>
      </w:r>
      <w:r w:rsidRPr="00853B61">
        <w:rPr>
          <w:bCs/>
          <w:sz w:val="22"/>
          <w:szCs w:val="22"/>
          <w:lang w:val="sr-Latn-ME"/>
        </w:rPr>
        <w:t xml:space="preserve"> mikronukleus testu na limfocitima periferne humane krvi, ili na </w:t>
      </w:r>
      <w:r w:rsidRPr="00853B61">
        <w:rPr>
          <w:bCs/>
          <w:i/>
          <w:iCs/>
          <w:sz w:val="22"/>
          <w:szCs w:val="22"/>
          <w:lang w:val="sr-Latn-ME"/>
        </w:rPr>
        <w:t>in vivo</w:t>
      </w:r>
      <w:r w:rsidRPr="00853B61">
        <w:rPr>
          <w:bCs/>
          <w:sz w:val="22"/>
          <w:szCs w:val="22"/>
          <w:lang w:val="sr-Latn-ME"/>
        </w:rPr>
        <w:t xml:space="preserve"> mikronukleus testu kod pacova.</w:t>
      </w:r>
    </w:p>
    <w:p w14:paraId="0EFE6583" w14:textId="77777777" w:rsidR="00237EA4" w:rsidRPr="00853B61" w:rsidRDefault="00237EA4" w:rsidP="004B1590">
      <w:pPr>
        <w:tabs>
          <w:tab w:val="left" w:pos="540"/>
          <w:tab w:val="left" w:pos="569"/>
        </w:tabs>
        <w:jc w:val="both"/>
        <w:rPr>
          <w:bCs/>
          <w:sz w:val="22"/>
          <w:szCs w:val="22"/>
          <w:lang w:val="sr-Latn-ME"/>
        </w:rPr>
      </w:pPr>
    </w:p>
    <w:p w14:paraId="272369B1" w14:textId="0E1D82E7"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Danikopan nije bio kancerogen u studiji kancerogenosti od 6 m</w:t>
      </w:r>
      <w:r w:rsidR="00592D8E" w:rsidRPr="00853B61">
        <w:rPr>
          <w:bCs/>
          <w:sz w:val="22"/>
          <w:szCs w:val="22"/>
          <w:lang w:val="sr-Latn-ME"/>
        </w:rPr>
        <w:t>j</w:t>
      </w:r>
      <w:r w:rsidRPr="00853B61">
        <w:rPr>
          <w:bCs/>
          <w:sz w:val="22"/>
          <w:szCs w:val="22"/>
          <w:lang w:val="sr-Latn-ME"/>
        </w:rPr>
        <w:t>eseci kod TgRasH2 miševa i u studiji kancerogenosti pacova od 2 godine. Međutim, u studiji na pacovima veća incidenca neoplazmi epitela endometrijuma pri najvišoj dozi od 500 mg/kg/dnevno u poređenju sa kontrolnim životinjama je</w:t>
      </w:r>
      <w:r w:rsidR="009A713C" w:rsidRPr="00853B61">
        <w:rPr>
          <w:bCs/>
          <w:sz w:val="22"/>
          <w:szCs w:val="22"/>
          <w:lang w:val="sr-Latn-ME"/>
        </w:rPr>
        <w:t xml:space="preserve"> </w:t>
      </w:r>
      <w:r w:rsidRPr="00853B61">
        <w:rPr>
          <w:bCs/>
          <w:sz w:val="22"/>
          <w:szCs w:val="22"/>
          <w:lang w:val="sr-Latn-ME"/>
        </w:rPr>
        <w:t>uočena, iako soj pacova može da ima veliku osnovnu incidencu karcinoma endometrijuma. Klinički značaj ovog nalaza nije poznat.</w:t>
      </w:r>
    </w:p>
    <w:p w14:paraId="457061D3"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Reproduktivna/razvojna toksičnost</w:t>
      </w:r>
    </w:p>
    <w:p w14:paraId="0365AD54" w14:textId="77777777" w:rsidR="00237EA4" w:rsidRPr="00853B61" w:rsidRDefault="00237EA4" w:rsidP="004B1590">
      <w:pPr>
        <w:tabs>
          <w:tab w:val="left" w:pos="540"/>
          <w:tab w:val="left" w:pos="569"/>
        </w:tabs>
        <w:jc w:val="both"/>
        <w:rPr>
          <w:bCs/>
          <w:sz w:val="22"/>
          <w:szCs w:val="22"/>
          <w:lang w:val="sr-Latn-ME"/>
        </w:rPr>
      </w:pPr>
    </w:p>
    <w:p w14:paraId="6EB7228A" w14:textId="0D83780A"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U studiji plodnosti i ranog embrionalnog razvoja kod zečeva uočeno je smanjenje reproduktivnih performansi mužjaka i ženki pri dozi od 500 mg/kg/dnevno, što je doza povezana sa lošom podnošljivošću. Smatralo se da je NOAEL za reproduktivnu toksičnost za mužjake i ženke 250 mg/kg/dnevno (7,2</w:t>
      </w:r>
      <w:r w:rsidR="009A713C" w:rsidRPr="00853B61">
        <w:rPr>
          <w:bCs/>
          <w:sz w:val="22"/>
          <w:szCs w:val="22"/>
          <w:lang w:val="sr-Latn-ME"/>
        </w:rPr>
        <w:t xml:space="preserve"> </w:t>
      </w:r>
      <w:r w:rsidRPr="00853B61">
        <w:rPr>
          <w:bCs/>
          <w:sz w:val="22"/>
          <w:szCs w:val="22"/>
          <w:lang w:val="sr-Latn-ME"/>
        </w:rPr>
        <w:t>- i 8,8 puta više od izloženosti kod ljudi).</w:t>
      </w:r>
    </w:p>
    <w:p w14:paraId="02B4FCBA" w14:textId="77777777" w:rsidR="00237EA4" w:rsidRPr="00853B61" w:rsidRDefault="00237EA4" w:rsidP="004B1590">
      <w:pPr>
        <w:tabs>
          <w:tab w:val="left" w:pos="540"/>
          <w:tab w:val="left" w:pos="569"/>
        </w:tabs>
        <w:jc w:val="both"/>
        <w:rPr>
          <w:bCs/>
          <w:sz w:val="22"/>
          <w:szCs w:val="22"/>
          <w:lang w:val="sr-Latn-ME"/>
        </w:rPr>
      </w:pPr>
    </w:p>
    <w:p w14:paraId="745010F5" w14:textId="1D339B6E"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U studiji prenatalnog i postnatalnog razvoja kod zečeva, kod mužjaka F1, uočeno je smanjenje (19, 20 i 18%) koncentracije spermatozoida u cauda epididymidis u odnosu na kontrole u svim grupama doziranja (50, 125, odnosno 250 mg/kg/dnevno), što je statistički značajno samo u grupama koje primaju male i srednje doze. Ovo nije uticalo na reproduktivnu sposobnost generacije F1.</w:t>
      </w:r>
    </w:p>
    <w:p w14:paraId="3EA77959" w14:textId="77777777" w:rsidR="00237EA4" w:rsidRPr="00853B61" w:rsidRDefault="00237EA4" w:rsidP="004B1590">
      <w:pPr>
        <w:tabs>
          <w:tab w:val="left" w:pos="540"/>
          <w:tab w:val="left" w:pos="569"/>
        </w:tabs>
        <w:jc w:val="both"/>
        <w:rPr>
          <w:bCs/>
          <w:sz w:val="22"/>
          <w:szCs w:val="22"/>
          <w:lang w:val="sr-Latn-ME"/>
        </w:rPr>
      </w:pPr>
    </w:p>
    <w:p w14:paraId="39E71CEE" w14:textId="5FDE97B0"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Nije bilo dejstva na rani razvoj embriona i fetusa kod zečeva do srednje sistemske izloženosti majke ~20 puta iznad izloženosti kod ljudi ili tokom postnatalnog razvoja. Kod pacova nije bilo dejstva na embrio-fetalni razvoj sve do izloženosti majke ~</w:t>
      </w:r>
      <w:r w:rsidR="009A713C" w:rsidRPr="00853B61">
        <w:rPr>
          <w:bCs/>
          <w:sz w:val="22"/>
          <w:szCs w:val="22"/>
          <w:lang w:val="sr-Latn-ME"/>
        </w:rPr>
        <w:t xml:space="preserve"> </w:t>
      </w:r>
      <w:r w:rsidRPr="00853B61">
        <w:rPr>
          <w:bCs/>
          <w:sz w:val="22"/>
          <w:szCs w:val="22"/>
          <w:lang w:val="sr-Latn-ME"/>
        </w:rPr>
        <w:t>30 puta iznad izloženosti ljudi na dozi od 200 mg tri puta dnevno.</w:t>
      </w:r>
    </w:p>
    <w:p w14:paraId="05C1D576" w14:textId="77777777" w:rsidR="00237EA4" w:rsidRPr="00853B61" w:rsidRDefault="00237EA4" w:rsidP="004B1590">
      <w:pPr>
        <w:tabs>
          <w:tab w:val="left" w:pos="540"/>
          <w:tab w:val="left" w:pos="569"/>
        </w:tabs>
        <w:jc w:val="both"/>
        <w:rPr>
          <w:bCs/>
          <w:sz w:val="22"/>
          <w:szCs w:val="22"/>
          <w:lang w:val="sr-Latn-ME"/>
        </w:rPr>
      </w:pPr>
    </w:p>
    <w:p w14:paraId="724DA8E1" w14:textId="19FF32F2"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Izlučivanje u ml</w:t>
      </w:r>
      <w:r w:rsidR="00592D8E" w:rsidRPr="00853B61">
        <w:rPr>
          <w:bCs/>
          <w:sz w:val="22"/>
          <w:szCs w:val="22"/>
          <w:u w:val="single"/>
          <w:lang w:val="sr-Latn-ME"/>
        </w:rPr>
        <w:t>ij</w:t>
      </w:r>
      <w:r w:rsidRPr="00853B61">
        <w:rPr>
          <w:bCs/>
          <w:sz w:val="22"/>
          <w:szCs w:val="22"/>
          <w:u w:val="single"/>
          <w:lang w:val="sr-Latn-ME"/>
        </w:rPr>
        <w:t>eko</w:t>
      </w:r>
    </w:p>
    <w:p w14:paraId="2854B873" w14:textId="77777777" w:rsidR="00237EA4" w:rsidRPr="00853B61" w:rsidRDefault="00237EA4" w:rsidP="004B1590">
      <w:pPr>
        <w:tabs>
          <w:tab w:val="left" w:pos="540"/>
          <w:tab w:val="left" w:pos="569"/>
        </w:tabs>
        <w:jc w:val="both"/>
        <w:rPr>
          <w:bCs/>
          <w:sz w:val="22"/>
          <w:szCs w:val="22"/>
          <w:lang w:val="sr-Latn-ME"/>
        </w:rPr>
      </w:pPr>
    </w:p>
    <w:p w14:paraId="008DB861" w14:textId="479C74BE"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Danikopan se izlučivao u ml</w:t>
      </w:r>
      <w:r w:rsidR="00592D8E" w:rsidRPr="00853B61">
        <w:rPr>
          <w:bCs/>
          <w:sz w:val="22"/>
          <w:szCs w:val="22"/>
          <w:lang w:val="sr-Latn-ME"/>
        </w:rPr>
        <w:t>ij</w:t>
      </w:r>
      <w:r w:rsidRPr="00853B61">
        <w:rPr>
          <w:bCs/>
          <w:sz w:val="22"/>
          <w:szCs w:val="22"/>
          <w:lang w:val="sr-Latn-ME"/>
        </w:rPr>
        <w:t>eko zečica u laktaciji nakon oralne prim</w:t>
      </w:r>
      <w:r w:rsidR="00592D8E" w:rsidRPr="00853B61">
        <w:rPr>
          <w:bCs/>
          <w:sz w:val="22"/>
          <w:szCs w:val="22"/>
          <w:lang w:val="sr-Latn-ME"/>
        </w:rPr>
        <w:t>j</w:t>
      </w:r>
      <w:r w:rsidRPr="00853B61">
        <w:rPr>
          <w:bCs/>
          <w:sz w:val="22"/>
          <w:szCs w:val="22"/>
          <w:lang w:val="sr-Latn-ME"/>
        </w:rPr>
        <w:t>ene od 4. do 10. dana laktacije, sa koncentracijom u ml</w:t>
      </w:r>
      <w:r w:rsidR="00592D8E" w:rsidRPr="00853B61">
        <w:rPr>
          <w:bCs/>
          <w:sz w:val="22"/>
          <w:szCs w:val="22"/>
          <w:lang w:val="sr-Latn-ME"/>
        </w:rPr>
        <w:t>ij</w:t>
      </w:r>
      <w:r w:rsidRPr="00853B61">
        <w:rPr>
          <w:bCs/>
          <w:sz w:val="22"/>
          <w:szCs w:val="22"/>
          <w:lang w:val="sr-Latn-ME"/>
        </w:rPr>
        <w:t>eku od 5, odnosno 3,5 puta većom u poređenju sa koncentracijama u plazmi majke na dozi od 50, odnosno 250 mg/kg/dnevno.</w:t>
      </w:r>
    </w:p>
    <w:p w14:paraId="418EF79F" w14:textId="43D92A62" w:rsidR="00396DFD" w:rsidRPr="00853B61" w:rsidRDefault="00396DFD" w:rsidP="004B1590">
      <w:pPr>
        <w:tabs>
          <w:tab w:val="left" w:pos="540"/>
          <w:tab w:val="left" w:pos="569"/>
        </w:tabs>
        <w:jc w:val="both"/>
        <w:rPr>
          <w:b/>
          <w:bCs/>
          <w:sz w:val="22"/>
          <w:szCs w:val="22"/>
          <w:lang w:val="sr-Latn-ME"/>
        </w:rPr>
      </w:pPr>
    </w:p>
    <w:p w14:paraId="7D3BC8F7" w14:textId="77777777" w:rsidR="000638AF" w:rsidRPr="00853B61" w:rsidRDefault="000638AF" w:rsidP="004B1590">
      <w:pPr>
        <w:tabs>
          <w:tab w:val="left" w:pos="540"/>
          <w:tab w:val="left" w:pos="569"/>
        </w:tabs>
        <w:jc w:val="both"/>
        <w:rPr>
          <w:b/>
          <w:bCs/>
          <w:sz w:val="22"/>
          <w:szCs w:val="22"/>
          <w:lang w:val="sr-Latn-ME"/>
        </w:rPr>
      </w:pPr>
    </w:p>
    <w:p w14:paraId="24BE55DF"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 </w:t>
      </w:r>
      <w:r w:rsidR="00480FB1" w:rsidRPr="00853B61">
        <w:rPr>
          <w:b/>
          <w:bCs/>
          <w:sz w:val="22"/>
          <w:szCs w:val="22"/>
          <w:lang w:val="sr-Latn-ME"/>
        </w:rPr>
        <w:tab/>
      </w:r>
      <w:r w:rsidRPr="00853B61">
        <w:rPr>
          <w:b/>
          <w:bCs/>
          <w:sz w:val="22"/>
          <w:szCs w:val="22"/>
          <w:lang w:val="sr-Latn-ME"/>
        </w:rPr>
        <w:t>FARMACEUTSKI PODACI</w:t>
      </w:r>
    </w:p>
    <w:p w14:paraId="34F10DF3" w14:textId="77777777" w:rsidR="00836B35" w:rsidRPr="00853B61" w:rsidRDefault="00836B35" w:rsidP="004B1590">
      <w:pPr>
        <w:tabs>
          <w:tab w:val="left" w:pos="540"/>
          <w:tab w:val="left" w:pos="569"/>
        </w:tabs>
        <w:jc w:val="both"/>
        <w:rPr>
          <w:bCs/>
          <w:sz w:val="22"/>
          <w:szCs w:val="22"/>
          <w:lang w:val="sr-Latn-ME"/>
        </w:rPr>
      </w:pPr>
    </w:p>
    <w:p w14:paraId="1EB0F720"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6.1. </w:t>
      </w:r>
      <w:r w:rsidR="00480FB1" w:rsidRPr="00853B61">
        <w:rPr>
          <w:b/>
          <w:bCs/>
          <w:sz w:val="22"/>
          <w:szCs w:val="22"/>
          <w:lang w:val="sr-Latn-ME"/>
        </w:rPr>
        <w:tab/>
      </w:r>
      <w:r w:rsidRPr="00853B61">
        <w:rPr>
          <w:b/>
          <w:bCs/>
          <w:sz w:val="22"/>
          <w:szCs w:val="22"/>
          <w:lang w:val="sr-Latn-ME"/>
        </w:rPr>
        <w:t>Lista pomoćnih supstanci</w:t>
      </w:r>
      <w:r w:rsidR="002E0135" w:rsidRPr="00853B61">
        <w:rPr>
          <w:b/>
          <w:bCs/>
          <w:sz w:val="22"/>
          <w:szCs w:val="22"/>
          <w:lang w:val="sr-Latn-ME"/>
        </w:rPr>
        <w:t xml:space="preserve"> (ekscipijenasa)</w:t>
      </w:r>
    </w:p>
    <w:p w14:paraId="060543EC" w14:textId="77777777" w:rsidR="0072020E" w:rsidRPr="00853B61" w:rsidRDefault="0072020E" w:rsidP="004B1590">
      <w:pPr>
        <w:tabs>
          <w:tab w:val="left" w:pos="540"/>
          <w:tab w:val="left" w:pos="569"/>
        </w:tabs>
        <w:jc w:val="both"/>
        <w:rPr>
          <w:bCs/>
          <w:sz w:val="22"/>
          <w:szCs w:val="22"/>
          <w:lang w:val="sr-Latn-ME"/>
        </w:rPr>
      </w:pPr>
    </w:p>
    <w:p w14:paraId="0C1A374D"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Jezgro tablete</w:t>
      </w:r>
    </w:p>
    <w:p w14:paraId="64C84483" w14:textId="77777777" w:rsidR="00237EA4" w:rsidRPr="00853B61" w:rsidRDefault="00237EA4" w:rsidP="004B1590">
      <w:pPr>
        <w:tabs>
          <w:tab w:val="left" w:pos="540"/>
          <w:tab w:val="left" w:pos="569"/>
        </w:tabs>
        <w:jc w:val="both"/>
        <w:rPr>
          <w:bCs/>
          <w:sz w:val="22"/>
          <w:szCs w:val="22"/>
          <w:lang w:val="sr-Latn-ME"/>
        </w:rPr>
      </w:pPr>
    </w:p>
    <w:p w14:paraId="2D749C0F" w14:textId="0F1FE7F8"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Laktoza monohidrat</w:t>
      </w:r>
      <w:r w:rsidR="00237EA4" w:rsidRPr="00853B61">
        <w:rPr>
          <w:bCs/>
          <w:sz w:val="22"/>
          <w:szCs w:val="22"/>
          <w:lang w:val="sr-Latn-ME"/>
        </w:rPr>
        <w:t xml:space="preserve"> </w:t>
      </w:r>
    </w:p>
    <w:p w14:paraId="56A0351A" w14:textId="2999DB3B"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C</w:t>
      </w:r>
      <w:r w:rsidR="00237EA4" w:rsidRPr="00853B61">
        <w:rPr>
          <w:bCs/>
          <w:sz w:val="22"/>
          <w:szCs w:val="22"/>
          <w:lang w:val="sr-Latn-ME"/>
        </w:rPr>
        <w:t xml:space="preserve">eluloza, mikrokristalna </w:t>
      </w:r>
    </w:p>
    <w:p w14:paraId="41B40ABA" w14:textId="4C61F5A4"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K</w:t>
      </w:r>
      <w:r w:rsidR="00237EA4" w:rsidRPr="00853B61">
        <w:rPr>
          <w:bCs/>
          <w:sz w:val="22"/>
          <w:szCs w:val="22"/>
          <w:lang w:val="sr-Latn-ME"/>
        </w:rPr>
        <w:t>roskarmeloza</w:t>
      </w:r>
      <w:r w:rsidR="005338DC" w:rsidRPr="00853B61">
        <w:rPr>
          <w:bCs/>
          <w:sz w:val="22"/>
          <w:szCs w:val="22"/>
          <w:lang w:val="sr-Latn-ME"/>
        </w:rPr>
        <w:t xml:space="preserve"> </w:t>
      </w:r>
      <w:r w:rsidR="00237EA4" w:rsidRPr="00853B61">
        <w:rPr>
          <w:bCs/>
          <w:sz w:val="22"/>
          <w:szCs w:val="22"/>
          <w:lang w:val="sr-Latn-ME"/>
        </w:rPr>
        <w:t xml:space="preserve">natrijum </w:t>
      </w:r>
    </w:p>
    <w:p w14:paraId="7C8E97A4" w14:textId="1BADD08C"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N</w:t>
      </w:r>
      <w:r w:rsidR="00237EA4" w:rsidRPr="00853B61">
        <w:rPr>
          <w:bCs/>
          <w:sz w:val="22"/>
          <w:szCs w:val="22"/>
          <w:lang w:val="sr-Latn-ME"/>
        </w:rPr>
        <w:t xml:space="preserve">atrijum laurilsulfat </w:t>
      </w:r>
    </w:p>
    <w:p w14:paraId="71F930A0" w14:textId="76263DE2"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M</w:t>
      </w:r>
      <w:r w:rsidR="00237EA4" w:rsidRPr="00853B61">
        <w:rPr>
          <w:bCs/>
          <w:sz w:val="22"/>
          <w:szCs w:val="22"/>
          <w:lang w:val="sr-Latn-ME"/>
        </w:rPr>
        <w:t>agnezijum stearat</w:t>
      </w:r>
    </w:p>
    <w:p w14:paraId="444C94D6" w14:textId="7064810D"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S</w:t>
      </w:r>
      <w:r w:rsidR="00237EA4" w:rsidRPr="00853B61">
        <w:rPr>
          <w:bCs/>
          <w:sz w:val="22"/>
          <w:szCs w:val="22"/>
          <w:lang w:val="sr-Latn-ME"/>
        </w:rPr>
        <w:t>ilicijum</w:t>
      </w:r>
      <w:r w:rsidR="005338DC" w:rsidRPr="00853B61">
        <w:rPr>
          <w:bCs/>
          <w:sz w:val="22"/>
          <w:szCs w:val="22"/>
          <w:lang w:val="sr-Latn-ME"/>
        </w:rPr>
        <w:t xml:space="preserve"> </w:t>
      </w:r>
      <w:r w:rsidR="00237EA4" w:rsidRPr="00853B61">
        <w:rPr>
          <w:bCs/>
          <w:sz w:val="22"/>
          <w:szCs w:val="22"/>
          <w:lang w:val="sr-Latn-ME"/>
        </w:rPr>
        <w:t>dioksid, hidrofobni</w:t>
      </w:r>
      <w:r w:rsidRPr="00853B61">
        <w:rPr>
          <w:bCs/>
          <w:sz w:val="22"/>
          <w:szCs w:val="22"/>
          <w:lang w:val="sr-Latn-ME"/>
        </w:rPr>
        <w:t>,</w:t>
      </w:r>
      <w:r w:rsidR="00237EA4" w:rsidRPr="00853B61">
        <w:rPr>
          <w:bCs/>
          <w:sz w:val="22"/>
          <w:szCs w:val="22"/>
          <w:lang w:val="sr-Latn-ME"/>
        </w:rPr>
        <w:t xml:space="preserve"> koloid</w:t>
      </w:r>
      <w:r w:rsidRPr="00853B61">
        <w:rPr>
          <w:bCs/>
          <w:sz w:val="22"/>
          <w:szCs w:val="22"/>
          <w:lang w:val="sr-Latn-ME"/>
        </w:rPr>
        <w:t xml:space="preserve">ni </w:t>
      </w:r>
    </w:p>
    <w:p w14:paraId="7FCB5E8F" w14:textId="5AB7C210" w:rsidR="00237EA4" w:rsidRPr="00853B61" w:rsidRDefault="00EC4B71" w:rsidP="004B1590">
      <w:pPr>
        <w:tabs>
          <w:tab w:val="left" w:pos="540"/>
          <w:tab w:val="left" w:pos="569"/>
        </w:tabs>
        <w:jc w:val="both"/>
        <w:rPr>
          <w:bCs/>
          <w:sz w:val="22"/>
          <w:szCs w:val="22"/>
          <w:lang w:val="sr-Latn-ME"/>
        </w:rPr>
      </w:pPr>
      <w:r w:rsidRPr="00853B61">
        <w:rPr>
          <w:bCs/>
          <w:sz w:val="22"/>
          <w:szCs w:val="22"/>
          <w:lang w:val="sr-Latn-ME"/>
        </w:rPr>
        <w:t>H</w:t>
      </w:r>
      <w:r w:rsidR="00237EA4" w:rsidRPr="00853B61">
        <w:rPr>
          <w:bCs/>
          <w:sz w:val="22"/>
          <w:szCs w:val="22"/>
          <w:lang w:val="sr-Latn-ME"/>
        </w:rPr>
        <w:t>ipromeloza acetat sukcinat</w:t>
      </w:r>
    </w:p>
    <w:p w14:paraId="3B8C8F5C" w14:textId="77777777" w:rsidR="00237EA4" w:rsidRPr="00853B61" w:rsidRDefault="00237EA4" w:rsidP="004B1590">
      <w:pPr>
        <w:tabs>
          <w:tab w:val="left" w:pos="540"/>
          <w:tab w:val="left" w:pos="569"/>
        </w:tabs>
        <w:jc w:val="both"/>
        <w:rPr>
          <w:bCs/>
          <w:sz w:val="22"/>
          <w:szCs w:val="22"/>
          <w:lang w:val="sr-Latn-ME"/>
        </w:rPr>
      </w:pPr>
    </w:p>
    <w:p w14:paraId="37F79EA4" w14:textId="7EF13DA3" w:rsidR="00237EA4" w:rsidRPr="00853B61" w:rsidRDefault="00237EA4" w:rsidP="004B1590">
      <w:pPr>
        <w:tabs>
          <w:tab w:val="left" w:pos="540"/>
          <w:tab w:val="left" w:pos="569"/>
        </w:tabs>
        <w:jc w:val="both"/>
        <w:rPr>
          <w:bCs/>
          <w:sz w:val="22"/>
          <w:szCs w:val="22"/>
          <w:lang w:val="sr-Latn-ME"/>
        </w:rPr>
      </w:pPr>
      <w:r w:rsidRPr="00853B61">
        <w:rPr>
          <w:bCs/>
          <w:sz w:val="22"/>
          <w:szCs w:val="22"/>
          <w:u w:val="single"/>
          <w:lang w:val="sr-Latn-ME"/>
        </w:rPr>
        <w:t>Film</w:t>
      </w:r>
      <w:r w:rsidR="005338DC" w:rsidRPr="00853B61">
        <w:rPr>
          <w:bCs/>
          <w:sz w:val="22"/>
          <w:szCs w:val="22"/>
          <w:u w:val="single"/>
          <w:lang w:val="sr-Latn-ME"/>
        </w:rPr>
        <w:t xml:space="preserve"> obloga</w:t>
      </w:r>
    </w:p>
    <w:p w14:paraId="318DDBCF" w14:textId="77777777" w:rsidR="00237EA4" w:rsidRPr="00853B61" w:rsidRDefault="00237EA4" w:rsidP="004B1590">
      <w:pPr>
        <w:tabs>
          <w:tab w:val="left" w:pos="540"/>
          <w:tab w:val="left" w:pos="569"/>
        </w:tabs>
        <w:jc w:val="both"/>
        <w:rPr>
          <w:bCs/>
          <w:sz w:val="22"/>
          <w:szCs w:val="22"/>
          <w:lang w:val="sr-Latn-ME"/>
        </w:rPr>
      </w:pPr>
    </w:p>
    <w:p w14:paraId="20BCF051" w14:textId="77777777"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 xml:space="preserve">Polivinil alkohol </w:t>
      </w:r>
    </w:p>
    <w:p w14:paraId="641D021D" w14:textId="4E04DC3D"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Titanijum</w:t>
      </w:r>
      <w:r w:rsidR="005338DC" w:rsidRPr="00853B61">
        <w:rPr>
          <w:bCs/>
          <w:sz w:val="22"/>
          <w:szCs w:val="22"/>
          <w:lang w:val="sr-Latn-ME"/>
        </w:rPr>
        <w:t xml:space="preserve"> </w:t>
      </w:r>
      <w:r w:rsidRPr="00853B61">
        <w:rPr>
          <w:bCs/>
          <w:sz w:val="22"/>
          <w:szCs w:val="22"/>
          <w:lang w:val="sr-Latn-ME"/>
        </w:rPr>
        <w:t xml:space="preserve">dioksid (E171) </w:t>
      </w:r>
    </w:p>
    <w:p w14:paraId="2A36730F" w14:textId="0B5C0448"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Macrogol 4000</w:t>
      </w:r>
    </w:p>
    <w:p w14:paraId="2D4EAA30" w14:textId="05DE746E"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Talk</w:t>
      </w:r>
    </w:p>
    <w:p w14:paraId="4E505ADD" w14:textId="77777777" w:rsidR="00AB7647" w:rsidRPr="00853B61" w:rsidRDefault="00AB7647" w:rsidP="004B1590">
      <w:pPr>
        <w:tabs>
          <w:tab w:val="left" w:pos="540"/>
          <w:tab w:val="left" w:pos="569"/>
        </w:tabs>
        <w:jc w:val="both"/>
        <w:rPr>
          <w:bCs/>
          <w:sz w:val="22"/>
          <w:szCs w:val="22"/>
          <w:lang w:val="sr-Latn-ME"/>
        </w:rPr>
      </w:pPr>
    </w:p>
    <w:p w14:paraId="130B582E"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6.2. </w:t>
      </w:r>
      <w:r w:rsidR="00480FB1" w:rsidRPr="00853B61">
        <w:rPr>
          <w:b/>
          <w:bCs/>
          <w:sz w:val="22"/>
          <w:szCs w:val="22"/>
          <w:lang w:val="sr-Latn-ME"/>
        </w:rPr>
        <w:tab/>
      </w:r>
      <w:r w:rsidRPr="00853B61">
        <w:rPr>
          <w:b/>
          <w:bCs/>
          <w:sz w:val="22"/>
          <w:szCs w:val="22"/>
          <w:lang w:val="sr-Latn-ME"/>
        </w:rPr>
        <w:t>Inkompatibilnost</w:t>
      </w:r>
      <w:r w:rsidR="002846DB" w:rsidRPr="00853B61">
        <w:rPr>
          <w:b/>
          <w:bCs/>
          <w:sz w:val="22"/>
          <w:szCs w:val="22"/>
          <w:lang w:val="sr-Latn-ME"/>
        </w:rPr>
        <w:t>i</w:t>
      </w:r>
    </w:p>
    <w:p w14:paraId="35428CF7" w14:textId="77777777" w:rsidR="0072020E" w:rsidRPr="00853B61" w:rsidRDefault="0072020E" w:rsidP="004B1590">
      <w:pPr>
        <w:tabs>
          <w:tab w:val="left" w:pos="540"/>
          <w:tab w:val="left" w:pos="569"/>
        </w:tabs>
        <w:jc w:val="both"/>
        <w:rPr>
          <w:bCs/>
          <w:sz w:val="22"/>
          <w:szCs w:val="22"/>
          <w:lang w:val="sr-Latn-ME"/>
        </w:rPr>
      </w:pPr>
    </w:p>
    <w:p w14:paraId="7D9F705F" w14:textId="583770CB"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Nije prim</w:t>
      </w:r>
      <w:r w:rsidR="00592D8E" w:rsidRPr="00853B61">
        <w:rPr>
          <w:bCs/>
          <w:sz w:val="22"/>
          <w:szCs w:val="22"/>
          <w:lang w:val="sr-Latn-ME"/>
        </w:rPr>
        <w:t>j</w:t>
      </w:r>
      <w:r w:rsidRPr="00853B61">
        <w:rPr>
          <w:bCs/>
          <w:sz w:val="22"/>
          <w:szCs w:val="22"/>
          <w:lang w:val="sr-Latn-ME"/>
        </w:rPr>
        <w:t>enljivo.</w:t>
      </w:r>
    </w:p>
    <w:p w14:paraId="63981F79" w14:textId="77777777" w:rsidR="00237EA4" w:rsidRPr="00853B61" w:rsidRDefault="00237EA4" w:rsidP="004B1590">
      <w:pPr>
        <w:tabs>
          <w:tab w:val="left" w:pos="540"/>
          <w:tab w:val="left" w:pos="569"/>
        </w:tabs>
        <w:jc w:val="both"/>
        <w:rPr>
          <w:bCs/>
          <w:sz w:val="22"/>
          <w:szCs w:val="22"/>
          <w:lang w:val="sr-Latn-ME"/>
        </w:rPr>
      </w:pPr>
    </w:p>
    <w:p w14:paraId="10E21218" w14:textId="77777777" w:rsidR="005B7FCC" w:rsidRDefault="005B7FCC" w:rsidP="004B1590">
      <w:pPr>
        <w:tabs>
          <w:tab w:val="left" w:pos="540"/>
          <w:tab w:val="left" w:pos="569"/>
        </w:tabs>
        <w:jc w:val="both"/>
        <w:rPr>
          <w:b/>
          <w:bCs/>
          <w:sz w:val="22"/>
          <w:szCs w:val="22"/>
          <w:lang w:val="sr-Latn-ME"/>
        </w:rPr>
      </w:pPr>
    </w:p>
    <w:p w14:paraId="5E858B21" w14:textId="77777777" w:rsidR="005B7FCC" w:rsidRDefault="005B7FCC" w:rsidP="004B1590">
      <w:pPr>
        <w:tabs>
          <w:tab w:val="left" w:pos="540"/>
          <w:tab w:val="left" w:pos="569"/>
        </w:tabs>
        <w:jc w:val="both"/>
        <w:rPr>
          <w:b/>
          <w:bCs/>
          <w:sz w:val="22"/>
          <w:szCs w:val="22"/>
          <w:lang w:val="sr-Latn-ME"/>
        </w:rPr>
      </w:pPr>
    </w:p>
    <w:p w14:paraId="5526B8AB" w14:textId="22F650C6"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lastRenderedPageBreak/>
        <w:t>6.3.</w:t>
      </w:r>
      <w:r w:rsidR="00C05DF8" w:rsidRPr="00853B61">
        <w:rPr>
          <w:b/>
          <w:bCs/>
          <w:sz w:val="22"/>
          <w:szCs w:val="22"/>
          <w:lang w:val="sr-Latn-ME"/>
        </w:rPr>
        <w:t xml:space="preserve"> </w:t>
      </w:r>
      <w:r w:rsidR="00480FB1" w:rsidRPr="00853B61">
        <w:rPr>
          <w:b/>
          <w:bCs/>
          <w:sz w:val="22"/>
          <w:szCs w:val="22"/>
          <w:lang w:val="sr-Latn-ME"/>
        </w:rPr>
        <w:tab/>
      </w:r>
      <w:r w:rsidRPr="00853B61">
        <w:rPr>
          <w:b/>
          <w:bCs/>
          <w:sz w:val="22"/>
          <w:szCs w:val="22"/>
          <w:lang w:val="sr-Latn-ME"/>
        </w:rPr>
        <w:t>Rok upotrebe</w:t>
      </w:r>
    </w:p>
    <w:p w14:paraId="49876943" w14:textId="77777777" w:rsidR="0072020E" w:rsidRPr="00853B61" w:rsidRDefault="0072020E" w:rsidP="004B1590">
      <w:pPr>
        <w:tabs>
          <w:tab w:val="left" w:pos="540"/>
          <w:tab w:val="left" w:pos="569"/>
        </w:tabs>
        <w:jc w:val="both"/>
        <w:rPr>
          <w:bCs/>
          <w:sz w:val="22"/>
          <w:szCs w:val="22"/>
          <w:lang w:val="sr-Latn-ME"/>
        </w:rPr>
      </w:pPr>
    </w:p>
    <w:p w14:paraId="58470E42" w14:textId="77777777" w:rsidR="00592D8E" w:rsidRPr="00853B61" w:rsidRDefault="00237EA4" w:rsidP="004B1590">
      <w:pPr>
        <w:tabs>
          <w:tab w:val="left" w:pos="540"/>
          <w:tab w:val="left" w:pos="569"/>
        </w:tabs>
        <w:jc w:val="both"/>
        <w:rPr>
          <w:bCs/>
          <w:sz w:val="22"/>
          <w:szCs w:val="22"/>
          <w:lang w:val="sr-Latn-ME"/>
        </w:rPr>
      </w:pPr>
      <w:r w:rsidRPr="00853B61">
        <w:rPr>
          <w:bCs/>
          <w:sz w:val="22"/>
          <w:szCs w:val="22"/>
          <w:lang w:val="sr-Latn-ME"/>
        </w:rPr>
        <w:t>30 m</w:t>
      </w:r>
      <w:r w:rsidR="00592D8E" w:rsidRPr="00853B61">
        <w:rPr>
          <w:bCs/>
          <w:sz w:val="22"/>
          <w:szCs w:val="22"/>
          <w:lang w:val="sr-Latn-ME"/>
        </w:rPr>
        <w:t>j</w:t>
      </w:r>
      <w:r w:rsidRPr="00853B61">
        <w:rPr>
          <w:bCs/>
          <w:sz w:val="22"/>
          <w:szCs w:val="22"/>
          <w:lang w:val="sr-Latn-ME"/>
        </w:rPr>
        <w:t xml:space="preserve">eseci u bočici od polietilena visoke gustine (HDPE) </w:t>
      </w:r>
    </w:p>
    <w:p w14:paraId="6FC1640B" w14:textId="15361EC4"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Nakon prvog otvaranja bočice: 48 dana</w:t>
      </w:r>
    </w:p>
    <w:p w14:paraId="6C5ABAE9" w14:textId="77777777" w:rsidR="00237EA4" w:rsidRPr="00853B61" w:rsidRDefault="00237EA4" w:rsidP="004B1590">
      <w:pPr>
        <w:tabs>
          <w:tab w:val="left" w:pos="540"/>
          <w:tab w:val="left" w:pos="569"/>
        </w:tabs>
        <w:jc w:val="both"/>
        <w:rPr>
          <w:bCs/>
          <w:sz w:val="22"/>
          <w:szCs w:val="22"/>
          <w:lang w:val="sr-Latn-ME"/>
        </w:rPr>
      </w:pPr>
    </w:p>
    <w:p w14:paraId="6ADE13D1"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6.4. </w:t>
      </w:r>
      <w:r w:rsidR="00480FB1" w:rsidRPr="00853B61">
        <w:rPr>
          <w:b/>
          <w:bCs/>
          <w:sz w:val="22"/>
          <w:szCs w:val="22"/>
          <w:lang w:val="sr-Latn-ME"/>
        </w:rPr>
        <w:tab/>
      </w:r>
      <w:r w:rsidRPr="00853B61">
        <w:rPr>
          <w:b/>
          <w:bCs/>
          <w:sz w:val="22"/>
          <w:szCs w:val="22"/>
          <w:lang w:val="sr-Latn-ME"/>
        </w:rPr>
        <w:t>Posebne mjere upozorenja pri čuvanju</w:t>
      </w:r>
      <w:r w:rsidR="00F8570A" w:rsidRPr="00853B61">
        <w:rPr>
          <w:b/>
          <w:bCs/>
          <w:sz w:val="22"/>
          <w:szCs w:val="22"/>
          <w:lang w:val="sr-Latn-ME"/>
        </w:rPr>
        <w:t xml:space="preserve"> lijeka</w:t>
      </w:r>
    </w:p>
    <w:p w14:paraId="64AB2904" w14:textId="77777777" w:rsidR="00EC2532" w:rsidRPr="00853B61" w:rsidRDefault="00EC2532" w:rsidP="004B1590">
      <w:pPr>
        <w:tabs>
          <w:tab w:val="left" w:pos="540"/>
          <w:tab w:val="left" w:pos="569"/>
        </w:tabs>
        <w:jc w:val="both"/>
        <w:rPr>
          <w:bCs/>
          <w:sz w:val="22"/>
          <w:szCs w:val="22"/>
          <w:lang w:val="sr-Latn-ME"/>
        </w:rPr>
      </w:pPr>
    </w:p>
    <w:p w14:paraId="53084F8B" w14:textId="7205A105"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Ovaj l</w:t>
      </w:r>
      <w:r w:rsidR="00592D8E" w:rsidRPr="00853B61">
        <w:rPr>
          <w:bCs/>
          <w:sz w:val="22"/>
          <w:szCs w:val="22"/>
          <w:lang w:val="sr-Latn-ME"/>
        </w:rPr>
        <w:t>ij</w:t>
      </w:r>
      <w:r w:rsidRPr="00853B61">
        <w:rPr>
          <w:bCs/>
          <w:sz w:val="22"/>
          <w:szCs w:val="22"/>
          <w:lang w:val="sr-Latn-ME"/>
        </w:rPr>
        <w:t>ek ne zaht</w:t>
      </w:r>
      <w:r w:rsidR="00592D8E" w:rsidRPr="00853B61">
        <w:rPr>
          <w:bCs/>
          <w:sz w:val="22"/>
          <w:szCs w:val="22"/>
          <w:lang w:val="sr-Latn-ME"/>
        </w:rPr>
        <w:t>ij</w:t>
      </w:r>
      <w:r w:rsidRPr="00853B61">
        <w:rPr>
          <w:bCs/>
          <w:sz w:val="22"/>
          <w:szCs w:val="22"/>
          <w:lang w:val="sr-Latn-ME"/>
        </w:rPr>
        <w:t>eva posebne uslove čuvanja.</w:t>
      </w:r>
    </w:p>
    <w:p w14:paraId="3CD49CF7" w14:textId="77777777" w:rsidR="00237EA4" w:rsidRPr="00853B61" w:rsidRDefault="00237EA4" w:rsidP="004B1590">
      <w:pPr>
        <w:tabs>
          <w:tab w:val="left" w:pos="540"/>
          <w:tab w:val="left" w:pos="569"/>
        </w:tabs>
        <w:jc w:val="both"/>
        <w:rPr>
          <w:bCs/>
          <w:sz w:val="22"/>
          <w:szCs w:val="22"/>
          <w:lang w:val="sr-Latn-ME"/>
        </w:rPr>
      </w:pPr>
    </w:p>
    <w:p w14:paraId="15517478"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6.5. </w:t>
      </w:r>
      <w:r w:rsidR="00480FB1" w:rsidRPr="00853B61">
        <w:rPr>
          <w:b/>
          <w:bCs/>
          <w:sz w:val="22"/>
          <w:szCs w:val="22"/>
          <w:lang w:val="sr-Latn-ME"/>
        </w:rPr>
        <w:tab/>
      </w:r>
      <w:r w:rsidR="002846DB" w:rsidRPr="00853B61">
        <w:rPr>
          <w:b/>
          <w:bCs/>
          <w:sz w:val="22"/>
          <w:szCs w:val="22"/>
          <w:lang w:val="sr-Latn-ME"/>
        </w:rPr>
        <w:t xml:space="preserve">Vrsta i sadržaj </w:t>
      </w:r>
      <w:r w:rsidR="00F8570A" w:rsidRPr="00853B61">
        <w:rPr>
          <w:b/>
          <w:bCs/>
          <w:sz w:val="22"/>
          <w:szCs w:val="22"/>
          <w:lang w:val="sr-Latn-ME"/>
        </w:rPr>
        <w:t>pakovanja</w:t>
      </w:r>
      <w:r w:rsidR="00C06864" w:rsidRPr="00853B61">
        <w:rPr>
          <w:b/>
          <w:bCs/>
          <w:sz w:val="22"/>
          <w:szCs w:val="22"/>
          <w:lang w:val="sr-Latn-ME"/>
        </w:rPr>
        <w:t xml:space="preserve"> </w:t>
      </w:r>
    </w:p>
    <w:p w14:paraId="6DB9086D" w14:textId="77777777" w:rsidR="00237EA4" w:rsidRPr="00853B61" w:rsidRDefault="00237EA4" w:rsidP="004B1590">
      <w:pPr>
        <w:tabs>
          <w:tab w:val="left" w:pos="540"/>
          <w:tab w:val="left" w:pos="569"/>
        </w:tabs>
        <w:jc w:val="both"/>
        <w:rPr>
          <w:bCs/>
          <w:sz w:val="22"/>
          <w:szCs w:val="22"/>
          <w:lang w:val="sr-Latn-ME"/>
        </w:rPr>
      </w:pPr>
    </w:p>
    <w:p w14:paraId="6E852A8A" w14:textId="23666193"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 xml:space="preserve">HDPE bočice sadrže 90 </w:t>
      </w:r>
      <w:r w:rsidR="005214B4" w:rsidRPr="00853B61">
        <w:rPr>
          <w:bCs/>
          <w:sz w:val="22"/>
          <w:szCs w:val="22"/>
          <w:lang w:val="sr-Latn-ME"/>
        </w:rPr>
        <w:t xml:space="preserve">film tableta </w:t>
      </w:r>
      <w:r w:rsidRPr="00853B61">
        <w:rPr>
          <w:bCs/>
          <w:sz w:val="22"/>
          <w:szCs w:val="22"/>
          <w:lang w:val="sr-Latn-ME"/>
        </w:rPr>
        <w:t xml:space="preserve">s desikantom i sigurnosnim zatvaračem. Svako pakovanje sadrži 180 </w:t>
      </w:r>
      <w:r w:rsidR="005214B4" w:rsidRPr="00853B61">
        <w:rPr>
          <w:bCs/>
          <w:sz w:val="22"/>
          <w:szCs w:val="22"/>
          <w:lang w:val="sr-Latn-ME"/>
        </w:rPr>
        <w:t>film tableta</w:t>
      </w:r>
      <w:r w:rsidRPr="00853B61">
        <w:rPr>
          <w:bCs/>
          <w:sz w:val="22"/>
          <w:szCs w:val="22"/>
          <w:lang w:val="sr-Latn-ME"/>
        </w:rPr>
        <w:t>.</w:t>
      </w:r>
    </w:p>
    <w:p w14:paraId="22938F03" w14:textId="77777777" w:rsidR="00237EA4" w:rsidRPr="00853B61" w:rsidRDefault="00237EA4" w:rsidP="004B1590">
      <w:pPr>
        <w:tabs>
          <w:tab w:val="left" w:pos="540"/>
          <w:tab w:val="left" w:pos="569"/>
        </w:tabs>
        <w:jc w:val="both"/>
        <w:rPr>
          <w:bCs/>
          <w:sz w:val="22"/>
          <w:szCs w:val="22"/>
          <w:lang w:val="sr-Latn-ME"/>
        </w:rPr>
      </w:pPr>
    </w:p>
    <w:p w14:paraId="635ADDBF" w14:textId="5CFF3B25" w:rsidR="00237EA4" w:rsidRPr="00853B61" w:rsidRDefault="00237EA4" w:rsidP="004B1590">
      <w:pPr>
        <w:tabs>
          <w:tab w:val="left" w:pos="540"/>
          <w:tab w:val="left" w:pos="569"/>
        </w:tabs>
        <w:jc w:val="both"/>
        <w:rPr>
          <w:bCs/>
          <w:sz w:val="22"/>
          <w:szCs w:val="22"/>
          <w:lang w:val="sr-Latn-ME"/>
        </w:rPr>
      </w:pPr>
      <w:r w:rsidRPr="00853B61">
        <w:rPr>
          <w:bCs/>
          <w:sz w:val="22"/>
          <w:szCs w:val="22"/>
          <w:lang w:val="sr-Latn-ME"/>
        </w:rPr>
        <w:t>Dostupne su sl</w:t>
      </w:r>
      <w:r w:rsidR="00592D8E" w:rsidRPr="00853B61">
        <w:rPr>
          <w:bCs/>
          <w:sz w:val="22"/>
          <w:szCs w:val="22"/>
          <w:lang w:val="sr-Latn-ME"/>
        </w:rPr>
        <w:t>j</w:t>
      </w:r>
      <w:r w:rsidRPr="00853B61">
        <w:rPr>
          <w:bCs/>
          <w:sz w:val="22"/>
          <w:szCs w:val="22"/>
          <w:lang w:val="sr-Latn-ME"/>
        </w:rPr>
        <w:t>edeće veličine pakovanja:</w:t>
      </w:r>
    </w:p>
    <w:p w14:paraId="2FF9C825" w14:textId="4D831BF2" w:rsidR="00237EA4" w:rsidRPr="00853B61" w:rsidRDefault="00237EA4" w:rsidP="000638AF">
      <w:pPr>
        <w:numPr>
          <w:ilvl w:val="0"/>
          <w:numId w:val="14"/>
        </w:numPr>
        <w:tabs>
          <w:tab w:val="left" w:pos="578"/>
          <w:tab w:val="left" w:pos="851"/>
        </w:tabs>
        <w:jc w:val="both"/>
        <w:rPr>
          <w:bCs/>
          <w:sz w:val="22"/>
          <w:szCs w:val="22"/>
          <w:lang w:val="sr-Latn-ME"/>
        </w:rPr>
      </w:pPr>
      <w:r w:rsidRPr="00853B61">
        <w:rPr>
          <w:bCs/>
          <w:sz w:val="22"/>
          <w:szCs w:val="22"/>
          <w:lang w:val="sr-Latn-ME"/>
        </w:rPr>
        <w:t>Pakovanj</w:t>
      </w:r>
      <w:r w:rsidR="000638AF" w:rsidRPr="00853B61">
        <w:rPr>
          <w:bCs/>
          <w:sz w:val="22"/>
          <w:szCs w:val="22"/>
          <w:lang w:val="sr-Latn-ME"/>
        </w:rPr>
        <w:t>e koje</w:t>
      </w:r>
      <w:r w:rsidRPr="00853B61">
        <w:rPr>
          <w:bCs/>
          <w:sz w:val="22"/>
          <w:szCs w:val="22"/>
          <w:lang w:val="sr-Latn-ME"/>
        </w:rPr>
        <w:t xml:space="preserve"> sadrž</w:t>
      </w:r>
      <w:r w:rsidR="000638AF" w:rsidRPr="00853B61">
        <w:rPr>
          <w:bCs/>
          <w:sz w:val="22"/>
          <w:szCs w:val="22"/>
          <w:lang w:val="sr-Latn-ME"/>
        </w:rPr>
        <w:t>i</w:t>
      </w:r>
      <w:r w:rsidRPr="00853B61">
        <w:rPr>
          <w:bCs/>
          <w:sz w:val="22"/>
          <w:szCs w:val="22"/>
          <w:lang w:val="sr-Latn-ME"/>
        </w:rPr>
        <w:t xml:space="preserve"> 1 bočicu </w:t>
      </w:r>
      <w:r w:rsidR="000638AF" w:rsidRPr="00853B61">
        <w:rPr>
          <w:bCs/>
          <w:sz w:val="22"/>
          <w:szCs w:val="22"/>
          <w:lang w:val="sr-Latn-ME"/>
        </w:rPr>
        <w:t xml:space="preserve">sa </w:t>
      </w:r>
      <w:r w:rsidRPr="00853B61">
        <w:rPr>
          <w:bCs/>
          <w:sz w:val="22"/>
          <w:szCs w:val="22"/>
          <w:lang w:val="sr-Latn-ME"/>
        </w:rPr>
        <w:t xml:space="preserve">90 </w:t>
      </w:r>
      <w:r w:rsidR="000638AF" w:rsidRPr="00853B61">
        <w:rPr>
          <w:bCs/>
          <w:sz w:val="22"/>
          <w:szCs w:val="22"/>
          <w:lang w:val="sr-Latn-ME"/>
        </w:rPr>
        <w:t>film tableta, jačine</w:t>
      </w:r>
      <w:r w:rsidRPr="00853B61">
        <w:rPr>
          <w:bCs/>
          <w:sz w:val="22"/>
          <w:szCs w:val="22"/>
          <w:lang w:val="sr-Latn-ME"/>
        </w:rPr>
        <w:t xml:space="preserve"> 50 mg i 1 bočicu </w:t>
      </w:r>
      <w:r w:rsidR="000638AF" w:rsidRPr="00853B61">
        <w:rPr>
          <w:bCs/>
          <w:sz w:val="22"/>
          <w:szCs w:val="22"/>
          <w:lang w:val="sr-Latn-ME"/>
        </w:rPr>
        <w:t xml:space="preserve">sa </w:t>
      </w:r>
      <w:r w:rsidRPr="00853B61">
        <w:rPr>
          <w:bCs/>
          <w:sz w:val="22"/>
          <w:szCs w:val="22"/>
          <w:lang w:val="sr-Latn-ME"/>
        </w:rPr>
        <w:t xml:space="preserve">90 </w:t>
      </w:r>
      <w:r w:rsidR="000638AF" w:rsidRPr="00853B61">
        <w:rPr>
          <w:bCs/>
          <w:sz w:val="22"/>
          <w:szCs w:val="22"/>
          <w:lang w:val="sr-Latn-ME"/>
        </w:rPr>
        <w:t xml:space="preserve">film tableta, jačine </w:t>
      </w:r>
      <w:r w:rsidRPr="00853B61">
        <w:rPr>
          <w:bCs/>
          <w:sz w:val="22"/>
          <w:szCs w:val="22"/>
          <w:lang w:val="sr-Latn-ME"/>
        </w:rPr>
        <w:t>100</w:t>
      </w:r>
      <w:r w:rsidR="000638AF" w:rsidRPr="00853B61">
        <w:rPr>
          <w:bCs/>
          <w:sz w:val="22"/>
          <w:szCs w:val="22"/>
          <w:lang w:val="sr-Latn-ME"/>
        </w:rPr>
        <w:t xml:space="preserve"> </w:t>
      </w:r>
      <w:r w:rsidRPr="00853B61">
        <w:rPr>
          <w:bCs/>
          <w:sz w:val="22"/>
          <w:szCs w:val="22"/>
          <w:lang w:val="sr-Latn-ME"/>
        </w:rPr>
        <w:t>mg.</w:t>
      </w:r>
    </w:p>
    <w:p w14:paraId="1C801287" w14:textId="4C9CA5A0" w:rsidR="00237EA4" w:rsidRPr="00853B61" w:rsidRDefault="00237EA4" w:rsidP="000638AF">
      <w:pPr>
        <w:numPr>
          <w:ilvl w:val="0"/>
          <w:numId w:val="14"/>
        </w:numPr>
        <w:tabs>
          <w:tab w:val="left" w:pos="567"/>
        </w:tabs>
        <w:jc w:val="both"/>
        <w:rPr>
          <w:bCs/>
          <w:sz w:val="22"/>
          <w:szCs w:val="22"/>
          <w:lang w:val="sr-Latn-ME"/>
        </w:rPr>
      </w:pPr>
      <w:r w:rsidRPr="00853B61">
        <w:rPr>
          <w:bCs/>
          <w:sz w:val="22"/>
          <w:szCs w:val="22"/>
          <w:lang w:val="sr-Latn-ME"/>
        </w:rPr>
        <w:t>Pakovanj</w:t>
      </w:r>
      <w:r w:rsidR="000638AF" w:rsidRPr="00853B61">
        <w:rPr>
          <w:bCs/>
          <w:sz w:val="22"/>
          <w:szCs w:val="22"/>
          <w:lang w:val="sr-Latn-ME"/>
        </w:rPr>
        <w:t>e koje</w:t>
      </w:r>
      <w:r w:rsidRPr="00853B61">
        <w:rPr>
          <w:bCs/>
          <w:sz w:val="22"/>
          <w:szCs w:val="22"/>
          <w:lang w:val="sr-Latn-ME"/>
        </w:rPr>
        <w:t xml:space="preserve"> sadrž</w:t>
      </w:r>
      <w:r w:rsidR="000638AF" w:rsidRPr="00853B61">
        <w:rPr>
          <w:bCs/>
          <w:sz w:val="22"/>
          <w:szCs w:val="22"/>
          <w:lang w:val="sr-Latn-ME"/>
        </w:rPr>
        <w:t>i</w:t>
      </w:r>
      <w:r w:rsidRPr="00853B61">
        <w:rPr>
          <w:bCs/>
          <w:sz w:val="22"/>
          <w:szCs w:val="22"/>
          <w:lang w:val="sr-Latn-ME"/>
        </w:rPr>
        <w:t xml:space="preserve"> 2 bočice </w:t>
      </w:r>
      <w:r w:rsidR="000638AF" w:rsidRPr="00853B61">
        <w:rPr>
          <w:bCs/>
          <w:sz w:val="22"/>
          <w:szCs w:val="22"/>
          <w:lang w:val="sr-Latn-ME"/>
        </w:rPr>
        <w:t xml:space="preserve">sa po </w:t>
      </w:r>
      <w:r w:rsidRPr="00853B61">
        <w:rPr>
          <w:bCs/>
          <w:sz w:val="22"/>
          <w:szCs w:val="22"/>
          <w:lang w:val="sr-Latn-ME"/>
        </w:rPr>
        <w:t xml:space="preserve">90 </w:t>
      </w:r>
      <w:r w:rsidR="000638AF" w:rsidRPr="00853B61">
        <w:rPr>
          <w:bCs/>
          <w:sz w:val="22"/>
          <w:szCs w:val="22"/>
          <w:lang w:val="sr-Latn-ME"/>
        </w:rPr>
        <w:t>film tablet</w:t>
      </w:r>
      <w:r w:rsidR="001C3B63" w:rsidRPr="00853B61">
        <w:rPr>
          <w:bCs/>
          <w:sz w:val="22"/>
          <w:szCs w:val="22"/>
          <w:lang w:val="sr-Latn-ME"/>
        </w:rPr>
        <w:t>a</w:t>
      </w:r>
      <w:r w:rsidR="000638AF" w:rsidRPr="00853B61">
        <w:rPr>
          <w:bCs/>
          <w:sz w:val="22"/>
          <w:szCs w:val="22"/>
          <w:lang w:val="sr-Latn-ME"/>
        </w:rPr>
        <w:t xml:space="preserve">, jačine </w:t>
      </w:r>
      <w:r w:rsidRPr="00853B61">
        <w:rPr>
          <w:bCs/>
          <w:sz w:val="22"/>
          <w:szCs w:val="22"/>
          <w:lang w:val="sr-Latn-ME"/>
        </w:rPr>
        <w:t>100 mg.</w:t>
      </w:r>
    </w:p>
    <w:p w14:paraId="23A6F102" w14:textId="77777777" w:rsidR="00237EA4" w:rsidRPr="00853B61" w:rsidRDefault="00237EA4" w:rsidP="004B1590">
      <w:pPr>
        <w:tabs>
          <w:tab w:val="left" w:pos="540"/>
          <w:tab w:val="left" w:pos="569"/>
        </w:tabs>
        <w:jc w:val="both"/>
        <w:rPr>
          <w:bCs/>
          <w:sz w:val="22"/>
          <w:szCs w:val="22"/>
          <w:lang w:val="sr-Latn-ME"/>
        </w:rPr>
      </w:pPr>
    </w:p>
    <w:p w14:paraId="6F42C5A6" w14:textId="77777777" w:rsidR="002846DB"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6.6. </w:t>
      </w:r>
      <w:r w:rsidR="00480FB1" w:rsidRPr="00853B61">
        <w:rPr>
          <w:b/>
          <w:bCs/>
          <w:sz w:val="22"/>
          <w:szCs w:val="22"/>
          <w:lang w:val="sr-Latn-ME"/>
        </w:rPr>
        <w:tab/>
      </w:r>
      <w:r w:rsidRPr="00853B61">
        <w:rPr>
          <w:b/>
          <w:bCs/>
          <w:color w:val="000000"/>
          <w:sz w:val="22"/>
          <w:szCs w:val="22"/>
          <w:lang w:val="sr-Latn-ME"/>
        </w:rPr>
        <w:t>Posebne mjere opreza pri odlaganju materijala koji treba odbaciti nakon primjene lijeka</w:t>
      </w:r>
      <w:r w:rsidRPr="00853B61">
        <w:rPr>
          <w:b/>
          <w:bCs/>
          <w:sz w:val="22"/>
          <w:szCs w:val="22"/>
          <w:lang w:val="sr-Latn-ME"/>
        </w:rPr>
        <w:t xml:space="preserve"> </w:t>
      </w:r>
      <w:r w:rsidR="00310F03" w:rsidRPr="00853B61">
        <w:rPr>
          <w:b/>
          <w:bCs/>
          <w:sz w:val="22"/>
          <w:szCs w:val="22"/>
          <w:lang w:val="sr-Latn-ME"/>
        </w:rPr>
        <w:t>(i druga uputs</w:t>
      </w:r>
      <w:r w:rsidR="004109FA" w:rsidRPr="00853B61">
        <w:rPr>
          <w:b/>
          <w:bCs/>
          <w:sz w:val="22"/>
          <w:szCs w:val="22"/>
          <w:lang w:val="sr-Latn-ME"/>
        </w:rPr>
        <w:t>t</w:t>
      </w:r>
      <w:r w:rsidR="00310F03" w:rsidRPr="00853B61">
        <w:rPr>
          <w:b/>
          <w:bCs/>
          <w:sz w:val="22"/>
          <w:szCs w:val="22"/>
          <w:lang w:val="sr-Latn-ME"/>
        </w:rPr>
        <w:t xml:space="preserve">va za rukovanje lijekom) </w:t>
      </w:r>
    </w:p>
    <w:p w14:paraId="6FA55961" w14:textId="77777777" w:rsidR="00B66A70" w:rsidRPr="00853B61" w:rsidRDefault="00B66A70" w:rsidP="004B1590">
      <w:pPr>
        <w:tabs>
          <w:tab w:val="left" w:pos="540"/>
          <w:tab w:val="left" w:pos="569"/>
        </w:tabs>
        <w:jc w:val="both"/>
        <w:rPr>
          <w:b/>
          <w:bCs/>
          <w:sz w:val="22"/>
          <w:szCs w:val="22"/>
          <w:lang w:val="sr-Latn-ME"/>
        </w:rPr>
      </w:pPr>
    </w:p>
    <w:p w14:paraId="039338B2" w14:textId="16533528" w:rsidR="00237EA4" w:rsidRPr="00853B61" w:rsidRDefault="00237EA4" w:rsidP="004B1590">
      <w:pPr>
        <w:tabs>
          <w:tab w:val="left" w:pos="540"/>
          <w:tab w:val="left" w:pos="569"/>
        </w:tabs>
        <w:jc w:val="both"/>
        <w:rPr>
          <w:sz w:val="22"/>
          <w:szCs w:val="22"/>
          <w:lang w:val="sr-Latn-ME"/>
        </w:rPr>
      </w:pPr>
      <w:r w:rsidRPr="00853B61">
        <w:rPr>
          <w:sz w:val="22"/>
          <w:szCs w:val="22"/>
          <w:lang w:val="sr-Latn-ME"/>
        </w:rPr>
        <w:t>Neupotr</w:t>
      </w:r>
      <w:r w:rsidR="00592D8E" w:rsidRPr="00853B61">
        <w:rPr>
          <w:sz w:val="22"/>
          <w:szCs w:val="22"/>
          <w:lang w:val="sr-Latn-ME"/>
        </w:rPr>
        <w:t>ij</w:t>
      </w:r>
      <w:r w:rsidRPr="00853B61">
        <w:rPr>
          <w:sz w:val="22"/>
          <w:szCs w:val="22"/>
          <w:lang w:val="sr-Latn-ME"/>
        </w:rPr>
        <w:t>ebljeni l</w:t>
      </w:r>
      <w:r w:rsidR="00592D8E" w:rsidRPr="00853B61">
        <w:rPr>
          <w:sz w:val="22"/>
          <w:szCs w:val="22"/>
          <w:lang w:val="sr-Latn-ME"/>
        </w:rPr>
        <w:t>ij</w:t>
      </w:r>
      <w:r w:rsidRPr="00853B61">
        <w:rPr>
          <w:sz w:val="22"/>
          <w:szCs w:val="22"/>
          <w:lang w:val="sr-Latn-ME"/>
        </w:rPr>
        <w:t>ek ili otpadni materijal odlažu se u skladu sa lokalnim propisima.</w:t>
      </w:r>
    </w:p>
    <w:p w14:paraId="3562C39E" w14:textId="1A5418A1" w:rsidR="0072020E" w:rsidRPr="00853B61" w:rsidRDefault="0072020E" w:rsidP="004B1590">
      <w:pPr>
        <w:tabs>
          <w:tab w:val="left" w:pos="540"/>
          <w:tab w:val="left" w:pos="569"/>
        </w:tabs>
        <w:jc w:val="both"/>
        <w:rPr>
          <w:bCs/>
          <w:sz w:val="22"/>
          <w:szCs w:val="22"/>
          <w:lang w:val="sr-Latn-ME"/>
        </w:rPr>
      </w:pPr>
    </w:p>
    <w:p w14:paraId="27419123" w14:textId="77777777" w:rsidR="000638AF" w:rsidRPr="00853B61" w:rsidRDefault="000638AF" w:rsidP="004B1590">
      <w:pPr>
        <w:tabs>
          <w:tab w:val="left" w:pos="540"/>
          <w:tab w:val="left" w:pos="569"/>
        </w:tabs>
        <w:jc w:val="both"/>
        <w:rPr>
          <w:bCs/>
          <w:sz w:val="22"/>
          <w:szCs w:val="22"/>
          <w:lang w:val="sr-Latn-ME"/>
        </w:rPr>
      </w:pPr>
    </w:p>
    <w:p w14:paraId="28F75519" w14:textId="77777777" w:rsidR="00F8570A"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7. </w:t>
      </w:r>
      <w:r w:rsidR="00480FB1" w:rsidRPr="00853B61">
        <w:rPr>
          <w:b/>
          <w:bCs/>
          <w:sz w:val="22"/>
          <w:szCs w:val="22"/>
          <w:lang w:val="sr-Latn-ME"/>
        </w:rPr>
        <w:tab/>
      </w:r>
      <w:r w:rsidRPr="00853B61">
        <w:rPr>
          <w:b/>
          <w:bCs/>
          <w:sz w:val="22"/>
          <w:szCs w:val="22"/>
          <w:lang w:val="sr-Latn-ME"/>
        </w:rPr>
        <w:t>NOSILAC DOZVOLE</w:t>
      </w:r>
      <w:r w:rsidR="00483928" w:rsidRPr="00853B61">
        <w:rPr>
          <w:b/>
          <w:bCs/>
          <w:sz w:val="22"/>
          <w:szCs w:val="22"/>
          <w:lang w:val="sr-Latn-ME"/>
        </w:rPr>
        <w:t xml:space="preserve"> </w:t>
      </w:r>
    </w:p>
    <w:p w14:paraId="33886B9C" w14:textId="77777777" w:rsidR="00C61BE0" w:rsidRPr="00853B61" w:rsidRDefault="00C61BE0" w:rsidP="004B1590">
      <w:pPr>
        <w:tabs>
          <w:tab w:val="left" w:pos="540"/>
          <w:tab w:val="left" w:pos="569"/>
        </w:tabs>
        <w:jc w:val="both"/>
        <w:rPr>
          <w:bCs/>
          <w:sz w:val="22"/>
          <w:szCs w:val="22"/>
          <w:lang w:val="sr-Latn-ME"/>
        </w:rPr>
      </w:pPr>
    </w:p>
    <w:p w14:paraId="6046B447" w14:textId="77777777" w:rsidR="00AD539E" w:rsidRPr="00853B61" w:rsidRDefault="00AD539E" w:rsidP="004B1590">
      <w:pPr>
        <w:tabs>
          <w:tab w:val="left" w:pos="540"/>
          <w:tab w:val="left" w:pos="569"/>
        </w:tabs>
        <w:jc w:val="both"/>
        <w:rPr>
          <w:bCs/>
          <w:sz w:val="22"/>
          <w:szCs w:val="22"/>
          <w:lang w:val="sr-Latn-ME"/>
        </w:rPr>
      </w:pPr>
      <w:r w:rsidRPr="00853B61">
        <w:rPr>
          <w:bCs/>
          <w:sz w:val="22"/>
          <w:szCs w:val="22"/>
          <w:lang w:val="sr-Latn-ME"/>
        </w:rPr>
        <w:t>Glosarij d.o.o.</w:t>
      </w:r>
    </w:p>
    <w:p w14:paraId="137EEC5A" w14:textId="6F5EC572" w:rsidR="00AD539E" w:rsidRPr="00853B61" w:rsidRDefault="00AD539E" w:rsidP="004B1590">
      <w:pPr>
        <w:tabs>
          <w:tab w:val="left" w:pos="540"/>
          <w:tab w:val="left" w:pos="569"/>
        </w:tabs>
        <w:jc w:val="both"/>
        <w:rPr>
          <w:bCs/>
          <w:sz w:val="22"/>
          <w:szCs w:val="22"/>
          <w:lang w:val="sr-Latn-ME"/>
        </w:rPr>
      </w:pPr>
      <w:r w:rsidRPr="00853B61">
        <w:rPr>
          <w:bCs/>
          <w:sz w:val="22"/>
          <w:szCs w:val="22"/>
          <w:lang w:val="sr-Latn-ME"/>
        </w:rPr>
        <w:t>Vojislavljevića 76</w:t>
      </w:r>
      <w:r w:rsidR="00D44188" w:rsidRPr="00853B61">
        <w:rPr>
          <w:bCs/>
          <w:sz w:val="22"/>
          <w:szCs w:val="22"/>
          <w:lang w:val="sr-Latn-ME"/>
        </w:rPr>
        <w:t>,</w:t>
      </w:r>
    </w:p>
    <w:p w14:paraId="073DE309" w14:textId="53B8DB9B" w:rsidR="00AD539E" w:rsidRPr="00853B61" w:rsidRDefault="00AD539E" w:rsidP="004B1590">
      <w:pPr>
        <w:tabs>
          <w:tab w:val="left" w:pos="540"/>
          <w:tab w:val="left" w:pos="569"/>
        </w:tabs>
        <w:jc w:val="both"/>
        <w:rPr>
          <w:bCs/>
          <w:sz w:val="22"/>
          <w:szCs w:val="22"/>
          <w:lang w:val="sr-Latn-ME"/>
        </w:rPr>
      </w:pPr>
      <w:r w:rsidRPr="00853B61">
        <w:rPr>
          <w:bCs/>
          <w:sz w:val="22"/>
          <w:szCs w:val="22"/>
          <w:lang w:val="sr-Latn-ME"/>
        </w:rPr>
        <w:t>81 000 Podgorica</w:t>
      </w:r>
      <w:r w:rsidR="00D44188" w:rsidRPr="00853B61">
        <w:rPr>
          <w:bCs/>
          <w:sz w:val="22"/>
          <w:szCs w:val="22"/>
          <w:lang w:val="sr-Latn-ME"/>
        </w:rPr>
        <w:t>,</w:t>
      </w:r>
    </w:p>
    <w:p w14:paraId="5ACD0E00" w14:textId="66B37A77" w:rsidR="00AD539E" w:rsidRPr="00853B61" w:rsidRDefault="00AD539E" w:rsidP="004B1590">
      <w:pPr>
        <w:tabs>
          <w:tab w:val="left" w:pos="540"/>
          <w:tab w:val="left" w:pos="569"/>
        </w:tabs>
        <w:jc w:val="both"/>
        <w:rPr>
          <w:bCs/>
          <w:sz w:val="22"/>
          <w:szCs w:val="22"/>
          <w:lang w:val="sr-Latn-ME"/>
        </w:rPr>
      </w:pPr>
      <w:r w:rsidRPr="00853B61">
        <w:rPr>
          <w:bCs/>
          <w:sz w:val="22"/>
          <w:szCs w:val="22"/>
          <w:lang w:val="sr-Latn-ME"/>
        </w:rPr>
        <w:t>Crna Gora</w:t>
      </w:r>
    </w:p>
    <w:p w14:paraId="13951D1C" w14:textId="58CCCA55" w:rsidR="00C37FD7" w:rsidRPr="00853B61" w:rsidRDefault="00C37FD7" w:rsidP="004B1590">
      <w:pPr>
        <w:tabs>
          <w:tab w:val="left" w:pos="540"/>
          <w:tab w:val="left" w:pos="569"/>
        </w:tabs>
        <w:jc w:val="both"/>
        <w:rPr>
          <w:bCs/>
          <w:sz w:val="22"/>
          <w:szCs w:val="22"/>
          <w:lang w:val="sr-Latn-ME"/>
        </w:rPr>
      </w:pPr>
    </w:p>
    <w:p w14:paraId="437B0156" w14:textId="77777777" w:rsidR="000638AF" w:rsidRPr="00853B61" w:rsidRDefault="000638AF" w:rsidP="004B1590">
      <w:pPr>
        <w:tabs>
          <w:tab w:val="left" w:pos="540"/>
          <w:tab w:val="left" w:pos="569"/>
        </w:tabs>
        <w:jc w:val="both"/>
        <w:rPr>
          <w:bCs/>
          <w:sz w:val="22"/>
          <w:szCs w:val="22"/>
          <w:lang w:val="sr-Latn-ME"/>
        </w:rPr>
      </w:pPr>
    </w:p>
    <w:p w14:paraId="5A8A820E"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8. </w:t>
      </w:r>
      <w:r w:rsidR="00480FB1" w:rsidRPr="00853B61">
        <w:rPr>
          <w:b/>
          <w:bCs/>
          <w:sz w:val="22"/>
          <w:szCs w:val="22"/>
          <w:lang w:val="sr-Latn-ME"/>
        </w:rPr>
        <w:tab/>
      </w:r>
      <w:r w:rsidRPr="00853B61">
        <w:rPr>
          <w:b/>
          <w:bCs/>
          <w:sz w:val="22"/>
          <w:szCs w:val="22"/>
          <w:lang w:val="sr-Latn-ME"/>
        </w:rPr>
        <w:t>BROJ DOZVOLE</w:t>
      </w:r>
      <w:r w:rsidR="008A6D43" w:rsidRPr="00853B61">
        <w:rPr>
          <w:b/>
          <w:bCs/>
          <w:sz w:val="22"/>
          <w:szCs w:val="22"/>
          <w:lang w:val="sr-Latn-ME"/>
        </w:rPr>
        <w:t xml:space="preserve"> ZA STAVLJANJE LIJEKA U PROMET</w:t>
      </w:r>
    </w:p>
    <w:p w14:paraId="0EAC267C" w14:textId="03B61490" w:rsidR="0072020E" w:rsidRPr="00853B61" w:rsidRDefault="0072020E" w:rsidP="004B1590">
      <w:pPr>
        <w:tabs>
          <w:tab w:val="left" w:pos="540"/>
          <w:tab w:val="left" w:pos="569"/>
        </w:tabs>
        <w:jc w:val="both"/>
        <w:rPr>
          <w:bCs/>
          <w:sz w:val="22"/>
          <w:szCs w:val="22"/>
          <w:lang w:val="sr-Latn-ME"/>
        </w:rPr>
      </w:pPr>
    </w:p>
    <w:p w14:paraId="1D7CCE67" w14:textId="101FBB8D" w:rsidR="00853B61" w:rsidRPr="00853B61" w:rsidRDefault="00B97AFB" w:rsidP="004B1590">
      <w:pPr>
        <w:tabs>
          <w:tab w:val="left" w:pos="540"/>
          <w:tab w:val="left" w:pos="569"/>
        </w:tabs>
        <w:jc w:val="both"/>
        <w:rPr>
          <w:rFonts w:eastAsia="TimesNewRoman"/>
          <w:sz w:val="22"/>
          <w:szCs w:val="22"/>
          <w:lang w:val="sr-Latn-ME" w:eastAsia="sr-Latn-ME"/>
        </w:rPr>
      </w:pPr>
      <w:r>
        <w:rPr>
          <w:bCs/>
          <w:sz w:val="22"/>
          <w:szCs w:val="22"/>
          <w:lang w:val="sr-Latn-ME"/>
        </w:rPr>
        <w:t xml:space="preserve">Voydeya, film tableta, 50mg i </w:t>
      </w:r>
      <w:r w:rsidR="00853B61" w:rsidRPr="00853B61">
        <w:rPr>
          <w:bCs/>
          <w:sz w:val="22"/>
          <w:szCs w:val="22"/>
          <w:lang w:val="sr-Latn-ME"/>
        </w:rPr>
        <w:t xml:space="preserve">100mg, bočica, plastična, </w:t>
      </w:r>
      <w:r>
        <w:rPr>
          <w:bCs/>
          <w:sz w:val="22"/>
          <w:szCs w:val="22"/>
          <w:lang w:val="sr-Latn-ME"/>
        </w:rPr>
        <w:t xml:space="preserve">180 (1x90 od 50mg i 1x90 od </w:t>
      </w:r>
      <w:r w:rsidR="00853B61" w:rsidRPr="00853B61">
        <w:rPr>
          <w:bCs/>
          <w:sz w:val="22"/>
          <w:szCs w:val="22"/>
          <w:lang w:val="sr-Latn-ME"/>
        </w:rPr>
        <w:t>100mg)</w:t>
      </w:r>
      <w:r w:rsidR="00002721" w:rsidRPr="00002721">
        <w:rPr>
          <w:bCs/>
          <w:sz w:val="22"/>
          <w:szCs w:val="22"/>
          <w:lang w:val="sr-Latn-ME"/>
        </w:rPr>
        <w:t xml:space="preserve"> </w:t>
      </w:r>
      <w:r w:rsidR="00002721" w:rsidRPr="00853B61">
        <w:rPr>
          <w:bCs/>
          <w:sz w:val="22"/>
          <w:szCs w:val="22"/>
          <w:lang w:val="sr-Latn-ME"/>
        </w:rPr>
        <w:t>film tableta</w:t>
      </w:r>
      <w:r w:rsidR="00853B61" w:rsidRPr="00853B61">
        <w:rPr>
          <w:bCs/>
          <w:sz w:val="22"/>
          <w:szCs w:val="22"/>
          <w:lang w:val="sr-Latn-ME"/>
        </w:rPr>
        <w:t xml:space="preserve">: </w:t>
      </w:r>
      <w:r w:rsidR="00853B61" w:rsidRPr="00853B61">
        <w:rPr>
          <w:rFonts w:eastAsia="TimesNewRoman"/>
          <w:sz w:val="22"/>
          <w:szCs w:val="22"/>
          <w:lang w:val="sr-Latn-ME" w:eastAsia="sr-Latn-ME"/>
        </w:rPr>
        <w:t>2030/25/1846 – 8894</w:t>
      </w:r>
    </w:p>
    <w:p w14:paraId="7D4D1CE3" w14:textId="098C9BF9" w:rsidR="00F45F77" w:rsidRPr="00853B61" w:rsidRDefault="00853B61" w:rsidP="004B1590">
      <w:pPr>
        <w:tabs>
          <w:tab w:val="left" w:pos="540"/>
          <w:tab w:val="left" w:pos="569"/>
        </w:tabs>
        <w:jc w:val="both"/>
        <w:rPr>
          <w:rFonts w:eastAsia="TimesNewRoman"/>
          <w:sz w:val="22"/>
          <w:szCs w:val="22"/>
          <w:lang w:val="sr-Latn-ME" w:eastAsia="sr-Latn-ME"/>
        </w:rPr>
      </w:pPr>
      <w:r w:rsidRPr="00853B61">
        <w:rPr>
          <w:bCs/>
          <w:sz w:val="22"/>
          <w:szCs w:val="22"/>
          <w:lang w:val="sr-Latn-ME"/>
        </w:rPr>
        <w:t xml:space="preserve">Voydeya, film tableta, 100mg, bočica, plastična, </w:t>
      </w:r>
      <w:r w:rsidR="00B97AFB">
        <w:rPr>
          <w:bCs/>
          <w:sz w:val="22"/>
          <w:szCs w:val="22"/>
          <w:lang w:val="sr-Latn-ME"/>
        </w:rPr>
        <w:t>180 (</w:t>
      </w:r>
      <w:r w:rsidRPr="00853B61">
        <w:rPr>
          <w:bCs/>
          <w:sz w:val="22"/>
          <w:szCs w:val="22"/>
          <w:lang w:val="sr-Latn-ME"/>
        </w:rPr>
        <w:t>2x90</w:t>
      </w:r>
      <w:r w:rsidR="00B97AFB">
        <w:rPr>
          <w:bCs/>
          <w:sz w:val="22"/>
          <w:szCs w:val="22"/>
          <w:lang w:val="sr-Latn-ME"/>
        </w:rPr>
        <w:t>)</w:t>
      </w:r>
      <w:r w:rsidRPr="00853B61">
        <w:rPr>
          <w:bCs/>
          <w:sz w:val="22"/>
          <w:szCs w:val="22"/>
          <w:lang w:val="sr-Latn-ME"/>
        </w:rPr>
        <w:t xml:space="preserve"> film tableta: </w:t>
      </w:r>
      <w:r w:rsidRPr="00853B61">
        <w:rPr>
          <w:rFonts w:eastAsia="TimesNewRoman"/>
          <w:sz w:val="22"/>
          <w:szCs w:val="22"/>
          <w:lang w:val="sr-Latn-ME" w:eastAsia="sr-Latn-ME"/>
        </w:rPr>
        <w:t>2030/25/1847 – 8893</w:t>
      </w:r>
    </w:p>
    <w:p w14:paraId="38DBD7AA" w14:textId="111AF41C" w:rsidR="00853B61" w:rsidRPr="00853B61" w:rsidRDefault="00853B61" w:rsidP="004B1590">
      <w:pPr>
        <w:tabs>
          <w:tab w:val="left" w:pos="540"/>
          <w:tab w:val="left" w:pos="569"/>
        </w:tabs>
        <w:jc w:val="both"/>
        <w:rPr>
          <w:rFonts w:ascii="TimesNewRoman" w:eastAsia="TimesNewRoman" w:cs="TimesNewRoman"/>
          <w:sz w:val="22"/>
          <w:szCs w:val="22"/>
          <w:lang w:val="sr-Latn-ME" w:eastAsia="sr-Latn-ME"/>
        </w:rPr>
      </w:pPr>
    </w:p>
    <w:p w14:paraId="52139D94" w14:textId="77777777" w:rsidR="00853B61" w:rsidRPr="00853B61" w:rsidRDefault="00853B61" w:rsidP="004B1590">
      <w:pPr>
        <w:tabs>
          <w:tab w:val="left" w:pos="540"/>
          <w:tab w:val="left" w:pos="569"/>
        </w:tabs>
        <w:jc w:val="both"/>
        <w:rPr>
          <w:bCs/>
          <w:sz w:val="22"/>
          <w:szCs w:val="22"/>
          <w:lang w:val="sr-Latn-ME"/>
        </w:rPr>
      </w:pPr>
    </w:p>
    <w:p w14:paraId="125A395D" w14:textId="77777777" w:rsidR="0072020E" w:rsidRPr="00853B61" w:rsidRDefault="0072020E" w:rsidP="004B1590">
      <w:pPr>
        <w:tabs>
          <w:tab w:val="left" w:pos="540"/>
          <w:tab w:val="left" w:pos="569"/>
        </w:tabs>
        <w:jc w:val="both"/>
        <w:rPr>
          <w:b/>
          <w:bCs/>
          <w:sz w:val="22"/>
          <w:szCs w:val="22"/>
          <w:lang w:val="sr-Latn-ME"/>
        </w:rPr>
      </w:pPr>
      <w:r w:rsidRPr="00853B61">
        <w:rPr>
          <w:b/>
          <w:bCs/>
          <w:sz w:val="22"/>
          <w:szCs w:val="22"/>
          <w:lang w:val="sr-Latn-ME"/>
        </w:rPr>
        <w:t xml:space="preserve">9. </w:t>
      </w:r>
      <w:r w:rsidR="00480FB1" w:rsidRPr="00853B61">
        <w:rPr>
          <w:b/>
          <w:bCs/>
          <w:sz w:val="22"/>
          <w:szCs w:val="22"/>
          <w:lang w:val="sr-Latn-ME"/>
        </w:rPr>
        <w:tab/>
      </w:r>
      <w:r w:rsidRPr="00853B61">
        <w:rPr>
          <w:b/>
          <w:bCs/>
          <w:sz w:val="22"/>
          <w:szCs w:val="22"/>
          <w:lang w:val="sr-Latn-ME"/>
        </w:rPr>
        <w:t xml:space="preserve">DATUM </w:t>
      </w:r>
      <w:r w:rsidR="00C05DF8" w:rsidRPr="00853B61">
        <w:rPr>
          <w:b/>
          <w:bCs/>
          <w:sz w:val="22"/>
          <w:szCs w:val="22"/>
          <w:lang w:val="sr-Latn-ME"/>
        </w:rPr>
        <w:t xml:space="preserve">PRVE </w:t>
      </w:r>
      <w:r w:rsidR="008A6D43" w:rsidRPr="00853B61">
        <w:rPr>
          <w:b/>
          <w:bCs/>
          <w:sz w:val="22"/>
          <w:szCs w:val="22"/>
          <w:lang w:val="sr-Latn-ME"/>
        </w:rPr>
        <w:t>DOZVOLE</w:t>
      </w:r>
      <w:r w:rsidR="00C05DF8" w:rsidRPr="00853B61">
        <w:rPr>
          <w:b/>
          <w:bCs/>
          <w:sz w:val="22"/>
          <w:szCs w:val="22"/>
          <w:lang w:val="sr-Latn-ME"/>
        </w:rPr>
        <w:t>/OBNOVE DOZVOLE</w:t>
      </w:r>
      <w:r w:rsidR="008A6D43" w:rsidRPr="00853B61">
        <w:rPr>
          <w:b/>
          <w:bCs/>
          <w:sz w:val="22"/>
          <w:szCs w:val="22"/>
          <w:lang w:val="sr-Latn-ME"/>
        </w:rPr>
        <w:t xml:space="preserve"> ZA STAVLJANJE LIJEKA U PROMET</w:t>
      </w:r>
    </w:p>
    <w:p w14:paraId="2A5752DE" w14:textId="40BF72F1" w:rsidR="0072020E" w:rsidRPr="00853B61" w:rsidRDefault="0072020E" w:rsidP="004B1590">
      <w:pPr>
        <w:tabs>
          <w:tab w:val="left" w:pos="540"/>
          <w:tab w:val="left" w:pos="569"/>
        </w:tabs>
        <w:jc w:val="both"/>
        <w:rPr>
          <w:bCs/>
          <w:sz w:val="22"/>
          <w:szCs w:val="22"/>
          <w:lang w:val="sr-Latn-ME"/>
        </w:rPr>
      </w:pPr>
    </w:p>
    <w:p w14:paraId="0BA9539B" w14:textId="052557B6" w:rsidR="00853B61" w:rsidRPr="00853B61" w:rsidRDefault="00853B61" w:rsidP="004B1590">
      <w:pPr>
        <w:tabs>
          <w:tab w:val="left" w:pos="540"/>
          <w:tab w:val="left" w:pos="569"/>
        </w:tabs>
        <w:jc w:val="both"/>
        <w:rPr>
          <w:bCs/>
          <w:sz w:val="22"/>
          <w:szCs w:val="22"/>
          <w:lang w:val="sr-Latn-ME"/>
        </w:rPr>
      </w:pPr>
      <w:r w:rsidRPr="00853B61">
        <w:rPr>
          <w:bCs/>
          <w:sz w:val="22"/>
          <w:szCs w:val="22"/>
          <w:lang w:val="sr-Latn-ME"/>
        </w:rPr>
        <w:t>17.04.2025. godine</w:t>
      </w:r>
    </w:p>
    <w:p w14:paraId="04A28250" w14:textId="77777777" w:rsidR="00853B61" w:rsidRPr="00853B61" w:rsidRDefault="00853B61" w:rsidP="004B1590">
      <w:pPr>
        <w:tabs>
          <w:tab w:val="left" w:pos="540"/>
          <w:tab w:val="left" w:pos="569"/>
        </w:tabs>
        <w:jc w:val="both"/>
        <w:rPr>
          <w:bCs/>
          <w:sz w:val="22"/>
          <w:szCs w:val="22"/>
          <w:lang w:val="sr-Latn-ME"/>
        </w:rPr>
      </w:pPr>
      <w:bookmarkStart w:id="1" w:name="_GoBack"/>
      <w:bookmarkEnd w:id="1"/>
    </w:p>
    <w:p w14:paraId="7312DD52" w14:textId="77777777" w:rsidR="00836B35" w:rsidRPr="00853B61" w:rsidRDefault="00836B35" w:rsidP="004B1590">
      <w:pPr>
        <w:tabs>
          <w:tab w:val="left" w:pos="540"/>
          <w:tab w:val="left" w:pos="569"/>
        </w:tabs>
        <w:jc w:val="both"/>
        <w:rPr>
          <w:bCs/>
          <w:sz w:val="22"/>
          <w:szCs w:val="22"/>
          <w:lang w:val="sr-Latn-ME"/>
        </w:rPr>
      </w:pPr>
    </w:p>
    <w:p w14:paraId="35C1885A" w14:textId="77777777" w:rsidR="003F6A59" w:rsidRPr="00853B61" w:rsidRDefault="0072020E" w:rsidP="004B1590">
      <w:pPr>
        <w:tabs>
          <w:tab w:val="left" w:pos="540"/>
          <w:tab w:val="left" w:pos="569"/>
        </w:tabs>
        <w:ind w:left="540" w:hanging="540"/>
        <w:jc w:val="both"/>
        <w:rPr>
          <w:bCs/>
          <w:sz w:val="22"/>
          <w:szCs w:val="22"/>
          <w:lang w:val="sr-Latn-ME"/>
        </w:rPr>
      </w:pPr>
      <w:r w:rsidRPr="00853B61">
        <w:rPr>
          <w:b/>
          <w:bCs/>
          <w:sz w:val="22"/>
          <w:szCs w:val="22"/>
          <w:lang w:val="sr-Latn-ME"/>
        </w:rPr>
        <w:t xml:space="preserve">10. </w:t>
      </w:r>
      <w:r w:rsidR="00480FB1" w:rsidRPr="00853B61">
        <w:rPr>
          <w:b/>
          <w:bCs/>
          <w:sz w:val="22"/>
          <w:szCs w:val="22"/>
          <w:lang w:val="sr-Latn-ME"/>
        </w:rPr>
        <w:tab/>
      </w:r>
      <w:r w:rsidR="002846DB" w:rsidRPr="00853B61">
        <w:rPr>
          <w:b/>
          <w:bCs/>
          <w:sz w:val="22"/>
          <w:szCs w:val="22"/>
          <w:lang w:val="sr-Latn-ME"/>
        </w:rPr>
        <w:t>D</w:t>
      </w:r>
      <w:r w:rsidR="00EC2532" w:rsidRPr="00853B61">
        <w:rPr>
          <w:b/>
          <w:bCs/>
          <w:sz w:val="22"/>
          <w:szCs w:val="22"/>
          <w:lang w:val="sr-Latn-ME"/>
        </w:rPr>
        <w:t xml:space="preserve">ATUM REVIZIJE TEKSTA </w:t>
      </w:r>
    </w:p>
    <w:p w14:paraId="5C98BE62" w14:textId="77777777" w:rsidR="003F6A59" w:rsidRPr="00853B61" w:rsidRDefault="003F6A59" w:rsidP="004B1590">
      <w:pPr>
        <w:tabs>
          <w:tab w:val="left" w:pos="540"/>
          <w:tab w:val="left" w:pos="569"/>
        </w:tabs>
        <w:jc w:val="both"/>
        <w:rPr>
          <w:bCs/>
          <w:sz w:val="22"/>
          <w:szCs w:val="22"/>
          <w:lang w:val="sr-Latn-ME"/>
        </w:rPr>
      </w:pPr>
    </w:p>
    <w:p w14:paraId="7F868F8B" w14:textId="21045F99" w:rsidR="00237EA4" w:rsidRPr="00853B61" w:rsidRDefault="00853B61" w:rsidP="004B1590">
      <w:pPr>
        <w:widowControl w:val="0"/>
        <w:autoSpaceDE w:val="0"/>
        <w:autoSpaceDN w:val="0"/>
        <w:ind w:right="454"/>
        <w:jc w:val="both"/>
        <w:rPr>
          <w:bCs/>
          <w:sz w:val="22"/>
          <w:szCs w:val="22"/>
          <w:lang w:val="sr-Latn-ME"/>
        </w:rPr>
      </w:pPr>
      <w:r w:rsidRPr="00853B61">
        <w:rPr>
          <w:bCs/>
          <w:sz w:val="22"/>
          <w:szCs w:val="22"/>
          <w:lang w:val="sr-Latn-ME"/>
        </w:rPr>
        <w:t>April, 2025. godine</w:t>
      </w:r>
    </w:p>
    <w:p w14:paraId="772BA7E4" w14:textId="720133F4" w:rsidR="003F6A59" w:rsidRPr="00853B61" w:rsidRDefault="003F6A59" w:rsidP="004B1590">
      <w:pPr>
        <w:jc w:val="both"/>
        <w:rPr>
          <w:sz w:val="22"/>
          <w:szCs w:val="22"/>
          <w:lang w:val="sr-Latn-ME"/>
        </w:rPr>
      </w:pPr>
    </w:p>
    <w:sectPr w:rsidR="003F6A59" w:rsidRPr="00853B61" w:rsidSect="006B5404">
      <w:footerReference w:type="default" r:id="rId14"/>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8058A" w14:textId="77777777" w:rsidR="006D54A1" w:rsidRDefault="006D54A1">
      <w:r>
        <w:separator/>
      </w:r>
    </w:p>
  </w:endnote>
  <w:endnote w:type="continuationSeparator" w:id="0">
    <w:p w14:paraId="08514FFD" w14:textId="77777777" w:rsidR="006D54A1" w:rsidRDefault="006D5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81254A" w14:textId="65902DA2" w:rsidR="00EF3B86" w:rsidRPr="00B23F69" w:rsidRDefault="00EF3B86"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5B7FCC">
      <w:rPr>
        <w:noProof/>
        <w:sz w:val="22"/>
        <w:szCs w:val="22"/>
      </w:rPr>
      <w:t>12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5B7FCC">
      <w:rPr>
        <w:noProof/>
        <w:sz w:val="22"/>
        <w:szCs w:val="22"/>
      </w:rPr>
      <w:t>12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32FC0" w14:textId="77777777" w:rsidR="006D54A1" w:rsidRDefault="006D54A1">
      <w:r>
        <w:separator/>
      </w:r>
    </w:p>
  </w:footnote>
  <w:footnote w:type="continuationSeparator" w:id="0">
    <w:p w14:paraId="1B3303E3" w14:textId="77777777" w:rsidR="006D54A1" w:rsidRDefault="006D54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75pt;height:12.75pt;visibility:visible;mso-wrap-style:square" o:bullet="t">
        <v:imagedata r:id="rId1" o:title=""/>
      </v:shape>
    </w:pict>
  </w:numPicBullet>
  <w:abstractNum w:abstractNumId="0" w15:restartNumberingAfterBreak="0">
    <w:nsid w:val="04B117C2"/>
    <w:multiLevelType w:val="hybridMultilevel"/>
    <w:tmpl w:val="28386F70"/>
    <w:lvl w:ilvl="0" w:tplc="7C58B304">
      <w:numFmt w:val="bullet"/>
      <w:lvlText w:val="-"/>
      <w:lvlJc w:val="left"/>
      <w:pPr>
        <w:ind w:left="576"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558A1FEC">
      <w:numFmt w:val="bullet"/>
      <w:lvlText w:val="•"/>
      <w:lvlJc w:val="left"/>
      <w:pPr>
        <w:ind w:left="1488" w:hanging="360"/>
      </w:pPr>
      <w:rPr>
        <w:rFonts w:hint="default"/>
        <w:lang w:val="en-US" w:eastAsia="en-US" w:bidi="ar-SA"/>
      </w:rPr>
    </w:lvl>
    <w:lvl w:ilvl="2" w:tplc="23283202">
      <w:numFmt w:val="bullet"/>
      <w:lvlText w:val="•"/>
      <w:lvlJc w:val="left"/>
      <w:pPr>
        <w:ind w:left="2397" w:hanging="360"/>
      </w:pPr>
      <w:rPr>
        <w:rFonts w:hint="default"/>
        <w:lang w:val="en-US" w:eastAsia="en-US" w:bidi="ar-SA"/>
      </w:rPr>
    </w:lvl>
    <w:lvl w:ilvl="3" w:tplc="C26A04A4">
      <w:numFmt w:val="bullet"/>
      <w:lvlText w:val="•"/>
      <w:lvlJc w:val="left"/>
      <w:pPr>
        <w:ind w:left="3305" w:hanging="360"/>
      </w:pPr>
      <w:rPr>
        <w:rFonts w:hint="default"/>
        <w:lang w:val="en-US" w:eastAsia="en-US" w:bidi="ar-SA"/>
      </w:rPr>
    </w:lvl>
    <w:lvl w:ilvl="4" w:tplc="5A422976">
      <w:numFmt w:val="bullet"/>
      <w:lvlText w:val="•"/>
      <w:lvlJc w:val="left"/>
      <w:pPr>
        <w:ind w:left="4214" w:hanging="360"/>
      </w:pPr>
      <w:rPr>
        <w:rFonts w:hint="default"/>
        <w:lang w:val="en-US" w:eastAsia="en-US" w:bidi="ar-SA"/>
      </w:rPr>
    </w:lvl>
    <w:lvl w:ilvl="5" w:tplc="08FA9BB2">
      <w:numFmt w:val="bullet"/>
      <w:lvlText w:val="•"/>
      <w:lvlJc w:val="left"/>
      <w:pPr>
        <w:ind w:left="5123" w:hanging="360"/>
      </w:pPr>
      <w:rPr>
        <w:rFonts w:hint="default"/>
        <w:lang w:val="en-US" w:eastAsia="en-US" w:bidi="ar-SA"/>
      </w:rPr>
    </w:lvl>
    <w:lvl w:ilvl="6" w:tplc="662E4ED8">
      <w:numFmt w:val="bullet"/>
      <w:lvlText w:val="•"/>
      <w:lvlJc w:val="left"/>
      <w:pPr>
        <w:ind w:left="6031" w:hanging="360"/>
      </w:pPr>
      <w:rPr>
        <w:rFonts w:hint="default"/>
        <w:lang w:val="en-US" w:eastAsia="en-US" w:bidi="ar-SA"/>
      </w:rPr>
    </w:lvl>
    <w:lvl w:ilvl="7" w:tplc="45122DF2">
      <w:numFmt w:val="bullet"/>
      <w:lvlText w:val="•"/>
      <w:lvlJc w:val="left"/>
      <w:pPr>
        <w:ind w:left="6940" w:hanging="360"/>
      </w:pPr>
      <w:rPr>
        <w:rFonts w:hint="default"/>
        <w:lang w:val="en-US" w:eastAsia="en-US" w:bidi="ar-SA"/>
      </w:rPr>
    </w:lvl>
    <w:lvl w:ilvl="8" w:tplc="F0465028">
      <w:numFmt w:val="bullet"/>
      <w:lvlText w:val="•"/>
      <w:lvlJc w:val="left"/>
      <w:pPr>
        <w:ind w:left="7849" w:hanging="360"/>
      </w:pPr>
      <w:rPr>
        <w:rFonts w:hint="default"/>
        <w:lang w:val="en-US" w:eastAsia="en-US" w:bidi="ar-SA"/>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0753FC9"/>
    <w:multiLevelType w:val="hybridMultilevel"/>
    <w:tmpl w:val="6C5ED3E6"/>
    <w:lvl w:ilvl="0" w:tplc="B3902136">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91CE010A">
      <w:numFmt w:val="bullet"/>
      <w:lvlText w:val="•"/>
      <w:lvlJc w:val="left"/>
      <w:pPr>
        <w:ind w:left="1488" w:hanging="360"/>
      </w:pPr>
      <w:rPr>
        <w:rFonts w:hint="default"/>
        <w:lang w:val="en-US" w:eastAsia="en-US" w:bidi="ar-SA"/>
      </w:rPr>
    </w:lvl>
    <w:lvl w:ilvl="2" w:tplc="41AE11DC">
      <w:numFmt w:val="bullet"/>
      <w:lvlText w:val="•"/>
      <w:lvlJc w:val="left"/>
      <w:pPr>
        <w:ind w:left="2397" w:hanging="360"/>
      </w:pPr>
      <w:rPr>
        <w:rFonts w:hint="default"/>
        <w:lang w:val="en-US" w:eastAsia="en-US" w:bidi="ar-SA"/>
      </w:rPr>
    </w:lvl>
    <w:lvl w:ilvl="3" w:tplc="64CA3836">
      <w:numFmt w:val="bullet"/>
      <w:lvlText w:val="•"/>
      <w:lvlJc w:val="left"/>
      <w:pPr>
        <w:ind w:left="3305" w:hanging="360"/>
      </w:pPr>
      <w:rPr>
        <w:rFonts w:hint="default"/>
        <w:lang w:val="en-US" w:eastAsia="en-US" w:bidi="ar-SA"/>
      </w:rPr>
    </w:lvl>
    <w:lvl w:ilvl="4" w:tplc="E506CC8C">
      <w:numFmt w:val="bullet"/>
      <w:lvlText w:val="•"/>
      <w:lvlJc w:val="left"/>
      <w:pPr>
        <w:ind w:left="4214" w:hanging="360"/>
      </w:pPr>
      <w:rPr>
        <w:rFonts w:hint="default"/>
        <w:lang w:val="en-US" w:eastAsia="en-US" w:bidi="ar-SA"/>
      </w:rPr>
    </w:lvl>
    <w:lvl w:ilvl="5" w:tplc="B266A06E">
      <w:numFmt w:val="bullet"/>
      <w:lvlText w:val="•"/>
      <w:lvlJc w:val="left"/>
      <w:pPr>
        <w:ind w:left="5123" w:hanging="360"/>
      </w:pPr>
      <w:rPr>
        <w:rFonts w:hint="default"/>
        <w:lang w:val="en-US" w:eastAsia="en-US" w:bidi="ar-SA"/>
      </w:rPr>
    </w:lvl>
    <w:lvl w:ilvl="6" w:tplc="4D4E14C0">
      <w:numFmt w:val="bullet"/>
      <w:lvlText w:val="•"/>
      <w:lvlJc w:val="left"/>
      <w:pPr>
        <w:ind w:left="6031" w:hanging="360"/>
      </w:pPr>
      <w:rPr>
        <w:rFonts w:hint="default"/>
        <w:lang w:val="en-US" w:eastAsia="en-US" w:bidi="ar-SA"/>
      </w:rPr>
    </w:lvl>
    <w:lvl w:ilvl="7" w:tplc="6CEABF1A">
      <w:numFmt w:val="bullet"/>
      <w:lvlText w:val="•"/>
      <w:lvlJc w:val="left"/>
      <w:pPr>
        <w:ind w:left="6940" w:hanging="360"/>
      </w:pPr>
      <w:rPr>
        <w:rFonts w:hint="default"/>
        <w:lang w:val="en-US" w:eastAsia="en-US" w:bidi="ar-SA"/>
      </w:rPr>
    </w:lvl>
    <w:lvl w:ilvl="8" w:tplc="DC4E55AA">
      <w:numFmt w:val="bullet"/>
      <w:lvlText w:val="•"/>
      <w:lvlJc w:val="left"/>
      <w:pPr>
        <w:ind w:left="7849" w:hanging="360"/>
      </w:pPr>
      <w:rPr>
        <w:rFonts w:hint="default"/>
        <w:lang w:val="en-US" w:eastAsia="en-US" w:bidi="ar-SA"/>
      </w:rPr>
    </w:lvl>
  </w:abstractNum>
  <w:abstractNum w:abstractNumId="11" w15:restartNumberingAfterBreak="0">
    <w:nsid w:val="6475225D"/>
    <w:multiLevelType w:val="multilevel"/>
    <w:tmpl w:val="ED78AA94"/>
    <w:lvl w:ilvl="0">
      <w:start w:val="1"/>
      <w:numFmt w:val="decimal"/>
      <w:lvlText w:val="%1."/>
      <w:lvlJc w:val="left"/>
      <w:pPr>
        <w:ind w:left="785" w:hanging="567"/>
        <w:jc w:val="left"/>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785" w:hanging="567"/>
        <w:jc w:val="left"/>
      </w:pPr>
      <w:rPr>
        <w:rFonts w:ascii="Times New Roman" w:eastAsia="Times New Roman" w:hAnsi="Times New Roman" w:cs="Times New Roman" w:hint="default"/>
        <w:b/>
        <w:bCs/>
        <w:i w:val="0"/>
        <w:iCs w:val="0"/>
        <w:spacing w:val="0"/>
        <w:w w:val="100"/>
        <w:sz w:val="22"/>
        <w:szCs w:val="22"/>
        <w:lang w:val="en-US" w:eastAsia="en-US" w:bidi="ar-SA"/>
      </w:rPr>
    </w:lvl>
    <w:lvl w:ilvl="2">
      <w:numFmt w:val="bullet"/>
      <w:lvlText w:val="-"/>
      <w:lvlJc w:val="left"/>
      <w:pPr>
        <w:ind w:left="578"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2754" w:hanging="360"/>
      </w:pPr>
      <w:rPr>
        <w:rFonts w:hint="default"/>
        <w:lang w:val="en-US" w:eastAsia="en-US" w:bidi="ar-SA"/>
      </w:rPr>
    </w:lvl>
    <w:lvl w:ilvl="4">
      <w:numFmt w:val="bullet"/>
      <w:lvlText w:val="•"/>
      <w:lvlJc w:val="left"/>
      <w:pPr>
        <w:ind w:left="3742" w:hanging="360"/>
      </w:pPr>
      <w:rPr>
        <w:rFonts w:hint="default"/>
        <w:lang w:val="en-US" w:eastAsia="en-US" w:bidi="ar-SA"/>
      </w:rPr>
    </w:lvl>
    <w:lvl w:ilvl="5">
      <w:numFmt w:val="bullet"/>
      <w:lvlText w:val="•"/>
      <w:lvlJc w:val="left"/>
      <w:pPr>
        <w:ind w:left="4729" w:hanging="360"/>
      </w:pPr>
      <w:rPr>
        <w:rFonts w:hint="default"/>
        <w:lang w:val="en-US" w:eastAsia="en-US" w:bidi="ar-SA"/>
      </w:rPr>
    </w:lvl>
    <w:lvl w:ilvl="6">
      <w:numFmt w:val="bullet"/>
      <w:lvlText w:val="•"/>
      <w:lvlJc w:val="left"/>
      <w:pPr>
        <w:ind w:left="5716" w:hanging="360"/>
      </w:pPr>
      <w:rPr>
        <w:rFonts w:hint="default"/>
        <w:lang w:val="en-US" w:eastAsia="en-US" w:bidi="ar-SA"/>
      </w:rPr>
    </w:lvl>
    <w:lvl w:ilvl="7">
      <w:numFmt w:val="bullet"/>
      <w:lvlText w:val="•"/>
      <w:lvlJc w:val="left"/>
      <w:pPr>
        <w:ind w:left="6704" w:hanging="360"/>
      </w:pPr>
      <w:rPr>
        <w:rFonts w:hint="default"/>
        <w:lang w:val="en-US" w:eastAsia="en-US" w:bidi="ar-SA"/>
      </w:rPr>
    </w:lvl>
    <w:lvl w:ilvl="8">
      <w:numFmt w:val="bullet"/>
      <w:lvlText w:val="•"/>
      <w:lvlJc w:val="left"/>
      <w:pPr>
        <w:ind w:left="7691" w:hanging="360"/>
      </w:pPr>
      <w:rPr>
        <w:rFonts w:hint="default"/>
        <w:lang w:val="en-US" w:eastAsia="en-US" w:bidi="ar-SA"/>
      </w:rPr>
    </w:lvl>
  </w:abstractNum>
  <w:abstractNum w:abstractNumId="12"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
  </w:num>
  <w:num w:numId="4">
    <w:abstractNumId w:val="9"/>
  </w:num>
  <w:num w:numId="5">
    <w:abstractNumId w:val="5"/>
  </w:num>
  <w:num w:numId="6">
    <w:abstractNumId w:val="2"/>
  </w:num>
  <w:num w:numId="7">
    <w:abstractNumId w:val="8"/>
  </w:num>
  <w:num w:numId="8">
    <w:abstractNumId w:val="4"/>
  </w:num>
  <w:num w:numId="9">
    <w:abstractNumId w:val="7"/>
  </w:num>
  <w:num w:numId="10">
    <w:abstractNumId w:val="13"/>
  </w:num>
  <w:num w:numId="11">
    <w:abstractNumId w:val="6"/>
  </w:num>
  <w:num w:numId="12">
    <w:abstractNumId w:val="0"/>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2721"/>
    <w:rsid w:val="000176CA"/>
    <w:rsid w:val="00033354"/>
    <w:rsid w:val="00033469"/>
    <w:rsid w:val="00036FA0"/>
    <w:rsid w:val="0003793F"/>
    <w:rsid w:val="00043875"/>
    <w:rsid w:val="00045130"/>
    <w:rsid w:val="00057E35"/>
    <w:rsid w:val="000638AF"/>
    <w:rsid w:val="00075E28"/>
    <w:rsid w:val="00076726"/>
    <w:rsid w:val="00080303"/>
    <w:rsid w:val="00083056"/>
    <w:rsid w:val="00083D02"/>
    <w:rsid w:val="00097901"/>
    <w:rsid w:val="000A3F58"/>
    <w:rsid w:val="000D2343"/>
    <w:rsid w:val="000D3449"/>
    <w:rsid w:val="000D425A"/>
    <w:rsid w:val="000D60CC"/>
    <w:rsid w:val="000E2084"/>
    <w:rsid w:val="000E6F55"/>
    <w:rsid w:val="000F77FA"/>
    <w:rsid w:val="00107BF7"/>
    <w:rsid w:val="00126F53"/>
    <w:rsid w:val="001343A1"/>
    <w:rsid w:val="0014766D"/>
    <w:rsid w:val="001536CC"/>
    <w:rsid w:val="00180A70"/>
    <w:rsid w:val="001A3FBA"/>
    <w:rsid w:val="001A5518"/>
    <w:rsid w:val="001B1C6A"/>
    <w:rsid w:val="001C1263"/>
    <w:rsid w:val="001C1417"/>
    <w:rsid w:val="001C3B63"/>
    <w:rsid w:val="001E390B"/>
    <w:rsid w:val="001F42FB"/>
    <w:rsid w:val="001F719A"/>
    <w:rsid w:val="002031B3"/>
    <w:rsid w:val="00215931"/>
    <w:rsid w:val="00224C91"/>
    <w:rsid w:val="00227BDB"/>
    <w:rsid w:val="00234CB1"/>
    <w:rsid w:val="002352F8"/>
    <w:rsid w:val="00237EA4"/>
    <w:rsid w:val="002510A5"/>
    <w:rsid w:val="00254A0A"/>
    <w:rsid w:val="002561B4"/>
    <w:rsid w:val="00266046"/>
    <w:rsid w:val="002846DB"/>
    <w:rsid w:val="00284CCD"/>
    <w:rsid w:val="002C5E5B"/>
    <w:rsid w:val="002C6637"/>
    <w:rsid w:val="002E0135"/>
    <w:rsid w:val="002E353D"/>
    <w:rsid w:val="002E37A5"/>
    <w:rsid w:val="00310F03"/>
    <w:rsid w:val="003247D2"/>
    <w:rsid w:val="003445C1"/>
    <w:rsid w:val="00355B61"/>
    <w:rsid w:val="00362686"/>
    <w:rsid w:val="00371510"/>
    <w:rsid w:val="00396DFD"/>
    <w:rsid w:val="003A7059"/>
    <w:rsid w:val="003B7A36"/>
    <w:rsid w:val="003C17AB"/>
    <w:rsid w:val="003C7823"/>
    <w:rsid w:val="003E1DCC"/>
    <w:rsid w:val="003F11A1"/>
    <w:rsid w:val="003F4FAB"/>
    <w:rsid w:val="003F6A59"/>
    <w:rsid w:val="004065C8"/>
    <w:rsid w:val="004109FA"/>
    <w:rsid w:val="00411B4B"/>
    <w:rsid w:val="00415BEE"/>
    <w:rsid w:val="004254E9"/>
    <w:rsid w:val="00427F85"/>
    <w:rsid w:val="00436D43"/>
    <w:rsid w:val="00436F42"/>
    <w:rsid w:val="004378B4"/>
    <w:rsid w:val="004448FE"/>
    <w:rsid w:val="00451314"/>
    <w:rsid w:val="00452E9D"/>
    <w:rsid w:val="004534C7"/>
    <w:rsid w:val="004671AA"/>
    <w:rsid w:val="00471DF8"/>
    <w:rsid w:val="00480FB1"/>
    <w:rsid w:val="00483928"/>
    <w:rsid w:val="004B1590"/>
    <w:rsid w:val="004B79A3"/>
    <w:rsid w:val="004C331F"/>
    <w:rsid w:val="004C45E5"/>
    <w:rsid w:val="004D6103"/>
    <w:rsid w:val="004E2559"/>
    <w:rsid w:val="004E3BCE"/>
    <w:rsid w:val="004E70AD"/>
    <w:rsid w:val="004F0E97"/>
    <w:rsid w:val="004F17E2"/>
    <w:rsid w:val="0050068B"/>
    <w:rsid w:val="00501DD1"/>
    <w:rsid w:val="00515C21"/>
    <w:rsid w:val="005214B4"/>
    <w:rsid w:val="00530BD7"/>
    <w:rsid w:val="005338DC"/>
    <w:rsid w:val="00545CD2"/>
    <w:rsid w:val="005476F3"/>
    <w:rsid w:val="0055279C"/>
    <w:rsid w:val="00572527"/>
    <w:rsid w:val="00573E40"/>
    <w:rsid w:val="00576348"/>
    <w:rsid w:val="00585D52"/>
    <w:rsid w:val="00592D8E"/>
    <w:rsid w:val="005A0B2E"/>
    <w:rsid w:val="005A23D2"/>
    <w:rsid w:val="005A36CB"/>
    <w:rsid w:val="005B49B8"/>
    <w:rsid w:val="005B7FCC"/>
    <w:rsid w:val="005C0741"/>
    <w:rsid w:val="005C5EF4"/>
    <w:rsid w:val="005E2E0B"/>
    <w:rsid w:val="005E67AD"/>
    <w:rsid w:val="005E7A7D"/>
    <w:rsid w:val="00602457"/>
    <w:rsid w:val="00603C49"/>
    <w:rsid w:val="006106D5"/>
    <w:rsid w:val="00644FC3"/>
    <w:rsid w:val="00646BD1"/>
    <w:rsid w:val="006561C2"/>
    <w:rsid w:val="00671CB3"/>
    <w:rsid w:val="00674BAF"/>
    <w:rsid w:val="00682200"/>
    <w:rsid w:val="00692164"/>
    <w:rsid w:val="00692BF6"/>
    <w:rsid w:val="006A1351"/>
    <w:rsid w:val="006A1497"/>
    <w:rsid w:val="006B0BD1"/>
    <w:rsid w:val="006B5404"/>
    <w:rsid w:val="006B6503"/>
    <w:rsid w:val="006C5346"/>
    <w:rsid w:val="006D20A5"/>
    <w:rsid w:val="006D37BF"/>
    <w:rsid w:val="006D54A1"/>
    <w:rsid w:val="00702E22"/>
    <w:rsid w:val="0072020E"/>
    <w:rsid w:val="00750A03"/>
    <w:rsid w:val="00754902"/>
    <w:rsid w:val="00784247"/>
    <w:rsid w:val="00786071"/>
    <w:rsid w:val="007A3ECB"/>
    <w:rsid w:val="007C79BF"/>
    <w:rsid w:val="007D7BB3"/>
    <w:rsid w:val="007E31E9"/>
    <w:rsid w:val="007F05E3"/>
    <w:rsid w:val="007F661E"/>
    <w:rsid w:val="00824AB9"/>
    <w:rsid w:val="00836B35"/>
    <w:rsid w:val="00843BDE"/>
    <w:rsid w:val="00853B61"/>
    <w:rsid w:val="00854DD7"/>
    <w:rsid w:val="0087588C"/>
    <w:rsid w:val="00882E62"/>
    <w:rsid w:val="0089705C"/>
    <w:rsid w:val="008A6D43"/>
    <w:rsid w:val="008B491E"/>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97175"/>
    <w:rsid w:val="009A1847"/>
    <w:rsid w:val="009A713C"/>
    <w:rsid w:val="009B062A"/>
    <w:rsid w:val="009E7C6F"/>
    <w:rsid w:val="009F1793"/>
    <w:rsid w:val="009F2D23"/>
    <w:rsid w:val="00A01D69"/>
    <w:rsid w:val="00A02335"/>
    <w:rsid w:val="00A12E5B"/>
    <w:rsid w:val="00A46C9A"/>
    <w:rsid w:val="00A52274"/>
    <w:rsid w:val="00A619F3"/>
    <w:rsid w:val="00A62A73"/>
    <w:rsid w:val="00A87FF6"/>
    <w:rsid w:val="00AA0834"/>
    <w:rsid w:val="00AA0A3B"/>
    <w:rsid w:val="00AA2763"/>
    <w:rsid w:val="00AA33B6"/>
    <w:rsid w:val="00AB50CA"/>
    <w:rsid w:val="00AB6D64"/>
    <w:rsid w:val="00AB7647"/>
    <w:rsid w:val="00AC53CE"/>
    <w:rsid w:val="00AD0384"/>
    <w:rsid w:val="00AD2193"/>
    <w:rsid w:val="00AD539E"/>
    <w:rsid w:val="00AF19F4"/>
    <w:rsid w:val="00AF2AC7"/>
    <w:rsid w:val="00AF74CE"/>
    <w:rsid w:val="00B025A9"/>
    <w:rsid w:val="00B208DB"/>
    <w:rsid w:val="00B23F69"/>
    <w:rsid w:val="00B41AA0"/>
    <w:rsid w:val="00B60619"/>
    <w:rsid w:val="00B66A70"/>
    <w:rsid w:val="00B67366"/>
    <w:rsid w:val="00B73FE1"/>
    <w:rsid w:val="00B80EE1"/>
    <w:rsid w:val="00B84135"/>
    <w:rsid w:val="00B97AFB"/>
    <w:rsid w:val="00BA1D2B"/>
    <w:rsid w:val="00BC51BC"/>
    <w:rsid w:val="00BF14DE"/>
    <w:rsid w:val="00C04D34"/>
    <w:rsid w:val="00C05DF8"/>
    <w:rsid w:val="00C06864"/>
    <w:rsid w:val="00C10F54"/>
    <w:rsid w:val="00C23D8D"/>
    <w:rsid w:val="00C3730D"/>
    <w:rsid w:val="00C37AA3"/>
    <w:rsid w:val="00C37FD7"/>
    <w:rsid w:val="00C43419"/>
    <w:rsid w:val="00C44CF3"/>
    <w:rsid w:val="00C61BE0"/>
    <w:rsid w:val="00C6707E"/>
    <w:rsid w:val="00C70351"/>
    <w:rsid w:val="00C70B0E"/>
    <w:rsid w:val="00C773CA"/>
    <w:rsid w:val="00C80B7A"/>
    <w:rsid w:val="00C83785"/>
    <w:rsid w:val="00C87FA8"/>
    <w:rsid w:val="00C90852"/>
    <w:rsid w:val="00C94C0D"/>
    <w:rsid w:val="00CA1FEB"/>
    <w:rsid w:val="00CD4F85"/>
    <w:rsid w:val="00CD6F02"/>
    <w:rsid w:val="00CE246D"/>
    <w:rsid w:val="00CF07A0"/>
    <w:rsid w:val="00CF3E03"/>
    <w:rsid w:val="00D0082A"/>
    <w:rsid w:val="00D21455"/>
    <w:rsid w:val="00D31944"/>
    <w:rsid w:val="00D366EF"/>
    <w:rsid w:val="00D44188"/>
    <w:rsid w:val="00D47634"/>
    <w:rsid w:val="00D709B3"/>
    <w:rsid w:val="00D74CD2"/>
    <w:rsid w:val="00DA2ED6"/>
    <w:rsid w:val="00DB1D55"/>
    <w:rsid w:val="00DB76B8"/>
    <w:rsid w:val="00DC2EA1"/>
    <w:rsid w:val="00DD6AAF"/>
    <w:rsid w:val="00DE3F5C"/>
    <w:rsid w:val="00DF1D20"/>
    <w:rsid w:val="00E21324"/>
    <w:rsid w:val="00E246B9"/>
    <w:rsid w:val="00E31FEA"/>
    <w:rsid w:val="00E45169"/>
    <w:rsid w:val="00E47787"/>
    <w:rsid w:val="00E51C30"/>
    <w:rsid w:val="00E541AC"/>
    <w:rsid w:val="00E64180"/>
    <w:rsid w:val="00E7235D"/>
    <w:rsid w:val="00E74AEE"/>
    <w:rsid w:val="00E868E5"/>
    <w:rsid w:val="00E91805"/>
    <w:rsid w:val="00E9237A"/>
    <w:rsid w:val="00E939FA"/>
    <w:rsid w:val="00EA5765"/>
    <w:rsid w:val="00EC2532"/>
    <w:rsid w:val="00EC4B71"/>
    <w:rsid w:val="00ED453D"/>
    <w:rsid w:val="00ED7812"/>
    <w:rsid w:val="00EF3B86"/>
    <w:rsid w:val="00F011B8"/>
    <w:rsid w:val="00F12A2F"/>
    <w:rsid w:val="00F317E9"/>
    <w:rsid w:val="00F34554"/>
    <w:rsid w:val="00F35B68"/>
    <w:rsid w:val="00F45F77"/>
    <w:rsid w:val="00F5167F"/>
    <w:rsid w:val="00F52258"/>
    <w:rsid w:val="00F83DC0"/>
    <w:rsid w:val="00F8570A"/>
    <w:rsid w:val="00F91C7B"/>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9D7E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UnresolvedMention1">
    <w:name w:val="Unresolved Mention1"/>
    <w:basedOn w:val="DefaultParagraphFont"/>
    <w:uiPriority w:val="99"/>
    <w:semiHidden/>
    <w:unhideWhenUsed/>
    <w:rsid w:val="00237EA4"/>
    <w:rPr>
      <w:color w:val="605E5C"/>
      <w:shd w:val="clear" w:color="auto" w:fill="E1DFDD"/>
    </w:rPr>
  </w:style>
  <w:style w:type="character" w:customStyle="1" w:styleId="FooterChar">
    <w:name w:val="Footer Char"/>
    <w:basedOn w:val="DefaultParagraphFont"/>
    <w:link w:val="Footer"/>
    <w:uiPriority w:val="99"/>
    <w:rsid w:val="00B41AA0"/>
    <w:rPr>
      <w:sz w:val="24"/>
      <w:szCs w:val="24"/>
      <w:lang w:val="en-US" w:eastAsia="en-US"/>
    </w:rPr>
  </w:style>
  <w:style w:type="paragraph" w:styleId="Revision">
    <w:name w:val="Revision"/>
    <w:hidden/>
    <w:uiPriority w:val="99"/>
    <w:semiHidden/>
    <w:rsid w:val="004448F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36C42-54D0-4145-A2BC-C663208F4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4592</Words>
  <Characters>26178</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30709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4</cp:revision>
  <cp:lastPrinted>2023-02-09T08:16:00Z</cp:lastPrinted>
  <dcterms:created xsi:type="dcterms:W3CDTF">2025-04-17T11:15:00Z</dcterms:created>
  <dcterms:modified xsi:type="dcterms:W3CDTF">2025-04-17T12:46:00Z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