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E6A06" w14:textId="77777777" w:rsidR="001A5518" w:rsidRPr="00671053" w:rsidRDefault="001A5518" w:rsidP="001A5518">
      <w:pPr>
        <w:rPr>
          <w:b/>
          <w:bCs/>
          <w:i/>
          <w:iCs/>
          <w:sz w:val="22"/>
          <w:szCs w:val="22"/>
          <w:u w:val="single"/>
          <w:lang w:val="sr-Latn-ME"/>
        </w:rPr>
      </w:pPr>
    </w:p>
    <w:p w14:paraId="1936519B" w14:textId="77777777" w:rsidR="00F91C7B" w:rsidRPr="00671053" w:rsidRDefault="00F91C7B" w:rsidP="001A5518">
      <w:pPr>
        <w:rPr>
          <w:b/>
          <w:bCs/>
          <w:i/>
          <w:iCs/>
          <w:sz w:val="22"/>
          <w:szCs w:val="22"/>
          <w:u w:val="single"/>
          <w:lang w:val="sr-Latn-ME"/>
        </w:rPr>
      </w:pPr>
    </w:p>
    <w:p w14:paraId="53E570AA" w14:textId="77777777" w:rsidR="002510A5" w:rsidRPr="00840456" w:rsidRDefault="002510A5" w:rsidP="002510A5">
      <w:pPr>
        <w:jc w:val="center"/>
        <w:rPr>
          <w:b/>
          <w:bCs/>
          <w:iCs/>
          <w:sz w:val="22"/>
          <w:szCs w:val="22"/>
          <w:u w:val="single"/>
          <w:lang w:val="sr-Latn-ME"/>
        </w:rPr>
      </w:pPr>
      <w:r w:rsidRPr="00840456">
        <w:rPr>
          <w:b/>
          <w:bCs/>
          <w:iCs/>
          <w:sz w:val="22"/>
          <w:szCs w:val="22"/>
          <w:u w:val="single"/>
          <w:lang w:val="sr-Latn-ME"/>
        </w:rPr>
        <w:t>SAŽETAK KARAKTERISTIKA LIJEKA</w:t>
      </w:r>
    </w:p>
    <w:p w14:paraId="241FFCEE" w14:textId="77777777" w:rsidR="002510A5" w:rsidRPr="00840456" w:rsidRDefault="002510A5" w:rsidP="002510A5">
      <w:pPr>
        <w:rPr>
          <w:b/>
          <w:bCs/>
          <w:i/>
          <w:iCs/>
          <w:sz w:val="22"/>
          <w:szCs w:val="22"/>
          <w:u w:val="single"/>
          <w:lang w:val="sr-Latn-ME"/>
        </w:rPr>
      </w:pPr>
    </w:p>
    <w:p w14:paraId="0B2FF38C" w14:textId="77777777" w:rsidR="003C17AB" w:rsidRPr="00840456" w:rsidRDefault="003C17AB" w:rsidP="00F5167F">
      <w:pPr>
        <w:tabs>
          <w:tab w:val="left" w:pos="540"/>
          <w:tab w:val="left" w:pos="569"/>
        </w:tabs>
        <w:rPr>
          <w:noProof/>
          <w:sz w:val="22"/>
          <w:szCs w:val="22"/>
          <w:lang w:val="sr-Latn-ME"/>
        </w:rPr>
      </w:pPr>
    </w:p>
    <w:p w14:paraId="499EEDC4" w14:textId="77777777" w:rsidR="00C37FD7" w:rsidRPr="00840456" w:rsidRDefault="00C37FD7" w:rsidP="00F5167F">
      <w:pPr>
        <w:tabs>
          <w:tab w:val="left" w:pos="540"/>
          <w:tab w:val="left" w:pos="569"/>
        </w:tabs>
        <w:rPr>
          <w:bCs/>
          <w:sz w:val="22"/>
          <w:szCs w:val="22"/>
          <w:lang w:val="sr-Latn-ME"/>
        </w:rPr>
      </w:pPr>
    </w:p>
    <w:p w14:paraId="711462F9" w14:textId="77777777" w:rsidR="00411B4B" w:rsidRPr="00840456" w:rsidRDefault="00411B4B" w:rsidP="00F5167F">
      <w:pPr>
        <w:tabs>
          <w:tab w:val="left" w:pos="540"/>
          <w:tab w:val="left" w:pos="569"/>
        </w:tabs>
        <w:rPr>
          <w:b/>
          <w:bCs/>
          <w:sz w:val="22"/>
          <w:szCs w:val="22"/>
          <w:lang w:val="sr-Latn-ME"/>
        </w:rPr>
      </w:pPr>
      <w:r w:rsidRPr="00840456">
        <w:rPr>
          <w:b/>
          <w:bCs/>
          <w:sz w:val="22"/>
          <w:szCs w:val="22"/>
          <w:lang w:val="sr-Latn-ME"/>
        </w:rPr>
        <w:t>1.</w:t>
      </w:r>
      <w:r w:rsidR="00F5167F" w:rsidRPr="00840456">
        <w:rPr>
          <w:b/>
          <w:bCs/>
          <w:sz w:val="22"/>
          <w:szCs w:val="22"/>
          <w:lang w:val="sr-Latn-ME"/>
        </w:rPr>
        <w:tab/>
      </w:r>
      <w:r w:rsidR="002846DB" w:rsidRPr="00840456">
        <w:rPr>
          <w:b/>
          <w:bCs/>
          <w:sz w:val="22"/>
          <w:szCs w:val="22"/>
          <w:lang w:val="sr-Latn-ME"/>
        </w:rPr>
        <w:t xml:space="preserve">NAZIV </w:t>
      </w:r>
      <w:r w:rsidRPr="00840456">
        <w:rPr>
          <w:b/>
          <w:bCs/>
          <w:sz w:val="22"/>
          <w:szCs w:val="22"/>
          <w:lang w:val="sr-Latn-ME"/>
        </w:rPr>
        <w:t>LIJEKA</w:t>
      </w:r>
    </w:p>
    <w:p w14:paraId="3625E471" w14:textId="77777777" w:rsidR="00EC2532" w:rsidRPr="00840456" w:rsidRDefault="00EC2532">
      <w:pPr>
        <w:rPr>
          <w:sz w:val="22"/>
          <w:szCs w:val="22"/>
          <w:lang w:val="sr-Latn-ME"/>
        </w:rPr>
      </w:pPr>
    </w:p>
    <w:p w14:paraId="781B3BA3" w14:textId="24D1E591" w:rsidR="000D425A" w:rsidRPr="00840456" w:rsidRDefault="00AD08E5">
      <w:pPr>
        <w:rPr>
          <w:sz w:val="22"/>
          <w:szCs w:val="22"/>
          <w:lang w:val="sr-Latn-ME"/>
        </w:rPr>
      </w:pPr>
      <w:r w:rsidRPr="00840456">
        <w:rPr>
          <w:sz w:val="22"/>
          <w:szCs w:val="22"/>
          <w:lang w:val="sr-Latn-ME"/>
        </w:rPr>
        <w:t>Enbrel</w:t>
      </w:r>
      <w:r w:rsidR="00984BA9" w:rsidRPr="00840456">
        <w:rPr>
          <w:sz w:val="22"/>
          <w:szCs w:val="22"/>
          <w:lang w:val="sr-Latn-ME"/>
        </w:rPr>
        <w:t>, 50</w:t>
      </w:r>
      <w:r w:rsidR="001B1998" w:rsidRPr="00840456">
        <w:rPr>
          <w:sz w:val="22"/>
          <w:szCs w:val="22"/>
          <w:lang w:val="sr-Latn-ME"/>
        </w:rPr>
        <w:t xml:space="preserve"> mg</w:t>
      </w:r>
      <w:r w:rsidR="00984BA9" w:rsidRPr="00840456">
        <w:rPr>
          <w:sz w:val="22"/>
          <w:szCs w:val="22"/>
          <w:lang w:val="sr-Latn-ME"/>
        </w:rPr>
        <w:t xml:space="preserve">, </w:t>
      </w:r>
      <w:r w:rsidRPr="00840456">
        <w:rPr>
          <w:sz w:val="22"/>
          <w:szCs w:val="22"/>
          <w:lang w:val="sr-Latn-ME"/>
        </w:rPr>
        <w:t>rastvor za injekciju u napunjenom injekcionom špricu</w:t>
      </w:r>
    </w:p>
    <w:p w14:paraId="2EE08B7F" w14:textId="77777777" w:rsidR="00AD08E5" w:rsidRPr="00840456" w:rsidRDefault="00AD08E5">
      <w:pPr>
        <w:rPr>
          <w:b/>
          <w:bCs/>
          <w:sz w:val="22"/>
          <w:szCs w:val="22"/>
          <w:lang w:val="sr-Latn-ME"/>
        </w:rPr>
      </w:pPr>
    </w:p>
    <w:p w14:paraId="1678CC54" w14:textId="4D0F8FD1" w:rsidR="00AD08E5" w:rsidRPr="00840456" w:rsidRDefault="006D20A5" w:rsidP="00AD08E5">
      <w:pPr>
        <w:pStyle w:val="Header"/>
        <w:tabs>
          <w:tab w:val="left" w:pos="284"/>
        </w:tabs>
        <w:jc w:val="both"/>
        <w:rPr>
          <w:sz w:val="22"/>
          <w:szCs w:val="22"/>
          <w:lang w:val="sr-Latn-ME"/>
        </w:rPr>
      </w:pPr>
      <w:r w:rsidRPr="00840456">
        <w:rPr>
          <w:sz w:val="22"/>
          <w:szCs w:val="22"/>
          <w:lang w:val="sr-Latn-ME"/>
        </w:rPr>
        <w:t>INN:</w:t>
      </w:r>
      <w:r w:rsidR="00AD08E5" w:rsidRPr="00840456">
        <w:rPr>
          <w:sz w:val="22"/>
          <w:szCs w:val="22"/>
          <w:lang w:val="sr-Latn-ME"/>
        </w:rPr>
        <w:t xml:space="preserve"> etanercept </w:t>
      </w:r>
    </w:p>
    <w:p w14:paraId="45837E19" w14:textId="6C88359E" w:rsidR="00530BD7" w:rsidRPr="00840456" w:rsidRDefault="00530BD7">
      <w:pPr>
        <w:rPr>
          <w:bCs/>
          <w:sz w:val="22"/>
          <w:szCs w:val="22"/>
          <w:lang w:val="sr-Latn-ME"/>
        </w:rPr>
      </w:pPr>
    </w:p>
    <w:p w14:paraId="407DD99F" w14:textId="77777777" w:rsidR="00671053" w:rsidRPr="00840456" w:rsidRDefault="00671053">
      <w:pPr>
        <w:rPr>
          <w:bCs/>
          <w:sz w:val="22"/>
          <w:szCs w:val="22"/>
          <w:lang w:val="sr-Latn-ME"/>
        </w:rPr>
      </w:pPr>
    </w:p>
    <w:p w14:paraId="60895FD2" w14:textId="77777777" w:rsidR="00411B4B" w:rsidRPr="00840456" w:rsidRDefault="00411B4B" w:rsidP="00F5167F">
      <w:pPr>
        <w:tabs>
          <w:tab w:val="left" w:pos="540"/>
          <w:tab w:val="left" w:pos="569"/>
        </w:tabs>
        <w:rPr>
          <w:b/>
          <w:bCs/>
          <w:sz w:val="22"/>
          <w:szCs w:val="22"/>
          <w:lang w:val="sr-Latn-ME"/>
        </w:rPr>
      </w:pPr>
      <w:r w:rsidRPr="00840456">
        <w:rPr>
          <w:b/>
          <w:bCs/>
          <w:sz w:val="22"/>
          <w:szCs w:val="22"/>
          <w:lang w:val="sr-Latn-ME"/>
        </w:rPr>
        <w:t xml:space="preserve">2. </w:t>
      </w:r>
      <w:r w:rsidR="00F5167F" w:rsidRPr="00840456">
        <w:rPr>
          <w:b/>
          <w:bCs/>
          <w:sz w:val="22"/>
          <w:szCs w:val="22"/>
          <w:lang w:val="sr-Latn-ME"/>
        </w:rPr>
        <w:tab/>
      </w:r>
      <w:r w:rsidRPr="00840456">
        <w:rPr>
          <w:b/>
          <w:bCs/>
          <w:sz w:val="22"/>
          <w:szCs w:val="22"/>
          <w:lang w:val="sr-Latn-ME"/>
        </w:rPr>
        <w:t>KVALITATIVNI I KVANTITATIVNI SASTAV</w:t>
      </w:r>
    </w:p>
    <w:p w14:paraId="1DB6E331" w14:textId="77777777" w:rsidR="00AD08E5" w:rsidRPr="00840456" w:rsidRDefault="00AD08E5" w:rsidP="00F5167F">
      <w:pPr>
        <w:tabs>
          <w:tab w:val="left" w:pos="540"/>
          <w:tab w:val="left" w:pos="569"/>
        </w:tabs>
        <w:rPr>
          <w:b/>
          <w:bCs/>
          <w:sz w:val="22"/>
          <w:szCs w:val="22"/>
          <w:lang w:val="sr-Latn-ME"/>
        </w:rPr>
      </w:pPr>
    </w:p>
    <w:p w14:paraId="0012BB6E" w14:textId="77777777" w:rsidR="00AD08E5" w:rsidRPr="00840456" w:rsidRDefault="00AD08E5" w:rsidP="00AD08E5">
      <w:pPr>
        <w:widowControl w:val="0"/>
        <w:autoSpaceDE w:val="0"/>
        <w:autoSpaceDN w:val="0"/>
        <w:adjustRightInd w:val="0"/>
        <w:jc w:val="both"/>
        <w:rPr>
          <w:sz w:val="22"/>
          <w:szCs w:val="22"/>
          <w:lang w:val="sr-Latn-ME"/>
        </w:rPr>
      </w:pPr>
      <w:r w:rsidRPr="00840456">
        <w:rPr>
          <w:sz w:val="22"/>
          <w:szCs w:val="22"/>
          <w:lang w:val="sr-Latn-ME"/>
        </w:rPr>
        <w:t>Jedan napunjen injekcioni špric sadrži 50 mg etanercepta.</w:t>
      </w:r>
    </w:p>
    <w:p w14:paraId="69AD2421" w14:textId="77777777" w:rsidR="00AD08E5" w:rsidRPr="00840456" w:rsidRDefault="00AD08E5" w:rsidP="00AD08E5">
      <w:pPr>
        <w:widowControl w:val="0"/>
        <w:autoSpaceDE w:val="0"/>
        <w:autoSpaceDN w:val="0"/>
        <w:adjustRightInd w:val="0"/>
        <w:spacing w:line="228" w:lineRule="exact"/>
        <w:jc w:val="both"/>
        <w:rPr>
          <w:sz w:val="22"/>
          <w:szCs w:val="22"/>
          <w:lang w:val="sr-Latn-ME"/>
        </w:rPr>
      </w:pPr>
    </w:p>
    <w:p w14:paraId="324FF688" w14:textId="77777777" w:rsidR="00AD08E5" w:rsidRPr="00840456" w:rsidRDefault="00AD08E5" w:rsidP="00AD08E5">
      <w:pPr>
        <w:widowControl w:val="0"/>
        <w:overflowPunct w:val="0"/>
        <w:autoSpaceDE w:val="0"/>
        <w:autoSpaceDN w:val="0"/>
        <w:adjustRightInd w:val="0"/>
        <w:spacing w:line="249" w:lineRule="auto"/>
        <w:jc w:val="both"/>
        <w:rPr>
          <w:sz w:val="22"/>
          <w:szCs w:val="22"/>
          <w:lang w:val="sr-Latn-ME"/>
        </w:rPr>
      </w:pPr>
      <w:r w:rsidRPr="00840456">
        <w:rPr>
          <w:sz w:val="22"/>
          <w:szCs w:val="22"/>
          <w:lang w:val="sr-Latn-ME"/>
        </w:rPr>
        <w:t xml:space="preserve">Etanercept je humani receptor faktora nekroze tumora p75, Fc fuzioni protein dobijen rekombinantnom DNK tehnologijom u ekspresionom sistemu ćelija ovarijuma kineskog hrčka (CHO). </w:t>
      </w:r>
    </w:p>
    <w:p w14:paraId="112DD3DC" w14:textId="77777777" w:rsidR="005A0B2E" w:rsidRPr="00840456" w:rsidRDefault="005A0B2E">
      <w:pPr>
        <w:rPr>
          <w:sz w:val="22"/>
          <w:szCs w:val="22"/>
          <w:lang w:val="sr-Latn-ME"/>
        </w:rPr>
      </w:pPr>
    </w:p>
    <w:p w14:paraId="262546DC" w14:textId="77777777" w:rsidR="0003793F" w:rsidRPr="00840456" w:rsidRDefault="0003793F">
      <w:pPr>
        <w:rPr>
          <w:sz w:val="22"/>
          <w:szCs w:val="22"/>
          <w:lang w:val="sr-Latn-ME"/>
        </w:rPr>
      </w:pPr>
      <w:r w:rsidRPr="00840456">
        <w:rPr>
          <w:sz w:val="22"/>
          <w:szCs w:val="22"/>
          <w:lang w:val="sr-Latn-ME"/>
        </w:rPr>
        <w:t>Za spisak svih ekscipijenasa, pogledati dio 6.1.</w:t>
      </w:r>
    </w:p>
    <w:p w14:paraId="78B5D9CB" w14:textId="77777777" w:rsidR="00C37FD7" w:rsidRPr="00840456" w:rsidRDefault="00C37FD7">
      <w:pPr>
        <w:rPr>
          <w:sz w:val="22"/>
          <w:szCs w:val="22"/>
          <w:lang w:val="sr-Latn-ME"/>
        </w:rPr>
      </w:pPr>
    </w:p>
    <w:p w14:paraId="331217B2" w14:textId="77777777" w:rsidR="00984BA9" w:rsidRPr="00840456" w:rsidRDefault="00984BA9">
      <w:pPr>
        <w:rPr>
          <w:sz w:val="22"/>
          <w:szCs w:val="22"/>
          <w:lang w:val="sr-Latn-ME"/>
        </w:rPr>
      </w:pPr>
    </w:p>
    <w:p w14:paraId="73714870" w14:textId="77777777" w:rsidR="00411B4B" w:rsidRPr="00840456" w:rsidRDefault="00411B4B" w:rsidP="00F5167F">
      <w:pPr>
        <w:tabs>
          <w:tab w:val="left" w:pos="540"/>
          <w:tab w:val="left" w:pos="569"/>
        </w:tabs>
        <w:rPr>
          <w:b/>
          <w:bCs/>
          <w:sz w:val="22"/>
          <w:szCs w:val="22"/>
          <w:lang w:val="sr-Latn-ME"/>
        </w:rPr>
      </w:pPr>
      <w:r w:rsidRPr="00840456">
        <w:rPr>
          <w:b/>
          <w:bCs/>
          <w:sz w:val="22"/>
          <w:szCs w:val="22"/>
          <w:lang w:val="sr-Latn-ME"/>
        </w:rPr>
        <w:t xml:space="preserve">3. </w:t>
      </w:r>
      <w:r w:rsidR="00F5167F" w:rsidRPr="00840456">
        <w:rPr>
          <w:b/>
          <w:bCs/>
          <w:sz w:val="22"/>
          <w:szCs w:val="22"/>
          <w:lang w:val="sr-Latn-ME"/>
        </w:rPr>
        <w:tab/>
      </w:r>
      <w:r w:rsidRPr="00840456">
        <w:rPr>
          <w:b/>
          <w:bCs/>
          <w:sz w:val="22"/>
          <w:szCs w:val="22"/>
          <w:lang w:val="sr-Latn-ME"/>
        </w:rPr>
        <w:t>FARMACEUTSKI OBLIK</w:t>
      </w:r>
      <w:r w:rsidR="009F2D23" w:rsidRPr="00840456">
        <w:rPr>
          <w:b/>
          <w:bCs/>
          <w:sz w:val="22"/>
          <w:szCs w:val="22"/>
          <w:lang w:val="sr-Latn-ME"/>
        </w:rPr>
        <w:t xml:space="preserve"> </w:t>
      </w:r>
    </w:p>
    <w:p w14:paraId="5BF4EF17" w14:textId="77777777" w:rsidR="00411B4B" w:rsidRPr="00840456" w:rsidRDefault="00411B4B">
      <w:pPr>
        <w:rPr>
          <w:bCs/>
          <w:sz w:val="22"/>
          <w:szCs w:val="22"/>
          <w:lang w:val="sr-Latn-ME"/>
        </w:rPr>
      </w:pPr>
    </w:p>
    <w:p w14:paraId="71B5992C" w14:textId="77777777" w:rsidR="00AD08E5" w:rsidRPr="00840456" w:rsidRDefault="00AD08E5" w:rsidP="00AD08E5">
      <w:pPr>
        <w:widowControl w:val="0"/>
        <w:autoSpaceDE w:val="0"/>
        <w:autoSpaceDN w:val="0"/>
        <w:adjustRightInd w:val="0"/>
        <w:jc w:val="both"/>
        <w:rPr>
          <w:sz w:val="22"/>
          <w:szCs w:val="22"/>
          <w:lang w:val="sr-Latn-ME"/>
        </w:rPr>
      </w:pPr>
      <w:r w:rsidRPr="00840456">
        <w:rPr>
          <w:sz w:val="22"/>
          <w:szCs w:val="22"/>
          <w:lang w:val="sr-Latn-ME"/>
        </w:rPr>
        <w:t>Rastvor za injekciju u napunjenom injekcionom špricu.</w:t>
      </w:r>
    </w:p>
    <w:p w14:paraId="5EC221DF" w14:textId="77777777" w:rsidR="00AD08E5" w:rsidRPr="00840456" w:rsidRDefault="00AD08E5" w:rsidP="00AD08E5">
      <w:pPr>
        <w:widowControl w:val="0"/>
        <w:autoSpaceDE w:val="0"/>
        <w:autoSpaceDN w:val="0"/>
        <w:adjustRightInd w:val="0"/>
        <w:spacing w:line="26" w:lineRule="exact"/>
        <w:jc w:val="both"/>
        <w:rPr>
          <w:sz w:val="22"/>
          <w:szCs w:val="22"/>
          <w:lang w:val="sr-Latn-ME"/>
        </w:rPr>
      </w:pPr>
    </w:p>
    <w:p w14:paraId="17A48500" w14:textId="77777777" w:rsidR="00AD08E5" w:rsidRPr="00840456" w:rsidRDefault="00AD08E5" w:rsidP="00AD08E5">
      <w:pPr>
        <w:tabs>
          <w:tab w:val="left" w:pos="540"/>
          <w:tab w:val="left" w:pos="569"/>
        </w:tabs>
        <w:rPr>
          <w:color w:val="000000"/>
          <w:sz w:val="22"/>
          <w:szCs w:val="22"/>
          <w:lang w:val="sr-Latn-ME"/>
        </w:rPr>
      </w:pPr>
      <w:r w:rsidRPr="00840456">
        <w:rPr>
          <w:sz w:val="22"/>
          <w:szCs w:val="22"/>
          <w:lang w:val="sr-Latn-ME"/>
        </w:rPr>
        <w:t xml:space="preserve">Rastvor za injekciju je bistar, bezbojan </w:t>
      </w:r>
      <w:r w:rsidRPr="00840456">
        <w:rPr>
          <w:color w:val="000000"/>
          <w:sz w:val="22"/>
          <w:szCs w:val="22"/>
          <w:lang w:val="sr-Latn-ME"/>
        </w:rPr>
        <w:t>do blijedo žut ili blijedo braon.</w:t>
      </w:r>
    </w:p>
    <w:p w14:paraId="11E816CA" w14:textId="77777777" w:rsidR="00AD08E5" w:rsidRPr="00840456" w:rsidRDefault="00AD08E5" w:rsidP="00AD08E5">
      <w:pPr>
        <w:tabs>
          <w:tab w:val="left" w:pos="540"/>
          <w:tab w:val="left" w:pos="569"/>
        </w:tabs>
        <w:rPr>
          <w:color w:val="000000"/>
          <w:sz w:val="22"/>
          <w:szCs w:val="22"/>
          <w:lang w:val="sr-Latn-ME"/>
        </w:rPr>
      </w:pPr>
    </w:p>
    <w:p w14:paraId="73DC800A" w14:textId="77777777" w:rsidR="00984BA9" w:rsidRPr="00840456" w:rsidRDefault="00984BA9" w:rsidP="00AD08E5">
      <w:pPr>
        <w:tabs>
          <w:tab w:val="left" w:pos="540"/>
          <w:tab w:val="left" w:pos="569"/>
        </w:tabs>
        <w:rPr>
          <w:color w:val="000000"/>
          <w:sz w:val="22"/>
          <w:szCs w:val="22"/>
          <w:lang w:val="sr-Latn-ME"/>
        </w:rPr>
      </w:pPr>
    </w:p>
    <w:p w14:paraId="3682F663" w14:textId="1D8EFF62" w:rsidR="00411B4B" w:rsidRPr="00840456" w:rsidRDefault="00411B4B" w:rsidP="00AD08E5">
      <w:pPr>
        <w:tabs>
          <w:tab w:val="left" w:pos="540"/>
          <w:tab w:val="left" w:pos="569"/>
        </w:tabs>
        <w:rPr>
          <w:b/>
          <w:bCs/>
          <w:sz w:val="22"/>
          <w:szCs w:val="22"/>
          <w:lang w:val="sr-Latn-ME"/>
        </w:rPr>
      </w:pPr>
      <w:r w:rsidRPr="00840456">
        <w:rPr>
          <w:b/>
          <w:bCs/>
          <w:sz w:val="22"/>
          <w:szCs w:val="22"/>
          <w:lang w:val="sr-Latn-ME"/>
        </w:rPr>
        <w:t xml:space="preserve">4. </w:t>
      </w:r>
      <w:r w:rsidR="00480FB1" w:rsidRPr="00840456">
        <w:rPr>
          <w:b/>
          <w:bCs/>
          <w:sz w:val="22"/>
          <w:szCs w:val="22"/>
          <w:lang w:val="sr-Latn-ME"/>
        </w:rPr>
        <w:tab/>
      </w:r>
      <w:r w:rsidRPr="00840456">
        <w:rPr>
          <w:b/>
          <w:bCs/>
          <w:sz w:val="22"/>
          <w:szCs w:val="22"/>
          <w:lang w:val="sr-Latn-ME"/>
        </w:rPr>
        <w:t>KLINIČKI PODACI</w:t>
      </w:r>
    </w:p>
    <w:p w14:paraId="5932F514" w14:textId="77777777" w:rsidR="00CD6F02" w:rsidRPr="00840456" w:rsidRDefault="00CD6F02" w:rsidP="00480FB1">
      <w:pPr>
        <w:tabs>
          <w:tab w:val="left" w:pos="540"/>
          <w:tab w:val="left" w:pos="569"/>
        </w:tabs>
        <w:rPr>
          <w:bCs/>
          <w:sz w:val="22"/>
          <w:szCs w:val="22"/>
          <w:lang w:val="sr-Latn-ME"/>
        </w:rPr>
      </w:pPr>
    </w:p>
    <w:p w14:paraId="12F0D430" w14:textId="77777777" w:rsidR="00411B4B" w:rsidRPr="00840456" w:rsidRDefault="00411B4B" w:rsidP="00480FB1">
      <w:pPr>
        <w:tabs>
          <w:tab w:val="left" w:pos="540"/>
          <w:tab w:val="left" w:pos="569"/>
        </w:tabs>
        <w:rPr>
          <w:b/>
          <w:bCs/>
          <w:sz w:val="22"/>
          <w:szCs w:val="22"/>
          <w:lang w:val="sr-Latn-ME"/>
        </w:rPr>
      </w:pPr>
      <w:r w:rsidRPr="00840456">
        <w:rPr>
          <w:b/>
          <w:bCs/>
          <w:sz w:val="22"/>
          <w:szCs w:val="22"/>
          <w:lang w:val="sr-Latn-ME"/>
        </w:rPr>
        <w:t xml:space="preserve">4.1. </w:t>
      </w:r>
      <w:r w:rsidR="00480FB1" w:rsidRPr="00840456">
        <w:rPr>
          <w:b/>
          <w:bCs/>
          <w:sz w:val="22"/>
          <w:szCs w:val="22"/>
          <w:lang w:val="sr-Latn-ME"/>
        </w:rPr>
        <w:tab/>
      </w:r>
      <w:r w:rsidRPr="00840456">
        <w:rPr>
          <w:b/>
          <w:bCs/>
          <w:sz w:val="22"/>
          <w:szCs w:val="22"/>
          <w:lang w:val="sr-Latn-ME"/>
        </w:rPr>
        <w:t>Terapijske indikacije</w:t>
      </w:r>
    </w:p>
    <w:p w14:paraId="717B747A" w14:textId="77777777" w:rsidR="00AD08E5" w:rsidRPr="00840456" w:rsidRDefault="00AD08E5" w:rsidP="00480FB1">
      <w:pPr>
        <w:tabs>
          <w:tab w:val="left" w:pos="540"/>
          <w:tab w:val="left" w:pos="569"/>
        </w:tabs>
        <w:rPr>
          <w:b/>
          <w:bCs/>
          <w:sz w:val="22"/>
          <w:szCs w:val="22"/>
          <w:lang w:val="sr-Latn-ME"/>
        </w:rPr>
      </w:pPr>
    </w:p>
    <w:p w14:paraId="040C2FD2"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sz w:val="22"/>
          <w:szCs w:val="22"/>
          <w:u w:val="single"/>
          <w:lang w:val="sr-Latn-ME"/>
        </w:rPr>
        <w:t>Reumatoidni artritis</w:t>
      </w:r>
    </w:p>
    <w:p w14:paraId="629334CC" w14:textId="77777777" w:rsidR="00AD08E5" w:rsidRPr="00840456" w:rsidRDefault="00AD08E5" w:rsidP="00AD08E5">
      <w:pPr>
        <w:widowControl w:val="0"/>
        <w:autoSpaceDE w:val="0"/>
        <w:autoSpaceDN w:val="0"/>
        <w:adjustRightInd w:val="0"/>
        <w:jc w:val="both"/>
        <w:rPr>
          <w:sz w:val="22"/>
          <w:szCs w:val="22"/>
          <w:lang w:val="sr-Latn-ME"/>
        </w:rPr>
      </w:pPr>
    </w:p>
    <w:p w14:paraId="445D6813" w14:textId="77777777" w:rsidR="00AD08E5" w:rsidRPr="00840456" w:rsidRDefault="00AD08E5" w:rsidP="00AD08E5">
      <w:pPr>
        <w:widowControl w:val="0"/>
        <w:overflowPunct w:val="0"/>
        <w:autoSpaceDE w:val="0"/>
        <w:autoSpaceDN w:val="0"/>
        <w:adjustRightInd w:val="0"/>
        <w:spacing w:line="247" w:lineRule="auto"/>
        <w:jc w:val="both"/>
        <w:rPr>
          <w:sz w:val="22"/>
          <w:szCs w:val="22"/>
          <w:lang w:val="sr-Latn-ME"/>
        </w:rPr>
      </w:pPr>
      <w:r w:rsidRPr="00840456">
        <w:rPr>
          <w:sz w:val="22"/>
          <w:szCs w:val="22"/>
          <w:lang w:val="sr-Latn-ME"/>
        </w:rPr>
        <w:t>Lijek Enbrel, u kombinaciji sa metotreksatom, je indikovan za terapiju umjerenog do teškog aktivnog reumatoidnog artritisa kod odraslih kada nema adekvatnog odgovora na antireumatske ljekove koji mijenjaju tok bolesti (DMARDs), uključujući metotreksat (ukoliko nije kontraindikovan).</w:t>
      </w:r>
    </w:p>
    <w:p w14:paraId="4E6E854E" w14:textId="77777777" w:rsidR="00AD08E5" w:rsidRPr="00840456" w:rsidRDefault="00AD08E5" w:rsidP="00AD08E5">
      <w:pPr>
        <w:widowControl w:val="0"/>
        <w:autoSpaceDE w:val="0"/>
        <w:autoSpaceDN w:val="0"/>
        <w:adjustRightInd w:val="0"/>
        <w:spacing w:line="214" w:lineRule="exact"/>
        <w:jc w:val="both"/>
        <w:rPr>
          <w:sz w:val="22"/>
          <w:szCs w:val="22"/>
          <w:lang w:val="sr-Latn-ME"/>
        </w:rPr>
      </w:pPr>
    </w:p>
    <w:p w14:paraId="00FCEA77" w14:textId="77777777" w:rsidR="00AD08E5" w:rsidRPr="00840456" w:rsidRDefault="00AD08E5" w:rsidP="00AD08E5">
      <w:pPr>
        <w:pStyle w:val="Header"/>
        <w:tabs>
          <w:tab w:val="left" w:pos="284"/>
        </w:tabs>
        <w:jc w:val="both"/>
        <w:rPr>
          <w:sz w:val="22"/>
          <w:szCs w:val="22"/>
          <w:lang w:val="sr-Latn-ME"/>
        </w:rPr>
      </w:pPr>
      <w:r w:rsidRPr="00840456">
        <w:rPr>
          <w:sz w:val="22"/>
          <w:szCs w:val="22"/>
          <w:lang w:val="sr-Latn-ME"/>
        </w:rPr>
        <w:t xml:space="preserve">Lijek Enbrel se može primijeniti kao monoterapija u slučaju da postoji netolerancija na metotreksat, ili kada dalje liječenje metotreksatom nije odgovarajuće. </w:t>
      </w:r>
    </w:p>
    <w:p w14:paraId="01BB84A4" w14:textId="77777777" w:rsidR="00AD08E5" w:rsidRPr="00840456" w:rsidRDefault="00AD08E5" w:rsidP="00AD08E5">
      <w:pPr>
        <w:pStyle w:val="Header"/>
        <w:tabs>
          <w:tab w:val="left" w:pos="284"/>
        </w:tabs>
        <w:jc w:val="both"/>
        <w:rPr>
          <w:sz w:val="22"/>
          <w:szCs w:val="22"/>
          <w:lang w:val="sr-Latn-ME"/>
        </w:rPr>
      </w:pPr>
    </w:p>
    <w:p w14:paraId="11DC3DE8" w14:textId="77777777" w:rsidR="00AD08E5" w:rsidRPr="00840456" w:rsidRDefault="00AD08E5" w:rsidP="00AD08E5">
      <w:pPr>
        <w:widowControl w:val="0"/>
        <w:overflowPunct w:val="0"/>
        <w:autoSpaceDE w:val="0"/>
        <w:autoSpaceDN w:val="0"/>
        <w:adjustRightInd w:val="0"/>
        <w:spacing w:line="256" w:lineRule="auto"/>
        <w:jc w:val="both"/>
        <w:rPr>
          <w:sz w:val="22"/>
          <w:szCs w:val="22"/>
          <w:lang w:val="sr-Latn-ME"/>
        </w:rPr>
      </w:pPr>
      <w:r w:rsidRPr="00840456">
        <w:rPr>
          <w:color w:val="000000"/>
          <w:sz w:val="22"/>
          <w:szCs w:val="22"/>
          <w:lang w:val="sr-Latn-ME"/>
        </w:rPr>
        <w:t>Lijek Enbrel je takođe indikovan za terapiju teškog, aktivnog i progresivnog reumatoidnog artritisa kod odraslih koji prethodno nijesu liječeni metotreksatom.</w:t>
      </w:r>
    </w:p>
    <w:p w14:paraId="493FA058" w14:textId="77777777" w:rsidR="00AD08E5" w:rsidRPr="00840456" w:rsidRDefault="00AD08E5" w:rsidP="00AD08E5">
      <w:pPr>
        <w:widowControl w:val="0"/>
        <w:autoSpaceDE w:val="0"/>
        <w:autoSpaceDN w:val="0"/>
        <w:adjustRightInd w:val="0"/>
        <w:spacing w:line="204" w:lineRule="exact"/>
        <w:jc w:val="both"/>
        <w:rPr>
          <w:sz w:val="22"/>
          <w:szCs w:val="22"/>
          <w:lang w:val="sr-Latn-ME"/>
        </w:rPr>
      </w:pPr>
    </w:p>
    <w:p w14:paraId="28F71DDC" w14:textId="77777777" w:rsidR="00AD08E5" w:rsidRPr="00840456" w:rsidRDefault="00AD08E5" w:rsidP="00AD08E5">
      <w:pPr>
        <w:widowControl w:val="0"/>
        <w:overflowPunct w:val="0"/>
        <w:autoSpaceDE w:val="0"/>
        <w:autoSpaceDN w:val="0"/>
        <w:adjustRightInd w:val="0"/>
        <w:spacing w:line="266" w:lineRule="auto"/>
        <w:jc w:val="both"/>
        <w:rPr>
          <w:sz w:val="22"/>
          <w:szCs w:val="22"/>
          <w:lang w:val="sr-Latn-ME"/>
        </w:rPr>
      </w:pPr>
      <w:r w:rsidRPr="00840456">
        <w:rPr>
          <w:color w:val="000000"/>
          <w:sz w:val="22"/>
          <w:szCs w:val="22"/>
          <w:lang w:val="sr-Latn-ME"/>
        </w:rPr>
        <w:t>Primjena lijeka Enbrel, samog ili u kombinaciji sa metotreksatom, pokazala je usporenu progresiju oštećenja zglobova, što je praćeno pomoću radiografskih snimaka, kao i poboljšanje fizičkih funkcija.</w:t>
      </w:r>
    </w:p>
    <w:p w14:paraId="2B414076" w14:textId="77777777" w:rsidR="00AD08E5" w:rsidRPr="00840456" w:rsidRDefault="00AD08E5" w:rsidP="00AD08E5">
      <w:pPr>
        <w:widowControl w:val="0"/>
        <w:autoSpaceDE w:val="0"/>
        <w:autoSpaceDN w:val="0"/>
        <w:adjustRightInd w:val="0"/>
        <w:jc w:val="both"/>
        <w:rPr>
          <w:sz w:val="22"/>
          <w:szCs w:val="22"/>
          <w:lang w:val="sr-Latn-ME"/>
        </w:rPr>
      </w:pPr>
    </w:p>
    <w:p w14:paraId="0152C9E9"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Juvenilni idiopatski artritis</w:t>
      </w:r>
    </w:p>
    <w:p w14:paraId="6018975B" w14:textId="77777777" w:rsidR="00AD08E5" w:rsidRPr="00840456" w:rsidRDefault="00AD08E5" w:rsidP="00AD08E5">
      <w:pPr>
        <w:widowControl w:val="0"/>
        <w:autoSpaceDE w:val="0"/>
        <w:autoSpaceDN w:val="0"/>
        <w:adjustRightInd w:val="0"/>
        <w:jc w:val="both"/>
        <w:rPr>
          <w:sz w:val="22"/>
          <w:szCs w:val="22"/>
          <w:lang w:val="sr-Latn-ME"/>
        </w:rPr>
      </w:pPr>
    </w:p>
    <w:p w14:paraId="2A73623E" w14:textId="77777777" w:rsidR="00AD08E5" w:rsidRPr="00840456" w:rsidRDefault="00AD08E5" w:rsidP="00AD08E5">
      <w:pPr>
        <w:widowControl w:val="0"/>
        <w:overflowPunct w:val="0"/>
        <w:autoSpaceDE w:val="0"/>
        <w:autoSpaceDN w:val="0"/>
        <w:adjustRightInd w:val="0"/>
        <w:spacing w:line="247" w:lineRule="auto"/>
        <w:jc w:val="both"/>
        <w:rPr>
          <w:sz w:val="22"/>
          <w:szCs w:val="22"/>
          <w:lang w:val="sr-Latn-ME"/>
        </w:rPr>
      </w:pPr>
      <w:r w:rsidRPr="00840456">
        <w:rPr>
          <w:color w:val="000000"/>
          <w:sz w:val="22"/>
          <w:szCs w:val="22"/>
          <w:lang w:val="sr-Latn-ME"/>
        </w:rPr>
        <w:t>Terapija poliartritisa (reumatoidni faktor pozitivan ili negativan) i proširenog oligoartritisa kod djece i adolescenata starijih od 2 godine koji nijesu imali adekvatan odgovor na metotreksat, ili koji su netolerantni na metotreksat.</w:t>
      </w:r>
    </w:p>
    <w:p w14:paraId="278C9DD8" w14:textId="77777777" w:rsidR="00AD08E5" w:rsidRPr="00840456" w:rsidRDefault="00AD08E5" w:rsidP="00AD08E5">
      <w:pPr>
        <w:widowControl w:val="0"/>
        <w:autoSpaceDE w:val="0"/>
        <w:autoSpaceDN w:val="0"/>
        <w:adjustRightInd w:val="0"/>
        <w:spacing w:line="214" w:lineRule="exact"/>
        <w:jc w:val="both"/>
        <w:rPr>
          <w:sz w:val="22"/>
          <w:szCs w:val="22"/>
          <w:lang w:val="sr-Latn-ME"/>
        </w:rPr>
      </w:pPr>
    </w:p>
    <w:p w14:paraId="58903F95" w14:textId="77777777" w:rsidR="00AD08E5" w:rsidRPr="00840456" w:rsidRDefault="00AD08E5" w:rsidP="00AD08E5">
      <w:pPr>
        <w:widowControl w:val="0"/>
        <w:overflowPunct w:val="0"/>
        <w:autoSpaceDE w:val="0"/>
        <w:autoSpaceDN w:val="0"/>
        <w:adjustRightInd w:val="0"/>
        <w:spacing w:line="261" w:lineRule="auto"/>
        <w:jc w:val="both"/>
        <w:rPr>
          <w:sz w:val="22"/>
          <w:szCs w:val="22"/>
          <w:lang w:val="sr-Latn-ME"/>
        </w:rPr>
      </w:pPr>
      <w:r w:rsidRPr="00840456">
        <w:rPr>
          <w:color w:val="000000"/>
          <w:sz w:val="22"/>
          <w:szCs w:val="22"/>
          <w:lang w:val="sr-Latn-ME"/>
        </w:rPr>
        <w:t>Liječenje psorijaznog artritisa i adolescenata uzrasta od 12 godina koji nijesu imali adekvatan odgovor na metotreksat, ili koji su netolerantni na metotreksat.</w:t>
      </w:r>
    </w:p>
    <w:p w14:paraId="30E42859" w14:textId="77777777" w:rsidR="00AD08E5" w:rsidRPr="00840456" w:rsidRDefault="00AD08E5" w:rsidP="00AD08E5">
      <w:pPr>
        <w:widowControl w:val="0"/>
        <w:autoSpaceDE w:val="0"/>
        <w:autoSpaceDN w:val="0"/>
        <w:adjustRightInd w:val="0"/>
        <w:spacing w:line="200" w:lineRule="exact"/>
        <w:jc w:val="both"/>
        <w:rPr>
          <w:sz w:val="22"/>
          <w:szCs w:val="22"/>
          <w:lang w:val="sr-Latn-ME"/>
        </w:rPr>
      </w:pPr>
    </w:p>
    <w:p w14:paraId="3BECA36B" w14:textId="2360C2D2" w:rsidR="00AD08E5" w:rsidRPr="00840456" w:rsidRDefault="00AD08E5" w:rsidP="00AD08E5">
      <w:pPr>
        <w:widowControl w:val="0"/>
        <w:overflowPunct w:val="0"/>
        <w:autoSpaceDE w:val="0"/>
        <w:autoSpaceDN w:val="0"/>
        <w:adjustRightInd w:val="0"/>
        <w:spacing w:line="266" w:lineRule="auto"/>
        <w:jc w:val="both"/>
        <w:rPr>
          <w:sz w:val="22"/>
          <w:szCs w:val="22"/>
          <w:lang w:val="sr-Latn-ME"/>
        </w:rPr>
      </w:pPr>
      <w:r w:rsidRPr="00840456">
        <w:rPr>
          <w:color w:val="000000"/>
          <w:sz w:val="22"/>
          <w:szCs w:val="22"/>
          <w:lang w:val="sr-Latn-ME"/>
        </w:rPr>
        <w:lastRenderedPageBreak/>
        <w:t xml:space="preserve">Liječenje artritisa povezanog sa entezitisom kod adolescenata starijih od 12 godina koji nijesu imali adekvatan odgovor na </w:t>
      </w:r>
      <w:r w:rsidR="0074137D" w:rsidRPr="00840456">
        <w:rPr>
          <w:color w:val="000000"/>
          <w:sz w:val="22"/>
          <w:szCs w:val="22"/>
          <w:lang w:val="sr-Latn-ME"/>
        </w:rPr>
        <w:t xml:space="preserve">konvencionalnu terapiju </w:t>
      </w:r>
      <w:r w:rsidRPr="00840456">
        <w:rPr>
          <w:color w:val="000000"/>
          <w:sz w:val="22"/>
          <w:szCs w:val="22"/>
          <w:lang w:val="sr-Latn-ME"/>
        </w:rPr>
        <w:t>ili koji su netolerantni na konvencionalnu terapiju.</w:t>
      </w:r>
    </w:p>
    <w:p w14:paraId="0046057C" w14:textId="77777777" w:rsidR="00AD08E5" w:rsidRPr="00840456" w:rsidRDefault="00AD08E5" w:rsidP="00AD08E5">
      <w:pPr>
        <w:widowControl w:val="0"/>
        <w:autoSpaceDE w:val="0"/>
        <w:autoSpaceDN w:val="0"/>
        <w:adjustRightInd w:val="0"/>
        <w:spacing w:line="255" w:lineRule="exact"/>
        <w:jc w:val="both"/>
        <w:rPr>
          <w:sz w:val="22"/>
          <w:szCs w:val="22"/>
          <w:lang w:val="sr-Latn-ME"/>
        </w:rPr>
      </w:pPr>
    </w:p>
    <w:p w14:paraId="194D0FB6"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Psorijazni artritis</w:t>
      </w:r>
    </w:p>
    <w:p w14:paraId="3C606C4C" w14:textId="77777777" w:rsidR="00AD08E5" w:rsidRPr="00840456" w:rsidRDefault="00AD08E5" w:rsidP="00AD08E5">
      <w:pPr>
        <w:widowControl w:val="0"/>
        <w:autoSpaceDE w:val="0"/>
        <w:autoSpaceDN w:val="0"/>
        <w:adjustRightInd w:val="0"/>
        <w:jc w:val="both"/>
        <w:rPr>
          <w:sz w:val="22"/>
          <w:szCs w:val="22"/>
          <w:lang w:val="sr-Latn-ME"/>
        </w:rPr>
      </w:pPr>
    </w:p>
    <w:p w14:paraId="5A2763C6" w14:textId="77777777" w:rsidR="00AD08E5" w:rsidRPr="00840456" w:rsidRDefault="00AD08E5" w:rsidP="00AD08E5">
      <w:pPr>
        <w:widowControl w:val="0"/>
        <w:overflowPunct w:val="0"/>
        <w:autoSpaceDE w:val="0"/>
        <w:autoSpaceDN w:val="0"/>
        <w:adjustRightInd w:val="0"/>
        <w:jc w:val="both"/>
        <w:rPr>
          <w:sz w:val="22"/>
          <w:szCs w:val="22"/>
          <w:lang w:val="sr-Latn-ME"/>
        </w:rPr>
      </w:pPr>
      <w:r w:rsidRPr="00840456">
        <w:rPr>
          <w:color w:val="000000"/>
          <w:sz w:val="22"/>
          <w:szCs w:val="22"/>
          <w:lang w:val="sr-Latn-ME"/>
        </w:rPr>
        <w:t>Terapija aktivnog i progresivnog psorijaznog artritisa kod odraslih kod kojih postoji neadekvatan odgovor na antireumatske ljekove koji mijenjaju tok bolesti (DMARDs). Primjena lijeka Enbrel je pokazala da dovodi do poboljšanja fizičkih funkcija kod pacijenata sa psorijaznim artritisom i smanjenja progresije perifernog oštećenja zglobova, dokazano rendgenskim snimcima kod pacijenata sa poliartikularnim simetričnim psorijaznim artritisom.</w:t>
      </w:r>
    </w:p>
    <w:p w14:paraId="342B8FE0" w14:textId="77777777" w:rsidR="00AD08E5" w:rsidRPr="00840456" w:rsidRDefault="00AD08E5" w:rsidP="00AD08E5">
      <w:pPr>
        <w:widowControl w:val="0"/>
        <w:autoSpaceDE w:val="0"/>
        <w:autoSpaceDN w:val="0"/>
        <w:adjustRightInd w:val="0"/>
        <w:spacing w:line="223" w:lineRule="exact"/>
        <w:jc w:val="both"/>
        <w:rPr>
          <w:sz w:val="22"/>
          <w:szCs w:val="22"/>
          <w:lang w:val="sr-Latn-ME"/>
        </w:rPr>
      </w:pPr>
    </w:p>
    <w:p w14:paraId="063B6244" w14:textId="77777777" w:rsidR="00AD08E5" w:rsidRPr="00840456" w:rsidRDefault="00AD08E5" w:rsidP="00AD08E5">
      <w:pPr>
        <w:tabs>
          <w:tab w:val="left" w:pos="0"/>
        </w:tabs>
        <w:jc w:val="both"/>
        <w:rPr>
          <w:sz w:val="22"/>
          <w:szCs w:val="22"/>
          <w:u w:val="single"/>
          <w:lang w:val="sr-Latn-ME"/>
        </w:rPr>
      </w:pPr>
      <w:r w:rsidRPr="00840456">
        <w:rPr>
          <w:sz w:val="22"/>
          <w:szCs w:val="22"/>
          <w:u w:val="single"/>
          <w:lang w:val="sr-Latn-ME"/>
        </w:rPr>
        <w:t xml:space="preserve">Aksijalni spondiloartritis </w:t>
      </w:r>
    </w:p>
    <w:p w14:paraId="2F356EAC" w14:textId="77777777" w:rsidR="00AD08E5" w:rsidRPr="00840456" w:rsidRDefault="00AD08E5" w:rsidP="00AD08E5">
      <w:pPr>
        <w:tabs>
          <w:tab w:val="left" w:pos="0"/>
        </w:tabs>
        <w:jc w:val="both"/>
        <w:rPr>
          <w:sz w:val="22"/>
          <w:szCs w:val="22"/>
          <w:lang w:val="sr-Latn-ME"/>
        </w:rPr>
      </w:pPr>
    </w:p>
    <w:p w14:paraId="445EF5A0" w14:textId="5BF25086" w:rsidR="00AD08E5" w:rsidRPr="00840456" w:rsidRDefault="00AD08E5" w:rsidP="00AD08E5">
      <w:pPr>
        <w:tabs>
          <w:tab w:val="left" w:pos="0"/>
        </w:tabs>
        <w:jc w:val="both"/>
        <w:rPr>
          <w:b/>
          <w:sz w:val="22"/>
          <w:szCs w:val="22"/>
          <w:lang w:val="sr-Latn-ME"/>
        </w:rPr>
      </w:pPr>
      <w:r w:rsidRPr="00840456">
        <w:rPr>
          <w:i/>
          <w:sz w:val="22"/>
          <w:szCs w:val="22"/>
          <w:lang w:val="sr-Latn-ME"/>
        </w:rPr>
        <w:t>Ankilozirajući spondilitis (AS)</w:t>
      </w:r>
    </w:p>
    <w:p w14:paraId="0A01C888" w14:textId="77777777" w:rsidR="00AD08E5" w:rsidRPr="00840456" w:rsidRDefault="00AD08E5" w:rsidP="00AD08E5">
      <w:pPr>
        <w:tabs>
          <w:tab w:val="left" w:pos="0"/>
        </w:tabs>
        <w:jc w:val="both"/>
        <w:rPr>
          <w:sz w:val="22"/>
          <w:szCs w:val="22"/>
          <w:lang w:val="sr-Latn-ME"/>
        </w:rPr>
      </w:pPr>
      <w:r w:rsidRPr="00840456">
        <w:rPr>
          <w:sz w:val="22"/>
          <w:szCs w:val="22"/>
          <w:lang w:val="sr-Latn-ME"/>
        </w:rPr>
        <w:t>Terapija teškog aktivnog ankilozirajućeg spondilitisa kod odraslih kod kojih postoji neadekvatan odgovor na konvencionalnu terapiju.</w:t>
      </w:r>
    </w:p>
    <w:p w14:paraId="0176AEE0" w14:textId="77777777" w:rsidR="00AD08E5" w:rsidRPr="00840456" w:rsidRDefault="00AD08E5" w:rsidP="00AD08E5">
      <w:pPr>
        <w:tabs>
          <w:tab w:val="left" w:pos="0"/>
        </w:tabs>
        <w:jc w:val="both"/>
        <w:rPr>
          <w:sz w:val="22"/>
          <w:szCs w:val="22"/>
          <w:lang w:val="sr-Latn-ME"/>
        </w:rPr>
      </w:pPr>
    </w:p>
    <w:p w14:paraId="411F73F5" w14:textId="77777777" w:rsidR="00AD08E5" w:rsidRPr="00840456" w:rsidRDefault="00AD08E5" w:rsidP="00AD08E5">
      <w:pPr>
        <w:tabs>
          <w:tab w:val="left" w:pos="0"/>
        </w:tabs>
        <w:jc w:val="both"/>
        <w:rPr>
          <w:i/>
          <w:sz w:val="22"/>
          <w:szCs w:val="22"/>
          <w:lang w:val="sr-Latn-ME"/>
        </w:rPr>
      </w:pPr>
      <w:r w:rsidRPr="00840456">
        <w:rPr>
          <w:i/>
          <w:sz w:val="22"/>
          <w:szCs w:val="22"/>
          <w:lang w:val="sr-Latn-ME"/>
        </w:rPr>
        <w:t>Aksijalni spondiloartritis bez radiografskog dokaza</w:t>
      </w:r>
    </w:p>
    <w:p w14:paraId="6EB05AC4" w14:textId="7A07FD18" w:rsidR="00AD08E5" w:rsidRPr="00840456" w:rsidRDefault="00AD08E5" w:rsidP="00AD08E5">
      <w:pPr>
        <w:tabs>
          <w:tab w:val="left" w:pos="0"/>
        </w:tabs>
        <w:jc w:val="both"/>
        <w:rPr>
          <w:sz w:val="22"/>
          <w:szCs w:val="22"/>
          <w:lang w:val="sr-Latn-ME"/>
        </w:rPr>
      </w:pPr>
      <w:r w:rsidRPr="00840456">
        <w:rPr>
          <w:sz w:val="22"/>
          <w:szCs w:val="22"/>
          <w:lang w:val="sr-Latn-ME"/>
        </w:rPr>
        <w:t>Liječenje odraslih pacijenata sa teškim aksijalnim spondiloartritisom bez radiografskih dokaza sa objektivnim znakovima inflamacije, na koju ukazuju povišene vrijednosti C-reaktivnog proteina (CRP) i/ili rezultati snimanja magnetnom rezonancom (MRI), a koji ni</w:t>
      </w:r>
      <w:r w:rsidR="008848CD" w:rsidRPr="00840456">
        <w:rPr>
          <w:sz w:val="22"/>
          <w:szCs w:val="22"/>
          <w:lang w:val="sr-Latn-ME"/>
        </w:rPr>
        <w:t>je</w:t>
      </w:r>
      <w:r w:rsidRPr="00840456">
        <w:rPr>
          <w:sz w:val="22"/>
          <w:szCs w:val="22"/>
          <w:lang w:val="sr-Latn-ME"/>
        </w:rPr>
        <w:t>su imali adekvatnu reakciju na nesteroidne antiinflamatorne lijekove (NSAID).</w:t>
      </w:r>
    </w:p>
    <w:p w14:paraId="7FBDEB90" w14:textId="71AB2A9F" w:rsidR="00AD08E5" w:rsidRPr="00840456" w:rsidRDefault="00AD08E5" w:rsidP="00AD08E5">
      <w:pPr>
        <w:widowControl w:val="0"/>
        <w:autoSpaceDE w:val="0"/>
        <w:autoSpaceDN w:val="0"/>
        <w:adjustRightInd w:val="0"/>
        <w:spacing w:line="201" w:lineRule="exact"/>
        <w:jc w:val="both"/>
        <w:rPr>
          <w:sz w:val="22"/>
          <w:szCs w:val="22"/>
          <w:lang w:val="sr-Latn-ME"/>
        </w:rPr>
      </w:pPr>
    </w:p>
    <w:p w14:paraId="3402F3D1"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Plak psorijaza</w:t>
      </w:r>
    </w:p>
    <w:p w14:paraId="7050602E" w14:textId="77777777" w:rsidR="00AD08E5" w:rsidRPr="00840456" w:rsidRDefault="00AD08E5" w:rsidP="00AD08E5">
      <w:pPr>
        <w:widowControl w:val="0"/>
        <w:autoSpaceDE w:val="0"/>
        <w:autoSpaceDN w:val="0"/>
        <w:adjustRightInd w:val="0"/>
        <w:jc w:val="both"/>
        <w:rPr>
          <w:sz w:val="22"/>
          <w:szCs w:val="22"/>
          <w:lang w:val="sr-Latn-ME"/>
        </w:rPr>
      </w:pPr>
    </w:p>
    <w:p w14:paraId="5686BAF2" w14:textId="7510E36D" w:rsidR="00AD08E5" w:rsidRPr="00840456" w:rsidRDefault="00AD08E5" w:rsidP="00AD08E5">
      <w:pPr>
        <w:widowControl w:val="0"/>
        <w:overflowPunct w:val="0"/>
        <w:autoSpaceDE w:val="0"/>
        <w:autoSpaceDN w:val="0"/>
        <w:adjustRightInd w:val="0"/>
        <w:spacing w:line="247" w:lineRule="auto"/>
        <w:jc w:val="both"/>
        <w:rPr>
          <w:sz w:val="22"/>
          <w:szCs w:val="22"/>
          <w:lang w:val="sr-Latn-ME"/>
        </w:rPr>
      </w:pPr>
      <w:r w:rsidRPr="00840456">
        <w:rPr>
          <w:color w:val="000000"/>
          <w:sz w:val="22"/>
          <w:szCs w:val="22"/>
          <w:lang w:val="sr-Latn-ME"/>
        </w:rPr>
        <w:t>Terapija umjerene do teške plak psorijaze kod odraslih koji ne reaguju, kod kojih su kontraindikovani, ili kod kojih se razvila netolerancija na sistemske ljekove kao što su ciklosporin, metotreksat ili na PUVA</w:t>
      </w:r>
      <w:r w:rsidR="00383459" w:rsidRPr="00840456">
        <w:rPr>
          <w:color w:val="000000"/>
          <w:sz w:val="22"/>
          <w:szCs w:val="22"/>
          <w:lang w:val="sr-Latn-ME"/>
        </w:rPr>
        <w:t xml:space="preserve"> (psoralen i ultraljubičasta-A svjetlost)</w:t>
      </w:r>
      <w:r w:rsidRPr="00840456">
        <w:rPr>
          <w:color w:val="000000"/>
          <w:sz w:val="22"/>
          <w:szCs w:val="22"/>
          <w:lang w:val="sr-Latn-ME"/>
        </w:rPr>
        <w:t xml:space="preserve"> terapiju (vidjeti </w:t>
      </w:r>
      <w:r w:rsidR="008848CD" w:rsidRPr="00840456">
        <w:rPr>
          <w:color w:val="000000"/>
          <w:sz w:val="22"/>
          <w:szCs w:val="22"/>
          <w:lang w:val="sr-Latn-ME"/>
        </w:rPr>
        <w:t>dio</w:t>
      </w:r>
      <w:r w:rsidRPr="00840456">
        <w:rPr>
          <w:color w:val="000000"/>
          <w:sz w:val="22"/>
          <w:szCs w:val="22"/>
          <w:lang w:val="sr-Latn-ME"/>
        </w:rPr>
        <w:t xml:space="preserve"> 5.1).</w:t>
      </w:r>
    </w:p>
    <w:p w14:paraId="09BEC809" w14:textId="77777777" w:rsidR="00AD08E5" w:rsidRPr="00840456" w:rsidRDefault="00AD08E5" w:rsidP="00AD08E5">
      <w:pPr>
        <w:pStyle w:val="Header"/>
        <w:tabs>
          <w:tab w:val="left" w:pos="284"/>
        </w:tabs>
        <w:jc w:val="both"/>
        <w:rPr>
          <w:sz w:val="22"/>
          <w:szCs w:val="22"/>
          <w:lang w:val="sr-Latn-ME"/>
        </w:rPr>
      </w:pPr>
    </w:p>
    <w:p w14:paraId="770CA6E1" w14:textId="77777777" w:rsidR="00AD08E5" w:rsidRPr="00840456" w:rsidRDefault="00AD08E5" w:rsidP="008848CD">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Pedijatrijska plak psorijaza</w:t>
      </w:r>
    </w:p>
    <w:p w14:paraId="3B6B0CFC" w14:textId="77777777" w:rsidR="00AD08E5" w:rsidRPr="00840456" w:rsidRDefault="00AD08E5">
      <w:pPr>
        <w:widowControl w:val="0"/>
        <w:autoSpaceDE w:val="0"/>
        <w:autoSpaceDN w:val="0"/>
        <w:adjustRightInd w:val="0"/>
        <w:jc w:val="both"/>
        <w:rPr>
          <w:sz w:val="22"/>
          <w:szCs w:val="22"/>
          <w:lang w:val="sr-Latn-ME"/>
        </w:rPr>
      </w:pPr>
    </w:p>
    <w:p w14:paraId="14DDF425" w14:textId="77777777" w:rsidR="00AD08E5" w:rsidRPr="00840456" w:rsidRDefault="00AD08E5">
      <w:pPr>
        <w:pStyle w:val="Header"/>
        <w:tabs>
          <w:tab w:val="left" w:pos="284"/>
        </w:tabs>
        <w:jc w:val="both"/>
        <w:rPr>
          <w:color w:val="000000"/>
          <w:sz w:val="22"/>
          <w:szCs w:val="22"/>
          <w:lang w:val="sr-Latn-ME"/>
        </w:rPr>
      </w:pPr>
      <w:r w:rsidRPr="00840456">
        <w:rPr>
          <w:color w:val="000000"/>
          <w:sz w:val="22"/>
          <w:szCs w:val="22"/>
          <w:lang w:val="sr-Latn-ME"/>
        </w:rPr>
        <w:t>Terapija hronične teške plak psorijaze kod djece i adolescenata starijih od 6 godina kod kojih bolest nije adekvatno kontrolisana ili kod kojih se razvila netolerancija na drugu sistemsku ili fototerapiju.</w:t>
      </w:r>
    </w:p>
    <w:p w14:paraId="3C08F9B3" w14:textId="77777777" w:rsidR="00411B4B" w:rsidRPr="00840456" w:rsidRDefault="00411B4B" w:rsidP="00480FB1">
      <w:pPr>
        <w:tabs>
          <w:tab w:val="left" w:pos="540"/>
          <w:tab w:val="left" w:pos="569"/>
        </w:tabs>
        <w:rPr>
          <w:bCs/>
          <w:sz w:val="22"/>
          <w:szCs w:val="22"/>
          <w:lang w:val="sr-Latn-ME"/>
        </w:rPr>
      </w:pPr>
    </w:p>
    <w:p w14:paraId="3F600DB6" w14:textId="77777777" w:rsidR="00411B4B" w:rsidRPr="00840456" w:rsidRDefault="00411B4B" w:rsidP="00480FB1">
      <w:pPr>
        <w:tabs>
          <w:tab w:val="left" w:pos="540"/>
          <w:tab w:val="left" w:pos="569"/>
        </w:tabs>
        <w:rPr>
          <w:b/>
          <w:bCs/>
          <w:sz w:val="22"/>
          <w:szCs w:val="22"/>
          <w:lang w:val="sr-Latn-ME"/>
        </w:rPr>
      </w:pPr>
      <w:r w:rsidRPr="00840456">
        <w:rPr>
          <w:b/>
          <w:bCs/>
          <w:sz w:val="22"/>
          <w:szCs w:val="22"/>
          <w:lang w:val="sr-Latn-ME"/>
        </w:rPr>
        <w:t xml:space="preserve">4.2. </w:t>
      </w:r>
      <w:r w:rsidR="00480FB1" w:rsidRPr="00840456">
        <w:rPr>
          <w:b/>
          <w:bCs/>
          <w:sz w:val="22"/>
          <w:szCs w:val="22"/>
          <w:lang w:val="sr-Latn-ME"/>
        </w:rPr>
        <w:tab/>
      </w:r>
      <w:r w:rsidRPr="00840456">
        <w:rPr>
          <w:b/>
          <w:bCs/>
          <w:sz w:val="22"/>
          <w:szCs w:val="22"/>
          <w:lang w:val="sr-Latn-ME"/>
        </w:rPr>
        <w:t>Doziranje i način primjene</w:t>
      </w:r>
    </w:p>
    <w:p w14:paraId="759CA9C2" w14:textId="77777777" w:rsidR="00AD08E5" w:rsidRPr="00840456" w:rsidRDefault="00AD08E5" w:rsidP="00480FB1">
      <w:pPr>
        <w:tabs>
          <w:tab w:val="left" w:pos="540"/>
          <w:tab w:val="left" w:pos="569"/>
        </w:tabs>
        <w:rPr>
          <w:b/>
          <w:bCs/>
          <w:sz w:val="22"/>
          <w:szCs w:val="22"/>
          <w:lang w:val="sr-Latn-ME"/>
        </w:rPr>
      </w:pPr>
    </w:p>
    <w:p w14:paraId="748AF4B4" w14:textId="77777777" w:rsidR="00AD08E5" w:rsidRPr="00840456" w:rsidRDefault="00AD08E5" w:rsidP="00AD08E5">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Terapiju lijekom Enbrel treba da iniciraju i nadziru ljekari specijalisti koji imaju iskustva u dijagnostikovanju i liječenju reumatoidnog artritisa, juvenilnog idiopatskog artritisa, psorijaznog artritisa, ankilozirajućeg spondilitisa, aksijalnog spondiloartritisa bez radiografskog dokaza, plak psorijaze ili pedijatrijske plak psorijaze. Pacijentima koji su na terapiji lijekom Enbrel treba dati „Karton za pacijenta“.</w:t>
      </w:r>
    </w:p>
    <w:p w14:paraId="11DAA397" w14:textId="77777777" w:rsidR="00AD08E5" w:rsidRPr="00840456" w:rsidRDefault="00AD08E5" w:rsidP="00AD08E5">
      <w:pPr>
        <w:widowControl w:val="0"/>
        <w:autoSpaceDE w:val="0"/>
        <w:autoSpaceDN w:val="0"/>
        <w:adjustRightInd w:val="0"/>
        <w:spacing w:line="221" w:lineRule="exact"/>
        <w:jc w:val="both"/>
        <w:rPr>
          <w:sz w:val="22"/>
          <w:szCs w:val="22"/>
          <w:lang w:val="sr-Latn-ME"/>
        </w:rPr>
      </w:pPr>
    </w:p>
    <w:p w14:paraId="0BC2979F" w14:textId="77777777" w:rsidR="00AD08E5" w:rsidRPr="00840456" w:rsidRDefault="00AD08E5" w:rsidP="00AD08E5">
      <w:pPr>
        <w:widowControl w:val="0"/>
        <w:autoSpaceDE w:val="0"/>
        <w:autoSpaceDN w:val="0"/>
        <w:adjustRightInd w:val="0"/>
        <w:jc w:val="both"/>
        <w:rPr>
          <w:sz w:val="22"/>
          <w:szCs w:val="22"/>
          <w:lang w:val="sr-Latn-ME"/>
        </w:rPr>
      </w:pPr>
      <w:r w:rsidRPr="00840456">
        <w:rPr>
          <w:color w:val="000000"/>
          <w:sz w:val="22"/>
          <w:szCs w:val="22"/>
          <w:lang w:val="sr-Latn-ME"/>
        </w:rPr>
        <w:t>Lijek Enbrel je dostupan u dvije jačine: 25 mg i 50 mg.</w:t>
      </w:r>
    </w:p>
    <w:p w14:paraId="62FAD61B" w14:textId="77777777" w:rsidR="0072020E" w:rsidRPr="00840456" w:rsidRDefault="0072020E" w:rsidP="00480FB1">
      <w:pPr>
        <w:tabs>
          <w:tab w:val="left" w:pos="540"/>
          <w:tab w:val="left" w:pos="569"/>
        </w:tabs>
        <w:rPr>
          <w:bCs/>
          <w:sz w:val="22"/>
          <w:szCs w:val="22"/>
          <w:lang w:val="sr-Latn-ME"/>
        </w:rPr>
      </w:pPr>
    </w:p>
    <w:p w14:paraId="4BF4C597" w14:textId="77777777" w:rsidR="00452E9D" w:rsidRPr="00840456" w:rsidRDefault="00452E9D" w:rsidP="00480FB1">
      <w:pPr>
        <w:tabs>
          <w:tab w:val="left" w:pos="540"/>
          <w:tab w:val="left" w:pos="569"/>
        </w:tabs>
        <w:rPr>
          <w:bCs/>
          <w:sz w:val="22"/>
          <w:szCs w:val="22"/>
          <w:u w:val="single"/>
          <w:lang w:val="sr-Latn-ME"/>
        </w:rPr>
      </w:pPr>
      <w:r w:rsidRPr="00840456">
        <w:rPr>
          <w:bCs/>
          <w:sz w:val="22"/>
          <w:szCs w:val="22"/>
          <w:u w:val="single"/>
          <w:lang w:val="sr-Latn-ME"/>
        </w:rPr>
        <w:t>Doziranje</w:t>
      </w:r>
    </w:p>
    <w:p w14:paraId="5F26BF3D" w14:textId="77777777" w:rsidR="00AD08E5" w:rsidRPr="00840456" w:rsidRDefault="00AD08E5" w:rsidP="00480FB1">
      <w:pPr>
        <w:tabs>
          <w:tab w:val="left" w:pos="540"/>
          <w:tab w:val="left" w:pos="569"/>
        </w:tabs>
        <w:rPr>
          <w:bCs/>
          <w:sz w:val="22"/>
          <w:szCs w:val="22"/>
          <w:u w:val="single"/>
          <w:lang w:val="sr-Latn-ME"/>
        </w:rPr>
      </w:pPr>
    </w:p>
    <w:p w14:paraId="0CD4666A" w14:textId="5C04B873" w:rsidR="00AD08E5" w:rsidRPr="00840456" w:rsidRDefault="00AD08E5" w:rsidP="00815D34">
      <w:pPr>
        <w:widowControl w:val="0"/>
        <w:autoSpaceDE w:val="0"/>
        <w:autoSpaceDN w:val="0"/>
        <w:adjustRightInd w:val="0"/>
        <w:jc w:val="both"/>
        <w:rPr>
          <w:sz w:val="22"/>
          <w:szCs w:val="22"/>
          <w:lang w:val="sr-Latn-ME"/>
        </w:rPr>
      </w:pPr>
      <w:r w:rsidRPr="00840456">
        <w:rPr>
          <w:bCs/>
          <w:i/>
          <w:iCs/>
          <w:color w:val="000000"/>
          <w:sz w:val="22"/>
          <w:szCs w:val="22"/>
          <w:lang w:val="sr-Latn-ME"/>
        </w:rPr>
        <w:t>Reumatoidni artritis</w:t>
      </w:r>
    </w:p>
    <w:p w14:paraId="4B69B464" w14:textId="3C250837" w:rsidR="00AD08E5" w:rsidRPr="00840456" w:rsidRDefault="00AD08E5" w:rsidP="00AD08E5">
      <w:pPr>
        <w:widowControl w:val="0"/>
        <w:overflowPunct w:val="0"/>
        <w:autoSpaceDE w:val="0"/>
        <w:autoSpaceDN w:val="0"/>
        <w:adjustRightInd w:val="0"/>
        <w:spacing w:line="261" w:lineRule="auto"/>
        <w:jc w:val="both"/>
        <w:rPr>
          <w:sz w:val="22"/>
          <w:szCs w:val="22"/>
          <w:lang w:val="sr-Latn-ME"/>
        </w:rPr>
      </w:pPr>
      <w:r w:rsidRPr="00840456">
        <w:rPr>
          <w:color w:val="000000"/>
          <w:sz w:val="22"/>
          <w:szCs w:val="22"/>
          <w:lang w:val="sr-Latn-ME"/>
        </w:rPr>
        <w:t xml:space="preserve">Preporučen režim doziranja lijeka Enbrel je 25 mg dva puta nedjeljno. Alternativni režim doziranja od 50 mg jednom nedjeljno se pokazao kao bezbjedan i efikasan (vidjeti </w:t>
      </w:r>
      <w:r w:rsidR="008848CD" w:rsidRPr="00840456">
        <w:rPr>
          <w:color w:val="000000"/>
          <w:sz w:val="22"/>
          <w:szCs w:val="22"/>
          <w:lang w:val="sr-Latn-ME"/>
        </w:rPr>
        <w:t>dio</w:t>
      </w:r>
      <w:r w:rsidRPr="00840456">
        <w:rPr>
          <w:color w:val="000000"/>
          <w:sz w:val="22"/>
          <w:szCs w:val="22"/>
          <w:lang w:val="sr-Latn-ME"/>
        </w:rPr>
        <w:t xml:space="preserve"> 5.1).</w:t>
      </w:r>
    </w:p>
    <w:p w14:paraId="313A4FE6" w14:textId="77777777" w:rsidR="00AD08E5" w:rsidRPr="00840456" w:rsidRDefault="00AD08E5" w:rsidP="00AD08E5">
      <w:pPr>
        <w:widowControl w:val="0"/>
        <w:autoSpaceDE w:val="0"/>
        <w:autoSpaceDN w:val="0"/>
        <w:adjustRightInd w:val="0"/>
        <w:spacing w:line="201" w:lineRule="exact"/>
        <w:jc w:val="both"/>
        <w:rPr>
          <w:sz w:val="22"/>
          <w:szCs w:val="22"/>
          <w:lang w:val="sr-Latn-ME"/>
        </w:rPr>
      </w:pPr>
    </w:p>
    <w:p w14:paraId="2517EFCA" w14:textId="77777777" w:rsidR="00AD08E5" w:rsidRPr="00840456" w:rsidRDefault="00AD08E5" w:rsidP="00AD08E5">
      <w:pPr>
        <w:tabs>
          <w:tab w:val="left" w:pos="0"/>
        </w:tabs>
        <w:jc w:val="both"/>
        <w:rPr>
          <w:sz w:val="22"/>
          <w:szCs w:val="22"/>
          <w:u w:val="single"/>
          <w:lang w:val="sr-Latn-ME"/>
        </w:rPr>
      </w:pPr>
      <w:r w:rsidRPr="00840456">
        <w:rPr>
          <w:bCs/>
          <w:i/>
          <w:iCs/>
          <w:color w:val="000000"/>
          <w:sz w:val="22"/>
          <w:szCs w:val="22"/>
          <w:lang w:val="sr-Latn-ME"/>
        </w:rPr>
        <w:t>Psorijazni artritis</w:t>
      </w:r>
      <w:r w:rsidRPr="00840456">
        <w:rPr>
          <w:sz w:val="22"/>
          <w:szCs w:val="22"/>
          <w:lang w:val="sr-Latn-ME"/>
        </w:rPr>
        <w:t xml:space="preserve">, </w:t>
      </w:r>
      <w:r w:rsidRPr="00840456">
        <w:rPr>
          <w:i/>
          <w:sz w:val="22"/>
          <w:szCs w:val="22"/>
          <w:lang w:val="sr-Latn-ME"/>
        </w:rPr>
        <w:t>ankilozirajući spondilitis i aksijalni spondiloartritis bez radiografskog dokaza</w:t>
      </w:r>
    </w:p>
    <w:p w14:paraId="2256EBEE" w14:textId="77777777" w:rsidR="00AD08E5" w:rsidRPr="00840456" w:rsidRDefault="00AD08E5" w:rsidP="00AD08E5">
      <w:pPr>
        <w:tabs>
          <w:tab w:val="left" w:pos="0"/>
        </w:tabs>
        <w:jc w:val="both"/>
        <w:rPr>
          <w:sz w:val="22"/>
          <w:szCs w:val="22"/>
          <w:lang w:val="sr-Latn-ME"/>
        </w:rPr>
      </w:pPr>
      <w:r w:rsidRPr="00840456">
        <w:rPr>
          <w:sz w:val="22"/>
          <w:szCs w:val="22"/>
          <w:lang w:val="sr-Latn-ME"/>
        </w:rPr>
        <w:t xml:space="preserve">Preporučen režim doziranja lijeka Enbrel je 25 mg dva puta nedjeljno ili 50 mg jednom nedjeljno. </w:t>
      </w:r>
    </w:p>
    <w:p w14:paraId="7BA5D13D" w14:textId="77777777" w:rsidR="00AD08E5" w:rsidRPr="00840456" w:rsidRDefault="00AD08E5" w:rsidP="00AD08E5">
      <w:pPr>
        <w:tabs>
          <w:tab w:val="left" w:pos="0"/>
        </w:tabs>
        <w:jc w:val="both"/>
        <w:rPr>
          <w:sz w:val="22"/>
          <w:szCs w:val="22"/>
          <w:lang w:val="sr-Latn-ME"/>
        </w:rPr>
      </w:pPr>
    </w:p>
    <w:p w14:paraId="235911D0" w14:textId="77777777" w:rsidR="00AD08E5" w:rsidRPr="00840456" w:rsidRDefault="00AD08E5" w:rsidP="00AD08E5">
      <w:pPr>
        <w:keepNext/>
        <w:tabs>
          <w:tab w:val="left" w:pos="567"/>
        </w:tabs>
        <w:spacing w:line="260" w:lineRule="exact"/>
        <w:ind w:left="12"/>
        <w:jc w:val="both"/>
        <w:outlineLvl w:val="3"/>
        <w:rPr>
          <w:color w:val="000000"/>
          <w:sz w:val="22"/>
          <w:szCs w:val="22"/>
          <w:lang w:val="sr-Latn-ME"/>
        </w:rPr>
      </w:pPr>
      <w:r w:rsidRPr="00840456">
        <w:rPr>
          <w:color w:val="000000"/>
          <w:sz w:val="22"/>
          <w:szCs w:val="22"/>
          <w:lang w:val="sr-Latn-ME"/>
        </w:rPr>
        <w:t>Za sve gore navedene indikacije, dostupni podaci ukazuju na to da se klinički odgovor najčešće postiže u roku od 12 nedjelja liječenja. Nastavak terapije treba pažljivo razmotriti kod pacijenta kod kojih se ne ispolji reakcija u ovom periodu.</w:t>
      </w:r>
    </w:p>
    <w:p w14:paraId="2B0D2DC2" w14:textId="77777777" w:rsidR="00AD08E5" w:rsidRPr="00840456" w:rsidRDefault="00AD08E5" w:rsidP="00AD08E5">
      <w:pPr>
        <w:widowControl w:val="0"/>
        <w:autoSpaceDE w:val="0"/>
        <w:autoSpaceDN w:val="0"/>
        <w:adjustRightInd w:val="0"/>
        <w:jc w:val="both"/>
        <w:rPr>
          <w:sz w:val="22"/>
          <w:szCs w:val="22"/>
          <w:lang w:val="sr-Latn-ME"/>
        </w:rPr>
      </w:pPr>
    </w:p>
    <w:p w14:paraId="4A328586" w14:textId="73B90A28" w:rsidR="00AD08E5" w:rsidRPr="00840456" w:rsidRDefault="00AD08E5" w:rsidP="00815D34">
      <w:pPr>
        <w:widowControl w:val="0"/>
        <w:autoSpaceDE w:val="0"/>
        <w:autoSpaceDN w:val="0"/>
        <w:adjustRightInd w:val="0"/>
        <w:jc w:val="both"/>
        <w:rPr>
          <w:sz w:val="22"/>
          <w:szCs w:val="22"/>
          <w:lang w:val="sr-Latn-ME"/>
        </w:rPr>
      </w:pPr>
      <w:r w:rsidRPr="00840456">
        <w:rPr>
          <w:bCs/>
          <w:i/>
          <w:iCs/>
          <w:color w:val="000000"/>
          <w:sz w:val="22"/>
          <w:szCs w:val="22"/>
          <w:lang w:val="sr-Latn-ME"/>
        </w:rPr>
        <w:lastRenderedPageBreak/>
        <w:t>Plak psorijaza</w:t>
      </w:r>
    </w:p>
    <w:p w14:paraId="0F39430B" w14:textId="1CC79B1E" w:rsidR="00AD08E5" w:rsidRPr="00840456" w:rsidRDefault="00AD08E5" w:rsidP="00AD08E5">
      <w:pPr>
        <w:widowControl w:val="0"/>
        <w:overflowPunct w:val="0"/>
        <w:autoSpaceDE w:val="0"/>
        <w:autoSpaceDN w:val="0"/>
        <w:adjustRightInd w:val="0"/>
        <w:spacing w:line="237" w:lineRule="auto"/>
        <w:jc w:val="both"/>
        <w:rPr>
          <w:sz w:val="22"/>
          <w:szCs w:val="22"/>
          <w:lang w:val="sr-Latn-ME"/>
        </w:rPr>
      </w:pPr>
      <w:r w:rsidRPr="00840456">
        <w:rPr>
          <w:color w:val="000000"/>
          <w:sz w:val="22"/>
          <w:szCs w:val="22"/>
          <w:lang w:val="sr-Latn-ME"/>
        </w:rPr>
        <w:t xml:space="preserve">Preporučen režim doziranja lijeka Enbrel je 25 mg dva puta nedjeljno ili 50 mg jednom nedjeljno. Alternativne doze od 50 mg dva puta nedjeljno mogu se primjenjivati najduže tokom 12 nedjelja, a zatim, ukoliko ima potrebe, može se nastaviti sa dozom od 25 mg dva puta nedjeljno ili 50 mg jednom nedjeljno. Terapija traje dok se ne postigne remisija, najduže 24 nedjelje. Kod nekih odraslih pacijenata može se razmotriti nastavak terapije, po isteku 24 nedjelje (vidjeti </w:t>
      </w:r>
      <w:r w:rsidR="008848CD" w:rsidRPr="00840456">
        <w:rPr>
          <w:color w:val="000000"/>
          <w:sz w:val="22"/>
          <w:szCs w:val="22"/>
          <w:lang w:val="sr-Latn-ME"/>
        </w:rPr>
        <w:t>dio</w:t>
      </w:r>
      <w:r w:rsidRPr="00840456">
        <w:rPr>
          <w:color w:val="000000"/>
          <w:sz w:val="22"/>
          <w:szCs w:val="22"/>
          <w:lang w:val="sr-Latn-ME"/>
        </w:rPr>
        <w:t xml:space="preserve"> 5.1). Kod pacijenata kod kojih nije primijećeno poboljšanje nakon 12. nedjelje treba obustaviti terapiju. Ukoliko je poslije pauze ponovo indikovana primjena lijeka Enbrel, treba se pridržavati istih smjernica u vezi dužine trajanja terapije. Doza je 25 mg dva puta nedjeljno ili 50 mg jednom nedjeljno.</w:t>
      </w:r>
    </w:p>
    <w:p w14:paraId="22CDBCE9" w14:textId="77777777" w:rsidR="00AD08E5" w:rsidRPr="00840456" w:rsidRDefault="00AD08E5" w:rsidP="00AD08E5">
      <w:pPr>
        <w:widowControl w:val="0"/>
        <w:autoSpaceDE w:val="0"/>
        <w:autoSpaceDN w:val="0"/>
        <w:adjustRightInd w:val="0"/>
        <w:spacing w:line="318" w:lineRule="exact"/>
        <w:jc w:val="both"/>
        <w:rPr>
          <w:sz w:val="22"/>
          <w:szCs w:val="22"/>
          <w:lang w:val="sr-Latn-ME"/>
        </w:rPr>
      </w:pPr>
    </w:p>
    <w:p w14:paraId="49D50E29" w14:textId="77777777" w:rsidR="00AD08E5" w:rsidRPr="00840456" w:rsidRDefault="00AD08E5" w:rsidP="00AD08E5">
      <w:pPr>
        <w:widowControl w:val="0"/>
        <w:autoSpaceDE w:val="0"/>
        <w:autoSpaceDN w:val="0"/>
        <w:adjustRightInd w:val="0"/>
        <w:jc w:val="both"/>
        <w:rPr>
          <w:sz w:val="22"/>
          <w:szCs w:val="22"/>
          <w:lang w:val="sr-Latn-ME"/>
        </w:rPr>
      </w:pPr>
      <w:r w:rsidRPr="00840456">
        <w:rPr>
          <w:bCs/>
          <w:color w:val="000000"/>
          <w:sz w:val="22"/>
          <w:szCs w:val="22"/>
          <w:u w:val="single"/>
          <w:lang w:val="sr-Latn-ME"/>
        </w:rPr>
        <w:t>Posebne populacije</w:t>
      </w:r>
    </w:p>
    <w:p w14:paraId="0D8D1ABB" w14:textId="77777777" w:rsidR="00AD08E5" w:rsidRPr="00840456" w:rsidRDefault="00AD08E5" w:rsidP="00AD08E5">
      <w:pPr>
        <w:widowControl w:val="0"/>
        <w:autoSpaceDE w:val="0"/>
        <w:autoSpaceDN w:val="0"/>
        <w:adjustRightInd w:val="0"/>
        <w:spacing w:line="254" w:lineRule="exact"/>
        <w:jc w:val="both"/>
        <w:rPr>
          <w:sz w:val="22"/>
          <w:szCs w:val="22"/>
          <w:lang w:val="sr-Latn-ME"/>
        </w:rPr>
      </w:pPr>
    </w:p>
    <w:p w14:paraId="3C2DB7BD" w14:textId="309687AB" w:rsidR="00AD08E5" w:rsidRPr="00840456" w:rsidRDefault="00AD08E5" w:rsidP="00815D34">
      <w:pPr>
        <w:widowControl w:val="0"/>
        <w:autoSpaceDE w:val="0"/>
        <w:autoSpaceDN w:val="0"/>
        <w:adjustRightInd w:val="0"/>
        <w:jc w:val="both"/>
        <w:rPr>
          <w:sz w:val="22"/>
          <w:szCs w:val="22"/>
          <w:lang w:val="sr-Latn-ME"/>
        </w:rPr>
      </w:pPr>
      <w:r w:rsidRPr="00840456">
        <w:rPr>
          <w:bCs/>
          <w:i/>
          <w:iCs/>
          <w:color w:val="000000"/>
          <w:sz w:val="22"/>
          <w:szCs w:val="22"/>
          <w:lang w:val="sr-Latn-ME"/>
        </w:rPr>
        <w:t>Poremećaj funkcije jetre i bubrega</w:t>
      </w:r>
    </w:p>
    <w:p w14:paraId="40EE9392" w14:textId="77777777" w:rsidR="00AD08E5" w:rsidRPr="00840456" w:rsidRDefault="00AD08E5" w:rsidP="00AD08E5">
      <w:pPr>
        <w:widowControl w:val="0"/>
        <w:autoSpaceDE w:val="0"/>
        <w:autoSpaceDN w:val="0"/>
        <w:adjustRightInd w:val="0"/>
        <w:jc w:val="both"/>
        <w:rPr>
          <w:sz w:val="22"/>
          <w:szCs w:val="22"/>
          <w:lang w:val="sr-Latn-ME"/>
        </w:rPr>
      </w:pPr>
      <w:r w:rsidRPr="00840456">
        <w:rPr>
          <w:color w:val="000000"/>
          <w:sz w:val="22"/>
          <w:szCs w:val="22"/>
          <w:lang w:val="sr-Latn-ME"/>
        </w:rPr>
        <w:t>Nije potrebno prilagođavanje doze.</w:t>
      </w:r>
    </w:p>
    <w:p w14:paraId="1BA00D93" w14:textId="77777777" w:rsidR="00AD08E5" w:rsidRPr="00840456" w:rsidRDefault="00AD08E5" w:rsidP="00AD08E5">
      <w:pPr>
        <w:widowControl w:val="0"/>
        <w:autoSpaceDE w:val="0"/>
        <w:autoSpaceDN w:val="0"/>
        <w:adjustRightInd w:val="0"/>
        <w:spacing w:line="250" w:lineRule="exact"/>
        <w:jc w:val="both"/>
        <w:rPr>
          <w:sz w:val="22"/>
          <w:szCs w:val="22"/>
          <w:lang w:val="sr-Latn-ME"/>
        </w:rPr>
      </w:pPr>
    </w:p>
    <w:p w14:paraId="66358975" w14:textId="77777777" w:rsidR="00AD08E5" w:rsidRPr="00840456" w:rsidRDefault="00AD08E5" w:rsidP="00AD08E5">
      <w:pPr>
        <w:widowControl w:val="0"/>
        <w:autoSpaceDE w:val="0"/>
        <w:autoSpaceDN w:val="0"/>
        <w:adjustRightInd w:val="0"/>
        <w:jc w:val="both"/>
        <w:rPr>
          <w:sz w:val="22"/>
          <w:szCs w:val="22"/>
          <w:lang w:val="sr-Latn-ME"/>
        </w:rPr>
      </w:pPr>
      <w:r w:rsidRPr="00840456">
        <w:rPr>
          <w:i/>
          <w:color w:val="000000"/>
          <w:kern w:val="28"/>
          <w:sz w:val="22"/>
          <w:szCs w:val="22"/>
          <w:lang w:val="sr-Latn-ME"/>
        </w:rPr>
        <w:t>Starije osobe</w:t>
      </w:r>
    </w:p>
    <w:p w14:paraId="756FC60B" w14:textId="7B039B3C" w:rsidR="00AD08E5" w:rsidRPr="00840456" w:rsidRDefault="00AD08E5" w:rsidP="00AD08E5">
      <w:pPr>
        <w:pStyle w:val="Header"/>
        <w:tabs>
          <w:tab w:val="left" w:pos="284"/>
        </w:tabs>
        <w:spacing w:before="80" w:after="80"/>
        <w:jc w:val="both"/>
        <w:rPr>
          <w:color w:val="000000"/>
          <w:sz w:val="22"/>
          <w:szCs w:val="22"/>
          <w:lang w:val="sr-Latn-ME"/>
        </w:rPr>
      </w:pPr>
      <w:r w:rsidRPr="00840456">
        <w:rPr>
          <w:color w:val="000000"/>
          <w:sz w:val="22"/>
          <w:szCs w:val="22"/>
          <w:lang w:val="sr-Latn-ME"/>
        </w:rPr>
        <w:t xml:space="preserve">Nije potrebno prilagođavanje doza. Doziranje i način primjene isti su kao kod odraslih od 18 do 64 godina starosti. </w:t>
      </w:r>
    </w:p>
    <w:p w14:paraId="0D29BAAA" w14:textId="19DF86B0" w:rsidR="00AD08E5" w:rsidRPr="00840456" w:rsidRDefault="00AD08E5" w:rsidP="00815D34">
      <w:pPr>
        <w:widowControl w:val="0"/>
        <w:autoSpaceDE w:val="0"/>
        <w:autoSpaceDN w:val="0"/>
        <w:adjustRightInd w:val="0"/>
        <w:jc w:val="both"/>
        <w:rPr>
          <w:sz w:val="22"/>
          <w:szCs w:val="22"/>
          <w:lang w:val="sr-Latn-ME"/>
        </w:rPr>
      </w:pPr>
      <w:r w:rsidRPr="00840456">
        <w:rPr>
          <w:bCs/>
          <w:i/>
          <w:iCs/>
          <w:color w:val="000000"/>
          <w:sz w:val="22"/>
          <w:szCs w:val="22"/>
          <w:lang w:val="sr-Latn-ME"/>
        </w:rPr>
        <w:t>Pedijatrijska upotreba</w:t>
      </w:r>
    </w:p>
    <w:p w14:paraId="14EABD5D" w14:textId="77777777" w:rsidR="00AD08E5" w:rsidRPr="00840456" w:rsidRDefault="00AD08E5" w:rsidP="00AD08E5">
      <w:pPr>
        <w:widowControl w:val="0"/>
        <w:overflowPunct w:val="0"/>
        <w:autoSpaceDE w:val="0"/>
        <w:autoSpaceDN w:val="0"/>
        <w:adjustRightInd w:val="0"/>
        <w:jc w:val="both"/>
        <w:rPr>
          <w:color w:val="000000"/>
          <w:sz w:val="22"/>
          <w:szCs w:val="22"/>
          <w:lang w:val="sr-Latn-ME"/>
        </w:rPr>
      </w:pPr>
      <w:r w:rsidRPr="00840456">
        <w:rPr>
          <w:color w:val="000000"/>
          <w:sz w:val="22"/>
          <w:szCs w:val="22"/>
          <w:lang w:val="sr-Latn-ME"/>
        </w:rPr>
        <w:t>Doziranje lijeka Enbrel određuje se na osnovu tjelesne mase pedijatrijskih pacijenta. Pacijentima tjelesne mase manje od 62,5 kg treba davati preciznu dozu na osnovu mg/kg koristeći prašak i rastvarač za pripremu injekcije ili prašak za rastvor za pripremu injekcije (vidjeti ispod). Pacijenti, tjelesne mase 62,5 kg i više, mogu koristiti fiksne doze napunjenog injekcionog šprica.</w:t>
      </w:r>
    </w:p>
    <w:p w14:paraId="0C6F55B5" w14:textId="77777777" w:rsidR="00AD08E5" w:rsidRPr="00840456" w:rsidRDefault="00AD08E5" w:rsidP="00AD08E5">
      <w:pPr>
        <w:widowControl w:val="0"/>
        <w:overflowPunct w:val="0"/>
        <w:autoSpaceDE w:val="0"/>
        <w:autoSpaceDN w:val="0"/>
        <w:adjustRightInd w:val="0"/>
        <w:jc w:val="both"/>
        <w:rPr>
          <w:color w:val="000000"/>
          <w:sz w:val="22"/>
          <w:szCs w:val="22"/>
          <w:lang w:val="sr-Latn-ME"/>
        </w:rPr>
      </w:pPr>
    </w:p>
    <w:p w14:paraId="2637A7B8" w14:textId="77777777" w:rsidR="00AD08E5" w:rsidRPr="00840456" w:rsidRDefault="00AD08E5" w:rsidP="00AD08E5">
      <w:pPr>
        <w:tabs>
          <w:tab w:val="left" w:pos="0"/>
        </w:tabs>
        <w:jc w:val="both"/>
        <w:rPr>
          <w:sz w:val="22"/>
          <w:szCs w:val="22"/>
          <w:lang w:val="sr-Latn-ME"/>
        </w:rPr>
      </w:pPr>
      <w:r w:rsidRPr="00840456">
        <w:rPr>
          <w:sz w:val="22"/>
          <w:szCs w:val="22"/>
          <w:lang w:val="sr-Latn-ME"/>
        </w:rPr>
        <w:t>Bezbjednost i efikasnost lijeka Enbrel kod djece mlađe od 2 godine nijesu utvrđene.</w:t>
      </w:r>
    </w:p>
    <w:p w14:paraId="402A02B4" w14:textId="77777777" w:rsidR="00AD08E5" w:rsidRPr="00840456" w:rsidRDefault="00AD08E5" w:rsidP="00AD08E5">
      <w:pPr>
        <w:tabs>
          <w:tab w:val="left" w:pos="0"/>
        </w:tabs>
        <w:jc w:val="both"/>
        <w:rPr>
          <w:sz w:val="22"/>
          <w:szCs w:val="22"/>
          <w:lang w:val="sr-Latn-ME"/>
        </w:rPr>
      </w:pPr>
      <w:r w:rsidRPr="00840456">
        <w:rPr>
          <w:sz w:val="22"/>
          <w:szCs w:val="22"/>
          <w:lang w:val="sr-Latn-ME"/>
        </w:rPr>
        <w:t>Nema dostupnih podataka.</w:t>
      </w:r>
    </w:p>
    <w:p w14:paraId="26B68A76" w14:textId="77777777" w:rsidR="00AD08E5" w:rsidRPr="00840456" w:rsidRDefault="00AD08E5" w:rsidP="00AD08E5">
      <w:pPr>
        <w:widowControl w:val="0"/>
        <w:autoSpaceDE w:val="0"/>
        <w:autoSpaceDN w:val="0"/>
        <w:adjustRightInd w:val="0"/>
        <w:spacing w:line="222" w:lineRule="exact"/>
        <w:jc w:val="both"/>
        <w:rPr>
          <w:sz w:val="22"/>
          <w:szCs w:val="22"/>
          <w:lang w:val="sr-Latn-ME"/>
        </w:rPr>
      </w:pPr>
    </w:p>
    <w:p w14:paraId="1745B13F" w14:textId="2F3EC011" w:rsidR="00AD08E5" w:rsidRPr="00840456" w:rsidRDefault="00AD08E5" w:rsidP="00815D34">
      <w:pPr>
        <w:widowControl w:val="0"/>
        <w:autoSpaceDE w:val="0"/>
        <w:autoSpaceDN w:val="0"/>
        <w:adjustRightInd w:val="0"/>
        <w:jc w:val="both"/>
        <w:rPr>
          <w:sz w:val="22"/>
          <w:szCs w:val="22"/>
          <w:lang w:val="sr-Latn-ME"/>
        </w:rPr>
      </w:pPr>
      <w:r w:rsidRPr="00840456">
        <w:rPr>
          <w:bCs/>
          <w:color w:val="000000"/>
          <w:sz w:val="22"/>
          <w:szCs w:val="22"/>
          <w:u w:val="single"/>
          <w:lang w:val="sr-Latn-ME"/>
        </w:rPr>
        <w:t>Juvenilni idiopatski artritis</w:t>
      </w:r>
    </w:p>
    <w:p w14:paraId="67AD7E3F" w14:textId="155B1383" w:rsidR="00AD08E5" w:rsidRPr="00840456" w:rsidRDefault="00AD08E5" w:rsidP="00AD08E5">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Preporučena doza je 0,4 mg/kg (do maksimalnih 25 mg po dozi), daje se dva puta nedjeljno u vidu subkutane injekcije, sa intervalom od 3 do 4 dana između doza ili 0,8 mg/kg (do maksimalnih 50 mg po dozi) jednom nedjeljno. Potrebno je razmotriti prekid terapije kod pacijenata kod kojih se ne zabilježi pozitivan odgovor nakon 4 mjeseca.</w:t>
      </w:r>
    </w:p>
    <w:p w14:paraId="05D13838" w14:textId="77777777" w:rsidR="00AD08E5" w:rsidRPr="00840456" w:rsidRDefault="00AD08E5" w:rsidP="00AD08E5">
      <w:pPr>
        <w:widowControl w:val="0"/>
        <w:autoSpaceDE w:val="0"/>
        <w:autoSpaceDN w:val="0"/>
        <w:adjustRightInd w:val="0"/>
        <w:spacing w:line="220" w:lineRule="exact"/>
        <w:jc w:val="both"/>
        <w:rPr>
          <w:sz w:val="22"/>
          <w:szCs w:val="22"/>
          <w:lang w:val="sr-Latn-ME"/>
        </w:rPr>
      </w:pPr>
    </w:p>
    <w:p w14:paraId="46665D16" w14:textId="77777777" w:rsidR="00AD08E5" w:rsidRPr="00840456" w:rsidRDefault="00AD08E5" w:rsidP="00AD08E5">
      <w:pPr>
        <w:widowControl w:val="0"/>
        <w:autoSpaceDE w:val="0"/>
        <w:autoSpaceDN w:val="0"/>
        <w:adjustRightInd w:val="0"/>
        <w:jc w:val="both"/>
        <w:rPr>
          <w:color w:val="000000"/>
          <w:sz w:val="22"/>
          <w:szCs w:val="22"/>
          <w:lang w:val="sr-Latn-ME"/>
        </w:rPr>
      </w:pPr>
      <w:r w:rsidRPr="00840456">
        <w:rPr>
          <w:color w:val="000000"/>
          <w:sz w:val="22"/>
          <w:szCs w:val="22"/>
          <w:lang w:val="sr-Latn-ME"/>
        </w:rPr>
        <w:t>Kod djece sa JIA tjelesne mase manje od 25 kg, potrebno je koristiti jačinu od 10 mg.</w:t>
      </w:r>
    </w:p>
    <w:p w14:paraId="600DFD4A" w14:textId="77777777" w:rsidR="00AD08E5" w:rsidRPr="00840456" w:rsidRDefault="00AD08E5" w:rsidP="00AD08E5">
      <w:pPr>
        <w:widowControl w:val="0"/>
        <w:autoSpaceDE w:val="0"/>
        <w:autoSpaceDN w:val="0"/>
        <w:adjustRightInd w:val="0"/>
        <w:jc w:val="both"/>
        <w:rPr>
          <w:color w:val="000000"/>
          <w:sz w:val="22"/>
          <w:szCs w:val="22"/>
          <w:lang w:val="sr-Latn-ME"/>
        </w:rPr>
      </w:pPr>
    </w:p>
    <w:p w14:paraId="76778172" w14:textId="4D52B798" w:rsidR="00082AA0" w:rsidRPr="00840456" w:rsidRDefault="00082AA0" w:rsidP="00082AA0">
      <w:pPr>
        <w:tabs>
          <w:tab w:val="left" w:pos="0"/>
        </w:tabs>
        <w:jc w:val="both"/>
        <w:rPr>
          <w:sz w:val="22"/>
          <w:szCs w:val="22"/>
          <w:lang w:val="sr-Latn-ME"/>
        </w:rPr>
      </w:pPr>
      <w:r w:rsidRPr="00840456">
        <w:rPr>
          <w:sz w:val="22"/>
          <w:szCs w:val="22"/>
          <w:lang w:val="sr-Latn-ME"/>
        </w:rPr>
        <w:t>Lijek Enbrel u obliku praška i rastvarača za rastvor za injekciju u pakovanju od 10 mg nije registrovan u Crnoj Gori.</w:t>
      </w:r>
    </w:p>
    <w:p w14:paraId="13BAFA18" w14:textId="1DD4ECA1" w:rsidR="00AD08E5" w:rsidRPr="00840456" w:rsidRDefault="00AD08E5" w:rsidP="00AD08E5">
      <w:pPr>
        <w:widowControl w:val="0"/>
        <w:autoSpaceDE w:val="0"/>
        <w:autoSpaceDN w:val="0"/>
        <w:adjustRightInd w:val="0"/>
        <w:jc w:val="both"/>
        <w:rPr>
          <w:sz w:val="22"/>
          <w:szCs w:val="22"/>
          <w:lang w:val="sr-Latn-ME"/>
        </w:rPr>
      </w:pPr>
    </w:p>
    <w:p w14:paraId="07192804" w14:textId="77777777" w:rsidR="00AD08E5" w:rsidRPr="00840456" w:rsidRDefault="00AD08E5" w:rsidP="00AD08E5">
      <w:pPr>
        <w:widowControl w:val="0"/>
        <w:autoSpaceDE w:val="0"/>
        <w:autoSpaceDN w:val="0"/>
        <w:adjustRightInd w:val="0"/>
        <w:spacing w:line="254" w:lineRule="exact"/>
        <w:jc w:val="both"/>
        <w:rPr>
          <w:sz w:val="22"/>
          <w:szCs w:val="22"/>
          <w:lang w:val="sr-Latn-ME"/>
        </w:rPr>
      </w:pPr>
    </w:p>
    <w:p w14:paraId="6B20C4E4" w14:textId="795A27E5" w:rsidR="00AD08E5" w:rsidRPr="00840456" w:rsidRDefault="00AD08E5" w:rsidP="00AD08E5">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 xml:space="preserve">Nema formalnih kliničkih ispitivanja kod djece uzrasta od 2 do 3 godine. Međutim, ograničeni podaci o bezbjednosti iz registra pacijenata sugerišu da je bezbjednosni profil kod djece od 2 do 3 godine starosti sličan kao i kod odraslih i djece uzrasta od 4 godine i starije, kada se dozira svake nedjelje 0,8 mg/kg subkutano (vidjeti </w:t>
      </w:r>
      <w:r w:rsidR="001B76B8" w:rsidRPr="00840456">
        <w:rPr>
          <w:color w:val="000000"/>
          <w:sz w:val="22"/>
          <w:szCs w:val="22"/>
          <w:lang w:val="sr-Latn-ME"/>
        </w:rPr>
        <w:t>dio</w:t>
      </w:r>
      <w:r w:rsidRPr="00840456">
        <w:rPr>
          <w:color w:val="000000"/>
          <w:sz w:val="22"/>
          <w:szCs w:val="22"/>
          <w:lang w:val="sr-Latn-ME"/>
        </w:rPr>
        <w:t xml:space="preserve"> 5.1.).</w:t>
      </w:r>
    </w:p>
    <w:p w14:paraId="632E5BCF" w14:textId="77777777" w:rsidR="00AD08E5" w:rsidRPr="00840456" w:rsidRDefault="00AD08E5" w:rsidP="00AD08E5">
      <w:pPr>
        <w:widowControl w:val="0"/>
        <w:autoSpaceDE w:val="0"/>
        <w:autoSpaceDN w:val="0"/>
        <w:adjustRightInd w:val="0"/>
        <w:spacing w:line="221" w:lineRule="exact"/>
        <w:jc w:val="both"/>
        <w:rPr>
          <w:sz w:val="22"/>
          <w:szCs w:val="22"/>
          <w:lang w:val="sr-Latn-ME"/>
        </w:rPr>
      </w:pPr>
    </w:p>
    <w:p w14:paraId="0484ED25" w14:textId="77777777" w:rsidR="00AD08E5" w:rsidRPr="00840456" w:rsidRDefault="00AD08E5" w:rsidP="00AD08E5">
      <w:pPr>
        <w:widowControl w:val="0"/>
        <w:autoSpaceDE w:val="0"/>
        <w:autoSpaceDN w:val="0"/>
        <w:adjustRightInd w:val="0"/>
        <w:jc w:val="both"/>
        <w:rPr>
          <w:sz w:val="22"/>
          <w:szCs w:val="22"/>
          <w:lang w:val="sr-Latn-ME"/>
        </w:rPr>
      </w:pPr>
      <w:r w:rsidRPr="00840456">
        <w:rPr>
          <w:color w:val="000000"/>
          <w:sz w:val="22"/>
          <w:szCs w:val="22"/>
          <w:lang w:val="sr-Latn-ME"/>
        </w:rPr>
        <w:t>Primjena lijeka Enbrel, kod djece mlađe od 2 godine sa juvenilnim idiopatskim artritisom nije primjenljiva.</w:t>
      </w:r>
    </w:p>
    <w:p w14:paraId="7A8A48DA" w14:textId="77777777" w:rsidR="00AD08E5" w:rsidRPr="00840456" w:rsidRDefault="00AD08E5" w:rsidP="00AD08E5">
      <w:pPr>
        <w:widowControl w:val="0"/>
        <w:autoSpaceDE w:val="0"/>
        <w:autoSpaceDN w:val="0"/>
        <w:adjustRightInd w:val="0"/>
        <w:spacing w:line="321" w:lineRule="exact"/>
        <w:jc w:val="both"/>
        <w:rPr>
          <w:sz w:val="22"/>
          <w:szCs w:val="22"/>
          <w:lang w:val="sr-Latn-ME"/>
        </w:rPr>
      </w:pPr>
    </w:p>
    <w:p w14:paraId="2619DE0A" w14:textId="77777777" w:rsidR="00AD08E5" w:rsidRPr="00840456" w:rsidRDefault="00AD08E5" w:rsidP="00AD08E5">
      <w:pPr>
        <w:widowControl w:val="0"/>
        <w:autoSpaceDE w:val="0"/>
        <w:autoSpaceDN w:val="0"/>
        <w:adjustRightInd w:val="0"/>
        <w:jc w:val="both"/>
        <w:rPr>
          <w:sz w:val="22"/>
          <w:szCs w:val="22"/>
          <w:lang w:val="sr-Latn-ME"/>
        </w:rPr>
      </w:pPr>
      <w:r w:rsidRPr="00840456">
        <w:rPr>
          <w:bCs/>
          <w:color w:val="000000"/>
          <w:sz w:val="22"/>
          <w:szCs w:val="22"/>
          <w:lang w:val="sr-Latn-ME"/>
        </w:rPr>
        <w:t>Pedijatrijska plak psorijaza (6 godina i stariji)</w:t>
      </w:r>
    </w:p>
    <w:p w14:paraId="4967EF70" w14:textId="77777777" w:rsidR="00AD08E5" w:rsidRPr="00840456" w:rsidRDefault="00AD08E5" w:rsidP="00AD08E5">
      <w:pPr>
        <w:widowControl w:val="0"/>
        <w:autoSpaceDE w:val="0"/>
        <w:autoSpaceDN w:val="0"/>
        <w:adjustRightInd w:val="0"/>
        <w:spacing w:line="258" w:lineRule="exact"/>
        <w:jc w:val="both"/>
        <w:rPr>
          <w:sz w:val="22"/>
          <w:szCs w:val="22"/>
          <w:lang w:val="sr-Latn-ME"/>
        </w:rPr>
      </w:pPr>
    </w:p>
    <w:p w14:paraId="3359724E" w14:textId="12B968B1" w:rsidR="00AD08E5" w:rsidRPr="00840456" w:rsidRDefault="00AD08E5" w:rsidP="00AD08E5">
      <w:pPr>
        <w:widowControl w:val="0"/>
        <w:overflowPunct w:val="0"/>
        <w:autoSpaceDE w:val="0"/>
        <w:autoSpaceDN w:val="0"/>
        <w:adjustRightInd w:val="0"/>
        <w:spacing w:line="247" w:lineRule="auto"/>
        <w:jc w:val="both"/>
        <w:rPr>
          <w:sz w:val="22"/>
          <w:szCs w:val="22"/>
          <w:lang w:val="sr-Latn-ME"/>
        </w:rPr>
      </w:pPr>
      <w:r w:rsidRPr="00840456">
        <w:rPr>
          <w:color w:val="000000"/>
          <w:sz w:val="22"/>
          <w:szCs w:val="22"/>
          <w:lang w:val="sr-Latn-ME"/>
        </w:rPr>
        <w:t>Preporučena doza je 0,8 mg/kg (do maksimalnih 50 mg po dozi) jednom nedjeljno u periodu od najduže 24 nedjelje. Terapija se treba obustaviti kod pacijenata koji ne pokazuju odgovor nakon 12 nedjelja terapije.</w:t>
      </w:r>
    </w:p>
    <w:p w14:paraId="0982F348" w14:textId="77777777" w:rsidR="00AD08E5" w:rsidRPr="00840456" w:rsidRDefault="00AD08E5" w:rsidP="00AD08E5">
      <w:pPr>
        <w:widowControl w:val="0"/>
        <w:autoSpaceDE w:val="0"/>
        <w:autoSpaceDN w:val="0"/>
        <w:adjustRightInd w:val="0"/>
        <w:spacing w:line="214" w:lineRule="exact"/>
        <w:jc w:val="both"/>
        <w:rPr>
          <w:sz w:val="22"/>
          <w:szCs w:val="22"/>
          <w:lang w:val="sr-Latn-ME"/>
        </w:rPr>
      </w:pPr>
    </w:p>
    <w:p w14:paraId="7FBBB591" w14:textId="77777777" w:rsidR="00AD08E5" w:rsidRPr="00840456" w:rsidRDefault="00AD08E5" w:rsidP="00AD08E5">
      <w:pPr>
        <w:widowControl w:val="0"/>
        <w:overflowPunct w:val="0"/>
        <w:autoSpaceDE w:val="0"/>
        <w:autoSpaceDN w:val="0"/>
        <w:adjustRightInd w:val="0"/>
        <w:spacing w:line="261" w:lineRule="auto"/>
        <w:jc w:val="both"/>
        <w:rPr>
          <w:sz w:val="22"/>
          <w:szCs w:val="22"/>
          <w:lang w:val="sr-Latn-ME"/>
        </w:rPr>
      </w:pPr>
      <w:r w:rsidRPr="00840456">
        <w:rPr>
          <w:color w:val="000000"/>
          <w:sz w:val="22"/>
          <w:szCs w:val="22"/>
          <w:lang w:val="sr-Latn-ME"/>
        </w:rPr>
        <w:t>Ukoliko je terapija lijekom Enbrel ponovo indikovana, treba se pridržavati ovih smjernica u vezi dužine trajanja terapije. Doza je 0,8 mg/kg (do najviše 50 mg po dozi) jednom nedjeljno.</w:t>
      </w:r>
    </w:p>
    <w:p w14:paraId="5F318684" w14:textId="77777777" w:rsidR="00AD08E5" w:rsidRPr="00840456" w:rsidRDefault="00AD08E5" w:rsidP="00AD08E5">
      <w:pPr>
        <w:widowControl w:val="0"/>
        <w:autoSpaceDE w:val="0"/>
        <w:autoSpaceDN w:val="0"/>
        <w:adjustRightInd w:val="0"/>
        <w:spacing w:line="195" w:lineRule="exact"/>
        <w:jc w:val="both"/>
        <w:rPr>
          <w:sz w:val="22"/>
          <w:szCs w:val="22"/>
          <w:lang w:val="sr-Latn-ME"/>
        </w:rPr>
      </w:pPr>
    </w:p>
    <w:p w14:paraId="084D0E65" w14:textId="0A026620" w:rsidR="00452E9D" w:rsidRPr="00840456" w:rsidRDefault="00AD08E5" w:rsidP="00AD08E5">
      <w:pPr>
        <w:tabs>
          <w:tab w:val="left" w:pos="540"/>
          <w:tab w:val="left" w:pos="569"/>
        </w:tabs>
        <w:rPr>
          <w:color w:val="000000"/>
          <w:sz w:val="22"/>
          <w:szCs w:val="22"/>
          <w:lang w:val="sr-Latn-ME"/>
        </w:rPr>
      </w:pPr>
      <w:r w:rsidRPr="00840456">
        <w:rPr>
          <w:color w:val="000000"/>
          <w:sz w:val="22"/>
          <w:szCs w:val="22"/>
          <w:lang w:val="sr-Latn-ME"/>
        </w:rPr>
        <w:lastRenderedPageBreak/>
        <w:t>Generalno, korišćenje lijeka Enbrel kod djece mlađe od 6 godina sa indikacijom plak psorijaze, nije primjenjivo.</w:t>
      </w:r>
    </w:p>
    <w:p w14:paraId="06AE945E" w14:textId="77777777" w:rsidR="00AD08E5" w:rsidRPr="00840456" w:rsidRDefault="00AD08E5" w:rsidP="00AD08E5">
      <w:pPr>
        <w:tabs>
          <w:tab w:val="left" w:pos="540"/>
          <w:tab w:val="left" w:pos="569"/>
        </w:tabs>
        <w:rPr>
          <w:bCs/>
          <w:sz w:val="22"/>
          <w:szCs w:val="22"/>
          <w:u w:val="single"/>
          <w:lang w:val="sr-Latn-ME"/>
        </w:rPr>
      </w:pPr>
    </w:p>
    <w:p w14:paraId="0F2DF8AF" w14:textId="77777777" w:rsidR="00452E9D" w:rsidRPr="00840456" w:rsidRDefault="00452E9D" w:rsidP="00480FB1">
      <w:pPr>
        <w:tabs>
          <w:tab w:val="left" w:pos="540"/>
          <w:tab w:val="left" w:pos="569"/>
        </w:tabs>
        <w:rPr>
          <w:bCs/>
          <w:sz w:val="22"/>
          <w:szCs w:val="22"/>
          <w:u w:val="single"/>
          <w:lang w:val="sr-Latn-ME"/>
        </w:rPr>
      </w:pPr>
      <w:r w:rsidRPr="00840456">
        <w:rPr>
          <w:bCs/>
          <w:sz w:val="22"/>
          <w:szCs w:val="22"/>
          <w:u w:val="single"/>
          <w:lang w:val="sr-Latn-ME"/>
        </w:rPr>
        <w:t>Način primjene</w:t>
      </w:r>
    </w:p>
    <w:p w14:paraId="4712F3FD" w14:textId="77777777" w:rsidR="00AD08E5" w:rsidRPr="00840456" w:rsidRDefault="00AD08E5" w:rsidP="00480FB1">
      <w:pPr>
        <w:tabs>
          <w:tab w:val="left" w:pos="540"/>
          <w:tab w:val="left" w:pos="569"/>
        </w:tabs>
        <w:rPr>
          <w:bCs/>
          <w:sz w:val="22"/>
          <w:szCs w:val="22"/>
          <w:u w:val="single"/>
          <w:lang w:val="sr-Latn-ME"/>
        </w:rPr>
      </w:pPr>
    </w:p>
    <w:p w14:paraId="64B02DBF" w14:textId="6DF20260" w:rsidR="00AD08E5" w:rsidRPr="00840456" w:rsidRDefault="00AD08E5" w:rsidP="00AD08E5">
      <w:pPr>
        <w:widowControl w:val="0"/>
        <w:autoSpaceDE w:val="0"/>
        <w:autoSpaceDN w:val="0"/>
        <w:adjustRightInd w:val="0"/>
        <w:jc w:val="both"/>
        <w:rPr>
          <w:sz w:val="22"/>
          <w:szCs w:val="22"/>
          <w:lang w:val="sr-Latn-ME"/>
        </w:rPr>
      </w:pPr>
      <w:r w:rsidRPr="00840456">
        <w:rPr>
          <w:color w:val="000000"/>
          <w:sz w:val="22"/>
          <w:szCs w:val="22"/>
          <w:lang w:val="sr-Latn-ME"/>
        </w:rPr>
        <w:t xml:space="preserve">Lijek Enbrel se primjenjuje subkutanom injekcijom (vidjeti </w:t>
      </w:r>
      <w:r w:rsidR="00086073" w:rsidRPr="00840456">
        <w:rPr>
          <w:color w:val="000000"/>
          <w:sz w:val="22"/>
          <w:szCs w:val="22"/>
          <w:lang w:val="sr-Latn-ME"/>
        </w:rPr>
        <w:t>dio</w:t>
      </w:r>
      <w:r w:rsidRPr="00840456">
        <w:rPr>
          <w:color w:val="000000"/>
          <w:sz w:val="22"/>
          <w:szCs w:val="22"/>
          <w:lang w:val="sr-Latn-ME"/>
        </w:rPr>
        <w:t xml:space="preserve"> 6.6.).</w:t>
      </w:r>
    </w:p>
    <w:p w14:paraId="55D7D43F" w14:textId="77777777" w:rsidR="00AD08E5" w:rsidRPr="00840456" w:rsidRDefault="00AD08E5" w:rsidP="00AD08E5">
      <w:pPr>
        <w:widowControl w:val="0"/>
        <w:autoSpaceDE w:val="0"/>
        <w:autoSpaceDN w:val="0"/>
        <w:adjustRightInd w:val="0"/>
        <w:spacing w:line="254" w:lineRule="exact"/>
        <w:jc w:val="both"/>
        <w:rPr>
          <w:sz w:val="22"/>
          <w:szCs w:val="22"/>
          <w:lang w:val="sr-Latn-ME"/>
        </w:rPr>
      </w:pPr>
    </w:p>
    <w:p w14:paraId="53F66940" w14:textId="5E4EFBDE" w:rsidR="00AD08E5" w:rsidRPr="00840456" w:rsidRDefault="00AD08E5" w:rsidP="00AD08E5">
      <w:pPr>
        <w:tabs>
          <w:tab w:val="left" w:pos="0"/>
        </w:tabs>
        <w:jc w:val="both"/>
        <w:rPr>
          <w:sz w:val="22"/>
          <w:szCs w:val="22"/>
          <w:lang w:val="sr-Latn-ME"/>
        </w:rPr>
      </w:pPr>
      <w:r w:rsidRPr="00840456">
        <w:rPr>
          <w:color w:val="000000"/>
          <w:sz w:val="22"/>
          <w:szCs w:val="22"/>
          <w:lang w:val="sr-Latn-ME"/>
        </w:rPr>
        <w:t xml:space="preserve">Detaljan opis postupka pripreme i primjene Enbrel injekcija dat je u uputstvu za pacijenta, u dijelu „Uputstvo za </w:t>
      </w:r>
      <w:r w:rsidR="00DA7BDD" w:rsidRPr="00840456">
        <w:rPr>
          <w:color w:val="000000"/>
          <w:sz w:val="22"/>
          <w:szCs w:val="22"/>
          <w:lang w:val="sr-Latn-ME"/>
        </w:rPr>
        <w:t>upotrebu</w:t>
      </w:r>
      <w:r w:rsidRPr="00840456">
        <w:rPr>
          <w:color w:val="000000"/>
          <w:sz w:val="22"/>
          <w:szCs w:val="22"/>
          <w:lang w:val="sr-Latn-ME"/>
        </w:rPr>
        <w:t xml:space="preserve">”. </w:t>
      </w:r>
      <w:r w:rsidRPr="00840456">
        <w:rPr>
          <w:sz w:val="22"/>
          <w:szCs w:val="22"/>
          <w:lang w:val="sr-Latn-ME"/>
        </w:rPr>
        <w:t>Detaljna uputstva o nehotičnom doziranju ili promjenama u rasporedu primanja lijeka, uključujući propuštene doze, navedena su u dijelu 3 ovog uputstva za lijek.</w:t>
      </w:r>
    </w:p>
    <w:p w14:paraId="71AA09B1" w14:textId="77777777" w:rsidR="00452E9D" w:rsidRPr="00840456" w:rsidRDefault="00452E9D" w:rsidP="00480FB1">
      <w:pPr>
        <w:tabs>
          <w:tab w:val="left" w:pos="540"/>
          <w:tab w:val="left" w:pos="569"/>
        </w:tabs>
        <w:rPr>
          <w:bCs/>
          <w:sz w:val="22"/>
          <w:szCs w:val="22"/>
          <w:lang w:val="sr-Latn-ME"/>
        </w:rPr>
      </w:pPr>
    </w:p>
    <w:p w14:paraId="2342CD61" w14:textId="77777777" w:rsidR="00411B4B" w:rsidRPr="00840456" w:rsidRDefault="00411B4B" w:rsidP="00480FB1">
      <w:pPr>
        <w:tabs>
          <w:tab w:val="left" w:pos="540"/>
          <w:tab w:val="left" w:pos="569"/>
        </w:tabs>
        <w:rPr>
          <w:b/>
          <w:bCs/>
          <w:sz w:val="22"/>
          <w:szCs w:val="22"/>
          <w:lang w:val="sr-Latn-ME"/>
        </w:rPr>
      </w:pPr>
      <w:r w:rsidRPr="00840456">
        <w:rPr>
          <w:b/>
          <w:bCs/>
          <w:sz w:val="22"/>
          <w:szCs w:val="22"/>
          <w:lang w:val="sr-Latn-ME"/>
        </w:rPr>
        <w:t xml:space="preserve">4.3. </w:t>
      </w:r>
      <w:r w:rsidR="00480FB1" w:rsidRPr="00840456">
        <w:rPr>
          <w:b/>
          <w:bCs/>
          <w:sz w:val="22"/>
          <w:szCs w:val="22"/>
          <w:lang w:val="sr-Latn-ME"/>
        </w:rPr>
        <w:tab/>
      </w:r>
      <w:r w:rsidRPr="00840456">
        <w:rPr>
          <w:b/>
          <w:bCs/>
          <w:sz w:val="22"/>
          <w:szCs w:val="22"/>
          <w:lang w:val="sr-Latn-ME"/>
        </w:rPr>
        <w:t>Kontraindikacije</w:t>
      </w:r>
    </w:p>
    <w:p w14:paraId="5A0AE3ED" w14:textId="77777777" w:rsidR="00AD08E5" w:rsidRPr="00840456" w:rsidRDefault="00AD08E5" w:rsidP="00480FB1">
      <w:pPr>
        <w:tabs>
          <w:tab w:val="left" w:pos="540"/>
          <w:tab w:val="left" w:pos="569"/>
        </w:tabs>
        <w:rPr>
          <w:b/>
          <w:bCs/>
          <w:sz w:val="22"/>
          <w:szCs w:val="22"/>
          <w:lang w:val="sr-Latn-ME"/>
        </w:rPr>
      </w:pPr>
    </w:p>
    <w:p w14:paraId="10466CF2" w14:textId="7851FFED" w:rsidR="00AD08E5" w:rsidRPr="00840456" w:rsidRDefault="00AD08E5" w:rsidP="00AD08E5">
      <w:pPr>
        <w:widowControl w:val="0"/>
        <w:autoSpaceDE w:val="0"/>
        <w:autoSpaceDN w:val="0"/>
        <w:adjustRightInd w:val="0"/>
        <w:jc w:val="both"/>
        <w:rPr>
          <w:sz w:val="22"/>
          <w:szCs w:val="22"/>
          <w:lang w:val="sr-Latn-ME"/>
        </w:rPr>
      </w:pPr>
      <w:r w:rsidRPr="00840456">
        <w:rPr>
          <w:color w:val="000000"/>
          <w:sz w:val="22"/>
          <w:szCs w:val="22"/>
          <w:lang w:val="sr-Latn-ME"/>
        </w:rPr>
        <w:t xml:space="preserve">Preosjetljivost na aktivnu supstancu ili na bilo koju pomoćnu supstancu navedenu u </w:t>
      </w:r>
      <w:r w:rsidR="00086073" w:rsidRPr="00840456">
        <w:rPr>
          <w:color w:val="000000"/>
          <w:sz w:val="22"/>
          <w:szCs w:val="22"/>
          <w:lang w:val="sr-Latn-ME"/>
        </w:rPr>
        <w:t>dijelu</w:t>
      </w:r>
      <w:r w:rsidRPr="00840456">
        <w:rPr>
          <w:color w:val="000000"/>
          <w:sz w:val="22"/>
          <w:szCs w:val="22"/>
          <w:lang w:val="sr-Latn-ME"/>
        </w:rPr>
        <w:t>u 6.1.</w:t>
      </w:r>
    </w:p>
    <w:p w14:paraId="78CE2740" w14:textId="77777777" w:rsidR="00AD08E5" w:rsidRPr="00840456" w:rsidRDefault="00AD08E5" w:rsidP="00AD08E5">
      <w:pPr>
        <w:widowControl w:val="0"/>
        <w:autoSpaceDE w:val="0"/>
        <w:autoSpaceDN w:val="0"/>
        <w:adjustRightInd w:val="0"/>
        <w:spacing w:line="254" w:lineRule="exact"/>
        <w:jc w:val="both"/>
        <w:rPr>
          <w:sz w:val="22"/>
          <w:szCs w:val="22"/>
          <w:lang w:val="sr-Latn-ME"/>
        </w:rPr>
      </w:pPr>
    </w:p>
    <w:p w14:paraId="17C4A9F4" w14:textId="77777777" w:rsidR="00AD08E5" w:rsidRPr="00840456" w:rsidRDefault="00AD08E5" w:rsidP="00AD08E5">
      <w:pPr>
        <w:widowControl w:val="0"/>
        <w:autoSpaceDE w:val="0"/>
        <w:autoSpaceDN w:val="0"/>
        <w:adjustRightInd w:val="0"/>
        <w:jc w:val="both"/>
        <w:rPr>
          <w:sz w:val="22"/>
          <w:szCs w:val="22"/>
          <w:lang w:val="sr-Latn-ME"/>
        </w:rPr>
      </w:pPr>
      <w:r w:rsidRPr="00840456">
        <w:rPr>
          <w:color w:val="000000"/>
          <w:sz w:val="22"/>
          <w:szCs w:val="22"/>
          <w:lang w:val="sr-Latn-ME"/>
        </w:rPr>
        <w:t>Sepsa ili postojanje rizika za razvoj sepse.</w:t>
      </w:r>
    </w:p>
    <w:p w14:paraId="6EB8B819" w14:textId="77777777" w:rsidR="00AD08E5" w:rsidRPr="00840456" w:rsidRDefault="00AD08E5" w:rsidP="00AD08E5">
      <w:pPr>
        <w:widowControl w:val="0"/>
        <w:autoSpaceDE w:val="0"/>
        <w:autoSpaceDN w:val="0"/>
        <w:adjustRightInd w:val="0"/>
        <w:spacing w:line="259" w:lineRule="exact"/>
        <w:jc w:val="both"/>
        <w:rPr>
          <w:sz w:val="22"/>
          <w:szCs w:val="22"/>
          <w:lang w:val="sr-Latn-ME"/>
        </w:rPr>
      </w:pPr>
    </w:p>
    <w:p w14:paraId="3F7B9BB5" w14:textId="77777777" w:rsidR="00AD08E5" w:rsidRPr="00840456" w:rsidRDefault="00AD08E5" w:rsidP="00AD08E5">
      <w:pPr>
        <w:widowControl w:val="0"/>
        <w:overflowPunct w:val="0"/>
        <w:autoSpaceDE w:val="0"/>
        <w:autoSpaceDN w:val="0"/>
        <w:adjustRightInd w:val="0"/>
        <w:spacing w:line="261" w:lineRule="auto"/>
        <w:jc w:val="both"/>
        <w:rPr>
          <w:sz w:val="22"/>
          <w:szCs w:val="22"/>
          <w:lang w:val="sr-Latn-ME"/>
        </w:rPr>
      </w:pPr>
      <w:r w:rsidRPr="00840456">
        <w:rPr>
          <w:color w:val="000000"/>
          <w:sz w:val="22"/>
          <w:szCs w:val="22"/>
          <w:lang w:val="sr-Latn-ME"/>
        </w:rPr>
        <w:t>Terapiju lijekom Enbrel ne treba započinjati kod pacijenata sa aktivnim infekcijama, uključujući hronične ili lokalizovane infekcije.</w:t>
      </w:r>
    </w:p>
    <w:p w14:paraId="54CDC24D" w14:textId="77777777" w:rsidR="0072020E" w:rsidRPr="00840456" w:rsidRDefault="0072020E" w:rsidP="00480FB1">
      <w:pPr>
        <w:tabs>
          <w:tab w:val="left" w:pos="540"/>
          <w:tab w:val="left" w:pos="569"/>
        </w:tabs>
        <w:rPr>
          <w:bCs/>
          <w:sz w:val="22"/>
          <w:szCs w:val="22"/>
          <w:lang w:val="sr-Latn-ME"/>
        </w:rPr>
      </w:pPr>
    </w:p>
    <w:p w14:paraId="74A3E96C" w14:textId="77777777" w:rsidR="00411B4B" w:rsidRPr="00840456" w:rsidRDefault="00411B4B" w:rsidP="00815D34">
      <w:pPr>
        <w:tabs>
          <w:tab w:val="left" w:pos="540"/>
          <w:tab w:val="left" w:pos="569"/>
        </w:tabs>
        <w:jc w:val="both"/>
        <w:rPr>
          <w:b/>
          <w:bCs/>
          <w:sz w:val="22"/>
          <w:szCs w:val="22"/>
          <w:lang w:val="sr-Latn-ME"/>
        </w:rPr>
      </w:pPr>
      <w:r w:rsidRPr="00840456">
        <w:rPr>
          <w:b/>
          <w:bCs/>
          <w:sz w:val="22"/>
          <w:szCs w:val="22"/>
          <w:lang w:val="sr-Latn-ME"/>
        </w:rPr>
        <w:t xml:space="preserve">4.4. </w:t>
      </w:r>
      <w:r w:rsidR="00480FB1" w:rsidRPr="00840456">
        <w:rPr>
          <w:b/>
          <w:bCs/>
          <w:sz w:val="22"/>
          <w:szCs w:val="22"/>
          <w:lang w:val="sr-Latn-ME"/>
        </w:rPr>
        <w:tab/>
      </w:r>
      <w:r w:rsidRPr="00840456">
        <w:rPr>
          <w:b/>
          <w:bCs/>
          <w:sz w:val="22"/>
          <w:szCs w:val="22"/>
          <w:lang w:val="sr-Latn-ME"/>
        </w:rPr>
        <w:t>Posebna upozorenja i mjere opreza pri upotrebi lijeka</w:t>
      </w:r>
    </w:p>
    <w:p w14:paraId="4F3ED230" w14:textId="77777777" w:rsidR="0072020E" w:rsidRPr="00840456" w:rsidRDefault="0072020E" w:rsidP="00815D34">
      <w:pPr>
        <w:tabs>
          <w:tab w:val="left" w:pos="540"/>
          <w:tab w:val="left" w:pos="569"/>
        </w:tabs>
        <w:jc w:val="both"/>
        <w:rPr>
          <w:bCs/>
          <w:sz w:val="22"/>
          <w:szCs w:val="22"/>
          <w:lang w:val="sr-Latn-ME"/>
        </w:rPr>
      </w:pPr>
    </w:p>
    <w:p w14:paraId="34527FF7" w14:textId="5CC8976D" w:rsidR="00057E35" w:rsidRPr="00840456" w:rsidRDefault="00AD08E5" w:rsidP="00815D34">
      <w:pPr>
        <w:tabs>
          <w:tab w:val="left" w:pos="540"/>
          <w:tab w:val="left" w:pos="569"/>
        </w:tabs>
        <w:jc w:val="both"/>
        <w:rPr>
          <w:color w:val="000000"/>
          <w:sz w:val="22"/>
          <w:szCs w:val="22"/>
          <w:lang w:val="sr-Latn-ME"/>
        </w:rPr>
      </w:pPr>
      <w:r w:rsidRPr="00840456">
        <w:rPr>
          <w:color w:val="000000"/>
          <w:sz w:val="22"/>
          <w:szCs w:val="22"/>
          <w:lang w:val="sr-Latn-ME"/>
        </w:rPr>
        <w:t>U cilju poboljšanja praćenja bioloških lijekova, naziv robne marke i broj serije primijenjenog lijeka treba jasno zabilježiti (ili navesti) u kartonu pacijenta.</w:t>
      </w:r>
    </w:p>
    <w:p w14:paraId="16AB2536" w14:textId="77777777" w:rsidR="00AD08E5" w:rsidRPr="00840456" w:rsidRDefault="00AD08E5" w:rsidP="00480FB1">
      <w:pPr>
        <w:tabs>
          <w:tab w:val="left" w:pos="540"/>
          <w:tab w:val="left" w:pos="569"/>
        </w:tabs>
        <w:rPr>
          <w:color w:val="000000"/>
          <w:sz w:val="22"/>
          <w:szCs w:val="22"/>
          <w:u w:val="single"/>
          <w:lang w:val="sr-Latn-ME"/>
        </w:rPr>
      </w:pPr>
    </w:p>
    <w:p w14:paraId="559CB9AA" w14:textId="77777777" w:rsidR="00AD08E5" w:rsidRPr="00840456" w:rsidRDefault="00AD08E5" w:rsidP="00AD08E5">
      <w:pPr>
        <w:widowControl w:val="0"/>
        <w:overflowPunct w:val="0"/>
        <w:autoSpaceDE w:val="0"/>
        <w:autoSpaceDN w:val="0"/>
        <w:adjustRightInd w:val="0"/>
        <w:ind w:right="3980"/>
        <w:jc w:val="both"/>
        <w:rPr>
          <w:sz w:val="22"/>
          <w:szCs w:val="22"/>
          <w:u w:val="single"/>
          <w:lang w:val="sr-Latn-ME"/>
        </w:rPr>
      </w:pPr>
      <w:r w:rsidRPr="00840456">
        <w:rPr>
          <w:bCs/>
          <w:color w:val="000000"/>
          <w:sz w:val="22"/>
          <w:szCs w:val="22"/>
          <w:u w:val="single"/>
          <w:lang w:val="sr-Latn-ME"/>
        </w:rPr>
        <w:t>Infekcije</w:t>
      </w:r>
    </w:p>
    <w:p w14:paraId="788B96FB" w14:textId="77777777" w:rsidR="00AD08E5" w:rsidRPr="00840456" w:rsidRDefault="00AD08E5" w:rsidP="00AD08E5">
      <w:pPr>
        <w:widowControl w:val="0"/>
        <w:autoSpaceDE w:val="0"/>
        <w:autoSpaceDN w:val="0"/>
        <w:adjustRightInd w:val="0"/>
        <w:spacing w:line="109" w:lineRule="exact"/>
        <w:jc w:val="both"/>
        <w:rPr>
          <w:sz w:val="22"/>
          <w:szCs w:val="22"/>
          <w:lang w:val="sr-Latn-ME"/>
        </w:rPr>
      </w:pPr>
    </w:p>
    <w:p w14:paraId="1E2C0E6D" w14:textId="77777777" w:rsidR="00AD08E5" w:rsidRPr="00840456" w:rsidRDefault="00AD08E5" w:rsidP="00AD08E5">
      <w:pPr>
        <w:pStyle w:val="NoSpacing"/>
        <w:jc w:val="both"/>
        <w:rPr>
          <w:sz w:val="22"/>
          <w:szCs w:val="22"/>
          <w:lang w:val="sr-Latn-ME"/>
        </w:rPr>
      </w:pPr>
      <w:r w:rsidRPr="00840456">
        <w:rPr>
          <w:sz w:val="22"/>
          <w:szCs w:val="22"/>
          <w:lang w:val="sr-Latn-ME"/>
        </w:rPr>
        <w:t>Pacijente treba ispitati na prisustvo infekcija prije, za vrijeme i poslije terapije lijekom Enbrel uzimajući u obzir da je prosječna vrijednost poluvremena eliminacije etanercepta oko 70 h (u rasponu od 7 h do 300 h).</w:t>
      </w:r>
    </w:p>
    <w:p w14:paraId="1B322D2A" w14:textId="77777777" w:rsidR="00AD08E5" w:rsidRPr="00840456" w:rsidRDefault="00AD08E5" w:rsidP="00AD08E5">
      <w:pPr>
        <w:widowControl w:val="0"/>
        <w:autoSpaceDE w:val="0"/>
        <w:autoSpaceDN w:val="0"/>
        <w:adjustRightInd w:val="0"/>
        <w:spacing w:line="180" w:lineRule="exact"/>
        <w:jc w:val="both"/>
        <w:rPr>
          <w:sz w:val="22"/>
          <w:szCs w:val="22"/>
          <w:lang w:val="sr-Latn-ME"/>
        </w:rPr>
      </w:pPr>
    </w:p>
    <w:p w14:paraId="6EFB5542" w14:textId="72B7FDEC" w:rsidR="00AD08E5" w:rsidRPr="00840456" w:rsidRDefault="00AD08E5" w:rsidP="00AD08E5">
      <w:pPr>
        <w:widowControl w:val="0"/>
        <w:overflowPunct w:val="0"/>
        <w:autoSpaceDE w:val="0"/>
        <w:autoSpaceDN w:val="0"/>
        <w:adjustRightInd w:val="0"/>
        <w:jc w:val="both"/>
        <w:rPr>
          <w:sz w:val="22"/>
          <w:szCs w:val="22"/>
          <w:lang w:val="sr-Latn-ME"/>
        </w:rPr>
      </w:pPr>
      <w:r w:rsidRPr="00840456">
        <w:rPr>
          <w:color w:val="000000"/>
          <w:sz w:val="22"/>
          <w:szCs w:val="22"/>
          <w:lang w:val="sr-Latn-ME"/>
        </w:rPr>
        <w:t xml:space="preserve">Ozbiljne infekcije, sepsa, tuberkuloza i oportunističke infekcije, uključujući invazivne gljivične infekcije, listerioze i legioneloze, prijavljene su prilikom upotrebe lijeka Enbrel (vidjeti </w:t>
      </w:r>
      <w:r w:rsidR="00086073" w:rsidRPr="00840456">
        <w:rPr>
          <w:color w:val="000000"/>
          <w:sz w:val="22"/>
          <w:szCs w:val="22"/>
          <w:lang w:val="sr-Latn-ME"/>
        </w:rPr>
        <w:t>dio</w:t>
      </w:r>
      <w:r w:rsidRPr="00840456">
        <w:rPr>
          <w:color w:val="000000"/>
          <w:sz w:val="22"/>
          <w:szCs w:val="22"/>
          <w:lang w:val="sr-Latn-ME"/>
        </w:rPr>
        <w:t xml:space="preserve"> 4.8). Izazivači ovih infekcija su bakterije, mikobakterije, gljivice, virusi i paraziti (uključujući protozoe) . U nekim slučajevima, određene gljivične i druge oportunističke infekcije mogu biti neprepoznate, što dovodi do odlaganja odgovarajućeg liječenja a ponekad i do smrti. Prilikom procjene pojave infekcije kod pacijenata, treba uzeti u obzir rizik od pojavljivanja oportunističkih infekcija (npr. izlaganje endemskim mikozama).</w:t>
      </w:r>
    </w:p>
    <w:p w14:paraId="3B02BD3D" w14:textId="77777777" w:rsidR="00AD08E5" w:rsidRPr="00840456" w:rsidRDefault="00AD08E5" w:rsidP="00AD08E5">
      <w:pPr>
        <w:widowControl w:val="0"/>
        <w:autoSpaceDE w:val="0"/>
        <w:autoSpaceDN w:val="0"/>
        <w:adjustRightInd w:val="0"/>
        <w:spacing w:line="227" w:lineRule="exact"/>
        <w:jc w:val="both"/>
        <w:rPr>
          <w:sz w:val="22"/>
          <w:szCs w:val="22"/>
          <w:lang w:val="sr-Latn-ME"/>
        </w:rPr>
      </w:pPr>
    </w:p>
    <w:p w14:paraId="7322952A" w14:textId="77777777" w:rsidR="00AD08E5" w:rsidRPr="00840456" w:rsidRDefault="00AD08E5" w:rsidP="00AD08E5">
      <w:pPr>
        <w:widowControl w:val="0"/>
        <w:overflowPunct w:val="0"/>
        <w:autoSpaceDE w:val="0"/>
        <w:autoSpaceDN w:val="0"/>
        <w:adjustRightInd w:val="0"/>
        <w:spacing w:line="244" w:lineRule="auto"/>
        <w:jc w:val="both"/>
        <w:rPr>
          <w:bCs/>
          <w:color w:val="000000"/>
          <w:sz w:val="22"/>
          <w:szCs w:val="22"/>
          <w:lang w:val="sr-Latn-ME"/>
        </w:rPr>
      </w:pPr>
      <w:r w:rsidRPr="00840456">
        <w:rPr>
          <w:color w:val="000000"/>
          <w:sz w:val="22"/>
          <w:szCs w:val="22"/>
          <w:lang w:val="sr-Latn-ME"/>
        </w:rPr>
        <w:t xml:space="preserve">Pacijent kod koga se javi nova infekcija dok je na terapiji lijekom Enbrel treba da bude pod strogim nadzorom ljekara. </w:t>
      </w:r>
      <w:r w:rsidRPr="00840456">
        <w:rPr>
          <w:bCs/>
          <w:color w:val="000000"/>
          <w:sz w:val="22"/>
          <w:szCs w:val="22"/>
          <w:lang w:val="sr-Latn-ME"/>
        </w:rPr>
        <w:t>Ukoliko se razviju ozbiljne infekcije, primjenu lijeka Enbrel treba prekinuti.</w:t>
      </w:r>
    </w:p>
    <w:p w14:paraId="10C15B74" w14:textId="77777777" w:rsidR="00AD08E5" w:rsidRPr="00840456" w:rsidRDefault="00AD08E5" w:rsidP="00AD08E5">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 xml:space="preserve">Bezbjednost i efikasnost lijeka Enbrel kod pacijenata sa hroničnim infekcijama nije ispitivana. Ljekari treba vrlo oprezno da razmotre upotrebu lijeka Enbrel kod pacijenata sa anamnezom hroničnih ili rekurentnih infekcija, kao i kod pacijenata sa stanjima koja povećavaju sklonost ka razvoju infekcija, kao što je uznapredovali ili slabo kontrolisani dijabetes. </w:t>
      </w:r>
    </w:p>
    <w:p w14:paraId="64DE39E5" w14:textId="77777777" w:rsidR="00AD08E5" w:rsidRPr="00840456" w:rsidRDefault="00AD08E5" w:rsidP="00AD08E5">
      <w:pPr>
        <w:widowControl w:val="0"/>
        <w:autoSpaceDE w:val="0"/>
        <w:autoSpaceDN w:val="0"/>
        <w:adjustRightInd w:val="0"/>
        <w:spacing w:line="226" w:lineRule="exact"/>
        <w:jc w:val="both"/>
        <w:rPr>
          <w:sz w:val="22"/>
          <w:szCs w:val="22"/>
          <w:lang w:val="sr-Latn-ME"/>
        </w:rPr>
      </w:pPr>
    </w:p>
    <w:p w14:paraId="3C5FEE58"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Tuberkuloza</w:t>
      </w:r>
    </w:p>
    <w:p w14:paraId="47476BE0" w14:textId="77777777" w:rsidR="00AD08E5" w:rsidRPr="00840456" w:rsidRDefault="00AD08E5" w:rsidP="00AD08E5">
      <w:pPr>
        <w:widowControl w:val="0"/>
        <w:autoSpaceDE w:val="0"/>
        <w:autoSpaceDN w:val="0"/>
        <w:adjustRightInd w:val="0"/>
        <w:jc w:val="both"/>
        <w:rPr>
          <w:sz w:val="22"/>
          <w:szCs w:val="22"/>
          <w:lang w:val="sr-Latn-ME"/>
        </w:rPr>
      </w:pPr>
    </w:p>
    <w:p w14:paraId="1A025C46" w14:textId="179541D8" w:rsidR="00AD08E5" w:rsidRPr="00840456" w:rsidRDefault="00AD08E5" w:rsidP="00AD08E5">
      <w:pPr>
        <w:widowControl w:val="0"/>
        <w:overflowPunct w:val="0"/>
        <w:autoSpaceDE w:val="0"/>
        <w:autoSpaceDN w:val="0"/>
        <w:adjustRightInd w:val="0"/>
        <w:spacing w:line="256" w:lineRule="auto"/>
        <w:jc w:val="both"/>
        <w:rPr>
          <w:sz w:val="22"/>
          <w:szCs w:val="22"/>
          <w:lang w:val="sr-Latn-ME"/>
        </w:rPr>
      </w:pPr>
      <w:r w:rsidRPr="00840456">
        <w:rPr>
          <w:color w:val="000000"/>
          <w:sz w:val="22"/>
          <w:szCs w:val="22"/>
          <w:lang w:val="sr-Latn-ME"/>
        </w:rPr>
        <w:t>Kod pacijenata koji su primali lijek Enbrel prijavljeni su slučajevi aktivne tuberkuloze uključujući milijarnu tuberkulozu i tuberkulozu sa ekstra</w:t>
      </w:r>
      <w:r w:rsidR="00086073" w:rsidRPr="00840456">
        <w:rPr>
          <w:color w:val="000000"/>
          <w:sz w:val="22"/>
          <w:szCs w:val="22"/>
          <w:lang w:val="sr-Latn-ME"/>
        </w:rPr>
        <w:t>-</w:t>
      </w:r>
      <w:r w:rsidRPr="00840456">
        <w:rPr>
          <w:color w:val="000000"/>
          <w:sz w:val="22"/>
          <w:szCs w:val="22"/>
          <w:lang w:val="sr-Latn-ME"/>
        </w:rPr>
        <w:t xml:space="preserve">pulmonalnim lokalizacijama. </w:t>
      </w:r>
    </w:p>
    <w:p w14:paraId="679AB27C" w14:textId="77777777" w:rsidR="00AD08E5" w:rsidRPr="00840456" w:rsidRDefault="00AD08E5" w:rsidP="00AD08E5">
      <w:pPr>
        <w:widowControl w:val="0"/>
        <w:autoSpaceDE w:val="0"/>
        <w:autoSpaceDN w:val="0"/>
        <w:adjustRightInd w:val="0"/>
        <w:spacing w:line="204" w:lineRule="exact"/>
        <w:jc w:val="both"/>
        <w:rPr>
          <w:sz w:val="22"/>
          <w:szCs w:val="22"/>
          <w:lang w:val="sr-Latn-ME"/>
        </w:rPr>
      </w:pPr>
    </w:p>
    <w:p w14:paraId="34BE1CB5" w14:textId="77777777" w:rsidR="00AD08E5" w:rsidRPr="00840456" w:rsidRDefault="00AD08E5" w:rsidP="00AD08E5">
      <w:pPr>
        <w:pStyle w:val="Header"/>
        <w:tabs>
          <w:tab w:val="left" w:pos="284"/>
        </w:tabs>
        <w:jc w:val="both"/>
        <w:rPr>
          <w:color w:val="000000"/>
          <w:sz w:val="22"/>
          <w:szCs w:val="22"/>
          <w:lang w:val="sr-Latn-ME"/>
        </w:rPr>
      </w:pPr>
      <w:r w:rsidRPr="00840456">
        <w:rPr>
          <w:color w:val="000000"/>
          <w:sz w:val="22"/>
          <w:szCs w:val="22"/>
          <w:lang w:val="sr-Latn-ME"/>
        </w:rPr>
        <w:t xml:space="preserve">Prije početka terapije lijekom Enbrel, sve pacijente treba ispitati na postojanje aktivne ili latentne tuberkuloze. Ovo ispitivanje treba da uključi detaljno ispitivanje anamneze tuberkuloze ili mogući prethodni kontakt sa tuberkulozom i prethodnu i/ili sadašnju imunosupresivnu terapiju. Odgovarajuća ispitivanja, kao na primjer tuberkulinski test i radiografiju grudnog koša, treba uraditi kod svih pacijenata (prema lokalnim preporukama). Preporučuje se da se u Karton za pacijenta uvrste sva ispitivanja koja su urađena. Ljekare treba podsetiti na mogućnost lažno negativnih rezultata tuberkulinskog testa, naročito kod pacijenata koji su teško bolesni ili imunokompromitovani. </w:t>
      </w:r>
    </w:p>
    <w:p w14:paraId="7C60278A" w14:textId="77777777" w:rsidR="00AD08E5" w:rsidRPr="00840456" w:rsidRDefault="00AD08E5" w:rsidP="00AD08E5">
      <w:pPr>
        <w:widowControl w:val="0"/>
        <w:overflowPunct w:val="0"/>
        <w:autoSpaceDE w:val="0"/>
        <w:autoSpaceDN w:val="0"/>
        <w:adjustRightInd w:val="0"/>
        <w:spacing w:line="244" w:lineRule="auto"/>
        <w:jc w:val="both"/>
        <w:rPr>
          <w:color w:val="000000"/>
          <w:sz w:val="22"/>
          <w:szCs w:val="22"/>
          <w:lang w:val="sr-Latn-ME"/>
        </w:rPr>
      </w:pPr>
    </w:p>
    <w:p w14:paraId="0FD9C688" w14:textId="77777777" w:rsidR="00AD08E5" w:rsidRPr="00840456" w:rsidRDefault="00AD08E5" w:rsidP="00AD08E5">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Ukoliko je dijagnostikovana aktivna tuberkuloza, terapija lijekom Enbrel se ne smije započeti. Ukoliko je dijagnostikovana latentna tuberkuloza, mora se započeti terapija antituberkuloticima prije početka terapije lijekom Enbrel, u skladu sa lokalnim preporukama. U ovom slučaju, treba pažljivo procijeniti odnos koristi i rizika terapije lijekom Enbrel.</w:t>
      </w:r>
    </w:p>
    <w:p w14:paraId="30A20A60" w14:textId="77777777" w:rsidR="00AD08E5" w:rsidRPr="00840456" w:rsidRDefault="00AD08E5" w:rsidP="00AD08E5">
      <w:pPr>
        <w:widowControl w:val="0"/>
        <w:autoSpaceDE w:val="0"/>
        <w:autoSpaceDN w:val="0"/>
        <w:adjustRightInd w:val="0"/>
        <w:spacing w:line="221" w:lineRule="exact"/>
        <w:jc w:val="both"/>
        <w:rPr>
          <w:sz w:val="22"/>
          <w:szCs w:val="22"/>
          <w:lang w:val="sr-Latn-ME"/>
        </w:rPr>
      </w:pPr>
    </w:p>
    <w:p w14:paraId="5374DCD7" w14:textId="77777777" w:rsidR="00AD08E5" w:rsidRPr="00840456" w:rsidRDefault="00AD08E5" w:rsidP="00AD08E5">
      <w:pPr>
        <w:widowControl w:val="0"/>
        <w:overflowPunct w:val="0"/>
        <w:autoSpaceDE w:val="0"/>
        <w:autoSpaceDN w:val="0"/>
        <w:adjustRightInd w:val="0"/>
        <w:spacing w:line="247" w:lineRule="auto"/>
        <w:jc w:val="both"/>
        <w:rPr>
          <w:sz w:val="22"/>
          <w:szCs w:val="22"/>
          <w:lang w:val="sr-Latn-ME"/>
        </w:rPr>
      </w:pPr>
      <w:r w:rsidRPr="00840456">
        <w:rPr>
          <w:color w:val="000000"/>
          <w:sz w:val="22"/>
          <w:szCs w:val="22"/>
          <w:lang w:val="sr-Latn-ME"/>
        </w:rPr>
        <w:t>Sve pacijente treba informisati da zatraže medicinsku pomoć ukoliko se znaci/simptomi koji ukazuju na tuberkulozu (npr. uporni kašalj, gubitak tjelesne mase, slaba groznica) jave za vrijeme ili poslije terapije lijekom Enbrel.</w:t>
      </w:r>
    </w:p>
    <w:p w14:paraId="45490763" w14:textId="77777777" w:rsidR="00AD08E5" w:rsidRPr="00840456" w:rsidRDefault="00AD08E5" w:rsidP="00AD08E5">
      <w:pPr>
        <w:widowControl w:val="0"/>
        <w:autoSpaceDE w:val="0"/>
        <w:autoSpaceDN w:val="0"/>
        <w:adjustRightInd w:val="0"/>
        <w:spacing w:line="214" w:lineRule="exact"/>
        <w:jc w:val="both"/>
        <w:rPr>
          <w:sz w:val="22"/>
          <w:szCs w:val="22"/>
          <w:lang w:val="sr-Latn-ME"/>
        </w:rPr>
      </w:pPr>
    </w:p>
    <w:p w14:paraId="1DAD2E4B"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Reaktivacija hepatitisa B</w:t>
      </w:r>
    </w:p>
    <w:p w14:paraId="17D5B81C" w14:textId="77777777" w:rsidR="00AD08E5" w:rsidRPr="00840456" w:rsidRDefault="00AD08E5" w:rsidP="00AD08E5">
      <w:pPr>
        <w:widowControl w:val="0"/>
        <w:autoSpaceDE w:val="0"/>
        <w:autoSpaceDN w:val="0"/>
        <w:adjustRightInd w:val="0"/>
        <w:jc w:val="both"/>
        <w:rPr>
          <w:sz w:val="22"/>
          <w:szCs w:val="22"/>
          <w:lang w:val="sr-Latn-ME"/>
        </w:rPr>
      </w:pPr>
    </w:p>
    <w:p w14:paraId="7D04BADF" w14:textId="453EB320" w:rsidR="00AD08E5" w:rsidRPr="00840456" w:rsidRDefault="00AD08E5" w:rsidP="00AD08E5">
      <w:pPr>
        <w:tabs>
          <w:tab w:val="left" w:pos="0"/>
        </w:tabs>
        <w:jc w:val="both"/>
        <w:rPr>
          <w:color w:val="000000"/>
          <w:sz w:val="22"/>
          <w:szCs w:val="22"/>
          <w:lang w:val="sr-Latn-ME"/>
        </w:rPr>
      </w:pPr>
      <w:r w:rsidRPr="00840456">
        <w:rPr>
          <w:color w:val="000000"/>
          <w:sz w:val="22"/>
          <w:szCs w:val="22"/>
          <w:lang w:val="sr-Latn-ME"/>
        </w:rPr>
        <w:t>Prijavljeni su slučajevi reaktivacije hepatitisa B kod pacijenata koji su prethodno bili inficirani virusom hepatitisa B (HBV) i koji su istovremeno primali TNF-antagoniste, uključujući Enbrel. Prijavljeni slučajevi su uključivali i reaktivaciju hepatitisa B kod pacijenata koju su bili anti-HBc pozitivni, ali HBsAg negativni. Pacijente treba testirati na HBV infekciju prije početka primjene lijeka Enbrel. Za pacijente kod kojih se jave pozitivni rezultati na prisustvo HBV infekcije, preporučuje se konsultovanje sa ljekarom koji ima iskustva u liječenju hepatitisa B.</w:t>
      </w:r>
      <w:r w:rsidR="00086073" w:rsidRPr="00840456">
        <w:rPr>
          <w:color w:val="000000"/>
          <w:sz w:val="22"/>
          <w:szCs w:val="22"/>
          <w:lang w:val="sr-Latn-ME"/>
        </w:rPr>
        <w:t xml:space="preserve"> </w:t>
      </w:r>
      <w:r w:rsidRPr="00840456">
        <w:rPr>
          <w:color w:val="000000"/>
          <w:sz w:val="22"/>
          <w:szCs w:val="22"/>
          <w:lang w:val="sr-Latn-ME"/>
        </w:rPr>
        <w:t>Treba biti posebno oprezan prilikom primjene lijeka Enbrel kod pacijenata koji su prethodno bili inficirani virusom hepatitisa B. Ove pacijente treba nadgledati da ne razviju znakove i simptome aktivne HBV infekcije, tokom terapije i nekoliko nedjelja nakon prekida terapije. Nijesu dostupni adekvatni podaci od pacijenata inficiranih virusom hepatitisa B liječenih anti-virusnom terapijom udruženom sa TNF-antagonistima. Kod pacijenata kod kojih se razvije HBV infekcija, treba prekinuti upotrebu lijeka Enbrel i treba započeti efektivnu antivirusnu terapiju uz odgovarajuće suportivno liječenje.</w:t>
      </w:r>
    </w:p>
    <w:p w14:paraId="4B3DB454" w14:textId="01B136EE" w:rsidR="00AD08E5" w:rsidRPr="00840456" w:rsidRDefault="00AD08E5" w:rsidP="00AD08E5">
      <w:pPr>
        <w:widowControl w:val="0"/>
        <w:autoSpaceDE w:val="0"/>
        <w:autoSpaceDN w:val="0"/>
        <w:adjustRightInd w:val="0"/>
        <w:spacing w:line="228" w:lineRule="exact"/>
        <w:jc w:val="both"/>
        <w:rPr>
          <w:color w:val="000000"/>
          <w:sz w:val="22"/>
          <w:szCs w:val="22"/>
          <w:lang w:val="sr-Latn-ME"/>
        </w:rPr>
      </w:pPr>
    </w:p>
    <w:p w14:paraId="193BE837"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Pogoršanje hepatitisa C</w:t>
      </w:r>
    </w:p>
    <w:p w14:paraId="2A483676" w14:textId="77777777" w:rsidR="00AD08E5" w:rsidRPr="00840456" w:rsidRDefault="00AD08E5" w:rsidP="00AD08E5">
      <w:pPr>
        <w:widowControl w:val="0"/>
        <w:autoSpaceDE w:val="0"/>
        <w:autoSpaceDN w:val="0"/>
        <w:adjustRightInd w:val="0"/>
        <w:jc w:val="both"/>
        <w:rPr>
          <w:sz w:val="22"/>
          <w:szCs w:val="22"/>
          <w:lang w:val="sr-Latn-ME"/>
        </w:rPr>
      </w:pPr>
    </w:p>
    <w:p w14:paraId="2F5E145A" w14:textId="77777777" w:rsidR="00AD08E5" w:rsidRPr="00840456" w:rsidRDefault="00AD08E5" w:rsidP="00AD08E5">
      <w:pPr>
        <w:widowControl w:val="0"/>
        <w:overflowPunct w:val="0"/>
        <w:autoSpaceDE w:val="0"/>
        <w:autoSpaceDN w:val="0"/>
        <w:adjustRightInd w:val="0"/>
        <w:spacing w:line="256" w:lineRule="auto"/>
        <w:jc w:val="both"/>
        <w:rPr>
          <w:sz w:val="22"/>
          <w:szCs w:val="22"/>
          <w:lang w:val="sr-Latn-ME"/>
        </w:rPr>
      </w:pPr>
      <w:r w:rsidRPr="00840456">
        <w:rPr>
          <w:color w:val="000000"/>
          <w:sz w:val="22"/>
          <w:szCs w:val="22"/>
          <w:lang w:val="sr-Latn-ME"/>
        </w:rPr>
        <w:t>Prijavljeni su slučajevi pogoršanja hepatitisa C kod pacijenata koji su primali lijek Enbrel. Neophodan je oprez ukoliko se Enbrel primjenjuje kod pacijenata sa anamnezom hepatitisa C.</w:t>
      </w:r>
    </w:p>
    <w:p w14:paraId="473F7F1C" w14:textId="77777777" w:rsidR="00AD08E5" w:rsidRPr="00840456" w:rsidRDefault="00AD08E5" w:rsidP="00AD08E5">
      <w:pPr>
        <w:widowControl w:val="0"/>
        <w:autoSpaceDE w:val="0"/>
        <w:autoSpaceDN w:val="0"/>
        <w:adjustRightInd w:val="0"/>
        <w:spacing w:line="205" w:lineRule="exact"/>
        <w:jc w:val="both"/>
        <w:rPr>
          <w:sz w:val="22"/>
          <w:szCs w:val="22"/>
          <w:lang w:val="sr-Latn-ME"/>
        </w:rPr>
      </w:pPr>
    </w:p>
    <w:p w14:paraId="69FC3AC6"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Istovremena primjena lijeka Enbrel i anakinre</w:t>
      </w:r>
    </w:p>
    <w:p w14:paraId="0C67A376" w14:textId="77777777" w:rsidR="00AD08E5" w:rsidRPr="00840456" w:rsidRDefault="00AD08E5" w:rsidP="00AD08E5">
      <w:pPr>
        <w:widowControl w:val="0"/>
        <w:autoSpaceDE w:val="0"/>
        <w:autoSpaceDN w:val="0"/>
        <w:adjustRightInd w:val="0"/>
        <w:jc w:val="both"/>
        <w:rPr>
          <w:sz w:val="22"/>
          <w:szCs w:val="22"/>
          <w:lang w:val="sr-Latn-ME"/>
        </w:rPr>
      </w:pPr>
    </w:p>
    <w:p w14:paraId="7EF69E0F" w14:textId="540BBFBA" w:rsidR="00AD08E5" w:rsidRPr="00840456" w:rsidRDefault="00AD08E5" w:rsidP="00AD08E5">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 xml:space="preserve">U odnosu na monoterapiju lijekom Enbrel, istovremena primjena lijeka Enbrel i anakinre povezana je sa povećanim rizikom nastanka ozbiljnih infekcija i neutropenije. Ova kombinacija nije pokazala povećanje korisnog kliničkog efekta, pa se ne preporučuje istovremena primjena lijeka Enbrel i anakinre (vidjeti </w:t>
      </w:r>
      <w:r w:rsidR="00086073" w:rsidRPr="00840456">
        <w:rPr>
          <w:color w:val="000000"/>
          <w:sz w:val="22"/>
          <w:szCs w:val="22"/>
          <w:lang w:val="sr-Latn-ME"/>
        </w:rPr>
        <w:t>dio</w:t>
      </w:r>
      <w:r w:rsidRPr="00840456">
        <w:rPr>
          <w:color w:val="000000"/>
          <w:sz w:val="22"/>
          <w:szCs w:val="22"/>
          <w:lang w:val="sr-Latn-ME"/>
        </w:rPr>
        <w:t xml:space="preserve"> 4.5 i 4.8).</w:t>
      </w:r>
    </w:p>
    <w:p w14:paraId="561AAE7E" w14:textId="77777777" w:rsidR="00AD08E5" w:rsidRPr="00840456" w:rsidRDefault="00AD08E5" w:rsidP="00AD08E5">
      <w:pPr>
        <w:widowControl w:val="0"/>
        <w:autoSpaceDE w:val="0"/>
        <w:autoSpaceDN w:val="0"/>
        <w:adjustRightInd w:val="0"/>
        <w:spacing w:line="221" w:lineRule="exact"/>
        <w:jc w:val="both"/>
        <w:rPr>
          <w:sz w:val="22"/>
          <w:szCs w:val="22"/>
          <w:lang w:val="sr-Latn-ME"/>
        </w:rPr>
      </w:pPr>
    </w:p>
    <w:p w14:paraId="58A4FA27" w14:textId="77777777" w:rsidR="00AD08E5" w:rsidRPr="00840456" w:rsidRDefault="00AD08E5" w:rsidP="00AD08E5">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Istovremena primjena lijeka Enbrel i abatacepta</w:t>
      </w:r>
    </w:p>
    <w:p w14:paraId="4C1D96F7" w14:textId="77777777" w:rsidR="00AD08E5" w:rsidRPr="00840456" w:rsidRDefault="00AD08E5" w:rsidP="00AD08E5">
      <w:pPr>
        <w:widowControl w:val="0"/>
        <w:autoSpaceDE w:val="0"/>
        <w:autoSpaceDN w:val="0"/>
        <w:adjustRightInd w:val="0"/>
        <w:jc w:val="both"/>
        <w:rPr>
          <w:sz w:val="22"/>
          <w:szCs w:val="22"/>
          <w:lang w:val="sr-Latn-ME"/>
        </w:rPr>
      </w:pPr>
    </w:p>
    <w:p w14:paraId="263551AE" w14:textId="61C72E9D" w:rsidR="00AD08E5" w:rsidRPr="00840456" w:rsidRDefault="00AD08E5" w:rsidP="00AD08E5">
      <w:pPr>
        <w:widowControl w:val="0"/>
        <w:overflowPunct w:val="0"/>
        <w:autoSpaceDE w:val="0"/>
        <w:autoSpaceDN w:val="0"/>
        <w:adjustRightInd w:val="0"/>
        <w:spacing w:line="247" w:lineRule="auto"/>
        <w:jc w:val="both"/>
        <w:rPr>
          <w:sz w:val="22"/>
          <w:szCs w:val="22"/>
          <w:lang w:val="sr-Latn-ME"/>
        </w:rPr>
      </w:pPr>
      <w:r w:rsidRPr="00840456">
        <w:rPr>
          <w:color w:val="000000"/>
          <w:sz w:val="22"/>
          <w:szCs w:val="22"/>
          <w:lang w:val="sr-Latn-ME"/>
        </w:rPr>
        <w:t xml:space="preserve">U kliničkim studijama, istovremena primjena abatacepta i lijeka Enbrel dovela je do povećanog ispoljavanja ozbiljnih neželjenih reakcija. Ova kombinacija nije pokazala povećanje korisnog kliničkog efekata, pa se ne preporučuje upotreba ove kombinacije ljekova (vidjeti </w:t>
      </w:r>
      <w:r w:rsidR="00D3347B" w:rsidRPr="00840456">
        <w:rPr>
          <w:color w:val="000000"/>
          <w:sz w:val="22"/>
          <w:szCs w:val="22"/>
          <w:lang w:val="sr-Latn-ME"/>
        </w:rPr>
        <w:t>dio</w:t>
      </w:r>
      <w:r w:rsidRPr="00840456">
        <w:rPr>
          <w:color w:val="000000"/>
          <w:sz w:val="22"/>
          <w:szCs w:val="22"/>
          <w:lang w:val="sr-Latn-ME"/>
        </w:rPr>
        <w:t xml:space="preserve"> 4.5).</w:t>
      </w:r>
    </w:p>
    <w:p w14:paraId="668B52C8" w14:textId="77777777" w:rsidR="00AD08E5" w:rsidRPr="00840456" w:rsidRDefault="00AD08E5" w:rsidP="00AD08E5">
      <w:pPr>
        <w:widowControl w:val="0"/>
        <w:autoSpaceDE w:val="0"/>
        <w:autoSpaceDN w:val="0"/>
        <w:adjustRightInd w:val="0"/>
        <w:spacing w:line="219" w:lineRule="exact"/>
        <w:jc w:val="both"/>
        <w:rPr>
          <w:sz w:val="22"/>
          <w:szCs w:val="22"/>
          <w:lang w:val="sr-Latn-ME"/>
        </w:rPr>
      </w:pPr>
    </w:p>
    <w:p w14:paraId="09F3A2F1" w14:textId="77777777" w:rsidR="00AD08E5" w:rsidRPr="00840456" w:rsidRDefault="00AD08E5" w:rsidP="00AD08E5">
      <w:pPr>
        <w:widowControl w:val="0"/>
        <w:autoSpaceDE w:val="0"/>
        <w:autoSpaceDN w:val="0"/>
        <w:adjustRightInd w:val="0"/>
        <w:jc w:val="both"/>
        <w:rPr>
          <w:bCs/>
          <w:color w:val="000000"/>
          <w:sz w:val="22"/>
          <w:szCs w:val="22"/>
          <w:u w:val="single"/>
          <w:lang w:val="sr-Latn-ME"/>
        </w:rPr>
      </w:pPr>
      <w:r w:rsidRPr="00840456">
        <w:rPr>
          <w:bCs/>
          <w:color w:val="000000"/>
          <w:sz w:val="22"/>
          <w:szCs w:val="22"/>
          <w:u w:val="single"/>
          <w:lang w:val="sr-Latn-ME"/>
        </w:rPr>
        <w:t>Alergijske reakcije</w:t>
      </w:r>
    </w:p>
    <w:p w14:paraId="49F29092" w14:textId="77777777" w:rsidR="00AD08E5" w:rsidRPr="00840456" w:rsidRDefault="00AD08E5" w:rsidP="00AD08E5">
      <w:pPr>
        <w:widowControl w:val="0"/>
        <w:autoSpaceDE w:val="0"/>
        <w:autoSpaceDN w:val="0"/>
        <w:adjustRightInd w:val="0"/>
        <w:jc w:val="both"/>
        <w:rPr>
          <w:b/>
          <w:bCs/>
          <w:color w:val="000000"/>
          <w:sz w:val="22"/>
          <w:szCs w:val="22"/>
          <w:lang w:val="sr-Latn-ME"/>
        </w:rPr>
      </w:pPr>
    </w:p>
    <w:p w14:paraId="1AD49147" w14:textId="77777777" w:rsidR="00AD08E5" w:rsidRPr="00840456" w:rsidRDefault="00AD08E5" w:rsidP="00AD08E5">
      <w:pPr>
        <w:tabs>
          <w:tab w:val="left" w:pos="284"/>
          <w:tab w:val="center" w:pos="4320"/>
          <w:tab w:val="right" w:pos="8640"/>
        </w:tabs>
        <w:jc w:val="both"/>
        <w:rPr>
          <w:color w:val="000000"/>
          <w:sz w:val="22"/>
          <w:szCs w:val="22"/>
          <w:lang w:val="sr-Latn-ME"/>
        </w:rPr>
      </w:pPr>
      <w:r w:rsidRPr="00840456">
        <w:rPr>
          <w:color w:val="000000"/>
          <w:sz w:val="22"/>
          <w:szCs w:val="22"/>
          <w:lang w:val="sr-Latn-ME"/>
        </w:rPr>
        <w:t xml:space="preserve">Alergijske reakcije vezane za primjenu lijeka Enbrel su često prijavljivane. Alergijske reakcije uključuju angioedem i urtikariju, a javljaju se i ozbiljne reakcije. Ukoliko dođe do ozbiljne alergijske ili anafilaktičke reakcije, terapiju lijekom Enbrel treba odmah prekinuti i započeti odgovarajuću terapiju. </w:t>
      </w:r>
    </w:p>
    <w:p w14:paraId="43FE1103" w14:textId="77777777" w:rsidR="00AD08E5" w:rsidRPr="00840456" w:rsidRDefault="00AD08E5" w:rsidP="00AD08E5">
      <w:pPr>
        <w:tabs>
          <w:tab w:val="left" w:pos="284"/>
          <w:tab w:val="center" w:pos="4320"/>
          <w:tab w:val="right" w:pos="8640"/>
        </w:tabs>
        <w:jc w:val="both"/>
        <w:rPr>
          <w:color w:val="000000"/>
          <w:sz w:val="22"/>
          <w:szCs w:val="22"/>
          <w:lang w:val="sr-Latn-ME"/>
        </w:rPr>
      </w:pPr>
    </w:p>
    <w:p w14:paraId="6C7B7B90" w14:textId="1C61B488" w:rsidR="00AD08E5" w:rsidRPr="00840456" w:rsidRDefault="00AD08E5" w:rsidP="00AD08E5">
      <w:pPr>
        <w:tabs>
          <w:tab w:val="left" w:pos="284"/>
          <w:tab w:val="center" w:pos="4320"/>
          <w:tab w:val="right" w:pos="8640"/>
        </w:tabs>
        <w:jc w:val="both"/>
        <w:rPr>
          <w:color w:val="000000"/>
          <w:sz w:val="22"/>
          <w:szCs w:val="22"/>
          <w:lang w:val="sr-Latn-ME"/>
        </w:rPr>
      </w:pPr>
      <w:r w:rsidRPr="00840456">
        <w:rPr>
          <w:color w:val="000000"/>
          <w:sz w:val="22"/>
          <w:szCs w:val="22"/>
          <w:lang w:val="sr-Latn-ME"/>
        </w:rPr>
        <w:t>Zaštitni poklopac igle napunjenog injekcionog šprica sadrži lateks (suva prirodna guma), koji može izazvati reakcije preosjetljivosti kod osoba koje daju ili primaju Enbrel, a kod kojih je utvrđena ili se sumnja na preosjetljivost na lateks.</w:t>
      </w:r>
    </w:p>
    <w:p w14:paraId="49AE77A3" w14:textId="77777777" w:rsidR="008146EA" w:rsidRPr="00840456" w:rsidRDefault="008146EA" w:rsidP="008146EA">
      <w:pPr>
        <w:pStyle w:val="Header"/>
        <w:tabs>
          <w:tab w:val="left" w:pos="284"/>
        </w:tabs>
        <w:jc w:val="both"/>
        <w:rPr>
          <w:color w:val="000000"/>
          <w:sz w:val="22"/>
          <w:szCs w:val="22"/>
          <w:lang w:val="sr-Latn-ME"/>
        </w:rPr>
      </w:pPr>
    </w:p>
    <w:p w14:paraId="45307A56"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Imunosupresija</w:t>
      </w:r>
    </w:p>
    <w:p w14:paraId="6FD21213" w14:textId="77777777" w:rsidR="008146EA" w:rsidRPr="00840456" w:rsidRDefault="008146EA" w:rsidP="008146EA">
      <w:pPr>
        <w:widowControl w:val="0"/>
        <w:autoSpaceDE w:val="0"/>
        <w:autoSpaceDN w:val="0"/>
        <w:adjustRightInd w:val="0"/>
        <w:jc w:val="both"/>
        <w:rPr>
          <w:sz w:val="22"/>
          <w:szCs w:val="22"/>
          <w:lang w:val="sr-Latn-ME"/>
        </w:rPr>
      </w:pPr>
    </w:p>
    <w:p w14:paraId="690C6520" w14:textId="77777777" w:rsidR="008146EA" w:rsidRPr="00840456" w:rsidRDefault="008146EA" w:rsidP="008146EA">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 xml:space="preserve">Prilikom primjene lijeka Enbrel, kao i kod drugih TNF-antagonista, postoji mogućnost štetnog uticaja lijeka na odbrambene mehanizme koji štite od infekcija i maligniteta, budući da TNF učestvuje u procesu </w:t>
      </w:r>
      <w:r w:rsidRPr="00840456">
        <w:rPr>
          <w:color w:val="000000"/>
          <w:sz w:val="22"/>
          <w:szCs w:val="22"/>
          <w:lang w:val="sr-Latn-ME"/>
        </w:rPr>
        <w:lastRenderedPageBreak/>
        <w:t>inflamacije i ćelijskog imunog odgovora. U studiji na 49 odraslih pacijenata sa reumatoidnim artritisom koji su liječeni lijekom Enbrel, nije bilo dokaza smanjenja reakcija hiperosjetljivosti kasnog tipa, smanjenja nivoa imunoglobulina ili promjene u redosljedu efektornih ćelijskih populacija.</w:t>
      </w:r>
    </w:p>
    <w:p w14:paraId="1B907124" w14:textId="77777777" w:rsidR="008146EA" w:rsidRPr="00840456" w:rsidRDefault="008146EA" w:rsidP="008146EA">
      <w:pPr>
        <w:widowControl w:val="0"/>
        <w:autoSpaceDE w:val="0"/>
        <w:autoSpaceDN w:val="0"/>
        <w:adjustRightInd w:val="0"/>
        <w:spacing w:line="222" w:lineRule="exact"/>
        <w:jc w:val="both"/>
        <w:rPr>
          <w:sz w:val="22"/>
          <w:szCs w:val="22"/>
          <w:lang w:val="sr-Latn-ME"/>
        </w:rPr>
      </w:pPr>
    </w:p>
    <w:p w14:paraId="0F5136DE" w14:textId="77777777" w:rsidR="008146EA" w:rsidRPr="00840456" w:rsidRDefault="008146EA" w:rsidP="008146EA">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 xml:space="preserve">Kod dva pacijenta sa juvenilnim idiopatskim artritisom prijavljene su infekcije varičelama sa znacima i simptomima aseptičnog meningitisa; oporavak je bio bez posljedica. Pacijentima koji su izloženi virusu varičele treba odmah prekinuti terapiju lijekom Enbrel, i razmotriti profilaktičku terapiju sa </w:t>
      </w:r>
      <w:r w:rsidRPr="00840456">
        <w:rPr>
          <w:i/>
          <w:iCs/>
          <w:color w:val="000000"/>
          <w:sz w:val="22"/>
          <w:szCs w:val="22"/>
          <w:lang w:val="sr-Latn-ME"/>
        </w:rPr>
        <w:t>Varicella</w:t>
      </w:r>
      <w:r w:rsidRPr="00840456">
        <w:rPr>
          <w:color w:val="000000"/>
          <w:sz w:val="22"/>
          <w:szCs w:val="22"/>
          <w:lang w:val="sr-Latn-ME"/>
        </w:rPr>
        <w:t xml:space="preserve"> </w:t>
      </w:r>
      <w:r w:rsidRPr="00840456">
        <w:rPr>
          <w:i/>
          <w:iCs/>
          <w:color w:val="000000"/>
          <w:sz w:val="22"/>
          <w:szCs w:val="22"/>
          <w:lang w:val="sr-Latn-ME"/>
        </w:rPr>
        <w:t xml:space="preserve">Zoster </w:t>
      </w:r>
      <w:r w:rsidRPr="00840456">
        <w:rPr>
          <w:color w:val="000000"/>
          <w:sz w:val="22"/>
          <w:szCs w:val="22"/>
          <w:lang w:val="sr-Latn-ME"/>
        </w:rPr>
        <w:t>imunoglobulinom.</w:t>
      </w:r>
    </w:p>
    <w:p w14:paraId="39B28C62" w14:textId="77777777" w:rsidR="008146EA" w:rsidRPr="00840456" w:rsidRDefault="008146EA" w:rsidP="008146EA">
      <w:pPr>
        <w:widowControl w:val="0"/>
        <w:autoSpaceDE w:val="0"/>
        <w:autoSpaceDN w:val="0"/>
        <w:adjustRightInd w:val="0"/>
        <w:spacing w:line="220" w:lineRule="exact"/>
        <w:jc w:val="both"/>
        <w:rPr>
          <w:sz w:val="22"/>
          <w:szCs w:val="22"/>
          <w:lang w:val="sr-Latn-ME"/>
        </w:rPr>
      </w:pPr>
    </w:p>
    <w:p w14:paraId="11C06C1D" w14:textId="77777777" w:rsidR="008146EA" w:rsidRPr="00840456" w:rsidRDefault="008146EA" w:rsidP="008146EA">
      <w:pPr>
        <w:widowControl w:val="0"/>
        <w:overflowPunct w:val="0"/>
        <w:autoSpaceDE w:val="0"/>
        <w:autoSpaceDN w:val="0"/>
        <w:adjustRightInd w:val="0"/>
        <w:spacing w:line="262" w:lineRule="auto"/>
        <w:jc w:val="both"/>
        <w:rPr>
          <w:sz w:val="22"/>
          <w:szCs w:val="22"/>
          <w:lang w:val="sr-Latn-ME"/>
        </w:rPr>
      </w:pPr>
      <w:r w:rsidRPr="00840456">
        <w:rPr>
          <w:color w:val="000000"/>
          <w:sz w:val="22"/>
          <w:szCs w:val="22"/>
          <w:lang w:val="sr-Latn-ME"/>
        </w:rPr>
        <w:t>Bezbjednost i efikasnost primjene lijeka Enbrel kod pacijenata sa imunosupresijom ili hroničnim infekcijama nije utvrđena.</w:t>
      </w:r>
    </w:p>
    <w:p w14:paraId="1E004637" w14:textId="77777777" w:rsidR="008146EA" w:rsidRPr="00840456" w:rsidRDefault="008146EA" w:rsidP="008146EA">
      <w:pPr>
        <w:widowControl w:val="0"/>
        <w:autoSpaceDE w:val="0"/>
        <w:autoSpaceDN w:val="0"/>
        <w:adjustRightInd w:val="0"/>
        <w:spacing w:line="201" w:lineRule="exact"/>
        <w:jc w:val="both"/>
        <w:rPr>
          <w:sz w:val="22"/>
          <w:szCs w:val="22"/>
          <w:lang w:val="sr-Latn-ME"/>
        </w:rPr>
      </w:pPr>
    </w:p>
    <w:p w14:paraId="0B926FDE"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Maligniteti i limfoproliferativni poremećaji</w:t>
      </w:r>
    </w:p>
    <w:p w14:paraId="0BDA60DB" w14:textId="77777777" w:rsidR="008146EA" w:rsidRPr="00840456" w:rsidRDefault="008146EA" w:rsidP="008146EA">
      <w:pPr>
        <w:widowControl w:val="0"/>
        <w:autoSpaceDE w:val="0"/>
        <w:autoSpaceDN w:val="0"/>
        <w:adjustRightInd w:val="0"/>
        <w:spacing w:line="258" w:lineRule="exact"/>
        <w:jc w:val="both"/>
        <w:rPr>
          <w:sz w:val="22"/>
          <w:szCs w:val="22"/>
          <w:lang w:val="sr-Latn-ME"/>
        </w:rPr>
      </w:pPr>
    </w:p>
    <w:p w14:paraId="66541D4A" w14:textId="31543A64" w:rsidR="008146EA" w:rsidRPr="00840456" w:rsidRDefault="008146EA" w:rsidP="00815D34">
      <w:pPr>
        <w:widowControl w:val="0"/>
        <w:autoSpaceDE w:val="0"/>
        <w:autoSpaceDN w:val="0"/>
        <w:adjustRightInd w:val="0"/>
        <w:jc w:val="both"/>
        <w:rPr>
          <w:sz w:val="22"/>
          <w:szCs w:val="22"/>
          <w:lang w:val="sr-Latn-ME"/>
        </w:rPr>
      </w:pPr>
      <w:r w:rsidRPr="00840456">
        <w:rPr>
          <w:i/>
          <w:color w:val="000000"/>
          <w:sz w:val="22"/>
          <w:szCs w:val="22"/>
          <w:lang w:val="sr-Latn-ME"/>
        </w:rPr>
        <w:t>Lokalizovani i hematopoetski maligniteti (isključujući karcinome kože)</w:t>
      </w:r>
    </w:p>
    <w:p w14:paraId="43F48E07" w14:textId="0750E3C0" w:rsidR="008146EA" w:rsidRPr="00840456" w:rsidRDefault="008146EA" w:rsidP="008146EA">
      <w:pPr>
        <w:widowControl w:val="0"/>
        <w:overflowPunct w:val="0"/>
        <w:autoSpaceDE w:val="0"/>
        <w:autoSpaceDN w:val="0"/>
        <w:adjustRightInd w:val="0"/>
        <w:spacing w:line="258" w:lineRule="auto"/>
        <w:jc w:val="both"/>
        <w:rPr>
          <w:sz w:val="22"/>
          <w:szCs w:val="22"/>
          <w:lang w:val="sr-Latn-ME"/>
        </w:rPr>
      </w:pPr>
      <w:r w:rsidRPr="00840456">
        <w:rPr>
          <w:color w:val="000000"/>
          <w:sz w:val="22"/>
          <w:szCs w:val="22"/>
          <w:lang w:val="sr-Latn-ME"/>
        </w:rPr>
        <w:t xml:space="preserve">U post-marketinškom periodu su prijavljeni različiti maligniteti (uključujući karcinom dojke, karcinom pluća i limfome) (vidjeti </w:t>
      </w:r>
      <w:r w:rsidR="00D3347B" w:rsidRPr="00840456">
        <w:rPr>
          <w:color w:val="000000"/>
          <w:sz w:val="22"/>
          <w:szCs w:val="22"/>
          <w:lang w:val="sr-Latn-ME"/>
        </w:rPr>
        <w:t>dio</w:t>
      </w:r>
      <w:r w:rsidRPr="00840456">
        <w:rPr>
          <w:color w:val="000000"/>
          <w:sz w:val="22"/>
          <w:szCs w:val="22"/>
          <w:lang w:val="sr-Latn-ME"/>
        </w:rPr>
        <w:t xml:space="preserve"> 4.8).</w:t>
      </w:r>
    </w:p>
    <w:p w14:paraId="17F97CD6" w14:textId="77777777" w:rsidR="008146EA" w:rsidRPr="00840456" w:rsidRDefault="008146EA" w:rsidP="008146EA">
      <w:pPr>
        <w:widowControl w:val="0"/>
        <w:autoSpaceDE w:val="0"/>
        <w:autoSpaceDN w:val="0"/>
        <w:adjustRightInd w:val="0"/>
        <w:spacing w:line="204" w:lineRule="exact"/>
        <w:jc w:val="both"/>
        <w:rPr>
          <w:sz w:val="22"/>
          <w:szCs w:val="22"/>
          <w:lang w:val="sr-Latn-ME"/>
        </w:rPr>
      </w:pPr>
    </w:p>
    <w:p w14:paraId="5936CC7F" w14:textId="453DF2EC" w:rsidR="008146EA" w:rsidRPr="00840456" w:rsidRDefault="008146EA" w:rsidP="008146EA">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Rezultati djelova kontrolisanih ispitivanja TNF-antagonista ukazuju na veći broj prim</w:t>
      </w:r>
      <w:r w:rsidR="00D3347B" w:rsidRPr="00840456">
        <w:rPr>
          <w:color w:val="000000"/>
          <w:sz w:val="22"/>
          <w:szCs w:val="22"/>
          <w:lang w:val="sr-Latn-ME"/>
        </w:rPr>
        <w:t>i</w:t>
      </w:r>
      <w:r w:rsidRPr="00840456">
        <w:rPr>
          <w:color w:val="000000"/>
          <w:sz w:val="22"/>
          <w:szCs w:val="22"/>
          <w:lang w:val="sr-Latn-ME"/>
        </w:rPr>
        <w:t>jećenih limfoma u grupi pacijenata koji su primali TNF-antagoniste u poređenju sa kontrolnom grupom. Međutim, zabilježena učestalost pojave limfoma je rijetka, a i vrijeme praćenja pacijenata u placebo grupi je bilo kraće nego kod grupe koja je primala TNF-antagoniste.</w:t>
      </w:r>
    </w:p>
    <w:p w14:paraId="26500B2A" w14:textId="77777777" w:rsidR="008146EA" w:rsidRPr="00840456" w:rsidRDefault="008146EA" w:rsidP="008146EA">
      <w:pPr>
        <w:widowControl w:val="0"/>
        <w:autoSpaceDE w:val="0"/>
        <w:autoSpaceDN w:val="0"/>
        <w:adjustRightInd w:val="0"/>
        <w:spacing w:line="1" w:lineRule="exact"/>
        <w:jc w:val="both"/>
        <w:rPr>
          <w:sz w:val="22"/>
          <w:szCs w:val="22"/>
          <w:lang w:val="sr-Latn-ME"/>
        </w:rPr>
      </w:pPr>
    </w:p>
    <w:p w14:paraId="67C91ABB" w14:textId="77777777" w:rsidR="008146EA" w:rsidRPr="00840456" w:rsidRDefault="008146EA" w:rsidP="008146EA">
      <w:pPr>
        <w:widowControl w:val="0"/>
        <w:overflowPunct w:val="0"/>
        <w:autoSpaceDE w:val="0"/>
        <w:autoSpaceDN w:val="0"/>
        <w:adjustRightInd w:val="0"/>
        <w:spacing w:line="237" w:lineRule="auto"/>
        <w:jc w:val="both"/>
        <w:rPr>
          <w:sz w:val="22"/>
          <w:szCs w:val="22"/>
          <w:lang w:val="sr-Latn-ME"/>
        </w:rPr>
      </w:pPr>
      <w:r w:rsidRPr="00840456">
        <w:rPr>
          <w:color w:val="000000"/>
          <w:sz w:val="22"/>
          <w:szCs w:val="22"/>
          <w:lang w:val="sr-Latn-ME"/>
        </w:rPr>
        <w:t>U post-marketinškom praćenju, prijavljeni su slučajevi leukemije kod pacijenata na terapiji TNF-antagonistima. Primijećen je povećan rizik nastanka limfoma i leukemije kod pacijenata sa reumatoidnim artritisom, sa dugotrajnim i veoma aktivnim inflamatornim oboljenjem, koje otežava procjenu rizika.</w:t>
      </w:r>
    </w:p>
    <w:p w14:paraId="291354EC" w14:textId="77777777" w:rsidR="008146EA" w:rsidRPr="00840456" w:rsidRDefault="008146EA" w:rsidP="008146EA">
      <w:pPr>
        <w:widowControl w:val="0"/>
        <w:autoSpaceDE w:val="0"/>
        <w:autoSpaceDN w:val="0"/>
        <w:adjustRightInd w:val="0"/>
        <w:spacing w:line="225" w:lineRule="exact"/>
        <w:jc w:val="both"/>
        <w:rPr>
          <w:sz w:val="22"/>
          <w:szCs w:val="22"/>
          <w:lang w:val="sr-Latn-ME"/>
        </w:rPr>
      </w:pPr>
    </w:p>
    <w:p w14:paraId="65ADA52B" w14:textId="77777777" w:rsidR="008146EA" w:rsidRPr="00840456" w:rsidRDefault="008146EA" w:rsidP="008146EA">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Prema dosadašnjim saznanjima, ne može se isključiti mogući rizik nastanka limfoma, leukemije ili drugih hematopoetskih i lokalizovanih maligniteta kod pacijenata koji su liječeni TNF-antagonistima. Oprez je neophodan kada je u pitanju terapija TNF antagonistima za pacijente sa istorijom maligniteta ili kada je u pitanju nastavak terapije kod pacijenata kod kojih je malignitet u razvoju.</w:t>
      </w:r>
    </w:p>
    <w:p w14:paraId="51A64EBE" w14:textId="77777777" w:rsidR="008146EA" w:rsidRPr="00840456" w:rsidRDefault="008146EA" w:rsidP="008146EA">
      <w:pPr>
        <w:widowControl w:val="0"/>
        <w:autoSpaceDE w:val="0"/>
        <w:autoSpaceDN w:val="0"/>
        <w:adjustRightInd w:val="0"/>
        <w:spacing w:line="220" w:lineRule="exact"/>
        <w:jc w:val="both"/>
        <w:rPr>
          <w:sz w:val="22"/>
          <w:szCs w:val="22"/>
          <w:lang w:val="sr-Latn-ME"/>
        </w:rPr>
      </w:pPr>
    </w:p>
    <w:p w14:paraId="7427ACFB" w14:textId="77777777" w:rsidR="008146EA" w:rsidRPr="00840456" w:rsidRDefault="008146EA" w:rsidP="008146EA">
      <w:pPr>
        <w:pStyle w:val="Header"/>
        <w:tabs>
          <w:tab w:val="left" w:pos="284"/>
        </w:tabs>
        <w:jc w:val="both"/>
        <w:rPr>
          <w:color w:val="000000"/>
          <w:sz w:val="22"/>
          <w:szCs w:val="22"/>
          <w:lang w:val="sr-Latn-ME"/>
        </w:rPr>
      </w:pPr>
      <w:r w:rsidRPr="00840456">
        <w:rPr>
          <w:color w:val="000000"/>
          <w:sz w:val="22"/>
          <w:szCs w:val="22"/>
          <w:lang w:val="sr-Latn-ME"/>
        </w:rPr>
        <w:t xml:space="preserve">Maligniteti, od kojih su neki imali fatalni ishod, su prijavljeni kod djece, adolescenata i kod mladih (do 22 godine života) koji su primali TNF-antagoniste (početak terapije ≤ 18 godina života), uključujući Enbrel pri post-marketinškom praćenju. Približno polovina od svih slučajeva su bili limfomi. Ostali slučajevi predstavljaju mnoštvo različitih maligniteta i uključuju rijetke malignitete tipično povezane sa imunosupresijom. Rizik razvoja maligniteta kod djece i adolescenata na terapiji TNF-antagonistima ne može biti zanemaren. </w:t>
      </w:r>
    </w:p>
    <w:p w14:paraId="312410D8" w14:textId="77777777" w:rsidR="008146EA" w:rsidRPr="00840456" w:rsidRDefault="008146EA" w:rsidP="008146EA">
      <w:pPr>
        <w:pStyle w:val="Header"/>
        <w:tabs>
          <w:tab w:val="left" w:pos="284"/>
        </w:tabs>
        <w:jc w:val="both"/>
        <w:rPr>
          <w:sz w:val="22"/>
          <w:szCs w:val="22"/>
          <w:lang w:val="sr-Latn-ME"/>
        </w:rPr>
      </w:pPr>
    </w:p>
    <w:p w14:paraId="566F4AF0" w14:textId="749D2E15" w:rsidR="008146EA" w:rsidRPr="00840456" w:rsidRDefault="008146EA" w:rsidP="008146EA">
      <w:pPr>
        <w:widowControl w:val="0"/>
        <w:autoSpaceDE w:val="0"/>
        <w:autoSpaceDN w:val="0"/>
        <w:adjustRightInd w:val="0"/>
        <w:jc w:val="both"/>
        <w:rPr>
          <w:sz w:val="22"/>
          <w:szCs w:val="22"/>
          <w:lang w:val="sr-Latn-ME"/>
        </w:rPr>
      </w:pPr>
      <w:r w:rsidRPr="00840456">
        <w:rPr>
          <w:bCs/>
          <w:i/>
          <w:color w:val="000000"/>
          <w:sz w:val="22"/>
          <w:szCs w:val="22"/>
          <w:lang w:val="sr-Latn-ME"/>
        </w:rPr>
        <w:t>Karcinomi kože</w:t>
      </w:r>
    </w:p>
    <w:p w14:paraId="069AC550" w14:textId="4CFDE07A" w:rsidR="008146EA" w:rsidRPr="00840456" w:rsidRDefault="008146EA" w:rsidP="008146EA">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Melanomski i ne-melanomski karcinomi kože (NMSC) su prijavljeni kod pacijenata koji su liječeni TNF-antagonistima, uključuj</w:t>
      </w:r>
      <w:r w:rsidR="00415658" w:rsidRPr="00840456">
        <w:rPr>
          <w:color w:val="000000"/>
          <w:sz w:val="22"/>
          <w:szCs w:val="22"/>
          <w:lang w:val="sr-Latn-ME"/>
        </w:rPr>
        <w:t>u</w:t>
      </w:r>
      <w:r w:rsidRPr="00840456">
        <w:rPr>
          <w:color w:val="000000"/>
          <w:sz w:val="22"/>
          <w:szCs w:val="22"/>
          <w:lang w:val="sr-Latn-ME"/>
        </w:rPr>
        <w:t>ći i lijek Enbrel. Postmarketinški slučajevi karcinoma Merkelovih ćelija su prijavljeni sa neodređenom učestalošću kod pacijanata liječenih lijekom Enbrel. Periodični pregled kože se preporučuje za sve pacijente koji su sa povećanim rizikom od nastanka karcinoma kože.</w:t>
      </w:r>
    </w:p>
    <w:p w14:paraId="7A9045A8" w14:textId="77777777" w:rsidR="008146EA" w:rsidRPr="00840456" w:rsidRDefault="008146EA" w:rsidP="008146EA">
      <w:pPr>
        <w:widowControl w:val="0"/>
        <w:autoSpaceDE w:val="0"/>
        <w:autoSpaceDN w:val="0"/>
        <w:adjustRightInd w:val="0"/>
        <w:spacing w:line="220" w:lineRule="exact"/>
        <w:jc w:val="both"/>
        <w:rPr>
          <w:sz w:val="22"/>
          <w:szCs w:val="22"/>
          <w:lang w:val="sr-Latn-ME"/>
        </w:rPr>
      </w:pPr>
    </w:p>
    <w:p w14:paraId="0BCD35B2" w14:textId="707E94C0" w:rsidR="008146EA" w:rsidRPr="00840456" w:rsidRDefault="008146EA" w:rsidP="008146EA">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Kombinujući rezultate kontrolisanih d</w:t>
      </w:r>
      <w:r w:rsidR="00415658" w:rsidRPr="00840456">
        <w:rPr>
          <w:color w:val="000000"/>
          <w:sz w:val="22"/>
          <w:szCs w:val="22"/>
          <w:lang w:val="sr-Latn-ME"/>
        </w:rPr>
        <w:t>j</w:t>
      </w:r>
      <w:r w:rsidRPr="00840456">
        <w:rPr>
          <w:color w:val="000000"/>
          <w:sz w:val="22"/>
          <w:szCs w:val="22"/>
          <w:lang w:val="sr-Latn-ME"/>
        </w:rPr>
        <w:t>elova kliničkih studija za lijek Enbrel, većina slučajeva NMSC je primijećena kod pacijenata koji su primali lijek Enbrel u poređenju sa pacijentima koji su bili u kontrolnoj grupi, posebno kod pacijenata sa psorijazom.</w:t>
      </w:r>
    </w:p>
    <w:p w14:paraId="5A91A449" w14:textId="77777777" w:rsidR="008146EA" w:rsidRPr="00840456" w:rsidRDefault="008146EA" w:rsidP="008146EA">
      <w:pPr>
        <w:widowControl w:val="0"/>
        <w:autoSpaceDE w:val="0"/>
        <w:autoSpaceDN w:val="0"/>
        <w:adjustRightInd w:val="0"/>
        <w:spacing w:line="214" w:lineRule="exact"/>
        <w:jc w:val="both"/>
        <w:rPr>
          <w:sz w:val="22"/>
          <w:szCs w:val="22"/>
          <w:lang w:val="sr-Latn-ME"/>
        </w:rPr>
      </w:pPr>
    </w:p>
    <w:p w14:paraId="20586E52"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Vakcinacije</w:t>
      </w:r>
    </w:p>
    <w:p w14:paraId="7B8D058B" w14:textId="77777777" w:rsidR="008146EA" w:rsidRPr="00840456" w:rsidRDefault="008146EA" w:rsidP="008146EA">
      <w:pPr>
        <w:widowControl w:val="0"/>
        <w:autoSpaceDE w:val="0"/>
        <w:autoSpaceDN w:val="0"/>
        <w:adjustRightInd w:val="0"/>
        <w:jc w:val="both"/>
        <w:rPr>
          <w:sz w:val="22"/>
          <w:szCs w:val="22"/>
          <w:lang w:val="sr-Latn-ME"/>
        </w:rPr>
      </w:pPr>
    </w:p>
    <w:p w14:paraId="6C1AA9D1" w14:textId="166DED35" w:rsidR="008146EA" w:rsidRPr="00840456" w:rsidRDefault="008146EA" w:rsidP="008146EA">
      <w:pPr>
        <w:widowControl w:val="0"/>
        <w:overflowPunct w:val="0"/>
        <w:autoSpaceDE w:val="0"/>
        <w:autoSpaceDN w:val="0"/>
        <w:adjustRightInd w:val="0"/>
        <w:spacing w:line="239" w:lineRule="auto"/>
        <w:jc w:val="both"/>
        <w:rPr>
          <w:color w:val="000000"/>
          <w:sz w:val="22"/>
          <w:szCs w:val="22"/>
          <w:lang w:val="sr-Latn-ME"/>
        </w:rPr>
      </w:pPr>
      <w:r w:rsidRPr="00840456">
        <w:rPr>
          <w:color w:val="000000"/>
          <w:sz w:val="22"/>
          <w:szCs w:val="22"/>
          <w:lang w:val="sr-Latn-ME"/>
        </w:rPr>
        <w:t xml:space="preserve">Žive vakcine ne treba davati istovremeno sa lijekom Enbrel. Nema podataka o sekundarnoj transmisiji infekcija živim vakcinama kod pacijenata koji primaju lijek Enbrel. U duplo-slijepoj, placebo-kontrolisanoj randomizovanoj kliničkoj studiji 184 odrasla pacijenta sa psorijaznim artritisom su u 4. nedjelji primili polivalentnu pneumokoknu polisaharidnu vakcinu. Većina pacijenata sa psorijaznim artritisom koji su primali Enbrel u ovoj studiji je postigla efikasan imunološki odgovor B-ćelija na pneumokoknu polisaharidnu vakcinu, s tim da je titar u agregatu bio umjereno niži. Kod nekoliko pacijenata zabilježene su dva puta veće vrijednosti titra u odnosu na pacijente koji nijesu primali lijek </w:t>
      </w:r>
      <w:r w:rsidRPr="00840456">
        <w:rPr>
          <w:color w:val="000000"/>
          <w:sz w:val="22"/>
          <w:szCs w:val="22"/>
          <w:lang w:val="sr-Latn-ME"/>
        </w:rPr>
        <w:lastRenderedPageBreak/>
        <w:t>Enbrel. Klinički značaj ovoga nije utvrđen.</w:t>
      </w:r>
    </w:p>
    <w:p w14:paraId="60389D4B" w14:textId="77777777" w:rsidR="00415658" w:rsidRPr="00840456" w:rsidRDefault="00415658" w:rsidP="008146EA">
      <w:pPr>
        <w:widowControl w:val="0"/>
        <w:overflowPunct w:val="0"/>
        <w:autoSpaceDE w:val="0"/>
        <w:autoSpaceDN w:val="0"/>
        <w:adjustRightInd w:val="0"/>
        <w:spacing w:line="239" w:lineRule="auto"/>
        <w:jc w:val="both"/>
        <w:rPr>
          <w:sz w:val="22"/>
          <w:szCs w:val="22"/>
          <w:lang w:val="sr-Latn-ME"/>
        </w:rPr>
      </w:pPr>
    </w:p>
    <w:p w14:paraId="34E72E84"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Formiranje autoantitijela</w:t>
      </w:r>
    </w:p>
    <w:p w14:paraId="23F04C68" w14:textId="77777777" w:rsidR="008146EA" w:rsidRPr="00840456" w:rsidRDefault="008146EA" w:rsidP="008146EA">
      <w:pPr>
        <w:widowControl w:val="0"/>
        <w:autoSpaceDE w:val="0"/>
        <w:autoSpaceDN w:val="0"/>
        <w:adjustRightInd w:val="0"/>
        <w:spacing w:line="253" w:lineRule="exact"/>
        <w:jc w:val="both"/>
        <w:rPr>
          <w:sz w:val="22"/>
          <w:szCs w:val="22"/>
          <w:lang w:val="sr-Latn-ME"/>
        </w:rPr>
      </w:pPr>
    </w:p>
    <w:p w14:paraId="54AFEC13" w14:textId="1231C53A" w:rsidR="008146EA" w:rsidRPr="00840456" w:rsidRDefault="008146EA" w:rsidP="008146EA">
      <w:pPr>
        <w:widowControl w:val="0"/>
        <w:autoSpaceDE w:val="0"/>
        <w:autoSpaceDN w:val="0"/>
        <w:adjustRightInd w:val="0"/>
        <w:jc w:val="both"/>
        <w:rPr>
          <w:sz w:val="22"/>
          <w:szCs w:val="22"/>
          <w:lang w:val="sr-Latn-ME"/>
        </w:rPr>
      </w:pPr>
      <w:r w:rsidRPr="00840456">
        <w:rPr>
          <w:color w:val="000000"/>
          <w:sz w:val="22"/>
          <w:szCs w:val="22"/>
          <w:lang w:val="sr-Latn-ME"/>
        </w:rPr>
        <w:t xml:space="preserve">Tokom terapije lijekom Enbrel može da dođe do formiranja autoantitijela (vidjeti </w:t>
      </w:r>
      <w:r w:rsidR="001A3F28" w:rsidRPr="00840456">
        <w:rPr>
          <w:color w:val="000000"/>
          <w:sz w:val="22"/>
          <w:szCs w:val="22"/>
          <w:lang w:val="sr-Latn-ME"/>
        </w:rPr>
        <w:t>dio</w:t>
      </w:r>
      <w:r w:rsidRPr="00840456">
        <w:rPr>
          <w:color w:val="000000"/>
          <w:sz w:val="22"/>
          <w:szCs w:val="22"/>
          <w:lang w:val="sr-Latn-ME"/>
        </w:rPr>
        <w:t xml:space="preserve"> 4.8).</w:t>
      </w:r>
    </w:p>
    <w:p w14:paraId="7C007AE0" w14:textId="77777777" w:rsidR="008146EA" w:rsidRPr="00840456" w:rsidRDefault="008146EA" w:rsidP="008146EA">
      <w:pPr>
        <w:widowControl w:val="0"/>
        <w:autoSpaceDE w:val="0"/>
        <w:autoSpaceDN w:val="0"/>
        <w:adjustRightInd w:val="0"/>
        <w:jc w:val="both"/>
        <w:rPr>
          <w:sz w:val="22"/>
          <w:szCs w:val="22"/>
          <w:lang w:val="sr-Latn-ME"/>
        </w:rPr>
      </w:pPr>
    </w:p>
    <w:p w14:paraId="3976EBBF"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Hematološke reakcije</w:t>
      </w:r>
    </w:p>
    <w:p w14:paraId="223EC858" w14:textId="77777777" w:rsidR="008146EA" w:rsidRPr="00840456" w:rsidRDefault="008146EA" w:rsidP="008146EA">
      <w:pPr>
        <w:widowControl w:val="0"/>
        <w:autoSpaceDE w:val="0"/>
        <w:autoSpaceDN w:val="0"/>
        <w:adjustRightInd w:val="0"/>
        <w:jc w:val="both"/>
        <w:rPr>
          <w:sz w:val="22"/>
          <w:szCs w:val="22"/>
          <w:lang w:val="sr-Latn-ME"/>
        </w:rPr>
      </w:pPr>
    </w:p>
    <w:p w14:paraId="5D989628" w14:textId="233D60C3" w:rsidR="008146EA" w:rsidRPr="00840456" w:rsidRDefault="008146EA" w:rsidP="008146EA">
      <w:pPr>
        <w:pStyle w:val="Header"/>
        <w:tabs>
          <w:tab w:val="left" w:pos="284"/>
        </w:tabs>
        <w:jc w:val="both"/>
        <w:rPr>
          <w:color w:val="000000"/>
          <w:sz w:val="22"/>
          <w:szCs w:val="22"/>
          <w:lang w:val="sr-Latn-ME"/>
        </w:rPr>
      </w:pPr>
      <w:r w:rsidRPr="00840456">
        <w:rPr>
          <w:color w:val="000000"/>
          <w:sz w:val="22"/>
          <w:szCs w:val="22"/>
          <w:lang w:val="sr-Latn-ME"/>
        </w:rPr>
        <w:t>Tokom primjene lijeka Enbrel rijetko su prijavljivani slučajevi pancitopenije i veoma rijetko slučajevi aplastične anemije; neki od njih su bili sa fatalnim ishodom. Pacijente sa anamnezom krvnih diskrazija koji su liječeni lijekom Enbrel treba pratiti sa posebnim oprezom. Sve pacijente koji primaju Enbrel i roditelje/staratelje treba savjetovati da se odmah obrate ljekaru u slučaju da se kod pacijenata pojave znaci i simptomi karakteristični za krvne diskrazije ili infekcije (</w:t>
      </w:r>
      <w:r w:rsidR="001A3F28" w:rsidRPr="00840456">
        <w:rPr>
          <w:color w:val="000000"/>
          <w:sz w:val="22"/>
          <w:szCs w:val="22"/>
          <w:lang w:val="sr-Latn-ME"/>
        </w:rPr>
        <w:t xml:space="preserve">npr. </w:t>
      </w:r>
      <w:r w:rsidRPr="00840456">
        <w:rPr>
          <w:color w:val="000000"/>
          <w:sz w:val="22"/>
          <w:szCs w:val="22"/>
          <w:lang w:val="sr-Latn-ME"/>
        </w:rPr>
        <w:t xml:space="preserve">uporna temperatura, upala grla, pojava modrica, krvarenje, bljedilo). Takve pacijente treba odmah pregledati, uključujući i pregled krvne slike; ukoliko se utvrdi da se radi o krvnoj diskraziji, treba prekinuti primjenu lijeka Enbrel. </w:t>
      </w:r>
    </w:p>
    <w:p w14:paraId="41C57398" w14:textId="77777777" w:rsidR="008146EA" w:rsidRPr="00840456" w:rsidRDefault="008146EA" w:rsidP="008146EA">
      <w:pPr>
        <w:pStyle w:val="Header"/>
        <w:tabs>
          <w:tab w:val="left" w:pos="284"/>
        </w:tabs>
        <w:jc w:val="both"/>
        <w:rPr>
          <w:color w:val="000000"/>
          <w:sz w:val="22"/>
          <w:szCs w:val="22"/>
          <w:lang w:val="sr-Latn-ME"/>
        </w:rPr>
      </w:pPr>
    </w:p>
    <w:p w14:paraId="4EF059BF"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Neurološki poremećaji</w:t>
      </w:r>
    </w:p>
    <w:p w14:paraId="75AFD1D2" w14:textId="77777777" w:rsidR="008146EA" w:rsidRPr="00840456" w:rsidRDefault="008146EA" w:rsidP="008146EA">
      <w:pPr>
        <w:widowControl w:val="0"/>
        <w:autoSpaceDE w:val="0"/>
        <w:autoSpaceDN w:val="0"/>
        <w:adjustRightInd w:val="0"/>
        <w:jc w:val="both"/>
        <w:rPr>
          <w:sz w:val="22"/>
          <w:szCs w:val="22"/>
          <w:lang w:val="sr-Latn-ME"/>
        </w:rPr>
      </w:pPr>
    </w:p>
    <w:p w14:paraId="75115288" w14:textId="20FBF0C4" w:rsidR="008146EA" w:rsidRPr="00840456" w:rsidRDefault="008146EA" w:rsidP="008146EA">
      <w:pPr>
        <w:pStyle w:val="Header"/>
        <w:tabs>
          <w:tab w:val="left" w:pos="284"/>
        </w:tabs>
        <w:jc w:val="both"/>
        <w:rPr>
          <w:color w:val="000000"/>
          <w:sz w:val="22"/>
          <w:szCs w:val="22"/>
          <w:lang w:val="sr-Latn-ME"/>
        </w:rPr>
      </w:pPr>
      <w:r w:rsidRPr="00840456">
        <w:rPr>
          <w:color w:val="000000"/>
          <w:sz w:val="22"/>
          <w:szCs w:val="22"/>
          <w:lang w:val="sr-Latn-ME"/>
        </w:rPr>
        <w:t xml:space="preserve">Kod pacijenata koji primaju lijek Enbrel prijavljeni su rijetki slučajevi demijelinizujuće bolesti CNS-a (vidjeti </w:t>
      </w:r>
      <w:r w:rsidR="001A3F28" w:rsidRPr="00840456">
        <w:rPr>
          <w:color w:val="000000"/>
          <w:sz w:val="22"/>
          <w:szCs w:val="22"/>
          <w:lang w:val="sr-Latn-ME"/>
        </w:rPr>
        <w:t xml:space="preserve">dio </w:t>
      </w:r>
      <w:r w:rsidRPr="00840456">
        <w:rPr>
          <w:color w:val="000000"/>
          <w:sz w:val="22"/>
          <w:szCs w:val="22"/>
          <w:lang w:val="sr-Latn-ME"/>
        </w:rPr>
        <w:t xml:space="preserve">4.8). Dodatno, prijavljeni su rijetki slučajevi perifernih demijenilizirajućih polineuropatija (uključujući Guillain-Barré sindrom, hroničnu inflamatornu demijelinizirajuću polineuropatiju, demijelinizirajuću polineuropatiju i multifokalnu motornu polineuropatiju). Iako nijesu rađene kliničke studije kojima bi se procijenila primjena lijeka Enbrel kod pacijenata oboljelih od multiple skleroze, kliničke studije sa drugim TNF antagonistima kod pacijenata sa multiplom sklerozom su pokazale pojačanje aktivnosti bolesti. Pažljiva procjena odnosa korist/rizik, uključujući i procjenu neurološkog statusa, preporučuje se u slučaju da se lijek Enbrel propisuje osobama sa postojećim ili skoro utvrđenim demijelinizirajućim poremećajima, ili osobama kod kojih postoji povećan rizik za razvoj demijelinizirajućih poremećaja CNS-a. </w:t>
      </w:r>
    </w:p>
    <w:p w14:paraId="34982551" w14:textId="77777777" w:rsidR="008146EA" w:rsidRPr="00840456" w:rsidRDefault="008146EA" w:rsidP="008146EA">
      <w:pPr>
        <w:pStyle w:val="Header"/>
        <w:tabs>
          <w:tab w:val="left" w:pos="284"/>
        </w:tabs>
        <w:jc w:val="both"/>
        <w:rPr>
          <w:sz w:val="22"/>
          <w:szCs w:val="22"/>
          <w:lang w:val="sr-Latn-ME"/>
        </w:rPr>
      </w:pPr>
    </w:p>
    <w:p w14:paraId="4BDC5C48"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Kombinovana terapija</w:t>
      </w:r>
    </w:p>
    <w:p w14:paraId="5FCD1769" w14:textId="77777777" w:rsidR="008146EA" w:rsidRPr="00840456" w:rsidRDefault="008146EA" w:rsidP="008146EA">
      <w:pPr>
        <w:widowControl w:val="0"/>
        <w:autoSpaceDE w:val="0"/>
        <w:autoSpaceDN w:val="0"/>
        <w:adjustRightInd w:val="0"/>
        <w:jc w:val="both"/>
        <w:rPr>
          <w:sz w:val="22"/>
          <w:szCs w:val="22"/>
          <w:lang w:val="sr-Latn-ME"/>
        </w:rPr>
      </w:pPr>
    </w:p>
    <w:p w14:paraId="5A080E81" w14:textId="77777777" w:rsidR="008146EA" w:rsidRPr="00840456" w:rsidRDefault="008146EA" w:rsidP="008146EA">
      <w:pPr>
        <w:widowControl w:val="0"/>
        <w:overflowPunct w:val="0"/>
        <w:autoSpaceDE w:val="0"/>
        <w:autoSpaceDN w:val="0"/>
        <w:adjustRightInd w:val="0"/>
        <w:spacing w:line="239" w:lineRule="auto"/>
        <w:jc w:val="both"/>
        <w:rPr>
          <w:sz w:val="22"/>
          <w:szCs w:val="22"/>
          <w:lang w:val="sr-Latn-ME"/>
        </w:rPr>
      </w:pPr>
      <w:r w:rsidRPr="00840456">
        <w:rPr>
          <w:color w:val="000000"/>
          <w:sz w:val="22"/>
          <w:szCs w:val="22"/>
          <w:lang w:val="sr-Latn-ME"/>
        </w:rPr>
        <w:t>Tokom kontrolisane kliničke studije koja je trajala dvije godine, kombinovana primjena lijeka Enbrel i metotreksata kod odraslih pacijenata sa reumatoidnim artritisom nije pokazala neočekivane neželjene efekte; profil neželjenih reakcija lijeka Enbrel u kombinaciji sa metotreksatom je sličan profilu dobijenom pojedinačnim odvojenim studijama lijeka Enbrel i metotreksata. U toku su studije koje imaju cilj da procijene bezbjednost primjene kombinacije tokom dužeg vremenskog perioda. Nijesu rađene dugotrajne studije koje bi ispitale bezbjednost primjene lijeka Enbrel u kombinaciji sa drugim antireumatskim ljekovima (DMARD) koji mijenjaju tok bolesti.</w:t>
      </w:r>
    </w:p>
    <w:p w14:paraId="02215245" w14:textId="77777777" w:rsidR="008146EA" w:rsidRPr="00840456" w:rsidRDefault="008146EA" w:rsidP="008146EA">
      <w:pPr>
        <w:widowControl w:val="0"/>
        <w:autoSpaceDE w:val="0"/>
        <w:autoSpaceDN w:val="0"/>
        <w:adjustRightInd w:val="0"/>
        <w:spacing w:line="230" w:lineRule="exact"/>
        <w:jc w:val="both"/>
        <w:rPr>
          <w:sz w:val="22"/>
          <w:szCs w:val="22"/>
          <w:lang w:val="sr-Latn-ME"/>
        </w:rPr>
      </w:pPr>
    </w:p>
    <w:p w14:paraId="535DC7A7" w14:textId="77777777" w:rsidR="008146EA" w:rsidRPr="00840456" w:rsidRDefault="008146EA" w:rsidP="008146EA">
      <w:pPr>
        <w:widowControl w:val="0"/>
        <w:overflowPunct w:val="0"/>
        <w:autoSpaceDE w:val="0"/>
        <w:autoSpaceDN w:val="0"/>
        <w:adjustRightInd w:val="0"/>
        <w:spacing w:line="262" w:lineRule="auto"/>
        <w:jc w:val="both"/>
        <w:rPr>
          <w:sz w:val="22"/>
          <w:szCs w:val="22"/>
          <w:lang w:val="sr-Latn-ME"/>
        </w:rPr>
      </w:pPr>
      <w:r w:rsidRPr="00840456">
        <w:rPr>
          <w:color w:val="000000"/>
          <w:sz w:val="22"/>
          <w:szCs w:val="22"/>
          <w:lang w:val="sr-Latn-ME"/>
        </w:rPr>
        <w:t>Nijesu rađena ispitivanja primjene kombinovane terapije lijeka Enbrel i drugih sistemskih ljekova ili fototerapije za liječenje psorijaze.</w:t>
      </w:r>
    </w:p>
    <w:p w14:paraId="4FC1406A" w14:textId="77777777" w:rsidR="008146EA" w:rsidRPr="00840456" w:rsidRDefault="008146EA" w:rsidP="008146EA">
      <w:pPr>
        <w:widowControl w:val="0"/>
        <w:autoSpaceDE w:val="0"/>
        <w:autoSpaceDN w:val="0"/>
        <w:adjustRightInd w:val="0"/>
        <w:spacing w:line="206" w:lineRule="exact"/>
        <w:jc w:val="both"/>
        <w:rPr>
          <w:sz w:val="22"/>
          <w:szCs w:val="22"/>
          <w:lang w:val="sr-Latn-ME"/>
        </w:rPr>
      </w:pPr>
    </w:p>
    <w:p w14:paraId="43D0FED2"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Poremećaj funkcije bubrega ili jetre</w:t>
      </w:r>
    </w:p>
    <w:p w14:paraId="43CC8FBC" w14:textId="77777777" w:rsidR="008146EA" w:rsidRPr="00840456" w:rsidRDefault="008146EA" w:rsidP="008146EA">
      <w:pPr>
        <w:widowControl w:val="0"/>
        <w:autoSpaceDE w:val="0"/>
        <w:autoSpaceDN w:val="0"/>
        <w:adjustRightInd w:val="0"/>
        <w:spacing w:line="15" w:lineRule="exact"/>
        <w:jc w:val="both"/>
        <w:rPr>
          <w:sz w:val="22"/>
          <w:szCs w:val="22"/>
          <w:u w:val="single"/>
          <w:lang w:val="sr-Latn-ME"/>
        </w:rPr>
      </w:pPr>
    </w:p>
    <w:p w14:paraId="19B30A26" w14:textId="77777777" w:rsidR="008146EA" w:rsidRPr="00840456" w:rsidRDefault="008146EA" w:rsidP="008146EA">
      <w:pPr>
        <w:widowControl w:val="0"/>
        <w:overflowPunct w:val="0"/>
        <w:autoSpaceDE w:val="0"/>
        <w:autoSpaceDN w:val="0"/>
        <w:adjustRightInd w:val="0"/>
        <w:jc w:val="both"/>
        <w:rPr>
          <w:color w:val="000000"/>
          <w:sz w:val="22"/>
          <w:szCs w:val="22"/>
          <w:lang w:val="sr-Latn-ME"/>
        </w:rPr>
      </w:pPr>
    </w:p>
    <w:p w14:paraId="04990809" w14:textId="7C505C87" w:rsidR="008146EA" w:rsidRPr="00840456" w:rsidRDefault="008146EA" w:rsidP="008146EA">
      <w:pPr>
        <w:widowControl w:val="0"/>
        <w:overflowPunct w:val="0"/>
        <w:autoSpaceDE w:val="0"/>
        <w:autoSpaceDN w:val="0"/>
        <w:adjustRightInd w:val="0"/>
        <w:spacing w:line="238" w:lineRule="auto"/>
        <w:jc w:val="both"/>
        <w:rPr>
          <w:sz w:val="22"/>
          <w:szCs w:val="22"/>
          <w:lang w:val="sr-Latn-ME"/>
        </w:rPr>
      </w:pPr>
      <w:r w:rsidRPr="00840456">
        <w:rPr>
          <w:color w:val="000000"/>
          <w:sz w:val="22"/>
          <w:szCs w:val="22"/>
          <w:lang w:val="sr-Latn-ME"/>
        </w:rPr>
        <w:t xml:space="preserve">Na osnovu farmakokinetičkih podataka (vidjeti </w:t>
      </w:r>
      <w:r w:rsidR="00745601" w:rsidRPr="00840456">
        <w:rPr>
          <w:color w:val="000000"/>
          <w:sz w:val="22"/>
          <w:szCs w:val="22"/>
          <w:lang w:val="sr-Latn-ME"/>
        </w:rPr>
        <w:t>dio</w:t>
      </w:r>
      <w:r w:rsidRPr="00840456">
        <w:rPr>
          <w:color w:val="000000"/>
          <w:sz w:val="22"/>
          <w:szCs w:val="22"/>
          <w:lang w:val="sr-Latn-ME"/>
        </w:rPr>
        <w:t xml:space="preserve"> 5.2) nije potrebno prilagođavanje doze kod pacijenata sa oštećenjem funkcije bubrega ili jetre, iako je kliničko iskustvo kod takvih pacijenata ograničeno.</w:t>
      </w:r>
    </w:p>
    <w:p w14:paraId="7DD5E588" w14:textId="77777777" w:rsidR="008146EA" w:rsidRPr="00840456" w:rsidRDefault="008146EA" w:rsidP="008146EA">
      <w:pPr>
        <w:widowControl w:val="0"/>
        <w:autoSpaceDE w:val="0"/>
        <w:autoSpaceDN w:val="0"/>
        <w:adjustRightInd w:val="0"/>
        <w:spacing w:line="225" w:lineRule="exact"/>
        <w:jc w:val="both"/>
        <w:rPr>
          <w:sz w:val="22"/>
          <w:szCs w:val="22"/>
          <w:lang w:val="sr-Latn-ME"/>
        </w:rPr>
      </w:pPr>
    </w:p>
    <w:p w14:paraId="11D38F51"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Kongestivna srčana insuficijencija</w:t>
      </w:r>
      <w:r w:rsidRPr="00840456">
        <w:rPr>
          <w:sz w:val="22"/>
          <w:szCs w:val="22"/>
          <w:u w:val="single"/>
          <w:lang w:val="sr-Latn-ME"/>
        </w:rPr>
        <w:t xml:space="preserve"> (kongestivno popuštanje srca)</w:t>
      </w:r>
    </w:p>
    <w:p w14:paraId="7C2DC21B" w14:textId="77777777" w:rsidR="008146EA" w:rsidRPr="00840456" w:rsidRDefault="008146EA" w:rsidP="008146EA">
      <w:pPr>
        <w:widowControl w:val="0"/>
        <w:autoSpaceDE w:val="0"/>
        <w:autoSpaceDN w:val="0"/>
        <w:adjustRightInd w:val="0"/>
        <w:jc w:val="both"/>
        <w:rPr>
          <w:sz w:val="22"/>
          <w:szCs w:val="22"/>
          <w:lang w:val="sr-Latn-ME"/>
        </w:rPr>
      </w:pPr>
    </w:p>
    <w:p w14:paraId="027C820B" w14:textId="77777777" w:rsidR="008146EA" w:rsidRPr="00840456" w:rsidRDefault="008146EA" w:rsidP="008146EA">
      <w:pPr>
        <w:widowControl w:val="0"/>
        <w:overflowPunct w:val="0"/>
        <w:autoSpaceDE w:val="0"/>
        <w:autoSpaceDN w:val="0"/>
        <w:adjustRightInd w:val="0"/>
        <w:jc w:val="both"/>
        <w:rPr>
          <w:color w:val="000000"/>
          <w:sz w:val="22"/>
          <w:szCs w:val="22"/>
          <w:lang w:val="sr-Latn-ME"/>
        </w:rPr>
      </w:pPr>
      <w:r w:rsidRPr="00840456">
        <w:rPr>
          <w:color w:val="000000"/>
          <w:sz w:val="22"/>
          <w:szCs w:val="22"/>
          <w:lang w:val="sr-Latn-ME"/>
        </w:rPr>
        <w:t xml:space="preserve">Ljekari treba oprezno da primjenjuju lijek Enbrel kod pacijenata sa kongestivnom srčanom insuficijencijom (CHF). </w:t>
      </w:r>
    </w:p>
    <w:p w14:paraId="7D9599C3" w14:textId="77777777" w:rsidR="008146EA" w:rsidRPr="00840456" w:rsidRDefault="008146EA" w:rsidP="008146EA">
      <w:pPr>
        <w:widowControl w:val="0"/>
        <w:overflowPunct w:val="0"/>
        <w:autoSpaceDE w:val="0"/>
        <w:autoSpaceDN w:val="0"/>
        <w:adjustRightInd w:val="0"/>
        <w:jc w:val="both"/>
        <w:rPr>
          <w:color w:val="000000"/>
          <w:sz w:val="22"/>
          <w:szCs w:val="22"/>
          <w:lang w:val="sr-Latn-ME"/>
        </w:rPr>
      </w:pPr>
    </w:p>
    <w:p w14:paraId="6F38CFC4" w14:textId="31FA9244" w:rsidR="008146EA" w:rsidRPr="00840456" w:rsidRDefault="008146EA" w:rsidP="008146EA">
      <w:pPr>
        <w:widowControl w:val="0"/>
        <w:overflowPunct w:val="0"/>
        <w:autoSpaceDE w:val="0"/>
        <w:autoSpaceDN w:val="0"/>
        <w:adjustRightInd w:val="0"/>
        <w:jc w:val="both"/>
        <w:rPr>
          <w:sz w:val="22"/>
          <w:szCs w:val="22"/>
          <w:lang w:val="sr-Latn-ME"/>
        </w:rPr>
      </w:pPr>
      <w:r w:rsidRPr="00840456">
        <w:rPr>
          <w:color w:val="000000"/>
          <w:sz w:val="22"/>
          <w:szCs w:val="22"/>
          <w:lang w:val="sr-Latn-ME"/>
        </w:rPr>
        <w:t xml:space="preserve">Bilo je postmarketinških izvještaja u kojima je kod pacijenata liječenih lijekom Enbrel konstatovano pogoršanje kongestivne srčane insuficijencije, sa i bez prepoznatljivih precipitirajućih faktora. </w:t>
      </w:r>
      <w:r w:rsidRPr="00840456">
        <w:rPr>
          <w:sz w:val="22"/>
          <w:szCs w:val="22"/>
          <w:lang w:val="sr-Latn-ME"/>
        </w:rPr>
        <w:t xml:space="preserve">Osim toga, prijavljeni su rijetki slučajevi (&lt; 0,1%) novonastale kongestive srčane insuficijencije, uključujući i razvoj kongestivne srčane insuficijencije kod pacijenata bez poznatih i postojećih kardiovaskularnih </w:t>
      </w:r>
      <w:r w:rsidRPr="00840456">
        <w:rPr>
          <w:sz w:val="22"/>
          <w:szCs w:val="22"/>
          <w:lang w:val="sr-Latn-ME"/>
        </w:rPr>
        <w:lastRenderedPageBreak/>
        <w:t xml:space="preserve">oboljenja. Neki od ovih pacijenata bili su mlađi od 50 godina. </w:t>
      </w:r>
      <w:r w:rsidRPr="00840456">
        <w:rPr>
          <w:color w:val="000000"/>
          <w:sz w:val="22"/>
          <w:szCs w:val="22"/>
          <w:lang w:val="sr-Latn-ME"/>
        </w:rPr>
        <w:t>Dvije velike kliničke studije koje su imale za cilj da procijene primjenu lijeka Enbrel u terapiji kongestivne srčane insuficijencije prekinute su ranije usljed izostanka efekta. Iako nijesu završene, podaci iz jedne od ovih studija ukazuju na pogoršanje kongestivne srčane insuficijencije kod pacijenata koji su liječeni lijekom Enbrel.</w:t>
      </w:r>
    </w:p>
    <w:p w14:paraId="718781C5" w14:textId="77777777" w:rsidR="008146EA" w:rsidRPr="00840456" w:rsidRDefault="008146EA" w:rsidP="008146EA">
      <w:pPr>
        <w:widowControl w:val="0"/>
        <w:autoSpaceDE w:val="0"/>
        <w:autoSpaceDN w:val="0"/>
        <w:adjustRightInd w:val="0"/>
        <w:jc w:val="both"/>
        <w:rPr>
          <w:sz w:val="22"/>
          <w:szCs w:val="22"/>
          <w:lang w:val="sr-Latn-ME"/>
        </w:rPr>
      </w:pPr>
    </w:p>
    <w:p w14:paraId="768A4E3C"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Alkoholni hepatitis</w:t>
      </w:r>
    </w:p>
    <w:p w14:paraId="32E854C0" w14:textId="77777777" w:rsidR="008146EA" w:rsidRPr="00840456" w:rsidRDefault="008146EA" w:rsidP="008146EA">
      <w:pPr>
        <w:widowControl w:val="0"/>
        <w:autoSpaceDE w:val="0"/>
        <w:autoSpaceDN w:val="0"/>
        <w:adjustRightInd w:val="0"/>
        <w:jc w:val="both"/>
        <w:rPr>
          <w:sz w:val="22"/>
          <w:szCs w:val="22"/>
          <w:lang w:val="sr-Latn-ME"/>
        </w:rPr>
      </w:pPr>
    </w:p>
    <w:p w14:paraId="16081475" w14:textId="74CA11D8" w:rsidR="008146EA" w:rsidRPr="00840456" w:rsidRDefault="008146EA" w:rsidP="008146EA">
      <w:pPr>
        <w:pStyle w:val="Header"/>
        <w:tabs>
          <w:tab w:val="left" w:pos="284"/>
        </w:tabs>
        <w:jc w:val="both"/>
        <w:rPr>
          <w:color w:val="000000"/>
          <w:sz w:val="22"/>
          <w:szCs w:val="22"/>
          <w:lang w:val="sr-Latn-ME"/>
        </w:rPr>
      </w:pPr>
      <w:r w:rsidRPr="00840456">
        <w:rPr>
          <w:color w:val="000000"/>
          <w:sz w:val="22"/>
          <w:szCs w:val="22"/>
          <w:lang w:val="sr-Latn-ME"/>
        </w:rPr>
        <w:t xml:space="preserve">U fazi II randomizirane placebo-kontrolisane studije u kojoj je 48 hospitalizovanih pacijenata sa srednjim do teškim oblikom alkoholnog hepatitisa tretirano sa lijekom Enbrel ili placebom, lijek Enbrel nije bio efikasniji i stopa smrtnosti kod pacijenata tretiranih lijekom Enbrel je značajno veća nakon 6 mjeseci. Posljedično, lijek Enbrel ne bi trebalo koristiti za terapiju alkoholnog hepatitisa. Treba biti oprezan ukoliko se uvodi lijek Enbrel kod pacijenata koji imaju srednji do teži oblik alkoholnog hepatitisa. </w:t>
      </w:r>
    </w:p>
    <w:p w14:paraId="4F0583A7" w14:textId="77777777" w:rsidR="008146EA" w:rsidRPr="00840456" w:rsidRDefault="008146EA" w:rsidP="008146EA">
      <w:pPr>
        <w:pStyle w:val="Header"/>
        <w:tabs>
          <w:tab w:val="left" w:pos="284"/>
        </w:tabs>
        <w:jc w:val="both"/>
        <w:rPr>
          <w:color w:val="000000"/>
          <w:sz w:val="22"/>
          <w:szCs w:val="22"/>
          <w:lang w:val="sr-Latn-ME"/>
        </w:rPr>
      </w:pPr>
    </w:p>
    <w:p w14:paraId="21986B85"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Wegenerova granulomatoza</w:t>
      </w:r>
    </w:p>
    <w:p w14:paraId="6F619C97" w14:textId="77777777" w:rsidR="008146EA" w:rsidRPr="00840456" w:rsidRDefault="008146EA" w:rsidP="008146EA">
      <w:pPr>
        <w:widowControl w:val="0"/>
        <w:autoSpaceDE w:val="0"/>
        <w:autoSpaceDN w:val="0"/>
        <w:adjustRightInd w:val="0"/>
        <w:spacing w:line="253" w:lineRule="exact"/>
        <w:jc w:val="both"/>
        <w:rPr>
          <w:sz w:val="22"/>
          <w:szCs w:val="22"/>
          <w:lang w:val="sr-Latn-ME"/>
        </w:rPr>
      </w:pPr>
    </w:p>
    <w:p w14:paraId="0EC12D71" w14:textId="77777777" w:rsidR="008146EA" w:rsidRPr="00840456" w:rsidRDefault="008146EA" w:rsidP="008146EA">
      <w:pPr>
        <w:widowControl w:val="0"/>
        <w:overflowPunct w:val="0"/>
        <w:autoSpaceDE w:val="0"/>
        <w:autoSpaceDN w:val="0"/>
        <w:adjustRightInd w:val="0"/>
        <w:spacing w:line="243" w:lineRule="auto"/>
        <w:jc w:val="both"/>
        <w:rPr>
          <w:sz w:val="22"/>
          <w:szCs w:val="22"/>
          <w:lang w:val="sr-Latn-ME"/>
        </w:rPr>
      </w:pPr>
      <w:r w:rsidRPr="00840456">
        <w:rPr>
          <w:color w:val="000000"/>
          <w:sz w:val="22"/>
          <w:szCs w:val="22"/>
          <w:lang w:val="sr-Latn-ME"/>
        </w:rPr>
        <w:t>Rezultati placebo-kontrolisane studije, srednje dužine trajanja od 25 mjeseci, na 89 odraslih pacijenata koji su primali lijek Enbrel uz standardnu terapiju (uključujući ciklofosfamid ili metotreksat i glukokortikoide), ukazuju na to da lijek Enbrel nije efikasan u liječenju Wegenerove granulomatoze. Incidenca različitih ne-kutanih maligniteta znatno je veća u grupi pacijenata koji su liječeni lijekom Enbrel nego u kontrolnoj grupi. Lijek Enbrel se ne preporučuje za liječenje Wegenerove granulomatoze.</w:t>
      </w:r>
    </w:p>
    <w:p w14:paraId="23F900C6" w14:textId="77777777" w:rsidR="008146EA" w:rsidRPr="00840456" w:rsidRDefault="008146EA" w:rsidP="008146EA">
      <w:pPr>
        <w:widowControl w:val="0"/>
        <w:autoSpaceDE w:val="0"/>
        <w:autoSpaceDN w:val="0"/>
        <w:adjustRightInd w:val="0"/>
        <w:spacing w:line="222" w:lineRule="exact"/>
        <w:jc w:val="both"/>
        <w:rPr>
          <w:sz w:val="22"/>
          <w:szCs w:val="22"/>
          <w:lang w:val="sr-Latn-ME"/>
        </w:rPr>
      </w:pPr>
    </w:p>
    <w:p w14:paraId="229F72AA"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Hipoglikemija kod pacijenata koji primaju terapiju za dijabetes</w:t>
      </w:r>
    </w:p>
    <w:p w14:paraId="59FEA937" w14:textId="77777777" w:rsidR="008146EA" w:rsidRPr="00840456" w:rsidRDefault="008146EA" w:rsidP="008146EA">
      <w:pPr>
        <w:widowControl w:val="0"/>
        <w:autoSpaceDE w:val="0"/>
        <w:autoSpaceDN w:val="0"/>
        <w:adjustRightInd w:val="0"/>
        <w:spacing w:line="253" w:lineRule="exact"/>
        <w:jc w:val="both"/>
        <w:rPr>
          <w:sz w:val="22"/>
          <w:szCs w:val="22"/>
          <w:lang w:val="sr-Latn-ME"/>
        </w:rPr>
      </w:pPr>
    </w:p>
    <w:p w14:paraId="19AE8B6F" w14:textId="77777777" w:rsidR="008146EA" w:rsidRPr="00840456" w:rsidRDefault="008146EA" w:rsidP="008146EA">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Prijavljeni su slučajevi hipoglikemije nakon početka terapije lijekom Enbrel kod pacijenata koji upotrebljavaju ljekove za dijabetes, što je zahtijevalo smanjenje doze antidijabetskih ljekova kod nekih pacijenata.</w:t>
      </w:r>
    </w:p>
    <w:p w14:paraId="5827DCBE" w14:textId="77777777" w:rsidR="008146EA" w:rsidRPr="00840456" w:rsidRDefault="008146EA" w:rsidP="008146EA">
      <w:pPr>
        <w:widowControl w:val="0"/>
        <w:autoSpaceDE w:val="0"/>
        <w:autoSpaceDN w:val="0"/>
        <w:adjustRightInd w:val="0"/>
        <w:spacing w:line="214" w:lineRule="exact"/>
        <w:jc w:val="both"/>
        <w:rPr>
          <w:sz w:val="22"/>
          <w:szCs w:val="22"/>
          <w:lang w:val="sr-Latn-ME"/>
        </w:rPr>
      </w:pPr>
    </w:p>
    <w:p w14:paraId="0C4C4070" w14:textId="77777777" w:rsidR="008146EA" w:rsidRPr="00840456" w:rsidRDefault="008146EA" w:rsidP="008146EA">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Posebne populacije</w:t>
      </w:r>
    </w:p>
    <w:p w14:paraId="6450D33D" w14:textId="77777777" w:rsidR="008146EA" w:rsidRPr="00840456" w:rsidRDefault="008146EA" w:rsidP="008146EA">
      <w:pPr>
        <w:widowControl w:val="0"/>
        <w:autoSpaceDE w:val="0"/>
        <w:autoSpaceDN w:val="0"/>
        <w:adjustRightInd w:val="0"/>
        <w:jc w:val="both"/>
        <w:rPr>
          <w:sz w:val="22"/>
          <w:szCs w:val="22"/>
          <w:lang w:val="sr-Latn-ME"/>
        </w:rPr>
      </w:pPr>
    </w:p>
    <w:p w14:paraId="1630B22D" w14:textId="071B6ED4" w:rsidR="008146EA" w:rsidRPr="00840456" w:rsidRDefault="008146EA" w:rsidP="00815D34">
      <w:pPr>
        <w:jc w:val="both"/>
        <w:rPr>
          <w:sz w:val="22"/>
          <w:szCs w:val="22"/>
          <w:lang w:val="sr-Latn-ME"/>
        </w:rPr>
      </w:pPr>
      <w:r w:rsidRPr="00840456">
        <w:rPr>
          <w:bCs/>
          <w:i/>
          <w:sz w:val="22"/>
          <w:szCs w:val="22"/>
          <w:lang w:val="sr-Latn-ME"/>
        </w:rPr>
        <w:t>Starije osobe</w:t>
      </w:r>
    </w:p>
    <w:p w14:paraId="653036DF" w14:textId="14618BAE" w:rsidR="008146EA" w:rsidRPr="00840456" w:rsidRDefault="008146EA" w:rsidP="008146EA">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U kliničkim studijama III faze kod pacijenata koji su primali lijek Enbrel, sa reumatoidnim artritisom, psorijaznim artritisom i ankilozirajućim spondilitisom, nije zabilježena razlika u neželjenim reakcijama, ozbiljnim neželjenim događajima i ozbiljnim infekcijama kod pacijenata starosti 65 godina i starijih u poređenju sa mlađim pacijentima. Međutim, potreban je oprez prilikom liječenja starijih pacijenata i posebno je potrebno obratiti pažnju na pojavu infekcija.</w:t>
      </w:r>
    </w:p>
    <w:p w14:paraId="05B5F0A4" w14:textId="77777777" w:rsidR="008146EA" w:rsidRPr="00840456" w:rsidRDefault="008146EA" w:rsidP="008146EA">
      <w:pPr>
        <w:widowControl w:val="0"/>
        <w:autoSpaceDE w:val="0"/>
        <w:autoSpaceDN w:val="0"/>
        <w:adjustRightInd w:val="0"/>
        <w:spacing w:line="203" w:lineRule="exact"/>
        <w:jc w:val="both"/>
        <w:rPr>
          <w:sz w:val="22"/>
          <w:szCs w:val="22"/>
          <w:lang w:val="sr-Latn-ME"/>
        </w:rPr>
      </w:pPr>
    </w:p>
    <w:p w14:paraId="2FDD7F13" w14:textId="77777777" w:rsidR="008146EA" w:rsidRPr="00840456" w:rsidRDefault="008146EA" w:rsidP="008146EA">
      <w:pPr>
        <w:widowControl w:val="0"/>
        <w:autoSpaceDE w:val="0"/>
        <w:autoSpaceDN w:val="0"/>
        <w:adjustRightInd w:val="0"/>
        <w:jc w:val="both"/>
        <w:rPr>
          <w:i/>
          <w:sz w:val="22"/>
          <w:szCs w:val="22"/>
          <w:lang w:val="sr-Latn-ME"/>
        </w:rPr>
      </w:pPr>
      <w:r w:rsidRPr="00840456">
        <w:rPr>
          <w:i/>
          <w:color w:val="000000"/>
          <w:sz w:val="22"/>
          <w:szCs w:val="22"/>
          <w:lang w:val="sr-Latn-ME"/>
        </w:rPr>
        <w:t>Pedijatrijska populacija</w:t>
      </w:r>
    </w:p>
    <w:p w14:paraId="5F60B7EB" w14:textId="77777777" w:rsidR="008146EA" w:rsidRPr="00840456" w:rsidRDefault="008146EA" w:rsidP="008146EA">
      <w:pPr>
        <w:widowControl w:val="0"/>
        <w:autoSpaceDE w:val="0"/>
        <w:autoSpaceDN w:val="0"/>
        <w:adjustRightInd w:val="0"/>
        <w:spacing w:line="254" w:lineRule="exact"/>
        <w:jc w:val="both"/>
        <w:rPr>
          <w:sz w:val="22"/>
          <w:szCs w:val="22"/>
          <w:lang w:val="sr-Latn-ME"/>
        </w:rPr>
      </w:pPr>
    </w:p>
    <w:p w14:paraId="1C7C9F2B" w14:textId="77777777" w:rsidR="008146EA" w:rsidRPr="00840456" w:rsidRDefault="008146EA" w:rsidP="008146EA">
      <w:pPr>
        <w:widowControl w:val="0"/>
        <w:autoSpaceDE w:val="0"/>
        <w:autoSpaceDN w:val="0"/>
        <w:adjustRightInd w:val="0"/>
        <w:jc w:val="both"/>
        <w:rPr>
          <w:i/>
          <w:sz w:val="22"/>
          <w:szCs w:val="22"/>
          <w:u w:val="single"/>
          <w:lang w:val="sr-Latn-ME"/>
        </w:rPr>
      </w:pPr>
      <w:r w:rsidRPr="00840456">
        <w:rPr>
          <w:i/>
          <w:color w:val="000000"/>
          <w:sz w:val="22"/>
          <w:szCs w:val="22"/>
          <w:u w:val="single"/>
          <w:lang w:val="sr-Latn-ME"/>
        </w:rPr>
        <w:t>Vakcinacije</w:t>
      </w:r>
    </w:p>
    <w:p w14:paraId="73F30491" w14:textId="77777777" w:rsidR="008146EA" w:rsidRPr="00840456" w:rsidRDefault="008146EA" w:rsidP="008146EA">
      <w:pPr>
        <w:widowControl w:val="0"/>
        <w:autoSpaceDE w:val="0"/>
        <w:autoSpaceDN w:val="0"/>
        <w:adjustRightInd w:val="0"/>
        <w:spacing w:line="254" w:lineRule="exact"/>
        <w:jc w:val="both"/>
        <w:rPr>
          <w:sz w:val="22"/>
          <w:szCs w:val="22"/>
          <w:lang w:val="sr-Latn-ME"/>
        </w:rPr>
      </w:pPr>
    </w:p>
    <w:p w14:paraId="4D03279C" w14:textId="7D384589" w:rsidR="008146EA" w:rsidRPr="00840456" w:rsidRDefault="008146EA" w:rsidP="008146EA">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Preporučuje se da se pedijatrijskim pacijentima, ukoliko je moguće, prije početka terapije lijekom Enbrel izvrši kompletna potrebna imunizacija u skladu sa važećim propisima o imunizaciji</w:t>
      </w:r>
      <w:r w:rsidR="00745601" w:rsidRPr="00840456">
        <w:rPr>
          <w:color w:val="000000"/>
          <w:sz w:val="22"/>
          <w:szCs w:val="22"/>
          <w:lang w:val="sr-Latn-ME"/>
        </w:rPr>
        <w:t xml:space="preserve"> </w:t>
      </w:r>
      <w:r w:rsidRPr="00840456">
        <w:rPr>
          <w:color w:val="000000"/>
          <w:sz w:val="22"/>
          <w:szCs w:val="22"/>
          <w:lang w:val="sr-Latn-ME"/>
        </w:rPr>
        <w:t>(pogledati dio Vakcinacije, iznad).</w:t>
      </w:r>
    </w:p>
    <w:p w14:paraId="0D136C1C" w14:textId="77777777" w:rsidR="008146EA" w:rsidRPr="00840456" w:rsidRDefault="008146EA" w:rsidP="008146EA">
      <w:pPr>
        <w:widowControl w:val="0"/>
        <w:autoSpaceDE w:val="0"/>
        <w:autoSpaceDN w:val="0"/>
        <w:adjustRightInd w:val="0"/>
        <w:spacing w:line="214" w:lineRule="exact"/>
        <w:jc w:val="both"/>
        <w:rPr>
          <w:sz w:val="22"/>
          <w:szCs w:val="22"/>
          <w:lang w:val="sr-Latn-ME"/>
        </w:rPr>
      </w:pPr>
    </w:p>
    <w:p w14:paraId="3D2718E2" w14:textId="77777777" w:rsidR="008146EA" w:rsidRPr="00840456" w:rsidRDefault="008146EA" w:rsidP="00815D34">
      <w:pPr>
        <w:keepNext/>
        <w:jc w:val="both"/>
        <w:rPr>
          <w:rFonts w:eastAsia="Calibri"/>
          <w:b/>
          <w:color w:val="000000"/>
          <w:sz w:val="22"/>
          <w:szCs w:val="22"/>
          <w:u w:val="single"/>
          <w:lang w:val="sr-Latn-ME"/>
        </w:rPr>
      </w:pPr>
      <w:r w:rsidRPr="00840456">
        <w:rPr>
          <w:color w:val="000000"/>
          <w:sz w:val="22"/>
          <w:szCs w:val="22"/>
          <w:u w:val="single"/>
          <w:lang w:val="sr-Latn-ME"/>
        </w:rPr>
        <w:t>Sadržaj natrijuma</w:t>
      </w:r>
    </w:p>
    <w:p w14:paraId="1FF25E1C" w14:textId="77777777" w:rsidR="008146EA" w:rsidRPr="00840456" w:rsidRDefault="008146EA" w:rsidP="00815D34">
      <w:pPr>
        <w:keepNext/>
        <w:jc w:val="both"/>
        <w:rPr>
          <w:color w:val="000000"/>
          <w:sz w:val="22"/>
          <w:szCs w:val="22"/>
          <w:lang w:val="sr-Latn-ME"/>
        </w:rPr>
      </w:pPr>
    </w:p>
    <w:p w14:paraId="30112101" w14:textId="77777777" w:rsidR="008146EA" w:rsidRPr="00840456" w:rsidRDefault="008146EA" w:rsidP="00815D34">
      <w:pPr>
        <w:keepNext/>
        <w:jc w:val="both"/>
        <w:rPr>
          <w:color w:val="000000"/>
          <w:sz w:val="22"/>
          <w:szCs w:val="22"/>
          <w:lang w:val="sr-Latn-ME"/>
        </w:rPr>
      </w:pPr>
      <w:r w:rsidRPr="00840456">
        <w:rPr>
          <w:color w:val="000000"/>
          <w:sz w:val="22"/>
          <w:szCs w:val="22"/>
          <w:lang w:val="sr-Latn-ME"/>
        </w:rPr>
        <w:t>Ovaj lijek sadrži manje od 1 mmol natrijuma (23 mg) po jedinici doziranja. Možete obavijestiti pacijente koji su na dijeti sa niskim unosom natrijuma da ovaj lijek suštinski ne sadrži natrijum.</w:t>
      </w:r>
    </w:p>
    <w:p w14:paraId="7E57D6E8" w14:textId="77777777" w:rsidR="00AD08E5" w:rsidRPr="00840456" w:rsidRDefault="00AD08E5" w:rsidP="00480FB1">
      <w:pPr>
        <w:tabs>
          <w:tab w:val="left" w:pos="540"/>
          <w:tab w:val="left" w:pos="569"/>
        </w:tabs>
        <w:rPr>
          <w:bCs/>
          <w:sz w:val="22"/>
          <w:szCs w:val="22"/>
          <w:lang w:val="sr-Latn-ME"/>
        </w:rPr>
      </w:pPr>
    </w:p>
    <w:p w14:paraId="5C03E598" w14:textId="77777777" w:rsidR="00411B4B" w:rsidRPr="00840456" w:rsidRDefault="00411B4B" w:rsidP="00480FB1">
      <w:pPr>
        <w:tabs>
          <w:tab w:val="left" w:pos="540"/>
          <w:tab w:val="left" w:pos="569"/>
        </w:tabs>
        <w:rPr>
          <w:b/>
          <w:bCs/>
          <w:sz w:val="22"/>
          <w:szCs w:val="22"/>
          <w:lang w:val="sr-Latn-ME"/>
        </w:rPr>
      </w:pPr>
      <w:r w:rsidRPr="00840456">
        <w:rPr>
          <w:b/>
          <w:bCs/>
          <w:sz w:val="22"/>
          <w:szCs w:val="22"/>
          <w:lang w:val="sr-Latn-ME"/>
        </w:rPr>
        <w:t>4.5.</w:t>
      </w:r>
      <w:r w:rsidR="000D60CC" w:rsidRPr="00840456">
        <w:rPr>
          <w:b/>
          <w:bCs/>
          <w:sz w:val="22"/>
          <w:szCs w:val="22"/>
          <w:lang w:val="sr-Latn-ME"/>
        </w:rPr>
        <w:tab/>
      </w:r>
      <w:r w:rsidRPr="00840456">
        <w:rPr>
          <w:b/>
          <w:bCs/>
          <w:sz w:val="22"/>
          <w:szCs w:val="22"/>
          <w:lang w:val="sr-Latn-ME"/>
        </w:rPr>
        <w:t>Interakcije sa drugim ljekovima i druge vrste interakcija</w:t>
      </w:r>
    </w:p>
    <w:p w14:paraId="4F9A9311" w14:textId="77777777" w:rsidR="009901A9" w:rsidRPr="00840456" w:rsidRDefault="009901A9" w:rsidP="00480FB1">
      <w:pPr>
        <w:tabs>
          <w:tab w:val="left" w:pos="540"/>
          <w:tab w:val="left" w:pos="569"/>
        </w:tabs>
        <w:rPr>
          <w:b/>
          <w:bCs/>
          <w:sz w:val="22"/>
          <w:szCs w:val="22"/>
          <w:lang w:val="sr-Latn-ME"/>
        </w:rPr>
      </w:pPr>
    </w:p>
    <w:p w14:paraId="7F72F70C" w14:textId="77777777" w:rsidR="009901A9" w:rsidRPr="00840456" w:rsidRDefault="009901A9" w:rsidP="009901A9">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Istovremena primjena lijeka Enbrel i anakinre</w:t>
      </w:r>
    </w:p>
    <w:p w14:paraId="787C76ED" w14:textId="77777777" w:rsidR="009901A9" w:rsidRPr="00840456" w:rsidRDefault="009901A9" w:rsidP="009901A9">
      <w:pPr>
        <w:widowControl w:val="0"/>
        <w:autoSpaceDE w:val="0"/>
        <w:autoSpaceDN w:val="0"/>
        <w:adjustRightInd w:val="0"/>
        <w:jc w:val="both"/>
        <w:rPr>
          <w:sz w:val="22"/>
          <w:szCs w:val="22"/>
          <w:lang w:val="sr-Latn-ME"/>
        </w:rPr>
      </w:pPr>
    </w:p>
    <w:p w14:paraId="59EB4DC5" w14:textId="77777777" w:rsidR="009901A9" w:rsidRPr="00840456" w:rsidRDefault="009901A9" w:rsidP="009901A9">
      <w:pPr>
        <w:pStyle w:val="Header"/>
        <w:tabs>
          <w:tab w:val="left" w:pos="284"/>
        </w:tabs>
        <w:jc w:val="both"/>
        <w:rPr>
          <w:color w:val="000000"/>
          <w:sz w:val="22"/>
          <w:szCs w:val="22"/>
          <w:lang w:val="sr-Latn-ME"/>
        </w:rPr>
      </w:pPr>
      <w:r w:rsidRPr="00840456">
        <w:rPr>
          <w:color w:val="000000"/>
          <w:sz w:val="22"/>
          <w:szCs w:val="22"/>
          <w:lang w:val="sr-Latn-ME"/>
        </w:rPr>
        <w:t xml:space="preserve">Kod odraslih pacijenata koji su istovremeno primali lijek Enbrel i anakinru primijećeno je povećanje broja ozbiljnih infekcija u poređenju sa pacijentima koji su primali samo lijek Enbrel ili samo anakinru. </w:t>
      </w:r>
    </w:p>
    <w:p w14:paraId="33135928" w14:textId="77777777" w:rsidR="009901A9" w:rsidRPr="00840456" w:rsidRDefault="009901A9" w:rsidP="009901A9">
      <w:pPr>
        <w:pStyle w:val="Header"/>
        <w:tabs>
          <w:tab w:val="left" w:pos="284"/>
        </w:tabs>
        <w:jc w:val="both"/>
        <w:rPr>
          <w:color w:val="000000"/>
          <w:sz w:val="22"/>
          <w:szCs w:val="22"/>
          <w:lang w:val="sr-Latn-ME"/>
        </w:rPr>
      </w:pPr>
    </w:p>
    <w:p w14:paraId="08501E2A" w14:textId="72D082DD" w:rsidR="009901A9" w:rsidRPr="00840456" w:rsidRDefault="009901A9" w:rsidP="009901A9">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lastRenderedPageBreak/>
        <w:t xml:space="preserve">Takođe, u duplo-slijepom placebo-kontrolisanom kliničkom ispitivanju kod odraslih pacijenata kojima je osnovna terapija metotreksat, a koji su osim osnovne terapije primali i kombinaciju lijeka Enbrel i anakinre, primijećeno je povećanje broja ozbiljnih infekcija (7%) i neutropenije u poređenju sa pacijentima koji su primali još samo lijek Enbrel (vidjeti </w:t>
      </w:r>
      <w:r w:rsidR="00745601" w:rsidRPr="00840456">
        <w:rPr>
          <w:color w:val="000000"/>
          <w:sz w:val="22"/>
          <w:szCs w:val="22"/>
          <w:lang w:val="sr-Latn-ME"/>
        </w:rPr>
        <w:t xml:space="preserve">djelove </w:t>
      </w:r>
      <w:r w:rsidRPr="00840456">
        <w:rPr>
          <w:color w:val="000000"/>
          <w:sz w:val="22"/>
          <w:szCs w:val="22"/>
          <w:lang w:val="sr-Latn-ME"/>
        </w:rPr>
        <w:t>4.4 i 4.8). Kombinacija lijeka Enbrel i anakinre nije pokazala povećanje kliničke efikasnosti zato se i ne preporučuje.</w:t>
      </w:r>
    </w:p>
    <w:p w14:paraId="04A1E171" w14:textId="77777777" w:rsidR="009901A9" w:rsidRPr="00840456" w:rsidRDefault="009901A9" w:rsidP="009901A9">
      <w:pPr>
        <w:widowControl w:val="0"/>
        <w:autoSpaceDE w:val="0"/>
        <w:autoSpaceDN w:val="0"/>
        <w:adjustRightInd w:val="0"/>
        <w:spacing w:line="223" w:lineRule="exact"/>
        <w:jc w:val="both"/>
        <w:rPr>
          <w:sz w:val="22"/>
          <w:szCs w:val="22"/>
          <w:lang w:val="sr-Latn-ME"/>
        </w:rPr>
      </w:pPr>
    </w:p>
    <w:p w14:paraId="515257A9" w14:textId="77777777" w:rsidR="009901A9" w:rsidRPr="00840456" w:rsidRDefault="009901A9" w:rsidP="009901A9">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Istovremena primjena lijeka Enbrel i abatacepta</w:t>
      </w:r>
    </w:p>
    <w:p w14:paraId="5EF9BD4B" w14:textId="77777777" w:rsidR="009901A9" w:rsidRPr="00840456" w:rsidRDefault="009901A9" w:rsidP="009901A9">
      <w:pPr>
        <w:widowControl w:val="0"/>
        <w:autoSpaceDE w:val="0"/>
        <w:autoSpaceDN w:val="0"/>
        <w:adjustRightInd w:val="0"/>
        <w:jc w:val="both"/>
        <w:rPr>
          <w:sz w:val="22"/>
          <w:szCs w:val="22"/>
          <w:lang w:val="sr-Latn-ME"/>
        </w:rPr>
      </w:pPr>
    </w:p>
    <w:p w14:paraId="2DDFCA5A" w14:textId="44396048" w:rsidR="009901A9" w:rsidRPr="00840456" w:rsidRDefault="009901A9" w:rsidP="009901A9">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 xml:space="preserve">U kliničkim studijama, istovremena primjena abatacepta i lijeka Enbrel dovela je do povećanog ispoljavanja ozbiljnih neželjenih reakcija. Ova kombinacija nije pokazala povećanje korisnog kliničkog efekata, pa se ne preporučuje upotreba ove kombinacije ljekova (vidjeti </w:t>
      </w:r>
      <w:r w:rsidR="00745601" w:rsidRPr="00840456">
        <w:rPr>
          <w:color w:val="000000"/>
          <w:sz w:val="22"/>
          <w:szCs w:val="22"/>
          <w:lang w:val="sr-Latn-ME"/>
        </w:rPr>
        <w:t xml:space="preserve">dio </w:t>
      </w:r>
      <w:r w:rsidRPr="00840456">
        <w:rPr>
          <w:color w:val="000000"/>
          <w:sz w:val="22"/>
          <w:szCs w:val="22"/>
          <w:lang w:val="sr-Latn-ME"/>
        </w:rPr>
        <w:t>4.4).</w:t>
      </w:r>
    </w:p>
    <w:p w14:paraId="7D62ABF1" w14:textId="77777777" w:rsidR="009901A9" w:rsidRPr="00840456" w:rsidRDefault="009901A9" w:rsidP="009901A9">
      <w:pPr>
        <w:widowControl w:val="0"/>
        <w:autoSpaceDE w:val="0"/>
        <w:autoSpaceDN w:val="0"/>
        <w:adjustRightInd w:val="0"/>
        <w:spacing w:line="214" w:lineRule="exact"/>
        <w:jc w:val="both"/>
        <w:rPr>
          <w:sz w:val="22"/>
          <w:szCs w:val="22"/>
          <w:lang w:val="sr-Latn-ME"/>
        </w:rPr>
      </w:pPr>
    </w:p>
    <w:p w14:paraId="4D6B472B" w14:textId="77777777" w:rsidR="009901A9" w:rsidRPr="00840456" w:rsidRDefault="009901A9" w:rsidP="009901A9">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Istovremena primjena lijeka Enbrel i sulfasalazina</w:t>
      </w:r>
    </w:p>
    <w:p w14:paraId="279617F6" w14:textId="77777777" w:rsidR="009901A9" w:rsidRPr="00840456" w:rsidRDefault="009901A9" w:rsidP="009901A9">
      <w:pPr>
        <w:widowControl w:val="0"/>
        <w:autoSpaceDE w:val="0"/>
        <w:autoSpaceDN w:val="0"/>
        <w:adjustRightInd w:val="0"/>
        <w:jc w:val="both"/>
        <w:rPr>
          <w:sz w:val="22"/>
          <w:szCs w:val="22"/>
          <w:lang w:val="sr-Latn-ME"/>
        </w:rPr>
      </w:pPr>
    </w:p>
    <w:p w14:paraId="4421FBF4" w14:textId="1ED9E195" w:rsidR="009901A9" w:rsidRPr="00840456" w:rsidRDefault="009901A9" w:rsidP="0049074A">
      <w:pPr>
        <w:widowControl w:val="0"/>
        <w:overflowPunct w:val="0"/>
        <w:autoSpaceDE w:val="0"/>
        <w:autoSpaceDN w:val="0"/>
        <w:adjustRightInd w:val="0"/>
        <w:spacing w:line="244" w:lineRule="auto"/>
        <w:jc w:val="both"/>
        <w:rPr>
          <w:color w:val="000000"/>
          <w:sz w:val="22"/>
          <w:szCs w:val="22"/>
          <w:lang w:val="sr-Latn-ME"/>
        </w:rPr>
      </w:pPr>
      <w:r w:rsidRPr="00840456">
        <w:rPr>
          <w:color w:val="000000"/>
          <w:sz w:val="22"/>
          <w:szCs w:val="22"/>
          <w:lang w:val="sr-Latn-ME"/>
        </w:rPr>
        <w:t>U kliničkim studijama kod odraslih pacijenata koji su primali utvrđene doze sulfasalazina, a kojima je dodat i Enbrel, prim</w:t>
      </w:r>
      <w:r w:rsidR="00745601" w:rsidRPr="00840456">
        <w:rPr>
          <w:color w:val="000000"/>
          <w:sz w:val="22"/>
          <w:szCs w:val="22"/>
          <w:lang w:val="sr-Latn-ME"/>
        </w:rPr>
        <w:t>i</w:t>
      </w:r>
      <w:r w:rsidRPr="00840456">
        <w:rPr>
          <w:color w:val="000000"/>
          <w:sz w:val="22"/>
          <w:szCs w:val="22"/>
          <w:lang w:val="sr-Latn-ME"/>
        </w:rPr>
        <w:t>jećeno je statistički značajno sniženje broja bijelih krvnih zrnaca kod pacijenata koji su primali kombinovanu terapiju u odnosu na pacijente koji su primali samo lijek Enbrel ili samo sulfasalazin. Klinički značaj ove interakcije nije utvrđen.</w:t>
      </w:r>
      <w:r w:rsidR="0049074A" w:rsidRPr="00840456">
        <w:rPr>
          <w:color w:val="000000"/>
          <w:sz w:val="22"/>
          <w:szCs w:val="22"/>
          <w:lang w:val="sr-Latn-ME"/>
        </w:rPr>
        <w:t xml:space="preserve"> Ljekari moraju biti oprezni kod razmatranja istovremene primjene lijeka Enbrel i sulfasalazina.</w:t>
      </w:r>
    </w:p>
    <w:p w14:paraId="66CB9355" w14:textId="77777777" w:rsidR="009901A9" w:rsidRPr="00840456" w:rsidRDefault="009901A9" w:rsidP="009901A9">
      <w:pPr>
        <w:widowControl w:val="0"/>
        <w:autoSpaceDE w:val="0"/>
        <w:autoSpaceDN w:val="0"/>
        <w:adjustRightInd w:val="0"/>
        <w:spacing w:line="221" w:lineRule="exact"/>
        <w:jc w:val="both"/>
        <w:rPr>
          <w:sz w:val="22"/>
          <w:szCs w:val="22"/>
          <w:lang w:val="sr-Latn-ME"/>
        </w:rPr>
      </w:pPr>
    </w:p>
    <w:p w14:paraId="2AE01FF6" w14:textId="77777777" w:rsidR="009901A9" w:rsidRPr="00840456" w:rsidRDefault="009901A9" w:rsidP="009901A9">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Bez interakcija</w:t>
      </w:r>
    </w:p>
    <w:p w14:paraId="7336F269" w14:textId="77777777" w:rsidR="009901A9" w:rsidRPr="00840456" w:rsidRDefault="009901A9" w:rsidP="009901A9">
      <w:pPr>
        <w:widowControl w:val="0"/>
        <w:autoSpaceDE w:val="0"/>
        <w:autoSpaceDN w:val="0"/>
        <w:adjustRightInd w:val="0"/>
        <w:jc w:val="both"/>
        <w:rPr>
          <w:sz w:val="22"/>
          <w:szCs w:val="22"/>
          <w:lang w:val="sr-Latn-ME"/>
        </w:rPr>
      </w:pPr>
    </w:p>
    <w:p w14:paraId="1DFEA261" w14:textId="00103486" w:rsidR="009901A9" w:rsidRPr="00840456" w:rsidRDefault="009901A9" w:rsidP="009901A9">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 xml:space="preserve">Tokom kliničkih studija nijesu primijećene interakcije lijeka Enbrel sa glukokortikoidima, salicilatima (osim sulfosalazina), nesteroidnim antiinflamatornim ljekovima (NSAIL) grupe, analgeticima ili metotreksatom. Vidjeti </w:t>
      </w:r>
      <w:r w:rsidR="001D2F28" w:rsidRPr="00840456">
        <w:rPr>
          <w:color w:val="000000"/>
          <w:sz w:val="22"/>
          <w:szCs w:val="22"/>
          <w:lang w:val="sr-Latn-ME"/>
        </w:rPr>
        <w:t>dio</w:t>
      </w:r>
      <w:r w:rsidRPr="00840456">
        <w:rPr>
          <w:color w:val="000000"/>
          <w:sz w:val="22"/>
          <w:szCs w:val="22"/>
          <w:lang w:val="sr-Latn-ME"/>
        </w:rPr>
        <w:t xml:space="preserve"> 4.4 za preporuku u vezi vakcinacije.</w:t>
      </w:r>
    </w:p>
    <w:p w14:paraId="4CA81D02" w14:textId="77777777" w:rsidR="009901A9" w:rsidRPr="00840456" w:rsidRDefault="009901A9" w:rsidP="009901A9">
      <w:pPr>
        <w:widowControl w:val="0"/>
        <w:autoSpaceDE w:val="0"/>
        <w:autoSpaceDN w:val="0"/>
        <w:adjustRightInd w:val="0"/>
        <w:spacing w:line="218" w:lineRule="exact"/>
        <w:jc w:val="both"/>
        <w:rPr>
          <w:sz w:val="22"/>
          <w:szCs w:val="22"/>
          <w:lang w:val="sr-Latn-ME"/>
        </w:rPr>
      </w:pPr>
    </w:p>
    <w:p w14:paraId="686DB149" w14:textId="22D757CD" w:rsidR="009901A9" w:rsidRPr="00840456" w:rsidRDefault="009901A9" w:rsidP="009901A9">
      <w:pPr>
        <w:pStyle w:val="Header"/>
        <w:tabs>
          <w:tab w:val="left" w:pos="284"/>
        </w:tabs>
        <w:jc w:val="both"/>
        <w:rPr>
          <w:sz w:val="22"/>
          <w:szCs w:val="22"/>
          <w:lang w:val="sr-Latn-ME"/>
        </w:rPr>
      </w:pPr>
      <w:r w:rsidRPr="00840456">
        <w:rPr>
          <w:color w:val="000000"/>
          <w:sz w:val="22"/>
          <w:szCs w:val="22"/>
          <w:lang w:val="sr-Latn-ME"/>
        </w:rPr>
        <w:t>Nijesu primijećene klinički značajne farmakokinetičke interakcije lijek-lijek u studijama sa metotreksatom</w:t>
      </w:r>
      <w:r w:rsidR="001D2F28" w:rsidRPr="00840456">
        <w:rPr>
          <w:color w:val="000000"/>
          <w:sz w:val="22"/>
          <w:szCs w:val="22"/>
          <w:lang w:val="sr-Latn-ME"/>
        </w:rPr>
        <w:t>,</w:t>
      </w:r>
      <w:r w:rsidRPr="00840456">
        <w:rPr>
          <w:color w:val="000000"/>
          <w:sz w:val="22"/>
          <w:szCs w:val="22"/>
          <w:lang w:val="sr-Latn-ME"/>
        </w:rPr>
        <w:t xml:space="preserve"> digoksinom i</w:t>
      </w:r>
      <w:r w:rsidR="001D2F28" w:rsidRPr="00840456">
        <w:rPr>
          <w:color w:val="000000"/>
          <w:sz w:val="22"/>
          <w:szCs w:val="22"/>
          <w:lang w:val="sr-Latn-ME"/>
        </w:rPr>
        <w:t>li</w:t>
      </w:r>
      <w:r w:rsidRPr="00840456">
        <w:rPr>
          <w:color w:val="000000"/>
          <w:sz w:val="22"/>
          <w:szCs w:val="22"/>
          <w:lang w:val="sr-Latn-ME"/>
        </w:rPr>
        <w:t xml:space="preserve"> varfarinom. </w:t>
      </w:r>
    </w:p>
    <w:p w14:paraId="1C8BE145" w14:textId="77777777" w:rsidR="0072020E" w:rsidRPr="00840456" w:rsidRDefault="0072020E" w:rsidP="00480FB1">
      <w:pPr>
        <w:tabs>
          <w:tab w:val="left" w:pos="540"/>
          <w:tab w:val="left" w:pos="569"/>
        </w:tabs>
        <w:rPr>
          <w:bCs/>
          <w:sz w:val="22"/>
          <w:szCs w:val="22"/>
          <w:lang w:val="sr-Latn-ME"/>
        </w:rPr>
      </w:pPr>
    </w:p>
    <w:p w14:paraId="3D4DE0DE" w14:textId="77777777" w:rsidR="0072020E" w:rsidRPr="00840456" w:rsidRDefault="0072020E" w:rsidP="00815D34">
      <w:pPr>
        <w:tabs>
          <w:tab w:val="left" w:pos="540"/>
          <w:tab w:val="left" w:pos="569"/>
        </w:tabs>
        <w:jc w:val="both"/>
        <w:rPr>
          <w:b/>
          <w:sz w:val="22"/>
          <w:szCs w:val="22"/>
          <w:lang w:val="sr-Latn-ME"/>
        </w:rPr>
      </w:pPr>
      <w:r w:rsidRPr="00840456">
        <w:rPr>
          <w:b/>
          <w:bCs/>
          <w:sz w:val="22"/>
          <w:szCs w:val="22"/>
          <w:lang w:val="sr-Latn-ME"/>
        </w:rPr>
        <w:t xml:space="preserve">4.6. </w:t>
      </w:r>
      <w:r w:rsidR="00480FB1" w:rsidRPr="00840456">
        <w:rPr>
          <w:b/>
          <w:bCs/>
          <w:sz w:val="22"/>
          <w:szCs w:val="22"/>
          <w:lang w:val="sr-Latn-ME"/>
        </w:rPr>
        <w:tab/>
      </w:r>
      <w:r w:rsidR="006D20A5" w:rsidRPr="00840456">
        <w:rPr>
          <w:b/>
          <w:sz w:val="22"/>
          <w:szCs w:val="22"/>
          <w:lang w:val="sr-Latn-ME"/>
        </w:rPr>
        <w:t>Plodnost, trudnoća i dojenje</w:t>
      </w:r>
    </w:p>
    <w:p w14:paraId="30EDB3A2" w14:textId="77777777" w:rsidR="009901A9" w:rsidRPr="00840456" w:rsidRDefault="009901A9" w:rsidP="00480FB1">
      <w:pPr>
        <w:tabs>
          <w:tab w:val="left" w:pos="540"/>
          <w:tab w:val="left" w:pos="569"/>
        </w:tabs>
        <w:rPr>
          <w:b/>
          <w:sz w:val="22"/>
          <w:szCs w:val="22"/>
          <w:lang w:val="sr-Latn-ME"/>
        </w:rPr>
      </w:pPr>
    </w:p>
    <w:p w14:paraId="12F4E92E" w14:textId="77777777" w:rsidR="009901A9" w:rsidRPr="00840456" w:rsidRDefault="009901A9" w:rsidP="009901A9">
      <w:pPr>
        <w:widowControl w:val="0"/>
        <w:autoSpaceDE w:val="0"/>
        <w:autoSpaceDN w:val="0"/>
        <w:adjustRightInd w:val="0"/>
        <w:jc w:val="both"/>
        <w:rPr>
          <w:sz w:val="22"/>
          <w:szCs w:val="22"/>
          <w:u w:val="single"/>
          <w:lang w:val="sr-Latn-ME"/>
        </w:rPr>
      </w:pPr>
      <w:r w:rsidRPr="00840456">
        <w:rPr>
          <w:color w:val="000000"/>
          <w:sz w:val="22"/>
          <w:szCs w:val="22"/>
          <w:u w:val="single"/>
          <w:lang w:val="sr-Latn-ME"/>
        </w:rPr>
        <w:t>Žene u fertilnom periodu</w:t>
      </w:r>
    </w:p>
    <w:p w14:paraId="58A2402F" w14:textId="77777777" w:rsidR="009901A9" w:rsidRPr="00840456" w:rsidRDefault="009901A9" w:rsidP="009901A9">
      <w:pPr>
        <w:widowControl w:val="0"/>
        <w:autoSpaceDE w:val="0"/>
        <w:autoSpaceDN w:val="0"/>
        <w:adjustRightInd w:val="0"/>
        <w:spacing w:line="71" w:lineRule="exact"/>
        <w:jc w:val="both"/>
        <w:rPr>
          <w:sz w:val="22"/>
          <w:szCs w:val="22"/>
          <w:lang w:val="sr-Latn-ME"/>
        </w:rPr>
      </w:pPr>
    </w:p>
    <w:p w14:paraId="638526EF" w14:textId="08BB9D06" w:rsidR="009901A9" w:rsidRPr="00840456" w:rsidRDefault="009901A9" w:rsidP="009901A9">
      <w:pPr>
        <w:widowControl w:val="0"/>
        <w:overflowPunct w:val="0"/>
        <w:autoSpaceDE w:val="0"/>
        <w:autoSpaceDN w:val="0"/>
        <w:adjustRightInd w:val="0"/>
        <w:spacing w:line="249" w:lineRule="auto"/>
        <w:ind w:right="340"/>
        <w:jc w:val="both"/>
        <w:rPr>
          <w:color w:val="000000"/>
          <w:sz w:val="22"/>
          <w:szCs w:val="22"/>
          <w:lang w:val="sr-Latn-ME"/>
        </w:rPr>
      </w:pPr>
      <w:r w:rsidRPr="00840456">
        <w:rPr>
          <w:color w:val="000000"/>
          <w:sz w:val="22"/>
          <w:szCs w:val="22"/>
          <w:lang w:val="sr-Latn-ME"/>
        </w:rPr>
        <w:t>Ženama koje su u reproduktivnom periodu treba da razmotre primjenu odgovarajuće kontraceptivne terapije</w:t>
      </w:r>
      <w:r w:rsidR="001D2F28" w:rsidRPr="00840456">
        <w:rPr>
          <w:color w:val="000000"/>
          <w:sz w:val="22"/>
          <w:szCs w:val="22"/>
          <w:lang w:val="sr-Latn-ME"/>
        </w:rPr>
        <w:t xml:space="preserve"> </w:t>
      </w:r>
      <w:r w:rsidRPr="00840456">
        <w:rPr>
          <w:color w:val="000000"/>
          <w:sz w:val="22"/>
          <w:szCs w:val="22"/>
          <w:lang w:val="sr-Latn-ME"/>
        </w:rPr>
        <w:t xml:space="preserve">da bi se izbjegla trudnoća tokom terapije lijekom Enbrel i tri nedjelje nakon prestanka terapije ovim lijekom. </w:t>
      </w:r>
    </w:p>
    <w:p w14:paraId="6FB88574" w14:textId="77777777" w:rsidR="002031B3" w:rsidRPr="00840456" w:rsidRDefault="002031B3" w:rsidP="00480FB1">
      <w:pPr>
        <w:tabs>
          <w:tab w:val="left" w:pos="540"/>
          <w:tab w:val="left" w:pos="569"/>
        </w:tabs>
        <w:rPr>
          <w:sz w:val="22"/>
          <w:szCs w:val="22"/>
          <w:u w:val="single"/>
          <w:lang w:val="sr-Latn-ME"/>
        </w:rPr>
      </w:pPr>
    </w:p>
    <w:p w14:paraId="1A415A5B" w14:textId="77777777" w:rsidR="009901A9" w:rsidRPr="00840456" w:rsidRDefault="009901A9" w:rsidP="009901A9">
      <w:pPr>
        <w:widowControl w:val="0"/>
        <w:autoSpaceDE w:val="0"/>
        <w:autoSpaceDN w:val="0"/>
        <w:adjustRightInd w:val="0"/>
        <w:jc w:val="both"/>
        <w:rPr>
          <w:sz w:val="22"/>
          <w:szCs w:val="22"/>
          <w:u w:val="single"/>
          <w:lang w:val="sr-Latn-ME"/>
        </w:rPr>
      </w:pPr>
      <w:r w:rsidRPr="00840456">
        <w:rPr>
          <w:color w:val="000000"/>
          <w:sz w:val="22"/>
          <w:szCs w:val="22"/>
          <w:u w:val="single"/>
          <w:lang w:val="sr-Latn-ME"/>
        </w:rPr>
        <w:t>Fertilitet</w:t>
      </w:r>
    </w:p>
    <w:p w14:paraId="58341A97" w14:textId="77777777" w:rsidR="009901A9" w:rsidRPr="00840456" w:rsidRDefault="009901A9" w:rsidP="009901A9">
      <w:pPr>
        <w:widowControl w:val="0"/>
        <w:autoSpaceDE w:val="0"/>
        <w:autoSpaceDN w:val="0"/>
        <w:adjustRightInd w:val="0"/>
        <w:spacing w:line="210" w:lineRule="exact"/>
        <w:jc w:val="both"/>
        <w:rPr>
          <w:sz w:val="22"/>
          <w:szCs w:val="22"/>
          <w:lang w:val="sr-Latn-ME"/>
        </w:rPr>
      </w:pPr>
    </w:p>
    <w:p w14:paraId="61ED0246" w14:textId="77777777" w:rsidR="009901A9" w:rsidRPr="00840456" w:rsidRDefault="009901A9" w:rsidP="009901A9">
      <w:pPr>
        <w:pStyle w:val="Header"/>
        <w:tabs>
          <w:tab w:val="left" w:pos="284"/>
        </w:tabs>
        <w:jc w:val="both"/>
        <w:rPr>
          <w:sz w:val="22"/>
          <w:szCs w:val="22"/>
          <w:lang w:val="sr-Latn-ME"/>
        </w:rPr>
      </w:pPr>
      <w:r w:rsidRPr="00840456">
        <w:rPr>
          <w:color w:val="000000"/>
          <w:sz w:val="22"/>
          <w:szCs w:val="22"/>
          <w:lang w:val="sr-Latn-ME"/>
        </w:rPr>
        <w:t xml:space="preserve">Pretklinički podaci o pre- i post- natalnoj toksičnosti etanercepta i o efektima etanercepta na fertilitet i generalne reproduktivne sposobnosti nijesu dostupni. </w:t>
      </w:r>
    </w:p>
    <w:p w14:paraId="5383EE97" w14:textId="16A1AC53" w:rsidR="009901A9" w:rsidRPr="00840456" w:rsidRDefault="009901A9" w:rsidP="002031B3">
      <w:pPr>
        <w:tabs>
          <w:tab w:val="left" w:pos="540"/>
          <w:tab w:val="left" w:pos="569"/>
        </w:tabs>
        <w:rPr>
          <w:sz w:val="22"/>
          <w:szCs w:val="22"/>
          <w:u w:val="single"/>
          <w:lang w:val="sr-Latn-ME"/>
        </w:rPr>
      </w:pPr>
    </w:p>
    <w:p w14:paraId="775C5EC4" w14:textId="77777777" w:rsidR="007A3ECB" w:rsidRPr="00840456" w:rsidRDefault="007A3ECB" w:rsidP="00480FB1">
      <w:pPr>
        <w:tabs>
          <w:tab w:val="left" w:pos="540"/>
          <w:tab w:val="left" w:pos="569"/>
        </w:tabs>
        <w:rPr>
          <w:sz w:val="22"/>
          <w:szCs w:val="22"/>
          <w:u w:val="single"/>
          <w:lang w:val="sr-Latn-ME"/>
        </w:rPr>
      </w:pPr>
      <w:r w:rsidRPr="00840456">
        <w:rPr>
          <w:sz w:val="22"/>
          <w:szCs w:val="22"/>
          <w:u w:val="single"/>
          <w:lang w:val="sr-Latn-ME"/>
        </w:rPr>
        <w:t>Trudnoća</w:t>
      </w:r>
    </w:p>
    <w:p w14:paraId="4A4F81D9" w14:textId="77777777" w:rsidR="009901A9" w:rsidRPr="00840456" w:rsidRDefault="009901A9" w:rsidP="00480FB1">
      <w:pPr>
        <w:tabs>
          <w:tab w:val="left" w:pos="540"/>
          <w:tab w:val="left" w:pos="569"/>
        </w:tabs>
        <w:rPr>
          <w:sz w:val="22"/>
          <w:szCs w:val="22"/>
          <w:u w:val="single"/>
          <w:lang w:val="sr-Latn-ME"/>
        </w:rPr>
      </w:pPr>
    </w:p>
    <w:p w14:paraId="52A608C9" w14:textId="6BA214EE" w:rsidR="009901A9" w:rsidRPr="00840456" w:rsidRDefault="009901A9" w:rsidP="009901A9">
      <w:pPr>
        <w:pStyle w:val="Header"/>
        <w:tabs>
          <w:tab w:val="left" w:pos="284"/>
        </w:tabs>
        <w:jc w:val="both"/>
        <w:rPr>
          <w:color w:val="000000"/>
          <w:sz w:val="22"/>
          <w:szCs w:val="22"/>
          <w:lang w:val="sr-Latn-ME"/>
        </w:rPr>
      </w:pPr>
      <w:r w:rsidRPr="00840456">
        <w:rPr>
          <w:color w:val="000000"/>
          <w:sz w:val="22"/>
          <w:szCs w:val="22"/>
          <w:lang w:val="sr-Latn-ME"/>
        </w:rPr>
        <w:t>Razvojne toksikološke studije na pacovima i kunićima nijesu pokazale postojanje štetnog uticaja etanercepta na fetus ili mladunče pacova</w:t>
      </w:r>
      <w:r w:rsidRPr="00840456">
        <w:rPr>
          <w:sz w:val="22"/>
          <w:szCs w:val="22"/>
          <w:lang w:val="sr-Latn-ME"/>
        </w:rPr>
        <w:t>. Uticaj etanercepta na ishode trudnoće ispitan je u dvije opservacijske kohortne studije. U jednoj opservacijskoj studiji su poređene trudnoće koje su bile izložene etanerceptu (n=370) tokom prvog trimestra sa trudnoćama koje ni</w:t>
      </w:r>
      <w:r w:rsidR="001D2F28" w:rsidRPr="00840456">
        <w:rPr>
          <w:sz w:val="22"/>
          <w:szCs w:val="22"/>
          <w:lang w:val="sr-Latn-ME"/>
        </w:rPr>
        <w:t>je</w:t>
      </w:r>
      <w:r w:rsidRPr="00840456">
        <w:rPr>
          <w:sz w:val="22"/>
          <w:szCs w:val="22"/>
          <w:lang w:val="sr-Latn-ME"/>
        </w:rPr>
        <w:t>su bile izložene etanerceptu ili drugim antagonistima TNF-a (n=164), zabilježena je viša stopa nastanka velikih kongenitalnih anomalija (prilagođen odnos vjerovatnoće 2,4; 95% CI: 1,0-5,5). Tipovi velikih kongenitalnih anomalija bili su u skladu sa onima koje su najčešće prijavljivani u opštoj populaciji i nije utvrđen nikakav poseban obrazac abnormalnosti. Nije zabilježena promjena u stopi spontanih pobačaja, mrtvorođenčadi niti manjih malformacija.</w:t>
      </w:r>
      <w:r w:rsidRPr="00840456" w:rsidDel="007C575D">
        <w:rPr>
          <w:sz w:val="22"/>
          <w:szCs w:val="22"/>
          <w:lang w:val="sr-Latn-ME"/>
        </w:rPr>
        <w:t xml:space="preserve"> </w:t>
      </w:r>
      <w:r w:rsidRPr="00840456">
        <w:rPr>
          <w:color w:val="000000"/>
          <w:sz w:val="22"/>
          <w:szCs w:val="22"/>
          <w:lang w:val="sr-Latn-ME"/>
        </w:rPr>
        <w:t xml:space="preserve">U drugoj opservacijskoj studiji u obliku registra koja je sprovedena u više zemalja i u kojoj je upoređen rizik od štetnih ishoda trudnoća kod žena izloženih etanerceptu tokom prvih 90 dana trudnoće (n=425) i žena izloženih nebiološkim ljekovima (n=3497), nije zabilježen povećan rizik od velikih kongenitalnih anomalija (grubi odnos vjerovatnoće = 1,22; 95% CI: 0,79-1,90; prilagođen odnos vjerovatnoće = 0,96; 95% CI: 0,58-1,60 nakon prilagođavanja prema zemlji, bolesti majke, paritetu, uzrastu majke i pušenju u ranom stadijumu trudnoće). Ova studija nije pokazala ni povećane </w:t>
      </w:r>
      <w:r w:rsidRPr="00840456">
        <w:rPr>
          <w:color w:val="000000"/>
          <w:sz w:val="22"/>
          <w:szCs w:val="22"/>
          <w:lang w:val="sr-Latn-ME"/>
        </w:rPr>
        <w:lastRenderedPageBreak/>
        <w:t>rizike od manjih kongenitalnih anomalija, prevremenog porođaja, pobačaja ili infekcija u prvoj godini života kod novorođenčadi čije su majke bile izložene etanerceptu tokom trudnoće. Lijek Enbrel treba koristiti tokom trudnoće samo ukoliko je to apsolutno neophodno.</w:t>
      </w:r>
    </w:p>
    <w:p w14:paraId="4409E333" w14:textId="77777777" w:rsidR="001D2F28" w:rsidRPr="00840456" w:rsidRDefault="001D2F28" w:rsidP="009901A9">
      <w:pPr>
        <w:pStyle w:val="Header"/>
        <w:tabs>
          <w:tab w:val="left" w:pos="284"/>
        </w:tabs>
        <w:jc w:val="both"/>
        <w:rPr>
          <w:color w:val="000000"/>
          <w:sz w:val="22"/>
          <w:szCs w:val="22"/>
          <w:lang w:val="sr-Latn-ME"/>
        </w:rPr>
      </w:pPr>
    </w:p>
    <w:p w14:paraId="46ABE9ED" w14:textId="77777777" w:rsidR="009901A9" w:rsidRPr="00840456" w:rsidRDefault="009901A9" w:rsidP="009901A9">
      <w:pPr>
        <w:tabs>
          <w:tab w:val="left" w:pos="0"/>
        </w:tabs>
        <w:jc w:val="both"/>
        <w:rPr>
          <w:sz w:val="22"/>
          <w:szCs w:val="22"/>
          <w:lang w:val="sr-Latn-ME"/>
        </w:rPr>
      </w:pPr>
      <w:r w:rsidRPr="00840456">
        <w:rPr>
          <w:sz w:val="22"/>
          <w:szCs w:val="22"/>
          <w:lang w:val="sr-Latn-ME"/>
        </w:rPr>
        <w:t>Etanercept prolazi placentarnu barijeru i detektovan je kod novorođenčadi čije su majke upotrebljavale lijek Enbrel tokom trudnoće, Nepoznat je klinički uticaj ove pojave, međutim, kod novorođenčadi je povećan rizik od ispoljavanja infekcija. Primjena živih vakcina kod novorođenčadi, 16 nedjelja nakon što je majka primila posljednju dozu lijeka Enbrel, generalno nije preporučljiva.</w:t>
      </w:r>
    </w:p>
    <w:p w14:paraId="2DAC84F5" w14:textId="77777777" w:rsidR="002031B3" w:rsidRPr="00840456" w:rsidRDefault="002031B3" w:rsidP="00480FB1">
      <w:pPr>
        <w:tabs>
          <w:tab w:val="left" w:pos="540"/>
          <w:tab w:val="left" w:pos="569"/>
        </w:tabs>
        <w:rPr>
          <w:sz w:val="22"/>
          <w:szCs w:val="22"/>
          <w:u w:val="single"/>
          <w:lang w:val="sr-Latn-ME"/>
        </w:rPr>
      </w:pPr>
    </w:p>
    <w:p w14:paraId="4E75794E" w14:textId="77777777" w:rsidR="0072020E" w:rsidRPr="00840456" w:rsidRDefault="007A3ECB" w:rsidP="00480FB1">
      <w:pPr>
        <w:tabs>
          <w:tab w:val="left" w:pos="540"/>
          <w:tab w:val="left" w:pos="569"/>
        </w:tabs>
        <w:rPr>
          <w:sz w:val="22"/>
          <w:szCs w:val="22"/>
          <w:u w:val="single"/>
          <w:lang w:val="sr-Latn-ME"/>
        </w:rPr>
      </w:pPr>
      <w:r w:rsidRPr="00840456">
        <w:rPr>
          <w:sz w:val="22"/>
          <w:szCs w:val="22"/>
          <w:u w:val="single"/>
          <w:lang w:val="sr-Latn-ME"/>
        </w:rPr>
        <w:t xml:space="preserve">Dojenje </w:t>
      </w:r>
    </w:p>
    <w:p w14:paraId="0072C4D5" w14:textId="77777777" w:rsidR="009901A9" w:rsidRPr="00840456" w:rsidRDefault="009901A9" w:rsidP="00480FB1">
      <w:pPr>
        <w:tabs>
          <w:tab w:val="left" w:pos="540"/>
          <w:tab w:val="left" w:pos="569"/>
        </w:tabs>
        <w:rPr>
          <w:sz w:val="22"/>
          <w:szCs w:val="22"/>
          <w:u w:val="single"/>
          <w:lang w:val="sr-Latn-ME"/>
        </w:rPr>
      </w:pPr>
    </w:p>
    <w:p w14:paraId="0E8B4A10" w14:textId="2083A655" w:rsidR="009901A9" w:rsidRPr="00840456" w:rsidRDefault="009901A9" w:rsidP="009901A9">
      <w:pPr>
        <w:tabs>
          <w:tab w:val="left" w:pos="0"/>
        </w:tabs>
        <w:jc w:val="both"/>
        <w:rPr>
          <w:sz w:val="22"/>
          <w:szCs w:val="22"/>
          <w:lang w:val="sr-Latn-ME"/>
        </w:rPr>
      </w:pPr>
      <w:r w:rsidRPr="00840456">
        <w:rPr>
          <w:color w:val="000000"/>
          <w:sz w:val="22"/>
          <w:szCs w:val="22"/>
          <w:lang w:val="sr-Latn-ME"/>
        </w:rPr>
        <w:t>Kod ženki pacova u periodu laktacije, nakon subkutane primjene, etanercept se izlučuje mlijekom i može se odrediti u serumu mladunčadi.</w:t>
      </w:r>
      <w:r w:rsidRPr="00840456">
        <w:rPr>
          <w:sz w:val="22"/>
          <w:szCs w:val="22"/>
          <w:lang w:val="sr-Latn-ME"/>
        </w:rPr>
        <w:t xml:space="preserve"> Ograničene informacije iz objavljene literature ukazuju na to da je etanercept otkriven u malim količinama u majčinom mlijeku. Etanercept se može razmotriti za upotrebu tokom dojenja uzimajući u obzir korist dojenja za dijete i korist terapije za ženu.</w:t>
      </w:r>
    </w:p>
    <w:p w14:paraId="10A4F2F9" w14:textId="77777777" w:rsidR="009901A9" w:rsidRPr="00840456" w:rsidRDefault="009901A9" w:rsidP="00984BA9">
      <w:pPr>
        <w:tabs>
          <w:tab w:val="left" w:pos="0"/>
        </w:tabs>
        <w:jc w:val="both"/>
        <w:rPr>
          <w:sz w:val="22"/>
          <w:szCs w:val="22"/>
          <w:lang w:val="sr-Latn-ME"/>
        </w:rPr>
      </w:pPr>
    </w:p>
    <w:p w14:paraId="0BBB780F" w14:textId="64A108E8" w:rsidR="00227BDB" w:rsidRPr="00840456" w:rsidRDefault="009901A9" w:rsidP="00984BA9">
      <w:pPr>
        <w:tabs>
          <w:tab w:val="left" w:pos="0"/>
        </w:tabs>
        <w:jc w:val="both"/>
        <w:rPr>
          <w:sz w:val="22"/>
          <w:szCs w:val="22"/>
          <w:lang w:val="sr-Latn-ME"/>
        </w:rPr>
      </w:pPr>
      <w:r w:rsidRPr="00840456">
        <w:rPr>
          <w:sz w:val="22"/>
          <w:szCs w:val="22"/>
          <w:lang w:val="sr-Latn-ME"/>
        </w:rPr>
        <w:t xml:space="preserve">Dok se očekuje da će sistemska izloženost kod dojenog djeteta biti niska jer se etanercept u velikoj mjeri razgrađuje u gastrointestinalnom traktu, dostupni su ograničeni podaci o sistemskoj izloženosti kod dojenog djeteta. Stoga, primjena živih vakcina (npr. BCG) dojenom djetetu kada majka prima etanercept može se razmotriti 16 nedjelja nakon prestanka dojenja (ili u ranijem vremenskom periodu ako se nivoi etanercepta u serumu odojčadi ne mogu otkriti). </w:t>
      </w:r>
    </w:p>
    <w:p w14:paraId="4C97385C" w14:textId="77777777" w:rsidR="00984BA9" w:rsidRPr="00840456" w:rsidRDefault="00984BA9" w:rsidP="00396DFD">
      <w:pPr>
        <w:tabs>
          <w:tab w:val="left" w:pos="540"/>
          <w:tab w:val="left" w:pos="569"/>
        </w:tabs>
        <w:ind w:left="540" w:hanging="540"/>
        <w:rPr>
          <w:b/>
          <w:bCs/>
          <w:sz w:val="22"/>
          <w:szCs w:val="22"/>
          <w:lang w:val="sr-Latn-ME"/>
        </w:rPr>
      </w:pPr>
    </w:p>
    <w:p w14:paraId="31F99F4E" w14:textId="77777777" w:rsidR="0072020E" w:rsidRPr="00840456" w:rsidRDefault="0072020E" w:rsidP="00815D34">
      <w:pPr>
        <w:tabs>
          <w:tab w:val="left" w:pos="540"/>
          <w:tab w:val="left" w:pos="569"/>
        </w:tabs>
        <w:ind w:left="540" w:hanging="540"/>
        <w:jc w:val="both"/>
        <w:rPr>
          <w:b/>
          <w:bCs/>
          <w:sz w:val="22"/>
          <w:szCs w:val="22"/>
          <w:lang w:val="sr-Latn-ME"/>
        </w:rPr>
      </w:pPr>
      <w:r w:rsidRPr="00840456">
        <w:rPr>
          <w:b/>
          <w:bCs/>
          <w:sz w:val="22"/>
          <w:szCs w:val="22"/>
          <w:lang w:val="sr-Latn-ME"/>
        </w:rPr>
        <w:t xml:space="preserve">4.7. </w:t>
      </w:r>
      <w:r w:rsidR="00480FB1" w:rsidRPr="00840456">
        <w:rPr>
          <w:b/>
          <w:bCs/>
          <w:sz w:val="22"/>
          <w:szCs w:val="22"/>
          <w:lang w:val="sr-Latn-ME"/>
        </w:rPr>
        <w:tab/>
      </w:r>
      <w:r w:rsidRPr="00840456">
        <w:rPr>
          <w:b/>
          <w:bCs/>
          <w:sz w:val="22"/>
          <w:szCs w:val="22"/>
          <w:lang w:val="sr-Latn-ME"/>
        </w:rPr>
        <w:t xml:space="preserve">Uticaj na </w:t>
      </w:r>
      <w:r w:rsidR="002031B3" w:rsidRPr="00840456">
        <w:rPr>
          <w:b/>
          <w:bCs/>
          <w:sz w:val="22"/>
          <w:szCs w:val="22"/>
          <w:lang w:val="sr-Latn-ME"/>
        </w:rPr>
        <w:t xml:space="preserve">sposobnost </w:t>
      </w:r>
      <w:r w:rsidR="00F34554" w:rsidRPr="00840456">
        <w:rPr>
          <w:b/>
          <w:bCs/>
          <w:sz w:val="22"/>
          <w:szCs w:val="22"/>
          <w:lang w:val="sr-Latn-ME"/>
        </w:rPr>
        <w:t>upravljanja vozili</w:t>
      </w:r>
      <w:r w:rsidRPr="00840456">
        <w:rPr>
          <w:b/>
          <w:bCs/>
          <w:sz w:val="22"/>
          <w:szCs w:val="22"/>
          <w:lang w:val="sr-Latn-ME"/>
        </w:rPr>
        <w:t>m</w:t>
      </w:r>
      <w:r w:rsidR="00F34554" w:rsidRPr="00840456">
        <w:rPr>
          <w:b/>
          <w:bCs/>
          <w:sz w:val="22"/>
          <w:szCs w:val="22"/>
          <w:lang w:val="sr-Latn-ME"/>
        </w:rPr>
        <w:t>a</w:t>
      </w:r>
      <w:r w:rsidRPr="00840456">
        <w:rPr>
          <w:b/>
          <w:bCs/>
          <w:sz w:val="22"/>
          <w:szCs w:val="22"/>
          <w:lang w:val="sr-Latn-ME"/>
        </w:rPr>
        <w:t xml:space="preserve"> i </w:t>
      </w:r>
      <w:r w:rsidR="000D3449" w:rsidRPr="00840456">
        <w:rPr>
          <w:b/>
          <w:bCs/>
          <w:sz w:val="22"/>
          <w:szCs w:val="22"/>
          <w:lang w:val="sr-Latn-ME"/>
        </w:rPr>
        <w:t xml:space="preserve">rukovanje </w:t>
      </w:r>
      <w:r w:rsidRPr="00840456">
        <w:rPr>
          <w:b/>
          <w:bCs/>
          <w:sz w:val="22"/>
          <w:szCs w:val="22"/>
          <w:lang w:val="sr-Latn-ME"/>
        </w:rPr>
        <w:t>mašinama</w:t>
      </w:r>
    </w:p>
    <w:p w14:paraId="664D732C" w14:textId="77777777" w:rsidR="005A7F10" w:rsidRPr="00840456" w:rsidRDefault="005A7F10" w:rsidP="00815D34">
      <w:pPr>
        <w:tabs>
          <w:tab w:val="left" w:pos="540"/>
          <w:tab w:val="left" w:pos="569"/>
        </w:tabs>
        <w:ind w:left="540" w:hanging="540"/>
        <w:jc w:val="both"/>
        <w:rPr>
          <w:b/>
          <w:bCs/>
          <w:sz w:val="22"/>
          <w:szCs w:val="22"/>
          <w:lang w:val="sr-Latn-ME"/>
        </w:rPr>
      </w:pPr>
    </w:p>
    <w:p w14:paraId="50615498" w14:textId="72FB3577" w:rsidR="0072020E" w:rsidRPr="00840456" w:rsidRDefault="005A7F10" w:rsidP="00815D34">
      <w:pPr>
        <w:tabs>
          <w:tab w:val="left" w:pos="540"/>
          <w:tab w:val="left" w:pos="569"/>
        </w:tabs>
        <w:jc w:val="both"/>
        <w:rPr>
          <w:sz w:val="22"/>
          <w:szCs w:val="22"/>
          <w:lang w:val="sr-Latn-ME"/>
        </w:rPr>
      </w:pPr>
      <w:r w:rsidRPr="00840456">
        <w:rPr>
          <w:sz w:val="22"/>
          <w:szCs w:val="22"/>
          <w:lang w:val="sr-Latn-ME"/>
        </w:rPr>
        <w:t>Lijek Enbrel nema uticaja ili ima zanemarljiv uticaj na upravljanje motornim vozilima i rukovanje mašinama.</w:t>
      </w:r>
    </w:p>
    <w:p w14:paraId="26AF4F2A" w14:textId="77777777" w:rsidR="005A7F10" w:rsidRPr="00840456" w:rsidRDefault="005A7F10" w:rsidP="00815D34">
      <w:pPr>
        <w:tabs>
          <w:tab w:val="left" w:pos="540"/>
          <w:tab w:val="left" w:pos="569"/>
        </w:tabs>
        <w:jc w:val="both"/>
        <w:rPr>
          <w:b/>
          <w:bCs/>
          <w:sz w:val="22"/>
          <w:szCs w:val="22"/>
          <w:lang w:val="sr-Latn-ME"/>
        </w:rPr>
      </w:pPr>
    </w:p>
    <w:p w14:paraId="40F71C37" w14:textId="7CBB27D5" w:rsidR="0072020E" w:rsidRPr="00840456" w:rsidRDefault="0072020E" w:rsidP="00815D34">
      <w:pPr>
        <w:tabs>
          <w:tab w:val="left" w:pos="540"/>
          <w:tab w:val="left" w:pos="569"/>
        </w:tabs>
        <w:jc w:val="both"/>
        <w:rPr>
          <w:b/>
          <w:bCs/>
          <w:sz w:val="22"/>
          <w:szCs w:val="22"/>
          <w:lang w:val="sr-Latn-ME"/>
        </w:rPr>
      </w:pPr>
      <w:r w:rsidRPr="00840456">
        <w:rPr>
          <w:b/>
          <w:bCs/>
          <w:sz w:val="22"/>
          <w:szCs w:val="22"/>
          <w:lang w:val="sr-Latn-ME"/>
        </w:rPr>
        <w:t xml:space="preserve">4.8. </w:t>
      </w:r>
      <w:r w:rsidR="00480FB1" w:rsidRPr="00840456">
        <w:rPr>
          <w:b/>
          <w:bCs/>
          <w:sz w:val="22"/>
          <w:szCs w:val="22"/>
          <w:lang w:val="sr-Latn-ME"/>
        </w:rPr>
        <w:tab/>
      </w:r>
      <w:r w:rsidRPr="00840456">
        <w:rPr>
          <w:b/>
          <w:bCs/>
          <w:sz w:val="22"/>
          <w:szCs w:val="22"/>
          <w:lang w:val="sr-Latn-ME"/>
        </w:rPr>
        <w:t>Neželjena dejstva</w:t>
      </w:r>
    </w:p>
    <w:p w14:paraId="5932C287" w14:textId="77777777" w:rsidR="005A7F10" w:rsidRPr="00840456" w:rsidRDefault="005A7F10" w:rsidP="00815D34">
      <w:pPr>
        <w:tabs>
          <w:tab w:val="left" w:pos="540"/>
          <w:tab w:val="left" w:pos="569"/>
        </w:tabs>
        <w:jc w:val="both"/>
        <w:rPr>
          <w:b/>
          <w:bCs/>
          <w:sz w:val="22"/>
          <w:szCs w:val="22"/>
          <w:lang w:val="sr-Latn-ME"/>
        </w:rPr>
      </w:pPr>
    </w:p>
    <w:p w14:paraId="28B32222" w14:textId="77777777" w:rsidR="005A7F10" w:rsidRPr="00840456" w:rsidRDefault="005A7F10" w:rsidP="001D2F28">
      <w:pPr>
        <w:widowControl w:val="0"/>
        <w:autoSpaceDE w:val="0"/>
        <w:autoSpaceDN w:val="0"/>
        <w:adjustRightInd w:val="0"/>
        <w:jc w:val="both"/>
        <w:rPr>
          <w:sz w:val="22"/>
          <w:szCs w:val="22"/>
          <w:lang w:val="sr-Latn-ME"/>
        </w:rPr>
      </w:pPr>
      <w:r w:rsidRPr="00840456">
        <w:rPr>
          <w:color w:val="000000"/>
          <w:sz w:val="22"/>
          <w:szCs w:val="22"/>
          <w:u w:val="single"/>
          <w:lang w:val="sr-Latn-ME"/>
        </w:rPr>
        <w:t>Sažetak bezbjednosnog profila</w:t>
      </w:r>
    </w:p>
    <w:p w14:paraId="7B3140F3" w14:textId="77777777" w:rsidR="005A7F10" w:rsidRPr="00840456" w:rsidRDefault="005A7F10" w:rsidP="005A7F10">
      <w:pPr>
        <w:widowControl w:val="0"/>
        <w:autoSpaceDE w:val="0"/>
        <w:autoSpaceDN w:val="0"/>
        <w:adjustRightInd w:val="0"/>
        <w:jc w:val="both"/>
        <w:rPr>
          <w:sz w:val="22"/>
          <w:szCs w:val="22"/>
          <w:lang w:val="sr-Latn-ME"/>
        </w:rPr>
      </w:pPr>
    </w:p>
    <w:p w14:paraId="2B9598E0" w14:textId="77777777" w:rsidR="005A7F10" w:rsidRPr="00840456" w:rsidRDefault="005A7F10" w:rsidP="005A7F10">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Najčešće prijavljivane neželjene reakcije su reakcije na mjestu primjene injekcije (kao što su bol, otok, svrab, crvenilo i krvarenje na mjestu uboda), infekcije (gornjeg dijela respiratornog trakta, bronhitis, infekcije mokraćne bešike i kožne infekcije), glavobolja, alergijske reakcije, stvaranje autoantitijela, svrab i groznica.</w:t>
      </w:r>
    </w:p>
    <w:p w14:paraId="251680C0" w14:textId="77777777" w:rsidR="005A7F10" w:rsidRPr="00840456" w:rsidRDefault="005A7F10" w:rsidP="005A7F10">
      <w:pPr>
        <w:widowControl w:val="0"/>
        <w:autoSpaceDE w:val="0"/>
        <w:autoSpaceDN w:val="0"/>
        <w:adjustRightInd w:val="0"/>
        <w:spacing w:line="224" w:lineRule="exact"/>
        <w:jc w:val="both"/>
        <w:rPr>
          <w:sz w:val="22"/>
          <w:szCs w:val="22"/>
          <w:lang w:val="sr-Latn-ME"/>
        </w:rPr>
      </w:pPr>
    </w:p>
    <w:p w14:paraId="6B560224" w14:textId="77777777" w:rsidR="005A7F10" w:rsidRPr="00840456" w:rsidRDefault="005A7F10" w:rsidP="005A7F10">
      <w:pPr>
        <w:widowControl w:val="0"/>
        <w:overflowPunct w:val="0"/>
        <w:autoSpaceDE w:val="0"/>
        <w:autoSpaceDN w:val="0"/>
        <w:adjustRightInd w:val="0"/>
        <w:spacing w:line="241" w:lineRule="auto"/>
        <w:jc w:val="both"/>
        <w:rPr>
          <w:sz w:val="22"/>
          <w:szCs w:val="22"/>
          <w:lang w:val="sr-Latn-ME"/>
        </w:rPr>
      </w:pPr>
      <w:r w:rsidRPr="00840456">
        <w:rPr>
          <w:color w:val="000000"/>
          <w:sz w:val="22"/>
          <w:szCs w:val="22"/>
          <w:lang w:val="sr-Latn-ME"/>
        </w:rPr>
        <w:t>Ozbiljne neželjene reakcije su takođe prijavljene prilikom upotrebe lijeka Enbrel. TNF antagonisti, kao što je Enbrel, utiču na imuni sistem i njihova upotreba može uticati na odbrambeni sistem organizma protiv infekcija i karcinoma. Ozbiljne neželjene reakcije se ispoljavaju kod manje od 1 na 100 pacijenata liječenih lijekom Enbrel. Prijave su uključivale fatalne i opasne po život infekcije i sepsu. Različiti maligniteti su prijavljeni prilikom upotrebe lijeka Enbrel, uključujući karcinom dojke, pluća, kože i limfnih čvorova (limfom).</w:t>
      </w:r>
    </w:p>
    <w:p w14:paraId="5D9D085A" w14:textId="77777777" w:rsidR="005A7F10" w:rsidRPr="00840456" w:rsidRDefault="005A7F10" w:rsidP="005A7F10">
      <w:pPr>
        <w:widowControl w:val="0"/>
        <w:autoSpaceDE w:val="0"/>
        <w:autoSpaceDN w:val="0"/>
        <w:adjustRightInd w:val="0"/>
        <w:spacing w:line="226" w:lineRule="exact"/>
        <w:jc w:val="both"/>
        <w:rPr>
          <w:sz w:val="22"/>
          <w:szCs w:val="22"/>
          <w:lang w:val="sr-Latn-ME"/>
        </w:rPr>
      </w:pPr>
    </w:p>
    <w:p w14:paraId="6C564679" w14:textId="503410A6" w:rsidR="005A7F10" w:rsidRPr="00840456" w:rsidRDefault="005A7F10" w:rsidP="005A7F10">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Takođe su prijavljene ozbiljne hematološke, neurološke i autoimune reakcije, uključujući rijetke prijave pancitopenije i veoma rijetke prijave aplastične anemije. Centralna, odnosno periferna demijelinizacija je prim</w:t>
      </w:r>
      <w:r w:rsidR="00687A84" w:rsidRPr="00840456">
        <w:rPr>
          <w:color w:val="000000"/>
          <w:sz w:val="22"/>
          <w:szCs w:val="22"/>
          <w:lang w:val="sr-Latn-ME"/>
        </w:rPr>
        <w:t>i</w:t>
      </w:r>
      <w:r w:rsidRPr="00840456">
        <w:rPr>
          <w:color w:val="000000"/>
          <w:sz w:val="22"/>
          <w:szCs w:val="22"/>
          <w:lang w:val="sr-Latn-ME"/>
        </w:rPr>
        <w:t>jećena rijetko, odnosno veoma rijetko, prilikom upotrebe lijeka Enbrel. Bilo je rijetkih prijava lupusa, lupusu sličnih stanja i vaskulitisa.</w:t>
      </w:r>
    </w:p>
    <w:p w14:paraId="44DA91BC" w14:textId="77777777" w:rsidR="005A7F10" w:rsidRPr="00840456" w:rsidRDefault="005A7F10" w:rsidP="005A7F10">
      <w:pPr>
        <w:widowControl w:val="0"/>
        <w:autoSpaceDE w:val="0"/>
        <w:autoSpaceDN w:val="0"/>
        <w:adjustRightInd w:val="0"/>
        <w:spacing w:line="220" w:lineRule="exact"/>
        <w:jc w:val="both"/>
        <w:rPr>
          <w:sz w:val="22"/>
          <w:szCs w:val="22"/>
          <w:lang w:val="sr-Latn-ME"/>
        </w:rPr>
      </w:pPr>
    </w:p>
    <w:p w14:paraId="1015A3DB" w14:textId="77777777" w:rsidR="005A7F10" w:rsidRPr="00840456" w:rsidRDefault="005A7F10" w:rsidP="005A7F10">
      <w:pPr>
        <w:widowControl w:val="0"/>
        <w:autoSpaceDE w:val="0"/>
        <w:autoSpaceDN w:val="0"/>
        <w:adjustRightInd w:val="0"/>
        <w:jc w:val="both"/>
        <w:rPr>
          <w:sz w:val="22"/>
          <w:szCs w:val="22"/>
          <w:lang w:val="sr-Latn-ME"/>
        </w:rPr>
      </w:pPr>
      <w:r w:rsidRPr="00840456">
        <w:rPr>
          <w:color w:val="000000"/>
          <w:sz w:val="22"/>
          <w:szCs w:val="22"/>
          <w:u w:val="single"/>
          <w:lang w:val="sr-Latn-ME"/>
        </w:rPr>
        <w:t>Tabelarni prikaz neželjenih reakcija</w:t>
      </w:r>
    </w:p>
    <w:p w14:paraId="293BB1C5" w14:textId="77777777" w:rsidR="005A7F10" w:rsidRPr="00840456" w:rsidRDefault="005A7F10" w:rsidP="005A7F10">
      <w:pPr>
        <w:widowControl w:val="0"/>
        <w:autoSpaceDE w:val="0"/>
        <w:autoSpaceDN w:val="0"/>
        <w:adjustRightInd w:val="0"/>
        <w:spacing w:line="254" w:lineRule="exact"/>
        <w:jc w:val="both"/>
        <w:rPr>
          <w:sz w:val="22"/>
          <w:szCs w:val="22"/>
          <w:lang w:val="sr-Latn-ME"/>
        </w:rPr>
      </w:pPr>
    </w:p>
    <w:p w14:paraId="721FA8A8" w14:textId="3486D0E2"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Sljedeća lista neželjenih dejstava zasnovana je na rezultatima kliničkih ispitivanja, kao i na postmarketinškom iskustvu. </w:t>
      </w:r>
    </w:p>
    <w:p w14:paraId="33083ECD" w14:textId="77777777" w:rsidR="00687A84" w:rsidRPr="00840456" w:rsidRDefault="00687A84" w:rsidP="005A7F10">
      <w:pPr>
        <w:pStyle w:val="Header"/>
        <w:tabs>
          <w:tab w:val="left" w:pos="284"/>
        </w:tabs>
        <w:jc w:val="both"/>
        <w:rPr>
          <w:color w:val="000000"/>
          <w:sz w:val="22"/>
          <w:szCs w:val="22"/>
          <w:lang w:val="sr-Latn-ME"/>
        </w:rPr>
      </w:pPr>
    </w:p>
    <w:p w14:paraId="439629EB"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U okviru jednog organskog sistema neželjene reakcije su poređane po učestalosti (broj pacijenata kod kojih se može očekivati reakcija), u sljedeće kategorije: veoma česta (≥ 1/10); česta (≥ 1/100, &lt; 1/10); povremena (≥ 1/1000, &lt; 1/100); rijetka (≥ 1/10000, &lt; 1/1000); veoma rijetka (&lt; 1/10000); nepoznata učestalost (ne može se tačno procijeniti na osnovu dostupnih podataka). </w:t>
      </w:r>
    </w:p>
    <w:p w14:paraId="63025161" w14:textId="77777777" w:rsidR="004E70AD" w:rsidRPr="00840456" w:rsidRDefault="004E70AD" w:rsidP="00480FB1">
      <w:pPr>
        <w:tabs>
          <w:tab w:val="left" w:pos="540"/>
          <w:tab w:val="left" w:pos="569"/>
        </w:tabs>
        <w:rPr>
          <w:b/>
          <w:bCs/>
          <w:sz w:val="22"/>
          <w:szCs w:val="22"/>
          <w:lang w:val="sr-Latn-M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1172"/>
        <w:gridCol w:w="1173"/>
        <w:gridCol w:w="883"/>
        <w:gridCol w:w="784"/>
        <w:gridCol w:w="1951"/>
        <w:gridCol w:w="881"/>
        <w:gridCol w:w="1348"/>
      </w:tblGrid>
      <w:tr w:rsidR="005A7F10" w:rsidRPr="00840456" w14:paraId="6578141B" w14:textId="77777777" w:rsidTr="0019789C">
        <w:trPr>
          <w:tblHeader/>
          <w:jc w:val="center"/>
        </w:trPr>
        <w:tc>
          <w:tcPr>
            <w:tcW w:w="620" w:type="pct"/>
          </w:tcPr>
          <w:p w14:paraId="7F461C22"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Klasa sistema organa</w:t>
            </w:r>
          </w:p>
        </w:tc>
        <w:tc>
          <w:tcPr>
            <w:tcW w:w="627" w:type="pct"/>
          </w:tcPr>
          <w:p w14:paraId="3FB24DC5"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Veoma česta</w:t>
            </w:r>
          </w:p>
          <w:p w14:paraId="365E5D80"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 1/10</w:t>
            </w:r>
          </w:p>
          <w:p w14:paraId="5D35D6A8"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p>
        </w:tc>
        <w:tc>
          <w:tcPr>
            <w:tcW w:w="627" w:type="pct"/>
          </w:tcPr>
          <w:p w14:paraId="7578DF18"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Česta</w:t>
            </w:r>
          </w:p>
          <w:p w14:paraId="3913836C"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 1/100 do &lt; 1/10</w:t>
            </w:r>
          </w:p>
          <w:p w14:paraId="3CA588B2"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p>
        </w:tc>
        <w:tc>
          <w:tcPr>
            <w:tcW w:w="891" w:type="pct"/>
            <w:gridSpan w:val="2"/>
          </w:tcPr>
          <w:p w14:paraId="3579F2ED"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Povremena</w:t>
            </w:r>
          </w:p>
          <w:p w14:paraId="226934E8"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 1/1000 do &lt; 1/100</w:t>
            </w:r>
          </w:p>
          <w:p w14:paraId="391F74B5"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p>
        </w:tc>
        <w:tc>
          <w:tcPr>
            <w:tcW w:w="1043" w:type="pct"/>
          </w:tcPr>
          <w:p w14:paraId="06CD2816"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Rijetka</w:t>
            </w:r>
          </w:p>
          <w:p w14:paraId="07878FCA"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r w:rsidRPr="00840456">
              <w:rPr>
                <w:b/>
                <w:sz w:val="22"/>
                <w:szCs w:val="22"/>
                <w:lang w:val="sr-Latn-ME"/>
              </w:rPr>
              <w:t>≥ 1/10.000 do &lt; 1/1000</w:t>
            </w:r>
          </w:p>
          <w:p w14:paraId="76A3E9E8" w14:textId="77777777" w:rsidR="005A7F10" w:rsidRPr="00840456" w:rsidRDefault="005A7F10" w:rsidP="00AD2A61">
            <w:pPr>
              <w:widowControl w:val="0"/>
              <w:overflowPunct w:val="0"/>
              <w:autoSpaceDE w:val="0"/>
              <w:autoSpaceDN w:val="0"/>
              <w:adjustRightInd w:val="0"/>
              <w:textAlignment w:val="baseline"/>
              <w:rPr>
                <w:b/>
                <w:sz w:val="22"/>
                <w:szCs w:val="22"/>
                <w:lang w:val="sr-Latn-ME"/>
              </w:rPr>
            </w:pPr>
          </w:p>
        </w:tc>
        <w:tc>
          <w:tcPr>
            <w:tcW w:w="471" w:type="pct"/>
          </w:tcPr>
          <w:p w14:paraId="09516BF6" w14:textId="77777777" w:rsidR="005A7F10" w:rsidRPr="00840456" w:rsidRDefault="005A7F10" w:rsidP="00AD2A61">
            <w:pPr>
              <w:overflowPunct w:val="0"/>
              <w:autoSpaceDE w:val="0"/>
              <w:autoSpaceDN w:val="0"/>
              <w:adjustRightInd w:val="0"/>
              <w:textAlignment w:val="baseline"/>
              <w:rPr>
                <w:b/>
                <w:sz w:val="22"/>
                <w:szCs w:val="22"/>
                <w:lang w:val="sr-Latn-ME"/>
              </w:rPr>
            </w:pPr>
            <w:r w:rsidRPr="00840456">
              <w:rPr>
                <w:b/>
                <w:sz w:val="22"/>
                <w:szCs w:val="22"/>
                <w:lang w:val="sr-Latn-ME"/>
              </w:rPr>
              <w:t>Veoma rijetka</w:t>
            </w:r>
          </w:p>
          <w:p w14:paraId="13A76774" w14:textId="77777777" w:rsidR="005A7F10" w:rsidRPr="00840456" w:rsidRDefault="005A7F10" w:rsidP="00AD2A61">
            <w:pPr>
              <w:overflowPunct w:val="0"/>
              <w:autoSpaceDE w:val="0"/>
              <w:autoSpaceDN w:val="0"/>
              <w:adjustRightInd w:val="0"/>
              <w:textAlignment w:val="baseline"/>
              <w:rPr>
                <w:b/>
                <w:sz w:val="22"/>
                <w:szCs w:val="22"/>
                <w:lang w:val="sr-Latn-ME"/>
              </w:rPr>
            </w:pPr>
            <w:r w:rsidRPr="00840456">
              <w:rPr>
                <w:b/>
                <w:sz w:val="22"/>
                <w:szCs w:val="22"/>
                <w:lang w:val="sr-Latn-ME"/>
              </w:rPr>
              <w:t>&lt; 1/10.000</w:t>
            </w:r>
          </w:p>
          <w:p w14:paraId="183891A1" w14:textId="77777777" w:rsidR="005A7F10" w:rsidRPr="00840456" w:rsidRDefault="005A7F10" w:rsidP="00AD2A61">
            <w:pPr>
              <w:overflowPunct w:val="0"/>
              <w:autoSpaceDE w:val="0"/>
              <w:autoSpaceDN w:val="0"/>
              <w:adjustRightInd w:val="0"/>
              <w:textAlignment w:val="baseline"/>
              <w:rPr>
                <w:b/>
                <w:sz w:val="22"/>
                <w:szCs w:val="22"/>
                <w:lang w:val="sr-Latn-ME"/>
              </w:rPr>
            </w:pPr>
          </w:p>
        </w:tc>
        <w:tc>
          <w:tcPr>
            <w:tcW w:w="721" w:type="pct"/>
          </w:tcPr>
          <w:p w14:paraId="4D3781B6" w14:textId="77777777" w:rsidR="005A7F10" w:rsidRPr="00840456" w:rsidRDefault="005A7F10" w:rsidP="00AD2A61">
            <w:pPr>
              <w:overflowPunct w:val="0"/>
              <w:autoSpaceDE w:val="0"/>
              <w:autoSpaceDN w:val="0"/>
              <w:adjustRightInd w:val="0"/>
              <w:textAlignment w:val="baseline"/>
              <w:rPr>
                <w:b/>
                <w:sz w:val="22"/>
                <w:szCs w:val="22"/>
                <w:lang w:val="sr-Latn-ME"/>
              </w:rPr>
            </w:pPr>
            <w:r w:rsidRPr="00840456">
              <w:rPr>
                <w:b/>
                <w:sz w:val="22"/>
                <w:szCs w:val="22"/>
                <w:lang w:val="sr-Latn-ME"/>
              </w:rPr>
              <w:t>Nepoznata (nije moguće procijeniti na osnovu dostupnih podataka)</w:t>
            </w:r>
          </w:p>
        </w:tc>
      </w:tr>
      <w:tr w:rsidR="005A7F10" w:rsidRPr="00840456" w14:paraId="0043B1C8" w14:textId="77777777" w:rsidTr="0019789C">
        <w:trPr>
          <w:jc w:val="center"/>
        </w:trPr>
        <w:tc>
          <w:tcPr>
            <w:tcW w:w="620" w:type="pct"/>
          </w:tcPr>
          <w:p w14:paraId="4AA84CB7"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Infekcije i infestacije</w:t>
            </w:r>
          </w:p>
        </w:tc>
        <w:tc>
          <w:tcPr>
            <w:tcW w:w="627" w:type="pct"/>
          </w:tcPr>
          <w:p w14:paraId="3593DA74"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z w:val="22"/>
                <w:szCs w:val="22"/>
                <w:lang w:val="sr-Latn-ME"/>
              </w:rPr>
              <w:t>Infekcije (uključujući infekcije gornjeg dijela respiratornog trakta, bronhitis, cistitis, kožna infekcija )*</w:t>
            </w:r>
          </w:p>
        </w:tc>
        <w:tc>
          <w:tcPr>
            <w:tcW w:w="627" w:type="pct"/>
          </w:tcPr>
          <w:p w14:paraId="0430630B"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891" w:type="pct"/>
            <w:gridSpan w:val="2"/>
          </w:tcPr>
          <w:p w14:paraId="4F545ABD"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z w:val="22"/>
                <w:szCs w:val="22"/>
                <w:lang w:val="sr-Latn-ME"/>
              </w:rPr>
              <w:t>Ozbiljne infekcije (uključujući pneumoniju, celulitis, artritis bakterijsku, sepsu i infekcije izazvane parazitima)*</w:t>
            </w:r>
          </w:p>
        </w:tc>
        <w:tc>
          <w:tcPr>
            <w:tcW w:w="1043" w:type="pct"/>
          </w:tcPr>
          <w:p w14:paraId="7229D1E9"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z w:val="22"/>
                <w:szCs w:val="22"/>
                <w:lang w:val="sr-Latn-ME"/>
              </w:rPr>
              <w:t>Tuberkuloza, oportunističke infekcije (uključujući invazivne gljivične infekcije, infekcije izazvane protozoama, bakterijske,atipične mikobakterijske, virusne infekcije</w:t>
            </w:r>
            <w:r w:rsidRPr="00840456">
              <w:rPr>
                <w:sz w:val="22"/>
                <w:szCs w:val="22"/>
                <w:lang w:val="sr-Latn-ME"/>
              </w:rPr>
              <w:t xml:space="preserve"> i Legionella</w:t>
            </w:r>
            <w:r w:rsidRPr="00840456">
              <w:rPr>
                <w:color w:val="000000"/>
                <w:sz w:val="22"/>
                <w:szCs w:val="22"/>
                <w:lang w:val="sr-Latn-ME"/>
              </w:rPr>
              <w:t>)*</w:t>
            </w:r>
          </w:p>
        </w:tc>
        <w:tc>
          <w:tcPr>
            <w:tcW w:w="471" w:type="pct"/>
          </w:tcPr>
          <w:p w14:paraId="4966BBE6"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054341E5"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 xml:space="preserve">Reaktivacija hepatitisa B, listerija </w:t>
            </w:r>
          </w:p>
        </w:tc>
      </w:tr>
      <w:tr w:rsidR="005A7F10" w:rsidRPr="00840456" w14:paraId="5525E589" w14:textId="77777777" w:rsidTr="0019789C">
        <w:trPr>
          <w:jc w:val="center"/>
        </w:trPr>
        <w:tc>
          <w:tcPr>
            <w:tcW w:w="620" w:type="pct"/>
          </w:tcPr>
          <w:p w14:paraId="4007F2FD"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Benigne, maligne i nespecifične neoplazme (uključujući ciste i polipe)</w:t>
            </w:r>
          </w:p>
        </w:tc>
        <w:tc>
          <w:tcPr>
            <w:tcW w:w="627" w:type="pct"/>
          </w:tcPr>
          <w:p w14:paraId="0C01A9A2"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627" w:type="pct"/>
          </w:tcPr>
          <w:p w14:paraId="36D565EC"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891" w:type="pct"/>
            <w:gridSpan w:val="2"/>
          </w:tcPr>
          <w:p w14:paraId="33B3DFCF" w14:textId="7590C005"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N</w:t>
            </w:r>
            <w:r w:rsidRPr="00840456">
              <w:rPr>
                <w:bCs/>
                <w:iCs/>
                <w:color w:val="000000"/>
                <w:sz w:val="22"/>
                <w:szCs w:val="22"/>
                <w:lang w:val="sr-Latn-ME"/>
              </w:rPr>
              <w:t xml:space="preserve">emelanomski karcinomi kože* (vidjeti </w:t>
            </w:r>
            <w:r w:rsidR="00687A84" w:rsidRPr="00840456">
              <w:rPr>
                <w:bCs/>
                <w:iCs/>
                <w:color w:val="000000"/>
                <w:sz w:val="22"/>
                <w:szCs w:val="22"/>
                <w:lang w:val="sr-Latn-ME"/>
              </w:rPr>
              <w:t>dio</w:t>
            </w:r>
            <w:r w:rsidRPr="00840456">
              <w:rPr>
                <w:bCs/>
                <w:iCs/>
                <w:color w:val="000000"/>
                <w:sz w:val="22"/>
                <w:szCs w:val="22"/>
                <w:lang w:val="sr-Latn-ME"/>
              </w:rPr>
              <w:t xml:space="preserve"> 4.4)</w:t>
            </w:r>
          </w:p>
        </w:tc>
        <w:tc>
          <w:tcPr>
            <w:tcW w:w="1043" w:type="pct"/>
          </w:tcPr>
          <w:p w14:paraId="169DD035" w14:textId="4D236FD5" w:rsidR="005A7F10" w:rsidRPr="00840456" w:rsidRDefault="005A7F10" w:rsidP="00AD2A61">
            <w:pPr>
              <w:overflowPunct w:val="0"/>
              <w:autoSpaceDE w:val="0"/>
              <w:autoSpaceDN w:val="0"/>
              <w:adjustRightInd w:val="0"/>
              <w:textAlignment w:val="baseline"/>
              <w:rPr>
                <w:sz w:val="22"/>
                <w:szCs w:val="22"/>
                <w:lang w:val="sr-Latn-ME"/>
              </w:rPr>
            </w:pPr>
            <w:r w:rsidRPr="00840456">
              <w:rPr>
                <w:bCs/>
                <w:iCs/>
                <w:color w:val="000000"/>
                <w:sz w:val="22"/>
                <w:szCs w:val="22"/>
                <w:lang w:val="sr-Latn-ME"/>
              </w:rPr>
              <w:t xml:space="preserve">Maligni melanom (vidjeti </w:t>
            </w:r>
            <w:r w:rsidR="00687A84" w:rsidRPr="00840456">
              <w:rPr>
                <w:bCs/>
                <w:iCs/>
                <w:color w:val="000000"/>
                <w:sz w:val="22"/>
                <w:szCs w:val="22"/>
                <w:lang w:val="sr-Latn-ME"/>
              </w:rPr>
              <w:t xml:space="preserve">dio </w:t>
            </w:r>
            <w:r w:rsidRPr="00840456">
              <w:rPr>
                <w:bCs/>
                <w:iCs/>
                <w:color w:val="000000"/>
                <w:sz w:val="22"/>
                <w:szCs w:val="22"/>
                <w:lang w:val="sr-Latn-ME"/>
              </w:rPr>
              <w:t xml:space="preserve">4.4), limfom, leukemija </w:t>
            </w:r>
          </w:p>
        </w:tc>
        <w:tc>
          <w:tcPr>
            <w:tcW w:w="471" w:type="pct"/>
          </w:tcPr>
          <w:p w14:paraId="3F494A16"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79ABF6BF" w14:textId="63862D7F" w:rsidR="005A7F10" w:rsidRPr="00840456" w:rsidRDefault="005A7F10" w:rsidP="00AD2A61">
            <w:pPr>
              <w:overflowPunct w:val="0"/>
              <w:autoSpaceDE w:val="0"/>
              <w:autoSpaceDN w:val="0"/>
              <w:adjustRightInd w:val="0"/>
              <w:textAlignment w:val="baseline"/>
              <w:rPr>
                <w:sz w:val="22"/>
                <w:szCs w:val="22"/>
                <w:lang w:val="sr-Latn-ME"/>
              </w:rPr>
            </w:pPr>
            <w:r w:rsidRPr="00840456">
              <w:rPr>
                <w:bCs/>
                <w:iCs/>
                <w:color w:val="000000"/>
                <w:sz w:val="22"/>
                <w:szCs w:val="22"/>
                <w:lang w:val="sr-Latn-ME"/>
              </w:rPr>
              <w:t xml:space="preserve">Karcinom Merkelovih ćelija (vidjeti </w:t>
            </w:r>
            <w:r w:rsidR="00687A84" w:rsidRPr="00840456">
              <w:rPr>
                <w:bCs/>
                <w:iCs/>
                <w:color w:val="000000"/>
                <w:sz w:val="22"/>
                <w:szCs w:val="22"/>
                <w:lang w:val="sr-Latn-ME"/>
              </w:rPr>
              <w:t>dio</w:t>
            </w:r>
            <w:r w:rsidRPr="00840456">
              <w:rPr>
                <w:bCs/>
                <w:iCs/>
                <w:color w:val="000000"/>
                <w:sz w:val="22"/>
                <w:szCs w:val="22"/>
                <w:lang w:val="sr-Latn-ME"/>
              </w:rPr>
              <w:t xml:space="preserve"> 4.4), Kapošijev sarkom</w:t>
            </w:r>
          </w:p>
        </w:tc>
      </w:tr>
      <w:tr w:rsidR="005A7F10" w:rsidRPr="00840456" w14:paraId="0508DD23" w14:textId="77777777" w:rsidTr="0019789C">
        <w:trPr>
          <w:jc w:val="center"/>
        </w:trPr>
        <w:tc>
          <w:tcPr>
            <w:tcW w:w="620" w:type="pct"/>
          </w:tcPr>
          <w:p w14:paraId="29E3A531"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Poremećaji krvi i limfnog sistema</w:t>
            </w:r>
          </w:p>
        </w:tc>
        <w:tc>
          <w:tcPr>
            <w:tcW w:w="627" w:type="pct"/>
          </w:tcPr>
          <w:p w14:paraId="1D451C46"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627" w:type="pct"/>
          </w:tcPr>
          <w:p w14:paraId="7F5A6A3D"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891" w:type="pct"/>
            <w:gridSpan w:val="2"/>
          </w:tcPr>
          <w:p w14:paraId="4AAAAAEF"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Trombocitopenija, anemija, leukopenija, neutropenija</w:t>
            </w:r>
          </w:p>
        </w:tc>
        <w:tc>
          <w:tcPr>
            <w:tcW w:w="1043" w:type="pct"/>
          </w:tcPr>
          <w:p w14:paraId="106C6792"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Pancitopenija*</w:t>
            </w:r>
          </w:p>
        </w:tc>
        <w:tc>
          <w:tcPr>
            <w:tcW w:w="471" w:type="pct"/>
          </w:tcPr>
          <w:p w14:paraId="29CE103A"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Aplastična anemija*</w:t>
            </w:r>
          </w:p>
        </w:tc>
        <w:tc>
          <w:tcPr>
            <w:tcW w:w="721" w:type="pct"/>
          </w:tcPr>
          <w:p w14:paraId="61513FC9"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Hematofagna histiocitoza (makrofagni aktivacioni sindrom)</w:t>
            </w:r>
            <w:r w:rsidRPr="00840456">
              <w:rPr>
                <w:color w:val="000000"/>
                <w:sz w:val="22"/>
                <w:szCs w:val="22"/>
                <w:lang w:val="sr-Latn-ME"/>
              </w:rPr>
              <w:t>*</w:t>
            </w:r>
          </w:p>
        </w:tc>
      </w:tr>
      <w:tr w:rsidR="005A7F10" w:rsidRPr="00840456" w14:paraId="3F4CC486" w14:textId="77777777" w:rsidTr="0019789C">
        <w:trPr>
          <w:jc w:val="center"/>
        </w:trPr>
        <w:tc>
          <w:tcPr>
            <w:tcW w:w="620" w:type="pct"/>
          </w:tcPr>
          <w:p w14:paraId="40183665"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Poremećaji</w:t>
            </w:r>
          </w:p>
          <w:p w14:paraId="7BEBA0BF"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imunskog</w:t>
            </w:r>
          </w:p>
          <w:p w14:paraId="1982BA59"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sistema</w:t>
            </w:r>
          </w:p>
        </w:tc>
        <w:tc>
          <w:tcPr>
            <w:tcW w:w="627" w:type="pct"/>
          </w:tcPr>
          <w:p w14:paraId="47339EA8"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627" w:type="pct"/>
          </w:tcPr>
          <w:p w14:paraId="225A60F5" w14:textId="77777777" w:rsidR="005A7F10" w:rsidRPr="00840456" w:rsidRDefault="005A7F10" w:rsidP="00AD2A61">
            <w:pPr>
              <w:widowControl w:val="0"/>
              <w:overflowPunct w:val="0"/>
              <w:autoSpaceDE w:val="0"/>
              <w:autoSpaceDN w:val="0"/>
              <w:adjustRightInd w:val="0"/>
              <w:textAlignment w:val="baseline"/>
              <w:rPr>
                <w:color w:val="000000"/>
                <w:sz w:val="22"/>
                <w:szCs w:val="22"/>
                <w:lang w:val="sr-Latn-ME"/>
              </w:rPr>
            </w:pPr>
            <w:r w:rsidRPr="00840456">
              <w:rPr>
                <w:color w:val="000000"/>
                <w:sz w:val="22"/>
                <w:szCs w:val="22"/>
                <w:lang w:val="sr-Latn-ME"/>
              </w:rPr>
              <w:t>Alergijske</w:t>
            </w:r>
          </w:p>
          <w:p w14:paraId="00466D40" w14:textId="77777777" w:rsidR="005A7F10" w:rsidRPr="00840456" w:rsidRDefault="005A7F10" w:rsidP="00AD2A61">
            <w:pPr>
              <w:widowControl w:val="0"/>
              <w:overflowPunct w:val="0"/>
              <w:autoSpaceDE w:val="0"/>
              <w:autoSpaceDN w:val="0"/>
              <w:adjustRightInd w:val="0"/>
              <w:textAlignment w:val="baseline"/>
              <w:rPr>
                <w:color w:val="000000"/>
                <w:sz w:val="22"/>
                <w:szCs w:val="22"/>
                <w:lang w:val="sr-Latn-ME"/>
              </w:rPr>
            </w:pPr>
            <w:r w:rsidRPr="00840456">
              <w:rPr>
                <w:color w:val="000000"/>
                <w:sz w:val="22"/>
                <w:szCs w:val="22"/>
                <w:lang w:val="sr-Latn-ME"/>
              </w:rPr>
              <w:t>reakcije</w:t>
            </w:r>
          </w:p>
          <w:p w14:paraId="28D9E65A"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z w:val="22"/>
                <w:szCs w:val="22"/>
                <w:lang w:val="sr-Latn-ME"/>
              </w:rPr>
              <w:t>(vidjeti Poremećaje kože i potkožnog tkiva), formiranje autoantitijela*</w:t>
            </w:r>
          </w:p>
        </w:tc>
        <w:tc>
          <w:tcPr>
            <w:tcW w:w="891" w:type="pct"/>
            <w:gridSpan w:val="2"/>
          </w:tcPr>
          <w:p w14:paraId="4A66C3B8" w14:textId="77777777" w:rsidR="005A7F10" w:rsidRPr="00840456" w:rsidRDefault="005A7F10" w:rsidP="00AD2A61">
            <w:pPr>
              <w:widowControl w:val="0"/>
              <w:rPr>
                <w:color w:val="000000"/>
                <w:sz w:val="22"/>
                <w:szCs w:val="22"/>
                <w:lang w:val="sr-Latn-ME"/>
              </w:rPr>
            </w:pPr>
            <w:r w:rsidRPr="00840456">
              <w:rPr>
                <w:color w:val="000000"/>
                <w:sz w:val="22"/>
                <w:szCs w:val="22"/>
                <w:lang w:val="sr-Latn-ME"/>
              </w:rPr>
              <w:t>Vaskulitis</w:t>
            </w:r>
          </w:p>
          <w:p w14:paraId="636F3478" w14:textId="77777777" w:rsidR="005A7F10" w:rsidRPr="00840456" w:rsidRDefault="005A7F10" w:rsidP="00AD2A61">
            <w:pPr>
              <w:widowControl w:val="0"/>
              <w:rPr>
                <w:color w:val="000000"/>
                <w:sz w:val="22"/>
                <w:szCs w:val="22"/>
                <w:lang w:val="sr-Latn-ME"/>
              </w:rPr>
            </w:pPr>
            <w:r w:rsidRPr="00840456">
              <w:rPr>
                <w:color w:val="000000"/>
                <w:sz w:val="22"/>
                <w:szCs w:val="22"/>
                <w:lang w:val="sr-Latn-ME"/>
              </w:rPr>
              <w:t>(uključujući vaskulitis sa</w:t>
            </w:r>
          </w:p>
          <w:p w14:paraId="3C3CDC80" w14:textId="77777777" w:rsidR="005A7F10" w:rsidRPr="00840456" w:rsidRDefault="005A7F10" w:rsidP="00AD2A61">
            <w:pPr>
              <w:widowControl w:val="0"/>
              <w:rPr>
                <w:color w:val="000000"/>
                <w:sz w:val="22"/>
                <w:szCs w:val="22"/>
                <w:lang w:val="sr-Latn-ME"/>
              </w:rPr>
            </w:pPr>
            <w:r w:rsidRPr="00840456">
              <w:rPr>
                <w:color w:val="000000"/>
                <w:sz w:val="22"/>
                <w:szCs w:val="22"/>
                <w:lang w:val="sr-Latn-ME"/>
              </w:rPr>
              <w:t>prisutnim</w:t>
            </w:r>
          </w:p>
          <w:p w14:paraId="05E3EC7A" w14:textId="77777777" w:rsidR="005A7F10" w:rsidRPr="00840456" w:rsidRDefault="005A7F10" w:rsidP="00AD2A61">
            <w:pPr>
              <w:widowControl w:val="0"/>
              <w:rPr>
                <w:sz w:val="22"/>
                <w:szCs w:val="22"/>
                <w:vertAlign w:val="superscript"/>
                <w:lang w:val="sr-Latn-ME"/>
              </w:rPr>
            </w:pPr>
            <w:r w:rsidRPr="00840456">
              <w:rPr>
                <w:color w:val="000000"/>
                <w:sz w:val="22"/>
                <w:szCs w:val="22"/>
                <w:lang w:val="sr-Latn-ME"/>
              </w:rPr>
              <w:t>antineutrofilnim citoplazmatskim antitijelima)</w:t>
            </w:r>
          </w:p>
        </w:tc>
        <w:tc>
          <w:tcPr>
            <w:tcW w:w="1043" w:type="pct"/>
          </w:tcPr>
          <w:p w14:paraId="13F3ACDC" w14:textId="77777777" w:rsidR="005A7F10" w:rsidRPr="00840456" w:rsidRDefault="005A7F10" w:rsidP="00AD2A61">
            <w:pPr>
              <w:widowControl w:val="0"/>
              <w:rPr>
                <w:color w:val="000000"/>
                <w:sz w:val="22"/>
                <w:szCs w:val="22"/>
                <w:lang w:val="sr-Latn-ME"/>
              </w:rPr>
            </w:pPr>
            <w:r w:rsidRPr="00840456">
              <w:rPr>
                <w:color w:val="000000"/>
                <w:sz w:val="22"/>
                <w:szCs w:val="22"/>
                <w:lang w:val="sr-Latn-ME"/>
              </w:rPr>
              <w:t>Ozbiljne alergijske/anafilaktičke reakcije (uključujući</w:t>
            </w:r>
          </w:p>
          <w:p w14:paraId="063B31AB" w14:textId="77777777" w:rsidR="005A7F10" w:rsidRPr="00840456" w:rsidRDefault="005A7F10" w:rsidP="00AD2A61">
            <w:pPr>
              <w:widowControl w:val="0"/>
              <w:rPr>
                <w:color w:val="000000"/>
                <w:sz w:val="22"/>
                <w:szCs w:val="22"/>
                <w:lang w:val="sr-Latn-ME"/>
              </w:rPr>
            </w:pPr>
            <w:r w:rsidRPr="00840456">
              <w:rPr>
                <w:color w:val="000000"/>
                <w:sz w:val="22"/>
                <w:szCs w:val="22"/>
                <w:lang w:val="sr-Latn-ME"/>
              </w:rPr>
              <w:t>angioedem,</w:t>
            </w:r>
          </w:p>
          <w:p w14:paraId="27ED1403" w14:textId="77777777" w:rsidR="005A7F10" w:rsidRPr="00840456" w:rsidRDefault="005A7F10" w:rsidP="00AD2A61">
            <w:pPr>
              <w:widowControl w:val="0"/>
              <w:rPr>
                <w:sz w:val="22"/>
                <w:szCs w:val="22"/>
                <w:lang w:val="sr-Latn-ME"/>
              </w:rPr>
            </w:pPr>
            <w:r w:rsidRPr="00840456">
              <w:rPr>
                <w:color w:val="000000"/>
                <w:sz w:val="22"/>
                <w:szCs w:val="22"/>
                <w:lang w:val="sr-Latn-ME"/>
              </w:rPr>
              <w:t>bronhospazam), sarkoidoza</w:t>
            </w:r>
          </w:p>
        </w:tc>
        <w:tc>
          <w:tcPr>
            <w:tcW w:w="471" w:type="pct"/>
          </w:tcPr>
          <w:p w14:paraId="4D2574FB"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721" w:type="pct"/>
          </w:tcPr>
          <w:p w14:paraId="31059C5F"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pacing w:val="-4"/>
                <w:sz w:val="22"/>
                <w:szCs w:val="22"/>
                <w:lang w:val="sr-Latn-ME"/>
              </w:rPr>
              <w:t>Pogoršanje simptoma dermatomiozitisa</w:t>
            </w:r>
          </w:p>
        </w:tc>
      </w:tr>
      <w:tr w:rsidR="005A7F10" w:rsidRPr="00840456" w14:paraId="0B50E715" w14:textId="77777777" w:rsidTr="0019789C">
        <w:trPr>
          <w:jc w:val="center"/>
        </w:trPr>
        <w:tc>
          <w:tcPr>
            <w:tcW w:w="620" w:type="pct"/>
          </w:tcPr>
          <w:p w14:paraId="7F1C249D"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Poremećaji</w:t>
            </w:r>
          </w:p>
          <w:p w14:paraId="75B5965D"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nervnog sistema</w:t>
            </w:r>
          </w:p>
        </w:tc>
        <w:tc>
          <w:tcPr>
            <w:tcW w:w="627" w:type="pct"/>
          </w:tcPr>
          <w:p w14:paraId="52566D63"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Glavobolja</w:t>
            </w:r>
          </w:p>
        </w:tc>
        <w:tc>
          <w:tcPr>
            <w:tcW w:w="627" w:type="pct"/>
          </w:tcPr>
          <w:p w14:paraId="58AF55B1"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891" w:type="pct"/>
            <w:gridSpan w:val="2"/>
          </w:tcPr>
          <w:p w14:paraId="59774243"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sidDel="006C7D43">
              <w:rPr>
                <w:color w:val="000000"/>
                <w:sz w:val="22"/>
                <w:szCs w:val="22"/>
                <w:lang w:val="sr-Latn-ME"/>
              </w:rPr>
              <w:t xml:space="preserve"> </w:t>
            </w:r>
          </w:p>
        </w:tc>
        <w:tc>
          <w:tcPr>
            <w:tcW w:w="1043" w:type="pct"/>
          </w:tcPr>
          <w:p w14:paraId="4F35F1CF" w14:textId="77777777" w:rsidR="005A7F10" w:rsidRPr="00840456" w:rsidRDefault="005A7F10" w:rsidP="00AD2A61">
            <w:pPr>
              <w:widowControl w:val="0"/>
              <w:overflowPunct w:val="0"/>
              <w:autoSpaceDE w:val="0"/>
              <w:autoSpaceDN w:val="0"/>
              <w:adjustRightInd w:val="0"/>
              <w:textAlignment w:val="baseline"/>
              <w:rPr>
                <w:color w:val="000000"/>
                <w:sz w:val="22"/>
                <w:szCs w:val="22"/>
                <w:lang w:val="sr-Latn-ME"/>
              </w:rPr>
            </w:pPr>
            <w:r w:rsidRPr="00840456">
              <w:rPr>
                <w:color w:val="000000"/>
                <w:sz w:val="22"/>
                <w:szCs w:val="22"/>
                <w:lang w:val="sr-Latn-ME"/>
              </w:rPr>
              <w:t>Znaci demijelinizacije</w:t>
            </w:r>
          </w:p>
          <w:p w14:paraId="638A7A7F" w14:textId="2D8C494A" w:rsidR="005A7F10" w:rsidRPr="00840456" w:rsidRDefault="005A7F10" w:rsidP="00AD2A61">
            <w:pPr>
              <w:widowControl w:val="0"/>
              <w:overflowPunct w:val="0"/>
              <w:autoSpaceDE w:val="0"/>
              <w:autoSpaceDN w:val="0"/>
              <w:adjustRightInd w:val="0"/>
              <w:textAlignment w:val="baseline"/>
              <w:rPr>
                <w:color w:val="000000"/>
                <w:sz w:val="22"/>
                <w:szCs w:val="22"/>
                <w:lang w:val="sr-Latn-ME"/>
              </w:rPr>
            </w:pPr>
            <w:r w:rsidRPr="00840456">
              <w:rPr>
                <w:color w:val="000000"/>
                <w:sz w:val="22"/>
                <w:szCs w:val="22"/>
                <w:lang w:val="sr-Latn-ME"/>
              </w:rPr>
              <w:t xml:space="preserve">CNS-a karakteristični za multiplu sklerozu ili stanja lokalne demijelinizacije kao što su zapaljenje očnog nerva i myelitis transversa (vidjeti </w:t>
            </w:r>
            <w:r w:rsidRPr="00840456">
              <w:rPr>
                <w:color w:val="000000"/>
                <w:sz w:val="22"/>
                <w:szCs w:val="22"/>
                <w:lang w:val="sr-Latn-ME"/>
              </w:rPr>
              <w:lastRenderedPageBreak/>
              <w:t xml:space="preserve">dio 4.4), znaci periferne demijelinizacije, uključujući Guillain- Barré sindrom, hroničnu inflamatornu demijelinizirajuću polineuropatiju, demijelinizirajuću polineuropatiju i multifokalnu motornu neuropatiju (vidjeti </w:t>
            </w:r>
            <w:r w:rsidR="00687A84" w:rsidRPr="00840456">
              <w:rPr>
                <w:color w:val="000000"/>
                <w:sz w:val="22"/>
                <w:szCs w:val="22"/>
                <w:lang w:val="sr-Latn-ME"/>
              </w:rPr>
              <w:t>dio</w:t>
            </w:r>
            <w:r w:rsidRPr="00840456">
              <w:rPr>
                <w:color w:val="000000"/>
                <w:sz w:val="22"/>
                <w:szCs w:val="22"/>
                <w:lang w:val="sr-Latn-ME"/>
              </w:rPr>
              <w:t xml:space="preserve"> 4.4),</w:t>
            </w:r>
          </w:p>
          <w:p w14:paraId="528A5458"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z w:val="22"/>
                <w:szCs w:val="22"/>
                <w:lang w:val="sr-Latn-ME"/>
              </w:rPr>
              <w:t>konvulzije</w:t>
            </w:r>
            <w:r w:rsidRPr="00840456">
              <w:rPr>
                <w:rStyle w:val="CommentReference"/>
                <w:sz w:val="22"/>
                <w:szCs w:val="22"/>
                <w:lang w:val="sr-Latn-ME"/>
              </w:rPr>
              <w:t xml:space="preserve"> </w:t>
            </w:r>
          </w:p>
        </w:tc>
        <w:tc>
          <w:tcPr>
            <w:tcW w:w="471" w:type="pct"/>
          </w:tcPr>
          <w:p w14:paraId="1FD297A0" w14:textId="79E461CA"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721" w:type="pct"/>
          </w:tcPr>
          <w:p w14:paraId="6D0F9EED"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r>
      <w:tr w:rsidR="005A7F10" w:rsidRPr="00840456" w14:paraId="700FE795" w14:textId="77777777" w:rsidTr="0019789C">
        <w:trPr>
          <w:jc w:val="center"/>
        </w:trPr>
        <w:tc>
          <w:tcPr>
            <w:tcW w:w="620" w:type="pct"/>
          </w:tcPr>
          <w:p w14:paraId="39BDC335"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 xml:space="preserve">Poremećaji oka </w:t>
            </w:r>
          </w:p>
        </w:tc>
        <w:tc>
          <w:tcPr>
            <w:tcW w:w="627" w:type="pct"/>
          </w:tcPr>
          <w:p w14:paraId="3FF69308"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627" w:type="pct"/>
          </w:tcPr>
          <w:p w14:paraId="71737E62"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891" w:type="pct"/>
            <w:gridSpan w:val="2"/>
          </w:tcPr>
          <w:p w14:paraId="76C465B1"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color w:val="000000"/>
                <w:sz w:val="22"/>
                <w:szCs w:val="22"/>
                <w:lang w:val="sr-Latn-ME"/>
              </w:rPr>
              <w:t>Uveitis, skleritis</w:t>
            </w:r>
          </w:p>
        </w:tc>
        <w:tc>
          <w:tcPr>
            <w:tcW w:w="1043" w:type="pct"/>
          </w:tcPr>
          <w:p w14:paraId="677E2D50"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471" w:type="pct"/>
          </w:tcPr>
          <w:p w14:paraId="6E9D3332"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721" w:type="pct"/>
          </w:tcPr>
          <w:p w14:paraId="1FC1FCE7"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r>
      <w:tr w:rsidR="005A7F10" w:rsidRPr="00840456" w14:paraId="69D1E079" w14:textId="77777777" w:rsidTr="0019789C">
        <w:trPr>
          <w:jc w:val="center"/>
        </w:trPr>
        <w:tc>
          <w:tcPr>
            <w:tcW w:w="620" w:type="pct"/>
          </w:tcPr>
          <w:p w14:paraId="2D342BC7"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Kardiološki</w:t>
            </w:r>
          </w:p>
          <w:p w14:paraId="45803374"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poremećaji</w:t>
            </w:r>
          </w:p>
        </w:tc>
        <w:tc>
          <w:tcPr>
            <w:tcW w:w="627" w:type="pct"/>
          </w:tcPr>
          <w:p w14:paraId="6242D1E3"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627" w:type="pct"/>
          </w:tcPr>
          <w:p w14:paraId="387AEF1F"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891" w:type="pct"/>
            <w:gridSpan w:val="2"/>
          </w:tcPr>
          <w:p w14:paraId="5F344330" w14:textId="49886E4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 xml:space="preserve">Pogoršanje kongestivne srčane insuficijencije (vidjeti </w:t>
            </w:r>
            <w:r w:rsidR="00687A84" w:rsidRPr="00840456">
              <w:rPr>
                <w:color w:val="000000"/>
                <w:sz w:val="22"/>
                <w:szCs w:val="22"/>
                <w:lang w:val="sr-Latn-ME"/>
              </w:rPr>
              <w:t>dio</w:t>
            </w:r>
            <w:r w:rsidRPr="00840456">
              <w:rPr>
                <w:color w:val="000000"/>
                <w:sz w:val="22"/>
                <w:szCs w:val="22"/>
                <w:lang w:val="sr-Latn-ME"/>
              </w:rPr>
              <w:t xml:space="preserve"> 4.4)</w:t>
            </w:r>
          </w:p>
        </w:tc>
        <w:tc>
          <w:tcPr>
            <w:tcW w:w="1043" w:type="pct"/>
          </w:tcPr>
          <w:p w14:paraId="73027ADA" w14:textId="77777777" w:rsidR="005A7F10" w:rsidRPr="00840456" w:rsidRDefault="005A7F10" w:rsidP="00AD2A61">
            <w:pPr>
              <w:overflowPunct w:val="0"/>
              <w:autoSpaceDE w:val="0"/>
              <w:autoSpaceDN w:val="0"/>
              <w:adjustRightInd w:val="0"/>
              <w:textAlignment w:val="baseline"/>
              <w:rPr>
                <w:color w:val="000000"/>
                <w:sz w:val="22"/>
                <w:szCs w:val="22"/>
                <w:lang w:val="sr-Latn-ME"/>
              </w:rPr>
            </w:pPr>
            <w:r w:rsidRPr="00840456">
              <w:rPr>
                <w:color w:val="000000"/>
                <w:sz w:val="22"/>
                <w:szCs w:val="22"/>
                <w:lang w:val="sr-Latn-ME"/>
              </w:rPr>
              <w:t>Novonastala</w:t>
            </w:r>
          </w:p>
          <w:p w14:paraId="412FE50C" w14:textId="11FB893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kongestivna srčana insuficijencija</w:t>
            </w:r>
            <w:r w:rsidR="00687A84" w:rsidRPr="00840456">
              <w:rPr>
                <w:color w:val="000000"/>
                <w:sz w:val="22"/>
                <w:szCs w:val="22"/>
                <w:lang w:val="sr-Latn-ME"/>
              </w:rPr>
              <w:t xml:space="preserve"> </w:t>
            </w:r>
            <w:r w:rsidRPr="00840456">
              <w:rPr>
                <w:color w:val="000000"/>
                <w:sz w:val="22"/>
                <w:szCs w:val="22"/>
                <w:lang w:val="sr-Latn-ME"/>
              </w:rPr>
              <w:t xml:space="preserve">(vidjeti </w:t>
            </w:r>
            <w:r w:rsidR="00687A84" w:rsidRPr="00840456">
              <w:rPr>
                <w:color w:val="000000"/>
                <w:sz w:val="22"/>
                <w:szCs w:val="22"/>
                <w:lang w:val="sr-Latn-ME"/>
              </w:rPr>
              <w:t>dio</w:t>
            </w:r>
            <w:r w:rsidRPr="00840456">
              <w:rPr>
                <w:color w:val="000000"/>
                <w:sz w:val="22"/>
                <w:szCs w:val="22"/>
                <w:lang w:val="sr-Latn-ME"/>
              </w:rPr>
              <w:t xml:space="preserve"> 4.4)</w:t>
            </w:r>
          </w:p>
        </w:tc>
        <w:tc>
          <w:tcPr>
            <w:tcW w:w="471" w:type="pct"/>
          </w:tcPr>
          <w:p w14:paraId="6572CDE8"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0052213D"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5A7F10" w:rsidRPr="00840456" w14:paraId="08FED886" w14:textId="77777777" w:rsidTr="0019789C">
        <w:trPr>
          <w:jc w:val="center"/>
        </w:trPr>
        <w:tc>
          <w:tcPr>
            <w:tcW w:w="620" w:type="pct"/>
          </w:tcPr>
          <w:p w14:paraId="339D6E75"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Respiratorni, torakalni i medijastinalni poremećaji</w:t>
            </w:r>
          </w:p>
        </w:tc>
        <w:tc>
          <w:tcPr>
            <w:tcW w:w="627" w:type="pct"/>
          </w:tcPr>
          <w:p w14:paraId="39A340F7"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627" w:type="pct"/>
          </w:tcPr>
          <w:p w14:paraId="470021FD"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891" w:type="pct"/>
            <w:gridSpan w:val="2"/>
          </w:tcPr>
          <w:p w14:paraId="6B24D414"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1043" w:type="pct"/>
          </w:tcPr>
          <w:p w14:paraId="7EE8F60D"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Intersticijalna bolest pluća (uključujući pneumonitis i fibrozu pluća)*</w:t>
            </w:r>
          </w:p>
        </w:tc>
        <w:tc>
          <w:tcPr>
            <w:tcW w:w="471" w:type="pct"/>
          </w:tcPr>
          <w:p w14:paraId="4A345B6A"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55A3D3BD"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5A7F10" w:rsidRPr="00840456" w14:paraId="6ED85644" w14:textId="77777777" w:rsidTr="0019789C">
        <w:trPr>
          <w:jc w:val="center"/>
        </w:trPr>
        <w:tc>
          <w:tcPr>
            <w:tcW w:w="620" w:type="pct"/>
          </w:tcPr>
          <w:p w14:paraId="33C53E82"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Gastrointestinalni poremećaji</w:t>
            </w:r>
          </w:p>
        </w:tc>
        <w:tc>
          <w:tcPr>
            <w:tcW w:w="627" w:type="pct"/>
          </w:tcPr>
          <w:p w14:paraId="30FBD30D"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627" w:type="pct"/>
          </w:tcPr>
          <w:p w14:paraId="47DC5AAF"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p>
        </w:tc>
        <w:tc>
          <w:tcPr>
            <w:tcW w:w="891" w:type="pct"/>
            <w:gridSpan w:val="2"/>
          </w:tcPr>
          <w:p w14:paraId="6B8FD7EB" w14:textId="77777777" w:rsidR="005A7F10" w:rsidRPr="00840456" w:rsidRDefault="005A7F10" w:rsidP="00AD2A61">
            <w:pPr>
              <w:widowControl w:val="0"/>
              <w:overflowPunct w:val="0"/>
              <w:autoSpaceDE w:val="0"/>
              <w:autoSpaceDN w:val="0"/>
              <w:adjustRightInd w:val="0"/>
              <w:textAlignment w:val="baseline"/>
              <w:rPr>
                <w:sz w:val="22"/>
                <w:szCs w:val="22"/>
                <w:lang w:val="sr-Latn-ME"/>
              </w:rPr>
            </w:pPr>
            <w:r w:rsidRPr="00840456">
              <w:rPr>
                <w:sz w:val="22"/>
                <w:szCs w:val="22"/>
                <w:lang w:val="sr-Latn-ME"/>
              </w:rPr>
              <w:t>Inflamatorna bolest crijeva</w:t>
            </w:r>
          </w:p>
        </w:tc>
        <w:tc>
          <w:tcPr>
            <w:tcW w:w="1043" w:type="pct"/>
          </w:tcPr>
          <w:p w14:paraId="085B453D" w14:textId="77777777" w:rsidR="005A7F10" w:rsidRPr="00840456" w:rsidRDefault="005A7F10" w:rsidP="00AD2A61">
            <w:pPr>
              <w:overflowPunct w:val="0"/>
              <w:autoSpaceDE w:val="0"/>
              <w:autoSpaceDN w:val="0"/>
              <w:adjustRightInd w:val="0"/>
              <w:textAlignment w:val="baseline"/>
              <w:rPr>
                <w:color w:val="000000"/>
                <w:sz w:val="22"/>
                <w:szCs w:val="22"/>
                <w:lang w:val="sr-Latn-ME"/>
              </w:rPr>
            </w:pPr>
          </w:p>
        </w:tc>
        <w:tc>
          <w:tcPr>
            <w:tcW w:w="471" w:type="pct"/>
          </w:tcPr>
          <w:p w14:paraId="307BFA2C"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1F3928A0"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5A7F10" w:rsidRPr="00840456" w14:paraId="2972D8D6" w14:textId="77777777" w:rsidTr="0019789C">
        <w:trPr>
          <w:jc w:val="center"/>
        </w:trPr>
        <w:tc>
          <w:tcPr>
            <w:tcW w:w="620" w:type="pct"/>
          </w:tcPr>
          <w:p w14:paraId="7C726E3A"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Hepatobilijarni</w:t>
            </w:r>
          </w:p>
          <w:p w14:paraId="4CFBAD44"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poremećaji</w:t>
            </w:r>
          </w:p>
        </w:tc>
        <w:tc>
          <w:tcPr>
            <w:tcW w:w="627" w:type="pct"/>
          </w:tcPr>
          <w:p w14:paraId="6E32EFD4"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627" w:type="pct"/>
          </w:tcPr>
          <w:p w14:paraId="332787F6"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891" w:type="pct"/>
            <w:gridSpan w:val="2"/>
          </w:tcPr>
          <w:p w14:paraId="0E97AA3C"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Povećanje koncentracije enzima jetre *</w:t>
            </w:r>
          </w:p>
        </w:tc>
        <w:tc>
          <w:tcPr>
            <w:tcW w:w="1043" w:type="pct"/>
          </w:tcPr>
          <w:p w14:paraId="6B6A664F"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Autoimuni hepatitis*</w:t>
            </w:r>
          </w:p>
        </w:tc>
        <w:tc>
          <w:tcPr>
            <w:tcW w:w="471" w:type="pct"/>
          </w:tcPr>
          <w:p w14:paraId="6BE3CC79"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1D282DD4"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5A7F10" w:rsidRPr="00840456" w14:paraId="3FF535BB" w14:textId="77777777" w:rsidTr="0019789C">
        <w:trPr>
          <w:cantSplit/>
          <w:jc w:val="center"/>
        </w:trPr>
        <w:tc>
          <w:tcPr>
            <w:tcW w:w="620" w:type="pct"/>
          </w:tcPr>
          <w:p w14:paraId="35F553C6"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lastRenderedPageBreak/>
              <w:t>Pore</w:t>
            </w:r>
            <w:r w:rsidRPr="00840456">
              <w:rPr>
                <w:spacing w:val="-1"/>
                <w:sz w:val="22"/>
                <w:szCs w:val="22"/>
                <w:lang w:val="sr-Latn-ME"/>
              </w:rPr>
              <w:t>m</w:t>
            </w:r>
            <w:r w:rsidRPr="00840456">
              <w:rPr>
                <w:sz w:val="22"/>
                <w:szCs w:val="22"/>
                <w:lang w:val="sr-Latn-ME"/>
              </w:rPr>
              <w:t>ećaji</w:t>
            </w:r>
            <w:r w:rsidRPr="00840456">
              <w:rPr>
                <w:spacing w:val="38"/>
                <w:sz w:val="22"/>
                <w:szCs w:val="22"/>
                <w:lang w:val="sr-Latn-ME"/>
              </w:rPr>
              <w:t xml:space="preserve"> </w:t>
            </w:r>
            <w:r w:rsidRPr="00840456">
              <w:rPr>
                <w:sz w:val="22"/>
                <w:szCs w:val="22"/>
                <w:lang w:val="sr-Latn-ME"/>
              </w:rPr>
              <w:t>ko</w:t>
            </w:r>
            <w:r w:rsidRPr="00840456">
              <w:rPr>
                <w:spacing w:val="-1"/>
                <w:sz w:val="22"/>
                <w:szCs w:val="22"/>
                <w:lang w:val="sr-Latn-ME"/>
              </w:rPr>
              <w:t>ž</w:t>
            </w:r>
            <w:r w:rsidRPr="00840456">
              <w:rPr>
                <w:sz w:val="22"/>
                <w:szCs w:val="22"/>
                <w:lang w:val="sr-Latn-ME"/>
              </w:rPr>
              <w:t>e i</w:t>
            </w:r>
            <w:r w:rsidRPr="00840456">
              <w:rPr>
                <w:spacing w:val="1"/>
                <w:sz w:val="22"/>
                <w:szCs w:val="22"/>
                <w:lang w:val="sr-Latn-ME"/>
              </w:rPr>
              <w:t xml:space="preserve"> </w:t>
            </w:r>
            <w:r w:rsidRPr="00840456">
              <w:rPr>
                <w:sz w:val="22"/>
                <w:szCs w:val="22"/>
                <w:lang w:val="sr-Latn-ME"/>
              </w:rPr>
              <w:t>potk</w:t>
            </w:r>
            <w:r w:rsidRPr="00840456">
              <w:rPr>
                <w:spacing w:val="-1"/>
                <w:sz w:val="22"/>
                <w:szCs w:val="22"/>
                <w:lang w:val="sr-Latn-ME"/>
              </w:rPr>
              <w:t>o</w:t>
            </w:r>
            <w:r w:rsidRPr="00840456">
              <w:rPr>
                <w:sz w:val="22"/>
                <w:szCs w:val="22"/>
                <w:lang w:val="sr-Latn-ME"/>
              </w:rPr>
              <w:t>žnog</w:t>
            </w:r>
            <w:r w:rsidRPr="00840456">
              <w:rPr>
                <w:spacing w:val="1"/>
                <w:sz w:val="22"/>
                <w:szCs w:val="22"/>
                <w:lang w:val="sr-Latn-ME"/>
              </w:rPr>
              <w:t xml:space="preserve"> </w:t>
            </w:r>
            <w:r w:rsidRPr="00840456">
              <w:rPr>
                <w:sz w:val="22"/>
                <w:szCs w:val="22"/>
                <w:lang w:val="sr-Latn-ME"/>
              </w:rPr>
              <w:t>t</w:t>
            </w:r>
            <w:r w:rsidRPr="00840456">
              <w:rPr>
                <w:spacing w:val="-1"/>
                <w:sz w:val="22"/>
                <w:szCs w:val="22"/>
                <w:lang w:val="sr-Latn-ME"/>
              </w:rPr>
              <w:t>k</w:t>
            </w:r>
            <w:r w:rsidRPr="00840456">
              <w:rPr>
                <w:sz w:val="22"/>
                <w:szCs w:val="22"/>
                <w:lang w:val="sr-Latn-ME"/>
              </w:rPr>
              <w:t>i</w:t>
            </w:r>
            <w:r w:rsidRPr="00840456">
              <w:rPr>
                <w:spacing w:val="-1"/>
                <w:sz w:val="22"/>
                <w:szCs w:val="22"/>
                <w:lang w:val="sr-Latn-ME"/>
              </w:rPr>
              <w:t>v</w:t>
            </w:r>
            <w:r w:rsidRPr="00840456">
              <w:rPr>
                <w:sz w:val="22"/>
                <w:szCs w:val="22"/>
                <w:lang w:val="sr-Latn-ME"/>
              </w:rPr>
              <w:t>a</w:t>
            </w:r>
          </w:p>
        </w:tc>
        <w:tc>
          <w:tcPr>
            <w:tcW w:w="627" w:type="pct"/>
          </w:tcPr>
          <w:p w14:paraId="1F9B9817"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627" w:type="pct"/>
          </w:tcPr>
          <w:p w14:paraId="2F2676EF"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Pruritus, osip</w:t>
            </w:r>
          </w:p>
        </w:tc>
        <w:tc>
          <w:tcPr>
            <w:tcW w:w="891" w:type="pct"/>
            <w:gridSpan w:val="2"/>
          </w:tcPr>
          <w:p w14:paraId="71AD7AB9" w14:textId="77777777" w:rsidR="005A7F10" w:rsidRPr="00840456" w:rsidRDefault="005A7F10" w:rsidP="00AD2A61">
            <w:pPr>
              <w:overflowPunct w:val="0"/>
              <w:autoSpaceDE w:val="0"/>
              <w:autoSpaceDN w:val="0"/>
              <w:adjustRightInd w:val="0"/>
              <w:textAlignment w:val="baseline"/>
              <w:rPr>
                <w:color w:val="000000"/>
                <w:sz w:val="22"/>
                <w:szCs w:val="22"/>
                <w:lang w:val="sr-Latn-ME"/>
              </w:rPr>
            </w:pPr>
            <w:r w:rsidRPr="00840456">
              <w:rPr>
                <w:color w:val="000000"/>
                <w:sz w:val="22"/>
                <w:szCs w:val="22"/>
                <w:lang w:val="sr-Latn-ME"/>
              </w:rPr>
              <w:t xml:space="preserve">Angioedem, </w:t>
            </w:r>
            <w:r w:rsidRPr="00840456">
              <w:rPr>
                <w:bCs/>
                <w:iCs/>
                <w:color w:val="000000"/>
                <w:sz w:val="22"/>
                <w:szCs w:val="22"/>
                <w:lang w:val="sr-Latn-ME"/>
              </w:rPr>
              <w:t>psorijaza (</w:t>
            </w:r>
            <w:r w:rsidRPr="00840456">
              <w:rPr>
                <w:color w:val="000000"/>
                <w:sz w:val="22"/>
                <w:szCs w:val="22"/>
                <w:lang w:val="sr-Latn-ME"/>
              </w:rPr>
              <w:t>uključujući novi</w:t>
            </w:r>
          </w:p>
          <w:p w14:paraId="274A0B7C"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nastanak ili pogoršanje i pojavu pustula, najčešće na dlanovima i tabanima</w:t>
            </w:r>
            <w:r w:rsidRPr="00840456">
              <w:rPr>
                <w:bCs/>
                <w:iCs/>
                <w:color w:val="000000"/>
                <w:sz w:val="22"/>
                <w:szCs w:val="22"/>
                <w:lang w:val="sr-Latn-ME"/>
              </w:rPr>
              <w:t xml:space="preserve">), </w:t>
            </w:r>
            <w:r w:rsidRPr="00840456">
              <w:rPr>
                <w:color w:val="000000"/>
                <w:sz w:val="22"/>
                <w:szCs w:val="22"/>
                <w:lang w:val="sr-Latn-ME"/>
              </w:rPr>
              <w:t xml:space="preserve">urtikarija, psorijaziformni osip </w:t>
            </w:r>
          </w:p>
        </w:tc>
        <w:tc>
          <w:tcPr>
            <w:tcW w:w="1043" w:type="pct"/>
          </w:tcPr>
          <w:p w14:paraId="5EA76CAF" w14:textId="77777777" w:rsidR="005A7F10" w:rsidRPr="00840456" w:rsidRDefault="005A7F10" w:rsidP="00AD2A61">
            <w:pPr>
              <w:rPr>
                <w:sz w:val="22"/>
                <w:szCs w:val="22"/>
                <w:lang w:val="sr-Latn-ME"/>
              </w:rPr>
            </w:pPr>
            <w:r w:rsidRPr="00840456">
              <w:rPr>
                <w:color w:val="000000"/>
                <w:sz w:val="22"/>
                <w:szCs w:val="22"/>
                <w:lang w:val="sr-Latn-ME"/>
              </w:rPr>
              <w:t xml:space="preserve">Stevens-Johnson-ov sindrom, kutani vaskulitis (uključujući preosetljivost vaskulitis), multiformni eritem, lihenoidne reakcije </w:t>
            </w:r>
          </w:p>
        </w:tc>
        <w:tc>
          <w:tcPr>
            <w:tcW w:w="471" w:type="pct"/>
          </w:tcPr>
          <w:p w14:paraId="58017134" w14:textId="77777777" w:rsidR="005A7F10" w:rsidRPr="00840456" w:rsidRDefault="005A7F10" w:rsidP="00AD2A61">
            <w:pPr>
              <w:rPr>
                <w:color w:val="000000"/>
                <w:sz w:val="22"/>
                <w:szCs w:val="22"/>
                <w:lang w:val="sr-Latn-ME"/>
              </w:rPr>
            </w:pPr>
            <w:r w:rsidRPr="00840456">
              <w:rPr>
                <w:color w:val="000000"/>
                <w:sz w:val="22"/>
                <w:szCs w:val="22"/>
                <w:lang w:val="sr-Latn-ME"/>
              </w:rPr>
              <w:t>Toksična</w:t>
            </w:r>
          </w:p>
          <w:p w14:paraId="4A60CCDA" w14:textId="77777777" w:rsidR="005A7F10" w:rsidRPr="00840456" w:rsidRDefault="005A7F10" w:rsidP="00AD2A61">
            <w:pPr>
              <w:rPr>
                <w:color w:val="000000"/>
                <w:sz w:val="22"/>
                <w:szCs w:val="22"/>
                <w:lang w:val="sr-Latn-ME"/>
              </w:rPr>
            </w:pPr>
            <w:r w:rsidRPr="00840456">
              <w:rPr>
                <w:color w:val="000000"/>
                <w:sz w:val="22"/>
                <w:szCs w:val="22"/>
                <w:lang w:val="sr-Latn-ME"/>
              </w:rPr>
              <w:t>epidermalna</w:t>
            </w:r>
          </w:p>
          <w:p w14:paraId="7E9FB5C9" w14:textId="77777777" w:rsidR="005A7F10" w:rsidRPr="00840456" w:rsidRDefault="005A7F10" w:rsidP="00AD2A61">
            <w:pPr>
              <w:rPr>
                <w:sz w:val="22"/>
                <w:szCs w:val="22"/>
                <w:lang w:val="sr-Latn-ME"/>
              </w:rPr>
            </w:pPr>
            <w:r w:rsidRPr="00840456">
              <w:rPr>
                <w:color w:val="000000"/>
                <w:sz w:val="22"/>
                <w:szCs w:val="22"/>
                <w:lang w:val="sr-Latn-ME"/>
              </w:rPr>
              <w:t>nekroliza</w:t>
            </w:r>
          </w:p>
        </w:tc>
        <w:tc>
          <w:tcPr>
            <w:tcW w:w="721" w:type="pct"/>
          </w:tcPr>
          <w:p w14:paraId="500DE41E"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5A7F10" w:rsidRPr="00840456" w14:paraId="4792A7E7" w14:textId="77777777" w:rsidTr="0019789C">
        <w:trPr>
          <w:jc w:val="center"/>
        </w:trPr>
        <w:tc>
          <w:tcPr>
            <w:tcW w:w="620" w:type="pct"/>
          </w:tcPr>
          <w:p w14:paraId="3D1B10D0"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Poremećaji</w:t>
            </w:r>
          </w:p>
          <w:p w14:paraId="5260D926"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mišićno- koštanog sistema i vezivnog tkiva</w:t>
            </w:r>
          </w:p>
        </w:tc>
        <w:tc>
          <w:tcPr>
            <w:tcW w:w="627" w:type="pct"/>
          </w:tcPr>
          <w:p w14:paraId="68775B9F"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627" w:type="pct"/>
          </w:tcPr>
          <w:p w14:paraId="4602D447"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891" w:type="pct"/>
            <w:gridSpan w:val="2"/>
          </w:tcPr>
          <w:p w14:paraId="759688BF"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1043" w:type="pct"/>
          </w:tcPr>
          <w:p w14:paraId="2B09093D" w14:textId="77777777" w:rsidR="005A7F10" w:rsidRPr="00840456" w:rsidRDefault="005A7F10" w:rsidP="00AD2A61">
            <w:pPr>
              <w:widowControl w:val="0"/>
              <w:rPr>
                <w:sz w:val="22"/>
                <w:szCs w:val="22"/>
                <w:lang w:val="sr-Latn-ME"/>
              </w:rPr>
            </w:pPr>
            <w:r w:rsidRPr="00840456">
              <w:rPr>
                <w:color w:val="000000"/>
                <w:sz w:val="22"/>
                <w:szCs w:val="22"/>
                <w:lang w:val="sr-Latn-ME"/>
              </w:rPr>
              <w:t>Kutani eritematozni lupus, subakutni kutani eritematoznilups, sindrom sličan lupusu</w:t>
            </w:r>
          </w:p>
        </w:tc>
        <w:tc>
          <w:tcPr>
            <w:tcW w:w="471" w:type="pct"/>
          </w:tcPr>
          <w:p w14:paraId="14B43AC3"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613EF6E5"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DA7BDD" w:rsidRPr="00840456" w14:paraId="52E73F77" w14:textId="77777777" w:rsidTr="0019789C">
        <w:trPr>
          <w:jc w:val="center"/>
        </w:trPr>
        <w:tc>
          <w:tcPr>
            <w:tcW w:w="620" w:type="pct"/>
          </w:tcPr>
          <w:p w14:paraId="366B3420" w14:textId="13016D18" w:rsidR="00DA7BDD" w:rsidRPr="00840456" w:rsidRDefault="00DA7BDD" w:rsidP="00AD2A61">
            <w:pPr>
              <w:overflowPunct w:val="0"/>
              <w:autoSpaceDE w:val="0"/>
              <w:autoSpaceDN w:val="0"/>
              <w:adjustRightInd w:val="0"/>
              <w:textAlignment w:val="baseline"/>
              <w:rPr>
                <w:sz w:val="22"/>
                <w:szCs w:val="22"/>
                <w:lang w:val="sr-Latn-ME"/>
              </w:rPr>
            </w:pPr>
            <w:r w:rsidRPr="00840456">
              <w:rPr>
                <w:sz w:val="22"/>
                <w:szCs w:val="22"/>
                <w:lang w:val="sr-Latn-ME"/>
              </w:rPr>
              <w:t>Poremećaji bubrega i urinarnog sistema</w:t>
            </w:r>
          </w:p>
        </w:tc>
        <w:tc>
          <w:tcPr>
            <w:tcW w:w="627" w:type="pct"/>
          </w:tcPr>
          <w:p w14:paraId="49BB820C" w14:textId="77777777" w:rsidR="00DA7BDD" w:rsidRPr="00840456" w:rsidRDefault="00DA7BDD" w:rsidP="00AD2A61">
            <w:pPr>
              <w:overflowPunct w:val="0"/>
              <w:autoSpaceDE w:val="0"/>
              <w:autoSpaceDN w:val="0"/>
              <w:adjustRightInd w:val="0"/>
              <w:textAlignment w:val="baseline"/>
              <w:rPr>
                <w:sz w:val="22"/>
                <w:szCs w:val="22"/>
                <w:lang w:val="sr-Latn-ME"/>
              </w:rPr>
            </w:pPr>
          </w:p>
        </w:tc>
        <w:tc>
          <w:tcPr>
            <w:tcW w:w="627" w:type="pct"/>
          </w:tcPr>
          <w:p w14:paraId="3978D8B5" w14:textId="77777777" w:rsidR="00DA7BDD" w:rsidRPr="00840456" w:rsidRDefault="00DA7BDD" w:rsidP="00AD2A61">
            <w:pPr>
              <w:overflowPunct w:val="0"/>
              <w:autoSpaceDE w:val="0"/>
              <w:autoSpaceDN w:val="0"/>
              <w:adjustRightInd w:val="0"/>
              <w:textAlignment w:val="baseline"/>
              <w:rPr>
                <w:sz w:val="22"/>
                <w:szCs w:val="22"/>
                <w:lang w:val="sr-Latn-ME"/>
              </w:rPr>
            </w:pPr>
          </w:p>
        </w:tc>
        <w:tc>
          <w:tcPr>
            <w:tcW w:w="891" w:type="pct"/>
            <w:gridSpan w:val="2"/>
          </w:tcPr>
          <w:p w14:paraId="6C1E6321" w14:textId="77777777" w:rsidR="00DA7BDD" w:rsidRPr="00840456" w:rsidRDefault="00DA7BDD" w:rsidP="00AD2A61">
            <w:pPr>
              <w:overflowPunct w:val="0"/>
              <w:autoSpaceDE w:val="0"/>
              <w:autoSpaceDN w:val="0"/>
              <w:adjustRightInd w:val="0"/>
              <w:textAlignment w:val="baseline"/>
              <w:rPr>
                <w:sz w:val="22"/>
                <w:szCs w:val="22"/>
                <w:lang w:val="sr-Latn-ME"/>
              </w:rPr>
            </w:pPr>
          </w:p>
        </w:tc>
        <w:tc>
          <w:tcPr>
            <w:tcW w:w="1043" w:type="pct"/>
          </w:tcPr>
          <w:p w14:paraId="64CDDED9" w14:textId="55E19EC8" w:rsidR="00DA7BDD" w:rsidRPr="00840456" w:rsidRDefault="00A87383" w:rsidP="00AD2A61">
            <w:pPr>
              <w:widowControl w:val="0"/>
              <w:rPr>
                <w:color w:val="000000"/>
                <w:sz w:val="22"/>
                <w:szCs w:val="22"/>
                <w:lang w:val="sr-Latn-ME"/>
              </w:rPr>
            </w:pPr>
            <w:r w:rsidRPr="00840456">
              <w:rPr>
                <w:sz w:val="22"/>
                <w:szCs w:val="22"/>
                <w:lang w:val="sr-Latn-ME"/>
              </w:rPr>
              <w:t>Glomerulonefritis</w:t>
            </w:r>
          </w:p>
        </w:tc>
        <w:tc>
          <w:tcPr>
            <w:tcW w:w="471" w:type="pct"/>
          </w:tcPr>
          <w:p w14:paraId="48EB2065" w14:textId="77777777" w:rsidR="00DA7BDD" w:rsidRPr="00840456" w:rsidRDefault="00DA7BDD" w:rsidP="00AD2A61">
            <w:pPr>
              <w:overflowPunct w:val="0"/>
              <w:autoSpaceDE w:val="0"/>
              <w:autoSpaceDN w:val="0"/>
              <w:adjustRightInd w:val="0"/>
              <w:textAlignment w:val="baseline"/>
              <w:rPr>
                <w:sz w:val="22"/>
                <w:szCs w:val="22"/>
                <w:lang w:val="sr-Latn-ME"/>
              </w:rPr>
            </w:pPr>
          </w:p>
        </w:tc>
        <w:tc>
          <w:tcPr>
            <w:tcW w:w="721" w:type="pct"/>
          </w:tcPr>
          <w:p w14:paraId="7F469C4D" w14:textId="79CBBA46" w:rsidR="00DA7BDD" w:rsidRPr="00840456" w:rsidRDefault="00DA7BDD" w:rsidP="00AD2A61">
            <w:pPr>
              <w:overflowPunct w:val="0"/>
              <w:autoSpaceDE w:val="0"/>
              <w:autoSpaceDN w:val="0"/>
              <w:adjustRightInd w:val="0"/>
              <w:textAlignment w:val="baseline"/>
              <w:rPr>
                <w:sz w:val="22"/>
                <w:szCs w:val="22"/>
                <w:lang w:val="sr-Latn-ME"/>
              </w:rPr>
            </w:pPr>
          </w:p>
        </w:tc>
      </w:tr>
      <w:tr w:rsidR="005A7F10" w:rsidRPr="00840456" w14:paraId="37637B58" w14:textId="77777777" w:rsidTr="0019789C">
        <w:trPr>
          <w:jc w:val="center"/>
        </w:trPr>
        <w:tc>
          <w:tcPr>
            <w:tcW w:w="620" w:type="pct"/>
          </w:tcPr>
          <w:p w14:paraId="6040144B"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sz w:val="22"/>
                <w:szCs w:val="22"/>
                <w:lang w:val="sr-Latn-ME"/>
              </w:rPr>
              <w:t>Opšti</w:t>
            </w:r>
            <w:r w:rsidRPr="00840456">
              <w:rPr>
                <w:spacing w:val="43"/>
                <w:sz w:val="22"/>
                <w:szCs w:val="22"/>
                <w:lang w:val="sr-Latn-ME"/>
              </w:rPr>
              <w:t xml:space="preserve"> </w:t>
            </w:r>
            <w:r w:rsidRPr="00840456">
              <w:rPr>
                <w:sz w:val="22"/>
                <w:szCs w:val="22"/>
                <w:lang w:val="sr-Latn-ME"/>
              </w:rPr>
              <w:t>pore</w:t>
            </w:r>
            <w:r w:rsidRPr="00840456">
              <w:rPr>
                <w:spacing w:val="-1"/>
                <w:sz w:val="22"/>
                <w:szCs w:val="22"/>
                <w:lang w:val="sr-Latn-ME"/>
              </w:rPr>
              <w:t>m</w:t>
            </w:r>
            <w:r w:rsidRPr="00840456">
              <w:rPr>
                <w:sz w:val="22"/>
                <w:szCs w:val="22"/>
                <w:lang w:val="sr-Latn-ME"/>
              </w:rPr>
              <w:t>eć</w:t>
            </w:r>
            <w:r w:rsidRPr="00840456">
              <w:rPr>
                <w:spacing w:val="-1"/>
                <w:sz w:val="22"/>
                <w:szCs w:val="22"/>
                <w:lang w:val="sr-Latn-ME"/>
              </w:rPr>
              <w:t>aj</w:t>
            </w:r>
            <w:r w:rsidRPr="00840456">
              <w:rPr>
                <w:sz w:val="22"/>
                <w:szCs w:val="22"/>
                <w:lang w:val="sr-Latn-ME"/>
              </w:rPr>
              <w:t>i i r</w:t>
            </w:r>
            <w:r w:rsidRPr="00840456">
              <w:rPr>
                <w:spacing w:val="1"/>
                <w:sz w:val="22"/>
                <w:szCs w:val="22"/>
                <w:lang w:val="sr-Latn-ME"/>
              </w:rPr>
              <w:t>ea</w:t>
            </w:r>
            <w:r w:rsidRPr="00840456">
              <w:rPr>
                <w:spacing w:val="-1"/>
                <w:sz w:val="22"/>
                <w:szCs w:val="22"/>
                <w:lang w:val="sr-Latn-ME"/>
              </w:rPr>
              <w:t>k</w:t>
            </w:r>
            <w:r w:rsidRPr="00840456">
              <w:rPr>
                <w:spacing w:val="1"/>
                <w:sz w:val="22"/>
                <w:szCs w:val="22"/>
                <w:lang w:val="sr-Latn-ME"/>
              </w:rPr>
              <w:t>c</w:t>
            </w:r>
            <w:r w:rsidRPr="00840456">
              <w:rPr>
                <w:sz w:val="22"/>
                <w:szCs w:val="22"/>
                <w:lang w:val="sr-Latn-ME"/>
              </w:rPr>
              <w:t>i</w:t>
            </w:r>
            <w:r w:rsidRPr="00840456">
              <w:rPr>
                <w:spacing w:val="-1"/>
                <w:sz w:val="22"/>
                <w:szCs w:val="22"/>
                <w:lang w:val="sr-Latn-ME"/>
              </w:rPr>
              <w:t>j</w:t>
            </w:r>
            <w:r w:rsidRPr="00840456">
              <w:rPr>
                <w:sz w:val="22"/>
                <w:szCs w:val="22"/>
                <w:lang w:val="sr-Latn-ME"/>
              </w:rPr>
              <w:t xml:space="preserve">e na </w:t>
            </w:r>
            <w:r w:rsidRPr="00840456">
              <w:rPr>
                <w:spacing w:val="-1"/>
                <w:sz w:val="22"/>
                <w:szCs w:val="22"/>
                <w:lang w:val="sr-Latn-ME"/>
              </w:rPr>
              <w:t>mj</w:t>
            </w:r>
            <w:r w:rsidRPr="00840456">
              <w:rPr>
                <w:sz w:val="22"/>
                <w:szCs w:val="22"/>
                <w:lang w:val="sr-Latn-ME"/>
              </w:rPr>
              <w:t>estu</w:t>
            </w:r>
            <w:r w:rsidRPr="00840456">
              <w:rPr>
                <w:spacing w:val="1"/>
                <w:sz w:val="22"/>
                <w:szCs w:val="22"/>
                <w:lang w:val="sr-Latn-ME"/>
              </w:rPr>
              <w:t xml:space="preserve"> </w:t>
            </w:r>
            <w:r w:rsidRPr="00840456">
              <w:rPr>
                <w:sz w:val="22"/>
                <w:szCs w:val="22"/>
                <w:lang w:val="sr-Latn-ME"/>
              </w:rPr>
              <w:t>pri</w:t>
            </w:r>
            <w:r w:rsidRPr="00840456">
              <w:rPr>
                <w:spacing w:val="-1"/>
                <w:sz w:val="22"/>
                <w:szCs w:val="22"/>
                <w:lang w:val="sr-Latn-ME"/>
              </w:rPr>
              <w:t>mj</w:t>
            </w:r>
            <w:r w:rsidRPr="00840456">
              <w:rPr>
                <w:sz w:val="22"/>
                <w:szCs w:val="22"/>
                <w:lang w:val="sr-Latn-ME"/>
              </w:rPr>
              <w:t>ene</w:t>
            </w:r>
          </w:p>
        </w:tc>
        <w:tc>
          <w:tcPr>
            <w:tcW w:w="627" w:type="pct"/>
          </w:tcPr>
          <w:p w14:paraId="1557771C" w14:textId="77777777" w:rsidR="005A7F10" w:rsidRPr="00840456" w:rsidRDefault="005A7F10" w:rsidP="00AD2A61">
            <w:pPr>
              <w:overflowPunct w:val="0"/>
              <w:autoSpaceDE w:val="0"/>
              <w:autoSpaceDN w:val="0"/>
              <w:adjustRightInd w:val="0"/>
              <w:textAlignment w:val="baseline"/>
              <w:rPr>
                <w:color w:val="000000"/>
                <w:sz w:val="22"/>
                <w:szCs w:val="22"/>
                <w:lang w:val="sr-Latn-ME"/>
              </w:rPr>
            </w:pPr>
            <w:r w:rsidRPr="00840456">
              <w:rPr>
                <w:color w:val="000000"/>
                <w:sz w:val="22"/>
                <w:szCs w:val="22"/>
                <w:lang w:val="sr-Latn-ME"/>
              </w:rPr>
              <w:t>Reakcije na</w:t>
            </w:r>
          </w:p>
          <w:p w14:paraId="57813C4C"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mjestu primjene injekcije (uključujući krvarenje, modrice, eritem, svrab, bol, otečenost)*</w:t>
            </w:r>
          </w:p>
        </w:tc>
        <w:tc>
          <w:tcPr>
            <w:tcW w:w="627" w:type="pct"/>
          </w:tcPr>
          <w:p w14:paraId="13F30242" w14:textId="77777777" w:rsidR="005A7F10" w:rsidRPr="00840456" w:rsidRDefault="005A7F10" w:rsidP="00AD2A61">
            <w:pPr>
              <w:overflowPunct w:val="0"/>
              <w:autoSpaceDE w:val="0"/>
              <w:autoSpaceDN w:val="0"/>
              <w:adjustRightInd w:val="0"/>
              <w:textAlignment w:val="baseline"/>
              <w:rPr>
                <w:sz w:val="22"/>
                <w:szCs w:val="22"/>
                <w:lang w:val="sr-Latn-ME"/>
              </w:rPr>
            </w:pPr>
            <w:r w:rsidRPr="00840456">
              <w:rPr>
                <w:color w:val="000000"/>
                <w:sz w:val="22"/>
                <w:szCs w:val="22"/>
                <w:lang w:val="sr-Latn-ME"/>
              </w:rPr>
              <w:t>Pireksija</w:t>
            </w:r>
          </w:p>
        </w:tc>
        <w:tc>
          <w:tcPr>
            <w:tcW w:w="891" w:type="pct"/>
            <w:gridSpan w:val="2"/>
          </w:tcPr>
          <w:p w14:paraId="6CAA5EDD"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1043" w:type="pct"/>
          </w:tcPr>
          <w:p w14:paraId="5F0629A9"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471" w:type="pct"/>
          </w:tcPr>
          <w:p w14:paraId="0A792F76" w14:textId="77777777" w:rsidR="005A7F10" w:rsidRPr="00840456" w:rsidRDefault="005A7F10" w:rsidP="00AD2A61">
            <w:pPr>
              <w:overflowPunct w:val="0"/>
              <w:autoSpaceDE w:val="0"/>
              <w:autoSpaceDN w:val="0"/>
              <w:adjustRightInd w:val="0"/>
              <w:textAlignment w:val="baseline"/>
              <w:rPr>
                <w:sz w:val="22"/>
                <w:szCs w:val="22"/>
                <w:lang w:val="sr-Latn-ME"/>
              </w:rPr>
            </w:pPr>
          </w:p>
        </w:tc>
        <w:tc>
          <w:tcPr>
            <w:tcW w:w="721" w:type="pct"/>
          </w:tcPr>
          <w:p w14:paraId="661E6708" w14:textId="77777777" w:rsidR="005A7F10" w:rsidRPr="00840456" w:rsidRDefault="005A7F10" w:rsidP="00AD2A61">
            <w:pPr>
              <w:overflowPunct w:val="0"/>
              <w:autoSpaceDE w:val="0"/>
              <w:autoSpaceDN w:val="0"/>
              <w:adjustRightInd w:val="0"/>
              <w:textAlignment w:val="baseline"/>
              <w:rPr>
                <w:sz w:val="22"/>
                <w:szCs w:val="22"/>
                <w:lang w:val="sr-Latn-ME"/>
              </w:rPr>
            </w:pPr>
          </w:p>
        </w:tc>
      </w:tr>
      <w:tr w:rsidR="005A7F10" w:rsidRPr="00840456" w14:paraId="6567D423" w14:textId="77777777" w:rsidTr="005A7F10">
        <w:trPr>
          <w:trHeight w:val="105"/>
          <w:jc w:val="center"/>
        </w:trPr>
        <w:tc>
          <w:tcPr>
            <w:tcW w:w="2346" w:type="pct"/>
            <w:gridSpan w:val="4"/>
            <w:tcBorders>
              <w:top w:val="single" w:sz="4" w:space="0" w:color="auto"/>
              <w:left w:val="nil"/>
              <w:bottom w:val="nil"/>
              <w:right w:val="nil"/>
            </w:tcBorders>
          </w:tcPr>
          <w:p w14:paraId="7E7FA5D9" w14:textId="77777777" w:rsidR="005A7F10" w:rsidRPr="00840456" w:rsidRDefault="005A7F10" w:rsidP="00AD2A61">
            <w:pPr>
              <w:rPr>
                <w:color w:val="1F497D"/>
                <w:sz w:val="22"/>
                <w:szCs w:val="22"/>
                <w:lang w:val="sr-Latn-ME"/>
              </w:rPr>
            </w:pPr>
            <w:r w:rsidRPr="00840456">
              <w:rPr>
                <w:color w:val="000000"/>
                <w:sz w:val="22"/>
                <w:szCs w:val="22"/>
                <w:lang w:val="sr-Latn-ME"/>
              </w:rPr>
              <w:t>* vidjeti dio „Opis odabranih neželjenih reakcija“ u nastavku.</w:t>
            </w:r>
          </w:p>
        </w:tc>
        <w:tc>
          <w:tcPr>
            <w:tcW w:w="2654" w:type="pct"/>
            <w:gridSpan w:val="4"/>
            <w:tcBorders>
              <w:top w:val="single" w:sz="4" w:space="0" w:color="auto"/>
              <w:left w:val="nil"/>
              <w:bottom w:val="nil"/>
              <w:right w:val="nil"/>
            </w:tcBorders>
          </w:tcPr>
          <w:p w14:paraId="020A6F98" w14:textId="77777777" w:rsidR="005A7F10" w:rsidRPr="00840456" w:rsidRDefault="005A7F10" w:rsidP="00AD2A61">
            <w:pPr>
              <w:tabs>
                <w:tab w:val="left" w:pos="360"/>
              </w:tabs>
              <w:overflowPunct w:val="0"/>
              <w:autoSpaceDE w:val="0"/>
              <w:autoSpaceDN w:val="0"/>
              <w:adjustRightInd w:val="0"/>
              <w:textAlignment w:val="baseline"/>
              <w:rPr>
                <w:sz w:val="22"/>
                <w:szCs w:val="22"/>
                <w:lang w:val="sr-Latn-ME"/>
              </w:rPr>
            </w:pPr>
          </w:p>
        </w:tc>
      </w:tr>
    </w:tbl>
    <w:p w14:paraId="20395A86" w14:textId="77777777" w:rsidR="005A7F10" w:rsidRPr="00840456" w:rsidRDefault="005A7F10" w:rsidP="00480FB1">
      <w:pPr>
        <w:tabs>
          <w:tab w:val="left" w:pos="540"/>
          <w:tab w:val="left" w:pos="569"/>
        </w:tabs>
        <w:rPr>
          <w:b/>
          <w:bCs/>
          <w:sz w:val="22"/>
          <w:szCs w:val="22"/>
          <w:lang w:val="sr-Latn-ME"/>
        </w:rPr>
      </w:pPr>
    </w:p>
    <w:p w14:paraId="1A3E102B" w14:textId="77777777" w:rsidR="005A7F10" w:rsidRPr="00840456" w:rsidRDefault="005A7F10" w:rsidP="005A7F10">
      <w:pPr>
        <w:widowControl w:val="0"/>
        <w:autoSpaceDE w:val="0"/>
        <w:autoSpaceDN w:val="0"/>
        <w:adjustRightInd w:val="0"/>
        <w:jc w:val="both"/>
        <w:rPr>
          <w:sz w:val="22"/>
          <w:szCs w:val="22"/>
          <w:lang w:val="sr-Latn-ME"/>
        </w:rPr>
      </w:pPr>
      <w:r w:rsidRPr="00840456">
        <w:rPr>
          <w:color w:val="000000"/>
          <w:sz w:val="22"/>
          <w:szCs w:val="22"/>
          <w:u w:val="single"/>
          <w:lang w:val="sr-Latn-ME"/>
        </w:rPr>
        <w:t>Opis odabranih neželjenih reakcija</w:t>
      </w:r>
    </w:p>
    <w:p w14:paraId="59FF134B" w14:textId="77777777" w:rsidR="005A7F10" w:rsidRPr="00840456" w:rsidRDefault="005A7F10" w:rsidP="005A7F10">
      <w:pPr>
        <w:widowControl w:val="0"/>
        <w:autoSpaceDE w:val="0"/>
        <w:autoSpaceDN w:val="0"/>
        <w:adjustRightInd w:val="0"/>
        <w:spacing w:line="254" w:lineRule="exact"/>
        <w:jc w:val="both"/>
        <w:rPr>
          <w:sz w:val="22"/>
          <w:szCs w:val="22"/>
          <w:lang w:val="sr-Latn-ME"/>
        </w:rPr>
      </w:pPr>
    </w:p>
    <w:p w14:paraId="2993FDA3" w14:textId="77777777" w:rsidR="005A7F10" w:rsidRPr="00840456" w:rsidRDefault="005A7F10" w:rsidP="00815D34">
      <w:pPr>
        <w:pStyle w:val="Header"/>
        <w:tabs>
          <w:tab w:val="left" w:pos="284"/>
        </w:tabs>
        <w:spacing w:before="80"/>
        <w:jc w:val="both"/>
        <w:rPr>
          <w:i/>
          <w:color w:val="000000"/>
          <w:sz w:val="22"/>
          <w:szCs w:val="22"/>
          <w:lang w:val="sr-Latn-ME"/>
        </w:rPr>
      </w:pPr>
      <w:r w:rsidRPr="00840456">
        <w:rPr>
          <w:i/>
          <w:color w:val="000000"/>
          <w:sz w:val="22"/>
          <w:szCs w:val="22"/>
          <w:lang w:val="sr-Latn-ME"/>
        </w:rPr>
        <w:t xml:space="preserve">Maligniteti i limfoproliferativni poremećaji </w:t>
      </w:r>
    </w:p>
    <w:p w14:paraId="2D762471" w14:textId="77777777" w:rsidR="005A7F10" w:rsidRPr="00840456" w:rsidRDefault="005A7F10" w:rsidP="005A7F10">
      <w:pPr>
        <w:widowControl w:val="0"/>
        <w:overflowPunct w:val="0"/>
        <w:autoSpaceDE w:val="0"/>
        <w:autoSpaceDN w:val="0"/>
        <w:adjustRightInd w:val="0"/>
        <w:spacing w:line="238" w:lineRule="auto"/>
        <w:jc w:val="both"/>
        <w:rPr>
          <w:sz w:val="22"/>
          <w:szCs w:val="22"/>
          <w:lang w:val="sr-Latn-ME"/>
        </w:rPr>
      </w:pPr>
      <w:r w:rsidRPr="00840456">
        <w:rPr>
          <w:color w:val="000000"/>
          <w:sz w:val="22"/>
          <w:szCs w:val="22"/>
          <w:lang w:val="sr-Latn-ME"/>
        </w:rPr>
        <w:t xml:space="preserve">Tokom šestogodišnjih kliničkih studija na 4114 pacijenata sa reumatoidnim artritisom liječenih lijekom Enbrel, uključujući i 231 pacijenta koji su primali kombinovanu terapiju lijeka Enbrel i metotreksat tokom dvogodišnje aktivno-kontrolisane studije, prijavljeno je 129 različitih maligniteta. Prijavljeni procenat i incidenca u ovim kliničkim ispitivanjima odgovaraju onima koji bi se očekivali za datu populaciju uključenu u studiju. Tokom dvogodišnje kliničke studije na 240 pacijenata sa psorijaznim artritisom koji su liječeni lijekom Enbrel prijavljena su dva slučaja razvoja maligniteta. Tokom kliničke studije koja je trajala više od dvije godine na 351 pacijentu sa ankilozirajućim spondilitisom liječenih </w:t>
      </w:r>
      <w:r w:rsidRPr="00840456">
        <w:rPr>
          <w:color w:val="000000"/>
          <w:sz w:val="22"/>
          <w:szCs w:val="22"/>
          <w:lang w:val="sr-Latn-ME"/>
        </w:rPr>
        <w:lastRenderedPageBreak/>
        <w:t>lijekom Enbrel prijavljeno je 6 maligniteta. Kod 2711 pacijenta sa plak psorijazom koji su primali lijek Enbrel tokom duplo slijepih i otvorenih studija, u periodu do 2,5 godine, prijavljeno je 30 maligniteta i 43 nonmelanoma kožnih karcinoma.</w:t>
      </w:r>
    </w:p>
    <w:p w14:paraId="2860CECE" w14:textId="77777777" w:rsidR="005A7F10" w:rsidRPr="00840456" w:rsidRDefault="005A7F10" w:rsidP="005A7F10">
      <w:pPr>
        <w:widowControl w:val="0"/>
        <w:autoSpaceDE w:val="0"/>
        <w:autoSpaceDN w:val="0"/>
        <w:adjustRightInd w:val="0"/>
        <w:spacing w:line="228" w:lineRule="exact"/>
        <w:jc w:val="both"/>
        <w:rPr>
          <w:sz w:val="22"/>
          <w:szCs w:val="22"/>
          <w:lang w:val="sr-Latn-ME"/>
        </w:rPr>
      </w:pPr>
    </w:p>
    <w:p w14:paraId="24EA80D1" w14:textId="77777777" w:rsidR="005A7F10" w:rsidRPr="00840456" w:rsidRDefault="005A7F10" w:rsidP="005A7F10">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Kod 7416 pacijenata koji su tokom kliničkih studija primali lijek Enbrel u terapiji reumatoidnog artritisa, psorijaznog artritisa, ankilozirajućeg spondilitisa i psorijaze, prijavljeno je 18 slučajeva nastanka limfoma.</w:t>
      </w:r>
    </w:p>
    <w:p w14:paraId="535C8C72" w14:textId="77777777" w:rsidR="005A7F10" w:rsidRPr="00840456" w:rsidRDefault="005A7F10" w:rsidP="005A7F10">
      <w:pPr>
        <w:widowControl w:val="0"/>
        <w:autoSpaceDE w:val="0"/>
        <w:autoSpaceDN w:val="0"/>
        <w:adjustRightInd w:val="0"/>
        <w:spacing w:line="214" w:lineRule="exact"/>
        <w:jc w:val="both"/>
        <w:rPr>
          <w:sz w:val="22"/>
          <w:szCs w:val="22"/>
          <w:lang w:val="sr-Latn-ME"/>
        </w:rPr>
      </w:pPr>
    </w:p>
    <w:p w14:paraId="2084C5EF" w14:textId="17B61195" w:rsidR="005A7F10" w:rsidRPr="00840456" w:rsidRDefault="005A7F10" w:rsidP="005A7F10">
      <w:pPr>
        <w:widowControl w:val="0"/>
        <w:overflowPunct w:val="0"/>
        <w:autoSpaceDE w:val="0"/>
        <w:autoSpaceDN w:val="0"/>
        <w:adjustRightInd w:val="0"/>
        <w:spacing w:line="267" w:lineRule="auto"/>
        <w:jc w:val="both"/>
        <w:rPr>
          <w:sz w:val="22"/>
          <w:szCs w:val="22"/>
          <w:lang w:val="sr-Latn-ME"/>
        </w:rPr>
      </w:pPr>
      <w:r w:rsidRPr="00840456">
        <w:rPr>
          <w:color w:val="000000"/>
          <w:sz w:val="22"/>
          <w:szCs w:val="22"/>
          <w:lang w:val="sr-Latn-ME"/>
        </w:rPr>
        <w:t>I u post-marketinškom periodu postoje takođe izv</w:t>
      </w:r>
      <w:r w:rsidR="00687A84" w:rsidRPr="00840456">
        <w:rPr>
          <w:color w:val="000000"/>
          <w:sz w:val="22"/>
          <w:szCs w:val="22"/>
          <w:lang w:val="sr-Latn-ME"/>
        </w:rPr>
        <w:t>j</w:t>
      </w:r>
      <w:r w:rsidRPr="00840456">
        <w:rPr>
          <w:color w:val="000000"/>
          <w:sz w:val="22"/>
          <w:szCs w:val="22"/>
          <w:lang w:val="sr-Latn-ME"/>
        </w:rPr>
        <w:t xml:space="preserve">eštaji o različitim malignitetima (uključujući i karcinom dojke, karcinom pluća i limfome) (vidjeti </w:t>
      </w:r>
      <w:r w:rsidR="00687A84" w:rsidRPr="00840456">
        <w:rPr>
          <w:color w:val="000000"/>
          <w:sz w:val="22"/>
          <w:szCs w:val="22"/>
          <w:lang w:val="sr-Latn-ME"/>
        </w:rPr>
        <w:t>dio</w:t>
      </w:r>
      <w:r w:rsidRPr="00840456">
        <w:rPr>
          <w:color w:val="000000"/>
          <w:sz w:val="22"/>
          <w:szCs w:val="22"/>
          <w:lang w:val="sr-Latn-ME"/>
        </w:rPr>
        <w:t xml:space="preserve"> 4.4).</w:t>
      </w:r>
    </w:p>
    <w:p w14:paraId="20AA3778" w14:textId="77777777" w:rsidR="005A7F10" w:rsidRPr="00840456" w:rsidRDefault="005A7F10" w:rsidP="005A7F10">
      <w:pPr>
        <w:widowControl w:val="0"/>
        <w:autoSpaceDE w:val="0"/>
        <w:autoSpaceDN w:val="0"/>
        <w:adjustRightInd w:val="0"/>
        <w:spacing w:line="194" w:lineRule="exact"/>
        <w:jc w:val="both"/>
        <w:rPr>
          <w:sz w:val="22"/>
          <w:szCs w:val="22"/>
          <w:lang w:val="sr-Latn-ME"/>
        </w:rPr>
      </w:pPr>
    </w:p>
    <w:p w14:paraId="3D1EC1AC" w14:textId="77777777"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Reakcije na mjestu uboda</w:t>
      </w:r>
    </w:p>
    <w:p w14:paraId="5FF8BD79" w14:textId="77777777" w:rsidR="005A7F10" w:rsidRPr="00840456" w:rsidRDefault="005A7F10" w:rsidP="005A7F10">
      <w:pPr>
        <w:widowControl w:val="0"/>
        <w:overflowPunct w:val="0"/>
        <w:autoSpaceDE w:val="0"/>
        <w:autoSpaceDN w:val="0"/>
        <w:adjustRightInd w:val="0"/>
        <w:spacing w:line="251" w:lineRule="auto"/>
        <w:jc w:val="both"/>
        <w:rPr>
          <w:sz w:val="22"/>
          <w:szCs w:val="22"/>
          <w:lang w:val="sr-Latn-ME"/>
        </w:rPr>
      </w:pPr>
      <w:r w:rsidRPr="00840456">
        <w:rPr>
          <w:color w:val="000000"/>
          <w:sz w:val="22"/>
          <w:szCs w:val="22"/>
          <w:lang w:val="sr-Latn-ME"/>
        </w:rPr>
        <w:t>U poređenju sa placebom, kod pacijenata sa reumatoidnim artritisom liječenih lijekom Enbrel postoji značajno veća incidenca reakcija na mjestu uboda (36% vs. 9%). Reakcije na mjestu uboda obično se javljaju tokom prvog mjeseca primjene lijeka i najčešće traju 3 do 5 dana. U grupi koja je primala lijek Enbrel većini pacijenata kod kojih su se razvile reakcije na mjestu uboda nije data nikakva terapija, ostalima koji su liječeni uglavnom su davani topikalni preparati kao što su kortikosteroidi za spoljnu primjenu ili oralni antihistaminici. Uz to, kod nekih pacijenata je došlo do razvoja ponovljene reakcije na mjestu uboda koju je karakterisala kožna reakcija na mjestu uboda sa istovremenom pojavom reakcije na mjestu uboda prethodne injekcije. Ove reakcije su bile prolazne i nijesu se ponovo pojavljivale tokom liječenja.</w:t>
      </w:r>
    </w:p>
    <w:p w14:paraId="6489AA90" w14:textId="77777777" w:rsidR="005A7F10" w:rsidRPr="00840456" w:rsidRDefault="005A7F10" w:rsidP="005A7F10">
      <w:pPr>
        <w:widowControl w:val="0"/>
        <w:autoSpaceDE w:val="0"/>
        <w:autoSpaceDN w:val="0"/>
        <w:adjustRightInd w:val="0"/>
        <w:spacing w:line="216" w:lineRule="exact"/>
        <w:jc w:val="both"/>
        <w:rPr>
          <w:sz w:val="22"/>
          <w:szCs w:val="22"/>
          <w:lang w:val="sr-Latn-ME"/>
        </w:rPr>
      </w:pPr>
    </w:p>
    <w:p w14:paraId="10614DD4" w14:textId="77777777" w:rsidR="005A7F10" w:rsidRPr="00840456" w:rsidRDefault="005A7F10" w:rsidP="005A7F10">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U kontrolisanim ispitivanjima tokom 12 nedjelja kod pacijenata sa plak psorijazom, približno 13,6% pacijenata koji su primali lijek Enbrel došlo je do reakcije na mjestu uboda, u poređenju sa 3,4% pacijenata iz placebo grupe.</w:t>
      </w:r>
    </w:p>
    <w:p w14:paraId="7FF366A0" w14:textId="77777777" w:rsidR="005A7F10" w:rsidRPr="00840456" w:rsidRDefault="005A7F10" w:rsidP="005A7F10">
      <w:pPr>
        <w:widowControl w:val="0"/>
        <w:autoSpaceDE w:val="0"/>
        <w:autoSpaceDN w:val="0"/>
        <w:adjustRightInd w:val="0"/>
        <w:spacing w:line="214" w:lineRule="exact"/>
        <w:jc w:val="both"/>
        <w:rPr>
          <w:sz w:val="22"/>
          <w:szCs w:val="22"/>
          <w:lang w:val="sr-Latn-ME"/>
        </w:rPr>
      </w:pPr>
    </w:p>
    <w:p w14:paraId="37B4F333" w14:textId="77777777"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Ozbiljne infekcije</w:t>
      </w:r>
    </w:p>
    <w:p w14:paraId="74AA15F3" w14:textId="477EA8ED" w:rsidR="005A7F10" w:rsidRPr="00840456" w:rsidRDefault="005A7F10" w:rsidP="00671053">
      <w:pPr>
        <w:pStyle w:val="Header"/>
        <w:tabs>
          <w:tab w:val="left" w:pos="284"/>
        </w:tabs>
        <w:spacing w:before="80" w:after="80"/>
        <w:jc w:val="both"/>
        <w:rPr>
          <w:color w:val="000000"/>
          <w:sz w:val="22"/>
          <w:szCs w:val="22"/>
          <w:lang w:val="sr-Latn-ME"/>
        </w:rPr>
      </w:pPr>
      <w:r w:rsidRPr="00840456">
        <w:rPr>
          <w:color w:val="000000"/>
          <w:sz w:val="22"/>
          <w:szCs w:val="22"/>
          <w:lang w:val="sr-Latn-ME"/>
        </w:rPr>
        <w:t>Rezultati placebo</w:t>
      </w:r>
      <w:r w:rsidR="004B02EC" w:rsidRPr="00840456">
        <w:rPr>
          <w:color w:val="000000"/>
          <w:sz w:val="22"/>
          <w:szCs w:val="22"/>
          <w:lang w:val="sr-Latn-ME"/>
        </w:rPr>
        <w:t>-</w:t>
      </w:r>
      <w:r w:rsidRPr="00840456">
        <w:rPr>
          <w:color w:val="000000"/>
          <w:sz w:val="22"/>
          <w:szCs w:val="22"/>
          <w:lang w:val="sr-Latn-ME"/>
        </w:rPr>
        <w:t>kontrolisanih studija sa lijekom Enbrel nijesu pokazali povećanu incidencu ozbiljnih infekcija (fatalnih, onih koje ugrožavaju život</w:t>
      </w:r>
      <w:r w:rsidR="004B02EC" w:rsidRPr="00840456">
        <w:rPr>
          <w:color w:val="000000"/>
          <w:sz w:val="22"/>
          <w:szCs w:val="22"/>
          <w:lang w:val="sr-Latn-ME"/>
        </w:rPr>
        <w:t xml:space="preserve"> </w:t>
      </w:r>
      <w:r w:rsidRPr="00840456">
        <w:rPr>
          <w:color w:val="000000"/>
          <w:sz w:val="22"/>
          <w:szCs w:val="22"/>
          <w:lang w:val="sr-Latn-ME"/>
        </w:rPr>
        <w:t>ili onih koje bi zahtijevale hospitalizaciju ili intravensku primjenu antibiotika). Ozbiljne infekcije su se javile kod 6,3% pacijenata oboljelih od reumatoidnog artritisa koji su liječeni lijekom Enbrel tokom 48 mjeseci. Ove reakcije su bile apscesi (na različitim mjestima), bakterijemije, bronhitis, burzitis, celulitis, holecistitis, dijareja, upala divertikula, endokarditis (suspektni), gastroenteritis, hepatitis B, herpes zoster, ulceracije kože i potkožnog tkiva donjih ekstremiteta, infekcije usta, osteomijelitis, otitis, peritonitis, pneumonija, pijelonefritis, sepsa, septički artritis, sinuzitis, kožne infekcije, ulceracije kože, infekcije urinarnog trakta, vaskulitis i infekcije rana. Rezultati dvogodišnje, aktivno-kontrolisane studije gdje su pacijenti primali lijek Enbrel kao monoterapiju, monoterapiju metotreksatom ili kombinovanu terapiju lijeka Enbrel i metotreksata, pokazali su sličan procenat ozbiljnih infekcija u sve tri grupe. Ipak, kombinacija lijeka Enbrel i metotreksata može biti povezana sa povećanjem rizika od razvoja infekcija.</w:t>
      </w:r>
    </w:p>
    <w:p w14:paraId="540C7261" w14:textId="77777777" w:rsidR="00671053" w:rsidRPr="00840456" w:rsidRDefault="00671053" w:rsidP="00671053">
      <w:pPr>
        <w:pStyle w:val="Header"/>
        <w:tabs>
          <w:tab w:val="left" w:pos="284"/>
        </w:tabs>
        <w:spacing w:before="80" w:after="80"/>
        <w:jc w:val="both"/>
        <w:rPr>
          <w:color w:val="000000"/>
          <w:sz w:val="22"/>
          <w:szCs w:val="22"/>
          <w:lang w:val="sr-Latn-ME"/>
        </w:rPr>
      </w:pPr>
    </w:p>
    <w:p w14:paraId="3C18F96C" w14:textId="61236FC0" w:rsidR="005A7F10" w:rsidRPr="00840456" w:rsidRDefault="005A7F10" w:rsidP="005A7F10">
      <w:pPr>
        <w:widowControl w:val="0"/>
        <w:overflowPunct w:val="0"/>
        <w:autoSpaceDE w:val="0"/>
        <w:autoSpaceDN w:val="0"/>
        <w:adjustRightInd w:val="0"/>
        <w:jc w:val="both"/>
        <w:rPr>
          <w:sz w:val="22"/>
          <w:szCs w:val="22"/>
          <w:lang w:val="sr-Latn-ME"/>
        </w:rPr>
      </w:pPr>
      <w:r w:rsidRPr="00840456">
        <w:rPr>
          <w:color w:val="000000"/>
          <w:sz w:val="22"/>
          <w:szCs w:val="22"/>
          <w:lang w:val="sr-Latn-ME"/>
        </w:rPr>
        <w:t>Nije bilo razlike u procentu infekcija kod pacijenata u grupi koji su primali lijek Enbrel i u grupi kod pacijenata koji su primali placebo sa plak psorijazom u placebo kontrolisanim studijama koje su trajale do 24 nedjelje. Ozbiljne infekcije koje su se javile kod pacijenata koji su primali lijek Enbrel su bile: celulitis, gastroenteritis, pneumonija, holecistis, osteomijelitis, gastritis, apendicitis, streptokokni fasciitis, miozitis, septički šok, divertikulitis i apsces. U duplo</w:t>
      </w:r>
      <w:r w:rsidR="00F8671B" w:rsidRPr="00840456">
        <w:rPr>
          <w:color w:val="000000"/>
          <w:sz w:val="22"/>
          <w:szCs w:val="22"/>
          <w:lang w:val="sr-Latn-ME"/>
        </w:rPr>
        <w:t>-</w:t>
      </w:r>
      <w:r w:rsidRPr="00840456">
        <w:rPr>
          <w:color w:val="000000"/>
          <w:sz w:val="22"/>
          <w:szCs w:val="22"/>
          <w:lang w:val="sr-Latn-ME"/>
        </w:rPr>
        <w:t>slijepim i otvorenim studijama kod pacijenata sa psorijaznim artritisom, kod jednog pacijenta došlo je do ozbiljne infekcije (pneumonije).</w:t>
      </w:r>
    </w:p>
    <w:p w14:paraId="25257EAD" w14:textId="77777777" w:rsidR="005A7F10" w:rsidRPr="00840456" w:rsidRDefault="005A7F10" w:rsidP="005A7F10">
      <w:pPr>
        <w:widowControl w:val="0"/>
        <w:autoSpaceDE w:val="0"/>
        <w:autoSpaceDN w:val="0"/>
        <w:adjustRightInd w:val="0"/>
        <w:spacing w:line="228" w:lineRule="exact"/>
        <w:jc w:val="both"/>
        <w:rPr>
          <w:sz w:val="22"/>
          <w:szCs w:val="22"/>
          <w:lang w:val="sr-Latn-ME"/>
        </w:rPr>
      </w:pPr>
    </w:p>
    <w:p w14:paraId="2A796F8B" w14:textId="278308EB" w:rsidR="005A7F10" w:rsidRPr="00840456" w:rsidRDefault="005A7F10" w:rsidP="005A7F10">
      <w:pPr>
        <w:widowControl w:val="0"/>
        <w:overflowPunct w:val="0"/>
        <w:autoSpaceDE w:val="0"/>
        <w:autoSpaceDN w:val="0"/>
        <w:adjustRightInd w:val="0"/>
        <w:jc w:val="both"/>
        <w:rPr>
          <w:sz w:val="22"/>
          <w:szCs w:val="22"/>
          <w:lang w:val="sr-Latn-ME"/>
        </w:rPr>
      </w:pPr>
      <w:r w:rsidRPr="00840456">
        <w:rPr>
          <w:color w:val="000000"/>
          <w:sz w:val="22"/>
          <w:szCs w:val="22"/>
          <w:lang w:val="sr-Latn-ME"/>
        </w:rPr>
        <w:t xml:space="preserve">Tokom upotrebe lijeka Enbrel prijavljene su ozbiljne, pa čak i fatalne infekcije izazvane sljedećim patogenima: bakterije, mikobakterije (uključujući tuberkulozu), virusi i gljivice. Neke infekcije su se razvile nekoliko nedjelja nakon početka terapije lijekom Enbrel kod pacijenata koji su pored reumatoidnog artritisa imali bolest koja povećava rizik nastanka infekcije (npr. dijabetes, kongestivna srčana insuficijencija, anamneza aktivne ili hronične infekcije) (vidjeti </w:t>
      </w:r>
      <w:r w:rsidR="004B02EC" w:rsidRPr="00840456">
        <w:rPr>
          <w:color w:val="000000"/>
          <w:sz w:val="22"/>
          <w:szCs w:val="22"/>
          <w:lang w:val="sr-Latn-ME"/>
        </w:rPr>
        <w:t>dio</w:t>
      </w:r>
      <w:r w:rsidRPr="00840456">
        <w:rPr>
          <w:color w:val="000000"/>
          <w:sz w:val="22"/>
          <w:szCs w:val="22"/>
          <w:lang w:val="sr-Latn-ME"/>
        </w:rPr>
        <w:t xml:space="preserve"> 4.4). Terapija lijekom Enbrel može povećati smrtnost kod pacijenata sa prethodno utvrđenom sepsom.</w:t>
      </w:r>
    </w:p>
    <w:p w14:paraId="0FB8DFEC" w14:textId="77777777" w:rsidR="005A7F10" w:rsidRPr="00840456" w:rsidRDefault="005A7F10" w:rsidP="005A7F10">
      <w:pPr>
        <w:widowControl w:val="0"/>
        <w:autoSpaceDE w:val="0"/>
        <w:autoSpaceDN w:val="0"/>
        <w:adjustRightInd w:val="0"/>
        <w:spacing w:line="228" w:lineRule="exact"/>
        <w:jc w:val="both"/>
        <w:rPr>
          <w:sz w:val="22"/>
          <w:szCs w:val="22"/>
          <w:lang w:val="sr-Latn-ME"/>
        </w:rPr>
      </w:pPr>
    </w:p>
    <w:p w14:paraId="42730B98" w14:textId="468C4CF9" w:rsidR="005A7F10" w:rsidRPr="00840456" w:rsidRDefault="005A7F10" w:rsidP="005A7F10">
      <w:pPr>
        <w:widowControl w:val="0"/>
        <w:overflowPunct w:val="0"/>
        <w:autoSpaceDE w:val="0"/>
        <w:autoSpaceDN w:val="0"/>
        <w:adjustRightInd w:val="0"/>
        <w:spacing w:line="238" w:lineRule="auto"/>
        <w:jc w:val="both"/>
        <w:rPr>
          <w:sz w:val="22"/>
          <w:szCs w:val="22"/>
          <w:lang w:val="sr-Latn-ME"/>
        </w:rPr>
      </w:pPr>
      <w:r w:rsidRPr="00840456">
        <w:rPr>
          <w:color w:val="000000"/>
          <w:sz w:val="22"/>
          <w:szCs w:val="22"/>
          <w:lang w:val="sr-Latn-ME"/>
        </w:rPr>
        <w:t xml:space="preserve">Prijavljen je nastanak oportunističkih infekcija koje su povezane sa primjenom lijeka Enbrel, uključujući invazivne gljivične, parazitske (uključujući infekcije izazvane protozoama), </w:t>
      </w:r>
      <w:r w:rsidRPr="00840456">
        <w:rPr>
          <w:sz w:val="22"/>
          <w:szCs w:val="22"/>
          <w:lang w:val="sr-Latn-ME"/>
        </w:rPr>
        <w:t xml:space="preserve">virusne (uključujući herpes </w:t>
      </w:r>
      <w:r w:rsidRPr="00840456">
        <w:rPr>
          <w:sz w:val="22"/>
          <w:szCs w:val="22"/>
          <w:lang w:val="sr-Latn-ME"/>
        </w:rPr>
        <w:lastRenderedPageBreak/>
        <w:t xml:space="preserve">zoster), </w:t>
      </w:r>
      <w:r w:rsidRPr="00840456">
        <w:rPr>
          <w:color w:val="000000"/>
          <w:sz w:val="22"/>
          <w:szCs w:val="22"/>
          <w:lang w:val="sr-Latn-ME"/>
        </w:rPr>
        <w:t xml:space="preserve">bakterijske (uključujući </w:t>
      </w:r>
      <w:r w:rsidRPr="00840456">
        <w:rPr>
          <w:i/>
          <w:iCs/>
          <w:color w:val="000000"/>
          <w:sz w:val="22"/>
          <w:szCs w:val="22"/>
          <w:lang w:val="sr-Latn-ME"/>
        </w:rPr>
        <w:t>Listeria</w:t>
      </w:r>
      <w:r w:rsidRPr="00840456">
        <w:rPr>
          <w:color w:val="000000"/>
          <w:sz w:val="22"/>
          <w:szCs w:val="22"/>
          <w:lang w:val="sr-Latn-ME"/>
        </w:rPr>
        <w:t xml:space="preserve"> i </w:t>
      </w:r>
      <w:r w:rsidRPr="00840456">
        <w:rPr>
          <w:i/>
          <w:iCs/>
          <w:color w:val="000000"/>
          <w:sz w:val="22"/>
          <w:szCs w:val="22"/>
          <w:lang w:val="sr-Latn-ME"/>
        </w:rPr>
        <w:t>Legionella</w:t>
      </w:r>
      <w:r w:rsidRPr="00840456">
        <w:rPr>
          <w:color w:val="000000"/>
          <w:sz w:val="22"/>
          <w:szCs w:val="22"/>
          <w:lang w:val="sr-Latn-ME"/>
        </w:rPr>
        <w:t xml:space="preserve">) i atipične mikobakterijske infekcije. Na osnovu dostupnih podataka iz kliničkih ispitivanja ukupna učestalost oportunističkih infekcija je 0,09% od 15.402 ispitanika koji su primali lijek Enbrel. Stopa izloženosti je bila 0,06 događaja na 100 pacijent-godina. Na osnovu postmarketinškog iskustva, približno polovina od ukupno svih prijavljenih slučajeva oportunističkih infekcija širom svijeta bile su invazivne gljivične infekcije. Najčešće prijavljivane invazivne gljivične infekcije su bile </w:t>
      </w:r>
      <w:r w:rsidRPr="00840456">
        <w:rPr>
          <w:rFonts w:eastAsia="TimesNewRoman"/>
          <w:i/>
          <w:color w:val="000000"/>
          <w:sz w:val="22"/>
          <w:szCs w:val="22"/>
          <w:lang w:val="sr-Latn-ME"/>
        </w:rPr>
        <w:t>Candida,</w:t>
      </w:r>
      <w:r w:rsidRPr="00840456">
        <w:rPr>
          <w:rFonts w:eastAsia="TimesNewRoman"/>
          <w:color w:val="000000"/>
          <w:sz w:val="22"/>
          <w:szCs w:val="22"/>
          <w:lang w:val="sr-Latn-ME"/>
        </w:rPr>
        <w:t xml:space="preserve"> </w:t>
      </w:r>
      <w:r w:rsidRPr="00840456">
        <w:rPr>
          <w:rFonts w:eastAsia="TimesNewRoman"/>
          <w:i/>
          <w:iCs/>
          <w:color w:val="000000"/>
          <w:sz w:val="22"/>
          <w:szCs w:val="22"/>
          <w:lang w:val="sr-Latn-ME"/>
        </w:rPr>
        <w:t>Pneumocystis,</w:t>
      </w:r>
      <w:r w:rsidRPr="00840456">
        <w:rPr>
          <w:rFonts w:eastAsia="TimesNewRoman"/>
          <w:color w:val="000000"/>
          <w:sz w:val="22"/>
          <w:szCs w:val="22"/>
          <w:lang w:val="sr-Latn-ME"/>
        </w:rPr>
        <w:t xml:space="preserve"> </w:t>
      </w:r>
      <w:r w:rsidRPr="00840456">
        <w:rPr>
          <w:rFonts w:eastAsia="TimesNewRoman"/>
          <w:i/>
          <w:color w:val="000000"/>
          <w:sz w:val="22"/>
          <w:szCs w:val="22"/>
          <w:lang w:val="sr-Latn-ME"/>
        </w:rPr>
        <w:t xml:space="preserve">Aspergillus </w:t>
      </w:r>
      <w:r w:rsidRPr="00840456">
        <w:rPr>
          <w:rFonts w:eastAsia="TimesNewRoman"/>
          <w:color w:val="000000"/>
          <w:sz w:val="22"/>
          <w:szCs w:val="22"/>
          <w:lang w:val="sr-Latn-ME"/>
        </w:rPr>
        <w:t xml:space="preserve">i </w:t>
      </w:r>
      <w:r w:rsidRPr="00840456">
        <w:rPr>
          <w:rFonts w:eastAsia="TimesNewRoman"/>
          <w:i/>
          <w:color w:val="000000"/>
          <w:sz w:val="22"/>
          <w:szCs w:val="22"/>
          <w:lang w:val="sr-Latn-ME"/>
        </w:rPr>
        <w:t>Histoplasma</w:t>
      </w:r>
      <w:r w:rsidRPr="00840456">
        <w:rPr>
          <w:rFonts w:eastAsia="TimesNewRoman"/>
          <w:color w:val="000000"/>
          <w:sz w:val="22"/>
          <w:szCs w:val="22"/>
          <w:lang w:val="sr-Latn-ME"/>
        </w:rPr>
        <w:t>.</w:t>
      </w:r>
      <w:r w:rsidRPr="00840456">
        <w:rPr>
          <w:i/>
          <w:iCs/>
          <w:color w:val="000000"/>
          <w:sz w:val="22"/>
          <w:szCs w:val="22"/>
          <w:lang w:val="sr-Latn-ME"/>
        </w:rPr>
        <w:t xml:space="preserve"> </w:t>
      </w:r>
      <w:r w:rsidRPr="00840456">
        <w:rPr>
          <w:color w:val="000000"/>
          <w:sz w:val="22"/>
          <w:szCs w:val="22"/>
          <w:lang w:val="sr-Latn-ME"/>
        </w:rPr>
        <w:t>Invazivne gljivične infekcije su uzrokovale više od polovine smrtnih slučajeva kod</w:t>
      </w:r>
      <w:r w:rsidRPr="00840456">
        <w:rPr>
          <w:i/>
          <w:iCs/>
          <w:color w:val="000000"/>
          <w:sz w:val="22"/>
          <w:szCs w:val="22"/>
          <w:lang w:val="sr-Latn-ME"/>
        </w:rPr>
        <w:t xml:space="preserve"> </w:t>
      </w:r>
      <w:r w:rsidRPr="00840456">
        <w:rPr>
          <w:color w:val="000000"/>
          <w:sz w:val="22"/>
          <w:szCs w:val="22"/>
          <w:lang w:val="sr-Latn-ME"/>
        </w:rPr>
        <w:t xml:space="preserve">pacijenata kod kojih su se razvile oportunističke infekcije. Najviše prijavljenih slučajeva sa smrtnim ishodom je bilo kod pacijenata sa </w:t>
      </w:r>
      <w:r w:rsidRPr="00840456">
        <w:rPr>
          <w:i/>
          <w:iCs/>
          <w:color w:val="000000"/>
          <w:sz w:val="22"/>
          <w:szCs w:val="22"/>
          <w:lang w:val="sr-Latn-ME"/>
        </w:rPr>
        <w:t>Pneumocystis</w:t>
      </w:r>
      <w:r w:rsidRPr="00840456">
        <w:rPr>
          <w:color w:val="000000"/>
          <w:sz w:val="22"/>
          <w:szCs w:val="22"/>
          <w:lang w:val="sr-Latn-ME"/>
        </w:rPr>
        <w:t xml:space="preserve"> pneumonijom, nespecifičnom sistemskom gljivičnom infekcijom i aspergilozom (vidjeti </w:t>
      </w:r>
      <w:r w:rsidR="004B02EC" w:rsidRPr="00840456">
        <w:rPr>
          <w:color w:val="000000"/>
          <w:sz w:val="22"/>
          <w:szCs w:val="22"/>
          <w:lang w:val="sr-Latn-ME"/>
        </w:rPr>
        <w:t>dio</w:t>
      </w:r>
      <w:r w:rsidRPr="00840456">
        <w:rPr>
          <w:color w:val="000000"/>
          <w:sz w:val="22"/>
          <w:szCs w:val="22"/>
          <w:lang w:val="sr-Latn-ME"/>
        </w:rPr>
        <w:t xml:space="preserve"> 4.4).</w:t>
      </w:r>
    </w:p>
    <w:p w14:paraId="52909C29" w14:textId="77777777" w:rsidR="005A7F10" w:rsidRPr="00840456" w:rsidRDefault="005A7F10" w:rsidP="005A7F10">
      <w:pPr>
        <w:widowControl w:val="0"/>
        <w:autoSpaceDE w:val="0"/>
        <w:autoSpaceDN w:val="0"/>
        <w:adjustRightInd w:val="0"/>
        <w:spacing w:line="230" w:lineRule="exact"/>
        <w:jc w:val="both"/>
        <w:rPr>
          <w:sz w:val="22"/>
          <w:szCs w:val="22"/>
          <w:lang w:val="sr-Latn-ME"/>
        </w:rPr>
      </w:pPr>
    </w:p>
    <w:p w14:paraId="10C3B7D9" w14:textId="77777777"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Autoantitijela</w:t>
      </w:r>
    </w:p>
    <w:p w14:paraId="3F70C956" w14:textId="77777777" w:rsidR="005A7F10" w:rsidRPr="00840456" w:rsidRDefault="005A7F10" w:rsidP="00815D34">
      <w:pPr>
        <w:pStyle w:val="Header"/>
        <w:tabs>
          <w:tab w:val="left" w:pos="284"/>
        </w:tabs>
        <w:spacing w:after="80"/>
        <w:jc w:val="both"/>
        <w:rPr>
          <w:color w:val="000000"/>
          <w:sz w:val="22"/>
          <w:szCs w:val="22"/>
          <w:lang w:val="sr-Latn-ME"/>
        </w:rPr>
      </w:pPr>
      <w:r w:rsidRPr="00840456">
        <w:rPr>
          <w:color w:val="000000"/>
          <w:sz w:val="22"/>
          <w:szCs w:val="22"/>
          <w:lang w:val="sr-Latn-ME"/>
        </w:rPr>
        <w:t xml:space="preserve">Odraslim pacijentima su se, u više navrata, ispitivali uzorci seruma na prisustvo autoantitijela. Od svih pacijenata sa reumatoidnim artritisom koji su ispitani na antinukleusna antitijela (ANA), procenat novih pacijenata koji su imali pozitivan rezultat za ANA (≥1:40) je bio viši kod pacijenata koji su primali lijek Enbrel (11%) nego u placebo grupi (5%). Procenat pacijenata kod kojih su se razvila nova anti-DNK (dvostruko-uvrnutog lanca) antitijela takođe je viši, što je utvrđeno radioimunohemijskom metodom, (15% u grupi pacijenata liječenih lijekom Enbrel u odnosu na 4% u placebo grupi) ili </w:t>
      </w:r>
      <w:r w:rsidRPr="00840456">
        <w:rPr>
          <w:i/>
          <w:iCs/>
          <w:color w:val="000000"/>
          <w:sz w:val="22"/>
          <w:szCs w:val="22"/>
          <w:lang w:val="sr-Latn-ME"/>
        </w:rPr>
        <w:t>Crithidia</w:t>
      </w:r>
      <w:r w:rsidRPr="00840456">
        <w:rPr>
          <w:color w:val="000000"/>
          <w:sz w:val="22"/>
          <w:szCs w:val="22"/>
          <w:lang w:val="sr-Latn-ME"/>
        </w:rPr>
        <w:t xml:space="preserve"> </w:t>
      </w:r>
      <w:r w:rsidRPr="00840456">
        <w:rPr>
          <w:i/>
          <w:iCs/>
          <w:color w:val="000000"/>
          <w:sz w:val="22"/>
          <w:szCs w:val="22"/>
          <w:lang w:val="sr-Latn-ME"/>
        </w:rPr>
        <w:t xml:space="preserve">luciliae </w:t>
      </w:r>
      <w:r w:rsidRPr="00840456">
        <w:rPr>
          <w:color w:val="000000"/>
          <w:sz w:val="22"/>
          <w:szCs w:val="22"/>
          <w:lang w:val="sr-Latn-ME"/>
        </w:rPr>
        <w:t>metodom (3% pacijenata liječenih lijekom Enbrel, nijedan u placebo grupi). Broj pacijenata</w:t>
      </w:r>
      <w:r w:rsidRPr="00840456">
        <w:rPr>
          <w:i/>
          <w:iCs/>
          <w:color w:val="000000"/>
          <w:sz w:val="22"/>
          <w:szCs w:val="22"/>
          <w:lang w:val="sr-Latn-ME"/>
        </w:rPr>
        <w:t xml:space="preserve"> </w:t>
      </w:r>
      <w:r w:rsidRPr="00840456">
        <w:rPr>
          <w:color w:val="000000"/>
          <w:sz w:val="22"/>
          <w:szCs w:val="22"/>
          <w:lang w:val="sr-Latn-ME"/>
        </w:rPr>
        <w:t xml:space="preserve">liječenih lijekom Enbrel kod kojih je došlo do stvaranja antikardiolipin antitijela je u sličnom odnosu uvećan u odnosu na pacijente kojima je davan placebo. Nije poznat uticaj dugotrajne primjene lijeka Enbrel na razvoj autoimunih oboljenja. </w:t>
      </w:r>
    </w:p>
    <w:p w14:paraId="64E8C959" w14:textId="77777777" w:rsidR="005A7F10" w:rsidRPr="00840456" w:rsidRDefault="005A7F10" w:rsidP="005A7F10">
      <w:pPr>
        <w:pStyle w:val="Header"/>
        <w:tabs>
          <w:tab w:val="left" w:pos="284"/>
        </w:tabs>
        <w:spacing w:before="80" w:after="80"/>
        <w:jc w:val="both"/>
        <w:rPr>
          <w:color w:val="000000"/>
          <w:sz w:val="22"/>
          <w:szCs w:val="22"/>
          <w:lang w:val="sr-Latn-ME"/>
        </w:rPr>
      </w:pPr>
    </w:p>
    <w:p w14:paraId="67378FC1" w14:textId="17216099" w:rsidR="005A7F10" w:rsidRPr="00840456" w:rsidRDefault="005A7F10" w:rsidP="005A7F10">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Rijetko su prijavljeni slučajevi, uključujući one kod pacijenata sa pozitivnim reumatoidnim faktorom, kod kojih je dolazilo do stvaranja drugih autoantitijela uz razvoj sindroma sličnog lupusu ili osipa koji su po kliničkoj slici i biopsiji slični subakutnom kutanom lupusu ili diskoidnom lupusu.</w:t>
      </w:r>
    </w:p>
    <w:p w14:paraId="5992D1AD" w14:textId="77777777" w:rsidR="005A7F10" w:rsidRPr="00840456" w:rsidRDefault="005A7F10" w:rsidP="005A7F10">
      <w:pPr>
        <w:widowControl w:val="0"/>
        <w:autoSpaceDE w:val="0"/>
        <w:autoSpaceDN w:val="0"/>
        <w:adjustRightInd w:val="0"/>
        <w:spacing w:line="214" w:lineRule="exact"/>
        <w:jc w:val="both"/>
        <w:rPr>
          <w:sz w:val="22"/>
          <w:szCs w:val="22"/>
          <w:lang w:val="sr-Latn-ME"/>
        </w:rPr>
      </w:pPr>
    </w:p>
    <w:p w14:paraId="7082CFA2" w14:textId="77777777"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Pancitopenija i aplastična anemija</w:t>
      </w:r>
    </w:p>
    <w:p w14:paraId="6564685E" w14:textId="0F71D0F0" w:rsidR="005A7F10" w:rsidRPr="00840456" w:rsidRDefault="005A7F10" w:rsidP="005A7F10">
      <w:pPr>
        <w:widowControl w:val="0"/>
        <w:overflowPunct w:val="0"/>
        <w:autoSpaceDE w:val="0"/>
        <w:autoSpaceDN w:val="0"/>
        <w:adjustRightInd w:val="0"/>
        <w:spacing w:line="267" w:lineRule="auto"/>
        <w:jc w:val="both"/>
        <w:rPr>
          <w:sz w:val="22"/>
          <w:szCs w:val="22"/>
          <w:lang w:val="sr-Latn-ME"/>
        </w:rPr>
      </w:pPr>
      <w:r w:rsidRPr="00840456">
        <w:rPr>
          <w:color w:val="000000"/>
          <w:sz w:val="22"/>
          <w:szCs w:val="22"/>
          <w:lang w:val="sr-Latn-ME"/>
        </w:rPr>
        <w:t xml:space="preserve">Postoje post-marketinške prijave slučajeva nastanka pancitopenije i aplastične anemije, od kojih su neki imali fatalan ishod (vidjeti </w:t>
      </w:r>
      <w:r w:rsidR="008D5C47" w:rsidRPr="00840456">
        <w:rPr>
          <w:color w:val="000000"/>
          <w:sz w:val="22"/>
          <w:szCs w:val="22"/>
          <w:lang w:val="sr-Latn-ME"/>
        </w:rPr>
        <w:t>dio</w:t>
      </w:r>
      <w:r w:rsidRPr="00840456">
        <w:rPr>
          <w:color w:val="000000"/>
          <w:sz w:val="22"/>
          <w:szCs w:val="22"/>
          <w:lang w:val="sr-Latn-ME"/>
        </w:rPr>
        <w:t xml:space="preserve"> 4.4).</w:t>
      </w:r>
    </w:p>
    <w:p w14:paraId="5804DB5A" w14:textId="77777777" w:rsidR="005A7F10" w:rsidRPr="00840456" w:rsidRDefault="005A7F10" w:rsidP="005A7F10">
      <w:pPr>
        <w:widowControl w:val="0"/>
        <w:autoSpaceDE w:val="0"/>
        <w:autoSpaceDN w:val="0"/>
        <w:adjustRightInd w:val="0"/>
        <w:spacing w:line="194" w:lineRule="exact"/>
        <w:jc w:val="both"/>
        <w:rPr>
          <w:sz w:val="22"/>
          <w:szCs w:val="22"/>
          <w:lang w:val="sr-Latn-ME"/>
        </w:rPr>
      </w:pPr>
    </w:p>
    <w:p w14:paraId="75F507E9" w14:textId="1C6950EB"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Intersticijalna bolest pluća</w:t>
      </w:r>
    </w:p>
    <w:p w14:paraId="543D5B3F" w14:textId="0F521706" w:rsidR="005A7F10" w:rsidRPr="00840456" w:rsidRDefault="005A7F10" w:rsidP="005A7F10">
      <w:pPr>
        <w:widowControl w:val="0"/>
        <w:overflowPunct w:val="0"/>
        <w:autoSpaceDE w:val="0"/>
        <w:autoSpaceDN w:val="0"/>
        <w:adjustRightInd w:val="0"/>
        <w:spacing w:line="262" w:lineRule="auto"/>
        <w:jc w:val="both"/>
        <w:rPr>
          <w:sz w:val="22"/>
          <w:szCs w:val="22"/>
          <w:lang w:val="sr-Latn-ME"/>
        </w:rPr>
      </w:pPr>
      <w:r w:rsidRPr="00840456">
        <w:rPr>
          <w:sz w:val="22"/>
          <w:szCs w:val="22"/>
          <w:lang w:val="sr-Latn-ME"/>
        </w:rPr>
        <w:t>U</w:t>
      </w:r>
      <w:r w:rsidRPr="00840456">
        <w:rPr>
          <w:spacing w:val="7"/>
          <w:sz w:val="22"/>
          <w:szCs w:val="22"/>
          <w:lang w:val="sr-Latn-ME"/>
        </w:rPr>
        <w:t xml:space="preserve"> </w:t>
      </w:r>
      <w:r w:rsidRPr="00840456">
        <w:rPr>
          <w:spacing w:val="1"/>
          <w:sz w:val="22"/>
          <w:szCs w:val="22"/>
          <w:lang w:val="sr-Latn-ME"/>
        </w:rPr>
        <w:t>kon</w:t>
      </w:r>
      <w:r w:rsidRPr="00840456">
        <w:rPr>
          <w:sz w:val="22"/>
          <w:szCs w:val="22"/>
          <w:lang w:val="sr-Latn-ME"/>
        </w:rPr>
        <w:t>tr</w:t>
      </w:r>
      <w:r w:rsidRPr="00840456">
        <w:rPr>
          <w:spacing w:val="1"/>
          <w:sz w:val="22"/>
          <w:szCs w:val="22"/>
          <w:lang w:val="sr-Latn-ME"/>
        </w:rPr>
        <w:t>o</w:t>
      </w:r>
      <w:r w:rsidRPr="00840456">
        <w:rPr>
          <w:sz w:val="22"/>
          <w:szCs w:val="22"/>
          <w:lang w:val="sr-Latn-ME"/>
        </w:rPr>
        <w:t>lis</w:t>
      </w:r>
      <w:r w:rsidRPr="00840456">
        <w:rPr>
          <w:spacing w:val="-1"/>
          <w:sz w:val="22"/>
          <w:szCs w:val="22"/>
          <w:lang w:val="sr-Latn-ME"/>
        </w:rPr>
        <w:t>a</w:t>
      </w:r>
      <w:r w:rsidRPr="00840456">
        <w:rPr>
          <w:spacing w:val="1"/>
          <w:sz w:val="22"/>
          <w:szCs w:val="22"/>
          <w:lang w:val="sr-Latn-ME"/>
        </w:rPr>
        <w:t>n</w:t>
      </w:r>
      <w:r w:rsidRPr="00840456">
        <w:rPr>
          <w:sz w:val="22"/>
          <w:szCs w:val="22"/>
          <w:lang w:val="sr-Latn-ME"/>
        </w:rPr>
        <w:t xml:space="preserve">im </w:t>
      </w:r>
      <w:r w:rsidRPr="00840456">
        <w:rPr>
          <w:spacing w:val="1"/>
          <w:sz w:val="22"/>
          <w:szCs w:val="22"/>
          <w:lang w:val="sr-Latn-ME"/>
        </w:rPr>
        <w:t>k</w:t>
      </w:r>
      <w:r w:rsidRPr="00840456">
        <w:rPr>
          <w:sz w:val="22"/>
          <w:szCs w:val="22"/>
          <w:lang w:val="sr-Latn-ME"/>
        </w:rPr>
        <w:t>li</w:t>
      </w:r>
      <w:r w:rsidRPr="00840456">
        <w:rPr>
          <w:spacing w:val="1"/>
          <w:sz w:val="22"/>
          <w:szCs w:val="22"/>
          <w:lang w:val="sr-Latn-ME"/>
        </w:rPr>
        <w:t>n</w:t>
      </w:r>
      <w:r w:rsidRPr="00840456">
        <w:rPr>
          <w:sz w:val="22"/>
          <w:szCs w:val="22"/>
          <w:lang w:val="sr-Latn-ME"/>
        </w:rPr>
        <w:t>ič</w:t>
      </w:r>
      <w:r w:rsidRPr="00840456">
        <w:rPr>
          <w:spacing w:val="1"/>
          <w:sz w:val="22"/>
          <w:szCs w:val="22"/>
          <w:lang w:val="sr-Latn-ME"/>
        </w:rPr>
        <w:t>k</w:t>
      </w:r>
      <w:r w:rsidRPr="00840456">
        <w:rPr>
          <w:sz w:val="22"/>
          <w:szCs w:val="22"/>
          <w:lang w:val="sr-Latn-ME"/>
        </w:rPr>
        <w:t>im</w:t>
      </w:r>
      <w:r w:rsidRPr="00840456">
        <w:rPr>
          <w:spacing w:val="5"/>
          <w:sz w:val="22"/>
          <w:szCs w:val="22"/>
          <w:lang w:val="sr-Latn-ME"/>
        </w:rPr>
        <w:t xml:space="preserve"> </w:t>
      </w:r>
      <w:r w:rsidRPr="00840456">
        <w:rPr>
          <w:spacing w:val="1"/>
          <w:sz w:val="22"/>
          <w:szCs w:val="22"/>
          <w:lang w:val="sr-Latn-ME"/>
        </w:rPr>
        <w:t>i</w:t>
      </w:r>
      <w:r w:rsidRPr="00840456">
        <w:rPr>
          <w:sz w:val="22"/>
          <w:szCs w:val="22"/>
          <w:lang w:val="sr-Latn-ME"/>
        </w:rPr>
        <w:t>s</w:t>
      </w:r>
      <w:r w:rsidRPr="00840456">
        <w:rPr>
          <w:spacing w:val="1"/>
          <w:sz w:val="22"/>
          <w:szCs w:val="22"/>
          <w:lang w:val="sr-Latn-ME"/>
        </w:rPr>
        <w:t>p</w:t>
      </w:r>
      <w:r w:rsidRPr="00840456">
        <w:rPr>
          <w:sz w:val="22"/>
          <w:szCs w:val="22"/>
          <w:lang w:val="sr-Latn-ME"/>
        </w:rPr>
        <w:t>iti</w:t>
      </w:r>
      <w:r w:rsidRPr="00840456">
        <w:rPr>
          <w:spacing w:val="1"/>
          <w:sz w:val="22"/>
          <w:szCs w:val="22"/>
          <w:lang w:val="sr-Latn-ME"/>
        </w:rPr>
        <w:t>v</w:t>
      </w:r>
      <w:r w:rsidRPr="00840456">
        <w:rPr>
          <w:sz w:val="22"/>
          <w:szCs w:val="22"/>
          <w:lang w:val="sr-Latn-ME"/>
        </w:rPr>
        <w:t>a</w:t>
      </w:r>
      <w:r w:rsidRPr="00840456">
        <w:rPr>
          <w:spacing w:val="1"/>
          <w:sz w:val="22"/>
          <w:szCs w:val="22"/>
          <w:lang w:val="sr-Latn-ME"/>
        </w:rPr>
        <w:t>n</w:t>
      </w:r>
      <w:r w:rsidRPr="00840456">
        <w:rPr>
          <w:sz w:val="22"/>
          <w:szCs w:val="22"/>
          <w:lang w:val="sr-Latn-ME"/>
        </w:rPr>
        <w:t>jima</w:t>
      </w:r>
      <w:r w:rsidRPr="00840456">
        <w:rPr>
          <w:spacing w:val="5"/>
          <w:sz w:val="22"/>
          <w:szCs w:val="22"/>
          <w:lang w:val="sr-Latn-ME"/>
        </w:rPr>
        <w:t xml:space="preserve"> </w:t>
      </w:r>
      <w:r w:rsidRPr="00840456">
        <w:rPr>
          <w:sz w:val="22"/>
          <w:szCs w:val="22"/>
          <w:lang w:val="sr-Latn-ME"/>
        </w:rPr>
        <w:t>sa</w:t>
      </w:r>
      <w:r w:rsidRPr="00840456">
        <w:rPr>
          <w:spacing w:val="7"/>
          <w:sz w:val="22"/>
          <w:szCs w:val="22"/>
          <w:lang w:val="sr-Latn-ME"/>
        </w:rPr>
        <w:t xml:space="preserve"> </w:t>
      </w:r>
      <w:r w:rsidRPr="00840456">
        <w:rPr>
          <w:sz w:val="22"/>
          <w:szCs w:val="22"/>
          <w:lang w:val="sr-Latn-ME"/>
        </w:rPr>
        <w:t>e</w:t>
      </w:r>
      <w:r w:rsidRPr="00840456">
        <w:rPr>
          <w:spacing w:val="1"/>
          <w:sz w:val="22"/>
          <w:szCs w:val="22"/>
          <w:lang w:val="sr-Latn-ME"/>
        </w:rPr>
        <w:t>t</w:t>
      </w:r>
      <w:r w:rsidRPr="00840456">
        <w:rPr>
          <w:sz w:val="22"/>
          <w:szCs w:val="22"/>
          <w:lang w:val="sr-Latn-ME"/>
        </w:rPr>
        <w:t>a</w:t>
      </w:r>
      <w:r w:rsidRPr="00840456">
        <w:rPr>
          <w:spacing w:val="1"/>
          <w:sz w:val="22"/>
          <w:szCs w:val="22"/>
          <w:lang w:val="sr-Latn-ME"/>
        </w:rPr>
        <w:t>n</w:t>
      </w:r>
      <w:r w:rsidRPr="00840456">
        <w:rPr>
          <w:sz w:val="22"/>
          <w:szCs w:val="22"/>
          <w:lang w:val="sr-Latn-ME"/>
        </w:rPr>
        <w:t>e</w:t>
      </w:r>
      <w:r w:rsidRPr="00840456">
        <w:rPr>
          <w:spacing w:val="1"/>
          <w:sz w:val="22"/>
          <w:szCs w:val="22"/>
          <w:lang w:val="sr-Latn-ME"/>
        </w:rPr>
        <w:t>r</w:t>
      </w:r>
      <w:r w:rsidRPr="00840456">
        <w:rPr>
          <w:sz w:val="22"/>
          <w:szCs w:val="22"/>
          <w:lang w:val="sr-Latn-ME"/>
        </w:rPr>
        <w:t>ce</w:t>
      </w:r>
      <w:r w:rsidRPr="00840456">
        <w:rPr>
          <w:spacing w:val="1"/>
          <w:sz w:val="22"/>
          <w:szCs w:val="22"/>
          <w:lang w:val="sr-Latn-ME"/>
        </w:rPr>
        <w:t>p</w:t>
      </w:r>
      <w:r w:rsidRPr="00840456">
        <w:rPr>
          <w:sz w:val="22"/>
          <w:szCs w:val="22"/>
          <w:lang w:val="sr-Latn-ME"/>
        </w:rPr>
        <w:t>t</w:t>
      </w:r>
      <w:r w:rsidRPr="00840456">
        <w:rPr>
          <w:spacing w:val="2"/>
          <w:sz w:val="22"/>
          <w:szCs w:val="22"/>
          <w:lang w:val="sr-Latn-ME"/>
        </w:rPr>
        <w:t>o</w:t>
      </w:r>
      <w:r w:rsidRPr="00840456">
        <w:rPr>
          <w:sz w:val="22"/>
          <w:szCs w:val="22"/>
          <w:lang w:val="sr-Latn-ME"/>
        </w:rPr>
        <w:t>m u</w:t>
      </w:r>
      <w:r w:rsidRPr="00840456">
        <w:rPr>
          <w:spacing w:val="8"/>
          <w:sz w:val="22"/>
          <w:szCs w:val="22"/>
          <w:lang w:val="sr-Latn-ME"/>
        </w:rPr>
        <w:t xml:space="preserve"> </w:t>
      </w:r>
      <w:r w:rsidRPr="00840456">
        <w:rPr>
          <w:sz w:val="22"/>
          <w:szCs w:val="22"/>
          <w:lang w:val="sr-Latn-ME"/>
        </w:rPr>
        <w:t>s</w:t>
      </w:r>
      <w:r w:rsidRPr="00840456">
        <w:rPr>
          <w:spacing w:val="1"/>
          <w:sz w:val="22"/>
          <w:szCs w:val="22"/>
          <w:lang w:val="sr-Latn-ME"/>
        </w:rPr>
        <w:t>v</w:t>
      </w:r>
      <w:r w:rsidRPr="00840456">
        <w:rPr>
          <w:sz w:val="22"/>
          <w:szCs w:val="22"/>
          <w:lang w:val="sr-Latn-ME"/>
        </w:rPr>
        <w:t>im</w:t>
      </w:r>
      <w:r w:rsidRPr="00840456">
        <w:rPr>
          <w:spacing w:val="5"/>
          <w:sz w:val="22"/>
          <w:szCs w:val="22"/>
          <w:lang w:val="sr-Latn-ME"/>
        </w:rPr>
        <w:t xml:space="preserve"> </w:t>
      </w:r>
      <w:r w:rsidRPr="00840456">
        <w:rPr>
          <w:sz w:val="22"/>
          <w:szCs w:val="22"/>
          <w:lang w:val="sr-Latn-ME"/>
        </w:rPr>
        <w:t>i</w:t>
      </w:r>
      <w:r w:rsidRPr="00840456">
        <w:rPr>
          <w:spacing w:val="1"/>
          <w:sz w:val="22"/>
          <w:szCs w:val="22"/>
          <w:lang w:val="sr-Latn-ME"/>
        </w:rPr>
        <w:t>nd</w:t>
      </w:r>
      <w:r w:rsidRPr="00840456">
        <w:rPr>
          <w:sz w:val="22"/>
          <w:szCs w:val="22"/>
          <w:lang w:val="sr-Latn-ME"/>
        </w:rPr>
        <w:t>i</w:t>
      </w:r>
      <w:r w:rsidRPr="00840456">
        <w:rPr>
          <w:spacing w:val="1"/>
          <w:sz w:val="22"/>
          <w:szCs w:val="22"/>
          <w:lang w:val="sr-Latn-ME"/>
        </w:rPr>
        <w:t>k</w:t>
      </w:r>
      <w:r w:rsidRPr="00840456">
        <w:rPr>
          <w:sz w:val="22"/>
          <w:szCs w:val="22"/>
          <w:lang w:val="sr-Latn-ME"/>
        </w:rPr>
        <w:t>acij</w:t>
      </w:r>
      <w:r w:rsidRPr="00840456">
        <w:rPr>
          <w:spacing w:val="1"/>
          <w:sz w:val="22"/>
          <w:szCs w:val="22"/>
          <w:lang w:val="sr-Latn-ME"/>
        </w:rPr>
        <w:t>a</w:t>
      </w:r>
      <w:r w:rsidRPr="00840456">
        <w:rPr>
          <w:sz w:val="22"/>
          <w:szCs w:val="22"/>
          <w:lang w:val="sr-Latn-ME"/>
        </w:rPr>
        <w:t>ma,</w:t>
      </w:r>
      <w:r w:rsidRPr="00840456">
        <w:rPr>
          <w:spacing w:val="2"/>
          <w:sz w:val="22"/>
          <w:szCs w:val="22"/>
          <w:lang w:val="sr-Latn-ME"/>
        </w:rPr>
        <w:t xml:space="preserve"> </w:t>
      </w:r>
      <w:r w:rsidRPr="00840456">
        <w:rPr>
          <w:spacing w:val="1"/>
          <w:sz w:val="22"/>
          <w:szCs w:val="22"/>
          <w:lang w:val="sr-Latn-ME"/>
        </w:rPr>
        <w:t>u</w:t>
      </w:r>
      <w:r w:rsidRPr="00840456">
        <w:rPr>
          <w:sz w:val="22"/>
          <w:szCs w:val="22"/>
          <w:lang w:val="sr-Latn-ME"/>
        </w:rPr>
        <w:t>čestal</w:t>
      </w:r>
      <w:r w:rsidRPr="00840456">
        <w:rPr>
          <w:spacing w:val="1"/>
          <w:sz w:val="22"/>
          <w:szCs w:val="22"/>
          <w:lang w:val="sr-Latn-ME"/>
        </w:rPr>
        <w:t>os</w:t>
      </w:r>
      <w:r w:rsidRPr="00840456">
        <w:rPr>
          <w:sz w:val="22"/>
          <w:szCs w:val="22"/>
          <w:lang w:val="sr-Latn-ME"/>
        </w:rPr>
        <w:t>t</w:t>
      </w:r>
      <w:r w:rsidRPr="00840456">
        <w:rPr>
          <w:spacing w:val="4"/>
          <w:sz w:val="22"/>
          <w:szCs w:val="22"/>
          <w:lang w:val="sr-Latn-ME"/>
        </w:rPr>
        <w:t xml:space="preserve"> </w:t>
      </w:r>
      <w:r w:rsidRPr="00840456">
        <w:rPr>
          <w:sz w:val="22"/>
          <w:szCs w:val="22"/>
          <w:lang w:val="sr-Latn-ME"/>
        </w:rPr>
        <w:t>(</w:t>
      </w:r>
      <w:r w:rsidRPr="00840456">
        <w:rPr>
          <w:spacing w:val="1"/>
          <w:sz w:val="22"/>
          <w:szCs w:val="22"/>
          <w:lang w:val="sr-Latn-ME"/>
        </w:rPr>
        <w:t>p</w:t>
      </w:r>
      <w:r w:rsidRPr="00840456">
        <w:rPr>
          <w:sz w:val="22"/>
          <w:szCs w:val="22"/>
          <w:lang w:val="sr-Latn-ME"/>
        </w:rPr>
        <w:t>r</w:t>
      </w:r>
      <w:r w:rsidRPr="00840456">
        <w:rPr>
          <w:spacing w:val="1"/>
          <w:sz w:val="22"/>
          <w:szCs w:val="22"/>
          <w:lang w:val="sr-Latn-ME"/>
        </w:rPr>
        <w:t>o</w:t>
      </w:r>
      <w:r w:rsidRPr="00840456">
        <w:rPr>
          <w:spacing w:val="-1"/>
          <w:sz w:val="22"/>
          <w:szCs w:val="22"/>
          <w:lang w:val="sr-Latn-ME"/>
        </w:rPr>
        <w:t>p</w:t>
      </w:r>
      <w:r w:rsidRPr="00840456">
        <w:rPr>
          <w:spacing w:val="1"/>
          <w:sz w:val="22"/>
          <w:szCs w:val="22"/>
          <w:lang w:val="sr-Latn-ME"/>
        </w:rPr>
        <w:t>o</w:t>
      </w:r>
      <w:r w:rsidRPr="00840456">
        <w:rPr>
          <w:sz w:val="22"/>
          <w:szCs w:val="22"/>
          <w:lang w:val="sr-Latn-ME"/>
        </w:rPr>
        <w:t>rci</w:t>
      </w:r>
      <w:r w:rsidRPr="00840456">
        <w:rPr>
          <w:spacing w:val="1"/>
          <w:sz w:val="22"/>
          <w:szCs w:val="22"/>
          <w:lang w:val="sr-Latn-ME"/>
        </w:rPr>
        <w:t>o</w:t>
      </w:r>
      <w:r w:rsidRPr="00840456">
        <w:rPr>
          <w:spacing w:val="-1"/>
          <w:sz w:val="22"/>
          <w:szCs w:val="22"/>
          <w:lang w:val="sr-Latn-ME"/>
        </w:rPr>
        <w:t>n</w:t>
      </w:r>
      <w:r w:rsidRPr="00840456">
        <w:rPr>
          <w:sz w:val="22"/>
          <w:szCs w:val="22"/>
          <w:lang w:val="sr-Latn-ME"/>
        </w:rPr>
        <w:t>al</w:t>
      </w:r>
      <w:r w:rsidRPr="00840456">
        <w:rPr>
          <w:spacing w:val="1"/>
          <w:sz w:val="22"/>
          <w:szCs w:val="22"/>
          <w:lang w:val="sr-Latn-ME"/>
        </w:rPr>
        <w:t>n</w:t>
      </w:r>
      <w:r w:rsidRPr="00840456">
        <w:rPr>
          <w:sz w:val="22"/>
          <w:szCs w:val="22"/>
          <w:lang w:val="sr-Latn-ME"/>
        </w:rPr>
        <w:t>o i</w:t>
      </w:r>
      <w:r w:rsidRPr="00840456">
        <w:rPr>
          <w:spacing w:val="1"/>
          <w:sz w:val="22"/>
          <w:szCs w:val="22"/>
          <w:lang w:val="sr-Latn-ME"/>
        </w:rPr>
        <w:t>n</w:t>
      </w:r>
      <w:r w:rsidRPr="00840456">
        <w:rPr>
          <w:sz w:val="22"/>
          <w:szCs w:val="22"/>
          <w:lang w:val="sr-Latn-ME"/>
        </w:rPr>
        <w:t>ci</w:t>
      </w:r>
      <w:r w:rsidRPr="00840456">
        <w:rPr>
          <w:spacing w:val="1"/>
          <w:sz w:val="22"/>
          <w:szCs w:val="22"/>
          <w:lang w:val="sr-Latn-ME"/>
        </w:rPr>
        <w:t>d</w:t>
      </w:r>
      <w:r w:rsidRPr="00840456">
        <w:rPr>
          <w:sz w:val="22"/>
          <w:szCs w:val="22"/>
          <w:lang w:val="sr-Latn-ME"/>
        </w:rPr>
        <w:t>e</w:t>
      </w:r>
      <w:r w:rsidRPr="00840456">
        <w:rPr>
          <w:spacing w:val="1"/>
          <w:sz w:val="22"/>
          <w:szCs w:val="22"/>
          <w:lang w:val="sr-Latn-ME"/>
        </w:rPr>
        <w:t>n</w:t>
      </w:r>
      <w:r w:rsidRPr="00840456">
        <w:rPr>
          <w:sz w:val="22"/>
          <w:szCs w:val="22"/>
          <w:lang w:val="sr-Latn-ME"/>
        </w:rPr>
        <w:t>ci)</w:t>
      </w:r>
      <w:r w:rsidRPr="00840456">
        <w:rPr>
          <w:spacing w:val="4"/>
          <w:sz w:val="22"/>
          <w:szCs w:val="22"/>
          <w:lang w:val="sr-Latn-ME"/>
        </w:rPr>
        <w:t xml:space="preserve"> </w:t>
      </w:r>
      <w:r w:rsidRPr="00840456">
        <w:rPr>
          <w:sz w:val="22"/>
          <w:szCs w:val="22"/>
          <w:lang w:val="sr-Latn-ME"/>
        </w:rPr>
        <w:t>i</w:t>
      </w:r>
      <w:r w:rsidRPr="00840456">
        <w:rPr>
          <w:spacing w:val="1"/>
          <w:sz w:val="22"/>
          <w:szCs w:val="22"/>
          <w:lang w:val="sr-Latn-ME"/>
        </w:rPr>
        <w:t>n</w:t>
      </w:r>
      <w:r w:rsidRPr="00840456">
        <w:rPr>
          <w:sz w:val="22"/>
          <w:szCs w:val="22"/>
          <w:lang w:val="sr-Latn-ME"/>
        </w:rPr>
        <w:t>testi</w:t>
      </w:r>
      <w:r w:rsidRPr="00840456">
        <w:rPr>
          <w:spacing w:val="1"/>
          <w:sz w:val="22"/>
          <w:szCs w:val="22"/>
          <w:lang w:val="sr-Latn-ME"/>
        </w:rPr>
        <w:t>n</w:t>
      </w:r>
      <w:r w:rsidRPr="00840456">
        <w:rPr>
          <w:sz w:val="22"/>
          <w:szCs w:val="22"/>
          <w:lang w:val="sr-Latn-ME"/>
        </w:rPr>
        <w:t>al</w:t>
      </w:r>
      <w:r w:rsidRPr="00840456">
        <w:rPr>
          <w:spacing w:val="1"/>
          <w:sz w:val="22"/>
          <w:szCs w:val="22"/>
          <w:lang w:val="sr-Latn-ME"/>
        </w:rPr>
        <w:t>n</w:t>
      </w:r>
      <w:r w:rsidRPr="00840456">
        <w:rPr>
          <w:sz w:val="22"/>
          <w:szCs w:val="22"/>
          <w:lang w:val="sr-Latn-ME"/>
        </w:rPr>
        <w:t>e</w:t>
      </w:r>
      <w:r w:rsidRPr="00840456">
        <w:rPr>
          <w:spacing w:val="3"/>
          <w:sz w:val="22"/>
          <w:szCs w:val="22"/>
          <w:lang w:val="sr-Latn-ME"/>
        </w:rPr>
        <w:t xml:space="preserve"> </w:t>
      </w:r>
      <w:r w:rsidRPr="00840456">
        <w:rPr>
          <w:spacing w:val="1"/>
          <w:sz w:val="22"/>
          <w:szCs w:val="22"/>
          <w:lang w:val="sr-Latn-ME"/>
        </w:rPr>
        <w:t>bo</w:t>
      </w:r>
      <w:r w:rsidRPr="00840456">
        <w:rPr>
          <w:sz w:val="22"/>
          <w:szCs w:val="22"/>
          <w:lang w:val="sr-Latn-ME"/>
        </w:rPr>
        <w:t>lesti</w:t>
      </w:r>
      <w:r w:rsidRPr="00840456">
        <w:rPr>
          <w:spacing w:val="5"/>
          <w:sz w:val="22"/>
          <w:szCs w:val="22"/>
          <w:lang w:val="sr-Latn-ME"/>
        </w:rPr>
        <w:t xml:space="preserve"> </w:t>
      </w:r>
      <w:r w:rsidRPr="00840456">
        <w:rPr>
          <w:spacing w:val="1"/>
          <w:sz w:val="22"/>
          <w:szCs w:val="22"/>
          <w:lang w:val="sr-Latn-ME"/>
        </w:rPr>
        <w:t>p</w:t>
      </w:r>
      <w:r w:rsidRPr="00840456">
        <w:rPr>
          <w:sz w:val="22"/>
          <w:szCs w:val="22"/>
          <w:lang w:val="sr-Latn-ME"/>
        </w:rPr>
        <w:t>l</w:t>
      </w:r>
      <w:r w:rsidRPr="00840456">
        <w:rPr>
          <w:spacing w:val="1"/>
          <w:sz w:val="22"/>
          <w:szCs w:val="22"/>
          <w:lang w:val="sr-Latn-ME"/>
        </w:rPr>
        <w:t>u</w:t>
      </w:r>
      <w:r w:rsidRPr="00840456">
        <w:rPr>
          <w:sz w:val="22"/>
          <w:szCs w:val="22"/>
          <w:lang w:val="sr-Latn-ME"/>
        </w:rPr>
        <w:t>ća</w:t>
      </w:r>
      <w:r w:rsidRPr="00840456">
        <w:rPr>
          <w:spacing w:val="7"/>
          <w:sz w:val="22"/>
          <w:szCs w:val="22"/>
          <w:lang w:val="sr-Latn-ME"/>
        </w:rPr>
        <w:t xml:space="preserve"> </w:t>
      </w:r>
      <w:r w:rsidRPr="00840456">
        <w:rPr>
          <w:spacing w:val="1"/>
          <w:sz w:val="22"/>
          <w:szCs w:val="22"/>
          <w:lang w:val="sr-Latn-ME"/>
        </w:rPr>
        <w:t>ko</w:t>
      </w:r>
      <w:r w:rsidRPr="00840456">
        <w:rPr>
          <w:sz w:val="22"/>
          <w:szCs w:val="22"/>
          <w:lang w:val="sr-Latn-ME"/>
        </w:rPr>
        <w:t>d</w:t>
      </w:r>
      <w:r w:rsidRPr="00840456">
        <w:rPr>
          <w:spacing w:val="6"/>
          <w:sz w:val="22"/>
          <w:szCs w:val="22"/>
          <w:lang w:val="sr-Latn-ME"/>
        </w:rPr>
        <w:t xml:space="preserve"> </w:t>
      </w:r>
      <w:r w:rsidRPr="00840456">
        <w:rPr>
          <w:spacing w:val="1"/>
          <w:sz w:val="22"/>
          <w:szCs w:val="22"/>
          <w:lang w:val="sr-Latn-ME"/>
        </w:rPr>
        <w:t>p</w:t>
      </w:r>
      <w:r w:rsidRPr="00840456">
        <w:rPr>
          <w:sz w:val="22"/>
          <w:szCs w:val="22"/>
          <w:lang w:val="sr-Latn-ME"/>
        </w:rPr>
        <w:t>acije</w:t>
      </w:r>
      <w:r w:rsidRPr="00840456">
        <w:rPr>
          <w:spacing w:val="1"/>
          <w:sz w:val="22"/>
          <w:szCs w:val="22"/>
          <w:lang w:val="sr-Latn-ME"/>
        </w:rPr>
        <w:t>n</w:t>
      </w:r>
      <w:r w:rsidRPr="00840456">
        <w:rPr>
          <w:sz w:val="22"/>
          <w:szCs w:val="22"/>
          <w:lang w:val="sr-Latn-ME"/>
        </w:rPr>
        <w:t>ata</w:t>
      </w:r>
      <w:r w:rsidRPr="00840456">
        <w:rPr>
          <w:spacing w:val="7"/>
          <w:sz w:val="22"/>
          <w:szCs w:val="22"/>
          <w:lang w:val="sr-Latn-ME"/>
        </w:rPr>
        <w:t xml:space="preserve"> </w:t>
      </w:r>
      <w:r w:rsidRPr="00840456">
        <w:rPr>
          <w:spacing w:val="1"/>
          <w:sz w:val="22"/>
          <w:szCs w:val="22"/>
          <w:lang w:val="sr-Latn-ME"/>
        </w:rPr>
        <w:t>ko</w:t>
      </w:r>
      <w:r w:rsidRPr="00840456">
        <w:rPr>
          <w:sz w:val="22"/>
          <w:szCs w:val="22"/>
          <w:lang w:val="sr-Latn-ME"/>
        </w:rPr>
        <w:t>ji</w:t>
      </w:r>
      <w:r w:rsidRPr="00840456">
        <w:rPr>
          <w:spacing w:val="7"/>
          <w:sz w:val="22"/>
          <w:szCs w:val="22"/>
          <w:lang w:val="sr-Latn-ME"/>
        </w:rPr>
        <w:t xml:space="preserve"> </w:t>
      </w:r>
      <w:r w:rsidRPr="00840456">
        <w:rPr>
          <w:sz w:val="22"/>
          <w:szCs w:val="22"/>
          <w:lang w:val="sr-Latn-ME"/>
        </w:rPr>
        <w:t>su</w:t>
      </w:r>
      <w:r w:rsidRPr="00840456">
        <w:rPr>
          <w:spacing w:val="7"/>
          <w:sz w:val="22"/>
          <w:szCs w:val="22"/>
          <w:lang w:val="sr-Latn-ME"/>
        </w:rPr>
        <w:t xml:space="preserve"> </w:t>
      </w:r>
      <w:r w:rsidRPr="00840456">
        <w:rPr>
          <w:spacing w:val="1"/>
          <w:sz w:val="22"/>
          <w:szCs w:val="22"/>
          <w:lang w:val="sr-Latn-ME"/>
        </w:rPr>
        <w:t>p</w:t>
      </w:r>
      <w:r w:rsidRPr="00840456">
        <w:rPr>
          <w:sz w:val="22"/>
          <w:szCs w:val="22"/>
          <w:lang w:val="sr-Latn-ME"/>
        </w:rPr>
        <w:t>rimali</w:t>
      </w:r>
      <w:r w:rsidRPr="00840456">
        <w:rPr>
          <w:spacing w:val="6"/>
          <w:sz w:val="22"/>
          <w:szCs w:val="22"/>
          <w:lang w:val="sr-Latn-ME"/>
        </w:rPr>
        <w:t xml:space="preserve"> </w:t>
      </w:r>
      <w:r w:rsidRPr="00840456">
        <w:rPr>
          <w:sz w:val="22"/>
          <w:szCs w:val="22"/>
          <w:lang w:val="sr-Latn-ME"/>
        </w:rPr>
        <w:t>eta</w:t>
      </w:r>
      <w:r w:rsidRPr="00840456">
        <w:rPr>
          <w:spacing w:val="1"/>
          <w:sz w:val="22"/>
          <w:szCs w:val="22"/>
          <w:lang w:val="sr-Latn-ME"/>
        </w:rPr>
        <w:t>n</w:t>
      </w:r>
      <w:r w:rsidRPr="00840456">
        <w:rPr>
          <w:sz w:val="22"/>
          <w:szCs w:val="22"/>
          <w:lang w:val="sr-Latn-ME"/>
        </w:rPr>
        <w:t>er</w:t>
      </w:r>
      <w:r w:rsidRPr="00840456">
        <w:rPr>
          <w:spacing w:val="1"/>
          <w:sz w:val="22"/>
          <w:szCs w:val="22"/>
          <w:lang w:val="sr-Latn-ME"/>
        </w:rPr>
        <w:t>c</w:t>
      </w:r>
      <w:r w:rsidRPr="00840456">
        <w:rPr>
          <w:sz w:val="22"/>
          <w:szCs w:val="22"/>
          <w:lang w:val="sr-Latn-ME"/>
        </w:rPr>
        <w:t>e</w:t>
      </w:r>
      <w:r w:rsidRPr="00840456">
        <w:rPr>
          <w:spacing w:val="1"/>
          <w:sz w:val="22"/>
          <w:szCs w:val="22"/>
          <w:lang w:val="sr-Latn-ME"/>
        </w:rPr>
        <w:t>p</w:t>
      </w:r>
      <w:r w:rsidRPr="00840456">
        <w:rPr>
          <w:sz w:val="22"/>
          <w:szCs w:val="22"/>
          <w:lang w:val="sr-Latn-ME"/>
        </w:rPr>
        <w:t>t</w:t>
      </w:r>
      <w:r w:rsidRPr="00840456">
        <w:rPr>
          <w:spacing w:val="3"/>
          <w:sz w:val="22"/>
          <w:szCs w:val="22"/>
          <w:lang w:val="sr-Latn-ME"/>
        </w:rPr>
        <w:t xml:space="preserve"> </w:t>
      </w:r>
      <w:r w:rsidRPr="00840456">
        <w:rPr>
          <w:spacing w:val="1"/>
          <w:sz w:val="22"/>
          <w:szCs w:val="22"/>
          <w:lang w:val="sr-Latn-ME"/>
        </w:rPr>
        <w:t>b</w:t>
      </w:r>
      <w:r w:rsidRPr="00840456">
        <w:rPr>
          <w:sz w:val="22"/>
          <w:szCs w:val="22"/>
          <w:lang w:val="sr-Latn-ME"/>
        </w:rPr>
        <w:t>ez</w:t>
      </w:r>
      <w:r w:rsidRPr="00840456">
        <w:rPr>
          <w:spacing w:val="8"/>
          <w:sz w:val="22"/>
          <w:szCs w:val="22"/>
          <w:lang w:val="sr-Latn-ME"/>
        </w:rPr>
        <w:t xml:space="preserve"> </w:t>
      </w:r>
      <w:r w:rsidRPr="00840456">
        <w:rPr>
          <w:sz w:val="22"/>
          <w:szCs w:val="22"/>
          <w:lang w:val="sr-Latn-ME"/>
        </w:rPr>
        <w:t>ist</w:t>
      </w:r>
      <w:r w:rsidRPr="00840456">
        <w:rPr>
          <w:spacing w:val="1"/>
          <w:sz w:val="22"/>
          <w:szCs w:val="22"/>
          <w:lang w:val="sr-Latn-ME"/>
        </w:rPr>
        <w:t>ov</w:t>
      </w:r>
      <w:r w:rsidRPr="00840456">
        <w:rPr>
          <w:sz w:val="22"/>
          <w:szCs w:val="22"/>
          <w:lang w:val="sr-Latn-ME"/>
        </w:rPr>
        <w:t>reme</w:t>
      </w:r>
      <w:r w:rsidRPr="00840456">
        <w:rPr>
          <w:spacing w:val="1"/>
          <w:sz w:val="22"/>
          <w:szCs w:val="22"/>
          <w:lang w:val="sr-Latn-ME"/>
        </w:rPr>
        <w:t>n</w:t>
      </w:r>
      <w:r w:rsidRPr="00840456">
        <w:rPr>
          <w:sz w:val="22"/>
          <w:szCs w:val="22"/>
          <w:lang w:val="sr-Latn-ME"/>
        </w:rPr>
        <w:t xml:space="preserve">e </w:t>
      </w:r>
      <w:r w:rsidRPr="00840456">
        <w:rPr>
          <w:spacing w:val="1"/>
          <w:sz w:val="22"/>
          <w:szCs w:val="22"/>
          <w:lang w:val="sr-Latn-ME"/>
        </w:rPr>
        <w:t>p</w:t>
      </w:r>
      <w:r w:rsidRPr="00840456">
        <w:rPr>
          <w:sz w:val="22"/>
          <w:szCs w:val="22"/>
          <w:lang w:val="sr-Latn-ME"/>
        </w:rPr>
        <w:t>r</w:t>
      </w:r>
      <w:r w:rsidRPr="00840456">
        <w:rPr>
          <w:spacing w:val="1"/>
          <w:sz w:val="22"/>
          <w:szCs w:val="22"/>
          <w:lang w:val="sr-Latn-ME"/>
        </w:rPr>
        <w:t>i</w:t>
      </w:r>
      <w:r w:rsidRPr="00840456">
        <w:rPr>
          <w:sz w:val="22"/>
          <w:szCs w:val="22"/>
          <w:lang w:val="sr-Latn-ME"/>
        </w:rPr>
        <w:t>mje</w:t>
      </w:r>
      <w:r w:rsidRPr="00840456">
        <w:rPr>
          <w:spacing w:val="1"/>
          <w:sz w:val="22"/>
          <w:szCs w:val="22"/>
          <w:lang w:val="sr-Latn-ME"/>
        </w:rPr>
        <w:t>n</w:t>
      </w:r>
      <w:r w:rsidRPr="00840456">
        <w:rPr>
          <w:sz w:val="22"/>
          <w:szCs w:val="22"/>
          <w:lang w:val="sr-Latn-ME"/>
        </w:rPr>
        <w:t>e met</w:t>
      </w:r>
      <w:r w:rsidRPr="00840456">
        <w:rPr>
          <w:spacing w:val="1"/>
          <w:sz w:val="22"/>
          <w:szCs w:val="22"/>
          <w:lang w:val="sr-Latn-ME"/>
        </w:rPr>
        <w:t>o</w:t>
      </w:r>
      <w:r w:rsidRPr="00840456">
        <w:rPr>
          <w:sz w:val="22"/>
          <w:szCs w:val="22"/>
          <w:lang w:val="sr-Latn-ME"/>
        </w:rPr>
        <w:t>tre</w:t>
      </w:r>
      <w:r w:rsidRPr="00840456">
        <w:rPr>
          <w:spacing w:val="1"/>
          <w:sz w:val="22"/>
          <w:szCs w:val="22"/>
          <w:lang w:val="sr-Latn-ME"/>
        </w:rPr>
        <w:t>k</w:t>
      </w:r>
      <w:r w:rsidRPr="00840456">
        <w:rPr>
          <w:sz w:val="22"/>
          <w:szCs w:val="22"/>
          <w:lang w:val="sr-Latn-ME"/>
        </w:rPr>
        <w:t>sta</w:t>
      </w:r>
      <w:r w:rsidRPr="00840456">
        <w:rPr>
          <w:spacing w:val="1"/>
          <w:sz w:val="22"/>
          <w:szCs w:val="22"/>
          <w:lang w:val="sr-Latn-ME"/>
        </w:rPr>
        <w:t>t</w:t>
      </w:r>
      <w:r w:rsidRPr="00840456">
        <w:rPr>
          <w:sz w:val="22"/>
          <w:szCs w:val="22"/>
          <w:lang w:val="sr-Latn-ME"/>
        </w:rPr>
        <w:t>a</w:t>
      </w:r>
      <w:r w:rsidRPr="00840456">
        <w:rPr>
          <w:spacing w:val="51"/>
          <w:sz w:val="22"/>
          <w:szCs w:val="22"/>
          <w:lang w:val="sr-Latn-ME"/>
        </w:rPr>
        <w:t xml:space="preserve"> </w:t>
      </w:r>
      <w:r w:rsidRPr="00840456">
        <w:rPr>
          <w:sz w:val="22"/>
          <w:szCs w:val="22"/>
          <w:lang w:val="sr-Latn-ME"/>
        </w:rPr>
        <w:t>iz</w:t>
      </w:r>
      <w:r w:rsidRPr="00840456">
        <w:rPr>
          <w:spacing w:val="1"/>
          <w:sz w:val="22"/>
          <w:szCs w:val="22"/>
          <w:lang w:val="sr-Latn-ME"/>
        </w:rPr>
        <w:t>no</w:t>
      </w:r>
      <w:r w:rsidRPr="00840456">
        <w:rPr>
          <w:sz w:val="22"/>
          <w:szCs w:val="22"/>
          <w:lang w:val="sr-Latn-ME"/>
        </w:rPr>
        <w:t>sila</w:t>
      </w:r>
      <w:r w:rsidRPr="00840456">
        <w:rPr>
          <w:spacing w:val="53"/>
          <w:sz w:val="22"/>
          <w:szCs w:val="22"/>
          <w:lang w:val="sr-Latn-ME"/>
        </w:rPr>
        <w:t xml:space="preserve"> </w:t>
      </w:r>
      <w:r w:rsidRPr="00840456">
        <w:rPr>
          <w:sz w:val="22"/>
          <w:szCs w:val="22"/>
          <w:lang w:val="sr-Latn-ME"/>
        </w:rPr>
        <w:t xml:space="preserve">je </w:t>
      </w:r>
      <w:r w:rsidRPr="00840456">
        <w:rPr>
          <w:spacing w:val="1"/>
          <w:sz w:val="22"/>
          <w:szCs w:val="22"/>
          <w:lang w:val="sr-Latn-ME"/>
        </w:rPr>
        <w:t>0</w:t>
      </w:r>
      <w:r w:rsidRPr="00840456">
        <w:rPr>
          <w:sz w:val="22"/>
          <w:szCs w:val="22"/>
          <w:lang w:val="sr-Latn-ME"/>
        </w:rPr>
        <w:t>,</w:t>
      </w:r>
      <w:r w:rsidRPr="00840456">
        <w:rPr>
          <w:spacing w:val="1"/>
          <w:sz w:val="22"/>
          <w:szCs w:val="22"/>
          <w:lang w:val="sr-Latn-ME"/>
        </w:rPr>
        <w:t>06</w:t>
      </w:r>
      <w:r w:rsidRPr="00840456">
        <w:rPr>
          <w:sz w:val="22"/>
          <w:szCs w:val="22"/>
          <w:lang w:val="sr-Latn-ME"/>
        </w:rPr>
        <w:t>%</w:t>
      </w:r>
      <w:r w:rsidRPr="00840456">
        <w:rPr>
          <w:spacing w:val="51"/>
          <w:sz w:val="22"/>
          <w:szCs w:val="22"/>
          <w:lang w:val="sr-Latn-ME"/>
        </w:rPr>
        <w:t xml:space="preserve"> </w:t>
      </w:r>
      <w:r w:rsidRPr="00840456">
        <w:rPr>
          <w:sz w:val="22"/>
          <w:szCs w:val="22"/>
          <w:lang w:val="sr-Latn-ME"/>
        </w:rPr>
        <w:t>(</w:t>
      </w:r>
      <w:r w:rsidRPr="00840456">
        <w:rPr>
          <w:spacing w:val="1"/>
          <w:sz w:val="22"/>
          <w:szCs w:val="22"/>
          <w:lang w:val="sr-Latn-ME"/>
        </w:rPr>
        <w:t>u</w:t>
      </w:r>
      <w:r w:rsidRPr="00840456">
        <w:rPr>
          <w:sz w:val="22"/>
          <w:szCs w:val="22"/>
          <w:lang w:val="sr-Latn-ME"/>
        </w:rPr>
        <w:t>čestal</w:t>
      </w:r>
      <w:r w:rsidRPr="00840456">
        <w:rPr>
          <w:spacing w:val="1"/>
          <w:sz w:val="22"/>
          <w:szCs w:val="22"/>
          <w:lang w:val="sr-Latn-ME"/>
        </w:rPr>
        <w:t>o</w:t>
      </w:r>
      <w:r w:rsidRPr="00840456">
        <w:rPr>
          <w:sz w:val="22"/>
          <w:szCs w:val="22"/>
          <w:lang w:val="sr-Latn-ME"/>
        </w:rPr>
        <w:t>st</w:t>
      </w:r>
      <w:r w:rsidRPr="00840456">
        <w:rPr>
          <w:spacing w:val="53"/>
          <w:sz w:val="22"/>
          <w:szCs w:val="22"/>
          <w:lang w:val="sr-Latn-ME"/>
        </w:rPr>
        <w:t xml:space="preserve"> </w:t>
      </w:r>
      <w:r w:rsidRPr="00840456">
        <w:rPr>
          <w:sz w:val="22"/>
          <w:szCs w:val="22"/>
          <w:lang w:val="sr-Latn-ME"/>
        </w:rPr>
        <w:t xml:space="preserve">rijetka). U </w:t>
      </w:r>
      <w:r w:rsidRPr="00840456">
        <w:rPr>
          <w:spacing w:val="1"/>
          <w:sz w:val="22"/>
          <w:szCs w:val="22"/>
          <w:lang w:val="sr-Latn-ME"/>
        </w:rPr>
        <w:t>kon</w:t>
      </w:r>
      <w:r w:rsidRPr="00840456">
        <w:rPr>
          <w:sz w:val="22"/>
          <w:szCs w:val="22"/>
          <w:lang w:val="sr-Latn-ME"/>
        </w:rPr>
        <w:t>tr</w:t>
      </w:r>
      <w:r w:rsidRPr="00840456">
        <w:rPr>
          <w:spacing w:val="1"/>
          <w:sz w:val="22"/>
          <w:szCs w:val="22"/>
          <w:lang w:val="sr-Latn-ME"/>
        </w:rPr>
        <w:t>o</w:t>
      </w:r>
      <w:r w:rsidRPr="00840456">
        <w:rPr>
          <w:sz w:val="22"/>
          <w:szCs w:val="22"/>
          <w:lang w:val="sr-Latn-ME"/>
        </w:rPr>
        <w:t>lisa</w:t>
      </w:r>
      <w:r w:rsidRPr="00840456">
        <w:rPr>
          <w:spacing w:val="1"/>
          <w:sz w:val="22"/>
          <w:szCs w:val="22"/>
          <w:lang w:val="sr-Latn-ME"/>
        </w:rPr>
        <w:t>n</w:t>
      </w:r>
      <w:r w:rsidRPr="00840456">
        <w:rPr>
          <w:sz w:val="22"/>
          <w:szCs w:val="22"/>
          <w:lang w:val="sr-Latn-ME"/>
        </w:rPr>
        <w:t>im</w:t>
      </w:r>
      <w:r w:rsidRPr="00840456">
        <w:rPr>
          <w:spacing w:val="48"/>
          <w:sz w:val="22"/>
          <w:szCs w:val="22"/>
          <w:lang w:val="sr-Latn-ME"/>
        </w:rPr>
        <w:t xml:space="preserve"> </w:t>
      </w:r>
      <w:r w:rsidRPr="00840456">
        <w:rPr>
          <w:spacing w:val="1"/>
          <w:sz w:val="22"/>
          <w:szCs w:val="22"/>
          <w:lang w:val="sr-Latn-ME"/>
        </w:rPr>
        <w:t>k</w:t>
      </w:r>
      <w:r w:rsidRPr="00840456">
        <w:rPr>
          <w:sz w:val="22"/>
          <w:szCs w:val="22"/>
          <w:lang w:val="sr-Latn-ME"/>
        </w:rPr>
        <w:t>li</w:t>
      </w:r>
      <w:r w:rsidRPr="00840456">
        <w:rPr>
          <w:spacing w:val="1"/>
          <w:sz w:val="22"/>
          <w:szCs w:val="22"/>
          <w:lang w:val="sr-Latn-ME"/>
        </w:rPr>
        <w:t>n</w:t>
      </w:r>
      <w:r w:rsidRPr="00840456">
        <w:rPr>
          <w:sz w:val="22"/>
          <w:szCs w:val="22"/>
          <w:lang w:val="sr-Latn-ME"/>
        </w:rPr>
        <w:t>ič</w:t>
      </w:r>
      <w:r w:rsidRPr="00840456">
        <w:rPr>
          <w:spacing w:val="1"/>
          <w:sz w:val="22"/>
          <w:szCs w:val="22"/>
          <w:lang w:val="sr-Latn-ME"/>
        </w:rPr>
        <w:t>k</w:t>
      </w:r>
      <w:r w:rsidRPr="00840456">
        <w:rPr>
          <w:sz w:val="22"/>
          <w:szCs w:val="22"/>
          <w:lang w:val="sr-Latn-ME"/>
        </w:rPr>
        <w:t>im</w:t>
      </w:r>
      <w:r w:rsidRPr="00840456">
        <w:rPr>
          <w:spacing w:val="54"/>
          <w:sz w:val="22"/>
          <w:szCs w:val="22"/>
          <w:lang w:val="sr-Latn-ME"/>
        </w:rPr>
        <w:t xml:space="preserve"> </w:t>
      </w:r>
      <w:r w:rsidRPr="00840456">
        <w:rPr>
          <w:sz w:val="22"/>
          <w:szCs w:val="22"/>
          <w:lang w:val="sr-Latn-ME"/>
        </w:rPr>
        <w:t>is</w:t>
      </w:r>
      <w:r w:rsidRPr="00840456">
        <w:rPr>
          <w:spacing w:val="1"/>
          <w:sz w:val="22"/>
          <w:szCs w:val="22"/>
          <w:lang w:val="sr-Latn-ME"/>
        </w:rPr>
        <w:t>p</w:t>
      </w:r>
      <w:r w:rsidRPr="00840456">
        <w:rPr>
          <w:sz w:val="22"/>
          <w:szCs w:val="22"/>
          <w:lang w:val="sr-Latn-ME"/>
        </w:rPr>
        <w:t>iti</w:t>
      </w:r>
      <w:r w:rsidRPr="00840456">
        <w:rPr>
          <w:spacing w:val="1"/>
          <w:sz w:val="22"/>
          <w:szCs w:val="22"/>
          <w:lang w:val="sr-Latn-ME"/>
        </w:rPr>
        <w:t>v</w:t>
      </w:r>
      <w:r w:rsidRPr="00840456">
        <w:rPr>
          <w:sz w:val="22"/>
          <w:szCs w:val="22"/>
          <w:lang w:val="sr-Latn-ME"/>
        </w:rPr>
        <w:t>a</w:t>
      </w:r>
      <w:r w:rsidRPr="00840456">
        <w:rPr>
          <w:spacing w:val="1"/>
          <w:sz w:val="22"/>
          <w:szCs w:val="22"/>
          <w:lang w:val="sr-Latn-ME"/>
        </w:rPr>
        <w:t>n</w:t>
      </w:r>
      <w:r w:rsidRPr="00840456">
        <w:rPr>
          <w:sz w:val="22"/>
          <w:szCs w:val="22"/>
          <w:lang w:val="sr-Latn-ME"/>
        </w:rPr>
        <w:t>jima</w:t>
      </w:r>
      <w:r w:rsidRPr="00840456">
        <w:rPr>
          <w:spacing w:val="54"/>
          <w:sz w:val="22"/>
          <w:szCs w:val="22"/>
          <w:lang w:val="sr-Latn-ME"/>
        </w:rPr>
        <w:t xml:space="preserve"> </w:t>
      </w:r>
      <w:r w:rsidRPr="00840456">
        <w:rPr>
          <w:spacing w:val="1"/>
          <w:sz w:val="22"/>
          <w:szCs w:val="22"/>
          <w:lang w:val="sr-Latn-ME"/>
        </w:rPr>
        <w:t>gdj</w:t>
      </w:r>
      <w:r w:rsidRPr="00840456">
        <w:rPr>
          <w:sz w:val="22"/>
          <w:szCs w:val="22"/>
          <w:lang w:val="sr-Latn-ME"/>
        </w:rPr>
        <w:t xml:space="preserve">e je </w:t>
      </w:r>
      <w:r w:rsidRPr="00840456">
        <w:rPr>
          <w:spacing w:val="2"/>
          <w:sz w:val="22"/>
          <w:szCs w:val="22"/>
          <w:lang w:val="sr-Latn-ME"/>
        </w:rPr>
        <w:t>b</w:t>
      </w:r>
      <w:r w:rsidRPr="00840456">
        <w:rPr>
          <w:sz w:val="22"/>
          <w:szCs w:val="22"/>
          <w:lang w:val="sr-Latn-ME"/>
        </w:rPr>
        <w:t xml:space="preserve">ila </w:t>
      </w:r>
      <w:r w:rsidRPr="00840456">
        <w:rPr>
          <w:spacing w:val="1"/>
          <w:sz w:val="22"/>
          <w:szCs w:val="22"/>
          <w:lang w:val="sr-Latn-ME"/>
        </w:rPr>
        <w:t>do</w:t>
      </w:r>
      <w:r w:rsidRPr="00840456">
        <w:rPr>
          <w:sz w:val="22"/>
          <w:szCs w:val="22"/>
          <w:lang w:val="sr-Latn-ME"/>
        </w:rPr>
        <w:t>z</w:t>
      </w:r>
      <w:r w:rsidRPr="00840456">
        <w:rPr>
          <w:spacing w:val="1"/>
          <w:sz w:val="22"/>
          <w:szCs w:val="22"/>
          <w:lang w:val="sr-Latn-ME"/>
        </w:rPr>
        <w:t>vo</w:t>
      </w:r>
      <w:r w:rsidRPr="00840456">
        <w:rPr>
          <w:sz w:val="22"/>
          <w:szCs w:val="22"/>
          <w:lang w:val="sr-Latn-ME"/>
        </w:rPr>
        <w:t>lje</w:t>
      </w:r>
      <w:r w:rsidRPr="00840456">
        <w:rPr>
          <w:spacing w:val="1"/>
          <w:sz w:val="22"/>
          <w:szCs w:val="22"/>
          <w:lang w:val="sr-Latn-ME"/>
        </w:rPr>
        <w:t>n</w:t>
      </w:r>
      <w:r w:rsidRPr="00840456">
        <w:rPr>
          <w:sz w:val="22"/>
          <w:szCs w:val="22"/>
          <w:lang w:val="sr-Latn-ME"/>
        </w:rPr>
        <w:t>a</w:t>
      </w:r>
      <w:r w:rsidRPr="00840456">
        <w:rPr>
          <w:spacing w:val="3"/>
          <w:sz w:val="22"/>
          <w:szCs w:val="22"/>
          <w:lang w:val="sr-Latn-ME"/>
        </w:rPr>
        <w:t xml:space="preserve"> </w:t>
      </w:r>
      <w:r w:rsidRPr="00840456">
        <w:rPr>
          <w:sz w:val="22"/>
          <w:szCs w:val="22"/>
          <w:lang w:val="sr-Latn-ME"/>
        </w:rPr>
        <w:t>ist</w:t>
      </w:r>
      <w:r w:rsidRPr="00840456">
        <w:rPr>
          <w:spacing w:val="1"/>
          <w:sz w:val="22"/>
          <w:szCs w:val="22"/>
          <w:lang w:val="sr-Latn-ME"/>
        </w:rPr>
        <w:t>ov</w:t>
      </w:r>
      <w:r w:rsidRPr="00840456">
        <w:rPr>
          <w:sz w:val="22"/>
          <w:szCs w:val="22"/>
          <w:lang w:val="sr-Latn-ME"/>
        </w:rPr>
        <w:t>r</w:t>
      </w:r>
      <w:r w:rsidRPr="00840456">
        <w:rPr>
          <w:spacing w:val="1"/>
          <w:sz w:val="22"/>
          <w:szCs w:val="22"/>
          <w:lang w:val="sr-Latn-ME"/>
        </w:rPr>
        <w:t>e</w:t>
      </w:r>
      <w:r w:rsidRPr="00840456">
        <w:rPr>
          <w:spacing w:val="-2"/>
          <w:sz w:val="22"/>
          <w:szCs w:val="22"/>
          <w:lang w:val="sr-Latn-ME"/>
        </w:rPr>
        <w:t>m</w:t>
      </w:r>
      <w:r w:rsidRPr="00840456">
        <w:rPr>
          <w:sz w:val="22"/>
          <w:szCs w:val="22"/>
          <w:lang w:val="sr-Latn-ME"/>
        </w:rPr>
        <w:t>e</w:t>
      </w:r>
      <w:r w:rsidRPr="00840456">
        <w:rPr>
          <w:spacing w:val="1"/>
          <w:sz w:val="22"/>
          <w:szCs w:val="22"/>
          <w:lang w:val="sr-Latn-ME"/>
        </w:rPr>
        <w:t>n</w:t>
      </w:r>
      <w:r w:rsidRPr="00840456">
        <w:rPr>
          <w:sz w:val="22"/>
          <w:szCs w:val="22"/>
          <w:lang w:val="sr-Latn-ME"/>
        </w:rPr>
        <w:t xml:space="preserve">a </w:t>
      </w:r>
      <w:r w:rsidRPr="00840456">
        <w:rPr>
          <w:spacing w:val="1"/>
          <w:sz w:val="22"/>
          <w:szCs w:val="22"/>
          <w:lang w:val="sr-Latn-ME"/>
        </w:rPr>
        <w:t>p</w:t>
      </w:r>
      <w:r w:rsidRPr="00840456">
        <w:rPr>
          <w:sz w:val="22"/>
          <w:szCs w:val="22"/>
          <w:lang w:val="sr-Latn-ME"/>
        </w:rPr>
        <w:t>rimje</w:t>
      </w:r>
      <w:r w:rsidRPr="00840456">
        <w:rPr>
          <w:spacing w:val="1"/>
          <w:sz w:val="22"/>
          <w:szCs w:val="22"/>
          <w:lang w:val="sr-Latn-ME"/>
        </w:rPr>
        <w:t>n</w:t>
      </w:r>
      <w:r w:rsidRPr="00840456">
        <w:rPr>
          <w:sz w:val="22"/>
          <w:szCs w:val="22"/>
          <w:lang w:val="sr-Latn-ME"/>
        </w:rPr>
        <w:t>a e</w:t>
      </w:r>
      <w:r w:rsidRPr="00840456">
        <w:rPr>
          <w:spacing w:val="1"/>
          <w:sz w:val="22"/>
          <w:szCs w:val="22"/>
          <w:lang w:val="sr-Latn-ME"/>
        </w:rPr>
        <w:t>tan</w:t>
      </w:r>
      <w:r w:rsidRPr="00840456">
        <w:rPr>
          <w:sz w:val="22"/>
          <w:szCs w:val="22"/>
          <w:lang w:val="sr-Latn-ME"/>
        </w:rPr>
        <w:t>erce</w:t>
      </w:r>
      <w:r w:rsidRPr="00840456">
        <w:rPr>
          <w:spacing w:val="1"/>
          <w:sz w:val="22"/>
          <w:szCs w:val="22"/>
          <w:lang w:val="sr-Latn-ME"/>
        </w:rPr>
        <w:t>p</w:t>
      </w:r>
      <w:r w:rsidRPr="00840456">
        <w:rPr>
          <w:sz w:val="22"/>
          <w:szCs w:val="22"/>
          <w:lang w:val="sr-Latn-ME"/>
        </w:rPr>
        <w:t>ta</w:t>
      </w:r>
      <w:r w:rsidRPr="00840456">
        <w:rPr>
          <w:spacing w:val="4"/>
          <w:sz w:val="22"/>
          <w:szCs w:val="22"/>
          <w:lang w:val="sr-Latn-ME"/>
        </w:rPr>
        <w:t xml:space="preserve"> </w:t>
      </w:r>
      <w:r w:rsidRPr="00840456">
        <w:rPr>
          <w:sz w:val="22"/>
          <w:szCs w:val="22"/>
          <w:lang w:val="sr-Latn-ME"/>
        </w:rPr>
        <w:t>i met</w:t>
      </w:r>
      <w:r w:rsidRPr="00840456">
        <w:rPr>
          <w:spacing w:val="1"/>
          <w:sz w:val="22"/>
          <w:szCs w:val="22"/>
          <w:lang w:val="sr-Latn-ME"/>
        </w:rPr>
        <w:t>o</w:t>
      </w:r>
      <w:r w:rsidRPr="00840456">
        <w:rPr>
          <w:sz w:val="22"/>
          <w:szCs w:val="22"/>
          <w:lang w:val="sr-Latn-ME"/>
        </w:rPr>
        <w:t>tre</w:t>
      </w:r>
      <w:r w:rsidRPr="00840456">
        <w:rPr>
          <w:spacing w:val="1"/>
          <w:sz w:val="22"/>
          <w:szCs w:val="22"/>
          <w:lang w:val="sr-Latn-ME"/>
        </w:rPr>
        <w:t>k</w:t>
      </w:r>
      <w:r w:rsidRPr="00840456">
        <w:rPr>
          <w:sz w:val="22"/>
          <w:szCs w:val="22"/>
          <w:lang w:val="sr-Latn-ME"/>
        </w:rPr>
        <w:t>sa</w:t>
      </w:r>
      <w:r w:rsidRPr="00840456">
        <w:rPr>
          <w:spacing w:val="1"/>
          <w:sz w:val="22"/>
          <w:szCs w:val="22"/>
          <w:lang w:val="sr-Latn-ME"/>
        </w:rPr>
        <w:t>t</w:t>
      </w:r>
      <w:r w:rsidRPr="00840456">
        <w:rPr>
          <w:sz w:val="22"/>
          <w:szCs w:val="22"/>
          <w:lang w:val="sr-Latn-ME"/>
        </w:rPr>
        <w:t>a,</w:t>
      </w:r>
      <w:r w:rsidRPr="00840456">
        <w:rPr>
          <w:spacing w:val="1"/>
          <w:sz w:val="22"/>
          <w:szCs w:val="22"/>
          <w:lang w:val="sr-Latn-ME"/>
        </w:rPr>
        <w:t xml:space="preserve"> u</w:t>
      </w:r>
      <w:r w:rsidRPr="00840456">
        <w:rPr>
          <w:sz w:val="22"/>
          <w:szCs w:val="22"/>
          <w:lang w:val="sr-Latn-ME"/>
        </w:rPr>
        <w:t>čestal</w:t>
      </w:r>
      <w:r w:rsidRPr="00840456">
        <w:rPr>
          <w:spacing w:val="1"/>
          <w:sz w:val="22"/>
          <w:szCs w:val="22"/>
          <w:lang w:val="sr-Latn-ME"/>
        </w:rPr>
        <w:t>o</w:t>
      </w:r>
      <w:r w:rsidRPr="00840456">
        <w:rPr>
          <w:sz w:val="22"/>
          <w:szCs w:val="22"/>
          <w:lang w:val="sr-Latn-ME"/>
        </w:rPr>
        <w:t>st</w:t>
      </w:r>
      <w:r w:rsidRPr="00840456">
        <w:rPr>
          <w:spacing w:val="8"/>
          <w:sz w:val="22"/>
          <w:szCs w:val="22"/>
          <w:lang w:val="sr-Latn-ME"/>
        </w:rPr>
        <w:t xml:space="preserve"> </w:t>
      </w:r>
      <w:r w:rsidRPr="00840456">
        <w:rPr>
          <w:sz w:val="22"/>
          <w:szCs w:val="22"/>
          <w:lang w:val="sr-Latn-ME"/>
        </w:rPr>
        <w:t>(</w:t>
      </w:r>
      <w:r w:rsidRPr="00840456">
        <w:rPr>
          <w:spacing w:val="1"/>
          <w:sz w:val="22"/>
          <w:szCs w:val="22"/>
          <w:lang w:val="sr-Latn-ME"/>
        </w:rPr>
        <w:t>p</w:t>
      </w:r>
      <w:r w:rsidRPr="00840456">
        <w:rPr>
          <w:sz w:val="22"/>
          <w:szCs w:val="22"/>
          <w:lang w:val="sr-Latn-ME"/>
        </w:rPr>
        <w:t>r</w:t>
      </w:r>
      <w:r w:rsidRPr="00840456">
        <w:rPr>
          <w:spacing w:val="1"/>
          <w:sz w:val="22"/>
          <w:szCs w:val="22"/>
          <w:lang w:val="sr-Latn-ME"/>
        </w:rPr>
        <w:t>opo</w:t>
      </w:r>
      <w:r w:rsidRPr="00840456">
        <w:rPr>
          <w:sz w:val="22"/>
          <w:szCs w:val="22"/>
          <w:lang w:val="sr-Latn-ME"/>
        </w:rPr>
        <w:t>rci</w:t>
      </w:r>
      <w:r w:rsidRPr="00840456">
        <w:rPr>
          <w:spacing w:val="1"/>
          <w:sz w:val="22"/>
          <w:szCs w:val="22"/>
          <w:lang w:val="sr-Latn-ME"/>
        </w:rPr>
        <w:t>o</w:t>
      </w:r>
      <w:r w:rsidRPr="00840456">
        <w:rPr>
          <w:spacing w:val="-1"/>
          <w:sz w:val="22"/>
          <w:szCs w:val="22"/>
          <w:lang w:val="sr-Latn-ME"/>
        </w:rPr>
        <w:t>n</w:t>
      </w:r>
      <w:r w:rsidRPr="00840456">
        <w:rPr>
          <w:sz w:val="22"/>
          <w:szCs w:val="22"/>
          <w:lang w:val="sr-Latn-ME"/>
        </w:rPr>
        <w:t>al</w:t>
      </w:r>
      <w:r w:rsidRPr="00840456">
        <w:rPr>
          <w:spacing w:val="1"/>
          <w:sz w:val="22"/>
          <w:szCs w:val="22"/>
          <w:lang w:val="sr-Latn-ME"/>
        </w:rPr>
        <w:t>n</w:t>
      </w:r>
      <w:r w:rsidRPr="00840456">
        <w:rPr>
          <w:sz w:val="22"/>
          <w:szCs w:val="22"/>
          <w:lang w:val="sr-Latn-ME"/>
        </w:rPr>
        <w:t>o i</w:t>
      </w:r>
      <w:r w:rsidRPr="00840456">
        <w:rPr>
          <w:spacing w:val="1"/>
          <w:sz w:val="22"/>
          <w:szCs w:val="22"/>
          <w:lang w:val="sr-Latn-ME"/>
        </w:rPr>
        <w:t>n</w:t>
      </w:r>
      <w:r w:rsidRPr="00840456">
        <w:rPr>
          <w:sz w:val="22"/>
          <w:szCs w:val="22"/>
          <w:lang w:val="sr-Latn-ME"/>
        </w:rPr>
        <w:t>ci</w:t>
      </w:r>
      <w:r w:rsidRPr="00840456">
        <w:rPr>
          <w:spacing w:val="1"/>
          <w:sz w:val="22"/>
          <w:szCs w:val="22"/>
          <w:lang w:val="sr-Latn-ME"/>
        </w:rPr>
        <w:t>d</w:t>
      </w:r>
      <w:r w:rsidRPr="00840456">
        <w:rPr>
          <w:sz w:val="22"/>
          <w:szCs w:val="22"/>
          <w:lang w:val="sr-Latn-ME"/>
        </w:rPr>
        <w:t>e</w:t>
      </w:r>
      <w:r w:rsidRPr="00840456">
        <w:rPr>
          <w:spacing w:val="1"/>
          <w:sz w:val="22"/>
          <w:szCs w:val="22"/>
          <w:lang w:val="sr-Latn-ME"/>
        </w:rPr>
        <w:t>n</w:t>
      </w:r>
      <w:r w:rsidRPr="00840456">
        <w:rPr>
          <w:sz w:val="22"/>
          <w:szCs w:val="22"/>
          <w:lang w:val="sr-Latn-ME"/>
        </w:rPr>
        <w:t>ci) i</w:t>
      </w:r>
      <w:r w:rsidRPr="00840456">
        <w:rPr>
          <w:spacing w:val="1"/>
          <w:sz w:val="22"/>
          <w:szCs w:val="22"/>
          <w:lang w:val="sr-Latn-ME"/>
        </w:rPr>
        <w:t>n</w:t>
      </w:r>
      <w:r w:rsidRPr="00840456">
        <w:rPr>
          <w:sz w:val="22"/>
          <w:szCs w:val="22"/>
          <w:lang w:val="sr-Latn-ME"/>
        </w:rPr>
        <w:t>testi</w:t>
      </w:r>
      <w:r w:rsidRPr="00840456">
        <w:rPr>
          <w:spacing w:val="1"/>
          <w:sz w:val="22"/>
          <w:szCs w:val="22"/>
          <w:lang w:val="sr-Latn-ME"/>
        </w:rPr>
        <w:t>n</w:t>
      </w:r>
      <w:r w:rsidRPr="00840456">
        <w:rPr>
          <w:sz w:val="22"/>
          <w:szCs w:val="22"/>
          <w:lang w:val="sr-Latn-ME"/>
        </w:rPr>
        <w:t>al</w:t>
      </w:r>
      <w:r w:rsidRPr="00840456">
        <w:rPr>
          <w:spacing w:val="1"/>
          <w:sz w:val="22"/>
          <w:szCs w:val="22"/>
          <w:lang w:val="sr-Latn-ME"/>
        </w:rPr>
        <w:t>n</w:t>
      </w:r>
      <w:r w:rsidRPr="00840456">
        <w:rPr>
          <w:sz w:val="22"/>
          <w:szCs w:val="22"/>
          <w:lang w:val="sr-Latn-ME"/>
        </w:rPr>
        <w:t>e</w:t>
      </w:r>
      <w:r w:rsidRPr="00840456">
        <w:rPr>
          <w:spacing w:val="15"/>
          <w:sz w:val="22"/>
          <w:szCs w:val="22"/>
          <w:lang w:val="sr-Latn-ME"/>
        </w:rPr>
        <w:t xml:space="preserve"> </w:t>
      </w:r>
      <w:r w:rsidRPr="00840456">
        <w:rPr>
          <w:spacing w:val="1"/>
          <w:sz w:val="22"/>
          <w:szCs w:val="22"/>
          <w:lang w:val="sr-Latn-ME"/>
        </w:rPr>
        <w:t>bo</w:t>
      </w:r>
      <w:r w:rsidRPr="00840456">
        <w:rPr>
          <w:sz w:val="22"/>
          <w:szCs w:val="22"/>
          <w:lang w:val="sr-Latn-ME"/>
        </w:rPr>
        <w:t xml:space="preserve">lesti </w:t>
      </w:r>
      <w:r w:rsidRPr="00840456">
        <w:rPr>
          <w:spacing w:val="1"/>
          <w:sz w:val="22"/>
          <w:szCs w:val="22"/>
          <w:lang w:val="sr-Latn-ME"/>
        </w:rPr>
        <w:t>p</w:t>
      </w:r>
      <w:r w:rsidRPr="00840456">
        <w:rPr>
          <w:sz w:val="22"/>
          <w:szCs w:val="22"/>
          <w:lang w:val="sr-Latn-ME"/>
        </w:rPr>
        <w:t>l</w:t>
      </w:r>
      <w:r w:rsidRPr="00840456">
        <w:rPr>
          <w:spacing w:val="1"/>
          <w:sz w:val="22"/>
          <w:szCs w:val="22"/>
          <w:lang w:val="sr-Latn-ME"/>
        </w:rPr>
        <w:t>u</w:t>
      </w:r>
      <w:r w:rsidRPr="00840456">
        <w:rPr>
          <w:sz w:val="22"/>
          <w:szCs w:val="22"/>
          <w:lang w:val="sr-Latn-ME"/>
        </w:rPr>
        <w:t>ća</w:t>
      </w:r>
      <w:r w:rsidRPr="00840456">
        <w:rPr>
          <w:spacing w:val="19"/>
          <w:sz w:val="22"/>
          <w:szCs w:val="22"/>
          <w:lang w:val="sr-Latn-ME"/>
        </w:rPr>
        <w:t xml:space="preserve"> </w:t>
      </w:r>
      <w:r w:rsidRPr="00840456">
        <w:rPr>
          <w:sz w:val="22"/>
          <w:szCs w:val="22"/>
          <w:lang w:val="sr-Latn-ME"/>
        </w:rPr>
        <w:t>iz</w:t>
      </w:r>
      <w:r w:rsidRPr="00840456">
        <w:rPr>
          <w:spacing w:val="1"/>
          <w:sz w:val="22"/>
          <w:szCs w:val="22"/>
          <w:lang w:val="sr-Latn-ME"/>
        </w:rPr>
        <w:t>no</w:t>
      </w:r>
      <w:r w:rsidRPr="00840456">
        <w:rPr>
          <w:sz w:val="22"/>
          <w:szCs w:val="22"/>
          <w:lang w:val="sr-Latn-ME"/>
        </w:rPr>
        <w:t>sila</w:t>
      </w:r>
      <w:r w:rsidRPr="00840456">
        <w:rPr>
          <w:spacing w:val="16"/>
          <w:sz w:val="22"/>
          <w:szCs w:val="22"/>
          <w:lang w:val="sr-Latn-ME"/>
        </w:rPr>
        <w:t xml:space="preserve"> </w:t>
      </w:r>
      <w:r w:rsidRPr="00840456">
        <w:rPr>
          <w:sz w:val="22"/>
          <w:szCs w:val="22"/>
          <w:lang w:val="sr-Latn-ME"/>
        </w:rPr>
        <w:t xml:space="preserve">je </w:t>
      </w:r>
      <w:r w:rsidRPr="00840456">
        <w:rPr>
          <w:spacing w:val="1"/>
          <w:sz w:val="22"/>
          <w:szCs w:val="22"/>
          <w:lang w:val="sr-Latn-ME"/>
        </w:rPr>
        <w:t>0</w:t>
      </w:r>
      <w:r w:rsidRPr="00840456">
        <w:rPr>
          <w:sz w:val="22"/>
          <w:szCs w:val="22"/>
          <w:lang w:val="sr-Latn-ME"/>
        </w:rPr>
        <w:t>,</w:t>
      </w:r>
      <w:r w:rsidRPr="00840456">
        <w:rPr>
          <w:spacing w:val="1"/>
          <w:sz w:val="22"/>
          <w:szCs w:val="22"/>
          <w:lang w:val="sr-Latn-ME"/>
        </w:rPr>
        <w:t>47</w:t>
      </w:r>
      <w:r w:rsidRPr="00840456">
        <w:rPr>
          <w:sz w:val="22"/>
          <w:szCs w:val="22"/>
          <w:lang w:val="sr-Latn-ME"/>
        </w:rPr>
        <w:t>%</w:t>
      </w:r>
      <w:r w:rsidRPr="00840456">
        <w:rPr>
          <w:spacing w:val="14"/>
          <w:sz w:val="22"/>
          <w:szCs w:val="22"/>
          <w:lang w:val="sr-Latn-ME"/>
        </w:rPr>
        <w:t xml:space="preserve"> </w:t>
      </w:r>
      <w:r w:rsidRPr="00840456">
        <w:rPr>
          <w:sz w:val="22"/>
          <w:szCs w:val="22"/>
          <w:lang w:val="sr-Latn-ME"/>
        </w:rPr>
        <w:t>(</w:t>
      </w:r>
      <w:r w:rsidRPr="00840456">
        <w:rPr>
          <w:spacing w:val="1"/>
          <w:sz w:val="22"/>
          <w:szCs w:val="22"/>
          <w:lang w:val="sr-Latn-ME"/>
        </w:rPr>
        <w:t>u</w:t>
      </w:r>
      <w:r w:rsidRPr="00840456">
        <w:rPr>
          <w:sz w:val="22"/>
          <w:szCs w:val="22"/>
          <w:lang w:val="sr-Latn-ME"/>
        </w:rPr>
        <w:t>čestal</w:t>
      </w:r>
      <w:r w:rsidRPr="00840456">
        <w:rPr>
          <w:spacing w:val="1"/>
          <w:sz w:val="22"/>
          <w:szCs w:val="22"/>
          <w:lang w:val="sr-Latn-ME"/>
        </w:rPr>
        <w:t>o</w:t>
      </w:r>
      <w:r w:rsidRPr="00840456">
        <w:rPr>
          <w:sz w:val="22"/>
          <w:szCs w:val="22"/>
          <w:lang w:val="sr-Latn-ME"/>
        </w:rPr>
        <w:t xml:space="preserve">st </w:t>
      </w:r>
      <w:r w:rsidRPr="00840456">
        <w:rPr>
          <w:spacing w:val="1"/>
          <w:sz w:val="22"/>
          <w:szCs w:val="22"/>
          <w:lang w:val="sr-Latn-ME"/>
        </w:rPr>
        <w:t>pov</w:t>
      </w:r>
      <w:r w:rsidRPr="00840456">
        <w:rPr>
          <w:sz w:val="22"/>
          <w:szCs w:val="22"/>
          <w:lang w:val="sr-Latn-ME"/>
        </w:rPr>
        <w:t>reme</w:t>
      </w:r>
      <w:r w:rsidRPr="00840456">
        <w:rPr>
          <w:spacing w:val="1"/>
          <w:sz w:val="22"/>
          <w:szCs w:val="22"/>
          <w:lang w:val="sr-Latn-ME"/>
        </w:rPr>
        <w:t>n</w:t>
      </w:r>
      <w:r w:rsidRPr="00840456">
        <w:rPr>
          <w:sz w:val="22"/>
          <w:szCs w:val="22"/>
          <w:lang w:val="sr-Latn-ME"/>
        </w:rPr>
        <w:t>a).</w:t>
      </w:r>
      <w:r w:rsidRPr="00840456">
        <w:rPr>
          <w:spacing w:val="9"/>
          <w:sz w:val="22"/>
          <w:szCs w:val="22"/>
          <w:lang w:val="sr-Latn-ME"/>
        </w:rPr>
        <w:t xml:space="preserve"> </w:t>
      </w:r>
      <w:r w:rsidRPr="00840456">
        <w:rPr>
          <w:color w:val="000000"/>
          <w:sz w:val="22"/>
          <w:szCs w:val="22"/>
          <w:lang w:val="sr-Latn-ME"/>
        </w:rPr>
        <w:t>Prijavljeni su slučajevi nastanka intersticijalne plućne bolesti u postmarketi</w:t>
      </w:r>
      <w:r w:rsidR="008D5C47" w:rsidRPr="00840456">
        <w:rPr>
          <w:color w:val="000000"/>
          <w:sz w:val="22"/>
          <w:szCs w:val="22"/>
          <w:lang w:val="sr-Latn-ME"/>
        </w:rPr>
        <w:t>n</w:t>
      </w:r>
      <w:r w:rsidRPr="00840456">
        <w:rPr>
          <w:color w:val="000000"/>
          <w:sz w:val="22"/>
          <w:szCs w:val="22"/>
          <w:lang w:val="sr-Latn-ME"/>
        </w:rPr>
        <w:t>škom periodu praćenja lijeka (uključujući pneumonitis i pulmonalnu fibrozu), od kojih su neki imali fatalni ishod.</w:t>
      </w:r>
    </w:p>
    <w:p w14:paraId="50E2656A" w14:textId="77777777" w:rsidR="005A7F10" w:rsidRPr="00840456" w:rsidRDefault="005A7F10" w:rsidP="005A7F10">
      <w:pPr>
        <w:widowControl w:val="0"/>
        <w:autoSpaceDE w:val="0"/>
        <w:autoSpaceDN w:val="0"/>
        <w:adjustRightInd w:val="0"/>
        <w:jc w:val="both"/>
        <w:rPr>
          <w:i/>
          <w:color w:val="000000"/>
          <w:sz w:val="22"/>
          <w:szCs w:val="22"/>
          <w:lang w:val="sr-Latn-ME"/>
        </w:rPr>
      </w:pPr>
    </w:p>
    <w:p w14:paraId="18597212" w14:textId="77777777"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Istovremena primjena lijeka Enbrel i anakinre</w:t>
      </w:r>
    </w:p>
    <w:p w14:paraId="3A79D8DB" w14:textId="3FB73D24" w:rsidR="005A7F10" w:rsidRPr="00840456" w:rsidRDefault="005A7F10" w:rsidP="005A7F10">
      <w:pPr>
        <w:widowControl w:val="0"/>
        <w:overflowPunct w:val="0"/>
        <w:autoSpaceDE w:val="0"/>
        <w:autoSpaceDN w:val="0"/>
        <w:adjustRightInd w:val="0"/>
        <w:spacing w:line="229" w:lineRule="auto"/>
        <w:jc w:val="both"/>
        <w:rPr>
          <w:color w:val="000000"/>
          <w:sz w:val="22"/>
          <w:szCs w:val="22"/>
          <w:lang w:val="sr-Latn-ME"/>
        </w:rPr>
      </w:pPr>
      <w:r w:rsidRPr="00840456">
        <w:rPr>
          <w:color w:val="000000"/>
          <w:sz w:val="22"/>
          <w:szCs w:val="22"/>
          <w:lang w:val="sr-Latn-ME"/>
        </w:rPr>
        <w:t>Rezultati studija na odraslim pacijentima koji su istovremeno primali lijek Enbrel i anakinru pokazuju veći procenat razvoja ozbiljnih infekcija u poređenju sa primjenom samo lijeka Enbrel, a kod 2% pacijenata (3/139) dolazi do razvoja neutropenije (apsolutni broj neutrofila &lt;1000</w:t>
      </w:r>
      <w:r w:rsidR="008D5C47" w:rsidRPr="00840456">
        <w:rPr>
          <w:color w:val="000000"/>
          <w:sz w:val="22"/>
          <w:szCs w:val="22"/>
          <w:lang w:val="sr-Latn-ME"/>
        </w:rPr>
        <w:t>/</w:t>
      </w:r>
      <w:r w:rsidRPr="00840456">
        <w:rPr>
          <w:color w:val="000000"/>
          <w:sz w:val="22"/>
          <w:szCs w:val="22"/>
          <w:lang w:val="sr-Latn-ME"/>
        </w:rPr>
        <w:t>mm</w:t>
      </w:r>
      <w:r w:rsidRPr="00840456">
        <w:rPr>
          <w:color w:val="000000"/>
          <w:sz w:val="22"/>
          <w:szCs w:val="22"/>
          <w:vertAlign w:val="superscript"/>
          <w:lang w:val="sr-Latn-ME"/>
        </w:rPr>
        <w:t>3</w:t>
      </w:r>
      <w:r w:rsidRPr="00840456">
        <w:rPr>
          <w:color w:val="000000"/>
          <w:sz w:val="22"/>
          <w:szCs w:val="22"/>
          <w:lang w:val="sr-Latn-ME"/>
        </w:rPr>
        <w:t xml:space="preserve">). Uz neutropeniju, kod jednog pacijenta je došlo do razvoja celulitisa, koji je izliječen nakon hospitalizacije (vidjeti </w:t>
      </w:r>
      <w:r w:rsidR="008D5C47" w:rsidRPr="00840456">
        <w:rPr>
          <w:color w:val="000000"/>
          <w:sz w:val="22"/>
          <w:szCs w:val="22"/>
          <w:lang w:val="sr-Latn-ME"/>
        </w:rPr>
        <w:t>djelov</w:t>
      </w:r>
      <w:r w:rsidRPr="00840456">
        <w:rPr>
          <w:color w:val="000000"/>
          <w:sz w:val="22"/>
          <w:szCs w:val="22"/>
          <w:lang w:val="sr-Latn-ME"/>
        </w:rPr>
        <w:t>e 4.4 i 4.5).</w:t>
      </w:r>
    </w:p>
    <w:p w14:paraId="497CA31D" w14:textId="5FE62A12" w:rsidR="005A7F10" w:rsidRPr="00840456" w:rsidRDefault="005A7F10" w:rsidP="005A7F10">
      <w:pPr>
        <w:tabs>
          <w:tab w:val="left" w:pos="0"/>
        </w:tabs>
        <w:jc w:val="both"/>
        <w:rPr>
          <w:i/>
          <w:sz w:val="22"/>
          <w:szCs w:val="22"/>
          <w:lang w:val="sr-Latn-ME"/>
        </w:rPr>
      </w:pPr>
    </w:p>
    <w:p w14:paraId="4D8A63AE" w14:textId="77777777" w:rsidR="005A7F10" w:rsidRPr="00840456" w:rsidRDefault="005A7F10" w:rsidP="005A7F10">
      <w:pPr>
        <w:tabs>
          <w:tab w:val="left" w:pos="0"/>
        </w:tabs>
        <w:jc w:val="both"/>
        <w:rPr>
          <w:i/>
          <w:sz w:val="22"/>
          <w:szCs w:val="22"/>
          <w:lang w:val="sr-Latn-ME"/>
        </w:rPr>
      </w:pPr>
      <w:r w:rsidRPr="00840456">
        <w:rPr>
          <w:i/>
          <w:sz w:val="22"/>
          <w:szCs w:val="22"/>
          <w:lang w:val="sr-Latn-ME"/>
        </w:rPr>
        <w:t>Povećanje koncentracije enzima jetre</w:t>
      </w:r>
    </w:p>
    <w:p w14:paraId="2905B98F" w14:textId="2F28D0CC" w:rsidR="005A7F10" w:rsidRPr="00840456" w:rsidRDefault="005A7F10" w:rsidP="005A7F10">
      <w:pPr>
        <w:tabs>
          <w:tab w:val="left" w:pos="0"/>
        </w:tabs>
        <w:jc w:val="both"/>
        <w:rPr>
          <w:sz w:val="22"/>
          <w:szCs w:val="22"/>
          <w:lang w:val="sr-Latn-ME"/>
        </w:rPr>
      </w:pPr>
      <w:r w:rsidRPr="00840456">
        <w:rPr>
          <w:sz w:val="22"/>
          <w:szCs w:val="22"/>
          <w:lang w:val="sr-Latn-ME"/>
        </w:rPr>
        <w:t>U dvostruko</w:t>
      </w:r>
      <w:r w:rsidR="008D5C47" w:rsidRPr="00840456">
        <w:rPr>
          <w:sz w:val="22"/>
          <w:szCs w:val="22"/>
          <w:lang w:val="sr-Latn-ME"/>
        </w:rPr>
        <w:t>-</w:t>
      </w:r>
      <w:r w:rsidRPr="00840456">
        <w:rPr>
          <w:sz w:val="22"/>
          <w:szCs w:val="22"/>
          <w:lang w:val="sr-Latn-ME"/>
        </w:rPr>
        <w:t>slijepim, kontrolisanim kliničkim ispitivanjima etanercepta, u svim indikacijama, učestalost (kumulativna incidenca) povećanja nivoa enzima jetre, kao neželjenih događaja, kod pacijenata koji su primali etanercept bez istovremene primjene metotreksata, iznosila je 0,54% (povremena učestalost). U dvostruko</w:t>
      </w:r>
      <w:r w:rsidR="008D5C47" w:rsidRPr="00840456">
        <w:rPr>
          <w:sz w:val="22"/>
          <w:szCs w:val="22"/>
          <w:lang w:val="sr-Latn-ME"/>
        </w:rPr>
        <w:t>-</w:t>
      </w:r>
      <w:r w:rsidRPr="00840456">
        <w:rPr>
          <w:sz w:val="22"/>
          <w:szCs w:val="22"/>
          <w:lang w:val="sr-Latn-ME"/>
        </w:rPr>
        <w:t>slijepim kontrolisanim kliničkim ispitivanjima, gdje je bila dozvoljena istovremena primjena etanercepta i metotreksata, učestalost (kumulativna incidenca) povećanja koncentracije enzima jetre, kao neželjenih događaja, iznosila je 4,18% (česta učestalost).</w:t>
      </w:r>
    </w:p>
    <w:p w14:paraId="5BAC7B10" w14:textId="77777777" w:rsidR="005A7F10" w:rsidRPr="00840456" w:rsidRDefault="005A7F10" w:rsidP="005A7F10">
      <w:pPr>
        <w:tabs>
          <w:tab w:val="left" w:pos="0"/>
        </w:tabs>
        <w:jc w:val="both"/>
        <w:rPr>
          <w:sz w:val="22"/>
          <w:szCs w:val="22"/>
          <w:lang w:val="sr-Latn-ME"/>
        </w:rPr>
      </w:pPr>
    </w:p>
    <w:p w14:paraId="02FA0608" w14:textId="77777777" w:rsidR="005A7F10" w:rsidRPr="00840456" w:rsidRDefault="005A7F10" w:rsidP="005A7F10">
      <w:pPr>
        <w:tabs>
          <w:tab w:val="left" w:pos="0"/>
        </w:tabs>
        <w:jc w:val="both"/>
        <w:rPr>
          <w:i/>
          <w:sz w:val="22"/>
          <w:szCs w:val="22"/>
          <w:lang w:val="sr-Latn-ME"/>
        </w:rPr>
      </w:pPr>
      <w:r w:rsidRPr="00840456">
        <w:rPr>
          <w:i/>
          <w:sz w:val="22"/>
          <w:szCs w:val="22"/>
          <w:lang w:val="sr-Latn-ME"/>
        </w:rPr>
        <w:t>Autoimuni hepatitis</w:t>
      </w:r>
    </w:p>
    <w:p w14:paraId="68AC46E2" w14:textId="4BDEF175" w:rsidR="005A7F10" w:rsidRPr="00840456" w:rsidRDefault="005A7F10" w:rsidP="00815D34">
      <w:pPr>
        <w:tabs>
          <w:tab w:val="left" w:pos="0"/>
        </w:tabs>
        <w:jc w:val="both"/>
        <w:rPr>
          <w:sz w:val="22"/>
          <w:szCs w:val="22"/>
          <w:lang w:val="sr-Latn-ME"/>
        </w:rPr>
      </w:pPr>
      <w:r w:rsidRPr="00840456">
        <w:rPr>
          <w:sz w:val="22"/>
          <w:szCs w:val="22"/>
          <w:lang w:val="sr-Latn-ME"/>
        </w:rPr>
        <w:lastRenderedPageBreak/>
        <w:t>U kontrolisanim kliničkim ispitivanjima sa etanerceptom u svim indikacijama, učestalost (proporcionalno incidenci) autoimunog hepatitisa kod pacijenata koji su primali etanercept bez istovremene primjene metotrekstata iznosila je 0,02% (učestalost rijetka). U kontrolisanim kliničkim ispitivanjima gdje je bila dozvoljena istovremena primjena etanercepta i metotreksata, učestalost (proporcionalno incidenci) autoimunog hepatitisa iznosila je 0,24% (učestalost povremena).</w:t>
      </w:r>
    </w:p>
    <w:p w14:paraId="34283321" w14:textId="77777777" w:rsidR="005A7F10" w:rsidRPr="00840456" w:rsidRDefault="005A7F10" w:rsidP="005A7F10">
      <w:pPr>
        <w:widowControl w:val="0"/>
        <w:autoSpaceDE w:val="0"/>
        <w:autoSpaceDN w:val="0"/>
        <w:adjustRightInd w:val="0"/>
        <w:jc w:val="both"/>
        <w:rPr>
          <w:i/>
          <w:color w:val="000000"/>
          <w:sz w:val="22"/>
          <w:szCs w:val="22"/>
          <w:lang w:val="sr-Latn-ME"/>
        </w:rPr>
      </w:pPr>
    </w:p>
    <w:p w14:paraId="053E4977" w14:textId="77777777" w:rsidR="005A7F10" w:rsidRPr="00840456" w:rsidRDefault="005A7F10" w:rsidP="005A7F10">
      <w:pPr>
        <w:widowControl w:val="0"/>
        <w:autoSpaceDE w:val="0"/>
        <w:autoSpaceDN w:val="0"/>
        <w:adjustRightInd w:val="0"/>
        <w:jc w:val="both"/>
        <w:rPr>
          <w:sz w:val="22"/>
          <w:szCs w:val="22"/>
          <w:u w:val="single"/>
          <w:lang w:val="sr-Latn-ME"/>
        </w:rPr>
      </w:pPr>
      <w:r w:rsidRPr="00840456">
        <w:rPr>
          <w:color w:val="000000"/>
          <w:sz w:val="22"/>
          <w:szCs w:val="22"/>
          <w:u w:val="single"/>
          <w:lang w:val="sr-Latn-ME"/>
        </w:rPr>
        <w:t>Pedijatrijska populacija</w:t>
      </w:r>
    </w:p>
    <w:p w14:paraId="419510DA" w14:textId="77777777" w:rsidR="005A7F10" w:rsidRPr="00840456" w:rsidRDefault="005A7F10" w:rsidP="005A7F10">
      <w:pPr>
        <w:widowControl w:val="0"/>
        <w:autoSpaceDE w:val="0"/>
        <w:autoSpaceDN w:val="0"/>
        <w:adjustRightInd w:val="0"/>
        <w:jc w:val="both"/>
        <w:rPr>
          <w:sz w:val="22"/>
          <w:szCs w:val="22"/>
          <w:lang w:val="sr-Latn-ME"/>
        </w:rPr>
      </w:pPr>
    </w:p>
    <w:p w14:paraId="39935065" w14:textId="42E1FD0E" w:rsidR="005A7F10" w:rsidRPr="00840456" w:rsidRDefault="005A7F10" w:rsidP="00815D34">
      <w:pPr>
        <w:widowControl w:val="0"/>
        <w:autoSpaceDE w:val="0"/>
        <w:autoSpaceDN w:val="0"/>
        <w:adjustRightInd w:val="0"/>
        <w:jc w:val="both"/>
        <w:rPr>
          <w:sz w:val="22"/>
          <w:szCs w:val="22"/>
          <w:lang w:val="sr-Latn-ME"/>
        </w:rPr>
      </w:pPr>
      <w:r w:rsidRPr="00840456">
        <w:rPr>
          <w:i/>
          <w:color w:val="000000"/>
          <w:sz w:val="22"/>
          <w:szCs w:val="22"/>
          <w:lang w:val="sr-Latn-ME"/>
        </w:rPr>
        <w:t>Neželjena dejstva kod pedijatrijskih pacijenata sa juvenilnim idiopatskim artritisom</w:t>
      </w:r>
    </w:p>
    <w:p w14:paraId="638010A6" w14:textId="77777777" w:rsidR="005A7F10" w:rsidRPr="00840456" w:rsidRDefault="005A7F10" w:rsidP="005A7F10">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Uglavnom, neželjena dejstva kod pedijatrijskih pacijenata sa juvenilnim idiopatskim artritisom slična su po učestalosti i vrsti onima kod odraslih pacijenata. Razlike u odnosu na reakcije odraslih i druge pojedinosti koje se moraju uzeti u obzir date su u sljedećem tekstu.</w:t>
      </w:r>
    </w:p>
    <w:p w14:paraId="430BA7F7" w14:textId="77777777" w:rsidR="005A7F10" w:rsidRPr="00840456" w:rsidRDefault="005A7F10" w:rsidP="005A7F10">
      <w:pPr>
        <w:widowControl w:val="0"/>
        <w:autoSpaceDE w:val="0"/>
        <w:autoSpaceDN w:val="0"/>
        <w:adjustRightInd w:val="0"/>
        <w:spacing w:line="214" w:lineRule="exact"/>
        <w:jc w:val="both"/>
        <w:rPr>
          <w:sz w:val="22"/>
          <w:szCs w:val="22"/>
          <w:lang w:val="sr-Latn-ME"/>
        </w:rPr>
      </w:pPr>
    </w:p>
    <w:p w14:paraId="31378BA5" w14:textId="68A8FD6C" w:rsidR="005A7F10" w:rsidRPr="00840456" w:rsidRDefault="005A7F10" w:rsidP="005A7F10">
      <w:pPr>
        <w:widowControl w:val="0"/>
        <w:overflowPunct w:val="0"/>
        <w:autoSpaceDE w:val="0"/>
        <w:autoSpaceDN w:val="0"/>
        <w:adjustRightInd w:val="0"/>
        <w:spacing w:line="253" w:lineRule="auto"/>
        <w:jc w:val="both"/>
        <w:rPr>
          <w:sz w:val="22"/>
          <w:szCs w:val="22"/>
          <w:lang w:val="sr-Latn-ME"/>
        </w:rPr>
      </w:pPr>
      <w:r w:rsidRPr="00840456">
        <w:rPr>
          <w:color w:val="000000"/>
          <w:sz w:val="22"/>
          <w:szCs w:val="22"/>
          <w:lang w:val="sr-Latn-ME"/>
        </w:rPr>
        <w:t>Infekcije koje su se javljale tokom kliničkih studija kod pacijenata sa juvenilnim idiopatskim artritisom uzrasta od 2 do 18 godina, uglavnom su bile blage do umjerene i po vrsti tipične za pedijatrijsku populaciju. Prijavljene su sljedeće teške neželjene reakcije: varičela sa znacima i simptomima aseptičnog meningitisa koje su izliječene bez posljedica (vidjeti</w:t>
      </w:r>
      <w:r w:rsidR="008D5C47" w:rsidRPr="00840456">
        <w:rPr>
          <w:color w:val="000000"/>
          <w:sz w:val="22"/>
          <w:szCs w:val="22"/>
          <w:lang w:val="sr-Latn-ME"/>
        </w:rPr>
        <w:t xml:space="preserve"> dio</w:t>
      </w:r>
      <w:r w:rsidRPr="00840456">
        <w:rPr>
          <w:color w:val="000000"/>
          <w:sz w:val="22"/>
          <w:szCs w:val="22"/>
          <w:lang w:val="sr-Latn-ME"/>
        </w:rPr>
        <w:t xml:space="preserve"> 4.4), apendicitis, gastroenteritis, depresija/poremećaj ličnosti, kutane ulceracije, ezofagitis/gastritis, septički šok uzrokovan streptokokama grupe A, diabetes mellitus tipa I i infekcije mekih tkiva i postoperativnih rana.</w:t>
      </w:r>
    </w:p>
    <w:p w14:paraId="3AF4F569" w14:textId="77777777" w:rsidR="005A7F10" w:rsidRPr="00840456" w:rsidRDefault="005A7F10" w:rsidP="005A7F10">
      <w:pPr>
        <w:widowControl w:val="0"/>
        <w:autoSpaceDE w:val="0"/>
        <w:autoSpaceDN w:val="0"/>
        <w:adjustRightInd w:val="0"/>
        <w:spacing w:line="214" w:lineRule="exact"/>
        <w:jc w:val="both"/>
        <w:rPr>
          <w:sz w:val="22"/>
          <w:szCs w:val="22"/>
          <w:lang w:val="sr-Latn-ME"/>
        </w:rPr>
      </w:pPr>
    </w:p>
    <w:p w14:paraId="62778706" w14:textId="360F1212" w:rsidR="005A7F10" w:rsidRPr="00840456" w:rsidRDefault="005A7F10" w:rsidP="005A7F10">
      <w:pPr>
        <w:pStyle w:val="Header"/>
        <w:tabs>
          <w:tab w:val="left" w:pos="284"/>
        </w:tabs>
        <w:spacing w:before="80" w:after="80"/>
        <w:jc w:val="both"/>
        <w:rPr>
          <w:color w:val="000000"/>
          <w:sz w:val="22"/>
          <w:szCs w:val="22"/>
          <w:lang w:val="sr-Latn-ME"/>
        </w:rPr>
      </w:pPr>
      <w:r w:rsidRPr="00840456">
        <w:rPr>
          <w:color w:val="000000"/>
          <w:sz w:val="22"/>
          <w:szCs w:val="22"/>
          <w:lang w:val="sr-Latn-ME"/>
        </w:rPr>
        <w:t xml:space="preserve">Od šezdesetdevetoro djece uzrasta  4 – 17 godina, oboljele od juvenilnog idiopatskog artritisa, koja su primala lijek Enbrel tokom tromjesečne studije (dio I - otvorena studija), kod 43 od 69 djece (62%) došlo je do razvoja infekcija, a učestalost i ozbiljnost infekcija slični su kao kod 58 pacijenata koji su učestvovali u 12-mjesečnoj otvorenoj, produženoj studiji. Vrsta i procenat neželjenih reakcija kod pacijenata sa juvenilnim idiopatskim artritisom slične su onima zabilježenim prilikom ispitivanja lijeka Enbrel na odraslim pacijenatima sa reumatoidnim artritisom i uglavnom su blage. Neke teške neželjene reakcije ipak su češće prijavljivane kod 69 pacijenata sa juvenilnim idiopatskim artritisom liječenih tokom 3 mjeseca lijekom Enbrel nego što je bio slučaj kod 349 odraslih pacijenata sa reumatoidnim artritisom, a tu spadaju: glavobolja (19%, 1,7 reakcija na pacijent godinu), mučnina (9%, 1,0 reakcija na pacijent godinu), abdominalni bol (19%, 0,74 reakcija na pacijent godinu) i povraćanje (13%, 0,74 reakcija na pacijent godinu). </w:t>
      </w:r>
    </w:p>
    <w:p w14:paraId="1E83CEC4" w14:textId="77777777" w:rsidR="005A7F10" w:rsidRPr="00840456" w:rsidRDefault="005A7F10" w:rsidP="005A7F10">
      <w:pPr>
        <w:pStyle w:val="Header"/>
        <w:tabs>
          <w:tab w:val="left" w:pos="284"/>
        </w:tabs>
        <w:spacing w:before="80" w:after="80"/>
        <w:jc w:val="both"/>
        <w:rPr>
          <w:color w:val="000000"/>
          <w:sz w:val="22"/>
          <w:szCs w:val="22"/>
          <w:lang w:val="sr-Latn-ME"/>
        </w:rPr>
      </w:pPr>
    </w:p>
    <w:p w14:paraId="41A00A06" w14:textId="77777777" w:rsidR="005A7F10" w:rsidRPr="00840456" w:rsidRDefault="005A7F10" w:rsidP="005A7F10">
      <w:pPr>
        <w:widowControl w:val="0"/>
        <w:overflowPunct w:val="0"/>
        <w:autoSpaceDE w:val="0"/>
        <w:autoSpaceDN w:val="0"/>
        <w:adjustRightInd w:val="0"/>
        <w:spacing w:line="262" w:lineRule="auto"/>
        <w:jc w:val="both"/>
        <w:rPr>
          <w:sz w:val="22"/>
          <w:szCs w:val="22"/>
          <w:lang w:val="sr-Latn-ME"/>
        </w:rPr>
      </w:pPr>
      <w:r w:rsidRPr="00840456">
        <w:rPr>
          <w:color w:val="000000"/>
          <w:sz w:val="22"/>
          <w:szCs w:val="22"/>
          <w:lang w:val="sr-Latn-ME"/>
        </w:rPr>
        <w:t>Prijavljena su 4 slučaja makrofagnog aktivacionog sindroma u kliničkim ispitivanjima juvenilnog idiopatskog artritisa.</w:t>
      </w:r>
    </w:p>
    <w:p w14:paraId="1B62C4D7" w14:textId="5B36EEF4" w:rsidR="005A7F10" w:rsidRPr="00840456" w:rsidRDefault="005A7F10" w:rsidP="005A7F10">
      <w:pPr>
        <w:widowControl w:val="0"/>
        <w:autoSpaceDE w:val="0"/>
        <w:autoSpaceDN w:val="0"/>
        <w:adjustRightInd w:val="0"/>
        <w:spacing w:line="220" w:lineRule="exact"/>
        <w:jc w:val="both"/>
        <w:rPr>
          <w:sz w:val="22"/>
          <w:szCs w:val="22"/>
          <w:lang w:val="sr-Latn-ME"/>
        </w:rPr>
      </w:pPr>
    </w:p>
    <w:p w14:paraId="3726213B" w14:textId="77777777" w:rsidR="005A7F10" w:rsidRPr="00840456" w:rsidRDefault="005A7F10" w:rsidP="005A7F10">
      <w:pPr>
        <w:widowControl w:val="0"/>
        <w:autoSpaceDE w:val="0"/>
        <w:autoSpaceDN w:val="0"/>
        <w:adjustRightInd w:val="0"/>
        <w:jc w:val="both"/>
        <w:rPr>
          <w:i/>
          <w:sz w:val="22"/>
          <w:szCs w:val="22"/>
          <w:lang w:val="sr-Latn-ME"/>
        </w:rPr>
      </w:pPr>
      <w:r w:rsidRPr="00840456">
        <w:rPr>
          <w:i/>
          <w:color w:val="000000"/>
          <w:sz w:val="22"/>
          <w:szCs w:val="22"/>
          <w:lang w:val="sr-Latn-ME"/>
        </w:rPr>
        <w:t>Neželjene reakcije kod pedijatrijskih pacijenata sa plak psorijazom</w:t>
      </w:r>
    </w:p>
    <w:p w14:paraId="4CD5A5F5" w14:textId="77777777" w:rsidR="005A7F10" w:rsidRPr="00840456" w:rsidRDefault="005A7F10" w:rsidP="00815D34">
      <w:pPr>
        <w:pStyle w:val="Header"/>
        <w:tabs>
          <w:tab w:val="left" w:pos="284"/>
        </w:tabs>
        <w:spacing w:after="80"/>
        <w:jc w:val="both"/>
        <w:rPr>
          <w:color w:val="000000"/>
          <w:sz w:val="22"/>
          <w:szCs w:val="22"/>
          <w:lang w:val="sr-Latn-ME"/>
        </w:rPr>
      </w:pPr>
      <w:r w:rsidRPr="00840456">
        <w:rPr>
          <w:color w:val="000000"/>
          <w:sz w:val="22"/>
          <w:szCs w:val="22"/>
          <w:lang w:val="sr-Latn-ME"/>
        </w:rPr>
        <w:t xml:space="preserve">U studiji koja je trajala 48 nedjelja u kojoj je bilo uključeno 211 djece starosti od 4 do 17 godina sa plak psorijazom, prijavljene neželjene reakcije su bile slične onima viđenim u prethodnim studijama kod odraslih sa plak psorijazom. </w:t>
      </w:r>
    </w:p>
    <w:p w14:paraId="533A0AC8" w14:textId="77777777" w:rsidR="005A7F10" w:rsidRPr="00840456" w:rsidRDefault="005A7F10" w:rsidP="00480FB1">
      <w:pPr>
        <w:tabs>
          <w:tab w:val="left" w:pos="540"/>
          <w:tab w:val="left" w:pos="569"/>
        </w:tabs>
        <w:rPr>
          <w:b/>
          <w:bCs/>
          <w:sz w:val="22"/>
          <w:szCs w:val="22"/>
          <w:lang w:val="sr-Latn-ME"/>
        </w:rPr>
      </w:pPr>
    </w:p>
    <w:p w14:paraId="6AF8E98D" w14:textId="77777777" w:rsidR="005A23D2" w:rsidRPr="00840456" w:rsidRDefault="005A23D2" w:rsidP="00A46C9A">
      <w:pPr>
        <w:spacing w:after="200" w:line="276" w:lineRule="auto"/>
        <w:rPr>
          <w:rFonts w:eastAsia="Calibri"/>
          <w:sz w:val="22"/>
          <w:szCs w:val="22"/>
          <w:u w:val="single"/>
          <w:lang w:val="sr-Latn-ME"/>
        </w:rPr>
      </w:pPr>
      <w:r w:rsidRPr="00840456">
        <w:rPr>
          <w:rFonts w:eastAsia="Calibri"/>
          <w:sz w:val="22"/>
          <w:szCs w:val="22"/>
          <w:u w:val="single"/>
          <w:lang w:val="sr-Latn-ME"/>
        </w:rPr>
        <w:t>Prijavljivanje sumnji na neželjena dejstva</w:t>
      </w:r>
    </w:p>
    <w:p w14:paraId="6A24B4F7" w14:textId="77777777" w:rsidR="005A23D2" w:rsidRPr="00840456" w:rsidRDefault="005A23D2" w:rsidP="00A46C9A">
      <w:pPr>
        <w:spacing w:after="200"/>
        <w:jc w:val="both"/>
        <w:rPr>
          <w:rFonts w:eastAsia="Calibri"/>
          <w:sz w:val="22"/>
          <w:szCs w:val="22"/>
          <w:lang w:val="sr-Latn-ME"/>
        </w:rPr>
      </w:pPr>
      <w:r w:rsidRPr="00840456">
        <w:rPr>
          <w:rFonts w:eastAsia="Calibri"/>
          <w:sz w:val="22"/>
          <w:szCs w:val="22"/>
          <w:lang w:val="sr-Latn-ME"/>
        </w:rPr>
        <w:t>Prijavljivanje neželjenih dejstava nakon dobijanja dozvole je od velikog značaja jer obezbjeđuje kont</w:t>
      </w:r>
      <w:r w:rsidR="00EA5765" w:rsidRPr="00840456">
        <w:rPr>
          <w:rFonts w:eastAsia="Calibri"/>
          <w:sz w:val="22"/>
          <w:szCs w:val="22"/>
          <w:lang w:val="sr-Latn-ME"/>
        </w:rPr>
        <w:t>inuirano praćenje odnosa korist</w:t>
      </w:r>
      <w:r w:rsidRPr="00840456">
        <w:rPr>
          <w:rFonts w:eastAsia="Calibri"/>
          <w:sz w:val="22"/>
          <w:szCs w:val="22"/>
          <w:lang w:val="sr-Latn-ME"/>
        </w:rPr>
        <w:t>/rizik primjene lijeka. Zdravstveni radnici treba da prijave svaku sumnju na neželjeno</w:t>
      </w:r>
      <w:r w:rsidR="009B062A" w:rsidRPr="00840456">
        <w:rPr>
          <w:rFonts w:eastAsia="Calibri"/>
          <w:sz w:val="22"/>
          <w:szCs w:val="22"/>
          <w:lang w:val="sr-Latn-ME"/>
        </w:rPr>
        <w:t xml:space="preserve"> </w:t>
      </w:r>
      <w:r w:rsidRPr="00840456">
        <w:rPr>
          <w:rFonts w:eastAsia="Calibri"/>
          <w:sz w:val="22"/>
          <w:szCs w:val="22"/>
          <w:lang w:val="sr-Latn-ME"/>
        </w:rPr>
        <w:t xml:space="preserve">dejstvo ovog lijeka </w:t>
      </w:r>
      <w:r w:rsidR="004E70AD" w:rsidRPr="00840456">
        <w:rPr>
          <w:rFonts w:eastAsia="Calibri"/>
          <w:sz w:val="22"/>
          <w:szCs w:val="22"/>
          <w:lang w:val="sr-Latn-ME"/>
        </w:rPr>
        <w:t>Institutu</w:t>
      </w:r>
      <w:r w:rsidRPr="00840456">
        <w:rPr>
          <w:rFonts w:eastAsia="Calibri"/>
          <w:sz w:val="22"/>
          <w:szCs w:val="22"/>
          <w:lang w:val="sr-Latn-ME"/>
        </w:rPr>
        <w:t xml:space="preserve"> za ljekove i medicinska sredstva</w:t>
      </w:r>
      <w:r w:rsidR="004E70AD" w:rsidRPr="00840456">
        <w:rPr>
          <w:rFonts w:eastAsia="Calibri"/>
          <w:sz w:val="22"/>
          <w:szCs w:val="22"/>
          <w:lang w:val="sr-Latn-ME"/>
        </w:rPr>
        <w:t xml:space="preserve"> </w:t>
      </w:r>
      <w:r w:rsidRPr="00840456">
        <w:rPr>
          <w:rFonts w:eastAsia="Calibri"/>
          <w:sz w:val="22"/>
          <w:szCs w:val="22"/>
          <w:lang w:val="sr-Latn-ME"/>
        </w:rPr>
        <w:t>(</w:t>
      </w:r>
      <w:r w:rsidR="004E70AD" w:rsidRPr="00840456">
        <w:rPr>
          <w:rFonts w:eastAsia="Calibri"/>
          <w:sz w:val="22"/>
          <w:szCs w:val="22"/>
          <w:lang w:val="sr-Latn-ME"/>
        </w:rPr>
        <w:t>CInMED</w:t>
      </w:r>
      <w:r w:rsidRPr="00840456">
        <w:rPr>
          <w:rFonts w:eastAsia="Calibri"/>
          <w:sz w:val="22"/>
          <w:szCs w:val="22"/>
          <w:lang w:val="sr-Latn-ME"/>
        </w:rPr>
        <w:t>):</w:t>
      </w:r>
    </w:p>
    <w:p w14:paraId="1D3F538E" w14:textId="77777777" w:rsidR="005A23D2" w:rsidRPr="00840456" w:rsidRDefault="004E70AD" w:rsidP="00A46C9A">
      <w:pPr>
        <w:pStyle w:val="NoSpacing"/>
        <w:jc w:val="both"/>
        <w:rPr>
          <w:rFonts w:eastAsia="Calibri"/>
          <w:sz w:val="22"/>
          <w:szCs w:val="22"/>
          <w:lang w:val="sr-Latn-ME"/>
        </w:rPr>
      </w:pPr>
      <w:r w:rsidRPr="00840456">
        <w:rPr>
          <w:rFonts w:eastAsia="Calibri"/>
          <w:sz w:val="22"/>
          <w:szCs w:val="22"/>
          <w:lang w:val="sr-Latn-ME"/>
        </w:rPr>
        <w:t xml:space="preserve">Institut </w:t>
      </w:r>
      <w:r w:rsidR="005A23D2" w:rsidRPr="00840456">
        <w:rPr>
          <w:rFonts w:eastAsia="Calibri"/>
          <w:sz w:val="22"/>
          <w:szCs w:val="22"/>
          <w:lang w:val="sr-Latn-ME"/>
        </w:rPr>
        <w:t xml:space="preserve">za ljekove i medicinska sredstva </w:t>
      </w:r>
    </w:p>
    <w:p w14:paraId="217530AD" w14:textId="77777777" w:rsidR="005A23D2" w:rsidRPr="00840456" w:rsidRDefault="005A23D2" w:rsidP="00A46C9A">
      <w:pPr>
        <w:pStyle w:val="NoSpacing"/>
        <w:jc w:val="both"/>
        <w:rPr>
          <w:rFonts w:eastAsia="Calibri"/>
          <w:sz w:val="22"/>
          <w:szCs w:val="22"/>
          <w:lang w:val="sr-Latn-ME"/>
        </w:rPr>
      </w:pPr>
      <w:r w:rsidRPr="00840456">
        <w:rPr>
          <w:rFonts w:eastAsia="Calibri"/>
          <w:sz w:val="22"/>
          <w:szCs w:val="22"/>
          <w:lang w:val="sr-Latn-ME"/>
        </w:rPr>
        <w:t>Odjeljenje za farmakovigilancu</w:t>
      </w:r>
    </w:p>
    <w:p w14:paraId="27D91845" w14:textId="77777777" w:rsidR="00EA5765" w:rsidRPr="00840456" w:rsidRDefault="005A23D2" w:rsidP="00A46C9A">
      <w:pPr>
        <w:pStyle w:val="NoSpacing"/>
        <w:jc w:val="both"/>
        <w:rPr>
          <w:rFonts w:eastAsia="Calibri"/>
          <w:sz w:val="22"/>
          <w:szCs w:val="22"/>
          <w:lang w:val="sr-Latn-ME"/>
        </w:rPr>
      </w:pPr>
      <w:r w:rsidRPr="00840456">
        <w:rPr>
          <w:rFonts w:eastAsia="Calibri"/>
          <w:sz w:val="22"/>
          <w:szCs w:val="22"/>
          <w:lang w:val="sr-Latn-ME"/>
        </w:rPr>
        <w:t>Bulevar Ivana Crnojevića 64a, 81000 Podgorica</w:t>
      </w:r>
    </w:p>
    <w:p w14:paraId="4E84C41D" w14:textId="77777777" w:rsidR="00EA5765" w:rsidRPr="00840456" w:rsidRDefault="00EA5765" w:rsidP="00A46C9A">
      <w:pPr>
        <w:pStyle w:val="NoSpacing"/>
        <w:rPr>
          <w:rFonts w:eastAsia="Calibri"/>
          <w:sz w:val="22"/>
          <w:szCs w:val="22"/>
          <w:lang w:val="sr-Latn-ME"/>
        </w:rPr>
      </w:pPr>
    </w:p>
    <w:p w14:paraId="56647D73" w14:textId="77777777" w:rsidR="005A23D2" w:rsidRPr="00840456" w:rsidRDefault="005A23D2" w:rsidP="00A46C9A">
      <w:pPr>
        <w:pStyle w:val="NoSpacing"/>
        <w:jc w:val="both"/>
        <w:rPr>
          <w:rFonts w:eastAsia="Calibri"/>
          <w:sz w:val="22"/>
          <w:szCs w:val="22"/>
          <w:lang w:val="sr-Latn-ME"/>
        </w:rPr>
      </w:pPr>
      <w:r w:rsidRPr="00840456">
        <w:rPr>
          <w:rFonts w:eastAsia="Calibri"/>
          <w:sz w:val="22"/>
          <w:szCs w:val="22"/>
          <w:lang w:val="sr-Latn-ME"/>
        </w:rPr>
        <w:t>tel: +382 (0) 20 310 280</w:t>
      </w:r>
    </w:p>
    <w:p w14:paraId="682D9AB6" w14:textId="77777777" w:rsidR="00EA5765" w:rsidRPr="00840456" w:rsidRDefault="005A23D2" w:rsidP="00FF3EDF">
      <w:pPr>
        <w:pStyle w:val="NoSpacing"/>
        <w:tabs>
          <w:tab w:val="left" w:pos="6720"/>
        </w:tabs>
        <w:jc w:val="both"/>
        <w:rPr>
          <w:rFonts w:eastAsia="Calibri"/>
          <w:sz w:val="22"/>
          <w:szCs w:val="22"/>
          <w:lang w:val="sr-Latn-ME"/>
        </w:rPr>
      </w:pPr>
      <w:r w:rsidRPr="00840456">
        <w:rPr>
          <w:rFonts w:eastAsia="Calibri"/>
          <w:sz w:val="22"/>
          <w:szCs w:val="22"/>
          <w:lang w:val="sr-Latn-ME"/>
        </w:rPr>
        <w:t>fax:</w:t>
      </w:r>
      <w:r w:rsidR="00EA5765" w:rsidRPr="00840456">
        <w:rPr>
          <w:rFonts w:eastAsia="Calibri"/>
          <w:sz w:val="22"/>
          <w:szCs w:val="22"/>
          <w:lang w:val="sr-Latn-ME"/>
        </w:rPr>
        <w:t xml:space="preserve"> </w:t>
      </w:r>
      <w:r w:rsidRPr="00840456">
        <w:rPr>
          <w:rFonts w:eastAsia="Calibri"/>
          <w:sz w:val="22"/>
          <w:szCs w:val="22"/>
          <w:lang w:val="sr-Latn-ME"/>
        </w:rPr>
        <w:t>+382 (0) 20 310 581</w:t>
      </w:r>
      <w:r w:rsidR="00FF3EDF" w:rsidRPr="00840456">
        <w:rPr>
          <w:rFonts w:eastAsia="Calibri"/>
          <w:sz w:val="22"/>
          <w:szCs w:val="22"/>
          <w:lang w:val="sr-Latn-ME"/>
        </w:rPr>
        <w:tab/>
      </w:r>
    </w:p>
    <w:p w14:paraId="38953493" w14:textId="77777777" w:rsidR="005A23D2" w:rsidRPr="00840456" w:rsidRDefault="00840456" w:rsidP="00A46C9A">
      <w:pPr>
        <w:pStyle w:val="NoSpacing"/>
        <w:jc w:val="both"/>
        <w:rPr>
          <w:rFonts w:eastAsia="Calibri"/>
          <w:sz w:val="22"/>
          <w:szCs w:val="22"/>
          <w:lang w:val="sr-Latn-ME"/>
        </w:rPr>
      </w:pPr>
      <w:hyperlink r:id="rId8" w:history="1">
        <w:r w:rsidR="004E70AD" w:rsidRPr="00840456">
          <w:rPr>
            <w:rStyle w:val="Hyperlink"/>
            <w:rFonts w:eastAsia="Calibri"/>
            <w:sz w:val="22"/>
            <w:szCs w:val="22"/>
            <w:lang w:val="sr-Latn-ME"/>
          </w:rPr>
          <w:t>www.cinmed.me</w:t>
        </w:r>
      </w:hyperlink>
    </w:p>
    <w:p w14:paraId="4F0EB9ED" w14:textId="77777777" w:rsidR="00EA5765" w:rsidRPr="00840456" w:rsidRDefault="00840456" w:rsidP="00A46C9A">
      <w:pPr>
        <w:pStyle w:val="NoSpacing"/>
        <w:jc w:val="both"/>
        <w:rPr>
          <w:rFonts w:eastAsia="Calibri"/>
          <w:color w:val="0000FF"/>
          <w:sz w:val="22"/>
          <w:szCs w:val="22"/>
          <w:u w:val="single"/>
          <w:lang w:val="sr-Latn-ME"/>
        </w:rPr>
      </w:pPr>
      <w:hyperlink r:id="rId9" w:history="1">
        <w:r w:rsidR="004E70AD" w:rsidRPr="00840456">
          <w:rPr>
            <w:rStyle w:val="Hyperlink"/>
            <w:rFonts w:eastAsia="Calibri"/>
            <w:sz w:val="22"/>
            <w:szCs w:val="22"/>
            <w:lang w:val="sr-Latn-ME"/>
          </w:rPr>
          <w:t>nezeljenadejstva@cinmed.me</w:t>
        </w:r>
      </w:hyperlink>
    </w:p>
    <w:p w14:paraId="02FFA0BA" w14:textId="77777777" w:rsidR="005A23D2" w:rsidRPr="00840456" w:rsidRDefault="005A23D2" w:rsidP="00A46C9A">
      <w:pPr>
        <w:pStyle w:val="NoSpacing"/>
        <w:jc w:val="both"/>
        <w:rPr>
          <w:rFonts w:eastAsia="Calibri"/>
          <w:sz w:val="22"/>
          <w:szCs w:val="22"/>
          <w:lang w:val="sr-Latn-ME"/>
        </w:rPr>
      </w:pPr>
      <w:r w:rsidRPr="00840456">
        <w:rPr>
          <w:rFonts w:eastAsia="Calibri"/>
          <w:sz w:val="22"/>
          <w:szCs w:val="22"/>
          <w:lang w:val="sr-Latn-ME"/>
        </w:rPr>
        <w:t>putem IS zdravstvene zaštite</w:t>
      </w:r>
    </w:p>
    <w:p w14:paraId="23C5BB11" w14:textId="77777777" w:rsidR="007E31E9" w:rsidRPr="00840456" w:rsidRDefault="007E31E9" w:rsidP="00A46C9A">
      <w:pPr>
        <w:pStyle w:val="NoSpacing"/>
        <w:jc w:val="both"/>
        <w:rPr>
          <w:rFonts w:eastAsia="Calibri"/>
          <w:sz w:val="22"/>
          <w:szCs w:val="22"/>
          <w:lang w:val="sr-Latn-ME"/>
        </w:rPr>
      </w:pPr>
      <w:r w:rsidRPr="00840456">
        <w:rPr>
          <w:rFonts w:eastAsia="Calibri"/>
          <w:sz w:val="22"/>
          <w:szCs w:val="22"/>
          <w:lang w:val="sr-Latn-ME"/>
        </w:rPr>
        <w:t>QR kod za online prijavu</w:t>
      </w:r>
      <w:r w:rsidR="00D74CD2" w:rsidRPr="00840456">
        <w:rPr>
          <w:rFonts w:eastAsia="Calibri"/>
          <w:sz w:val="22"/>
          <w:szCs w:val="22"/>
          <w:lang w:val="sr-Latn-ME"/>
        </w:rPr>
        <w:t xml:space="preserve"> sumnje na neželjeno dejstvo lijeka</w:t>
      </w:r>
      <w:r w:rsidRPr="00840456">
        <w:rPr>
          <w:rFonts w:eastAsia="Calibri"/>
          <w:sz w:val="22"/>
          <w:szCs w:val="22"/>
          <w:lang w:val="sr-Latn-ME"/>
        </w:rPr>
        <w:t>:</w:t>
      </w:r>
    </w:p>
    <w:p w14:paraId="73A63731" w14:textId="027E122D" w:rsidR="007E31E9" w:rsidRPr="00840456" w:rsidRDefault="000E2FBF" w:rsidP="00A46C9A">
      <w:pPr>
        <w:pStyle w:val="NoSpacing"/>
        <w:jc w:val="both"/>
        <w:rPr>
          <w:rFonts w:eastAsia="Calibri"/>
          <w:sz w:val="22"/>
          <w:szCs w:val="22"/>
          <w:lang w:val="sr-Latn-ME"/>
        </w:rPr>
      </w:pPr>
      <w:r w:rsidRPr="00840456">
        <w:rPr>
          <w:noProof/>
          <w:sz w:val="22"/>
          <w:szCs w:val="22"/>
          <w:lang w:val="sr-Latn-ME"/>
        </w:rPr>
        <w:lastRenderedPageBreak/>
        <w:drawing>
          <wp:inline distT="0" distB="0" distL="0" distR="0" wp14:anchorId="398BEF9C" wp14:editId="6D25CFB2">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42718E8" w14:textId="6814CFC5" w:rsidR="00836B35" w:rsidRPr="00840456" w:rsidRDefault="00836B35" w:rsidP="00671053">
      <w:pPr>
        <w:pStyle w:val="NoSpacing"/>
        <w:rPr>
          <w:rFonts w:eastAsia="Calibri"/>
          <w:sz w:val="22"/>
          <w:szCs w:val="22"/>
          <w:lang w:val="sr-Latn-ME"/>
        </w:rPr>
      </w:pPr>
    </w:p>
    <w:p w14:paraId="6AF33047" w14:textId="77777777" w:rsidR="00CD6F02" w:rsidRPr="00840456" w:rsidRDefault="0072020E" w:rsidP="00815D34">
      <w:pPr>
        <w:tabs>
          <w:tab w:val="left" w:pos="540"/>
          <w:tab w:val="left" w:pos="569"/>
        </w:tabs>
        <w:jc w:val="both"/>
        <w:rPr>
          <w:b/>
          <w:bCs/>
          <w:sz w:val="22"/>
          <w:szCs w:val="22"/>
          <w:lang w:val="sr-Latn-ME"/>
        </w:rPr>
      </w:pPr>
      <w:r w:rsidRPr="00840456">
        <w:rPr>
          <w:b/>
          <w:bCs/>
          <w:sz w:val="22"/>
          <w:szCs w:val="22"/>
          <w:lang w:val="sr-Latn-ME"/>
        </w:rPr>
        <w:t xml:space="preserve">4.9. </w:t>
      </w:r>
      <w:r w:rsidR="00480FB1" w:rsidRPr="00840456">
        <w:rPr>
          <w:b/>
          <w:bCs/>
          <w:sz w:val="22"/>
          <w:szCs w:val="22"/>
          <w:lang w:val="sr-Latn-ME"/>
        </w:rPr>
        <w:tab/>
      </w:r>
      <w:r w:rsidRPr="00840456">
        <w:rPr>
          <w:b/>
          <w:bCs/>
          <w:sz w:val="22"/>
          <w:szCs w:val="22"/>
          <w:lang w:val="sr-Latn-ME"/>
        </w:rPr>
        <w:t>Predoziranje</w:t>
      </w:r>
      <w:r w:rsidR="002846DB" w:rsidRPr="00840456">
        <w:rPr>
          <w:b/>
          <w:bCs/>
          <w:sz w:val="22"/>
          <w:szCs w:val="22"/>
          <w:lang w:val="sr-Latn-ME"/>
        </w:rPr>
        <w:t xml:space="preserve"> </w:t>
      </w:r>
    </w:p>
    <w:p w14:paraId="0E90163F" w14:textId="77777777" w:rsidR="00CD6F02" w:rsidRPr="00840456" w:rsidRDefault="00CD6F02" w:rsidP="00815D34">
      <w:pPr>
        <w:tabs>
          <w:tab w:val="left" w:pos="540"/>
          <w:tab w:val="left" w:pos="569"/>
        </w:tabs>
        <w:jc w:val="both"/>
        <w:rPr>
          <w:b/>
          <w:bCs/>
          <w:sz w:val="22"/>
          <w:szCs w:val="22"/>
          <w:lang w:val="sr-Latn-ME"/>
        </w:rPr>
      </w:pPr>
    </w:p>
    <w:p w14:paraId="72398325" w14:textId="77777777" w:rsidR="005A7F10" w:rsidRPr="00840456" w:rsidRDefault="005A7F10" w:rsidP="00815D34">
      <w:pPr>
        <w:pStyle w:val="NoSpacing"/>
        <w:jc w:val="both"/>
        <w:rPr>
          <w:sz w:val="22"/>
          <w:szCs w:val="22"/>
          <w:lang w:val="sr-Latn-ME"/>
        </w:rPr>
      </w:pPr>
      <w:r w:rsidRPr="00840456">
        <w:rPr>
          <w:color w:val="000000"/>
          <w:sz w:val="22"/>
          <w:szCs w:val="22"/>
          <w:lang w:val="sr-Latn-ME"/>
        </w:rPr>
        <w:t>Tokom kliničkih ispitivanja kod pacijenata sa reumatoidnim artritisom nije primijećena toksičnost koja ograničava dozu. Najviša ispitivana doza je bila intravenska doza od 32 mg/m</w:t>
      </w:r>
      <w:r w:rsidRPr="00840456">
        <w:rPr>
          <w:color w:val="000000"/>
          <w:sz w:val="22"/>
          <w:szCs w:val="22"/>
          <w:vertAlign w:val="superscript"/>
          <w:lang w:val="sr-Latn-ME"/>
        </w:rPr>
        <w:t>2</w:t>
      </w:r>
      <w:r w:rsidRPr="00840456">
        <w:rPr>
          <w:color w:val="000000"/>
          <w:sz w:val="22"/>
          <w:szCs w:val="22"/>
          <w:lang w:val="sr-Latn-ME"/>
        </w:rPr>
        <w:t xml:space="preserve"> koju su pratile dva puta nedjeljno subkutane doze od 16 mg/m</w:t>
      </w:r>
      <w:r w:rsidRPr="00840456">
        <w:rPr>
          <w:color w:val="000000"/>
          <w:sz w:val="22"/>
          <w:szCs w:val="22"/>
          <w:vertAlign w:val="superscript"/>
          <w:lang w:val="sr-Latn-ME"/>
        </w:rPr>
        <w:t>2</w:t>
      </w:r>
      <w:r w:rsidRPr="00840456">
        <w:rPr>
          <w:color w:val="000000"/>
          <w:sz w:val="22"/>
          <w:szCs w:val="22"/>
          <w:lang w:val="sr-Latn-ME"/>
        </w:rPr>
        <w:t>. Jedan pacijent sa reumatoidnim artritisom je greškom sam sebi davao 62 mg lijeka Enbrel subkutano dva puta nedjeljno tokom 3 nedjelje, bez pojave neželjenih reakcija. Nije poznat antidot za Enbrel</w:t>
      </w:r>
      <w:r w:rsidRPr="00840456">
        <w:rPr>
          <w:sz w:val="22"/>
          <w:szCs w:val="22"/>
          <w:lang w:val="sr-Latn-ME"/>
        </w:rPr>
        <w:t>.</w:t>
      </w:r>
    </w:p>
    <w:p w14:paraId="48B22B81" w14:textId="3DFF2FC3" w:rsidR="00227BDB" w:rsidRPr="00840456" w:rsidRDefault="00227BDB" w:rsidP="00480FB1">
      <w:pPr>
        <w:tabs>
          <w:tab w:val="left" w:pos="540"/>
          <w:tab w:val="left" w:pos="569"/>
        </w:tabs>
        <w:rPr>
          <w:b/>
          <w:bCs/>
          <w:sz w:val="22"/>
          <w:szCs w:val="22"/>
          <w:lang w:val="sr-Latn-ME"/>
        </w:rPr>
      </w:pPr>
    </w:p>
    <w:p w14:paraId="6864AED0" w14:textId="77777777" w:rsidR="00671053" w:rsidRPr="00840456" w:rsidRDefault="00671053" w:rsidP="00480FB1">
      <w:pPr>
        <w:tabs>
          <w:tab w:val="left" w:pos="540"/>
          <w:tab w:val="left" w:pos="569"/>
        </w:tabs>
        <w:rPr>
          <w:b/>
          <w:bCs/>
          <w:sz w:val="22"/>
          <w:szCs w:val="22"/>
          <w:lang w:val="sr-Latn-ME"/>
        </w:rPr>
      </w:pPr>
    </w:p>
    <w:p w14:paraId="763BCBAD"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5. </w:t>
      </w:r>
      <w:r w:rsidR="00480FB1" w:rsidRPr="00840456">
        <w:rPr>
          <w:b/>
          <w:bCs/>
          <w:sz w:val="22"/>
          <w:szCs w:val="22"/>
          <w:lang w:val="sr-Latn-ME"/>
        </w:rPr>
        <w:tab/>
      </w:r>
      <w:r w:rsidRPr="00840456">
        <w:rPr>
          <w:b/>
          <w:bCs/>
          <w:sz w:val="22"/>
          <w:szCs w:val="22"/>
          <w:lang w:val="sr-Latn-ME"/>
        </w:rPr>
        <w:t>FARMAKOLOŠK</w:t>
      </w:r>
      <w:r w:rsidR="000D425A" w:rsidRPr="00840456">
        <w:rPr>
          <w:b/>
          <w:bCs/>
          <w:sz w:val="22"/>
          <w:szCs w:val="22"/>
          <w:lang w:val="sr-Latn-ME"/>
        </w:rPr>
        <w:t>I</w:t>
      </w:r>
      <w:r w:rsidRPr="00840456">
        <w:rPr>
          <w:b/>
          <w:bCs/>
          <w:sz w:val="22"/>
          <w:szCs w:val="22"/>
          <w:lang w:val="sr-Latn-ME"/>
        </w:rPr>
        <w:t xml:space="preserve"> PODACI</w:t>
      </w:r>
    </w:p>
    <w:p w14:paraId="6F01A78D" w14:textId="77777777" w:rsidR="0072020E" w:rsidRPr="00840456" w:rsidRDefault="0072020E" w:rsidP="00480FB1">
      <w:pPr>
        <w:tabs>
          <w:tab w:val="left" w:pos="540"/>
          <w:tab w:val="left" w:pos="569"/>
        </w:tabs>
        <w:rPr>
          <w:b/>
          <w:bCs/>
          <w:sz w:val="22"/>
          <w:szCs w:val="22"/>
          <w:lang w:val="sr-Latn-ME"/>
        </w:rPr>
      </w:pPr>
    </w:p>
    <w:p w14:paraId="2D85C83B"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5.1. </w:t>
      </w:r>
      <w:r w:rsidR="00480FB1" w:rsidRPr="00840456">
        <w:rPr>
          <w:b/>
          <w:bCs/>
          <w:sz w:val="22"/>
          <w:szCs w:val="22"/>
          <w:lang w:val="sr-Latn-ME"/>
        </w:rPr>
        <w:tab/>
      </w:r>
      <w:r w:rsidRPr="00840456">
        <w:rPr>
          <w:b/>
          <w:bCs/>
          <w:sz w:val="22"/>
          <w:szCs w:val="22"/>
          <w:lang w:val="sr-Latn-ME"/>
        </w:rPr>
        <w:t>Farmakodinamski podaci</w:t>
      </w:r>
      <w:r w:rsidR="003A7059" w:rsidRPr="00840456">
        <w:rPr>
          <w:b/>
          <w:bCs/>
          <w:sz w:val="22"/>
          <w:szCs w:val="22"/>
          <w:lang w:val="sr-Latn-ME"/>
        </w:rPr>
        <w:t xml:space="preserve"> </w:t>
      </w:r>
    </w:p>
    <w:p w14:paraId="005F4A97" w14:textId="77777777" w:rsidR="00F45F77" w:rsidRPr="00840456" w:rsidRDefault="00F45F77" w:rsidP="00480FB1">
      <w:pPr>
        <w:tabs>
          <w:tab w:val="left" w:pos="540"/>
          <w:tab w:val="left" w:pos="569"/>
        </w:tabs>
        <w:rPr>
          <w:b/>
          <w:bCs/>
          <w:sz w:val="22"/>
          <w:szCs w:val="22"/>
          <w:lang w:val="sr-Latn-ME"/>
        </w:rPr>
      </w:pPr>
    </w:p>
    <w:p w14:paraId="62BD3D73" w14:textId="053E0E3E" w:rsidR="0072020E" w:rsidRPr="00840456" w:rsidRDefault="0072020E" w:rsidP="00480FB1">
      <w:pPr>
        <w:tabs>
          <w:tab w:val="left" w:pos="540"/>
          <w:tab w:val="left" w:pos="569"/>
        </w:tabs>
        <w:rPr>
          <w:bCs/>
          <w:sz w:val="22"/>
          <w:szCs w:val="22"/>
          <w:lang w:val="sr-Latn-ME"/>
        </w:rPr>
      </w:pPr>
      <w:r w:rsidRPr="00840456">
        <w:rPr>
          <w:bCs/>
          <w:sz w:val="22"/>
          <w:szCs w:val="22"/>
          <w:lang w:val="sr-Latn-ME"/>
        </w:rPr>
        <w:t>Farmakoterapijska grupa:</w:t>
      </w:r>
      <w:r w:rsidR="005A7F10" w:rsidRPr="00840456">
        <w:rPr>
          <w:bCs/>
          <w:sz w:val="22"/>
          <w:szCs w:val="22"/>
          <w:lang w:val="sr-Latn-ME"/>
        </w:rPr>
        <w:t xml:space="preserve"> </w:t>
      </w:r>
      <w:r w:rsidR="005A7F10" w:rsidRPr="00840456">
        <w:rPr>
          <w:sz w:val="22"/>
          <w:szCs w:val="22"/>
          <w:lang w:val="sr-Latn-ME"/>
        </w:rPr>
        <w:t>Imunosupresivi, Inhibitori faktora nekroze tumora alfa (TNFα)</w:t>
      </w:r>
    </w:p>
    <w:p w14:paraId="10EB4045" w14:textId="77777777" w:rsidR="0072020E" w:rsidRPr="00840456" w:rsidRDefault="0072020E" w:rsidP="00480FB1">
      <w:pPr>
        <w:tabs>
          <w:tab w:val="left" w:pos="540"/>
          <w:tab w:val="left" w:pos="569"/>
        </w:tabs>
        <w:rPr>
          <w:bCs/>
          <w:sz w:val="22"/>
          <w:szCs w:val="22"/>
          <w:lang w:val="sr-Latn-ME"/>
        </w:rPr>
      </w:pPr>
    </w:p>
    <w:p w14:paraId="2C0D509D" w14:textId="4B3D88ED" w:rsidR="0072020E" w:rsidRPr="00840456" w:rsidRDefault="0072020E" w:rsidP="00480FB1">
      <w:pPr>
        <w:tabs>
          <w:tab w:val="left" w:pos="540"/>
          <w:tab w:val="left" w:pos="569"/>
        </w:tabs>
        <w:rPr>
          <w:sz w:val="22"/>
          <w:szCs w:val="22"/>
          <w:lang w:val="sr-Latn-ME"/>
        </w:rPr>
      </w:pPr>
      <w:r w:rsidRPr="00840456">
        <w:rPr>
          <w:bCs/>
          <w:sz w:val="22"/>
          <w:szCs w:val="22"/>
          <w:lang w:val="sr-Latn-ME"/>
        </w:rPr>
        <w:t>ATC kod:</w:t>
      </w:r>
      <w:r w:rsidR="005A7F10" w:rsidRPr="00840456">
        <w:rPr>
          <w:bCs/>
          <w:sz w:val="22"/>
          <w:szCs w:val="22"/>
          <w:lang w:val="sr-Latn-ME"/>
        </w:rPr>
        <w:t xml:space="preserve"> </w:t>
      </w:r>
      <w:r w:rsidR="005A7F10" w:rsidRPr="00840456">
        <w:rPr>
          <w:sz w:val="22"/>
          <w:szCs w:val="22"/>
          <w:lang w:val="sr-Latn-ME"/>
        </w:rPr>
        <w:t>L04AB01</w:t>
      </w:r>
    </w:p>
    <w:p w14:paraId="779E268B" w14:textId="77777777" w:rsidR="005A7F10" w:rsidRPr="00840456" w:rsidRDefault="005A7F10" w:rsidP="00480FB1">
      <w:pPr>
        <w:tabs>
          <w:tab w:val="left" w:pos="540"/>
          <w:tab w:val="left" w:pos="569"/>
        </w:tabs>
        <w:rPr>
          <w:bCs/>
          <w:sz w:val="22"/>
          <w:szCs w:val="22"/>
          <w:lang w:val="sr-Latn-ME"/>
        </w:rPr>
      </w:pPr>
    </w:p>
    <w:p w14:paraId="38BB1C10" w14:textId="77777777" w:rsidR="005A7F10" w:rsidRPr="00840456" w:rsidRDefault="005A7F10" w:rsidP="005A7F10">
      <w:pPr>
        <w:jc w:val="both"/>
        <w:rPr>
          <w:sz w:val="22"/>
          <w:szCs w:val="22"/>
          <w:lang w:val="sr-Latn-ME"/>
        </w:rPr>
      </w:pPr>
      <w:r w:rsidRPr="00840456">
        <w:rPr>
          <w:sz w:val="22"/>
          <w:szCs w:val="22"/>
          <w:lang w:val="sr-Latn-ME"/>
        </w:rPr>
        <w:t xml:space="preserve">Faktor nekroze tumora (˝tumor necrosis factor – TNF˝) je dominantni citokin koji učestvuje u razvoju inflamatornog procesa kod reumatoidnog artritisa. Povišeni nivoi TNF-a su takođe pronađeni u sinovijalnoj membrani i psorijaznim plakovima kod pacijenata sa psorijaznim artritisom i u serumu i sinovijalnom tkivu kod pacijenata sa ankilozirajućim spondilitisom. Kod plak psorijaze, infiltracija inflamatornih ćelija uključujući i T-ćelije dovodi do povećanja TNF nivoa u psorijaznim lezijama u odnosu na nivoe u djelovima kože koji nijesu oboljeli. Etanercept je kompetitivni inhibitor vezivanja TNF-a za receptore na površini ćelije i na taj način inhibira biološku aktivnost TNF-a. TNF i limfotoksin su pro-inflamatorni citokini koji se vezuju za dva odvojena TNF ćelijska receptora: 55 kilodaltona (p55) i </w:t>
      </w:r>
      <w:r w:rsidRPr="00840456">
        <w:rPr>
          <w:color w:val="000000"/>
          <w:sz w:val="22"/>
          <w:szCs w:val="22"/>
          <w:lang w:val="sr-Latn-ME"/>
        </w:rPr>
        <w:t xml:space="preserve">75 kilodaltona (p75). Oba TNF receptora se prirodno nalaze u dvije forme: vezani za membranu i u solubilnom obliku. Smatra se da solubilni TNF receptori regulišu biološku aktivnost TNF-a. </w:t>
      </w:r>
    </w:p>
    <w:p w14:paraId="7D307610" w14:textId="77777777" w:rsidR="005A7F10" w:rsidRPr="00840456" w:rsidRDefault="005A7F10" w:rsidP="005A7F10">
      <w:pPr>
        <w:jc w:val="both"/>
        <w:rPr>
          <w:sz w:val="22"/>
          <w:szCs w:val="22"/>
          <w:lang w:val="sr-Latn-ME"/>
        </w:rPr>
      </w:pPr>
    </w:p>
    <w:p w14:paraId="472E455D" w14:textId="6C0D7F39" w:rsidR="005A7F10" w:rsidRPr="00840456" w:rsidRDefault="005A7F10" w:rsidP="005A7F10">
      <w:pPr>
        <w:widowControl w:val="0"/>
        <w:overflowPunct w:val="0"/>
        <w:autoSpaceDE w:val="0"/>
        <w:autoSpaceDN w:val="0"/>
        <w:adjustRightInd w:val="0"/>
        <w:spacing w:line="242" w:lineRule="auto"/>
        <w:jc w:val="both"/>
        <w:rPr>
          <w:sz w:val="22"/>
          <w:szCs w:val="22"/>
          <w:lang w:val="sr-Latn-ME"/>
        </w:rPr>
      </w:pPr>
      <w:r w:rsidRPr="00840456">
        <w:rPr>
          <w:color w:val="000000"/>
          <w:sz w:val="22"/>
          <w:szCs w:val="22"/>
          <w:lang w:val="sr-Latn-ME"/>
        </w:rPr>
        <w:t>TNF i limfotoksin su predominantno homotrimeri, sa biol</w:t>
      </w:r>
      <w:r w:rsidR="00EA3243" w:rsidRPr="00840456">
        <w:rPr>
          <w:color w:val="000000"/>
          <w:sz w:val="22"/>
          <w:szCs w:val="22"/>
          <w:lang w:val="sr-Latn-ME"/>
        </w:rPr>
        <w:t>o</w:t>
      </w:r>
      <w:r w:rsidRPr="00840456">
        <w:rPr>
          <w:color w:val="000000"/>
          <w:sz w:val="22"/>
          <w:szCs w:val="22"/>
          <w:lang w:val="sr-Latn-ME"/>
        </w:rPr>
        <w:t>škom aktivnošću koja zavisi od unakrsnog vezivanja za površinske ćelijske TNF-receptore. Dimerni solubilni receptori kao što je etanercept posjeduju veći afinitet vezivanja TNF-a od monomernih receptora i smatraju se jačim kompetitivnim inhibitorima vezivanja TNF-a za svoje ćelijske receptore. Pri tom, upotreba Fc dijela imunoglobulina kao fuzionog elementa prilikom konstruisanja dimernog receptora utiče na duže poluvrijeme eliminacije u serumu.</w:t>
      </w:r>
    </w:p>
    <w:p w14:paraId="5527DCDF" w14:textId="77777777" w:rsidR="005A7F10" w:rsidRPr="00840456" w:rsidRDefault="005A7F10" w:rsidP="005A7F10">
      <w:pPr>
        <w:widowControl w:val="0"/>
        <w:autoSpaceDE w:val="0"/>
        <w:autoSpaceDN w:val="0"/>
        <w:adjustRightInd w:val="0"/>
        <w:spacing w:line="223" w:lineRule="exact"/>
        <w:jc w:val="both"/>
        <w:rPr>
          <w:sz w:val="22"/>
          <w:szCs w:val="22"/>
          <w:lang w:val="sr-Latn-ME"/>
        </w:rPr>
      </w:pPr>
    </w:p>
    <w:p w14:paraId="755139EA" w14:textId="3C4F77F4" w:rsidR="005A7F10" w:rsidRPr="00840456" w:rsidRDefault="005A7F10" w:rsidP="005A7F10">
      <w:pPr>
        <w:widowControl w:val="0"/>
        <w:autoSpaceDE w:val="0"/>
        <w:autoSpaceDN w:val="0"/>
        <w:adjustRightInd w:val="0"/>
        <w:jc w:val="both"/>
        <w:rPr>
          <w:bCs/>
          <w:color w:val="000000"/>
          <w:sz w:val="22"/>
          <w:szCs w:val="22"/>
          <w:u w:val="single"/>
          <w:lang w:val="sr-Latn-ME"/>
        </w:rPr>
      </w:pPr>
      <w:r w:rsidRPr="00840456">
        <w:rPr>
          <w:bCs/>
          <w:color w:val="000000"/>
          <w:sz w:val="22"/>
          <w:szCs w:val="22"/>
          <w:u w:val="single"/>
          <w:lang w:val="sr-Latn-ME"/>
        </w:rPr>
        <w:t>Mehanizam dejstva</w:t>
      </w:r>
    </w:p>
    <w:p w14:paraId="4FB9AAE0" w14:textId="77777777" w:rsidR="00EA3243" w:rsidRPr="00840456" w:rsidRDefault="00EA3243" w:rsidP="005A7F10">
      <w:pPr>
        <w:widowControl w:val="0"/>
        <w:autoSpaceDE w:val="0"/>
        <w:autoSpaceDN w:val="0"/>
        <w:adjustRightInd w:val="0"/>
        <w:jc w:val="both"/>
        <w:rPr>
          <w:sz w:val="22"/>
          <w:szCs w:val="22"/>
          <w:u w:val="single"/>
          <w:lang w:val="sr-Latn-ME"/>
        </w:rPr>
      </w:pPr>
    </w:p>
    <w:p w14:paraId="4827BD38" w14:textId="77777777" w:rsidR="005A7F10" w:rsidRPr="00840456" w:rsidRDefault="005A7F10" w:rsidP="005A7F10">
      <w:pPr>
        <w:widowControl w:val="0"/>
        <w:overflowPunct w:val="0"/>
        <w:autoSpaceDE w:val="0"/>
        <w:autoSpaceDN w:val="0"/>
        <w:adjustRightInd w:val="0"/>
        <w:spacing w:line="239" w:lineRule="auto"/>
        <w:jc w:val="both"/>
        <w:rPr>
          <w:sz w:val="22"/>
          <w:szCs w:val="22"/>
          <w:lang w:val="sr-Latn-ME"/>
        </w:rPr>
      </w:pPr>
      <w:r w:rsidRPr="00840456">
        <w:rPr>
          <w:color w:val="000000"/>
          <w:sz w:val="22"/>
          <w:szCs w:val="22"/>
          <w:lang w:val="sr-Latn-ME"/>
        </w:rPr>
        <w:t>Veći dio patoloških procesa na zglobovima kod reumatoidnog artritisa i ankilozirajućeg spondilitisa i patoloških procesa na koži kod plak psorijaze se odvijaju pod uticajem međusobno povezanih pro-inflamatornih molekula koje kontroliše TNF. Smatra se da je mehanizam dejstva etanercepta kompetitivna inhibicija vezivanja TNF-a za ćelijske TNF-receptore, čime se biološkom inaktivacijom TNF-a sprečava TNF-om stimulisan ćelijski odgovor. Etanercept može da utiče na biološke odgovore koje kontrolišu drugi molekuli (npr. citokini, adhezioni molekuli, ili proteinaze), a koje TNF indukuje ili reguliše.</w:t>
      </w:r>
    </w:p>
    <w:p w14:paraId="3792E6E2" w14:textId="77777777" w:rsidR="005A7F10" w:rsidRPr="00840456" w:rsidRDefault="005A7F10" w:rsidP="005A7F10">
      <w:pPr>
        <w:widowControl w:val="0"/>
        <w:autoSpaceDE w:val="0"/>
        <w:autoSpaceDN w:val="0"/>
        <w:adjustRightInd w:val="0"/>
        <w:spacing w:line="231" w:lineRule="exact"/>
        <w:jc w:val="both"/>
        <w:rPr>
          <w:sz w:val="22"/>
          <w:szCs w:val="22"/>
          <w:lang w:val="sr-Latn-ME"/>
        </w:rPr>
      </w:pPr>
    </w:p>
    <w:p w14:paraId="19B04844" w14:textId="77777777" w:rsidR="005A7F10" w:rsidRPr="00840456" w:rsidRDefault="005A7F10" w:rsidP="005A7F10">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Klinička efikasnost i bezbjednost</w:t>
      </w:r>
    </w:p>
    <w:p w14:paraId="1AD11C37" w14:textId="77777777" w:rsidR="005A7F10" w:rsidRPr="00840456" w:rsidRDefault="005A7F10" w:rsidP="005A7F10">
      <w:pPr>
        <w:widowControl w:val="0"/>
        <w:autoSpaceDE w:val="0"/>
        <w:autoSpaceDN w:val="0"/>
        <w:adjustRightInd w:val="0"/>
        <w:jc w:val="both"/>
        <w:rPr>
          <w:sz w:val="22"/>
          <w:szCs w:val="22"/>
          <w:lang w:val="sr-Latn-ME"/>
        </w:rPr>
      </w:pPr>
    </w:p>
    <w:p w14:paraId="633436B5" w14:textId="77777777" w:rsidR="005A7F10" w:rsidRPr="00840456" w:rsidRDefault="005A7F10" w:rsidP="005A7F10">
      <w:pPr>
        <w:tabs>
          <w:tab w:val="left" w:pos="0"/>
        </w:tabs>
        <w:jc w:val="both"/>
        <w:rPr>
          <w:sz w:val="22"/>
          <w:szCs w:val="22"/>
          <w:lang w:val="sr-Latn-ME"/>
        </w:rPr>
      </w:pPr>
      <w:r w:rsidRPr="00840456">
        <w:rPr>
          <w:color w:val="000000"/>
          <w:sz w:val="22"/>
          <w:szCs w:val="22"/>
          <w:lang w:val="sr-Latn-ME"/>
        </w:rPr>
        <w:t>Ovaj dio predstavlja podatke iz četiri randomizovane, kontrolisane studije kod odraslih pacijenata sa reumatoidnim artritisom, jedne studije kod odraslih pacijenata sa psorijaznim artritisom, jedne studije kod odraslih pacijenata sa ankilozirajućim spondilitisom</w:t>
      </w:r>
      <w:r w:rsidRPr="00840456">
        <w:rPr>
          <w:sz w:val="22"/>
          <w:szCs w:val="22"/>
          <w:lang w:val="sr-Latn-ME"/>
        </w:rPr>
        <w:t xml:space="preserve">, dvije studije kod odraslih pacijenata sa </w:t>
      </w:r>
      <w:r w:rsidRPr="00840456">
        <w:rPr>
          <w:sz w:val="22"/>
          <w:szCs w:val="22"/>
          <w:lang w:val="sr-Latn-ME"/>
        </w:rPr>
        <w:lastRenderedPageBreak/>
        <w:t xml:space="preserve">aksijalnim spondiloartritisom bez radiografskih dokaza, četiri studije kod odraslih sa plak psorijazom, </w:t>
      </w:r>
      <w:r w:rsidRPr="00840456">
        <w:rPr>
          <w:color w:val="000000"/>
          <w:sz w:val="22"/>
          <w:szCs w:val="22"/>
          <w:lang w:val="sr-Latn-ME"/>
        </w:rPr>
        <w:t>tri st</w:t>
      </w:r>
      <w:r w:rsidRPr="00840456">
        <w:rPr>
          <w:color w:val="000000"/>
          <w:spacing w:val="1"/>
          <w:sz w:val="22"/>
          <w:szCs w:val="22"/>
          <w:lang w:val="sr-Latn-ME"/>
        </w:rPr>
        <w:t>ud</w:t>
      </w:r>
      <w:r w:rsidRPr="00840456">
        <w:rPr>
          <w:color w:val="000000"/>
          <w:sz w:val="22"/>
          <w:szCs w:val="22"/>
          <w:lang w:val="sr-Latn-ME"/>
        </w:rPr>
        <w:t>ije</w:t>
      </w:r>
      <w:r w:rsidRPr="00840456">
        <w:rPr>
          <w:color w:val="000000"/>
          <w:spacing w:val="26"/>
          <w:sz w:val="22"/>
          <w:szCs w:val="22"/>
          <w:lang w:val="sr-Latn-ME"/>
        </w:rPr>
        <w:t xml:space="preserve"> </w:t>
      </w:r>
      <w:r w:rsidRPr="00840456">
        <w:rPr>
          <w:color w:val="000000"/>
          <w:spacing w:val="1"/>
          <w:sz w:val="22"/>
          <w:szCs w:val="22"/>
          <w:lang w:val="sr-Latn-ME"/>
        </w:rPr>
        <w:t>ko</w:t>
      </w:r>
      <w:r w:rsidRPr="00840456">
        <w:rPr>
          <w:color w:val="000000"/>
          <w:sz w:val="22"/>
          <w:szCs w:val="22"/>
          <w:lang w:val="sr-Latn-ME"/>
        </w:rPr>
        <w:t>d</w:t>
      </w:r>
      <w:r w:rsidRPr="00840456">
        <w:rPr>
          <w:color w:val="000000"/>
          <w:spacing w:val="28"/>
          <w:sz w:val="22"/>
          <w:szCs w:val="22"/>
          <w:lang w:val="sr-Latn-ME"/>
        </w:rPr>
        <w:t xml:space="preserve"> </w:t>
      </w:r>
      <w:r w:rsidRPr="00840456">
        <w:rPr>
          <w:color w:val="000000"/>
          <w:spacing w:val="-1"/>
          <w:sz w:val="22"/>
          <w:szCs w:val="22"/>
          <w:lang w:val="sr-Latn-ME"/>
        </w:rPr>
        <w:t>p</w:t>
      </w:r>
      <w:r w:rsidRPr="00840456">
        <w:rPr>
          <w:color w:val="000000"/>
          <w:sz w:val="22"/>
          <w:szCs w:val="22"/>
          <w:lang w:val="sr-Latn-ME"/>
        </w:rPr>
        <w:t>acije</w:t>
      </w:r>
      <w:r w:rsidRPr="00840456">
        <w:rPr>
          <w:color w:val="000000"/>
          <w:spacing w:val="1"/>
          <w:sz w:val="22"/>
          <w:szCs w:val="22"/>
          <w:lang w:val="sr-Latn-ME"/>
        </w:rPr>
        <w:t>n</w:t>
      </w:r>
      <w:r w:rsidRPr="00840456">
        <w:rPr>
          <w:color w:val="000000"/>
          <w:sz w:val="22"/>
          <w:szCs w:val="22"/>
          <w:lang w:val="sr-Latn-ME"/>
        </w:rPr>
        <w:t>ata</w:t>
      </w:r>
      <w:r w:rsidRPr="00840456">
        <w:rPr>
          <w:color w:val="000000"/>
          <w:spacing w:val="29"/>
          <w:sz w:val="22"/>
          <w:szCs w:val="22"/>
          <w:lang w:val="sr-Latn-ME"/>
        </w:rPr>
        <w:t xml:space="preserve"> </w:t>
      </w:r>
      <w:r w:rsidRPr="00840456">
        <w:rPr>
          <w:color w:val="000000"/>
          <w:sz w:val="22"/>
          <w:szCs w:val="22"/>
          <w:lang w:val="sr-Latn-ME"/>
        </w:rPr>
        <w:t>sa</w:t>
      </w:r>
      <w:r w:rsidRPr="00840456">
        <w:rPr>
          <w:color w:val="000000"/>
          <w:spacing w:val="29"/>
          <w:sz w:val="22"/>
          <w:szCs w:val="22"/>
          <w:lang w:val="sr-Latn-ME"/>
        </w:rPr>
        <w:t xml:space="preserve"> </w:t>
      </w:r>
      <w:r w:rsidRPr="00840456">
        <w:rPr>
          <w:color w:val="000000"/>
          <w:spacing w:val="1"/>
          <w:sz w:val="22"/>
          <w:szCs w:val="22"/>
          <w:lang w:val="sr-Latn-ME"/>
        </w:rPr>
        <w:t>juv</w:t>
      </w:r>
      <w:r w:rsidRPr="00840456">
        <w:rPr>
          <w:color w:val="000000"/>
          <w:sz w:val="22"/>
          <w:szCs w:val="22"/>
          <w:lang w:val="sr-Latn-ME"/>
        </w:rPr>
        <w:t>e</w:t>
      </w:r>
      <w:r w:rsidRPr="00840456">
        <w:rPr>
          <w:color w:val="000000"/>
          <w:spacing w:val="1"/>
          <w:sz w:val="22"/>
          <w:szCs w:val="22"/>
          <w:lang w:val="sr-Latn-ME"/>
        </w:rPr>
        <w:t>n</w:t>
      </w:r>
      <w:r w:rsidRPr="00840456">
        <w:rPr>
          <w:color w:val="000000"/>
          <w:sz w:val="22"/>
          <w:szCs w:val="22"/>
          <w:lang w:val="sr-Latn-ME"/>
        </w:rPr>
        <w:t>il</w:t>
      </w:r>
      <w:r w:rsidRPr="00840456">
        <w:rPr>
          <w:color w:val="000000"/>
          <w:spacing w:val="1"/>
          <w:sz w:val="22"/>
          <w:szCs w:val="22"/>
          <w:lang w:val="sr-Latn-ME"/>
        </w:rPr>
        <w:t>n</w:t>
      </w:r>
      <w:r w:rsidRPr="00840456">
        <w:rPr>
          <w:color w:val="000000"/>
          <w:sz w:val="22"/>
          <w:szCs w:val="22"/>
          <w:lang w:val="sr-Latn-ME"/>
        </w:rPr>
        <w:t>im</w:t>
      </w:r>
      <w:r w:rsidRPr="00840456">
        <w:rPr>
          <w:color w:val="000000"/>
          <w:spacing w:val="26"/>
          <w:sz w:val="22"/>
          <w:szCs w:val="22"/>
          <w:lang w:val="sr-Latn-ME"/>
        </w:rPr>
        <w:t xml:space="preserve"> </w:t>
      </w:r>
      <w:r w:rsidRPr="00840456">
        <w:rPr>
          <w:color w:val="000000"/>
          <w:sz w:val="22"/>
          <w:szCs w:val="22"/>
          <w:lang w:val="sr-Latn-ME"/>
        </w:rPr>
        <w:t>i</w:t>
      </w:r>
      <w:r w:rsidRPr="00840456">
        <w:rPr>
          <w:color w:val="000000"/>
          <w:spacing w:val="1"/>
          <w:sz w:val="22"/>
          <w:szCs w:val="22"/>
          <w:lang w:val="sr-Latn-ME"/>
        </w:rPr>
        <w:t>d</w:t>
      </w:r>
      <w:r w:rsidRPr="00840456">
        <w:rPr>
          <w:color w:val="000000"/>
          <w:sz w:val="22"/>
          <w:szCs w:val="22"/>
          <w:lang w:val="sr-Latn-ME"/>
        </w:rPr>
        <w:t>i</w:t>
      </w:r>
      <w:r w:rsidRPr="00840456">
        <w:rPr>
          <w:color w:val="000000"/>
          <w:spacing w:val="1"/>
          <w:sz w:val="22"/>
          <w:szCs w:val="22"/>
          <w:lang w:val="sr-Latn-ME"/>
        </w:rPr>
        <w:t>op</w:t>
      </w:r>
      <w:r w:rsidRPr="00840456">
        <w:rPr>
          <w:color w:val="000000"/>
          <w:sz w:val="22"/>
          <w:szCs w:val="22"/>
          <w:lang w:val="sr-Latn-ME"/>
        </w:rPr>
        <w:t>ats</w:t>
      </w:r>
      <w:r w:rsidRPr="00840456">
        <w:rPr>
          <w:color w:val="000000"/>
          <w:spacing w:val="1"/>
          <w:sz w:val="22"/>
          <w:szCs w:val="22"/>
          <w:lang w:val="sr-Latn-ME"/>
        </w:rPr>
        <w:t>k</w:t>
      </w:r>
      <w:r w:rsidRPr="00840456">
        <w:rPr>
          <w:color w:val="000000"/>
          <w:sz w:val="22"/>
          <w:szCs w:val="22"/>
          <w:lang w:val="sr-Latn-ME"/>
        </w:rPr>
        <w:t>im</w:t>
      </w:r>
      <w:r w:rsidRPr="00840456">
        <w:rPr>
          <w:color w:val="000000"/>
          <w:spacing w:val="23"/>
          <w:sz w:val="22"/>
          <w:szCs w:val="22"/>
          <w:lang w:val="sr-Latn-ME"/>
        </w:rPr>
        <w:t xml:space="preserve"> </w:t>
      </w:r>
      <w:r w:rsidRPr="00840456">
        <w:rPr>
          <w:color w:val="000000"/>
          <w:sz w:val="22"/>
          <w:szCs w:val="22"/>
          <w:lang w:val="sr-Latn-ME"/>
        </w:rPr>
        <w:t>art</w:t>
      </w:r>
      <w:r w:rsidRPr="00840456">
        <w:rPr>
          <w:color w:val="000000"/>
          <w:spacing w:val="1"/>
          <w:sz w:val="22"/>
          <w:szCs w:val="22"/>
          <w:lang w:val="sr-Latn-ME"/>
        </w:rPr>
        <w:t>r</w:t>
      </w:r>
      <w:r w:rsidRPr="00840456">
        <w:rPr>
          <w:color w:val="000000"/>
          <w:sz w:val="22"/>
          <w:szCs w:val="22"/>
          <w:lang w:val="sr-Latn-ME"/>
        </w:rPr>
        <w:t>itis</w:t>
      </w:r>
      <w:r w:rsidRPr="00840456">
        <w:rPr>
          <w:color w:val="000000"/>
          <w:spacing w:val="1"/>
          <w:sz w:val="22"/>
          <w:szCs w:val="22"/>
          <w:lang w:val="sr-Latn-ME"/>
        </w:rPr>
        <w:t>o</w:t>
      </w:r>
      <w:r w:rsidRPr="00840456">
        <w:rPr>
          <w:color w:val="000000"/>
          <w:sz w:val="22"/>
          <w:szCs w:val="22"/>
          <w:lang w:val="sr-Latn-ME"/>
        </w:rPr>
        <w:t>m i</w:t>
      </w:r>
      <w:r w:rsidRPr="00840456">
        <w:rPr>
          <w:color w:val="000000"/>
          <w:spacing w:val="25"/>
          <w:sz w:val="22"/>
          <w:szCs w:val="22"/>
          <w:lang w:val="sr-Latn-ME"/>
        </w:rPr>
        <w:t xml:space="preserve"> </w:t>
      </w:r>
      <w:r w:rsidRPr="00840456">
        <w:rPr>
          <w:sz w:val="22"/>
          <w:szCs w:val="22"/>
          <w:lang w:val="sr-Latn-ME"/>
        </w:rPr>
        <w:t>jedne studije kod pedijatrijskih pacijenata sa plak psorijazom.</w:t>
      </w:r>
    </w:p>
    <w:p w14:paraId="65239797" w14:textId="77777777" w:rsidR="005A7F10" w:rsidRPr="00840456" w:rsidRDefault="005A7F10" w:rsidP="005A7F10">
      <w:pPr>
        <w:widowControl w:val="0"/>
        <w:autoSpaceDE w:val="0"/>
        <w:autoSpaceDN w:val="0"/>
        <w:adjustRightInd w:val="0"/>
        <w:spacing w:line="222" w:lineRule="exact"/>
        <w:jc w:val="both"/>
        <w:rPr>
          <w:sz w:val="22"/>
          <w:szCs w:val="22"/>
          <w:lang w:val="sr-Latn-ME"/>
        </w:rPr>
      </w:pPr>
    </w:p>
    <w:p w14:paraId="1819CB38" w14:textId="28D801EB" w:rsidR="005A7F10" w:rsidRPr="00840456" w:rsidRDefault="005A7F10" w:rsidP="00815D34">
      <w:pPr>
        <w:widowControl w:val="0"/>
        <w:autoSpaceDE w:val="0"/>
        <w:autoSpaceDN w:val="0"/>
        <w:adjustRightInd w:val="0"/>
        <w:jc w:val="both"/>
        <w:rPr>
          <w:sz w:val="22"/>
          <w:szCs w:val="22"/>
          <w:lang w:val="sr-Latn-ME"/>
        </w:rPr>
      </w:pPr>
      <w:bookmarkStart w:id="0" w:name="_Hlk181886767"/>
      <w:r w:rsidRPr="00840456">
        <w:rPr>
          <w:i/>
          <w:color w:val="000000"/>
          <w:sz w:val="22"/>
          <w:szCs w:val="22"/>
          <w:lang w:val="sr-Latn-ME"/>
        </w:rPr>
        <w:t>Odrasli pacijenti sa reumatoidnim artritisom</w:t>
      </w:r>
      <w:bookmarkEnd w:id="0"/>
    </w:p>
    <w:p w14:paraId="3095F192" w14:textId="77777777" w:rsidR="005A7F10" w:rsidRPr="00840456" w:rsidRDefault="005A7F10" w:rsidP="005A7F10">
      <w:pPr>
        <w:widowControl w:val="0"/>
        <w:overflowPunct w:val="0"/>
        <w:autoSpaceDE w:val="0"/>
        <w:autoSpaceDN w:val="0"/>
        <w:adjustRightInd w:val="0"/>
        <w:spacing w:line="239" w:lineRule="auto"/>
        <w:jc w:val="both"/>
        <w:rPr>
          <w:sz w:val="22"/>
          <w:szCs w:val="22"/>
          <w:lang w:val="sr-Latn-ME"/>
        </w:rPr>
      </w:pPr>
      <w:r w:rsidRPr="00840456">
        <w:rPr>
          <w:color w:val="000000"/>
          <w:sz w:val="22"/>
          <w:szCs w:val="22"/>
          <w:lang w:val="sr-Latn-ME"/>
        </w:rPr>
        <w:t>Efikasnost lijeka Enbrel je procjenjivana randomizovanom, dvostruko-slijepom, placebo kontrolisanom studijom. U studiju su uključena 234 odrasla pacijenta sa aktivnim reumatoidnim artritisom, kod kojih nijesu postignuti rezultati sa najmanje jednim ali ne više od četiri antireumatika koji mijenjaju tok bolesti (DMARDs). Doze od 10 mg ili 25 mg lijeka Enbrel ili placebo su primjenjivane subkutano dva puta nedjeljno tokom 6 mjeseci. Rezultati ovog kontrolisanog ispitivanja su izraženi u procentima poboljšanja reumatoidnog artritisa koristeći se kriterijumom Američkog koledža za reumatologiju (ACR) za određivanje odgovora na terapiju.</w:t>
      </w:r>
    </w:p>
    <w:p w14:paraId="036139CC" w14:textId="77777777" w:rsidR="005A7F10" w:rsidRPr="00840456" w:rsidRDefault="005A7F10" w:rsidP="005A7F10">
      <w:pPr>
        <w:widowControl w:val="0"/>
        <w:autoSpaceDE w:val="0"/>
        <w:autoSpaceDN w:val="0"/>
        <w:adjustRightInd w:val="0"/>
        <w:spacing w:line="230" w:lineRule="exact"/>
        <w:jc w:val="both"/>
        <w:rPr>
          <w:sz w:val="22"/>
          <w:szCs w:val="22"/>
          <w:lang w:val="sr-Latn-ME"/>
        </w:rPr>
      </w:pPr>
    </w:p>
    <w:p w14:paraId="43F2ECB9" w14:textId="77777777" w:rsidR="005A7F10" w:rsidRPr="00840456" w:rsidRDefault="005A7F10" w:rsidP="005A7F10">
      <w:pPr>
        <w:jc w:val="both"/>
        <w:rPr>
          <w:color w:val="000000"/>
          <w:sz w:val="22"/>
          <w:szCs w:val="22"/>
          <w:lang w:val="sr-Latn-ME"/>
        </w:rPr>
      </w:pPr>
      <w:r w:rsidRPr="00840456">
        <w:rPr>
          <w:color w:val="000000"/>
          <w:sz w:val="22"/>
          <w:szCs w:val="22"/>
          <w:lang w:val="sr-Latn-ME"/>
        </w:rPr>
        <w:t xml:space="preserve">ACR 20 i 50 rezultati su bili češći kod pacijenata koji su liječeni lijekom Enbrel u trajanju od 3 mjeseca odnosno 6 mjeseci nego kod pacijenata koji su primali placebo (ACR 20 u 3. odnosno 6. mjesecu: Enbrel 62% odnosno 59%, placebo 23% odnosno 11%; ACR 50 u 3. odnosno 6. mjesecu: Enbrel 41% odnosno 40%, a placebo 8% odnosno 5%; p&lt;0,01 Enbrel u odnosu na placebo u svim mjernim tačkama i za ACR 20 i za ACR 50 odgovore). </w:t>
      </w:r>
    </w:p>
    <w:p w14:paraId="59705617" w14:textId="77777777" w:rsidR="005A7F10" w:rsidRPr="00840456" w:rsidRDefault="005A7F10" w:rsidP="005A7F10">
      <w:pPr>
        <w:jc w:val="both"/>
        <w:rPr>
          <w:color w:val="000000"/>
          <w:sz w:val="22"/>
          <w:szCs w:val="22"/>
          <w:lang w:val="sr-Latn-ME"/>
        </w:rPr>
      </w:pPr>
    </w:p>
    <w:p w14:paraId="45A384E0" w14:textId="4327F2BE" w:rsidR="005A7F10" w:rsidRPr="00840456" w:rsidRDefault="005A7F10" w:rsidP="005A7F10">
      <w:pPr>
        <w:widowControl w:val="0"/>
        <w:overflowPunct w:val="0"/>
        <w:autoSpaceDE w:val="0"/>
        <w:autoSpaceDN w:val="0"/>
        <w:adjustRightInd w:val="0"/>
        <w:spacing w:line="238" w:lineRule="auto"/>
        <w:jc w:val="both"/>
        <w:rPr>
          <w:color w:val="000000"/>
          <w:sz w:val="22"/>
          <w:szCs w:val="22"/>
          <w:lang w:val="sr-Latn-ME"/>
        </w:rPr>
      </w:pPr>
      <w:bookmarkStart w:id="1" w:name="_Hlk181884438"/>
      <w:r w:rsidRPr="00840456">
        <w:rPr>
          <w:color w:val="000000"/>
          <w:sz w:val="22"/>
          <w:szCs w:val="22"/>
          <w:lang w:val="sr-Latn-ME"/>
        </w:rPr>
        <w:t>Približno 15% ispitanika koji su primali lijek Enbrel dostiglo je ACR 70 u trećem odnosno šestom</w:t>
      </w:r>
      <w:r w:rsidR="00EB5C7C" w:rsidRPr="00840456">
        <w:rPr>
          <w:color w:val="000000"/>
          <w:sz w:val="22"/>
          <w:szCs w:val="22"/>
          <w:lang w:val="sr-Latn-ME"/>
        </w:rPr>
        <w:t xml:space="preserve"> mjesecu u poređenju sa manje od 5% ispitanika koji su primali placebo. Među pacijentima koji su</w:t>
      </w:r>
      <w:r w:rsidRPr="00840456">
        <w:rPr>
          <w:color w:val="000000"/>
          <w:sz w:val="22"/>
          <w:szCs w:val="22"/>
          <w:lang w:val="sr-Latn-ME"/>
        </w:rPr>
        <w:t xml:space="preserve"> </w:t>
      </w:r>
      <w:bookmarkEnd w:id="1"/>
      <w:r w:rsidRPr="00840456">
        <w:rPr>
          <w:color w:val="000000"/>
          <w:sz w:val="22"/>
          <w:szCs w:val="22"/>
          <w:lang w:val="sr-Latn-ME"/>
        </w:rPr>
        <w:t xml:space="preserve">primali lijek Enbrel klinički odgovor je bio vidljiv nakon 1 do 2 nedjelje od početka terapije i skoro uvijek se javljao u periodu do 3 mjeseca. </w:t>
      </w:r>
      <w:r w:rsidR="00FA1277" w:rsidRPr="00840456">
        <w:rPr>
          <w:noProof/>
          <w:sz w:val="22"/>
          <w:szCs w:val="22"/>
          <w:lang w:val="sr-Latn-ME"/>
        </w:rPr>
        <mc:AlternateContent>
          <mc:Choice Requires="wps">
            <w:drawing>
              <wp:anchor distT="0" distB="0" distL="114300" distR="114300" simplePos="0" relativeHeight="251659264" behindDoc="1" locked="0" layoutInCell="0" allowOverlap="1" wp14:anchorId="4A62D52E" wp14:editId="49CFECF4">
                <wp:simplePos x="0" y="0"/>
                <wp:positionH relativeFrom="column">
                  <wp:posOffset>-9884</wp:posOffset>
                </wp:positionH>
                <wp:positionV relativeFrom="page">
                  <wp:posOffset>5398936</wp:posOffset>
                </wp:positionV>
                <wp:extent cx="0" cy="26035"/>
                <wp:effectExtent l="0" t="0" r="38100" b="12065"/>
                <wp:wrapNone/>
                <wp:docPr id="140348850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083D4E"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pt,425.1pt" to="-.8pt,4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" o:allowincell="f" strokeweight=".72pt">
                <w10:wrap anchory="page"/>
              </v:line>
            </w:pict>
          </mc:Fallback>
        </mc:AlternateContent>
      </w:r>
      <w:r w:rsidRPr="00840456">
        <w:rPr>
          <w:color w:val="000000"/>
          <w:sz w:val="22"/>
          <w:szCs w:val="22"/>
          <w:lang w:val="sr-Latn-ME"/>
        </w:rPr>
        <w:t>Dozna zavisnost je primijećena, odgovor na dozu od 10 mg je između odgovora na placebo i odgovora na dozu od 25 mg. Lijek Enbrel je značajno bolji od placeba po svim tačkama ACR kriterijuma, kao i u drugim mjerenjima aktivnosti bolesti (reumatoidnog artritisa) koji nijesu uključeni u ACR kriterijum, kao što je jutarnja ukočenost. Svaka 3 mjeseca tokom ispitivanja popunjavan je ˝Health Assessment Questionnarie˝ (HAQ) – upitnik za procjenu zdravstvenog stanja koji uključuje procjenu smanjene sposobnosti, vitalnosti, mentalnog zdravlja, opšteg zdravstvenog stanja, stanja djelova tijela koji su zahvaćeni artritisom. Po svim tačkama HAQ stanje pacijenata koji su primali Enbrel je bilo poboljšano u poređenju sa kontrolnim pacijentima, mjereno u 3. i 6. mjesecu.</w:t>
      </w:r>
    </w:p>
    <w:p w14:paraId="70D45CA8" w14:textId="77777777" w:rsidR="00EA3243" w:rsidRPr="00840456" w:rsidRDefault="00EA3243" w:rsidP="005A7F10">
      <w:pPr>
        <w:widowControl w:val="0"/>
        <w:overflowPunct w:val="0"/>
        <w:autoSpaceDE w:val="0"/>
        <w:autoSpaceDN w:val="0"/>
        <w:adjustRightInd w:val="0"/>
        <w:spacing w:line="238" w:lineRule="auto"/>
        <w:jc w:val="both"/>
        <w:rPr>
          <w:sz w:val="22"/>
          <w:szCs w:val="22"/>
          <w:lang w:val="sr-Latn-ME"/>
        </w:rPr>
      </w:pPr>
    </w:p>
    <w:p w14:paraId="2D2D5B05" w14:textId="10DFC7F6" w:rsidR="005A7F10" w:rsidRPr="00840456" w:rsidRDefault="005A7F10" w:rsidP="005A7F10">
      <w:pPr>
        <w:tabs>
          <w:tab w:val="left" w:pos="0"/>
        </w:tabs>
        <w:jc w:val="both"/>
        <w:rPr>
          <w:sz w:val="22"/>
          <w:szCs w:val="22"/>
          <w:lang w:val="sr-Latn-ME"/>
        </w:rPr>
      </w:pPr>
      <w:r w:rsidRPr="00840456">
        <w:rPr>
          <w:color w:val="000000"/>
          <w:sz w:val="22"/>
          <w:szCs w:val="22"/>
          <w:lang w:val="sr-Latn-ME"/>
        </w:rPr>
        <w:t xml:space="preserve">Nakon prestanka primjene lijeka Enbrel, simptomi artritisa su se uglavnom vraćali nakon mjesec dana. Otvorene studije su pokazale da je ponovna primjena lijeka Enbrel nakon prekida terapije do 24 mjeseca rezultovala istom jačinom odgovora kao kod pacijenata koji su primali terapiju bez prekida. Odgovor na kontinuiranu dugotrajnu terapiju je dobijen otvorenim, produženim studijama primjene lijeka Enbrel do </w:t>
      </w:r>
      <w:r w:rsidRPr="00840456">
        <w:rPr>
          <w:sz w:val="22"/>
          <w:szCs w:val="22"/>
          <w:lang w:val="sr-Latn-ME"/>
        </w:rPr>
        <w:t>10</w:t>
      </w:r>
      <w:r w:rsidRPr="00840456">
        <w:rPr>
          <w:color w:val="000000"/>
          <w:sz w:val="22"/>
          <w:szCs w:val="22"/>
          <w:lang w:val="sr-Latn-ME"/>
        </w:rPr>
        <w:t> </w:t>
      </w:r>
      <w:r w:rsidRPr="00840456">
        <w:rPr>
          <w:sz w:val="22"/>
          <w:szCs w:val="22"/>
          <w:lang w:val="sr-Latn-ME"/>
        </w:rPr>
        <w:t>godina, gdje su pacijenti primali terapiju bez prekida.</w:t>
      </w:r>
    </w:p>
    <w:p w14:paraId="400999E5" w14:textId="77777777" w:rsidR="005A7F10" w:rsidRPr="00840456" w:rsidRDefault="005A7F10" w:rsidP="005A7F10">
      <w:pPr>
        <w:widowControl w:val="0"/>
        <w:autoSpaceDE w:val="0"/>
        <w:autoSpaceDN w:val="0"/>
        <w:adjustRightInd w:val="0"/>
        <w:spacing w:line="227" w:lineRule="exact"/>
        <w:jc w:val="both"/>
        <w:rPr>
          <w:sz w:val="22"/>
          <w:szCs w:val="22"/>
          <w:lang w:val="sr-Latn-ME"/>
        </w:rPr>
      </w:pPr>
    </w:p>
    <w:p w14:paraId="4B61C02E" w14:textId="06226FEA" w:rsidR="005A7F10" w:rsidRPr="00840456" w:rsidRDefault="005A7F10" w:rsidP="005A7F10">
      <w:pPr>
        <w:widowControl w:val="0"/>
        <w:overflowPunct w:val="0"/>
        <w:autoSpaceDE w:val="0"/>
        <w:autoSpaceDN w:val="0"/>
        <w:adjustRightInd w:val="0"/>
        <w:spacing w:line="238" w:lineRule="auto"/>
        <w:jc w:val="both"/>
        <w:rPr>
          <w:sz w:val="22"/>
          <w:szCs w:val="22"/>
          <w:lang w:val="sr-Latn-ME"/>
        </w:rPr>
      </w:pPr>
      <w:r w:rsidRPr="00840456">
        <w:rPr>
          <w:color w:val="000000"/>
          <w:sz w:val="22"/>
          <w:szCs w:val="22"/>
          <w:lang w:val="sr-Latn-ME"/>
        </w:rPr>
        <w:t>Randomiz</w:t>
      </w:r>
      <w:r w:rsidR="00EA3243" w:rsidRPr="00840456">
        <w:rPr>
          <w:color w:val="000000"/>
          <w:sz w:val="22"/>
          <w:szCs w:val="22"/>
          <w:lang w:val="sr-Latn-ME"/>
        </w:rPr>
        <w:t>ovana</w:t>
      </w:r>
      <w:r w:rsidRPr="00840456">
        <w:rPr>
          <w:color w:val="000000"/>
          <w:sz w:val="22"/>
          <w:szCs w:val="22"/>
          <w:lang w:val="sr-Latn-ME"/>
        </w:rPr>
        <w:t>, aktivno-kontrolisana studija sa «slijepim» radiografskim ispitivanjem u prvoj kontrolnoj tački, na 632 odrasla pacijenta sa aktivnim reumatoidnim artritisom (&lt;3 godine trajanja) koji prethodno nijesu primali metotreksat, vršila je uporedno ispitivanje efikasnosti lijeka Enbrel i metotreksata. Doze od 10 mg ili 25 mg lijeka Enbrel su prim</w:t>
      </w:r>
      <w:r w:rsidR="002D1886" w:rsidRPr="00840456">
        <w:rPr>
          <w:color w:val="000000"/>
          <w:sz w:val="22"/>
          <w:szCs w:val="22"/>
          <w:lang w:val="sr-Latn-ME"/>
        </w:rPr>
        <w:t>i</w:t>
      </w:r>
      <w:r w:rsidRPr="00840456">
        <w:rPr>
          <w:color w:val="000000"/>
          <w:sz w:val="22"/>
          <w:szCs w:val="22"/>
          <w:lang w:val="sr-Latn-ME"/>
        </w:rPr>
        <w:t>jenjene s.c. dva puta nedjeljno tokom 24 mjeseci. Tokom prvih 8 nedjelja ispitivanja doze metotreksata su se povećavale od 7,5 mg/nedjeljno do maksimalnih 20 mg/nedjeljno, uz nastavak do 24. mjeseca. Kliničko poboljšanje sa dozom lijeka Enbrel od 25 mg, koje nastaje u roku od 2 nedjelje od početka primjene i zadržava se tokom 24 mjeseca, bilo je slično kao i u prethodnim ispitivanjima. Na početku ispitivanja kod pacijenata postoji umjereni stepen smanjene pokretljivosti, sa srednjim HAQ skorom od 1,4 do 1,5. Terapija sa dozom od 25 mg lijeka Enbrel dovodi do značajnog poboljšanja za 12 mjeseci, gdje oko 44% pacijenata dostiže normalni HAQ skor (manji od 0,5). Ovo poboljšanje je održano i u drugoj godini studije.</w:t>
      </w:r>
    </w:p>
    <w:p w14:paraId="00168453" w14:textId="77777777" w:rsidR="005A7F10" w:rsidRPr="00840456" w:rsidRDefault="005A7F10" w:rsidP="005A7F10">
      <w:pPr>
        <w:widowControl w:val="0"/>
        <w:autoSpaceDE w:val="0"/>
        <w:autoSpaceDN w:val="0"/>
        <w:adjustRightInd w:val="0"/>
        <w:spacing w:line="225" w:lineRule="exact"/>
        <w:jc w:val="both"/>
        <w:rPr>
          <w:sz w:val="22"/>
          <w:szCs w:val="22"/>
          <w:lang w:val="sr-Latn-ME"/>
        </w:rPr>
      </w:pPr>
    </w:p>
    <w:p w14:paraId="7ADF0EEF" w14:textId="77777777" w:rsidR="005A7F10" w:rsidRPr="00840456" w:rsidRDefault="005A7F10" w:rsidP="005A7F10">
      <w:pPr>
        <w:jc w:val="both"/>
        <w:rPr>
          <w:color w:val="000000"/>
          <w:sz w:val="22"/>
          <w:szCs w:val="22"/>
          <w:lang w:val="sr-Latn-ME"/>
        </w:rPr>
      </w:pPr>
      <w:r w:rsidRPr="00840456">
        <w:rPr>
          <w:color w:val="000000"/>
          <w:sz w:val="22"/>
          <w:szCs w:val="22"/>
          <w:lang w:val="sr-Latn-ME"/>
        </w:rPr>
        <w:t xml:space="preserve">U ovoj studiji je radiografski procijenjeno strukturno oštećenje zgloba, a izraženo je kao promjena u rezultatu ˝Total Sharp Score˝ (TSS) i njegovim komponentama, u skoru za procjenu erozije i skoru za procjenu smanjenja međuzglobnog prostora (JSN). Radiografija šaka/zglobova i stopala je rađena na početku studije i u 6., 12. i 24. mjesecu. Doza lijeka Enbrel od 10 mg je bila manje efikasna kod strukturnih oštećenja zglobova u odnosu na dozu od 25 mg lijeka Enbrel. Doza lijeka Enbrel od 25 mg je bila značajno superiornija u odnosu na metotreksat u pogledu rezultata erozije u 12. i 24. mjesecu. Razlike između 25 mg lijeka Enbrel i metotreksata u TSS i JSN vrijednostima nijesu statistički značajne. Rezultati su prikazani sljedećim dijagramom. </w:t>
      </w:r>
    </w:p>
    <w:p w14:paraId="5A4CDC29" w14:textId="77777777" w:rsidR="005A7F10" w:rsidRPr="00840456" w:rsidRDefault="005A7F10" w:rsidP="005A7F10">
      <w:pPr>
        <w:jc w:val="both"/>
        <w:rPr>
          <w:color w:val="000000"/>
          <w:sz w:val="22"/>
          <w:szCs w:val="22"/>
          <w:lang w:val="sr-Latn-ME"/>
        </w:rPr>
      </w:pPr>
    </w:p>
    <w:p w14:paraId="51A709C1" w14:textId="722C19F4" w:rsidR="005A7F10" w:rsidRPr="00840456" w:rsidRDefault="002D1886" w:rsidP="005A7F10">
      <w:pPr>
        <w:widowControl w:val="0"/>
        <w:overflowPunct w:val="0"/>
        <w:autoSpaceDE w:val="0"/>
        <w:autoSpaceDN w:val="0"/>
        <w:adjustRightInd w:val="0"/>
        <w:spacing w:line="262" w:lineRule="auto"/>
        <w:jc w:val="both"/>
        <w:rPr>
          <w:b/>
          <w:color w:val="000000"/>
          <w:sz w:val="22"/>
          <w:szCs w:val="22"/>
          <w:lang w:val="sr-Latn-ME"/>
        </w:rPr>
      </w:pPr>
      <w:r w:rsidRPr="00840456">
        <w:rPr>
          <w:b/>
          <w:color w:val="000000"/>
          <w:sz w:val="22"/>
          <w:szCs w:val="22"/>
          <w:lang w:val="sr-Latn-ME"/>
        </w:rPr>
        <w:lastRenderedPageBreak/>
        <w:t>Radiografska progresija: Poređenje lijeka Enbrel vs. Metotreksat kod pacijenata sa reumatoidnim artritisom &lt; od 3 godine trajanja</w:t>
      </w:r>
    </w:p>
    <w:p w14:paraId="102E0A6E" w14:textId="77777777" w:rsidR="005A7F10" w:rsidRPr="00840456" w:rsidRDefault="005A7F10" w:rsidP="005A7F10">
      <w:pPr>
        <w:widowControl w:val="0"/>
        <w:overflowPunct w:val="0"/>
        <w:autoSpaceDE w:val="0"/>
        <w:autoSpaceDN w:val="0"/>
        <w:adjustRightInd w:val="0"/>
        <w:spacing w:line="262" w:lineRule="auto"/>
        <w:jc w:val="both"/>
        <w:rPr>
          <w:b/>
          <w:sz w:val="22"/>
          <w:szCs w:val="22"/>
          <w:lang w:val="sr-Latn-ME"/>
        </w:rPr>
      </w:pPr>
    </w:p>
    <w:p w14:paraId="5152E538" w14:textId="77777777" w:rsidR="005A7F10" w:rsidRPr="00840456" w:rsidRDefault="005A7F10" w:rsidP="005A7F10">
      <w:pPr>
        <w:widowControl w:val="0"/>
        <w:autoSpaceDE w:val="0"/>
        <w:autoSpaceDN w:val="0"/>
        <w:adjustRightInd w:val="0"/>
        <w:spacing w:line="56" w:lineRule="exact"/>
        <w:jc w:val="both"/>
        <w:rPr>
          <w:sz w:val="22"/>
          <w:szCs w:val="22"/>
          <w:lang w:val="sr-Latn-ME"/>
        </w:rPr>
      </w:pPr>
    </w:p>
    <w:p w14:paraId="74306537" w14:textId="77777777" w:rsidR="005A7F10" w:rsidRPr="00840456" w:rsidRDefault="005A7F10" w:rsidP="005A7F10">
      <w:pPr>
        <w:jc w:val="both"/>
        <w:rPr>
          <w:color w:val="000000"/>
          <w:sz w:val="22"/>
          <w:szCs w:val="22"/>
          <w:lang w:val="sr-Latn-ME"/>
        </w:rPr>
      </w:pPr>
      <w:r w:rsidRPr="00840456">
        <w:rPr>
          <w:color w:val="000000"/>
          <w:sz w:val="22"/>
          <w:szCs w:val="22"/>
          <w:lang w:val="sr-Latn-ME"/>
        </w:rPr>
        <w:t xml:space="preserve">12. mjesec </w:t>
      </w:r>
    </w:p>
    <w:p w14:paraId="7FA7E0F1" w14:textId="12341742" w:rsidR="005A7F10" w:rsidRPr="00840456" w:rsidRDefault="005A7F10" w:rsidP="005A7F10">
      <w:pPr>
        <w:jc w:val="both"/>
        <w:rPr>
          <w:sz w:val="22"/>
          <w:szCs w:val="22"/>
          <w:lang w:val="sr-Latn-ME"/>
        </w:rPr>
      </w:pPr>
      <w:r w:rsidRPr="00840456">
        <w:rPr>
          <w:noProof/>
          <w:sz w:val="22"/>
          <w:szCs w:val="22"/>
          <w:lang w:val="sr-Latn-ME"/>
        </w:rPr>
        <w:drawing>
          <wp:inline distT="0" distB="0" distL="0" distR="0" wp14:anchorId="4C9917AF" wp14:editId="2B951ADB">
            <wp:extent cx="3952875" cy="1952625"/>
            <wp:effectExtent l="0" t="0" r="0" b="0"/>
            <wp:docPr id="1372265783"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6D8864" w14:textId="77777777" w:rsidR="005A7F10" w:rsidRPr="00840456" w:rsidRDefault="005A7F10" w:rsidP="005A7F10">
      <w:pPr>
        <w:tabs>
          <w:tab w:val="left" w:pos="0"/>
        </w:tabs>
        <w:jc w:val="both"/>
        <w:rPr>
          <w:sz w:val="22"/>
          <w:szCs w:val="22"/>
          <w:lang w:val="sr-Latn-ME"/>
        </w:rPr>
      </w:pPr>
    </w:p>
    <w:p w14:paraId="13165480" w14:textId="77777777" w:rsidR="005A7F10" w:rsidRPr="00840456" w:rsidRDefault="005A7F10" w:rsidP="005A7F10">
      <w:pPr>
        <w:tabs>
          <w:tab w:val="left" w:pos="0"/>
        </w:tabs>
        <w:jc w:val="both"/>
        <w:rPr>
          <w:sz w:val="22"/>
          <w:szCs w:val="22"/>
          <w:lang w:val="sr-Latn-ME"/>
        </w:rPr>
      </w:pPr>
      <w:r w:rsidRPr="00840456">
        <w:rPr>
          <w:sz w:val="22"/>
          <w:szCs w:val="22"/>
          <w:lang w:val="sr-Latn-ME"/>
        </w:rPr>
        <w:t>24. mjesec</w:t>
      </w:r>
    </w:p>
    <w:p w14:paraId="5AB462C1" w14:textId="7D747728" w:rsidR="005A7F10" w:rsidRPr="00840456" w:rsidRDefault="005A7F10" w:rsidP="005A7F10">
      <w:pPr>
        <w:jc w:val="both"/>
        <w:rPr>
          <w:sz w:val="22"/>
          <w:szCs w:val="22"/>
          <w:lang w:val="sr-Latn-ME"/>
        </w:rPr>
      </w:pPr>
      <w:r w:rsidRPr="00840456">
        <w:rPr>
          <w:noProof/>
          <w:sz w:val="22"/>
          <w:szCs w:val="22"/>
          <w:lang w:val="sr-Latn-ME"/>
        </w:rPr>
        <w:drawing>
          <wp:inline distT="0" distB="0" distL="0" distR="0" wp14:anchorId="282E637A" wp14:editId="04CE67E5">
            <wp:extent cx="3933825" cy="1819275"/>
            <wp:effectExtent l="0" t="0" r="0" b="0"/>
            <wp:docPr id="680163165"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3D5F0D" w14:textId="20EC9D74" w:rsidR="005A7F10" w:rsidRPr="00840456" w:rsidRDefault="005A7F10" w:rsidP="005A7F10">
      <w:pPr>
        <w:widowControl w:val="0"/>
        <w:overflowPunct w:val="0"/>
        <w:autoSpaceDE w:val="0"/>
        <w:autoSpaceDN w:val="0"/>
        <w:adjustRightInd w:val="0"/>
        <w:spacing w:line="239" w:lineRule="auto"/>
        <w:jc w:val="both"/>
        <w:rPr>
          <w:sz w:val="22"/>
          <w:szCs w:val="22"/>
          <w:lang w:val="sr-Latn-ME"/>
        </w:rPr>
      </w:pPr>
      <w:r w:rsidRPr="00840456">
        <w:rPr>
          <w:sz w:val="22"/>
          <w:szCs w:val="22"/>
          <w:lang w:val="sr-Latn-ME"/>
        </w:rPr>
        <w:t>U drugoj, aktivno</w:t>
      </w:r>
      <w:r w:rsidR="002D1886" w:rsidRPr="00840456">
        <w:rPr>
          <w:sz w:val="22"/>
          <w:szCs w:val="22"/>
          <w:lang w:val="sr-Latn-ME"/>
        </w:rPr>
        <w:t>-</w:t>
      </w:r>
      <w:r w:rsidRPr="00840456">
        <w:rPr>
          <w:sz w:val="22"/>
          <w:szCs w:val="22"/>
          <w:lang w:val="sr-Latn-ME"/>
        </w:rPr>
        <w:t>kontrolisanoj, dvostruko-slijepoj randomizovanoj studiji poređena je klinička efikasnost, bezbjednost i radiografska progresija kod pacijenata sa reumatoidnim artritisom liječenih samo lijekom Enbrel (25 mg dva puta nedjeljno), samo metotreksatom (7,5 mg do 20 mg nedjeljno, prosjek 20 mg), i kombinovanom istovremenom primjenom lijeka Enbrel i metotreksata, na ukupno 682 odrasla pacijenta sa aktivnim reumatoidnim artritisom u trajanju od 6 mjeseci do 20 godina (u prosjeku 5 godina) kod kojih nije postignut zadovoljavajući odgovor na najmanje jedan antireumatik koji mijenja tok bolesti (DMARDs), osim metotreksata.</w:t>
      </w:r>
    </w:p>
    <w:p w14:paraId="2E7466DE" w14:textId="77777777" w:rsidR="005A7F10" w:rsidRPr="00840456" w:rsidRDefault="005A7F10" w:rsidP="005A7F10">
      <w:pPr>
        <w:widowControl w:val="0"/>
        <w:autoSpaceDE w:val="0"/>
        <w:autoSpaceDN w:val="0"/>
        <w:adjustRightInd w:val="0"/>
        <w:spacing w:line="235" w:lineRule="exact"/>
        <w:jc w:val="both"/>
        <w:rPr>
          <w:sz w:val="22"/>
          <w:szCs w:val="22"/>
          <w:lang w:val="sr-Latn-ME"/>
        </w:rPr>
      </w:pPr>
    </w:p>
    <w:p w14:paraId="429B10C4" w14:textId="418CBC34" w:rsidR="005A7F10" w:rsidRPr="00840456" w:rsidRDefault="005A7F10" w:rsidP="005A7F10">
      <w:pPr>
        <w:jc w:val="both"/>
        <w:rPr>
          <w:sz w:val="22"/>
          <w:szCs w:val="22"/>
          <w:lang w:val="sr-Latn-ME"/>
        </w:rPr>
      </w:pPr>
      <w:r w:rsidRPr="00840456">
        <w:rPr>
          <w:sz w:val="22"/>
          <w:szCs w:val="22"/>
          <w:lang w:val="sr-Latn-ME"/>
        </w:rPr>
        <w:t>Pacijenti u grupi koja je primala kombinovanu terapiju lijeka Enbrel i metotreksata pokazali su značajno veći procenat ACR 20, ACR 50 i ACR 70 odgovora i poboljšanja rezultata DAS i HAQ skorova i nakon 24. odnosno 52. nedjelje u odnosu na pacijente u bilo kojoj monoterapijskoj grupi (rezultati prikazani u sljedećoj tabeli). Značajna prednost kombinovane terapije lijeka Enbrel i metotreksata u odnosu na monoterapiju lijekom Enbrel i monoterapiju metotreksatom prim</w:t>
      </w:r>
      <w:r w:rsidR="002D1886" w:rsidRPr="00840456">
        <w:rPr>
          <w:sz w:val="22"/>
          <w:szCs w:val="22"/>
          <w:lang w:val="sr-Latn-ME"/>
        </w:rPr>
        <w:t>i</w:t>
      </w:r>
      <w:r w:rsidRPr="00840456">
        <w:rPr>
          <w:sz w:val="22"/>
          <w:szCs w:val="22"/>
          <w:lang w:val="sr-Latn-ME"/>
        </w:rPr>
        <w:t xml:space="preserve">jećena je i nakon 24. mjeseca. </w:t>
      </w:r>
    </w:p>
    <w:p w14:paraId="51DEF8EF" w14:textId="77777777" w:rsidR="005A7F10" w:rsidRPr="00840456" w:rsidRDefault="005A7F10" w:rsidP="005A7F10">
      <w:pPr>
        <w:jc w:val="both"/>
        <w:rPr>
          <w:sz w:val="22"/>
          <w:szCs w:val="22"/>
          <w:lang w:val="sr-Latn-ME"/>
        </w:rPr>
      </w:pPr>
    </w:p>
    <w:p w14:paraId="7200B878" w14:textId="1B6FC796" w:rsidR="005A7F10" w:rsidRPr="00840456" w:rsidRDefault="002D1886" w:rsidP="005A7F10">
      <w:pPr>
        <w:jc w:val="both"/>
        <w:rPr>
          <w:b/>
          <w:sz w:val="22"/>
          <w:szCs w:val="22"/>
          <w:lang w:val="sr-Latn-ME"/>
        </w:rPr>
      </w:pPr>
      <w:r w:rsidRPr="00840456">
        <w:rPr>
          <w:b/>
          <w:sz w:val="22"/>
          <w:szCs w:val="22"/>
          <w:lang w:val="sr-Latn-ME"/>
        </w:rPr>
        <w:t>Rezultati ispitivanja kliničke efikasnosti nakon 12 mjeseci: Enbrel vs. Metotreksa</w:t>
      </w:r>
      <w:r w:rsidR="00630104" w:rsidRPr="00840456">
        <w:rPr>
          <w:b/>
          <w:sz w:val="22"/>
          <w:szCs w:val="22"/>
          <w:lang w:val="sr-Latn-ME"/>
        </w:rPr>
        <w:t>t</w:t>
      </w:r>
      <w:r w:rsidRPr="00840456">
        <w:rPr>
          <w:b/>
          <w:sz w:val="22"/>
          <w:szCs w:val="22"/>
          <w:lang w:val="sr-Latn-ME"/>
        </w:rPr>
        <w:t xml:space="preserve"> vs. Enbrel i Metotreksat kod pacijenata sa reumatoidnim artritisom sa dužinom trajanja bolesti od 6 mjeseci do 20 godina</w:t>
      </w:r>
    </w:p>
    <w:p w14:paraId="20B1D705" w14:textId="77777777" w:rsidR="005A7F10" w:rsidRPr="00840456" w:rsidRDefault="005A7F10" w:rsidP="00815D34">
      <w:pPr>
        <w:jc w:val="center"/>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8"/>
        <w:gridCol w:w="1800"/>
        <w:gridCol w:w="1680"/>
        <w:gridCol w:w="1635"/>
      </w:tblGrid>
      <w:tr w:rsidR="005A7F10" w:rsidRPr="00840456" w14:paraId="3BE2998C" w14:textId="77777777" w:rsidTr="00AD2A61">
        <w:trPr>
          <w:jc w:val="center"/>
        </w:trPr>
        <w:tc>
          <w:tcPr>
            <w:tcW w:w="4188" w:type="dxa"/>
            <w:tcBorders>
              <w:top w:val="single" w:sz="4" w:space="0" w:color="auto"/>
              <w:left w:val="nil"/>
              <w:bottom w:val="single" w:sz="4" w:space="0" w:color="auto"/>
              <w:right w:val="nil"/>
            </w:tcBorders>
          </w:tcPr>
          <w:p w14:paraId="6192A55E" w14:textId="77777777" w:rsidR="005A7F10" w:rsidRPr="00840456" w:rsidRDefault="005A7F10" w:rsidP="00AD2A61">
            <w:pPr>
              <w:tabs>
                <w:tab w:val="left" w:pos="0"/>
              </w:tabs>
              <w:jc w:val="both"/>
              <w:rPr>
                <w:sz w:val="22"/>
                <w:szCs w:val="22"/>
                <w:lang w:val="sr-Latn-ME"/>
              </w:rPr>
            </w:pPr>
          </w:p>
          <w:p w14:paraId="51DEFD16" w14:textId="77777777" w:rsidR="005A7F10" w:rsidRPr="00840456" w:rsidRDefault="005A7F10" w:rsidP="00AD2A61">
            <w:pPr>
              <w:tabs>
                <w:tab w:val="left" w:pos="0"/>
              </w:tabs>
              <w:jc w:val="both"/>
              <w:rPr>
                <w:sz w:val="22"/>
                <w:szCs w:val="22"/>
                <w:lang w:val="sr-Latn-ME"/>
              </w:rPr>
            </w:pPr>
            <w:r w:rsidRPr="00840456">
              <w:rPr>
                <w:sz w:val="22"/>
                <w:szCs w:val="22"/>
                <w:lang w:val="sr-Latn-ME"/>
              </w:rPr>
              <w:t>Završna tačka</w:t>
            </w:r>
          </w:p>
          <w:p w14:paraId="72A00B15" w14:textId="77777777" w:rsidR="005A7F10" w:rsidRPr="00840456" w:rsidRDefault="005A7F10" w:rsidP="00AD2A61">
            <w:pPr>
              <w:tabs>
                <w:tab w:val="left" w:pos="0"/>
              </w:tabs>
              <w:jc w:val="both"/>
              <w:rPr>
                <w:sz w:val="22"/>
                <w:szCs w:val="22"/>
                <w:lang w:val="sr-Latn-ME"/>
              </w:rPr>
            </w:pPr>
          </w:p>
        </w:tc>
        <w:tc>
          <w:tcPr>
            <w:tcW w:w="1800" w:type="dxa"/>
            <w:tcBorders>
              <w:top w:val="single" w:sz="4" w:space="0" w:color="auto"/>
              <w:left w:val="nil"/>
              <w:bottom w:val="single" w:sz="4" w:space="0" w:color="auto"/>
              <w:right w:val="nil"/>
            </w:tcBorders>
          </w:tcPr>
          <w:p w14:paraId="00D61985" w14:textId="77777777" w:rsidR="005A7F10" w:rsidRPr="00840456" w:rsidRDefault="005A7F10" w:rsidP="00AD2A61">
            <w:pPr>
              <w:tabs>
                <w:tab w:val="left" w:pos="0"/>
              </w:tabs>
              <w:jc w:val="both"/>
              <w:rPr>
                <w:sz w:val="22"/>
                <w:szCs w:val="22"/>
                <w:lang w:val="sr-Latn-ME"/>
              </w:rPr>
            </w:pPr>
          </w:p>
          <w:p w14:paraId="309DC495" w14:textId="77777777" w:rsidR="005A7F10" w:rsidRPr="00840456" w:rsidRDefault="005A7F10" w:rsidP="00AD2A61">
            <w:pPr>
              <w:tabs>
                <w:tab w:val="left" w:pos="0"/>
              </w:tabs>
              <w:jc w:val="both"/>
              <w:rPr>
                <w:sz w:val="22"/>
                <w:szCs w:val="22"/>
                <w:lang w:val="sr-Latn-ME"/>
              </w:rPr>
            </w:pPr>
            <w:r w:rsidRPr="00840456">
              <w:rPr>
                <w:sz w:val="22"/>
                <w:szCs w:val="22"/>
                <w:lang w:val="sr-Latn-ME"/>
              </w:rPr>
              <w:t>Metotreksat</w:t>
            </w:r>
          </w:p>
          <w:p w14:paraId="2F8B43A0" w14:textId="77777777" w:rsidR="005A7F10" w:rsidRPr="00840456" w:rsidRDefault="005A7F10" w:rsidP="00AD2A61">
            <w:pPr>
              <w:tabs>
                <w:tab w:val="left" w:pos="0"/>
              </w:tabs>
              <w:jc w:val="both"/>
              <w:rPr>
                <w:sz w:val="22"/>
                <w:szCs w:val="22"/>
                <w:lang w:val="sr-Latn-ME"/>
              </w:rPr>
            </w:pPr>
            <w:r w:rsidRPr="00840456">
              <w:rPr>
                <w:sz w:val="22"/>
                <w:szCs w:val="22"/>
                <w:lang w:val="sr-Latn-ME"/>
              </w:rPr>
              <w:t>(n=228)</w:t>
            </w:r>
          </w:p>
        </w:tc>
        <w:tc>
          <w:tcPr>
            <w:tcW w:w="1680" w:type="dxa"/>
            <w:tcBorders>
              <w:top w:val="single" w:sz="4" w:space="0" w:color="auto"/>
              <w:left w:val="nil"/>
              <w:bottom w:val="single" w:sz="4" w:space="0" w:color="auto"/>
              <w:right w:val="nil"/>
            </w:tcBorders>
          </w:tcPr>
          <w:p w14:paraId="0CAE18A6" w14:textId="77777777" w:rsidR="005A7F10" w:rsidRPr="00840456" w:rsidRDefault="005A7F10" w:rsidP="00AD2A61">
            <w:pPr>
              <w:tabs>
                <w:tab w:val="left" w:pos="0"/>
              </w:tabs>
              <w:jc w:val="both"/>
              <w:rPr>
                <w:sz w:val="22"/>
                <w:szCs w:val="22"/>
                <w:lang w:val="sr-Latn-ME"/>
              </w:rPr>
            </w:pPr>
          </w:p>
          <w:p w14:paraId="0DF44707" w14:textId="77777777" w:rsidR="005A7F10" w:rsidRPr="00840456" w:rsidRDefault="005A7F10" w:rsidP="00AD2A61">
            <w:pPr>
              <w:tabs>
                <w:tab w:val="left" w:pos="0"/>
              </w:tabs>
              <w:jc w:val="both"/>
              <w:rPr>
                <w:sz w:val="22"/>
                <w:szCs w:val="22"/>
                <w:lang w:val="sr-Latn-ME"/>
              </w:rPr>
            </w:pPr>
            <w:r w:rsidRPr="00840456">
              <w:rPr>
                <w:sz w:val="22"/>
                <w:szCs w:val="22"/>
                <w:lang w:val="sr-Latn-ME"/>
              </w:rPr>
              <w:t>Enbrel</w:t>
            </w:r>
          </w:p>
          <w:p w14:paraId="6F55818A" w14:textId="77777777" w:rsidR="005A7F10" w:rsidRPr="00840456" w:rsidRDefault="005A7F10" w:rsidP="00AD2A61">
            <w:pPr>
              <w:tabs>
                <w:tab w:val="left" w:pos="0"/>
              </w:tabs>
              <w:jc w:val="both"/>
              <w:rPr>
                <w:sz w:val="22"/>
                <w:szCs w:val="22"/>
                <w:lang w:val="sr-Latn-ME"/>
              </w:rPr>
            </w:pPr>
            <w:r w:rsidRPr="00840456">
              <w:rPr>
                <w:sz w:val="22"/>
                <w:szCs w:val="22"/>
                <w:lang w:val="sr-Latn-ME"/>
              </w:rPr>
              <w:t>(n=223)</w:t>
            </w:r>
          </w:p>
        </w:tc>
        <w:tc>
          <w:tcPr>
            <w:tcW w:w="1635" w:type="dxa"/>
            <w:tcBorders>
              <w:top w:val="single" w:sz="4" w:space="0" w:color="auto"/>
              <w:left w:val="nil"/>
              <w:bottom w:val="single" w:sz="4" w:space="0" w:color="auto"/>
              <w:right w:val="nil"/>
            </w:tcBorders>
          </w:tcPr>
          <w:p w14:paraId="3E5770D9" w14:textId="77777777" w:rsidR="005A7F10" w:rsidRPr="00840456" w:rsidRDefault="005A7F10" w:rsidP="00AD2A61">
            <w:pPr>
              <w:tabs>
                <w:tab w:val="left" w:pos="0"/>
              </w:tabs>
              <w:jc w:val="both"/>
              <w:rPr>
                <w:sz w:val="22"/>
                <w:szCs w:val="22"/>
                <w:lang w:val="sr-Latn-ME"/>
              </w:rPr>
            </w:pPr>
            <w:r w:rsidRPr="00840456">
              <w:rPr>
                <w:sz w:val="22"/>
                <w:szCs w:val="22"/>
                <w:lang w:val="sr-Latn-ME"/>
              </w:rPr>
              <w:t>Enbrel +</w:t>
            </w:r>
          </w:p>
          <w:p w14:paraId="3B9111AB" w14:textId="77777777" w:rsidR="005A7F10" w:rsidRPr="00840456" w:rsidRDefault="005A7F10" w:rsidP="00AD2A61">
            <w:pPr>
              <w:tabs>
                <w:tab w:val="left" w:pos="0"/>
              </w:tabs>
              <w:jc w:val="both"/>
              <w:rPr>
                <w:sz w:val="22"/>
                <w:szCs w:val="22"/>
                <w:lang w:val="sr-Latn-ME"/>
              </w:rPr>
            </w:pPr>
            <w:r w:rsidRPr="00840456">
              <w:rPr>
                <w:sz w:val="22"/>
                <w:szCs w:val="22"/>
                <w:lang w:val="sr-Latn-ME"/>
              </w:rPr>
              <w:t>metotreksat</w:t>
            </w:r>
          </w:p>
          <w:p w14:paraId="475FA8FC" w14:textId="77777777" w:rsidR="005A7F10" w:rsidRPr="00840456" w:rsidRDefault="005A7F10" w:rsidP="00AD2A61">
            <w:pPr>
              <w:tabs>
                <w:tab w:val="left" w:pos="0"/>
              </w:tabs>
              <w:jc w:val="both"/>
              <w:rPr>
                <w:sz w:val="22"/>
                <w:szCs w:val="22"/>
                <w:lang w:val="sr-Latn-ME"/>
              </w:rPr>
            </w:pPr>
            <w:r w:rsidRPr="00840456">
              <w:rPr>
                <w:sz w:val="22"/>
                <w:szCs w:val="22"/>
                <w:lang w:val="sr-Latn-ME"/>
              </w:rPr>
              <w:t>(n=231)</w:t>
            </w:r>
          </w:p>
        </w:tc>
      </w:tr>
      <w:tr w:rsidR="005A7F10" w:rsidRPr="00840456" w14:paraId="5BF8B6C5" w14:textId="77777777" w:rsidTr="00AD2A61">
        <w:trPr>
          <w:jc w:val="center"/>
        </w:trPr>
        <w:tc>
          <w:tcPr>
            <w:tcW w:w="4188" w:type="dxa"/>
            <w:tcBorders>
              <w:top w:val="single" w:sz="4" w:space="0" w:color="auto"/>
              <w:left w:val="nil"/>
              <w:bottom w:val="nil"/>
              <w:right w:val="nil"/>
            </w:tcBorders>
          </w:tcPr>
          <w:p w14:paraId="7F296D11" w14:textId="77777777" w:rsidR="005A7F10" w:rsidRPr="00840456" w:rsidRDefault="005A7F10" w:rsidP="00AD2A61">
            <w:pPr>
              <w:tabs>
                <w:tab w:val="left" w:pos="0"/>
              </w:tabs>
              <w:jc w:val="both"/>
              <w:rPr>
                <w:sz w:val="22"/>
                <w:szCs w:val="22"/>
                <w:lang w:val="sr-Latn-ME"/>
              </w:rPr>
            </w:pPr>
          </w:p>
          <w:p w14:paraId="734A23E0" w14:textId="77777777" w:rsidR="005A7F10" w:rsidRPr="00840456" w:rsidRDefault="005A7F10" w:rsidP="00AD2A61">
            <w:pPr>
              <w:tabs>
                <w:tab w:val="left" w:pos="0"/>
              </w:tabs>
              <w:jc w:val="both"/>
              <w:rPr>
                <w:sz w:val="22"/>
                <w:szCs w:val="22"/>
                <w:lang w:val="sr-Latn-ME"/>
              </w:rPr>
            </w:pPr>
            <w:r w:rsidRPr="00840456">
              <w:rPr>
                <w:sz w:val="22"/>
                <w:szCs w:val="22"/>
                <w:lang w:val="sr-Latn-ME"/>
              </w:rPr>
              <w:t>ACR rezultati</w:t>
            </w:r>
            <w:r w:rsidRPr="00840456">
              <w:rPr>
                <w:sz w:val="22"/>
                <w:szCs w:val="22"/>
                <w:vertAlign w:val="superscript"/>
                <w:lang w:val="sr-Latn-ME"/>
              </w:rPr>
              <w:t>a</w:t>
            </w:r>
          </w:p>
          <w:p w14:paraId="7E4F4E91" w14:textId="77777777" w:rsidR="005A7F10" w:rsidRPr="00840456" w:rsidRDefault="005A7F10" w:rsidP="00AD2A61">
            <w:pPr>
              <w:tabs>
                <w:tab w:val="left" w:pos="0"/>
              </w:tabs>
              <w:jc w:val="both"/>
              <w:rPr>
                <w:sz w:val="22"/>
                <w:szCs w:val="22"/>
                <w:lang w:val="sr-Latn-ME"/>
              </w:rPr>
            </w:pPr>
            <w:r w:rsidRPr="00840456">
              <w:rPr>
                <w:sz w:val="22"/>
                <w:szCs w:val="22"/>
                <w:lang w:val="sr-Latn-ME"/>
              </w:rPr>
              <w:t>ACR 20</w:t>
            </w:r>
          </w:p>
          <w:p w14:paraId="43861D2B" w14:textId="77777777" w:rsidR="005A7F10" w:rsidRPr="00840456" w:rsidRDefault="005A7F10" w:rsidP="00AD2A61">
            <w:pPr>
              <w:tabs>
                <w:tab w:val="left" w:pos="0"/>
              </w:tabs>
              <w:jc w:val="both"/>
              <w:rPr>
                <w:sz w:val="22"/>
                <w:szCs w:val="22"/>
                <w:lang w:val="sr-Latn-ME"/>
              </w:rPr>
            </w:pPr>
            <w:r w:rsidRPr="00840456">
              <w:rPr>
                <w:sz w:val="22"/>
                <w:szCs w:val="22"/>
                <w:lang w:val="sr-Latn-ME"/>
              </w:rPr>
              <w:t>ACR 50</w:t>
            </w:r>
          </w:p>
          <w:p w14:paraId="0B19C447" w14:textId="77777777" w:rsidR="005A7F10" w:rsidRPr="00840456" w:rsidRDefault="005A7F10" w:rsidP="00AD2A61">
            <w:pPr>
              <w:tabs>
                <w:tab w:val="left" w:pos="0"/>
              </w:tabs>
              <w:jc w:val="both"/>
              <w:rPr>
                <w:sz w:val="22"/>
                <w:szCs w:val="22"/>
                <w:lang w:val="sr-Latn-ME"/>
              </w:rPr>
            </w:pPr>
            <w:r w:rsidRPr="00840456">
              <w:rPr>
                <w:sz w:val="22"/>
                <w:szCs w:val="22"/>
                <w:lang w:val="sr-Latn-ME"/>
              </w:rPr>
              <w:t>ACR 70</w:t>
            </w:r>
          </w:p>
        </w:tc>
        <w:tc>
          <w:tcPr>
            <w:tcW w:w="1800" w:type="dxa"/>
            <w:tcBorders>
              <w:top w:val="single" w:sz="4" w:space="0" w:color="auto"/>
              <w:left w:val="nil"/>
              <w:bottom w:val="nil"/>
              <w:right w:val="nil"/>
            </w:tcBorders>
          </w:tcPr>
          <w:p w14:paraId="768BA078" w14:textId="77777777" w:rsidR="005A7F10" w:rsidRPr="00840456" w:rsidRDefault="005A7F10" w:rsidP="00AD2A61">
            <w:pPr>
              <w:tabs>
                <w:tab w:val="left" w:pos="0"/>
              </w:tabs>
              <w:jc w:val="both"/>
              <w:rPr>
                <w:sz w:val="22"/>
                <w:szCs w:val="22"/>
                <w:lang w:val="sr-Latn-ME"/>
              </w:rPr>
            </w:pPr>
          </w:p>
          <w:p w14:paraId="65982323" w14:textId="77777777" w:rsidR="005A7F10" w:rsidRPr="00840456" w:rsidRDefault="005A7F10" w:rsidP="00AD2A61">
            <w:pPr>
              <w:tabs>
                <w:tab w:val="left" w:pos="0"/>
              </w:tabs>
              <w:jc w:val="both"/>
              <w:rPr>
                <w:sz w:val="22"/>
                <w:szCs w:val="22"/>
                <w:lang w:val="sr-Latn-ME"/>
              </w:rPr>
            </w:pPr>
          </w:p>
          <w:p w14:paraId="1888E62F" w14:textId="77777777" w:rsidR="005A7F10" w:rsidRPr="00840456" w:rsidRDefault="005A7F10" w:rsidP="00AD2A61">
            <w:pPr>
              <w:tabs>
                <w:tab w:val="left" w:pos="0"/>
              </w:tabs>
              <w:jc w:val="both"/>
              <w:rPr>
                <w:sz w:val="22"/>
                <w:szCs w:val="22"/>
                <w:lang w:val="sr-Latn-ME"/>
              </w:rPr>
            </w:pPr>
            <w:r w:rsidRPr="00840456">
              <w:rPr>
                <w:sz w:val="22"/>
                <w:szCs w:val="22"/>
                <w:lang w:val="sr-Latn-ME"/>
              </w:rPr>
              <w:t>58,8%</w:t>
            </w:r>
          </w:p>
          <w:p w14:paraId="56F36533" w14:textId="77777777" w:rsidR="005A7F10" w:rsidRPr="00840456" w:rsidRDefault="005A7F10" w:rsidP="00AD2A61">
            <w:pPr>
              <w:tabs>
                <w:tab w:val="left" w:pos="0"/>
              </w:tabs>
              <w:jc w:val="both"/>
              <w:rPr>
                <w:sz w:val="22"/>
                <w:szCs w:val="22"/>
                <w:lang w:val="sr-Latn-ME"/>
              </w:rPr>
            </w:pPr>
            <w:r w:rsidRPr="00840456">
              <w:rPr>
                <w:sz w:val="22"/>
                <w:szCs w:val="22"/>
                <w:lang w:val="sr-Latn-ME"/>
              </w:rPr>
              <w:t>36,4%</w:t>
            </w:r>
          </w:p>
          <w:p w14:paraId="527E4458" w14:textId="77777777" w:rsidR="005A7F10" w:rsidRPr="00840456" w:rsidRDefault="005A7F10" w:rsidP="00AD2A61">
            <w:pPr>
              <w:tabs>
                <w:tab w:val="left" w:pos="0"/>
              </w:tabs>
              <w:jc w:val="both"/>
              <w:rPr>
                <w:sz w:val="22"/>
                <w:szCs w:val="22"/>
                <w:lang w:val="sr-Latn-ME"/>
              </w:rPr>
            </w:pPr>
            <w:r w:rsidRPr="00840456">
              <w:rPr>
                <w:sz w:val="22"/>
                <w:szCs w:val="22"/>
                <w:lang w:val="sr-Latn-ME"/>
              </w:rPr>
              <w:t>16,7%</w:t>
            </w:r>
          </w:p>
        </w:tc>
        <w:tc>
          <w:tcPr>
            <w:tcW w:w="1680" w:type="dxa"/>
            <w:tcBorders>
              <w:top w:val="single" w:sz="4" w:space="0" w:color="auto"/>
              <w:left w:val="nil"/>
              <w:bottom w:val="nil"/>
              <w:right w:val="nil"/>
            </w:tcBorders>
          </w:tcPr>
          <w:p w14:paraId="5110D69C" w14:textId="77777777" w:rsidR="005A7F10" w:rsidRPr="00840456" w:rsidRDefault="005A7F10" w:rsidP="00AD2A61">
            <w:pPr>
              <w:tabs>
                <w:tab w:val="left" w:pos="0"/>
              </w:tabs>
              <w:jc w:val="both"/>
              <w:rPr>
                <w:sz w:val="22"/>
                <w:szCs w:val="22"/>
                <w:lang w:val="sr-Latn-ME"/>
              </w:rPr>
            </w:pPr>
          </w:p>
          <w:p w14:paraId="0E05F511" w14:textId="77777777" w:rsidR="005A7F10" w:rsidRPr="00840456" w:rsidRDefault="005A7F10" w:rsidP="00AD2A61">
            <w:pPr>
              <w:tabs>
                <w:tab w:val="left" w:pos="0"/>
              </w:tabs>
              <w:jc w:val="both"/>
              <w:rPr>
                <w:sz w:val="22"/>
                <w:szCs w:val="22"/>
                <w:lang w:val="sr-Latn-ME"/>
              </w:rPr>
            </w:pPr>
          </w:p>
          <w:p w14:paraId="15975137" w14:textId="77777777" w:rsidR="005A7F10" w:rsidRPr="00840456" w:rsidRDefault="005A7F10" w:rsidP="00AD2A61">
            <w:pPr>
              <w:tabs>
                <w:tab w:val="left" w:pos="0"/>
              </w:tabs>
              <w:jc w:val="both"/>
              <w:rPr>
                <w:sz w:val="22"/>
                <w:szCs w:val="22"/>
                <w:lang w:val="sr-Latn-ME"/>
              </w:rPr>
            </w:pPr>
            <w:r w:rsidRPr="00840456">
              <w:rPr>
                <w:sz w:val="22"/>
                <w:szCs w:val="22"/>
                <w:lang w:val="sr-Latn-ME"/>
              </w:rPr>
              <w:t>65,5%</w:t>
            </w:r>
          </w:p>
          <w:p w14:paraId="69135BC2" w14:textId="77777777" w:rsidR="005A7F10" w:rsidRPr="00840456" w:rsidRDefault="005A7F10" w:rsidP="00AD2A61">
            <w:pPr>
              <w:tabs>
                <w:tab w:val="left" w:pos="0"/>
              </w:tabs>
              <w:jc w:val="both"/>
              <w:rPr>
                <w:sz w:val="22"/>
                <w:szCs w:val="22"/>
                <w:lang w:val="sr-Latn-ME"/>
              </w:rPr>
            </w:pPr>
            <w:r w:rsidRPr="00840456">
              <w:rPr>
                <w:sz w:val="22"/>
                <w:szCs w:val="22"/>
                <w:lang w:val="sr-Latn-ME"/>
              </w:rPr>
              <w:t>43,0%</w:t>
            </w:r>
          </w:p>
          <w:p w14:paraId="26B404D5" w14:textId="77777777" w:rsidR="005A7F10" w:rsidRPr="00840456" w:rsidRDefault="005A7F10" w:rsidP="00AD2A61">
            <w:pPr>
              <w:tabs>
                <w:tab w:val="left" w:pos="0"/>
              </w:tabs>
              <w:jc w:val="both"/>
              <w:rPr>
                <w:sz w:val="22"/>
                <w:szCs w:val="22"/>
                <w:lang w:val="sr-Latn-ME"/>
              </w:rPr>
            </w:pPr>
            <w:r w:rsidRPr="00840456">
              <w:rPr>
                <w:sz w:val="22"/>
                <w:szCs w:val="22"/>
                <w:lang w:val="sr-Latn-ME"/>
              </w:rPr>
              <w:t>22,0%</w:t>
            </w:r>
          </w:p>
        </w:tc>
        <w:tc>
          <w:tcPr>
            <w:tcW w:w="1635" w:type="dxa"/>
            <w:tcBorders>
              <w:top w:val="single" w:sz="4" w:space="0" w:color="auto"/>
              <w:left w:val="nil"/>
              <w:bottom w:val="nil"/>
              <w:right w:val="nil"/>
            </w:tcBorders>
          </w:tcPr>
          <w:p w14:paraId="632A33AC" w14:textId="77777777" w:rsidR="005A7F10" w:rsidRPr="00840456" w:rsidRDefault="005A7F10" w:rsidP="00AD2A61">
            <w:pPr>
              <w:tabs>
                <w:tab w:val="left" w:pos="0"/>
              </w:tabs>
              <w:jc w:val="both"/>
              <w:rPr>
                <w:sz w:val="22"/>
                <w:szCs w:val="22"/>
                <w:lang w:val="sr-Latn-ME"/>
              </w:rPr>
            </w:pPr>
          </w:p>
          <w:p w14:paraId="650D3495" w14:textId="77777777" w:rsidR="005A7F10" w:rsidRPr="00840456" w:rsidRDefault="005A7F10" w:rsidP="00AD2A61">
            <w:pPr>
              <w:tabs>
                <w:tab w:val="left" w:pos="0"/>
              </w:tabs>
              <w:jc w:val="both"/>
              <w:rPr>
                <w:sz w:val="22"/>
                <w:szCs w:val="22"/>
                <w:lang w:val="sr-Latn-ME"/>
              </w:rPr>
            </w:pPr>
          </w:p>
          <w:p w14:paraId="46A735EF" w14:textId="77777777" w:rsidR="005A7F10" w:rsidRPr="00840456" w:rsidRDefault="005A7F10" w:rsidP="00AD2A61">
            <w:pPr>
              <w:tabs>
                <w:tab w:val="left" w:pos="0"/>
              </w:tabs>
              <w:jc w:val="both"/>
              <w:rPr>
                <w:sz w:val="22"/>
                <w:szCs w:val="22"/>
                <w:lang w:val="sr-Latn-ME"/>
              </w:rPr>
            </w:pPr>
            <w:r w:rsidRPr="00840456">
              <w:rPr>
                <w:sz w:val="22"/>
                <w:szCs w:val="22"/>
                <w:lang w:val="sr-Latn-ME"/>
              </w:rPr>
              <w:t>74,5%</w:t>
            </w:r>
            <w:r w:rsidRPr="00840456">
              <w:rPr>
                <w:sz w:val="22"/>
                <w:szCs w:val="22"/>
                <w:vertAlign w:val="superscript"/>
                <w:lang w:val="sr-Latn-ME"/>
              </w:rPr>
              <w:t>†,ф</w:t>
            </w:r>
          </w:p>
          <w:p w14:paraId="17CCEAB1" w14:textId="77777777" w:rsidR="005A7F10" w:rsidRPr="00840456" w:rsidRDefault="005A7F10" w:rsidP="00AD2A61">
            <w:pPr>
              <w:tabs>
                <w:tab w:val="left" w:pos="0"/>
              </w:tabs>
              <w:jc w:val="both"/>
              <w:rPr>
                <w:sz w:val="22"/>
                <w:szCs w:val="22"/>
                <w:lang w:val="sr-Latn-ME"/>
              </w:rPr>
            </w:pPr>
            <w:r w:rsidRPr="00840456">
              <w:rPr>
                <w:sz w:val="22"/>
                <w:szCs w:val="22"/>
                <w:lang w:val="sr-Latn-ME"/>
              </w:rPr>
              <w:t>63,2%</w:t>
            </w:r>
            <w:r w:rsidRPr="00840456">
              <w:rPr>
                <w:sz w:val="22"/>
                <w:szCs w:val="22"/>
                <w:vertAlign w:val="superscript"/>
                <w:lang w:val="sr-Latn-ME"/>
              </w:rPr>
              <w:t>†,ф</w:t>
            </w:r>
          </w:p>
          <w:p w14:paraId="2B544C1D" w14:textId="77777777" w:rsidR="005A7F10" w:rsidRPr="00840456" w:rsidRDefault="005A7F10" w:rsidP="00AD2A61">
            <w:pPr>
              <w:tabs>
                <w:tab w:val="left" w:pos="0"/>
              </w:tabs>
              <w:jc w:val="both"/>
              <w:rPr>
                <w:sz w:val="22"/>
                <w:szCs w:val="22"/>
                <w:lang w:val="sr-Latn-ME"/>
              </w:rPr>
            </w:pPr>
            <w:r w:rsidRPr="00840456">
              <w:rPr>
                <w:sz w:val="22"/>
                <w:szCs w:val="22"/>
                <w:lang w:val="sr-Latn-ME"/>
              </w:rPr>
              <w:t>39,8%</w:t>
            </w:r>
            <w:r w:rsidRPr="00840456">
              <w:rPr>
                <w:sz w:val="22"/>
                <w:szCs w:val="22"/>
                <w:vertAlign w:val="superscript"/>
                <w:lang w:val="sr-Latn-ME"/>
              </w:rPr>
              <w:t>†,ф</w:t>
            </w:r>
          </w:p>
        </w:tc>
      </w:tr>
      <w:tr w:rsidR="005A7F10" w:rsidRPr="00840456" w14:paraId="486EB18E" w14:textId="77777777" w:rsidTr="00AD2A61">
        <w:trPr>
          <w:jc w:val="center"/>
        </w:trPr>
        <w:tc>
          <w:tcPr>
            <w:tcW w:w="4188" w:type="dxa"/>
            <w:tcBorders>
              <w:top w:val="nil"/>
              <w:left w:val="nil"/>
              <w:bottom w:val="nil"/>
              <w:right w:val="nil"/>
            </w:tcBorders>
          </w:tcPr>
          <w:p w14:paraId="6F889348" w14:textId="77777777" w:rsidR="005A7F10" w:rsidRPr="00840456" w:rsidRDefault="005A7F10" w:rsidP="00AD2A61">
            <w:pPr>
              <w:tabs>
                <w:tab w:val="left" w:pos="0"/>
              </w:tabs>
              <w:jc w:val="both"/>
              <w:rPr>
                <w:sz w:val="22"/>
                <w:szCs w:val="22"/>
                <w:lang w:val="sr-Latn-ME"/>
              </w:rPr>
            </w:pPr>
          </w:p>
          <w:p w14:paraId="65872AB0" w14:textId="77777777" w:rsidR="005A7F10" w:rsidRPr="00840456" w:rsidRDefault="005A7F10" w:rsidP="00AD2A61">
            <w:pPr>
              <w:tabs>
                <w:tab w:val="left" w:pos="0"/>
              </w:tabs>
              <w:jc w:val="both"/>
              <w:rPr>
                <w:sz w:val="22"/>
                <w:szCs w:val="22"/>
                <w:lang w:val="sr-Latn-ME"/>
              </w:rPr>
            </w:pPr>
            <w:r w:rsidRPr="00840456">
              <w:rPr>
                <w:sz w:val="22"/>
                <w:szCs w:val="22"/>
                <w:u w:val="single"/>
                <w:lang w:val="sr-Latn-ME"/>
              </w:rPr>
              <w:lastRenderedPageBreak/>
              <w:t xml:space="preserve">DAS </w:t>
            </w:r>
            <w:r w:rsidRPr="00840456">
              <w:rPr>
                <w:sz w:val="22"/>
                <w:szCs w:val="22"/>
                <w:lang w:val="sr-Latn-ME"/>
              </w:rPr>
              <w:t xml:space="preserve"> </w:t>
            </w:r>
          </w:p>
          <w:p w14:paraId="0D7D93C2" w14:textId="77777777" w:rsidR="005A7F10" w:rsidRPr="00840456" w:rsidRDefault="005A7F10" w:rsidP="00AD2A61">
            <w:pPr>
              <w:tabs>
                <w:tab w:val="left" w:pos="0"/>
              </w:tabs>
              <w:jc w:val="both"/>
              <w:rPr>
                <w:sz w:val="22"/>
                <w:szCs w:val="22"/>
                <w:lang w:val="sr-Latn-ME"/>
              </w:rPr>
            </w:pPr>
            <w:r w:rsidRPr="00840456">
              <w:rPr>
                <w:sz w:val="22"/>
                <w:szCs w:val="22"/>
                <w:lang w:val="sr-Latn-ME"/>
              </w:rPr>
              <w:t>Početni rezultat</w:t>
            </w:r>
            <w:r w:rsidRPr="00840456">
              <w:rPr>
                <w:sz w:val="22"/>
                <w:szCs w:val="22"/>
                <w:vertAlign w:val="superscript"/>
                <w:lang w:val="sr-Latn-ME"/>
              </w:rPr>
              <w:t>b</w:t>
            </w:r>
          </w:p>
          <w:p w14:paraId="259A2995" w14:textId="77777777" w:rsidR="005A7F10" w:rsidRPr="00840456" w:rsidRDefault="005A7F10" w:rsidP="00AD2A61">
            <w:pPr>
              <w:tabs>
                <w:tab w:val="left" w:pos="0"/>
              </w:tabs>
              <w:jc w:val="both"/>
              <w:rPr>
                <w:sz w:val="22"/>
                <w:szCs w:val="22"/>
                <w:lang w:val="sr-Latn-ME"/>
              </w:rPr>
            </w:pPr>
            <w:r w:rsidRPr="00840456">
              <w:rPr>
                <w:sz w:val="22"/>
                <w:szCs w:val="22"/>
                <w:lang w:val="sr-Latn-ME"/>
              </w:rPr>
              <w:t>Rezultat u 52. nedjelji</w:t>
            </w:r>
            <w:r w:rsidRPr="00840456">
              <w:rPr>
                <w:sz w:val="22"/>
                <w:szCs w:val="22"/>
                <w:vertAlign w:val="superscript"/>
                <w:lang w:val="sr-Latn-ME"/>
              </w:rPr>
              <w:t>b</w:t>
            </w:r>
          </w:p>
          <w:p w14:paraId="263A0422" w14:textId="77777777" w:rsidR="005A7F10" w:rsidRPr="00840456" w:rsidRDefault="005A7F10" w:rsidP="00AD2A61">
            <w:pPr>
              <w:tabs>
                <w:tab w:val="left" w:pos="0"/>
              </w:tabs>
              <w:jc w:val="both"/>
              <w:rPr>
                <w:sz w:val="22"/>
                <w:szCs w:val="22"/>
                <w:lang w:val="sr-Latn-ME"/>
              </w:rPr>
            </w:pPr>
            <w:r w:rsidRPr="00840456">
              <w:rPr>
                <w:sz w:val="22"/>
                <w:szCs w:val="22"/>
                <w:lang w:val="sr-Latn-ME"/>
              </w:rPr>
              <w:t>Remisija</w:t>
            </w:r>
            <w:r w:rsidRPr="00840456">
              <w:rPr>
                <w:sz w:val="22"/>
                <w:szCs w:val="22"/>
                <w:vertAlign w:val="superscript"/>
                <w:lang w:val="sr-Latn-ME"/>
              </w:rPr>
              <w:t>c</w:t>
            </w:r>
          </w:p>
        </w:tc>
        <w:tc>
          <w:tcPr>
            <w:tcW w:w="1800" w:type="dxa"/>
            <w:tcBorders>
              <w:top w:val="nil"/>
              <w:left w:val="nil"/>
              <w:bottom w:val="nil"/>
              <w:right w:val="nil"/>
            </w:tcBorders>
          </w:tcPr>
          <w:p w14:paraId="1ABD5F60" w14:textId="77777777" w:rsidR="005A7F10" w:rsidRPr="00840456" w:rsidRDefault="005A7F10" w:rsidP="00AD2A61">
            <w:pPr>
              <w:tabs>
                <w:tab w:val="left" w:pos="0"/>
              </w:tabs>
              <w:jc w:val="both"/>
              <w:rPr>
                <w:sz w:val="22"/>
                <w:szCs w:val="22"/>
                <w:lang w:val="sr-Latn-ME"/>
              </w:rPr>
            </w:pPr>
          </w:p>
          <w:p w14:paraId="6E00A33D" w14:textId="77777777" w:rsidR="005A7F10" w:rsidRPr="00840456" w:rsidRDefault="005A7F10" w:rsidP="00AD2A61">
            <w:pPr>
              <w:tabs>
                <w:tab w:val="left" w:pos="0"/>
              </w:tabs>
              <w:jc w:val="both"/>
              <w:rPr>
                <w:sz w:val="22"/>
                <w:szCs w:val="22"/>
                <w:lang w:val="sr-Latn-ME"/>
              </w:rPr>
            </w:pPr>
          </w:p>
          <w:p w14:paraId="2983524C" w14:textId="77777777" w:rsidR="005A7F10" w:rsidRPr="00840456" w:rsidRDefault="005A7F10" w:rsidP="00AD2A61">
            <w:pPr>
              <w:tabs>
                <w:tab w:val="left" w:pos="0"/>
              </w:tabs>
              <w:jc w:val="both"/>
              <w:rPr>
                <w:sz w:val="22"/>
                <w:szCs w:val="22"/>
                <w:lang w:val="sr-Latn-ME"/>
              </w:rPr>
            </w:pPr>
            <w:r w:rsidRPr="00840456">
              <w:rPr>
                <w:sz w:val="22"/>
                <w:szCs w:val="22"/>
                <w:lang w:val="sr-Latn-ME"/>
              </w:rPr>
              <w:t>5,5</w:t>
            </w:r>
          </w:p>
          <w:p w14:paraId="2DF90042" w14:textId="77777777" w:rsidR="005A7F10" w:rsidRPr="00840456" w:rsidRDefault="005A7F10" w:rsidP="00AD2A61">
            <w:pPr>
              <w:tabs>
                <w:tab w:val="left" w:pos="0"/>
              </w:tabs>
              <w:jc w:val="both"/>
              <w:rPr>
                <w:sz w:val="22"/>
                <w:szCs w:val="22"/>
                <w:lang w:val="sr-Latn-ME"/>
              </w:rPr>
            </w:pPr>
            <w:r w:rsidRPr="00840456">
              <w:rPr>
                <w:sz w:val="22"/>
                <w:szCs w:val="22"/>
                <w:lang w:val="sr-Latn-ME"/>
              </w:rPr>
              <w:t>3,0</w:t>
            </w:r>
          </w:p>
          <w:p w14:paraId="448BA4DD" w14:textId="77777777" w:rsidR="005A7F10" w:rsidRPr="00840456" w:rsidRDefault="005A7F10" w:rsidP="00AD2A61">
            <w:pPr>
              <w:tabs>
                <w:tab w:val="left" w:pos="0"/>
              </w:tabs>
              <w:jc w:val="both"/>
              <w:rPr>
                <w:sz w:val="22"/>
                <w:szCs w:val="22"/>
                <w:lang w:val="sr-Latn-ME"/>
              </w:rPr>
            </w:pPr>
            <w:r w:rsidRPr="00840456">
              <w:rPr>
                <w:sz w:val="22"/>
                <w:szCs w:val="22"/>
                <w:lang w:val="sr-Latn-ME"/>
              </w:rPr>
              <w:t>14%</w:t>
            </w:r>
          </w:p>
        </w:tc>
        <w:tc>
          <w:tcPr>
            <w:tcW w:w="1680" w:type="dxa"/>
            <w:tcBorders>
              <w:top w:val="nil"/>
              <w:left w:val="nil"/>
              <w:bottom w:val="nil"/>
              <w:right w:val="nil"/>
            </w:tcBorders>
          </w:tcPr>
          <w:p w14:paraId="3C4097AA" w14:textId="77777777" w:rsidR="005A7F10" w:rsidRPr="00840456" w:rsidRDefault="005A7F10" w:rsidP="00AD2A61">
            <w:pPr>
              <w:tabs>
                <w:tab w:val="left" w:pos="0"/>
              </w:tabs>
              <w:jc w:val="both"/>
              <w:rPr>
                <w:sz w:val="22"/>
                <w:szCs w:val="22"/>
                <w:lang w:val="sr-Latn-ME"/>
              </w:rPr>
            </w:pPr>
          </w:p>
          <w:p w14:paraId="15072562" w14:textId="77777777" w:rsidR="005A7F10" w:rsidRPr="00840456" w:rsidRDefault="005A7F10" w:rsidP="00AD2A61">
            <w:pPr>
              <w:tabs>
                <w:tab w:val="left" w:pos="0"/>
              </w:tabs>
              <w:jc w:val="both"/>
              <w:rPr>
                <w:sz w:val="22"/>
                <w:szCs w:val="22"/>
                <w:lang w:val="sr-Latn-ME"/>
              </w:rPr>
            </w:pPr>
          </w:p>
          <w:p w14:paraId="4E31E529" w14:textId="77777777" w:rsidR="005A7F10" w:rsidRPr="00840456" w:rsidRDefault="005A7F10" w:rsidP="00AD2A61">
            <w:pPr>
              <w:tabs>
                <w:tab w:val="left" w:pos="0"/>
              </w:tabs>
              <w:jc w:val="both"/>
              <w:rPr>
                <w:sz w:val="22"/>
                <w:szCs w:val="22"/>
                <w:lang w:val="sr-Latn-ME"/>
              </w:rPr>
            </w:pPr>
            <w:r w:rsidRPr="00840456">
              <w:rPr>
                <w:sz w:val="22"/>
                <w:szCs w:val="22"/>
                <w:lang w:val="sr-Latn-ME"/>
              </w:rPr>
              <w:t>5,7</w:t>
            </w:r>
          </w:p>
          <w:p w14:paraId="6B313773" w14:textId="77777777" w:rsidR="005A7F10" w:rsidRPr="00840456" w:rsidRDefault="005A7F10" w:rsidP="00AD2A61">
            <w:pPr>
              <w:tabs>
                <w:tab w:val="left" w:pos="0"/>
              </w:tabs>
              <w:jc w:val="both"/>
              <w:rPr>
                <w:sz w:val="22"/>
                <w:szCs w:val="22"/>
                <w:lang w:val="sr-Latn-ME"/>
              </w:rPr>
            </w:pPr>
            <w:r w:rsidRPr="00840456">
              <w:rPr>
                <w:sz w:val="22"/>
                <w:szCs w:val="22"/>
                <w:lang w:val="sr-Latn-ME"/>
              </w:rPr>
              <w:t>3,0</w:t>
            </w:r>
          </w:p>
          <w:p w14:paraId="5A2923A6" w14:textId="77777777" w:rsidR="005A7F10" w:rsidRPr="00840456" w:rsidRDefault="005A7F10" w:rsidP="00AD2A61">
            <w:pPr>
              <w:tabs>
                <w:tab w:val="left" w:pos="0"/>
              </w:tabs>
              <w:jc w:val="both"/>
              <w:rPr>
                <w:sz w:val="22"/>
                <w:szCs w:val="22"/>
                <w:lang w:val="sr-Latn-ME"/>
              </w:rPr>
            </w:pPr>
            <w:r w:rsidRPr="00840456">
              <w:rPr>
                <w:sz w:val="22"/>
                <w:szCs w:val="22"/>
                <w:lang w:val="sr-Latn-ME"/>
              </w:rPr>
              <w:t>18%</w:t>
            </w:r>
          </w:p>
        </w:tc>
        <w:tc>
          <w:tcPr>
            <w:tcW w:w="1635" w:type="dxa"/>
            <w:tcBorders>
              <w:top w:val="nil"/>
              <w:left w:val="nil"/>
              <w:bottom w:val="nil"/>
              <w:right w:val="nil"/>
            </w:tcBorders>
          </w:tcPr>
          <w:p w14:paraId="77496E4B" w14:textId="77777777" w:rsidR="005A7F10" w:rsidRPr="00840456" w:rsidRDefault="005A7F10" w:rsidP="00AD2A61">
            <w:pPr>
              <w:tabs>
                <w:tab w:val="left" w:pos="0"/>
              </w:tabs>
              <w:jc w:val="both"/>
              <w:rPr>
                <w:sz w:val="22"/>
                <w:szCs w:val="22"/>
                <w:lang w:val="sr-Latn-ME"/>
              </w:rPr>
            </w:pPr>
          </w:p>
          <w:p w14:paraId="57192F07" w14:textId="77777777" w:rsidR="005A7F10" w:rsidRPr="00840456" w:rsidRDefault="005A7F10" w:rsidP="00AD2A61">
            <w:pPr>
              <w:tabs>
                <w:tab w:val="left" w:pos="0"/>
              </w:tabs>
              <w:jc w:val="both"/>
              <w:rPr>
                <w:sz w:val="22"/>
                <w:szCs w:val="22"/>
                <w:lang w:val="sr-Latn-ME"/>
              </w:rPr>
            </w:pPr>
          </w:p>
          <w:p w14:paraId="7C2DFC13" w14:textId="77777777" w:rsidR="005A7F10" w:rsidRPr="00840456" w:rsidRDefault="005A7F10" w:rsidP="00AD2A61">
            <w:pPr>
              <w:tabs>
                <w:tab w:val="left" w:pos="0"/>
              </w:tabs>
              <w:jc w:val="both"/>
              <w:rPr>
                <w:sz w:val="22"/>
                <w:szCs w:val="22"/>
                <w:lang w:val="sr-Latn-ME"/>
              </w:rPr>
            </w:pPr>
            <w:r w:rsidRPr="00840456">
              <w:rPr>
                <w:sz w:val="22"/>
                <w:szCs w:val="22"/>
                <w:lang w:val="sr-Latn-ME"/>
              </w:rPr>
              <w:t>5,5</w:t>
            </w:r>
          </w:p>
          <w:p w14:paraId="0B2C719F" w14:textId="77777777" w:rsidR="005A7F10" w:rsidRPr="00840456" w:rsidRDefault="005A7F10" w:rsidP="00AD2A61">
            <w:pPr>
              <w:tabs>
                <w:tab w:val="left" w:pos="0"/>
              </w:tabs>
              <w:jc w:val="both"/>
              <w:rPr>
                <w:sz w:val="22"/>
                <w:szCs w:val="22"/>
                <w:lang w:val="sr-Latn-ME"/>
              </w:rPr>
            </w:pPr>
            <w:r w:rsidRPr="00840456">
              <w:rPr>
                <w:sz w:val="22"/>
                <w:szCs w:val="22"/>
                <w:lang w:val="sr-Latn-ME"/>
              </w:rPr>
              <w:t>2,3</w:t>
            </w:r>
            <w:r w:rsidRPr="00840456">
              <w:rPr>
                <w:sz w:val="22"/>
                <w:szCs w:val="22"/>
                <w:vertAlign w:val="superscript"/>
                <w:lang w:val="sr-Latn-ME"/>
              </w:rPr>
              <w:t>†,ф</w:t>
            </w:r>
          </w:p>
          <w:p w14:paraId="430F9908" w14:textId="77777777" w:rsidR="005A7F10" w:rsidRPr="00840456" w:rsidRDefault="005A7F10" w:rsidP="00AD2A61">
            <w:pPr>
              <w:tabs>
                <w:tab w:val="left" w:pos="0"/>
              </w:tabs>
              <w:jc w:val="both"/>
              <w:rPr>
                <w:sz w:val="22"/>
                <w:szCs w:val="22"/>
                <w:vertAlign w:val="superscript"/>
                <w:lang w:val="sr-Latn-ME"/>
              </w:rPr>
            </w:pPr>
            <w:r w:rsidRPr="00840456">
              <w:rPr>
                <w:sz w:val="22"/>
                <w:szCs w:val="22"/>
                <w:lang w:val="sr-Latn-ME"/>
              </w:rPr>
              <w:t xml:space="preserve"> 37%</w:t>
            </w:r>
            <w:r w:rsidRPr="00840456">
              <w:rPr>
                <w:sz w:val="22"/>
                <w:szCs w:val="22"/>
                <w:vertAlign w:val="superscript"/>
                <w:lang w:val="sr-Latn-ME"/>
              </w:rPr>
              <w:t>†,ф</w:t>
            </w:r>
          </w:p>
        </w:tc>
      </w:tr>
      <w:tr w:rsidR="005A7F10" w:rsidRPr="00840456" w14:paraId="5694742A" w14:textId="77777777" w:rsidTr="00AD2A61">
        <w:trPr>
          <w:trHeight w:val="1553"/>
          <w:jc w:val="center"/>
        </w:trPr>
        <w:tc>
          <w:tcPr>
            <w:tcW w:w="4188" w:type="dxa"/>
            <w:tcBorders>
              <w:top w:val="nil"/>
              <w:left w:val="nil"/>
              <w:bottom w:val="single" w:sz="4" w:space="0" w:color="auto"/>
              <w:right w:val="nil"/>
            </w:tcBorders>
          </w:tcPr>
          <w:p w14:paraId="599E72C5" w14:textId="77777777" w:rsidR="005A7F10" w:rsidRPr="00840456" w:rsidRDefault="005A7F10" w:rsidP="00AD2A61">
            <w:pPr>
              <w:tabs>
                <w:tab w:val="left" w:pos="0"/>
              </w:tabs>
              <w:jc w:val="both"/>
              <w:rPr>
                <w:sz w:val="22"/>
                <w:szCs w:val="22"/>
                <w:lang w:val="sr-Latn-ME"/>
              </w:rPr>
            </w:pPr>
          </w:p>
          <w:p w14:paraId="2EA5D5C5" w14:textId="77777777" w:rsidR="005A7F10" w:rsidRPr="00840456" w:rsidRDefault="005A7F10" w:rsidP="00AD2A61">
            <w:pPr>
              <w:tabs>
                <w:tab w:val="left" w:pos="0"/>
              </w:tabs>
              <w:jc w:val="both"/>
              <w:rPr>
                <w:sz w:val="22"/>
                <w:szCs w:val="22"/>
                <w:lang w:val="sr-Latn-ME"/>
              </w:rPr>
            </w:pPr>
            <w:r w:rsidRPr="00840456">
              <w:rPr>
                <w:sz w:val="22"/>
                <w:szCs w:val="22"/>
                <w:lang w:val="sr-Latn-ME"/>
              </w:rPr>
              <w:t>HAQ</w:t>
            </w:r>
          </w:p>
          <w:p w14:paraId="2B06B71E" w14:textId="77777777" w:rsidR="005A7F10" w:rsidRPr="00840456" w:rsidRDefault="005A7F10" w:rsidP="00AD2A61">
            <w:pPr>
              <w:tabs>
                <w:tab w:val="left" w:pos="0"/>
              </w:tabs>
              <w:jc w:val="both"/>
              <w:rPr>
                <w:sz w:val="22"/>
                <w:szCs w:val="22"/>
                <w:lang w:val="sr-Latn-ME"/>
              </w:rPr>
            </w:pPr>
            <w:r w:rsidRPr="00840456">
              <w:rPr>
                <w:sz w:val="22"/>
                <w:szCs w:val="22"/>
                <w:lang w:val="sr-Latn-ME"/>
              </w:rPr>
              <w:t>Početni rezultat</w:t>
            </w:r>
          </w:p>
          <w:p w14:paraId="3BABB77D" w14:textId="77777777" w:rsidR="005A7F10" w:rsidRPr="00840456" w:rsidRDefault="005A7F10" w:rsidP="00AD2A61">
            <w:pPr>
              <w:tabs>
                <w:tab w:val="left" w:pos="0"/>
              </w:tabs>
              <w:jc w:val="both"/>
              <w:rPr>
                <w:sz w:val="22"/>
                <w:szCs w:val="22"/>
                <w:lang w:val="sr-Latn-ME"/>
              </w:rPr>
            </w:pPr>
            <w:r w:rsidRPr="00840456">
              <w:rPr>
                <w:sz w:val="22"/>
                <w:szCs w:val="22"/>
                <w:lang w:val="sr-Latn-ME"/>
              </w:rPr>
              <w:t>Rezultat u 52. nedjelji</w:t>
            </w:r>
          </w:p>
          <w:p w14:paraId="45AB1C16" w14:textId="77777777" w:rsidR="005A7F10" w:rsidRPr="00840456" w:rsidRDefault="005A7F10" w:rsidP="00AD2A61">
            <w:pPr>
              <w:tabs>
                <w:tab w:val="left" w:pos="0"/>
              </w:tabs>
              <w:jc w:val="both"/>
              <w:rPr>
                <w:sz w:val="22"/>
                <w:szCs w:val="22"/>
                <w:lang w:val="sr-Latn-ME"/>
              </w:rPr>
            </w:pPr>
          </w:p>
        </w:tc>
        <w:tc>
          <w:tcPr>
            <w:tcW w:w="1800" w:type="dxa"/>
            <w:tcBorders>
              <w:top w:val="nil"/>
              <w:left w:val="nil"/>
              <w:bottom w:val="single" w:sz="4" w:space="0" w:color="auto"/>
              <w:right w:val="nil"/>
            </w:tcBorders>
          </w:tcPr>
          <w:p w14:paraId="5061647D" w14:textId="77777777" w:rsidR="005A7F10" w:rsidRPr="00840456" w:rsidRDefault="005A7F10" w:rsidP="00AD2A61">
            <w:pPr>
              <w:tabs>
                <w:tab w:val="left" w:pos="0"/>
              </w:tabs>
              <w:jc w:val="both"/>
              <w:rPr>
                <w:sz w:val="22"/>
                <w:szCs w:val="22"/>
                <w:lang w:val="sr-Latn-ME"/>
              </w:rPr>
            </w:pPr>
          </w:p>
          <w:p w14:paraId="4358E9D9" w14:textId="77777777" w:rsidR="005A7F10" w:rsidRPr="00840456" w:rsidRDefault="005A7F10" w:rsidP="00AD2A61">
            <w:pPr>
              <w:tabs>
                <w:tab w:val="left" w:pos="0"/>
              </w:tabs>
              <w:jc w:val="both"/>
              <w:rPr>
                <w:sz w:val="22"/>
                <w:szCs w:val="22"/>
                <w:lang w:val="sr-Latn-ME"/>
              </w:rPr>
            </w:pPr>
          </w:p>
          <w:p w14:paraId="45100CE3" w14:textId="77777777" w:rsidR="005A7F10" w:rsidRPr="00840456" w:rsidRDefault="005A7F10" w:rsidP="00AD2A61">
            <w:pPr>
              <w:tabs>
                <w:tab w:val="left" w:pos="0"/>
              </w:tabs>
              <w:jc w:val="both"/>
              <w:rPr>
                <w:sz w:val="22"/>
                <w:szCs w:val="22"/>
                <w:lang w:val="sr-Latn-ME"/>
              </w:rPr>
            </w:pPr>
            <w:r w:rsidRPr="00840456">
              <w:rPr>
                <w:sz w:val="22"/>
                <w:szCs w:val="22"/>
                <w:lang w:val="sr-Latn-ME"/>
              </w:rPr>
              <w:t>1,7</w:t>
            </w:r>
          </w:p>
          <w:p w14:paraId="13CB3F41" w14:textId="77777777" w:rsidR="005A7F10" w:rsidRPr="00840456" w:rsidRDefault="005A7F10" w:rsidP="00AD2A61">
            <w:pPr>
              <w:tabs>
                <w:tab w:val="left" w:pos="0"/>
              </w:tabs>
              <w:jc w:val="both"/>
              <w:rPr>
                <w:sz w:val="22"/>
                <w:szCs w:val="22"/>
                <w:lang w:val="sr-Latn-ME"/>
              </w:rPr>
            </w:pPr>
            <w:r w:rsidRPr="00840456">
              <w:rPr>
                <w:sz w:val="22"/>
                <w:szCs w:val="22"/>
                <w:lang w:val="sr-Latn-ME"/>
              </w:rPr>
              <w:t>1,1</w:t>
            </w:r>
          </w:p>
        </w:tc>
        <w:tc>
          <w:tcPr>
            <w:tcW w:w="1680" w:type="dxa"/>
            <w:tcBorders>
              <w:top w:val="nil"/>
              <w:left w:val="nil"/>
              <w:bottom w:val="single" w:sz="4" w:space="0" w:color="auto"/>
              <w:right w:val="nil"/>
            </w:tcBorders>
          </w:tcPr>
          <w:p w14:paraId="77464B78" w14:textId="77777777" w:rsidR="005A7F10" w:rsidRPr="00840456" w:rsidRDefault="005A7F10" w:rsidP="00AD2A61">
            <w:pPr>
              <w:tabs>
                <w:tab w:val="left" w:pos="0"/>
              </w:tabs>
              <w:jc w:val="both"/>
              <w:rPr>
                <w:sz w:val="22"/>
                <w:szCs w:val="22"/>
                <w:lang w:val="sr-Latn-ME"/>
              </w:rPr>
            </w:pPr>
          </w:p>
          <w:p w14:paraId="5ECA36E6" w14:textId="77777777" w:rsidR="005A7F10" w:rsidRPr="00840456" w:rsidRDefault="005A7F10" w:rsidP="00AD2A61">
            <w:pPr>
              <w:tabs>
                <w:tab w:val="left" w:pos="0"/>
              </w:tabs>
              <w:jc w:val="both"/>
              <w:rPr>
                <w:sz w:val="22"/>
                <w:szCs w:val="22"/>
                <w:lang w:val="sr-Latn-ME"/>
              </w:rPr>
            </w:pPr>
          </w:p>
          <w:p w14:paraId="0EA8FC96" w14:textId="77777777" w:rsidR="005A7F10" w:rsidRPr="00840456" w:rsidRDefault="005A7F10" w:rsidP="00AD2A61">
            <w:pPr>
              <w:tabs>
                <w:tab w:val="left" w:pos="0"/>
              </w:tabs>
              <w:jc w:val="both"/>
              <w:rPr>
                <w:sz w:val="22"/>
                <w:szCs w:val="22"/>
                <w:lang w:val="sr-Latn-ME"/>
              </w:rPr>
            </w:pPr>
            <w:r w:rsidRPr="00840456">
              <w:rPr>
                <w:sz w:val="22"/>
                <w:szCs w:val="22"/>
                <w:lang w:val="sr-Latn-ME"/>
              </w:rPr>
              <w:t>1,7</w:t>
            </w:r>
          </w:p>
          <w:p w14:paraId="03EEB09B" w14:textId="77777777" w:rsidR="005A7F10" w:rsidRPr="00840456" w:rsidRDefault="005A7F10" w:rsidP="00AD2A61">
            <w:pPr>
              <w:tabs>
                <w:tab w:val="left" w:pos="0"/>
              </w:tabs>
              <w:jc w:val="both"/>
              <w:rPr>
                <w:sz w:val="22"/>
                <w:szCs w:val="22"/>
                <w:lang w:val="sr-Latn-ME"/>
              </w:rPr>
            </w:pPr>
            <w:r w:rsidRPr="00840456">
              <w:rPr>
                <w:sz w:val="22"/>
                <w:szCs w:val="22"/>
                <w:lang w:val="sr-Latn-ME"/>
              </w:rPr>
              <w:t>1,0</w:t>
            </w:r>
          </w:p>
        </w:tc>
        <w:tc>
          <w:tcPr>
            <w:tcW w:w="1635" w:type="dxa"/>
            <w:tcBorders>
              <w:top w:val="nil"/>
              <w:left w:val="nil"/>
              <w:bottom w:val="single" w:sz="4" w:space="0" w:color="auto"/>
              <w:right w:val="nil"/>
            </w:tcBorders>
          </w:tcPr>
          <w:p w14:paraId="76F9E0EE" w14:textId="77777777" w:rsidR="005A7F10" w:rsidRPr="00840456" w:rsidRDefault="005A7F10" w:rsidP="00AD2A61">
            <w:pPr>
              <w:tabs>
                <w:tab w:val="left" w:pos="0"/>
              </w:tabs>
              <w:jc w:val="both"/>
              <w:rPr>
                <w:sz w:val="22"/>
                <w:szCs w:val="22"/>
                <w:lang w:val="sr-Latn-ME"/>
              </w:rPr>
            </w:pPr>
          </w:p>
          <w:p w14:paraId="6B36F442" w14:textId="77777777" w:rsidR="005A7F10" w:rsidRPr="00840456" w:rsidRDefault="005A7F10" w:rsidP="00AD2A61">
            <w:pPr>
              <w:tabs>
                <w:tab w:val="left" w:pos="0"/>
              </w:tabs>
              <w:jc w:val="both"/>
              <w:rPr>
                <w:sz w:val="22"/>
                <w:szCs w:val="22"/>
                <w:lang w:val="sr-Latn-ME"/>
              </w:rPr>
            </w:pPr>
          </w:p>
          <w:p w14:paraId="36457419" w14:textId="77777777" w:rsidR="005A7F10" w:rsidRPr="00840456" w:rsidRDefault="005A7F10" w:rsidP="00AD2A61">
            <w:pPr>
              <w:tabs>
                <w:tab w:val="left" w:pos="0"/>
              </w:tabs>
              <w:jc w:val="both"/>
              <w:rPr>
                <w:sz w:val="22"/>
                <w:szCs w:val="22"/>
                <w:lang w:val="sr-Latn-ME"/>
              </w:rPr>
            </w:pPr>
            <w:r w:rsidRPr="00840456">
              <w:rPr>
                <w:sz w:val="22"/>
                <w:szCs w:val="22"/>
                <w:lang w:val="sr-Latn-ME"/>
              </w:rPr>
              <w:t>1,8</w:t>
            </w:r>
          </w:p>
          <w:p w14:paraId="2183C11F"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0,8</w:t>
            </w:r>
            <w:r w:rsidRPr="00840456">
              <w:rPr>
                <w:sz w:val="22"/>
                <w:szCs w:val="22"/>
                <w:vertAlign w:val="superscript"/>
                <w:lang w:val="sr-Latn-ME"/>
              </w:rPr>
              <w:t>†,ф</w:t>
            </w:r>
          </w:p>
        </w:tc>
      </w:tr>
      <w:tr w:rsidR="005A7F10" w:rsidRPr="00840456" w14:paraId="1E5643F2" w14:textId="77777777" w:rsidTr="00AD2A61">
        <w:trPr>
          <w:jc w:val="center"/>
        </w:trPr>
        <w:tc>
          <w:tcPr>
            <w:tcW w:w="9303" w:type="dxa"/>
            <w:gridSpan w:val="4"/>
            <w:tcBorders>
              <w:top w:val="single" w:sz="4" w:space="0" w:color="auto"/>
              <w:left w:val="nil"/>
              <w:bottom w:val="single" w:sz="4" w:space="0" w:color="auto"/>
              <w:right w:val="nil"/>
            </w:tcBorders>
          </w:tcPr>
          <w:p w14:paraId="1839480D" w14:textId="637560D3" w:rsidR="005A7F10" w:rsidRPr="00840456" w:rsidRDefault="005A7F10" w:rsidP="00AD2A61">
            <w:pPr>
              <w:tabs>
                <w:tab w:val="left" w:pos="0"/>
              </w:tabs>
              <w:jc w:val="both"/>
              <w:rPr>
                <w:sz w:val="22"/>
                <w:szCs w:val="22"/>
                <w:lang w:val="sr-Latn-ME"/>
              </w:rPr>
            </w:pPr>
            <w:r w:rsidRPr="00840456">
              <w:rPr>
                <w:sz w:val="22"/>
                <w:szCs w:val="22"/>
                <w:lang w:val="sr-Latn-ME"/>
              </w:rPr>
              <w:t>a: Za pacijente koji nijesu učestvovali 12 mjeseci u studiji smatra se da ni</w:t>
            </w:r>
            <w:r w:rsidR="004E586E" w:rsidRPr="00840456">
              <w:rPr>
                <w:sz w:val="22"/>
                <w:szCs w:val="22"/>
                <w:lang w:val="sr-Latn-ME"/>
              </w:rPr>
              <w:t>je</w:t>
            </w:r>
            <w:r w:rsidRPr="00840456">
              <w:rPr>
                <w:sz w:val="22"/>
                <w:szCs w:val="22"/>
                <w:lang w:val="sr-Latn-ME"/>
              </w:rPr>
              <w:t>su imali očekivan odgovor na terapiju</w:t>
            </w:r>
          </w:p>
          <w:p w14:paraId="688DD790"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b: Uzete su srednje vrijednosti za ˝Disease Activity Score˝ (DAS) </w:t>
            </w:r>
          </w:p>
          <w:p w14:paraId="24939C09" w14:textId="77777777" w:rsidR="005A7F10" w:rsidRPr="00840456" w:rsidRDefault="005A7F10" w:rsidP="00AD2A61">
            <w:pPr>
              <w:tabs>
                <w:tab w:val="left" w:pos="0"/>
              </w:tabs>
              <w:jc w:val="both"/>
              <w:rPr>
                <w:sz w:val="22"/>
                <w:szCs w:val="22"/>
                <w:lang w:val="sr-Latn-ME"/>
              </w:rPr>
            </w:pPr>
            <w:r w:rsidRPr="00840456">
              <w:rPr>
                <w:sz w:val="22"/>
                <w:szCs w:val="22"/>
                <w:lang w:val="sr-Latn-ME"/>
              </w:rPr>
              <w:t>c: Remisija je definisana kao DAS &lt; 1,6</w:t>
            </w:r>
          </w:p>
          <w:p w14:paraId="4DD5CE40" w14:textId="77777777" w:rsidR="005A7F10" w:rsidRPr="00840456" w:rsidRDefault="005A7F10" w:rsidP="00AD2A61">
            <w:pPr>
              <w:tabs>
                <w:tab w:val="left" w:pos="0"/>
              </w:tabs>
              <w:jc w:val="both"/>
              <w:rPr>
                <w:sz w:val="22"/>
                <w:szCs w:val="22"/>
                <w:lang w:val="sr-Latn-ME"/>
              </w:rPr>
            </w:pPr>
            <w:r w:rsidRPr="00840456">
              <w:rPr>
                <w:sz w:val="22"/>
                <w:szCs w:val="22"/>
                <w:lang w:val="sr-Latn-ME"/>
              </w:rPr>
              <w:t>Paralelnim poređenjem p-vrijednosti: †=p&lt;0,05 kod poređenja Enbrel + metotreksat vs metotreksat i ф= p&lt;0,05 kod poređenja Enbrel + metotreksat vs Enbrel</w:t>
            </w:r>
          </w:p>
        </w:tc>
      </w:tr>
    </w:tbl>
    <w:p w14:paraId="6E795475" w14:textId="77777777" w:rsidR="005A7F10" w:rsidRPr="00840456" w:rsidRDefault="005A7F10" w:rsidP="005A7F10">
      <w:pPr>
        <w:jc w:val="both"/>
        <w:rPr>
          <w:sz w:val="22"/>
          <w:szCs w:val="22"/>
          <w:lang w:val="sr-Latn-ME"/>
        </w:rPr>
      </w:pPr>
    </w:p>
    <w:p w14:paraId="3FA9F986"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Radiografska progresija nakon 12 mjeseci statistički je značajno manja u Enbrel grupi nego u metotreksat grupi, dok je kombinacija značajnije bolja od bilo koje monoterapije u usporavanju radiografske progresije (vidjeti dalje dijagram). </w:t>
      </w:r>
    </w:p>
    <w:p w14:paraId="76D66E9B" w14:textId="77777777" w:rsidR="005A7F10" w:rsidRPr="00840456" w:rsidRDefault="005A7F10" w:rsidP="005A7F10">
      <w:pPr>
        <w:pStyle w:val="Header"/>
        <w:tabs>
          <w:tab w:val="left" w:pos="284"/>
        </w:tabs>
        <w:jc w:val="both"/>
        <w:rPr>
          <w:color w:val="000000"/>
          <w:sz w:val="22"/>
          <w:szCs w:val="22"/>
          <w:lang w:val="sr-Latn-ME"/>
        </w:rPr>
      </w:pPr>
    </w:p>
    <w:p w14:paraId="1B5E23DA" w14:textId="2A488C00" w:rsidR="005A7F10" w:rsidRPr="00840456" w:rsidRDefault="004E586E" w:rsidP="00815D34">
      <w:pPr>
        <w:pStyle w:val="Header"/>
        <w:tabs>
          <w:tab w:val="left" w:pos="284"/>
        </w:tabs>
        <w:jc w:val="both"/>
        <w:rPr>
          <w:b/>
          <w:color w:val="000000"/>
          <w:sz w:val="22"/>
          <w:szCs w:val="22"/>
          <w:lang w:val="sr-Latn-ME"/>
        </w:rPr>
      </w:pPr>
      <w:r w:rsidRPr="00840456">
        <w:rPr>
          <w:b/>
          <w:color w:val="000000"/>
          <w:sz w:val="22"/>
          <w:szCs w:val="22"/>
          <w:lang w:val="sr-Latn-ME"/>
        </w:rPr>
        <w:t>Radiografska progresija: Enbrel vs. Metotreksat vs. Enbrel + Metotreksat kod pacijenata sa reumatoidnim artritisom sa dužinom trajanja bolesti od 6 mjeseci do 20 godina (rezultati nakon 12 mjeseci)</w:t>
      </w:r>
    </w:p>
    <w:p w14:paraId="05921946" w14:textId="77777777" w:rsidR="005A7F10" w:rsidRPr="00840456" w:rsidRDefault="005A7F10" w:rsidP="004E586E">
      <w:pPr>
        <w:pStyle w:val="Header"/>
        <w:tabs>
          <w:tab w:val="left" w:pos="284"/>
        </w:tabs>
        <w:jc w:val="both"/>
        <w:rPr>
          <w:b/>
          <w:color w:val="000000"/>
          <w:sz w:val="22"/>
          <w:szCs w:val="22"/>
          <w:lang w:val="sr-Latn-ME"/>
        </w:rPr>
      </w:pPr>
    </w:p>
    <w:p w14:paraId="50E032F3" w14:textId="387A2A6A" w:rsidR="005A7F10" w:rsidRPr="00840456" w:rsidRDefault="005A7F10" w:rsidP="005A7F10">
      <w:pPr>
        <w:pStyle w:val="Header"/>
        <w:tabs>
          <w:tab w:val="left" w:pos="284"/>
        </w:tabs>
        <w:jc w:val="both"/>
        <w:rPr>
          <w:sz w:val="22"/>
          <w:szCs w:val="22"/>
          <w:lang w:val="sr-Latn-ME"/>
        </w:rPr>
      </w:pPr>
      <w:r w:rsidRPr="00840456">
        <w:rPr>
          <w:noProof/>
          <w:sz w:val="22"/>
          <w:szCs w:val="22"/>
          <w:lang w:val="sr-Latn-ME"/>
        </w:rPr>
        <w:drawing>
          <wp:inline distT="0" distB="0" distL="0" distR="0" wp14:anchorId="16AAFD10" wp14:editId="25729992">
            <wp:extent cx="5534025" cy="1981200"/>
            <wp:effectExtent l="0" t="0" r="0" b="0"/>
            <wp:docPr id="547781864"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0F67AC" w14:textId="77777777" w:rsidR="005A7F10" w:rsidRPr="00840456" w:rsidRDefault="005A7F10" w:rsidP="005A7F10">
      <w:pPr>
        <w:pStyle w:val="Header"/>
        <w:tabs>
          <w:tab w:val="left" w:pos="284"/>
        </w:tabs>
        <w:jc w:val="both"/>
        <w:rPr>
          <w:sz w:val="22"/>
          <w:szCs w:val="22"/>
          <w:lang w:val="sr-Latn-ME"/>
        </w:rPr>
      </w:pPr>
    </w:p>
    <w:p w14:paraId="1E0911B2"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Paralelnim poređenjem p-vrijednosti:*=p&lt; 0,05 kod poređenja Enbrel vs. metotreksat, †=p&lt; 0,05 kod poređenja Enbrel + metotreksat vs. metotreksat i ф=p&lt; 0,05 kod poređenja Enbrel + metotreksat vs. Enbrel </w:t>
      </w:r>
    </w:p>
    <w:p w14:paraId="5CF895D4" w14:textId="77777777" w:rsidR="005A7F10" w:rsidRPr="00840456" w:rsidRDefault="005A7F10" w:rsidP="005A7F10">
      <w:pPr>
        <w:pStyle w:val="Header"/>
        <w:tabs>
          <w:tab w:val="left" w:pos="284"/>
        </w:tabs>
        <w:jc w:val="both"/>
        <w:rPr>
          <w:color w:val="000000"/>
          <w:sz w:val="22"/>
          <w:szCs w:val="22"/>
          <w:lang w:val="sr-Latn-ME"/>
        </w:rPr>
      </w:pPr>
    </w:p>
    <w:p w14:paraId="4798E0BF" w14:textId="77777777" w:rsidR="005A7F10" w:rsidRPr="00840456" w:rsidRDefault="005A7F10" w:rsidP="005A7F10">
      <w:pPr>
        <w:widowControl w:val="0"/>
        <w:overflowPunct w:val="0"/>
        <w:autoSpaceDE w:val="0"/>
        <w:autoSpaceDN w:val="0"/>
        <w:adjustRightInd w:val="0"/>
        <w:spacing w:line="251" w:lineRule="auto"/>
        <w:jc w:val="both"/>
        <w:rPr>
          <w:sz w:val="22"/>
          <w:szCs w:val="22"/>
          <w:lang w:val="sr-Latn-ME"/>
        </w:rPr>
      </w:pPr>
      <w:r w:rsidRPr="00840456">
        <w:rPr>
          <w:color w:val="000000"/>
          <w:sz w:val="22"/>
          <w:szCs w:val="22"/>
          <w:lang w:val="sr-Latn-ME"/>
        </w:rPr>
        <w:t>I nakon 24 mjeseci terapije uočena je značajna prednost kombinacije lijeka Enbrel i metotreksata u odnosu na monoterapiju lijeka Enbrel i monoterapiju metotreksatom. Primijećena je i značajna prednost Enbrel monoterapije u odnosu na monoterapiju metotreksatom nakon 24. mjeseca.</w:t>
      </w:r>
    </w:p>
    <w:p w14:paraId="4EF2ED75" w14:textId="77777777" w:rsidR="005A7F10" w:rsidRPr="00840456" w:rsidRDefault="005A7F10" w:rsidP="005A7F10">
      <w:pPr>
        <w:widowControl w:val="0"/>
        <w:tabs>
          <w:tab w:val="left" w:pos="1590"/>
        </w:tabs>
        <w:autoSpaceDE w:val="0"/>
        <w:autoSpaceDN w:val="0"/>
        <w:adjustRightInd w:val="0"/>
        <w:spacing w:line="212" w:lineRule="exact"/>
        <w:jc w:val="both"/>
        <w:rPr>
          <w:sz w:val="22"/>
          <w:szCs w:val="22"/>
          <w:lang w:val="sr-Latn-ME"/>
        </w:rPr>
      </w:pPr>
      <w:r w:rsidRPr="00840456">
        <w:rPr>
          <w:sz w:val="22"/>
          <w:szCs w:val="22"/>
          <w:lang w:val="sr-Latn-ME"/>
        </w:rPr>
        <w:tab/>
      </w:r>
    </w:p>
    <w:p w14:paraId="588C74D3" w14:textId="75F8E4DC" w:rsidR="005A7F10" w:rsidRPr="00840456" w:rsidRDefault="005A7F10" w:rsidP="005A7F10">
      <w:pPr>
        <w:widowControl w:val="0"/>
        <w:overflowPunct w:val="0"/>
        <w:autoSpaceDE w:val="0"/>
        <w:autoSpaceDN w:val="0"/>
        <w:adjustRightInd w:val="0"/>
        <w:spacing w:line="239" w:lineRule="auto"/>
        <w:jc w:val="both"/>
        <w:rPr>
          <w:sz w:val="22"/>
          <w:szCs w:val="22"/>
          <w:lang w:val="sr-Latn-ME"/>
        </w:rPr>
      </w:pPr>
      <w:r w:rsidRPr="00840456">
        <w:rPr>
          <w:color w:val="000000"/>
          <w:sz w:val="22"/>
          <w:szCs w:val="22"/>
          <w:lang w:val="sr-Latn-ME"/>
        </w:rPr>
        <w:t>U analizi gdje je uzeto da je kod svih pacijenata koji su iz bilo kog razloga isključeni iz studije došlo do progresije bolesti, nakon 24 mjeseca procenat pacijenata bez progresije (TSS prom</w:t>
      </w:r>
      <w:r w:rsidR="004E586E" w:rsidRPr="00840456">
        <w:rPr>
          <w:color w:val="000000"/>
          <w:sz w:val="22"/>
          <w:szCs w:val="22"/>
          <w:lang w:val="sr-Latn-ME"/>
        </w:rPr>
        <w:t>j</w:t>
      </w:r>
      <w:r w:rsidRPr="00840456">
        <w:rPr>
          <w:color w:val="000000"/>
          <w:sz w:val="22"/>
          <w:szCs w:val="22"/>
          <w:lang w:val="sr-Latn-ME"/>
        </w:rPr>
        <w:t>ene ≤ 0,5) je bio veći u grupi koja je primala kombinaciju lijeka Enbrel i metotreksata u odnosu na grupe koje su primale monoterapiju lijeka Enbrel odnosno metotreksat (62%, 50% odnosno 36%, p&lt; 0,05). Razlika između monoterapije lijeka Enbrel i monoterapije metotreksatom je takođe bila statistički značajna (p&lt; 0,05). Kod pacijenata koji su završili kompletnu terapiju od 24 mjeseca, procenat ne-progresije je iznosio 78%, 70% odnosno 61%.</w:t>
      </w:r>
    </w:p>
    <w:p w14:paraId="1F6A9BE5" w14:textId="77777777" w:rsidR="005A7F10" w:rsidRPr="00840456" w:rsidRDefault="005A7F10" w:rsidP="005A7F10">
      <w:pPr>
        <w:widowControl w:val="0"/>
        <w:autoSpaceDE w:val="0"/>
        <w:autoSpaceDN w:val="0"/>
        <w:adjustRightInd w:val="0"/>
        <w:spacing w:line="230" w:lineRule="exact"/>
        <w:jc w:val="both"/>
        <w:rPr>
          <w:sz w:val="22"/>
          <w:szCs w:val="22"/>
          <w:lang w:val="sr-Latn-ME"/>
        </w:rPr>
      </w:pPr>
    </w:p>
    <w:p w14:paraId="57EB607B" w14:textId="0F6893D8" w:rsidR="005A7F10" w:rsidRPr="00840456" w:rsidRDefault="005A7F10" w:rsidP="005A7F10">
      <w:pPr>
        <w:widowControl w:val="0"/>
        <w:overflowPunct w:val="0"/>
        <w:autoSpaceDE w:val="0"/>
        <w:autoSpaceDN w:val="0"/>
        <w:adjustRightInd w:val="0"/>
        <w:spacing w:line="241" w:lineRule="auto"/>
        <w:jc w:val="both"/>
        <w:rPr>
          <w:sz w:val="22"/>
          <w:szCs w:val="22"/>
          <w:lang w:val="sr-Latn-ME"/>
        </w:rPr>
      </w:pPr>
      <w:r w:rsidRPr="00840456">
        <w:rPr>
          <w:color w:val="000000"/>
          <w:sz w:val="22"/>
          <w:szCs w:val="22"/>
          <w:lang w:val="sr-Latn-ME"/>
        </w:rPr>
        <w:t>Bezbjednost i efikasnost doze od 50 mg lijeka Enbrel (dv</w:t>
      </w:r>
      <w:r w:rsidR="004E586E" w:rsidRPr="00840456">
        <w:rPr>
          <w:color w:val="000000"/>
          <w:sz w:val="22"/>
          <w:szCs w:val="22"/>
          <w:lang w:val="sr-Latn-ME"/>
        </w:rPr>
        <w:t>ij</w:t>
      </w:r>
      <w:r w:rsidRPr="00840456">
        <w:rPr>
          <w:color w:val="000000"/>
          <w:sz w:val="22"/>
          <w:szCs w:val="22"/>
          <w:lang w:val="sr-Latn-ME"/>
        </w:rPr>
        <w:t xml:space="preserve">e s.c. injekcije od 25 mg) primijenjene jednom nedjeljno proučavana je u dvostruko-slijepoj, placebo kontrolisanoj studiji na 420 pacijenata sa aktivnim reumatoidnim artritisom. U ovoj studiji 53 pacijenta su primala placebo, 214 pacijenata je primalo 50 </w:t>
      </w:r>
      <w:r w:rsidRPr="00840456">
        <w:rPr>
          <w:color w:val="000000"/>
          <w:sz w:val="22"/>
          <w:szCs w:val="22"/>
          <w:lang w:val="sr-Latn-ME"/>
        </w:rPr>
        <w:lastRenderedPageBreak/>
        <w:t xml:space="preserve">mg lijeka Enbrel jednom nedjeljno i 153 pacijenta je primalo 25 mg lijeka Enbrel dva puta nedjeljno. Bezbjednost i efikasnost navedenih režima doziranja su se razlikovali u 8. nedjelji u odnosu na znake i simptome reumatoidnog artritisa; u 16. nedjelji nije bilo razlika između ova dva režima doziranja. </w:t>
      </w:r>
    </w:p>
    <w:p w14:paraId="7BE122AD" w14:textId="77777777" w:rsidR="005A7F10" w:rsidRPr="00840456" w:rsidRDefault="005A7F10" w:rsidP="005A7F10">
      <w:pPr>
        <w:widowControl w:val="0"/>
        <w:autoSpaceDE w:val="0"/>
        <w:autoSpaceDN w:val="0"/>
        <w:adjustRightInd w:val="0"/>
        <w:spacing w:line="226" w:lineRule="exact"/>
        <w:jc w:val="both"/>
        <w:rPr>
          <w:sz w:val="22"/>
          <w:szCs w:val="22"/>
          <w:lang w:val="sr-Latn-ME"/>
        </w:rPr>
      </w:pPr>
    </w:p>
    <w:p w14:paraId="150E089E" w14:textId="3C2FB2EB" w:rsidR="005A7F10" w:rsidRPr="00840456" w:rsidRDefault="005A7F10" w:rsidP="00815D34">
      <w:pPr>
        <w:widowControl w:val="0"/>
        <w:autoSpaceDE w:val="0"/>
        <w:autoSpaceDN w:val="0"/>
        <w:adjustRightInd w:val="0"/>
        <w:jc w:val="both"/>
        <w:rPr>
          <w:sz w:val="22"/>
          <w:szCs w:val="22"/>
          <w:lang w:val="sr-Latn-ME"/>
        </w:rPr>
      </w:pPr>
      <w:r w:rsidRPr="00840456">
        <w:rPr>
          <w:i/>
          <w:color w:val="000000"/>
          <w:sz w:val="22"/>
          <w:szCs w:val="22"/>
          <w:lang w:val="sr-Latn-ME"/>
        </w:rPr>
        <w:t>Odrasli sa psorijaznim artritisom</w:t>
      </w:r>
    </w:p>
    <w:p w14:paraId="566D4667" w14:textId="3553A5B9" w:rsidR="005A7F10" w:rsidRPr="00840456" w:rsidRDefault="005A7F10" w:rsidP="005A7F10">
      <w:pPr>
        <w:widowControl w:val="0"/>
        <w:overflowPunct w:val="0"/>
        <w:autoSpaceDE w:val="0"/>
        <w:autoSpaceDN w:val="0"/>
        <w:adjustRightInd w:val="0"/>
        <w:spacing w:line="237" w:lineRule="auto"/>
        <w:jc w:val="both"/>
        <w:rPr>
          <w:color w:val="000000"/>
          <w:sz w:val="22"/>
          <w:szCs w:val="22"/>
          <w:lang w:val="sr-Latn-ME"/>
        </w:rPr>
      </w:pPr>
      <w:r w:rsidRPr="00840456">
        <w:rPr>
          <w:color w:val="000000"/>
          <w:sz w:val="22"/>
          <w:szCs w:val="22"/>
          <w:lang w:val="sr-Latn-ME"/>
        </w:rPr>
        <w:t xml:space="preserve">Efikasnost lijeka Enbrel je procjenjivana u randomizovanoj, dvostruko-slijepoj, placebo-kontrolisanoj studiji kod 205 pacijenata sa psorijaznim artritisom. Pacijenti, starosti između 18 i 70 godina, sa aktivnim psorijaznim artritisom (≥ 3 otečena zgloba i ≥ 3 bolna zgloba) u najmanje jednoj od sljedećih formi: (1) distalno interfalangealno oboljenje; (2) poliartikularni artritis (odsustvo reumatskih nodulusa i prisustvo psorijaze); (3) </w:t>
      </w:r>
      <w:r w:rsidRPr="00840456">
        <w:rPr>
          <w:i/>
          <w:iCs/>
          <w:color w:val="000000"/>
          <w:sz w:val="22"/>
          <w:szCs w:val="22"/>
          <w:lang w:val="sr-Latn-ME"/>
        </w:rPr>
        <w:t>arthritis mutilans;</w:t>
      </w:r>
      <w:r w:rsidRPr="00840456">
        <w:rPr>
          <w:color w:val="000000"/>
          <w:sz w:val="22"/>
          <w:szCs w:val="22"/>
          <w:lang w:val="sr-Latn-ME"/>
        </w:rPr>
        <w:t xml:space="preserve"> (4) asimetrični psorijazni artritis; ili (5) ankiloza slična spondilitisu. Pacijenti su takođe imali psorijazne plakove čije su lezije ≥ 2 cm u prečniku. Pacijenti su prethodno liječeni sa NSAI ljekovima (86%), antireumatskim DMARD ljekovima (80%) i kortikosteroidima (24%). Pacijenti koji su na terapiji metotreksatom (stabilni ≥ 2 mjeseca) mogli su da nastave sa ustanovljenim dozama metotreksata ≤ 25 mg/nedjeljno. Doze od 25 mg lijeka Enbrel (na osnovu doznih studija na pacijentima sa reumatoidnim artritisom) ili placebo su davane subkutano tokom 6 mjeseci dva puta nedjeljno. Na kraju dvostruko slijepe studije, pacijenti su mogli da se uključe u dugotrajnu otvorenu ekstenzionu studiju u ukupnom trajanju do 2 godine.</w:t>
      </w:r>
    </w:p>
    <w:p w14:paraId="6509706A" w14:textId="77777777" w:rsidR="004E586E" w:rsidRPr="00840456" w:rsidRDefault="004E586E" w:rsidP="005A7F10">
      <w:pPr>
        <w:widowControl w:val="0"/>
        <w:overflowPunct w:val="0"/>
        <w:autoSpaceDE w:val="0"/>
        <w:autoSpaceDN w:val="0"/>
        <w:adjustRightInd w:val="0"/>
        <w:spacing w:line="237" w:lineRule="auto"/>
        <w:jc w:val="both"/>
        <w:rPr>
          <w:sz w:val="22"/>
          <w:szCs w:val="22"/>
          <w:lang w:val="sr-Latn-ME"/>
        </w:rPr>
      </w:pPr>
    </w:p>
    <w:p w14:paraId="3932AF51" w14:textId="6C652CFE"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Klinički rezultati su predstavljeni kao procenat pacijenata kod kojih je postignut odgovor ACR 20, ACR 50 i ACR 70 i procenat sa poboljšanjem mjerenih kriterijuma ˝Psoriatic Arthritis Response Criteria˝ (PsARC). Rezultati su predstavljeni u sljedećoj tabeli. </w:t>
      </w:r>
    </w:p>
    <w:p w14:paraId="007C07FC" w14:textId="77777777" w:rsidR="00671053" w:rsidRPr="00840456" w:rsidRDefault="00671053" w:rsidP="005A7F10">
      <w:pPr>
        <w:pStyle w:val="Header"/>
        <w:tabs>
          <w:tab w:val="left" w:pos="284"/>
        </w:tabs>
        <w:jc w:val="both"/>
        <w:rPr>
          <w:color w:val="000000"/>
          <w:sz w:val="22"/>
          <w:szCs w:val="22"/>
          <w:lang w:val="sr-Latn-ME"/>
        </w:rPr>
      </w:pPr>
    </w:p>
    <w:p w14:paraId="0B08514A" w14:textId="0CEFAFD3" w:rsidR="005A7F10" w:rsidRPr="00840456" w:rsidRDefault="004E586E" w:rsidP="005A7F10">
      <w:pPr>
        <w:pStyle w:val="Header"/>
        <w:tabs>
          <w:tab w:val="left" w:pos="284"/>
        </w:tabs>
        <w:jc w:val="both"/>
        <w:rPr>
          <w:b/>
          <w:color w:val="000000"/>
          <w:sz w:val="22"/>
          <w:szCs w:val="22"/>
          <w:lang w:val="sr-Latn-ME"/>
        </w:rPr>
      </w:pPr>
      <w:r w:rsidRPr="00840456">
        <w:rPr>
          <w:b/>
          <w:color w:val="000000"/>
          <w:sz w:val="22"/>
          <w:szCs w:val="22"/>
          <w:lang w:val="sr-Latn-ME"/>
        </w:rPr>
        <w:t>Rezultati placebo kontrolisanog ispitivanja kod pacijenata sa psorijaznim artritisom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8"/>
        <w:gridCol w:w="2280"/>
        <w:gridCol w:w="2355"/>
      </w:tblGrid>
      <w:tr w:rsidR="005A7F10" w:rsidRPr="00840456" w14:paraId="351E4C78" w14:textId="77777777" w:rsidTr="00AD2A61">
        <w:trPr>
          <w:jc w:val="center"/>
        </w:trPr>
        <w:tc>
          <w:tcPr>
            <w:tcW w:w="9303" w:type="dxa"/>
            <w:gridSpan w:val="3"/>
            <w:tcBorders>
              <w:top w:val="single" w:sz="4" w:space="0" w:color="auto"/>
              <w:left w:val="nil"/>
              <w:bottom w:val="nil"/>
              <w:right w:val="nil"/>
            </w:tcBorders>
          </w:tcPr>
          <w:p w14:paraId="59232A65"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Procenat pacijenata</w:t>
            </w:r>
          </w:p>
        </w:tc>
      </w:tr>
      <w:tr w:rsidR="005A7F10" w:rsidRPr="00840456" w14:paraId="201AEA43" w14:textId="77777777" w:rsidTr="00AD2A61">
        <w:trPr>
          <w:jc w:val="center"/>
        </w:trPr>
        <w:tc>
          <w:tcPr>
            <w:tcW w:w="4668" w:type="dxa"/>
            <w:tcBorders>
              <w:top w:val="nil"/>
              <w:left w:val="nil"/>
              <w:bottom w:val="single" w:sz="4" w:space="0" w:color="auto"/>
              <w:right w:val="nil"/>
            </w:tcBorders>
          </w:tcPr>
          <w:p w14:paraId="66686105" w14:textId="77777777" w:rsidR="005A7F10" w:rsidRPr="00840456" w:rsidRDefault="005A7F10" w:rsidP="00AD2A61">
            <w:pPr>
              <w:tabs>
                <w:tab w:val="left" w:pos="0"/>
              </w:tabs>
              <w:jc w:val="both"/>
              <w:rPr>
                <w:sz w:val="22"/>
                <w:szCs w:val="22"/>
                <w:lang w:val="sr-Latn-ME"/>
              </w:rPr>
            </w:pPr>
          </w:p>
          <w:p w14:paraId="4D5EFD51" w14:textId="77777777" w:rsidR="005A7F10" w:rsidRPr="00840456" w:rsidRDefault="005A7F10" w:rsidP="00AD2A61">
            <w:pPr>
              <w:tabs>
                <w:tab w:val="left" w:pos="0"/>
              </w:tabs>
              <w:jc w:val="both"/>
              <w:rPr>
                <w:sz w:val="22"/>
                <w:szCs w:val="22"/>
                <w:lang w:val="sr-Latn-ME"/>
              </w:rPr>
            </w:pPr>
            <w:r w:rsidRPr="00840456">
              <w:rPr>
                <w:sz w:val="22"/>
                <w:szCs w:val="22"/>
                <w:lang w:val="sr-Latn-ME"/>
              </w:rPr>
              <w:t>Odgovor pacijenata sa psorijaznim artritisom</w:t>
            </w:r>
          </w:p>
        </w:tc>
        <w:tc>
          <w:tcPr>
            <w:tcW w:w="2280" w:type="dxa"/>
            <w:tcBorders>
              <w:top w:val="nil"/>
              <w:left w:val="nil"/>
              <w:bottom w:val="single" w:sz="4" w:space="0" w:color="auto"/>
              <w:right w:val="nil"/>
            </w:tcBorders>
          </w:tcPr>
          <w:p w14:paraId="5028F9F8" w14:textId="77777777" w:rsidR="005A7F10" w:rsidRPr="00840456" w:rsidRDefault="005A7F10" w:rsidP="00AD2A61">
            <w:pPr>
              <w:tabs>
                <w:tab w:val="left" w:pos="0"/>
              </w:tabs>
              <w:jc w:val="both"/>
              <w:rPr>
                <w:sz w:val="22"/>
                <w:szCs w:val="22"/>
                <w:lang w:val="sr-Latn-ME"/>
              </w:rPr>
            </w:pPr>
            <w:r w:rsidRPr="00840456">
              <w:rPr>
                <w:sz w:val="22"/>
                <w:szCs w:val="22"/>
                <w:lang w:val="sr-Latn-ME"/>
              </w:rPr>
              <w:t>Placebo grupa</w:t>
            </w:r>
          </w:p>
          <w:p w14:paraId="4F0A8E5D" w14:textId="77777777" w:rsidR="005A7F10" w:rsidRPr="00840456" w:rsidRDefault="005A7F10" w:rsidP="00AD2A61">
            <w:pPr>
              <w:tabs>
                <w:tab w:val="left" w:pos="0"/>
              </w:tabs>
              <w:jc w:val="both"/>
              <w:rPr>
                <w:sz w:val="22"/>
                <w:szCs w:val="22"/>
                <w:lang w:val="sr-Latn-ME"/>
              </w:rPr>
            </w:pPr>
            <w:r w:rsidRPr="00840456">
              <w:rPr>
                <w:sz w:val="22"/>
                <w:szCs w:val="22"/>
                <w:lang w:val="sr-Latn-ME"/>
              </w:rPr>
              <w:t>n = 104</w:t>
            </w:r>
          </w:p>
        </w:tc>
        <w:tc>
          <w:tcPr>
            <w:tcW w:w="2355" w:type="dxa"/>
            <w:tcBorders>
              <w:top w:val="nil"/>
              <w:left w:val="nil"/>
              <w:bottom w:val="single" w:sz="4" w:space="0" w:color="auto"/>
              <w:right w:val="nil"/>
            </w:tcBorders>
          </w:tcPr>
          <w:p w14:paraId="63045582" w14:textId="77777777" w:rsidR="005A7F10" w:rsidRPr="00840456" w:rsidRDefault="005A7F10" w:rsidP="00AD2A61">
            <w:pPr>
              <w:tabs>
                <w:tab w:val="left" w:pos="0"/>
              </w:tabs>
              <w:jc w:val="both"/>
              <w:rPr>
                <w:sz w:val="22"/>
                <w:szCs w:val="22"/>
                <w:lang w:val="sr-Latn-ME"/>
              </w:rPr>
            </w:pPr>
            <w:r w:rsidRPr="00840456">
              <w:rPr>
                <w:sz w:val="22"/>
                <w:szCs w:val="22"/>
                <w:lang w:val="sr-Latn-ME"/>
              </w:rPr>
              <w:t>Enbrel</w:t>
            </w:r>
            <w:r w:rsidRPr="00840456">
              <w:rPr>
                <w:sz w:val="22"/>
                <w:szCs w:val="22"/>
                <w:vertAlign w:val="superscript"/>
                <w:lang w:val="sr-Latn-ME"/>
              </w:rPr>
              <w:t>a</w:t>
            </w:r>
            <w:r w:rsidRPr="00840456">
              <w:rPr>
                <w:sz w:val="22"/>
                <w:szCs w:val="22"/>
                <w:lang w:val="sr-Latn-ME"/>
              </w:rPr>
              <w:t xml:space="preserve"> grupa</w:t>
            </w:r>
          </w:p>
          <w:p w14:paraId="38514042" w14:textId="77777777" w:rsidR="005A7F10" w:rsidRPr="00840456" w:rsidRDefault="005A7F10" w:rsidP="00AD2A61">
            <w:pPr>
              <w:tabs>
                <w:tab w:val="left" w:pos="0"/>
              </w:tabs>
              <w:jc w:val="both"/>
              <w:rPr>
                <w:sz w:val="22"/>
                <w:szCs w:val="22"/>
                <w:lang w:val="sr-Latn-ME"/>
              </w:rPr>
            </w:pPr>
            <w:r w:rsidRPr="00840456">
              <w:rPr>
                <w:sz w:val="22"/>
                <w:szCs w:val="22"/>
                <w:lang w:val="sr-Latn-ME"/>
              </w:rPr>
              <w:t>n = 101</w:t>
            </w:r>
          </w:p>
        </w:tc>
      </w:tr>
      <w:tr w:rsidR="005A7F10" w:rsidRPr="00840456" w14:paraId="4575CA1C" w14:textId="77777777" w:rsidTr="00AD2A61">
        <w:trPr>
          <w:jc w:val="center"/>
        </w:trPr>
        <w:tc>
          <w:tcPr>
            <w:tcW w:w="4668" w:type="dxa"/>
            <w:tcBorders>
              <w:top w:val="single" w:sz="4" w:space="0" w:color="auto"/>
              <w:left w:val="nil"/>
              <w:bottom w:val="nil"/>
              <w:right w:val="nil"/>
            </w:tcBorders>
          </w:tcPr>
          <w:p w14:paraId="4399CE5A" w14:textId="77777777" w:rsidR="005A7F10" w:rsidRPr="00840456" w:rsidRDefault="005A7F10" w:rsidP="00AD2A61">
            <w:pPr>
              <w:tabs>
                <w:tab w:val="left" w:pos="0"/>
              </w:tabs>
              <w:jc w:val="both"/>
              <w:rPr>
                <w:b/>
                <w:sz w:val="22"/>
                <w:szCs w:val="22"/>
                <w:lang w:val="sr-Latn-ME"/>
              </w:rPr>
            </w:pPr>
            <w:r w:rsidRPr="00840456">
              <w:rPr>
                <w:b/>
                <w:sz w:val="22"/>
                <w:szCs w:val="22"/>
                <w:lang w:val="sr-Latn-ME"/>
              </w:rPr>
              <w:t>ACR 20</w:t>
            </w:r>
          </w:p>
          <w:p w14:paraId="7E8E2D81"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3. mjesec</w:t>
            </w:r>
          </w:p>
          <w:p w14:paraId="2F74B3C3"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Borders>
              <w:top w:val="single" w:sz="4" w:space="0" w:color="auto"/>
              <w:left w:val="nil"/>
              <w:bottom w:val="nil"/>
              <w:right w:val="nil"/>
            </w:tcBorders>
          </w:tcPr>
          <w:p w14:paraId="2B210A18" w14:textId="77777777" w:rsidR="005A7F10" w:rsidRPr="00840456" w:rsidRDefault="005A7F10" w:rsidP="00AD2A61">
            <w:pPr>
              <w:tabs>
                <w:tab w:val="left" w:pos="0"/>
              </w:tabs>
              <w:jc w:val="both"/>
              <w:rPr>
                <w:sz w:val="22"/>
                <w:szCs w:val="22"/>
                <w:lang w:val="sr-Latn-ME"/>
              </w:rPr>
            </w:pPr>
          </w:p>
          <w:p w14:paraId="2D8D14C9" w14:textId="77777777" w:rsidR="005A7F10" w:rsidRPr="00840456" w:rsidRDefault="005A7F10" w:rsidP="00AD2A61">
            <w:pPr>
              <w:tabs>
                <w:tab w:val="left" w:pos="0"/>
              </w:tabs>
              <w:jc w:val="both"/>
              <w:rPr>
                <w:sz w:val="22"/>
                <w:szCs w:val="22"/>
                <w:lang w:val="sr-Latn-ME"/>
              </w:rPr>
            </w:pPr>
            <w:r w:rsidRPr="00840456">
              <w:rPr>
                <w:sz w:val="22"/>
                <w:szCs w:val="22"/>
                <w:lang w:val="sr-Latn-ME"/>
              </w:rPr>
              <w:t>15</w:t>
            </w:r>
          </w:p>
          <w:p w14:paraId="1863233C" w14:textId="77777777" w:rsidR="005A7F10" w:rsidRPr="00840456" w:rsidRDefault="005A7F10" w:rsidP="00AD2A61">
            <w:pPr>
              <w:tabs>
                <w:tab w:val="left" w:pos="0"/>
              </w:tabs>
              <w:jc w:val="both"/>
              <w:rPr>
                <w:sz w:val="22"/>
                <w:szCs w:val="22"/>
                <w:lang w:val="sr-Latn-ME"/>
              </w:rPr>
            </w:pPr>
            <w:r w:rsidRPr="00840456">
              <w:rPr>
                <w:sz w:val="22"/>
                <w:szCs w:val="22"/>
                <w:lang w:val="sr-Latn-ME"/>
              </w:rPr>
              <w:t>13</w:t>
            </w:r>
          </w:p>
        </w:tc>
        <w:tc>
          <w:tcPr>
            <w:tcW w:w="2355" w:type="dxa"/>
            <w:tcBorders>
              <w:top w:val="single" w:sz="4" w:space="0" w:color="auto"/>
              <w:left w:val="nil"/>
              <w:bottom w:val="nil"/>
              <w:right w:val="nil"/>
            </w:tcBorders>
          </w:tcPr>
          <w:p w14:paraId="2E4B81D3" w14:textId="77777777" w:rsidR="005A7F10" w:rsidRPr="00840456" w:rsidRDefault="005A7F10" w:rsidP="00AD2A61">
            <w:pPr>
              <w:tabs>
                <w:tab w:val="left" w:pos="0"/>
              </w:tabs>
              <w:jc w:val="both"/>
              <w:rPr>
                <w:sz w:val="22"/>
                <w:szCs w:val="22"/>
                <w:lang w:val="sr-Latn-ME"/>
              </w:rPr>
            </w:pPr>
          </w:p>
          <w:p w14:paraId="21C04B01" w14:textId="77777777" w:rsidR="005A7F10" w:rsidRPr="00840456" w:rsidRDefault="005A7F10" w:rsidP="00AD2A61">
            <w:pPr>
              <w:tabs>
                <w:tab w:val="left" w:pos="0"/>
              </w:tabs>
              <w:jc w:val="both"/>
              <w:rPr>
                <w:sz w:val="22"/>
                <w:szCs w:val="22"/>
                <w:lang w:val="sr-Latn-ME"/>
              </w:rPr>
            </w:pPr>
            <w:r w:rsidRPr="00840456">
              <w:rPr>
                <w:sz w:val="22"/>
                <w:szCs w:val="22"/>
                <w:lang w:val="sr-Latn-ME"/>
              </w:rPr>
              <w:t>59</w:t>
            </w:r>
            <w:r w:rsidRPr="00840456">
              <w:rPr>
                <w:sz w:val="22"/>
                <w:szCs w:val="22"/>
                <w:vertAlign w:val="superscript"/>
                <w:lang w:val="sr-Latn-ME"/>
              </w:rPr>
              <w:t>b</w:t>
            </w:r>
          </w:p>
          <w:p w14:paraId="690A268C" w14:textId="77777777" w:rsidR="005A7F10" w:rsidRPr="00840456" w:rsidRDefault="005A7F10" w:rsidP="00AD2A61">
            <w:pPr>
              <w:tabs>
                <w:tab w:val="left" w:pos="0"/>
              </w:tabs>
              <w:jc w:val="both"/>
              <w:rPr>
                <w:sz w:val="22"/>
                <w:szCs w:val="22"/>
                <w:lang w:val="sr-Latn-ME"/>
              </w:rPr>
            </w:pPr>
            <w:r w:rsidRPr="00840456">
              <w:rPr>
                <w:sz w:val="22"/>
                <w:szCs w:val="22"/>
                <w:lang w:val="sr-Latn-ME"/>
              </w:rPr>
              <w:t>50</w:t>
            </w:r>
            <w:r w:rsidRPr="00840456">
              <w:rPr>
                <w:sz w:val="22"/>
                <w:szCs w:val="22"/>
                <w:vertAlign w:val="superscript"/>
                <w:lang w:val="sr-Latn-ME"/>
              </w:rPr>
              <w:t>b</w:t>
            </w:r>
          </w:p>
        </w:tc>
      </w:tr>
      <w:tr w:rsidR="005A7F10" w:rsidRPr="00840456" w14:paraId="1E1BD07D" w14:textId="77777777" w:rsidTr="00AD2A61">
        <w:trPr>
          <w:jc w:val="center"/>
        </w:trPr>
        <w:tc>
          <w:tcPr>
            <w:tcW w:w="4668" w:type="dxa"/>
            <w:tcBorders>
              <w:top w:val="nil"/>
              <w:left w:val="nil"/>
              <w:bottom w:val="nil"/>
              <w:right w:val="nil"/>
            </w:tcBorders>
          </w:tcPr>
          <w:p w14:paraId="52D77AAC" w14:textId="77777777" w:rsidR="005A7F10" w:rsidRPr="00840456" w:rsidRDefault="005A7F10" w:rsidP="00AD2A61">
            <w:pPr>
              <w:tabs>
                <w:tab w:val="left" w:pos="0"/>
              </w:tabs>
              <w:jc w:val="both"/>
              <w:rPr>
                <w:b/>
                <w:sz w:val="22"/>
                <w:szCs w:val="22"/>
                <w:lang w:val="sr-Latn-ME"/>
              </w:rPr>
            </w:pPr>
            <w:r w:rsidRPr="00840456">
              <w:rPr>
                <w:b/>
                <w:sz w:val="22"/>
                <w:szCs w:val="22"/>
                <w:lang w:val="sr-Latn-ME"/>
              </w:rPr>
              <w:t>ACR 50</w:t>
            </w:r>
          </w:p>
          <w:p w14:paraId="2F8A04E8"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3. mjesec</w:t>
            </w:r>
          </w:p>
          <w:p w14:paraId="5CEB0BC0"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Borders>
              <w:top w:val="nil"/>
              <w:left w:val="nil"/>
              <w:bottom w:val="nil"/>
              <w:right w:val="nil"/>
            </w:tcBorders>
          </w:tcPr>
          <w:p w14:paraId="402EABED" w14:textId="77777777" w:rsidR="005A7F10" w:rsidRPr="00840456" w:rsidRDefault="005A7F10" w:rsidP="00AD2A61">
            <w:pPr>
              <w:tabs>
                <w:tab w:val="left" w:pos="0"/>
              </w:tabs>
              <w:jc w:val="both"/>
              <w:rPr>
                <w:sz w:val="22"/>
                <w:szCs w:val="22"/>
                <w:lang w:val="sr-Latn-ME"/>
              </w:rPr>
            </w:pPr>
          </w:p>
          <w:p w14:paraId="59868182" w14:textId="77777777" w:rsidR="005A7F10" w:rsidRPr="00840456" w:rsidRDefault="005A7F10" w:rsidP="00AD2A61">
            <w:pPr>
              <w:tabs>
                <w:tab w:val="left" w:pos="0"/>
              </w:tabs>
              <w:jc w:val="both"/>
              <w:rPr>
                <w:sz w:val="22"/>
                <w:szCs w:val="22"/>
                <w:lang w:val="sr-Latn-ME"/>
              </w:rPr>
            </w:pPr>
            <w:r w:rsidRPr="00840456">
              <w:rPr>
                <w:sz w:val="22"/>
                <w:szCs w:val="22"/>
                <w:lang w:val="sr-Latn-ME"/>
              </w:rPr>
              <w:t>4</w:t>
            </w:r>
          </w:p>
          <w:p w14:paraId="18232CF9" w14:textId="77777777" w:rsidR="005A7F10" w:rsidRPr="00840456" w:rsidRDefault="005A7F10" w:rsidP="00AD2A61">
            <w:pPr>
              <w:tabs>
                <w:tab w:val="left" w:pos="0"/>
              </w:tabs>
              <w:jc w:val="both"/>
              <w:rPr>
                <w:sz w:val="22"/>
                <w:szCs w:val="22"/>
                <w:lang w:val="sr-Latn-ME"/>
              </w:rPr>
            </w:pPr>
            <w:r w:rsidRPr="00840456">
              <w:rPr>
                <w:sz w:val="22"/>
                <w:szCs w:val="22"/>
                <w:lang w:val="sr-Latn-ME"/>
              </w:rPr>
              <w:t>4</w:t>
            </w:r>
          </w:p>
        </w:tc>
        <w:tc>
          <w:tcPr>
            <w:tcW w:w="2355" w:type="dxa"/>
            <w:tcBorders>
              <w:top w:val="nil"/>
              <w:left w:val="nil"/>
              <w:bottom w:val="nil"/>
              <w:right w:val="nil"/>
            </w:tcBorders>
          </w:tcPr>
          <w:p w14:paraId="188110A5" w14:textId="77777777" w:rsidR="005A7F10" w:rsidRPr="00840456" w:rsidRDefault="005A7F10" w:rsidP="00AD2A61">
            <w:pPr>
              <w:tabs>
                <w:tab w:val="left" w:pos="0"/>
              </w:tabs>
              <w:jc w:val="both"/>
              <w:rPr>
                <w:sz w:val="22"/>
                <w:szCs w:val="22"/>
                <w:lang w:val="sr-Latn-ME"/>
              </w:rPr>
            </w:pPr>
          </w:p>
          <w:p w14:paraId="2A6848A8" w14:textId="77777777" w:rsidR="005A7F10" w:rsidRPr="00840456" w:rsidRDefault="005A7F10" w:rsidP="00AD2A61">
            <w:pPr>
              <w:tabs>
                <w:tab w:val="left" w:pos="0"/>
              </w:tabs>
              <w:jc w:val="both"/>
              <w:rPr>
                <w:sz w:val="22"/>
                <w:szCs w:val="22"/>
                <w:lang w:val="sr-Latn-ME"/>
              </w:rPr>
            </w:pPr>
            <w:r w:rsidRPr="00840456">
              <w:rPr>
                <w:sz w:val="22"/>
                <w:szCs w:val="22"/>
                <w:lang w:val="sr-Latn-ME"/>
              </w:rPr>
              <w:t>38</w:t>
            </w:r>
            <w:r w:rsidRPr="00840456">
              <w:rPr>
                <w:sz w:val="22"/>
                <w:szCs w:val="22"/>
                <w:vertAlign w:val="superscript"/>
                <w:lang w:val="sr-Latn-ME"/>
              </w:rPr>
              <w:t>b</w:t>
            </w:r>
          </w:p>
          <w:p w14:paraId="7DB83024" w14:textId="77777777" w:rsidR="005A7F10" w:rsidRPr="00840456" w:rsidRDefault="005A7F10" w:rsidP="00AD2A61">
            <w:pPr>
              <w:tabs>
                <w:tab w:val="left" w:pos="0"/>
              </w:tabs>
              <w:jc w:val="both"/>
              <w:rPr>
                <w:sz w:val="22"/>
                <w:szCs w:val="22"/>
                <w:lang w:val="sr-Latn-ME"/>
              </w:rPr>
            </w:pPr>
            <w:r w:rsidRPr="00840456">
              <w:rPr>
                <w:sz w:val="22"/>
                <w:szCs w:val="22"/>
                <w:lang w:val="sr-Latn-ME"/>
              </w:rPr>
              <w:t>37</w:t>
            </w:r>
            <w:r w:rsidRPr="00840456">
              <w:rPr>
                <w:sz w:val="22"/>
                <w:szCs w:val="22"/>
                <w:vertAlign w:val="superscript"/>
                <w:lang w:val="sr-Latn-ME"/>
              </w:rPr>
              <w:t>b</w:t>
            </w:r>
          </w:p>
        </w:tc>
      </w:tr>
      <w:tr w:rsidR="005A7F10" w:rsidRPr="00840456" w14:paraId="56C1AC96" w14:textId="77777777" w:rsidTr="00AD2A61">
        <w:trPr>
          <w:jc w:val="center"/>
        </w:trPr>
        <w:tc>
          <w:tcPr>
            <w:tcW w:w="4668" w:type="dxa"/>
            <w:tcBorders>
              <w:top w:val="nil"/>
              <w:left w:val="nil"/>
              <w:bottom w:val="nil"/>
              <w:right w:val="nil"/>
            </w:tcBorders>
          </w:tcPr>
          <w:p w14:paraId="2C1A052E" w14:textId="77777777" w:rsidR="005A7F10" w:rsidRPr="00840456" w:rsidRDefault="005A7F10" w:rsidP="00AD2A61">
            <w:pPr>
              <w:tabs>
                <w:tab w:val="left" w:pos="0"/>
              </w:tabs>
              <w:jc w:val="both"/>
              <w:rPr>
                <w:b/>
                <w:sz w:val="22"/>
                <w:szCs w:val="22"/>
                <w:lang w:val="sr-Latn-ME"/>
              </w:rPr>
            </w:pPr>
            <w:r w:rsidRPr="00840456">
              <w:rPr>
                <w:b/>
                <w:sz w:val="22"/>
                <w:szCs w:val="22"/>
                <w:lang w:val="sr-Latn-ME"/>
              </w:rPr>
              <w:t>ACR 70</w:t>
            </w:r>
          </w:p>
          <w:p w14:paraId="7D459145"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3. mjesec</w:t>
            </w:r>
          </w:p>
          <w:p w14:paraId="70E302EB"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Borders>
              <w:top w:val="nil"/>
              <w:left w:val="nil"/>
              <w:bottom w:val="nil"/>
              <w:right w:val="nil"/>
            </w:tcBorders>
          </w:tcPr>
          <w:p w14:paraId="4FF3DF24" w14:textId="77777777" w:rsidR="005A7F10" w:rsidRPr="00840456" w:rsidRDefault="005A7F10" w:rsidP="00AD2A61">
            <w:pPr>
              <w:tabs>
                <w:tab w:val="left" w:pos="0"/>
              </w:tabs>
              <w:jc w:val="both"/>
              <w:rPr>
                <w:sz w:val="22"/>
                <w:szCs w:val="22"/>
                <w:lang w:val="sr-Latn-ME"/>
              </w:rPr>
            </w:pPr>
          </w:p>
          <w:p w14:paraId="59C445F6" w14:textId="77777777" w:rsidR="005A7F10" w:rsidRPr="00840456" w:rsidRDefault="005A7F10" w:rsidP="00AD2A61">
            <w:pPr>
              <w:tabs>
                <w:tab w:val="left" w:pos="0"/>
              </w:tabs>
              <w:jc w:val="both"/>
              <w:rPr>
                <w:sz w:val="22"/>
                <w:szCs w:val="22"/>
                <w:lang w:val="sr-Latn-ME"/>
              </w:rPr>
            </w:pPr>
            <w:r w:rsidRPr="00840456">
              <w:rPr>
                <w:sz w:val="22"/>
                <w:szCs w:val="22"/>
                <w:lang w:val="sr-Latn-ME"/>
              </w:rPr>
              <w:t>0</w:t>
            </w:r>
          </w:p>
          <w:p w14:paraId="59BCDF0F" w14:textId="77777777" w:rsidR="005A7F10" w:rsidRPr="00840456" w:rsidRDefault="005A7F10" w:rsidP="00AD2A61">
            <w:pPr>
              <w:tabs>
                <w:tab w:val="left" w:pos="0"/>
              </w:tabs>
              <w:jc w:val="both"/>
              <w:rPr>
                <w:sz w:val="22"/>
                <w:szCs w:val="22"/>
                <w:lang w:val="sr-Latn-ME"/>
              </w:rPr>
            </w:pPr>
            <w:r w:rsidRPr="00840456">
              <w:rPr>
                <w:sz w:val="22"/>
                <w:szCs w:val="22"/>
                <w:lang w:val="sr-Latn-ME"/>
              </w:rPr>
              <w:t>1</w:t>
            </w:r>
          </w:p>
        </w:tc>
        <w:tc>
          <w:tcPr>
            <w:tcW w:w="2355" w:type="dxa"/>
            <w:tcBorders>
              <w:top w:val="nil"/>
              <w:left w:val="nil"/>
              <w:bottom w:val="nil"/>
              <w:right w:val="nil"/>
            </w:tcBorders>
          </w:tcPr>
          <w:p w14:paraId="3DC6237B" w14:textId="77777777" w:rsidR="005A7F10" w:rsidRPr="00840456" w:rsidRDefault="005A7F10" w:rsidP="00AD2A61">
            <w:pPr>
              <w:tabs>
                <w:tab w:val="left" w:pos="0"/>
              </w:tabs>
              <w:jc w:val="both"/>
              <w:rPr>
                <w:sz w:val="22"/>
                <w:szCs w:val="22"/>
                <w:lang w:val="sr-Latn-ME"/>
              </w:rPr>
            </w:pPr>
          </w:p>
          <w:p w14:paraId="754C0823" w14:textId="77777777" w:rsidR="005A7F10" w:rsidRPr="00840456" w:rsidRDefault="005A7F10" w:rsidP="00AD2A61">
            <w:pPr>
              <w:tabs>
                <w:tab w:val="left" w:pos="0"/>
              </w:tabs>
              <w:jc w:val="both"/>
              <w:rPr>
                <w:sz w:val="22"/>
                <w:szCs w:val="22"/>
                <w:lang w:val="sr-Latn-ME"/>
              </w:rPr>
            </w:pPr>
            <w:r w:rsidRPr="00840456">
              <w:rPr>
                <w:sz w:val="22"/>
                <w:szCs w:val="22"/>
                <w:lang w:val="sr-Latn-ME"/>
              </w:rPr>
              <w:t>11</w:t>
            </w:r>
            <w:r w:rsidRPr="00840456">
              <w:rPr>
                <w:sz w:val="22"/>
                <w:szCs w:val="22"/>
                <w:vertAlign w:val="superscript"/>
                <w:lang w:val="sr-Latn-ME"/>
              </w:rPr>
              <w:t>b</w:t>
            </w:r>
          </w:p>
          <w:p w14:paraId="00E11A7C" w14:textId="77777777" w:rsidR="005A7F10" w:rsidRPr="00840456" w:rsidRDefault="005A7F10" w:rsidP="00AD2A61">
            <w:pPr>
              <w:tabs>
                <w:tab w:val="left" w:pos="0"/>
              </w:tabs>
              <w:jc w:val="both"/>
              <w:rPr>
                <w:sz w:val="22"/>
                <w:szCs w:val="22"/>
                <w:lang w:val="sr-Latn-ME"/>
              </w:rPr>
            </w:pPr>
            <w:r w:rsidRPr="00840456">
              <w:rPr>
                <w:sz w:val="22"/>
                <w:szCs w:val="22"/>
                <w:lang w:val="sr-Latn-ME"/>
              </w:rPr>
              <w:t>9</w:t>
            </w:r>
            <w:r w:rsidRPr="00840456">
              <w:rPr>
                <w:sz w:val="22"/>
                <w:szCs w:val="22"/>
                <w:vertAlign w:val="superscript"/>
                <w:lang w:val="sr-Latn-ME"/>
              </w:rPr>
              <w:t>c</w:t>
            </w:r>
          </w:p>
        </w:tc>
      </w:tr>
      <w:tr w:rsidR="005A7F10" w:rsidRPr="00840456" w14:paraId="66CEF001" w14:textId="77777777" w:rsidTr="00AD2A61">
        <w:trPr>
          <w:jc w:val="center"/>
        </w:trPr>
        <w:tc>
          <w:tcPr>
            <w:tcW w:w="4668" w:type="dxa"/>
            <w:tcBorders>
              <w:top w:val="nil"/>
              <w:left w:val="nil"/>
              <w:bottom w:val="single" w:sz="4" w:space="0" w:color="auto"/>
              <w:right w:val="nil"/>
            </w:tcBorders>
          </w:tcPr>
          <w:p w14:paraId="5F06D068" w14:textId="77777777" w:rsidR="005A7F10" w:rsidRPr="00840456" w:rsidRDefault="005A7F10" w:rsidP="00AD2A61">
            <w:pPr>
              <w:tabs>
                <w:tab w:val="left" w:pos="0"/>
              </w:tabs>
              <w:jc w:val="both"/>
              <w:rPr>
                <w:b/>
                <w:sz w:val="22"/>
                <w:szCs w:val="22"/>
                <w:lang w:val="sr-Latn-ME"/>
              </w:rPr>
            </w:pPr>
            <w:r w:rsidRPr="00840456">
              <w:rPr>
                <w:b/>
                <w:sz w:val="22"/>
                <w:szCs w:val="22"/>
                <w:lang w:val="sr-Latn-ME"/>
              </w:rPr>
              <w:t>PsARC</w:t>
            </w:r>
          </w:p>
          <w:p w14:paraId="237609E3"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3. mjesec</w:t>
            </w:r>
          </w:p>
          <w:p w14:paraId="026616B8"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Borders>
              <w:top w:val="nil"/>
              <w:left w:val="nil"/>
              <w:bottom w:val="single" w:sz="4" w:space="0" w:color="auto"/>
              <w:right w:val="nil"/>
            </w:tcBorders>
          </w:tcPr>
          <w:p w14:paraId="21824EBD" w14:textId="77777777" w:rsidR="005A7F10" w:rsidRPr="00840456" w:rsidRDefault="005A7F10" w:rsidP="00AD2A61">
            <w:pPr>
              <w:tabs>
                <w:tab w:val="left" w:pos="0"/>
              </w:tabs>
              <w:jc w:val="both"/>
              <w:rPr>
                <w:sz w:val="22"/>
                <w:szCs w:val="22"/>
                <w:lang w:val="sr-Latn-ME"/>
              </w:rPr>
            </w:pPr>
          </w:p>
          <w:p w14:paraId="1F135D7D" w14:textId="77777777" w:rsidR="005A7F10" w:rsidRPr="00840456" w:rsidRDefault="005A7F10" w:rsidP="00AD2A61">
            <w:pPr>
              <w:tabs>
                <w:tab w:val="left" w:pos="0"/>
              </w:tabs>
              <w:jc w:val="both"/>
              <w:rPr>
                <w:sz w:val="22"/>
                <w:szCs w:val="22"/>
                <w:lang w:val="sr-Latn-ME"/>
              </w:rPr>
            </w:pPr>
            <w:r w:rsidRPr="00840456">
              <w:rPr>
                <w:sz w:val="22"/>
                <w:szCs w:val="22"/>
                <w:lang w:val="sr-Latn-ME"/>
              </w:rPr>
              <w:t>31</w:t>
            </w:r>
          </w:p>
          <w:p w14:paraId="44F65110" w14:textId="77777777" w:rsidR="005A7F10" w:rsidRPr="00840456" w:rsidRDefault="005A7F10" w:rsidP="00AD2A61">
            <w:pPr>
              <w:tabs>
                <w:tab w:val="left" w:pos="0"/>
              </w:tabs>
              <w:jc w:val="both"/>
              <w:rPr>
                <w:sz w:val="22"/>
                <w:szCs w:val="22"/>
                <w:lang w:val="sr-Latn-ME"/>
              </w:rPr>
            </w:pPr>
            <w:r w:rsidRPr="00840456">
              <w:rPr>
                <w:sz w:val="22"/>
                <w:szCs w:val="22"/>
                <w:lang w:val="sr-Latn-ME"/>
              </w:rPr>
              <w:t>23</w:t>
            </w:r>
          </w:p>
        </w:tc>
        <w:tc>
          <w:tcPr>
            <w:tcW w:w="2355" w:type="dxa"/>
            <w:tcBorders>
              <w:top w:val="nil"/>
              <w:left w:val="nil"/>
              <w:bottom w:val="single" w:sz="4" w:space="0" w:color="auto"/>
              <w:right w:val="nil"/>
            </w:tcBorders>
          </w:tcPr>
          <w:p w14:paraId="3890A5AF" w14:textId="77777777" w:rsidR="005A7F10" w:rsidRPr="00840456" w:rsidRDefault="005A7F10" w:rsidP="00AD2A61">
            <w:pPr>
              <w:tabs>
                <w:tab w:val="left" w:pos="0"/>
              </w:tabs>
              <w:jc w:val="both"/>
              <w:rPr>
                <w:sz w:val="22"/>
                <w:szCs w:val="22"/>
                <w:lang w:val="sr-Latn-ME"/>
              </w:rPr>
            </w:pPr>
          </w:p>
          <w:p w14:paraId="2031005F" w14:textId="77777777" w:rsidR="005A7F10" w:rsidRPr="00840456" w:rsidRDefault="005A7F10" w:rsidP="00AD2A61">
            <w:pPr>
              <w:tabs>
                <w:tab w:val="left" w:pos="0"/>
              </w:tabs>
              <w:jc w:val="both"/>
              <w:rPr>
                <w:sz w:val="22"/>
                <w:szCs w:val="22"/>
                <w:lang w:val="sr-Latn-ME"/>
              </w:rPr>
            </w:pPr>
            <w:r w:rsidRPr="00840456">
              <w:rPr>
                <w:sz w:val="22"/>
                <w:szCs w:val="22"/>
                <w:lang w:val="sr-Latn-ME"/>
              </w:rPr>
              <w:t>72</w:t>
            </w:r>
            <w:r w:rsidRPr="00840456">
              <w:rPr>
                <w:sz w:val="22"/>
                <w:szCs w:val="22"/>
                <w:vertAlign w:val="superscript"/>
                <w:lang w:val="sr-Latn-ME"/>
              </w:rPr>
              <w:t>b</w:t>
            </w:r>
          </w:p>
          <w:p w14:paraId="12E7EF2B" w14:textId="77777777" w:rsidR="005A7F10" w:rsidRPr="00840456" w:rsidRDefault="005A7F10" w:rsidP="00AD2A61">
            <w:pPr>
              <w:tabs>
                <w:tab w:val="left" w:pos="0"/>
              </w:tabs>
              <w:jc w:val="both"/>
              <w:rPr>
                <w:sz w:val="22"/>
                <w:szCs w:val="22"/>
                <w:lang w:val="sr-Latn-ME"/>
              </w:rPr>
            </w:pPr>
            <w:r w:rsidRPr="00840456">
              <w:rPr>
                <w:sz w:val="22"/>
                <w:szCs w:val="22"/>
                <w:lang w:val="sr-Latn-ME"/>
              </w:rPr>
              <w:t>70</w:t>
            </w:r>
            <w:r w:rsidRPr="00840456">
              <w:rPr>
                <w:sz w:val="22"/>
                <w:szCs w:val="22"/>
                <w:vertAlign w:val="superscript"/>
                <w:lang w:val="sr-Latn-ME"/>
              </w:rPr>
              <w:t>b</w:t>
            </w:r>
          </w:p>
        </w:tc>
      </w:tr>
      <w:tr w:rsidR="005A7F10" w:rsidRPr="00840456" w14:paraId="70E40E41" w14:textId="77777777" w:rsidTr="00AD2A61">
        <w:trPr>
          <w:jc w:val="center"/>
        </w:trPr>
        <w:tc>
          <w:tcPr>
            <w:tcW w:w="9303" w:type="dxa"/>
            <w:gridSpan w:val="3"/>
            <w:tcBorders>
              <w:top w:val="single" w:sz="4" w:space="0" w:color="auto"/>
              <w:left w:val="nil"/>
              <w:bottom w:val="nil"/>
              <w:right w:val="nil"/>
            </w:tcBorders>
          </w:tcPr>
          <w:p w14:paraId="2BDA36B9" w14:textId="77777777" w:rsidR="005A7F10" w:rsidRPr="00840456" w:rsidRDefault="005A7F10" w:rsidP="00AD2A61">
            <w:pPr>
              <w:tabs>
                <w:tab w:val="left" w:pos="0"/>
              </w:tabs>
              <w:jc w:val="both"/>
              <w:rPr>
                <w:sz w:val="22"/>
                <w:szCs w:val="22"/>
                <w:lang w:val="sr-Latn-ME"/>
              </w:rPr>
            </w:pPr>
            <w:r w:rsidRPr="00840456">
              <w:rPr>
                <w:sz w:val="22"/>
                <w:szCs w:val="22"/>
                <w:lang w:val="sr-Latn-ME"/>
              </w:rPr>
              <w:t>a: 25 mg lijeka Enbrel s.c. dva puta nedjeljno</w:t>
            </w:r>
          </w:p>
          <w:p w14:paraId="6D72214F" w14:textId="77777777" w:rsidR="005A7F10" w:rsidRPr="00840456" w:rsidRDefault="005A7F10" w:rsidP="00AD2A61">
            <w:pPr>
              <w:tabs>
                <w:tab w:val="left" w:pos="0"/>
              </w:tabs>
              <w:jc w:val="both"/>
              <w:rPr>
                <w:sz w:val="22"/>
                <w:szCs w:val="22"/>
                <w:lang w:val="sr-Latn-ME"/>
              </w:rPr>
            </w:pPr>
            <w:r w:rsidRPr="00840456">
              <w:rPr>
                <w:sz w:val="22"/>
                <w:szCs w:val="22"/>
                <w:lang w:val="sr-Latn-ME"/>
              </w:rPr>
              <w:t>b: p&lt;0,001, Enbrel vs. placebo</w:t>
            </w:r>
          </w:p>
          <w:p w14:paraId="4E74C630" w14:textId="77777777" w:rsidR="005A7F10" w:rsidRPr="00840456" w:rsidRDefault="005A7F10" w:rsidP="00AD2A61">
            <w:pPr>
              <w:tabs>
                <w:tab w:val="left" w:pos="0"/>
              </w:tabs>
              <w:jc w:val="both"/>
              <w:rPr>
                <w:sz w:val="22"/>
                <w:szCs w:val="22"/>
                <w:lang w:val="sr-Latn-ME"/>
              </w:rPr>
            </w:pPr>
            <w:r w:rsidRPr="00840456">
              <w:rPr>
                <w:sz w:val="22"/>
                <w:szCs w:val="22"/>
                <w:lang w:val="sr-Latn-ME"/>
              </w:rPr>
              <w:t>c: p&lt;0,01, Enbrel vs. placebo</w:t>
            </w:r>
          </w:p>
        </w:tc>
      </w:tr>
    </w:tbl>
    <w:p w14:paraId="7803C640" w14:textId="77777777" w:rsidR="005A7F10" w:rsidRPr="00840456" w:rsidRDefault="005A7F10" w:rsidP="005A7F10">
      <w:pPr>
        <w:pStyle w:val="Header"/>
        <w:tabs>
          <w:tab w:val="left" w:pos="284"/>
        </w:tabs>
        <w:jc w:val="both"/>
        <w:rPr>
          <w:sz w:val="22"/>
          <w:szCs w:val="22"/>
          <w:lang w:val="sr-Latn-ME"/>
        </w:rPr>
      </w:pPr>
    </w:p>
    <w:p w14:paraId="43D98228" w14:textId="77777777" w:rsidR="005A7F10" w:rsidRPr="00840456" w:rsidRDefault="005A7F10" w:rsidP="005A7F10">
      <w:pPr>
        <w:widowControl w:val="0"/>
        <w:overflowPunct w:val="0"/>
        <w:autoSpaceDE w:val="0"/>
        <w:autoSpaceDN w:val="0"/>
        <w:adjustRightInd w:val="0"/>
        <w:spacing w:line="239" w:lineRule="auto"/>
        <w:ind w:left="20"/>
        <w:jc w:val="both"/>
        <w:rPr>
          <w:sz w:val="22"/>
          <w:szCs w:val="22"/>
          <w:lang w:val="sr-Latn-ME"/>
        </w:rPr>
      </w:pPr>
      <w:r w:rsidRPr="00840456">
        <w:rPr>
          <w:color w:val="000000"/>
          <w:sz w:val="22"/>
          <w:szCs w:val="22"/>
          <w:lang w:val="sr-Latn-ME"/>
        </w:rPr>
        <w:t>Kod pacijenata sa psorijaznim artritisom koji su primali lijek Enbrel, već prilikom prve posjete (4. nedjelja) postojao je uočljiv klinički odgovor i zadržavao se tokom narednih 6 mjeseci. Lijek Enbrel je davao značajno bolje rezultate od placeba po svim kriterijumima kojima se određivala aktivnost bolesti (p&lt;0,001), a odgovor na konkomitantnu primjenu metotreksata je bio sličan odgovoru na terapiju bez metotreksata. Rađena je procjena kvaliteta života pacijenata sa psorijaznim artritisom u svakoj kontrolnoj tački prema HAQ indeksu za određivanje smanjenja sposobnosti. Kod pacijenata sa psorijaznim artritisom koji su primali lijek Enbrel skor indeksa smanjene sposobnosti je bio značajno poboljšan u svim kontrolnim tačkama, u odnosu na placebo (p&lt;0,001).</w:t>
      </w:r>
    </w:p>
    <w:p w14:paraId="0A630A95" w14:textId="77777777" w:rsidR="005A7F10" w:rsidRPr="00840456" w:rsidRDefault="005A7F10" w:rsidP="005A7F10">
      <w:pPr>
        <w:widowControl w:val="0"/>
        <w:autoSpaceDE w:val="0"/>
        <w:autoSpaceDN w:val="0"/>
        <w:adjustRightInd w:val="0"/>
        <w:spacing w:line="226" w:lineRule="exact"/>
        <w:jc w:val="both"/>
        <w:rPr>
          <w:sz w:val="22"/>
          <w:szCs w:val="22"/>
          <w:lang w:val="sr-Latn-ME"/>
        </w:rPr>
      </w:pPr>
    </w:p>
    <w:p w14:paraId="1499A5A3" w14:textId="4027F9D3"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U studiji psorijaznog artritisa procjenjivane su radiografske prom</w:t>
      </w:r>
      <w:r w:rsidR="00A31E22" w:rsidRPr="00840456">
        <w:rPr>
          <w:color w:val="000000"/>
          <w:sz w:val="22"/>
          <w:szCs w:val="22"/>
          <w:lang w:val="sr-Latn-ME"/>
        </w:rPr>
        <w:t>j</w:t>
      </w:r>
      <w:r w:rsidRPr="00840456">
        <w:rPr>
          <w:color w:val="000000"/>
          <w:sz w:val="22"/>
          <w:szCs w:val="22"/>
          <w:lang w:val="sr-Latn-ME"/>
        </w:rPr>
        <w:t xml:space="preserve">ene. Šake i ručni zglobovi snimljeni su radiografski na početku studije i posije 6, 12 i 24 mjeseci. Izmijenjen TSS nakon 12 mjeseci prikazan je dalje u tabeli. U analizi gdje je smatrano da je došlo do progresije bolesti kod svih pacijenata koji su isključeni iz studije iz bilo kod razloga, procenat pacijenata bez progresije (TSS ≤ 0.5) nakon 12 mjeseci bio je veći u Enbrel grupi u odnosu na placebo grupu (73% vs. 47%, p ≤ 0.001). Uticaj lijeka Enbrel na radiografsku progresiju zadržan je kod pacijenata koji su produžili primjenu lijeka tokom druge godine. </w:t>
      </w:r>
      <w:r w:rsidRPr="00840456">
        <w:rPr>
          <w:color w:val="000000"/>
          <w:sz w:val="22"/>
          <w:szCs w:val="22"/>
          <w:lang w:val="sr-Latn-ME"/>
        </w:rPr>
        <w:lastRenderedPageBreak/>
        <w:t xml:space="preserve">Kod pacijenata sa poliartikularnim simetričnim oboljenjem zgobova primijećeno je usporenje perifernog oštećenja zglobova. </w:t>
      </w:r>
    </w:p>
    <w:p w14:paraId="657417D5" w14:textId="77777777" w:rsidR="005A7F10" w:rsidRPr="00840456" w:rsidRDefault="005A7F10" w:rsidP="005A7F10">
      <w:pPr>
        <w:pStyle w:val="Header"/>
        <w:tabs>
          <w:tab w:val="left" w:pos="284"/>
        </w:tabs>
        <w:jc w:val="both"/>
        <w:rPr>
          <w:color w:val="000000"/>
          <w:sz w:val="22"/>
          <w:szCs w:val="22"/>
          <w:lang w:val="sr-Latn-ME"/>
        </w:rPr>
      </w:pPr>
    </w:p>
    <w:p w14:paraId="31C33A5E" w14:textId="3CC088E4" w:rsidR="005A7F10" w:rsidRPr="00840456" w:rsidRDefault="00A31E22" w:rsidP="005A7F10">
      <w:pPr>
        <w:pStyle w:val="Header"/>
        <w:tabs>
          <w:tab w:val="left" w:pos="284"/>
        </w:tabs>
        <w:jc w:val="both"/>
        <w:rPr>
          <w:b/>
          <w:color w:val="000000"/>
          <w:sz w:val="22"/>
          <w:szCs w:val="22"/>
          <w:lang w:val="sr-Latn-ME"/>
        </w:rPr>
      </w:pPr>
      <w:r w:rsidRPr="00840456">
        <w:rPr>
          <w:b/>
          <w:color w:val="000000"/>
          <w:sz w:val="22"/>
          <w:szCs w:val="22"/>
          <w:lang w:val="sr-Latn-ME"/>
        </w:rPr>
        <w:t>Srednja (SG) godišnja promjena od početnog stanja u ukupnom skoru</w:t>
      </w:r>
    </w:p>
    <w:tbl>
      <w:tblPr>
        <w:tblW w:w="9531" w:type="dxa"/>
        <w:jc w:val="center"/>
        <w:tblBorders>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893"/>
        <w:gridCol w:w="3319"/>
        <w:gridCol w:w="3319"/>
      </w:tblGrid>
      <w:tr w:rsidR="005A7F10" w:rsidRPr="00840456" w14:paraId="28B9ED62" w14:textId="77777777" w:rsidTr="00671053">
        <w:trPr>
          <w:jc w:val="center"/>
        </w:trPr>
        <w:tc>
          <w:tcPr>
            <w:tcW w:w="2893" w:type="dxa"/>
            <w:tcBorders>
              <w:top w:val="single" w:sz="4" w:space="0" w:color="auto"/>
              <w:left w:val="nil"/>
              <w:bottom w:val="single" w:sz="4" w:space="0" w:color="auto"/>
              <w:right w:val="nil"/>
            </w:tcBorders>
          </w:tcPr>
          <w:p w14:paraId="29A308E2" w14:textId="77777777" w:rsidR="005A7F10" w:rsidRPr="00840456" w:rsidRDefault="005A7F10" w:rsidP="00AD2A61">
            <w:pPr>
              <w:tabs>
                <w:tab w:val="left" w:pos="0"/>
              </w:tabs>
              <w:jc w:val="both"/>
              <w:rPr>
                <w:sz w:val="22"/>
                <w:szCs w:val="22"/>
                <w:lang w:val="sr-Latn-ME"/>
              </w:rPr>
            </w:pPr>
            <w:r w:rsidRPr="00840456">
              <w:rPr>
                <w:sz w:val="22"/>
                <w:szCs w:val="22"/>
                <w:lang w:val="sr-Latn-ME"/>
              </w:rPr>
              <w:t>Vrijeme</w:t>
            </w:r>
          </w:p>
        </w:tc>
        <w:tc>
          <w:tcPr>
            <w:tcW w:w="3319" w:type="dxa"/>
            <w:tcBorders>
              <w:top w:val="single" w:sz="4" w:space="0" w:color="auto"/>
              <w:left w:val="nil"/>
              <w:bottom w:val="single" w:sz="4" w:space="0" w:color="auto"/>
              <w:right w:val="nil"/>
            </w:tcBorders>
          </w:tcPr>
          <w:p w14:paraId="6E988CAE" w14:textId="77777777" w:rsidR="005A7F10" w:rsidRPr="00840456" w:rsidRDefault="005A7F10" w:rsidP="00AD2A61">
            <w:pPr>
              <w:tabs>
                <w:tab w:val="left" w:pos="0"/>
              </w:tabs>
              <w:jc w:val="both"/>
              <w:rPr>
                <w:sz w:val="22"/>
                <w:szCs w:val="22"/>
                <w:lang w:val="sr-Latn-ME"/>
              </w:rPr>
            </w:pPr>
            <w:r w:rsidRPr="00840456">
              <w:rPr>
                <w:sz w:val="22"/>
                <w:szCs w:val="22"/>
                <w:lang w:val="sr-Latn-ME"/>
              </w:rPr>
              <w:t>Placebo</w:t>
            </w:r>
          </w:p>
          <w:p w14:paraId="6D59F375" w14:textId="77777777" w:rsidR="005A7F10" w:rsidRPr="00840456" w:rsidRDefault="005A7F10" w:rsidP="00AD2A61">
            <w:pPr>
              <w:tabs>
                <w:tab w:val="left" w:pos="0"/>
              </w:tabs>
              <w:jc w:val="both"/>
              <w:rPr>
                <w:sz w:val="22"/>
                <w:szCs w:val="22"/>
                <w:lang w:val="sr-Latn-ME"/>
              </w:rPr>
            </w:pPr>
            <w:r w:rsidRPr="00840456">
              <w:rPr>
                <w:sz w:val="22"/>
                <w:szCs w:val="22"/>
                <w:lang w:val="sr-Latn-ME"/>
              </w:rPr>
              <w:t>(n = 104)</w:t>
            </w:r>
          </w:p>
        </w:tc>
        <w:tc>
          <w:tcPr>
            <w:tcW w:w="3319" w:type="dxa"/>
            <w:tcBorders>
              <w:top w:val="single" w:sz="4" w:space="0" w:color="auto"/>
              <w:left w:val="nil"/>
              <w:bottom w:val="single" w:sz="4" w:space="0" w:color="auto"/>
              <w:right w:val="nil"/>
            </w:tcBorders>
          </w:tcPr>
          <w:p w14:paraId="2EDDC046" w14:textId="77777777" w:rsidR="005A7F10" w:rsidRPr="00840456" w:rsidRDefault="005A7F10" w:rsidP="00AD2A61">
            <w:pPr>
              <w:tabs>
                <w:tab w:val="left" w:pos="0"/>
              </w:tabs>
              <w:jc w:val="both"/>
              <w:rPr>
                <w:sz w:val="22"/>
                <w:szCs w:val="22"/>
                <w:lang w:val="sr-Latn-ME"/>
              </w:rPr>
            </w:pPr>
            <w:r w:rsidRPr="00840456">
              <w:rPr>
                <w:sz w:val="22"/>
                <w:szCs w:val="22"/>
                <w:lang w:val="sr-Latn-ME"/>
              </w:rPr>
              <w:t>Etanercept</w:t>
            </w:r>
          </w:p>
          <w:p w14:paraId="0C25FF25" w14:textId="77777777" w:rsidR="005A7F10" w:rsidRPr="00840456" w:rsidRDefault="005A7F10" w:rsidP="00AD2A61">
            <w:pPr>
              <w:tabs>
                <w:tab w:val="left" w:pos="0"/>
              </w:tabs>
              <w:jc w:val="both"/>
              <w:rPr>
                <w:sz w:val="22"/>
                <w:szCs w:val="22"/>
                <w:lang w:val="sr-Latn-ME"/>
              </w:rPr>
            </w:pPr>
            <w:r w:rsidRPr="00840456">
              <w:rPr>
                <w:sz w:val="22"/>
                <w:szCs w:val="22"/>
                <w:lang w:val="sr-Latn-ME"/>
              </w:rPr>
              <w:t>(n = 101)</w:t>
            </w:r>
          </w:p>
        </w:tc>
      </w:tr>
      <w:tr w:rsidR="00671053" w:rsidRPr="00840456" w14:paraId="45491588" w14:textId="77777777" w:rsidTr="00671053">
        <w:trPr>
          <w:jc w:val="center"/>
        </w:trPr>
        <w:tc>
          <w:tcPr>
            <w:tcW w:w="2893" w:type="dxa"/>
            <w:tcBorders>
              <w:top w:val="single" w:sz="4" w:space="0" w:color="auto"/>
              <w:left w:val="nil"/>
              <w:bottom w:val="single" w:sz="4" w:space="0" w:color="auto"/>
              <w:right w:val="nil"/>
            </w:tcBorders>
          </w:tcPr>
          <w:p w14:paraId="29DAC288" w14:textId="77777777" w:rsidR="00671053" w:rsidRPr="00840456" w:rsidRDefault="00671053" w:rsidP="00AD2A61">
            <w:pPr>
              <w:tabs>
                <w:tab w:val="left" w:pos="0"/>
              </w:tabs>
              <w:jc w:val="both"/>
              <w:rPr>
                <w:sz w:val="22"/>
                <w:szCs w:val="22"/>
                <w:lang w:val="sr-Latn-ME"/>
              </w:rPr>
            </w:pPr>
          </w:p>
        </w:tc>
        <w:tc>
          <w:tcPr>
            <w:tcW w:w="3319" w:type="dxa"/>
            <w:tcBorders>
              <w:top w:val="single" w:sz="4" w:space="0" w:color="auto"/>
              <w:left w:val="nil"/>
              <w:bottom w:val="single" w:sz="4" w:space="0" w:color="auto"/>
              <w:right w:val="nil"/>
            </w:tcBorders>
          </w:tcPr>
          <w:p w14:paraId="4865A2D1" w14:textId="77777777" w:rsidR="00671053" w:rsidRPr="00840456" w:rsidRDefault="00671053" w:rsidP="00AD2A61">
            <w:pPr>
              <w:tabs>
                <w:tab w:val="left" w:pos="0"/>
              </w:tabs>
              <w:jc w:val="both"/>
              <w:rPr>
                <w:sz w:val="22"/>
                <w:szCs w:val="22"/>
                <w:lang w:val="sr-Latn-ME"/>
              </w:rPr>
            </w:pPr>
          </w:p>
        </w:tc>
        <w:tc>
          <w:tcPr>
            <w:tcW w:w="3319" w:type="dxa"/>
            <w:tcBorders>
              <w:top w:val="single" w:sz="4" w:space="0" w:color="auto"/>
              <w:left w:val="nil"/>
              <w:bottom w:val="single" w:sz="4" w:space="0" w:color="auto"/>
              <w:right w:val="nil"/>
            </w:tcBorders>
          </w:tcPr>
          <w:p w14:paraId="7E23FA5F" w14:textId="77777777" w:rsidR="00671053" w:rsidRPr="00840456" w:rsidRDefault="00671053" w:rsidP="00AD2A61">
            <w:pPr>
              <w:tabs>
                <w:tab w:val="left" w:pos="0"/>
              </w:tabs>
              <w:jc w:val="both"/>
              <w:rPr>
                <w:sz w:val="22"/>
                <w:szCs w:val="22"/>
                <w:lang w:val="sr-Latn-ME"/>
              </w:rPr>
            </w:pPr>
          </w:p>
        </w:tc>
      </w:tr>
      <w:tr w:rsidR="005A7F10" w:rsidRPr="00840456" w14:paraId="5B01C3C0" w14:textId="77777777" w:rsidTr="00671053">
        <w:trPr>
          <w:jc w:val="center"/>
        </w:trPr>
        <w:tc>
          <w:tcPr>
            <w:tcW w:w="2893" w:type="dxa"/>
            <w:tcBorders>
              <w:top w:val="single" w:sz="4" w:space="0" w:color="auto"/>
              <w:left w:val="nil"/>
              <w:bottom w:val="single" w:sz="4" w:space="0" w:color="auto"/>
              <w:right w:val="nil"/>
            </w:tcBorders>
          </w:tcPr>
          <w:p w14:paraId="7FD49241" w14:textId="77777777" w:rsidR="005A7F10" w:rsidRPr="00840456" w:rsidRDefault="005A7F10" w:rsidP="00AD2A61">
            <w:pPr>
              <w:tabs>
                <w:tab w:val="left" w:pos="0"/>
              </w:tabs>
              <w:jc w:val="both"/>
              <w:rPr>
                <w:sz w:val="22"/>
                <w:szCs w:val="22"/>
                <w:lang w:val="sr-Latn-ME"/>
              </w:rPr>
            </w:pPr>
            <w:r w:rsidRPr="00840456">
              <w:rPr>
                <w:sz w:val="22"/>
                <w:szCs w:val="22"/>
                <w:lang w:val="sr-Latn-ME"/>
              </w:rPr>
              <w:t>12 mjeseci</w:t>
            </w:r>
          </w:p>
        </w:tc>
        <w:tc>
          <w:tcPr>
            <w:tcW w:w="3319" w:type="dxa"/>
            <w:tcBorders>
              <w:top w:val="single" w:sz="4" w:space="0" w:color="auto"/>
              <w:left w:val="nil"/>
              <w:bottom w:val="single" w:sz="4" w:space="0" w:color="auto"/>
              <w:right w:val="nil"/>
            </w:tcBorders>
          </w:tcPr>
          <w:p w14:paraId="18FBB6A9" w14:textId="77777777" w:rsidR="005A7F10" w:rsidRPr="00840456" w:rsidRDefault="005A7F10" w:rsidP="00AD2A61">
            <w:pPr>
              <w:tabs>
                <w:tab w:val="left" w:pos="0"/>
              </w:tabs>
              <w:jc w:val="both"/>
              <w:rPr>
                <w:sz w:val="22"/>
                <w:szCs w:val="22"/>
                <w:lang w:val="sr-Latn-ME"/>
              </w:rPr>
            </w:pPr>
            <w:r w:rsidRPr="00840456">
              <w:rPr>
                <w:sz w:val="22"/>
                <w:szCs w:val="22"/>
                <w:lang w:val="sr-Latn-ME"/>
              </w:rPr>
              <w:t>1.00 (0.29)</w:t>
            </w:r>
          </w:p>
        </w:tc>
        <w:tc>
          <w:tcPr>
            <w:tcW w:w="3319" w:type="dxa"/>
            <w:tcBorders>
              <w:top w:val="single" w:sz="4" w:space="0" w:color="auto"/>
              <w:left w:val="nil"/>
              <w:bottom w:val="single" w:sz="4" w:space="0" w:color="auto"/>
              <w:right w:val="nil"/>
            </w:tcBorders>
          </w:tcPr>
          <w:p w14:paraId="0B9B2C5E" w14:textId="77777777" w:rsidR="005A7F10" w:rsidRPr="00840456" w:rsidRDefault="005A7F10" w:rsidP="00AD2A61">
            <w:pPr>
              <w:tabs>
                <w:tab w:val="left" w:pos="0"/>
              </w:tabs>
              <w:jc w:val="both"/>
              <w:rPr>
                <w:sz w:val="22"/>
                <w:szCs w:val="22"/>
                <w:vertAlign w:val="superscript"/>
                <w:lang w:val="sr-Latn-ME"/>
              </w:rPr>
            </w:pPr>
            <w:r w:rsidRPr="00840456">
              <w:rPr>
                <w:sz w:val="22"/>
                <w:szCs w:val="22"/>
                <w:lang w:val="sr-Latn-ME"/>
              </w:rPr>
              <w:t>-0.03 (0.09)</w:t>
            </w:r>
            <w:r w:rsidRPr="00840456">
              <w:rPr>
                <w:sz w:val="22"/>
                <w:szCs w:val="22"/>
                <w:vertAlign w:val="superscript"/>
                <w:lang w:val="sr-Latn-ME"/>
              </w:rPr>
              <w:t>a</w:t>
            </w:r>
          </w:p>
        </w:tc>
      </w:tr>
    </w:tbl>
    <w:p w14:paraId="6DBF8007" w14:textId="77777777" w:rsidR="005A7F10" w:rsidRPr="00840456" w:rsidRDefault="005A7F10" w:rsidP="005A7F10">
      <w:pPr>
        <w:tabs>
          <w:tab w:val="left" w:pos="0"/>
        </w:tabs>
        <w:jc w:val="both"/>
        <w:rPr>
          <w:sz w:val="22"/>
          <w:szCs w:val="22"/>
          <w:lang w:val="sr-Latn-ME"/>
        </w:rPr>
      </w:pPr>
      <w:r w:rsidRPr="00840456">
        <w:rPr>
          <w:sz w:val="22"/>
          <w:szCs w:val="22"/>
          <w:lang w:val="sr-Latn-ME"/>
        </w:rPr>
        <w:t>SG = standardna greška</w:t>
      </w:r>
    </w:p>
    <w:p w14:paraId="669F803B" w14:textId="77777777" w:rsidR="005A7F10" w:rsidRPr="00840456" w:rsidRDefault="005A7F10" w:rsidP="005A7F10">
      <w:pPr>
        <w:pStyle w:val="Header"/>
        <w:tabs>
          <w:tab w:val="left" w:pos="284"/>
        </w:tabs>
        <w:jc w:val="both"/>
        <w:rPr>
          <w:sz w:val="22"/>
          <w:szCs w:val="22"/>
          <w:lang w:val="sr-Latn-ME"/>
        </w:rPr>
      </w:pPr>
      <w:r w:rsidRPr="00840456">
        <w:rPr>
          <w:sz w:val="22"/>
          <w:szCs w:val="22"/>
          <w:lang w:val="sr-Latn-ME"/>
        </w:rPr>
        <w:t xml:space="preserve">a. p = 0.0001 </w:t>
      </w:r>
    </w:p>
    <w:p w14:paraId="100742A9" w14:textId="77777777" w:rsidR="005A7F10" w:rsidRPr="00840456" w:rsidRDefault="005A7F10" w:rsidP="005A7F10">
      <w:pPr>
        <w:pStyle w:val="Header"/>
        <w:tabs>
          <w:tab w:val="left" w:pos="284"/>
        </w:tabs>
        <w:jc w:val="both"/>
        <w:rPr>
          <w:sz w:val="22"/>
          <w:szCs w:val="22"/>
          <w:lang w:val="sr-Latn-ME"/>
        </w:rPr>
      </w:pPr>
    </w:p>
    <w:p w14:paraId="0194FE1A" w14:textId="77777777" w:rsidR="005A7F10" w:rsidRPr="00840456" w:rsidRDefault="005A7F10" w:rsidP="005A7F10">
      <w:pPr>
        <w:widowControl w:val="0"/>
        <w:overflowPunct w:val="0"/>
        <w:autoSpaceDE w:val="0"/>
        <w:autoSpaceDN w:val="0"/>
        <w:adjustRightInd w:val="0"/>
        <w:ind w:left="23" w:right="442"/>
        <w:jc w:val="both"/>
        <w:rPr>
          <w:sz w:val="22"/>
          <w:szCs w:val="22"/>
          <w:lang w:val="sr-Latn-ME"/>
        </w:rPr>
      </w:pPr>
      <w:r w:rsidRPr="00840456">
        <w:rPr>
          <w:color w:val="000000"/>
          <w:sz w:val="22"/>
          <w:szCs w:val="22"/>
          <w:lang w:val="sr-Latn-ME"/>
        </w:rPr>
        <w:t>Primjena lijeka Enbrel tokom dvostruko-slijepog perioda studije dovela je do poboljšanja fizičkih funkcija, koje se nastavilo i tokom dugotrajne primjene u periodu do 2 godine.</w:t>
      </w:r>
    </w:p>
    <w:p w14:paraId="4BE4E178" w14:textId="77777777" w:rsidR="005A7F10" w:rsidRPr="00840456" w:rsidRDefault="005A7F10" w:rsidP="005A7F10">
      <w:pPr>
        <w:widowControl w:val="0"/>
        <w:autoSpaceDE w:val="0"/>
        <w:autoSpaceDN w:val="0"/>
        <w:adjustRightInd w:val="0"/>
        <w:spacing w:line="194" w:lineRule="exact"/>
        <w:jc w:val="both"/>
        <w:rPr>
          <w:sz w:val="22"/>
          <w:szCs w:val="22"/>
          <w:lang w:val="sr-Latn-ME"/>
        </w:rPr>
      </w:pPr>
    </w:p>
    <w:p w14:paraId="26AA9103" w14:textId="77777777" w:rsidR="005A7F10" w:rsidRPr="00840456" w:rsidRDefault="005A7F10" w:rsidP="005A7F10">
      <w:pPr>
        <w:widowControl w:val="0"/>
        <w:overflowPunct w:val="0"/>
        <w:autoSpaceDE w:val="0"/>
        <w:autoSpaceDN w:val="0"/>
        <w:adjustRightInd w:val="0"/>
        <w:spacing w:line="262" w:lineRule="auto"/>
        <w:ind w:left="20" w:right="360"/>
        <w:jc w:val="both"/>
        <w:rPr>
          <w:sz w:val="22"/>
          <w:szCs w:val="22"/>
          <w:lang w:val="sr-Latn-ME"/>
        </w:rPr>
      </w:pPr>
      <w:r w:rsidRPr="00840456">
        <w:rPr>
          <w:color w:val="000000"/>
          <w:sz w:val="22"/>
          <w:szCs w:val="22"/>
          <w:lang w:val="sr-Latn-ME"/>
        </w:rPr>
        <w:t>Usljed malog broja pacijenata sa ankilozirajućim, spondilitisu sličnim psorijaznim artritisom, koji su učestvovali u studiji nema dovoljno dokaza o efikasnosti lijeka Enbrel u toj indikaciji.</w:t>
      </w:r>
    </w:p>
    <w:p w14:paraId="7889EBEA" w14:textId="77777777" w:rsidR="005A7F10" w:rsidRPr="00840456" w:rsidRDefault="005A7F10" w:rsidP="005A7F10">
      <w:pPr>
        <w:widowControl w:val="0"/>
        <w:autoSpaceDE w:val="0"/>
        <w:autoSpaceDN w:val="0"/>
        <w:adjustRightInd w:val="0"/>
        <w:spacing w:line="200" w:lineRule="exact"/>
        <w:jc w:val="both"/>
        <w:rPr>
          <w:sz w:val="22"/>
          <w:szCs w:val="22"/>
          <w:lang w:val="sr-Latn-ME"/>
        </w:rPr>
      </w:pPr>
    </w:p>
    <w:p w14:paraId="5E2C6951" w14:textId="77777777" w:rsidR="005A7F10" w:rsidRPr="00840456" w:rsidRDefault="005A7F10" w:rsidP="005A7F10">
      <w:pPr>
        <w:widowControl w:val="0"/>
        <w:overflowPunct w:val="0"/>
        <w:autoSpaceDE w:val="0"/>
        <w:autoSpaceDN w:val="0"/>
        <w:adjustRightInd w:val="0"/>
        <w:spacing w:line="249" w:lineRule="auto"/>
        <w:ind w:left="20"/>
        <w:jc w:val="both"/>
        <w:rPr>
          <w:sz w:val="22"/>
          <w:szCs w:val="22"/>
          <w:lang w:val="sr-Latn-ME"/>
        </w:rPr>
      </w:pPr>
      <w:r w:rsidRPr="00840456">
        <w:rPr>
          <w:color w:val="000000"/>
          <w:sz w:val="22"/>
          <w:szCs w:val="22"/>
          <w:lang w:val="sr-Latn-ME"/>
        </w:rPr>
        <w:t>Nijesu rađene studije sa režimom doziranja 50 mg jednom nedjeljno kod pacijenata sa psorijaznim artritisom. Efikasnost režima doziranja jednom nedjeljno u navedenoj indikaciji bazira se na rezultatima studija u indikaciji ankilozirajući spondilitis.</w:t>
      </w:r>
    </w:p>
    <w:p w14:paraId="68D12543" w14:textId="77777777" w:rsidR="005A7F10" w:rsidRPr="00840456" w:rsidRDefault="005A7F10" w:rsidP="005A7F10">
      <w:pPr>
        <w:widowControl w:val="0"/>
        <w:autoSpaceDE w:val="0"/>
        <w:autoSpaceDN w:val="0"/>
        <w:adjustRightInd w:val="0"/>
        <w:spacing w:line="214" w:lineRule="exact"/>
        <w:jc w:val="both"/>
        <w:rPr>
          <w:sz w:val="22"/>
          <w:szCs w:val="22"/>
          <w:lang w:val="sr-Latn-ME"/>
        </w:rPr>
      </w:pPr>
    </w:p>
    <w:p w14:paraId="3A8F5734" w14:textId="77777777" w:rsidR="005A7F10" w:rsidRPr="00840456" w:rsidRDefault="005A7F10" w:rsidP="005A7F10">
      <w:pPr>
        <w:widowControl w:val="0"/>
        <w:autoSpaceDE w:val="0"/>
        <w:autoSpaceDN w:val="0"/>
        <w:adjustRightInd w:val="0"/>
        <w:ind w:left="20"/>
        <w:jc w:val="both"/>
        <w:rPr>
          <w:i/>
          <w:sz w:val="22"/>
          <w:szCs w:val="22"/>
          <w:lang w:val="sr-Latn-ME"/>
        </w:rPr>
      </w:pPr>
      <w:r w:rsidRPr="00840456">
        <w:rPr>
          <w:i/>
          <w:color w:val="000000"/>
          <w:sz w:val="22"/>
          <w:szCs w:val="22"/>
          <w:lang w:val="sr-Latn-ME"/>
        </w:rPr>
        <w:t>Odrasli sa ankilozirajućim spondilitisom</w:t>
      </w:r>
    </w:p>
    <w:p w14:paraId="281133E5" w14:textId="415074D6" w:rsidR="005A7F10" w:rsidRPr="00840456" w:rsidRDefault="005A7F10" w:rsidP="005A7F10">
      <w:pPr>
        <w:widowControl w:val="0"/>
        <w:overflowPunct w:val="0"/>
        <w:autoSpaceDE w:val="0"/>
        <w:autoSpaceDN w:val="0"/>
        <w:adjustRightInd w:val="0"/>
        <w:spacing w:line="238" w:lineRule="auto"/>
        <w:ind w:left="20"/>
        <w:jc w:val="both"/>
        <w:rPr>
          <w:sz w:val="22"/>
          <w:szCs w:val="22"/>
          <w:lang w:val="sr-Latn-ME"/>
        </w:rPr>
      </w:pPr>
      <w:r w:rsidRPr="00840456">
        <w:rPr>
          <w:color w:val="000000"/>
          <w:sz w:val="22"/>
          <w:szCs w:val="22"/>
          <w:lang w:val="sr-Latn-ME"/>
        </w:rPr>
        <w:t>Efikasnost lijeka Enbrel je ispitivana u 3 randomiz</w:t>
      </w:r>
      <w:r w:rsidR="00A31E22" w:rsidRPr="00840456">
        <w:rPr>
          <w:color w:val="000000"/>
          <w:sz w:val="22"/>
          <w:szCs w:val="22"/>
          <w:lang w:val="sr-Latn-ME"/>
        </w:rPr>
        <w:t>ovane</w:t>
      </w:r>
      <w:r w:rsidRPr="00840456">
        <w:rPr>
          <w:color w:val="000000"/>
          <w:sz w:val="22"/>
          <w:szCs w:val="22"/>
          <w:lang w:val="sr-Latn-ME"/>
        </w:rPr>
        <w:t>e dvostruko-slijepe kliničke studije gdje se poredila primjena 25 mg lijeka Enbrel dva puta nedjeljno i placeba. U studijama je bilo uključeno ukupno 401 pacijent sa ankilozirajućim spondilitisom, od kojih je 203 primalo lijek Enbrel. Najveća od tih studija (n=227) uključivala je pacijente od 18 do 70 godina sa aktivnim ankilozirajućim spondilitisom određenim kao ˝visual analog scale˝ skor (VAS) ≥ 30 za prosječno trajanje i intenzitet jutarnje ukočenosti + VAS skor ≥ 30 za najmanje 2 od sljedeća tri parametra: opšta procjena pacijenta; prosječna VAS vrijednost za bol u leđima tokom noći i c</w:t>
      </w:r>
      <w:r w:rsidR="00A31E22" w:rsidRPr="00840456">
        <w:rPr>
          <w:color w:val="000000"/>
          <w:sz w:val="22"/>
          <w:szCs w:val="22"/>
          <w:lang w:val="sr-Latn-ME"/>
        </w:rPr>
        <w:t>j</w:t>
      </w:r>
      <w:r w:rsidRPr="00840456">
        <w:rPr>
          <w:color w:val="000000"/>
          <w:sz w:val="22"/>
          <w:szCs w:val="22"/>
          <w:lang w:val="sr-Latn-ME"/>
        </w:rPr>
        <w:t>elokupni bol u leđima; prosječan odgovor na 10 pitanja ˝Bath Ankylosing Spondylitis Functional Index (BASFI)˝. Pacijenti koji su primali antireumatike koji mijenjaju tok bolesti (DMARDs), NSAIL ili kortikosteroide mogli su da nastave sa tom terapijom. Pacijenti sa kompletnom ankilozom kičme nijesu uključeni u studiju. Tokom 6 mjeseci 138 pacijenata je dobijalo dva puta nedjeljno subkutano ili placebo ili Enbrel 25 mg (na osnovu ispitivanja doziranja kod reumatoidnog artritisa).</w:t>
      </w:r>
    </w:p>
    <w:p w14:paraId="37008F0A" w14:textId="77777777" w:rsidR="005A7F10" w:rsidRPr="00840456" w:rsidRDefault="005A7F10" w:rsidP="005A7F10">
      <w:pPr>
        <w:widowControl w:val="0"/>
        <w:autoSpaceDE w:val="0"/>
        <w:autoSpaceDN w:val="0"/>
        <w:adjustRightInd w:val="0"/>
        <w:spacing w:line="227" w:lineRule="exact"/>
        <w:jc w:val="both"/>
        <w:rPr>
          <w:sz w:val="22"/>
          <w:szCs w:val="22"/>
          <w:lang w:val="sr-Latn-ME"/>
        </w:rPr>
      </w:pPr>
    </w:p>
    <w:p w14:paraId="2B7C4AFA" w14:textId="469EFFB2" w:rsidR="005A7F10" w:rsidRPr="00840456" w:rsidRDefault="005A7F10" w:rsidP="005A7F10">
      <w:pPr>
        <w:widowControl w:val="0"/>
        <w:overflowPunct w:val="0"/>
        <w:autoSpaceDE w:val="0"/>
        <w:autoSpaceDN w:val="0"/>
        <w:adjustRightInd w:val="0"/>
        <w:spacing w:line="244" w:lineRule="auto"/>
        <w:ind w:left="20"/>
        <w:jc w:val="both"/>
        <w:rPr>
          <w:sz w:val="22"/>
          <w:szCs w:val="22"/>
          <w:lang w:val="sr-Latn-ME"/>
        </w:rPr>
      </w:pPr>
      <w:r w:rsidRPr="00840456">
        <w:rPr>
          <w:color w:val="000000"/>
          <w:sz w:val="22"/>
          <w:szCs w:val="22"/>
          <w:lang w:val="sr-Latn-ME"/>
        </w:rPr>
        <w:t>Osnovno mjerilo efikasnosti (ASAS 20) je bilo ≥ 20% poboljšanja u najmanje 3 od 4 ˝Assessment in Ankylosing Spondylitis (ASAS)˝ kriterijuma (opšta procjena pacijenta, bol u leđima, BASFI i inflamacija) i odsustvo pogoršanja po ostalim kriterijumima. ASAS 50 i 70 su imali iste kriterijume sa 50% odnosno 70% poboljšanja.</w:t>
      </w:r>
    </w:p>
    <w:p w14:paraId="5A551237" w14:textId="77777777" w:rsidR="005A7F10" w:rsidRPr="00840456" w:rsidRDefault="005A7F10" w:rsidP="005A7F10">
      <w:pPr>
        <w:widowControl w:val="0"/>
        <w:autoSpaceDE w:val="0"/>
        <w:autoSpaceDN w:val="0"/>
        <w:adjustRightInd w:val="0"/>
        <w:spacing w:line="220" w:lineRule="exact"/>
        <w:jc w:val="both"/>
        <w:rPr>
          <w:sz w:val="22"/>
          <w:szCs w:val="22"/>
          <w:lang w:val="sr-Latn-ME"/>
        </w:rPr>
      </w:pPr>
    </w:p>
    <w:p w14:paraId="0CA8A711"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U poređenju sa placebom, terapija lijekom Enbrel je pokazala značajno poboljšanje u ASAS 20, ASAS 50 i ASAS 70 već nakon dvije nedjelje terapije. </w:t>
      </w:r>
    </w:p>
    <w:p w14:paraId="3D1DFDE9" w14:textId="77777777" w:rsidR="005A7F10" w:rsidRPr="00840456" w:rsidRDefault="005A7F10" w:rsidP="00815D34">
      <w:pPr>
        <w:pStyle w:val="Header"/>
        <w:tabs>
          <w:tab w:val="left" w:pos="284"/>
        </w:tabs>
        <w:jc w:val="center"/>
        <w:rPr>
          <w:b/>
          <w:color w:val="000000"/>
          <w:sz w:val="22"/>
          <w:szCs w:val="22"/>
          <w:lang w:val="sr-Latn-ME"/>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1"/>
        <w:gridCol w:w="2280"/>
        <w:gridCol w:w="2115"/>
      </w:tblGrid>
      <w:tr w:rsidR="005A7F10" w:rsidRPr="00840456" w14:paraId="7256CCF8" w14:textId="77777777" w:rsidTr="00671053">
        <w:trPr>
          <w:trHeight w:val="622"/>
          <w:jc w:val="center"/>
        </w:trPr>
        <w:tc>
          <w:tcPr>
            <w:tcW w:w="9166" w:type="dxa"/>
            <w:gridSpan w:val="3"/>
          </w:tcPr>
          <w:p w14:paraId="42A2991A" w14:textId="33C138F0" w:rsidR="005A7F10" w:rsidRPr="00840456" w:rsidRDefault="005A7F10" w:rsidP="00815D34">
            <w:pPr>
              <w:tabs>
                <w:tab w:val="left" w:pos="0"/>
              </w:tabs>
              <w:jc w:val="center"/>
              <w:rPr>
                <w:b/>
                <w:sz w:val="22"/>
                <w:szCs w:val="22"/>
                <w:lang w:val="sr-Latn-ME"/>
              </w:rPr>
            </w:pPr>
            <w:r w:rsidRPr="00840456">
              <w:rPr>
                <w:b/>
                <w:sz w:val="22"/>
                <w:szCs w:val="22"/>
                <w:lang w:val="sr-Latn-ME"/>
              </w:rPr>
              <w:t>Odgovori pacijenata sa ankilozirajućim spondilitisom</w:t>
            </w:r>
          </w:p>
          <w:p w14:paraId="72D862E4" w14:textId="77777777" w:rsidR="005A7F10" w:rsidRPr="00840456" w:rsidRDefault="005A7F10" w:rsidP="00815D34">
            <w:pPr>
              <w:tabs>
                <w:tab w:val="left" w:pos="0"/>
              </w:tabs>
              <w:jc w:val="center"/>
              <w:rPr>
                <w:b/>
                <w:sz w:val="22"/>
                <w:szCs w:val="22"/>
                <w:lang w:val="sr-Latn-ME"/>
              </w:rPr>
            </w:pPr>
            <w:r w:rsidRPr="00840456">
              <w:rPr>
                <w:b/>
                <w:sz w:val="22"/>
                <w:szCs w:val="22"/>
                <w:lang w:val="sr-Latn-ME"/>
              </w:rPr>
              <w:t>u placebo kontrolisanoj studiji</w:t>
            </w:r>
          </w:p>
        </w:tc>
      </w:tr>
      <w:tr w:rsidR="005A7F10" w:rsidRPr="00840456" w14:paraId="592C509E" w14:textId="77777777" w:rsidTr="00671053">
        <w:trPr>
          <w:jc w:val="center"/>
        </w:trPr>
        <w:tc>
          <w:tcPr>
            <w:tcW w:w="4771" w:type="dxa"/>
          </w:tcPr>
          <w:p w14:paraId="070247F3" w14:textId="77777777" w:rsidR="005A7F10" w:rsidRPr="00840456" w:rsidRDefault="005A7F10" w:rsidP="00AD2A61">
            <w:pPr>
              <w:tabs>
                <w:tab w:val="left" w:pos="0"/>
              </w:tabs>
              <w:jc w:val="both"/>
              <w:rPr>
                <w:sz w:val="22"/>
                <w:szCs w:val="22"/>
                <w:lang w:val="sr-Latn-ME"/>
              </w:rPr>
            </w:pPr>
            <w:r w:rsidRPr="00840456">
              <w:rPr>
                <w:sz w:val="22"/>
                <w:szCs w:val="22"/>
                <w:lang w:val="sr-Latn-ME"/>
              </w:rPr>
              <w:t>Poboljšanje ankilozirajućeg spondilitisa</w:t>
            </w:r>
          </w:p>
        </w:tc>
        <w:tc>
          <w:tcPr>
            <w:tcW w:w="2280" w:type="dxa"/>
          </w:tcPr>
          <w:p w14:paraId="7D8EE082" w14:textId="77777777" w:rsidR="005A7F10" w:rsidRPr="00840456" w:rsidRDefault="005A7F10" w:rsidP="00AD2A61">
            <w:pPr>
              <w:tabs>
                <w:tab w:val="left" w:pos="0"/>
              </w:tabs>
              <w:jc w:val="both"/>
              <w:rPr>
                <w:sz w:val="22"/>
                <w:szCs w:val="22"/>
                <w:lang w:val="sr-Latn-ME"/>
              </w:rPr>
            </w:pPr>
            <w:r w:rsidRPr="00840456">
              <w:rPr>
                <w:sz w:val="22"/>
                <w:szCs w:val="22"/>
                <w:lang w:val="sr-Latn-ME"/>
              </w:rPr>
              <w:t>Placebo</w:t>
            </w:r>
          </w:p>
          <w:p w14:paraId="6D47D402" w14:textId="77777777" w:rsidR="005A7F10" w:rsidRPr="00840456" w:rsidRDefault="005A7F10" w:rsidP="00AD2A61">
            <w:pPr>
              <w:tabs>
                <w:tab w:val="left" w:pos="0"/>
              </w:tabs>
              <w:jc w:val="both"/>
              <w:rPr>
                <w:sz w:val="22"/>
                <w:szCs w:val="22"/>
                <w:lang w:val="sr-Latn-ME"/>
              </w:rPr>
            </w:pPr>
            <w:r w:rsidRPr="00840456">
              <w:rPr>
                <w:sz w:val="22"/>
                <w:szCs w:val="22"/>
                <w:lang w:val="sr-Latn-ME"/>
              </w:rPr>
              <w:t>(n=139)</w:t>
            </w:r>
          </w:p>
        </w:tc>
        <w:tc>
          <w:tcPr>
            <w:tcW w:w="2115" w:type="dxa"/>
          </w:tcPr>
          <w:p w14:paraId="779D496F" w14:textId="77777777" w:rsidR="005A7F10" w:rsidRPr="00840456" w:rsidRDefault="005A7F10" w:rsidP="00AD2A61">
            <w:pPr>
              <w:tabs>
                <w:tab w:val="left" w:pos="0"/>
              </w:tabs>
              <w:jc w:val="both"/>
              <w:rPr>
                <w:sz w:val="22"/>
                <w:szCs w:val="22"/>
                <w:lang w:val="sr-Latn-ME"/>
              </w:rPr>
            </w:pPr>
            <w:r w:rsidRPr="00840456">
              <w:rPr>
                <w:sz w:val="22"/>
                <w:szCs w:val="22"/>
                <w:lang w:val="sr-Latn-ME"/>
              </w:rPr>
              <w:t>Enbrel</w:t>
            </w:r>
          </w:p>
          <w:p w14:paraId="68171923" w14:textId="77777777" w:rsidR="005A7F10" w:rsidRPr="00840456" w:rsidRDefault="005A7F10" w:rsidP="00AD2A61">
            <w:pPr>
              <w:tabs>
                <w:tab w:val="left" w:pos="0"/>
              </w:tabs>
              <w:jc w:val="both"/>
              <w:rPr>
                <w:sz w:val="22"/>
                <w:szCs w:val="22"/>
                <w:lang w:val="sr-Latn-ME"/>
              </w:rPr>
            </w:pPr>
            <w:r w:rsidRPr="00840456">
              <w:rPr>
                <w:sz w:val="22"/>
                <w:szCs w:val="22"/>
                <w:lang w:val="sr-Latn-ME"/>
              </w:rPr>
              <w:t>(n=138)</w:t>
            </w:r>
          </w:p>
        </w:tc>
      </w:tr>
      <w:tr w:rsidR="005A7F10" w:rsidRPr="00840456" w14:paraId="52D1BC32" w14:textId="77777777" w:rsidTr="00671053">
        <w:trPr>
          <w:jc w:val="center"/>
        </w:trPr>
        <w:tc>
          <w:tcPr>
            <w:tcW w:w="9166" w:type="dxa"/>
            <w:gridSpan w:val="3"/>
          </w:tcPr>
          <w:p w14:paraId="141DB5BC" w14:textId="77777777" w:rsidR="005A7F10" w:rsidRPr="00840456" w:rsidRDefault="005A7F10" w:rsidP="00AD2A61">
            <w:pPr>
              <w:tabs>
                <w:tab w:val="left" w:pos="0"/>
              </w:tabs>
              <w:jc w:val="both"/>
              <w:rPr>
                <w:sz w:val="22"/>
                <w:szCs w:val="22"/>
                <w:lang w:val="sr-Latn-ME"/>
              </w:rPr>
            </w:pPr>
            <w:r w:rsidRPr="00840456">
              <w:rPr>
                <w:sz w:val="22"/>
                <w:szCs w:val="22"/>
                <w:lang w:val="sr-Latn-ME"/>
              </w:rPr>
              <w:t>ASAS 20</w:t>
            </w:r>
          </w:p>
        </w:tc>
      </w:tr>
      <w:tr w:rsidR="005A7F10" w:rsidRPr="00840456" w14:paraId="1ADC2367" w14:textId="77777777" w:rsidTr="00671053">
        <w:trPr>
          <w:jc w:val="center"/>
        </w:trPr>
        <w:tc>
          <w:tcPr>
            <w:tcW w:w="4771" w:type="dxa"/>
          </w:tcPr>
          <w:p w14:paraId="532DAE44"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2. nedjelja</w:t>
            </w:r>
          </w:p>
        </w:tc>
        <w:tc>
          <w:tcPr>
            <w:tcW w:w="2280" w:type="dxa"/>
          </w:tcPr>
          <w:p w14:paraId="1A835A52" w14:textId="77777777" w:rsidR="005A7F10" w:rsidRPr="00840456" w:rsidRDefault="005A7F10" w:rsidP="00AD2A61">
            <w:pPr>
              <w:tabs>
                <w:tab w:val="left" w:pos="0"/>
              </w:tabs>
              <w:jc w:val="both"/>
              <w:rPr>
                <w:sz w:val="22"/>
                <w:szCs w:val="22"/>
                <w:lang w:val="sr-Latn-ME"/>
              </w:rPr>
            </w:pPr>
            <w:r w:rsidRPr="00840456">
              <w:rPr>
                <w:sz w:val="22"/>
                <w:szCs w:val="22"/>
                <w:lang w:val="sr-Latn-ME"/>
              </w:rPr>
              <w:t>22</w:t>
            </w:r>
          </w:p>
        </w:tc>
        <w:tc>
          <w:tcPr>
            <w:tcW w:w="2115" w:type="dxa"/>
          </w:tcPr>
          <w:p w14:paraId="3C2CB9AE"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46 </w:t>
            </w:r>
            <w:r w:rsidRPr="00840456">
              <w:rPr>
                <w:sz w:val="22"/>
                <w:szCs w:val="22"/>
                <w:vertAlign w:val="superscript"/>
                <w:lang w:val="sr-Latn-ME"/>
              </w:rPr>
              <w:t>a</w:t>
            </w:r>
          </w:p>
        </w:tc>
      </w:tr>
      <w:tr w:rsidR="005A7F10" w:rsidRPr="00840456" w14:paraId="172E7AF5" w14:textId="77777777" w:rsidTr="00671053">
        <w:trPr>
          <w:jc w:val="center"/>
        </w:trPr>
        <w:tc>
          <w:tcPr>
            <w:tcW w:w="4771" w:type="dxa"/>
          </w:tcPr>
          <w:p w14:paraId="0A46DC12"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3. mjesec</w:t>
            </w:r>
          </w:p>
        </w:tc>
        <w:tc>
          <w:tcPr>
            <w:tcW w:w="2280" w:type="dxa"/>
          </w:tcPr>
          <w:p w14:paraId="5B75541D" w14:textId="77777777" w:rsidR="005A7F10" w:rsidRPr="00840456" w:rsidRDefault="005A7F10" w:rsidP="00AD2A61">
            <w:pPr>
              <w:tabs>
                <w:tab w:val="left" w:pos="0"/>
              </w:tabs>
              <w:jc w:val="both"/>
              <w:rPr>
                <w:sz w:val="22"/>
                <w:szCs w:val="22"/>
                <w:lang w:val="sr-Latn-ME"/>
              </w:rPr>
            </w:pPr>
            <w:r w:rsidRPr="00840456">
              <w:rPr>
                <w:sz w:val="22"/>
                <w:szCs w:val="22"/>
                <w:lang w:val="sr-Latn-ME"/>
              </w:rPr>
              <w:t>27</w:t>
            </w:r>
          </w:p>
        </w:tc>
        <w:tc>
          <w:tcPr>
            <w:tcW w:w="2115" w:type="dxa"/>
          </w:tcPr>
          <w:p w14:paraId="3F28B181" w14:textId="77777777" w:rsidR="005A7F10" w:rsidRPr="00840456" w:rsidRDefault="005A7F10" w:rsidP="00AD2A61">
            <w:pPr>
              <w:tabs>
                <w:tab w:val="left" w:pos="0"/>
              </w:tabs>
              <w:jc w:val="both"/>
              <w:rPr>
                <w:sz w:val="22"/>
                <w:szCs w:val="22"/>
                <w:lang w:val="sr-Latn-ME"/>
              </w:rPr>
            </w:pPr>
            <w:r w:rsidRPr="00840456">
              <w:rPr>
                <w:sz w:val="22"/>
                <w:szCs w:val="22"/>
                <w:lang w:val="sr-Latn-ME"/>
              </w:rPr>
              <w:t>60</w:t>
            </w:r>
            <w:r w:rsidRPr="00840456">
              <w:rPr>
                <w:sz w:val="22"/>
                <w:szCs w:val="22"/>
                <w:vertAlign w:val="superscript"/>
                <w:lang w:val="sr-Latn-ME"/>
              </w:rPr>
              <w:t xml:space="preserve"> a</w:t>
            </w:r>
          </w:p>
        </w:tc>
      </w:tr>
      <w:tr w:rsidR="005A7F10" w:rsidRPr="00840456" w14:paraId="2F472ED5" w14:textId="77777777" w:rsidTr="00671053">
        <w:trPr>
          <w:jc w:val="center"/>
        </w:trPr>
        <w:tc>
          <w:tcPr>
            <w:tcW w:w="4771" w:type="dxa"/>
          </w:tcPr>
          <w:p w14:paraId="6D2FBB5A"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Pr>
          <w:p w14:paraId="5B336E4B" w14:textId="77777777" w:rsidR="005A7F10" w:rsidRPr="00840456" w:rsidRDefault="005A7F10" w:rsidP="00AD2A61">
            <w:pPr>
              <w:tabs>
                <w:tab w:val="left" w:pos="0"/>
              </w:tabs>
              <w:jc w:val="both"/>
              <w:rPr>
                <w:sz w:val="22"/>
                <w:szCs w:val="22"/>
                <w:lang w:val="sr-Latn-ME"/>
              </w:rPr>
            </w:pPr>
            <w:r w:rsidRPr="00840456">
              <w:rPr>
                <w:sz w:val="22"/>
                <w:szCs w:val="22"/>
                <w:lang w:val="sr-Latn-ME"/>
              </w:rPr>
              <w:t>23</w:t>
            </w:r>
          </w:p>
        </w:tc>
        <w:tc>
          <w:tcPr>
            <w:tcW w:w="2115" w:type="dxa"/>
          </w:tcPr>
          <w:p w14:paraId="5F1B2429" w14:textId="77777777" w:rsidR="005A7F10" w:rsidRPr="00840456" w:rsidRDefault="005A7F10" w:rsidP="00AD2A61">
            <w:pPr>
              <w:tabs>
                <w:tab w:val="left" w:pos="0"/>
              </w:tabs>
              <w:jc w:val="both"/>
              <w:rPr>
                <w:sz w:val="22"/>
                <w:szCs w:val="22"/>
                <w:lang w:val="sr-Latn-ME"/>
              </w:rPr>
            </w:pPr>
            <w:r w:rsidRPr="00840456">
              <w:rPr>
                <w:sz w:val="22"/>
                <w:szCs w:val="22"/>
                <w:lang w:val="sr-Latn-ME"/>
              </w:rPr>
              <w:t>58</w:t>
            </w:r>
            <w:r w:rsidRPr="00840456">
              <w:rPr>
                <w:sz w:val="22"/>
                <w:szCs w:val="22"/>
                <w:vertAlign w:val="superscript"/>
                <w:lang w:val="sr-Latn-ME"/>
              </w:rPr>
              <w:t xml:space="preserve"> a</w:t>
            </w:r>
          </w:p>
        </w:tc>
      </w:tr>
      <w:tr w:rsidR="005A7F10" w:rsidRPr="00840456" w14:paraId="1CE02B7C" w14:textId="77777777" w:rsidTr="00671053">
        <w:trPr>
          <w:jc w:val="center"/>
        </w:trPr>
        <w:tc>
          <w:tcPr>
            <w:tcW w:w="9166" w:type="dxa"/>
            <w:gridSpan w:val="3"/>
          </w:tcPr>
          <w:p w14:paraId="58DC7778" w14:textId="77777777" w:rsidR="005A7F10" w:rsidRPr="00840456" w:rsidRDefault="005A7F10" w:rsidP="00AD2A61">
            <w:pPr>
              <w:tabs>
                <w:tab w:val="left" w:pos="0"/>
              </w:tabs>
              <w:jc w:val="both"/>
              <w:rPr>
                <w:sz w:val="22"/>
                <w:szCs w:val="22"/>
                <w:lang w:val="sr-Latn-ME"/>
              </w:rPr>
            </w:pPr>
            <w:r w:rsidRPr="00840456">
              <w:rPr>
                <w:sz w:val="22"/>
                <w:szCs w:val="22"/>
                <w:lang w:val="sr-Latn-ME"/>
              </w:rPr>
              <w:t>ASAS 50</w:t>
            </w:r>
          </w:p>
        </w:tc>
      </w:tr>
      <w:tr w:rsidR="005A7F10" w:rsidRPr="00840456" w14:paraId="600E1686" w14:textId="77777777" w:rsidTr="00671053">
        <w:trPr>
          <w:jc w:val="center"/>
        </w:trPr>
        <w:tc>
          <w:tcPr>
            <w:tcW w:w="4771" w:type="dxa"/>
          </w:tcPr>
          <w:p w14:paraId="5EF0F54F"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2. nedjelja</w:t>
            </w:r>
          </w:p>
        </w:tc>
        <w:tc>
          <w:tcPr>
            <w:tcW w:w="2280" w:type="dxa"/>
          </w:tcPr>
          <w:p w14:paraId="5CFFB98E" w14:textId="77777777" w:rsidR="005A7F10" w:rsidRPr="00840456" w:rsidRDefault="005A7F10" w:rsidP="00AD2A61">
            <w:pPr>
              <w:tabs>
                <w:tab w:val="left" w:pos="0"/>
              </w:tabs>
              <w:jc w:val="both"/>
              <w:rPr>
                <w:sz w:val="22"/>
                <w:szCs w:val="22"/>
                <w:lang w:val="sr-Latn-ME"/>
              </w:rPr>
            </w:pPr>
            <w:r w:rsidRPr="00840456">
              <w:rPr>
                <w:sz w:val="22"/>
                <w:szCs w:val="22"/>
                <w:lang w:val="sr-Latn-ME"/>
              </w:rPr>
              <w:t>7</w:t>
            </w:r>
          </w:p>
        </w:tc>
        <w:tc>
          <w:tcPr>
            <w:tcW w:w="2115" w:type="dxa"/>
          </w:tcPr>
          <w:p w14:paraId="597E5EF7" w14:textId="77777777" w:rsidR="005A7F10" w:rsidRPr="00840456" w:rsidRDefault="005A7F10" w:rsidP="00AD2A61">
            <w:pPr>
              <w:tabs>
                <w:tab w:val="left" w:pos="0"/>
              </w:tabs>
              <w:jc w:val="both"/>
              <w:rPr>
                <w:sz w:val="22"/>
                <w:szCs w:val="22"/>
                <w:lang w:val="sr-Latn-ME"/>
              </w:rPr>
            </w:pPr>
            <w:r w:rsidRPr="00840456">
              <w:rPr>
                <w:sz w:val="22"/>
                <w:szCs w:val="22"/>
                <w:lang w:val="sr-Latn-ME"/>
              </w:rPr>
              <w:t>24</w:t>
            </w:r>
            <w:r w:rsidRPr="00840456">
              <w:rPr>
                <w:sz w:val="22"/>
                <w:szCs w:val="22"/>
                <w:vertAlign w:val="superscript"/>
                <w:lang w:val="sr-Latn-ME"/>
              </w:rPr>
              <w:t xml:space="preserve"> a</w:t>
            </w:r>
          </w:p>
        </w:tc>
      </w:tr>
      <w:tr w:rsidR="005A7F10" w:rsidRPr="00840456" w14:paraId="2769CF40" w14:textId="77777777" w:rsidTr="00671053">
        <w:trPr>
          <w:jc w:val="center"/>
        </w:trPr>
        <w:tc>
          <w:tcPr>
            <w:tcW w:w="4771" w:type="dxa"/>
          </w:tcPr>
          <w:p w14:paraId="178308FF"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3. mjesec</w:t>
            </w:r>
          </w:p>
        </w:tc>
        <w:tc>
          <w:tcPr>
            <w:tcW w:w="2280" w:type="dxa"/>
          </w:tcPr>
          <w:p w14:paraId="18FCCAD9" w14:textId="77777777" w:rsidR="005A7F10" w:rsidRPr="00840456" w:rsidRDefault="005A7F10" w:rsidP="00AD2A61">
            <w:pPr>
              <w:tabs>
                <w:tab w:val="left" w:pos="0"/>
              </w:tabs>
              <w:jc w:val="both"/>
              <w:rPr>
                <w:sz w:val="22"/>
                <w:szCs w:val="22"/>
                <w:lang w:val="sr-Latn-ME"/>
              </w:rPr>
            </w:pPr>
            <w:r w:rsidRPr="00840456">
              <w:rPr>
                <w:sz w:val="22"/>
                <w:szCs w:val="22"/>
                <w:lang w:val="sr-Latn-ME"/>
              </w:rPr>
              <w:t>13</w:t>
            </w:r>
          </w:p>
        </w:tc>
        <w:tc>
          <w:tcPr>
            <w:tcW w:w="2115" w:type="dxa"/>
          </w:tcPr>
          <w:p w14:paraId="34FEA0C1" w14:textId="77777777" w:rsidR="005A7F10" w:rsidRPr="00840456" w:rsidRDefault="005A7F10" w:rsidP="00AD2A61">
            <w:pPr>
              <w:tabs>
                <w:tab w:val="left" w:pos="0"/>
              </w:tabs>
              <w:jc w:val="both"/>
              <w:rPr>
                <w:sz w:val="22"/>
                <w:szCs w:val="22"/>
                <w:lang w:val="sr-Latn-ME"/>
              </w:rPr>
            </w:pPr>
            <w:r w:rsidRPr="00840456">
              <w:rPr>
                <w:sz w:val="22"/>
                <w:szCs w:val="22"/>
                <w:lang w:val="sr-Latn-ME"/>
              </w:rPr>
              <w:t>45</w:t>
            </w:r>
            <w:r w:rsidRPr="00840456">
              <w:rPr>
                <w:sz w:val="22"/>
                <w:szCs w:val="22"/>
                <w:vertAlign w:val="superscript"/>
                <w:lang w:val="sr-Latn-ME"/>
              </w:rPr>
              <w:t xml:space="preserve"> a</w:t>
            </w:r>
          </w:p>
        </w:tc>
      </w:tr>
      <w:tr w:rsidR="005A7F10" w:rsidRPr="00840456" w14:paraId="296F4E19" w14:textId="77777777" w:rsidTr="00671053">
        <w:trPr>
          <w:jc w:val="center"/>
        </w:trPr>
        <w:tc>
          <w:tcPr>
            <w:tcW w:w="4771" w:type="dxa"/>
          </w:tcPr>
          <w:p w14:paraId="21409A80"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Pr>
          <w:p w14:paraId="4673E895" w14:textId="77777777" w:rsidR="005A7F10" w:rsidRPr="00840456" w:rsidRDefault="005A7F10" w:rsidP="00AD2A61">
            <w:pPr>
              <w:tabs>
                <w:tab w:val="left" w:pos="0"/>
              </w:tabs>
              <w:jc w:val="both"/>
              <w:rPr>
                <w:sz w:val="22"/>
                <w:szCs w:val="22"/>
                <w:lang w:val="sr-Latn-ME"/>
              </w:rPr>
            </w:pPr>
            <w:r w:rsidRPr="00840456">
              <w:rPr>
                <w:sz w:val="22"/>
                <w:szCs w:val="22"/>
                <w:lang w:val="sr-Latn-ME"/>
              </w:rPr>
              <w:t>10</w:t>
            </w:r>
          </w:p>
        </w:tc>
        <w:tc>
          <w:tcPr>
            <w:tcW w:w="2115" w:type="dxa"/>
          </w:tcPr>
          <w:p w14:paraId="67AE6BED" w14:textId="77777777" w:rsidR="005A7F10" w:rsidRPr="00840456" w:rsidRDefault="005A7F10" w:rsidP="00AD2A61">
            <w:pPr>
              <w:tabs>
                <w:tab w:val="left" w:pos="0"/>
              </w:tabs>
              <w:jc w:val="both"/>
              <w:rPr>
                <w:sz w:val="22"/>
                <w:szCs w:val="22"/>
                <w:lang w:val="sr-Latn-ME"/>
              </w:rPr>
            </w:pPr>
            <w:r w:rsidRPr="00840456">
              <w:rPr>
                <w:sz w:val="22"/>
                <w:szCs w:val="22"/>
                <w:lang w:val="sr-Latn-ME"/>
              </w:rPr>
              <w:t>42</w:t>
            </w:r>
            <w:r w:rsidRPr="00840456">
              <w:rPr>
                <w:sz w:val="22"/>
                <w:szCs w:val="22"/>
                <w:vertAlign w:val="superscript"/>
                <w:lang w:val="sr-Latn-ME"/>
              </w:rPr>
              <w:t xml:space="preserve"> a</w:t>
            </w:r>
          </w:p>
        </w:tc>
      </w:tr>
      <w:tr w:rsidR="005A7F10" w:rsidRPr="00840456" w14:paraId="4A354E46" w14:textId="77777777" w:rsidTr="00671053">
        <w:trPr>
          <w:jc w:val="center"/>
        </w:trPr>
        <w:tc>
          <w:tcPr>
            <w:tcW w:w="9166" w:type="dxa"/>
            <w:gridSpan w:val="3"/>
          </w:tcPr>
          <w:p w14:paraId="2E13D73F" w14:textId="77777777" w:rsidR="005A7F10" w:rsidRPr="00840456" w:rsidRDefault="005A7F10" w:rsidP="00AD2A61">
            <w:pPr>
              <w:tabs>
                <w:tab w:val="left" w:pos="0"/>
              </w:tabs>
              <w:jc w:val="both"/>
              <w:rPr>
                <w:sz w:val="22"/>
                <w:szCs w:val="22"/>
                <w:lang w:val="sr-Latn-ME"/>
              </w:rPr>
            </w:pPr>
            <w:r w:rsidRPr="00840456">
              <w:rPr>
                <w:sz w:val="22"/>
                <w:szCs w:val="22"/>
                <w:lang w:val="sr-Latn-ME"/>
              </w:rPr>
              <w:t>ASAS 70</w:t>
            </w:r>
          </w:p>
        </w:tc>
      </w:tr>
      <w:tr w:rsidR="005A7F10" w:rsidRPr="00840456" w14:paraId="1B72DF0E" w14:textId="77777777" w:rsidTr="00671053">
        <w:trPr>
          <w:jc w:val="center"/>
        </w:trPr>
        <w:tc>
          <w:tcPr>
            <w:tcW w:w="4771" w:type="dxa"/>
          </w:tcPr>
          <w:p w14:paraId="7A08AAB8"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2. nedjelja</w:t>
            </w:r>
          </w:p>
        </w:tc>
        <w:tc>
          <w:tcPr>
            <w:tcW w:w="2280" w:type="dxa"/>
          </w:tcPr>
          <w:p w14:paraId="398A4623" w14:textId="77777777" w:rsidR="005A7F10" w:rsidRPr="00840456" w:rsidRDefault="005A7F10" w:rsidP="00AD2A61">
            <w:pPr>
              <w:tabs>
                <w:tab w:val="left" w:pos="0"/>
              </w:tabs>
              <w:jc w:val="both"/>
              <w:rPr>
                <w:sz w:val="22"/>
                <w:szCs w:val="22"/>
                <w:lang w:val="sr-Latn-ME"/>
              </w:rPr>
            </w:pPr>
            <w:r w:rsidRPr="00840456">
              <w:rPr>
                <w:sz w:val="22"/>
                <w:szCs w:val="22"/>
                <w:lang w:val="sr-Latn-ME"/>
              </w:rPr>
              <w:t>2</w:t>
            </w:r>
          </w:p>
        </w:tc>
        <w:tc>
          <w:tcPr>
            <w:tcW w:w="2115" w:type="dxa"/>
          </w:tcPr>
          <w:p w14:paraId="08B178C5"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12 </w:t>
            </w:r>
            <w:r w:rsidRPr="00840456">
              <w:rPr>
                <w:sz w:val="22"/>
                <w:szCs w:val="22"/>
                <w:vertAlign w:val="superscript"/>
                <w:lang w:val="sr-Latn-ME"/>
              </w:rPr>
              <w:t>b</w:t>
            </w:r>
          </w:p>
        </w:tc>
      </w:tr>
      <w:tr w:rsidR="005A7F10" w:rsidRPr="00840456" w14:paraId="4189B7AE" w14:textId="77777777" w:rsidTr="00671053">
        <w:trPr>
          <w:jc w:val="center"/>
        </w:trPr>
        <w:tc>
          <w:tcPr>
            <w:tcW w:w="4771" w:type="dxa"/>
          </w:tcPr>
          <w:p w14:paraId="20E3EC7C" w14:textId="77777777" w:rsidR="005A7F10" w:rsidRPr="00840456" w:rsidRDefault="005A7F10" w:rsidP="00AD2A61">
            <w:pPr>
              <w:tabs>
                <w:tab w:val="left" w:pos="0"/>
              </w:tabs>
              <w:jc w:val="both"/>
              <w:rPr>
                <w:sz w:val="22"/>
                <w:szCs w:val="22"/>
                <w:lang w:val="sr-Latn-ME"/>
              </w:rPr>
            </w:pPr>
            <w:r w:rsidRPr="00840456">
              <w:rPr>
                <w:sz w:val="22"/>
                <w:szCs w:val="22"/>
                <w:lang w:val="sr-Latn-ME"/>
              </w:rPr>
              <w:lastRenderedPageBreak/>
              <w:t xml:space="preserve">            3. mjesec</w:t>
            </w:r>
          </w:p>
        </w:tc>
        <w:tc>
          <w:tcPr>
            <w:tcW w:w="2280" w:type="dxa"/>
          </w:tcPr>
          <w:p w14:paraId="62F42710" w14:textId="77777777" w:rsidR="005A7F10" w:rsidRPr="00840456" w:rsidRDefault="005A7F10" w:rsidP="00AD2A61">
            <w:pPr>
              <w:tabs>
                <w:tab w:val="left" w:pos="0"/>
              </w:tabs>
              <w:jc w:val="both"/>
              <w:rPr>
                <w:sz w:val="22"/>
                <w:szCs w:val="22"/>
                <w:lang w:val="sr-Latn-ME"/>
              </w:rPr>
            </w:pPr>
            <w:r w:rsidRPr="00840456">
              <w:rPr>
                <w:sz w:val="22"/>
                <w:szCs w:val="22"/>
                <w:lang w:val="sr-Latn-ME"/>
              </w:rPr>
              <w:t>7</w:t>
            </w:r>
          </w:p>
        </w:tc>
        <w:tc>
          <w:tcPr>
            <w:tcW w:w="2115" w:type="dxa"/>
          </w:tcPr>
          <w:p w14:paraId="4B8B7EBB" w14:textId="77777777" w:rsidR="005A7F10" w:rsidRPr="00840456" w:rsidRDefault="005A7F10" w:rsidP="00AD2A61">
            <w:pPr>
              <w:tabs>
                <w:tab w:val="left" w:pos="0"/>
              </w:tabs>
              <w:jc w:val="both"/>
              <w:rPr>
                <w:sz w:val="22"/>
                <w:szCs w:val="22"/>
                <w:lang w:val="sr-Latn-ME"/>
              </w:rPr>
            </w:pPr>
            <w:r w:rsidRPr="00840456">
              <w:rPr>
                <w:sz w:val="22"/>
                <w:szCs w:val="22"/>
                <w:lang w:val="sr-Latn-ME"/>
              </w:rPr>
              <w:t>29</w:t>
            </w:r>
            <w:r w:rsidRPr="00840456">
              <w:rPr>
                <w:sz w:val="22"/>
                <w:szCs w:val="22"/>
                <w:vertAlign w:val="superscript"/>
                <w:lang w:val="sr-Latn-ME"/>
              </w:rPr>
              <w:t xml:space="preserve"> b</w:t>
            </w:r>
          </w:p>
        </w:tc>
      </w:tr>
      <w:tr w:rsidR="005A7F10" w:rsidRPr="00840456" w14:paraId="5F506089" w14:textId="77777777" w:rsidTr="00671053">
        <w:trPr>
          <w:jc w:val="center"/>
        </w:trPr>
        <w:tc>
          <w:tcPr>
            <w:tcW w:w="4771" w:type="dxa"/>
          </w:tcPr>
          <w:p w14:paraId="5B586FB1"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            6. mjesec</w:t>
            </w:r>
          </w:p>
        </w:tc>
        <w:tc>
          <w:tcPr>
            <w:tcW w:w="2280" w:type="dxa"/>
          </w:tcPr>
          <w:p w14:paraId="6AC1BF33" w14:textId="77777777" w:rsidR="005A7F10" w:rsidRPr="00840456" w:rsidRDefault="005A7F10" w:rsidP="00AD2A61">
            <w:pPr>
              <w:tabs>
                <w:tab w:val="left" w:pos="0"/>
              </w:tabs>
              <w:jc w:val="both"/>
              <w:rPr>
                <w:sz w:val="22"/>
                <w:szCs w:val="22"/>
                <w:lang w:val="sr-Latn-ME"/>
              </w:rPr>
            </w:pPr>
            <w:r w:rsidRPr="00840456">
              <w:rPr>
                <w:sz w:val="22"/>
                <w:szCs w:val="22"/>
                <w:lang w:val="sr-Latn-ME"/>
              </w:rPr>
              <w:t>5</w:t>
            </w:r>
          </w:p>
        </w:tc>
        <w:tc>
          <w:tcPr>
            <w:tcW w:w="2115" w:type="dxa"/>
          </w:tcPr>
          <w:p w14:paraId="25D108EE" w14:textId="77777777" w:rsidR="005A7F10" w:rsidRPr="00840456" w:rsidRDefault="005A7F10" w:rsidP="00AD2A61">
            <w:pPr>
              <w:tabs>
                <w:tab w:val="left" w:pos="0"/>
              </w:tabs>
              <w:jc w:val="both"/>
              <w:rPr>
                <w:sz w:val="22"/>
                <w:szCs w:val="22"/>
                <w:lang w:val="sr-Latn-ME"/>
              </w:rPr>
            </w:pPr>
            <w:r w:rsidRPr="00840456">
              <w:rPr>
                <w:sz w:val="22"/>
                <w:szCs w:val="22"/>
                <w:lang w:val="sr-Latn-ME"/>
              </w:rPr>
              <w:t>28</w:t>
            </w:r>
            <w:r w:rsidRPr="00840456">
              <w:rPr>
                <w:sz w:val="22"/>
                <w:szCs w:val="22"/>
                <w:vertAlign w:val="superscript"/>
                <w:lang w:val="sr-Latn-ME"/>
              </w:rPr>
              <w:t xml:space="preserve"> b</w:t>
            </w:r>
          </w:p>
        </w:tc>
      </w:tr>
      <w:tr w:rsidR="005A7F10" w:rsidRPr="00840456" w14:paraId="39327D7F" w14:textId="77777777" w:rsidTr="00671053">
        <w:trPr>
          <w:jc w:val="center"/>
        </w:trPr>
        <w:tc>
          <w:tcPr>
            <w:tcW w:w="9166" w:type="dxa"/>
            <w:gridSpan w:val="3"/>
          </w:tcPr>
          <w:p w14:paraId="29944BF3" w14:textId="77777777" w:rsidR="005A7F10" w:rsidRPr="00840456" w:rsidRDefault="005A7F10" w:rsidP="00AD2A61">
            <w:pPr>
              <w:tabs>
                <w:tab w:val="left" w:pos="0"/>
              </w:tabs>
              <w:jc w:val="both"/>
              <w:rPr>
                <w:sz w:val="22"/>
                <w:szCs w:val="22"/>
                <w:lang w:val="sr-Latn-ME"/>
              </w:rPr>
            </w:pPr>
            <w:r w:rsidRPr="00840456">
              <w:rPr>
                <w:sz w:val="22"/>
                <w:szCs w:val="22"/>
                <w:lang w:val="sr-Latn-ME"/>
              </w:rPr>
              <w:t xml:space="preserve">a: p&lt; 0,001, </w:t>
            </w:r>
            <w:bookmarkStart w:id="2" w:name="OLE_LINK2"/>
            <w:r w:rsidRPr="00840456">
              <w:rPr>
                <w:sz w:val="22"/>
                <w:szCs w:val="22"/>
                <w:lang w:val="sr-Latn-ME"/>
              </w:rPr>
              <w:t>Enbrel vs placebo</w:t>
            </w:r>
            <w:bookmarkEnd w:id="2"/>
          </w:p>
        </w:tc>
      </w:tr>
      <w:tr w:rsidR="005A7F10" w:rsidRPr="00840456" w14:paraId="240B9FA1" w14:textId="77777777" w:rsidTr="00671053">
        <w:trPr>
          <w:jc w:val="center"/>
        </w:trPr>
        <w:tc>
          <w:tcPr>
            <w:tcW w:w="9166" w:type="dxa"/>
            <w:gridSpan w:val="3"/>
          </w:tcPr>
          <w:p w14:paraId="61055145" w14:textId="77777777" w:rsidR="005A7F10" w:rsidRPr="00840456" w:rsidRDefault="005A7F10" w:rsidP="00AD2A61">
            <w:pPr>
              <w:tabs>
                <w:tab w:val="left" w:pos="0"/>
              </w:tabs>
              <w:jc w:val="both"/>
              <w:rPr>
                <w:sz w:val="22"/>
                <w:szCs w:val="22"/>
                <w:lang w:val="sr-Latn-ME"/>
              </w:rPr>
            </w:pPr>
            <w:r w:rsidRPr="00840456">
              <w:rPr>
                <w:sz w:val="22"/>
                <w:szCs w:val="22"/>
                <w:lang w:val="sr-Latn-ME"/>
              </w:rPr>
              <w:t>b: p= 0,002, Enbrel vs placebo</w:t>
            </w:r>
          </w:p>
        </w:tc>
      </w:tr>
    </w:tbl>
    <w:p w14:paraId="6CF7BBFA" w14:textId="77777777" w:rsidR="005A7F10" w:rsidRPr="00840456" w:rsidRDefault="005A7F10" w:rsidP="005A7F10">
      <w:pPr>
        <w:pStyle w:val="Header"/>
        <w:tabs>
          <w:tab w:val="left" w:pos="284"/>
        </w:tabs>
        <w:jc w:val="both"/>
        <w:rPr>
          <w:sz w:val="22"/>
          <w:szCs w:val="22"/>
          <w:lang w:val="sr-Latn-ME"/>
        </w:rPr>
      </w:pPr>
    </w:p>
    <w:p w14:paraId="76F35383" w14:textId="77777777" w:rsidR="005A7F10" w:rsidRPr="00840456" w:rsidRDefault="005A7F10" w:rsidP="005A7F10">
      <w:pPr>
        <w:widowControl w:val="0"/>
        <w:overflowPunct w:val="0"/>
        <w:autoSpaceDE w:val="0"/>
        <w:autoSpaceDN w:val="0"/>
        <w:adjustRightInd w:val="0"/>
        <w:spacing w:line="249" w:lineRule="auto"/>
        <w:ind w:left="20"/>
        <w:jc w:val="both"/>
        <w:rPr>
          <w:sz w:val="22"/>
          <w:szCs w:val="22"/>
          <w:lang w:val="sr-Latn-ME"/>
        </w:rPr>
      </w:pPr>
      <w:r w:rsidRPr="00840456">
        <w:rPr>
          <w:color w:val="000000"/>
          <w:sz w:val="22"/>
          <w:szCs w:val="22"/>
          <w:lang w:val="sr-Latn-ME"/>
        </w:rPr>
        <w:t>Kod svih pacijenata sa ankilozirajućim spondilitisom koji su primali Enbrel, postignut je klinički odgovor već u vrijeme prve posjete (2. nedjelja) i zadržan je tokom narednih 6 mjeseci terapije. Odgovori na terapiju su bili slični i kod pacijenata koji nijesu primali konkomitantnu terapiju.</w:t>
      </w:r>
    </w:p>
    <w:p w14:paraId="6FD7C5CB" w14:textId="77777777" w:rsidR="005A7F10" w:rsidRPr="00840456" w:rsidRDefault="005A7F10" w:rsidP="005A7F10">
      <w:pPr>
        <w:widowControl w:val="0"/>
        <w:autoSpaceDE w:val="0"/>
        <w:autoSpaceDN w:val="0"/>
        <w:adjustRightInd w:val="0"/>
        <w:spacing w:line="218" w:lineRule="exact"/>
        <w:jc w:val="both"/>
        <w:rPr>
          <w:sz w:val="22"/>
          <w:szCs w:val="22"/>
          <w:lang w:val="sr-Latn-ME"/>
        </w:rPr>
      </w:pPr>
    </w:p>
    <w:p w14:paraId="43CBEAAA" w14:textId="77777777" w:rsidR="005A7F10" w:rsidRPr="00840456" w:rsidRDefault="005A7F10" w:rsidP="005A7F10">
      <w:pPr>
        <w:widowControl w:val="0"/>
        <w:autoSpaceDE w:val="0"/>
        <w:autoSpaceDN w:val="0"/>
        <w:adjustRightInd w:val="0"/>
        <w:ind w:left="20"/>
        <w:jc w:val="both"/>
        <w:rPr>
          <w:sz w:val="22"/>
          <w:szCs w:val="22"/>
          <w:lang w:val="sr-Latn-ME"/>
        </w:rPr>
      </w:pPr>
      <w:r w:rsidRPr="00840456">
        <w:rPr>
          <w:color w:val="000000"/>
          <w:sz w:val="22"/>
          <w:szCs w:val="22"/>
          <w:lang w:val="sr-Latn-ME"/>
        </w:rPr>
        <w:t>Slični rezultati su postignuti i u dvije manje studije kod pacijenata sa ankilozirajućim spondilitisom.</w:t>
      </w:r>
    </w:p>
    <w:p w14:paraId="00F66795" w14:textId="77777777" w:rsidR="005A7F10" w:rsidRPr="00840456" w:rsidRDefault="005A7F10" w:rsidP="005A7F10">
      <w:pPr>
        <w:widowControl w:val="0"/>
        <w:autoSpaceDE w:val="0"/>
        <w:autoSpaceDN w:val="0"/>
        <w:adjustRightInd w:val="0"/>
        <w:spacing w:line="254" w:lineRule="exact"/>
        <w:jc w:val="both"/>
        <w:rPr>
          <w:sz w:val="22"/>
          <w:szCs w:val="22"/>
          <w:lang w:val="sr-Latn-ME"/>
        </w:rPr>
      </w:pPr>
    </w:p>
    <w:p w14:paraId="07F08138" w14:textId="05A565C9" w:rsidR="005A7F10" w:rsidRPr="00840456" w:rsidRDefault="005A7F10" w:rsidP="005A7F10">
      <w:pPr>
        <w:widowControl w:val="0"/>
        <w:overflowPunct w:val="0"/>
        <w:autoSpaceDE w:val="0"/>
        <w:autoSpaceDN w:val="0"/>
        <w:adjustRightInd w:val="0"/>
        <w:spacing w:line="242" w:lineRule="auto"/>
        <w:ind w:left="20"/>
        <w:jc w:val="both"/>
        <w:rPr>
          <w:color w:val="000000"/>
          <w:sz w:val="22"/>
          <w:szCs w:val="22"/>
          <w:lang w:val="sr-Latn-ME"/>
        </w:rPr>
      </w:pPr>
      <w:r w:rsidRPr="00840456">
        <w:rPr>
          <w:color w:val="000000"/>
          <w:sz w:val="22"/>
          <w:szCs w:val="22"/>
          <w:lang w:val="sr-Latn-ME"/>
        </w:rPr>
        <w:t>U četvrtoj, dvostruko</w:t>
      </w:r>
      <w:r w:rsidR="00B8574E" w:rsidRPr="00840456">
        <w:rPr>
          <w:color w:val="000000"/>
          <w:sz w:val="22"/>
          <w:szCs w:val="22"/>
          <w:lang w:val="sr-Latn-ME"/>
        </w:rPr>
        <w:t>-</w:t>
      </w:r>
      <w:r w:rsidRPr="00840456">
        <w:rPr>
          <w:color w:val="000000"/>
          <w:sz w:val="22"/>
          <w:szCs w:val="22"/>
          <w:lang w:val="sr-Latn-ME"/>
        </w:rPr>
        <w:t>sl</w:t>
      </w:r>
      <w:r w:rsidR="00B8574E" w:rsidRPr="00840456">
        <w:rPr>
          <w:color w:val="000000"/>
          <w:sz w:val="22"/>
          <w:szCs w:val="22"/>
          <w:lang w:val="sr-Latn-ME"/>
        </w:rPr>
        <w:t>ij</w:t>
      </w:r>
      <w:r w:rsidRPr="00840456">
        <w:rPr>
          <w:color w:val="000000"/>
          <w:sz w:val="22"/>
          <w:szCs w:val="22"/>
          <w:lang w:val="sr-Latn-ME"/>
        </w:rPr>
        <w:t>epoj, placebo</w:t>
      </w:r>
      <w:r w:rsidR="00B8574E" w:rsidRPr="00840456">
        <w:rPr>
          <w:color w:val="000000"/>
          <w:sz w:val="22"/>
          <w:szCs w:val="22"/>
          <w:lang w:val="sr-Latn-ME"/>
        </w:rPr>
        <w:t>-</w:t>
      </w:r>
      <w:r w:rsidRPr="00840456">
        <w:rPr>
          <w:color w:val="000000"/>
          <w:sz w:val="22"/>
          <w:szCs w:val="22"/>
          <w:lang w:val="sr-Latn-ME"/>
        </w:rPr>
        <w:t>kontrolisanoj studiji kod 356 pacijenata sa aktivnim ankilozirajućim spondilitisom ispitivana je bezbjednost i efikasnost doze od 50 mg lijeka Enbrel (dva puta po 25 mg) prim</w:t>
      </w:r>
      <w:r w:rsidR="00B8574E" w:rsidRPr="00840456">
        <w:rPr>
          <w:color w:val="000000"/>
          <w:sz w:val="22"/>
          <w:szCs w:val="22"/>
          <w:lang w:val="sr-Latn-ME"/>
        </w:rPr>
        <w:t>i</w:t>
      </w:r>
      <w:r w:rsidRPr="00840456">
        <w:rPr>
          <w:color w:val="000000"/>
          <w:sz w:val="22"/>
          <w:szCs w:val="22"/>
          <w:lang w:val="sr-Latn-ME"/>
        </w:rPr>
        <w:t>jenjene jednom nedjeljno u odnosu na doze od 25 mg lijeka Enbrel prim</w:t>
      </w:r>
      <w:r w:rsidR="00B8574E" w:rsidRPr="00840456">
        <w:rPr>
          <w:color w:val="000000"/>
          <w:sz w:val="22"/>
          <w:szCs w:val="22"/>
          <w:lang w:val="sr-Latn-ME"/>
        </w:rPr>
        <w:t>i</w:t>
      </w:r>
      <w:r w:rsidRPr="00840456">
        <w:rPr>
          <w:color w:val="000000"/>
          <w:sz w:val="22"/>
          <w:szCs w:val="22"/>
          <w:lang w:val="sr-Latn-ME"/>
        </w:rPr>
        <w:t>jenjene dva puta nedjeljno. Bezbjednost i efikasnost primjene 50 mg lijeka Enbrel jednom nedjeljno i 25 mg lijeka Enbrel dva puta nedjeljno su veoma slični.</w:t>
      </w:r>
    </w:p>
    <w:p w14:paraId="3099FCC4" w14:textId="77777777" w:rsidR="005A7F10" w:rsidRPr="00840456" w:rsidRDefault="005A7F10" w:rsidP="005A7F10">
      <w:pPr>
        <w:widowControl w:val="0"/>
        <w:overflowPunct w:val="0"/>
        <w:autoSpaceDE w:val="0"/>
        <w:autoSpaceDN w:val="0"/>
        <w:adjustRightInd w:val="0"/>
        <w:spacing w:line="242" w:lineRule="auto"/>
        <w:ind w:left="20"/>
        <w:jc w:val="both"/>
        <w:rPr>
          <w:color w:val="000000"/>
          <w:sz w:val="22"/>
          <w:szCs w:val="22"/>
          <w:lang w:val="sr-Latn-ME"/>
        </w:rPr>
      </w:pPr>
    </w:p>
    <w:p w14:paraId="1E82ABC2" w14:textId="77777777" w:rsidR="005A7F10" w:rsidRPr="00840456" w:rsidRDefault="005A7F10" w:rsidP="005A7F10">
      <w:pPr>
        <w:tabs>
          <w:tab w:val="left" w:pos="0"/>
        </w:tabs>
        <w:jc w:val="both"/>
        <w:rPr>
          <w:i/>
          <w:sz w:val="22"/>
          <w:szCs w:val="22"/>
          <w:lang w:val="sr-Latn-ME"/>
        </w:rPr>
      </w:pPr>
      <w:r w:rsidRPr="00840456">
        <w:rPr>
          <w:i/>
          <w:sz w:val="22"/>
          <w:szCs w:val="22"/>
          <w:lang w:val="sr-Latn-ME"/>
        </w:rPr>
        <w:t>Odrasli pacijenti sa aksijalnim spondiloartritisom bez radiografskog dokaza</w:t>
      </w:r>
    </w:p>
    <w:p w14:paraId="1603E451" w14:textId="77777777" w:rsidR="005A7F10" w:rsidRPr="00840456" w:rsidRDefault="005A7F10" w:rsidP="005A7F10">
      <w:pPr>
        <w:tabs>
          <w:tab w:val="left" w:pos="0"/>
        </w:tabs>
        <w:jc w:val="both"/>
        <w:rPr>
          <w:sz w:val="22"/>
          <w:szCs w:val="22"/>
          <w:u w:val="single"/>
          <w:lang w:val="sr-Latn-ME"/>
        </w:rPr>
      </w:pPr>
    </w:p>
    <w:p w14:paraId="2E5AC76A" w14:textId="77777777" w:rsidR="005A7F10" w:rsidRPr="00840456" w:rsidRDefault="005A7F10" w:rsidP="005A7F10">
      <w:pPr>
        <w:tabs>
          <w:tab w:val="left" w:pos="0"/>
        </w:tabs>
        <w:jc w:val="both"/>
        <w:rPr>
          <w:i/>
          <w:sz w:val="22"/>
          <w:szCs w:val="22"/>
          <w:u w:val="single"/>
          <w:lang w:val="sr-Latn-ME"/>
        </w:rPr>
      </w:pPr>
      <w:r w:rsidRPr="00840456">
        <w:rPr>
          <w:i/>
          <w:sz w:val="22"/>
          <w:szCs w:val="22"/>
          <w:u w:val="single"/>
          <w:lang w:val="sr-Latn-ME"/>
        </w:rPr>
        <w:t>Prva studija</w:t>
      </w:r>
    </w:p>
    <w:p w14:paraId="6BA0F061" w14:textId="77C3B40C" w:rsidR="005A7F10" w:rsidRPr="00840456" w:rsidRDefault="005A7F10" w:rsidP="005A7F10">
      <w:pPr>
        <w:tabs>
          <w:tab w:val="left" w:pos="0"/>
        </w:tabs>
        <w:jc w:val="both"/>
        <w:rPr>
          <w:sz w:val="22"/>
          <w:szCs w:val="22"/>
          <w:lang w:val="sr-Latn-ME"/>
        </w:rPr>
      </w:pPr>
      <w:r w:rsidRPr="00840456">
        <w:rPr>
          <w:sz w:val="22"/>
          <w:szCs w:val="22"/>
          <w:lang w:val="sr-Latn-ME"/>
        </w:rPr>
        <w:t>Efikasnost lijeka Enbrel kod pacijenata sa aksijalnim spondiloartritisom bez radiografskog dokaza (eng. non- radiographic axial spondyloarthritis, nr-AxSpa) procijenjena je u randomizovanoj, 12-nedjeljnoj, dvostruko</w:t>
      </w:r>
      <w:r w:rsidR="00B8574E" w:rsidRPr="00840456">
        <w:rPr>
          <w:sz w:val="22"/>
          <w:szCs w:val="22"/>
          <w:lang w:val="sr-Latn-ME"/>
        </w:rPr>
        <w:t>-</w:t>
      </w:r>
      <w:r w:rsidRPr="00840456">
        <w:rPr>
          <w:sz w:val="22"/>
          <w:szCs w:val="22"/>
          <w:lang w:val="sr-Latn-ME"/>
        </w:rPr>
        <w:t>slijepoj, placebo-kontrolisanoj studiji. U studiji je procijenjivano 215 odraslih pacijenata (modifikovana populacija s namjerom liječenja) sa aktivnim nr-AxSpa (uzrasta od 18 do 49 godina), koji su definisani kao pacijenti koji ispunjavaju kriterijume ASAS klasifikacije aksijalnog spondiloartritisa, ali nijesu ispunili modifikovane New York kriterijume za AS. Od pacijenata se takođe zahtijevao neodgovarajući odgovor ili netolerancija na dva ili više NSAIL. U dvostruko</w:t>
      </w:r>
      <w:r w:rsidR="00B8574E" w:rsidRPr="00840456">
        <w:rPr>
          <w:sz w:val="22"/>
          <w:szCs w:val="22"/>
          <w:lang w:val="sr-Latn-ME"/>
        </w:rPr>
        <w:t>-</w:t>
      </w:r>
      <w:r w:rsidRPr="00840456">
        <w:rPr>
          <w:sz w:val="22"/>
          <w:szCs w:val="22"/>
          <w:lang w:val="sr-Latn-ME"/>
        </w:rPr>
        <w:t>slijepom periodu, pacijenti su primali Enbrel 50 mg nedjeljno ili placebo tokom 12 nedjelja. Primarna mjera efikasnosti (ASAS 40) bila je 40% poboljšanje u najmanje tri od četiri parametra procjene ASAS i odsustvo pogoršanja preostalog parametra. Nakon dvostruko</w:t>
      </w:r>
      <w:r w:rsidR="00B8574E" w:rsidRPr="00840456">
        <w:rPr>
          <w:sz w:val="22"/>
          <w:szCs w:val="22"/>
          <w:lang w:val="sr-Latn-ME"/>
        </w:rPr>
        <w:t>-</w:t>
      </w:r>
      <w:r w:rsidRPr="00840456">
        <w:rPr>
          <w:sz w:val="22"/>
          <w:szCs w:val="22"/>
          <w:lang w:val="sr-Latn-ME"/>
        </w:rPr>
        <w:t>slijepog perioda, usl</w:t>
      </w:r>
      <w:r w:rsidR="00B8574E" w:rsidRPr="00840456">
        <w:rPr>
          <w:sz w:val="22"/>
          <w:szCs w:val="22"/>
          <w:lang w:val="sr-Latn-ME"/>
        </w:rPr>
        <w:t>ije</w:t>
      </w:r>
      <w:r w:rsidRPr="00840456">
        <w:rPr>
          <w:sz w:val="22"/>
          <w:szCs w:val="22"/>
          <w:lang w:val="sr-Latn-ME"/>
        </w:rPr>
        <w:t>dio je otvoren period ispitivanja tokom kojeg su svi pacijenti primali lijek Enbrel 50 mg nedjeljno do dodatne 92 nedjelje. Sprovedena su snimanja magnetnom rezonancom sakroilijačnog zgloba i kičme kako bi se procijenila inflamacija na početku, u 12. i 104. nedjelji.</w:t>
      </w:r>
    </w:p>
    <w:p w14:paraId="1832AAA5" w14:textId="77777777" w:rsidR="005A7F10" w:rsidRPr="00840456" w:rsidRDefault="005A7F10" w:rsidP="005A7F10">
      <w:pPr>
        <w:tabs>
          <w:tab w:val="left" w:pos="0"/>
        </w:tabs>
        <w:jc w:val="both"/>
        <w:rPr>
          <w:sz w:val="22"/>
          <w:szCs w:val="22"/>
          <w:lang w:val="sr-Latn-ME"/>
        </w:rPr>
      </w:pPr>
    </w:p>
    <w:p w14:paraId="7FF177DA" w14:textId="2E962724" w:rsidR="005A7F10" w:rsidRPr="00840456" w:rsidRDefault="005A7F10" w:rsidP="005A7F10">
      <w:pPr>
        <w:tabs>
          <w:tab w:val="left" w:pos="0"/>
        </w:tabs>
        <w:jc w:val="both"/>
        <w:rPr>
          <w:sz w:val="22"/>
          <w:szCs w:val="22"/>
          <w:lang w:val="sr-Latn-ME"/>
        </w:rPr>
      </w:pPr>
      <w:r w:rsidRPr="00840456">
        <w:rPr>
          <w:sz w:val="22"/>
          <w:szCs w:val="22"/>
          <w:lang w:val="sr-Latn-ME"/>
        </w:rPr>
        <w:t>U poređenju sa placebom, liječenje lijekom Enbrel rezultovalo je statistički značajnim poboljšanjem u ASAS</w:t>
      </w:r>
      <w:r w:rsidR="0005376B" w:rsidRPr="00840456">
        <w:rPr>
          <w:sz w:val="22"/>
          <w:szCs w:val="22"/>
          <w:lang w:val="sr-Latn-ME"/>
        </w:rPr>
        <w:t xml:space="preserve"> </w:t>
      </w:r>
      <w:r w:rsidRPr="00840456">
        <w:rPr>
          <w:sz w:val="22"/>
          <w:szCs w:val="22"/>
          <w:lang w:val="sr-Latn-ME"/>
        </w:rPr>
        <w:t>40, ASAS 20 i ASAS 5/6. Značajno poboljšanje takođe je uočeno za parcijalnu remisiju ASAS-a i BASDAI</w:t>
      </w:r>
      <w:r w:rsidR="0005376B" w:rsidRPr="00840456">
        <w:rPr>
          <w:sz w:val="22"/>
          <w:szCs w:val="22"/>
          <w:lang w:val="sr-Latn-ME"/>
        </w:rPr>
        <w:t xml:space="preserve"> </w:t>
      </w:r>
      <w:r w:rsidRPr="00840456">
        <w:rPr>
          <w:sz w:val="22"/>
          <w:szCs w:val="22"/>
          <w:lang w:val="sr-Latn-ME"/>
        </w:rPr>
        <w:t>50. Rezultati u 12. nedjelji prikazani su u tabeli u nastavku.</w:t>
      </w:r>
    </w:p>
    <w:p w14:paraId="6D8FEB6A" w14:textId="77777777" w:rsidR="005A7F10" w:rsidRPr="00840456" w:rsidRDefault="005A7F10" w:rsidP="005A7F10">
      <w:pPr>
        <w:tabs>
          <w:tab w:val="left" w:pos="0"/>
        </w:tabs>
        <w:jc w:val="both"/>
        <w:rPr>
          <w:sz w:val="22"/>
          <w:szCs w:val="22"/>
          <w:lang w:val="sr-Latn-ME"/>
        </w:rPr>
      </w:pPr>
    </w:p>
    <w:p w14:paraId="59773773" w14:textId="29DF1763" w:rsidR="005A7F10" w:rsidRPr="00840456" w:rsidRDefault="005A7F10" w:rsidP="005A7F10">
      <w:pPr>
        <w:tabs>
          <w:tab w:val="left" w:pos="0"/>
        </w:tabs>
        <w:jc w:val="both"/>
        <w:rPr>
          <w:sz w:val="22"/>
          <w:szCs w:val="22"/>
          <w:lang w:val="sr-Latn-ME"/>
        </w:rPr>
      </w:pPr>
      <w:r w:rsidRPr="00840456">
        <w:rPr>
          <w:b/>
          <w:sz w:val="22"/>
          <w:szCs w:val="22"/>
          <w:lang w:val="sr-Latn-ME"/>
        </w:rPr>
        <w:t>Odgovor efikasnosti u placebo kontrolisanoj studiji nr-AxSpa: Procenat pacijenata koji su dostigli parametre efikasnosti</w:t>
      </w:r>
    </w:p>
    <w:tbl>
      <w:tblPr>
        <w:tblW w:w="0" w:type="auto"/>
        <w:tblInd w:w="747" w:type="dxa"/>
        <w:tblLayout w:type="fixed"/>
        <w:tblCellMar>
          <w:left w:w="0" w:type="dxa"/>
          <w:right w:w="0" w:type="dxa"/>
        </w:tblCellMar>
        <w:tblLook w:val="0000" w:firstRow="0" w:lastRow="0" w:firstColumn="0" w:lastColumn="0" w:noHBand="0" w:noVBand="0"/>
      </w:tblPr>
      <w:tblGrid>
        <w:gridCol w:w="3690"/>
        <w:gridCol w:w="2610"/>
        <w:gridCol w:w="2070"/>
      </w:tblGrid>
      <w:tr w:rsidR="005A7F10" w:rsidRPr="00840456" w14:paraId="53A6CABE" w14:textId="77777777" w:rsidTr="00AD2A61">
        <w:trPr>
          <w:trHeight w:hRule="exact" w:val="516"/>
        </w:trPr>
        <w:tc>
          <w:tcPr>
            <w:tcW w:w="3690" w:type="dxa"/>
            <w:tcBorders>
              <w:top w:val="single" w:sz="4" w:space="0" w:color="000000"/>
              <w:left w:val="single" w:sz="4" w:space="0" w:color="000000"/>
              <w:bottom w:val="single" w:sz="4" w:space="0" w:color="000000"/>
              <w:right w:val="single" w:sz="4" w:space="0" w:color="000000"/>
            </w:tcBorders>
          </w:tcPr>
          <w:p w14:paraId="4D971CD4"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z w:val="22"/>
                <w:szCs w:val="22"/>
                <w:lang w:val="sr-Latn-ME"/>
              </w:rPr>
              <w:t>D</w:t>
            </w:r>
            <w:r w:rsidRPr="00840456">
              <w:rPr>
                <w:spacing w:val="1"/>
                <w:sz w:val="22"/>
                <w:szCs w:val="22"/>
                <w:lang w:val="sr-Latn-ME"/>
              </w:rPr>
              <w:t>vo</w:t>
            </w:r>
            <w:r w:rsidRPr="00840456">
              <w:rPr>
                <w:sz w:val="22"/>
                <w:szCs w:val="22"/>
                <w:lang w:val="sr-Latn-ME"/>
              </w:rPr>
              <w:t>str</w:t>
            </w:r>
            <w:r w:rsidRPr="00840456">
              <w:rPr>
                <w:spacing w:val="1"/>
                <w:sz w:val="22"/>
                <w:szCs w:val="22"/>
                <w:lang w:val="sr-Latn-ME"/>
              </w:rPr>
              <w:t>uk</w:t>
            </w:r>
            <w:r w:rsidRPr="00840456">
              <w:rPr>
                <w:sz w:val="22"/>
                <w:szCs w:val="22"/>
                <w:lang w:val="sr-Latn-ME"/>
              </w:rPr>
              <w:t>o s</w:t>
            </w:r>
            <w:r w:rsidRPr="00840456">
              <w:rPr>
                <w:spacing w:val="-1"/>
                <w:sz w:val="22"/>
                <w:szCs w:val="22"/>
                <w:lang w:val="sr-Latn-ME"/>
              </w:rPr>
              <w:t>lij</w:t>
            </w:r>
            <w:r w:rsidRPr="00840456">
              <w:rPr>
                <w:sz w:val="22"/>
                <w:szCs w:val="22"/>
                <w:lang w:val="sr-Latn-ME"/>
              </w:rPr>
              <w:t>e</w:t>
            </w:r>
            <w:r w:rsidRPr="00840456">
              <w:rPr>
                <w:spacing w:val="1"/>
                <w:sz w:val="22"/>
                <w:szCs w:val="22"/>
                <w:lang w:val="sr-Latn-ME"/>
              </w:rPr>
              <w:t>p</w:t>
            </w:r>
            <w:r w:rsidRPr="00840456">
              <w:rPr>
                <w:sz w:val="22"/>
                <w:szCs w:val="22"/>
                <w:lang w:val="sr-Latn-ME"/>
              </w:rPr>
              <w:t xml:space="preserve">i </w:t>
            </w:r>
            <w:r w:rsidRPr="00840456">
              <w:rPr>
                <w:spacing w:val="1"/>
                <w:sz w:val="22"/>
                <w:szCs w:val="22"/>
                <w:lang w:val="sr-Latn-ME"/>
              </w:rPr>
              <w:t>k</w:t>
            </w:r>
            <w:r w:rsidRPr="00840456">
              <w:rPr>
                <w:sz w:val="22"/>
                <w:szCs w:val="22"/>
                <w:lang w:val="sr-Latn-ME"/>
              </w:rPr>
              <w:t>li</w:t>
            </w:r>
            <w:r w:rsidRPr="00840456">
              <w:rPr>
                <w:spacing w:val="1"/>
                <w:sz w:val="22"/>
                <w:szCs w:val="22"/>
                <w:lang w:val="sr-Latn-ME"/>
              </w:rPr>
              <w:t>n</w:t>
            </w:r>
            <w:r w:rsidRPr="00840456">
              <w:rPr>
                <w:sz w:val="22"/>
                <w:szCs w:val="22"/>
                <w:lang w:val="sr-Latn-ME"/>
              </w:rPr>
              <w:t>ič</w:t>
            </w:r>
            <w:r w:rsidRPr="00840456">
              <w:rPr>
                <w:spacing w:val="-1"/>
                <w:sz w:val="22"/>
                <w:szCs w:val="22"/>
                <w:lang w:val="sr-Latn-ME"/>
              </w:rPr>
              <w:t>k</w:t>
            </w:r>
            <w:r w:rsidRPr="00840456">
              <w:rPr>
                <w:sz w:val="22"/>
                <w:szCs w:val="22"/>
                <w:lang w:val="sr-Latn-ME"/>
              </w:rPr>
              <w:t xml:space="preserve">i </w:t>
            </w:r>
            <w:r w:rsidRPr="00840456">
              <w:rPr>
                <w:spacing w:val="1"/>
                <w:sz w:val="22"/>
                <w:szCs w:val="22"/>
                <w:lang w:val="sr-Latn-ME"/>
              </w:rPr>
              <w:t>od</w:t>
            </w:r>
            <w:r w:rsidRPr="00840456">
              <w:rPr>
                <w:spacing w:val="-1"/>
                <w:sz w:val="22"/>
                <w:szCs w:val="22"/>
                <w:lang w:val="sr-Latn-ME"/>
              </w:rPr>
              <w:t>g</w:t>
            </w:r>
            <w:r w:rsidRPr="00840456">
              <w:rPr>
                <w:spacing w:val="1"/>
                <w:sz w:val="22"/>
                <w:szCs w:val="22"/>
                <w:lang w:val="sr-Latn-ME"/>
              </w:rPr>
              <w:t>ovo</w:t>
            </w:r>
            <w:r w:rsidRPr="00840456">
              <w:rPr>
                <w:sz w:val="22"/>
                <w:szCs w:val="22"/>
                <w:lang w:val="sr-Latn-ME"/>
              </w:rPr>
              <w:t>ri</w:t>
            </w:r>
          </w:p>
          <w:p w14:paraId="3939D9FE" w14:textId="77777777" w:rsidR="005A7F10" w:rsidRPr="00840456" w:rsidRDefault="005A7F10" w:rsidP="00AD2A61">
            <w:pPr>
              <w:widowControl w:val="0"/>
              <w:autoSpaceDE w:val="0"/>
              <w:autoSpaceDN w:val="0"/>
              <w:adjustRightInd w:val="0"/>
              <w:spacing w:line="252" w:lineRule="exact"/>
              <w:ind w:left="102"/>
              <w:rPr>
                <w:sz w:val="22"/>
                <w:szCs w:val="22"/>
                <w:lang w:val="sr-Latn-ME"/>
              </w:rPr>
            </w:pPr>
            <w:r w:rsidRPr="00840456">
              <w:rPr>
                <w:sz w:val="22"/>
                <w:szCs w:val="22"/>
                <w:lang w:val="sr-Latn-ME"/>
              </w:rPr>
              <w:t xml:space="preserve">u </w:t>
            </w:r>
            <w:r w:rsidRPr="00840456">
              <w:rPr>
                <w:spacing w:val="1"/>
                <w:sz w:val="22"/>
                <w:szCs w:val="22"/>
                <w:lang w:val="sr-Latn-ME"/>
              </w:rPr>
              <w:t>12</w:t>
            </w:r>
            <w:r w:rsidRPr="00840456">
              <w:rPr>
                <w:sz w:val="22"/>
                <w:szCs w:val="22"/>
                <w:lang w:val="sr-Latn-ME"/>
              </w:rPr>
              <w:t>.</w:t>
            </w:r>
            <w:r w:rsidRPr="00840456">
              <w:rPr>
                <w:spacing w:val="-4"/>
                <w:sz w:val="22"/>
                <w:szCs w:val="22"/>
                <w:lang w:val="sr-Latn-ME"/>
              </w:rPr>
              <w:t xml:space="preserve"> </w:t>
            </w:r>
            <w:r w:rsidRPr="00840456">
              <w:rPr>
                <w:spacing w:val="1"/>
                <w:sz w:val="22"/>
                <w:szCs w:val="22"/>
                <w:lang w:val="sr-Latn-ME"/>
              </w:rPr>
              <w:t>n</w:t>
            </w:r>
            <w:r w:rsidRPr="00840456">
              <w:rPr>
                <w:sz w:val="22"/>
                <w:szCs w:val="22"/>
                <w:lang w:val="sr-Latn-ME"/>
              </w:rPr>
              <w:t>e</w:t>
            </w:r>
            <w:r w:rsidRPr="00840456">
              <w:rPr>
                <w:spacing w:val="1"/>
                <w:sz w:val="22"/>
                <w:szCs w:val="22"/>
                <w:lang w:val="sr-Latn-ME"/>
              </w:rPr>
              <w:t>d</w:t>
            </w:r>
            <w:r w:rsidRPr="00840456">
              <w:rPr>
                <w:sz w:val="22"/>
                <w:szCs w:val="22"/>
                <w:lang w:val="sr-Latn-ME"/>
              </w:rPr>
              <w:t>jelji</w:t>
            </w:r>
          </w:p>
        </w:tc>
        <w:tc>
          <w:tcPr>
            <w:tcW w:w="2610" w:type="dxa"/>
            <w:tcBorders>
              <w:top w:val="single" w:sz="4" w:space="0" w:color="000000"/>
              <w:left w:val="single" w:sz="4" w:space="0" w:color="000000"/>
              <w:bottom w:val="single" w:sz="4" w:space="0" w:color="000000"/>
              <w:right w:val="single" w:sz="4" w:space="0" w:color="000000"/>
            </w:tcBorders>
          </w:tcPr>
          <w:p w14:paraId="7B6CAB1A"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z w:val="22"/>
                <w:szCs w:val="22"/>
                <w:lang w:val="sr-Latn-ME"/>
              </w:rPr>
              <w:t>Place</w:t>
            </w:r>
            <w:r w:rsidRPr="00840456">
              <w:rPr>
                <w:spacing w:val="1"/>
                <w:sz w:val="22"/>
                <w:szCs w:val="22"/>
                <w:lang w:val="sr-Latn-ME"/>
              </w:rPr>
              <w:t>b</w:t>
            </w:r>
            <w:r w:rsidRPr="00840456">
              <w:rPr>
                <w:sz w:val="22"/>
                <w:szCs w:val="22"/>
                <w:lang w:val="sr-Latn-ME"/>
              </w:rPr>
              <w:t>o</w:t>
            </w:r>
          </w:p>
          <w:p w14:paraId="12ED0FBD" w14:textId="77777777" w:rsidR="005A7F10" w:rsidRPr="00840456" w:rsidRDefault="005A7F10" w:rsidP="00AD2A61">
            <w:pPr>
              <w:widowControl w:val="0"/>
              <w:autoSpaceDE w:val="0"/>
              <w:autoSpaceDN w:val="0"/>
              <w:adjustRightInd w:val="0"/>
              <w:spacing w:line="252" w:lineRule="exact"/>
              <w:ind w:left="102"/>
              <w:rPr>
                <w:sz w:val="22"/>
                <w:szCs w:val="22"/>
                <w:lang w:val="sr-Latn-ME"/>
              </w:rPr>
            </w:pPr>
            <w:r w:rsidRPr="00840456">
              <w:rPr>
                <w:sz w:val="22"/>
                <w:szCs w:val="22"/>
                <w:lang w:val="sr-Latn-ME"/>
              </w:rPr>
              <w:t>N=</w:t>
            </w:r>
            <w:r w:rsidRPr="00840456">
              <w:rPr>
                <w:spacing w:val="1"/>
                <w:sz w:val="22"/>
                <w:szCs w:val="22"/>
                <w:lang w:val="sr-Latn-ME"/>
              </w:rPr>
              <w:t>10</w:t>
            </w:r>
            <w:r w:rsidRPr="00840456">
              <w:rPr>
                <w:sz w:val="22"/>
                <w:szCs w:val="22"/>
                <w:lang w:val="sr-Latn-ME"/>
              </w:rPr>
              <w:t>6</w:t>
            </w:r>
            <w:r w:rsidRPr="00840456">
              <w:rPr>
                <w:spacing w:val="-5"/>
                <w:sz w:val="22"/>
                <w:szCs w:val="22"/>
                <w:lang w:val="sr-Latn-ME"/>
              </w:rPr>
              <w:t xml:space="preserve"> </w:t>
            </w:r>
            <w:r w:rsidRPr="00840456">
              <w:rPr>
                <w:spacing w:val="1"/>
                <w:sz w:val="22"/>
                <w:szCs w:val="22"/>
                <w:lang w:val="sr-Latn-ME"/>
              </w:rPr>
              <w:t>d</w:t>
            </w:r>
            <w:r w:rsidRPr="00840456">
              <w:rPr>
                <w:sz w:val="22"/>
                <w:szCs w:val="22"/>
                <w:lang w:val="sr-Latn-ME"/>
              </w:rPr>
              <w:t>o</w:t>
            </w:r>
            <w:r w:rsidRPr="00840456">
              <w:rPr>
                <w:spacing w:val="-2"/>
                <w:sz w:val="22"/>
                <w:szCs w:val="22"/>
                <w:lang w:val="sr-Latn-ME"/>
              </w:rPr>
              <w:t xml:space="preserve"> </w:t>
            </w:r>
            <w:r w:rsidRPr="00840456">
              <w:rPr>
                <w:spacing w:val="1"/>
                <w:sz w:val="22"/>
                <w:szCs w:val="22"/>
                <w:lang w:val="sr-Latn-ME"/>
              </w:rPr>
              <w:t>1</w:t>
            </w:r>
            <w:r w:rsidRPr="00840456">
              <w:rPr>
                <w:spacing w:val="-1"/>
                <w:sz w:val="22"/>
                <w:szCs w:val="22"/>
                <w:lang w:val="sr-Latn-ME"/>
              </w:rPr>
              <w:t>0</w:t>
            </w:r>
            <w:r w:rsidRPr="00840456">
              <w:rPr>
                <w:spacing w:val="1"/>
                <w:sz w:val="22"/>
                <w:szCs w:val="22"/>
                <w:lang w:val="sr-Latn-ME"/>
              </w:rPr>
              <w:t>9*</w:t>
            </w:r>
          </w:p>
        </w:tc>
        <w:tc>
          <w:tcPr>
            <w:tcW w:w="2070" w:type="dxa"/>
            <w:tcBorders>
              <w:top w:val="single" w:sz="4" w:space="0" w:color="000000"/>
              <w:left w:val="single" w:sz="4" w:space="0" w:color="000000"/>
              <w:bottom w:val="single" w:sz="4" w:space="0" w:color="000000"/>
              <w:right w:val="single" w:sz="4" w:space="0" w:color="000000"/>
            </w:tcBorders>
          </w:tcPr>
          <w:p w14:paraId="2B8192EA"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z w:val="22"/>
                <w:szCs w:val="22"/>
                <w:lang w:val="sr-Latn-ME"/>
              </w:rPr>
              <w:t>E</w:t>
            </w:r>
            <w:r w:rsidRPr="00840456">
              <w:rPr>
                <w:spacing w:val="1"/>
                <w:sz w:val="22"/>
                <w:szCs w:val="22"/>
                <w:lang w:val="sr-Latn-ME"/>
              </w:rPr>
              <w:t>nb</w:t>
            </w:r>
            <w:r w:rsidRPr="00840456">
              <w:rPr>
                <w:sz w:val="22"/>
                <w:szCs w:val="22"/>
                <w:lang w:val="sr-Latn-ME"/>
              </w:rPr>
              <w:t>rel</w:t>
            </w:r>
          </w:p>
          <w:p w14:paraId="24EDD8E7" w14:textId="77777777" w:rsidR="005A7F10" w:rsidRPr="00840456" w:rsidRDefault="005A7F10" w:rsidP="00AD2A61">
            <w:pPr>
              <w:widowControl w:val="0"/>
              <w:autoSpaceDE w:val="0"/>
              <w:autoSpaceDN w:val="0"/>
              <w:adjustRightInd w:val="0"/>
              <w:spacing w:line="252" w:lineRule="exact"/>
              <w:ind w:left="102"/>
              <w:rPr>
                <w:sz w:val="22"/>
                <w:szCs w:val="22"/>
                <w:lang w:val="sr-Latn-ME"/>
              </w:rPr>
            </w:pPr>
            <w:r w:rsidRPr="00840456">
              <w:rPr>
                <w:sz w:val="22"/>
                <w:szCs w:val="22"/>
                <w:lang w:val="sr-Latn-ME"/>
              </w:rPr>
              <w:t>N=</w:t>
            </w:r>
            <w:r w:rsidRPr="00840456">
              <w:rPr>
                <w:spacing w:val="1"/>
                <w:sz w:val="22"/>
                <w:szCs w:val="22"/>
                <w:lang w:val="sr-Latn-ME"/>
              </w:rPr>
              <w:t>10</w:t>
            </w:r>
            <w:r w:rsidRPr="00840456">
              <w:rPr>
                <w:sz w:val="22"/>
                <w:szCs w:val="22"/>
                <w:lang w:val="sr-Latn-ME"/>
              </w:rPr>
              <w:t>3</w:t>
            </w:r>
            <w:r w:rsidRPr="00840456">
              <w:rPr>
                <w:spacing w:val="-5"/>
                <w:sz w:val="22"/>
                <w:szCs w:val="22"/>
                <w:lang w:val="sr-Latn-ME"/>
              </w:rPr>
              <w:t xml:space="preserve"> </w:t>
            </w:r>
            <w:r w:rsidRPr="00840456">
              <w:rPr>
                <w:spacing w:val="1"/>
                <w:sz w:val="22"/>
                <w:szCs w:val="22"/>
                <w:lang w:val="sr-Latn-ME"/>
              </w:rPr>
              <w:t>d</w:t>
            </w:r>
            <w:r w:rsidRPr="00840456">
              <w:rPr>
                <w:sz w:val="22"/>
                <w:szCs w:val="22"/>
                <w:lang w:val="sr-Latn-ME"/>
              </w:rPr>
              <w:t>o</w:t>
            </w:r>
            <w:r w:rsidRPr="00840456">
              <w:rPr>
                <w:spacing w:val="-2"/>
                <w:sz w:val="22"/>
                <w:szCs w:val="22"/>
                <w:lang w:val="sr-Latn-ME"/>
              </w:rPr>
              <w:t xml:space="preserve"> </w:t>
            </w:r>
            <w:r w:rsidRPr="00840456">
              <w:rPr>
                <w:spacing w:val="1"/>
                <w:sz w:val="22"/>
                <w:szCs w:val="22"/>
                <w:lang w:val="sr-Latn-ME"/>
              </w:rPr>
              <w:t>1</w:t>
            </w:r>
            <w:r w:rsidRPr="00840456">
              <w:rPr>
                <w:spacing w:val="-1"/>
                <w:sz w:val="22"/>
                <w:szCs w:val="22"/>
                <w:lang w:val="sr-Latn-ME"/>
              </w:rPr>
              <w:t>0</w:t>
            </w:r>
            <w:r w:rsidRPr="00840456">
              <w:rPr>
                <w:spacing w:val="1"/>
                <w:sz w:val="22"/>
                <w:szCs w:val="22"/>
                <w:lang w:val="sr-Latn-ME"/>
              </w:rPr>
              <w:t>5*</w:t>
            </w:r>
          </w:p>
        </w:tc>
      </w:tr>
      <w:tr w:rsidR="005A7F10" w:rsidRPr="00840456" w14:paraId="54F581CC" w14:textId="77777777" w:rsidTr="00AD2A61">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40BCB709"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z w:val="22"/>
                <w:szCs w:val="22"/>
                <w:lang w:val="sr-Latn-ME"/>
              </w:rPr>
              <w:t>ASAS</w:t>
            </w:r>
            <w:r w:rsidRPr="00840456">
              <w:rPr>
                <w:spacing w:val="1"/>
                <w:sz w:val="22"/>
                <w:szCs w:val="22"/>
                <w:lang w:val="sr-Latn-ME"/>
              </w:rPr>
              <w:t>*</w:t>
            </w:r>
            <w:r w:rsidRPr="00840456">
              <w:rPr>
                <w:sz w:val="22"/>
                <w:szCs w:val="22"/>
                <w:lang w:val="sr-Latn-ME"/>
              </w:rPr>
              <w:t>*</w:t>
            </w:r>
            <w:r w:rsidRPr="00840456">
              <w:rPr>
                <w:spacing w:val="-7"/>
                <w:sz w:val="22"/>
                <w:szCs w:val="22"/>
                <w:lang w:val="sr-Latn-ME"/>
              </w:rPr>
              <w:t xml:space="preserve"> </w:t>
            </w:r>
            <w:r w:rsidRPr="00840456">
              <w:rPr>
                <w:spacing w:val="1"/>
                <w:sz w:val="22"/>
                <w:szCs w:val="22"/>
                <w:lang w:val="sr-Latn-ME"/>
              </w:rPr>
              <w:t>4</w:t>
            </w:r>
            <w:r w:rsidRPr="00840456">
              <w:rPr>
                <w:sz w:val="22"/>
                <w:szCs w:val="22"/>
                <w:lang w:val="sr-Latn-ME"/>
              </w:rPr>
              <w:t>0</w:t>
            </w:r>
          </w:p>
        </w:tc>
        <w:tc>
          <w:tcPr>
            <w:tcW w:w="2610" w:type="dxa"/>
            <w:tcBorders>
              <w:top w:val="single" w:sz="4" w:space="0" w:color="000000"/>
              <w:left w:val="single" w:sz="4" w:space="0" w:color="000000"/>
              <w:bottom w:val="single" w:sz="4" w:space="0" w:color="000000"/>
              <w:right w:val="single" w:sz="4" w:space="0" w:color="000000"/>
            </w:tcBorders>
          </w:tcPr>
          <w:p w14:paraId="22C6B035"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pacing w:val="1"/>
                <w:sz w:val="22"/>
                <w:szCs w:val="22"/>
                <w:lang w:val="sr-Latn-ME"/>
              </w:rPr>
              <w:t>15</w:t>
            </w:r>
            <w:r w:rsidRPr="00840456">
              <w:rPr>
                <w:sz w:val="22"/>
                <w:szCs w:val="22"/>
                <w:lang w:val="sr-Latn-ME"/>
              </w:rPr>
              <w:t>,7</w:t>
            </w:r>
          </w:p>
        </w:tc>
        <w:tc>
          <w:tcPr>
            <w:tcW w:w="2070" w:type="dxa"/>
            <w:tcBorders>
              <w:top w:val="single" w:sz="4" w:space="0" w:color="000000"/>
              <w:left w:val="single" w:sz="4" w:space="0" w:color="000000"/>
              <w:bottom w:val="single" w:sz="4" w:space="0" w:color="000000"/>
              <w:right w:val="single" w:sz="4" w:space="0" w:color="000000"/>
            </w:tcBorders>
          </w:tcPr>
          <w:p w14:paraId="3B62B639"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pacing w:val="1"/>
                <w:sz w:val="22"/>
                <w:szCs w:val="22"/>
                <w:lang w:val="sr-Latn-ME"/>
              </w:rPr>
              <w:t>32</w:t>
            </w:r>
            <w:r w:rsidRPr="00840456">
              <w:rPr>
                <w:sz w:val="22"/>
                <w:szCs w:val="22"/>
                <w:lang w:val="sr-Latn-ME"/>
              </w:rPr>
              <w:t>,</w:t>
            </w:r>
            <w:r w:rsidRPr="00840456">
              <w:rPr>
                <w:spacing w:val="-1"/>
                <w:sz w:val="22"/>
                <w:szCs w:val="22"/>
                <w:lang w:val="sr-Latn-ME"/>
              </w:rPr>
              <w:t>4</w:t>
            </w:r>
            <w:r w:rsidRPr="00840456">
              <w:rPr>
                <w:position w:val="10"/>
                <w:sz w:val="22"/>
                <w:szCs w:val="22"/>
                <w:lang w:val="sr-Latn-ME"/>
              </w:rPr>
              <w:t>b</w:t>
            </w:r>
          </w:p>
        </w:tc>
      </w:tr>
      <w:tr w:rsidR="005A7F10" w:rsidRPr="00840456" w14:paraId="3981CD4E" w14:textId="77777777" w:rsidTr="00AD2A61">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698147D2"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z w:val="22"/>
                <w:szCs w:val="22"/>
                <w:lang w:val="sr-Latn-ME"/>
              </w:rPr>
              <w:t>ASAS</w:t>
            </w:r>
            <w:r w:rsidRPr="00840456">
              <w:rPr>
                <w:spacing w:val="-6"/>
                <w:sz w:val="22"/>
                <w:szCs w:val="22"/>
                <w:lang w:val="sr-Latn-ME"/>
              </w:rPr>
              <w:t xml:space="preserve"> </w:t>
            </w:r>
            <w:r w:rsidRPr="00840456">
              <w:rPr>
                <w:spacing w:val="1"/>
                <w:sz w:val="22"/>
                <w:szCs w:val="22"/>
                <w:lang w:val="sr-Latn-ME"/>
              </w:rPr>
              <w:t>2</w:t>
            </w:r>
            <w:r w:rsidRPr="00840456">
              <w:rPr>
                <w:sz w:val="22"/>
                <w:szCs w:val="22"/>
                <w:lang w:val="sr-Latn-ME"/>
              </w:rPr>
              <w:t>0</w:t>
            </w:r>
          </w:p>
        </w:tc>
        <w:tc>
          <w:tcPr>
            <w:tcW w:w="2610" w:type="dxa"/>
            <w:tcBorders>
              <w:top w:val="single" w:sz="4" w:space="0" w:color="000000"/>
              <w:left w:val="single" w:sz="4" w:space="0" w:color="000000"/>
              <w:bottom w:val="single" w:sz="4" w:space="0" w:color="000000"/>
              <w:right w:val="single" w:sz="4" w:space="0" w:color="000000"/>
            </w:tcBorders>
          </w:tcPr>
          <w:p w14:paraId="1FAD45E4"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pacing w:val="1"/>
                <w:sz w:val="22"/>
                <w:szCs w:val="22"/>
                <w:lang w:val="sr-Latn-ME"/>
              </w:rPr>
              <w:t>36</w:t>
            </w:r>
            <w:r w:rsidRPr="00840456">
              <w:rPr>
                <w:sz w:val="22"/>
                <w:szCs w:val="22"/>
                <w:lang w:val="sr-Latn-ME"/>
              </w:rPr>
              <w:t>,1</w:t>
            </w:r>
          </w:p>
        </w:tc>
        <w:tc>
          <w:tcPr>
            <w:tcW w:w="2070" w:type="dxa"/>
            <w:tcBorders>
              <w:top w:val="single" w:sz="4" w:space="0" w:color="000000"/>
              <w:left w:val="single" w:sz="4" w:space="0" w:color="000000"/>
              <w:bottom w:val="single" w:sz="4" w:space="0" w:color="000000"/>
              <w:right w:val="single" w:sz="4" w:space="0" w:color="000000"/>
            </w:tcBorders>
          </w:tcPr>
          <w:p w14:paraId="555F064E"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pacing w:val="1"/>
                <w:sz w:val="22"/>
                <w:szCs w:val="22"/>
                <w:lang w:val="sr-Latn-ME"/>
              </w:rPr>
              <w:t>52</w:t>
            </w:r>
            <w:r w:rsidRPr="00840456">
              <w:rPr>
                <w:sz w:val="22"/>
                <w:szCs w:val="22"/>
                <w:lang w:val="sr-Latn-ME"/>
              </w:rPr>
              <w:t>,</w:t>
            </w:r>
            <w:r w:rsidRPr="00840456">
              <w:rPr>
                <w:spacing w:val="-1"/>
                <w:sz w:val="22"/>
                <w:szCs w:val="22"/>
                <w:lang w:val="sr-Latn-ME"/>
              </w:rPr>
              <w:t>4</w:t>
            </w:r>
            <w:r w:rsidRPr="00840456">
              <w:rPr>
                <w:position w:val="10"/>
                <w:sz w:val="22"/>
                <w:szCs w:val="22"/>
                <w:lang w:val="sr-Latn-ME"/>
              </w:rPr>
              <w:t>c</w:t>
            </w:r>
          </w:p>
        </w:tc>
      </w:tr>
      <w:tr w:rsidR="005A7F10" w:rsidRPr="00840456" w14:paraId="65A3047E" w14:textId="77777777" w:rsidTr="00AD2A61">
        <w:trPr>
          <w:trHeight w:hRule="exact" w:val="264"/>
        </w:trPr>
        <w:tc>
          <w:tcPr>
            <w:tcW w:w="3690" w:type="dxa"/>
            <w:tcBorders>
              <w:top w:val="single" w:sz="4" w:space="0" w:color="000000"/>
              <w:left w:val="single" w:sz="4" w:space="0" w:color="000000"/>
              <w:bottom w:val="single" w:sz="4" w:space="0" w:color="000000"/>
              <w:right w:val="single" w:sz="4" w:space="0" w:color="000000"/>
            </w:tcBorders>
          </w:tcPr>
          <w:p w14:paraId="43AE038D"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z w:val="22"/>
                <w:szCs w:val="22"/>
                <w:lang w:val="sr-Latn-ME"/>
              </w:rPr>
              <w:t>ASAS</w:t>
            </w:r>
            <w:r w:rsidRPr="00840456">
              <w:rPr>
                <w:spacing w:val="-6"/>
                <w:sz w:val="22"/>
                <w:szCs w:val="22"/>
                <w:lang w:val="sr-Latn-ME"/>
              </w:rPr>
              <w:t xml:space="preserve"> </w:t>
            </w:r>
            <w:r w:rsidRPr="00840456">
              <w:rPr>
                <w:spacing w:val="1"/>
                <w:sz w:val="22"/>
                <w:szCs w:val="22"/>
                <w:lang w:val="sr-Latn-ME"/>
              </w:rPr>
              <w:t>5</w:t>
            </w:r>
            <w:r w:rsidRPr="00840456">
              <w:rPr>
                <w:sz w:val="22"/>
                <w:szCs w:val="22"/>
                <w:lang w:val="sr-Latn-ME"/>
              </w:rPr>
              <w:t>/6</w:t>
            </w:r>
          </w:p>
        </w:tc>
        <w:tc>
          <w:tcPr>
            <w:tcW w:w="2610" w:type="dxa"/>
            <w:tcBorders>
              <w:top w:val="single" w:sz="4" w:space="0" w:color="000000"/>
              <w:left w:val="single" w:sz="4" w:space="0" w:color="000000"/>
              <w:bottom w:val="single" w:sz="4" w:space="0" w:color="000000"/>
              <w:right w:val="single" w:sz="4" w:space="0" w:color="000000"/>
            </w:tcBorders>
          </w:tcPr>
          <w:p w14:paraId="05CB0660"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pacing w:val="1"/>
                <w:sz w:val="22"/>
                <w:szCs w:val="22"/>
                <w:lang w:val="sr-Latn-ME"/>
              </w:rPr>
              <w:t>10</w:t>
            </w:r>
            <w:r w:rsidRPr="00840456">
              <w:rPr>
                <w:sz w:val="22"/>
                <w:szCs w:val="22"/>
                <w:lang w:val="sr-Latn-ME"/>
              </w:rPr>
              <w:t>,4</w:t>
            </w:r>
          </w:p>
        </w:tc>
        <w:tc>
          <w:tcPr>
            <w:tcW w:w="2070" w:type="dxa"/>
            <w:tcBorders>
              <w:top w:val="single" w:sz="4" w:space="0" w:color="000000"/>
              <w:left w:val="single" w:sz="4" w:space="0" w:color="000000"/>
              <w:bottom w:val="single" w:sz="4" w:space="0" w:color="000000"/>
              <w:right w:val="single" w:sz="4" w:space="0" w:color="000000"/>
            </w:tcBorders>
          </w:tcPr>
          <w:p w14:paraId="58C055A8" w14:textId="77777777" w:rsidR="005A7F10" w:rsidRPr="00840456" w:rsidRDefault="005A7F10" w:rsidP="00AD2A61">
            <w:pPr>
              <w:widowControl w:val="0"/>
              <w:autoSpaceDE w:val="0"/>
              <w:autoSpaceDN w:val="0"/>
              <w:adjustRightInd w:val="0"/>
              <w:spacing w:line="251" w:lineRule="exact"/>
              <w:ind w:left="102"/>
              <w:rPr>
                <w:sz w:val="22"/>
                <w:szCs w:val="22"/>
                <w:lang w:val="sr-Latn-ME"/>
              </w:rPr>
            </w:pPr>
            <w:r w:rsidRPr="00840456">
              <w:rPr>
                <w:spacing w:val="1"/>
                <w:sz w:val="22"/>
                <w:szCs w:val="22"/>
                <w:lang w:val="sr-Latn-ME"/>
              </w:rPr>
              <w:t>33</w:t>
            </w:r>
            <w:r w:rsidRPr="00840456">
              <w:rPr>
                <w:sz w:val="22"/>
                <w:szCs w:val="22"/>
                <w:lang w:val="sr-Latn-ME"/>
              </w:rPr>
              <w:t>,</w:t>
            </w:r>
            <w:r w:rsidRPr="00840456">
              <w:rPr>
                <w:spacing w:val="-1"/>
                <w:sz w:val="22"/>
                <w:szCs w:val="22"/>
                <w:lang w:val="sr-Latn-ME"/>
              </w:rPr>
              <w:t>0</w:t>
            </w:r>
            <w:r w:rsidRPr="00840456">
              <w:rPr>
                <w:position w:val="10"/>
                <w:sz w:val="22"/>
                <w:szCs w:val="22"/>
                <w:lang w:val="sr-Latn-ME"/>
              </w:rPr>
              <w:t>a</w:t>
            </w:r>
          </w:p>
        </w:tc>
      </w:tr>
      <w:tr w:rsidR="005A7F10" w:rsidRPr="00840456" w14:paraId="5CFFB3B6" w14:textId="77777777" w:rsidTr="00AD2A61">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39F03648"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z w:val="22"/>
                <w:szCs w:val="22"/>
                <w:lang w:val="sr-Latn-ME"/>
              </w:rPr>
              <w:t>ASAS</w:t>
            </w:r>
            <w:r w:rsidRPr="00840456">
              <w:rPr>
                <w:spacing w:val="-6"/>
                <w:sz w:val="22"/>
                <w:szCs w:val="22"/>
                <w:lang w:val="sr-Latn-ME"/>
              </w:rPr>
              <w:t xml:space="preserve"> </w:t>
            </w:r>
            <w:r w:rsidRPr="00840456">
              <w:rPr>
                <w:spacing w:val="1"/>
                <w:sz w:val="22"/>
                <w:szCs w:val="22"/>
                <w:lang w:val="sr-Latn-ME"/>
              </w:rPr>
              <w:t>p</w:t>
            </w:r>
            <w:r w:rsidRPr="00840456">
              <w:rPr>
                <w:sz w:val="22"/>
                <w:szCs w:val="22"/>
                <w:lang w:val="sr-Latn-ME"/>
              </w:rPr>
              <w:t>arcij</w:t>
            </w:r>
            <w:r w:rsidRPr="00840456">
              <w:rPr>
                <w:spacing w:val="1"/>
                <w:sz w:val="22"/>
                <w:szCs w:val="22"/>
                <w:lang w:val="sr-Latn-ME"/>
              </w:rPr>
              <w:t>a</w:t>
            </w:r>
            <w:r w:rsidRPr="00840456">
              <w:rPr>
                <w:sz w:val="22"/>
                <w:szCs w:val="22"/>
                <w:lang w:val="sr-Latn-ME"/>
              </w:rPr>
              <w:t>l</w:t>
            </w:r>
            <w:r w:rsidRPr="00840456">
              <w:rPr>
                <w:spacing w:val="1"/>
                <w:sz w:val="22"/>
                <w:szCs w:val="22"/>
                <w:lang w:val="sr-Latn-ME"/>
              </w:rPr>
              <w:t>n</w:t>
            </w:r>
            <w:r w:rsidRPr="00840456">
              <w:rPr>
                <w:sz w:val="22"/>
                <w:szCs w:val="22"/>
                <w:lang w:val="sr-Latn-ME"/>
              </w:rPr>
              <w:t>a</w:t>
            </w:r>
            <w:r w:rsidRPr="00840456">
              <w:rPr>
                <w:spacing w:val="-4"/>
                <w:sz w:val="22"/>
                <w:szCs w:val="22"/>
                <w:lang w:val="sr-Latn-ME"/>
              </w:rPr>
              <w:t xml:space="preserve"> </w:t>
            </w:r>
            <w:r w:rsidRPr="00840456">
              <w:rPr>
                <w:sz w:val="22"/>
                <w:szCs w:val="22"/>
                <w:lang w:val="sr-Latn-ME"/>
              </w:rPr>
              <w:t>r</w:t>
            </w:r>
            <w:r w:rsidRPr="00840456">
              <w:rPr>
                <w:spacing w:val="1"/>
                <w:sz w:val="22"/>
                <w:szCs w:val="22"/>
                <w:lang w:val="sr-Latn-ME"/>
              </w:rPr>
              <w:t>e</w:t>
            </w:r>
            <w:r w:rsidRPr="00840456">
              <w:rPr>
                <w:spacing w:val="-2"/>
                <w:sz w:val="22"/>
                <w:szCs w:val="22"/>
                <w:lang w:val="sr-Latn-ME"/>
              </w:rPr>
              <w:t>m</w:t>
            </w:r>
            <w:r w:rsidRPr="00840456">
              <w:rPr>
                <w:sz w:val="22"/>
                <w:szCs w:val="22"/>
                <w:lang w:val="sr-Latn-ME"/>
              </w:rPr>
              <w:t>isija</w:t>
            </w:r>
          </w:p>
        </w:tc>
        <w:tc>
          <w:tcPr>
            <w:tcW w:w="2610" w:type="dxa"/>
            <w:tcBorders>
              <w:top w:val="single" w:sz="4" w:space="0" w:color="000000"/>
              <w:left w:val="single" w:sz="4" w:space="0" w:color="000000"/>
              <w:bottom w:val="single" w:sz="4" w:space="0" w:color="000000"/>
              <w:right w:val="single" w:sz="4" w:space="0" w:color="000000"/>
            </w:tcBorders>
          </w:tcPr>
          <w:p w14:paraId="4F5F4032"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pacing w:val="1"/>
                <w:sz w:val="22"/>
                <w:szCs w:val="22"/>
                <w:lang w:val="sr-Latn-ME"/>
              </w:rPr>
              <w:t>11</w:t>
            </w:r>
            <w:r w:rsidRPr="00840456">
              <w:rPr>
                <w:sz w:val="22"/>
                <w:szCs w:val="22"/>
                <w:lang w:val="sr-Latn-ME"/>
              </w:rPr>
              <w:t>,9</w:t>
            </w:r>
          </w:p>
        </w:tc>
        <w:tc>
          <w:tcPr>
            <w:tcW w:w="2070" w:type="dxa"/>
            <w:tcBorders>
              <w:top w:val="single" w:sz="4" w:space="0" w:color="000000"/>
              <w:left w:val="single" w:sz="4" w:space="0" w:color="000000"/>
              <w:bottom w:val="single" w:sz="4" w:space="0" w:color="000000"/>
              <w:right w:val="single" w:sz="4" w:space="0" w:color="000000"/>
            </w:tcBorders>
          </w:tcPr>
          <w:p w14:paraId="142EA86A"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pacing w:val="1"/>
                <w:sz w:val="22"/>
                <w:szCs w:val="22"/>
                <w:lang w:val="sr-Latn-ME"/>
              </w:rPr>
              <w:t>24</w:t>
            </w:r>
            <w:r w:rsidRPr="00840456">
              <w:rPr>
                <w:sz w:val="22"/>
                <w:szCs w:val="22"/>
                <w:lang w:val="sr-Latn-ME"/>
              </w:rPr>
              <w:t>,</w:t>
            </w:r>
            <w:r w:rsidRPr="00840456">
              <w:rPr>
                <w:spacing w:val="-1"/>
                <w:sz w:val="22"/>
                <w:szCs w:val="22"/>
                <w:lang w:val="sr-Latn-ME"/>
              </w:rPr>
              <w:t>8</w:t>
            </w:r>
            <w:r w:rsidRPr="00840456">
              <w:rPr>
                <w:position w:val="10"/>
                <w:sz w:val="22"/>
                <w:szCs w:val="22"/>
                <w:lang w:val="sr-Latn-ME"/>
              </w:rPr>
              <w:t>c</w:t>
            </w:r>
          </w:p>
        </w:tc>
      </w:tr>
      <w:tr w:rsidR="005A7F10" w:rsidRPr="00840456" w14:paraId="4548A671" w14:textId="77777777" w:rsidTr="00AD2A61">
        <w:trPr>
          <w:trHeight w:hRule="exact" w:val="263"/>
        </w:trPr>
        <w:tc>
          <w:tcPr>
            <w:tcW w:w="3690" w:type="dxa"/>
            <w:tcBorders>
              <w:top w:val="single" w:sz="4" w:space="0" w:color="000000"/>
              <w:left w:val="single" w:sz="4" w:space="0" w:color="000000"/>
              <w:bottom w:val="single" w:sz="4" w:space="0" w:color="000000"/>
              <w:right w:val="single" w:sz="4" w:space="0" w:color="000000"/>
            </w:tcBorders>
          </w:tcPr>
          <w:p w14:paraId="589E38B7"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z w:val="22"/>
                <w:szCs w:val="22"/>
                <w:lang w:val="sr-Latn-ME"/>
              </w:rPr>
              <w:t>BASDAI</w:t>
            </w:r>
            <w:r w:rsidRPr="00840456">
              <w:rPr>
                <w:spacing w:val="1"/>
                <w:sz w:val="22"/>
                <w:szCs w:val="22"/>
                <w:lang w:val="sr-Latn-ME"/>
              </w:rPr>
              <w:t>***50</w:t>
            </w:r>
          </w:p>
        </w:tc>
        <w:tc>
          <w:tcPr>
            <w:tcW w:w="2610" w:type="dxa"/>
            <w:tcBorders>
              <w:top w:val="single" w:sz="4" w:space="0" w:color="000000"/>
              <w:left w:val="single" w:sz="4" w:space="0" w:color="000000"/>
              <w:bottom w:val="single" w:sz="4" w:space="0" w:color="000000"/>
              <w:right w:val="single" w:sz="4" w:space="0" w:color="000000"/>
            </w:tcBorders>
          </w:tcPr>
          <w:p w14:paraId="48F29806"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pacing w:val="1"/>
                <w:sz w:val="22"/>
                <w:szCs w:val="22"/>
                <w:lang w:val="sr-Latn-ME"/>
              </w:rPr>
              <w:t>23</w:t>
            </w:r>
            <w:r w:rsidRPr="00840456">
              <w:rPr>
                <w:sz w:val="22"/>
                <w:szCs w:val="22"/>
                <w:lang w:val="sr-Latn-ME"/>
              </w:rPr>
              <w:t>,9</w:t>
            </w:r>
          </w:p>
        </w:tc>
        <w:tc>
          <w:tcPr>
            <w:tcW w:w="2070" w:type="dxa"/>
            <w:tcBorders>
              <w:top w:val="single" w:sz="4" w:space="0" w:color="000000"/>
              <w:left w:val="single" w:sz="4" w:space="0" w:color="000000"/>
              <w:bottom w:val="single" w:sz="4" w:space="0" w:color="000000"/>
              <w:right w:val="single" w:sz="4" w:space="0" w:color="000000"/>
            </w:tcBorders>
          </w:tcPr>
          <w:p w14:paraId="1DBF0C54" w14:textId="77777777" w:rsidR="005A7F10" w:rsidRPr="00840456" w:rsidRDefault="005A7F10" w:rsidP="00AD2A61">
            <w:pPr>
              <w:widowControl w:val="0"/>
              <w:autoSpaceDE w:val="0"/>
              <w:autoSpaceDN w:val="0"/>
              <w:adjustRightInd w:val="0"/>
              <w:spacing w:line="249" w:lineRule="exact"/>
              <w:ind w:left="102"/>
              <w:rPr>
                <w:sz w:val="22"/>
                <w:szCs w:val="22"/>
                <w:lang w:val="sr-Latn-ME"/>
              </w:rPr>
            </w:pPr>
            <w:r w:rsidRPr="00840456">
              <w:rPr>
                <w:spacing w:val="1"/>
                <w:sz w:val="22"/>
                <w:szCs w:val="22"/>
                <w:lang w:val="sr-Latn-ME"/>
              </w:rPr>
              <w:t>43</w:t>
            </w:r>
            <w:r w:rsidRPr="00840456">
              <w:rPr>
                <w:sz w:val="22"/>
                <w:szCs w:val="22"/>
                <w:lang w:val="sr-Latn-ME"/>
              </w:rPr>
              <w:t>,</w:t>
            </w:r>
            <w:r w:rsidRPr="00840456">
              <w:rPr>
                <w:spacing w:val="-1"/>
                <w:sz w:val="22"/>
                <w:szCs w:val="22"/>
                <w:lang w:val="sr-Latn-ME"/>
              </w:rPr>
              <w:t>8</w:t>
            </w:r>
            <w:r w:rsidRPr="00840456">
              <w:rPr>
                <w:position w:val="10"/>
                <w:sz w:val="22"/>
                <w:szCs w:val="22"/>
                <w:lang w:val="sr-Latn-ME"/>
              </w:rPr>
              <w:t>b</w:t>
            </w:r>
          </w:p>
        </w:tc>
      </w:tr>
    </w:tbl>
    <w:p w14:paraId="0F26122C" w14:textId="77777777" w:rsidR="005A7F10" w:rsidRPr="00840456" w:rsidRDefault="005A7F10" w:rsidP="005A7F10">
      <w:pPr>
        <w:tabs>
          <w:tab w:val="left" w:pos="0"/>
        </w:tabs>
        <w:jc w:val="both"/>
        <w:rPr>
          <w:sz w:val="22"/>
          <w:szCs w:val="22"/>
          <w:lang w:val="sr-Latn-ME"/>
        </w:rPr>
      </w:pPr>
    </w:p>
    <w:p w14:paraId="4293E2A6" w14:textId="7D4C8FA0" w:rsidR="005A7F10" w:rsidRPr="00840456" w:rsidRDefault="005A7F10" w:rsidP="005A7F10">
      <w:pPr>
        <w:tabs>
          <w:tab w:val="left" w:pos="0"/>
        </w:tabs>
        <w:jc w:val="both"/>
        <w:rPr>
          <w:sz w:val="22"/>
          <w:szCs w:val="22"/>
          <w:lang w:val="sr-Latn-ME"/>
        </w:rPr>
      </w:pPr>
      <w:r w:rsidRPr="00840456">
        <w:rPr>
          <w:sz w:val="22"/>
          <w:szCs w:val="22"/>
          <w:lang w:val="sr-Latn-ME"/>
        </w:rPr>
        <w:tab/>
        <w:t>*Neki pacijenti ni</w:t>
      </w:r>
      <w:r w:rsidR="00B8574E" w:rsidRPr="00840456">
        <w:rPr>
          <w:sz w:val="22"/>
          <w:szCs w:val="22"/>
          <w:lang w:val="sr-Latn-ME"/>
        </w:rPr>
        <w:t>je</w:t>
      </w:r>
      <w:r w:rsidRPr="00840456">
        <w:rPr>
          <w:sz w:val="22"/>
          <w:szCs w:val="22"/>
          <w:lang w:val="sr-Latn-ME"/>
        </w:rPr>
        <w:t>su imali potpune podatke za svaki parametar efikasnosti</w:t>
      </w:r>
    </w:p>
    <w:p w14:paraId="3E6ACAC7" w14:textId="77777777" w:rsidR="005A7F10" w:rsidRPr="00840456" w:rsidRDefault="005A7F10" w:rsidP="005A7F10">
      <w:pPr>
        <w:tabs>
          <w:tab w:val="left" w:pos="0"/>
        </w:tabs>
        <w:jc w:val="both"/>
        <w:rPr>
          <w:sz w:val="22"/>
          <w:szCs w:val="22"/>
          <w:lang w:val="sr-Latn-ME"/>
        </w:rPr>
      </w:pPr>
      <w:r w:rsidRPr="00840456">
        <w:rPr>
          <w:sz w:val="22"/>
          <w:szCs w:val="22"/>
          <w:lang w:val="sr-Latn-ME"/>
        </w:rPr>
        <w:tab/>
        <w:t>**ASAS = kriterijumi Međunarodnog društva za procjenu spondiloartritisa</w:t>
      </w:r>
    </w:p>
    <w:p w14:paraId="21F21148" w14:textId="77777777" w:rsidR="005A7F10" w:rsidRPr="00840456" w:rsidRDefault="005A7F10" w:rsidP="005A7F10">
      <w:pPr>
        <w:tabs>
          <w:tab w:val="left" w:pos="0"/>
        </w:tabs>
        <w:jc w:val="both"/>
        <w:rPr>
          <w:sz w:val="22"/>
          <w:szCs w:val="22"/>
          <w:lang w:val="sr-Latn-ME"/>
        </w:rPr>
      </w:pPr>
      <w:r w:rsidRPr="00840456">
        <w:rPr>
          <w:sz w:val="22"/>
          <w:szCs w:val="22"/>
          <w:lang w:val="sr-Latn-ME"/>
        </w:rPr>
        <w:tab/>
        <w:t>***BASDAI =Bath-ov indeks aktivnosti bolesti za ankilozirajući spondilitis</w:t>
      </w:r>
    </w:p>
    <w:p w14:paraId="5E8DBA97" w14:textId="77777777" w:rsidR="005A7F10" w:rsidRPr="00840456" w:rsidRDefault="005A7F10" w:rsidP="005A7F10">
      <w:pPr>
        <w:tabs>
          <w:tab w:val="left" w:pos="0"/>
        </w:tabs>
        <w:jc w:val="both"/>
        <w:rPr>
          <w:sz w:val="22"/>
          <w:szCs w:val="22"/>
          <w:lang w:val="sr-Latn-ME"/>
        </w:rPr>
      </w:pPr>
      <w:r w:rsidRPr="00840456">
        <w:rPr>
          <w:sz w:val="22"/>
          <w:szCs w:val="22"/>
          <w:lang w:val="sr-Latn-ME"/>
        </w:rPr>
        <w:tab/>
        <w:t>a: p&lt;0,001, b:&lt;0,01, odnosno c:&lt;0,05 između lijeka Enbrel i placeba</w:t>
      </w:r>
    </w:p>
    <w:p w14:paraId="7E3C1EF9" w14:textId="77777777" w:rsidR="005A7F10" w:rsidRPr="00840456" w:rsidRDefault="005A7F10" w:rsidP="005A7F10">
      <w:pPr>
        <w:tabs>
          <w:tab w:val="left" w:pos="0"/>
        </w:tabs>
        <w:jc w:val="both"/>
        <w:rPr>
          <w:sz w:val="22"/>
          <w:szCs w:val="22"/>
          <w:lang w:val="sr-Latn-ME"/>
        </w:rPr>
      </w:pPr>
    </w:p>
    <w:p w14:paraId="637D3AC7" w14:textId="6E910183" w:rsidR="005A7F10" w:rsidRPr="00840456" w:rsidRDefault="005A7F10" w:rsidP="005A7F10">
      <w:pPr>
        <w:tabs>
          <w:tab w:val="left" w:pos="0"/>
        </w:tabs>
        <w:jc w:val="both"/>
        <w:rPr>
          <w:sz w:val="22"/>
          <w:szCs w:val="22"/>
          <w:lang w:val="sr-Latn-ME"/>
        </w:rPr>
      </w:pPr>
      <w:r w:rsidRPr="00840456">
        <w:rPr>
          <w:sz w:val="22"/>
          <w:szCs w:val="22"/>
          <w:lang w:val="sr-Latn-ME"/>
        </w:rPr>
        <w:t xml:space="preserve">U 12. nedjelji, primijećeno je statistički značajno poboljšanje u skoru Kanadskog istraživačkog konzorcijuma za spondiloartritis (eng. Spondyloarthritis Research Consortium of Canada, SPARCC) za sakroilijačni zglob (SIJ), koji je mjeren primjenom magnetne rezonance kod pacijenata koji su primali lijek Enbrel. Prilagođena srednja promjena u odnosu na početne vrijednosti iznosila je 3,8 kod pacijenata </w:t>
      </w:r>
      <w:r w:rsidRPr="00840456">
        <w:rPr>
          <w:sz w:val="22"/>
          <w:szCs w:val="22"/>
          <w:lang w:val="sr-Latn-ME"/>
        </w:rPr>
        <w:lastRenderedPageBreak/>
        <w:t>liječenih lijekom Enbrel (n=95) naspram 0,8 kod pacijenata koji su primali placebo (n=105) (p &lt; 0,001). U 104. nedjelji srednja vrijednost promjene u odnosu na početnu vrijednost u rezultatu SPARCC skora koji je mjeren primjenom magnetne rezonance za sve učesnike u studiji liječene lijekom Enbrel, bila je 4,64 za sarkoilijačni zglob (n=153) i 1,40 za kičmu (n=154).</w:t>
      </w:r>
    </w:p>
    <w:p w14:paraId="5644DC1A" w14:textId="77777777" w:rsidR="005A7F10" w:rsidRPr="00840456" w:rsidRDefault="005A7F10" w:rsidP="005A7F10">
      <w:pPr>
        <w:tabs>
          <w:tab w:val="left" w:pos="0"/>
        </w:tabs>
        <w:jc w:val="both"/>
        <w:rPr>
          <w:sz w:val="22"/>
          <w:szCs w:val="22"/>
          <w:lang w:val="sr-Latn-ME"/>
        </w:rPr>
      </w:pPr>
    </w:p>
    <w:p w14:paraId="2ABCBC4B" w14:textId="77777777" w:rsidR="005A7F10" w:rsidRPr="00840456" w:rsidRDefault="005A7F10" w:rsidP="005A7F10">
      <w:pPr>
        <w:tabs>
          <w:tab w:val="left" w:pos="0"/>
        </w:tabs>
        <w:jc w:val="both"/>
        <w:rPr>
          <w:sz w:val="22"/>
          <w:szCs w:val="22"/>
          <w:lang w:val="sr-Latn-ME"/>
        </w:rPr>
      </w:pPr>
      <w:r w:rsidRPr="00840456">
        <w:rPr>
          <w:sz w:val="22"/>
          <w:szCs w:val="22"/>
          <w:lang w:val="sr-Latn-ME"/>
        </w:rPr>
        <w:t>Lijek Enbrel je pokazao statistički značajno veće poboljšanje od početka do 12. nedjelje u poređenju sa placebom u većini procjena u vezi sa kvalitetom života i fizičkim funkcionisanjem, uključujući BASFI, skor ukupnog zdravstvenog stanja EuroQol 5D i skor fizičke komponente SF-36.</w:t>
      </w:r>
    </w:p>
    <w:p w14:paraId="259063D6" w14:textId="77777777" w:rsidR="005A7F10" w:rsidRPr="00840456" w:rsidRDefault="005A7F10" w:rsidP="005A7F10">
      <w:pPr>
        <w:tabs>
          <w:tab w:val="left" w:pos="0"/>
        </w:tabs>
        <w:jc w:val="both"/>
        <w:rPr>
          <w:sz w:val="22"/>
          <w:szCs w:val="22"/>
          <w:lang w:val="sr-Latn-ME"/>
        </w:rPr>
      </w:pPr>
    </w:p>
    <w:p w14:paraId="2F52D35F" w14:textId="4BF3E28B" w:rsidR="005A7F10" w:rsidRPr="00840456" w:rsidRDefault="005A7F10" w:rsidP="005A7F10">
      <w:pPr>
        <w:tabs>
          <w:tab w:val="left" w:pos="0"/>
        </w:tabs>
        <w:jc w:val="both"/>
        <w:rPr>
          <w:sz w:val="22"/>
          <w:szCs w:val="22"/>
          <w:lang w:val="sr-Latn-ME"/>
        </w:rPr>
      </w:pPr>
      <w:r w:rsidRPr="00840456">
        <w:rPr>
          <w:sz w:val="22"/>
          <w:szCs w:val="22"/>
          <w:lang w:val="sr-Latn-ME"/>
        </w:rPr>
        <w:t>Klinički odgovori kod pacijenata sa nr-AxSpa, koji su primali lijek Enbrel, bili su uočljivi u vrijeme prve posjete (2. nedjelja) i održali su se tokom 2 godine terapije. Poboljšanje u kvalitetu života, povezano sa zdravljem i fizičkom funkcijom, takođe je održano tokom 2 godine liječenja. Dvogodišnji podaci ni</w:t>
      </w:r>
      <w:r w:rsidR="00B8574E" w:rsidRPr="00840456">
        <w:rPr>
          <w:sz w:val="22"/>
          <w:szCs w:val="22"/>
          <w:lang w:val="sr-Latn-ME"/>
        </w:rPr>
        <w:t>je</w:t>
      </w:r>
      <w:r w:rsidRPr="00840456">
        <w:rPr>
          <w:sz w:val="22"/>
          <w:szCs w:val="22"/>
          <w:lang w:val="sr-Latn-ME"/>
        </w:rPr>
        <w:t>su otkrili nove bezbjednosne informacije. U 104. nedjelji, stanje 8 učesnika u studiji je napredovalo do bilateralnog stepena 2, što je utvrđeno ren</w:t>
      </w:r>
      <w:r w:rsidR="00B8574E" w:rsidRPr="00840456">
        <w:rPr>
          <w:sz w:val="22"/>
          <w:szCs w:val="22"/>
          <w:lang w:val="sr-Latn-ME"/>
        </w:rPr>
        <w:t>d</w:t>
      </w:r>
      <w:r w:rsidRPr="00840456">
        <w:rPr>
          <w:sz w:val="22"/>
          <w:szCs w:val="22"/>
          <w:lang w:val="sr-Latn-ME"/>
        </w:rPr>
        <w:t>genskim snimcima kičme, prema modifikovanoj New York gradaciji, koja je indikativna za aksijalnu spondiloartropatiju.</w:t>
      </w:r>
    </w:p>
    <w:p w14:paraId="1783BA0F" w14:textId="77777777" w:rsidR="005A7F10" w:rsidRPr="00840456" w:rsidRDefault="005A7F10" w:rsidP="005A7F10">
      <w:pPr>
        <w:tabs>
          <w:tab w:val="left" w:pos="0"/>
        </w:tabs>
        <w:jc w:val="both"/>
        <w:rPr>
          <w:sz w:val="22"/>
          <w:szCs w:val="22"/>
          <w:lang w:val="sr-Latn-ME"/>
        </w:rPr>
      </w:pPr>
    </w:p>
    <w:p w14:paraId="33857D0F" w14:textId="77777777" w:rsidR="005A7F10" w:rsidRPr="00840456" w:rsidRDefault="005A7F10" w:rsidP="00815D34">
      <w:pPr>
        <w:rPr>
          <w:rFonts w:eastAsia="Calibri"/>
          <w:i/>
          <w:sz w:val="22"/>
          <w:szCs w:val="22"/>
          <w:u w:val="single"/>
          <w:lang w:val="sr-Latn-ME"/>
        </w:rPr>
      </w:pPr>
      <w:r w:rsidRPr="00840456">
        <w:rPr>
          <w:rFonts w:eastAsia="Calibri"/>
          <w:i/>
          <w:sz w:val="22"/>
          <w:szCs w:val="22"/>
          <w:u w:val="single"/>
          <w:lang w:val="sr-Latn-ME"/>
        </w:rPr>
        <w:t>Druga studija</w:t>
      </w:r>
    </w:p>
    <w:p w14:paraId="231B775A" w14:textId="77777777" w:rsidR="005A7F10" w:rsidRPr="00840456" w:rsidRDefault="005A7F10" w:rsidP="0045560A">
      <w:pPr>
        <w:spacing w:after="160"/>
        <w:jc w:val="both"/>
        <w:rPr>
          <w:rFonts w:eastAsia="Calibri"/>
          <w:sz w:val="22"/>
          <w:szCs w:val="22"/>
          <w:lang w:val="sr-Latn-ME"/>
        </w:rPr>
      </w:pPr>
      <w:r w:rsidRPr="00840456">
        <w:rPr>
          <w:rFonts w:eastAsia="Calibri"/>
          <w:sz w:val="22"/>
          <w:szCs w:val="22"/>
          <w:lang w:val="sr-Latn-ME"/>
        </w:rPr>
        <w:t xml:space="preserve">Ova multicentrična, otvorena studija faze 4, koja je sprovedena u 3 perioda, procijenila je prekid primjene i ponovno liječenje lijekom Enbrel kod pacijenata sa aktivnim nr-AxSpa koji su pokazali adekvatan odgovor (neaktivnu bolest definisanu kao rezultat aktivnosti ankilozirajućeg spondilitisa (eng. Ankylosing Spondylitis Disease Activity Score (ASDAS)) dobijen na osnovu C-reaktivnog proteina (CRP) manji od 1,3) nakon 24 nedjelje liječenja. </w:t>
      </w:r>
    </w:p>
    <w:p w14:paraId="6FBE756F" w14:textId="6646D452" w:rsidR="005A7F10" w:rsidRPr="00840456" w:rsidRDefault="005A7F10" w:rsidP="0045560A">
      <w:pPr>
        <w:spacing w:after="160"/>
        <w:jc w:val="both"/>
        <w:rPr>
          <w:rFonts w:eastAsia="Calibri"/>
          <w:sz w:val="22"/>
          <w:szCs w:val="22"/>
          <w:lang w:val="sr-Latn-ME"/>
        </w:rPr>
      </w:pPr>
      <w:r w:rsidRPr="00840456">
        <w:rPr>
          <w:rFonts w:eastAsia="Calibri"/>
          <w:sz w:val="22"/>
          <w:szCs w:val="22"/>
          <w:lang w:val="sr-Latn-ME"/>
        </w:rPr>
        <w:t>209 odraslih pacijenata sa aktivnim nr-AxSpa (uzrasta od 18 do 49 godina), koji su definisani kao pacijenti koji s</w:t>
      </w:r>
      <w:r w:rsidR="00387728" w:rsidRPr="00840456">
        <w:rPr>
          <w:rFonts w:eastAsia="Calibri"/>
          <w:sz w:val="22"/>
          <w:szCs w:val="22"/>
          <w:lang w:val="sr-Latn-ME"/>
        </w:rPr>
        <w:t>u</w:t>
      </w:r>
      <w:r w:rsidRPr="00840456">
        <w:rPr>
          <w:rFonts w:eastAsia="Calibri"/>
          <w:sz w:val="22"/>
          <w:szCs w:val="22"/>
          <w:lang w:val="sr-Latn-ME"/>
        </w:rPr>
        <w:t xml:space="preserve"> ispunili kriterijume klasifikacije Međunarodnog društva za procjenu spondiloartritisa (eng, SpondyloArthritis International Society (ASAS)) za aksijalni spondiloartritis (ali koji ne ispunjavaju modifikovane New York kriterijume za AS), koji imaju pozitivan nalaz MRI (aktivna upala na MRI koja u velikoj mjeri upućuje na sakroilitis povezan sa SpA) i/ili pozitivan hsCRP (koji je definisan kao C-reaktivni protein visoke osjetljivosti [hsCRP] &gt;3 mg/l) i aktivne simptome koji su definisani ASDAS CRP vrijednošću većom od ili jednakom 2,1 prilikom posjete rade skrininga, primilo je u okviru otvorene studije 50 mg lijeka Enbrel nedjeljno i stabilnu osnovnu terapiju NSAID ljekovima u optimalnoj podnošljivoj protivupalnoj dozi tokom 24 nedjelje u 1. periodu. Od pacijenata se takođe zahtijevalo da nemaju adekvatan odgovor na dva ili više NSAID lijeka ili da ih ne podnose. U 24. nedjelji, 119 (57%) pacijenata je postiglo neaktivnu bolest i ušlo je u fazu prekida primjene lijeka u trajanju od 40 nedjelja u 2. periodu, tokom koje su ispitanici prestali da uzimaju etanercept, ali je nastavljena osnovna terapija NSAID ljekovima. Primarna mjera efikasnosti bila je pojava razbuktavanja (definisana kao brzina sedimentacije eritrocita (eng. erythrocyte sedimentation rate, ESR) za ASDAS koja je bila veća od ili jednaka 2,1) u roku od 40 nedjelja nakon prekida primjene lijeka Enbrel. Pacijenti kod kojih se javilo razbuktavanje bili su ponovo liječeni sa 50 mg lijeka Enbrel nedjeljno u periodu od 12 nedjelja (3. period).</w:t>
      </w:r>
    </w:p>
    <w:p w14:paraId="78AC16EF" w14:textId="77777777" w:rsidR="005A7F10" w:rsidRPr="00840456" w:rsidRDefault="005A7F10" w:rsidP="0045560A">
      <w:pPr>
        <w:jc w:val="both"/>
        <w:rPr>
          <w:rFonts w:eastAsia="Arial Unicode MS"/>
          <w:sz w:val="22"/>
          <w:szCs w:val="22"/>
          <w:lang w:val="sr-Latn-ME"/>
        </w:rPr>
      </w:pPr>
      <w:r w:rsidRPr="00840456">
        <w:rPr>
          <w:rFonts w:eastAsia="Arial Unicode MS"/>
          <w:sz w:val="22"/>
          <w:szCs w:val="22"/>
          <w:lang w:val="sr-Latn-ME"/>
        </w:rPr>
        <w:t xml:space="preserve">U 2. periodu, udio pacijenata kod kojih se bolest razbuktala ≥1 put povećao se sa 22% (25/112) u 4. nedjelji na 67% (77/115) u 40. nedjelji. Sve u svemu, kod 75% (86/115) pacijenata javilo se razbuktavanje bolesti u bilo kom trenutku u periodu od 40 nedjelja nakon prekida primjene lijeka Enbrel. </w:t>
      </w:r>
    </w:p>
    <w:p w14:paraId="7CF8D983" w14:textId="77777777" w:rsidR="005A7F10" w:rsidRPr="00840456" w:rsidRDefault="005A7F10" w:rsidP="0045560A">
      <w:pPr>
        <w:jc w:val="both"/>
        <w:rPr>
          <w:rFonts w:eastAsia="Arial Unicode MS"/>
          <w:sz w:val="22"/>
          <w:szCs w:val="22"/>
          <w:lang w:val="sr-Latn-ME"/>
        </w:rPr>
      </w:pPr>
    </w:p>
    <w:p w14:paraId="71BD7F2E" w14:textId="77777777" w:rsidR="005A7F10" w:rsidRPr="00840456" w:rsidRDefault="005A7F10" w:rsidP="0045560A">
      <w:pPr>
        <w:jc w:val="both"/>
        <w:rPr>
          <w:sz w:val="22"/>
          <w:szCs w:val="22"/>
          <w:lang w:val="sr-Latn-ME"/>
        </w:rPr>
      </w:pPr>
      <w:r w:rsidRPr="00840456">
        <w:rPr>
          <w:sz w:val="22"/>
          <w:szCs w:val="22"/>
          <w:lang w:val="sr-Latn-ME"/>
        </w:rPr>
        <w:t>Ključni sekundarni cilj druge studije bio je procjena vremena do pojave razbuktavanja nakon prekida primjene lijeka Enbrel i dodatno upoređivanje vremena do razbuktavanja bolesti sa onim zabilježenim kod pacijenata iz 1. studije koji su ispunili zahtjev za ulazak u fazu prekida primjene lijeka u drugoj studiji i nastavili da primaju terapiju lijekom Enbrel.  </w:t>
      </w:r>
    </w:p>
    <w:p w14:paraId="0DC50D03" w14:textId="77777777" w:rsidR="005A7F10" w:rsidRPr="00840456" w:rsidRDefault="005A7F10" w:rsidP="0045560A">
      <w:pPr>
        <w:spacing w:after="160"/>
        <w:jc w:val="both"/>
        <w:rPr>
          <w:rFonts w:eastAsia="Calibri"/>
          <w:sz w:val="22"/>
          <w:szCs w:val="22"/>
          <w:lang w:val="sr-Latn-ME"/>
        </w:rPr>
      </w:pPr>
      <w:r w:rsidRPr="00840456">
        <w:rPr>
          <w:rFonts w:eastAsia="Calibri"/>
          <w:sz w:val="22"/>
          <w:szCs w:val="22"/>
          <w:lang w:val="sr-Latn-ME"/>
        </w:rPr>
        <w:br/>
        <w:t>Medijana vremena do razbuktavanja bolesti nakon prekida primjene lijeka Enbrel iznosila je 16 nedjelja (95% CI: 13-24 nedjelje). Kod manje od 25% pacijenata u prvoj studiji koji nijesu prekidali terapiju došlo je do razbuktavanja bolesti tokom perioda od 40 nedjelja, što je bilo ekvivalentno trajanju 2. perioda u drugoj studiji. Vrijeme do pojave razbuktavanja bilo je statistički znatno kraće kod ispitanika koji su prestali da uzimaju terapiju lijekom Enbrel (druga studija) u poređenju sa ispitanicima koji su neprekidno primali terapiju etanerceptom (prva studija), p &lt; 0,0001.</w:t>
      </w:r>
    </w:p>
    <w:p w14:paraId="5B90E4F6" w14:textId="77777777" w:rsidR="005A7F10" w:rsidRPr="00840456" w:rsidRDefault="005A7F10" w:rsidP="0045560A">
      <w:pPr>
        <w:spacing w:line="259" w:lineRule="auto"/>
        <w:jc w:val="both"/>
        <w:rPr>
          <w:color w:val="000000"/>
          <w:sz w:val="22"/>
          <w:szCs w:val="22"/>
          <w:lang w:val="sr-Latn-ME"/>
        </w:rPr>
      </w:pPr>
      <w:r w:rsidRPr="00840456">
        <w:rPr>
          <w:rFonts w:eastAsia="Calibri"/>
          <w:sz w:val="22"/>
          <w:szCs w:val="22"/>
          <w:lang w:val="sr-Latn-ME"/>
        </w:rPr>
        <w:lastRenderedPageBreak/>
        <w:t>Od 87 pacijenata koji su ušli u 3. period i koji su ponovo liječeni sa 50 mg lijeka Enbrel nedjeljno tokom 12 nedjelja, 62% (54/87) pacijenata je postiglo neaktivnu bolest, pri čemu je 50% njih ostvarilo neaktivnu bolest u periodu od 5 nedjelja (95% CI: 4</w:t>
      </w:r>
      <w:r w:rsidRPr="00840456">
        <w:rPr>
          <w:rFonts w:eastAsia="Calibri"/>
          <w:sz w:val="22"/>
          <w:szCs w:val="22"/>
          <w:lang w:val="sr-Latn-ME"/>
        </w:rPr>
        <w:noBreakHyphen/>
        <w:t>8 nedjelja)</w:t>
      </w:r>
    </w:p>
    <w:p w14:paraId="60AC8609" w14:textId="77777777" w:rsidR="005A7F10" w:rsidRPr="00840456" w:rsidRDefault="005A7F10" w:rsidP="005A7F10">
      <w:pPr>
        <w:tabs>
          <w:tab w:val="left" w:pos="0"/>
        </w:tabs>
        <w:jc w:val="both"/>
        <w:rPr>
          <w:sz w:val="22"/>
          <w:szCs w:val="22"/>
          <w:lang w:val="sr-Latn-ME"/>
        </w:rPr>
      </w:pPr>
    </w:p>
    <w:p w14:paraId="559EEAD9" w14:textId="77777777" w:rsidR="005A7F10" w:rsidRPr="00840456" w:rsidRDefault="005A7F10" w:rsidP="005A7F10">
      <w:pPr>
        <w:widowControl w:val="0"/>
        <w:autoSpaceDE w:val="0"/>
        <w:autoSpaceDN w:val="0"/>
        <w:adjustRightInd w:val="0"/>
        <w:ind w:left="20"/>
        <w:jc w:val="both"/>
        <w:rPr>
          <w:i/>
          <w:color w:val="000000"/>
          <w:sz w:val="22"/>
          <w:szCs w:val="22"/>
          <w:lang w:val="sr-Latn-ME"/>
        </w:rPr>
      </w:pPr>
      <w:r w:rsidRPr="00840456">
        <w:rPr>
          <w:i/>
          <w:color w:val="000000"/>
          <w:sz w:val="22"/>
          <w:szCs w:val="22"/>
          <w:lang w:val="sr-Latn-ME"/>
        </w:rPr>
        <w:t>Odrasli sa plak psorijazom</w:t>
      </w:r>
    </w:p>
    <w:p w14:paraId="1A1C4FBD" w14:textId="77777777" w:rsidR="005A7F10" w:rsidRPr="00840456" w:rsidRDefault="005A7F10" w:rsidP="00815D34">
      <w:pPr>
        <w:widowControl w:val="0"/>
        <w:autoSpaceDE w:val="0"/>
        <w:autoSpaceDN w:val="0"/>
        <w:adjustRightInd w:val="0"/>
        <w:jc w:val="both"/>
        <w:rPr>
          <w:sz w:val="22"/>
          <w:szCs w:val="22"/>
          <w:lang w:val="sr-Latn-ME"/>
        </w:rPr>
      </w:pPr>
    </w:p>
    <w:p w14:paraId="77AFA6B0" w14:textId="4A0F76A6" w:rsidR="005A7F10" w:rsidRPr="00840456" w:rsidRDefault="005A7F10" w:rsidP="005A7F10">
      <w:pPr>
        <w:widowControl w:val="0"/>
        <w:overflowPunct w:val="0"/>
        <w:autoSpaceDE w:val="0"/>
        <w:autoSpaceDN w:val="0"/>
        <w:adjustRightInd w:val="0"/>
        <w:spacing w:line="242" w:lineRule="auto"/>
        <w:ind w:left="20"/>
        <w:jc w:val="both"/>
        <w:rPr>
          <w:sz w:val="22"/>
          <w:szCs w:val="22"/>
          <w:lang w:val="sr-Latn-ME"/>
        </w:rPr>
      </w:pPr>
      <w:r w:rsidRPr="00840456">
        <w:rPr>
          <w:color w:val="000000"/>
          <w:sz w:val="22"/>
          <w:szCs w:val="22"/>
          <w:lang w:val="sr-Latn-ME"/>
        </w:rPr>
        <w:t>Preporučuje se upotreba lijeka Enbrel kao što je opisano u dijelu 4.1. Navedena reakcija pacijenata "ne reaguju" u ciljnoj populaciji definisana je kao nedovoljan odgovor (PASI&lt;50 ili PGA niži od dobrog), ili pogoršanje bolesti za vrijeme terapije kod pacijenata koji su primali adekvatne doze tokom dovoljno dugog perioda da bi se mogao primijetiti odgovor kod najmanje jedne</w:t>
      </w:r>
      <w:r w:rsidR="009C577D" w:rsidRPr="00840456">
        <w:rPr>
          <w:color w:val="000000"/>
          <w:sz w:val="22"/>
          <w:szCs w:val="22"/>
          <w:lang w:val="sr-Latn-ME"/>
        </w:rPr>
        <w:t xml:space="preserve"> </w:t>
      </w:r>
      <w:r w:rsidRPr="00840456">
        <w:rPr>
          <w:color w:val="000000"/>
          <w:sz w:val="22"/>
          <w:szCs w:val="22"/>
          <w:lang w:val="sr-Latn-ME"/>
        </w:rPr>
        <w:t>od tri raspoložive sistemske terapije.</w:t>
      </w:r>
    </w:p>
    <w:p w14:paraId="289A974A" w14:textId="77777777" w:rsidR="005A7F10" w:rsidRPr="00840456" w:rsidRDefault="005A7F10" w:rsidP="005A7F10">
      <w:pPr>
        <w:widowControl w:val="0"/>
        <w:autoSpaceDE w:val="0"/>
        <w:autoSpaceDN w:val="0"/>
        <w:adjustRightInd w:val="0"/>
        <w:spacing w:line="222" w:lineRule="exact"/>
        <w:jc w:val="both"/>
        <w:rPr>
          <w:sz w:val="22"/>
          <w:szCs w:val="22"/>
          <w:lang w:val="sr-Latn-ME"/>
        </w:rPr>
      </w:pPr>
    </w:p>
    <w:p w14:paraId="4DAAC294" w14:textId="777B84E6" w:rsidR="005A7F10" w:rsidRPr="00840456" w:rsidRDefault="005A7F10" w:rsidP="005A7F10">
      <w:pPr>
        <w:widowControl w:val="0"/>
        <w:overflowPunct w:val="0"/>
        <w:autoSpaceDE w:val="0"/>
        <w:autoSpaceDN w:val="0"/>
        <w:adjustRightInd w:val="0"/>
        <w:spacing w:line="239" w:lineRule="auto"/>
        <w:ind w:left="20"/>
        <w:jc w:val="both"/>
        <w:rPr>
          <w:sz w:val="22"/>
          <w:szCs w:val="22"/>
          <w:lang w:val="sr-Latn-ME"/>
        </w:rPr>
      </w:pPr>
      <w:r w:rsidRPr="00840456">
        <w:rPr>
          <w:color w:val="000000"/>
          <w:sz w:val="22"/>
          <w:szCs w:val="22"/>
          <w:lang w:val="sr-Latn-ME"/>
        </w:rPr>
        <w:t xml:space="preserve">U studijama, efikasnost lijeka Enbrel u odnosu na druge sistemske terapije kod pacijenata sa umjerenom </w:t>
      </w:r>
      <w:r w:rsidR="009C577D" w:rsidRPr="00840456">
        <w:rPr>
          <w:color w:val="000000"/>
          <w:sz w:val="22"/>
          <w:szCs w:val="22"/>
          <w:lang w:val="sr-Latn-ME"/>
        </w:rPr>
        <w:t>do</w:t>
      </w:r>
      <w:r w:rsidRPr="00840456">
        <w:rPr>
          <w:color w:val="000000"/>
          <w:sz w:val="22"/>
          <w:szCs w:val="22"/>
          <w:lang w:val="sr-Latn-ME"/>
        </w:rPr>
        <w:t xml:space="preserve"> teškom psorijazom (koji su reagovali na sistemske terapije) nije procjenjivana direktnim poređenjem lijeka Enbrel sa drugim sistemskim terapijama. Umjesto toga bezbjednost i efikasnost lijeka Enbrel procjenjivane su kroz četiri randomizovane, dvostruko-slijepe, placebo</w:t>
      </w:r>
      <w:r w:rsidR="009C577D" w:rsidRPr="00840456">
        <w:rPr>
          <w:color w:val="000000"/>
          <w:sz w:val="22"/>
          <w:szCs w:val="22"/>
          <w:lang w:val="sr-Latn-ME"/>
        </w:rPr>
        <w:t>-</w:t>
      </w:r>
      <w:r w:rsidRPr="00840456">
        <w:rPr>
          <w:color w:val="000000"/>
          <w:sz w:val="22"/>
          <w:szCs w:val="22"/>
          <w:lang w:val="sr-Latn-ME"/>
        </w:rPr>
        <w:t>kontrolisane studije. Osnovna završna tačka za procjenu efikasnosti kod sve četiri studije je bio procenat pacijenata u svakoj terapijskoj grupi koji su dostigli PASI 75 (npr. najmanje 75% poboljšanja u površini zahvaćenoj psorijazom (Psoriasis Area) i indeksu težine oboljenja (Severity Index)</w:t>
      </w:r>
      <w:r w:rsidR="009C577D" w:rsidRPr="00840456">
        <w:rPr>
          <w:color w:val="000000"/>
          <w:sz w:val="22"/>
          <w:szCs w:val="22"/>
          <w:lang w:val="sr-Latn-ME"/>
        </w:rPr>
        <w:t>)</w:t>
      </w:r>
      <w:r w:rsidRPr="00840456">
        <w:rPr>
          <w:color w:val="000000"/>
          <w:sz w:val="22"/>
          <w:szCs w:val="22"/>
          <w:lang w:val="sr-Latn-ME"/>
        </w:rPr>
        <w:t xml:space="preserve"> u 12. nedjelji.</w:t>
      </w:r>
    </w:p>
    <w:p w14:paraId="2AF799A9" w14:textId="77777777" w:rsidR="005A7F10" w:rsidRPr="00840456" w:rsidRDefault="005A7F10" w:rsidP="005A7F10">
      <w:pPr>
        <w:widowControl w:val="0"/>
        <w:autoSpaceDE w:val="0"/>
        <w:autoSpaceDN w:val="0"/>
        <w:adjustRightInd w:val="0"/>
        <w:spacing w:line="235" w:lineRule="exact"/>
        <w:jc w:val="both"/>
        <w:rPr>
          <w:sz w:val="22"/>
          <w:szCs w:val="22"/>
          <w:lang w:val="sr-Latn-ME"/>
        </w:rPr>
      </w:pPr>
    </w:p>
    <w:p w14:paraId="77CE9F77" w14:textId="77777777" w:rsidR="005A7F10" w:rsidRPr="00840456" w:rsidRDefault="005A7F10" w:rsidP="005A7F10">
      <w:pPr>
        <w:pStyle w:val="Header"/>
        <w:tabs>
          <w:tab w:val="left" w:pos="284"/>
        </w:tabs>
        <w:jc w:val="both"/>
        <w:rPr>
          <w:sz w:val="22"/>
          <w:szCs w:val="22"/>
          <w:lang w:val="sr-Latn-ME"/>
        </w:rPr>
      </w:pPr>
      <w:r w:rsidRPr="00840456">
        <w:rPr>
          <w:color w:val="000000"/>
          <w:sz w:val="22"/>
          <w:szCs w:val="22"/>
          <w:lang w:val="sr-Latn-ME"/>
        </w:rPr>
        <w:t xml:space="preserve">Studija 1 je bila Faza 2 studije kod pacijenata starosti ≥18 godina sa aktivnom, ali klinički stabilnom plak psorijazom koja obuhvata ≥ 10% tjelesne površine. 112 pacijenata je randomizovano da prima ili 25 mg lijeka Enbrel (n=57) ili placebo (n=55) dva puta nedjeljno tokom 24 nedjelje. </w:t>
      </w:r>
    </w:p>
    <w:p w14:paraId="4CC8857A" w14:textId="77777777" w:rsidR="005A7F10" w:rsidRPr="00840456" w:rsidRDefault="005A7F10" w:rsidP="005A7F10">
      <w:pPr>
        <w:pStyle w:val="Header"/>
        <w:tabs>
          <w:tab w:val="left" w:pos="284"/>
        </w:tabs>
        <w:jc w:val="both"/>
        <w:rPr>
          <w:sz w:val="22"/>
          <w:szCs w:val="22"/>
          <w:lang w:val="sr-Latn-ME"/>
        </w:rPr>
      </w:pPr>
    </w:p>
    <w:p w14:paraId="43B56CDE" w14:textId="77777777" w:rsidR="005A7F10" w:rsidRPr="00840456" w:rsidRDefault="005A7F10" w:rsidP="005A7F10">
      <w:pPr>
        <w:widowControl w:val="0"/>
        <w:overflowPunct w:val="0"/>
        <w:autoSpaceDE w:val="0"/>
        <w:autoSpaceDN w:val="0"/>
        <w:adjustRightInd w:val="0"/>
        <w:spacing w:line="239" w:lineRule="auto"/>
        <w:jc w:val="both"/>
        <w:rPr>
          <w:sz w:val="22"/>
          <w:szCs w:val="22"/>
          <w:lang w:val="sr-Latn-ME"/>
        </w:rPr>
      </w:pPr>
      <w:r w:rsidRPr="00840456">
        <w:rPr>
          <w:color w:val="000000"/>
          <w:sz w:val="22"/>
          <w:szCs w:val="22"/>
          <w:lang w:val="sr-Latn-ME"/>
        </w:rPr>
        <w:t>Studija 2 je vršila procjenu 652 pacijenta sa hroničnom plak psorijazom koristeći iste kriterijume za uključivanje kao i Studija 1, uz skrining dodatak minimalne psorijatične površine i indeksa težine oboljenja (PASI) od 10. Enbrel je primjenjivan u dozi od 25 mg jednom nedjeljno, 25 mg dva puta nedjeljno ili 50 mg dva puta nedjeljno, bez prekida, tokom 6 mjeseci. Tokom prvih 12 nedjelja dvostruko-slijepog dijela studije, pacijenti su primali placebo ili jednu od navedene tri doze lijeka Enbrel. Nakon 12 nedjelja terapije, pacijentima iz placebo grupe je data terapija od 25 mg lijeka Enbrel dva puta nedjeljno (i dalje je studija slijepa); pacijenti iz grupa sa aktivnom terapijom su nastavili do 24. nedjelje sa dozom koju su i prvobitno primali.</w:t>
      </w:r>
    </w:p>
    <w:p w14:paraId="221E486F" w14:textId="77777777" w:rsidR="005A7F10" w:rsidRPr="00840456" w:rsidRDefault="005A7F10" w:rsidP="005A7F10">
      <w:pPr>
        <w:widowControl w:val="0"/>
        <w:autoSpaceDE w:val="0"/>
        <w:autoSpaceDN w:val="0"/>
        <w:adjustRightInd w:val="0"/>
        <w:spacing w:line="231" w:lineRule="exact"/>
        <w:jc w:val="both"/>
        <w:rPr>
          <w:sz w:val="22"/>
          <w:szCs w:val="22"/>
          <w:lang w:val="sr-Latn-ME"/>
        </w:rPr>
      </w:pPr>
    </w:p>
    <w:p w14:paraId="7ECD7E3F" w14:textId="77777777" w:rsidR="005A7F10" w:rsidRPr="00840456" w:rsidRDefault="005A7F10" w:rsidP="005A7F10">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Studija 3 je rađena na 583 pacijenta i imala je isti kriterijum za uključivanje kao i Studija 2. U ovoj studiji pacijenti su primali doze od 25 mg lijeka Enbrel, 50 mg lijeka Enbrel ili placebo dva puta nedjeljno tokom 12 nedjelja, a zatim su svi pacijenti primali otvoreno-označenu dozu od 25 mg lijeka Enbrel dva puta nedjeljno do kraja 24. nedjelje.</w:t>
      </w:r>
    </w:p>
    <w:p w14:paraId="2C71325F" w14:textId="77777777" w:rsidR="005A7F10" w:rsidRPr="00840456" w:rsidRDefault="005A7F10" w:rsidP="005A7F10">
      <w:pPr>
        <w:widowControl w:val="0"/>
        <w:autoSpaceDE w:val="0"/>
        <w:autoSpaceDN w:val="0"/>
        <w:adjustRightInd w:val="0"/>
        <w:spacing w:line="220" w:lineRule="exact"/>
        <w:jc w:val="both"/>
        <w:rPr>
          <w:sz w:val="22"/>
          <w:szCs w:val="22"/>
          <w:lang w:val="sr-Latn-ME"/>
        </w:rPr>
      </w:pPr>
    </w:p>
    <w:p w14:paraId="0DA6272E" w14:textId="77777777" w:rsidR="005A7F10" w:rsidRPr="00840456" w:rsidRDefault="005A7F10" w:rsidP="005A7F10">
      <w:pPr>
        <w:widowControl w:val="0"/>
        <w:overflowPunct w:val="0"/>
        <w:autoSpaceDE w:val="0"/>
        <w:autoSpaceDN w:val="0"/>
        <w:adjustRightInd w:val="0"/>
        <w:spacing w:line="265" w:lineRule="auto"/>
        <w:jc w:val="both"/>
        <w:rPr>
          <w:sz w:val="22"/>
          <w:szCs w:val="22"/>
          <w:lang w:val="sr-Latn-ME"/>
        </w:rPr>
      </w:pPr>
      <w:r w:rsidRPr="00840456">
        <w:rPr>
          <w:color w:val="000000"/>
          <w:sz w:val="22"/>
          <w:szCs w:val="22"/>
          <w:lang w:val="sr-Latn-ME"/>
        </w:rPr>
        <w:t>Studija 4 je vršila procjenu 142 pacijenta i imala je slične kriterijume za uključivanje kao studija 2 i 3. Pacijenti u ovoj studiji su primali dozu od 50 mg lijeka Enbrel ili placebo jednom nedjeljno tokom 12 nedjelja, a zatim su svi pacijenti primali 50 mg lijeka Enbrel jednom nedjeljno tokom dodatnih 12 nedjelja.</w:t>
      </w:r>
    </w:p>
    <w:p w14:paraId="3A39B9D2" w14:textId="77777777" w:rsidR="005A7F10" w:rsidRPr="00840456" w:rsidRDefault="005A7F10" w:rsidP="005A7F10">
      <w:pPr>
        <w:widowControl w:val="0"/>
        <w:autoSpaceDE w:val="0"/>
        <w:autoSpaceDN w:val="0"/>
        <w:adjustRightInd w:val="0"/>
        <w:spacing w:line="285" w:lineRule="exact"/>
        <w:jc w:val="both"/>
        <w:rPr>
          <w:sz w:val="22"/>
          <w:szCs w:val="22"/>
          <w:lang w:val="sr-Latn-ME"/>
        </w:rPr>
      </w:pPr>
    </w:p>
    <w:p w14:paraId="539A8A46"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U studiji 1, u Enbrel grupi je bio značajno veći procenat pacijenata sa PASI 75 odgovorom u 12. nedjelji (30%) u odnosu na placebo grupu (2%) (p&lt; 0,0001). U 24. nedjelji 56% pacijenata u Enbrel grupi dostigao je PASI 75 u odnosu na 5% pacijenata u placebo grupi. Glavni rezultati studije 2, 3 i 4 prikazani su u sljedećoj tabeli: </w:t>
      </w:r>
    </w:p>
    <w:p w14:paraId="6AB7893A" w14:textId="3C9A0754" w:rsidR="00671053" w:rsidRPr="00840456" w:rsidRDefault="00671053">
      <w:pPr>
        <w:rPr>
          <w:sz w:val="22"/>
          <w:szCs w:val="22"/>
          <w:lang w:val="sr-Latn-ME"/>
        </w:rPr>
      </w:pPr>
      <w:r w:rsidRPr="00840456">
        <w:rPr>
          <w:sz w:val="22"/>
          <w:szCs w:val="22"/>
          <w:lang w:val="sr-Latn-ME"/>
        </w:rPr>
        <w:br w:type="page"/>
      </w:r>
    </w:p>
    <w:p w14:paraId="7C1808EA" w14:textId="77777777" w:rsidR="005A7F10" w:rsidRPr="00840456" w:rsidRDefault="005A7F10" w:rsidP="005A7F10">
      <w:pPr>
        <w:pStyle w:val="Header"/>
        <w:tabs>
          <w:tab w:val="left" w:pos="284"/>
        </w:tabs>
        <w:jc w:val="both"/>
        <w:rPr>
          <w:sz w:val="22"/>
          <w:szCs w:val="22"/>
          <w:lang w:val="sr-Latn-ME"/>
        </w:rPr>
      </w:pPr>
    </w:p>
    <w:p w14:paraId="1E186232" w14:textId="58A675B9" w:rsidR="005A7F10" w:rsidRPr="00840456" w:rsidRDefault="009C577D" w:rsidP="005A7F10">
      <w:pPr>
        <w:pStyle w:val="Header"/>
        <w:tabs>
          <w:tab w:val="left" w:pos="284"/>
        </w:tabs>
        <w:jc w:val="both"/>
        <w:rPr>
          <w:b/>
          <w:sz w:val="22"/>
          <w:szCs w:val="22"/>
          <w:lang w:val="sr-Latn-ME"/>
        </w:rPr>
      </w:pPr>
      <w:r w:rsidRPr="00840456">
        <w:rPr>
          <w:b/>
          <w:sz w:val="22"/>
          <w:szCs w:val="22"/>
          <w:lang w:val="sr-Latn-ME"/>
        </w:rPr>
        <w:t>Odgovor pacijenata sa psorijazom u studijama 2, 3 i 4</w:t>
      </w:r>
    </w:p>
    <w:tbl>
      <w:tblPr>
        <w:tblW w:w="9468" w:type="dxa"/>
        <w:tblLayout w:type="fixed"/>
        <w:tblLook w:val="0000" w:firstRow="0" w:lastRow="0" w:firstColumn="0" w:lastColumn="0" w:noHBand="0" w:noVBand="0"/>
      </w:tblPr>
      <w:tblGrid>
        <w:gridCol w:w="1008"/>
        <w:gridCol w:w="900"/>
        <w:gridCol w:w="540"/>
        <w:gridCol w:w="540"/>
        <w:gridCol w:w="540"/>
        <w:gridCol w:w="540"/>
        <w:gridCol w:w="900"/>
        <w:gridCol w:w="900"/>
        <w:gridCol w:w="900"/>
        <w:gridCol w:w="900"/>
        <w:gridCol w:w="900"/>
        <w:gridCol w:w="900"/>
      </w:tblGrid>
      <w:tr w:rsidR="005A7F10" w:rsidRPr="00840456" w14:paraId="30DE3D23" w14:textId="77777777" w:rsidTr="00AD2A61">
        <w:trPr>
          <w:cantSplit/>
          <w:trHeight w:val="264"/>
        </w:trPr>
        <w:tc>
          <w:tcPr>
            <w:tcW w:w="9468" w:type="dxa"/>
            <w:gridSpan w:val="12"/>
            <w:tcBorders>
              <w:bottom w:val="single" w:sz="4" w:space="0" w:color="auto"/>
            </w:tcBorders>
          </w:tcPr>
          <w:p w14:paraId="287BCFC3" w14:textId="77777777" w:rsidR="005A7F10" w:rsidRPr="00840456" w:rsidRDefault="005A7F10" w:rsidP="00AD2A61">
            <w:pPr>
              <w:pStyle w:val="TableHeader"/>
              <w:keepNext/>
              <w:keepLines/>
              <w:tabs>
                <w:tab w:val="left" w:pos="567"/>
              </w:tabs>
              <w:jc w:val="both"/>
              <w:rPr>
                <w:sz w:val="22"/>
                <w:szCs w:val="22"/>
                <w:lang w:val="sr-Latn-ME"/>
              </w:rPr>
            </w:pPr>
          </w:p>
        </w:tc>
      </w:tr>
      <w:tr w:rsidR="005A7F10" w:rsidRPr="00840456" w14:paraId="230873C2" w14:textId="77777777" w:rsidTr="00AD2A61">
        <w:trPr>
          <w:cantSplit/>
          <w:trHeight w:val="264"/>
        </w:trPr>
        <w:tc>
          <w:tcPr>
            <w:tcW w:w="1008" w:type="dxa"/>
            <w:vMerge w:val="restart"/>
            <w:tcBorders>
              <w:top w:val="single" w:sz="4" w:space="0" w:color="auto"/>
              <w:left w:val="single" w:sz="4" w:space="0" w:color="auto"/>
              <w:right w:val="single" w:sz="4" w:space="0" w:color="auto"/>
            </w:tcBorders>
            <w:vAlign w:val="bottom"/>
          </w:tcPr>
          <w:p w14:paraId="58DC44A0"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Odgovor (%)</w:t>
            </w:r>
          </w:p>
        </w:tc>
        <w:tc>
          <w:tcPr>
            <w:tcW w:w="3060" w:type="dxa"/>
            <w:gridSpan w:val="5"/>
            <w:tcBorders>
              <w:top w:val="single" w:sz="4" w:space="0" w:color="auto"/>
              <w:left w:val="single" w:sz="4" w:space="0" w:color="auto"/>
              <w:bottom w:val="single" w:sz="4" w:space="0" w:color="auto"/>
              <w:right w:val="single" w:sz="4" w:space="0" w:color="auto"/>
            </w:tcBorders>
          </w:tcPr>
          <w:p w14:paraId="154190F5"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------------------Studija 2---------------</w:t>
            </w:r>
          </w:p>
        </w:tc>
        <w:tc>
          <w:tcPr>
            <w:tcW w:w="2700" w:type="dxa"/>
            <w:gridSpan w:val="3"/>
            <w:tcBorders>
              <w:top w:val="single" w:sz="4" w:space="0" w:color="auto"/>
              <w:bottom w:val="single" w:sz="4" w:space="0" w:color="auto"/>
              <w:right w:val="single" w:sz="4" w:space="0" w:color="auto"/>
            </w:tcBorders>
          </w:tcPr>
          <w:p w14:paraId="0F62D0E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---------------Studija 3-------------</w:t>
            </w:r>
          </w:p>
        </w:tc>
        <w:tc>
          <w:tcPr>
            <w:tcW w:w="2700" w:type="dxa"/>
            <w:gridSpan w:val="3"/>
            <w:tcBorders>
              <w:top w:val="single" w:sz="4" w:space="0" w:color="auto"/>
              <w:left w:val="single" w:sz="4" w:space="0" w:color="auto"/>
              <w:bottom w:val="single" w:sz="4" w:space="0" w:color="auto"/>
            </w:tcBorders>
          </w:tcPr>
          <w:p w14:paraId="5CF44BB0" w14:textId="127D4677" w:rsidR="005A7F10" w:rsidRPr="00840456" w:rsidRDefault="005A7F10" w:rsidP="00AD2A61">
            <w:pPr>
              <w:pStyle w:val="Times10"/>
              <w:keepNext/>
              <w:keepLines/>
              <w:tabs>
                <w:tab w:val="left" w:pos="567"/>
              </w:tabs>
              <w:jc w:val="both"/>
              <w:rPr>
                <w:spacing w:val="-6"/>
                <w:sz w:val="22"/>
                <w:szCs w:val="22"/>
                <w:lang w:val="sr-Latn-ME"/>
              </w:rPr>
            </w:pPr>
            <w:r w:rsidRPr="00840456">
              <w:rPr>
                <w:noProof/>
                <w:spacing w:val="-6"/>
                <w:sz w:val="22"/>
                <w:szCs w:val="22"/>
                <w:lang w:val="sr-Latn-ME"/>
              </w:rPr>
              <mc:AlternateContent>
                <mc:Choice Requires="wps">
                  <w:drawing>
                    <wp:anchor distT="0" distB="0" distL="114300" distR="114300" simplePos="0" relativeHeight="251661312" behindDoc="0" locked="0" layoutInCell="1" allowOverlap="1" wp14:anchorId="0023C7AB" wp14:editId="64E724D7">
                      <wp:simplePos x="0" y="0"/>
                      <wp:positionH relativeFrom="column">
                        <wp:posOffset>1643380</wp:posOffset>
                      </wp:positionH>
                      <wp:positionV relativeFrom="paragraph">
                        <wp:posOffset>-10160</wp:posOffset>
                      </wp:positionV>
                      <wp:extent cx="0" cy="334010"/>
                      <wp:effectExtent l="7620" t="9525" r="11430" b="8890"/>
                      <wp:wrapNone/>
                      <wp:docPr id="26665018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93756" id="_x0000_t32" coordsize="21600,21600" o:spt="32" o:oned="t" path="m,l21600,21600e" filled="f">
                      <v:path arrowok="t" fillok="f" o:connecttype="none"/>
                      <o:lock v:ext="edit" shapetype="t"/>
                    </v:shapetype>
                    <v:shape id="Straight Arrow Connector 6" o:spid="_x0000_s1026" type="#_x0000_t32" style="position:absolute;margin-left:129.4pt;margin-top:-.8pt;width:0;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"/>
                  </w:pict>
                </mc:Fallback>
              </mc:AlternateContent>
            </w:r>
            <w:r w:rsidRPr="00840456">
              <w:rPr>
                <w:spacing w:val="-6"/>
                <w:sz w:val="22"/>
                <w:szCs w:val="22"/>
                <w:lang w:val="sr-Latn-ME"/>
              </w:rPr>
              <w:t>---------------Studija 4-------------</w:t>
            </w:r>
          </w:p>
        </w:tc>
      </w:tr>
      <w:tr w:rsidR="005A7F10" w:rsidRPr="00840456" w14:paraId="52257D1F" w14:textId="77777777" w:rsidTr="00AD2A61">
        <w:trPr>
          <w:cantSplit/>
          <w:trHeight w:val="145"/>
        </w:trPr>
        <w:tc>
          <w:tcPr>
            <w:tcW w:w="1008" w:type="dxa"/>
            <w:vMerge/>
            <w:tcBorders>
              <w:left w:val="single" w:sz="4" w:space="0" w:color="auto"/>
              <w:right w:val="single" w:sz="4" w:space="0" w:color="auto"/>
            </w:tcBorders>
          </w:tcPr>
          <w:p w14:paraId="164DA4A2" w14:textId="77777777" w:rsidR="005A7F10" w:rsidRPr="00840456" w:rsidRDefault="005A7F10" w:rsidP="00AD2A61">
            <w:pPr>
              <w:pStyle w:val="Times10"/>
              <w:keepNext/>
              <w:keepLines/>
              <w:tabs>
                <w:tab w:val="left" w:pos="567"/>
              </w:tabs>
              <w:jc w:val="both"/>
              <w:rPr>
                <w:spacing w:val="-6"/>
                <w:sz w:val="22"/>
                <w:szCs w:val="22"/>
                <w:lang w:val="sr-Latn-ME"/>
              </w:rPr>
            </w:pPr>
          </w:p>
        </w:tc>
        <w:tc>
          <w:tcPr>
            <w:tcW w:w="900" w:type="dxa"/>
            <w:vMerge w:val="restart"/>
            <w:tcBorders>
              <w:left w:val="single" w:sz="4" w:space="0" w:color="auto"/>
              <w:right w:val="single" w:sz="4" w:space="0" w:color="auto"/>
            </w:tcBorders>
            <w:vAlign w:val="bottom"/>
          </w:tcPr>
          <w:p w14:paraId="3BB1957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Placebo</w:t>
            </w:r>
          </w:p>
        </w:tc>
        <w:tc>
          <w:tcPr>
            <w:tcW w:w="2160" w:type="dxa"/>
            <w:gridSpan w:val="4"/>
            <w:tcBorders>
              <w:left w:val="single" w:sz="4" w:space="0" w:color="auto"/>
              <w:right w:val="single" w:sz="4" w:space="0" w:color="auto"/>
            </w:tcBorders>
          </w:tcPr>
          <w:p w14:paraId="26BF11E7"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----------Enbrel---------</w:t>
            </w:r>
          </w:p>
        </w:tc>
        <w:tc>
          <w:tcPr>
            <w:tcW w:w="900" w:type="dxa"/>
            <w:vMerge w:val="restart"/>
            <w:tcBorders>
              <w:left w:val="single" w:sz="4" w:space="0" w:color="auto"/>
              <w:right w:val="single" w:sz="4" w:space="0" w:color="auto"/>
            </w:tcBorders>
            <w:vAlign w:val="bottom"/>
          </w:tcPr>
          <w:p w14:paraId="0B1E9C7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Placebo</w:t>
            </w:r>
          </w:p>
        </w:tc>
        <w:tc>
          <w:tcPr>
            <w:tcW w:w="1800" w:type="dxa"/>
            <w:gridSpan w:val="2"/>
            <w:tcBorders>
              <w:left w:val="single" w:sz="4" w:space="0" w:color="auto"/>
              <w:right w:val="single" w:sz="4" w:space="0" w:color="auto"/>
            </w:tcBorders>
          </w:tcPr>
          <w:p w14:paraId="30646681"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--------Enbrel-------</w:t>
            </w:r>
          </w:p>
        </w:tc>
        <w:tc>
          <w:tcPr>
            <w:tcW w:w="900" w:type="dxa"/>
            <w:vMerge w:val="restart"/>
            <w:tcBorders>
              <w:left w:val="single" w:sz="4" w:space="0" w:color="auto"/>
              <w:right w:val="single" w:sz="4" w:space="0" w:color="auto"/>
            </w:tcBorders>
            <w:vAlign w:val="bottom"/>
          </w:tcPr>
          <w:p w14:paraId="16BD3955"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Placebo</w:t>
            </w:r>
          </w:p>
        </w:tc>
        <w:tc>
          <w:tcPr>
            <w:tcW w:w="1800" w:type="dxa"/>
            <w:gridSpan w:val="2"/>
            <w:tcBorders>
              <w:left w:val="single" w:sz="4" w:space="0" w:color="auto"/>
              <w:right w:val="single" w:sz="4" w:space="0" w:color="auto"/>
            </w:tcBorders>
          </w:tcPr>
          <w:p w14:paraId="744D3CE1"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-------Enbrel------</w:t>
            </w:r>
          </w:p>
        </w:tc>
      </w:tr>
      <w:tr w:rsidR="005A7F10" w:rsidRPr="00840456" w14:paraId="72B074B9" w14:textId="77777777" w:rsidTr="00AD2A61">
        <w:trPr>
          <w:cantSplit/>
          <w:trHeight w:val="145"/>
        </w:trPr>
        <w:tc>
          <w:tcPr>
            <w:tcW w:w="1008" w:type="dxa"/>
            <w:vMerge/>
            <w:tcBorders>
              <w:left w:val="single" w:sz="4" w:space="0" w:color="auto"/>
              <w:right w:val="single" w:sz="4" w:space="0" w:color="auto"/>
            </w:tcBorders>
          </w:tcPr>
          <w:p w14:paraId="033DF1FF" w14:textId="77777777" w:rsidR="005A7F10" w:rsidRPr="00840456" w:rsidRDefault="005A7F10" w:rsidP="00AD2A61">
            <w:pPr>
              <w:pStyle w:val="Times10"/>
              <w:keepNext/>
              <w:keepLines/>
              <w:tabs>
                <w:tab w:val="left" w:pos="567"/>
              </w:tabs>
              <w:jc w:val="both"/>
              <w:rPr>
                <w:spacing w:val="-6"/>
                <w:sz w:val="22"/>
                <w:szCs w:val="22"/>
                <w:lang w:val="sr-Latn-ME"/>
              </w:rPr>
            </w:pPr>
          </w:p>
        </w:tc>
        <w:tc>
          <w:tcPr>
            <w:tcW w:w="900" w:type="dxa"/>
            <w:vMerge/>
            <w:tcBorders>
              <w:left w:val="single" w:sz="4" w:space="0" w:color="auto"/>
              <w:right w:val="single" w:sz="4" w:space="0" w:color="auto"/>
            </w:tcBorders>
            <w:vAlign w:val="bottom"/>
          </w:tcPr>
          <w:p w14:paraId="7A796E0B" w14:textId="77777777" w:rsidR="005A7F10" w:rsidRPr="00840456" w:rsidRDefault="005A7F10" w:rsidP="00AD2A61">
            <w:pPr>
              <w:pStyle w:val="Times10"/>
              <w:keepNext/>
              <w:keepLines/>
              <w:tabs>
                <w:tab w:val="left" w:pos="567"/>
              </w:tabs>
              <w:jc w:val="both"/>
              <w:rPr>
                <w:spacing w:val="-6"/>
                <w:sz w:val="22"/>
                <w:szCs w:val="22"/>
                <w:lang w:val="sr-Latn-ME"/>
              </w:rPr>
            </w:pPr>
          </w:p>
        </w:tc>
        <w:tc>
          <w:tcPr>
            <w:tcW w:w="1080" w:type="dxa"/>
            <w:gridSpan w:val="2"/>
            <w:tcBorders>
              <w:left w:val="single" w:sz="4" w:space="0" w:color="auto"/>
            </w:tcBorders>
            <w:vAlign w:val="bottom"/>
          </w:tcPr>
          <w:p w14:paraId="1F7F94D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 xml:space="preserve">25 mg </w:t>
            </w:r>
          </w:p>
          <w:p w14:paraId="7C7E85DF" w14:textId="77777777" w:rsidR="005A7F10" w:rsidRPr="00840456" w:rsidRDefault="005A7F10" w:rsidP="00AD2A61">
            <w:pPr>
              <w:pStyle w:val="Times10"/>
              <w:keepNext/>
              <w:keepLines/>
              <w:tabs>
                <w:tab w:val="left" w:pos="567"/>
              </w:tabs>
              <w:jc w:val="both"/>
              <w:rPr>
                <w:spacing w:val="-6"/>
                <w:sz w:val="22"/>
                <w:szCs w:val="22"/>
                <w:vertAlign w:val="superscript"/>
                <w:lang w:val="sr-Latn-ME"/>
              </w:rPr>
            </w:pPr>
            <w:r w:rsidRPr="00840456">
              <w:rPr>
                <w:spacing w:val="-6"/>
                <w:sz w:val="22"/>
                <w:szCs w:val="22"/>
                <w:lang w:val="sr-Latn-ME"/>
              </w:rPr>
              <w:t>BIW</w:t>
            </w:r>
          </w:p>
        </w:tc>
        <w:tc>
          <w:tcPr>
            <w:tcW w:w="1080" w:type="dxa"/>
            <w:gridSpan w:val="2"/>
            <w:tcBorders>
              <w:right w:val="single" w:sz="4" w:space="0" w:color="auto"/>
            </w:tcBorders>
            <w:vAlign w:val="bottom"/>
          </w:tcPr>
          <w:p w14:paraId="1CE2C6EE"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 xml:space="preserve">50 mg </w:t>
            </w:r>
          </w:p>
          <w:p w14:paraId="42F6694F"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BIW</w:t>
            </w:r>
          </w:p>
        </w:tc>
        <w:tc>
          <w:tcPr>
            <w:tcW w:w="900" w:type="dxa"/>
            <w:vMerge/>
            <w:tcBorders>
              <w:left w:val="single" w:sz="4" w:space="0" w:color="auto"/>
              <w:right w:val="single" w:sz="4" w:space="0" w:color="auto"/>
            </w:tcBorders>
            <w:vAlign w:val="bottom"/>
          </w:tcPr>
          <w:p w14:paraId="0232D52B" w14:textId="77777777" w:rsidR="005A7F10" w:rsidRPr="00840456" w:rsidRDefault="005A7F10" w:rsidP="00AD2A61">
            <w:pPr>
              <w:pStyle w:val="Times10"/>
              <w:keepNext/>
              <w:keepLines/>
              <w:tabs>
                <w:tab w:val="left" w:pos="567"/>
              </w:tabs>
              <w:jc w:val="both"/>
              <w:rPr>
                <w:spacing w:val="-6"/>
                <w:sz w:val="22"/>
                <w:szCs w:val="22"/>
                <w:lang w:val="sr-Latn-ME"/>
              </w:rPr>
            </w:pPr>
          </w:p>
        </w:tc>
        <w:tc>
          <w:tcPr>
            <w:tcW w:w="900" w:type="dxa"/>
            <w:tcBorders>
              <w:left w:val="single" w:sz="4" w:space="0" w:color="auto"/>
            </w:tcBorders>
            <w:vAlign w:val="bottom"/>
          </w:tcPr>
          <w:p w14:paraId="7328817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25 mg</w:t>
            </w:r>
          </w:p>
          <w:p w14:paraId="73FB06C6" w14:textId="77777777" w:rsidR="005A7F10" w:rsidRPr="00840456" w:rsidRDefault="005A7F10" w:rsidP="00AD2A61">
            <w:pPr>
              <w:pStyle w:val="Times10"/>
              <w:keepNext/>
              <w:keepLines/>
              <w:tabs>
                <w:tab w:val="left" w:pos="567"/>
              </w:tabs>
              <w:jc w:val="both"/>
              <w:rPr>
                <w:spacing w:val="-6"/>
                <w:sz w:val="22"/>
                <w:szCs w:val="22"/>
                <w:vertAlign w:val="superscript"/>
                <w:lang w:val="sr-Latn-ME"/>
              </w:rPr>
            </w:pPr>
            <w:r w:rsidRPr="00840456">
              <w:rPr>
                <w:spacing w:val="-6"/>
                <w:sz w:val="22"/>
                <w:szCs w:val="22"/>
                <w:lang w:val="sr-Latn-ME"/>
              </w:rPr>
              <w:t>BIW</w:t>
            </w:r>
          </w:p>
        </w:tc>
        <w:tc>
          <w:tcPr>
            <w:tcW w:w="900" w:type="dxa"/>
            <w:tcBorders>
              <w:right w:val="single" w:sz="4" w:space="0" w:color="auto"/>
            </w:tcBorders>
            <w:vAlign w:val="bottom"/>
          </w:tcPr>
          <w:p w14:paraId="003FBD5D"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50 mg</w:t>
            </w:r>
          </w:p>
          <w:p w14:paraId="28504DC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BIW</w:t>
            </w:r>
          </w:p>
        </w:tc>
        <w:tc>
          <w:tcPr>
            <w:tcW w:w="900" w:type="dxa"/>
            <w:vMerge/>
            <w:tcBorders>
              <w:left w:val="single" w:sz="4" w:space="0" w:color="auto"/>
              <w:right w:val="single" w:sz="4" w:space="0" w:color="auto"/>
            </w:tcBorders>
            <w:vAlign w:val="bottom"/>
          </w:tcPr>
          <w:p w14:paraId="2BC3F56E" w14:textId="77777777" w:rsidR="005A7F10" w:rsidRPr="00840456" w:rsidRDefault="005A7F10" w:rsidP="00AD2A61">
            <w:pPr>
              <w:pStyle w:val="Times10"/>
              <w:keepNext/>
              <w:keepLines/>
              <w:tabs>
                <w:tab w:val="left" w:pos="567"/>
              </w:tabs>
              <w:jc w:val="both"/>
              <w:rPr>
                <w:spacing w:val="-6"/>
                <w:sz w:val="22"/>
                <w:szCs w:val="22"/>
                <w:lang w:val="sr-Latn-ME"/>
              </w:rPr>
            </w:pPr>
          </w:p>
        </w:tc>
        <w:tc>
          <w:tcPr>
            <w:tcW w:w="900" w:type="dxa"/>
            <w:tcBorders>
              <w:left w:val="single" w:sz="4" w:space="0" w:color="auto"/>
            </w:tcBorders>
            <w:vAlign w:val="bottom"/>
          </w:tcPr>
          <w:p w14:paraId="17AB38AE"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50 mg</w:t>
            </w:r>
          </w:p>
          <w:p w14:paraId="1EAA3C2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 xml:space="preserve"> QW</w:t>
            </w:r>
          </w:p>
        </w:tc>
        <w:tc>
          <w:tcPr>
            <w:tcW w:w="900" w:type="dxa"/>
            <w:tcBorders>
              <w:right w:val="single" w:sz="4" w:space="0" w:color="auto"/>
            </w:tcBorders>
            <w:vAlign w:val="bottom"/>
          </w:tcPr>
          <w:p w14:paraId="03D1C4CA"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50 mg</w:t>
            </w:r>
          </w:p>
          <w:p w14:paraId="21772418"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QW</w:t>
            </w:r>
          </w:p>
        </w:tc>
      </w:tr>
      <w:tr w:rsidR="005A7F10" w:rsidRPr="00840456" w14:paraId="399531FB" w14:textId="77777777" w:rsidTr="00AD2A61">
        <w:trPr>
          <w:cantSplit/>
          <w:trHeight w:val="1031"/>
        </w:trPr>
        <w:tc>
          <w:tcPr>
            <w:tcW w:w="1008" w:type="dxa"/>
            <w:vMerge/>
            <w:tcBorders>
              <w:left w:val="single" w:sz="4" w:space="0" w:color="auto"/>
              <w:bottom w:val="single" w:sz="4" w:space="0" w:color="auto"/>
              <w:right w:val="single" w:sz="4" w:space="0" w:color="auto"/>
            </w:tcBorders>
          </w:tcPr>
          <w:p w14:paraId="767ACC66" w14:textId="77777777" w:rsidR="005A7F10" w:rsidRPr="00840456" w:rsidRDefault="005A7F10" w:rsidP="00AD2A61">
            <w:pPr>
              <w:pStyle w:val="Times10"/>
              <w:keepNext/>
              <w:keepLines/>
              <w:tabs>
                <w:tab w:val="left" w:pos="567"/>
              </w:tabs>
              <w:jc w:val="both"/>
              <w:rPr>
                <w:spacing w:val="-6"/>
                <w:sz w:val="22"/>
                <w:szCs w:val="22"/>
                <w:lang w:val="sr-Latn-ME"/>
              </w:rPr>
            </w:pPr>
          </w:p>
        </w:tc>
        <w:tc>
          <w:tcPr>
            <w:tcW w:w="900" w:type="dxa"/>
            <w:tcBorders>
              <w:left w:val="single" w:sz="4" w:space="0" w:color="auto"/>
              <w:bottom w:val="single" w:sz="4" w:space="0" w:color="auto"/>
              <w:right w:val="single" w:sz="4" w:space="0" w:color="auto"/>
            </w:tcBorders>
          </w:tcPr>
          <w:p w14:paraId="6000542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166</w:t>
            </w:r>
          </w:p>
          <w:p w14:paraId="07AA0437" w14:textId="217A32C5"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w:t>
            </w:r>
            <w:r w:rsidR="009C577D" w:rsidRPr="00840456">
              <w:rPr>
                <w:spacing w:val="-6"/>
                <w:sz w:val="22"/>
                <w:szCs w:val="22"/>
                <w:lang w:val="sr-Latn-ME"/>
              </w:rPr>
              <w:t xml:space="preserve"> </w:t>
            </w:r>
            <w:r w:rsidRPr="00840456">
              <w:rPr>
                <w:spacing w:val="-6"/>
                <w:sz w:val="22"/>
                <w:szCs w:val="22"/>
                <w:lang w:val="sr-Latn-ME"/>
              </w:rPr>
              <w:t>ned</w:t>
            </w:r>
          </w:p>
        </w:tc>
        <w:tc>
          <w:tcPr>
            <w:tcW w:w="540" w:type="dxa"/>
            <w:tcBorders>
              <w:left w:val="single" w:sz="4" w:space="0" w:color="auto"/>
              <w:bottom w:val="single" w:sz="4" w:space="0" w:color="auto"/>
            </w:tcBorders>
          </w:tcPr>
          <w:p w14:paraId="2070587F"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162</w:t>
            </w:r>
          </w:p>
          <w:p w14:paraId="10FFC18D"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12.ned</w:t>
            </w:r>
          </w:p>
        </w:tc>
        <w:tc>
          <w:tcPr>
            <w:tcW w:w="540" w:type="dxa"/>
            <w:tcBorders>
              <w:bottom w:val="single" w:sz="4" w:space="0" w:color="auto"/>
            </w:tcBorders>
          </w:tcPr>
          <w:p w14:paraId="3EB107A7"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162</w:t>
            </w:r>
          </w:p>
          <w:p w14:paraId="287F6BCF" w14:textId="77777777" w:rsidR="005A7F10" w:rsidRPr="00840456" w:rsidRDefault="005A7F10" w:rsidP="00AD2A61">
            <w:pPr>
              <w:pStyle w:val="Times10"/>
              <w:keepNext/>
              <w:keepLines/>
              <w:tabs>
                <w:tab w:val="left" w:pos="567"/>
              </w:tabs>
              <w:jc w:val="both"/>
              <w:rPr>
                <w:spacing w:val="-6"/>
                <w:sz w:val="22"/>
                <w:szCs w:val="22"/>
                <w:vertAlign w:val="superscript"/>
                <w:lang w:val="sr-Latn-ME"/>
              </w:rPr>
            </w:pPr>
            <w:r w:rsidRPr="00840456">
              <w:rPr>
                <w:spacing w:val="-6"/>
                <w:sz w:val="22"/>
                <w:szCs w:val="22"/>
                <w:lang w:val="sr-Latn-ME"/>
              </w:rPr>
              <w:t>24.ned</w:t>
            </w:r>
            <w:r w:rsidRPr="00840456">
              <w:rPr>
                <w:spacing w:val="-6"/>
                <w:sz w:val="22"/>
                <w:szCs w:val="22"/>
                <w:vertAlign w:val="superscript"/>
                <w:lang w:val="sr-Latn-ME"/>
              </w:rPr>
              <w:t xml:space="preserve"> a</w:t>
            </w:r>
          </w:p>
        </w:tc>
        <w:tc>
          <w:tcPr>
            <w:tcW w:w="540" w:type="dxa"/>
            <w:tcBorders>
              <w:bottom w:val="single" w:sz="4" w:space="0" w:color="auto"/>
            </w:tcBorders>
          </w:tcPr>
          <w:p w14:paraId="3B57AB6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164</w:t>
            </w:r>
          </w:p>
          <w:p w14:paraId="2D56978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12.ned</w:t>
            </w:r>
          </w:p>
        </w:tc>
        <w:tc>
          <w:tcPr>
            <w:tcW w:w="540" w:type="dxa"/>
            <w:tcBorders>
              <w:bottom w:val="single" w:sz="4" w:space="0" w:color="auto"/>
              <w:right w:val="single" w:sz="4" w:space="0" w:color="auto"/>
            </w:tcBorders>
          </w:tcPr>
          <w:p w14:paraId="6DFF25F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164</w:t>
            </w:r>
          </w:p>
          <w:p w14:paraId="705FBF4E" w14:textId="77777777" w:rsidR="005A7F10" w:rsidRPr="00840456" w:rsidRDefault="005A7F10" w:rsidP="00AD2A61">
            <w:pPr>
              <w:pStyle w:val="Times10"/>
              <w:keepNext/>
              <w:keepLines/>
              <w:tabs>
                <w:tab w:val="left" w:pos="567"/>
              </w:tabs>
              <w:jc w:val="both"/>
              <w:rPr>
                <w:spacing w:val="-6"/>
                <w:sz w:val="22"/>
                <w:szCs w:val="22"/>
                <w:vertAlign w:val="superscript"/>
                <w:lang w:val="sr-Latn-ME"/>
              </w:rPr>
            </w:pPr>
            <w:r w:rsidRPr="00840456">
              <w:rPr>
                <w:spacing w:val="-6"/>
                <w:sz w:val="22"/>
                <w:szCs w:val="22"/>
                <w:lang w:val="sr-Latn-ME"/>
              </w:rPr>
              <w:t>24.ned</w:t>
            </w:r>
            <w:r w:rsidRPr="00840456">
              <w:rPr>
                <w:spacing w:val="-6"/>
                <w:sz w:val="22"/>
                <w:szCs w:val="22"/>
                <w:vertAlign w:val="superscript"/>
                <w:lang w:val="sr-Latn-ME"/>
              </w:rPr>
              <w:t xml:space="preserve"> a</w:t>
            </w:r>
          </w:p>
        </w:tc>
        <w:tc>
          <w:tcPr>
            <w:tcW w:w="900" w:type="dxa"/>
            <w:tcBorders>
              <w:left w:val="single" w:sz="4" w:space="0" w:color="auto"/>
              <w:bottom w:val="single" w:sz="4" w:space="0" w:color="auto"/>
              <w:right w:val="single" w:sz="4" w:space="0" w:color="auto"/>
            </w:tcBorders>
          </w:tcPr>
          <w:p w14:paraId="243B000F"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193</w:t>
            </w:r>
          </w:p>
          <w:p w14:paraId="067E0882" w14:textId="2C5C7E4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w:t>
            </w:r>
            <w:r w:rsidR="009C577D" w:rsidRPr="00840456">
              <w:rPr>
                <w:spacing w:val="-6"/>
                <w:sz w:val="22"/>
                <w:szCs w:val="22"/>
                <w:lang w:val="sr-Latn-ME"/>
              </w:rPr>
              <w:t xml:space="preserve"> </w:t>
            </w:r>
            <w:r w:rsidRPr="00840456">
              <w:rPr>
                <w:spacing w:val="-6"/>
                <w:sz w:val="22"/>
                <w:szCs w:val="22"/>
                <w:lang w:val="sr-Latn-ME"/>
              </w:rPr>
              <w:t>ned</w:t>
            </w:r>
          </w:p>
        </w:tc>
        <w:tc>
          <w:tcPr>
            <w:tcW w:w="900" w:type="dxa"/>
            <w:tcBorders>
              <w:left w:val="single" w:sz="4" w:space="0" w:color="auto"/>
              <w:bottom w:val="single" w:sz="4" w:space="0" w:color="auto"/>
            </w:tcBorders>
          </w:tcPr>
          <w:p w14:paraId="2C191A86"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196</w:t>
            </w:r>
          </w:p>
          <w:p w14:paraId="5A1B6277"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12.ned</w:t>
            </w:r>
          </w:p>
        </w:tc>
        <w:tc>
          <w:tcPr>
            <w:tcW w:w="900" w:type="dxa"/>
            <w:tcBorders>
              <w:bottom w:val="single" w:sz="4" w:space="0" w:color="auto"/>
              <w:right w:val="single" w:sz="4" w:space="0" w:color="auto"/>
            </w:tcBorders>
          </w:tcPr>
          <w:p w14:paraId="679D5CA0"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196</w:t>
            </w:r>
          </w:p>
          <w:p w14:paraId="1AF74776"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12.ned</w:t>
            </w:r>
          </w:p>
        </w:tc>
        <w:tc>
          <w:tcPr>
            <w:tcW w:w="900" w:type="dxa"/>
            <w:tcBorders>
              <w:left w:val="single" w:sz="4" w:space="0" w:color="auto"/>
              <w:bottom w:val="single" w:sz="4" w:space="0" w:color="auto"/>
              <w:right w:val="single" w:sz="4" w:space="0" w:color="auto"/>
            </w:tcBorders>
          </w:tcPr>
          <w:p w14:paraId="1B7D2B79"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46</w:t>
            </w:r>
          </w:p>
          <w:p w14:paraId="2BF97DE0" w14:textId="5B72A072"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w:t>
            </w:r>
            <w:r w:rsidR="009C577D" w:rsidRPr="00840456">
              <w:rPr>
                <w:spacing w:val="-6"/>
                <w:sz w:val="22"/>
                <w:szCs w:val="22"/>
                <w:lang w:val="sr-Latn-ME"/>
              </w:rPr>
              <w:t xml:space="preserve"> </w:t>
            </w:r>
            <w:r w:rsidRPr="00840456">
              <w:rPr>
                <w:spacing w:val="-6"/>
                <w:sz w:val="22"/>
                <w:szCs w:val="22"/>
                <w:lang w:val="sr-Latn-ME"/>
              </w:rPr>
              <w:t>ned</w:t>
            </w:r>
          </w:p>
        </w:tc>
        <w:tc>
          <w:tcPr>
            <w:tcW w:w="900" w:type="dxa"/>
            <w:tcBorders>
              <w:left w:val="single" w:sz="4" w:space="0" w:color="auto"/>
              <w:bottom w:val="single" w:sz="4" w:space="0" w:color="auto"/>
            </w:tcBorders>
          </w:tcPr>
          <w:p w14:paraId="1D5EC7B4"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96</w:t>
            </w:r>
          </w:p>
          <w:p w14:paraId="58200940" w14:textId="764CB46B"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12.</w:t>
            </w:r>
            <w:r w:rsidR="009C577D" w:rsidRPr="00840456">
              <w:rPr>
                <w:spacing w:val="-6"/>
                <w:sz w:val="22"/>
                <w:szCs w:val="22"/>
                <w:lang w:val="sr-Latn-ME"/>
              </w:rPr>
              <w:t xml:space="preserve"> </w:t>
            </w:r>
            <w:r w:rsidRPr="00840456">
              <w:rPr>
                <w:spacing w:val="-6"/>
                <w:sz w:val="22"/>
                <w:szCs w:val="22"/>
                <w:lang w:val="sr-Latn-ME"/>
              </w:rPr>
              <w:t>ned</w:t>
            </w:r>
          </w:p>
        </w:tc>
        <w:tc>
          <w:tcPr>
            <w:tcW w:w="900" w:type="dxa"/>
            <w:tcBorders>
              <w:bottom w:val="single" w:sz="4" w:space="0" w:color="auto"/>
              <w:right w:val="single" w:sz="4" w:space="0" w:color="auto"/>
            </w:tcBorders>
          </w:tcPr>
          <w:p w14:paraId="600FB351"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n = 90</w:t>
            </w:r>
          </w:p>
          <w:p w14:paraId="555F06D0" w14:textId="2AD2F40C"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24.</w:t>
            </w:r>
            <w:r w:rsidR="009C577D" w:rsidRPr="00840456">
              <w:rPr>
                <w:spacing w:val="-6"/>
                <w:sz w:val="22"/>
                <w:szCs w:val="22"/>
                <w:lang w:val="sr-Latn-ME"/>
              </w:rPr>
              <w:t xml:space="preserve"> </w:t>
            </w:r>
            <w:r w:rsidRPr="00840456">
              <w:rPr>
                <w:spacing w:val="-6"/>
                <w:sz w:val="22"/>
                <w:szCs w:val="22"/>
                <w:lang w:val="sr-Latn-ME"/>
              </w:rPr>
              <w:t>ned</w:t>
            </w:r>
            <w:r w:rsidRPr="00840456">
              <w:rPr>
                <w:spacing w:val="-6"/>
                <w:sz w:val="22"/>
                <w:szCs w:val="22"/>
                <w:vertAlign w:val="superscript"/>
                <w:lang w:val="sr-Latn-ME"/>
              </w:rPr>
              <w:t xml:space="preserve"> a</w:t>
            </w:r>
          </w:p>
        </w:tc>
      </w:tr>
      <w:tr w:rsidR="005A7F10" w:rsidRPr="00840456" w14:paraId="6CE07542" w14:textId="77777777" w:rsidTr="00AD2A61">
        <w:trPr>
          <w:trHeight w:val="275"/>
        </w:trPr>
        <w:tc>
          <w:tcPr>
            <w:tcW w:w="1008" w:type="dxa"/>
            <w:tcBorders>
              <w:left w:val="single" w:sz="4" w:space="0" w:color="auto"/>
              <w:bottom w:val="single" w:sz="4" w:space="0" w:color="auto"/>
              <w:right w:val="single" w:sz="4" w:space="0" w:color="auto"/>
            </w:tcBorders>
          </w:tcPr>
          <w:p w14:paraId="2BAB2A8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PASI 50</w:t>
            </w:r>
          </w:p>
        </w:tc>
        <w:tc>
          <w:tcPr>
            <w:tcW w:w="900" w:type="dxa"/>
            <w:tcBorders>
              <w:left w:val="single" w:sz="4" w:space="0" w:color="auto"/>
              <w:bottom w:val="single" w:sz="4" w:space="0" w:color="auto"/>
              <w:right w:val="single" w:sz="4" w:space="0" w:color="auto"/>
            </w:tcBorders>
          </w:tcPr>
          <w:p w14:paraId="608C17D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14</w:t>
            </w:r>
          </w:p>
        </w:tc>
        <w:tc>
          <w:tcPr>
            <w:tcW w:w="540" w:type="dxa"/>
            <w:tcBorders>
              <w:left w:val="single" w:sz="4" w:space="0" w:color="auto"/>
              <w:bottom w:val="single" w:sz="4" w:space="0" w:color="auto"/>
            </w:tcBorders>
          </w:tcPr>
          <w:p w14:paraId="797AC0C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58*</w:t>
            </w:r>
          </w:p>
        </w:tc>
        <w:tc>
          <w:tcPr>
            <w:tcW w:w="540" w:type="dxa"/>
            <w:tcBorders>
              <w:bottom w:val="single" w:sz="4" w:space="0" w:color="auto"/>
            </w:tcBorders>
          </w:tcPr>
          <w:p w14:paraId="7541BAC6"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70</w:t>
            </w:r>
          </w:p>
        </w:tc>
        <w:tc>
          <w:tcPr>
            <w:tcW w:w="540" w:type="dxa"/>
            <w:tcBorders>
              <w:bottom w:val="single" w:sz="4" w:space="0" w:color="auto"/>
            </w:tcBorders>
          </w:tcPr>
          <w:p w14:paraId="75A7382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74*</w:t>
            </w:r>
          </w:p>
        </w:tc>
        <w:tc>
          <w:tcPr>
            <w:tcW w:w="540" w:type="dxa"/>
            <w:tcBorders>
              <w:bottom w:val="single" w:sz="4" w:space="0" w:color="auto"/>
              <w:right w:val="single" w:sz="4" w:space="0" w:color="auto"/>
            </w:tcBorders>
          </w:tcPr>
          <w:p w14:paraId="2B217A7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77</w:t>
            </w:r>
          </w:p>
        </w:tc>
        <w:tc>
          <w:tcPr>
            <w:tcW w:w="900" w:type="dxa"/>
            <w:tcBorders>
              <w:left w:val="single" w:sz="4" w:space="0" w:color="auto"/>
              <w:bottom w:val="single" w:sz="4" w:space="0" w:color="auto"/>
              <w:right w:val="single" w:sz="4" w:space="0" w:color="auto"/>
            </w:tcBorders>
          </w:tcPr>
          <w:p w14:paraId="3E633843"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9</w:t>
            </w:r>
          </w:p>
        </w:tc>
        <w:tc>
          <w:tcPr>
            <w:tcW w:w="900" w:type="dxa"/>
            <w:tcBorders>
              <w:left w:val="single" w:sz="4" w:space="0" w:color="auto"/>
              <w:bottom w:val="single" w:sz="4" w:space="0" w:color="auto"/>
            </w:tcBorders>
          </w:tcPr>
          <w:p w14:paraId="7F723BCD"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64*</w:t>
            </w:r>
          </w:p>
        </w:tc>
        <w:tc>
          <w:tcPr>
            <w:tcW w:w="900" w:type="dxa"/>
            <w:tcBorders>
              <w:bottom w:val="single" w:sz="4" w:space="0" w:color="auto"/>
              <w:right w:val="single" w:sz="4" w:space="0" w:color="auto"/>
            </w:tcBorders>
          </w:tcPr>
          <w:p w14:paraId="5C6D2307"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77*</w:t>
            </w:r>
          </w:p>
        </w:tc>
        <w:tc>
          <w:tcPr>
            <w:tcW w:w="900" w:type="dxa"/>
            <w:tcBorders>
              <w:left w:val="single" w:sz="4" w:space="0" w:color="auto"/>
              <w:bottom w:val="single" w:sz="4" w:space="0" w:color="auto"/>
              <w:right w:val="single" w:sz="4" w:space="0" w:color="auto"/>
            </w:tcBorders>
          </w:tcPr>
          <w:p w14:paraId="61E5B19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9</w:t>
            </w:r>
          </w:p>
        </w:tc>
        <w:tc>
          <w:tcPr>
            <w:tcW w:w="900" w:type="dxa"/>
            <w:tcBorders>
              <w:left w:val="single" w:sz="4" w:space="0" w:color="auto"/>
              <w:bottom w:val="single" w:sz="4" w:space="0" w:color="auto"/>
            </w:tcBorders>
          </w:tcPr>
          <w:p w14:paraId="43DBA75B"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69*</w:t>
            </w:r>
          </w:p>
        </w:tc>
        <w:tc>
          <w:tcPr>
            <w:tcW w:w="900" w:type="dxa"/>
            <w:tcBorders>
              <w:bottom w:val="single" w:sz="4" w:space="0" w:color="auto"/>
              <w:right w:val="single" w:sz="4" w:space="0" w:color="auto"/>
            </w:tcBorders>
          </w:tcPr>
          <w:p w14:paraId="5CB0274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83</w:t>
            </w:r>
          </w:p>
        </w:tc>
      </w:tr>
      <w:tr w:rsidR="005A7F10" w:rsidRPr="00840456" w14:paraId="5D500F26" w14:textId="77777777" w:rsidTr="00AD2A61">
        <w:trPr>
          <w:trHeight w:val="275"/>
        </w:trPr>
        <w:tc>
          <w:tcPr>
            <w:tcW w:w="1008" w:type="dxa"/>
            <w:tcBorders>
              <w:top w:val="single" w:sz="4" w:space="0" w:color="auto"/>
              <w:left w:val="single" w:sz="4" w:space="0" w:color="auto"/>
              <w:bottom w:val="single" w:sz="4" w:space="0" w:color="auto"/>
              <w:right w:val="single" w:sz="4" w:space="0" w:color="auto"/>
            </w:tcBorders>
          </w:tcPr>
          <w:p w14:paraId="79FF5F55"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PASI 75</w:t>
            </w:r>
          </w:p>
        </w:tc>
        <w:tc>
          <w:tcPr>
            <w:tcW w:w="900" w:type="dxa"/>
            <w:tcBorders>
              <w:top w:val="single" w:sz="4" w:space="0" w:color="auto"/>
              <w:left w:val="single" w:sz="4" w:space="0" w:color="auto"/>
              <w:bottom w:val="single" w:sz="4" w:space="0" w:color="auto"/>
              <w:right w:val="single" w:sz="4" w:space="0" w:color="auto"/>
            </w:tcBorders>
          </w:tcPr>
          <w:p w14:paraId="54F9318B"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w:t>
            </w:r>
          </w:p>
        </w:tc>
        <w:tc>
          <w:tcPr>
            <w:tcW w:w="540" w:type="dxa"/>
            <w:tcBorders>
              <w:top w:val="single" w:sz="4" w:space="0" w:color="auto"/>
              <w:left w:val="single" w:sz="4" w:space="0" w:color="auto"/>
              <w:bottom w:val="single" w:sz="4" w:space="0" w:color="auto"/>
            </w:tcBorders>
          </w:tcPr>
          <w:p w14:paraId="76EE9076"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34*</w:t>
            </w:r>
          </w:p>
        </w:tc>
        <w:tc>
          <w:tcPr>
            <w:tcW w:w="540" w:type="dxa"/>
            <w:tcBorders>
              <w:top w:val="single" w:sz="4" w:space="0" w:color="auto"/>
              <w:bottom w:val="single" w:sz="4" w:space="0" w:color="auto"/>
            </w:tcBorders>
          </w:tcPr>
          <w:p w14:paraId="3928FF7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44</w:t>
            </w:r>
          </w:p>
        </w:tc>
        <w:tc>
          <w:tcPr>
            <w:tcW w:w="540" w:type="dxa"/>
            <w:tcBorders>
              <w:top w:val="single" w:sz="4" w:space="0" w:color="auto"/>
              <w:bottom w:val="single" w:sz="4" w:space="0" w:color="auto"/>
            </w:tcBorders>
          </w:tcPr>
          <w:p w14:paraId="74DC8690"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49*</w:t>
            </w:r>
          </w:p>
        </w:tc>
        <w:tc>
          <w:tcPr>
            <w:tcW w:w="540" w:type="dxa"/>
            <w:tcBorders>
              <w:top w:val="single" w:sz="4" w:space="0" w:color="auto"/>
              <w:bottom w:val="single" w:sz="4" w:space="0" w:color="auto"/>
              <w:right w:val="single" w:sz="4" w:space="0" w:color="auto"/>
            </w:tcBorders>
          </w:tcPr>
          <w:p w14:paraId="4B232D76"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59</w:t>
            </w:r>
          </w:p>
        </w:tc>
        <w:tc>
          <w:tcPr>
            <w:tcW w:w="900" w:type="dxa"/>
            <w:tcBorders>
              <w:top w:val="single" w:sz="4" w:space="0" w:color="auto"/>
              <w:left w:val="single" w:sz="4" w:space="0" w:color="auto"/>
              <w:bottom w:val="single" w:sz="4" w:space="0" w:color="auto"/>
              <w:right w:val="single" w:sz="4" w:space="0" w:color="auto"/>
            </w:tcBorders>
          </w:tcPr>
          <w:p w14:paraId="1F93D81E"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w:t>
            </w:r>
          </w:p>
        </w:tc>
        <w:tc>
          <w:tcPr>
            <w:tcW w:w="900" w:type="dxa"/>
            <w:tcBorders>
              <w:top w:val="single" w:sz="4" w:space="0" w:color="auto"/>
              <w:left w:val="single" w:sz="4" w:space="0" w:color="auto"/>
              <w:bottom w:val="single" w:sz="4" w:space="0" w:color="auto"/>
            </w:tcBorders>
          </w:tcPr>
          <w:p w14:paraId="05D6BEF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34*</w:t>
            </w:r>
          </w:p>
        </w:tc>
        <w:tc>
          <w:tcPr>
            <w:tcW w:w="900" w:type="dxa"/>
            <w:tcBorders>
              <w:top w:val="single" w:sz="4" w:space="0" w:color="auto"/>
              <w:bottom w:val="single" w:sz="4" w:space="0" w:color="auto"/>
              <w:right w:val="single" w:sz="4" w:space="0" w:color="auto"/>
            </w:tcBorders>
          </w:tcPr>
          <w:p w14:paraId="1A6972F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49*</w:t>
            </w:r>
          </w:p>
        </w:tc>
        <w:tc>
          <w:tcPr>
            <w:tcW w:w="900" w:type="dxa"/>
            <w:tcBorders>
              <w:top w:val="single" w:sz="4" w:space="0" w:color="auto"/>
              <w:left w:val="single" w:sz="4" w:space="0" w:color="auto"/>
              <w:bottom w:val="single" w:sz="4" w:space="0" w:color="auto"/>
              <w:right w:val="single" w:sz="4" w:space="0" w:color="auto"/>
            </w:tcBorders>
          </w:tcPr>
          <w:p w14:paraId="5A6CF22E"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2</w:t>
            </w:r>
          </w:p>
        </w:tc>
        <w:tc>
          <w:tcPr>
            <w:tcW w:w="900" w:type="dxa"/>
            <w:tcBorders>
              <w:top w:val="single" w:sz="4" w:space="0" w:color="auto"/>
              <w:left w:val="single" w:sz="4" w:space="0" w:color="auto"/>
              <w:bottom w:val="single" w:sz="4" w:space="0" w:color="auto"/>
            </w:tcBorders>
          </w:tcPr>
          <w:p w14:paraId="2093B73D"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38*</w:t>
            </w:r>
          </w:p>
        </w:tc>
        <w:tc>
          <w:tcPr>
            <w:tcW w:w="900" w:type="dxa"/>
            <w:tcBorders>
              <w:top w:val="single" w:sz="4" w:space="0" w:color="auto"/>
              <w:bottom w:val="single" w:sz="4" w:space="0" w:color="auto"/>
              <w:right w:val="single" w:sz="4" w:space="0" w:color="auto"/>
            </w:tcBorders>
          </w:tcPr>
          <w:p w14:paraId="5DE9618C"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71</w:t>
            </w:r>
          </w:p>
        </w:tc>
      </w:tr>
      <w:tr w:rsidR="005A7F10" w:rsidRPr="00840456" w14:paraId="13BAF516" w14:textId="77777777" w:rsidTr="00AD2A61">
        <w:trPr>
          <w:trHeight w:val="1058"/>
        </w:trPr>
        <w:tc>
          <w:tcPr>
            <w:tcW w:w="1008" w:type="dxa"/>
            <w:tcBorders>
              <w:left w:val="single" w:sz="4" w:space="0" w:color="auto"/>
              <w:bottom w:val="single" w:sz="4" w:space="0" w:color="auto"/>
              <w:right w:val="single" w:sz="4" w:space="0" w:color="auto"/>
            </w:tcBorders>
            <w:vAlign w:val="bottom"/>
          </w:tcPr>
          <w:p w14:paraId="63621618"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DSGA</w:t>
            </w:r>
            <w:r w:rsidRPr="00840456">
              <w:rPr>
                <w:spacing w:val="-6"/>
                <w:sz w:val="22"/>
                <w:szCs w:val="22"/>
                <w:vertAlign w:val="superscript"/>
                <w:lang w:val="sr-Latn-ME"/>
              </w:rPr>
              <w:t xml:space="preserve"> b</w:t>
            </w:r>
            <w:r w:rsidRPr="00840456">
              <w:rPr>
                <w:spacing w:val="-6"/>
                <w:sz w:val="22"/>
                <w:szCs w:val="22"/>
                <w:lang w:val="sr-Latn-ME"/>
              </w:rPr>
              <w:t>, čist ili skoro čist</w:t>
            </w:r>
          </w:p>
        </w:tc>
        <w:tc>
          <w:tcPr>
            <w:tcW w:w="900" w:type="dxa"/>
            <w:tcBorders>
              <w:left w:val="single" w:sz="4" w:space="0" w:color="auto"/>
              <w:bottom w:val="single" w:sz="4" w:space="0" w:color="auto"/>
              <w:right w:val="single" w:sz="4" w:space="0" w:color="auto"/>
            </w:tcBorders>
            <w:vAlign w:val="bottom"/>
          </w:tcPr>
          <w:p w14:paraId="44F68922"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w:t>
            </w:r>
          </w:p>
        </w:tc>
        <w:tc>
          <w:tcPr>
            <w:tcW w:w="540" w:type="dxa"/>
            <w:tcBorders>
              <w:left w:val="single" w:sz="4" w:space="0" w:color="auto"/>
              <w:bottom w:val="single" w:sz="4" w:space="0" w:color="auto"/>
            </w:tcBorders>
            <w:vAlign w:val="bottom"/>
          </w:tcPr>
          <w:p w14:paraId="40F7C534"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34*</w:t>
            </w:r>
          </w:p>
        </w:tc>
        <w:tc>
          <w:tcPr>
            <w:tcW w:w="540" w:type="dxa"/>
            <w:tcBorders>
              <w:bottom w:val="single" w:sz="4" w:space="0" w:color="auto"/>
            </w:tcBorders>
            <w:vAlign w:val="bottom"/>
          </w:tcPr>
          <w:p w14:paraId="7C552C49"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39</w:t>
            </w:r>
          </w:p>
        </w:tc>
        <w:tc>
          <w:tcPr>
            <w:tcW w:w="540" w:type="dxa"/>
            <w:tcBorders>
              <w:bottom w:val="single" w:sz="4" w:space="0" w:color="auto"/>
            </w:tcBorders>
            <w:vAlign w:val="bottom"/>
          </w:tcPr>
          <w:p w14:paraId="6A90E8E6"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49*</w:t>
            </w:r>
          </w:p>
        </w:tc>
        <w:tc>
          <w:tcPr>
            <w:tcW w:w="540" w:type="dxa"/>
            <w:tcBorders>
              <w:bottom w:val="single" w:sz="4" w:space="0" w:color="auto"/>
              <w:right w:val="single" w:sz="4" w:space="0" w:color="auto"/>
            </w:tcBorders>
            <w:vAlign w:val="bottom"/>
          </w:tcPr>
          <w:p w14:paraId="5443AD79"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55</w:t>
            </w:r>
          </w:p>
        </w:tc>
        <w:tc>
          <w:tcPr>
            <w:tcW w:w="900" w:type="dxa"/>
            <w:tcBorders>
              <w:left w:val="single" w:sz="4" w:space="0" w:color="auto"/>
              <w:bottom w:val="single" w:sz="4" w:space="0" w:color="auto"/>
              <w:right w:val="single" w:sz="4" w:space="0" w:color="auto"/>
            </w:tcBorders>
            <w:vAlign w:val="bottom"/>
          </w:tcPr>
          <w:p w14:paraId="4362E6B4"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w:t>
            </w:r>
          </w:p>
        </w:tc>
        <w:tc>
          <w:tcPr>
            <w:tcW w:w="900" w:type="dxa"/>
            <w:tcBorders>
              <w:left w:val="single" w:sz="4" w:space="0" w:color="auto"/>
              <w:bottom w:val="single" w:sz="4" w:space="0" w:color="auto"/>
            </w:tcBorders>
            <w:vAlign w:val="bottom"/>
          </w:tcPr>
          <w:p w14:paraId="443968DF"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39*</w:t>
            </w:r>
          </w:p>
        </w:tc>
        <w:tc>
          <w:tcPr>
            <w:tcW w:w="900" w:type="dxa"/>
            <w:tcBorders>
              <w:bottom w:val="single" w:sz="4" w:space="0" w:color="auto"/>
              <w:right w:val="single" w:sz="4" w:space="0" w:color="auto"/>
            </w:tcBorders>
            <w:vAlign w:val="bottom"/>
          </w:tcPr>
          <w:p w14:paraId="697918E9"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57*</w:t>
            </w:r>
          </w:p>
        </w:tc>
        <w:tc>
          <w:tcPr>
            <w:tcW w:w="900" w:type="dxa"/>
            <w:tcBorders>
              <w:left w:val="single" w:sz="4" w:space="0" w:color="auto"/>
              <w:bottom w:val="single" w:sz="4" w:space="0" w:color="auto"/>
              <w:right w:val="single" w:sz="4" w:space="0" w:color="auto"/>
            </w:tcBorders>
            <w:vAlign w:val="bottom"/>
          </w:tcPr>
          <w:p w14:paraId="65BDA40B"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4</w:t>
            </w:r>
          </w:p>
        </w:tc>
        <w:tc>
          <w:tcPr>
            <w:tcW w:w="900" w:type="dxa"/>
            <w:tcBorders>
              <w:left w:val="single" w:sz="4" w:space="0" w:color="auto"/>
              <w:bottom w:val="single" w:sz="4" w:space="0" w:color="auto"/>
            </w:tcBorders>
            <w:vAlign w:val="bottom"/>
          </w:tcPr>
          <w:p w14:paraId="374B2E6F"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39*</w:t>
            </w:r>
          </w:p>
        </w:tc>
        <w:tc>
          <w:tcPr>
            <w:tcW w:w="900" w:type="dxa"/>
            <w:tcBorders>
              <w:bottom w:val="single" w:sz="4" w:space="0" w:color="auto"/>
              <w:right w:val="single" w:sz="4" w:space="0" w:color="auto"/>
            </w:tcBorders>
            <w:vAlign w:val="bottom"/>
          </w:tcPr>
          <w:p w14:paraId="5A413C81" w14:textId="77777777" w:rsidR="005A7F10" w:rsidRPr="00840456" w:rsidRDefault="005A7F10" w:rsidP="00AD2A61">
            <w:pPr>
              <w:pStyle w:val="Times10"/>
              <w:keepNext/>
              <w:keepLines/>
              <w:tabs>
                <w:tab w:val="left" w:pos="567"/>
              </w:tabs>
              <w:jc w:val="both"/>
              <w:rPr>
                <w:spacing w:val="-6"/>
                <w:sz w:val="22"/>
                <w:szCs w:val="22"/>
                <w:lang w:val="sr-Latn-ME"/>
              </w:rPr>
            </w:pPr>
            <w:r w:rsidRPr="00840456">
              <w:rPr>
                <w:spacing w:val="-6"/>
                <w:sz w:val="22"/>
                <w:szCs w:val="22"/>
                <w:lang w:val="sr-Latn-ME"/>
              </w:rPr>
              <w:t>64</w:t>
            </w:r>
          </w:p>
        </w:tc>
      </w:tr>
    </w:tbl>
    <w:p w14:paraId="065906C4" w14:textId="77777777" w:rsidR="005A7F10" w:rsidRPr="00840456" w:rsidRDefault="005A7F10" w:rsidP="005A7F10">
      <w:pPr>
        <w:widowControl w:val="0"/>
        <w:autoSpaceDE w:val="0"/>
        <w:autoSpaceDN w:val="0"/>
        <w:adjustRightInd w:val="0"/>
        <w:jc w:val="both"/>
        <w:rPr>
          <w:color w:val="000000"/>
          <w:sz w:val="22"/>
          <w:szCs w:val="22"/>
          <w:lang w:val="sr-Latn-ME"/>
        </w:rPr>
      </w:pPr>
    </w:p>
    <w:p w14:paraId="20654268" w14:textId="77777777" w:rsidR="005A7F10" w:rsidRPr="00840456" w:rsidRDefault="005A7F10" w:rsidP="005A7F10">
      <w:pPr>
        <w:widowControl w:val="0"/>
        <w:autoSpaceDE w:val="0"/>
        <w:autoSpaceDN w:val="0"/>
        <w:adjustRightInd w:val="0"/>
        <w:jc w:val="both"/>
        <w:rPr>
          <w:sz w:val="22"/>
          <w:szCs w:val="22"/>
          <w:lang w:val="sr-Latn-ME"/>
        </w:rPr>
      </w:pPr>
      <w:r w:rsidRPr="00840456">
        <w:rPr>
          <w:color w:val="000000"/>
          <w:sz w:val="22"/>
          <w:szCs w:val="22"/>
          <w:lang w:val="sr-Latn-ME"/>
        </w:rPr>
        <w:t>BIW = dva puta nedjeljno</w:t>
      </w:r>
    </w:p>
    <w:p w14:paraId="67B141E8" w14:textId="77777777" w:rsidR="005A7F10" w:rsidRPr="00840456" w:rsidRDefault="005A7F10" w:rsidP="005A7F10">
      <w:pPr>
        <w:widowControl w:val="0"/>
        <w:autoSpaceDE w:val="0"/>
        <w:autoSpaceDN w:val="0"/>
        <w:adjustRightInd w:val="0"/>
        <w:spacing w:line="15" w:lineRule="exact"/>
        <w:jc w:val="both"/>
        <w:rPr>
          <w:sz w:val="22"/>
          <w:szCs w:val="22"/>
          <w:lang w:val="sr-Latn-ME"/>
        </w:rPr>
      </w:pPr>
    </w:p>
    <w:p w14:paraId="163A4EFB" w14:textId="77777777" w:rsidR="005A7F10" w:rsidRPr="00840456" w:rsidRDefault="005A7F10" w:rsidP="005A7F10">
      <w:pPr>
        <w:widowControl w:val="0"/>
        <w:autoSpaceDE w:val="0"/>
        <w:autoSpaceDN w:val="0"/>
        <w:adjustRightInd w:val="0"/>
        <w:spacing w:line="239" w:lineRule="auto"/>
        <w:jc w:val="both"/>
        <w:rPr>
          <w:sz w:val="22"/>
          <w:szCs w:val="22"/>
          <w:lang w:val="sr-Latn-ME"/>
        </w:rPr>
      </w:pPr>
      <w:r w:rsidRPr="00840456">
        <w:rPr>
          <w:color w:val="000000"/>
          <w:sz w:val="22"/>
          <w:szCs w:val="22"/>
          <w:lang w:val="sr-Latn-ME"/>
        </w:rPr>
        <w:t>*p≤ 0,0001 u poređenju sa placebom</w:t>
      </w:r>
    </w:p>
    <w:p w14:paraId="55F4A3A9" w14:textId="77777777" w:rsidR="005A7F10" w:rsidRPr="00840456" w:rsidRDefault="005A7F10" w:rsidP="005A7F10">
      <w:pPr>
        <w:widowControl w:val="0"/>
        <w:autoSpaceDE w:val="0"/>
        <w:autoSpaceDN w:val="0"/>
        <w:adjustRightInd w:val="0"/>
        <w:spacing w:line="1" w:lineRule="exact"/>
        <w:jc w:val="both"/>
        <w:rPr>
          <w:sz w:val="22"/>
          <w:szCs w:val="22"/>
          <w:lang w:val="sr-Latn-ME"/>
        </w:rPr>
      </w:pPr>
    </w:p>
    <w:p w14:paraId="2537783E" w14:textId="77777777" w:rsidR="005A7F10" w:rsidRPr="00840456" w:rsidRDefault="005A7F10" w:rsidP="005A7F10">
      <w:pPr>
        <w:widowControl w:val="0"/>
        <w:numPr>
          <w:ilvl w:val="0"/>
          <w:numId w:val="12"/>
        </w:numPr>
        <w:tabs>
          <w:tab w:val="clear" w:pos="720"/>
          <w:tab w:val="num" w:pos="226"/>
        </w:tabs>
        <w:overflowPunct w:val="0"/>
        <w:autoSpaceDE w:val="0"/>
        <w:autoSpaceDN w:val="0"/>
        <w:adjustRightInd w:val="0"/>
        <w:spacing w:line="237" w:lineRule="auto"/>
        <w:ind w:left="0" w:firstLine="4"/>
        <w:jc w:val="both"/>
        <w:rPr>
          <w:color w:val="000000"/>
          <w:sz w:val="22"/>
          <w:szCs w:val="22"/>
          <w:lang w:val="sr-Latn-ME"/>
        </w:rPr>
      </w:pPr>
      <w:r w:rsidRPr="00840456">
        <w:rPr>
          <w:color w:val="000000"/>
          <w:sz w:val="22"/>
          <w:szCs w:val="22"/>
          <w:lang w:val="sr-Latn-ME"/>
        </w:rPr>
        <w:t xml:space="preserve">U 24. nedjelji u studijama 2 i 4 nijesu rađena statistička poređenja sa placebom jer je početna placebo grupa od 13. do 24. nedjelje primala 25 mg lijeka Enbrel dva puta nedjeljno ili 50 mg jednom nedjeljno. </w:t>
      </w:r>
    </w:p>
    <w:p w14:paraId="5C0CA0F0" w14:textId="77777777" w:rsidR="005A7F10" w:rsidRPr="00840456" w:rsidRDefault="005A7F10" w:rsidP="005A7F10">
      <w:pPr>
        <w:widowControl w:val="0"/>
        <w:numPr>
          <w:ilvl w:val="0"/>
          <w:numId w:val="12"/>
        </w:numPr>
        <w:tabs>
          <w:tab w:val="clear" w:pos="720"/>
          <w:tab w:val="num" w:pos="240"/>
        </w:tabs>
        <w:overflowPunct w:val="0"/>
        <w:autoSpaceDE w:val="0"/>
        <w:autoSpaceDN w:val="0"/>
        <w:adjustRightInd w:val="0"/>
        <w:ind w:left="240" w:hanging="236"/>
        <w:jc w:val="both"/>
        <w:rPr>
          <w:color w:val="000000"/>
          <w:sz w:val="22"/>
          <w:szCs w:val="22"/>
          <w:lang w:val="sr-Latn-ME"/>
        </w:rPr>
      </w:pPr>
      <w:r w:rsidRPr="00840456">
        <w:rPr>
          <w:color w:val="000000"/>
          <w:sz w:val="22"/>
          <w:szCs w:val="22"/>
          <w:lang w:val="sr-Latn-ME"/>
        </w:rPr>
        <w:t xml:space="preserve">Dermatologist Static Global Assessment. Čist ili skoro čist je definisan kao 0 ili 1 na skali od 0 do 5. </w:t>
      </w:r>
    </w:p>
    <w:p w14:paraId="6B86FCCA" w14:textId="77777777" w:rsidR="005A7F10" w:rsidRPr="00840456" w:rsidRDefault="005A7F10" w:rsidP="005A7F10">
      <w:pPr>
        <w:widowControl w:val="0"/>
        <w:autoSpaceDE w:val="0"/>
        <w:autoSpaceDN w:val="0"/>
        <w:adjustRightInd w:val="0"/>
        <w:spacing w:line="239" w:lineRule="exact"/>
        <w:jc w:val="both"/>
        <w:rPr>
          <w:sz w:val="22"/>
          <w:szCs w:val="22"/>
          <w:lang w:val="sr-Latn-ME"/>
        </w:rPr>
      </w:pPr>
    </w:p>
    <w:p w14:paraId="349CB6E9" w14:textId="7D08E66C" w:rsidR="005A7F10" w:rsidRPr="00840456" w:rsidRDefault="005A7F10" w:rsidP="005A7F10">
      <w:pPr>
        <w:widowControl w:val="0"/>
        <w:overflowPunct w:val="0"/>
        <w:autoSpaceDE w:val="0"/>
        <w:autoSpaceDN w:val="0"/>
        <w:adjustRightInd w:val="0"/>
        <w:spacing w:line="285" w:lineRule="auto"/>
        <w:jc w:val="both"/>
        <w:rPr>
          <w:sz w:val="22"/>
          <w:szCs w:val="22"/>
          <w:lang w:val="sr-Latn-ME"/>
        </w:rPr>
      </w:pPr>
      <w:r w:rsidRPr="00840456">
        <w:rPr>
          <w:color w:val="000000"/>
          <w:sz w:val="22"/>
          <w:szCs w:val="22"/>
          <w:lang w:val="sr-Latn-ME"/>
        </w:rPr>
        <w:t>Među pacijentima sa plak psorijazom koji su primali Enbrel u vrijeme prve kontrolne posjete (2. nedjelja) prim</w:t>
      </w:r>
      <w:r w:rsidR="009C577D" w:rsidRPr="00840456">
        <w:rPr>
          <w:color w:val="000000"/>
          <w:sz w:val="22"/>
          <w:szCs w:val="22"/>
          <w:lang w:val="sr-Latn-ME"/>
        </w:rPr>
        <w:t>i</w:t>
      </w:r>
      <w:r w:rsidRPr="00840456">
        <w:rPr>
          <w:color w:val="000000"/>
          <w:sz w:val="22"/>
          <w:szCs w:val="22"/>
          <w:lang w:val="sr-Latn-ME"/>
        </w:rPr>
        <w:t>jećen je značajan odgovor u odnosu na placebo, koji je zadržan tokom svih 24 nedjelja terapije.</w:t>
      </w:r>
    </w:p>
    <w:p w14:paraId="7B21E747" w14:textId="77777777" w:rsidR="005A7F10" w:rsidRPr="00840456" w:rsidRDefault="005A7F10" w:rsidP="005A7F10">
      <w:pPr>
        <w:widowControl w:val="0"/>
        <w:autoSpaceDE w:val="0"/>
        <w:autoSpaceDN w:val="0"/>
        <w:adjustRightInd w:val="0"/>
        <w:spacing w:line="177" w:lineRule="exact"/>
        <w:jc w:val="both"/>
        <w:rPr>
          <w:sz w:val="22"/>
          <w:szCs w:val="22"/>
          <w:lang w:val="sr-Latn-ME"/>
        </w:rPr>
      </w:pPr>
    </w:p>
    <w:p w14:paraId="5EB27871" w14:textId="402F8FF3" w:rsidR="005A7F10" w:rsidRPr="00840456" w:rsidRDefault="005A7F10" w:rsidP="005A7F10">
      <w:pPr>
        <w:widowControl w:val="0"/>
        <w:overflowPunct w:val="0"/>
        <w:autoSpaceDE w:val="0"/>
        <w:autoSpaceDN w:val="0"/>
        <w:adjustRightInd w:val="0"/>
        <w:spacing w:line="239" w:lineRule="auto"/>
        <w:jc w:val="both"/>
        <w:rPr>
          <w:sz w:val="22"/>
          <w:szCs w:val="22"/>
          <w:lang w:val="sr-Latn-ME"/>
        </w:rPr>
      </w:pPr>
      <w:r w:rsidRPr="00840456">
        <w:rPr>
          <w:color w:val="000000"/>
          <w:sz w:val="22"/>
          <w:szCs w:val="22"/>
          <w:lang w:val="sr-Latn-ME"/>
        </w:rPr>
        <w:t>Studija 2 je predviđala i prestanak davanja lijeka pacijentima koji su u 24. nedjelji dostigli poboljšanje PASI od najmanje 50%. Tokom perioda bez terapije kod pacijenata je praćen oporavak (PASI ≥ 150% u odnosu na osnovni) kao i vrijeme do nastanka relapsa bolesti (definisan kao gubitak od najmanje pola poboljšanja postignutog od osnovnog stanja do 24. nedjelje terapije). Tokom perioda bez lijeka, simptomi psorijaze su se postepeno vraćali sa srednjim vremenom nastanka relapsa oboljenja od 3 mjeseca. Nije bilo oporavka od bolesti kao ni ozbiljnih neželjenih efekata vezanih za psorijazu. Postoje izv</w:t>
      </w:r>
      <w:r w:rsidR="004C1215" w:rsidRPr="00840456">
        <w:rPr>
          <w:color w:val="000000"/>
          <w:sz w:val="22"/>
          <w:szCs w:val="22"/>
          <w:lang w:val="sr-Latn-ME"/>
        </w:rPr>
        <w:t>j</w:t>
      </w:r>
      <w:r w:rsidRPr="00840456">
        <w:rPr>
          <w:color w:val="000000"/>
          <w:sz w:val="22"/>
          <w:szCs w:val="22"/>
          <w:lang w:val="sr-Latn-ME"/>
        </w:rPr>
        <w:t>esni podaci koji idu u prilog ponovne primjene lijeka Enbrel kod pacijenata koji su i prvi put dobro reagovali na terapiju.</w:t>
      </w:r>
    </w:p>
    <w:p w14:paraId="7FC36562" w14:textId="77777777" w:rsidR="005A7F10" w:rsidRPr="00840456" w:rsidRDefault="005A7F10" w:rsidP="005A7F10">
      <w:pPr>
        <w:widowControl w:val="0"/>
        <w:autoSpaceDE w:val="0"/>
        <w:autoSpaceDN w:val="0"/>
        <w:adjustRightInd w:val="0"/>
        <w:spacing w:line="226" w:lineRule="exact"/>
        <w:jc w:val="both"/>
        <w:rPr>
          <w:sz w:val="22"/>
          <w:szCs w:val="22"/>
          <w:lang w:val="sr-Latn-ME"/>
        </w:rPr>
      </w:pPr>
    </w:p>
    <w:p w14:paraId="4A84CBF6" w14:textId="4EC02C3B" w:rsidR="005A7F10" w:rsidRPr="00840456" w:rsidRDefault="005A7F10" w:rsidP="005A7F10">
      <w:pPr>
        <w:widowControl w:val="0"/>
        <w:overflowPunct w:val="0"/>
        <w:autoSpaceDE w:val="0"/>
        <w:autoSpaceDN w:val="0"/>
        <w:adjustRightInd w:val="0"/>
        <w:spacing w:line="245" w:lineRule="auto"/>
        <w:jc w:val="both"/>
        <w:rPr>
          <w:color w:val="000000"/>
          <w:sz w:val="22"/>
          <w:szCs w:val="22"/>
          <w:lang w:val="sr-Latn-ME"/>
        </w:rPr>
      </w:pPr>
      <w:r w:rsidRPr="00840456">
        <w:rPr>
          <w:color w:val="000000"/>
          <w:sz w:val="22"/>
          <w:szCs w:val="22"/>
          <w:lang w:val="sr-Latn-ME"/>
        </w:rPr>
        <w:t>U Studiji 3, kod većine pacijenata (77%), koji su randomizacijom pripali grupi koja je inicijalno primala 50 mg dva puta nedjeljno, i kojima je doza lijeka Enbrel smanjena u 12. nedjelji na 25 mg dva puta nedjeljno, održan je PASI 75 odgovor tokom 36. nedjelje. Za pacijente koji su tokom studije primali 25 mg dva puta nedjeljno, PASI 75 odgovor se poboljšavao između 12. i 36. nedjelje.</w:t>
      </w:r>
    </w:p>
    <w:p w14:paraId="639172E8" w14:textId="77777777" w:rsidR="005A7F10" w:rsidRPr="00840456" w:rsidRDefault="005A7F10" w:rsidP="005A7F10">
      <w:pPr>
        <w:widowControl w:val="0"/>
        <w:autoSpaceDE w:val="0"/>
        <w:autoSpaceDN w:val="0"/>
        <w:adjustRightInd w:val="0"/>
        <w:spacing w:line="221" w:lineRule="exact"/>
        <w:jc w:val="both"/>
        <w:rPr>
          <w:sz w:val="22"/>
          <w:szCs w:val="22"/>
          <w:lang w:val="sr-Latn-ME"/>
        </w:rPr>
      </w:pPr>
    </w:p>
    <w:p w14:paraId="5DF2269D" w14:textId="77777777" w:rsidR="005A7F10" w:rsidRPr="00840456" w:rsidRDefault="005A7F10" w:rsidP="005A7F10">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U studiji 4, grupa koja je primala Enbrel je imala viši odnos pacijenata sa PASI 75 u 12. nedjelji (38%) u poređenju sa placebo grupom (2%) (p&lt; 0.0001). Kod pacijenata koji su primali dozu od 50 mg jednom nedjeljno tokom studije, efikasnost je nastavila da se poboljšava i 71% su postigli odgovor PASI 75 u 24. nedjelji.</w:t>
      </w:r>
    </w:p>
    <w:p w14:paraId="2DC04A4D" w14:textId="77777777" w:rsidR="005A7F10" w:rsidRPr="00840456" w:rsidRDefault="005A7F10" w:rsidP="005A7F10">
      <w:pPr>
        <w:widowControl w:val="0"/>
        <w:autoSpaceDE w:val="0"/>
        <w:autoSpaceDN w:val="0"/>
        <w:adjustRightInd w:val="0"/>
        <w:spacing w:line="220" w:lineRule="exact"/>
        <w:jc w:val="both"/>
        <w:rPr>
          <w:sz w:val="22"/>
          <w:szCs w:val="22"/>
          <w:lang w:val="sr-Latn-ME"/>
        </w:rPr>
      </w:pPr>
    </w:p>
    <w:p w14:paraId="44EF29B7" w14:textId="77777777" w:rsidR="005A7F10" w:rsidRPr="00840456" w:rsidRDefault="005A7F10" w:rsidP="005A7F10">
      <w:pPr>
        <w:widowControl w:val="0"/>
        <w:overflowPunct w:val="0"/>
        <w:autoSpaceDE w:val="0"/>
        <w:autoSpaceDN w:val="0"/>
        <w:adjustRightInd w:val="0"/>
        <w:spacing w:line="262" w:lineRule="auto"/>
        <w:jc w:val="both"/>
        <w:rPr>
          <w:sz w:val="22"/>
          <w:szCs w:val="22"/>
          <w:lang w:val="sr-Latn-ME"/>
        </w:rPr>
      </w:pPr>
      <w:r w:rsidRPr="00840456">
        <w:rPr>
          <w:color w:val="000000"/>
          <w:sz w:val="22"/>
          <w:szCs w:val="22"/>
          <w:lang w:val="sr-Latn-ME"/>
        </w:rPr>
        <w:t>U dugotrajnim (do 34 mjeseci) otvorenim studijama u kojima je lijek Enbrel primjenjivan bez prekida, klinički odgovori su se održali a bezbjednost je bila slična kao u kraćim studijama.</w:t>
      </w:r>
    </w:p>
    <w:p w14:paraId="26201EBC" w14:textId="77777777" w:rsidR="005A7F10" w:rsidRPr="00840456" w:rsidRDefault="005A7F10" w:rsidP="005A7F10">
      <w:pPr>
        <w:widowControl w:val="0"/>
        <w:autoSpaceDE w:val="0"/>
        <w:autoSpaceDN w:val="0"/>
        <w:adjustRightInd w:val="0"/>
        <w:spacing w:line="195" w:lineRule="exact"/>
        <w:jc w:val="both"/>
        <w:rPr>
          <w:sz w:val="22"/>
          <w:szCs w:val="22"/>
          <w:lang w:val="sr-Latn-ME"/>
        </w:rPr>
      </w:pPr>
    </w:p>
    <w:p w14:paraId="3947D030" w14:textId="77777777" w:rsidR="005A7F10" w:rsidRPr="00840456" w:rsidRDefault="005A7F10" w:rsidP="005A7F10">
      <w:pPr>
        <w:widowControl w:val="0"/>
        <w:overflowPunct w:val="0"/>
        <w:autoSpaceDE w:val="0"/>
        <w:autoSpaceDN w:val="0"/>
        <w:adjustRightInd w:val="0"/>
        <w:spacing w:line="265" w:lineRule="auto"/>
        <w:jc w:val="both"/>
        <w:rPr>
          <w:sz w:val="22"/>
          <w:szCs w:val="22"/>
          <w:lang w:val="sr-Latn-ME"/>
        </w:rPr>
      </w:pPr>
      <w:r w:rsidRPr="00840456">
        <w:rPr>
          <w:color w:val="000000"/>
          <w:sz w:val="22"/>
          <w:szCs w:val="22"/>
          <w:lang w:val="sr-Latn-ME"/>
        </w:rPr>
        <w:t>Analiza podataka iz kliničkih ispitivanja nije otkrila ni jednu karakteristiku bolesti sa početka studije koja bi pomogla ljekarima da odaberu najbolji režim doziranja (intermitentni ili kontinuirani). U skladu sa tim, odabir neke od ove dvije vrste terapije zavisi od procjene ljekara i individualnih potreba pacijenta.</w:t>
      </w:r>
    </w:p>
    <w:p w14:paraId="130A9CA1" w14:textId="77777777" w:rsidR="005A7F10" w:rsidRPr="00840456" w:rsidRDefault="005A7F10" w:rsidP="005A7F10">
      <w:pPr>
        <w:widowControl w:val="0"/>
        <w:autoSpaceDE w:val="0"/>
        <w:autoSpaceDN w:val="0"/>
        <w:adjustRightInd w:val="0"/>
        <w:spacing w:line="204" w:lineRule="exact"/>
        <w:jc w:val="both"/>
        <w:rPr>
          <w:sz w:val="22"/>
          <w:szCs w:val="22"/>
          <w:lang w:val="sr-Latn-ME"/>
        </w:rPr>
      </w:pPr>
    </w:p>
    <w:p w14:paraId="1BB854A8" w14:textId="04FF11F4" w:rsidR="005A7F10" w:rsidRPr="00840456" w:rsidRDefault="005A7F10" w:rsidP="00815D34">
      <w:pPr>
        <w:widowControl w:val="0"/>
        <w:autoSpaceDE w:val="0"/>
        <w:autoSpaceDN w:val="0"/>
        <w:adjustRightInd w:val="0"/>
        <w:jc w:val="both"/>
        <w:rPr>
          <w:sz w:val="22"/>
          <w:szCs w:val="22"/>
          <w:lang w:val="sr-Latn-ME"/>
        </w:rPr>
      </w:pPr>
      <w:r w:rsidRPr="00840456">
        <w:rPr>
          <w:bCs/>
          <w:i/>
          <w:color w:val="000000"/>
          <w:sz w:val="22"/>
          <w:szCs w:val="22"/>
          <w:lang w:val="sr-Latn-ME"/>
        </w:rPr>
        <w:lastRenderedPageBreak/>
        <w:t>Antitijela na lijek Enbrel</w:t>
      </w:r>
    </w:p>
    <w:p w14:paraId="09945FA4"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Antitijela na etanercept su detektovana u serumu kod nekih ispitanika koji su primali etanercept. Ova antitijela nijesu bila neutrališuća i uglavnom su prolaznog karaktera. Nije primijećena jasna veza između razvoja antitijela i kliničkog odgovora ili neželjenih reakcija. </w:t>
      </w:r>
    </w:p>
    <w:p w14:paraId="1C25C94F" w14:textId="77777777" w:rsidR="005A7F10" w:rsidRPr="00840456" w:rsidRDefault="005A7F10" w:rsidP="005A7F10">
      <w:pPr>
        <w:pStyle w:val="Header"/>
        <w:tabs>
          <w:tab w:val="left" w:pos="284"/>
        </w:tabs>
        <w:jc w:val="both"/>
        <w:rPr>
          <w:color w:val="000000"/>
          <w:sz w:val="22"/>
          <w:szCs w:val="22"/>
          <w:lang w:val="sr-Latn-ME"/>
        </w:rPr>
      </w:pPr>
    </w:p>
    <w:p w14:paraId="70A88E0C" w14:textId="77777777" w:rsidR="005A7F10" w:rsidRPr="00840456" w:rsidRDefault="005A7F10" w:rsidP="005A7F10">
      <w:pPr>
        <w:widowControl w:val="0"/>
        <w:overflowPunct w:val="0"/>
        <w:autoSpaceDE w:val="0"/>
        <w:autoSpaceDN w:val="0"/>
        <w:adjustRightInd w:val="0"/>
        <w:spacing w:line="245" w:lineRule="auto"/>
        <w:jc w:val="both"/>
        <w:rPr>
          <w:sz w:val="22"/>
          <w:szCs w:val="22"/>
          <w:lang w:val="sr-Latn-ME"/>
        </w:rPr>
      </w:pPr>
      <w:r w:rsidRPr="00840456">
        <w:rPr>
          <w:color w:val="000000"/>
          <w:sz w:val="22"/>
          <w:szCs w:val="22"/>
          <w:lang w:val="sr-Latn-ME"/>
        </w:rPr>
        <w:t>Kod ispitanika koji su primali definisane doze etanercepta u kliničkim studijama u trajanju od 12 mjeseci, ukupni odnos razvoja anti-etanercept antitijela je bio približno 6% kod ispitanika sa reumatoidnim artritisom, 7.5% kod ispitanika sa psorijaznim artritisom, 2% kod ispitanika sa ankilozirajućim spondilitisom, 7% kod ispitanika sa psorijazom, 9.7% kod ispitanika sa pedijatrijskom psorijazom i 3% kod ispitanika sa juvenilnim idiopatskim artritisom.</w:t>
      </w:r>
    </w:p>
    <w:p w14:paraId="0D5E64F6" w14:textId="77777777" w:rsidR="005A7F10" w:rsidRPr="00840456" w:rsidRDefault="005A7F10" w:rsidP="005A7F10">
      <w:pPr>
        <w:widowControl w:val="0"/>
        <w:autoSpaceDE w:val="0"/>
        <w:autoSpaceDN w:val="0"/>
        <w:adjustRightInd w:val="0"/>
        <w:spacing w:line="221" w:lineRule="exact"/>
        <w:jc w:val="both"/>
        <w:rPr>
          <w:sz w:val="22"/>
          <w:szCs w:val="22"/>
          <w:lang w:val="sr-Latn-ME"/>
        </w:rPr>
      </w:pPr>
    </w:p>
    <w:p w14:paraId="7953FBEB" w14:textId="77777777" w:rsidR="005A7F10" w:rsidRPr="00840456" w:rsidRDefault="005A7F10" w:rsidP="005A7F10">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Procenat ispitanika koji razvijaju antitijela na etanercept u dugotrajnim studijama (u trajanju do 3,5 godine) se povećava tokom vremena prema očekivanju. Ipak, zbog svojih prolaznih osobina, učestalost detektovanja antitijela u svakom trenutku procjene je bila karakteristično manja od 7% kod ispitanika sa reumatoidnim artritisom i psorijazom.</w:t>
      </w:r>
    </w:p>
    <w:p w14:paraId="25F45C4F" w14:textId="77777777" w:rsidR="005A7F10" w:rsidRPr="00840456" w:rsidRDefault="005A7F10" w:rsidP="005A7F10">
      <w:pPr>
        <w:widowControl w:val="0"/>
        <w:autoSpaceDE w:val="0"/>
        <w:autoSpaceDN w:val="0"/>
        <w:adjustRightInd w:val="0"/>
        <w:spacing w:line="220" w:lineRule="exact"/>
        <w:jc w:val="both"/>
        <w:rPr>
          <w:sz w:val="22"/>
          <w:szCs w:val="22"/>
          <w:lang w:val="sr-Latn-ME"/>
        </w:rPr>
      </w:pPr>
    </w:p>
    <w:p w14:paraId="2A8618F1" w14:textId="77777777" w:rsidR="005A7F10" w:rsidRPr="00840456" w:rsidRDefault="005A7F10" w:rsidP="005A7F10">
      <w:pPr>
        <w:widowControl w:val="0"/>
        <w:overflowPunct w:val="0"/>
        <w:autoSpaceDE w:val="0"/>
        <w:autoSpaceDN w:val="0"/>
        <w:adjustRightInd w:val="0"/>
        <w:spacing w:line="262" w:lineRule="auto"/>
        <w:jc w:val="both"/>
        <w:rPr>
          <w:sz w:val="22"/>
          <w:szCs w:val="22"/>
          <w:lang w:val="sr-Latn-ME"/>
        </w:rPr>
      </w:pPr>
      <w:r w:rsidRPr="00840456">
        <w:rPr>
          <w:color w:val="000000"/>
          <w:sz w:val="22"/>
          <w:szCs w:val="22"/>
          <w:lang w:val="sr-Latn-ME"/>
        </w:rPr>
        <w:t>U dugotrajnoj studiji ispitivanja psorijaze u kojoj su pacijenti primali 50 mg dva puta nedjeljno tokom 96 nedjelja, zapažena je učestalost razvoja antitijela do približno 9% u svakom trenutku procjene.</w:t>
      </w:r>
    </w:p>
    <w:p w14:paraId="7577B202" w14:textId="77777777" w:rsidR="005A7F10" w:rsidRPr="00840456" w:rsidRDefault="005A7F10" w:rsidP="005A7F10">
      <w:pPr>
        <w:widowControl w:val="0"/>
        <w:autoSpaceDE w:val="0"/>
        <w:autoSpaceDN w:val="0"/>
        <w:adjustRightInd w:val="0"/>
        <w:spacing w:line="200" w:lineRule="exact"/>
        <w:jc w:val="both"/>
        <w:rPr>
          <w:sz w:val="22"/>
          <w:szCs w:val="22"/>
          <w:lang w:val="sr-Latn-ME"/>
        </w:rPr>
      </w:pPr>
    </w:p>
    <w:p w14:paraId="0BF4FC7A" w14:textId="77777777" w:rsidR="005A7F10" w:rsidRPr="00840456" w:rsidRDefault="005A7F10" w:rsidP="005A7F10">
      <w:pPr>
        <w:widowControl w:val="0"/>
        <w:autoSpaceDE w:val="0"/>
        <w:autoSpaceDN w:val="0"/>
        <w:adjustRightInd w:val="0"/>
        <w:jc w:val="both"/>
        <w:rPr>
          <w:sz w:val="22"/>
          <w:szCs w:val="22"/>
          <w:u w:val="single"/>
          <w:lang w:val="sr-Latn-ME"/>
        </w:rPr>
      </w:pPr>
      <w:r w:rsidRPr="00840456">
        <w:rPr>
          <w:color w:val="000000"/>
          <w:sz w:val="22"/>
          <w:szCs w:val="22"/>
          <w:u w:val="single"/>
          <w:lang w:val="sr-Latn-ME"/>
        </w:rPr>
        <w:t>Pedijatrijska populacija</w:t>
      </w:r>
    </w:p>
    <w:p w14:paraId="508690A3" w14:textId="77777777" w:rsidR="005A7F10" w:rsidRPr="00840456" w:rsidRDefault="005A7F10" w:rsidP="005A7F10">
      <w:pPr>
        <w:widowControl w:val="0"/>
        <w:autoSpaceDE w:val="0"/>
        <w:autoSpaceDN w:val="0"/>
        <w:adjustRightInd w:val="0"/>
        <w:spacing w:line="252" w:lineRule="exact"/>
        <w:jc w:val="both"/>
        <w:rPr>
          <w:sz w:val="22"/>
          <w:szCs w:val="22"/>
          <w:lang w:val="sr-Latn-ME"/>
        </w:rPr>
      </w:pPr>
    </w:p>
    <w:p w14:paraId="035F9726" w14:textId="486065A7" w:rsidR="005A7F10" w:rsidRPr="00840456" w:rsidRDefault="005A7F10" w:rsidP="00815D34">
      <w:pPr>
        <w:widowControl w:val="0"/>
        <w:autoSpaceDE w:val="0"/>
        <w:autoSpaceDN w:val="0"/>
        <w:adjustRightInd w:val="0"/>
        <w:jc w:val="both"/>
        <w:rPr>
          <w:sz w:val="22"/>
          <w:szCs w:val="22"/>
          <w:lang w:val="sr-Latn-ME"/>
        </w:rPr>
      </w:pPr>
      <w:r w:rsidRPr="00840456">
        <w:rPr>
          <w:i/>
          <w:iCs/>
          <w:color w:val="000000"/>
          <w:sz w:val="22"/>
          <w:szCs w:val="22"/>
          <w:lang w:val="sr-Latn-ME"/>
        </w:rPr>
        <w:t>Pedijatrijski pacijenti sa juvenilnim idiopatskim artritisom</w:t>
      </w:r>
    </w:p>
    <w:p w14:paraId="2D6C53D3" w14:textId="290863D8" w:rsidR="005A7F10" w:rsidRPr="00840456" w:rsidRDefault="005A7F10" w:rsidP="005A7F10">
      <w:pPr>
        <w:widowControl w:val="0"/>
        <w:overflowPunct w:val="0"/>
        <w:autoSpaceDE w:val="0"/>
        <w:autoSpaceDN w:val="0"/>
        <w:adjustRightInd w:val="0"/>
        <w:spacing w:line="248" w:lineRule="auto"/>
        <w:jc w:val="both"/>
        <w:rPr>
          <w:sz w:val="22"/>
          <w:szCs w:val="22"/>
          <w:lang w:val="sr-Latn-ME"/>
        </w:rPr>
      </w:pPr>
      <w:bookmarkStart w:id="3" w:name="_Hlk138144932"/>
      <w:r w:rsidRPr="00840456">
        <w:rPr>
          <w:color w:val="000000"/>
          <w:sz w:val="22"/>
          <w:szCs w:val="22"/>
          <w:lang w:val="sr-Latn-ME"/>
        </w:rPr>
        <w:t>Bezbjednost i efikasnost lijeka Enbrel je proučavana u dvodjelnoj studiji kod 69-oro djece sa poliartikularnim tipom juvenilnog idiopatskog artritisa sa različitim tipovima početka juvenilnog idiopatskog artritisa (poliartritis, pauciartritis, sistemski početak). U studiju su bili uključeni pacijenti uzrasta od 4 do 17 godina sa umjerenim do vrlo aktivnim poliartikularnim tipom juvenilnog idiopatskog artritisa koji nijesu reagovali na terapiju metotreksatom; pacijentima je zadržana stabilna pojedinačna doza nesteroidnog antiinflamatornog lijeka i/ili prednizona (&lt;0,2 mg/kg/dan, 10 mg maksimalno). U prvom dijelu studije, svi pacijenti su primali 0,4 mg/kg (maksimalno 25 mg/dozi) lijeka Enbrel subkutano dva puta nedjeljno. U dijelu 2, pacijenti kod kojih je došlo do kliničkog odgovora su 90-og dana randomizovani, ili da ostanu na terapiji lijekom Enbrel ili da primaju placebo u naredna 4 mjeseca, poslije kojih se vršila procjena napredovanja bolesti. Odgovori na terapiju su mjereni koristeći se ACI Pedi 30 definisanim kao ≥ 30% poboljšanja u najmanje 3 od 6 i ≥ 30% pogoršanja u ne više od 1 od 6 JRA skor kriterijuma, u koje spadaju broj aktivnih zglobova, ograničenje pokretljivosti, opšta procjena stanja od strane ljekara ili pacijenta/roditelja, funkcionalna procjena i određivanje sedimentacije eritrocita. Napredovanje bolesti je definisano kao ≥ 30% pogoršanja u 3 od 6 rezultata JRA skora i ≥ 30% poboljšanja u ne više od 1 od 6 rezultata JRA skora i minimum od 2 aktivna zgloba.</w:t>
      </w:r>
    </w:p>
    <w:bookmarkEnd w:id="3"/>
    <w:p w14:paraId="2FD89D65" w14:textId="77777777" w:rsidR="005A7F10" w:rsidRPr="00840456" w:rsidRDefault="005A7F10" w:rsidP="005A7F10">
      <w:pPr>
        <w:widowControl w:val="0"/>
        <w:autoSpaceDE w:val="0"/>
        <w:autoSpaceDN w:val="0"/>
        <w:adjustRightInd w:val="0"/>
        <w:spacing w:line="221" w:lineRule="exact"/>
        <w:jc w:val="both"/>
        <w:rPr>
          <w:sz w:val="22"/>
          <w:szCs w:val="22"/>
          <w:lang w:val="sr-Latn-ME"/>
        </w:rPr>
      </w:pPr>
    </w:p>
    <w:p w14:paraId="241AFA12"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U dijelu 1 studije, kod 51 od 69 (74%) pacijenata došlo je do ispoljavanja kliničkog efekta i oni su prešli u dio 2. U dijelu 2, kod 6 od 25 (24%) pacijenata koji su ostali na terapiji lijekom Enbrel ispoljilo se napredovanje bolesti u poređenju sa 20 od 26 pacijenata (77%) koji su primali placebo (p=0,007) . Od početka dijela 2, srednje vrijeme nastanka pogoršanja je bilo ≥ 116 dana za pacijente u Enbrel grupi i 28 dana za pacijente koji su primali placebo. Kod nekih pacijenata kod kojih je 90-og dana primijećen klinički odgovor i koji su prešli u drugi dio studije, primijećeno je dalje poboljšanje u periodu od 3. do 7. mjeseca, dok kod onih koji su primali placebo nije došlo do poboljšanja. </w:t>
      </w:r>
    </w:p>
    <w:p w14:paraId="39F837DE" w14:textId="77777777" w:rsidR="005A7F10" w:rsidRPr="00840456" w:rsidRDefault="005A7F10" w:rsidP="005A7F10">
      <w:pPr>
        <w:pStyle w:val="Header"/>
        <w:tabs>
          <w:tab w:val="left" w:pos="284"/>
        </w:tabs>
        <w:jc w:val="both"/>
        <w:rPr>
          <w:color w:val="000000"/>
          <w:sz w:val="22"/>
          <w:szCs w:val="22"/>
          <w:lang w:val="sr-Latn-ME"/>
        </w:rPr>
      </w:pPr>
    </w:p>
    <w:p w14:paraId="02840363" w14:textId="77777777" w:rsidR="005A7F10" w:rsidRPr="00840456" w:rsidRDefault="005A7F10" w:rsidP="005A7F10">
      <w:pPr>
        <w:pStyle w:val="Header"/>
        <w:tabs>
          <w:tab w:val="left" w:pos="284"/>
        </w:tabs>
        <w:jc w:val="both"/>
        <w:rPr>
          <w:color w:val="000000"/>
          <w:sz w:val="22"/>
          <w:szCs w:val="22"/>
          <w:lang w:val="sr-Latn-ME"/>
        </w:rPr>
      </w:pPr>
      <w:r w:rsidRPr="00840456">
        <w:rPr>
          <w:color w:val="000000"/>
          <w:sz w:val="22"/>
          <w:szCs w:val="22"/>
          <w:lang w:val="sr-Latn-ME"/>
        </w:rPr>
        <w:t xml:space="preserve">U otvorenoj, produženoj studiji bezbjednosti, 58 pedijatrijskih pacijenata iz gore navedene studije (starosti 4 godine u vrijeme uključivanja u studiju), nastavili su da koriste Enbrel sve do 10 godina starosti. Stopa ozbiljnih neželjenih događaja i ozbiljnih infekcija se nije povećavala prilikom dugotrajne izloženosti lijeku. </w:t>
      </w:r>
    </w:p>
    <w:p w14:paraId="1D82A83C" w14:textId="77777777" w:rsidR="005A7F10" w:rsidRPr="00840456" w:rsidRDefault="005A7F10" w:rsidP="005A7F10">
      <w:pPr>
        <w:pStyle w:val="Header"/>
        <w:tabs>
          <w:tab w:val="left" w:pos="284"/>
        </w:tabs>
        <w:jc w:val="both"/>
        <w:rPr>
          <w:color w:val="000000"/>
          <w:sz w:val="22"/>
          <w:szCs w:val="22"/>
          <w:lang w:val="sr-Latn-ME"/>
        </w:rPr>
      </w:pPr>
    </w:p>
    <w:p w14:paraId="387CD347" w14:textId="77777777" w:rsidR="005A7F10" w:rsidRPr="00840456" w:rsidRDefault="005A7F10" w:rsidP="005A7F10">
      <w:pPr>
        <w:widowControl w:val="0"/>
        <w:overflowPunct w:val="0"/>
        <w:autoSpaceDE w:val="0"/>
        <w:autoSpaceDN w:val="0"/>
        <w:adjustRightInd w:val="0"/>
        <w:spacing w:line="241" w:lineRule="auto"/>
        <w:ind w:left="20"/>
        <w:jc w:val="both"/>
        <w:rPr>
          <w:sz w:val="22"/>
          <w:szCs w:val="22"/>
          <w:lang w:val="sr-Latn-ME"/>
        </w:rPr>
      </w:pPr>
      <w:r w:rsidRPr="00840456">
        <w:rPr>
          <w:sz w:val="22"/>
          <w:szCs w:val="22"/>
          <w:lang w:val="sr-Latn-ME"/>
        </w:rPr>
        <w:t xml:space="preserve">Dugotrajna bezbjednost </w:t>
      </w:r>
      <w:r w:rsidRPr="00840456">
        <w:rPr>
          <w:color w:val="000000"/>
          <w:sz w:val="22"/>
          <w:szCs w:val="22"/>
          <w:lang w:val="sr-Latn-ME"/>
        </w:rPr>
        <w:t>monoterapije lijekom Enbrel (n=103), Enbrel plus metotreskat (n=294), ili monoterapije metotreksatom (n=197) su procjenjivane u trajanju do 3 godine u spisku od 594 djece uzrasta 2 do 18 godina sa juvenilnim idiopatskim artritisom, od kojih 39 uzrasta od 2 do 3 godine starosti. Sveobuhvatno, pojava infekcija je češće zabilježena kod pacijenata na terapiji etanerceptom u poređenju sa metotreksatom (3,8 % prema 2 %), a infekcije povezane sa upotrebom etanercepta su bile ozbiljnije prirode.</w:t>
      </w:r>
    </w:p>
    <w:p w14:paraId="27C20E3B" w14:textId="77777777" w:rsidR="005A7F10" w:rsidRPr="00840456" w:rsidRDefault="005A7F10" w:rsidP="005A7F10">
      <w:pPr>
        <w:widowControl w:val="0"/>
        <w:autoSpaceDE w:val="0"/>
        <w:autoSpaceDN w:val="0"/>
        <w:adjustRightInd w:val="0"/>
        <w:spacing w:line="226" w:lineRule="exact"/>
        <w:jc w:val="both"/>
        <w:rPr>
          <w:sz w:val="22"/>
          <w:szCs w:val="22"/>
          <w:lang w:val="sr-Latn-ME"/>
        </w:rPr>
      </w:pPr>
    </w:p>
    <w:p w14:paraId="5AA8B331" w14:textId="0050DFCF" w:rsidR="005A7F10" w:rsidRPr="00840456" w:rsidRDefault="005A7F10" w:rsidP="005A7F10">
      <w:pPr>
        <w:widowControl w:val="0"/>
        <w:overflowPunct w:val="0"/>
        <w:autoSpaceDE w:val="0"/>
        <w:autoSpaceDN w:val="0"/>
        <w:adjustRightInd w:val="0"/>
        <w:spacing w:line="239" w:lineRule="auto"/>
        <w:ind w:left="20"/>
        <w:jc w:val="both"/>
        <w:rPr>
          <w:color w:val="000000"/>
          <w:sz w:val="22"/>
          <w:szCs w:val="22"/>
          <w:lang w:val="sr-Latn-ME"/>
        </w:rPr>
      </w:pPr>
      <w:r w:rsidRPr="00840456">
        <w:rPr>
          <w:color w:val="000000"/>
          <w:sz w:val="22"/>
          <w:szCs w:val="22"/>
          <w:lang w:val="sr-Latn-ME"/>
        </w:rPr>
        <w:t xml:space="preserve">U drugoj, otvorenoj jednosmjernoj studiji (n=127), 60 pacijenata sa proširenim </w:t>
      </w:r>
      <w:r w:rsidRPr="00840456">
        <w:rPr>
          <w:sz w:val="22"/>
          <w:szCs w:val="22"/>
          <w:lang w:val="sr-Latn-ME"/>
        </w:rPr>
        <w:t>oligoartritisom (EO) (</w:t>
      </w:r>
      <w:r w:rsidRPr="00840456">
        <w:rPr>
          <w:color w:val="000000"/>
          <w:sz w:val="22"/>
          <w:szCs w:val="22"/>
          <w:lang w:val="sr-Latn-ME"/>
        </w:rPr>
        <w:t>15 pacijenata starosti 2 do 4 godine, 23 pacijenta starosti 5 do 11 godina i 22 pacijenta starosti 12 do 17 godina), 38 pacijenata sa artritisom povezanim sa entezitisom (starosti 12-17 godina), i 29 pacijenata sa psorijaznim artritisom (starosti 12-17 godina) su liječeni lijekom Enbrel u dozi od 0,8 mg/kg (do maksimalno 50 mg po dozi), prim</w:t>
      </w:r>
      <w:r w:rsidR="00672C70" w:rsidRPr="00840456">
        <w:rPr>
          <w:color w:val="000000"/>
          <w:sz w:val="22"/>
          <w:szCs w:val="22"/>
          <w:lang w:val="sr-Latn-ME"/>
        </w:rPr>
        <w:t>i</w:t>
      </w:r>
      <w:r w:rsidRPr="00840456">
        <w:rPr>
          <w:color w:val="000000"/>
          <w:sz w:val="22"/>
          <w:szCs w:val="22"/>
          <w:lang w:val="sr-Latn-ME"/>
        </w:rPr>
        <w:t>jenjenoj jednom nedjeljno u toku 12 nedjelja. U svakom od JIA podtipova, većina pacijenata je ispunjavalo ACR Pedi 30 kriterijume i kod njih se pokazalo kliničko poboljšanje u sekundarnim krajnjim tačkama kao što su brojni slabi zglobovi, kao i ukupna procjena ljekara. Ukupan profil koristi i rizika je bio povoljan i konzistentan sa drugim studijama juvenilnog idiopatskog artritisa.</w:t>
      </w:r>
    </w:p>
    <w:p w14:paraId="51C4DFB8" w14:textId="77777777" w:rsidR="009D6B90" w:rsidRPr="00840456" w:rsidRDefault="009D6B90" w:rsidP="005A7F10">
      <w:pPr>
        <w:widowControl w:val="0"/>
        <w:overflowPunct w:val="0"/>
        <w:autoSpaceDE w:val="0"/>
        <w:autoSpaceDN w:val="0"/>
        <w:adjustRightInd w:val="0"/>
        <w:spacing w:line="239" w:lineRule="auto"/>
        <w:ind w:left="20"/>
        <w:jc w:val="both"/>
        <w:rPr>
          <w:sz w:val="22"/>
          <w:szCs w:val="22"/>
          <w:lang w:val="sr-Latn-ME"/>
        </w:rPr>
      </w:pPr>
    </w:p>
    <w:p w14:paraId="228513D2" w14:textId="6BF5103D" w:rsidR="009D6B90" w:rsidRPr="00840456" w:rsidRDefault="009D6B90" w:rsidP="009D6B90">
      <w:pPr>
        <w:widowControl w:val="0"/>
        <w:autoSpaceDE w:val="0"/>
        <w:autoSpaceDN w:val="0"/>
        <w:adjustRightInd w:val="0"/>
        <w:spacing w:line="226" w:lineRule="exact"/>
        <w:jc w:val="both"/>
        <w:rPr>
          <w:sz w:val="22"/>
          <w:szCs w:val="22"/>
          <w:lang w:val="sr-Latn-ME"/>
        </w:rPr>
      </w:pPr>
      <w:r w:rsidRPr="00840456">
        <w:rPr>
          <w:sz w:val="22"/>
          <w:szCs w:val="22"/>
          <w:lang w:val="sr-Latn-ME"/>
        </w:rPr>
        <w:t>Od 127 pacijenata u matičnoj studiji, 109 je učestvovalo u otvorenoj produženoj studiji i praćeni su dodatnih 8 do ukupno 10 godina. Na kraju produžene studije, 84 od 109 (77%) pacijenata je završilo studiju; 27 (25%) dok je aktivno uzimalo lijek Enbrel, 7 (6%) prekinulo je sa primjenom terapije zbog niskog nivoa/neaktivne bolesti; 5 (5%) je ponovo započelo korišćenje lijeka Enbrel nakon prethodnog prekida primjene terapije; a 45 (41%) pacijenata je prekinulo sa primjenom lijeka Enbrel (ali su ostali pod nadzorom); 25 od 109 (23%) pacijenata je trajno prekinulo učešće u studiji. Poboljšanja kliničke slike postignuta u matičnoj studiji generalno su održana za sve krajnje tačke efikasnosti tokom čitavog perioda praćenja. Pacijenti koji su aktivno uzimali lijek Enbrel mogli su u nekom trenutku ući u opcioni period prekida primjene lijeka i ponovnog liječenja tokom produžene studije na osnovu procjene istraživača o kliničkom odgovoru. Fazu prekida primjene lijeka započelo je 30 pacijenata. Prijavljeno je da se kod 17 pacijenata pojavilo razbuktavanje bolesti (definisano kao ≥ 30% pogoršanja kod najmanje 3 od 6 ACR Pedi komponenti sa ≥ 30% poboljšanja u ne više od 1 od preostalih 6 komponenti i najmanje 2 aktivna zgloba); medijana vremena do razbuktavanja bolesti nakon prekida primjene lijeka Enbrel bila je 190 dana. 13 pacijenata je ponovo liječeno, a medijana vremena do ponovnog liječenja nakon prekida primjene lijeka je procijenjena na 274 dana. Zbog malog broja tačaka podataka, ove rezultate treba tumačiti sa rezervom.</w:t>
      </w:r>
    </w:p>
    <w:p w14:paraId="66561B9B" w14:textId="77777777" w:rsidR="009D6B90" w:rsidRPr="00840456" w:rsidRDefault="009D6B90" w:rsidP="009D6B90">
      <w:pPr>
        <w:widowControl w:val="0"/>
        <w:autoSpaceDE w:val="0"/>
        <w:autoSpaceDN w:val="0"/>
        <w:adjustRightInd w:val="0"/>
        <w:spacing w:line="226" w:lineRule="exact"/>
        <w:jc w:val="both"/>
        <w:rPr>
          <w:sz w:val="22"/>
          <w:szCs w:val="22"/>
          <w:lang w:val="sr-Latn-ME"/>
        </w:rPr>
      </w:pPr>
    </w:p>
    <w:p w14:paraId="106DEB9E" w14:textId="77777777" w:rsidR="009D6B90" w:rsidRPr="00840456" w:rsidRDefault="009D6B90" w:rsidP="009D6B90">
      <w:pPr>
        <w:widowControl w:val="0"/>
        <w:autoSpaceDE w:val="0"/>
        <w:autoSpaceDN w:val="0"/>
        <w:adjustRightInd w:val="0"/>
        <w:spacing w:line="226" w:lineRule="exact"/>
        <w:jc w:val="both"/>
        <w:rPr>
          <w:sz w:val="22"/>
          <w:szCs w:val="22"/>
          <w:lang w:val="sr-Latn-ME"/>
        </w:rPr>
      </w:pPr>
      <w:r w:rsidRPr="00840456">
        <w:rPr>
          <w:sz w:val="22"/>
          <w:szCs w:val="22"/>
          <w:lang w:val="sr-Latn-ME"/>
        </w:rPr>
        <w:t>Bezbjednosni profil je bio u skladu sa uočenim stavkama u matičnoj studiji.</w:t>
      </w:r>
    </w:p>
    <w:p w14:paraId="63F4CBDC" w14:textId="77777777" w:rsidR="009D6B90" w:rsidRPr="00840456" w:rsidRDefault="009D6B90" w:rsidP="009D6B90">
      <w:pPr>
        <w:widowControl w:val="0"/>
        <w:autoSpaceDE w:val="0"/>
        <w:autoSpaceDN w:val="0"/>
        <w:adjustRightInd w:val="0"/>
        <w:spacing w:line="226" w:lineRule="exact"/>
        <w:jc w:val="both"/>
        <w:rPr>
          <w:sz w:val="22"/>
          <w:szCs w:val="22"/>
          <w:lang w:val="sr-Latn-ME"/>
        </w:rPr>
      </w:pPr>
    </w:p>
    <w:p w14:paraId="413DB15B" w14:textId="77777777" w:rsidR="009D6B90" w:rsidRPr="00840456" w:rsidRDefault="009D6B90" w:rsidP="009D6B90">
      <w:pPr>
        <w:widowControl w:val="0"/>
        <w:overflowPunct w:val="0"/>
        <w:autoSpaceDE w:val="0"/>
        <w:autoSpaceDN w:val="0"/>
        <w:adjustRightInd w:val="0"/>
        <w:spacing w:line="241" w:lineRule="auto"/>
        <w:ind w:left="20"/>
        <w:jc w:val="both"/>
        <w:rPr>
          <w:sz w:val="22"/>
          <w:szCs w:val="22"/>
          <w:lang w:val="sr-Latn-ME"/>
        </w:rPr>
      </w:pPr>
      <w:r w:rsidRPr="00840456">
        <w:rPr>
          <w:color w:val="000000"/>
          <w:sz w:val="22"/>
          <w:szCs w:val="22"/>
          <w:lang w:val="sr-Latn-ME"/>
        </w:rPr>
        <w:t>Nijesu vršene studije kod pacijanata sa juvenilnim idiopatskim artritisom kako bi se procijenila efikasnost prilikom nastavka terapije lijekom Enbrel kod pacijenata koji nisu odgovorili na terapiju lijekom Enbrel u toku prva tri mjeseca.</w:t>
      </w:r>
    </w:p>
    <w:p w14:paraId="76C9C240" w14:textId="77777777" w:rsidR="009D6B90" w:rsidRPr="00840456" w:rsidRDefault="009D6B90" w:rsidP="009D6B90">
      <w:pPr>
        <w:widowControl w:val="0"/>
        <w:overflowPunct w:val="0"/>
        <w:autoSpaceDE w:val="0"/>
        <w:autoSpaceDN w:val="0"/>
        <w:adjustRightInd w:val="0"/>
        <w:spacing w:line="241" w:lineRule="auto"/>
        <w:ind w:left="20"/>
        <w:jc w:val="both"/>
        <w:rPr>
          <w:sz w:val="22"/>
          <w:szCs w:val="22"/>
          <w:lang w:val="sr-Latn-ME"/>
        </w:rPr>
      </w:pPr>
    </w:p>
    <w:p w14:paraId="47AF0B72" w14:textId="337CECB9" w:rsidR="009D6B90" w:rsidRPr="00840456" w:rsidRDefault="009D6B90" w:rsidP="009D6B90">
      <w:pPr>
        <w:widowControl w:val="0"/>
        <w:overflowPunct w:val="0"/>
        <w:autoSpaceDE w:val="0"/>
        <w:autoSpaceDN w:val="0"/>
        <w:adjustRightInd w:val="0"/>
        <w:spacing w:line="241" w:lineRule="auto"/>
        <w:ind w:left="20"/>
        <w:jc w:val="both"/>
        <w:rPr>
          <w:sz w:val="22"/>
          <w:szCs w:val="22"/>
          <w:lang w:val="sr-Latn-ME"/>
        </w:rPr>
      </w:pPr>
      <w:r w:rsidRPr="00840456">
        <w:rPr>
          <w:color w:val="000000"/>
          <w:sz w:val="22"/>
          <w:szCs w:val="22"/>
          <w:lang w:val="sr-Latn-ME"/>
        </w:rPr>
        <w:t>Dodatno, nijesu vršene studije koje bi procijenile efekte smanjenja preporučene doze lijeka Enbrel nakon njegove duže primjene kod pacijenata sa JIA.</w:t>
      </w:r>
    </w:p>
    <w:p w14:paraId="2156EF9B" w14:textId="77777777" w:rsidR="009D6B90" w:rsidRPr="00840456" w:rsidRDefault="009D6B90" w:rsidP="009D6B90">
      <w:pPr>
        <w:widowControl w:val="0"/>
        <w:autoSpaceDE w:val="0"/>
        <w:autoSpaceDN w:val="0"/>
        <w:adjustRightInd w:val="0"/>
        <w:spacing w:line="221" w:lineRule="exact"/>
        <w:jc w:val="both"/>
        <w:rPr>
          <w:sz w:val="22"/>
          <w:szCs w:val="22"/>
          <w:lang w:val="sr-Latn-ME"/>
        </w:rPr>
      </w:pPr>
    </w:p>
    <w:p w14:paraId="796E0CF0" w14:textId="113302D0" w:rsidR="009D6B90" w:rsidRPr="00840456" w:rsidRDefault="009D6B90" w:rsidP="00815D34">
      <w:pPr>
        <w:widowControl w:val="0"/>
        <w:autoSpaceDE w:val="0"/>
        <w:autoSpaceDN w:val="0"/>
        <w:adjustRightInd w:val="0"/>
        <w:ind w:left="20"/>
        <w:jc w:val="both"/>
        <w:rPr>
          <w:sz w:val="22"/>
          <w:szCs w:val="22"/>
          <w:lang w:val="sr-Latn-ME"/>
        </w:rPr>
      </w:pPr>
      <w:r w:rsidRPr="00840456">
        <w:rPr>
          <w:i/>
          <w:color w:val="000000"/>
          <w:sz w:val="22"/>
          <w:szCs w:val="22"/>
          <w:lang w:val="sr-Latn-ME"/>
        </w:rPr>
        <w:t>Pedijatrijski pacijenti sa plak psorijazom</w:t>
      </w:r>
    </w:p>
    <w:p w14:paraId="0DF34E86" w14:textId="77777777" w:rsidR="009D6B90" w:rsidRPr="00840456" w:rsidRDefault="009D6B90" w:rsidP="009D6B90">
      <w:pPr>
        <w:widowControl w:val="0"/>
        <w:overflowPunct w:val="0"/>
        <w:autoSpaceDE w:val="0"/>
        <w:autoSpaceDN w:val="0"/>
        <w:adjustRightInd w:val="0"/>
        <w:ind w:left="20"/>
        <w:jc w:val="both"/>
        <w:rPr>
          <w:sz w:val="22"/>
          <w:szCs w:val="22"/>
          <w:lang w:val="sr-Latn-ME"/>
        </w:rPr>
      </w:pPr>
      <w:r w:rsidRPr="00840456">
        <w:rPr>
          <w:color w:val="000000"/>
          <w:sz w:val="22"/>
          <w:szCs w:val="22"/>
          <w:lang w:val="sr-Latn-ME"/>
        </w:rPr>
        <w:t>Efikasnost lijeka Enbrel je procjenjivana u randomizovanoj, dvostruko-slijepoj, placebo-kontrolisanoj studiji koja je uključivala 211 pedijatrijskih pacijenata od 4 do 17 godina sa umjerenom ili ozbiljnom plak psorijazom (definisanom na osnovu sPGA skora ≥ 3, uključujući ≥ 10% BSA i PASI ≥ 12). Pacijenti pogodni za uključivanje u studiju su ranije primali fototerapiju ili sistemsku terapiju, ili im bolest nije kontrolisana na odgovarajući način uz pomoć topikalne terapije.</w:t>
      </w:r>
    </w:p>
    <w:p w14:paraId="4A181D8E" w14:textId="77777777" w:rsidR="009D6B90" w:rsidRPr="00840456" w:rsidRDefault="009D6B90" w:rsidP="009D6B90">
      <w:pPr>
        <w:widowControl w:val="0"/>
        <w:autoSpaceDE w:val="0"/>
        <w:autoSpaceDN w:val="0"/>
        <w:adjustRightInd w:val="0"/>
        <w:jc w:val="both"/>
        <w:rPr>
          <w:sz w:val="22"/>
          <w:szCs w:val="22"/>
          <w:lang w:val="sr-Latn-ME"/>
        </w:rPr>
      </w:pPr>
    </w:p>
    <w:p w14:paraId="1A32B73E" w14:textId="77777777" w:rsidR="009D6B90" w:rsidRPr="00840456" w:rsidRDefault="009D6B90" w:rsidP="009D6B90">
      <w:pPr>
        <w:pStyle w:val="Header"/>
        <w:tabs>
          <w:tab w:val="left" w:pos="284"/>
        </w:tabs>
        <w:jc w:val="both"/>
        <w:rPr>
          <w:color w:val="000000"/>
          <w:sz w:val="22"/>
          <w:szCs w:val="22"/>
          <w:lang w:val="sr-Latn-ME"/>
        </w:rPr>
      </w:pPr>
      <w:r w:rsidRPr="00840456">
        <w:rPr>
          <w:color w:val="000000"/>
          <w:sz w:val="22"/>
          <w:szCs w:val="22"/>
          <w:lang w:val="sr-Latn-ME"/>
        </w:rPr>
        <w:t xml:space="preserve">Pacijenti koji su primali 0,8 mg/kg (do 50 mg) lijeka Enbrel ili placebo jednom nedjeljno tokom 12 nedjelja. U 12. nedjelji je više pacijenata koji su primali Enbrel imalo pozitivan odgovor efikasnosti (npr. PASI 75) u odnosu na pacijente koji su primali placebo. </w:t>
      </w:r>
    </w:p>
    <w:p w14:paraId="26AC7328" w14:textId="77777777" w:rsidR="009D6B90" w:rsidRPr="00840456" w:rsidRDefault="009D6B90" w:rsidP="009D6B90">
      <w:pPr>
        <w:pStyle w:val="Header"/>
        <w:tabs>
          <w:tab w:val="left" w:pos="284"/>
        </w:tabs>
        <w:jc w:val="both"/>
        <w:rPr>
          <w:color w:val="000000"/>
          <w:sz w:val="22"/>
          <w:szCs w:val="22"/>
          <w:lang w:val="sr-Latn-ME"/>
        </w:rPr>
      </w:pPr>
    </w:p>
    <w:p w14:paraId="40CA90C2" w14:textId="77777777" w:rsidR="009D6B90" w:rsidRPr="00840456" w:rsidRDefault="009D6B90" w:rsidP="00815D34">
      <w:pPr>
        <w:pStyle w:val="Header"/>
        <w:tabs>
          <w:tab w:val="left" w:pos="284"/>
        </w:tabs>
        <w:jc w:val="center"/>
        <w:rPr>
          <w:color w:val="000000"/>
          <w:sz w:val="22"/>
          <w:szCs w:val="22"/>
          <w:lang w:val="sr-Latn-ME"/>
        </w:rPr>
      </w:pPr>
      <w:r w:rsidRPr="00840456">
        <w:rPr>
          <w:b/>
          <w:sz w:val="22"/>
          <w:szCs w:val="22"/>
          <w:lang w:val="sr-Latn-ME"/>
        </w:rPr>
        <w:t>Rezultati pedijatrijske plak psorijaze u 12. nedjelji</w:t>
      </w:r>
    </w:p>
    <w:tbl>
      <w:tblPr>
        <w:tblW w:w="0" w:type="auto"/>
        <w:tblLayout w:type="fixed"/>
        <w:tblLook w:val="04A0" w:firstRow="1" w:lastRow="0" w:firstColumn="1" w:lastColumn="0" w:noHBand="0" w:noVBand="1"/>
      </w:tblPr>
      <w:tblGrid>
        <w:gridCol w:w="3865"/>
        <w:gridCol w:w="2773"/>
        <w:gridCol w:w="2627"/>
      </w:tblGrid>
      <w:tr w:rsidR="009D6B90" w:rsidRPr="00840456" w14:paraId="034E33B0" w14:textId="77777777" w:rsidTr="00AD2A61">
        <w:tc>
          <w:tcPr>
            <w:tcW w:w="3865" w:type="dxa"/>
            <w:tcBorders>
              <w:top w:val="single" w:sz="4" w:space="0" w:color="auto"/>
              <w:bottom w:val="single" w:sz="4" w:space="0" w:color="auto"/>
            </w:tcBorders>
          </w:tcPr>
          <w:p w14:paraId="36204A67" w14:textId="77777777" w:rsidR="009D6B90" w:rsidRPr="00840456" w:rsidRDefault="009D6B90" w:rsidP="00AD2A61">
            <w:pPr>
              <w:autoSpaceDE w:val="0"/>
              <w:autoSpaceDN w:val="0"/>
              <w:adjustRightInd w:val="0"/>
              <w:jc w:val="both"/>
              <w:rPr>
                <w:sz w:val="22"/>
                <w:szCs w:val="22"/>
                <w:lang w:val="sr-Latn-ME"/>
              </w:rPr>
            </w:pPr>
          </w:p>
        </w:tc>
        <w:tc>
          <w:tcPr>
            <w:tcW w:w="2773" w:type="dxa"/>
            <w:tcBorders>
              <w:top w:val="single" w:sz="4" w:space="0" w:color="auto"/>
              <w:bottom w:val="single" w:sz="4" w:space="0" w:color="auto"/>
            </w:tcBorders>
          </w:tcPr>
          <w:p w14:paraId="0FD328CA" w14:textId="77777777" w:rsidR="009D6B90" w:rsidRPr="00840456" w:rsidRDefault="009D6B90" w:rsidP="00AD2A61">
            <w:pPr>
              <w:autoSpaceDE w:val="0"/>
              <w:autoSpaceDN w:val="0"/>
              <w:adjustRightInd w:val="0"/>
              <w:jc w:val="both"/>
              <w:rPr>
                <w:b/>
                <w:sz w:val="22"/>
                <w:szCs w:val="22"/>
                <w:lang w:val="sr-Latn-ME"/>
              </w:rPr>
            </w:pPr>
            <w:r w:rsidRPr="00840456">
              <w:rPr>
                <w:b/>
                <w:sz w:val="22"/>
                <w:szCs w:val="22"/>
                <w:lang w:val="sr-Latn-ME"/>
              </w:rPr>
              <w:t>Enbrel</w:t>
            </w:r>
          </w:p>
          <w:p w14:paraId="32D078EB" w14:textId="77777777" w:rsidR="009D6B90" w:rsidRPr="00840456" w:rsidRDefault="009D6B90" w:rsidP="00AD2A61">
            <w:pPr>
              <w:autoSpaceDE w:val="0"/>
              <w:autoSpaceDN w:val="0"/>
              <w:adjustRightInd w:val="0"/>
              <w:jc w:val="both"/>
              <w:rPr>
                <w:b/>
                <w:sz w:val="22"/>
                <w:szCs w:val="22"/>
                <w:lang w:val="sr-Latn-ME"/>
              </w:rPr>
            </w:pPr>
            <w:r w:rsidRPr="00840456">
              <w:rPr>
                <w:b/>
                <w:sz w:val="22"/>
                <w:szCs w:val="22"/>
                <w:lang w:val="sr-Latn-ME"/>
              </w:rPr>
              <w:t>0,8 mg/kg jednom nedjeljno</w:t>
            </w:r>
          </w:p>
          <w:p w14:paraId="02BB974E" w14:textId="77777777" w:rsidR="009D6B90" w:rsidRPr="00840456" w:rsidRDefault="009D6B90" w:rsidP="00AD2A61">
            <w:pPr>
              <w:autoSpaceDE w:val="0"/>
              <w:autoSpaceDN w:val="0"/>
              <w:adjustRightInd w:val="0"/>
              <w:jc w:val="both"/>
              <w:rPr>
                <w:sz w:val="22"/>
                <w:szCs w:val="22"/>
                <w:lang w:val="sr-Latn-ME"/>
              </w:rPr>
            </w:pPr>
            <w:r w:rsidRPr="00840456">
              <w:rPr>
                <w:b/>
                <w:sz w:val="22"/>
                <w:szCs w:val="22"/>
                <w:lang w:val="sr-Latn-ME"/>
              </w:rPr>
              <w:t>(n=106)</w:t>
            </w:r>
          </w:p>
        </w:tc>
        <w:tc>
          <w:tcPr>
            <w:tcW w:w="2627" w:type="dxa"/>
            <w:tcBorders>
              <w:top w:val="single" w:sz="4" w:space="0" w:color="auto"/>
              <w:bottom w:val="single" w:sz="4" w:space="0" w:color="auto"/>
            </w:tcBorders>
          </w:tcPr>
          <w:p w14:paraId="71A84D32" w14:textId="77777777" w:rsidR="009D6B90" w:rsidRPr="00840456" w:rsidRDefault="009D6B90" w:rsidP="00AD2A61">
            <w:pPr>
              <w:autoSpaceDE w:val="0"/>
              <w:autoSpaceDN w:val="0"/>
              <w:adjustRightInd w:val="0"/>
              <w:jc w:val="both"/>
              <w:rPr>
                <w:b/>
                <w:sz w:val="22"/>
                <w:szCs w:val="22"/>
                <w:lang w:val="sr-Latn-ME"/>
              </w:rPr>
            </w:pPr>
          </w:p>
          <w:p w14:paraId="60A66A68" w14:textId="77777777" w:rsidR="009D6B90" w:rsidRPr="00840456" w:rsidRDefault="009D6B90" w:rsidP="00AD2A61">
            <w:pPr>
              <w:autoSpaceDE w:val="0"/>
              <w:autoSpaceDN w:val="0"/>
              <w:adjustRightInd w:val="0"/>
              <w:jc w:val="both"/>
              <w:rPr>
                <w:b/>
                <w:sz w:val="22"/>
                <w:szCs w:val="22"/>
                <w:lang w:val="sr-Latn-ME"/>
              </w:rPr>
            </w:pPr>
          </w:p>
          <w:p w14:paraId="6B4CF045" w14:textId="77777777" w:rsidR="009D6B90" w:rsidRPr="00840456" w:rsidRDefault="009D6B90" w:rsidP="00AD2A61">
            <w:pPr>
              <w:autoSpaceDE w:val="0"/>
              <w:autoSpaceDN w:val="0"/>
              <w:adjustRightInd w:val="0"/>
              <w:jc w:val="both"/>
              <w:rPr>
                <w:b/>
                <w:sz w:val="22"/>
                <w:szCs w:val="22"/>
                <w:lang w:val="sr-Latn-ME"/>
              </w:rPr>
            </w:pPr>
            <w:r w:rsidRPr="00840456">
              <w:rPr>
                <w:b/>
                <w:sz w:val="22"/>
                <w:szCs w:val="22"/>
                <w:lang w:val="sr-Latn-ME"/>
              </w:rPr>
              <w:t>Placebo</w:t>
            </w:r>
          </w:p>
          <w:p w14:paraId="01AA74C4" w14:textId="77777777" w:rsidR="009D6B90" w:rsidRPr="00840456" w:rsidRDefault="009D6B90" w:rsidP="00AD2A61">
            <w:pPr>
              <w:autoSpaceDE w:val="0"/>
              <w:autoSpaceDN w:val="0"/>
              <w:adjustRightInd w:val="0"/>
              <w:jc w:val="both"/>
              <w:rPr>
                <w:sz w:val="22"/>
                <w:szCs w:val="22"/>
                <w:lang w:val="sr-Latn-ME"/>
              </w:rPr>
            </w:pPr>
            <w:r w:rsidRPr="00840456">
              <w:rPr>
                <w:b/>
                <w:sz w:val="22"/>
                <w:szCs w:val="22"/>
                <w:lang w:val="sr-Latn-ME"/>
              </w:rPr>
              <w:t>(n=105)</w:t>
            </w:r>
          </w:p>
        </w:tc>
      </w:tr>
      <w:tr w:rsidR="009D6B90" w:rsidRPr="00840456" w14:paraId="765959D4" w14:textId="77777777" w:rsidTr="00AD2A61">
        <w:tc>
          <w:tcPr>
            <w:tcW w:w="3865" w:type="dxa"/>
            <w:tcBorders>
              <w:top w:val="single" w:sz="4" w:space="0" w:color="auto"/>
            </w:tcBorders>
          </w:tcPr>
          <w:p w14:paraId="6A21880E" w14:textId="77777777" w:rsidR="009D6B90" w:rsidRPr="00840456" w:rsidRDefault="009D6B90" w:rsidP="00AD2A61">
            <w:pPr>
              <w:autoSpaceDE w:val="0"/>
              <w:autoSpaceDN w:val="0"/>
              <w:adjustRightInd w:val="0"/>
              <w:jc w:val="both"/>
              <w:rPr>
                <w:sz w:val="22"/>
                <w:szCs w:val="22"/>
                <w:lang w:val="sr-Latn-ME"/>
              </w:rPr>
            </w:pPr>
            <w:r w:rsidRPr="00840456">
              <w:rPr>
                <w:sz w:val="22"/>
                <w:szCs w:val="22"/>
                <w:lang w:val="sr-Latn-ME"/>
              </w:rPr>
              <w:t>PASI 75, n (%)</w:t>
            </w:r>
          </w:p>
        </w:tc>
        <w:tc>
          <w:tcPr>
            <w:tcW w:w="2773" w:type="dxa"/>
            <w:tcBorders>
              <w:top w:val="single" w:sz="4" w:space="0" w:color="auto"/>
            </w:tcBorders>
          </w:tcPr>
          <w:p w14:paraId="236D7CDD" w14:textId="77777777" w:rsidR="009D6B90" w:rsidRPr="00840456" w:rsidRDefault="009D6B90" w:rsidP="00AD2A61">
            <w:pPr>
              <w:autoSpaceDE w:val="0"/>
              <w:autoSpaceDN w:val="0"/>
              <w:adjustRightInd w:val="0"/>
              <w:jc w:val="both"/>
              <w:rPr>
                <w:sz w:val="22"/>
                <w:szCs w:val="22"/>
                <w:vertAlign w:val="superscript"/>
                <w:lang w:val="sr-Latn-ME"/>
              </w:rPr>
            </w:pPr>
            <w:r w:rsidRPr="00840456">
              <w:rPr>
                <w:sz w:val="22"/>
                <w:szCs w:val="22"/>
                <w:lang w:val="sr-Latn-ME"/>
              </w:rPr>
              <w:t>60 (57%)</w:t>
            </w:r>
            <w:r w:rsidRPr="00840456">
              <w:rPr>
                <w:sz w:val="22"/>
                <w:szCs w:val="22"/>
                <w:vertAlign w:val="superscript"/>
                <w:lang w:val="sr-Latn-ME"/>
              </w:rPr>
              <w:t>a</w:t>
            </w:r>
          </w:p>
        </w:tc>
        <w:tc>
          <w:tcPr>
            <w:tcW w:w="2627" w:type="dxa"/>
            <w:tcBorders>
              <w:top w:val="single" w:sz="4" w:space="0" w:color="auto"/>
            </w:tcBorders>
          </w:tcPr>
          <w:p w14:paraId="3A5BFF2E" w14:textId="77777777" w:rsidR="009D6B90" w:rsidRPr="00840456" w:rsidRDefault="009D6B90" w:rsidP="00AD2A61">
            <w:pPr>
              <w:autoSpaceDE w:val="0"/>
              <w:autoSpaceDN w:val="0"/>
              <w:adjustRightInd w:val="0"/>
              <w:jc w:val="both"/>
              <w:rPr>
                <w:sz w:val="22"/>
                <w:szCs w:val="22"/>
                <w:lang w:val="sr-Latn-ME"/>
              </w:rPr>
            </w:pPr>
            <w:r w:rsidRPr="00840456">
              <w:rPr>
                <w:sz w:val="22"/>
                <w:szCs w:val="22"/>
                <w:lang w:val="sr-Latn-ME"/>
              </w:rPr>
              <w:t>12 (11%)</w:t>
            </w:r>
          </w:p>
        </w:tc>
      </w:tr>
      <w:tr w:rsidR="009D6B90" w:rsidRPr="00840456" w14:paraId="293C70B2" w14:textId="77777777" w:rsidTr="00AD2A61">
        <w:tc>
          <w:tcPr>
            <w:tcW w:w="3865" w:type="dxa"/>
          </w:tcPr>
          <w:p w14:paraId="5CD81D37" w14:textId="77777777" w:rsidR="009D6B90" w:rsidRPr="00840456" w:rsidRDefault="009D6B90" w:rsidP="00AD2A61">
            <w:pPr>
              <w:autoSpaceDE w:val="0"/>
              <w:autoSpaceDN w:val="0"/>
              <w:adjustRightInd w:val="0"/>
              <w:jc w:val="both"/>
              <w:rPr>
                <w:sz w:val="22"/>
                <w:szCs w:val="22"/>
                <w:lang w:val="sr-Latn-ME"/>
              </w:rPr>
            </w:pPr>
            <w:r w:rsidRPr="00840456">
              <w:rPr>
                <w:sz w:val="22"/>
                <w:szCs w:val="22"/>
                <w:lang w:val="sr-Latn-ME"/>
              </w:rPr>
              <w:t>PASI 50, n (%)</w:t>
            </w:r>
          </w:p>
        </w:tc>
        <w:tc>
          <w:tcPr>
            <w:tcW w:w="2773" w:type="dxa"/>
          </w:tcPr>
          <w:p w14:paraId="69E5A2EA" w14:textId="77777777" w:rsidR="009D6B90" w:rsidRPr="00840456" w:rsidRDefault="009D6B90" w:rsidP="00AD2A61">
            <w:pPr>
              <w:autoSpaceDE w:val="0"/>
              <w:autoSpaceDN w:val="0"/>
              <w:adjustRightInd w:val="0"/>
              <w:jc w:val="both"/>
              <w:rPr>
                <w:sz w:val="22"/>
                <w:szCs w:val="22"/>
                <w:vertAlign w:val="superscript"/>
                <w:lang w:val="sr-Latn-ME"/>
              </w:rPr>
            </w:pPr>
            <w:r w:rsidRPr="00840456">
              <w:rPr>
                <w:sz w:val="22"/>
                <w:szCs w:val="22"/>
                <w:lang w:val="sr-Latn-ME"/>
              </w:rPr>
              <w:t>79 (75%)</w:t>
            </w:r>
            <w:r w:rsidRPr="00840456">
              <w:rPr>
                <w:sz w:val="22"/>
                <w:szCs w:val="22"/>
                <w:vertAlign w:val="superscript"/>
                <w:lang w:val="sr-Latn-ME"/>
              </w:rPr>
              <w:t>a</w:t>
            </w:r>
          </w:p>
        </w:tc>
        <w:tc>
          <w:tcPr>
            <w:tcW w:w="2627" w:type="dxa"/>
          </w:tcPr>
          <w:p w14:paraId="29A7E657" w14:textId="77777777" w:rsidR="009D6B90" w:rsidRPr="00840456" w:rsidRDefault="009D6B90" w:rsidP="00AD2A61">
            <w:pPr>
              <w:autoSpaceDE w:val="0"/>
              <w:autoSpaceDN w:val="0"/>
              <w:adjustRightInd w:val="0"/>
              <w:jc w:val="both"/>
              <w:rPr>
                <w:sz w:val="22"/>
                <w:szCs w:val="22"/>
                <w:lang w:val="sr-Latn-ME"/>
              </w:rPr>
            </w:pPr>
            <w:r w:rsidRPr="00840456">
              <w:rPr>
                <w:sz w:val="22"/>
                <w:szCs w:val="22"/>
                <w:lang w:val="sr-Latn-ME"/>
              </w:rPr>
              <w:t>24 (23%)</w:t>
            </w:r>
          </w:p>
        </w:tc>
      </w:tr>
      <w:tr w:rsidR="009D6B90" w:rsidRPr="00840456" w14:paraId="71496113" w14:textId="77777777" w:rsidTr="00AD2A61">
        <w:tc>
          <w:tcPr>
            <w:tcW w:w="3865" w:type="dxa"/>
            <w:tcBorders>
              <w:bottom w:val="single" w:sz="4" w:space="0" w:color="auto"/>
            </w:tcBorders>
          </w:tcPr>
          <w:p w14:paraId="0EBC3562" w14:textId="77777777" w:rsidR="009D6B90" w:rsidRPr="00840456" w:rsidRDefault="009D6B90" w:rsidP="00AD2A61">
            <w:pPr>
              <w:autoSpaceDE w:val="0"/>
              <w:autoSpaceDN w:val="0"/>
              <w:adjustRightInd w:val="0"/>
              <w:jc w:val="both"/>
              <w:rPr>
                <w:sz w:val="22"/>
                <w:szCs w:val="22"/>
                <w:lang w:val="sr-Latn-ME"/>
              </w:rPr>
            </w:pPr>
            <w:r w:rsidRPr="00840456">
              <w:rPr>
                <w:sz w:val="22"/>
                <w:szCs w:val="22"/>
                <w:lang w:val="sr-Latn-ME"/>
              </w:rPr>
              <w:t>sPGA “čist“ ili “minimalan“, n (%)</w:t>
            </w:r>
          </w:p>
        </w:tc>
        <w:tc>
          <w:tcPr>
            <w:tcW w:w="2773" w:type="dxa"/>
            <w:tcBorders>
              <w:bottom w:val="single" w:sz="4" w:space="0" w:color="auto"/>
            </w:tcBorders>
          </w:tcPr>
          <w:p w14:paraId="6558A679" w14:textId="77777777" w:rsidR="009D6B90" w:rsidRPr="00840456" w:rsidRDefault="009D6B90" w:rsidP="00AD2A61">
            <w:pPr>
              <w:autoSpaceDE w:val="0"/>
              <w:autoSpaceDN w:val="0"/>
              <w:adjustRightInd w:val="0"/>
              <w:jc w:val="both"/>
              <w:rPr>
                <w:sz w:val="22"/>
                <w:szCs w:val="22"/>
                <w:vertAlign w:val="superscript"/>
                <w:lang w:val="sr-Latn-ME"/>
              </w:rPr>
            </w:pPr>
            <w:r w:rsidRPr="00840456">
              <w:rPr>
                <w:sz w:val="22"/>
                <w:szCs w:val="22"/>
                <w:lang w:val="sr-Latn-ME"/>
              </w:rPr>
              <w:t>56 (53%)</w:t>
            </w:r>
            <w:r w:rsidRPr="00840456">
              <w:rPr>
                <w:sz w:val="22"/>
                <w:szCs w:val="22"/>
                <w:vertAlign w:val="superscript"/>
                <w:lang w:val="sr-Latn-ME"/>
              </w:rPr>
              <w:t>a</w:t>
            </w:r>
          </w:p>
        </w:tc>
        <w:tc>
          <w:tcPr>
            <w:tcW w:w="2627" w:type="dxa"/>
            <w:tcBorders>
              <w:bottom w:val="single" w:sz="4" w:space="0" w:color="auto"/>
            </w:tcBorders>
          </w:tcPr>
          <w:p w14:paraId="14F760CD" w14:textId="77777777" w:rsidR="009D6B90" w:rsidRPr="00840456" w:rsidRDefault="009D6B90" w:rsidP="00AD2A61">
            <w:pPr>
              <w:autoSpaceDE w:val="0"/>
              <w:autoSpaceDN w:val="0"/>
              <w:adjustRightInd w:val="0"/>
              <w:jc w:val="both"/>
              <w:rPr>
                <w:sz w:val="22"/>
                <w:szCs w:val="22"/>
                <w:lang w:val="sr-Latn-ME"/>
              </w:rPr>
            </w:pPr>
            <w:r w:rsidRPr="00840456">
              <w:rPr>
                <w:sz w:val="22"/>
                <w:szCs w:val="22"/>
                <w:lang w:val="sr-Latn-ME"/>
              </w:rPr>
              <w:t>14 (13%)</w:t>
            </w:r>
          </w:p>
        </w:tc>
      </w:tr>
    </w:tbl>
    <w:p w14:paraId="271E167B" w14:textId="77777777" w:rsidR="009D6B90" w:rsidRPr="00840456" w:rsidRDefault="009D6B90" w:rsidP="009D6B90">
      <w:pPr>
        <w:autoSpaceDE w:val="0"/>
        <w:autoSpaceDN w:val="0"/>
        <w:adjustRightInd w:val="0"/>
        <w:ind w:left="562" w:hanging="562"/>
        <w:jc w:val="both"/>
        <w:rPr>
          <w:sz w:val="22"/>
          <w:szCs w:val="22"/>
          <w:lang w:val="sr-Latn-ME"/>
        </w:rPr>
      </w:pPr>
      <w:r w:rsidRPr="00840456">
        <w:rPr>
          <w:sz w:val="22"/>
          <w:szCs w:val="22"/>
          <w:lang w:val="sr-Latn-ME"/>
        </w:rPr>
        <w:t>Skraćenica: sPGA statička opšta ocjena ljekara</w:t>
      </w:r>
    </w:p>
    <w:p w14:paraId="48513AD5" w14:textId="77777777" w:rsidR="009D6B90" w:rsidRPr="00840456" w:rsidRDefault="009D6B90" w:rsidP="009D6B90">
      <w:pPr>
        <w:pStyle w:val="Header"/>
        <w:tabs>
          <w:tab w:val="left" w:pos="284"/>
        </w:tabs>
        <w:jc w:val="both"/>
        <w:rPr>
          <w:color w:val="000000"/>
          <w:sz w:val="22"/>
          <w:szCs w:val="22"/>
          <w:lang w:val="sr-Latn-ME"/>
        </w:rPr>
      </w:pPr>
      <w:r w:rsidRPr="00840456">
        <w:rPr>
          <w:sz w:val="22"/>
          <w:szCs w:val="22"/>
          <w:lang w:val="sr-Latn-ME"/>
        </w:rPr>
        <w:t xml:space="preserve">a. p&lt; 0,0001 u odnosu na placebo </w:t>
      </w:r>
    </w:p>
    <w:p w14:paraId="6F4AE886" w14:textId="77777777" w:rsidR="009D6B90" w:rsidRPr="00840456" w:rsidRDefault="009D6B90" w:rsidP="009D6B90">
      <w:pPr>
        <w:pStyle w:val="Header"/>
        <w:tabs>
          <w:tab w:val="left" w:pos="284"/>
        </w:tabs>
        <w:jc w:val="both"/>
        <w:rPr>
          <w:color w:val="000000"/>
          <w:sz w:val="22"/>
          <w:szCs w:val="22"/>
          <w:lang w:val="sr-Latn-ME"/>
        </w:rPr>
      </w:pPr>
    </w:p>
    <w:p w14:paraId="27C75325" w14:textId="77777777" w:rsidR="009D6B90" w:rsidRPr="00840456" w:rsidRDefault="009D6B90" w:rsidP="009D6B90">
      <w:pPr>
        <w:pStyle w:val="Header"/>
        <w:tabs>
          <w:tab w:val="left" w:pos="284"/>
        </w:tabs>
        <w:jc w:val="both"/>
        <w:rPr>
          <w:color w:val="000000"/>
          <w:sz w:val="22"/>
          <w:szCs w:val="22"/>
          <w:lang w:val="sr-Latn-ME"/>
        </w:rPr>
      </w:pPr>
      <w:r w:rsidRPr="00840456">
        <w:rPr>
          <w:color w:val="000000"/>
          <w:sz w:val="22"/>
          <w:szCs w:val="22"/>
          <w:lang w:val="sr-Latn-ME"/>
        </w:rPr>
        <w:lastRenderedPageBreak/>
        <w:t xml:space="preserve">Nakon 12-nedjeljnog dvostruko-slijepog terapijskog perioda, svi pacijenti su primali Enbrel 0,8 mg/kg (do 50 mg) jednom nedjeljno tokom 24 dodatne nedjelje. Odgovori primijećeni tokom otvorenog perioda su bili slični onima koji su opaženi u dvostruko-slijepom periodu. </w:t>
      </w:r>
    </w:p>
    <w:p w14:paraId="24CD6CAA" w14:textId="77777777" w:rsidR="009D6B90" w:rsidRPr="00840456" w:rsidRDefault="009D6B90" w:rsidP="009D6B90">
      <w:pPr>
        <w:pStyle w:val="Header"/>
        <w:tabs>
          <w:tab w:val="left" w:pos="284"/>
        </w:tabs>
        <w:jc w:val="both"/>
        <w:rPr>
          <w:color w:val="000000"/>
          <w:sz w:val="22"/>
          <w:szCs w:val="22"/>
          <w:lang w:val="sr-Latn-ME"/>
        </w:rPr>
      </w:pPr>
    </w:p>
    <w:p w14:paraId="77CE6E67" w14:textId="76E6AE57" w:rsidR="009D6B90" w:rsidRPr="00840456" w:rsidRDefault="009D6B90" w:rsidP="009D6B90">
      <w:pPr>
        <w:widowControl w:val="0"/>
        <w:overflowPunct w:val="0"/>
        <w:autoSpaceDE w:val="0"/>
        <w:autoSpaceDN w:val="0"/>
        <w:adjustRightInd w:val="0"/>
        <w:spacing w:line="244" w:lineRule="auto"/>
        <w:ind w:left="20"/>
        <w:jc w:val="both"/>
        <w:rPr>
          <w:sz w:val="22"/>
          <w:szCs w:val="22"/>
          <w:lang w:val="sr-Latn-ME"/>
        </w:rPr>
      </w:pPr>
      <w:r w:rsidRPr="00840456">
        <w:rPr>
          <w:color w:val="000000"/>
          <w:sz w:val="22"/>
          <w:szCs w:val="22"/>
          <w:lang w:val="sr-Latn-ME"/>
        </w:rPr>
        <w:t>Tokom randomizovanog perioda prestanka primjene lijeka, značajno veći broj pacijenata koji su ponovo randomizovani na placebo je doživ</w:t>
      </w:r>
      <w:r w:rsidR="00672C70" w:rsidRPr="00840456">
        <w:rPr>
          <w:color w:val="000000"/>
          <w:sz w:val="22"/>
          <w:szCs w:val="22"/>
          <w:lang w:val="sr-Latn-ME"/>
        </w:rPr>
        <w:t>j</w:t>
      </w:r>
      <w:r w:rsidRPr="00840456">
        <w:rPr>
          <w:color w:val="000000"/>
          <w:sz w:val="22"/>
          <w:szCs w:val="22"/>
          <w:lang w:val="sr-Latn-ME"/>
        </w:rPr>
        <w:t>elo relaps bolesti (gubitak PASI 75 odgovora) u poređenju sa pacijentima koji su ponovo randomizovani na lijek Enbrel. Primjenom kontinuirane terapije, odgovori su se zadržali i do 48 nedjelja.</w:t>
      </w:r>
    </w:p>
    <w:p w14:paraId="456E4B8C" w14:textId="77777777" w:rsidR="009D6B90" w:rsidRPr="00840456" w:rsidRDefault="009D6B90" w:rsidP="009D6B90">
      <w:pPr>
        <w:widowControl w:val="0"/>
        <w:autoSpaceDE w:val="0"/>
        <w:autoSpaceDN w:val="0"/>
        <w:adjustRightInd w:val="0"/>
        <w:spacing w:line="196" w:lineRule="exact"/>
        <w:jc w:val="both"/>
        <w:rPr>
          <w:sz w:val="22"/>
          <w:szCs w:val="22"/>
          <w:lang w:val="sr-Latn-ME"/>
        </w:rPr>
      </w:pPr>
    </w:p>
    <w:p w14:paraId="33550384" w14:textId="77777777" w:rsidR="009D6B90" w:rsidRPr="00840456" w:rsidRDefault="009D6B90" w:rsidP="009D6B90">
      <w:pPr>
        <w:pStyle w:val="Header"/>
        <w:tabs>
          <w:tab w:val="left" w:pos="284"/>
        </w:tabs>
        <w:jc w:val="both"/>
        <w:rPr>
          <w:color w:val="000000"/>
          <w:sz w:val="22"/>
          <w:szCs w:val="22"/>
          <w:lang w:val="sr-Latn-ME"/>
        </w:rPr>
      </w:pPr>
      <w:r w:rsidRPr="00840456">
        <w:rPr>
          <w:color w:val="000000"/>
          <w:sz w:val="22"/>
          <w:szCs w:val="22"/>
          <w:lang w:val="sr-Latn-ME"/>
        </w:rPr>
        <w:t xml:space="preserve">Dugotrajna bezbjednost i efikasnost lijeka Enbrel pri dozi 0,8 mg/kg (do najviše 50 mg), jednom nedjeljno, procjenjivana je u jednoj otvorenoj, nastavljenoj studiji na 181 pedijatrijskih pacijenata sa plak psorijazom u trajanju do 2 godine poslije 48-nedjeljne studije koja je opisana iznad. Dugotrajnom upotrebom lijeka Enbrel nije ustanovljen nijedan novi bezbjednosni zaključak. Sveobuhvatni profil bezbjednosti i rizika je bio pogodan i u skladu sa originalnom 48-nedjeljnom studijom. </w:t>
      </w:r>
    </w:p>
    <w:p w14:paraId="15DA5DB2" w14:textId="5F74A7A2" w:rsidR="002E37A5" w:rsidRPr="00840456" w:rsidRDefault="002E37A5" w:rsidP="009D6B90">
      <w:pPr>
        <w:tabs>
          <w:tab w:val="left" w:pos="540"/>
          <w:tab w:val="left" w:pos="569"/>
        </w:tabs>
        <w:rPr>
          <w:b/>
          <w:bCs/>
          <w:sz w:val="22"/>
          <w:szCs w:val="22"/>
          <w:lang w:val="sr-Latn-ME"/>
        </w:rPr>
      </w:pPr>
    </w:p>
    <w:p w14:paraId="75493427"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5.2. </w:t>
      </w:r>
      <w:r w:rsidR="00480FB1" w:rsidRPr="00840456">
        <w:rPr>
          <w:b/>
          <w:bCs/>
          <w:sz w:val="22"/>
          <w:szCs w:val="22"/>
          <w:lang w:val="sr-Latn-ME"/>
        </w:rPr>
        <w:tab/>
      </w:r>
      <w:r w:rsidRPr="00840456">
        <w:rPr>
          <w:b/>
          <w:bCs/>
          <w:sz w:val="22"/>
          <w:szCs w:val="22"/>
          <w:lang w:val="sr-Latn-ME"/>
        </w:rPr>
        <w:t>Farmakokinetički podaci</w:t>
      </w:r>
      <w:r w:rsidR="003A7059" w:rsidRPr="00840456">
        <w:rPr>
          <w:b/>
          <w:bCs/>
          <w:sz w:val="22"/>
          <w:szCs w:val="22"/>
          <w:lang w:val="sr-Latn-ME"/>
        </w:rPr>
        <w:t xml:space="preserve"> </w:t>
      </w:r>
    </w:p>
    <w:p w14:paraId="667504AD" w14:textId="77777777" w:rsidR="00822D60" w:rsidRPr="00840456" w:rsidRDefault="00822D60" w:rsidP="00480FB1">
      <w:pPr>
        <w:tabs>
          <w:tab w:val="left" w:pos="540"/>
          <w:tab w:val="left" w:pos="569"/>
        </w:tabs>
        <w:rPr>
          <w:b/>
          <w:bCs/>
          <w:sz w:val="22"/>
          <w:szCs w:val="22"/>
          <w:lang w:val="sr-Latn-ME"/>
        </w:rPr>
      </w:pPr>
    </w:p>
    <w:p w14:paraId="582D0A19" w14:textId="77777777" w:rsidR="00822D60" w:rsidRPr="00840456" w:rsidRDefault="00822D60" w:rsidP="00822D60">
      <w:pPr>
        <w:widowControl w:val="0"/>
        <w:overflowPunct w:val="0"/>
        <w:autoSpaceDE w:val="0"/>
        <w:autoSpaceDN w:val="0"/>
        <w:adjustRightInd w:val="0"/>
        <w:spacing w:line="262" w:lineRule="auto"/>
        <w:ind w:left="20"/>
        <w:jc w:val="both"/>
        <w:rPr>
          <w:sz w:val="22"/>
          <w:szCs w:val="22"/>
          <w:lang w:val="sr-Latn-ME"/>
        </w:rPr>
      </w:pPr>
      <w:r w:rsidRPr="00840456">
        <w:rPr>
          <w:color w:val="000000"/>
          <w:sz w:val="22"/>
          <w:szCs w:val="22"/>
          <w:lang w:val="sr-Latn-ME"/>
        </w:rPr>
        <w:t>Serumske vrijednosti etanercepta su određivane ELISA metodom, pomoću koje se uz dato jedinjenje mogu detektovati i ELISA-reaktivni proizvodi degradacije.</w:t>
      </w:r>
    </w:p>
    <w:p w14:paraId="52E940B1" w14:textId="77777777" w:rsidR="00822D60" w:rsidRPr="00840456" w:rsidRDefault="00822D60" w:rsidP="00822D60">
      <w:pPr>
        <w:widowControl w:val="0"/>
        <w:autoSpaceDE w:val="0"/>
        <w:autoSpaceDN w:val="0"/>
        <w:adjustRightInd w:val="0"/>
        <w:spacing w:line="201" w:lineRule="exact"/>
        <w:jc w:val="both"/>
        <w:rPr>
          <w:sz w:val="22"/>
          <w:szCs w:val="22"/>
          <w:lang w:val="sr-Latn-ME"/>
        </w:rPr>
      </w:pPr>
    </w:p>
    <w:p w14:paraId="59639772" w14:textId="77777777" w:rsidR="00822D60" w:rsidRPr="00840456" w:rsidRDefault="00822D60" w:rsidP="00822D60">
      <w:pPr>
        <w:widowControl w:val="0"/>
        <w:autoSpaceDE w:val="0"/>
        <w:autoSpaceDN w:val="0"/>
        <w:adjustRightInd w:val="0"/>
        <w:ind w:left="20"/>
        <w:jc w:val="both"/>
        <w:rPr>
          <w:sz w:val="22"/>
          <w:szCs w:val="22"/>
          <w:u w:val="single"/>
          <w:lang w:val="sr-Latn-ME"/>
        </w:rPr>
      </w:pPr>
      <w:r w:rsidRPr="00840456">
        <w:rPr>
          <w:bCs/>
          <w:color w:val="000000"/>
          <w:sz w:val="22"/>
          <w:szCs w:val="22"/>
          <w:u w:val="single"/>
          <w:lang w:val="sr-Latn-ME"/>
        </w:rPr>
        <w:t>Resorpcija</w:t>
      </w:r>
    </w:p>
    <w:p w14:paraId="5CB5E5C0" w14:textId="77777777" w:rsidR="00822D60" w:rsidRPr="00840456" w:rsidRDefault="00822D60" w:rsidP="00822D60">
      <w:pPr>
        <w:widowControl w:val="0"/>
        <w:autoSpaceDE w:val="0"/>
        <w:autoSpaceDN w:val="0"/>
        <w:adjustRightInd w:val="0"/>
        <w:spacing w:line="258" w:lineRule="exact"/>
        <w:jc w:val="both"/>
        <w:rPr>
          <w:sz w:val="22"/>
          <w:szCs w:val="22"/>
          <w:lang w:val="sr-Latn-ME"/>
        </w:rPr>
      </w:pPr>
    </w:p>
    <w:p w14:paraId="493BE1D3" w14:textId="249C0670" w:rsidR="00822D60" w:rsidRPr="00840456" w:rsidRDefault="00822D60" w:rsidP="00822D60">
      <w:pPr>
        <w:widowControl w:val="0"/>
        <w:overflowPunct w:val="0"/>
        <w:autoSpaceDE w:val="0"/>
        <w:autoSpaceDN w:val="0"/>
        <w:adjustRightInd w:val="0"/>
        <w:spacing w:line="239" w:lineRule="auto"/>
        <w:ind w:left="20"/>
        <w:jc w:val="both"/>
        <w:rPr>
          <w:sz w:val="22"/>
          <w:szCs w:val="22"/>
          <w:lang w:val="sr-Latn-ME"/>
        </w:rPr>
      </w:pPr>
      <w:r w:rsidRPr="00840456">
        <w:rPr>
          <w:color w:val="000000"/>
          <w:sz w:val="22"/>
          <w:szCs w:val="22"/>
          <w:lang w:val="sr-Latn-ME"/>
        </w:rPr>
        <w:t>Etanercept se sporo resorbuje sa mjesta gdje je data subkutana injekcija, dostižući maksimalnu koncentraciju oko 48 časova nakon administracije. Apsolutna bioraspoloživost je 76%. Sa doziranjem od dva puta nedjeljno pretpostavlja se da su koncentracije u stanju ravnoteže (˝steady state˝) dva puta više od koncentracija poslije pojedinačnih doza. Nakon subkutane doze od 25 mg lijeka Enbrel, srednja vrijednost maksimalne serumske koncentracije izmjerene kod zdravih dobrovoljaca je 1,65 ± 0,66 µg/m</w:t>
      </w:r>
      <w:r w:rsidR="00672C70" w:rsidRPr="00840456">
        <w:rPr>
          <w:color w:val="000000"/>
          <w:sz w:val="22"/>
          <w:szCs w:val="22"/>
          <w:lang w:val="sr-Latn-ME"/>
        </w:rPr>
        <w:t>l</w:t>
      </w:r>
      <w:r w:rsidRPr="00840456">
        <w:rPr>
          <w:color w:val="000000"/>
          <w:sz w:val="22"/>
          <w:szCs w:val="22"/>
          <w:lang w:val="sr-Latn-ME"/>
        </w:rPr>
        <w:t>, a površina ispod krive (PIK) je 235 ± 96,6 µg•h/m</w:t>
      </w:r>
      <w:r w:rsidR="00672C70" w:rsidRPr="00840456">
        <w:rPr>
          <w:color w:val="000000"/>
          <w:sz w:val="22"/>
          <w:szCs w:val="22"/>
          <w:lang w:val="sr-Latn-ME"/>
        </w:rPr>
        <w:t>l</w:t>
      </w:r>
      <w:r w:rsidRPr="00840456">
        <w:rPr>
          <w:color w:val="000000"/>
          <w:sz w:val="22"/>
          <w:szCs w:val="22"/>
          <w:lang w:val="sr-Latn-ME"/>
        </w:rPr>
        <w:t>.</w:t>
      </w:r>
    </w:p>
    <w:p w14:paraId="195324C9" w14:textId="77777777" w:rsidR="00822D60" w:rsidRPr="00840456" w:rsidRDefault="00822D60" w:rsidP="00822D60">
      <w:pPr>
        <w:widowControl w:val="0"/>
        <w:autoSpaceDE w:val="0"/>
        <w:autoSpaceDN w:val="0"/>
        <w:adjustRightInd w:val="0"/>
        <w:spacing w:line="1" w:lineRule="exact"/>
        <w:jc w:val="both"/>
        <w:rPr>
          <w:sz w:val="22"/>
          <w:szCs w:val="22"/>
          <w:lang w:val="sr-Latn-ME"/>
        </w:rPr>
      </w:pPr>
    </w:p>
    <w:p w14:paraId="25B6F149" w14:textId="2F68976B" w:rsidR="00822D60" w:rsidRPr="00840456" w:rsidRDefault="00822D60" w:rsidP="00822D60">
      <w:pPr>
        <w:widowControl w:val="0"/>
        <w:overflowPunct w:val="0"/>
        <w:autoSpaceDE w:val="0"/>
        <w:autoSpaceDN w:val="0"/>
        <w:adjustRightInd w:val="0"/>
        <w:spacing w:line="236" w:lineRule="auto"/>
        <w:ind w:left="20"/>
        <w:jc w:val="both"/>
        <w:rPr>
          <w:sz w:val="22"/>
          <w:szCs w:val="22"/>
          <w:lang w:val="sr-Latn-ME"/>
        </w:rPr>
      </w:pPr>
      <w:r w:rsidRPr="00840456">
        <w:rPr>
          <w:color w:val="000000"/>
          <w:sz w:val="22"/>
          <w:szCs w:val="22"/>
          <w:lang w:val="sr-Latn-ME"/>
        </w:rPr>
        <w:t>Prosječne koncentracije lijeka u serumu u stanju ravnoteže kod pacijenata sa reumatoidnim artritisom kod kojih je primjenjivano 50 mg lijeka Enbrel jednom nedjeljno (n=21) vs</w:t>
      </w:r>
      <w:r w:rsidR="00672C70" w:rsidRPr="00840456">
        <w:rPr>
          <w:color w:val="000000"/>
          <w:sz w:val="22"/>
          <w:szCs w:val="22"/>
          <w:lang w:val="sr-Latn-ME"/>
        </w:rPr>
        <w:t>.</w:t>
      </w:r>
      <w:r w:rsidRPr="00840456">
        <w:rPr>
          <w:color w:val="000000"/>
          <w:sz w:val="22"/>
          <w:szCs w:val="22"/>
          <w:lang w:val="sr-Latn-ME"/>
        </w:rPr>
        <w:t xml:space="preserve"> 25 mg lijeka Enbrel dva puta nedjeljno (n=16) bile su: C</w:t>
      </w:r>
      <w:r w:rsidRPr="00840456">
        <w:rPr>
          <w:color w:val="000000"/>
          <w:sz w:val="22"/>
          <w:szCs w:val="22"/>
          <w:vertAlign w:val="subscript"/>
          <w:lang w:val="sr-Latn-ME"/>
        </w:rPr>
        <w:t>max</w:t>
      </w:r>
      <w:r w:rsidRPr="00840456">
        <w:rPr>
          <w:color w:val="000000"/>
          <w:sz w:val="22"/>
          <w:szCs w:val="22"/>
          <w:lang w:val="sr-Latn-ME"/>
        </w:rPr>
        <w:t xml:space="preserve"> 2,4 mg/l vs 2,6 mg/l, C</w:t>
      </w:r>
      <w:r w:rsidRPr="00840456">
        <w:rPr>
          <w:color w:val="000000"/>
          <w:sz w:val="22"/>
          <w:szCs w:val="22"/>
          <w:vertAlign w:val="subscript"/>
          <w:lang w:val="sr-Latn-ME"/>
        </w:rPr>
        <w:t>min</w:t>
      </w:r>
      <w:r w:rsidRPr="00840456">
        <w:rPr>
          <w:color w:val="000000"/>
          <w:sz w:val="22"/>
          <w:szCs w:val="22"/>
          <w:lang w:val="sr-Latn-ME"/>
        </w:rPr>
        <w:t xml:space="preserve"> 1,2 mg/l vs 1,4 mg/l, a vrijednosti PIK 297 mgh/l vs 316 mgh/l. Rezultati otvorene unakrsne studije sa dva režima doziranja, gdje je primijenjena pojedinačna doza lijeka na zdravim dobrovoljcima ukazuju da je etanercept prim</w:t>
      </w:r>
      <w:r w:rsidR="005C5A58" w:rsidRPr="00840456">
        <w:rPr>
          <w:color w:val="000000"/>
          <w:sz w:val="22"/>
          <w:szCs w:val="22"/>
          <w:lang w:val="sr-Latn-ME"/>
        </w:rPr>
        <w:t>i</w:t>
      </w:r>
      <w:r w:rsidRPr="00840456">
        <w:rPr>
          <w:color w:val="000000"/>
          <w:sz w:val="22"/>
          <w:szCs w:val="22"/>
          <w:lang w:val="sr-Latn-ME"/>
        </w:rPr>
        <w:t>jenjen u vidu injekcije od 50 mg/ml bioekvivalentan primjeni u vidu dvije uzastopne injekcije od 25 mg/ml.</w:t>
      </w:r>
    </w:p>
    <w:p w14:paraId="7653552F" w14:textId="77777777" w:rsidR="00822D60" w:rsidRPr="00840456" w:rsidRDefault="00822D60" w:rsidP="00822D60">
      <w:pPr>
        <w:widowControl w:val="0"/>
        <w:autoSpaceDE w:val="0"/>
        <w:autoSpaceDN w:val="0"/>
        <w:adjustRightInd w:val="0"/>
        <w:spacing w:line="228" w:lineRule="exact"/>
        <w:jc w:val="both"/>
        <w:rPr>
          <w:sz w:val="22"/>
          <w:szCs w:val="22"/>
          <w:lang w:val="sr-Latn-ME"/>
        </w:rPr>
      </w:pPr>
    </w:p>
    <w:p w14:paraId="75F7D9D7" w14:textId="77777777" w:rsidR="00822D60" w:rsidRPr="00840456" w:rsidRDefault="00822D60" w:rsidP="00822D60">
      <w:pPr>
        <w:pStyle w:val="Header"/>
        <w:tabs>
          <w:tab w:val="left" w:pos="284"/>
        </w:tabs>
        <w:jc w:val="both"/>
        <w:rPr>
          <w:color w:val="000000"/>
          <w:sz w:val="22"/>
          <w:szCs w:val="22"/>
          <w:lang w:val="sr-Latn-ME"/>
        </w:rPr>
      </w:pPr>
      <w:r w:rsidRPr="00840456">
        <w:rPr>
          <w:color w:val="000000"/>
          <w:sz w:val="22"/>
          <w:szCs w:val="22"/>
          <w:lang w:val="sr-Latn-ME"/>
        </w:rPr>
        <w:t xml:space="preserve">U populacionim farmakokinetičkim analizama, površine ispod krive (PIK) u stanju ravnoteže kod pacijenata sa ankilozirajućim spondilitisom liječenih sa 50 mg lijeka Enbrel jednom nedjeljno (n=154) bile su 466 μgh/ml u poređenju sa 474 μgh/ml kod pacijenata liječenih sa 25 mg lijeka Enbrel dva puta nedjeljno (n=148). </w:t>
      </w:r>
    </w:p>
    <w:p w14:paraId="406D115B" w14:textId="77777777" w:rsidR="00822D60" w:rsidRPr="00840456" w:rsidRDefault="00822D60" w:rsidP="00822D60">
      <w:pPr>
        <w:pStyle w:val="Header"/>
        <w:tabs>
          <w:tab w:val="left" w:pos="284"/>
        </w:tabs>
        <w:jc w:val="both"/>
        <w:rPr>
          <w:color w:val="000000"/>
          <w:sz w:val="22"/>
          <w:szCs w:val="22"/>
          <w:lang w:val="sr-Latn-ME"/>
        </w:rPr>
      </w:pPr>
    </w:p>
    <w:p w14:paraId="333F9A77" w14:textId="77777777" w:rsidR="00822D60" w:rsidRPr="00840456" w:rsidRDefault="00822D60" w:rsidP="00822D60">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Distribucija</w:t>
      </w:r>
    </w:p>
    <w:p w14:paraId="2A1588DF" w14:textId="77777777" w:rsidR="00822D60" w:rsidRPr="00840456" w:rsidRDefault="00822D60" w:rsidP="00822D60">
      <w:pPr>
        <w:widowControl w:val="0"/>
        <w:autoSpaceDE w:val="0"/>
        <w:autoSpaceDN w:val="0"/>
        <w:adjustRightInd w:val="0"/>
        <w:spacing w:line="253" w:lineRule="exact"/>
        <w:jc w:val="both"/>
        <w:rPr>
          <w:sz w:val="22"/>
          <w:szCs w:val="22"/>
          <w:lang w:val="sr-Latn-ME"/>
        </w:rPr>
      </w:pPr>
    </w:p>
    <w:p w14:paraId="17308AFC" w14:textId="77777777" w:rsidR="00822D60" w:rsidRPr="00840456" w:rsidRDefault="00822D60" w:rsidP="00822D60">
      <w:pPr>
        <w:widowControl w:val="0"/>
        <w:overflowPunct w:val="0"/>
        <w:autoSpaceDE w:val="0"/>
        <w:autoSpaceDN w:val="0"/>
        <w:adjustRightInd w:val="0"/>
        <w:spacing w:line="281" w:lineRule="auto"/>
        <w:jc w:val="both"/>
        <w:rPr>
          <w:sz w:val="22"/>
          <w:szCs w:val="22"/>
          <w:lang w:val="sr-Latn-ME"/>
        </w:rPr>
      </w:pPr>
      <w:r w:rsidRPr="00840456">
        <w:rPr>
          <w:color w:val="000000"/>
          <w:sz w:val="22"/>
          <w:szCs w:val="22"/>
          <w:lang w:val="sr-Latn-ME"/>
        </w:rPr>
        <w:t>Vremenska zavisnost koncentracije etanercepta može se opisati bieksponencijalnom krivom. Centralni volumen distribucije etanercepta je 7,6 l, dok je volumen distribucuje u stanju ravnoteže 10,4 l.</w:t>
      </w:r>
    </w:p>
    <w:p w14:paraId="3C50B353" w14:textId="77777777" w:rsidR="00822D60" w:rsidRPr="00840456" w:rsidRDefault="00822D60" w:rsidP="00822D60">
      <w:pPr>
        <w:widowControl w:val="0"/>
        <w:autoSpaceDE w:val="0"/>
        <w:autoSpaceDN w:val="0"/>
        <w:adjustRightInd w:val="0"/>
        <w:spacing w:line="181" w:lineRule="exact"/>
        <w:jc w:val="both"/>
        <w:rPr>
          <w:sz w:val="22"/>
          <w:szCs w:val="22"/>
          <w:lang w:val="sr-Latn-ME"/>
        </w:rPr>
      </w:pPr>
    </w:p>
    <w:p w14:paraId="7EFC3F74" w14:textId="77777777" w:rsidR="00822D60" w:rsidRPr="00840456" w:rsidRDefault="00822D60" w:rsidP="00822D60">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Eliminacija</w:t>
      </w:r>
    </w:p>
    <w:p w14:paraId="2E1B5035" w14:textId="77777777" w:rsidR="00822D60" w:rsidRPr="00840456" w:rsidRDefault="00822D60" w:rsidP="00822D60">
      <w:pPr>
        <w:widowControl w:val="0"/>
        <w:autoSpaceDE w:val="0"/>
        <w:autoSpaceDN w:val="0"/>
        <w:adjustRightInd w:val="0"/>
        <w:spacing w:line="258" w:lineRule="exact"/>
        <w:jc w:val="both"/>
        <w:rPr>
          <w:sz w:val="22"/>
          <w:szCs w:val="22"/>
          <w:lang w:val="sr-Latn-ME"/>
        </w:rPr>
      </w:pPr>
    </w:p>
    <w:p w14:paraId="68E0DFE3" w14:textId="10AFADEA" w:rsidR="00822D60" w:rsidRPr="00840456" w:rsidRDefault="00822D60" w:rsidP="00822D60">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 xml:space="preserve">Etanercept se sporo eliminiše iz organizma. Poluvrijeme eliminacije je dugo, oko 70 časova. Klirens je oko 0,066 </w:t>
      </w:r>
      <w:r w:rsidR="005C5A58" w:rsidRPr="00840456">
        <w:rPr>
          <w:color w:val="000000"/>
          <w:sz w:val="22"/>
          <w:szCs w:val="22"/>
          <w:lang w:val="sr-Latn-ME"/>
        </w:rPr>
        <w:t>l</w:t>
      </w:r>
      <w:r w:rsidRPr="00840456">
        <w:rPr>
          <w:color w:val="000000"/>
          <w:sz w:val="22"/>
          <w:szCs w:val="22"/>
          <w:lang w:val="sr-Latn-ME"/>
        </w:rPr>
        <w:t>/h kod pacijenata sa reumatoidnim artritisom, a nešto niži od 0,11 l/h kod zdravih dobrovoljaca. Uz to, farmakokinetika lijeka Enbrel je veoma slična kod pacijenata sa reumatoidnim artritisom, ankilozirajućim spondilitisom i plak psorijazom.</w:t>
      </w:r>
    </w:p>
    <w:p w14:paraId="15F9F11E" w14:textId="77777777" w:rsidR="00822D60" w:rsidRPr="00840456" w:rsidRDefault="00822D60" w:rsidP="00822D60">
      <w:pPr>
        <w:widowControl w:val="0"/>
        <w:autoSpaceDE w:val="0"/>
        <w:autoSpaceDN w:val="0"/>
        <w:adjustRightInd w:val="0"/>
        <w:spacing w:line="220" w:lineRule="exact"/>
        <w:jc w:val="both"/>
        <w:rPr>
          <w:sz w:val="22"/>
          <w:szCs w:val="22"/>
          <w:lang w:val="sr-Latn-ME"/>
        </w:rPr>
      </w:pPr>
    </w:p>
    <w:p w14:paraId="30A3C3B9" w14:textId="77777777" w:rsidR="00822D60" w:rsidRPr="00840456" w:rsidRDefault="00822D60" w:rsidP="00822D60">
      <w:pPr>
        <w:widowControl w:val="0"/>
        <w:autoSpaceDE w:val="0"/>
        <w:autoSpaceDN w:val="0"/>
        <w:adjustRightInd w:val="0"/>
        <w:jc w:val="both"/>
        <w:rPr>
          <w:sz w:val="22"/>
          <w:szCs w:val="22"/>
          <w:lang w:val="sr-Latn-ME"/>
        </w:rPr>
      </w:pPr>
      <w:r w:rsidRPr="00840456">
        <w:rPr>
          <w:color w:val="000000"/>
          <w:sz w:val="22"/>
          <w:szCs w:val="22"/>
          <w:lang w:val="sr-Latn-ME"/>
        </w:rPr>
        <w:t>Nije zabilježena razlika u farmakokinetici kod žena i muškaraca.</w:t>
      </w:r>
    </w:p>
    <w:p w14:paraId="1598500D" w14:textId="77777777" w:rsidR="00822D60" w:rsidRPr="00840456" w:rsidRDefault="00822D60" w:rsidP="00822D60">
      <w:pPr>
        <w:widowControl w:val="0"/>
        <w:autoSpaceDE w:val="0"/>
        <w:autoSpaceDN w:val="0"/>
        <w:adjustRightInd w:val="0"/>
        <w:jc w:val="both"/>
        <w:rPr>
          <w:color w:val="000000"/>
          <w:sz w:val="22"/>
          <w:szCs w:val="22"/>
          <w:lang w:val="sr-Latn-ME"/>
        </w:rPr>
      </w:pPr>
    </w:p>
    <w:p w14:paraId="0F43ACE9" w14:textId="77777777" w:rsidR="00822D60" w:rsidRPr="00840456" w:rsidRDefault="00822D60" w:rsidP="00822D60">
      <w:pPr>
        <w:widowControl w:val="0"/>
        <w:autoSpaceDE w:val="0"/>
        <w:autoSpaceDN w:val="0"/>
        <w:adjustRightInd w:val="0"/>
        <w:jc w:val="both"/>
        <w:rPr>
          <w:sz w:val="22"/>
          <w:szCs w:val="22"/>
          <w:u w:val="single"/>
          <w:lang w:val="sr-Latn-ME"/>
        </w:rPr>
      </w:pPr>
      <w:r w:rsidRPr="00840456">
        <w:rPr>
          <w:color w:val="000000"/>
          <w:sz w:val="22"/>
          <w:szCs w:val="22"/>
          <w:u w:val="single"/>
          <w:lang w:val="sr-Latn-ME"/>
        </w:rPr>
        <w:t>Linearnost</w:t>
      </w:r>
    </w:p>
    <w:p w14:paraId="324D243D" w14:textId="77777777" w:rsidR="00822D60" w:rsidRPr="00840456" w:rsidRDefault="00822D60" w:rsidP="00822D60">
      <w:pPr>
        <w:widowControl w:val="0"/>
        <w:autoSpaceDE w:val="0"/>
        <w:autoSpaceDN w:val="0"/>
        <w:adjustRightInd w:val="0"/>
        <w:spacing w:line="259" w:lineRule="exact"/>
        <w:jc w:val="both"/>
        <w:rPr>
          <w:sz w:val="22"/>
          <w:szCs w:val="22"/>
          <w:lang w:val="sr-Latn-ME"/>
        </w:rPr>
      </w:pPr>
    </w:p>
    <w:p w14:paraId="5473F779" w14:textId="3EAF9877" w:rsidR="00822D60" w:rsidRPr="00840456" w:rsidRDefault="00822D60" w:rsidP="00822D60">
      <w:pPr>
        <w:widowControl w:val="0"/>
        <w:overflowPunct w:val="0"/>
        <w:autoSpaceDE w:val="0"/>
        <w:autoSpaceDN w:val="0"/>
        <w:adjustRightInd w:val="0"/>
        <w:spacing w:line="258" w:lineRule="auto"/>
        <w:jc w:val="both"/>
        <w:rPr>
          <w:sz w:val="22"/>
          <w:szCs w:val="22"/>
          <w:lang w:val="sr-Latn-ME"/>
        </w:rPr>
      </w:pPr>
      <w:r w:rsidRPr="00840456">
        <w:rPr>
          <w:color w:val="000000"/>
          <w:sz w:val="22"/>
          <w:szCs w:val="22"/>
          <w:lang w:val="sr-Latn-ME"/>
        </w:rPr>
        <w:t xml:space="preserve">Proporcionalnost doze nije bio formalno procjenjivan, ali nije bilo očigledne saturacije klirensa u opsegu </w:t>
      </w:r>
      <w:r w:rsidRPr="00840456">
        <w:rPr>
          <w:color w:val="000000"/>
          <w:sz w:val="22"/>
          <w:szCs w:val="22"/>
          <w:lang w:val="sr-Latn-ME"/>
        </w:rPr>
        <w:lastRenderedPageBreak/>
        <w:t>doziranja.</w:t>
      </w:r>
    </w:p>
    <w:p w14:paraId="7FE9C973" w14:textId="77777777" w:rsidR="00822D60" w:rsidRPr="00840456" w:rsidRDefault="00822D60" w:rsidP="00822D60">
      <w:pPr>
        <w:widowControl w:val="0"/>
        <w:autoSpaceDE w:val="0"/>
        <w:autoSpaceDN w:val="0"/>
        <w:adjustRightInd w:val="0"/>
        <w:spacing w:line="205" w:lineRule="exact"/>
        <w:jc w:val="both"/>
        <w:rPr>
          <w:sz w:val="22"/>
          <w:szCs w:val="22"/>
          <w:u w:val="single"/>
          <w:lang w:val="sr-Latn-ME"/>
        </w:rPr>
      </w:pPr>
    </w:p>
    <w:p w14:paraId="46E24194" w14:textId="77777777" w:rsidR="00822D60" w:rsidRPr="00840456" w:rsidRDefault="00822D60" w:rsidP="00822D60">
      <w:pPr>
        <w:widowControl w:val="0"/>
        <w:autoSpaceDE w:val="0"/>
        <w:autoSpaceDN w:val="0"/>
        <w:adjustRightInd w:val="0"/>
        <w:jc w:val="both"/>
        <w:rPr>
          <w:sz w:val="22"/>
          <w:szCs w:val="22"/>
          <w:u w:val="single"/>
          <w:lang w:val="sr-Latn-ME"/>
        </w:rPr>
      </w:pPr>
      <w:r w:rsidRPr="00840456">
        <w:rPr>
          <w:bCs/>
          <w:color w:val="000000"/>
          <w:sz w:val="22"/>
          <w:szCs w:val="22"/>
          <w:u w:val="single"/>
          <w:lang w:val="sr-Latn-ME"/>
        </w:rPr>
        <w:t>Posebne populacije</w:t>
      </w:r>
    </w:p>
    <w:p w14:paraId="70FAADE5" w14:textId="77777777" w:rsidR="00822D60" w:rsidRPr="00840456" w:rsidRDefault="00822D60" w:rsidP="00822D60">
      <w:pPr>
        <w:widowControl w:val="0"/>
        <w:autoSpaceDE w:val="0"/>
        <w:autoSpaceDN w:val="0"/>
        <w:adjustRightInd w:val="0"/>
        <w:spacing w:line="254" w:lineRule="exact"/>
        <w:jc w:val="both"/>
        <w:rPr>
          <w:sz w:val="22"/>
          <w:szCs w:val="22"/>
          <w:u w:val="single"/>
          <w:lang w:val="sr-Latn-ME"/>
        </w:rPr>
      </w:pPr>
    </w:p>
    <w:p w14:paraId="56E6842A" w14:textId="7178D861" w:rsidR="00822D60" w:rsidRPr="00840456" w:rsidRDefault="00822D60" w:rsidP="00822D60">
      <w:pPr>
        <w:widowControl w:val="0"/>
        <w:autoSpaceDE w:val="0"/>
        <w:autoSpaceDN w:val="0"/>
        <w:adjustRightInd w:val="0"/>
        <w:jc w:val="both"/>
        <w:rPr>
          <w:sz w:val="22"/>
          <w:szCs w:val="22"/>
          <w:lang w:val="sr-Latn-ME"/>
        </w:rPr>
      </w:pPr>
      <w:r w:rsidRPr="00840456">
        <w:rPr>
          <w:bCs/>
          <w:i/>
          <w:color w:val="000000"/>
          <w:sz w:val="22"/>
          <w:szCs w:val="22"/>
          <w:lang w:val="sr-Latn-ME"/>
        </w:rPr>
        <w:t>Oštećenje bubrega</w:t>
      </w:r>
    </w:p>
    <w:p w14:paraId="64692383" w14:textId="77777777" w:rsidR="00822D60" w:rsidRPr="00840456" w:rsidRDefault="00822D60" w:rsidP="00822D60">
      <w:pPr>
        <w:widowControl w:val="0"/>
        <w:overflowPunct w:val="0"/>
        <w:autoSpaceDE w:val="0"/>
        <w:autoSpaceDN w:val="0"/>
        <w:adjustRightInd w:val="0"/>
        <w:jc w:val="both"/>
        <w:rPr>
          <w:color w:val="000000"/>
          <w:sz w:val="22"/>
          <w:szCs w:val="22"/>
          <w:lang w:val="sr-Latn-ME"/>
        </w:rPr>
      </w:pPr>
      <w:r w:rsidRPr="00840456">
        <w:rPr>
          <w:color w:val="000000"/>
          <w:sz w:val="22"/>
          <w:szCs w:val="22"/>
          <w:lang w:val="sr-Latn-ME"/>
        </w:rPr>
        <w:t xml:space="preserve">Iako se nakon primjene radio-označenog etanercepta kod pacijenata i volontera, pojavila eliminacija radioaktivnosti, povećana koncentracija etanercepta nije primijećena kod pacijenata sa akutnim oštećenjem bubrega. Prisustvo oštećenja bubrega ne treba da zahtijeva promjene u doziranju. </w:t>
      </w:r>
    </w:p>
    <w:p w14:paraId="308433C7" w14:textId="77777777" w:rsidR="00822D60" w:rsidRPr="00840456" w:rsidRDefault="00822D60" w:rsidP="00822D60">
      <w:pPr>
        <w:widowControl w:val="0"/>
        <w:autoSpaceDE w:val="0"/>
        <w:autoSpaceDN w:val="0"/>
        <w:adjustRightInd w:val="0"/>
        <w:spacing w:line="213" w:lineRule="exact"/>
        <w:jc w:val="both"/>
        <w:rPr>
          <w:sz w:val="22"/>
          <w:szCs w:val="22"/>
          <w:lang w:val="sr-Latn-ME"/>
        </w:rPr>
      </w:pPr>
    </w:p>
    <w:p w14:paraId="0DE0CD47" w14:textId="4412088F" w:rsidR="00822D60" w:rsidRPr="00840456" w:rsidRDefault="00822D60" w:rsidP="00822D60">
      <w:pPr>
        <w:widowControl w:val="0"/>
        <w:autoSpaceDE w:val="0"/>
        <w:autoSpaceDN w:val="0"/>
        <w:adjustRightInd w:val="0"/>
        <w:jc w:val="both"/>
        <w:rPr>
          <w:sz w:val="22"/>
          <w:szCs w:val="22"/>
          <w:lang w:val="sr-Latn-ME"/>
        </w:rPr>
      </w:pPr>
      <w:r w:rsidRPr="00840456">
        <w:rPr>
          <w:bCs/>
          <w:i/>
          <w:color w:val="000000"/>
          <w:sz w:val="22"/>
          <w:szCs w:val="22"/>
          <w:lang w:val="sr-Latn-ME"/>
        </w:rPr>
        <w:t>Oštećenje jetre</w:t>
      </w:r>
    </w:p>
    <w:p w14:paraId="042FCB67" w14:textId="77777777" w:rsidR="00822D60" w:rsidRPr="00840456" w:rsidRDefault="00822D60" w:rsidP="00822D60">
      <w:pPr>
        <w:widowControl w:val="0"/>
        <w:overflowPunct w:val="0"/>
        <w:autoSpaceDE w:val="0"/>
        <w:autoSpaceDN w:val="0"/>
        <w:adjustRightInd w:val="0"/>
        <w:jc w:val="both"/>
        <w:rPr>
          <w:sz w:val="22"/>
          <w:szCs w:val="22"/>
          <w:lang w:val="sr-Latn-ME"/>
        </w:rPr>
      </w:pPr>
      <w:r w:rsidRPr="00840456">
        <w:rPr>
          <w:color w:val="000000"/>
          <w:sz w:val="22"/>
          <w:szCs w:val="22"/>
          <w:lang w:val="sr-Latn-ME"/>
        </w:rPr>
        <w:t>Povećanje koncentracija etanercepta nije primijećeno kod pacijenata sa akutnim oštećenjem jetre. Prisustvo oštećenja jetre ne zahtijeva promjene u doziranju.</w:t>
      </w:r>
    </w:p>
    <w:p w14:paraId="389AE125" w14:textId="77777777" w:rsidR="00822D60" w:rsidRPr="00840456" w:rsidRDefault="00822D60" w:rsidP="00822D60">
      <w:pPr>
        <w:widowControl w:val="0"/>
        <w:autoSpaceDE w:val="0"/>
        <w:autoSpaceDN w:val="0"/>
        <w:adjustRightInd w:val="0"/>
        <w:jc w:val="both"/>
        <w:rPr>
          <w:sz w:val="22"/>
          <w:szCs w:val="22"/>
          <w:lang w:val="sr-Latn-ME"/>
        </w:rPr>
      </w:pPr>
    </w:p>
    <w:p w14:paraId="28BC2129" w14:textId="77777777" w:rsidR="00822D60" w:rsidRPr="00840456" w:rsidRDefault="00822D60" w:rsidP="00822D60">
      <w:pPr>
        <w:tabs>
          <w:tab w:val="left" w:pos="0"/>
        </w:tabs>
        <w:jc w:val="both"/>
        <w:rPr>
          <w:i/>
          <w:sz w:val="22"/>
          <w:szCs w:val="22"/>
          <w:lang w:val="sr-Latn-ME"/>
        </w:rPr>
      </w:pPr>
      <w:r w:rsidRPr="00840456">
        <w:rPr>
          <w:i/>
          <w:sz w:val="22"/>
          <w:szCs w:val="22"/>
          <w:lang w:val="sr-Latn-ME"/>
        </w:rPr>
        <w:t>Starije osobe</w:t>
      </w:r>
    </w:p>
    <w:p w14:paraId="5450D7C4" w14:textId="77777777" w:rsidR="00822D60" w:rsidRPr="00840456" w:rsidRDefault="00822D60" w:rsidP="00822D60">
      <w:pPr>
        <w:widowControl w:val="0"/>
        <w:overflowPunct w:val="0"/>
        <w:autoSpaceDE w:val="0"/>
        <w:autoSpaceDN w:val="0"/>
        <w:adjustRightInd w:val="0"/>
        <w:spacing w:line="251" w:lineRule="auto"/>
        <w:jc w:val="both"/>
        <w:rPr>
          <w:sz w:val="22"/>
          <w:szCs w:val="22"/>
          <w:lang w:val="sr-Latn-ME"/>
        </w:rPr>
      </w:pPr>
      <w:r w:rsidRPr="00840456">
        <w:rPr>
          <w:color w:val="000000"/>
          <w:sz w:val="22"/>
          <w:szCs w:val="22"/>
          <w:lang w:val="sr-Latn-ME"/>
        </w:rPr>
        <w:t>Uticaj starosnog doba je ispitivan populacijskim farmakokinetičkim analizama serumskih koncentracija etanercepta. Izračunati klirens i volumen kod pacijenata starosti od 65 do 87 godina bili su slični kao oni kod pacijenata mlađih od 65 godina.</w:t>
      </w:r>
    </w:p>
    <w:p w14:paraId="3C726B0C" w14:textId="77777777" w:rsidR="00822D60" w:rsidRPr="00840456" w:rsidRDefault="00822D60" w:rsidP="00822D60">
      <w:pPr>
        <w:widowControl w:val="0"/>
        <w:autoSpaceDE w:val="0"/>
        <w:autoSpaceDN w:val="0"/>
        <w:adjustRightInd w:val="0"/>
        <w:spacing w:line="212" w:lineRule="exact"/>
        <w:jc w:val="both"/>
        <w:rPr>
          <w:sz w:val="22"/>
          <w:szCs w:val="22"/>
          <w:lang w:val="sr-Latn-ME"/>
        </w:rPr>
      </w:pPr>
    </w:p>
    <w:p w14:paraId="0C8173F8" w14:textId="77777777" w:rsidR="00822D60" w:rsidRPr="00840456" w:rsidRDefault="00822D60" w:rsidP="00822D60">
      <w:pPr>
        <w:widowControl w:val="0"/>
        <w:autoSpaceDE w:val="0"/>
        <w:autoSpaceDN w:val="0"/>
        <w:adjustRightInd w:val="0"/>
        <w:jc w:val="both"/>
        <w:rPr>
          <w:sz w:val="22"/>
          <w:szCs w:val="22"/>
          <w:lang w:val="sr-Latn-ME"/>
        </w:rPr>
      </w:pPr>
      <w:r w:rsidRPr="00840456">
        <w:rPr>
          <w:color w:val="000000"/>
          <w:sz w:val="22"/>
          <w:szCs w:val="22"/>
          <w:u w:val="single"/>
          <w:lang w:val="sr-Latn-ME"/>
        </w:rPr>
        <w:t>Pedijatrijska populacija</w:t>
      </w:r>
    </w:p>
    <w:p w14:paraId="5D4AA4F1" w14:textId="77777777" w:rsidR="00822D60" w:rsidRPr="00840456" w:rsidRDefault="00822D60" w:rsidP="00822D60">
      <w:pPr>
        <w:widowControl w:val="0"/>
        <w:autoSpaceDE w:val="0"/>
        <w:autoSpaceDN w:val="0"/>
        <w:adjustRightInd w:val="0"/>
        <w:jc w:val="both"/>
        <w:rPr>
          <w:sz w:val="22"/>
          <w:szCs w:val="22"/>
          <w:lang w:val="sr-Latn-ME"/>
        </w:rPr>
      </w:pPr>
    </w:p>
    <w:p w14:paraId="7B3D9EF5" w14:textId="02DF3197" w:rsidR="00822D60" w:rsidRPr="00840456" w:rsidRDefault="00822D60" w:rsidP="00822D60">
      <w:pPr>
        <w:pStyle w:val="Header"/>
        <w:tabs>
          <w:tab w:val="left" w:pos="284"/>
        </w:tabs>
        <w:jc w:val="both"/>
        <w:rPr>
          <w:b/>
          <w:bCs/>
          <w:color w:val="000000"/>
          <w:sz w:val="22"/>
          <w:szCs w:val="22"/>
          <w:lang w:val="sr-Latn-ME"/>
        </w:rPr>
      </w:pPr>
      <w:r w:rsidRPr="00840456">
        <w:rPr>
          <w:bCs/>
          <w:i/>
          <w:color w:val="000000"/>
          <w:sz w:val="22"/>
          <w:szCs w:val="22"/>
          <w:lang w:val="sr-Latn-ME"/>
        </w:rPr>
        <w:t xml:space="preserve">Pedijatrijski pacijenti sa juvenilnim idiopatskim artritisom </w:t>
      </w:r>
    </w:p>
    <w:p w14:paraId="06081378" w14:textId="77777777" w:rsidR="00822D60" w:rsidRPr="00840456" w:rsidRDefault="00822D60" w:rsidP="00822D60">
      <w:pPr>
        <w:pStyle w:val="Header"/>
        <w:tabs>
          <w:tab w:val="left" w:pos="284"/>
        </w:tabs>
        <w:jc w:val="both"/>
        <w:rPr>
          <w:color w:val="000000"/>
          <w:sz w:val="22"/>
          <w:szCs w:val="22"/>
          <w:lang w:val="sr-Latn-ME"/>
        </w:rPr>
      </w:pPr>
      <w:r w:rsidRPr="00840456">
        <w:rPr>
          <w:color w:val="000000"/>
          <w:sz w:val="22"/>
          <w:szCs w:val="22"/>
          <w:lang w:val="sr-Latn-ME"/>
        </w:rPr>
        <w:t xml:space="preserve">Tokom studije u indikaciji poliartikularni juvenilni idiopatski artritis, 69 pacijenata (od 4 do 17 godina) primalo je 0,4 mg/kg lijeka Enbrel dva puta nedjeljno tokom tri mjeseca. Vrijednosti serumskih koncentracija su bile slične kao kod odraslih pacijenata sa reumatoidnim artritisom. Najmlađe dijete (4 godine) je imalo smanjeni klirens (povećan klirens u odnosu na težinu) u poređenju sa starijom djecom (12 godina) i odraslima. Simulacijom doziranja zaključeno je da starija djeca (10 do 17 godina) imaju serumske nivoe slične nivoima odraslih, dok su kod mlađe djece znatno niži nivoi. </w:t>
      </w:r>
    </w:p>
    <w:p w14:paraId="7EDF9CCF" w14:textId="77777777" w:rsidR="00822D60" w:rsidRPr="00840456" w:rsidRDefault="00822D60" w:rsidP="00822D60">
      <w:pPr>
        <w:pStyle w:val="Header"/>
        <w:tabs>
          <w:tab w:val="left" w:pos="284"/>
        </w:tabs>
        <w:jc w:val="both"/>
        <w:rPr>
          <w:color w:val="000000"/>
          <w:sz w:val="22"/>
          <w:szCs w:val="22"/>
          <w:lang w:val="sr-Latn-ME"/>
        </w:rPr>
      </w:pPr>
    </w:p>
    <w:p w14:paraId="1B5BE52B" w14:textId="477E26F3" w:rsidR="00822D60" w:rsidRPr="00840456" w:rsidRDefault="00822D60" w:rsidP="00815D34">
      <w:pPr>
        <w:widowControl w:val="0"/>
        <w:autoSpaceDE w:val="0"/>
        <w:autoSpaceDN w:val="0"/>
        <w:adjustRightInd w:val="0"/>
        <w:jc w:val="both"/>
        <w:rPr>
          <w:sz w:val="22"/>
          <w:szCs w:val="22"/>
          <w:lang w:val="sr-Latn-ME"/>
        </w:rPr>
      </w:pPr>
      <w:r w:rsidRPr="00840456">
        <w:rPr>
          <w:bCs/>
          <w:i/>
          <w:color w:val="000000"/>
          <w:sz w:val="22"/>
          <w:szCs w:val="22"/>
          <w:lang w:val="sr-Latn-ME"/>
        </w:rPr>
        <w:t>Pedijatrijski pacijenti sa plak psorijazom</w:t>
      </w:r>
    </w:p>
    <w:p w14:paraId="2F736C34" w14:textId="77777777" w:rsidR="00822D60" w:rsidRPr="00840456" w:rsidRDefault="00822D60" w:rsidP="00822D60">
      <w:pPr>
        <w:pStyle w:val="Header"/>
        <w:tabs>
          <w:tab w:val="left" w:pos="284"/>
        </w:tabs>
        <w:jc w:val="both"/>
        <w:rPr>
          <w:color w:val="000000"/>
          <w:sz w:val="22"/>
          <w:szCs w:val="22"/>
          <w:lang w:val="sr-Latn-ME"/>
        </w:rPr>
      </w:pPr>
      <w:r w:rsidRPr="00840456">
        <w:rPr>
          <w:color w:val="000000"/>
          <w:sz w:val="22"/>
          <w:szCs w:val="22"/>
          <w:lang w:val="sr-Latn-ME"/>
        </w:rPr>
        <w:t xml:space="preserve">Pedijatrijski pacijenti sa plak psorijazom (uzrasta od 4 do 17 godina) su primali dozu od 0,8 mg/kg etanercepta (do maksimalne doze od 50 mg nedjeljno) jednom nedjeljno tokom 48 nedjelja. Srednja vrijednost koncentracije u serumu u stanju ravnoteže se kretala od 1,6 do 2,1 mcg/ml u 12., 24., i 48. nedjelji. Ove koncentracije kod pedijatrijskih pacijenata sa plak psorijazom su bile slične konentracijama primjećenim kod pacijenata sa juvenilnim idiopatskim artritisom (koji su primali 0,4 mg/kg etanercepta dva puta nedjeljno, do maksimalne doze od 50 mg nedjeljno). Ove srednje koncentracije su bile slične koncentracijama kod odraslih pacijenata sa plak psorijazom koji su primali 25 mg etanercepta dva puta nedjeljno. </w:t>
      </w:r>
    </w:p>
    <w:p w14:paraId="1462A8BE" w14:textId="77777777" w:rsidR="0072020E" w:rsidRPr="00840456" w:rsidRDefault="0072020E" w:rsidP="00480FB1">
      <w:pPr>
        <w:tabs>
          <w:tab w:val="left" w:pos="540"/>
          <w:tab w:val="left" w:pos="569"/>
        </w:tabs>
        <w:rPr>
          <w:bCs/>
          <w:sz w:val="22"/>
          <w:szCs w:val="22"/>
          <w:lang w:val="sr-Latn-ME"/>
        </w:rPr>
      </w:pPr>
    </w:p>
    <w:p w14:paraId="27F03C25"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5.3. </w:t>
      </w:r>
      <w:r w:rsidR="00480FB1" w:rsidRPr="00840456">
        <w:rPr>
          <w:b/>
          <w:bCs/>
          <w:sz w:val="22"/>
          <w:szCs w:val="22"/>
          <w:lang w:val="sr-Latn-ME"/>
        </w:rPr>
        <w:tab/>
      </w:r>
      <w:r w:rsidRPr="00840456">
        <w:rPr>
          <w:b/>
          <w:bCs/>
          <w:sz w:val="22"/>
          <w:szCs w:val="22"/>
          <w:lang w:val="sr-Latn-ME"/>
        </w:rPr>
        <w:t xml:space="preserve">Pretklinički podaci o bezbjednosti </w:t>
      </w:r>
    </w:p>
    <w:p w14:paraId="778C396D" w14:textId="77777777" w:rsidR="00822D60" w:rsidRPr="00840456" w:rsidRDefault="00822D60" w:rsidP="00815D34">
      <w:pPr>
        <w:tabs>
          <w:tab w:val="left" w:pos="540"/>
          <w:tab w:val="left" w:pos="569"/>
        </w:tabs>
        <w:jc w:val="both"/>
        <w:rPr>
          <w:b/>
          <w:bCs/>
          <w:sz w:val="22"/>
          <w:szCs w:val="22"/>
          <w:lang w:val="sr-Latn-ME"/>
        </w:rPr>
      </w:pPr>
    </w:p>
    <w:p w14:paraId="464016FB" w14:textId="7FFE9244" w:rsidR="00836B35" w:rsidRPr="00840456" w:rsidRDefault="00822D60" w:rsidP="00815D34">
      <w:pPr>
        <w:tabs>
          <w:tab w:val="left" w:pos="540"/>
          <w:tab w:val="left" w:pos="569"/>
        </w:tabs>
        <w:jc w:val="both"/>
        <w:rPr>
          <w:color w:val="000000"/>
          <w:sz w:val="22"/>
          <w:szCs w:val="22"/>
          <w:lang w:val="sr-Latn-ME"/>
        </w:rPr>
      </w:pPr>
      <w:r w:rsidRPr="00840456">
        <w:rPr>
          <w:color w:val="000000"/>
          <w:sz w:val="22"/>
          <w:szCs w:val="22"/>
          <w:lang w:val="sr-Latn-ME"/>
        </w:rPr>
        <w:t xml:space="preserve">U toksikološkim studijama lijeka Enbrel nije zapažena toksičnost koja ograničava dozu niti toksični efekti na nekom ciljnom organu. Na osnovu podataka </w:t>
      </w:r>
      <w:r w:rsidRPr="00840456">
        <w:rPr>
          <w:i/>
          <w:iCs/>
          <w:color w:val="000000"/>
          <w:sz w:val="22"/>
          <w:szCs w:val="22"/>
          <w:lang w:val="sr-Latn-ME"/>
        </w:rPr>
        <w:t>in vitro</w:t>
      </w:r>
      <w:r w:rsidRPr="00840456">
        <w:rPr>
          <w:color w:val="000000"/>
          <w:sz w:val="22"/>
          <w:szCs w:val="22"/>
          <w:lang w:val="sr-Latn-ME"/>
        </w:rPr>
        <w:t xml:space="preserve"> i </w:t>
      </w:r>
      <w:r w:rsidRPr="00840456">
        <w:rPr>
          <w:i/>
          <w:iCs/>
          <w:color w:val="000000"/>
          <w:sz w:val="22"/>
          <w:szCs w:val="22"/>
          <w:lang w:val="sr-Latn-ME"/>
        </w:rPr>
        <w:t>in vivo</w:t>
      </w:r>
      <w:r w:rsidRPr="00840456">
        <w:rPr>
          <w:color w:val="000000"/>
          <w:sz w:val="22"/>
          <w:szCs w:val="22"/>
          <w:lang w:val="sr-Latn-ME"/>
        </w:rPr>
        <w:t xml:space="preserve"> studija smatra se da lijek Enbrel nije genotoksičan. Studije karcinogenosti i standardne procjene reproduktivne i postnatalne toksičnosti nijesu rađene jer su se kod glodara razvijala neutrališuća antitijela.</w:t>
      </w:r>
    </w:p>
    <w:p w14:paraId="643E49E4" w14:textId="77777777" w:rsidR="005C5A58" w:rsidRPr="00840456" w:rsidRDefault="005C5A58" w:rsidP="00815D34">
      <w:pPr>
        <w:tabs>
          <w:tab w:val="left" w:pos="540"/>
          <w:tab w:val="left" w:pos="569"/>
        </w:tabs>
        <w:jc w:val="both"/>
        <w:rPr>
          <w:color w:val="000000"/>
          <w:sz w:val="22"/>
          <w:szCs w:val="22"/>
          <w:lang w:val="sr-Latn-ME"/>
        </w:rPr>
      </w:pPr>
    </w:p>
    <w:p w14:paraId="104A9931" w14:textId="77777777" w:rsidR="00822D60" w:rsidRPr="00840456" w:rsidRDefault="00822D60" w:rsidP="005C5A58">
      <w:pPr>
        <w:widowControl w:val="0"/>
        <w:overflowPunct w:val="0"/>
        <w:autoSpaceDE w:val="0"/>
        <w:autoSpaceDN w:val="0"/>
        <w:adjustRightInd w:val="0"/>
        <w:spacing w:line="239" w:lineRule="auto"/>
        <w:jc w:val="both"/>
        <w:rPr>
          <w:color w:val="000000"/>
          <w:sz w:val="22"/>
          <w:szCs w:val="22"/>
          <w:lang w:val="sr-Latn-ME"/>
        </w:rPr>
      </w:pPr>
      <w:r w:rsidRPr="00840456">
        <w:rPr>
          <w:color w:val="000000"/>
          <w:sz w:val="22"/>
          <w:szCs w:val="22"/>
          <w:lang w:val="sr-Latn-ME"/>
        </w:rPr>
        <w:t xml:space="preserve">Kod miševa ili pacova lijek Enbrel nije dovodio do smrti ili primjetnih znakova toksičnosti nakon pojedinačne subkutane doze od 2000 mg/kg ili intravenske doze od 1000 mg/kg. Kod </w:t>
      </w:r>
      <w:r w:rsidRPr="00840456">
        <w:rPr>
          <w:i/>
          <w:iCs/>
          <w:color w:val="000000"/>
          <w:sz w:val="22"/>
          <w:szCs w:val="22"/>
          <w:lang w:val="sr-Latn-ME"/>
        </w:rPr>
        <w:t>Macaca</w:t>
      </w:r>
      <w:r w:rsidRPr="00840456">
        <w:rPr>
          <w:color w:val="000000"/>
          <w:sz w:val="22"/>
          <w:szCs w:val="22"/>
          <w:lang w:val="sr-Latn-ME"/>
        </w:rPr>
        <w:t xml:space="preserve"> </w:t>
      </w:r>
      <w:r w:rsidRPr="00840456">
        <w:rPr>
          <w:i/>
          <w:iCs/>
          <w:color w:val="000000"/>
          <w:sz w:val="22"/>
          <w:szCs w:val="22"/>
          <w:lang w:val="sr-Latn-ME"/>
        </w:rPr>
        <w:t xml:space="preserve">cynomolgus </w:t>
      </w:r>
      <w:r w:rsidRPr="00840456">
        <w:rPr>
          <w:color w:val="000000"/>
          <w:sz w:val="22"/>
          <w:szCs w:val="22"/>
          <w:lang w:val="sr-Latn-ME"/>
        </w:rPr>
        <w:t>majmuna Enbrel nije izazivao dozno-ograničavajuću toksičnost niti toksične efekte na</w:t>
      </w:r>
      <w:r w:rsidRPr="00840456">
        <w:rPr>
          <w:i/>
          <w:iCs/>
          <w:color w:val="000000"/>
          <w:sz w:val="22"/>
          <w:szCs w:val="22"/>
          <w:lang w:val="sr-Latn-ME"/>
        </w:rPr>
        <w:t xml:space="preserve"> </w:t>
      </w:r>
      <w:r w:rsidRPr="00840456">
        <w:rPr>
          <w:color w:val="000000"/>
          <w:sz w:val="22"/>
          <w:szCs w:val="22"/>
          <w:lang w:val="sr-Latn-ME"/>
        </w:rPr>
        <w:t xml:space="preserve">nekom ciljnom organu nakon subkutane administracije dva puta nedjeljno tokom 4 do 26 uzastopnih nedjelja u dozi (15 mg/kg) koja je rezultovala PIK serumskim koncentracijama lijeka koje su bile više nego 27 puta veće od onih kod ljudi pri preporučenoj dozi od 25 mg. </w:t>
      </w:r>
    </w:p>
    <w:p w14:paraId="23BE7639" w14:textId="3817998E" w:rsidR="00396DFD" w:rsidRPr="00840456" w:rsidRDefault="00396DFD" w:rsidP="00480FB1">
      <w:pPr>
        <w:tabs>
          <w:tab w:val="left" w:pos="540"/>
          <w:tab w:val="left" w:pos="569"/>
        </w:tabs>
        <w:rPr>
          <w:b/>
          <w:bCs/>
          <w:sz w:val="22"/>
          <w:szCs w:val="22"/>
          <w:lang w:val="sr-Latn-ME"/>
        </w:rPr>
      </w:pPr>
    </w:p>
    <w:p w14:paraId="3862DFBE" w14:textId="7F5F819A" w:rsidR="00671053" w:rsidRPr="00840456" w:rsidRDefault="00671053" w:rsidP="00671053">
      <w:pPr>
        <w:rPr>
          <w:b/>
          <w:bCs/>
          <w:sz w:val="22"/>
          <w:szCs w:val="22"/>
          <w:lang w:val="sr-Latn-ME"/>
        </w:rPr>
      </w:pPr>
      <w:r w:rsidRPr="00840456">
        <w:rPr>
          <w:b/>
          <w:bCs/>
          <w:sz w:val="22"/>
          <w:szCs w:val="22"/>
          <w:lang w:val="sr-Latn-ME"/>
        </w:rPr>
        <w:br w:type="page"/>
      </w:r>
    </w:p>
    <w:p w14:paraId="5CCA36C8"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lastRenderedPageBreak/>
        <w:t xml:space="preserve">6. </w:t>
      </w:r>
      <w:r w:rsidR="00480FB1" w:rsidRPr="00840456">
        <w:rPr>
          <w:b/>
          <w:bCs/>
          <w:sz w:val="22"/>
          <w:szCs w:val="22"/>
          <w:lang w:val="sr-Latn-ME"/>
        </w:rPr>
        <w:tab/>
      </w:r>
      <w:r w:rsidRPr="00840456">
        <w:rPr>
          <w:b/>
          <w:bCs/>
          <w:sz w:val="22"/>
          <w:szCs w:val="22"/>
          <w:lang w:val="sr-Latn-ME"/>
        </w:rPr>
        <w:t>FARMACEUTSKI PODACI</w:t>
      </w:r>
    </w:p>
    <w:p w14:paraId="54A47AD6" w14:textId="77777777" w:rsidR="00836B35" w:rsidRPr="00840456" w:rsidRDefault="00836B35" w:rsidP="00480FB1">
      <w:pPr>
        <w:tabs>
          <w:tab w:val="left" w:pos="540"/>
          <w:tab w:val="left" w:pos="569"/>
        </w:tabs>
        <w:rPr>
          <w:bCs/>
          <w:sz w:val="22"/>
          <w:szCs w:val="22"/>
          <w:lang w:val="sr-Latn-ME"/>
        </w:rPr>
      </w:pPr>
    </w:p>
    <w:p w14:paraId="450937F6"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6.1. </w:t>
      </w:r>
      <w:r w:rsidR="00480FB1" w:rsidRPr="00840456">
        <w:rPr>
          <w:b/>
          <w:bCs/>
          <w:sz w:val="22"/>
          <w:szCs w:val="22"/>
          <w:lang w:val="sr-Latn-ME"/>
        </w:rPr>
        <w:tab/>
      </w:r>
      <w:r w:rsidRPr="00840456">
        <w:rPr>
          <w:b/>
          <w:bCs/>
          <w:sz w:val="22"/>
          <w:szCs w:val="22"/>
          <w:lang w:val="sr-Latn-ME"/>
        </w:rPr>
        <w:t>Lista pomoćnih supstanci</w:t>
      </w:r>
      <w:r w:rsidR="002E0135" w:rsidRPr="00840456">
        <w:rPr>
          <w:b/>
          <w:bCs/>
          <w:sz w:val="22"/>
          <w:szCs w:val="22"/>
          <w:lang w:val="sr-Latn-ME"/>
        </w:rPr>
        <w:t xml:space="preserve"> (ekscipijenasa)</w:t>
      </w:r>
    </w:p>
    <w:p w14:paraId="3498FF93" w14:textId="77777777" w:rsidR="00230068" w:rsidRPr="00840456" w:rsidRDefault="00230068" w:rsidP="00480FB1">
      <w:pPr>
        <w:tabs>
          <w:tab w:val="left" w:pos="540"/>
          <w:tab w:val="left" w:pos="569"/>
        </w:tabs>
        <w:rPr>
          <w:b/>
          <w:bCs/>
          <w:sz w:val="22"/>
          <w:szCs w:val="22"/>
          <w:lang w:val="sr-Latn-ME"/>
        </w:rPr>
      </w:pPr>
    </w:p>
    <w:p w14:paraId="03755244" w14:textId="46AA9833" w:rsidR="00230068" w:rsidRPr="00840456" w:rsidRDefault="00984BA9" w:rsidP="00230068">
      <w:pPr>
        <w:jc w:val="both"/>
        <w:rPr>
          <w:sz w:val="22"/>
          <w:szCs w:val="22"/>
          <w:lang w:val="sr-Latn-ME"/>
        </w:rPr>
      </w:pPr>
      <w:r w:rsidRPr="00840456">
        <w:rPr>
          <w:sz w:val="22"/>
          <w:szCs w:val="22"/>
          <w:lang w:val="sr-Latn-ME"/>
        </w:rPr>
        <w:t>s</w:t>
      </w:r>
      <w:r w:rsidR="00230068" w:rsidRPr="00840456">
        <w:rPr>
          <w:sz w:val="22"/>
          <w:szCs w:val="22"/>
          <w:lang w:val="sr-Latn-ME"/>
        </w:rPr>
        <w:t>aharoza</w:t>
      </w:r>
    </w:p>
    <w:p w14:paraId="46E1A69C" w14:textId="531F1DAC" w:rsidR="00230068" w:rsidRPr="00840456" w:rsidRDefault="00230068" w:rsidP="00230068">
      <w:pPr>
        <w:jc w:val="both"/>
        <w:rPr>
          <w:sz w:val="22"/>
          <w:szCs w:val="22"/>
          <w:lang w:val="sr-Latn-ME"/>
        </w:rPr>
      </w:pPr>
      <w:r w:rsidRPr="00840456">
        <w:rPr>
          <w:sz w:val="22"/>
          <w:szCs w:val="22"/>
          <w:lang w:val="sr-Latn-ME"/>
        </w:rPr>
        <w:t>natrijum hlorid</w:t>
      </w:r>
    </w:p>
    <w:p w14:paraId="59C19972" w14:textId="13FCF837" w:rsidR="00230068" w:rsidRPr="00840456" w:rsidRDefault="00230068" w:rsidP="00230068">
      <w:pPr>
        <w:jc w:val="both"/>
        <w:rPr>
          <w:sz w:val="22"/>
          <w:szCs w:val="22"/>
          <w:lang w:val="sr-Latn-ME"/>
        </w:rPr>
      </w:pPr>
      <w:r w:rsidRPr="00840456">
        <w:rPr>
          <w:sz w:val="22"/>
          <w:szCs w:val="22"/>
          <w:lang w:val="sr-Latn-ME"/>
        </w:rPr>
        <w:t>L-arginin hidrohlorid</w:t>
      </w:r>
    </w:p>
    <w:p w14:paraId="73287E08" w14:textId="12E8CF74" w:rsidR="00230068" w:rsidRPr="00840456" w:rsidRDefault="00230068" w:rsidP="00230068">
      <w:pPr>
        <w:jc w:val="both"/>
        <w:rPr>
          <w:sz w:val="22"/>
          <w:szCs w:val="22"/>
          <w:lang w:val="sr-Latn-ME"/>
        </w:rPr>
      </w:pPr>
      <w:r w:rsidRPr="00840456">
        <w:rPr>
          <w:sz w:val="22"/>
          <w:szCs w:val="22"/>
          <w:lang w:val="sr-Latn-ME"/>
        </w:rPr>
        <w:t>dinatrijum hidrogen fosfat, dihidrat</w:t>
      </w:r>
    </w:p>
    <w:p w14:paraId="7377EE04" w14:textId="5854C337" w:rsidR="00230068" w:rsidRPr="00840456" w:rsidRDefault="00230068" w:rsidP="00230068">
      <w:pPr>
        <w:jc w:val="both"/>
        <w:rPr>
          <w:sz w:val="22"/>
          <w:szCs w:val="22"/>
          <w:lang w:val="sr-Latn-ME"/>
        </w:rPr>
      </w:pPr>
      <w:r w:rsidRPr="00840456">
        <w:rPr>
          <w:sz w:val="22"/>
          <w:szCs w:val="22"/>
          <w:lang w:val="sr-Latn-ME"/>
        </w:rPr>
        <w:t xml:space="preserve">natrijum dihidrogen fosfat, dihidrat </w:t>
      </w:r>
    </w:p>
    <w:p w14:paraId="5AF30C0F" w14:textId="010865D7" w:rsidR="00230068" w:rsidRPr="00840456" w:rsidRDefault="00230068" w:rsidP="00230068">
      <w:pPr>
        <w:jc w:val="both"/>
        <w:rPr>
          <w:sz w:val="22"/>
          <w:szCs w:val="22"/>
          <w:lang w:val="sr-Latn-ME"/>
        </w:rPr>
      </w:pPr>
      <w:r w:rsidRPr="00840456">
        <w:rPr>
          <w:sz w:val="22"/>
          <w:szCs w:val="22"/>
          <w:lang w:val="sr-Latn-ME"/>
        </w:rPr>
        <w:t>voda za injekcije</w:t>
      </w:r>
    </w:p>
    <w:p w14:paraId="0DB4B881" w14:textId="77777777" w:rsidR="0072020E" w:rsidRPr="00840456" w:rsidRDefault="0072020E" w:rsidP="00480FB1">
      <w:pPr>
        <w:tabs>
          <w:tab w:val="left" w:pos="540"/>
          <w:tab w:val="left" w:pos="569"/>
        </w:tabs>
        <w:rPr>
          <w:bCs/>
          <w:sz w:val="22"/>
          <w:szCs w:val="22"/>
          <w:lang w:val="sr-Latn-ME"/>
        </w:rPr>
      </w:pPr>
    </w:p>
    <w:p w14:paraId="6916E20F"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6.2. </w:t>
      </w:r>
      <w:r w:rsidR="00480FB1" w:rsidRPr="00840456">
        <w:rPr>
          <w:b/>
          <w:bCs/>
          <w:sz w:val="22"/>
          <w:szCs w:val="22"/>
          <w:lang w:val="sr-Latn-ME"/>
        </w:rPr>
        <w:tab/>
      </w:r>
      <w:r w:rsidRPr="00840456">
        <w:rPr>
          <w:b/>
          <w:bCs/>
          <w:sz w:val="22"/>
          <w:szCs w:val="22"/>
          <w:lang w:val="sr-Latn-ME"/>
        </w:rPr>
        <w:t>Inkompatibilnost</w:t>
      </w:r>
      <w:r w:rsidR="002846DB" w:rsidRPr="00840456">
        <w:rPr>
          <w:b/>
          <w:bCs/>
          <w:sz w:val="22"/>
          <w:szCs w:val="22"/>
          <w:lang w:val="sr-Latn-ME"/>
        </w:rPr>
        <w:t>i</w:t>
      </w:r>
    </w:p>
    <w:p w14:paraId="1D0D82CF" w14:textId="77777777" w:rsidR="00230068" w:rsidRPr="00840456" w:rsidRDefault="00230068" w:rsidP="00480FB1">
      <w:pPr>
        <w:tabs>
          <w:tab w:val="left" w:pos="540"/>
          <w:tab w:val="left" w:pos="569"/>
        </w:tabs>
        <w:rPr>
          <w:b/>
          <w:bCs/>
          <w:sz w:val="22"/>
          <w:szCs w:val="22"/>
          <w:lang w:val="sr-Latn-ME"/>
        </w:rPr>
      </w:pPr>
    </w:p>
    <w:p w14:paraId="4201CD02" w14:textId="3A37A7AC" w:rsidR="00230068" w:rsidRPr="00840456" w:rsidRDefault="00230068" w:rsidP="00480FB1">
      <w:pPr>
        <w:tabs>
          <w:tab w:val="left" w:pos="540"/>
          <w:tab w:val="left" w:pos="569"/>
        </w:tabs>
        <w:rPr>
          <w:sz w:val="22"/>
          <w:szCs w:val="22"/>
          <w:lang w:val="sr-Latn-ME"/>
        </w:rPr>
      </w:pPr>
      <w:r w:rsidRPr="00840456">
        <w:rPr>
          <w:color w:val="000000"/>
          <w:sz w:val="22"/>
          <w:szCs w:val="22"/>
          <w:lang w:val="sr-Latn-ME"/>
        </w:rPr>
        <w:t>Budući da studije inkompatibilnosti nisu rađene, ovaj lijek ne treba miješati sa drugim ljekovima</w:t>
      </w:r>
      <w:r w:rsidRPr="00840456">
        <w:rPr>
          <w:sz w:val="22"/>
          <w:szCs w:val="22"/>
          <w:lang w:val="sr-Latn-ME"/>
        </w:rPr>
        <w:t>.</w:t>
      </w:r>
    </w:p>
    <w:p w14:paraId="7F1C3AA7" w14:textId="77777777" w:rsidR="00230068" w:rsidRPr="00840456" w:rsidRDefault="00230068" w:rsidP="00480FB1">
      <w:pPr>
        <w:tabs>
          <w:tab w:val="left" w:pos="540"/>
          <w:tab w:val="left" w:pos="569"/>
        </w:tabs>
        <w:rPr>
          <w:sz w:val="22"/>
          <w:szCs w:val="22"/>
          <w:lang w:val="sr-Latn-ME"/>
        </w:rPr>
      </w:pPr>
    </w:p>
    <w:p w14:paraId="38A76FAB" w14:textId="79031139"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6.3.</w:t>
      </w:r>
      <w:r w:rsidR="00C05DF8" w:rsidRPr="00840456">
        <w:rPr>
          <w:b/>
          <w:bCs/>
          <w:sz w:val="22"/>
          <w:szCs w:val="22"/>
          <w:lang w:val="sr-Latn-ME"/>
        </w:rPr>
        <w:t xml:space="preserve"> </w:t>
      </w:r>
      <w:r w:rsidR="00480FB1" w:rsidRPr="00840456">
        <w:rPr>
          <w:b/>
          <w:bCs/>
          <w:sz w:val="22"/>
          <w:szCs w:val="22"/>
          <w:lang w:val="sr-Latn-ME"/>
        </w:rPr>
        <w:tab/>
      </w:r>
      <w:r w:rsidRPr="00840456">
        <w:rPr>
          <w:b/>
          <w:bCs/>
          <w:sz w:val="22"/>
          <w:szCs w:val="22"/>
          <w:lang w:val="sr-Latn-ME"/>
        </w:rPr>
        <w:t>Rok upotrebe</w:t>
      </w:r>
    </w:p>
    <w:p w14:paraId="0A73C9F7" w14:textId="77777777" w:rsidR="0072020E" w:rsidRPr="00840456" w:rsidRDefault="0072020E" w:rsidP="00480FB1">
      <w:pPr>
        <w:tabs>
          <w:tab w:val="left" w:pos="540"/>
          <w:tab w:val="left" w:pos="569"/>
        </w:tabs>
        <w:rPr>
          <w:bCs/>
          <w:sz w:val="22"/>
          <w:szCs w:val="22"/>
          <w:lang w:val="sr-Latn-ME"/>
        </w:rPr>
      </w:pPr>
    </w:p>
    <w:p w14:paraId="30594509" w14:textId="099B859A" w:rsidR="00230068" w:rsidRPr="00840456" w:rsidRDefault="00230068" w:rsidP="00480FB1">
      <w:pPr>
        <w:tabs>
          <w:tab w:val="left" w:pos="540"/>
          <w:tab w:val="left" w:pos="569"/>
        </w:tabs>
        <w:rPr>
          <w:bCs/>
          <w:sz w:val="22"/>
          <w:szCs w:val="22"/>
          <w:lang w:val="sr-Latn-ME"/>
        </w:rPr>
      </w:pPr>
      <w:r w:rsidRPr="00840456">
        <w:rPr>
          <w:bCs/>
          <w:sz w:val="22"/>
          <w:szCs w:val="22"/>
          <w:lang w:val="sr-Latn-ME"/>
        </w:rPr>
        <w:t>30 mjeseci.</w:t>
      </w:r>
    </w:p>
    <w:p w14:paraId="5D4640AA" w14:textId="77777777" w:rsidR="00230068" w:rsidRPr="00840456" w:rsidRDefault="00230068" w:rsidP="00480FB1">
      <w:pPr>
        <w:tabs>
          <w:tab w:val="left" w:pos="540"/>
          <w:tab w:val="left" w:pos="569"/>
        </w:tabs>
        <w:rPr>
          <w:bCs/>
          <w:sz w:val="22"/>
          <w:szCs w:val="22"/>
          <w:lang w:val="sr-Latn-ME"/>
        </w:rPr>
      </w:pPr>
    </w:p>
    <w:p w14:paraId="1717D037"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6.4. </w:t>
      </w:r>
      <w:r w:rsidR="00480FB1" w:rsidRPr="00840456">
        <w:rPr>
          <w:b/>
          <w:bCs/>
          <w:sz w:val="22"/>
          <w:szCs w:val="22"/>
          <w:lang w:val="sr-Latn-ME"/>
        </w:rPr>
        <w:tab/>
      </w:r>
      <w:r w:rsidRPr="00840456">
        <w:rPr>
          <w:b/>
          <w:bCs/>
          <w:sz w:val="22"/>
          <w:szCs w:val="22"/>
          <w:lang w:val="sr-Latn-ME"/>
        </w:rPr>
        <w:t>Posebne mjere upozorenja pri čuvanju</w:t>
      </w:r>
      <w:r w:rsidR="00F8570A" w:rsidRPr="00840456">
        <w:rPr>
          <w:b/>
          <w:bCs/>
          <w:sz w:val="22"/>
          <w:szCs w:val="22"/>
          <w:lang w:val="sr-Latn-ME"/>
        </w:rPr>
        <w:t xml:space="preserve"> lijeka</w:t>
      </w:r>
    </w:p>
    <w:p w14:paraId="58D7E91E" w14:textId="77777777" w:rsidR="00230068" w:rsidRPr="00840456" w:rsidRDefault="00230068" w:rsidP="00480FB1">
      <w:pPr>
        <w:tabs>
          <w:tab w:val="left" w:pos="540"/>
          <w:tab w:val="left" w:pos="569"/>
        </w:tabs>
        <w:rPr>
          <w:b/>
          <w:bCs/>
          <w:sz w:val="22"/>
          <w:szCs w:val="22"/>
          <w:lang w:val="sr-Latn-ME"/>
        </w:rPr>
      </w:pPr>
    </w:p>
    <w:p w14:paraId="617C647A" w14:textId="77777777" w:rsidR="00230068" w:rsidRPr="00840456" w:rsidRDefault="00230068" w:rsidP="00230068">
      <w:pPr>
        <w:tabs>
          <w:tab w:val="left" w:pos="0"/>
        </w:tabs>
        <w:jc w:val="both"/>
        <w:rPr>
          <w:sz w:val="22"/>
          <w:szCs w:val="22"/>
          <w:lang w:val="sr-Latn-ME"/>
        </w:rPr>
      </w:pPr>
      <w:r w:rsidRPr="00840456">
        <w:rPr>
          <w:sz w:val="22"/>
          <w:szCs w:val="22"/>
          <w:lang w:val="sr-Latn-ME"/>
        </w:rPr>
        <w:t>Čuvati u frižideru (2°C - 8°C).</w:t>
      </w:r>
    </w:p>
    <w:p w14:paraId="7C2774E2" w14:textId="77777777" w:rsidR="00230068" w:rsidRPr="00840456" w:rsidRDefault="00230068" w:rsidP="00230068">
      <w:pPr>
        <w:pStyle w:val="Header"/>
        <w:tabs>
          <w:tab w:val="left" w:pos="284"/>
        </w:tabs>
        <w:spacing w:before="120" w:after="240"/>
        <w:jc w:val="both"/>
        <w:rPr>
          <w:sz w:val="22"/>
          <w:szCs w:val="22"/>
          <w:lang w:val="sr-Latn-ME"/>
        </w:rPr>
      </w:pPr>
      <w:r w:rsidRPr="00840456">
        <w:rPr>
          <w:sz w:val="22"/>
          <w:szCs w:val="22"/>
          <w:lang w:val="sr-Latn-ME"/>
        </w:rPr>
        <w:t xml:space="preserve">Ne zamrzavati. </w:t>
      </w:r>
    </w:p>
    <w:p w14:paraId="10BBF6C5" w14:textId="3E03311D" w:rsidR="00230068" w:rsidRPr="00840456" w:rsidRDefault="00230068" w:rsidP="00230068">
      <w:pPr>
        <w:widowControl w:val="0"/>
        <w:overflowPunct w:val="0"/>
        <w:autoSpaceDE w:val="0"/>
        <w:autoSpaceDN w:val="0"/>
        <w:adjustRightInd w:val="0"/>
        <w:spacing w:line="249" w:lineRule="auto"/>
        <w:jc w:val="both"/>
        <w:rPr>
          <w:sz w:val="22"/>
          <w:szCs w:val="22"/>
          <w:lang w:val="sr-Latn-ME"/>
        </w:rPr>
      </w:pPr>
      <w:r w:rsidRPr="00840456">
        <w:rPr>
          <w:color w:val="000000"/>
          <w:sz w:val="22"/>
          <w:szCs w:val="22"/>
          <w:lang w:val="sr-Latn-ME"/>
        </w:rPr>
        <w:t xml:space="preserve">Enbrel se može čuvati jednokratno na temperaturama do maksimalno 25°C, najduže 4 nedjelje; </w:t>
      </w:r>
      <w:r w:rsidR="00984BA9" w:rsidRPr="00840456">
        <w:rPr>
          <w:color w:val="000000"/>
          <w:sz w:val="22"/>
          <w:szCs w:val="22"/>
          <w:lang w:val="sr-Latn-ME"/>
        </w:rPr>
        <w:t>nakon</w:t>
      </w:r>
      <w:r w:rsidRPr="00840456">
        <w:rPr>
          <w:color w:val="000000"/>
          <w:sz w:val="22"/>
          <w:szCs w:val="22"/>
          <w:lang w:val="sr-Latn-ME"/>
        </w:rPr>
        <w:t xml:space="preserve"> čega se ne smije ponovo čuvati u frižideru. Lijek Enbrel bi trebalo odbaciti ako se ne iskoristi u toku 4 nedjelje nakon pomjeranja iz frižidera.</w:t>
      </w:r>
    </w:p>
    <w:p w14:paraId="15F69000" w14:textId="77777777" w:rsidR="00230068" w:rsidRPr="00840456" w:rsidRDefault="00230068" w:rsidP="00230068">
      <w:pPr>
        <w:widowControl w:val="0"/>
        <w:autoSpaceDE w:val="0"/>
        <w:autoSpaceDN w:val="0"/>
        <w:adjustRightInd w:val="0"/>
        <w:spacing w:line="214" w:lineRule="exact"/>
        <w:jc w:val="both"/>
        <w:rPr>
          <w:sz w:val="22"/>
          <w:szCs w:val="22"/>
          <w:lang w:val="sr-Latn-ME"/>
        </w:rPr>
      </w:pPr>
    </w:p>
    <w:p w14:paraId="079B8C66" w14:textId="2EFF1ED3" w:rsidR="00EC2532" w:rsidRPr="00840456" w:rsidRDefault="00230068" w:rsidP="00230068">
      <w:pPr>
        <w:tabs>
          <w:tab w:val="left" w:pos="540"/>
          <w:tab w:val="left" w:pos="569"/>
        </w:tabs>
        <w:rPr>
          <w:color w:val="000000"/>
          <w:sz w:val="22"/>
          <w:szCs w:val="22"/>
          <w:lang w:val="sr-Latn-ME"/>
        </w:rPr>
      </w:pPr>
      <w:r w:rsidRPr="00840456">
        <w:rPr>
          <w:color w:val="000000"/>
          <w:sz w:val="22"/>
          <w:szCs w:val="22"/>
          <w:lang w:val="sr-Latn-ME"/>
        </w:rPr>
        <w:t>Napunjene injekcione špriceve čuvati u spoljnjoj, originalnoj kartonskoj kutiji radi zaštite od svjetlosti.</w:t>
      </w:r>
    </w:p>
    <w:p w14:paraId="0580D146" w14:textId="77777777" w:rsidR="00230068" w:rsidRPr="00840456" w:rsidRDefault="00230068" w:rsidP="00230068">
      <w:pPr>
        <w:tabs>
          <w:tab w:val="left" w:pos="540"/>
          <w:tab w:val="left" w:pos="569"/>
        </w:tabs>
        <w:rPr>
          <w:bCs/>
          <w:sz w:val="22"/>
          <w:szCs w:val="22"/>
          <w:lang w:val="sr-Latn-ME"/>
        </w:rPr>
      </w:pPr>
    </w:p>
    <w:p w14:paraId="7565E44B" w14:textId="77777777" w:rsidR="0072020E" w:rsidRPr="00840456" w:rsidRDefault="0072020E" w:rsidP="00480FB1">
      <w:pPr>
        <w:tabs>
          <w:tab w:val="left" w:pos="540"/>
          <w:tab w:val="left" w:pos="569"/>
        </w:tabs>
        <w:rPr>
          <w:b/>
          <w:bCs/>
          <w:sz w:val="22"/>
          <w:szCs w:val="22"/>
          <w:lang w:val="sr-Latn-ME"/>
        </w:rPr>
      </w:pPr>
      <w:bookmarkStart w:id="4" w:name="_Hlk182301639"/>
      <w:r w:rsidRPr="00840456">
        <w:rPr>
          <w:b/>
          <w:bCs/>
          <w:sz w:val="22"/>
          <w:szCs w:val="22"/>
          <w:lang w:val="sr-Latn-ME"/>
        </w:rPr>
        <w:t xml:space="preserve">6.5. </w:t>
      </w:r>
      <w:r w:rsidR="00480FB1" w:rsidRPr="00840456">
        <w:rPr>
          <w:b/>
          <w:bCs/>
          <w:sz w:val="22"/>
          <w:szCs w:val="22"/>
          <w:lang w:val="sr-Latn-ME"/>
        </w:rPr>
        <w:tab/>
      </w:r>
      <w:r w:rsidR="002846DB" w:rsidRPr="00840456">
        <w:rPr>
          <w:b/>
          <w:bCs/>
          <w:sz w:val="22"/>
          <w:szCs w:val="22"/>
          <w:lang w:val="sr-Latn-ME"/>
        </w:rPr>
        <w:t xml:space="preserve">Vrsta i sadržaj </w:t>
      </w:r>
      <w:r w:rsidR="00F8570A" w:rsidRPr="00840456">
        <w:rPr>
          <w:b/>
          <w:bCs/>
          <w:sz w:val="22"/>
          <w:szCs w:val="22"/>
          <w:lang w:val="sr-Latn-ME"/>
        </w:rPr>
        <w:t>pakovanja</w:t>
      </w:r>
      <w:r w:rsidR="00C06864" w:rsidRPr="00840456">
        <w:rPr>
          <w:b/>
          <w:bCs/>
          <w:sz w:val="22"/>
          <w:szCs w:val="22"/>
          <w:lang w:val="sr-Latn-ME"/>
        </w:rPr>
        <w:t xml:space="preserve"> </w:t>
      </w:r>
    </w:p>
    <w:bookmarkEnd w:id="4"/>
    <w:p w14:paraId="496BBFE0" w14:textId="77777777" w:rsidR="00230068" w:rsidRPr="00840456" w:rsidRDefault="00230068" w:rsidP="00480FB1">
      <w:pPr>
        <w:tabs>
          <w:tab w:val="left" w:pos="540"/>
          <w:tab w:val="left" w:pos="569"/>
        </w:tabs>
        <w:rPr>
          <w:b/>
          <w:bCs/>
          <w:sz w:val="22"/>
          <w:szCs w:val="22"/>
          <w:lang w:val="sr-Latn-ME"/>
        </w:rPr>
      </w:pPr>
    </w:p>
    <w:p w14:paraId="708F6BC0" w14:textId="4DA921DA" w:rsidR="0072589D" w:rsidRPr="00840456" w:rsidRDefault="0072589D" w:rsidP="0072589D">
      <w:pPr>
        <w:tabs>
          <w:tab w:val="left" w:pos="0"/>
        </w:tabs>
        <w:jc w:val="both"/>
        <w:rPr>
          <w:sz w:val="22"/>
          <w:szCs w:val="22"/>
          <w:lang w:val="sr-Latn-ME"/>
        </w:rPr>
      </w:pPr>
      <w:r w:rsidRPr="00840456">
        <w:rPr>
          <w:sz w:val="22"/>
          <w:szCs w:val="22"/>
          <w:lang w:val="sr-Latn-ME"/>
        </w:rPr>
        <w:t>Unutrašnje pakovanje je napunjeni injekcioni špric od stakla I hidrolitičke grupe sa iglom od nerđajućeg čelika, gumenim poklopcem za iglu i plastičnim klipom.</w:t>
      </w:r>
    </w:p>
    <w:p w14:paraId="49259A03" w14:textId="44565793" w:rsidR="0072589D" w:rsidRPr="00840456" w:rsidRDefault="000E3A6C" w:rsidP="0072589D">
      <w:pPr>
        <w:tabs>
          <w:tab w:val="left" w:pos="0"/>
        </w:tabs>
        <w:jc w:val="both"/>
        <w:rPr>
          <w:sz w:val="22"/>
          <w:szCs w:val="22"/>
          <w:lang w:val="sr-Latn-ME"/>
        </w:rPr>
      </w:pPr>
      <w:r w:rsidRPr="00840456">
        <w:rPr>
          <w:sz w:val="22"/>
          <w:szCs w:val="22"/>
          <w:lang w:val="sr-Latn-ME"/>
        </w:rPr>
        <w:t>P</w:t>
      </w:r>
      <w:r w:rsidR="0072589D" w:rsidRPr="00840456">
        <w:rPr>
          <w:sz w:val="22"/>
          <w:szCs w:val="22"/>
          <w:lang w:val="sr-Latn-ME"/>
        </w:rPr>
        <w:t xml:space="preserve">oklopac </w:t>
      </w:r>
      <w:r w:rsidRPr="00840456">
        <w:rPr>
          <w:sz w:val="22"/>
          <w:szCs w:val="22"/>
          <w:lang w:val="sr-Latn-ME"/>
        </w:rPr>
        <w:t>za iglu sadrži</w:t>
      </w:r>
      <w:r w:rsidR="0072589D" w:rsidRPr="00840456">
        <w:rPr>
          <w:sz w:val="22"/>
          <w:szCs w:val="22"/>
          <w:lang w:val="sr-Latn-ME"/>
        </w:rPr>
        <w:t xml:space="preserve"> su</w:t>
      </w:r>
      <w:r w:rsidRPr="00840456">
        <w:rPr>
          <w:sz w:val="22"/>
          <w:szCs w:val="22"/>
          <w:lang w:val="sr-Latn-ME"/>
        </w:rPr>
        <w:t>vu</w:t>
      </w:r>
      <w:r w:rsidR="0072589D" w:rsidRPr="00840456">
        <w:rPr>
          <w:sz w:val="22"/>
          <w:szCs w:val="22"/>
          <w:lang w:val="sr-Latn-ME"/>
        </w:rPr>
        <w:t xml:space="preserve"> prirodn</w:t>
      </w:r>
      <w:r w:rsidRPr="00840456">
        <w:rPr>
          <w:sz w:val="22"/>
          <w:szCs w:val="22"/>
          <w:lang w:val="sr-Latn-ME"/>
        </w:rPr>
        <w:t>u</w:t>
      </w:r>
      <w:r w:rsidR="0072589D" w:rsidRPr="00840456">
        <w:rPr>
          <w:sz w:val="22"/>
          <w:szCs w:val="22"/>
          <w:lang w:val="sr-Latn-ME"/>
        </w:rPr>
        <w:t xml:space="preserve"> gum</w:t>
      </w:r>
      <w:r w:rsidRPr="00840456">
        <w:rPr>
          <w:sz w:val="22"/>
          <w:szCs w:val="22"/>
          <w:lang w:val="sr-Latn-ME"/>
        </w:rPr>
        <w:t>u</w:t>
      </w:r>
      <w:r w:rsidR="0072589D" w:rsidRPr="00840456">
        <w:rPr>
          <w:sz w:val="22"/>
          <w:szCs w:val="22"/>
          <w:lang w:val="sr-Latn-ME"/>
        </w:rPr>
        <w:t xml:space="preserve"> (lateks) (vidjeti dio 4.4).</w:t>
      </w:r>
    </w:p>
    <w:p w14:paraId="42924945" w14:textId="6C84966A" w:rsidR="0072589D" w:rsidRPr="00840456" w:rsidRDefault="0072589D" w:rsidP="0072589D">
      <w:pPr>
        <w:tabs>
          <w:tab w:val="left" w:pos="0"/>
        </w:tabs>
        <w:jc w:val="both"/>
        <w:rPr>
          <w:sz w:val="22"/>
          <w:szCs w:val="22"/>
          <w:lang w:val="sr-Latn-ME"/>
        </w:rPr>
      </w:pPr>
    </w:p>
    <w:p w14:paraId="0111B04A" w14:textId="358B41C4" w:rsidR="0072589D" w:rsidRPr="00840456" w:rsidRDefault="0072589D" w:rsidP="0072589D">
      <w:pPr>
        <w:widowControl w:val="0"/>
        <w:overflowPunct w:val="0"/>
        <w:autoSpaceDE w:val="0"/>
        <w:autoSpaceDN w:val="0"/>
        <w:adjustRightInd w:val="0"/>
        <w:spacing w:line="243" w:lineRule="auto"/>
        <w:jc w:val="both"/>
        <w:rPr>
          <w:sz w:val="22"/>
          <w:szCs w:val="22"/>
          <w:lang w:val="sr-Latn-ME"/>
        </w:rPr>
      </w:pPr>
      <w:r w:rsidRPr="00840456">
        <w:rPr>
          <w:sz w:val="22"/>
          <w:szCs w:val="22"/>
          <w:lang w:val="sr-Latn-ME"/>
        </w:rPr>
        <w:t>Spoljašnje pakovanje je složiva kartonska kutija sa jednim blisterom (ukupno 4 napunjena injekciona šprica i 4 alkoholna tupfera) i Uputstvom za lijek.</w:t>
      </w:r>
    </w:p>
    <w:p w14:paraId="60F3F6C6" w14:textId="77777777" w:rsidR="0072020E" w:rsidRPr="00840456" w:rsidRDefault="0072020E" w:rsidP="00480FB1">
      <w:pPr>
        <w:tabs>
          <w:tab w:val="left" w:pos="540"/>
          <w:tab w:val="left" w:pos="569"/>
        </w:tabs>
        <w:rPr>
          <w:bCs/>
          <w:sz w:val="22"/>
          <w:szCs w:val="22"/>
          <w:lang w:val="sr-Latn-ME"/>
        </w:rPr>
      </w:pPr>
    </w:p>
    <w:p w14:paraId="0A4EE891" w14:textId="77777777" w:rsidR="002846DB"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6.6. </w:t>
      </w:r>
      <w:r w:rsidR="00480FB1" w:rsidRPr="00840456">
        <w:rPr>
          <w:b/>
          <w:bCs/>
          <w:sz w:val="22"/>
          <w:szCs w:val="22"/>
          <w:lang w:val="sr-Latn-ME"/>
        </w:rPr>
        <w:tab/>
      </w:r>
      <w:r w:rsidRPr="00840456">
        <w:rPr>
          <w:b/>
          <w:bCs/>
          <w:color w:val="000000"/>
          <w:sz w:val="22"/>
          <w:szCs w:val="22"/>
          <w:lang w:val="sr-Latn-ME"/>
        </w:rPr>
        <w:t>Posebne mjere opreza pri odlaganju materijala koji treba odbaciti nakon primjene lijeka</w:t>
      </w:r>
      <w:r w:rsidRPr="00840456">
        <w:rPr>
          <w:b/>
          <w:bCs/>
          <w:sz w:val="22"/>
          <w:szCs w:val="22"/>
          <w:lang w:val="sr-Latn-ME"/>
        </w:rPr>
        <w:t xml:space="preserve"> </w:t>
      </w:r>
      <w:r w:rsidR="00310F03" w:rsidRPr="00840456">
        <w:rPr>
          <w:b/>
          <w:bCs/>
          <w:sz w:val="22"/>
          <w:szCs w:val="22"/>
          <w:lang w:val="sr-Latn-ME"/>
        </w:rPr>
        <w:t>(i druga uputs</w:t>
      </w:r>
      <w:r w:rsidR="004109FA" w:rsidRPr="00840456">
        <w:rPr>
          <w:b/>
          <w:bCs/>
          <w:sz w:val="22"/>
          <w:szCs w:val="22"/>
          <w:lang w:val="sr-Latn-ME"/>
        </w:rPr>
        <w:t>t</w:t>
      </w:r>
      <w:r w:rsidR="00310F03" w:rsidRPr="00840456">
        <w:rPr>
          <w:b/>
          <w:bCs/>
          <w:sz w:val="22"/>
          <w:szCs w:val="22"/>
          <w:lang w:val="sr-Latn-ME"/>
        </w:rPr>
        <w:t xml:space="preserve">va za rukovanje lijekom) </w:t>
      </w:r>
    </w:p>
    <w:p w14:paraId="2C5FAE06" w14:textId="77777777" w:rsidR="00230068" w:rsidRPr="00840456" w:rsidRDefault="00230068" w:rsidP="00480FB1">
      <w:pPr>
        <w:tabs>
          <w:tab w:val="left" w:pos="540"/>
          <w:tab w:val="left" w:pos="569"/>
        </w:tabs>
        <w:rPr>
          <w:b/>
          <w:bCs/>
          <w:sz w:val="22"/>
          <w:szCs w:val="22"/>
          <w:lang w:val="sr-Latn-ME"/>
        </w:rPr>
      </w:pPr>
    </w:p>
    <w:p w14:paraId="4DFC5BED" w14:textId="5EC5DE7D" w:rsidR="00230068" w:rsidRPr="00840456" w:rsidRDefault="00230068" w:rsidP="00230068">
      <w:pPr>
        <w:widowControl w:val="0"/>
        <w:overflowPunct w:val="0"/>
        <w:autoSpaceDE w:val="0"/>
        <w:autoSpaceDN w:val="0"/>
        <w:adjustRightInd w:val="0"/>
        <w:spacing w:line="244" w:lineRule="auto"/>
        <w:jc w:val="both"/>
        <w:rPr>
          <w:sz w:val="22"/>
          <w:szCs w:val="22"/>
          <w:lang w:val="sr-Latn-ME"/>
        </w:rPr>
      </w:pPr>
      <w:r w:rsidRPr="00840456">
        <w:rPr>
          <w:color w:val="000000"/>
          <w:sz w:val="22"/>
          <w:szCs w:val="22"/>
          <w:lang w:val="sr-Latn-ME"/>
        </w:rPr>
        <w:t>Prije primjene, Enbrel napunjen</w:t>
      </w:r>
      <w:r w:rsidR="009D58D9">
        <w:rPr>
          <w:color w:val="000000"/>
          <w:sz w:val="22"/>
          <w:szCs w:val="22"/>
          <w:lang w:val="sr-Latn-ME"/>
        </w:rPr>
        <w:t>i</w:t>
      </w:r>
      <w:r w:rsidRPr="00840456">
        <w:rPr>
          <w:color w:val="000000"/>
          <w:sz w:val="22"/>
          <w:szCs w:val="22"/>
          <w:lang w:val="sr-Latn-ME"/>
        </w:rPr>
        <w:t xml:space="preserve"> injekcioni špric za jednokratnu primjenu ostaviti na sobnoj temperaturi (približno 15 do 30 minuta) da postigne sobnu temperaturu. Dok napunjen</w:t>
      </w:r>
      <w:r w:rsidR="00CE4562" w:rsidRPr="00840456">
        <w:rPr>
          <w:color w:val="000000"/>
          <w:sz w:val="22"/>
          <w:szCs w:val="22"/>
          <w:lang w:val="sr-Latn-ME"/>
        </w:rPr>
        <w:t>i</w:t>
      </w:r>
      <w:r w:rsidRPr="00840456">
        <w:rPr>
          <w:color w:val="000000"/>
          <w:sz w:val="22"/>
          <w:szCs w:val="22"/>
          <w:lang w:val="sr-Latn-ME"/>
        </w:rPr>
        <w:t xml:space="preserve"> injekcioni špric ne postigne sobnu temperaturu ne treba skidati zaštitni poklopac sa igle.</w:t>
      </w:r>
    </w:p>
    <w:p w14:paraId="655F6AD6" w14:textId="77777777" w:rsidR="00230068" w:rsidRPr="00840456" w:rsidRDefault="00230068" w:rsidP="00230068">
      <w:pPr>
        <w:widowControl w:val="0"/>
        <w:autoSpaceDE w:val="0"/>
        <w:autoSpaceDN w:val="0"/>
        <w:adjustRightInd w:val="0"/>
        <w:spacing w:line="2" w:lineRule="exact"/>
        <w:jc w:val="both"/>
        <w:rPr>
          <w:sz w:val="22"/>
          <w:szCs w:val="22"/>
          <w:lang w:val="sr-Latn-ME"/>
        </w:rPr>
      </w:pPr>
    </w:p>
    <w:p w14:paraId="1892887C" w14:textId="6B895F06" w:rsidR="00230068" w:rsidRPr="00840456" w:rsidRDefault="00230068" w:rsidP="00230068">
      <w:pPr>
        <w:widowControl w:val="0"/>
        <w:autoSpaceDE w:val="0"/>
        <w:autoSpaceDN w:val="0"/>
        <w:adjustRightInd w:val="0"/>
        <w:spacing w:line="228" w:lineRule="exact"/>
        <w:jc w:val="both"/>
        <w:rPr>
          <w:sz w:val="22"/>
          <w:szCs w:val="22"/>
          <w:lang w:val="sr-Latn-ME"/>
        </w:rPr>
      </w:pPr>
      <w:r w:rsidRPr="00840456">
        <w:rPr>
          <w:color w:val="000000"/>
          <w:sz w:val="22"/>
          <w:szCs w:val="22"/>
          <w:lang w:val="sr-Latn-ME"/>
        </w:rPr>
        <w:t xml:space="preserve">Rastvor </w:t>
      </w:r>
      <w:r w:rsidR="00B739F3" w:rsidRPr="00840456">
        <w:rPr>
          <w:color w:val="000000"/>
          <w:sz w:val="22"/>
          <w:szCs w:val="22"/>
          <w:lang w:val="sr-Latn-ME"/>
        </w:rPr>
        <w:t>trebao biti</w:t>
      </w:r>
      <w:r w:rsidRPr="00840456">
        <w:rPr>
          <w:color w:val="000000"/>
          <w:sz w:val="22"/>
          <w:szCs w:val="22"/>
          <w:lang w:val="sr-Latn-ME"/>
        </w:rPr>
        <w:t xml:space="preserve"> bistar do blago opalescentan, bezbojan do blijedo žut ili blijedo braon, i može sadržavati male providne ili bijele čestice proteina.</w:t>
      </w:r>
      <w:r w:rsidRPr="00840456" w:rsidDel="00455070">
        <w:rPr>
          <w:color w:val="000000"/>
          <w:sz w:val="22"/>
          <w:szCs w:val="22"/>
          <w:lang w:val="sr-Latn-ME"/>
        </w:rPr>
        <w:t xml:space="preserve"> </w:t>
      </w:r>
    </w:p>
    <w:p w14:paraId="3839BE25" w14:textId="03E21898" w:rsidR="00B739F3" w:rsidRPr="00840456" w:rsidRDefault="00B739F3" w:rsidP="00B739F3">
      <w:pPr>
        <w:widowControl w:val="0"/>
        <w:overflowPunct w:val="0"/>
        <w:autoSpaceDE w:val="0"/>
        <w:autoSpaceDN w:val="0"/>
        <w:adjustRightInd w:val="0"/>
        <w:spacing w:line="258" w:lineRule="auto"/>
        <w:jc w:val="both"/>
        <w:rPr>
          <w:sz w:val="22"/>
          <w:szCs w:val="22"/>
          <w:lang w:val="sr-Latn-ME"/>
        </w:rPr>
      </w:pPr>
      <w:r w:rsidRPr="00840456">
        <w:rPr>
          <w:color w:val="000000"/>
          <w:sz w:val="22"/>
          <w:szCs w:val="22"/>
          <w:lang w:val="sr-Latn-ME"/>
        </w:rPr>
        <w:t>Detaljane instrukcije za postupak primjene lijeka Enbrel date su u Uputstvu za pacijenta u dijelu</w:t>
      </w:r>
      <w:r w:rsidR="00A55F7D" w:rsidRPr="00840456">
        <w:rPr>
          <w:color w:val="000000"/>
          <w:sz w:val="22"/>
          <w:szCs w:val="22"/>
          <w:lang w:val="sr-Latn-ME"/>
        </w:rPr>
        <w:t xml:space="preserve"> </w:t>
      </w:r>
      <w:r w:rsidR="00A55F7D" w:rsidRPr="00840456">
        <w:rPr>
          <w:b/>
          <w:color w:val="000000"/>
          <w:sz w:val="22"/>
          <w:szCs w:val="22"/>
          <w:lang w:val="sr-Latn-ME"/>
        </w:rPr>
        <w:t>„</w:t>
      </w:r>
      <w:r w:rsidR="00A55F7D" w:rsidRPr="00840456">
        <w:rPr>
          <w:b/>
          <w:bCs/>
          <w:color w:val="000000"/>
          <w:sz w:val="22"/>
          <w:szCs w:val="22"/>
          <w:lang w:val="sr-Latn-ME"/>
        </w:rPr>
        <w:t>Uputstvo za upotrebu“.</w:t>
      </w:r>
    </w:p>
    <w:p w14:paraId="0B9D169D" w14:textId="77777777" w:rsidR="00230068" w:rsidRPr="00840456" w:rsidRDefault="00230068" w:rsidP="00230068">
      <w:pPr>
        <w:widowControl w:val="0"/>
        <w:autoSpaceDE w:val="0"/>
        <w:autoSpaceDN w:val="0"/>
        <w:adjustRightInd w:val="0"/>
        <w:spacing w:line="204" w:lineRule="exact"/>
        <w:jc w:val="both"/>
        <w:rPr>
          <w:sz w:val="22"/>
          <w:szCs w:val="22"/>
          <w:lang w:val="sr-Latn-ME"/>
        </w:rPr>
      </w:pPr>
    </w:p>
    <w:p w14:paraId="103CC5F7" w14:textId="6DA3E263" w:rsidR="00B66A70" w:rsidRPr="00840456" w:rsidRDefault="00230068" w:rsidP="00230068">
      <w:pPr>
        <w:pStyle w:val="Header"/>
        <w:tabs>
          <w:tab w:val="left" w:pos="284"/>
        </w:tabs>
        <w:jc w:val="both"/>
        <w:rPr>
          <w:color w:val="000000"/>
          <w:sz w:val="22"/>
          <w:szCs w:val="22"/>
          <w:lang w:val="sr-Latn-ME"/>
        </w:rPr>
      </w:pPr>
      <w:r w:rsidRPr="00840456">
        <w:rPr>
          <w:color w:val="000000"/>
          <w:sz w:val="22"/>
          <w:szCs w:val="22"/>
          <w:lang w:val="sr-Latn-ME"/>
        </w:rPr>
        <w:t xml:space="preserve">Lijek se uništava u skladu sa važećim propisima. </w:t>
      </w:r>
    </w:p>
    <w:p w14:paraId="06834C8E" w14:textId="56309DB0" w:rsidR="0072020E" w:rsidRPr="00840456" w:rsidRDefault="0072020E" w:rsidP="00480FB1">
      <w:pPr>
        <w:tabs>
          <w:tab w:val="left" w:pos="540"/>
          <w:tab w:val="left" w:pos="569"/>
        </w:tabs>
        <w:rPr>
          <w:bCs/>
          <w:sz w:val="22"/>
          <w:szCs w:val="22"/>
          <w:lang w:val="sr-Latn-ME"/>
        </w:rPr>
      </w:pPr>
    </w:p>
    <w:p w14:paraId="221E3F1B" w14:textId="1F7F85E9" w:rsidR="00AE3C08" w:rsidRDefault="00AE3C08" w:rsidP="00480FB1">
      <w:pPr>
        <w:tabs>
          <w:tab w:val="left" w:pos="540"/>
          <w:tab w:val="left" w:pos="569"/>
        </w:tabs>
        <w:rPr>
          <w:bCs/>
          <w:sz w:val="22"/>
          <w:szCs w:val="22"/>
          <w:lang w:val="sr-Latn-ME"/>
        </w:rPr>
      </w:pPr>
    </w:p>
    <w:p w14:paraId="7A410179" w14:textId="4CB52E38" w:rsidR="00840456" w:rsidRDefault="00840456" w:rsidP="00480FB1">
      <w:pPr>
        <w:tabs>
          <w:tab w:val="left" w:pos="540"/>
          <w:tab w:val="left" w:pos="569"/>
        </w:tabs>
        <w:rPr>
          <w:bCs/>
          <w:sz w:val="22"/>
          <w:szCs w:val="22"/>
          <w:lang w:val="sr-Latn-ME"/>
        </w:rPr>
      </w:pPr>
    </w:p>
    <w:p w14:paraId="5DBAFFDF" w14:textId="6D4BB57B" w:rsidR="00840456" w:rsidRDefault="00840456" w:rsidP="00480FB1">
      <w:pPr>
        <w:tabs>
          <w:tab w:val="left" w:pos="540"/>
          <w:tab w:val="left" w:pos="569"/>
        </w:tabs>
        <w:rPr>
          <w:bCs/>
          <w:sz w:val="22"/>
          <w:szCs w:val="22"/>
          <w:lang w:val="sr-Latn-ME"/>
        </w:rPr>
      </w:pPr>
    </w:p>
    <w:p w14:paraId="0C7E337C" w14:textId="5F7450D1" w:rsidR="00840456" w:rsidRDefault="00840456" w:rsidP="00480FB1">
      <w:pPr>
        <w:tabs>
          <w:tab w:val="left" w:pos="540"/>
          <w:tab w:val="left" w:pos="569"/>
        </w:tabs>
        <w:rPr>
          <w:bCs/>
          <w:sz w:val="22"/>
          <w:szCs w:val="22"/>
          <w:lang w:val="sr-Latn-ME"/>
        </w:rPr>
      </w:pPr>
    </w:p>
    <w:p w14:paraId="0C4D3AF2" w14:textId="77777777" w:rsidR="00840456" w:rsidRPr="00840456" w:rsidRDefault="00840456" w:rsidP="00480FB1">
      <w:pPr>
        <w:tabs>
          <w:tab w:val="left" w:pos="540"/>
          <w:tab w:val="left" w:pos="569"/>
        </w:tabs>
        <w:rPr>
          <w:bCs/>
          <w:sz w:val="22"/>
          <w:szCs w:val="22"/>
          <w:lang w:val="sr-Latn-ME"/>
        </w:rPr>
      </w:pPr>
    </w:p>
    <w:p w14:paraId="761CA36C" w14:textId="77777777" w:rsidR="00F8570A" w:rsidRPr="00840456" w:rsidRDefault="0072020E" w:rsidP="00480FB1">
      <w:pPr>
        <w:tabs>
          <w:tab w:val="left" w:pos="540"/>
          <w:tab w:val="left" w:pos="569"/>
        </w:tabs>
        <w:rPr>
          <w:b/>
          <w:bCs/>
          <w:sz w:val="22"/>
          <w:szCs w:val="22"/>
          <w:lang w:val="sr-Latn-ME"/>
        </w:rPr>
      </w:pPr>
      <w:r w:rsidRPr="00840456">
        <w:rPr>
          <w:b/>
          <w:bCs/>
          <w:sz w:val="22"/>
          <w:szCs w:val="22"/>
          <w:lang w:val="sr-Latn-ME"/>
        </w:rPr>
        <w:lastRenderedPageBreak/>
        <w:t xml:space="preserve">7. </w:t>
      </w:r>
      <w:r w:rsidR="00480FB1" w:rsidRPr="00840456">
        <w:rPr>
          <w:b/>
          <w:bCs/>
          <w:sz w:val="22"/>
          <w:szCs w:val="22"/>
          <w:lang w:val="sr-Latn-ME"/>
        </w:rPr>
        <w:tab/>
      </w:r>
      <w:r w:rsidRPr="00840456">
        <w:rPr>
          <w:b/>
          <w:bCs/>
          <w:sz w:val="22"/>
          <w:szCs w:val="22"/>
          <w:lang w:val="sr-Latn-ME"/>
        </w:rPr>
        <w:t>NOSILAC DOZVOLE</w:t>
      </w:r>
      <w:r w:rsidR="00483928" w:rsidRPr="00840456">
        <w:rPr>
          <w:b/>
          <w:bCs/>
          <w:sz w:val="22"/>
          <w:szCs w:val="22"/>
          <w:lang w:val="sr-Latn-ME"/>
        </w:rPr>
        <w:t xml:space="preserve"> </w:t>
      </w:r>
    </w:p>
    <w:p w14:paraId="43B65D25" w14:textId="77777777" w:rsidR="00C61BE0" w:rsidRPr="00840456" w:rsidRDefault="00C61BE0" w:rsidP="00480FB1">
      <w:pPr>
        <w:tabs>
          <w:tab w:val="left" w:pos="540"/>
          <w:tab w:val="left" w:pos="569"/>
        </w:tabs>
        <w:rPr>
          <w:bCs/>
          <w:sz w:val="22"/>
          <w:szCs w:val="22"/>
          <w:lang w:val="sr-Latn-ME"/>
        </w:rPr>
      </w:pPr>
    </w:p>
    <w:p w14:paraId="3499DC93" w14:textId="77777777" w:rsidR="00230068" w:rsidRPr="00840456" w:rsidRDefault="00230068" w:rsidP="00230068">
      <w:pPr>
        <w:pStyle w:val="Header"/>
        <w:tabs>
          <w:tab w:val="left" w:pos="284"/>
        </w:tabs>
        <w:rPr>
          <w:sz w:val="22"/>
          <w:szCs w:val="22"/>
          <w:lang w:val="sr-Latn-ME"/>
        </w:rPr>
      </w:pPr>
      <w:r w:rsidRPr="00840456">
        <w:rPr>
          <w:sz w:val="22"/>
          <w:szCs w:val="22"/>
          <w:lang w:val="sr-Latn-ME"/>
        </w:rPr>
        <w:t>Glosarij d.o.o.</w:t>
      </w:r>
    </w:p>
    <w:p w14:paraId="0DAFC11B" w14:textId="77777777" w:rsidR="00230068" w:rsidRPr="00840456" w:rsidRDefault="00230068" w:rsidP="00230068">
      <w:pPr>
        <w:pStyle w:val="Header"/>
        <w:tabs>
          <w:tab w:val="left" w:pos="284"/>
        </w:tabs>
        <w:rPr>
          <w:sz w:val="22"/>
          <w:szCs w:val="22"/>
          <w:lang w:val="sr-Latn-ME"/>
        </w:rPr>
      </w:pPr>
      <w:r w:rsidRPr="00840456">
        <w:rPr>
          <w:sz w:val="22"/>
          <w:szCs w:val="22"/>
          <w:lang w:val="sr-Latn-ME"/>
        </w:rPr>
        <w:t>Vojislavljevića 76, Podgorica, Crna Gora</w:t>
      </w:r>
    </w:p>
    <w:p w14:paraId="621CD7F9" w14:textId="3625A6B7" w:rsidR="00230068" w:rsidRDefault="00230068" w:rsidP="00230068">
      <w:pPr>
        <w:pStyle w:val="Header"/>
        <w:tabs>
          <w:tab w:val="left" w:pos="284"/>
        </w:tabs>
        <w:rPr>
          <w:sz w:val="22"/>
          <w:szCs w:val="22"/>
          <w:lang w:val="sr-Latn-ME"/>
        </w:rPr>
      </w:pPr>
    </w:p>
    <w:p w14:paraId="5D7987A8" w14:textId="77777777" w:rsidR="00840456" w:rsidRPr="00840456" w:rsidRDefault="00840456" w:rsidP="00230068">
      <w:pPr>
        <w:pStyle w:val="Header"/>
        <w:tabs>
          <w:tab w:val="left" w:pos="284"/>
        </w:tabs>
        <w:rPr>
          <w:sz w:val="22"/>
          <w:szCs w:val="22"/>
          <w:lang w:val="sr-Latn-ME"/>
        </w:rPr>
      </w:pPr>
    </w:p>
    <w:p w14:paraId="5D23403D" w14:textId="47799090" w:rsidR="0072020E" w:rsidRDefault="0072020E" w:rsidP="00480FB1">
      <w:pPr>
        <w:tabs>
          <w:tab w:val="left" w:pos="540"/>
          <w:tab w:val="left" w:pos="569"/>
        </w:tabs>
        <w:rPr>
          <w:b/>
          <w:bCs/>
          <w:sz w:val="22"/>
          <w:szCs w:val="22"/>
          <w:lang w:val="sr-Latn-ME"/>
        </w:rPr>
      </w:pPr>
      <w:r w:rsidRPr="00840456">
        <w:rPr>
          <w:b/>
          <w:bCs/>
          <w:sz w:val="22"/>
          <w:szCs w:val="22"/>
          <w:lang w:val="sr-Latn-ME"/>
        </w:rPr>
        <w:t xml:space="preserve">8. </w:t>
      </w:r>
      <w:r w:rsidR="00480FB1" w:rsidRPr="00840456">
        <w:rPr>
          <w:b/>
          <w:bCs/>
          <w:sz w:val="22"/>
          <w:szCs w:val="22"/>
          <w:lang w:val="sr-Latn-ME"/>
        </w:rPr>
        <w:tab/>
      </w:r>
      <w:r w:rsidRPr="00840456">
        <w:rPr>
          <w:b/>
          <w:bCs/>
          <w:sz w:val="22"/>
          <w:szCs w:val="22"/>
          <w:lang w:val="sr-Latn-ME"/>
        </w:rPr>
        <w:t>BROJ DOZVOLE</w:t>
      </w:r>
      <w:r w:rsidR="008A6D43" w:rsidRPr="00840456">
        <w:rPr>
          <w:b/>
          <w:bCs/>
          <w:sz w:val="22"/>
          <w:szCs w:val="22"/>
          <w:lang w:val="sr-Latn-ME"/>
        </w:rPr>
        <w:t xml:space="preserve"> ZA STAVLJANJE LIJEKA U PROMET</w:t>
      </w:r>
    </w:p>
    <w:p w14:paraId="1DABBE74" w14:textId="457EA747" w:rsidR="00840456" w:rsidRDefault="00840456" w:rsidP="00480FB1">
      <w:pPr>
        <w:tabs>
          <w:tab w:val="left" w:pos="540"/>
          <w:tab w:val="left" w:pos="569"/>
        </w:tabs>
        <w:rPr>
          <w:b/>
          <w:bCs/>
          <w:sz w:val="22"/>
          <w:szCs w:val="22"/>
          <w:lang w:val="sr-Latn-ME"/>
        </w:rPr>
      </w:pPr>
    </w:p>
    <w:p w14:paraId="26E434FF" w14:textId="64B6A77A" w:rsidR="00840456" w:rsidRPr="00840456" w:rsidRDefault="00840456" w:rsidP="00480FB1">
      <w:pPr>
        <w:tabs>
          <w:tab w:val="left" w:pos="540"/>
          <w:tab w:val="left" w:pos="569"/>
        </w:tabs>
        <w:rPr>
          <w:bCs/>
          <w:sz w:val="22"/>
          <w:szCs w:val="22"/>
          <w:lang w:val="sr-Latn-ME"/>
        </w:rPr>
      </w:pPr>
      <w:r w:rsidRPr="00840456">
        <w:rPr>
          <w:bCs/>
          <w:sz w:val="22"/>
          <w:szCs w:val="22"/>
          <w:lang w:val="sr-Latn-ME"/>
        </w:rPr>
        <w:t>2030/25/1929 - 7125</w:t>
      </w:r>
    </w:p>
    <w:p w14:paraId="2C644C89" w14:textId="77777777" w:rsidR="0072020E" w:rsidRPr="00840456" w:rsidRDefault="0072020E" w:rsidP="00480FB1">
      <w:pPr>
        <w:tabs>
          <w:tab w:val="left" w:pos="540"/>
          <w:tab w:val="left" w:pos="569"/>
        </w:tabs>
        <w:rPr>
          <w:bCs/>
          <w:sz w:val="22"/>
          <w:szCs w:val="22"/>
          <w:lang w:val="sr-Latn-ME"/>
        </w:rPr>
      </w:pPr>
    </w:p>
    <w:p w14:paraId="63EA1BE0" w14:textId="77777777" w:rsidR="00230068" w:rsidRPr="00840456" w:rsidRDefault="00230068" w:rsidP="00230068">
      <w:pPr>
        <w:spacing w:after="40"/>
        <w:rPr>
          <w:color w:val="000000"/>
          <w:sz w:val="22"/>
          <w:szCs w:val="22"/>
          <w:lang w:val="sr-Latn-ME"/>
        </w:rPr>
      </w:pPr>
    </w:p>
    <w:p w14:paraId="05AB79AB" w14:textId="77777777" w:rsidR="0072020E" w:rsidRPr="00840456" w:rsidRDefault="0072020E" w:rsidP="00480FB1">
      <w:pPr>
        <w:tabs>
          <w:tab w:val="left" w:pos="540"/>
          <w:tab w:val="left" w:pos="569"/>
        </w:tabs>
        <w:rPr>
          <w:b/>
          <w:bCs/>
          <w:sz w:val="22"/>
          <w:szCs w:val="22"/>
          <w:lang w:val="sr-Latn-ME"/>
        </w:rPr>
      </w:pPr>
      <w:r w:rsidRPr="00840456">
        <w:rPr>
          <w:b/>
          <w:bCs/>
          <w:sz w:val="22"/>
          <w:szCs w:val="22"/>
          <w:lang w:val="sr-Latn-ME"/>
        </w:rPr>
        <w:t xml:space="preserve">9. </w:t>
      </w:r>
      <w:r w:rsidR="00480FB1" w:rsidRPr="00840456">
        <w:rPr>
          <w:b/>
          <w:bCs/>
          <w:sz w:val="22"/>
          <w:szCs w:val="22"/>
          <w:lang w:val="sr-Latn-ME"/>
        </w:rPr>
        <w:tab/>
      </w:r>
      <w:r w:rsidRPr="00840456">
        <w:rPr>
          <w:b/>
          <w:bCs/>
          <w:sz w:val="22"/>
          <w:szCs w:val="22"/>
          <w:lang w:val="sr-Latn-ME"/>
        </w:rPr>
        <w:t xml:space="preserve">DATUM </w:t>
      </w:r>
      <w:r w:rsidR="00C05DF8" w:rsidRPr="00840456">
        <w:rPr>
          <w:b/>
          <w:bCs/>
          <w:sz w:val="22"/>
          <w:szCs w:val="22"/>
          <w:lang w:val="sr-Latn-ME"/>
        </w:rPr>
        <w:t xml:space="preserve">PRVE </w:t>
      </w:r>
      <w:r w:rsidR="008A6D43" w:rsidRPr="00840456">
        <w:rPr>
          <w:b/>
          <w:bCs/>
          <w:sz w:val="22"/>
          <w:szCs w:val="22"/>
          <w:lang w:val="sr-Latn-ME"/>
        </w:rPr>
        <w:t>DOZVOLE</w:t>
      </w:r>
      <w:r w:rsidR="00C05DF8" w:rsidRPr="00840456">
        <w:rPr>
          <w:b/>
          <w:bCs/>
          <w:sz w:val="22"/>
          <w:szCs w:val="22"/>
          <w:lang w:val="sr-Latn-ME"/>
        </w:rPr>
        <w:t>/OBNOVE DOZVOLE</w:t>
      </w:r>
      <w:r w:rsidR="008A6D43" w:rsidRPr="00840456">
        <w:rPr>
          <w:b/>
          <w:bCs/>
          <w:sz w:val="22"/>
          <w:szCs w:val="22"/>
          <w:lang w:val="sr-Latn-ME"/>
        </w:rPr>
        <w:t xml:space="preserve"> ZA STAVLJANJE LIJEKA U PROMET</w:t>
      </w:r>
    </w:p>
    <w:p w14:paraId="08185C65" w14:textId="6C01CF0A" w:rsidR="00230068" w:rsidRPr="00840456" w:rsidRDefault="00230068" w:rsidP="00480FB1">
      <w:pPr>
        <w:tabs>
          <w:tab w:val="left" w:pos="540"/>
          <w:tab w:val="left" w:pos="569"/>
        </w:tabs>
        <w:rPr>
          <w:b/>
          <w:bCs/>
          <w:sz w:val="22"/>
          <w:szCs w:val="22"/>
          <w:lang w:val="sr-Latn-ME"/>
        </w:rPr>
      </w:pPr>
    </w:p>
    <w:p w14:paraId="1C70A221" w14:textId="2448CA25" w:rsidR="00184E6C" w:rsidRPr="00840456" w:rsidRDefault="00184E6C" w:rsidP="00480FB1">
      <w:pPr>
        <w:tabs>
          <w:tab w:val="left" w:pos="540"/>
          <w:tab w:val="left" w:pos="569"/>
        </w:tabs>
        <w:rPr>
          <w:bCs/>
          <w:sz w:val="22"/>
          <w:szCs w:val="22"/>
          <w:lang w:val="sr-Latn-ME"/>
        </w:rPr>
      </w:pPr>
      <w:r w:rsidRPr="00840456">
        <w:rPr>
          <w:b/>
          <w:bCs/>
          <w:sz w:val="22"/>
          <w:szCs w:val="22"/>
          <w:lang w:val="sr-Latn-ME"/>
        </w:rPr>
        <w:t xml:space="preserve"> </w:t>
      </w:r>
      <w:r w:rsidRPr="00840456">
        <w:rPr>
          <w:bCs/>
          <w:sz w:val="22"/>
          <w:szCs w:val="22"/>
          <w:lang w:val="sr-Latn-ME"/>
        </w:rPr>
        <w:t>Datum prve dozvole:</w:t>
      </w:r>
      <w:r w:rsidR="00840456">
        <w:rPr>
          <w:bCs/>
          <w:sz w:val="22"/>
          <w:szCs w:val="22"/>
          <w:lang w:val="sr-Latn-ME"/>
        </w:rPr>
        <w:t xml:space="preserve"> </w:t>
      </w:r>
      <w:r w:rsidR="00840456" w:rsidRPr="00840456">
        <w:rPr>
          <w:bCs/>
          <w:sz w:val="22"/>
          <w:szCs w:val="22"/>
          <w:lang w:val="sr-Latn-ME"/>
        </w:rPr>
        <w:t>10.07.2014. godine</w:t>
      </w:r>
    </w:p>
    <w:p w14:paraId="5A1A5783" w14:textId="05204993" w:rsidR="00184E6C" w:rsidRPr="00840456" w:rsidRDefault="00184E6C" w:rsidP="00480FB1">
      <w:pPr>
        <w:tabs>
          <w:tab w:val="left" w:pos="540"/>
          <w:tab w:val="left" w:pos="569"/>
        </w:tabs>
        <w:rPr>
          <w:bCs/>
          <w:sz w:val="22"/>
          <w:szCs w:val="22"/>
          <w:lang w:val="sr-Latn-ME"/>
        </w:rPr>
      </w:pPr>
      <w:r w:rsidRPr="00840456">
        <w:rPr>
          <w:bCs/>
          <w:sz w:val="22"/>
          <w:szCs w:val="22"/>
          <w:lang w:val="sr-Latn-ME"/>
        </w:rPr>
        <w:t xml:space="preserve"> Datum poslednje obnove dozvole:</w:t>
      </w:r>
      <w:r w:rsidR="00840456">
        <w:rPr>
          <w:bCs/>
          <w:sz w:val="22"/>
          <w:szCs w:val="22"/>
          <w:lang w:val="sr-Latn-ME"/>
        </w:rPr>
        <w:t xml:space="preserve"> </w:t>
      </w:r>
      <w:bookmarkStart w:id="5" w:name="_GoBack"/>
      <w:r w:rsidR="00840456" w:rsidRPr="00840456">
        <w:rPr>
          <w:bCs/>
          <w:sz w:val="22"/>
          <w:szCs w:val="22"/>
          <w:lang w:val="sr-Latn-ME"/>
        </w:rPr>
        <w:t>28.04.2025. godine</w:t>
      </w:r>
    </w:p>
    <w:bookmarkEnd w:id="5"/>
    <w:p w14:paraId="469DE093" w14:textId="77777777" w:rsidR="00914B44" w:rsidRPr="00840456" w:rsidRDefault="00914B44" w:rsidP="00480FB1">
      <w:pPr>
        <w:tabs>
          <w:tab w:val="left" w:pos="540"/>
          <w:tab w:val="left" w:pos="569"/>
        </w:tabs>
        <w:rPr>
          <w:bCs/>
          <w:color w:val="000000"/>
          <w:sz w:val="22"/>
          <w:szCs w:val="22"/>
          <w:lang w:val="sr-Latn-ME"/>
        </w:rPr>
      </w:pPr>
    </w:p>
    <w:p w14:paraId="79002248" w14:textId="77777777" w:rsidR="00836B35" w:rsidRPr="00840456" w:rsidRDefault="00836B35" w:rsidP="00480FB1">
      <w:pPr>
        <w:tabs>
          <w:tab w:val="left" w:pos="540"/>
          <w:tab w:val="left" w:pos="569"/>
        </w:tabs>
        <w:rPr>
          <w:bCs/>
          <w:sz w:val="22"/>
          <w:szCs w:val="22"/>
          <w:lang w:val="sr-Latn-ME"/>
        </w:rPr>
      </w:pPr>
    </w:p>
    <w:p w14:paraId="15300EDB" w14:textId="77777777" w:rsidR="003F6A59" w:rsidRPr="00840456" w:rsidRDefault="0072020E" w:rsidP="00C05DF8">
      <w:pPr>
        <w:tabs>
          <w:tab w:val="left" w:pos="540"/>
          <w:tab w:val="left" w:pos="569"/>
        </w:tabs>
        <w:ind w:left="540" w:hanging="540"/>
        <w:rPr>
          <w:b/>
          <w:bCs/>
          <w:sz w:val="22"/>
          <w:szCs w:val="22"/>
          <w:lang w:val="sr-Latn-ME"/>
        </w:rPr>
      </w:pPr>
      <w:r w:rsidRPr="00840456">
        <w:rPr>
          <w:b/>
          <w:bCs/>
          <w:sz w:val="22"/>
          <w:szCs w:val="22"/>
          <w:lang w:val="sr-Latn-ME"/>
        </w:rPr>
        <w:t xml:space="preserve">10. </w:t>
      </w:r>
      <w:r w:rsidR="00480FB1" w:rsidRPr="00840456">
        <w:rPr>
          <w:b/>
          <w:bCs/>
          <w:sz w:val="22"/>
          <w:szCs w:val="22"/>
          <w:lang w:val="sr-Latn-ME"/>
        </w:rPr>
        <w:tab/>
      </w:r>
      <w:r w:rsidR="002846DB" w:rsidRPr="00840456">
        <w:rPr>
          <w:b/>
          <w:bCs/>
          <w:sz w:val="22"/>
          <w:szCs w:val="22"/>
          <w:lang w:val="sr-Latn-ME"/>
        </w:rPr>
        <w:t>D</w:t>
      </w:r>
      <w:r w:rsidR="00EC2532" w:rsidRPr="00840456">
        <w:rPr>
          <w:b/>
          <w:bCs/>
          <w:sz w:val="22"/>
          <w:szCs w:val="22"/>
          <w:lang w:val="sr-Latn-ME"/>
        </w:rPr>
        <w:t xml:space="preserve">ATUM REVIZIJE TEKSTA </w:t>
      </w:r>
    </w:p>
    <w:p w14:paraId="2391F410" w14:textId="77777777" w:rsidR="00230068" w:rsidRPr="00840456" w:rsidRDefault="00230068" w:rsidP="00C05DF8">
      <w:pPr>
        <w:tabs>
          <w:tab w:val="left" w:pos="540"/>
          <w:tab w:val="left" w:pos="569"/>
        </w:tabs>
        <w:ind w:left="540" w:hanging="540"/>
        <w:rPr>
          <w:bCs/>
          <w:sz w:val="22"/>
          <w:szCs w:val="22"/>
          <w:lang w:val="sr-Latn-ME"/>
        </w:rPr>
      </w:pPr>
    </w:p>
    <w:p w14:paraId="3D2BA834" w14:textId="5EB015D4" w:rsidR="003F6A59" w:rsidRPr="00840456" w:rsidRDefault="00840456" w:rsidP="00DE3F5C">
      <w:pPr>
        <w:rPr>
          <w:sz w:val="22"/>
          <w:szCs w:val="22"/>
          <w:lang w:val="sr-Latn-ME"/>
        </w:rPr>
      </w:pPr>
      <w:r>
        <w:rPr>
          <w:sz w:val="22"/>
          <w:szCs w:val="22"/>
          <w:lang w:val="sr-Latn-ME"/>
        </w:rPr>
        <w:t>April, 2025. godine</w:t>
      </w:r>
    </w:p>
    <w:sectPr w:rsidR="003F6A59" w:rsidRPr="00840456" w:rsidSect="001A4502">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08F9" w14:textId="77777777" w:rsidR="00DB18EF" w:rsidRDefault="00DB18EF">
      <w:r>
        <w:separator/>
      </w:r>
    </w:p>
  </w:endnote>
  <w:endnote w:type="continuationSeparator" w:id="0">
    <w:p w14:paraId="3DF941C2" w14:textId="77777777" w:rsidR="00DB18EF" w:rsidRDefault="00D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
    <w:altName w:val="MS Gothic"/>
    <w:panose1 w:val="00000000000000000000"/>
    <w:charset w:val="81"/>
    <w:family w:val="auto"/>
    <w:notTrueType/>
    <w:pitch w:val="default"/>
    <w:sig w:usb0="00000007" w:usb1="09070000" w:usb2="00000010" w:usb3="00000000" w:csb0="000A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30B8" w14:textId="37B61033" w:rsidR="00840456" w:rsidRPr="00B23F69" w:rsidRDefault="008404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401C8">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401C8">
      <w:rPr>
        <w:noProof/>
        <w:sz w:val="22"/>
        <w:szCs w:val="22"/>
      </w:rPr>
      <w:t>32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52BBA" w14:textId="77777777" w:rsidR="00DB18EF" w:rsidRDefault="00DB18EF">
      <w:r>
        <w:separator/>
      </w:r>
    </w:p>
  </w:footnote>
  <w:footnote w:type="continuationSeparator" w:id="0">
    <w:p w14:paraId="41B65302" w14:textId="77777777" w:rsidR="00DB18EF" w:rsidRDefault="00DB1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9924591" o:spid="_x0000_i1098" type="#_x0000_t75" style="width:15.75pt;height:13.5pt;visibility:visible;mso-wrap-style:square" o:bullet="t">
        <v:imagedata r:id="rId1" o:title=""/>
      </v:shape>
    </w:pict>
  </w:numPicBullet>
  <w:abstractNum w:abstractNumId="0"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163"/>
    <w:rsid w:val="00015BFF"/>
    <w:rsid w:val="000176CA"/>
    <w:rsid w:val="00033469"/>
    <w:rsid w:val="00033EBA"/>
    <w:rsid w:val="00036FA0"/>
    <w:rsid w:val="0003793F"/>
    <w:rsid w:val="00045130"/>
    <w:rsid w:val="0005376B"/>
    <w:rsid w:val="00057E35"/>
    <w:rsid w:val="00075E28"/>
    <w:rsid w:val="00076726"/>
    <w:rsid w:val="00080303"/>
    <w:rsid w:val="00082AA0"/>
    <w:rsid w:val="00083D02"/>
    <w:rsid w:val="00086073"/>
    <w:rsid w:val="000A3F58"/>
    <w:rsid w:val="000A67DF"/>
    <w:rsid w:val="000C0DF9"/>
    <w:rsid w:val="000D2343"/>
    <w:rsid w:val="000D3449"/>
    <w:rsid w:val="000D425A"/>
    <w:rsid w:val="000D60CC"/>
    <w:rsid w:val="000E2084"/>
    <w:rsid w:val="000E2FBF"/>
    <w:rsid w:val="000E3A6C"/>
    <w:rsid w:val="000E6F55"/>
    <w:rsid w:val="000F77FA"/>
    <w:rsid w:val="00106E14"/>
    <w:rsid w:val="00107BF7"/>
    <w:rsid w:val="00126F53"/>
    <w:rsid w:val="0014766D"/>
    <w:rsid w:val="001534C7"/>
    <w:rsid w:val="001536CC"/>
    <w:rsid w:val="00160E54"/>
    <w:rsid w:val="00184E6C"/>
    <w:rsid w:val="0019789C"/>
    <w:rsid w:val="001A3F28"/>
    <w:rsid w:val="001A3FBA"/>
    <w:rsid w:val="001A4502"/>
    <w:rsid w:val="001A5518"/>
    <w:rsid w:val="001B1789"/>
    <w:rsid w:val="001B1998"/>
    <w:rsid w:val="001B1C6A"/>
    <w:rsid w:val="001B76B8"/>
    <w:rsid w:val="001C1263"/>
    <w:rsid w:val="001C1417"/>
    <w:rsid w:val="001D2F28"/>
    <w:rsid w:val="001E390B"/>
    <w:rsid w:val="001F37A5"/>
    <w:rsid w:val="001F42FB"/>
    <w:rsid w:val="001F719A"/>
    <w:rsid w:val="002031B3"/>
    <w:rsid w:val="002125D3"/>
    <w:rsid w:val="00215931"/>
    <w:rsid w:val="00224C91"/>
    <w:rsid w:val="00227BDB"/>
    <w:rsid w:val="00230068"/>
    <w:rsid w:val="00234CB1"/>
    <w:rsid w:val="002352F8"/>
    <w:rsid w:val="002510A5"/>
    <w:rsid w:val="00254A0A"/>
    <w:rsid w:val="00266046"/>
    <w:rsid w:val="002846DB"/>
    <w:rsid w:val="00284CCD"/>
    <w:rsid w:val="002B4B80"/>
    <w:rsid w:val="002C6637"/>
    <w:rsid w:val="002D1886"/>
    <w:rsid w:val="002E0135"/>
    <w:rsid w:val="002E37A5"/>
    <w:rsid w:val="00310F03"/>
    <w:rsid w:val="00311A4A"/>
    <w:rsid w:val="003247D2"/>
    <w:rsid w:val="003401C8"/>
    <w:rsid w:val="003445C1"/>
    <w:rsid w:val="00355B61"/>
    <w:rsid w:val="00362686"/>
    <w:rsid w:val="00371510"/>
    <w:rsid w:val="003758FC"/>
    <w:rsid w:val="00383459"/>
    <w:rsid w:val="00387728"/>
    <w:rsid w:val="00396DFD"/>
    <w:rsid w:val="003A7059"/>
    <w:rsid w:val="003B083C"/>
    <w:rsid w:val="003B7A36"/>
    <w:rsid w:val="003C007C"/>
    <w:rsid w:val="003C17AB"/>
    <w:rsid w:val="003C7823"/>
    <w:rsid w:val="003E1DCC"/>
    <w:rsid w:val="003F11A1"/>
    <w:rsid w:val="003F6A59"/>
    <w:rsid w:val="00401D24"/>
    <w:rsid w:val="004065C8"/>
    <w:rsid w:val="004109FA"/>
    <w:rsid w:val="00411B4B"/>
    <w:rsid w:val="00415658"/>
    <w:rsid w:val="00415BEE"/>
    <w:rsid w:val="004254E9"/>
    <w:rsid w:val="00427F85"/>
    <w:rsid w:val="00436F42"/>
    <w:rsid w:val="004378B4"/>
    <w:rsid w:val="00451314"/>
    <w:rsid w:val="00452E9D"/>
    <w:rsid w:val="004534C7"/>
    <w:rsid w:val="0045560A"/>
    <w:rsid w:val="004671AA"/>
    <w:rsid w:val="004710A5"/>
    <w:rsid w:val="00471DF8"/>
    <w:rsid w:val="00480FB1"/>
    <w:rsid w:val="00483928"/>
    <w:rsid w:val="00484948"/>
    <w:rsid w:val="0049074A"/>
    <w:rsid w:val="004B02EC"/>
    <w:rsid w:val="004B54F5"/>
    <w:rsid w:val="004C1215"/>
    <w:rsid w:val="004C331F"/>
    <w:rsid w:val="004D6103"/>
    <w:rsid w:val="004E3BCE"/>
    <w:rsid w:val="004E586E"/>
    <w:rsid w:val="004E70AD"/>
    <w:rsid w:val="004F0E97"/>
    <w:rsid w:val="004F17E2"/>
    <w:rsid w:val="004F2A1E"/>
    <w:rsid w:val="00501DD1"/>
    <w:rsid w:val="00504FF0"/>
    <w:rsid w:val="00515C21"/>
    <w:rsid w:val="005162CE"/>
    <w:rsid w:val="00530BD7"/>
    <w:rsid w:val="00541EC7"/>
    <w:rsid w:val="00545CD2"/>
    <w:rsid w:val="005476F3"/>
    <w:rsid w:val="00572527"/>
    <w:rsid w:val="00573E40"/>
    <w:rsid w:val="00576348"/>
    <w:rsid w:val="005A0B2E"/>
    <w:rsid w:val="005A23D2"/>
    <w:rsid w:val="005A36CB"/>
    <w:rsid w:val="005A50AF"/>
    <w:rsid w:val="005A7F10"/>
    <w:rsid w:val="005B49B8"/>
    <w:rsid w:val="005C0741"/>
    <w:rsid w:val="005C5A58"/>
    <w:rsid w:val="005C5EF4"/>
    <w:rsid w:val="005E2E0B"/>
    <w:rsid w:val="005E67AD"/>
    <w:rsid w:val="005E7A7D"/>
    <w:rsid w:val="00602457"/>
    <w:rsid w:val="006225B7"/>
    <w:rsid w:val="00623D22"/>
    <w:rsid w:val="00630104"/>
    <w:rsid w:val="00644FC3"/>
    <w:rsid w:val="00646BD1"/>
    <w:rsid w:val="006561C2"/>
    <w:rsid w:val="00671053"/>
    <w:rsid w:val="00671CB3"/>
    <w:rsid w:val="00672C70"/>
    <w:rsid w:val="00674BAF"/>
    <w:rsid w:val="00682200"/>
    <w:rsid w:val="006841DA"/>
    <w:rsid w:val="00687A84"/>
    <w:rsid w:val="00692BF6"/>
    <w:rsid w:val="006A1351"/>
    <w:rsid w:val="006A1497"/>
    <w:rsid w:val="006A32DE"/>
    <w:rsid w:val="006B0BD1"/>
    <w:rsid w:val="006B5404"/>
    <w:rsid w:val="006D20A5"/>
    <w:rsid w:val="006D37BF"/>
    <w:rsid w:val="00702E22"/>
    <w:rsid w:val="0072020E"/>
    <w:rsid w:val="00723CCC"/>
    <w:rsid w:val="0072589D"/>
    <w:rsid w:val="0074137D"/>
    <w:rsid w:val="00745601"/>
    <w:rsid w:val="00754902"/>
    <w:rsid w:val="00756B13"/>
    <w:rsid w:val="00786071"/>
    <w:rsid w:val="007A3ECB"/>
    <w:rsid w:val="007A48F2"/>
    <w:rsid w:val="007C3AFB"/>
    <w:rsid w:val="007D7BB3"/>
    <w:rsid w:val="007E31E9"/>
    <w:rsid w:val="007F05E3"/>
    <w:rsid w:val="008146EA"/>
    <w:rsid w:val="00815D34"/>
    <w:rsid w:val="00822D60"/>
    <w:rsid w:val="00824AB9"/>
    <w:rsid w:val="00831A90"/>
    <w:rsid w:val="00836B35"/>
    <w:rsid w:val="00840456"/>
    <w:rsid w:val="00841BB5"/>
    <w:rsid w:val="00843BDE"/>
    <w:rsid w:val="00850395"/>
    <w:rsid w:val="0087588C"/>
    <w:rsid w:val="008848CD"/>
    <w:rsid w:val="0089705C"/>
    <w:rsid w:val="008A6D43"/>
    <w:rsid w:val="008B491E"/>
    <w:rsid w:val="008C1A28"/>
    <w:rsid w:val="008C2E98"/>
    <w:rsid w:val="008D081C"/>
    <w:rsid w:val="008D5C47"/>
    <w:rsid w:val="008E49BD"/>
    <w:rsid w:val="008E53E9"/>
    <w:rsid w:val="008E5771"/>
    <w:rsid w:val="008F4ACF"/>
    <w:rsid w:val="00912B2F"/>
    <w:rsid w:val="00914B44"/>
    <w:rsid w:val="009211E3"/>
    <w:rsid w:val="00924166"/>
    <w:rsid w:val="00940B9B"/>
    <w:rsid w:val="009521AC"/>
    <w:rsid w:val="00953573"/>
    <w:rsid w:val="0095676E"/>
    <w:rsid w:val="00956983"/>
    <w:rsid w:val="00963CF0"/>
    <w:rsid w:val="00964BB1"/>
    <w:rsid w:val="00964C3D"/>
    <w:rsid w:val="009775D9"/>
    <w:rsid w:val="00984BA9"/>
    <w:rsid w:val="009901A9"/>
    <w:rsid w:val="00997175"/>
    <w:rsid w:val="009A1847"/>
    <w:rsid w:val="009B062A"/>
    <w:rsid w:val="009B4A36"/>
    <w:rsid w:val="009C577D"/>
    <w:rsid w:val="009D58D9"/>
    <w:rsid w:val="009D6B90"/>
    <w:rsid w:val="009E7C6F"/>
    <w:rsid w:val="009F1793"/>
    <w:rsid w:val="009F2D23"/>
    <w:rsid w:val="009F626F"/>
    <w:rsid w:val="00A01D69"/>
    <w:rsid w:val="00A02335"/>
    <w:rsid w:val="00A02E57"/>
    <w:rsid w:val="00A31E22"/>
    <w:rsid w:val="00A46C9A"/>
    <w:rsid w:val="00A54020"/>
    <w:rsid w:val="00A55F7D"/>
    <w:rsid w:val="00A619F3"/>
    <w:rsid w:val="00A62A73"/>
    <w:rsid w:val="00A8330F"/>
    <w:rsid w:val="00A87383"/>
    <w:rsid w:val="00A87FF6"/>
    <w:rsid w:val="00A936FE"/>
    <w:rsid w:val="00AA0A3B"/>
    <w:rsid w:val="00AA2763"/>
    <w:rsid w:val="00AA33B6"/>
    <w:rsid w:val="00AB50CA"/>
    <w:rsid w:val="00AB6D64"/>
    <w:rsid w:val="00AC53CE"/>
    <w:rsid w:val="00AD08E5"/>
    <w:rsid w:val="00AD2193"/>
    <w:rsid w:val="00AD2A61"/>
    <w:rsid w:val="00AE386A"/>
    <w:rsid w:val="00AE3C08"/>
    <w:rsid w:val="00AF19F4"/>
    <w:rsid w:val="00AF2AC7"/>
    <w:rsid w:val="00AF74CE"/>
    <w:rsid w:val="00B07131"/>
    <w:rsid w:val="00B208DB"/>
    <w:rsid w:val="00B23F69"/>
    <w:rsid w:val="00B40AD7"/>
    <w:rsid w:val="00B60619"/>
    <w:rsid w:val="00B60C60"/>
    <w:rsid w:val="00B66A70"/>
    <w:rsid w:val="00B67366"/>
    <w:rsid w:val="00B739F3"/>
    <w:rsid w:val="00B80EE1"/>
    <w:rsid w:val="00B84135"/>
    <w:rsid w:val="00B8574E"/>
    <w:rsid w:val="00BC3029"/>
    <w:rsid w:val="00BD1AE5"/>
    <w:rsid w:val="00C04D34"/>
    <w:rsid w:val="00C05DF8"/>
    <w:rsid w:val="00C06864"/>
    <w:rsid w:val="00C10F54"/>
    <w:rsid w:val="00C23D8D"/>
    <w:rsid w:val="00C37AA3"/>
    <w:rsid w:val="00C37FD7"/>
    <w:rsid w:val="00C43419"/>
    <w:rsid w:val="00C44CF3"/>
    <w:rsid w:val="00C61BA6"/>
    <w:rsid w:val="00C61BE0"/>
    <w:rsid w:val="00C6707E"/>
    <w:rsid w:val="00C70B0E"/>
    <w:rsid w:val="00C773CA"/>
    <w:rsid w:val="00C83785"/>
    <w:rsid w:val="00C87FA8"/>
    <w:rsid w:val="00C94C0D"/>
    <w:rsid w:val="00C95E0C"/>
    <w:rsid w:val="00CA1FEB"/>
    <w:rsid w:val="00CD4F85"/>
    <w:rsid w:val="00CD6F02"/>
    <w:rsid w:val="00CE246D"/>
    <w:rsid w:val="00CE4562"/>
    <w:rsid w:val="00CF07A0"/>
    <w:rsid w:val="00CF3E03"/>
    <w:rsid w:val="00D0082A"/>
    <w:rsid w:val="00D21455"/>
    <w:rsid w:val="00D3347B"/>
    <w:rsid w:val="00D47634"/>
    <w:rsid w:val="00D648E6"/>
    <w:rsid w:val="00D709B3"/>
    <w:rsid w:val="00D74CD2"/>
    <w:rsid w:val="00D76BC0"/>
    <w:rsid w:val="00D92968"/>
    <w:rsid w:val="00D96DF4"/>
    <w:rsid w:val="00D97CED"/>
    <w:rsid w:val="00DA2ED6"/>
    <w:rsid w:val="00DA7BDD"/>
    <w:rsid w:val="00DB18EF"/>
    <w:rsid w:val="00DB1D55"/>
    <w:rsid w:val="00DB76B8"/>
    <w:rsid w:val="00DC2EA1"/>
    <w:rsid w:val="00DC6AE3"/>
    <w:rsid w:val="00DD6AAF"/>
    <w:rsid w:val="00DE3F5C"/>
    <w:rsid w:val="00DF1D20"/>
    <w:rsid w:val="00DF7312"/>
    <w:rsid w:val="00E21324"/>
    <w:rsid w:val="00E246B9"/>
    <w:rsid w:val="00E31FEA"/>
    <w:rsid w:val="00E45169"/>
    <w:rsid w:val="00E47787"/>
    <w:rsid w:val="00E51C30"/>
    <w:rsid w:val="00E64180"/>
    <w:rsid w:val="00E6515E"/>
    <w:rsid w:val="00E7235D"/>
    <w:rsid w:val="00E74AEE"/>
    <w:rsid w:val="00E868E5"/>
    <w:rsid w:val="00E9237A"/>
    <w:rsid w:val="00E939FA"/>
    <w:rsid w:val="00EA0FBE"/>
    <w:rsid w:val="00EA3243"/>
    <w:rsid w:val="00EA5765"/>
    <w:rsid w:val="00EB5C7C"/>
    <w:rsid w:val="00EC2532"/>
    <w:rsid w:val="00ED7812"/>
    <w:rsid w:val="00EF3B86"/>
    <w:rsid w:val="00F10F32"/>
    <w:rsid w:val="00F317E9"/>
    <w:rsid w:val="00F3439B"/>
    <w:rsid w:val="00F34554"/>
    <w:rsid w:val="00F35B68"/>
    <w:rsid w:val="00F414E3"/>
    <w:rsid w:val="00F45F77"/>
    <w:rsid w:val="00F5167F"/>
    <w:rsid w:val="00F52258"/>
    <w:rsid w:val="00F70C8A"/>
    <w:rsid w:val="00F83F83"/>
    <w:rsid w:val="00F8570A"/>
    <w:rsid w:val="00F8671B"/>
    <w:rsid w:val="00F91C7B"/>
    <w:rsid w:val="00FA1277"/>
    <w:rsid w:val="00FA3787"/>
    <w:rsid w:val="00FB210E"/>
    <w:rsid w:val="00FC011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54E69"/>
  <w15:chartTrackingRefBased/>
  <w15:docId w15:val="{3F7730A6-7F9D-4CF7-A88E-7B4B498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Cha,Header Char1,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Cha Char, Char Char"/>
    <w:basedOn w:val="DefaultParagraphFont"/>
    <w:link w:val="Header"/>
    <w:locked/>
    <w:rsid w:val="00AD08E5"/>
    <w:rPr>
      <w:sz w:val="24"/>
      <w:szCs w:val="24"/>
      <w:lang w:val="en-US" w:eastAsia="en-US"/>
    </w:rPr>
  </w:style>
  <w:style w:type="paragraph" w:styleId="Revision">
    <w:name w:val="Revision"/>
    <w:hidden/>
    <w:uiPriority w:val="99"/>
    <w:semiHidden/>
    <w:rsid w:val="00AD08E5"/>
    <w:rPr>
      <w:sz w:val="24"/>
      <w:szCs w:val="24"/>
      <w:lang w:val="en-US" w:eastAsia="en-US"/>
    </w:rPr>
  </w:style>
  <w:style w:type="paragraph" w:customStyle="1" w:styleId="Times10">
    <w:name w:val="Times 10"/>
    <w:basedOn w:val="Normal"/>
    <w:rsid w:val="005A7F10"/>
    <w:pPr>
      <w:tabs>
        <w:tab w:val="left" w:pos="360"/>
      </w:tabs>
    </w:pPr>
    <w:rPr>
      <w:sz w:val="20"/>
      <w:szCs w:val="20"/>
    </w:rPr>
  </w:style>
  <w:style w:type="paragraph" w:customStyle="1" w:styleId="TableHeader">
    <w:name w:val="TableHeader"/>
    <w:basedOn w:val="Times10"/>
    <w:rsid w:val="005A7F10"/>
    <w:pPr>
      <w:jc w:val="center"/>
    </w:pPr>
    <w:rPr>
      <w:caps/>
    </w:rPr>
  </w:style>
  <w:style w:type="paragraph" w:styleId="ListParagraph">
    <w:name w:val="List Paragraph"/>
    <w:basedOn w:val="Normal"/>
    <w:uiPriority w:val="34"/>
    <w:qFormat/>
    <w:rsid w:val="00725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2124">
      <w:bodyDiv w:val="1"/>
      <w:marLeft w:val="0"/>
      <w:marRight w:val="0"/>
      <w:marTop w:val="0"/>
      <w:marBottom w:val="0"/>
      <w:divBdr>
        <w:top w:val="none" w:sz="0" w:space="0" w:color="auto"/>
        <w:left w:val="none" w:sz="0" w:space="0" w:color="auto"/>
        <w:bottom w:val="none" w:sz="0" w:space="0" w:color="auto"/>
        <w:right w:val="none" w:sz="0" w:space="0" w:color="auto"/>
      </w:divBdr>
    </w:div>
    <w:div w:id="631517964">
      <w:bodyDiv w:val="1"/>
      <w:marLeft w:val="0"/>
      <w:marRight w:val="0"/>
      <w:marTop w:val="0"/>
      <w:marBottom w:val="0"/>
      <w:divBdr>
        <w:top w:val="none" w:sz="0" w:space="0" w:color="auto"/>
        <w:left w:val="none" w:sz="0" w:space="0" w:color="auto"/>
        <w:bottom w:val="none" w:sz="0" w:space="0" w:color="auto"/>
        <w:right w:val="none" w:sz="0" w:space="0" w:color="auto"/>
      </w:divBdr>
    </w:div>
    <w:div w:id="1135952264">
      <w:bodyDiv w:val="1"/>
      <w:marLeft w:val="0"/>
      <w:marRight w:val="0"/>
      <w:marTop w:val="0"/>
      <w:marBottom w:val="0"/>
      <w:divBdr>
        <w:top w:val="none" w:sz="0" w:space="0" w:color="auto"/>
        <w:left w:val="none" w:sz="0" w:space="0" w:color="auto"/>
        <w:bottom w:val="none" w:sz="0" w:space="0" w:color="auto"/>
        <w:right w:val="none" w:sz="0" w:space="0" w:color="auto"/>
      </w:divBdr>
    </w:div>
    <w:div w:id="1181354959">
      <w:bodyDiv w:val="1"/>
      <w:marLeft w:val="0"/>
      <w:marRight w:val="0"/>
      <w:marTop w:val="0"/>
      <w:marBottom w:val="0"/>
      <w:divBdr>
        <w:top w:val="none" w:sz="0" w:space="0" w:color="auto"/>
        <w:left w:val="none" w:sz="0" w:space="0" w:color="auto"/>
        <w:bottom w:val="none" w:sz="0" w:space="0" w:color="auto"/>
        <w:right w:val="none" w:sz="0" w:space="0" w:color="auto"/>
      </w:divBdr>
    </w:div>
    <w:div w:id="1325671125">
      <w:bodyDiv w:val="1"/>
      <w:marLeft w:val="0"/>
      <w:marRight w:val="0"/>
      <w:marTop w:val="0"/>
      <w:marBottom w:val="0"/>
      <w:divBdr>
        <w:top w:val="none" w:sz="0" w:space="0" w:color="auto"/>
        <w:left w:val="none" w:sz="0" w:space="0" w:color="auto"/>
        <w:bottom w:val="none" w:sz="0" w:space="0" w:color="auto"/>
        <w:right w:val="none" w:sz="0" w:space="0" w:color="auto"/>
      </w:divBdr>
    </w:div>
    <w:div w:id="1437867133">
      <w:bodyDiv w:val="1"/>
      <w:marLeft w:val="0"/>
      <w:marRight w:val="0"/>
      <w:marTop w:val="0"/>
      <w:marBottom w:val="0"/>
      <w:divBdr>
        <w:top w:val="none" w:sz="0" w:space="0" w:color="auto"/>
        <w:left w:val="none" w:sz="0" w:space="0" w:color="auto"/>
        <w:bottom w:val="none" w:sz="0" w:space="0" w:color="auto"/>
        <w:right w:val="none" w:sz="0" w:space="0" w:color="auto"/>
      </w:divBdr>
    </w:div>
    <w:div w:id="1820610883">
      <w:bodyDiv w:val="1"/>
      <w:marLeft w:val="0"/>
      <w:marRight w:val="0"/>
      <w:marTop w:val="0"/>
      <w:marBottom w:val="0"/>
      <w:divBdr>
        <w:top w:val="none" w:sz="0" w:space="0" w:color="auto"/>
        <w:left w:val="none" w:sz="0" w:space="0" w:color="auto"/>
        <w:bottom w:val="none" w:sz="0" w:space="0" w:color="auto"/>
        <w:right w:val="none" w:sz="0" w:space="0" w:color="auto"/>
      </w:divBdr>
    </w:div>
    <w:div w:id="1916621945">
      <w:bodyDiv w:val="1"/>
      <w:marLeft w:val="0"/>
      <w:marRight w:val="0"/>
      <w:marTop w:val="0"/>
      <w:marBottom w:val="0"/>
      <w:divBdr>
        <w:top w:val="none" w:sz="0" w:space="0" w:color="auto"/>
        <w:left w:val="none" w:sz="0" w:space="0" w:color="auto"/>
        <w:bottom w:val="none" w:sz="0" w:space="0" w:color="auto"/>
        <w:right w:val="none" w:sz="0" w:space="0" w:color="auto"/>
      </w:divBdr>
    </w:div>
    <w:div w:id="1961644387">
      <w:bodyDiv w:val="1"/>
      <w:marLeft w:val="0"/>
      <w:marRight w:val="0"/>
      <w:marTop w:val="0"/>
      <w:marBottom w:val="0"/>
      <w:divBdr>
        <w:top w:val="none" w:sz="0" w:space="0" w:color="auto"/>
        <w:left w:val="none" w:sz="0" w:space="0" w:color="auto"/>
        <w:bottom w:val="none" w:sz="0" w:space="0" w:color="auto"/>
        <w:right w:val="none" w:sz="0" w:space="0" w:color="auto"/>
      </w:divBdr>
    </w:div>
    <w:div w:id="2008752321">
      <w:bodyDiv w:val="1"/>
      <w:marLeft w:val="0"/>
      <w:marRight w:val="0"/>
      <w:marTop w:val="0"/>
      <w:marBottom w:val="0"/>
      <w:divBdr>
        <w:top w:val="none" w:sz="0" w:space="0" w:color="auto"/>
        <w:left w:val="none" w:sz="0" w:space="0" w:color="auto"/>
        <w:bottom w:val="none" w:sz="0" w:space="0" w:color="auto"/>
        <w:right w:val="none" w:sz="0" w:space="0" w:color="auto"/>
      </w:divBdr>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172839506173"/>
          <c:y val="0.34358974358974359"/>
          <c:w val="0.59753086419753088"/>
          <c:h val="0.41025641025641024"/>
        </c:manualLayout>
      </c:layout>
      <c:barChart>
        <c:barDir val="col"/>
        <c:grouping val="clustered"/>
        <c:varyColors val="0"/>
        <c:ser>
          <c:idx val="0"/>
          <c:order val="0"/>
          <c:tx>
            <c:strRef>
              <c:f>Sheet1!$A$2</c:f>
              <c:strCache>
                <c:ptCount val="1"/>
                <c:pt idx="0">
                  <c:v>Metotreksat</c:v>
                </c:pt>
              </c:strCache>
            </c:strRef>
          </c:tx>
          <c:spPr>
            <a:solidFill>
              <a:srgbClr val="FFFFFF"/>
            </a:solidFill>
            <a:ln w="12700">
              <a:solidFill>
                <a:srgbClr val="000000"/>
              </a:solidFill>
              <a:prstDash val="solid"/>
            </a:ln>
          </c:spPr>
          <c:invertIfNegative val="0"/>
          <c:dLbls>
            <c:dLbl>
              <c:idx val="0"/>
              <c:layout>
                <c:manualLayout>
                  <c:x val="5.1308178177861263E-4"/>
                  <c:y val="-3.6057614749375799E-2"/>
                </c:manualLayout>
              </c:layout>
              <c:spPr>
                <a:noFill/>
                <a:ln w="25400">
                  <a:noFill/>
                </a:ln>
              </c:spPr>
              <c:txPr>
                <a:bodyPr/>
                <a:lstStyle/>
                <a:p>
                  <a:pPr>
                    <a:defRPr sz="875"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77-4AEF-8E66-A344BC74DF42}"/>
                </c:ext>
              </c:extLst>
            </c:dLbl>
            <c:dLbl>
              <c:idx val="1"/>
              <c:layout>
                <c:manualLayout>
                  <c:x val="1.7477012160628802E-3"/>
                  <c:y val="-2.9903611016728004E-2"/>
                </c:manualLayout>
              </c:layout>
              <c:spPr>
                <a:noFill/>
                <a:ln w="25400">
                  <a:noFill/>
                </a:ln>
              </c:spPr>
              <c:txPr>
                <a:bodyPr/>
                <a:lstStyle/>
                <a:p>
                  <a:pPr>
                    <a:defRPr sz="875"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77-4AEF-8E66-A344BC74DF42}"/>
                </c:ext>
              </c:extLst>
            </c:dLbl>
            <c:dLbl>
              <c:idx val="2"/>
              <c:layout>
                <c:manualLayout>
                  <c:x val="-4.4250867570602703E-3"/>
                  <c:y val="-2.9903926174331352E-2"/>
                </c:manualLayout>
              </c:layout>
              <c:spPr>
                <a:noFill/>
                <a:ln w="25400">
                  <a:noFill/>
                </a:ln>
              </c:spPr>
              <c:txPr>
                <a:bodyPr/>
                <a:lstStyle/>
                <a:p>
                  <a:pPr>
                    <a:defRPr sz="875"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77-4AEF-8E66-A344BC74DF42}"/>
                </c:ext>
              </c:extLst>
            </c:dLbl>
            <c:spPr>
              <a:noFill/>
              <a:ln w="25400">
                <a:noFill/>
              </a:ln>
            </c:spPr>
            <c:txPr>
              <a:bodyPr wrap="square" lIns="38100" tIns="19050" rIns="38100" bIns="19050" anchor="ctr">
                <a:spAutoFit/>
              </a:bodyPr>
              <a:lstStyle/>
              <a:p>
                <a:pPr>
                  <a:defRPr sz="8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Sheet1!$B$2:$E$2</c:f>
              <c:numCache>
                <c:formatCode>General</c:formatCode>
                <c:ptCount val="4"/>
                <c:pt idx="0">
                  <c:v>1.3</c:v>
                </c:pt>
                <c:pt idx="1">
                  <c:v>0.9</c:v>
                </c:pt>
                <c:pt idx="2">
                  <c:v>0.4</c:v>
                </c:pt>
              </c:numCache>
            </c:numRef>
          </c:val>
          <c:extLst>
            <c:ext xmlns:c16="http://schemas.microsoft.com/office/drawing/2014/chart" uri="{C3380CC4-5D6E-409C-BE32-E72D297353CC}">
              <c16:uniqueId val="{00000003-0177-4AEF-8E66-A344BC74DF42}"/>
            </c:ext>
          </c:extLst>
        </c:ser>
        <c:ser>
          <c:idx val="1"/>
          <c:order val="1"/>
          <c:tx>
            <c:strRef>
              <c:f>Sheet1!$A$3</c:f>
              <c:strCache>
                <c:ptCount val="1"/>
                <c:pt idx="0">
                  <c:v>Enbrel 25 mg</c:v>
                </c:pt>
              </c:strCache>
            </c:strRef>
          </c:tx>
          <c:spPr>
            <a:solidFill>
              <a:srgbClr val="969696"/>
            </a:solidFill>
            <a:ln w="12700">
              <a:solidFill>
                <a:srgbClr val="000000"/>
              </a:solidFill>
              <a:prstDash val="solid"/>
            </a:ln>
          </c:spPr>
          <c:invertIfNegative val="0"/>
          <c:dLbls>
            <c:dLbl>
              <c:idx val="0"/>
              <c:layout>
                <c:manualLayout>
                  <c:x val="1.46226246484919E-2"/>
                  <c:y val="-3.0929212647668569E-2"/>
                </c:manualLayout>
              </c:layout>
              <c:spPr>
                <a:noFill/>
                <a:ln w="25400">
                  <a:noFill/>
                </a:ln>
              </c:spPr>
              <c:txPr>
                <a:bodyPr/>
                <a:lstStyle/>
                <a:p>
                  <a:pPr>
                    <a:defRPr sz="875"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77-4AEF-8E66-A344BC74DF42}"/>
                </c:ext>
              </c:extLst>
            </c:dLbl>
            <c:dLbl>
              <c:idx val="1"/>
              <c:layout>
                <c:manualLayout>
                  <c:x val="5.9804478924739835E-3"/>
                  <c:y val="-2.9903926174331352E-2"/>
                </c:manualLayout>
              </c:layout>
              <c:spPr>
                <a:noFill/>
                <a:ln w="25400">
                  <a:noFill/>
                </a:ln>
              </c:spPr>
              <c:txPr>
                <a:bodyPr/>
                <a:lstStyle/>
                <a:p>
                  <a:pPr>
                    <a:defRPr sz="875"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77-4AEF-8E66-A344BC74DF42}"/>
                </c:ext>
              </c:extLst>
            </c:dLbl>
            <c:dLbl>
              <c:idx val="2"/>
              <c:layout>
                <c:manualLayout>
                  <c:x val="4.7459315242890376E-3"/>
                  <c:y val="-2.9903926174331352E-2"/>
                </c:manualLayout>
              </c:layout>
              <c:spPr>
                <a:noFill/>
                <a:ln w="25400">
                  <a:noFill/>
                </a:ln>
              </c:spPr>
              <c:txPr>
                <a:bodyPr/>
                <a:lstStyle/>
                <a:p>
                  <a:pPr>
                    <a:defRPr sz="875"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77-4AEF-8E66-A344BC74DF42}"/>
                </c:ext>
              </c:extLst>
            </c:dLbl>
            <c:spPr>
              <a:noFill/>
              <a:ln w="25400">
                <a:noFill/>
              </a:ln>
            </c:spPr>
            <c:txPr>
              <a:bodyPr wrap="square" lIns="38100" tIns="19050" rIns="38100" bIns="19050" anchor="ctr">
                <a:spAutoFit/>
              </a:bodyPr>
              <a:lstStyle/>
              <a:p>
                <a:pPr>
                  <a:defRPr sz="8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Sheet1!$B$3:$E$3</c:f>
              <c:numCache>
                <c:formatCode>General</c:formatCode>
                <c:ptCount val="4"/>
                <c:pt idx="0">
                  <c:v>0.8</c:v>
                </c:pt>
                <c:pt idx="1">
                  <c:v>0.4</c:v>
                </c:pt>
                <c:pt idx="2">
                  <c:v>0.4</c:v>
                </c:pt>
              </c:numCache>
            </c:numRef>
          </c:val>
          <c:extLst>
            <c:ext xmlns:c16="http://schemas.microsoft.com/office/drawing/2014/chart" uri="{C3380CC4-5D6E-409C-BE32-E72D297353CC}">
              <c16:uniqueId val="{00000007-0177-4AEF-8E66-A344BC74DF42}"/>
            </c:ext>
          </c:extLst>
        </c:ser>
        <c:dLbls>
          <c:showLegendKey val="0"/>
          <c:showVal val="0"/>
          <c:showCatName val="0"/>
          <c:showSerName val="0"/>
          <c:showPercent val="0"/>
          <c:showBubbleSize val="0"/>
        </c:dLbls>
        <c:gapWidth val="150"/>
        <c:axId val="206124048"/>
        <c:axId val="1"/>
      </c:barChart>
      <c:catAx>
        <c:axId val="2061240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1"/>
        <c:crossesAt val="0"/>
        <c:auto val="1"/>
        <c:lblAlgn val="ctr"/>
        <c:lblOffset val="100"/>
        <c:tickLblSkip val="1"/>
        <c:tickMarkSkip val="1"/>
        <c:noMultiLvlLbl val="0"/>
      </c:catAx>
      <c:valAx>
        <c:axId val="1"/>
        <c:scaling>
          <c:orientation val="minMax"/>
          <c:max val="2.5"/>
        </c:scaling>
        <c:delete val="0"/>
        <c:axPos val="l"/>
        <c:title>
          <c:tx>
            <c:rich>
              <a:bodyPr/>
              <a:lstStyle/>
              <a:p>
                <a:pPr>
                  <a:defRPr sz="850" b="1" i="0" u="none" strike="noStrike" baseline="0">
                    <a:solidFill>
                      <a:srgbClr val="000000"/>
                    </a:solidFill>
                    <a:latin typeface="Arial"/>
                    <a:ea typeface="Arial"/>
                    <a:cs typeface="Arial"/>
                  </a:defRPr>
                </a:pPr>
                <a:r>
                  <a:rPr lang="sr-Latn-ME"/>
                  <a:t>Promene od početnog stanja</a:t>
                </a:r>
              </a:p>
            </c:rich>
          </c:tx>
          <c:layout>
            <c:manualLayout>
              <c:xMode val="edge"/>
              <c:yMode val="edge"/>
              <c:x val="2.4691358024691357E-2"/>
              <c:y val="0.128205128205128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206124048"/>
        <c:crosses val="autoZero"/>
        <c:crossBetween val="between"/>
        <c:majorUnit val="0.5"/>
        <c:minorUnit val="0.5"/>
      </c:valAx>
      <c:spPr>
        <a:solidFill>
          <a:srgbClr val="FFFFFF"/>
        </a:solidFill>
        <a:ln w="25400">
          <a:noFill/>
        </a:ln>
      </c:spPr>
    </c:plotArea>
    <c:legend>
      <c:legendPos val="tr"/>
      <c:layout>
        <c:manualLayout>
          <c:xMode val="edge"/>
          <c:yMode val="edge"/>
          <c:x val="0.77037037037037037"/>
          <c:y val="1.5384615384615385E-2"/>
          <c:w val="0.21975308641975308"/>
          <c:h val="0.2"/>
        </c:manualLayout>
      </c:layout>
      <c:overlay val="0"/>
      <c:spPr>
        <a:solidFill>
          <a:srgbClr val="FFFFFF"/>
        </a:solidFill>
        <a:ln w="3175">
          <a:solidFill>
            <a:srgbClr val="000000"/>
          </a:solidFill>
          <a:prstDash val="solid"/>
        </a:ln>
      </c:spPr>
      <c:txPr>
        <a:bodyPr/>
        <a:lstStyle/>
        <a:p>
          <a:pPr>
            <a:defRPr sz="780"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41687344913146E-2"/>
          <c:y val="0.37569060773480661"/>
          <c:w val="0.67245657568238215"/>
          <c:h val="0.46408839779005523"/>
        </c:manualLayout>
      </c:layout>
      <c:barChart>
        <c:barDir val="col"/>
        <c:grouping val="clustered"/>
        <c:varyColors val="0"/>
        <c:ser>
          <c:idx val="0"/>
          <c:order val="0"/>
          <c:tx>
            <c:strRef>
              <c:f>Sheet1!$A$2</c:f>
              <c:strCache>
                <c:ptCount val="1"/>
                <c:pt idx="0">
                  <c:v>Metotreksat</c:v>
                </c:pt>
              </c:strCache>
            </c:strRef>
          </c:tx>
          <c:spPr>
            <a:solidFill>
              <a:srgbClr val="FFFFFF"/>
            </a:solidFill>
            <a:ln w="12699">
              <a:solidFill>
                <a:srgbClr val="000000"/>
              </a:solidFill>
              <a:prstDash val="solid"/>
            </a:ln>
          </c:spPr>
          <c:invertIfNegative val="0"/>
          <c:dLbls>
            <c:dLbl>
              <c:idx val="0"/>
              <c:layout>
                <c:manualLayout>
                  <c:x val="-3.8517244477215273E-4"/>
                  <c:y val="-3.5511729787934654E-2"/>
                </c:manualLayout>
              </c:layout>
              <c:spPr>
                <a:noFill/>
                <a:ln w="25399">
                  <a:noFill/>
                </a:ln>
              </c:spPr>
              <c:txPr>
                <a:bodyPr/>
                <a:lstStyle/>
                <a:p>
                  <a:pPr>
                    <a:defRPr sz="9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AE-4A96-8B6F-F3FB92443D0B}"/>
                </c:ext>
              </c:extLst>
            </c:dLbl>
            <c:dLbl>
              <c:idx val="1"/>
              <c:layout>
                <c:manualLayout>
                  <c:x val="2.7167226967470537E-3"/>
                  <c:y val="-3.1313059487071804E-2"/>
                </c:manualLayout>
              </c:layout>
              <c:spPr>
                <a:noFill/>
                <a:ln w="25399">
                  <a:noFill/>
                </a:ln>
              </c:spPr>
              <c:txPr>
                <a:bodyPr/>
                <a:lstStyle/>
                <a:p>
                  <a:pPr>
                    <a:defRPr sz="9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AE-4A96-8B6F-F3FB92443D0B}"/>
                </c:ext>
              </c:extLst>
            </c:dLbl>
            <c:dLbl>
              <c:idx val="2"/>
              <c:layout>
                <c:manualLayout>
                  <c:x val="-6.5885842580650222E-3"/>
                  <c:y val="-2.8219297788088959E-2"/>
                </c:manualLayout>
              </c:layout>
              <c:spPr>
                <a:noFill/>
                <a:ln w="25399">
                  <a:noFill/>
                </a:ln>
              </c:spPr>
              <c:txPr>
                <a:bodyPr/>
                <a:lstStyle/>
                <a:p>
                  <a:pPr>
                    <a:defRPr sz="9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AE-4A96-8B6F-F3FB92443D0B}"/>
                </c:ext>
              </c:extLst>
            </c:dLbl>
            <c:spPr>
              <a:noFill/>
              <a:ln w="25399">
                <a:noFill/>
              </a:ln>
            </c:spPr>
            <c:txPr>
              <a:bodyPr wrap="square" lIns="38100" tIns="19050" rIns="38100" bIns="19050" anchor="ctr">
                <a:spAutoFit/>
              </a:bodyPr>
              <a:lstStyle/>
              <a:p>
                <a:pPr>
                  <a:defRPr sz="9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Sheet1!$B$2:$E$2</c:f>
              <c:numCache>
                <c:formatCode>General</c:formatCode>
                <c:ptCount val="4"/>
                <c:pt idx="0">
                  <c:v>2.2000000000000002</c:v>
                </c:pt>
                <c:pt idx="1">
                  <c:v>1.3</c:v>
                </c:pt>
                <c:pt idx="2">
                  <c:v>0.9</c:v>
                </c:pt>
              </c:numCache>
            </c:numRef>
          </c:val>
          <c:extLst>
            <c:ext xmlns:c16="http://schemas.microsoft.com/office/drawing/2014/chart" uri="{C3380CC4-5D6E-409C-BE32-E72D297353CC}">
              <c16:uniqueId val="{00000003-A9AE-4A96-8B6F-F3FB92443D0B}"/>
            </c:ext>
          </c:extLst>
        </c:ser>
        <c:ser>
          <c:idx val="1"/>
          <c:order val="1"/>
          <c:tx>
            <c:strRef>
              <c:f>Sheet1!$A$3</c:f>
              <c:strCache>
                <c:ptCount val="1"/>
                <c:pt idx="0">
                  <c:v>Enbrel 25 mg</c:v>
                </c:pt>
              </c:strCache>
            </c:strRef>
          </c:tx>
          <c:spPr>
            <a:solidFill>
              <a:srgbClr val="969696"/>
            </a:solidFill>
            <a:ln w="12699">
              <a:solidFill>
                <a:srgbClr val="000000"/>
              </a:solidFill>
              <a:prstDash val="solid"/>
            </a:ln>
          </c:spPr>
          <c:invertIfNegative val="0"/>
          <c:dLbls>
            <c:dLbl>
              <c:idx val="0"/>
              <c:layout>
                <c:manualLayout>
                  <c:x val="1.6098316599687801E-2"/>
                  <c:y val="-2.7777050705721784E-2"/>
                </c:manualLayout>
              </c:layout>
              <c:spPr>
                <a:noFill/>
                <a:ln w="25399">
                  <a:noFill/>
                </a:ln>
              </c:spPr>
              <c:txPr>
                <a:bodyPr/>
                <a:lstStyle/>
                <a:p>
                  <a:pPr>
                    <a:defRPr sz="9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AE-4A96-8B6F-F3FB92443D0B}"/>
                </c:ext>
              </c:extLst>
            </c:dLbl>
            <c:dLbl>
              <c:idx val="1"/>
              <c:layout>
                <c:manualLayout>
                  <c:x val="6.7932638503880871E-3"/>
                  <c:y val="-2.8660995200944894E-2"/>
                </c:manualLayout>
              </c:layout>
              <c:spPr>
                <a:noFill/>
                <a:ln w="25399">
                  <a:noFill/>
                </a:ln>
              </c:spPr>
              <c:txPr>
                <a:bodyPr/>
                <a:lstStyle/>
                <a:p>
                  <a:pPr>
                    <a:defRPr sz="9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AE-4A96-8B6F-F3FB92443D0B}"/>
                </c:ext>
              </c:extLst>
            </c:dLbl>
            <c:dLbl>
              <c:idx val="2"/>
              <c:layout>
                <c:manualLayout>
                  <c:x val="2.4507360519036014E-3"/>
                  <c:y val="-2.8660995200944894E-2"/>
                </c:manualLayout>
              </c:layout>
              <c:spPr>
                <a:noFill/>
                <a:ln w="25399">
                  <a:noFill/>
                </a:ln>
              </c:spPr>
              <c:txPr>
                <a:bodyPr/>
                <a:lstStyle/>
                <a:p>
                  <a:pPr>
                    <a:defRPr sz="9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AE-4A96-8B6F-F3FB92443D0B}"/>
                </c:ext>
              </c:extLst>
            </c:dLbl>
            <c:spPr>
              <a:noFill/>
              <a:ln w="25399">
                <a:noFill/>
              </a:ln>
            </c:spPr>
            <c:txPr>
              <a:bodyPr wrap="square" lIns="38100" tIns="19050" rIns="38100" bIns="19050" anchor="ctr">
                <a:spAutoFit/>
              </a:bodyPr>
              <a:lstStyle/>
              <a:p>
                <a:pPr>
                  <a:defRPr sz="9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Sheet1!$B$3:$E$3</c:f>
              <c:numCache>
                <c:formatCode>General</c:formatCode>
                <c:ptCount val="4"/>
                <c:pt idx="0">
                  <c:v>1.2</c:v>
                </c:pt>
                <c:pt idx="1">
                  <c:v>0.60000000013148003</c:v>
                </c:pt>
                <c:pt idx="2">
                  <c:v>0.6</c:v>
                </c:pt>
              </c:numCache>
            </c:numRef>
          </c:val>
          <c:extLst>
            <c:ext xmlns:c16="http://schemas.microsoft.com/office/drawing/2014/chart" uri="{C3380CC4-5D6E-409C-BE32-E72D297353CC}">
              <c16:uniqueId val="{00000007-A9AE-4A96-8B6F-F3FB92443D0B}"/>
            </c:ext>
          </c:extLst>
        </c:ser>
        <c:dLbls>
          <c:showLegendKey val="0"/>
          <c:showVal val="0"/>
          <c:showCatName val="0"/>
          <c:showSerName val="0"/>
          <c:showPercent val="0"/>
          <c:showBubbleSize val="0"/>
        </c:dLbls>
        <c:gapWidth val="150"/>
        <c:axId val="206123328"/>
        <c:axId val="1"/>
      </c:barChart>
      <c:catAx>
        <c:axId val="206123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
        <c:crossesAt val="0"/>
        <c:auto val="1"/>
        <c:lblAlgn val="ctr"/>
        <c:lblOffset val="100"/>
        <c:tickLblSkip val="1"/>
        <c:tickMarkSkip val="1"/>
        <c:noMultiLvlLbl val="0"/>
      </c:catAx>
      <c:valAx>
        <c:axId val="1"/>
        <c:scaling>
          <c:orientation val="minMax"/>
          <c:max val="2.5"/>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206123328"/>
        <c:crosses val="autoZero"/>
        <c:crossBetween val="between"/>
        <c:majorUnit val="0.5"/>
        <c:minorUnit val="0.5"/>
      </c:valAx>
      <c:spPr>
        <a:solidFill>
          <a:srgbClr val="FFFFFF"/>
        </a:solidFill>
        <a:ln w="25399">
          <a:noFill/>
        </a:ln>
      </c:spPr>
    </c:plotArea>
    <c:legend>
      <c:legendPos val="tr"/>
      <c:layout>
        <c:manualLayout>
          <c:xMode val="edge"/>
          <c:yMode val="edge"/>
          <c:x val="0.76923076923076927"/>
          <c:y val="5.5248618784530384E-3"/>
          <c:w val="0.22084367245657568"/>
          <c:h val="0.2154696132596685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4063047285463"/>
          <c:y val="0.12626262626262627"/>
          <c:w val="0.70052539404553416"/>
          <c:h val="0.72727272727272729"/>
        </c:manualLayout>
      </c:layout>
      <c:barChart>
        <c:barDir val="col"/>
        <c:grouping val="clustered"/>
        <c:varyColors val="0"/>
        <c:ser>
          <c:idx val="0"/>
          <c:order val="0"/>
          <c:tx>
            <c:strRef>
              <c:f>Sheet1!$A$2</c:f>
              <c:strCache>
                <c:ptCount val="1"/>
                <c:pt idx="0">
                  <c:v>Metotreksat</c:v>
                </c:pt>
              </c:strCache>
            </c:strRef>
          </c:tx>
          <c:spPr>
            <a:solidFill>
              <a:srgbClr val="FFFF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Sheet1!$B$2:$E$2</c:f>
              <c:numCache>
                <c:formatCode>General</c:formatCode>
                <c:ptCount val="4"/>
                <c:pt idx="0">
                  <c:v>2.8</c:v>
                </c:pt>
                <c:pt idx="1">
                  <c:v>1.68</c:v>
                </c:pt>
                <c:pt idx="2">
                  <c:v>1.1200000000000001</c:v>
                </c:pt>
              </c:numCache>
            </c:numRef>
          </c:val>
          <c:extLst>
            <c:ext xmlns:c16="http://schemas.microsoft.com/office/drawing/2014/chart" uri="{C3380CC4-5D6E-409C-BE32-E72D297353CC}">
              <c16:uniqueId val="{00000000-CCB1-4060-B3A2-66B3940944F2}"/>
            </c:ext>
          </c:extLst>
        </c:ser>
        <c:ser>
          <c:idx val="1"/>
          <c:order val="1"/>
          <c:tx>
            <c:strRef>
              <c:f>Sheet1!$A$3</c:f>
              <c:strCache>
                <c:ptCount val="1"/>
                <c:pt idx="0">
                  <c:v>Enbrel</c:v>
                </c:pt>
              </c:strCache>
            </c:strRef>
          </c:tx>
          <c:spPr>
            <a:solidFill>
              <a:srgbClr val="969696"/>
            </a:solidFill>
            <a:ln w="12700">
              <a:solidFill>
                <a:srgbClr val="000000"/>
              </a:solidFill>
              <a:prstDash val="solid"/>
            </a:ln>
          </c:spPr>
          <c:invertIfNegative val="0"/>
          <c:dLbls>
            <c:dLbl>
              <c:idx val="0"/>
              <c:tx>
                <c:rich>
                  <a:bodyPr/>
                  <a:lstStyle/>
                  <a:p>
                    <a:pPr>
                      <a:defRPr sz="900" b="1" i="0" u="none" strike="noStrike" baseline="0">
                        <a:solidFill>
                          <a:srgbClr val="000000"/>
                        </a:solidFill>
                        <a:latin typeface="Arial"/>
                        <a:ea typeface="Arial"/>
                        <a:cs typeface="Arial"/>
                      </a:defRPr>
                    </a:pPr>
                    <a:r>
                      <a:rPr lang="en-US"/>
                      <a:t>    
0.52*</a:t>
                    </a:r>
                  </a:p>
                </c:rich>
              </c:tx>
              <c:spPr>
                <a:noFill/>
                <a:ln w="25400">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B1-4060-B3A2-66B3940944F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Sheet1!$B$3:$E$3</c:f>
              <c:numCache>
                <c:formatCode>General</c:formatCode>
                <c:ptCount val="4"/>
                <c:pt idx="0">
                  <c:v>0.52</c:v>
                </c:pt>
                <c:pt idx="1">
                  <c:v>0.21</c:v>
                </c:pt>
                <c:pt idx="2">
                  <c:v>0.32</c:v>
                </c:pt>
              </c:numCache>
            </c:numRef>
          </c:val>
          <c:extLst>
            <c:ext xmlns:c16="http://schemas.microsoft.com/office/drawing/2014/chart" uri="{C3380CC4-5D6E-409C-BE32-E72D297353CC}">
              <c16:uniqueId val="{00000002-CCB1-4060-B3A2-66B3940944F2}"/>
            </c:ext>
          </c:extLst>
        </c:ser>
        <c:ser>
          <c:idx val="2"/>
          <c:order val="2"/>
          <c:tx>
            <c:strRef>
              <c:f>Sheet1!$A$4</c:f>
              <c:strCache>
                <c:ptCount val="1"/>
                <c:pt idx="0">
                  <c:v>Enbrel + metotreksat</c:v>
                </c:pt>
              </c:strCache>
            </c:strRef>
          </c:tx>
          <c:spPr>
            <a:solidFill>
              <a:srgbClr val="333333"/>
            </a:solidFill>
            <a:ln w="12700">
              <a:solidFill>
                <a:srgbClr val="000000"/>
              </a:solidFill>
              <a:prstDash val="solid"/>
            </a:ln>
          </c:spPr>
          <c:invertIfNegative val="0"/>
          <c:dLbls>
            <c:dLbl>
              <c:idx val="0"/>
              <c:tx>
                <c:rich>
                  <a:bodyPr/>
                  <a:lstStyle/>
                  <a:p>
                    <a:pPr>
                      <a:defRPr sz="900" b="1" i="0" u="none" strike="noStrike" baseline="0">
                        <a:solidFill>
                          <a:srgbClr val="000000"/>
                        </a:solidFill>
                        <a:latin typeface="Arial"/>
                        <a:ea typeface="Arial"/>
                        <a:cs typeface="Arial"/>
                      </a:defRPr>
                    </a:pPr>
                    <a:r>
                      <a:rPr lang="en-US"/>
                      <a:t>-0.54</a:t>
                    </a:r>
                  </a:p>
                </c:rich>
              </c:tx>
              <c:spPr>
                <a:noFill/>
                <a:ln w="25400">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B1-4060-B3A2-66B3940944F2}"/>
                </c:ext>
              </c:extLst>
            </c:dLbl>
            <c:spPr>
              <a:noFill/>
              <a:ln w="25400">
                <a:noFill/>
              </a:ln>
            </c:spPr>
            <c:txPr>
              <a:bodyPr wrap="square" lIns="38100" tIns="19050" rIns="38100" bIns="19050" anchor="ctr">
                <a:spAutoFit/>
              </a:bodyPr>
              <a:lstStyle/>
              <a:p>
                <a:pPr>
                  <a:defRPr sz="9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TSS</c:v>
                </c:pt>
                <c:pt idx="1">
                  <c:v>Erozije</c:v>
                </c:pt>
                <c:pt idx="2">
                  <c:v>JSN</c:v>
                </c:pt>
              </c:strCache>
            </c:strRef>
          </c:cat>
          <c:val>
            <c:numRef>
              <c:f>Sheet1!$B$4:$E$4</c:f>
              <c:numCache>
                <c:formatCode>General</c:formatCode>
                <c:ptCount val="4"/>
                <c:pt idx="0">
                  <c:v>-0.54</c:v>
                </c:pt>
                <c:pt idx="1">
                  <c:v>-0.3</c:v>
                </c:pt>
                <c:pt idx="2">
                  <c:v>-0.23</c:v>
                </c:pt>
              </c:numCache>
            </c:numRef>
          </c:val>
          <c:extLst>
            <c:ext xmlns:c16="http://schemas.microsoft.com/office/drawing/2014/chart" uri="{C3380CC4-5D6E-409C-BE32-E72D297353CC}">
              <c16:uniqueId val="{00000004-CCB1-4060-B3A2-66B3940944F2}"/>
            </c:ext>
          </c:extLst>
        </c:ser>
        <c:dLbls>
          <c:showLegendKey val="0"/>
          <c:showVal val="0"/>
          <c:showCatName val="0"/>
          <c:showSerName val="0"/>
          <c:showPercent val="0"/>
          <c:showBubbleSize val="0"/>
        </c:dLbls>
        <c:gapWidth val="150"/>
        <c:axId val="206459984"/>
        <c:axId val="1"/>
      </c:barChart>
      <c:catAx>
        <c:axId val="206459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sr-Latn-ME"/>
                  <a:t>Promene u odnosu na početno stanje</a:t>
                </a:r>
              </a:p>
            </c:rich>
          </c:tx>
          <c:layout>
            <c:manualLayout>
              <c:xMode val="edge"/>
              <c:yMode val="edge"/>
              <c:x val="0"/>
              <c:y val="4.0404040404040407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206459984"/>
        <c:crosses val="autoZero"/>
        <c:crossBetween val="between"/>
      </c:valAx>
      <c:spPr>
        <a:solidFill>
          <a:srgbClr val="FFFFFF"/>
        </a:solidFill>
        <a:ln w="25400">
          <a:noFill/>
        </a:ln>
      </c:spPr>
    </c:plotArea>
    <c:legend>
      <c:legendPos val="r"/>
      <c:layout>
        <c:manualLayout>
          <c:xMode val="edge"/>
          <c:yMode val="edge"/>
          <c:x val="0.8423817863397548"/>
          <c:y val="7.0707070707070704E-2"/>
          <c:w val="0.15236427320490367"/>
          <c:h val="0.40404040404040403"/>
        </c:manualLayout>
      </c:layout>
      <c:overlay val="0"/>
      <c:spPr>
        <a:noFill/>
        <a:ln w="25400">
          <a:noFill/>
        </a:ln>
      </c:spPr>
      <c:txPr>
        <a:bodyPr/>
        <a:lstStyle/>
        <a:p>
          <a:pPr>
            <a:defRPr sz="735"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94EE-9B6D-4D0C-BF87-A761B816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14896</Words>
  <Characters>84911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Buric</dc:creator>
  <cp:keywords/>
  <dc:description/>
  <cp:lastModifiedBy>Olja Borozan</cp:lastModifiedBy>
  <cp:revision>20</cp:revision>
  <cp:lastPrinted>2024-07-30T08:32:00Z</cp:lastPrinted>
  <dcterms:created xsi:type="dcterms:W3CDTF">2025-03-04T11:22:00Z</dcterms:created>
  <dcterms:modified xsi:type="dcterms:W3CDTF">2025-04-28T08:18:00Z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2024-07-25T14:16:51Z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c105a7d3-37c2-4fad-ad98-994326e4bb93</vt:lpwstr>
  </property>
  <property fmtid="{D5CDD505-2E9C-101B-9397-08002B2CF9AE}" pid="8" name="MSIP_Label_4791b42f-c435-42ca-9531-75a3f42aae3d_ContentBits">
    <vt:lpwstr>0</vt:lpwstr>
  </property>
</Properties>
</file>