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75A1" w14:textId="77777777" w:rsidR="00DD2A82" w:rsidRPr="00A3088E" w:rsidRDefault="00DD2A82" w:rsidP="00923865">
      <w:pPr>
        <w:rPr>
          <w:lang w:val="sr-Latn-ME"/>
        </w:rPr>
      </w:pPr>
    </w:p>
    <w:p w14:paraId="5D3F75A2" w14:textId="67FDDEC5" w:rsidR="00CE09F3" w:rsidRPr="00A3088E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A3088E">
        <w:rPr>
          <w:b/>
          <w:bCs/>
          <w:iCs/>
          <w:szCs w:val="22"/>
          <w:u w:val="single"/>
          <w:lang w:val="sr-Latn-ME"/>
        </w:rPr>
        <w:t>SAŽETAK KARAKTERISTIKA L</w:t>
      </w:r>
      <w:r w:rsidR="007B68EA" w:rsidRPr="00A3088E">
        <w:rPr>
          <w:b/>
          <w:bCs/>
          <w:iCs/>
          <w:szCs w:val="22"/>
          <w:u w:val="single"/>
          <w:lang w:val="sr-Latn-ME"/>
        </w:rPr>
        <w:t>IJ</w:t>
      </w:r>
      <w:r w:rsidRPr="00A3088E">
        <w:rPr>
          <w:b/>
          <w:bCs/>
          <w:iCs/>
          <w:szCs w:val="22"/>
          <w:u w:val="single"/>
          <w:lang w:val="sr-Latn-ME"/>
        </w:rPr>
        <w:t>EKA</w:t>
      </w:r>
    </w:p>
    <w:p w14:paraId="4F136042" w14:textId="77777777" w:rsidR="00042B5B" w:rsidRPr="00A3088E" w:rsidRDefault="00042B5B" w:rsidP="00923865">
      <w:pPr>
        <w:rPr>
          <w:szCs w:val="22"/>
          <w:lang w:val="sr-Latn-ME"/>
        </w:rPr>
      </w:pPr>
    </w:p>
    <w:p w14:paraId="5D3F75A3" w14:textId="52242103" w:rsidR="00383195" w:rsidRPr="00A3088E" w:rsidRDefault="003E3EC7" w:rsidP="00923865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 </w:t>
      </w:r>
    </w:p>
    <w:p w14:paraId="5D3F75AD" w14:textId="7C46B0BF" w:rsidR="00CE09F3" w:rsidRPr="00A3088E" w:rsidRDefault="00CE09F3" w:rsidP="00350928">
      <w:pPr>
        <w:pStyle w:val="NASLOV123"/>
        <w:jc w:val="both"/>
        <w:rPr>
          <w:lang w:val="sr-Latn-ME"/>
        </w:rPr>
      </w:pPr>
      <w:r w:rsidRPr="00A3088E">
        <w:rPr>
          <w:lang w:val="sr-Latn-ME"/>
        </w:rPr>
        <w:t>1</w:t>
      </w:r>
      <w:r w:rsidR="005456BC" w:rsidRPr="00A3088E">
        <w:rPr>
          <w:lang w:val="sr-Latn-ME"/>
        </w:rPr>
        <w:t>. IME L</w:t>
      </w:r>
      <w:r w:rsidR="007B68EA" w:rsidRPr="00A3088E">
        <w:rPr>
          <w:lang w:val="sr-Latn-ME"/>
        </w:rPr>
        <w:t>IJ</w:t>
      </w:r>
      <w:r w:rsidR="005456BC" w:rsidRPr="00A3088E">
        <w:rPr>
          <w:lang w:val="sr-Latn-ME"/>
        </w:rPr>
        <w:t>EKA</w:t>
      </w:r>
    </w:p>
    <w:p w14:paraId="5D3F75AE" w14:textId="0351BBED" w:rsidR="00CE09F3" w:rsidRPr="00A3088E" w:rsidRDefault="00C57E82" w:rsidP="00F8238F">
      <w:pPr>
        <w:rPr>
          <w:bCs/>
          <w:szCs w:val="22"/>
          <w:lang w:val="sr-Latn-ME"/>
        </w:rPr>
      </w:pPr>
      <w:r w:rsidRPr="00A3088E">
        <w:rPr>
          <w:bCs/>
          <w:szCs w:val="22"/>
          <w:lang w:val="sr-Latn-ME"/>
        </w:rPr>
        <w:t>Ibumax rapid, 400 mg, kapsul</w:t>
      </w:r>
      <w:r w:rsidR="00F92012" w:rsidRPr="00A3088E">
        <w:rPr>
          <w:bCs/>
          <w:szCs w:val="22"/>
          <w:lang w:val="sr-Latn-ME"/>
        </w:rPr>
        <w:t>a</w:t>
      </w:r>
      <w:r w:rsidRPr="00A3088E">
        <w:rPr>
          <w:bCs/>
          <w:szCs w:val="22"/>
          <w:lang w:val="sr-Latn-ME"/>
        </w:rPr>
        <w:t>, mek</w:t>
      </w:r>
      <w:r w:rsidR="00F92012" w:rsidRPr="00A3088E">
        <w:rPr>
          <w:bCs/>
          <w:szCs w:val="22"/>
          <w:lang w:val="sr-Latn-ME"/>
        </w:rPr>
        <w:t>a</w:t>
      </w:r>
    </w:p>
    <w:p w14:paraId="5D3F75AF" w14:textId="77777777" w:rsidR="00CE09F3" w:rsidRPr="00A3088E" w:rsidRDefault="00CE09F3">
      <w:pPr>
        <w:rPr>
          <w:bCs/>
          <w:szCs w:val="22"/>
          <w:lang w:val="sr-Latn-ME"/>
        </w:rPr>
      </w:pPr>
    </w:p>
    <w:p w14:paraId="5D3F75B0" w14:textId="093D6EBB" w:rsidR="00CE09F3" w:rsidRPr="00A3088E" w:rsidRDefault="00CE09F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INN:</w:t>
      </w:r>
      <w:r w:rsidR="00C57E82" w:rsidRPr="00A3088E">
        <w:rPr>
          <w:szCs w:val="22"/>
          <w:lang w:val="sr-Latn-ME"/>
        </w:rPr>
        <w:t xml:space="preserve"> ibuprofen</w:t>
      </w:r>
    </w:p>
    <w:p w14:paraId="5D3F75B4" w14:textId="411D9946" w:rsidR="00CE09F3" w:rsidRPr="00A3088E" w:rsidRDefault="00CE09F3">
      <w:pPr>
        <w:rPr>
          <w:b/>
          <w:bCs/>
          <w:szCs w:val="22"/>
          <w:lang w:val="sr-Latn-ME"/>
        </w:rPr>
      </w:pPr>
    </w:p>
    <w:p w14:paraId="278DE048" w14:textId="77777777" w:rsidR="00F92012" w:rsidRPr="00A3088E" w:rsidRDefault="00F92012">
      <w:pPr>
        <w:rPr>
          <w:b/>
          <w:bCs/>
          <w:szCs w:val="22"/>
          <w:lang w:val="sr-Latn-ME"/>
        </w:rPr>
      </w:pPr>
    </w:p>
    <w:p w14:paraId="5D3F75B5" w14:textId="77777777" w:rsidR="00CE09F3" w:rsidRPr="00A3088E" w:rsidRDefault="00CE09F3" w:rsidP="00350928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>2. KVALITATIVNI I KVANTITATIVNI SASTAV</w:t>
      </w:r>
    </w:p>
    <w:p w14:paraId="7D4E1AA1" w14:textId="77777777" w:rsidR="00F92012" w:rsidRPr="00A3088E" w:rsidRDefault="00F92012" w:rsidP="00F8238F">
      <w:pPr>
        <w:rPr>
          <w:szCs w:val="22"/>
          <w:lang w:val="sr-Latn-ME"/>
        </w:rPr>
      </w:pPr>
    </w:p>
    <w:p w14:paraId="1ED9BFA5" w14:textId="44AC8625" w:rsidR="00C57E82" w:rsidRPr="00A3088E" w:rsidRDefault="00C57E82" w:rsidP="00F8238F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Jedna kapsula meka, sadrži</w:t>
      </w:r>
      <w:r w:rsidR="00F92012" w:rsidRPr="00A3088E">
        <w:rPr>
          <w:szCs w:val="22"/>
          <w:lang w:val="sr-Latn-ME"/>
        </w:rPr>
        <w:t xml:space="preserve"> 400 mg ibuprofena.</w:t>
      </w:r>
    </w:p>
    <w:p w14:paraId="372CFA3F" w14:textId="27EE6147" w:rsidR="00C57E82" w:rsidRPr="00A3088E" w:rsidRDefault="00C57E82">
      <w:pPr>
        <w:rPr>
          <w:szCs w:val="22"/>
          <w:lang w:val="sr-Latn-ME"/>
        </w:rPr>
      </w:pPr>
    </w:p>
    <w:p w14:paraId="538921BF" w14:textId="65BB2B4A" w:rsidR="00C57E82" w:rsidRPr="00A3088E" w:rsidRDefault="00C57E82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Pomoćn</w:t>
      </w:r>
      <w:r w:rsidR="00F92012" w:rsidRPr="00A3088E">
        <w:rPr>
          <w:szCs w:val="22"/>
          <w:lang w:val="sr-Latn-ME"/>
        </w:rPr>
        <w:t>a</w:t>
      </w:r>
      <w:r w:rsidRPr="00A3088E">
        <w:rPr>
          <w:szCs w:val="22"/>
          <w:lang w:val="sr-Latn-ME"/>
        </w:rPr>
        <w:t xml:space="preserve"> supstanc</w:t>
      </w:r>
      <w:r w:rsidR="00F92012" w:rsidRPr="00A3088E">
        <w:rPr>
          <w:szCs w:val="22"/>
          <w:lang w:val="sr-Latn-ME"/>
        </w:rPr>
        <w:t>a</w:t>
      </w:r>
      <w:r w:rsidRPr="00A3088E">
        <w:rPr>
          <w:szCs w:val="22"/>
          <w:lang w:val="sr-Latn-ME"/>
        </w:rPr>
        <w:t xml:space="preserve"> sa potvrđenim dejstvom: sorbitol</w:t>
      </w:r>
      <w:r w:rsidR="00616B6B" w:rsidRPr="00A3088E">
        <w:rPr>
          <w:szCs w:val="22"/>
          <w:lang w:val="sr-Latn-ME"/>
        </w:rPr>
        <w:t xml:space="preserve"> 72 mg</w:t>
      </w:r>
      <w:r w:rsidRPr="00A3088E">
        <w:rPr>
          <w:szCs w:val="22"/>
          <w:lang w:val="sr-Latn-ME"/>
        </w:rPr>
        <w:t>.</w:t>
      </w:r>
    </w:p>
    <w:p w14:paraId="2942F7E4" w14:textId="77777777" w:rsidR="00C57E82" w:rsidRPr="00A3088E" w:rsidRDefault="00C57E82">
      <w:pPr>
        <w:rPr>
          <w:szCs w:val="22"/>
          <w:lang w:val="sr-Latn-ME"/>
        </w:rPr>
      </w:pPr>
    </w:p>
    <w:p w14:paraId="378D2156" w14:textId="77777777" w:rsidR="002072EC" w:rsidRPr="00A3088E" w:rsidRDefault="002072EC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Za spisak svih ekscipijenasa, pogledati dio 6.1.</w:t>
      </w:r>
    </w:p>
    <w:p w14:paraId="5D3F75B7" w14:textId="63C9D0B1" w:rsidR="00CE09F3" w:rsidRPr="00A3088E" w:rsidRDefault="00CE09F3">
      <w:pPr>
        <w:rPr>
          <w:szCs w:val="22"/>
          <w:lang w:val="sr-Latn-ME"/>
        </w:rPr>
      </w:pPr>
    </w:p>
    <w:p w14:paraId="5057F1CA" w14:textId="77777777" w:rsidR="00F92012" w:rsidRPr="00A3088E" w:rsidRDefault="00F92012">
      <w:pPr>
        <w:rPr>
          <w:szCs w:val="22"/>
          <w:lang w:val="sr-Latn-ME"/>
        </w:rPr>
      </w:pPr>
    </w:p>
    <w:p w14:paraId="5D3F75B8" w14:textId="77777777" w:rsidR="00CE09F3" w:rsidRPr="00A3088E" w:rsidRDefault="00CE09F3" w:rsidP="00FF481A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>3. FARMACEUTSKI OBLIK</w:t>
      </w:r>
    </w:p>
    <w:p w14:paraId="39F13CCC" w14:textId="77777777" w:rsidR="00F92012" w:rsidRPr="00A3088E" w:rsidRDefault="00F92012" w:rsidP="00F8238F">
      <w:pPr>
        <w:rPr>
          <w:szCs w:val="22"/>
          <w:lang w:val="sr-Latn-ME"/>
        </w:rPr>
      </w:pPr>
    </w:p>
    <w:p w14:paraId="5D3F75B9" w14:textId="4708DC1E" w:rsidR="00CE09F3" w:rsidRPr="00A3088E" w:rsidRDefault="00C57E82" w:rsidP="00F8238F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Kapsula, meka</w:t>
      </w:r>
      <w:r w:rsidR="00376BA3" w:rsidRPr="00A3088E">
        <w:rPr>
          <w:szCs w:val="22"/>
          <w:lang w:val="sr-Latn-ME"/>
        </w:rPr>
        <w:t>.</w:t>
      </w:r>
    </w:p>
    <w:p w14:paraId="5EB84B8B" w14:textId="77777777" w:rsidR="00376BA3" w:rsidRPr="00A3088E" w:rsidRDefault="00376BA3">
      <w:pPr>
        <w:rPr>
          <w:szCs w:val="22"/>
          <w:lang w:val="sr-Latn-ME"/>
        </w:rPr>
      </w:pPr>
    </w:p>
    <w:p w14:paraId="5D3F75BA" w14:textId="6AB21D50" w:rsidR="00CE09F3" w:rsidRPr="00A3088E" w:rsidRDefault="009A0BCA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Prirodno prozirna</w:t>
      </w:r>
      <w:r w:rsidR="00376BA3" w:rsidRPr="00A3088E">
        <w:rPr>
          <w:szCs w:val="22"/>
          <w:lang w:val="sr-Latn-ME"/>
        </w:rPr>
        <w:t>, ovalna, meka želatinska kapsula sa bistrom bezbojnom tečnošću.</w:t>
      </w:r>
    </w:p>
    <w:p w14:paraId="6CB1E3CD" w14:textId="51954D5B" w:rsidR="00376BA3" w:rsidRPr="00A3088E" w:rsidRDefault="00376BA3">
      <w:pPr>
        <w:rPr>
          <w:szCs w:val="22"/>
          <w:lang w:val="sr-Latn-ME"/>
        </w:rPr>
      </w:pPr>
    </w:p>
    <w:p w14:paraId="67C575AC" w14:textId="77777777" w:rsidR="00F92012" w:rsidRPr="00A3088E" w:rsidRDefault="00F92012">
      <w:pPr>
        <w:rPr>
          <w:szCs w:val="22"/>
          <w:lang w:val="sr-Latn-ME"/>
        </w:rPr>
      </w:pPr>
    </w:p>
    <w:p w14:paraId="5D3F75BB" w14:textId="77777777" w:rsidR="00CE09F3" w:rsidRPr="00A3088E" w:rsidRDefault="00CE09F3" w:rsidP="00FF481A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>4. KLINIČKI PODACI</w:t>
      </w:r>
    </w:p>
    <w:p w14:paraId="57947D85" w14:textId="77777777" w:rsidR="00F92012" w:rsidRPr="00A3088E" w:rsidRDefault="00F92012">
      <w:pPr>
        <w:rPr>
          <w:b/>
          <w:bCs/>
          <w:szCs w:val="22"/>
          <w:lang w:val="sr-Latn-ME"/>
        </w:rPr>
      </w:pPr>
    </w:p>
    <w:p w14:paraId="5D3F75BC" w14:textId="5DD88C8A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4.1. Terapijske indikacije</w:t>
      </w:r>
    </w:p>
    <w:p w14:paraId="5D3F75BD" w14:textId="77777777" w:rsidR="00CE09F3" w:rsidRPr="00A3088E" w:rsidRDefault="00CE09F3">
      <w:pPr>
        <w:rPr>
          <w:szCs w:val="22"/>
          <w:lang w:val="sr-Latn-ME"/>
        </w:rPr>
      </w:pPr>
    </w:p>
    <w:p w14:paraId="0B1EE911" w14:textId="0E789654" w:rsidR="00C57E82" w:rsidRPr="00A3088E" w:rsidRDefault="00C57E82" w:rsidP="00FF481A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 xml:space="preserve">Odrasli, starije osobe i </w:t>
      </w:r>
      <w:r w:rsidR="00EE2C54" w:rsidRPr="00A3088E">
        <w:rPr>
          <w:i/>
          <w:iCs/>
          <w:szCs w:val="22"/>
          <w:lang w:val="sr-Latn-ME"/>
        </w:rPr>
        <w:t xml:space="preserve">adolescenti </w:t>
      </w:r>
      <w:r w:rsidRPr="00A3088E">
        <w:rPr>
          <w:i/>
          <w:iCs/>
          <w:szCs w:val="22"/>
          <w:lang w:val="sr-Latn-ME"/>
        </w:rPr>
        <w:t>od 12 godina</w:t>
      </w:r>
      <w:r w:rsidR="0008394E" w:rsidRPr="00A3088E">
        <w:rPr>
          <w:i/>
          <w:iCs/>
          <w:szCs w:val="22"/>
          <w:lang w:val="sr-Latn-ME"/>
        </w:rPr>
        <w:t xml:space="preserve"> i starij</w:t>
      </w:r>
      <w:r w:rsidR="00EE2C54" w:rsidRPr="00A3088E">
        <w:rPr>
          <w:i/>
          <w:iCs/>
          <w:szCs w:val="22"/>
          <w:lang w:val="sr-Latn-ME"/>
        </w:rPr>
        <w:t>i</w:t>
      </w:r>
    </w:p>
    <w:p w14:paraId="711367D8" w14:textId="3BF493E7" w:rsidR="00C57E82" w:rsidRPr="00A3088E" w:rsidRDefault="0008394E" w:rsidP="00F8238F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A3088E">
        <w:rPr>
          <w:iCs/>
          <w:szCs w:val="22"/>
          <w:lang w:val="sr-Latn-ME"/>
        </w:rPr>
        <w:t>L</w:t>
      </w:r>
      <w:r w:rsidR="001E5CF6" w:rsidRPr="00A3088E">
        <w:rPr>
          <w:iCs/>
          <w:szCs w:val="22"/>
          <w:lang w:val="sr-Latn-ME"/>
        </w:rPr>
        <w:t>ij</w:t>
      </w:r>
      <w:r w:rsidRPr="00A3088E">
        <w:rPr>
          <w:iCs/>
          <w:szCs w:val="22"/>
          <w:lang w:val="sr-Latn-ME"/>
        </w:rPr>
        <w:t xml:space="preserve">ek </w:t>
      </w:r>
      <w:r w:rsidR="00F72503" w:rsidRPr="00A3088E">
        <w:rPr>
          <w:iCs/>
          <w:szCs w:val="22"/>
          <w:lang w:val="sr-Latn-ME"/>
        </w:rPr>
        <w:t>Ibumax rapid je indikovan kao simptomatska terapija artritičnih stanja koja nisu teške prirode, reumatskog ili mišićnog bola, bolova u leđima, neuralgija, migrene, glavobolje, zubobolje, dismenoreje, povišene t</w:t>
      </w:r>
      <w:r w:rsidR="001E5CF6" w:rsidRPr="00A3088E">
        <w:rPr>
          <w:iCs/>
          <w:szCs w:val="22"/>
          <w:lang w:val="sr-Latn-ME"/>
        </w:rPr>
        <w:t>j</w:t>
      </w:r>
      <w:r w:rsidR="00F72503" w:rsidRPr="00A3088E">
        <w:rPr>
          <w:iCs/>
          <w:szCs w:val="22"/>
          <w:lang w:val="sr-Latn-ME"/>
        </w:rPr>
        <w:t>elesne</w:t>
      </w:r>
      <w:r w:rsidR="00376BA3" w:rsidRPr="00A3088E">
        <w:rPr>
          <w:iCs/>
          <w:szCs w:val="22"/>
          <w:lang w:val="sr-Latn-ME"/>
        </w:rPr>
        <w:t xml:space="preserve"> </w:t>
      </w:r>
      <w:r w:rsidR="00F72503" w:rsidRPr="00A3088E">
        <w:rPr>
          <w:iCs/>
          <w:szCs w:val="22"/>
          <w:lang w:val="sr-Latn-ME"/>
        </w:rPr>
        <w:t>temperature, prehlade i gripa.</w:t>
      </w:r>
    </w:p>
    <w:p w14:paraId="73080AFC" w14:textId="3EA96135" w:rsidR="00C57E82" w:rsidRPr="00A3088E" w:rsidRDefault="00C57E82">
      <w:pPr>
        <w:rPr>
          <w:szCs w:val="22"/>
          <w:lang w:val="sr-Latn-ME"/>
        </w:rPr>
      </w:pPr>
    </w:p>
    <w:p w14:paraId="5D3F75BF" w14:textId="7DC7FD09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4.2. Doziranje i način prim</w:t>
      </w:r>
      <w:r w:rsidR="00374C28" w:rsidRPr="00A3088E">
        <w:rPr>
          <w:b/>
          <w:bCs/>
          <w:szCs w:val="22"/>
          <w:lang w:val="sr-Latn-ME"/>
        </w:rPr>
        <w:t>j</w:t>
      </w:r>
      <w:r w:rsidRPr="00A3088E">
        <w:rPr>
          <w:b/>
          <w:bCs/>
          <w:szCs w:val="22"/>
          <w:lang w:val="sr-Latn-ME"/>
        </w:rPr>
        <w:t>ene</w:t>
      </w:r>
    </w:p>
    <w:p w14:paraId="5D3F75C0" w14:textId="77777777" w:rsidR="00CE09F3" w:rsidRPr="00A3088E" w:rsidRDefault="00CE09F3">
      <w:pPr>
        <w:rPr>
          <w:szCs w:val="22"/>
          <w:lang w:val="sr-Latn-ME"/>
        </w:rPr>
      </w:pPr>
    </w:p>
    <w:p w14:paraId="541CD606" w14:textId="22C7AE7E" w:rsidR="00F72503" w:rsidRPr="00A3088E" w:rsidRDefault="00F72503" w:rsidP="00FF481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L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 je nam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enjen za oralnu prim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enu i kratkotrajnu terapiju.</w:t>
      </w:r>
    </w:p>
    <w:p w14:paraId="5F1FA975" w14:textId="3CDBED84" w:rsidR="00F72503" w:rsidRPr="00A3088E" w:rsidRDefault="00F72503" w:rsidP="00FF481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4A033AC" w14:textId="40FA8FBB" w:rsidR="00F72503" w:rsidRPr="00A3088E" w:rsidRDefault="00F72503" w:rsidP="00F8238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Neželjeni efekti se mogu svesti na najmanju moguću m</w:t>
      </w:r>
      <w:r w:rsidR="001E5CF6" w:rsidRPr="00A3088E">
        <w:rPr>
          <w:szCs w:val="22"/>
          <w:lang w:val="sr-Latn-ME"/>
        </w:rPr>
        <w:t>je</w:t>
      </w:r>
      <w:r w:rsidRPr="00A3088E">
        <w:rPr>
          <w:szCs w:val="22"/>
          <w:lang w:val="sr-Latn-ME"/>
        </w:rPr>
        <w:t>ru prim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 xml:space="preserve">enom najmanje efektivne doze tokom najkraćeg mogućeg vremena neophodnog za </w:t>
      </w:r>
      <w:r w:rsidR="009B56D3" w:rsidRPr="00A3088E">
        <w:rPr>
          <w:szCs w:val="22"/>
          <w:lang w:val="sr-Latn-ME"/>
        </w:rPr>
        <w:t>ublaž</w:t>
      </w:r>
      <w:r w:rsidR="00CE001C" w:rsidRPr="00A3088E">
        <w:rPr>
          <w:szCs w:val="22"/>
          <w:lang w:val="sr-Latn-ME"/>
        </w:rPr>
        <w:t>a</w:t>
      </w:r>
      <w:r w:rsidR="009B56D3" w:rsidRPr="00A3088E">
        <w:rPr>
          <w:szCs w:val="22"/>
          <w:lang w:val="sr-Latn-ME"/>
        </w:rPr>
        <w:t xml:space="preserve">vanje </w:t>
      </w:r>
      <w:r w:rsidRPr="00A3088E">
        <w:rPr>
          <w:szCs w:val="22"/>
          <w:lang w:val="sr-Latn-ME"/>
        </w:rPr>
        <w:t>simptoma (</w:t>
      </w:r>
      <w:r w:rsidR="001E5CF6" w:rsidRPr="00A3088E">
        <w:rPr>
          <w:szCs w:val="22"/>
          <w:lang w:val="sr-Latn-ME"/>
        </w:rPr>
        <w:t xml:space="preserve">pogledati dio </w:t>
      </w:r>
      <w:r w:rsidRPr="00A3088E">
        <w:rPr>
          <w:szCs w:val="22"/>
          <w:lang w:val="sr-Latn-ME"/>
        </w:rPr>
        <w:t>4.4).</w:t>
      </w:r>
    </w:p>
    <w:p w14:paraId="6FF81D38" w14:textId="77777777" w:rsidR="00376BA3" w:rsidRPr="00A3088E" w:rsidRDefault="00376BA3" w:rsidP="00FF481A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</w:p>
    <w:p w14:paraId="387F0719" w14:textId="1E5CFA39" w:rsidR="00376BA3" w:rsidRPr="00A3088E" w:rsidRDefault="00376BA3" w:rsidP="00FF481A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A3088E">
        <w:rPr>
          <w:i/>
          <w:szCs w:val="22"/>
          <w:lang w:val="sr-Latn-ME"/>
        </w:rPr>
        <w:t>Odrasli, starije osobe i adolescenti uzrasta od 12 – 18 godina</w:t>
      </w:r>
    </w:p>
    <w:p w14:paraId="3881CF59" w14:textId="68CCD312" w:rsidR="00F72503" w:rsidRPr="00A3088E" w:rsidRDefault="009D21AD" w:rsidP="00F8238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Ukoliko je kod adolescenata l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 neophodan tokom perioda dužeg od 3 dana ili ukoliko dođe do pogoršanja simptoma treba konsultovati l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ekara.</w:t>
      </w:r>
    </w:p>
    <w:p w14:paraId="4A711A74" w14:textId="5712CBAA" w:rsidR="00F72503" w:rsidRPr="00A3088E" w:rsidRDefault="009D21A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Odrasle osobe treba da konsultuju l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ekara ukoliko simptomi traju ili se pogoršavaju, ili ukoliko je prim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ena l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eka neophodna tokom perioda dužeg od </w:t>
      </w:r>
      <w:r w:rsidR="00586907" w:rsidRPr="00A3088E">
        <w:rPr>
          <w:szCs w:val="22"/>
          <w:lang w:val="sr-Latn-ME"/>
        </w:rPr>
        <w:t>10</w:t>
      </w:r>
      <w:r w:rsidRPr="00A3088E">
        <w:rPr>
          <w:szCs w:val="22"/>
          <w:lang w:val="sr-Latn-ME"/>
        </w:rPr>
        <w:t xml:space="preserve"> dana.</w:t>
      </w:r>
    </w:p>
    <w:p w14:paraId="74A5D2E2" w14:textId="54E3AEA0" w:rsidR="009D21AD" w:rsidRPr="00A3088E" w:rsidRDefault="009D21AD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DAF14FB" w14:textId="6E36F86F" w:rsidR="009D21AD" w:rsidRPr="00A3088E" w:rsidRDefault="00376BA3" w:rsidP="00F8238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A</w:t>
      </w:r>
      <w:r w:rsidR="009D21AD" w:rsidRPr="00A3088E">
        <w:rPr>
          <w:i/>
          <w:iCs/>
          <w:szCs w:val="22"/>
          <w:lang w:val="sr-Latn-ME"/>
        </w:rPr>
        <w:t>dolescenti uzrasta od 12 – 18 godina</w:t>
      </w:r>
      <w:r w:rsidR="009D21AD" w:rsidRPr="00A3088E">
        <w:rPr>
          <w:szCs w:val="22"/>
          <w:lang w:val="sr-Latn-ME"/>
        </w:rPr>
        <w:t>:</w:t>
      </w:r>
      <w:r w:rsidR="009D21AD" w:rsidRPr="00A3088E">
        <w:rPr>
          <w:b/>
          <w:szCs w:val="22"/>
          <w:lang w:val="sr-Latn-ME"/>
        </w:rPr>
        <w:t xml:space="preserve"> </w:t>
      </w:r>
      <w:r w:rsidR="009D21AD" w:rsidRPr="00A3088E">
        <w:rPr>
          <w:szCs w:val="22"/>
          <w:lang w:val="sr-Latn-ME"/>
        </w:rPr>
        <w:t>1 kapsula sa dovoljnom količinom vode do 3 puta na dan, ukoliko je neophodno.</w:t>
      </w:r>
    </w:p>
    <w:p w14:paraId="5114765B" w14:textId="65CEA2FC" w:rsidR="009D21AD" w:rsidRPr="00A3088E" w:rsidRDefault="009D21AD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F066ECF" w14:textId="762ED290" w:rsidR="009D21AD" w:rsidRPr="00A3088E" w:rsidRDefault="009D21AD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i/>
          <w:szCs w:val="22"/>
          <w:lang w:val="sr-Latn-ME"/>
        </w:rPr>
        <w:t>Odrasli:</w:t>
      </w:r>
      <w:r w:rsidRPr="00A3088E">
        <w:rPr>
          <w:b/>
          <w:szCs w:val="22"/>
          <w:lang w:val="sr-Latn-ME"/>
        </w:rPr>
        <w:t xml:space="preserve"> </w:t>
      </w:r>
      <w:r w:rsidRPr="00A3088E">
        <w:rPr>
          <w:szCs w:val="22"/>
          <w:lang w:val="sr-Latn-ME"/>
        </w:rPr>
        <w:t xml:space="preserve">1 kapsula sa dovoljnom količinom vode do 3 puta na dan, ukoliko je neophodno. </w:t>
      </w:r>
    </w:p>
    <w:p w14:paraId="434F9AE7" w14:textId="7704D81F" w:rsidR="009D21AD" w:rsidRPr="00A3088E" w:rsidRDefault="009D21AD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Period između uzimanja dv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 doze treba da je najmanje 4 sata. </w:t>
      </w:r>
    </w:p>
    <w:p w14:paraId="4E5EE9E0" w14:textId="3BC63F7D" w:rsidR="009D21AD" w:rsidRPr="00A3088E" w:rsidRDefault="009D21AD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Ne treba uzimati više od 3 kapsule tokom perioda od 24 sata.</w:t>
      </w:r>
    </w:p>
    <w:p w14:paraId="78EC3A0C" w14:textId="4A89C93D" w:rsidR="009D21AD" w:rsidRPr="00A3088E" w:rsidRDefault="00105866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lastRenderedPageBreak/>
        <w:t>Kapsule ne žvakati. Pacijentima sa os</w:t>
      </w:r>
      <w:r w:rsidR="001E5CF6" w:rsidRPr="00A3088E">
        <w:rPr>
          <w:szCs w:val="22"/>
          <w:lang w:val="sr-Latn-ME"/>
        </w:rPr>
        <w:t>je</w:t>
      </w:r>
      <w:r w:rsidRPr="00A3088E">
        <w:rPr>
          <w:szCs w:val="22"/>
          <w:lang w:val="sr-Latn-ME"/>
        </w:rPr>
        <w:t>tljivim želucem se preporučuje da uzimaju l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 sa hranom.</w:t>
      </w:r>
    </w:p>
    <w:p w14:paraId="6CD9CF2F" w14:textId="77777777" w:rsidR="00105866" w:rsidRPr="00A3088E" w:rsidRDefault="00105866" w:rsidP="005949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D3F75C2" w14:textId="77777777" w:rsidR="00CE09F3" w:rsidRPr="00A3088E" w:rsidRDefault="00CE09F3" w:rsidP="00F8238F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4.3. Kontraindikacije</w:t>
      </w:r>
    </w:p>
    <w:p w14:paraId="5D3F75C3" w14:textId="77777777" w:rsidR="00CE09F3" w:rsidRPr="00A3088E" w:rsidRDefault="00CE09F3">
      <w:pPr>
        <w:rPr>
          <w:szCs w:val="22"/>
          <w:lang w:val="sr-Latn-ME"/>
        </w:rPr>
      </w:pPr>
    </w:p>
    <w:p w14:paraId="2B76F45B" w14:textId="51C15323" w:rsidR="001A0D75" w:rsidRPr="00A3088E" w:rsidRDefault="001A0D75" w:rsidP="0059494C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Preos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etljivost na aktivnu supstancu ili na bilo koju pomoćnu s</w:t>
      </w:r>
      <w:r w:rsidR="00B73453" w:rsidRPr="00A3088E">
        <w:rPr>
          <w:rFonts w:eastAsia="TimesNewRoman"/>
          <w:szCs w:val="22"/>
          <w:lang w:val="sr-Latn-ME"/>
        </w:rPr>
        <w:t xml:space="preserve">upstancu navedenu u </w:t>
      </w:r>
      <w:r w:rsidR="001E5CF6" w:rsidRPr="00A3088E">
        <w:rPr>
          <w:rFonts w:eastAsia="TimesNewRoman"/>
          <w:szCs w:val="22"/>
          <w:lang w:val="sr-Latn-ME"/>
        </w:rPr>
        <w:t xml:space="preserve">dijelu </w:t>
      </w:r>
      <w:r w:rsidR="00B73453" w:rsidRPr="00A3088E">
        <w:rPr>
          <w:rFonts w:eastAsia="TimesNewRoman"/>
          <w:szCs w:val="22"/>
          <w:lang w:val="sr-Latn-ME"/>
        </w:rPr>
        <w:t>6.1</w:t>
      </w:r>
      <w:r w:rsidR="00376BA3" w:rsidRPr="00A3088E">
        <w:rPr>
          <w:rFonts w:eastAsia="TimesNewRoman"/>
          <w:szCs w:val="22"/>
          <w:lang w:val="sr-Latn-ME"/>
        </w:rPr>
        <w:t>;</w:t>
      </w:r>
    </w:p>
    <w:p w14:paraId="7313CC81" w14:textId="55E8BC5C" w:rsidR="001A0D75" w:rsidRPr="00A3088E" w:rsidRDefault="001A0D75" w:rsidP="00F8238F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szCs w:val="22"/>
          <w:lang w:val="sr-Latn-ME"/>
        </w:rPr>
        <w:t>Pacijenti koji su prethodno imali reakciju preos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etljivosti (npr. astma, rinitis, angioedem ili urtikarija) na a</w:t>
      </w:r>
      <w:r w:rsidR="000168D8" w:rsidRPr="00A3088E">
        <w:rPr>
          <w:szCs w:val="22"/>
          <w:lang w:val="sr-Latn-ME"/>
        </w:rPr>
        <w:t>c</w:t>
      </w:r>
      <w:r w:rsidRPr="00A3088E">
        <w:rPr>
          <w:szCs w:val="22"/>
          <w:lang w:val="sr-Latn-ME"/>
        </w:rPr>
        <w:t>etilsalicilnu kiselinu ili drugi l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 iz grupe nesteroidnih antiinflamatornih l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ekova (NSAIL)</w:t>
      </w:r>
      <w:r w:rsidR="00376BA3" w:rsidRPr="00A3088E">
        <w:rPr>
          <w:szCs w:val="22"/>
          <w:lang w:val="sr-Latn-ME"/>
        </w:rPr>
        <w:t>;</w:t>
      </w:r>
    </w:p>
    <w:p w14:paraId="30EDE495" w14:textId="75382F95" w:rsidR="001A0D75" w:rsidRPr="00A3088E" w:rsidRDefault="001A0D75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Aktivni ili u istoriji bolesti poznati rekurentni peptički ulkus/hemoragija (dv</w:t>
      </w:r>
      <w:r w:rsidR="001E5CF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 ili više izdvojene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</w:p>
    <w:p w14:paraId="3166E678" w14:textId="36240897" w:rsidR="001A0D75" w:rsidRPr="00A3088E" w:rsidRDefault="001A0D75" w:rsidP="0059494C">
      <w:pPr>
        <w:pStyle w:val="ListParagraph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epizode sa dokazanom ulceracijom ili krvarenjem ili drugi</w:t>
      </w:r>
      <w:r w:rsidR="00625D26" w:rsidRPr="00A3088E">
        <w:rPr>
          <w:rFonts w:eastAsia="TimesNewRoman"/>
          <w:szCs w:val="22"/>
          <w:lang w:val="sr-Latn-ME"/>
        </w:rPr>
        <w:t>m</w:t>
      </w:r>
      <w:r w:rsidRPr="00A3088E">
        <w:rPr>
          <w:rFonts w:eastAsia="TimesNewRoman"/>
          <w:szCs w:val="22"/>
          <w:lang w:val="sr-Latn-ME"/>
        </w:rPr>
        <w:t xml:space="preserve"> gastrointestinalni</w:t>
      </w:r>
      <w:r w:rsidR="00625D26" w:rsidRPr="00A3088E">
        <w:rPr>
          <w:rFonts w:eastAsia="TimesNewRoman"/>
          <w:szCs w:val="22"/>
          <w:lang w:val="sr-Latn-ME"/>
        </w:rPr>
        <w:t>m</w:t>
      </w:r>
      <w:r w:rsidRPr="00A3088E">
        <w:rPr>
          <w:rFonts w:eastAsia="TimesNewRoman"/>
          <w:szCs w:val="22"/>
          <w:lang w:val="sr-Latn-ME"/>
        </w:rPr>
        <w:t xml:space="preserve"> poremećaj</w:t>
      </w:r>
      <w:r w:rsidR="00625D26" w:rsidRPr="00A3088E">
        <w:rPr>
          <w:rFonts w:eastAsia="TimesNewRoman"/>
          <w:szCs w:val="22"/>
          <w:lang w:val="sr-Latn-ME"/>
        </w:rPr>
        <w:t>im</w:t>
      </w:r>
      <w:r w:rsidRPr="00A3088E">
        <w:rPr>
          <w:rFonts w:eastAsia="TimesNewRoman"/>
          <w:szCs w:val="22"/>
          <w:lang w:val="sr-Latn-ME"/>
        </w:rPr>
        <w:t>a)</w:t>
      </w:r>
      <w:r w:rsidR="00376BA3" w:rsidRPr="00A3088E">
        <w:rPr>
          <w:rFonts w:eastAsia="TimesNewRoman"/>
          <w:szCs w:val="22"/>
          <w:lang w:val="sr-Latn-ME"/>
        </w:rPr>
        <w:t>;</w:t>
      </w:r>
    </w:p>
    <w:p w14:paraId="5F94F6AD" w14:textId="0D81D9D5" w:rsidR="001A0D75" w:rsidRPr="00A3088E" w:rsidRDefault="001A0D75" w:rsidP="0059494C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Prethodno gastrointestinalno krvarenje ili perforacija u vezi sa prethodnom terapijom NSAIL</w:t>
      </w:r>
      <w:r w:rsidR="00376BA3" w:rsidRPr="00A3088E">
        <w:rPr>
          <w:rFonts w:eastAsia="TimesNewRoman"/>
          <w:szCs w:val="22"/>
          <w:lang w:val="sr-Latn-ME"/>
        </w:rPr>
        <w:t>;</w:t>
      </w:r>
    </w:p>
    <w:p w14:paraId="0436C192" w14:textId="761B1CF7" w:rsidR="001A0D75" w:rsidRPr="00A3088E" w:rsidRDefault="001A0D75" w:rsidP="0059494C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Teška srčana insuficijencija (NYHA IV), teško oštećenje funkcije jetre ili bubrega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4.4)</w:t>
      </w:r>
      <w:r w:rsidR="00376BA3" w:rsidRPr="00A3088E">
        <w:rPr>
          <w:rFonts w:eastAsia="TimesNewRoman"/>
          <w:szCs w:val="22"/>
          <w:lang w:val="sr-Latn-ME"/>
        </w:rPr>
        <w:t>;</w:t>
      </w:r>
    </w:p>
    <w:p w14:paraId="343E32C8" w14:textId="05F48D8F" w:rsidR="001A0D75" w:rsidRPr="00A3088E" w:rsidRDefault="001A0D75" w:rsidP="0059494C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Posl</w:t>
      </w:r>
      <w:r w:rsid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ednji trimestar trudnoće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4.6).</w:t>
      </w:r>
    </w:p>
    <w:p w14:paraId="79388491" w14:textId="141F6DF1" w:rsidR="001A0D75" w:rsidRPr="00A3088E" w:rsidRDefault="001A0D75" w:rsidP="00F8238F">
      <w:pPr>
        <w:rPr>
          <w:szCs w:val="22"/>
          <w:lang w:val="sr-Latn-ME"/>
        </w:rPr>
      </w:pPr>
    </w:p>
    <w:p w14:paraId="5D3F75C5" w14:textId="71E270ED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4.4. Posebna upozorenja i m</w:t>
      </w:r>
      <w:r w:rsidR="00F73033" w:rsidRPr="00A3088E">
        <w:rPr>
          <w:b/>
          <w:bCs/>
          <w:szCs w:val="22"/>
          <w:lang w:val="sr-Latn-ME"/>
        </w:rPr>
        <w:t>j</w:t>
      </w:r>
      <w:r w:rsidRPr="00A3088E">
        <w:rPr>
          <w:b/>
          <w:bCs/>
          <w:szCs w:val="22"/>
          <w:lang w:val="sr-Latn-ME"/>
        </w:rPr>
        <w:t>ere opreza pri upotrebi l</w:t>
      </w:r>
      <w:r w:rsidR="00F73033" w:rsidRPr="00A3088E">
        <w:rPr>
          <w:b/>
          <w:bCs/>
          <w:szCs w:val="22"/>
          <w:lang w:val="sr-Latn-ME"/>
        </w:rPr>
        <w:t>ij</w:t>
      </w:r>
      <w:r w:rsidRPr="00A3088E">
        <w:rPr>
          <w:b/>
          <w:bCs/>
          <w:szCs w:val="22"/>
          <w:lang w:val="sr-Latn-ME"/>
        </w:rPr>
        <w:t>eka</w:t>
      </w:r>
    </w:p>
    <w:p w14:paraId="5D3F75C6" w14:textId="77777777" w:rsidR="00CE09F3" w:rsidRPr="00A3088E" w:rsidRDefault="00CE09F3">
      <w:pPr>
        <w:rPr>
          <w:szCs w:val="22"/>
          <w:lang w:val="sr-Latn-ME"/>
        </w:rPr>
      </w:pPr>
    </w:p>
    <w:p w14:paraId="5A0CE355" w14:textId="6CBD07EA" w:rsidR="00B36AEE" w:rsidRPr="00A3088E" w:rsidRDefault="00B36AEE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Pojava neželjenih dejstava može se smanjiti prim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enom najmanje efektivne doze l</w:t>
      </w:r>
      <w:r w:rsidR="001E5CF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eka tokom što kraćeg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vremenskog perioda potrebnog za ublažavanje simptoma (vid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eti gastrointestinalne 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kardiovaskularne rizike navedene u nastavku teksta).</w:t>
      </w:r>
    </w:p>
    <w:p w14:paraId="502E9ECE" w14:textId="77777777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6B178D8" w14:textId="2AE582D0" w:rsidR="00B36AEE" w:rsidRPr="00A3088E" w:rsidRDefault="00B36AEE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Kod starijih pacijenata se češće javljaju neželjene reakcije na nesteroidne antiinflamatorne l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ekove, naročito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gastrointestinalno krvarenje i p</w:t>
      </w:r>
      <w:r w:rsidR="00B73453" w:rsidRPr="00A3088E">
        <w:rPr>
          <w:rFonts w:eastAsia="TimesNewRoman"/>
          <w:szCs w:val="22"/>
          <w:lang w:val="sr-Latn-ME"/>
        </w:rPr>
        <w:t>erforacije, koji mogu imati smrtni</w:t>
      </w:r>
      <w:r w:rsidRPr="00A3088E">
        <w:rPr>
          <w:rFonts w:eastAsia="TimesNewRoman"/>
          <w:szCs w:val="22"/>
          <w:lang w:val="sr-Latn-ME"/>
        </w:rPr>
        <w:t xml:space="preserve"> ishod</w:t>
      </w:r>
      <w:r w:rsidR="00B73453" w:rsidRPr="00A3088E">
        <w:rPr>
          <w:rFonts w:eastAsia="TimesNewRoman"/>
          <w:szCs w:val="22"/>
          <w:lang w:val="sr-Latn-ME"/>
        </w:rPr>
        <w:t>.</w:t>
      </w:r>
    </w:p>
    <w:p w14:paraId="621AAC79" w14:textId="77777777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55192C51" w14:textId="3DB4AC60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Respiratorni poremećaji</w:t>
      </w:r>
    </w:p>
    <w:p w14:paraId="5745AF0C" w14:textId="17A5292F" w:rsidR="00B36AEE" w:rsidRPr="00A3088E" w:rsidRDefault="00B36AEE" w:rsidP="00F8238F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A3088E">
        <w:rPr>
          <w:iCs/>
          <w:szCs w:val="22"/>
          <w:lang w:val="sr-Latn-ME"/>
        </w:rPr>
        <w:t>Kod pacijenata koji imaju bronhijalnu astmu ili alergijsko oboljenje, akutno ili anamnestički, može doći do pojave bronhospazma.</w:t>
      </w:r>
    </w:p>
    <w:p w14:paraId="765681BB" w14:textId="77777777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5E54E137" w14:textId="028A33B7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Drugi NSAIL</w:t>
      </w:r>
    </w:p>
    <w:p w14:paraId="0AEEB4E5" w14:textId="792743EA" w:rsidR="00B36AEE" w:rsidRPr="00A3088E" w:rsidRDefault="00B36AEE" w:rsidP="00F8238F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A3088E">
        <w:rPr>
          <w:iCs/>
          <w:szCs w:val="22"/>
          <w:lang w:val="sr-Latn-ME"/>
        </w:rPr>
        <w:t>Treba izb</w:t>
      </w:r>
      <w:r w:rsidR="001E5CF6" w:rsidRPr="00A3088E">
        <w:rPr>
          <w:iCs/>
          <w:szCs w:val="22"/>
          <w:lang w:val="sr-Latn-ME"/>
        </w:rPr>
        <w:t>j</w:t>
      </w:r>
      <w:r w:rsidRPr="00A3088E">
        <w:rPr>
          <w:iCs/>
          <w:szCs w:val="22"/>
          <w:lang w:val="sr-Latn-ME"/>
        </w:rPr>
        <w:t>egavati istovremenu prim</w:t>
      </w:r>
      <w:r w:rsidR="001E5CF6" w:rsidRPr="00A3088E">
        <w:rPr>
          <w:iCs/>
          <w:szCs w:val="22"/>
          <w:lang w:val="sr-Latn-ME"/>
        </w:rPr>
        <w:t>j</w:t>
      </w:r>
      <w:r w:rsidRPr="00A3088E">
        <w:rPr>
          <w:iCs/>
          <w:szCs w:val="22"/>
          <w:lang w:val="sr-Latn-ME"/>
        </w:rPr>
        <w:t>enu ibuprofena i l</w:t>
      </w:r>
      <w:r w:rsidR="001E5CF6" w:rsidRPr="00A3088E">
        <w:rPr>
          <w:iCs/>
          <w:szCs w:val="22"/>
          <w:lang w:val="sr-Latn-ME"/>
        </w:rPr>
        <w:t>j</w:t>
      </w:r>
      <w:r w:rsidRPr="00A3088E">
        <w:rPr>
          <w:iCs/>
          <w:szCs w:val="22"/>
          <w:lang w:val="sr-Latn-ME"/>
        </w:rPr>
        <w:t>ekova iz grupe NSAIL uključujući selektivne COX-2 inhibitore (</w:t>
      </w:r>
      <w:r w:rsidR="001E5CF6" w:rsidRPr="00A3088E">
        <w:rPr>
          <w:iCs/>
          <w:szCs w:val="22"/>
          <w:lang w:val="sr-Latn-ME"/>
        </w:rPr>
        <w:t xml:space="preserve">pogledati dio </w:t>
      </w:r>
      <w:r w:rsidRPr="00A3088E">
        <w:rPr>
          <w:iCs/>
          <w:szCs w:val="22"/>
          <w:lang w:val="sr-Latn-ME"/>
        </w:rPr>
        <w:t>4.5).</w:t>
      </w:r>
    </w:p>
    <w:p w14:paraId="10A1C80C" w14:textId="77777777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5A0C5A8F" w14:textId="72655EB1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Sistemski eritemato</w:t>
      </w:r>
      <w:r w:rsidR="00F61E11" w:rsidRPr="00A3088E">
        <w:rPr>
          <w:i/>
          <w:iCs/>
          <w:szCs w:val="22"/>
          <w:lang w:val="sr-Latn-ME"/>
        </w:rPr>
        <w:t>z</w:t>
      </w:r>
      <w:r w:rsidRPr="00A3088E">
        <w:rPr>
          <w:i/>
          <w:iCs/>
          <w:szCs w:val="22"/>
          <w:lang w:val="sr-Latn-ME"/>
        </w:rPr>
        <w:t>ni lupus (SLE) i m</w:t>
      </w:r>
      <w:r w:rsidR="001E5CF6" w:rsidRPr="00A3088E">
        <w:rPr>
          <w:i/>
          <w:iCs/>
          <w:szCs w:val="22"/>
          <w:lang w:val="sr-Latn-ME"/>
        </w:rPr>
        <w:t>j</w:t>
      </w:r>
      <w:r w:rsidRPr="00A3088E">
        <w:rPr>
          <w:i/>
          <w:iCs/>
          <w:szCs w:val="22"/>
          <w:lang w:val="sr-Latn-ME"/>
        </w:rPr>
        <w:t>ešovita bolest vezivnog tkiva</w:t>
      </w:r>
    </w:p>
    <w:p w14:paraId="7E33B0E7" w14:textId="51593B6B" w:rsidR="00B36AEE" w:rsidRPr="00A3088E" w:rsidRDefault="00B36AEE" w:rsidP="00F8238F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lang w:val="sr-Latn-ME"/>
        </w:rPr>
      </w:pPr>
      <w:r w:rsidRPr="00A3088E">
        <w:rPr>
          <w:iCs/>
          <w:szCs w:val="22"/>
          <w:lang w:val="sr-Latn-ME"/>
        </w:rPr>
        <w:t>Kod pacijenata koji boluju od navedenih bolesti</w:t>
      </w:r>
      <w:r w:rsidR="00980B40" w:rsidRPr="00A3088E">
        <w:rPr>
          <w:iCs/>
          <w:szCs w:val="22"/>
          <w:lang w:val="sr-Latn-ME"/>
        </w:rPr>
        <w:t xml:space="preserve"> je povećan rizik od pojave aseptičnog meningitisa (</w:t>
      </w:r>
      <w:r w:rsidR="001E5CF6" w:rsidRPr="00A3088E">
        <w:rPr>
          <w:iCs/>
          <w:szCs w:val="22"/>
          <w:lang w:val="sr-Latn-ME"/>
        </w:rPr>
        <w:t xml:space="preserve">pogledati dio </w:t>
      </w:r>
      <w:r w:rsidR="00980B40" w:rsidRPr="00A3088E">
        <w:rPr>
          <w:iCs/>
          <w:szCs w:val="22"/>
          <w:lang w:val="sr-Latn-ME"/>
        </w:rPr>
        <w:t>4.8).</w:t>
      </w:r>
    </w:p>
    <w:p w14:paraId="256F7FE7" w14:textId="77777777" w:rsidR="00B36AEE" w:rsidRPr="00A3088E" w:rsidRDefault="00B36AEE" w:rsidP="00EE38C3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6BE4E46A" w14:textId="138A6D59" w:rsidR="00980B40" w:rsidRPr="00A3088E" w:rsidRDefault="00980B40" w:rsidP="00EE38C3">
      <w:pPr>
        <w:tabs>
          <w:tab w:val="clear" w:pos="284"/>
        </w:tabs>
        <w:autoSpaceDE w:val="0"/>
        <w:autoSpaceDN w:val="0"/>
        <w:adjustRightInd w:val="0"/>
        <w:rPr>
          <w:bCs/>
          <w:i/>
          <w:iCs/>
          <w:szCs w:val="22"/>
          <w:lang w:val="sr-Latn-ME"/>
        </w:rPr>
      </w:pPr>
      <w:r w:rsidRPr="00A3088E">
        <w:rPr>
          <w:bCs/>
          <w:i/>
          <w:iCs/>
          <w:szCs w:val="22"/>
          <w:lang w:val="sr-Latn-ME"/>
        </w:rPr>
        <w:t>Dejstvo na bubrege</w:t>
      </w:r>
    </w:p>
    <w:p w14:paraId="12C1C2BB" w14:textId="47F1F2A1" w:rsidR="00980B40" w:rsidRPr="00A3088E" w:rsidRDefault="00376BA3" w:rsidP="00F8238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Potreban je oprez kod pacijenata sa oštećenjem funkcije bubrega, jer se funkcija bubrega može pogoršati (</w:t>
      </w:r>
      <w:r w:rsidR="001E5CF6" w:rsidRPr="00A3088E">
        <w:rPr>
          <w:szCs w:val="22"/>
          <w:lang w:val="sr-Latn-ME"/>
        </w:rPr>
        <w:t xml:space="preserve">pogledati djelove </w:t>
      </w:r>
      <w:r w:rsidRPr="00A3088E">
        <w:rPr>
          <w:szCs w:val="22"/>
          <w:lang w:val="sr-Latn-ME"/>
        </w:rPr>
        <w:t>4.3 i 4.8). Postoji rizik od oštećenja funkcije bubrega kod d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ece i adolescenata koji su dehidrirali.</w:t>
      </w:r>
      <w:r w:rsidR="003459C7" w:rsidRPr="00A3088E">
        <w:rPr>
          <w:szCs w:val="22"/>
          <w:lang w:val="sr-Latn-ME"/>
        </w:rPr>
        <w:t xml:space="preserve"> </w:t>
      </w:r>
      <w:r w:rsidRPr="00A3088E">
        <w:rPr>
          <w:szCs w:val="22"/>
          <w:lang w:val="sr-Latn-ME"/>
        </w:rPr>
        <w:t>Renalna tubularna acidoza i hipokalemija mogu da se jave nakon akutnog predoziranja i kod pacijenata koji su koristili velike doze ibuprofena tokom dužeg vremenskog perioda (duže od 4 ned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 xml:space="preserve">elje), uključujući doze koje </w:t>
      </w:r>
      <w:r w:rsidR="007F7B09" w:rsidRPr="00A3088E">
        <w:rPr>
          <w:szCs w:val="22"/>
          <w:lang w:val="sr-Latn-ME"/>
        </w:rPr>
        <w:t xml:space="preserve">su veće od </w:t>
      </w:r>
      <w:r w:rsidRPr="00A3088E">
        <w:rPr>
          <w:szCs w:val="22"/>
          <w:lang w:val="sr-Latn-ME"/>
        </w:rPr>
        <w:t>preporučen</w:t>
      </w:r>
      <w:r w:rsidR="007F7B09" w:rsidRPr="00A3088E">
        <w:rPr>
          <w:szCs w:val="22"/>
          <w:lang w:val="sr-Latn-ME"/>
        </w:rPr>
        <w:t>ih</w:t>
      </w:r>
      <w:r w:rsidRPr="00A3088E">
        <w:rPr>
          <w:szCs w:val="22"/>
          <w:lang w:val="sr-Latn-ME"/>
        </w:rPr>
        <w:t xml:space="preserve"> dnevn</w:t>
      </w:r>
      <w:r w:rsidR="007F7B09" w:rsidRPr="00A3088E">
        <w:rPr>
          <w:szCs w:val="22"/>
          <w:lang w:val="sr-Latn-ME"/>
        </w:rPr>
        <w:t>ih</w:t>
      </w:r>
      <w:r w:rsidRPr="00A3088E">
        <w:rPr>
          <w:szCs w:val="22"/>
          <w:lang w:val="sr-Latn-ME"/>
        </w:rPr>
        <w:t xml:space="preserve"> doz</w:t>
      </w:r>
      <w:r w:rsidR="007F7B09" w:rsidRPr="00A3088E">
        <w:rPr>
          <w:szCs w:val="22"/>
          <w:lang w:val="sr-Latn-ME"/>
        </w:rPr>
        <w:t>a</w:t>
      </w:r>
      <w:r w:rsidRPr="00A3088E">
        <w:rPr>
          <w:szCs w:val="22"/>
          <w:lang w:val="sr-Latn-ME"/>
        </w:rPr>
        <w:t>.</w:t>
      </w:r>
    </w:p>
    <w:p w14:paraId="1A275CE4" w14:textId="77777777" w:rsidR="00376BA3" w:rsidRPr="00A3088E" w:rsidRDefault="00376BA3" w:rsidP="00F8238F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szCs w:val="22"/>
          <w:lang w:val="sr-Latn-ME"/>
        </w:rPr>
      </w:pPr>
    </w:p>
    <w:p w14:paraId="5A7080E9" w14:textId="69E75B0C" w:rsidR="00980B40" w:rsidRPr="00A3088E" w:rsidRDefault="00980B40" w:rsidP="00655630">
      <w:pPr>
        <w:tabs>
          <w:tab w:val="clear" w:pos="284"/>
        </w:tabs>
        <w:autoSpaceDE w:val="0"/>
        <w:autoSpaceDN w:val="0"/>
        <w:adjustRightInd w:val="0"/>
        <w:rPr>
          <w:bCs/>
          <w:i/>
          <w:iCs/>
          <w:szCs w:val="22"/>
          <w:lang w:val="sr-Latn-ME"/>
        </w:rPr>
      </w:pPr>
      <w:r w:rsidRPr="00A3088E">
        <w:rPr>
          <w:bCs/>
          <w:i/>
          <w:iCs/>
          <w:szCs w:val="22"/>
          <w:lang w:val="sr-Latn-ME"/>
        </w:rPr>
        <w:t>Dejstvo na jetru</w:t>
      </w:r>
    </w:p>
    <w:p w14:paraId="52E6B281" w14:textId="0C0F746B" w:rsidR="00980B40" w:rsidRPr="00A3088E" w:rsidRDefault="00A7632B" w:rsidP="0065563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szCs w:val="22"/>
          <w:lang w:val="sr-Latn-ME"/>
        </w:rPr>
        <w:t xml:space="preserve">Potreban je oprez kod pacijenata sa </w:t>
      </w:r>
      <w:r w:rsidRPr="00A3088E">
        <w:rPr>
          <w:rFonts w:eastAsia="TimesNewRoman"/>
          <w:szCs w:val="22"/>
          <w:lang w:val="sr-Latn-ME"/>
        </w:rPr>
        <w:t>o</w:t>
      </w:r>
      <w:r w:rsidR="00980B40" w:rsidRPr="00A3088E">
        <w:rPr>
          <w:rFonts w:eastAsia="TimesNewRoman"/>
          <w:szCs w:val="22"/>
          <w:lang w:val="sr-Latn-ME"/>
        </w:rPr>
        <w:t>štećenje</w:t>
      </w:r>
      <w:r w:rsidRPr="00A3088E">
        <w:rPr>
          <w:rFonts w:eastAsia="TimesNewRoman"/>
          <w:szCs w:val="22"/>
          <w:lang w:val="sr-Latn-ME"/>
        </w:rPr>
        <w:t>m</w:t>
      </w:r>
      <w:r w:rsidR="00980B40" w:rsidRPr="00A3088E">
        <w:rPr>
          <w:rFonts w:eastAsia="TimesNewRoman"/>
          <w:szCs w:val="22"/>
          <w:lang w:val="sr-Latn-ME"/>
        </w:rPr>
        <w:t xml:space="preserve"> funkcije jetre (</w:t>
      </w:r>
      <w:r w:rsidR="001E5CF6" w:rsidRPr="00A3088E">
        <w:rPr>
          <w:rFonts w:eastAsia="TimesNewRoman"/>
          <w:szCs w:val="22"/>
          <w:lang w:val="sr-Latn-ME"/>
        </w:rPr>
        <w:t xml:space="preserve">pogledati djelove </w:t>
      </w:r>
      <w:r w:rsidR="00980B40" w:rsidRPr="00A3088E">
        <w:rPr>
          <w:rFonts w:eastAsia="TimesNewRoman"/>
          <w:szCs w:val="22"/>
          <w:lang w:val="sr-Latn-ME"/>
        </w:rPr>
        <w:t>4.3 i 4.8.)</w:t>
      </w:r>
    </w:p>
    <w:p w14:paraId="562A0AA6" w14:textId="13D7EB07" w:rsidR="00980B40" w:rsidRPr="00A3088E" w:rsidRDefault="00980B40" w:rsidP="00F8238F">
      <w:pPr>
        <w:rPr>
          <w:szCs w:val="22"/>
          <w:lang w:val="sr-Latn-ME"/>
        </w:rPr>
      </w:pPr>
    </w:p>
    <w:p w14:paraId="28B0D397" w14:textId="49516696" w:rsidR="00980B40" w:rsidRPr="00A3088E" w:rsidRDefault="00980B40" w:rsidP="00655630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A3088E">
        <w:rPr>
          <w:i/>
          <w:szCs w:val="22"/>
          <w:lang w:val="sr-Latn-ME"/>
        </w:rPr>
        <w:t>Kardiovaskularna i cerebrovaskularna dejstva</w:t>
      </w:r>
    </w:p>
    <w:p w14:paraId="14B26BFC" w14:textId="02C14680" w:rsidR="00980B40" w:rsidRPr="00A3088E" w:rsidRDefault="00980B40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Potreban je oprez pr</w:t>
      </w:r>
      <w:r w:rsidR="001E5CF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 xml:space="preserve">e započinjanja </w:t>
      </w:r>
      <w:r w:rsidR="00A738E0" w:rsidRPr="00A3088E">
        <w:rPr>
          <w:rFonts w:eastAsia="TimesNewRoman"/>
          <w:szCs w:val="22"/>
          <w:lang w:val="sr-Latn-ME"/>
        </w:rPr>
        <w:t xml:space="preserve">terapije </w:t>
      </w:r>
      <w:r w:rsidRPr="00A3088E">
        <w:rPr>
          <w:rFonts w:eastAsia="TimesNewRoman"/>
          <w:szCs w:val="22"/>
          <w:lang w:val="sr-Latn-ME"/>
        </w:rPr>
        <w:t>kod pacijenata sa istorijom povišenog krvnog pritiska i/ili srčane insuficijencije, pošto su zadržavanje tečnosti, povišeni krvni pritisak i otok prijavljeni u vezi sa NSAIL terapijom.</w:t>
      </w:r>
    </w:p>
    <w:p w14:paraId="2EB7E38C" w14:textId="77777777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AE75C9F" w14:textId="08A45A25" w:rsidR="00980B40" w:rsidRPr="00A3088E" w:rsidRDefault="00980B4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Kliničke studije ukazuju da </w:t>
      </w:r>
      <w:r w:rsidR="00CA7A31" w:rsidRPr="00A3088E">
        <w:rPr>
          <w:rFonts w:eastAsia="TimesNewRoman"/>
          <w:szCs w:val="22"/>
          <w:lang w:val="sr-Latn-ME"/>
        </w:rPr>
        <w:t>primjena</w:t>
      </w:r>
      <w:r w:rsidRPr="00A3088E">
        <w:rPr>
          <w:rFonts w:eastAsia="TimesNewRoman"/>
          <w:szCs w:val="22"/>
          <w:lang w:val="sr-Latn-ME"/>
        </w:rPr>
        <w:t xml:space="preserve"> ibuprofena, naročito u velikim dozama (2400 mg dnevno), može biti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povezana sa malim povećanjem rizika od arterijskih trombotičkih događaja, (na prim</w:t>
      </w:r>
      <w:r w:rsidR="00D73F8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er, infarkt miokarda ili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moždani udar). Generalno, epidemiološke studije ne ukazuju da je prim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ena malih doza ibuprofena (npr. ≤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1200 mg dnevno) u vezi sa povećanim rizikom od arterijskih trombotičkih događaja.</w:t>
      </w:r>
    </w:p>
    <w:p w14:paraId="5A1F6E4C" w14:textId="6BA78937" w:rsidR="00980B40" w:rsidRPr="00A3088E" w:rsidRDefault="00980B4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Pacijente sa nekontrolisanom hipertenzijom, kongestivnom srčanom insuficijencijom (NYHA II-III),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dijagnostifikovanom ishemijskom bolesti srca, perifernom arterijskom bolesti i/ili cerebrovaskularnom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bolesti </w:t>
      </w:r>
      <w:r w:rsidRPr="00A3088E">
        <w:rPr>
          <w:rFonts w:eastAsia="TimesNewRoman"/>
          <w:szCs w:val="22"/>
          <w:lang w:val="sr-Latn-ME"/>
        </w:rPr>
        <w:lastRenderedPageBreak/>
        <w:t>treba l</w:t>
      </w:r>
      <w:r w:rsidR="001E5CF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ečiti ibuprofenom tek nakon pažljivog razmatranja i proc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ene, a velike doze (2400 mg na dan)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treba da se izb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egavaju.</w:t>
      </w:r>
    </w:p>
    <w:p w14:paraId="0A5AFC8B" w14:textId="7B1A2D6C" w:rsidR="00980B40" w:rsidRPr="00A3088E" w:rsidRDefault="00980B4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Treba pažljivo razmotriti i uvođenje dugotrajne terapije kod pacijenata sa faktorima rizika od nastanka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kardiovaskularnih bolesti (npr. hipertenzija, hiperlipidemija, dijabetes melitus, pušenje), naročito ako se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preporučuju velike doze ibuprofena (2400 mg na dan).</w:t>
      </w:r>
    </w:p>
    <w:p w14:paraId="284FD853" w14:textId="417F56A1" w:rsidR="00980B40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Prijavljeni su slučajevi </w:t>
      </w:r>
      <w:r w:rsidRPr="00A3088E">
        <w:rPr>
          <w:i/>
          <w:szCs w:val="22"/>
          <w:lang w:val="sr-Latn-ME"/>
        </w:rPr>
        <w:t>K</w:t>
      </w:r>
      <w:r w:rsidR="00C70BBD" w:rsidRPr="00A3088E">
        <w:rPr>
          <w:i/>
          <w:szCs w:val="22"/>
          <w:lang w:val="sr-Latn-ME"/>
        </w:rPr>
        <w:t>o</w:t>
      </w:r>
      <w:r w:rsidRPr="00A3088E">
        <w:rPr>
          <w:i/>
          <w:szCs w:val="22"/>
          <w:lang w:val="sr-Latn-ME"/>
        </w:rPr>
        <w:t>unis</w:t>
      </w:r>
      <w:r w:rsidR="00C70BBD" w:rsidRPr="00A3088E">
        <w:rPr>
          <w:szCs w:val="22"/>
          <w:lang w:val="sr-Latn-ME"/>
        </w:rPr>
        <w:t>-</w:t>
      </w:r>
      <w:r w:rsidRPr="00A3088E">
        <w:rPr>
          <w:szCs w:val="22"/>
          <w:lang w:val="sr-Latn-ME"/>
        </w:rPr>
        <w:t>ovog sindroma kod pacijenata l</w:t>
      </w:r>
      <w:r w:rsidR="001E5CF6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ečenih ibuprofenom. </w:t>
      </w:r>
      <w:r w:rsidRPr="00A3088E">
        <w:rPr>
          <w:i/>
          <w:szCs w:val="22"/>
          <w:lang w:val="sr-Latn-ME"/>
        </w:rPr>
        <w:t>K</w:t>
      </w:r>
      <w:r w:rsidR="00C70BBD" w:rsidRPr="00A3088E">
        <w:rPr>
          <w:i/>
          <w:szCs w:val="22"/>
          <w:lang w:val="sr-Latn-ME"/>
        </w:rPr>
        <w:t>o</w:t>
      </w:r>
      <w:r w:rsidRPr="00A3088E">
        <w:rPr>
          <w:i/>
          <w:szCs w:val="22"/>
          <w:lang w:val="sr-Latn-ME"/>
        </w:rPr>
        <w:t>unis</w:t>
      </w:r>
      <w:r w:rsidR="00C70BBD" w:rsidRPr="00A3088E">
        <w:rPr>
          <w:szCs w:val="22"/>
          <w:lang w:val="sr-Latn-ME"/>
        </w:rPr>
        <w:t>-</w:t>
      </w:r>
      <w:r w:rsidRPr="00A3088E">
        <w:rPr>
          <w:szCs w:val="22"/>
          <w:lang w:val="sr-Latn-ME"/>
        </w:rPr>
        <w:t>ov sindrom je definisan kao skup kardiovaskularnih simptoma koji su posl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edica alergijske reakcije ili reakcije preos</w:t>
      </w:r>
      <w:r w:rsidR="001E5CF6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etljivosti povezane sa suženjem koronarnih arterija, a koji potencijalno dovode do infarkta miokarda.</w:t>
      </w:r>
    </w:p>
    <w:p w14:paraId="2AFF6149" w14:textId="77777777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99E7B72" w14:textId="204DF913" w:rsidR="009453F0" w:rsidRPr="00A3088E" w:rsidRDefault="009453F0">
      <w:pPr>
        <w:tabs>
          <w:tab w:val="clear" w:pos="284"/>
        </w:tabs>
        <w:autoSpaceDE w:val="0"/>
        <w:autoSpaceDN w:val="0"/>
        <w:adjustRightInd w:val="0"/>
        <w:rPr>
          <w:bCs/>
          <w:i/>
          <w:iCs/>
          <w:szCs w:val="22"/>
          <w:lang w:val="sr-Latn-ME"/>
        </w:rPr>
      </w:pPr>
      <w:r w:rsidRPr="00A3088E">
        <w:rPr>
          <w:bCs/>
          <w:i/>
          <w:iCs/>
          <w:szCs w:val="22"/>
          <w:lang w:val="sr-Latn-ME"/>
        </w:rPr>
        <w:t>Uticaj na plodnost kod žena</w:t>
      </w:r>
    </w:p>
    <w:p w14:paraId="776875B0" w14:textId="0B6ADF3B" w:rsidR="009453F0" w:rsidRPr="00A3088E" w:rsidRDefault="009453F0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Postoje ograničeni dokazi da l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ekovi koji inhibiraju ciklooksigenazu/sintezu prostaglandina</w:t>
      </w:r>
      <w:r w:rsidR="00B7345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mogu </w:t>
      </w:r>
      <w:r w:rsidR="006F4277" w:rsidRPr="00A3088E">
        <w:rPr>
          <w:rFonts w:eastAsia="TimesNewRoman"/>
          <w:szCs w:val="22"/>
          <w:lang w:val="sr-Latn-ME"/>
        </w:rPr>
        <w:t>smanjiti</w:t>
      </w:r>
      <w:r w:rsidRPr="00A3088E">
        <w:rPr>
          <w:rFonts w:eastAsia="TimesNewRoman"/>
          <w:szCs w:val="22"/>
          <w:lang w:val="sr-Latn-ME"/>
        </w:rPr>
        <w:t xml:space="preserve"> plodnost kod žena, d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elovanjem na ovulaciju. Proces je reverzibilan nakon prekida terapije.</w:t>
      </w:r>
    </w:p>
    <w:p w14:paraId="455A38A2" w14:textId="30F74D97" w:rsidR="009453F0" w:rsidRPr="00A3088E" w:rsidRDefault="009453F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D449A2D" w14:textId="351CC768" w:rsidR="00F61E11" w:rsidRPr="00A3088E" w:rsidRDefault="00F61E11">
      <w:pPr>
        <w:tabs>
          <w:tab w:val="clear" w:pos="284"/>
        </w:tabs>
        <w:autoSpaceDE w:val="0"/>
        <w:autoSpaceDN w:val="0"/>
        <w:adjustRightInd w:val="0"/>
        <w:rPr>
          <w:bCs/>
          <w:i/>
          <w:iCs/>
          <w:szCs w:val="22"/>
          <w:lang w:val="sr-Latn-ME"/>
        </w:rPr>
      </w:pPr>
      <w:r w:rsidRPr="00A3088E">
        <w:rPr>
          <w:bCs/>
          <w:i/>
          <w:iCs/>
          <w:szCs w:val="22"/>
          <w:lang w:val="sr-Latn-ME"/>
        </w:rPr>
        <w:t xml:space="preserve">Gastrointestinalna (GI) dejstva </w:t>
      </w:r>
    </w:p>
    <w:p w14:paraId="1A685E91" w14:textId="1E028512" w:rsidR="00F61E11" w:rsidRPr="00A3088E" w:rsidRDefault="00F61E11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Oprez je potreban pri prim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eni NSAIL kod pacijenata koji u istoriji bolesti imaju gastrointestinalna oboljenja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="006F4277" w:rsidRPr="00A3088E">
        <w:rPr>
          <w:szCs w:val="22"/>
          <w:lang w:val="sr-Latn-ME"/>
        </w:rPr>
        <w:t xml:space="preserve">(npr. ulcerozni kolitis ili </w:t>
      </w:r>
      <w:r w:rsidR="006F4277" w:rsidRPr="00A3088E">
        <w:rPr>
          <w:i/>
          <w:szCs w:val="22"/>
          <w:lang w:val="sr-Latn-ME"/>
        </w:rPr>
        <w:t>Crohn</w:t>
      </w:r>
      <w:r w:rsidR="006F4277" w:rsidRPr="00A3088E">
        <w:rPr>
          <w:szCs w:val="22"/>
          <w:lang w:val="sr-Latn-ME"/>
        </w:rPr>
        <w:t xml:space="preserve">-ova bolest), jer može doći do pogoršanja ovih stanja </w:t>
      </w:r>
      <w:r w:rsidRPr="00A3088E">
        <w:rPr>
          <w:rFonts w:eastAsia="TimesNewRoman"/>
          <w:szCs w:val="22"/>
          <w:lang w:val="sr-Latn-ME"/>
        </w:rPr>
        <w:t>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4.8</w:t>
      </w:r>
      <w:r w:rsidRPr="00A3088E">
        <w:rPr>
          <w:szCs w:val="22"/>
          <w:lang w:val="sr-Latn-ME"/>
        </w:rPr>
        <w:t>)</w:t>
      </w:r>
      <w:r w:rsidRPr="00A3088E">
        <w:rPr>
          <w:i/>
          <w:iCs/>
          <w:szCs w:val="22"/>
          <w:lang w:val="sr-Latn-ME"/>
        </w:rPr>
        <w:t>.</w:t>
      </w:r>
    </w:p>
    <w:p w14:paraId="27A0BFA0" w14:textId="61B7C493" w:rsidR="00F61E11" w:rsidRPr="00A3088E" w:rsidRDefault="00F61E1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Gastrointestinalno krvarenje, ulceracije i</w:t>
      </w:r>
      <w:r w:rsidR="006F4277" w:rsidRPr="00A3088E">
        <w:rPr>
          <w:rFonts w:eastAsia="TimesNewRoman"/>
          <w:szCs w:val="22"/>
          <w:lang w:val="sr-Latn-ME"/>
        </w:rPr>
        <w:t>li</w:t>
      </w:r>
      <w:r w:rsidRPr="00A3088E">
        <w:rPr>
          <w:rFonts w:eastAsia="TimesNewRoman"/>
          <w:szCs w:val="22"/>
          <w:lang w:val="sr-Latn-ME"/>
        </w:rPr>
        <w:t xml:space="preserve"> perforacije, koji mogu imati fatalni ishod, mogu se javiti prilikom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prim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ene bilo kog NSAIL u bilo kom trenutku tokom terapije, sa ili bez upozoravajućih simptoma ili</w:t>
      </w:r>
      <w:r w:rsidR="00944B96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dokumentovanih ozbiljnih gastrointestinalnih poremećaja.</w:t>
      </w:r>
    </w:p>
    <w:p w14:paraId="4EBB82C7" w14:textId="366F4EEC" w:rsidR="00F61E11" w:rsidRPr="00A3088E" w:rsidRDefault="00F61E1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Rizik od nastanka gastrointestinalnog krvarenja, ulceracija ili perforacija je povećan kod prim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ene većih doza NSAIL, kod pacijenata sa dokumentovanim ulcerom, naročito ukoliko je praćen krvarenjem ili perforacijama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 xml:space="preserve">4.3) i kod starijih pacijenata. Ovi pacijenti trebalo bi da </w:t>
      </w:r>
      <w:r w:rsidR="006F4277" w:rsidRPr="00A3088E">
        <w:rPr>
          <w:rFonts w:eastAsia="TimesNewRoman"/>
          <w:szCs w:val="22"/>
          <w:lang w:val="sr-Latn-ME"/>
        </w:rPr>
        <w:t>za</w:t>
      </w:r>
      <w:r w:rsidRPr="00A3088E">
        <w:rPr>
          <w:rFonts w:eastAsia="TimesNewRoman"/>
          <w:szCs w:val="22"/>
          <w:lang w:val="sr-Latn-ME"/>
        </w:rPr>
        <w:t>počnu terapiju sa najmanjom mogućom dozom l</w:t>
      </w:r>
      <w:r w:rsidR="001E5CF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 xml:space="preserve">eka. </w:t>
      </w:r>
    </w:p>
    <w:p w14:paraId="45931526" w14:textId="7A5BBC34" w:rsidR="00F61E11" w:rsidRPr="00A3088E" w:rsidRDefault="00F61E1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Pacijenti sa gastrointestinalnim oboljenjem u istoriji bolesti, naročito stariji pacijenti, treba da prijave svaki neuobičajen abdominalni simptom (naročito gastrointestinalno krvarenje), posebno u početnoj fazi terapije.</w:t>
      </w:r>
    </w:p>
    <w:p w14:paraId="66862816" w14:textId="07CF8B88" w:rsidR="00F61E11" w:rsidRPr="00A3088E" w:rsidRDefault="00F61E1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Preporučuje se oprez kod pacijenata koji istovremeno upotrebljavaju l</w:t>
      </w:r>
      <w:r w:rsidR="001E5CF6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ekove koji mogu povećati rizik od pojave ulceracija ili krvarenja, poput oralno prim</w:t>
      </w:r>
      <w:r w:rsidR="001E5CF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enjenih kortikosteroida, antikoagulanasa, kao što je varfarin, selektivnih inhibitora preuzimanja serotonina ili antiagregacijskih l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ekova, kao što je acetilsalicilna kiselina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4.5).</w:t>
      </w:r>
    </w:p>
    <w:p w14:paraId="2C500855" w14:textId="7202BCA6" w:rsidR="00F61E11" w:rsidRPr="00A3088E" w:rsidRDefault="006B2C7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Ukoliko dođe do krvarenja ili ulceracije u GI traktu kod pacijenata koji uzimaju l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ek Ibumax rapid, terapiju treba obustaviti.</w:t>
      </w:r>
    </w:p>
    <w:p w14:paraId="158B174B" w14:textId="39D105F2" w:rsidR="009453F0" w:rsidRPr="00A3088E" w:rsidRDefault="009453F0">
      <w:pPr>
        <w:rPr>
          <w:szCs w:val="22"/>
          <w:lang w:val="sr-Latn-ME"/>
        </w:rPr>
      </w:pPr>
    </w:p>
    <w:p w14:paraId="069AFFF4" w14:textId="3546B8DB" w:rsidR="00376BA3" w:rsidRPr="00A3088E" w:rsidRDefault="00E15A09">
      <w:pPr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 xml:space="preserve">Teške </w:t>
      </w:r>
      <w:r w:rsidR="00376BA3" w:rsidRPr="00A3088E">
        <w:rPr>
          <w:i/>
          <w:iCs/>
          <w:szCs w:val="22"/>
          <w:lang w:val="sr-Latn-ME"/>
        </w:rPr>
        <w:t>kožne neželjene reakcije (engl: Severe cutaneous adverse reactions</w:t>
      </w:r>
      <w:r w:rsidR="005132C5" w:rsidRPr="00A3088E">
        <w:rPr>
          <w:i/>
          <w:iCs/>
          <w:szCs w:val="22"/>
          <w:lang w:val="sr-Latn-ME"/>
        </w:rPr>
        <w:t xml:space="preserve">, </w:t>
      </w:r>
      <w:r w:rsidR="005132C5" w:rsidRPr="00A3088E">
        <w:rPr>
          <w:iCs/>
          <w:szCs w:val="22"/>
          <w:lang w:val="sr-Latn-ME"/>
        </w:rPr>
        <w:t>SCARs</w:t>
      </w:r>
      <w:r w:rsidR="00376BA3" w:rsidRPr="00A3088E">
        <w:rPr>
          <w:i/>
          <w:iCs/>
          <w:szCs w:val="22"/>
          <w:lang w:val="sr-Latn-ME"/>
        </w:rPr>
        <w:t>):</w:t>
      </w:r>
    </w:p>
    <w:p w14:paraId="6E8980F9" w14:textId="68471631" w:rsidR="006F08C6" w:rsidRPr="00A3088E" w:rsidRDefault="00D76794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Zab</w:t>
      </w:r>
      <w:r w:rsidR="00CA7A31" w:rsidRPr="00A3088E">
        <w:rPr>
          <w:szCs w:val="22"/>
          <w:lang w:val="sr-Latn-ME"/>
        </w:rPr>
        <w:t>i</w:t>
      </w:r>
      <w:r w:rsidRPr="00A3088E">
        <w:rPr>
          <w:szCs w:val="22"/>
          <w:lang w:val="sr-Latn-ME"/>
        </w:rPr>
        <w:t>l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 xml:space="preserve">ežene su </w:t>
      </w:r>
      <w:r w:rsidR="00E15A09" w:rsidRPr="00A3088E">
        <w:rPr>
          <w:szCs w:val="22"/>
          <w:lang w:val="sr-Latn-ME"/>
        </w:rPr>
        <w:t xml:space="preserve">teške </w:t>
      </w:r>
      <w:r w:rsidR="00376BA3" w:rsidRPr="00A3088E">
        <w:rPr>
          <w:szCs w:val="22"/>
          <w:lang w:val="sr-Latn-ME"/>
        </w:rPr>
        <w:t>kožn</w:t>
      </w:r>
      <w:r w:rsidRPr="00A3088E">
        <w:rPr>
          <w:szCs w:val="22"/>
          <w:lang w:val="sr-Latn-ME"/>
        </w:rPr>
        <w:t>e</w:t>
      </w:r>
      <w:r w:rsidR="00376BA3" w:rsidRPr="00A3088E">
        <w:rPr>
          <w:szCs w:val="22"/>
          <w:lang w:val="sr-Latn-ME"/>
        </w:rPr>
        <w:t xml:space="preserve"> neželjen</w:t>
      </w:r>
      <w:r w:rsidRPr="00A3088E">
        <w:rPr>
          <w:szCs w:val="22"/>
          <w:lang w:val="sr-Latn-ME"/>
        </w:rPr>
        <w:t>e</w:t>
      </w:r>
      <w:r w:rsidR="00376BA3" w:rsidRPr="00A3088E">
        <w:rPr>
          <w:szCs w:val="22"/>
          <w:lang w:val="sr-Latn-ME"/>
        </w:rPr>
        <w:t xml:space="preserve"> reakcij</w:t>
      </w:r>
      <w:r w:rsidRPr="00A3088E">
        <w:rPr>
          <w:szCs w:val="22"/>
          <w:lang w:val="sr-Latn-ME"/>
        </w:rPr>
        <w:t>e</w:t>
      </w:r>
      <w:r w:rsidR="00376BA3" w:rsidRPr="00A3088E">
        <w:rPr>
          <w:szCs w:val="22"/>
          <w:lang w:val="sr-Latn-ME"/>
        </w:rPr>
        <w:t xml:space="preserve"> (SCARs) u vezi sa </w:t>
      </w:r>
      <w:r w:rsidR="001E5CF6" w:rsidRPr="00A3088E">
        <w:rPr>
          <w:szCs w:val="22"/>
          <w:lang w:val="sr-Latn-ME"/>
        </w:rPr>
        <w:t>primjenom</w:t>
      </w:r>
      <w:r w:rsidR="00376BA3" w:rsidRPr="00A3088E">
        <w:rPr>
          <w:szCs w:val="22"/>
          <w:lang w:val="sr-Latn-ME"/>
        </w:rPr>
        <w:t xml:space="preserve"> ibuprofena, uključujući eksfolijativni dermatitis, </w:t>
      </w:r>
      <w:r w:rsidR="00376BA3" w:rsidRPr="00A3088E">
        <w:rPr>
          <w:i/>
          <w:szCs w:val="22"/>
          <w:lang w:val="sr-Latn-ME"/>
        </w:rPr>
        <w:t>erythema multiforme</w:t>
      </w:r>
      <w:r w:rsidR="00376BA3" w:rsidRPr="00A3088E">
        <w:rPr>
          <w:szCs w:val="22"/>
          <w:lang w:val="sr-Latn-ME"/>
        </w:rPr>
        <w:t xml:space="preserve">, </w:t>
      </w:r>
      <w:r w:rsidR="00376BA3" w:rsidRPr="00A3088E">
        <w:rPr>
          <w:i/>
          <w:szCs w:val="22"/>
          <w:lang w:val="sr-Latn-ME"/>
        </w:rPr>
        <w:t>Stevens-Johnson</w:t>
      </w:r>
      <w:r w:rsidR="00376BA3" w:rsidRPr="00A3088E">
        <w:rPr>
          <w:szCs w:val="22"/>
          <w:lang w:val="sr-Latn-ME"/>
        </w:rPr>
        <w:t>-ov sindrom, toksičnu epidermalnu nekrolizu (TEN), reakciju na l</w:t>
      </w:r>
      <w:r w:rsidR="00CA7A31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 xml:space="preserve">ek praćenu eozinofilijom i sistemskim simptomima (engl: </w:t>
      </w:r>
      <w:r w:rsidR="00376BA3" w:rsidRPr="00A3088E">
        <w:rPr>
          <w:i/>
          <w:szCs w:val="22"/>
          <w:lang w:val="sr-Latn-ME"/>
        </w:rPr>
        <w:t>Drug reaction with eosinophilia and systemic symptoms</w:t>
      </w:r>
      <w:r w:rsidR="005132C5" w:rsidRPr="00A3088E">
        <w:rPr>
          <w:szCs w:val="22"/>
          <w:lang w:val="sr-Latn-ME"/>
        </w:rPr>
        <w:t>, DRESS sindrom</w:t>
      </w:r>
      <w:r w:rsidR="00376BA3" w:rsidRPr="00A3088E">
        <w:rPr>
          <w:szCs w:val="22"/>
          <w:lang w:val="sr-Latn-ME"/>
        </w:rPr>
        <w:t>) i akutnu generalizovanu egz</w:t>
      </w:r>
      <w:r w:rsidR="007F7B09" w:rsidRPr="00A3088E">
        <w:rPr>
          <w:szCs w:val="22"/>
          <w:lang w:val="sr-Latn-ME"/>
        </w:rPr>
        <w:t>ant</w:t>
      </w:r>
      <w:r w:rsidR="00376BA3" w:rsidRPr="00A3088E">
        <w:rPr>
          <w:szCs w:val="22"/>
          <w:lang w:val="sr-Latn-ME"/>
        </w:rPr>
        <w:t xml:space="preserve">ematoznu pustulozu (engl: </w:t>
      </w:r>
      <w:r w:rsidR="00376BA3" w:rsidRPr="00A3088E">
        <w:rPr>
          <w:i/>
          <w:szCs w:val="22"/>
          <w:lang w:val="sr-Latn-ME"/>
        </w:rPr>
        <w:t>acute generalized exanthematous pustulosis</w:t>
      </w:r>
      <w:r w:rsidR="005132C5" w:rsidRPr="00A3088E">
        <w:rPr>
          <w:i/>
          <w:szCs w:val="22"/>
          <w:lang w:val="sr-Latn-ME"/>
        </w:rPr>
        <w:t xml:space="preserve">, </w:t>
      </w:r>
      <w:r w:rsidR="005132C5" w:rsidRPr="00A3088E">
        <w:rPr>
          <w:szCs w:val="22"/>
          <w:lang w:val="sr-Latn-ME"/>
        </w:rPr>
        <w:t>AGEP</w:t>
      </w:r>
      <w:r w:rsidR="00376BA3" w:rsidRPr="00A3088E">
        <w:rPr>
          <w:szCs w:val="22"/>
          <w:lang w:val="sr-Latn-ME"/>
        </w:rPr>
        <w:t xml:space="preserve">) što može </w:t>
      </w:r>
      <w:r w:rsidRPr="00A3088E">
        <w:rPr>
          <w:szCs w:val="22"/>
          <w:lang w:val="sr-Latn-ME"/>
        </w:rPr>
        <w:t>biti životno</w:t>
      </w:r>
      <w:r w:rsidR="00CA7A31" w:rsidRPr="00A3088E">
        <w:rPr>
          <w:szCs w:val="22"/>
          <w:lang w:val="sr-Latn-ME"/>
        </w:rPr>
        <w:t xml:space="preserve"> </w:t>
      </w:r>
      <w:r w:rsidRPr="00A3088E">
        <w:rPr>
          <w:szCs w:val="22"/>
          <w:lang w:val="sr-Latn-ME"/>
        </w:rPr>
        <w:t>ugrožavajuće ili sa</w:t>
      </w:r>
      <w:r w:rsidRPr="00A3088E">
        <w:rPr>
          <w:noProof/>
          <w:szCs w:val="22"/>
          <w:lang w:val="sr-Latn-ME"/>
        </w:rPr>
        <w:t xml:space="preserve"> smrtnim ishodom</w:t>
      </w:r>
      <w:r w:rsidRPr="00A3088E">
        <w:rPr>
          <w:szCs w:val="22"/>
          <w:lang w:val="sr-Latn-ME"/>
        </w:rPr>
        <w:t xml:space="preserve"> </w:t>
      </w:r>
      <w:r w:rsidR="00376BA3" w:rsidRPr="00A3088E">
        <w:rPr>
          <w:szCs w:val="22"/>
          <w:lang w:val="sr-Latn-ME"/>
        </w:rPr>
        <w:t>(</w:t>
      </w:r>
      <w:r w:rsidR="001E5CF6" w:rsidRPr="00A3088E">
        <w:rPr>
          <w:szCs w:val="22"/>
          <w:lang w:val="sr-Latn-ME"/>
        </w:rPr>
        <w:t xml:space="preserve">pogledati dio </w:t>
      </w:r>
      <w:r w:rsidR="00376BA3" w:rsidRPr="00A3088E">
        <w:rPr>
          <w:szCs w:val="22"/>
          <w:lang w:val="sr-Latn-ME"/>
        </w:rPr>
        <w:t xml:space="preserve">4.8). U većini slučajeva do reakcija </w:t>
      </w:r>
      <w:r w:rsidR="00F60684" w:rsidRPr="00A3088E">
        <w:rPr>
          <w:szCs w:val="22"/>
          <w:lang w:val="sr-Latn-ME"/>
        </w:rPr>
        <w:t xml:space="preserve">je </w:t>
      </w:r>
      <w:r w:rsidR="00376BA3" w:rsidRPr="00A3088E">
        <w:rPr>
          <w:szCs w:val="22"/>
          <w:lang w:val="sr-Latn-ME"/>
        </w:rPr>
        <w:t>dolazi</w:t>
      </w:r>
      <w:r w:rsidR="00F60684" w:rsidRPr="00A3088E">
        <w:rPr>
          <w:szCs w:val="22"/>
          <w:lang w:val="sr-Latn-ME"/>
        </w:rPr>
        <w:t>lo</w:t>
      </w:r>
      <w:r w:rsidR="00376BA3" w:rsidRPr="00A3088E">
        <w:rPr>
          <w:szCs w:val="22"/>
          <w:lang w:val="sr-Latn-ME"/>
        </w:rPr>
        <w:t xml:space="preserve"> u toku prvog m</w:t>
      </w:r>
      <w:r w:rsidR="00CA7A31" w:rsidRPr="00A3088E">
        <w:rPr>
          <w:szCs w:val="22"/>
          <w:lang w:val="sr-Latn-ME"/>
        </w:rPr>
        <w:t>j</w:t>
      </w:r>
      <w:r w:rsidR="00376BA3" w:rsidRPr="00A3088E">
        <w:rPr>
          <w:szCs w:val="22"/>
          <w:lang w:val="sr-Latn-ME"/>
        </w:rPr>
        <w:t>eseca terapije. Ukoliko dođe do pojave bilo kojih znakova i simptoma koji ukazuju na ove reakcije, terapiju ibuprofenom treba prekinuti odmah i razmotriti nastavak l</w:t>
      </w:r>
      <w:r w:rsidR="00CA7A31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>ečenja alternativnom terapijom.</w:t>
      </w:r>
    </w:p>
    <w:p w14:paraId="0CB5EEF7" w14:textId="77777777" w:rsidR="00376BA3" w:rsidRPr="00A3088E" w:rsidRDefault="00376BA3">
      <w:pPr>
        <w:rPr>
          <w:szCs w:val="22"/>
          <w:lang w:val="sr-Latn-ME"/>
        </w:rPr>
      </w:pPr>
    </w:p>
    <w:p w14:paraId="0B8D41C2" w14:textId="77777777" w:rsidR="00376BA3" w:rsidRPr="00A3088E" w:rsidRDefault="00376BA3">
      <w:pPr>
        <w:rPr>
          <w:bCs/>
          <w:i/>
          <w:iCs/>
          <w:szCs w:val="22"/>
          <w:lang w:val="sr-Latn-ME"/>
        </w:rPr>
      </w:pPr>
      <w:r w:rsidRPr="00A3088E">
        <w:rPr>
          <w:bCs/>
          <w:i/>
          <w:iCs/>
          <w:szCs w:val="22"/>
          <w:lang w:val="sr-Latn-ME"/>
        </w:rPr>
        <w:t xml:space="preserve">Maskiranje simptoma postojeće infekcije </w:t>
      </w:r>
    </w:p>
    <w:p w14:paraId="38EDB22C" w14:textId="5EF72DF1" w:rsidR="00376BA3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Ibuprofen može maskirati simptome infekcije, što može odložiti uvođenje odgovarajuće terapije i tako dovesti do pogoršanja ishoda infekcije. Ovo je prim</w:t>
      </w:r>
      <w:r w:rsidR="00CA7A31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ećeno kod vanbolnički stečene bakterijske pneumonije i kod bakterijskih komplikacija varičele. Kada se ibuprofen u dozi 400 mg koristi za snižavanje povišene t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elesne temperature ili za ublažavanje bola kod infekcije, sav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etuje se praćenje infekcije. U vanbolničkim uslovima, pacijent treba da se konsultuje sa l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ekarom ukoliko simptomi traju ili se pogoršavaju.</w:t>
      </w:r>
    </w:p>
    <w:p w14:paraId="275AD5C1" w14:textId="33C0F586" w:rsidR="00376BA3" w:rsidRPr="00A3088E" w:rsidRDefault="00376BA3">
      <w:pPr>
        <w:rPr>
          <w:szCs w:val="22"/>
          <w:lang w:val="sr-Latn-ME"/>
        </w:rPr>
      </w:pPr>
    </w:p>
    <w:p w14:paraId="55487F1F" w14:textId="77777777" w:rsidR="00205A33" w:rsidRPr="00A3088E" w:rsidRDefault="00205A33">
      <w:pPr>
        <w:rPr>
          <w:i/>
          <w:szCs w:val="22"/>
          <w:lang w:val="sr-Latn-ME"/>
        </w:rPr>
      </w:pPr>
      <w:r w:rsidRPr="00A3088E">
        <w:rPr>
          <w:i/>
          <w:szCs w:val="22"/>
          <w:lang w:val="sr-Latn-ME"/>
        </w:rPr>
        <w:t>Pomoćne supstance</w:t>
      </w:r>
    </w:p>
    <w:p w14:paraId="706AFDEC" w14:textId="5FFA7C93" w:rsidR="00205A33" w:rsidRPr="00A3088E" w:rsidRDefault="00205A3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Ovaj l</w:t>
      </w:r>
      <w:r w:rsidR="00CA7A31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 sadrži 72 mg sorbitola u jednoj kapsuli.</w:t>
      </w:r>
    </w:p>
    <w:p w14:paraId="67C5C16A" w14:textId="14211D3D" w:rsidR="00205A33" w:rsidRPr="00A3088E" w:rsidRDefault="006A5FCC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Pacijenti sa rijetkim nasljednim problemima intolerancije na fruktozu ne bi trebalo da uzimaju ovaj lijek.</w:t>
      </w:r>
    </w:p>
    <w:p w14:paraId="216EB1B5" w14:textId="77777777" w:rsidR="00CA7A31" w:rsidRPr="00A3088E" w:rsidRDefault="00CA7A31">
      <w:pPr>
        <w:rPr>
          <w:szCs w:val="22"/>
          <w:lang w:val="sr-Latn-ME"/>
        </w:rPr>
      </w:pPr>
    </w:p>
    <w:p w14:paraId="5D3F75C8" w14:textId="25C80495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4.5. Interakcije sa drugim l</w:t>
      </w:r>
      <w:r w:rsidR="00DD770D" w:rsidRPr="00A3088E">
        <w:rPr>
          <w:b/>
          <w:bCs/>
          <w:szCs w:val="22"/>
          <w:lang w:val="sr-Latn-ME"/>
        </w:rPr>
        <w:t>j</w:t>
      </w:r>
      <w:r w:rsidRPr="00A3088E">
        <w:rPr>
          <w:b/>
          <w:bCs/>
          <w:szCs w:val="22"/>
          <w:lang w:val="sr-Latn-ME"/>
        </w:rPr>
        <w:t>ekovima i druge vrste interakcija</w:t>
      </w:r>
    </w:p>
    <w:p w14:paraId="5D3F75C9" w14:textId="77777777" w:rsidR="00CE09F3" w:rsidRPr="00A3088E" w:rsidRDefault="00CE09F3">
      <w:pPr>
        <w:rPr>
          <w:szCs w:val="22"/>
          <w:lang w:val="sr-Latn-ME"/>
        </w:rPr>
      </w:pPr>
    </w:p>
    <w:p w14:paraId="667FB3F3" w14:textId="2EA42374" w:rsidR="008A6A9A" w:rsidRPr="00A3088E" w:rsidRDefault="008A6A9A" w:rsidP="00B507F5">
      <w:pPr>
        <w:tabs>
          <w:tab w:val="clear" w:pos="284"/>
        </w:tabs>
        <w:autoSpaceDE w:val="0"/>
        <w:autoSpaceDN w:val="0"/>
        <w:adjustRightInd w:val="0"/>
        <w:rPr>
          <w:bCs/>
          <w:szCs w:val="22"/>
          <w:u w:val="single"/>
          <w:lang w:val="sr-Latn-ME"/>
        </w:rPr>
      </w:pPr>
      <w:r w:rsidRPr="00A3088E">
        <w:rPr>
          <w:bCs/>
          <w:szCs w:val="22"/>
          <w:u w:val="single"/>
          <w:lang w:val="sr-Latn-ME"/>
        </w:rPr>
        <w:t>Ibuprofen (kao i ostal</w:t>
      </w:r>
      <w:r w:rsidR="00957E02" w:rsidRPr="00A3088E">
        <w:rPr>
          <w:bCs/>
          <w:szCs w:val="22"/>
          <w:u w:val="single"/>
          <w:lang w:val="sr-Latn-ME"/>
        </w:rPr>
        <w:t>i</w:t>
      </w:r>
      <w:r w:rsidRPr="00A3088E">
        <w:rPr>
          <w:bCs/>
          <w:szCs w:val="22"/>
          <w:u w:val="single"/>
          <w:lang w:val="sr-Latn-ME"/>
        </w:rPr>
        <w:t xml:space="preserve"> NSAIL) treba izb</w:t>
      </w:r>
      <w:r w:rsidR="00CA7A31" w:rsidRPr="00A3088E">
        <w:rPr>
          <w:bCs/>
          <w:szCs w:val="22"/>
          <w:u w:val="single"/>
          <w:lang w:val="sr-Latn-ME"/>
        </w:rPr>
        <w:t>j</w:t>
      </w:r>
      <w:r w:rsidRPr="00A3088E">
        <w:rPr>
          <w:bCs/>
          <w:szCs w:val="22"/>
          <w:u w:val="single"/>
          <w:lang w:val="sr-Latn-ME"/>
        </w:rPr>
        <w:t>egavati u kombinaciji sa:</w:t>
      </w:r>
    </w:p>
    <w:p w14:paraId="3FD74A28" w14:textId="77777777" w:rsidR="008A6A9A" w:rsidRPr="00A3088E" w:rsidRDefault="008A6A9A" w:rsidP="00B507F5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1CDAF428" w14:textId="7F7B12F0" w:rsidR="008A6A9A" w:rsidRPr="00A3088E" w:rsidRDefault="008A6A9A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Acetilsalicilnom kiselinom: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Istovremena prim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ena ibuprofena i acetilsalicilne kiseline (ASK) se generalno ne preporučuje zbog povećanja mogućnosti za nastanak neželjenih dejstava osim ukoliko male doze ASK (ne više od 75 mg/dan) nisu preporučene od strane l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ekara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4.4).</w:t>
      </w:r>
    </w:p>
    <w:p w14:paraId="6476DEEB" w14:textId="543271B9" w:rsidR="008A6A9A" w:rsidRPr="00A3088E" w:rsidRDefault="008A6A9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Eksperimentalni podaci ukazuju da ibuprofen može kompetitivno da inhibira uticaj malih doza acetilsalicilne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kiseline na agregaciju trombocita pri istovremenoj </w:t>
      </w:r>
      <w:r w:rsidR="00CA7A31" w:rsidRPr="00A3088E">
        <w:rPr>
          <w:rFonts w:eastAsia="TimesNewRoman"/>
          <w:szCs w:val="22"/>
          <w:lang w:val="sr-Latn-ME"/>
        </w:rPr>
        <w:t>primjeni</w:t>
      </w:r>
      <w:r w:rsidRPr="00A3088E">
        <w:rPr>
          <w:rFonts w:eastAsia="TimesNewRoman"/>
          <w:szCs w:val="22"/>
          <w:lang w:val="sr-Latn-ME"/>
        </w:rPr>
        <w:t>. Ipak, zbog ograničenosti ovih podataka 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nemogućnosti ekstrapolacije </w:t>
      </w:r>
      <w:r w:rsidR="00F878F8" w:rsidRPr="00A3088E">
        <w:rPr>
          <w:iCs/>
          <w:szCs w:val="22"/>
          <w:lang w:val="sr-Latn-ME"/>
        </w:rPr>
        <w:t>ovih</w:t>
      </w:r>
      <w:r w:rsidRPr="00A3088E">
        <w:rPr>
          <w:i/>
          <w:i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podataka na kliničk</w:t>
      </w:r>
      <w:r w:rsidR="00F878F8" w:rsidRPr="00A3088E">
        <w:rPr>
          <w:rFonts w:eastAsia="TimesNewRoman"/>
          <w:szCs w:val="22"/>
          <w:lang w:val="sr-Latn-ME"/>
        </w:rPr>
        <w:t>u</w:t>
      </w:r>
      <w:r w:rsidRPr="00A3088E">
        <w:rPr>
          <w:rFonts w:eastAsia="TimesNewRoman"/>
          <w:szCs w:val="22"/>
          <w:lang w:val="sr-Latn-ME"/>
        </w:rPr>
        <w:t xml:space="preserve"> </w:t>
      </w:r>
      <w:r w:rsidR="00F878F8" w:rsidRPr="00A3088E">
        <w:rPr>
          <w:rFonts w:eastAsia="TimesNewRoman"/>
          <w:szCs w:val="22"/>
          <w:lang w:val="sr-Latn-ME"/>
        </w:rPr>
        <w:t>praksu</w:t>
      </w:r>
      <w:r w:rsidRPr="00A3088E">
        <w:rPr>
          <w:rFonts w:eastAsia="TimesNewRoman"/>
          <w:szCs w:val="22"/>
          <w:lang w:val="sr-Latn-ME"/>
        </w:rPr>
        <w:t>, ne može se isključiti mogućnost da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dugotrajna upotreba ibuprofena može da redukuje kardioprotektivno dejstvo malih doza acetilsalicilne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kiseline. </w:t>
      </w:r>
      <w:r w:rsidR="00F878F8" w:rsidRPr="00A3088E">
        <w:rPr>
          <w:szCs w:val="22"/>
          <w:lang w:val="sr-Latn-ME"/>
        </w:rPr>
        <w:t>Smatra se da pri povremenom uzimanju ibuprofena klinički značajan efekat nije v</w:t>
      </w:r>
      <w:r w:rsidR="00CA7A31" w:rsidRPr="00A3088E">
        <w:rPr>
          <w:szCs w:val="22"/>
          <w:lang w:val="sr-Latn-ME"/>
        </w:rPr>
        <w:t>j</w:t>
      </w:r>
      <w:r w:rsidR="00F878F8" w:rsidRPr="00A3088E">
        <w:rPr>
          <w:szCs w:val="22"/>
          <w:lang w:val="sr-Latn-ME"/>
        </w:rPr>
        <w:t xml:space="preserve">erovatan </w:t>
      </w:r>
      <w:r w:rsidRPr="00A3088E">
        <w:rPr>
          <w:rFonts w:eastAsia="TimesNewRoman"/>
          <w:szCs w:val="22"/>
          <w:lang w:val="sr-Latn-ME"/>
        </w:rPr>
        <w:t>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5.1)</w:t>
      </w:r>
      <w:r w:rsidR="00C027DC" w:rsidRPr="00A3088E">
        <w:rPr>
          <w:rFonts w:eastAsia="TimesNewRoman"/>
          <w:szCs w:val="22"/>
          <w:lang w:val="sr-Latn-ME"/>
        </w:rPr>
        <w:t>.</w:t>
      </w:r>
    </w:p>
    <w:p w14:paraId="5BEA55E9" w14:textId="77777777" w:rsidR="00B73453" w:rsidRPr="00A3088E" w:rsidRDefault="00B7345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1FDC564" w14:textId="2E41A165" w:rsidR="008A6A9A" w:rsidRPr="00A3088E" w:rsidRDefault="008A6A9A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Drugi</w:t>
      </w:r>
      <w:r w:rsidR="00791974" w:rsidRPr="00A3088E">
        <w:rPr>
          <w:bCs/>
          <w:i/>
          <w:szCs w:val="22"/>
          <w:lang w:val="sr-Latn-ME"/>
        </w:rPr>
        <w:t>m</w:t>
      </w:r>
      <w:r w:rsidRPr="00A3088E">
        <w:rPr>
          <w:bCs/>
          <w:i/>
          <w:szCs w:val="22"/>
          <w:lang w:val="sr-Latn-ME"/>
        </w:rPr>
        <w:t xml:space="preserve"> NSAIL uključujući selektivne COX-2 inhibitore: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Izbegavajte istovremenu prim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enu dva ili više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NSAIL, jer to može povećati rizik od neželjenih dejstava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4.4).</w:t>
      </w:r>
    </w:p>
    <w:p w14:paraId="08DA2A9D" w14:textId="77777777" w:rsidR="008A6A9A" w:rsidRPr="00A3088E" w:rsidRDefault="008A6A9A" w:rsidP="00B507F5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2CB1DE2C" w14:textId="5E0A6300" w:rsidR="008A6A9A" w:rsidRPr="00A3088E" w:rsidRDefault="008A6A9A" w:rsidP="00B507F5">
      <w:pPr>
        <w:tabs>
          <w:tab w:val="clear" w:pos="284"/>
        </w:tabs>
        <w:autoSpaceDE w:val="0"/>
        <w:autoSpaceDN w:val="0"/>
        <w:adjustRightInd w:val="0"/>
        <w:rPr>
          <w:bCs/>
          <w:szCs w:val="22"/>
          <w:u w:val="single"/>
          <w:lang w:val="sr-Latn-ME"/>
        </w:rPr>
      </w:pPr>
      <w:r w:rsidRPr="00A3088E">
        <w:rPr>
          <w:bCs/>
          <w:szCs w:val="22"/>
          <w:u w:val="single"/>
          <w:lang w:val="sr-Latn-ME"/>
        </w:rPr>
        <w:t>Ibuprofen (kao i ostali NSAIL) treba da se koriste sa oprezom u kombinaciji sa:</w:t>
      </w:r>
    </w:p>
    <w:p w14:paraId="4F84EC1D" w14:textId="77777777" w:rsidR="008A6A9A" w:rsidRPr="00A3088E" w:rsidRDefault="008A6A9A" w:rsidP="00B507F5">
      <w:pPr>
        <w:tabs>
          <w:tab w:val="clear" w:pos="284"/>
        </w:tabs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4AC00800" w14:textId="1786D996" w:rsidR="008A6A9A" w:rsidRPr="00A3088E" w:rsidRDefault="008A6A9A" w:rsidP="00B507F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Kortikosteroidima: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Povećan rizik od pojave gastrointestinalnih ulceracija ili krvarenja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4.4).</w:t>
      </w:r>
    </w:p>
    <w:p w14:paraId="5C939116" w14:textId="77777777" w:rsidR="00B73453" w:rsidRPr="00A3088E" w:rsidRDefault="00B73453" w:rsidP="00B507F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B1AA277" w14:textId="32D7B49F" w:rsidR="008A6A9A" w:rsidRPr="00A3088E" w:rsidRDefault="008A6A9A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Antihipertenzivima (ACE inhibitori, antagoni</w:t>
      </w:r>
      <w:r w:rsidR="00AB41F9" w:rsidRPr="00A3088E">
        <w:rPr>
          <w:bCs/>
          <w:i/>
          <w:szCs w:val="22"/>
          <w:lang w:val="sr-Latn-ME"/>
        </w:rPr>
        <w:t>sti angiotenzina II)</w:t>
      </w:r>
      <w:r w:rsidR="00B73453" w:rsidRPr="00A3088E">
        <w:rPr>
          <w:bCs/>
          <w:i/>
          <w:szCs w:val="22"/>
          <w:lang w:val="sr-Latn-ME"/>
        </w:rPr>
        <w:t xml:space="preserve"> </w:t>
      </w:r>
      <w:r w:rsidR="00AB41F9" w:rsidRPr="00A3088E">
        <w:rPr>
          <w:bCs/>
          <w:i/>
          <w:szCs w:val="22"/>
          <w:lang w:val="sr-Latn-ME"/>
        </w:rPr>
        <w:t>i diuretici</w:t>
      </w:r>
      <w:r w:rsidRPr="00A3088E">
        <w:rPr>
          <w:bCs/>
          <w:i/>
          <w:szCs w:val="22"/>
          <w:lang w:val="sr-Latn-ME"/>
        </w:rPr>
        <w:t>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NSAIL mogu da smanje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="00AB41F9" w:rsidRPr="00A3088E">
        <w:rPr>
          <w:rFonts w:eastAsia="TimesNewRoman"/>
          <w:szCs w:val="22"/>
          <w:lang w:val="sr-Latn-ME"/>
        </w:rPr>
        <w:t>dejstvo ovih</w:t>
      </w:r>
      <w:r w:rsidRPr="00A3088E">
        <w:rPr>
          <w:rFonts w:eastAsia="TimesNewRoman"/>
          <w:szCs w:val="22"/>
          <w:lang w:val="sr-Latn-ME"/>
        </w:rPr>
        <w:t xml:space="preserve"> l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ekova. Kod nekih pacijenata sa oštećenom funkcijom bubrega</w:t>
      </w:r>
      <w:r w:rsidR="00AB41F9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(npr. kod dehidriranih pacijenata ili starijih pacijenata sa oštećenom funkcijom bubrega), istovremena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prim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ena ACE inhibitora ili antagonista angiotenzina II i agenasa koji inhibiraju ciklooksigenazu može da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dovede do daljeg pogoršanja funkcije bubrega, uključujući moguć</w:t>
      </w:r>
      <w:r w:rsidR="00656501" w:rsidRPr="00A3088E">
        <w:rPr>
          <w:rFonts w:eastAsia="TimesNewRoman"/>
          <w:szCs w:val="22"/>
          <w:lang w:val="sr-Latn-ME"/>
        </w:rPr>
        <w:t>u</w:t>
      </w:r>
      <w:r w:rsidRPr="00A3088E">
        <w:rPr>
          <w:rFonts w:eastAsia="TimesNewRoman"/>
          <w:szCs w:val="22"/>
          <w:lang w:val="sr-Latn-ME"/>
        </w:rPr>
        <w:t xml:space="preserve"> akutn</w:t>
      </w:r>
      <w:r w:rsidR="00656501" w:rsidRPr="00A3088E">
        <w:rPr>
          <w:rFonts w:eastAsia="TimesNewRoman"/>
          <w:szCs w:val="22"/>
          <w:lang w:val="sr-Latn-ME"/>
        </w:rPr>
        <w:t>u</w:t>
      </w:r>
      <w:r w:rsidRPr="00A3088E">
        <w:rPr>
          <w:rFonts w:eastAsia="TimesNewRoman"/>
          <w:szCs w:val="22"/>
          <w:lang w:val="sr-Latn-ME"/>
        </w:rPr>
        <w:t xml:space="preserve"> </w:t>
      </w:r>
      <w:r w:rsidR="00656501" w:rsidRPr="00A3088E">
        <w:rPr>
          <w:rFonts w:eastAsia="TimesNewRoman"/>
          <w:szCs w:val="22"/>
          <w:lang w:val="sr-Latn-ME"/>
        </w:rPr>
        <w:t>insuficijenciju</w:t>
      </w:r>
      <w:r w:rsidRPr="00A3088E">
        <w:rPr>
          <w:rFonts w:eastAsia="TimesNewRoman"/>
          <w:szCs w:val="22"/>
          <w:lang w:val="sr-Latn-ME"/>
        </w:rPr>
        <w:t xml:space="preserve"> bubrega, koj</w:t>
      </w:r>
      <w:r w:rsidR="00656501" w:rsidRPr="00A3088E">
        <w:rPr>
          <w:rFonts w:eastAsia="TimesNewRoman"/>
          <w:szCs w:val="22"/>
          <w:lang w:val="sr-Latn-ME"/>
        </w:rPr>
        <w:t>a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="00AB41F9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 obič</w:t>
      </w:r>
      <w:r w:rsidR="00AB41F9" w:rsidRPr="00A3088E">
        <w:rPr>
          <w:rFonts w:eastAsia="TimesNewRoman"/>
          <w:szCs w:val="22"/>
          <w:lang w:val="sr-Latn-ME"/>
        </w:rPr>
        <w:t>no reverzibiln</w:t>
      </w:r>
      <w:r w:rsidR="00656501" w:rsidRPr="00A3088E">
        <w:rPr>
          <w:rFonts w:eastAsia="TimesNewRoman"/>
          <w:szCs w:val="22"/>
          <w:lang w:val="sr-Latn-ME"/>
        </w:rPr>
        <w:t>a</w:t>
      </w:r>
      <w:r w:rsidRPr="00A3088E">
        <w:rPr>
          <w:rFonts w:eastAsia="TimesNewRoman"/>
          <w:szCs w:val="22"/>
          <w:lang w:val="sr-Latn-ME"/>
        </w:rPr>
        <w:t>. Ove interakcije treba uzeti u obzir kod pacijenata koji uzimaju inhibitore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ciklooksigenaze istovremeno sa ACE inhibitorima ili antagonistima angiotenzina II. Iz tog razloga se ova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kombinacija mora davati oprezno, a naročito kod starijih pacijenata. Pacijenti treba da budu odgovarajuće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hidrirani i trebalo bi uzeti u obzir praćenje funkcije bubrega nakon započinjanja kombinovane terapije, </w:t>
      </w:r>
      <w:r w:rsidR="00F90323" w:rsidRPr="00A3088E">
        <w:rPr>
          <w:rFonts w:eastAsia="TimesNewRoman"/>
          <w:szCs w:val="22"/>
          <w:lang w:val="sr-Latn-ME"/>
        </w:rPr>
        <w:t xml:space="preserve">kao </w:t>
      </w:r>
      <w:r w:rsidRPr="00A3088E">
        <w:rPr>
          <w:rFonts w:eastAsia="TimesNewRoman"/>
          <w:szCs w:val="22"/>
          <w:lang w:val="sr-Latn-ME"/>
        </w:rPr>
        <w:t>i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u redovnim intervalima tokom l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ečenja. Diuretici mogu povećati rizik od nefrotoksičnosti NSAIL.</w:t>
      </w:r>
    </w:p>
    <w:p w14:paraId="6E52AA3F" w14:textId="77777777" w:rsidR="00B73453" w:rsidRPr="00A3088E" w:rsidRDefault="00B73453">
      <w:pPr>
        <w:rPr>
          <w:rFonts w:eastAsia="TimesNewRoman"/>
          <w:szCs w:val="22"/>
          <w:lang w:val="sr-Latn-ME"/>
        </w:rPr>
      </w:pPr>
    </w:p>
    <w:p w14:paraId="44EFED67" w14:textId="1F99E04D" w:rsidR="00B73453" w:rsidRPr="00A3088E" w:rsidRDefault="00AB41F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Antikoagulansima: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NSAIL mogu da pojačaju dejstvo antikoagulanasa, kao što je varfarin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4.4).</w:t>
      </w:r>
    </w:p>
    <w:p w14:paraId="2D552554" w14:textId="6C2790EE" w:rsidR="00AB41F9" w:rsidRPr="00A3088E" w:rsidRDefault="00AB41F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 </w:t>
      </w:r>
    </w:p>
    <w:p w14:paraId="0B70873D" w14:textId="1838F6EE" w:rsidR="00AB41F9" w:rsidRPr="00A3088E" w:rsidRDefault="00AB41F9">
      <w:pPr>
        <w:tabs>
          <w:tab w:val="clear" w:pos="284"/>
        </w:tabs>
        <w:autoSpaceDE w:val="0"/>
        <w:autoSpaceDN w:val="0"/>
        <w:adjustRightInd w:val="0"/>
        <w:rPr>
          <w:bCs/>
          <w:i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Antiagregacionim l</w:t>
      </w:r>
      <w:r w:rsidR="00CA7A31" w:rsidRPr="00A3088E">
        <w:rPr>
          <w:bCs/>
          <w:i/>
          <w:szCs w:val="22"/>
          <w:lang w:val="sr-Latn-ME"/>
        </w:rPr>
        <w:t>j</w:t>
      </w:r>
      <w:r w:rsidRPr="00A3088E">
        <w:rPr>
          <w:bCs/>
          <w:i/>
          <w:szCs w:val="22"/>
          <w:lang w:val="sr-Latn-ME"/>
        </w:rPr>
        <w:t>ekovima i selektivnim inhibitorima ponovnog preuzimanja serotonina (SSRI):</w:t>
      </w:r>
    </w:p>
    <w:p w14:paraId="7FBE2541" w14:textId="17110C1B" w:rsidR="00AB41F9" w:rsidRPr="00A3088E" w:rsidRDefault="00AB41F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Povećan rizik od pojave gastrointestinalnog krvarenja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4.4).</w:t>
      </w:r>
    </w:p>
    <w:p w14:paraId="419EEE2A" w14:textId="77777777" w:rsidR="00B73453" w:rsidRPr="00A3088E" w:rsidRDefault="00B7345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F618C21" w14:textId="260943DB" w:rsidR="00B73453" w:rsidRPr="00A3088E" w:rsidRDefault="00AB41F9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Kardiotoničnim glikozidima: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NSAIL mogu da pogoršaju srčanu insuficijenciju, smanje brzinu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glomerularne filtracije (GFR) i povećaju koncentraciju kardiotoničnih glikozida u plazmi.</w:t>
      </w:r>
    </w:p>
    <w:p w14:paraId="0CB7B6CF" w14:textId="77777777" w:rsidR="00B73453" w:rsidRPr="00A3088E" w:rsidRDefault="00B7345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87A81BC" w14:textId="1BD9A94D" w:rsidR="00AB41F9" w:rsidRPr="00A3088E" w:rsidRDefault="006A6D1D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i/>
          <w:szCs w:val="22"/>
          <w:lang w:val="sr-Latn-ME"/>
        </w:rPr>
        <w:t xml:space="preserve">Litijumom: </w:t>
      </w:r>
      <w:r w:rsidRPr="00A3088E">
        <w:rPr>
          <w:rFonts w:eastAsia="TimesNewRoman"/>
          <w:szCs w:val="22"/>
          <w:lang w:val="sr-Latn-ME"/>
        </w:rPr>
        <w:t xml:space="preserve">Postoje podaci o potencijalnom povećanju </w:t>
      </w:r>
      <w:r w:rsidR="00CA7A31" w:rsidRPr="00A3088E">
        <w:rPr>
          <w:rFonts w:eastAsia="TimesNewRoman"/>
          <w:szCs w:val="22"/>
          <w:lang w:val="sr-Latn-ME"/>
        </w:rPr>
        <w:t>vrijednosti</w:t>
      </w:r>
      <w:r w:rsidR="00F9032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litijuma u plazmi.</w:t>
      </w:r>
    </w:p>
    <w:p w14:paraId="520B392C" w14:textId="77777777" w:rsidR="00B73453" w:rsidRPr="00A3088E" w:rsidRDefault="00B73453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69FDF01" w14:textId="469CCFB6" w:rsidR="006A6D1D" w:rsidRPr="00A3088E" w:rsidRDefault="006A6D1D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i/>
          <w:szCs w:val="22"/>
          <w:lang w:val="sr-Latn-ME"/>
        </w:rPr>
        <w:t xml:space="preserve">Metotreksatom: </w:t>
      </w:r>
      <w:r w:rsidRPr="00A3088E">
        <w:rPr>
          <w:rFonts w:eastAsia="TimesNewRoman"/>
          <w:szCs w:val="22"/>
          <w:lang w:val="sr-Latn-ME"/>
        </w:rPr>
        <w:t xml:space="preserve">Postoje podaci o potencijalnom povećanju </w:t>
      </w:r>
      <w:r w:rsidR="00CA7A31" w:rsidRPr="00A3088E">
        <w:rPr>
          <w:rFonts w:eastAsia="TimesNewRoman"/>
          <w:szCs w:val="22"/>
          <w:lang w:val="sr-Latn-ME"/>
        </w:rPr>
        <w:t>vrijednosti</w:t>
      </w:r>
      <w:r w:rsidR="00F9032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metotreksata u plazmi.</w:t>
      </w:r>
    </w:p>
    <w:p w14:paraId="2D9038AD" w14:textId="77777777" w:rsidR="00B73453" w:rsidRPr="00A3088E" w:rsidRDefault="00B73453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F00A760" w14:textId="482AC0DF" w:rsidR="006A6D1D" w:rsidRPr="00A3088E" w:rsidRDefault="006A6D1D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Ciklosporinom: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Povećan rizik od nefrotoksičnosti.</w:t>
      </w:r>
    </w:p>
    <w:p w14:paraId="2B360CF2" w14:textId="77777777" w:rsidR="00B73453" w:rsidRPr="00A3088E" w:rsidRDefault="00B73453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7C10F2C" w14:textId="22FFA362" w:rsidR="006A6D1D" w:rsidRPr="00A3088E" w:rsidRDefault="006A6D1D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Mifepristonom: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NSAIL ne treba koristiti 8-12 dana nakon </w:t>
      </w:r>
      <w:r w:rsidR="001E5CF6" w:rsidRPr="00A3088E">
        <w:rPr>
          <w:rFonts w:eastAsia="TimesNewRoman"/>
          <w:szCs w:val="22"/>
          <w:lang w:val="sr-Latn-ME"/>
        </w:rPr>
        <w:t>primjene</w:t>
      </w:r>
      <w:r w:rsidRPr="00A3088E">
        <w:rPr>
          <w:rFonts w:eastAsia="TimesNewRoman"/>
          <w:szCs w:val="22"/>
          <w:lang w:val="sr-Latn-ME"/>
        </w:rPr>
        <w:t xml:space="preserve"> mifepristona, jer NSAIL mogu smanjit</w:t>
      </w:r>
      <w:r w:rsidR="00376BA3" w:rsidRPr="00A3088E">
        <w:rPr>
          <w:rFonts w:eastAsia="TimesNewRoman"/>
          <w:szCs w:val="22"/>
          <w:lang w:val="sr-Latn-ME"/>
        </w:rPr>
        <w:t>i d</w:t>
      </w:r>
      <w:r w:rsidRPr="00A3088E">
        <w:rPr>
          <w:rFonts w:eastAsia="TimesNewRoman"/>
          <w:szCs w:val="22"/>
          <w:lang w:val="sr-Latn-ME"/>
        </w:rPr>
        <w:t>ejstvo mifepristona.</w:t>
      </w:r>
    </w:p>
    <w:p w14:paraId="3F043173" w14:textId="77777777" w:rsidR="00B73453" w:rsidRPr="00A3088E" w:rsidRDefault="00B73453" w:rsidP="00B07731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3AC26E1" w14:textId="0840AC6B" w:rsidR="00AB41F9" w:rsidRPr="00A3088E" w:rsidRDefault="006A6D1D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Takrolimusom: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Rizik od nefrotoksičnosti se povećava kada se NSAIL istovremeno prim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enjuju sa takrolimusom.</w:t>
      </w:r>
    </w:p>
    <w:p w14:paraId="15C212C0" w14:textId="77777777" w:rsidR="00B73453" w:rsidRPr="00A3088E" w:rsidRDefault="00B73453" w:rsidP="005162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199E0A4" w14:textId="34233640" w:rsidR="006A6D1D" w:rsidRPr="00A3088E" w:rsidRDefault="006A6D1D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Zidovudinom: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Povećan rizik od hematološke toksičnosti kada se istovremeno prim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enjuju NSAIL 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zidovudin. Postoji dokaz o povećanom riziku od nastanka hemartroze i hematoma kod HIV (+) pacijenata sa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hemofilijom koji istovremeno uzimaju zidovudin i ibuprofen.</w:t>
      </w:r>
    </w:p>
    <w:p w14:paraId="0B9DD28A" w14:textId="77777777" w:rsidR="00B73453" w:rsidRPr="00A3088E" w:rsidRDefault="00B73453" w:rsidP="005162B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FA9B45F" w14:textId="1A408476" w:rsidR="006A6D1D" w:rsidRPr="00A3088E" w:rsidRDefault="006A6D1D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bCs/>
          <w:i/>
          <w:szCs w:val="22"/>
          <w:lang w:val="sr-Latn-ME"/>
        </w:rPr>
        <w:t>Hinolonskim antibioticima:</w:t>
      </w:r>
      <w:r w:rsidRPr="00A3088E">
        <w:rPr>
          <w:b/>
          <w:bCs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Podaci iz ispitivanja na životinjama ukazuju da NSAIL mogu dovesti do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povećanog rizika od konvulzija povezanih sa hinolonskim antibioticima. Pacijenti koji uzimaju NSAIL 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hinolone mogu biti pod povećanim rizikom nastanka konvulzija.</w:t>
      </w:r>
    </w:p>
    <w:p w14:paraId="711CA5C7" w14:textId="77777777" w:rsidR="00AB41F9" w:rsidRPr="00A3088E" w:rsidRDefault="00AB41F9">
      <w:pPr>
        <w:rPr>
          <w:szCs w:val="22"/>
          <w:lang w:val="sr-Latn-ME"/>
        </w:rPr>
      </w:pPr>
    </w:p>
    <w:p w14:paraId="5D3F75CB" w14:textId="77777777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lastRenderedPageBreak/>
        <w:t>4.6. Plodnost, trudnoća i dojenje</w:t>
      </w:r>
    </w:p>
    <w:p w14:paraId="5D3F75CC" w14:textId="77777777" w:rsidR="00CE09F3" w:rsidRPr="00A3088E" w:rsidRDefault="00CE09F3">
      <w:pPr>
        <w:rPr>
          <w:szCs w:val="22"/>
          <w:lang w:val="sr-Latn-ME"/>
        </w:rPr>
      </w:pPr>
    </w:p>
    <w:p w14:paraId="42F636AB" w14:textId="77777777" w:rsidR="00E9420A" w:rsidRPr="00A3088E" w:rsidRDefault="00E9420A" w:rsidP="005162BC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Trudnoća</w:t>
      </w:r>
    </w:p>
    <w:p w14:paraId="0C5B489C" w14:textId="0E94BCB7" w:rsidR="00E9420A" w:rsidRPr="00A3088E" w:rsidRDefault="00376BA3" w:rsidP="00F8238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Inhibicija sinteze prostaglandina može štetno uticati na trudnoću i/ili embriofetalni razvoj. Podaci iz epidemioloških ispitivanja </w:t>
      </w:r>
      <w:r w:rsidR="00D3282D" w:rsidRPr="00A3088E">
        <w:rPr>
          <w:szCs w:val="22"/>
          <w:lang w:val="sr-Latn-ME"/>
        </w:rPr>
        <w:t>u</w:t>
      </w:r>
      <w:r w:rsidRPr="00A3088E">
        <w:rPr>
          <w:szCs w:val="22"/>
          <w:lang w:val="sr-Latn-ME"/>
        </w:rPr>
        <w:t xml:space="preserve">kazuju </w:t>
      </w:r>
      <w:r w:rsidR="00D3282D" w:rsidRPr="00A3088E">
        <w:rPr>
          <w:szCs w:val="22"/>
          <w:lang w:val="sr-Latn-ME"/>
        </w:rPr>
        <w:t xml:space="preserve">na povećan </w:t>
      </w:r>
      <w:r w:rsidRPr="00A3088E">
        <w:rPr>
          <w:szCs w:val="22"/>
          <w:lang w:val="sr-Latn-ME"/>
        </w:rPr>
        <w:t xml:space="preserve">rizik od pobačaja, srčanih malformacija i gastroshize nakon </w:t>
      </w:r>
      <w:r w:rsidR="001E5CF6" w:rsidRPr="00A3088E">
        <w:rPr>
          <w:szCs w:val="22"/>
          <w:lang w:val="sr-Latn-ME"/>
        </w:rPr>
        <w:t>primjene</w:t>
      </w:r>
      <w:r w:rsidRPr="00A3088E">
        <w:rPr>
          <w:szCs w:val="22"/>
          <w:lang w:val="sr-Latn-ME"/>
        </w:rPr>
        <w:t xml:space="preserve"> inhibitora sinteze prostaglandina u ranoj fazi trudnoće. Apsolutni rizik od kardiovaskularnih malformacija povećan je sa manje od 1% na približno 1,5%. </w:t>
      </w:r>
      <w:r w:rsidR="00417883" w:rsidRPr="00A3088E">
        <w:rPr>
          <w:szCs w:val="22"/>
          <w:lang w:val="sr-Latn-ME"/>
        </w:rPr>
        <w:t>Pretpostavlja</w:t>
      </w:r>
      <w:r w:rsidRPr="00A3088E">
        <w:rPr>
          <w:szCs w:val="22"/>
          <w:lang w:val="sr-Latn-ME"/>
        </w:rPr>
        <w:t xml:space="preserve"> se da se rizik povećava sa povećanjem doze i dužine terapije. Kod životinja je zab</w:t>
      </w:r>
      <w:r w:rsidR="00CA7A31" w:rsidRPr="00A3088E">
        <w:rPr>
          <w:szCs w:val="22"/>
          <w:lang w:val="sr-Latn-ME"/>
        </w:rPr>
        <w:t>i</w:t>
      </w:r>
      <w:r w:rsidRPr="00A3088E">
        <w:rPr>
          <w:szCs w:val="22"/>
          <w:lang w:val="sr-Latn-ME"/>
        </w:rPr>
        <w:t>l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 xml:space="preserve">eženo da </w:t>
      </w:r>
      <w:r w:rsidR="00CA7A31" w:rsidRPr="00A3088E">
        <w:rPr>
          <w:szCs w:val="22"/>
          <w:lang w:val="sr-Latn-ME"/>
        </w:rPr>
        <w:t>primjena</w:t>
      </w:r>
      <w:r w:rsidRPr="00A3088E">
        <w:rPr>
          <w:szCs w:val="22"/>
          <w:lang w:val="sr-Latn-ME"/>
        </w:rPr>
        <w:t xml:space="preserve"> inhibitora sinteze prostaglandina povećava pr</w:t>
      </w:r>
      <w:r w:rsidR="00CA7A31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 i post – implantacioni gubitak i embriofetalnu smrtnost. Pored toga, učestala pojava raznih malformacija, uključujući i kardiovaskularne, </w:t>
      </w:r>
      <w:r w:rsidR="00CA7A31" w:rsidRPr="00A3088E">
        <w:rPr>
          <w:szCs w:val="22"/>
          <w:lang w:val="sr-Latn-ME"/>
        </w:rPr>
        <w:t>zabilježene</w:t>
      </w:r>
      <w:r w:rsidRPr="00A3088E">
        <w:rPr>
          <w:szCs w:val="22"/>
          <w:lang w:val="sr-Latn-ME"/>
        </w:rPr>
        <w:t xml:space="preserve"> su kod životinja koje su primale inhibitor sinteze prostaglandina za vr</w:t>
      </w:r>
      <w:r w:rsidR="00CA7A31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eme perioda organogeneze</w:t>
      </w:r>
      <w:r w:rsidR="00D3282D" w:rsidRPr="00A3088E">
        <w:rPr>
          <w:szCs w:val="22"/>
          <w:lang w:val="sr-Latn-ME"/>
        </w:rPr>
        <w:t>.</w:t>
      </w:r>
    </w:p>
    <w:p w14:paraId="612B27E4" w14:textId="77777777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3590C405" w14:textId="3967204A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Od 20. </w:t>
      </w:r>
      <w:r w:rsidR="001E5CF6" w:rsidRPr="00A3088E">
        <w:rPr>
          <w:szCs w:val="22"/>
          <w:lang w:val="sr-Latn-ME"/>
        </w:rPr>
        <w:t>nedjelje</w:t>
      </w:r>
      <w:r w:rsidRPr="00A3088E">
        <w:rPr>
          <w:szCs w:val="22"/>
          <w:lang w:val="sr-Latn-ME"/>
        </w:rPr>
        <w:t xml:space="preserve"> trudnoće pa nadalje, upotreba ibuprofena može izazvati oligohidramnion kao rezultat bubrežne disfunkcije fetusa. Ovo se može desiti ubrzo nakon početka </w:t>
      </w:r>
      <w:r w:rsidR="0013334A" w:rsidRPr="00A3088E">
        <w:rPr>
          <w:szCs w:val="22"/>
          <w:lang w:val="sr-Latn-ME"/>
        </w:rPr>
        <w:t xml:space="preserve">terapije </w:t>
      </w:r>
      <w:r w:rsidRPr="00A3088E">
        <w:rPr>
          <w:szCs w:val="22"/>
          <w:lang w:val="sr-Latn-ME"/>
        </w:rPr>
        <w:t xml:space="preserve">i obično je reverzibilno nakon prekida </w:t>
      </w:r>
      <w:r w:rsidR="001E5CF6" w:rsidRPr="00A3088E">
        <w:rPr>
          <w:szCs w:val="22"/>
          <w:lang w:val="sr-Latn-ME"/>
        </w:rPr>
        <w:t>primjene</w:t>
      </w:r>
      <w:r w:rsidRPr="00A3088E">
        <w:rPr>
          <w:szCs w:val="22"/>
          <w:lang w:val="sr-Latn-ME"/>
        </w:rPr>
        <w:t xml:space="preserve"> l</w:t>
      </w:r>
      <w:r w:rsidR="00CA7A31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eka. Pored toga, bilo je izv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 xml:space="preserve">eštaja o zatvaranju (konstrikciji) </w:t>
      </w:r>
      <w:r w:rsidRPr="00A3088E">
        <w:rPr>
          <w:i/>
          <w:szCs w:val="22"/>
          <w:lang w:val="sr-Latn-ME"/>
        </w:rPr>
        <w:t>ductus arteriosus</w:t>
      </w:r>
      <w:r w:rsidRPr="00A3088E">
        <w:rPr>
          <w:szCs w:val="22"/>
          <w:lang w:val="sr-Latn-ME"/>
        </w:rPr>
        <w:t xml:space="preserve"> nakon </w:t>
      </w:r>
      <w:r w:rsidR="001E5CF6" w:rsidRPr="00A3088E">
        <w:rPr>
          <w:szCs w:val="22"/>
          <w:lang w:val="sr-Latn-ME"/>
        </w:rPr>
        <w:t>primjene</w:t>
      </w:r>
      <w:r w:rsidR="0013334A" w:rsidRPr="00A3088E">
        <w:rPr>
          <w:szCs w:val="22"/>
          <w:lang w:val="sr-Latn-ME"/>
        </w:rPr>
        <w:t xml:space="preserve"> l</w:t>
      </w:r>
      <w:r w:rsidR="00CA7A31" w:rsidRPr="00A3088E">
        <w:rPr>
          <w:szCs w:val="22"/>
          <w:lang w:val="sr-Latn-ME"/>
        </w:rPr>
        <w:t>ij</w:t>
      </w:r>
      <w:r w:rsidR="0013334A" w:rsidRPr="00A3088E">
        <w:rPr>
          <w:szCs w:val="22"/>
          <w:lang w:val="sr-Latn-ME"/>
        </w:rPr>
        <w:t xml:space="preserve">eka </w:t>
      </w:r>
      <w:r w:rsidRPr="00A3088E">
        <w:rPr>
          <w:szCs w:val="22"/>
          <w:lang w:val="sr-Latn-ME"/>
        </w:rPr>
        <w:t xml:space="preserve">u drugom trimestru, od kojih je većina nestala nakon </w:t>
      </w:r>
      <w:r w:rsidR="0013334A" w:rsidRPr="00A3088E">
        <w:rPr>
          <w:szCs w:val="22"/>
          <w:lang w:val="sr-Latn-ME"/>
        </w:rPr>
        <w:t>prekida terapije</w:t>
      </w:r>
      <w:r w:rsidRPr="00A3088E">
        <w:rPr>
          <w:szCs w:val="22"/>
          <w:lang w:val="sr-Latn-ME"/>
        </w:rPr>
        <w:t xml:space="preserve">. Zbog toga, tokom prvog i drugog trimestra trudnoće, ibuprofen ne treba davati osim ako </w:t>
      </w:r>
      <w:r w:rsidR="0013334A" w:rsidRPr="00A3088E">
        <w:rPr>
          <w:szCs w:val="22"/>
          <w:lang w:val="sr-Latn-ME"/>
        </w:rPr>
        <w:t xml:space="preserve">je </w:t>
      </w:r>
      <w:r w:rsidRPr="00A3088E">
        <w:rPr>
          <w:szCs w:val="22"/>
          <w:lang w:val="sr-Latn-ME"/>
        </w:rPr>
        <w:t>neophodno. Ukoliko se ibuprofen prim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enjuje kod žena koje planiraju trudnoću ili tokom prvog i drugog trimestra trudnoće, potrebno je prim</w:t>
      </w:r>
      <w:r w:rsidR="00CA7A31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 xml:space="preserve">enjivati najmanju moguću dozu i u najkraćem mogućem periodu. Prenatalni monitoring za oligohidroamnion i </w:t>
      </w:r>
      <w:r w:rsidR="0013334A" w:rsidRPr="00A3088E">
        <w:rPr>
          <w:szCs w:val="22"/>
          <w:lang w:val="sr-Latn-ME"/>
        </w:rPr>
        <w:t xml:space="preserve">konstrikciju </w:t>
      </w:r>
      <w:r w:rsidRPr="00A3088E">
        <w:rPr>
          <w:i/>
          <w:iCs/>
          <w:szCs w:val="22"/>
          <w:lang w:val="sr-Latn-ME"/>
        </w:rPr>
        <w:t>ductus arterious</w:t>
      </w:r>
      <w:r w:rsidRPr="00A3088E">
        <w:rPr>
          <w:szCs w:val="22"/>
          <w:lang w:val="sr-Latn-ME"/>
        </w:rPr>
        <w:t xml:space="preserve"> treba razmotriti nakon izlaganja ibuprofenu </w:t>
      </w:r>
      <w:r w:rsidR="0013334A" w:rsidRPr="00A3088E">
        <w:rPr>
          <w:szCs w:val="22"/>
          <w:lang w:val="sr-Latn-ME"/>
        </w:rPr>
        <w:t xml:space="preserve">tokom </w:t>
      </w:r>
      <w:r w:rsidRPr="00A3088E">
        <w:rPr>
          <w:szCs w:val="22"/>
          <w:lang w:val="sr-Latn-ME"/>
        </w:rPr>
        <w:t xml:space="preserve">nekoliko dana od 20. </w:t>
      </w:r>
      <w:r w:rsidR="001E5CF6" w:rsidRPr="00A3088E">
        <w:rPr>
          <w:szCs w:val="22"/>
          <w:lang w:val="sr-Latn-ME"/>
        </w:rPr>
        <w:t>nedjelje</w:t>
      </w:r>
      <w:r w:rsidRPr="00A3088E">
        <w:rPr>
          <w:szCs w:val="22"/>
          <w:lang w:val="sr-Latn-ME"/>
        </w:rPr>
        <w:t xml:space="preserve"> gestacije i nadalje. Ibuprofen treba isključiti iz terapije ako dođe do oligohidroamniona ili zatvaranja </w:t>
      </w:r>
      <w:r w:rsidRPr="00A3088E">
        <w:rPr>
          <w:i/>
          <w:szCs w:val="22"/>
          <w:lang w:val="sr-Latn-ME"/>
        </w:rPr>
        <w:t>ductus arteriosus</w:t>
      </w:r>
      <w:r w:rsidRPr="00A3088E">
        <w:rPr>
          <w:szCs w:val="22"/>
          <w:lang w:val="sr-Latn-ME"/>
        </w:rPr>
        <w:t>.</w:t>
      </w:r>
    </w:p>
    <w:p w14:paraId="7F05006C" w14:textId="77777777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97D23CA" w14:textId="0A6D11D9" w:rsidR="00E9420A" w:rsidRPr="00A3088E" w:rsidRDefault="00E9420A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Za vr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eme trećeg trimestra trudnoće, svi inhibitori sinteze prostaglandina mogu izložiti fetus sl</w:t>
      </w:r>
      <w:r w:rsidR="00C27A9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edećim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rizicima:</w:t>
      </w:r>
    </w:p>
    <w:p w14:paraId="122F28DE" w14:textId="0172DB70" w:rsidR="00E9420A" w:rsidRPr="00A3088E" w:rsidRDefault="00E9420A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kardiopulmonarnoj toksičnosti (sa pr</w:t>
      </w:r>
      <w:r w:rsidR="00201C16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evremenim zatvaranjem</w:t>
      </w:r>
      <w:r w:rsidR="00376BA3" w:rsidRPr="00A3088E">
        <w:rPr>
          <w:rFonts w:eastAsia="TimesNewRoman"/>
          <w:szCs w:val="22"/>
          <w:lang w:val="sr-Latn-ME"/>
        </w:rPr>
        <w:t xml:space="preserve"> (konstrikcijom)</w:t>
      </w:r>
      <w:r w:rsidRPr="00A3088E">
        <w:rPr>
          <w:rFonts w:eastAsia="TimesNewRoman"/>
          <w:szCs w:val="22"/>
          <w:lang w:val="sr-Latn-ME"/>
        </w:rPr>
        <w:t xml:space="preserve"> </w:t>
      </w:r>
      <w:r w:rsidR="00791974" w:rsidRPr="00A3088E">
        <w:rPr>
          <w:rFonts w:eastAsia="TimesNewRoman"/>
          <w:i/>
          <w:iCs/>
          <w:szCs w:val="22"/>
          <w:lang w:val="sr-Latn-ME"/>
        </w:rPr>
        <w:t>duc</w:t>
      </w:r>
      <w:r w:rsidRPr="00A3088E">
        <w:rPr>
          <w:rFonts w:eastAsia="TimesNewRoman"/>
          <w:i/>
          <w:iCs/>
          <w:szCs w:val="22"/>
          <w:lang w:val="sr-Latn-ME"/>
        </w:rPr>
        <w:t>tus arteriosus</w:t>
      </w:r>
      <w:r w:rsidRPr="00A3088E">
        <w:rPr>
          <w:rFonts w:eastAsia="TimesNewRoman"/>
          <w:szCs w:val="22"/>
          <w:lang w:val="sr-Latn-ME"/>
        </w:rPr>
        <w:t xml:space="preserve"> i plućnom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hipertenzijom)</w:t>
      </w:r>
      <w:r w:rsidR="00376BA3" w:rsidRPr="00A3088E">
        <w:rPr>
          <w:rFonts w:eastAsia="TimesNewRoman"/>
          <w:szCs w:val="22"/>
          <w:lang w:val="sr-Latn-ME"/>
        </w:rPr>
        <w:t>;</w:t>
      </w:r>
    </w:p>
    <w:p w14:paraId="3D3FDC01" w14:textId="3FE98869" w:rsidR="00E9420A" w:rsidRPr="00A3088E" w:rsidRDefault="00E9420A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poremećaju funkcije bubrega</w:t>
      </w:r>
      <w:r w:rsidR="00376BA3" w:rsidRPr="00A3088E">
        <w:rPr>
          <w:rFonts w:eastAsia="TimesNewRoman"/>
          <w:szCs w:val="22"/>
          <w:lang w:val="sr-Latn-ME"/>
        </w:rPr>
        <w:t xml:space="preserve"> (vid</w:t>
      </w:r>
      <w:r w:rsidR="00CA7A31" w:rsidRPr="00A3088E">
        <w:rPr>
          <w:rFonts w:eastAsia="TimesNewRoman"/>
          <w:szCs w:val="22"/>
          <w:lang w:val="sr-Latn-ME"/>
        </w:rPr>
        <w:t>j</w:t>
      </w:r>
      <w:r w:rsidR="00376BA3" w:rsidRPr="00A3088E">
        <w:rPr>
          <w:rFonts w:eastAsia="TimesNewRoman"/>
          <w:szCs w:val="22"/>
          <w:lang w:val="sr-Latn-ME"/>
        </w:rPr>
        <w:t xml:space="preserve">eti </w:t>
      </w:r>
      <w:r w:rsidR="0013334A" w:rsidRPr="00A3088E">
        <w:rPr>
          <w:rFonts w:eastAsia="TimesNewRoman"/>
          <w:szCs w:val="22"/>
          <w:lang w:val="sr-Latn-ME"/>
        </w:rPr>
        <w:t>u prethodnom tekstu</w:t>
      </w:r>
      <w:r w:rsidR="00376BA3" w:rsidRPr="00A3088E">
        <w:rPr>
          <w:rFonts w:eastAsia="TimesNewRoman"/>
          <w:szCs w:val="22"/>
          <w:lang w:val="sr-Latn-ME"/>
        </w:rPr>
        <w:t>)</w:t>
      </w:r>
      <w:r w:rsidRPr="00A3088E">
        <w:rPr>
          <w:rFonts w:eastAsia="TimesNewRoman"/>
          <w:szCs w:val="22"/>
          <w:lang w:val="sr-Latn-ME"/>
        </w:rPr>
        <w:t>, koji može da progredira u renalnu insuficijenciju sa</w:t>
      </w:r>
      <w:r w:rsidR="00791974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oligohidramnionom</w:t>
      </w:r>
      <w:r w:rsidR="00021F9C" w:rsidRPr="00A3088E">
        <w:rPr>
          <w:rFonts w:eastAsia="TimesNewRoman"/>
          <w:szCs w:val="22"/>
          <w:lang w:val="sr-Latn-ME"/>
        </w:rPr>
        <w:t>.</w:t>
      </w:r>
    </w:p>
    <w:p w14:paraId="02A74BDC" w14:textId="77777777" w:rsidR="00376BA3" w:rsidRPr="00A3088E" w:rsidRDefault="00376BA3">
      <w:pPr>
        <w:pStyle w:val="ListParagraph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2D2EEE2" w14:textId="77777777" w:rsidR="00235607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Kod majke i novorođenčeta, na kraju trudnoće može doći do: </w:t>
      </w:r>
    </w:p>
    <w:p w14:paraId="6C22E2F5" w14:textId="0D73E351" w:rsidR="00235607" w:rsidRPr="00A3088E" w:rsidRDefault="00376BA3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mogućeg produženja vremena krvarenja, antiagregacionog dejstva koje se može javiti i pri veoma malim dozama; </w:t>
      </w:r>
    </w:p>
    <w:p w14:paraId="3E3FF391" w14:textId="4BA21B2E" w:rsidR="007C7EF3" w:rsidRPr="00A3088E" w:rsidRDefault="00376BA3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inhibicije kontrakcije uterusa, što može dovesti do odlaganja i prolongiranja porođaja.</w:t>
      </w:r>
    </w:p>
    <w:p w14:paraId="494A9261" w14:textId="77777777" w:rsidR="00376BA3" w:rsidRPr="00A3088E" w:rsidRDefault="00376BA3">
      <w:pPr>
        <w:rPr>
          <w:szCs w:val="22"/>
          <w:lang w:val="sr-Latn-ME"/>
        </w:rPr>
      </w:pPr>
    </w:p>
    <w:p w14:paraId="356CD31F" w14:textId="61AEB869" w:rsidR="00376BA3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Zbog toga je </w:t>
      </w:r>
      <w:r w:rsidR="00CA7A31" w:rsidRPr="00A3088E">
        <w:rPr>
          <w:szCs w:val="22"/>
          <w:lang w:val="sr-Latn-ME"/>
        </w:rPr>
        <w:t>primjena</w:t>
      </w:r>
      <w:r w:rsidRPr="00A3088E">
        <w:rPr>
          <w:szCs w:val="22"/>
          <w:lang w:val="sr-Latn-ME"/>
        </w:rPr>
        <w:t xml:space="preserve"> ibuprofena kontraindikovana u trećem trimestru trudnoće.</w:t>
      </w:r>
    </w:p>
    <w:p w14:paraId="0A50BDDB" w14:textId="77777777" w:rsidR="00376BA3" w:rsidRPr="00A3088E" w:rsidRDefault="00376BA3" w:rsidP="003835E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</w:p>
    <w:p w14:paraId="384F9F88" w14:textId="4CDE618A" w:rsidR="007C7EF3" w:rsidRPr="00A3088E" w:rsidRDefault="007C7EF3" w:rsidP="003835E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Dojenje</w:t>
      </w:r>
    </w:p>
    <w:p w14:paraId="1D7DAD3B" w14:textId="6C6C4FDA" w:rsidR="007C7EF3" w:rsidRPr="00A3088E" w:rsidRDefault="007C7EF3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Ograničeni broj studija je pokazao da se ibuprofen u vrlo maloj koncentraciji izlučuje u majčino ml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eko tako da je malo v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 xml:space="preserve">erovatno da će uticati nepovoljno na odojče. </w:t>
      </w:r>
    </w:p>
    <w:p w14:paraId="4D23021A" w14:textId="77777777" w:rsidR="007C7EF3" w:rsidRPr="00A3088E" w:rsidRDefault="007C7EF3" w:rsidP="003835ED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96B7C42" w14:textId="77777777" w:rsidR="007C7EF3" w:rsidRPr="00A3088E" w:rsidRDefault="007C7EF3" w:rsidP="003835E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Plodnost</w:t>
      </w:r>
    </w:p>
    <w:p w14:paraId="31C21A9D" w14:textId="2C026AC0" w:rsidR="007C7EF3" w:rsidRPr="00A3088E" w:rsidRDefault="001E5CF6" w:rsidP="00F8238F">
      <w:pPr>
        <w:rPr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Pogledati dio </w:t>
      </w:r>
      <w:r w:rsidR="007C7EF3" w:rsidRPr="00A3088E">
        <w:rPr>
          <w:rFonts w:eastAsia="TimesNewRoman"/>
          <w:szCs w:val="22"/>
          <w:lang w:val="sr-Latn-ME"/>
        </w:rPr>
        <w:t xml:space="preserve">4.4 </w:t>
      </w:r>
      <w:r w:rsidR="00996081" w:rsidRPr="00A3088E">
        <w:rPr>
          <w:rFonts w:eastAsia="TimesNewRoman"/>
          <w:szCs w:val="22"/>
          <w:lang w:val="sr-Latn-ME"/>
        </w:rPr>
        <w:t>„</w:t>
      </w:r>
      <w:r w:rsidR="007C7EF3" w:rsidRPr="00A3088E">
        <w:rPr>
          <w:rFonts w:eastAsia="TimesNewRoman"/>
          <w:szCs w:val="22"/>
          <w:lang w:val="sr-Latn-ME"/>
        </w:rPr>
        <w:t>Posebna upozorenja i m</w:t>
      </w:r>
      <w:r w:rsidR="00CA7A31" w:rsidRPr="00A3088E">
        <w:rPr>
          <w:rFonts w:eastAsia="TimesNewRoman"/>
          <w:szCs w:val="22"/>
          <w:lang w:val="sr-Latn-ME"/>
        </w:rPr>
        <w:t>j</w:t>
      </w:r>
      <w:r w:rsidR="007C7EF3" w:rsidRPr="00A3088E">
        <w:rPr>
          <w:rFonts w:eastAsia="TimesNewRoman"/>
          <w:szCs w:val="22"/>
          <w:lang w:val="sr-Latn-ME"/>
        </w:rPr>
        <w:t>ere opreza pri upotrebi l</w:t>
      </w:r>
      <w:r w:rsidR="00CA7A31" w:rsidRPr="00A3088E">
        <w:rPr>
          <w:rFonts w:eastAsia="TimesNewRoman"/>
          <w:szCs w:val="22"/>
          <w:lang w:val="sr-Latn-ME"/>
        </w:rPr>
        <w:t>ij</w:t>
      </w:r>
      <w:r w:rsidR="007C7EF3" w:rsidRPr="00A3088E">
        <w:rPr>
          <w:rFonts w:eastAsia="TimesNewRoman"/>
          <w:szCs w:val="22"/>
          <w:lang w:val="sr-Latn-ME"/>
        </w:rPr>
        <w:t>eka</w:t>
      </w:r>
      <w:r w:rsidR="00996081" w:rsidRPr="00A3088E">
        <w:rPr>
          <w:rFonts w:eastAsia="TimesNewRoman"/>
          <w:szCs w:val="22"/>
          <w:lang w:val="sr-Latn-ME"/>
        </w:rPr>
        <w:t>“</w:t>
      </w:r>
      <w:r w:rsidR="007C7EF3" w:rsidRPr="00A3088E">
        <w:rPr>
          <w:rFonts w:eastAsia="TimesNewRoman"/>
          <w:szCs w:val="22"/>
          <w:lang w:val="sr-Latn-ME"/>
        </w:rPr>
        <w:t>, u pogledu plodnosti kod žena.</w:t>
      </w:r>
    </w:p>
    <w:p w14:paraId="58FAF852" w14:textId="77777777" w:rsidR="00E9420A" w:rsidRPr="00A3088E" w:rsidRDefault="00E9420A">
      <w:pPr>
        <w:rPr>
          <w:szCs w:val="22"/>
          <w:lang w:val="sr-Latn-ME"/>
        </w:rPr>
      </w:pPr>
    </w:p>
    <w:p w14:paraId="5D3F75CE" w14:textId="231D1A63" w:rsidR="00CE09F3" w:rsidRPr="00A3088E" w:rsidRDefault="00CE09F3">
      <w:pPr>
        <w:rPr>
          <w:b/>
          <w:bCs/>
          <w:spacing w:val="-8"/>
          <w:szCs w:val="22"/>
          <w:lang w:val="sr-Latn-ME"/>
        </w:rPr>
      </w:pPr>
      <w:r w:rsidRPr="00A3088E">
        <w:rPr>
          <w:b/>
          <w:bCs/>
          <w:spacing w:val="-8"/>
          <w:szCs w:val="22"/>
          <w:lang w:val="sr-Latn-ME"/>
        </w:rPr>
        <w:t xml:space="preserve">4.7. </w:t>
      </w:r>
      <w:r w:rsidR="002072EC" w:rsidRPr="00A3088E">
        <w:rPr>
          <w:b/>
          <w:bCs/>
          <w:spacing w:val="-8"/>
          <w:szCs w:val="22"/>
          <w:lang w:val="sr-Latn-ME"/>
        </w:rPr>
        <w:t>Uticaj na sposobnost upravljanja vozilima i rukovanje mašinama</w:t>
      </w:r>
    </w:p>
    <w:p w14:paraId="5D3F75CF" w14:textId="77777777" w:rsidR="00CE09F3" w:rsidRPr="00A3088E" w:rsidRDefault="00CE09F3">
      <w:pPr>
        <w:rPr>
          <w:szCs w:val="22"/>
          <w:lang w:val="sr-Latn-ME"/>
        </w:rPr>
      </w:pPr>
    </w:p>
    <w:p w14:paraId="6CF773C7" w14:textId="7F3A0C02" w:rsidR="007C7EF3" w:rsidRPr="00A3088E" w:rsidRDefault="007C7EF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Ne očekuje se uticaj na sposobnost upravljanja vozilima i rukovanje mašinama u preporučenim dozama i trajanju terapije.</w:t>
      </w:r>
    </w:p>
    <w:p w14:paraId="157E9499" w14:textId="77777777" w:rsidR="00E9420A" w:rsidRPr="00A3088E" w:rsidRDefault="00E9420A">
      <w:pPr>
        <w:rPr>
          <w:szCs w:val="22"/>
          <w:lang w:val="sr-Latn-ME"/>
        </w:rPr>
      </w:pPr>
    </w:p>
    <w:p w14:paraId="5D3F75D1" w14:textId="546E134D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4.8. Neželjena dejstva</w:t>
      </w:r>
    </w:p>
    <w:p w14:paraId="5D3F75D2" w14:textId="77777777" w:rsidR="00CE09F3" w:rsidRPr="00A3088E" w:rsidRDefault="00CE09F3">
      <w:pPr>
        <w:rPr>
          <w:noProof/>
          <w:szCs w:val="22"/>
          <w:u w:val="single"/>
          <w:lang w:val="sr-Latn-ME"/>
        </w:rPr>
      </w:pPr>
    </w:p>
    <w:p w14:paraId="5D3F75D4" w14:textId="0D333B3E" w:rsidR="00CE09F3" w:rsidRPr="00A3088E" w:rsidRDefault="00D946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Neželjeni događaji povezani sa ibuprofenom su navedeni u tabeli u nastavku, prema klasi sistema organa 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učestalosti. Učestalost se definiše na sl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edeći način: veoma često (≥1/10), često (≥1/100 do &lt;1/10),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povremeno (≥1/1000 do &lt;1/100), r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etko (≥1/10000 do &lt;1/1000), veoma r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etko (&lt;1/10000) i nepoznato (ne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može se proc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eniti na osnovu dostupnih podataka). U okviru svih grupa učestalosti javljanja, neželjeni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događaji su opisani po opadajućoj ozbiljnosti.</w:t>
      </w:r>
    </w:p>
    <w:p w14:paraId="266BEFC1" w14:textId="77777777" w:rsidR="00D9464C" w:rsidRPr="00A3088E" w:rsidRDefault="00D9464C">
      <w:pPr>
        <w:rPr>
          <w:noProof/>
          <w:szCs w:val="22"/>
          <w:u w:val="single"/>
          <w:lang w:val="sr-Latn-ME"/>
        </w:rPr>
      </w:pPr>
    </w:p>
    <w:p w14:paraId="7117A4B3" w14:textId="01745F5E" w:rsidR="00D9464C" w:rsidRPr="00A3088E" w:rsidRDefault="00D946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lastRenderedPageBreak/>
        <w:t>Sl</w:t>
      </w:r>
      <w:r w:rsidR="00CA7A31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 xml:space="preserve">edeća lista neželjenih dejstava se odnosi na </w:t>
      </w:r>
      <w:r w:rsidR="00F3215D" w:rsidRPr="00A3088E">
        <w:rPr>
          <w:noProof/>
          <w:szCs w:val="22"/>
          <w:lang w:val="sr-Latn-ME"/>
        </w:rPr>
        <w:t>upotrebu ibuprofena u pomenutim indikacijama i načinu doziranja</w:t>
      </w:r>
      <w:r w:rsidRPr="00A3088E">
        <w:rPr>
          <w:rFonts w:eastAsia="TimesNewRoman"/>
          <w:szCs w:val="22"/>
          <w:lang w:val="sr-Latn-ME"/>
        </w:rPr>
        <w:t xml:space="preserve"> (maksimalno 1200 mg dnevno) tokom kratkotrajne </w:t>
      </w:r>
      <w:r w:rsidR="001E5CF6" w:rsidRPr="00A3088E">
        <w:rPr>
          <w:rFonts w:eastAsia="TimesNewRoman"/>
          <w:szCs w:val="22"/>
          <w:lang w:val="sr-Latn-ME"/>
        </w:rPr>
        <w:t>primjene</w:t>
      </w:r>
      <w:r w:rsidRPr="00A3088E">
        <w:rPr>
          <w:rFonts w:eastAsia="TimesNewRoman"/>
          <w:szCs w:val="22"/>
          <w:lang w:val="sr-Latn-ME"/>
        </w:rPr>
        <w:t>. U terapiji hroničnih stanja, dugoročnom terapijom može doći do dodatnih neželjenih dejstava.</w:t>
      </w:r>
    </w:p>
    <w:p w14:paraId="0DBA1D0B" w14:textId="77777777" w:rsidR="00D9464C" w:rsidRPr="00A3088E" w:rsidRDefault="00D9464C">
      <w:pPr>
        <w:rPr>
          <w:noProof/>
          <w:szCs w:val="22"/>
          <w:u w:val="single"/>
          <w:lang w:val="sr-Latn-ME"/>
        </w:rPr>
      </w:pPr>
    </w:p>
    <w:p w14:paraId="65602670" w14:textId="139AFAC2" w:rsidR="00D9464C" w:rsidRPr="00A3088E" w:rsidRDefault="00D9464C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Najčešća </w:t>
      </w:r>
      <w:r w:rsidR="00CA7A31" w:rsidRPr="00A3088E">
        <w:rPr>
          <w:rFonts w:eastAsia="TimesNewRoman"/>
          <w:szCs w:val="22"/>
          <w:lang w:val="sr-Latn-ME"/>
        </w:rPr>
        <w:t>zabilježena</w:t>
      </w:r>
      <w:r w:rsidRPr="00A3088E">
        <w:rPr>
          <w:rFonts w:eastAsia="TimesNewRoman"/>
          <w:szCs w:val="22"/>
          <w:lang w:val="sr-Latn-ME"/>
        </w:rPr>
        <w:t xml:space="preserve"> neželjena dejstva su gastrointestinalne prirode. Neželjena dejstva su najčešće dozno zavisna, posebno rizik od nastanka ga</w:t>
      </w:r>
      <w:r w:rsidR="008E209B" w:rsidRPr="00A3088E">
        <w:rPr>
          <w:rFonts w:eastAsia="TimesNewRoman"/>
          <w:szCs w:val="22"/>
          <w:lang w:val="sr-Latn-ME"/>
        </w:rPr>
        <w:t>s</w:t>
      </w:r>
      <w:r w:rsidRPr="00A3088E">
        <w:rPr>
          <w:rFonts w:eastAsia="TimesNewRoman"/>
          <w:szCs w:val="22"/>
          <w:lang w:val="sr-Latn-ME"/>
        </w:rPr>
        <w:t>trointestinalnog krvarenja zavisi od doze i dužine prim</w:t>
      </w:r>
      <w:r w:rsidR="00CA7A31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enjene terapije.</w:t>
      </w:r>
    </w:p>
    <w:p w14:paraId="15FAAE88" w14:textId="2BAAA35B" w:rsidR="00D9464C" w:rsidRPr="00A3088E" w:rsidRDefault="00D9464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Kliničke studije su pokazale da </w:t>
      </w:r>
      <w:r w:rsidR="00CA7A31" w:rsidRPr="00A3088E">
        <w:rPr>
          <w:szCs w:val="22"/>
          <w:lang w:val="sr-Latn-ME"/>
        </w:rPr>
        <w:t>primjena</w:t>
      </w:r>
      <w:r w:rsidRPr="00A3088E">
        <w:rPr>
          <w:szCs w:val="22"/>
          <w:lang w:val="sr-Latn-ME"/>
        </w:rPr>
        <w:t xml:space="preserve"> ibuprofena, posebno u većim dozama (2400 mg/dan) može biti </w:t>
      </w:r>
      <w:r w:rsidR="00376BA3" w:rsidRPr="00A3088E">
        <w:rPr>
          <w:szCs w:val="22"/>
          <w:lang w:val="sr-Latn-ME"/>
        </w:rPr>
        <w:t>ud</w:t>
      </w:r>
      <w:r w:rsidRPr="00A3088E">
        <w:rPr>
          <w:szCs w:val="22"/>
          <w:lang w:val="sr-Latn-ME"/>
        </w:rPr>
        <w:t>ružena sa malo povećanim rizikom od nastanka arterijskih trombotičkih događaja (npr. infarkt miokarda ili moždani udar)</w:t>
      </w:r>
      <w:r w:rsidR="00376BA3" w:rsidRPr="00A3088E">
        <w:rPr>
          <w:szCs w:val="22"/>
          <w:lang w:val="sr-Latn-ME"/>
        </w:rPr>
        <w:t xml:space="preserve"> </w:t>
      </w:r>
      <w:r w:rsidRPr="00A3088E">
        <w:rPr>
          <w:szCs w:val="22"/>
          <w:lang w:val="sr-Latn-ME"/>
        </w:rPr>
        <w:t>(</w:t>
      </w:r>
      <w:r w:rsidR="001E5CF6" w:rsidRPr="00A3088E">
        <w:rPr>
          <w:szCs w:val="22"/>
          <w:lang w:val="sr-Latn-ME"/>
        </w:rPr>
        <w:t xml:space="preserve">pogledati dio </w:t>
      </w:r>
      <w:r w:rsidRPr="00A3088E">
        <w:rPr>
          <w:szCs w:val="22"/>
          <w:lang w:val="sr-Latn-ME"/>
        </w:rPr>
        <w:t>4.4).</w:t>
      </w:r>
    </w:p>
    <w:p w14:paraId="6CD58340" w14:textId="77777777" w:rsidR="00D9464C" w:rsidRPr="00A3088E" w:rsidRDefault="00D9464C" w:rsidP="003835E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9464C" w:rsidRPr="00A3088E" w14:paraId="74B338E9" w14:textId="77777777" w:rsidTr="00D9464C">
        <w:tc>
          <w:tcPr>
            <w:tcW w:w="3209" w:type="dxa"/>
          </w:tcPr>
          <w:p w14:paraId="12577BB8" w14:textId="0380BE42" w:rsidR="00D9464C" w:rsidRPr="00A3088E" w:rsidRDefault="00D9464C" w:rsidP="00F8238F">
            <w:pPr>
              <w:rPr>
                <w:noProof/>
                <w:szCs w:val="22"/>
                <w:u w:val="single"/>
                <w:lang w:val="sr-Latn-ME"/>
              </w:rPr>
            </w:pPr>
            <w:r w:rsidRPr="00A3088E">
              <w:rPr>
                <w:b/>
                <w:bCs/>
                <w:szCs w:val="22"/>
                <w:lang w:val="sr-Latn-ME"/>
              </w:rPr>
              <w:t>Klasa sistema organa</w:t>
            </w:r>
          </w:p>
        </w:tc>
        <w:tc>
          <w:tcPr>
            <w:tcW w:w="3210" w:type="dxa"/>
          </w:tcPr>
          <w:p w14:paraId="4131F4DF" w14:textId="40869975" w:rsidR="00D9464C" w:rsidRPr="00A3088E" w:rsidRDefault="00A1323B">
            <w:pPr>
              <w:rPr>
                <w:b/>
                <w:noProof/>
                <w:szCs w:val="22"/>
                <w:lang w:val="sr-Latn-ME"/>
              </w:rPr>
            </w:pPr>
            <w:r w:rsidRPr="00A3088E">
              <w:rPr>
                <w:b/>
                <w:noProof/>
                <w:szCs w:val="22"/>
                <w:lang w:val="sr-Latn-ME"/>
              </w:rPr>
              <w:t>Učestalost</w:t>
            </w:r>
          </w:p>
        </w:tc>
        <w:tc>
          <w:tcPr>
            <w:tcW w:w="3210" w:type="dxa"/>
          </w:tcPr>
          <w:p w14:paraId="348BDD3D" w14:textId="42ABB535" w:rsidR="00D9464C" w:rsidRPr="00A3088E" w:rsidRDefault="00A1323B">
            <w:pPr>
              <w:rPr>
                <w:i/>
                <w:noProof/>
                <w:szCs w:val="22"/>
                <w:u w:val="single"/>
                <w:lang w:val="sr-Latn-ME"/>
              </w:rPr>
            </w:pPr>
            <w:r w:rsidRPr="00A3088E">
              <w:rPr>
                <w:b/>
                <w:bCs/>
                <w:szCs w:val="22"/>
                <w:lang w:val="sr-Latn-ME"/>
              </w:rPr>
              <w:t>Neželjena reakcija</w:t>
            </w:r>
          </w:p>
        </w:tc>
      </w:tr>
      <w:tr w:rsidR="00D9464C" w:rsidRPr="00A3088E" w14:paraId="66B0F01B" w14:textId="77777777" w:rsidTr="00D9464C">
        <w:tc>
          <w:tcPr>
            <w:tcW w:w="3209" w:type="dxa"/>
          </w:tcPr>
          <w:p w14:paraId="1A9B34FD" w14:textId="36F2CEA8" w:rsidR="00D9464C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Poremećaj krvi i limfnog sistema</w:t>
            </w:r>
          </w:p>
        </w:tc>
        <w:tc>
          <w:tcPr>
            <w:tcW w:w="3210" w:type="dxa"/>
          </w:tcPr>
          <w:p w14:paraId="4F4C8894" w14:textId="019D0029" w:rsidR="00D9464C" w:rsidRPr="00A3088E" w:rsidRDefault="00A1323B" w:rsidP="003835ED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46207839" w14:textId="0C02F7AE" w:rsidR="00D9464C" w:rsidRPr="00A3088E" w:rsidRDefault="00FD15E4" w:rsidP="003835ED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A3088E">
              <w:rPr>
                <w:szCs w:val="22"/>
                <w:lang w:val="sr-Latn-ME"/>
              </w:rPr>
              <w:t xml:space="preserve">Poremećaj hematopoeze (anemija, leukopenija, trombocitopenija, pancitopenija, agranulocitoza). Prvi znaci su: povišena temperatura, bol u grlu, površni ulkusi u ustima, </w:t>
            </w:r>
            <w:r w:rsidR="00DB4C75" w:rsidRPr="00A3088E">
              <w:rPr>
                <w:szCs w:val="22"/>
                <w:lang w:val="sr-Latn-ME"/>
              </w:rPr>
              <w:t xml:space="preserve">simptomi </w:t>
            </w:r>
            <w:r w:rsidRPr="00A3088E">
              <w:rPr>
                <w:szCs w:val="22"/>
                <w:lang w:val="sr-Latn-ME"/>
              </w:rPr>
              <w:t>slični gripu, teška iscrpljenost, neobjašnjiva krvarenja i pojava modrica.</w:t>
            </w:r>
          </w:p>
        </w:tc>
      </w:tr>
      <w:tr w:rsidR="00A1323B" w:rsidRPr="00A3088E" w14:paraId="57A329BE" w14:textId="77777777" w:rsidTr="00D9464C">
        <w:tc>
          <w:tcPr>
            <w:tcW w:w="3209" w:type="dxa"/>
            <w:vMerge w:val="restart"/>
          </w:tcPr>
          <w:p w14:paraId="2CF82E00" w14:textId="54421735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Poremećaj imunskog sistema</w:t>
            </w:r>
          </w:p>
        </w:tc>
        <w:tc>
          <w:tcPr>
            <w:tcW w:w="3210" w:type="dxa"/>
          </w:tcPr>
          <w:p w14:paraId="480988F2" w14:textId="1706C1E2" w:rsidR="00A1323B" w:rsidRPr="00A3088E" w:rsidRDefault="00A1323B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3210" w:type="dxa"/>
          </w:tcPr>
          <w:p w14:paraId="30D788AD" w14:textId="14E6AC36" w:rsidR="00A1323B" w:rsidRPr="00A3088E" w:rsidRDefault="00795219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Reakcije preos</w:t>
            </w:r>
            <w:r w:rsidR="00CA7A31" w:rsidRPr="00A3088E">
              <w:rPr>
                <w:rFonts w:eastAsia="TimesNewRoman"/>
                <w:szCs w:val="22"/>
                <w:lang w:val="sr-Latn-ME"/>
              </w:rPr>
              <w:t>j</w:t>
            </w:r>
            <w:r w:rsidRPr="00A3088E">
              <w:rPr>
                <w:rFonts w:eastAsia="TimesNewRoman"/>
                <w:szCs w:val="22"/>
                <w:lang w:val="sr-Latn-ME"/>
              </w:rPr>
              <w:t>etljivosti</w:t>
            </w:r>
            <w:r w:rsidR="00D20732" w:rsidRPr="00A3088E">
              <w:rPr>
                <w:rFonts w:eastAsia="TimesNewRoman"/>
                <w:szCs w:val="22"/>
                <w:vertAlign w:val="superscript"/>
                <w:lang w:val="sr-Latn-ME"/>
              </w:rPr>
              <w:t>1</w:t>
            </w:r>
            <w:r w:rsidRPr="00A3088E">
              <w:rPr>
                <w:rFonts w:eastAsia="TimesNewRoman"/>
                <w:szCs w:val="22"/>
                <w:lang w:val="sr-Latn-ME"/>
              </w:rPr>
              <w:t xml:space="preserve"> sa urtikarijom i prurit</w:t>
            </w:r>
            <w:r w:rsidR="00DB4C75" w:rsidRPr="00A3088E">
              <w:rPr>
                <w:rFonts w:eastAsia="TimesNewRoman"/>
                <w:szCs w:val="22"/>
                <w:lang w:val="sr-Latn-ME"/>
              </w:rPr>
              <w:t>u</w:t>
            </w:r>
            <w:r w:rsidRPr="00A3088E">
              <w:rPr>
                <w:rFonts w:eastAsia="TimesNewRoman"/>
                <w:szCs w:val="22"/>
                <w:lang w:val="sr-Latn-ME"/>
              </w:rPr>
              <w:t>som</w:t>
            </w:r>
          </w:p>
        </w:tc>
      </w:tr>
      <w:tr w:rsidR="00A1323B" w:rsidRPr="00A3088E" w14:paraId="4CDEB62E" w14:textId="77777777" w:rsidTr="00D9464C">
        <w:tc>
          <w:tcPr>
            <w:tcW w:w="3209" w:type="dxa"/>
            <w:vMerge/>
          </w:tcPr>
          <w:p w14:paraId="29853026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7594D846" w14:textId="6C4DEEE7" w:rsidR="00A1323B" w:rsidRPr="00A3088E" w:rsidRDefault="00A1323B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6A39F7A7" w14:textId="70695BEC" w:rsidR="00A1323B" w:rsidRPr="00A3088E" w:rsidRDefault="00376BA3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szCs w:val="22"/>
                <w:lang w:val="sr-Latn-ME"/>
              </w:rPr>
              <w:t>Teške reakcije preos</w:t>
            </w:r>
            <w:r w:rsidR="00CA7A31" w:rsidRPr="00A3088E">
              <w:rPr>
                <w:szCs w:val="22"/>
                <w:lang w:val="sr-Latn-ME"/>
              </w:rPr>
              <w:t>j</w:t>
            </w:r>
            <w:r w:rsidRPr="00A3088E">
              <w:rPr>
                <w:szCs w:val="22"/>
                <w:lang w:val="sr-Latn-ME"/>
              </w:rPr>
              <w:t>etljivosti. Simptomi mogu uključiti oticanje lica, jezika i grkljana, dispneju, tahikardiju, hipotenziju (anafilaksa, angioedem ili težak šok).</w:t>
            </w:r>
          </w:p>
        </w:tc>
      </w:tr>
      <w:tr w:rsidR="00A1323B" w:rsidRPr="00A3088E" w14:paraId="0B8E1132" w14:textId="77777777" w:rsidTr="00D9464C">
        <w:tc>
          <w:tcPr>
            <w:tcW w:w="3209" w:type="dxa"/>
            <w:vMerge/>
          </w:tcPr>
          <w:p w14:paraId="16FFEDDC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7354E104" w14:textId="25068D2B" w:rsidR="00A1323B" w:rsidRPr="00A3088E" w:rsidRDefault="00FD15E4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1A495D54" w14:textId="41F778B9" w:rsidR="00A1323B" w:rsidRPr="00A3088E" w:rsidRDefault="00795219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A3088E">
              <w:rPr>
                <w:szCs w:val="22"/>
                <w:lang w:val="sr-Latn-ME"/>
              </w:rPr>
              <w:t>Reaktivnost respiratornog trakta uključujući astmu, pogoršanje astme, bronhospazam ili dispneju</w:t>
            </w:r>
          </w:p>
        </w:tc>
      </w:tr>
      <w:tr w:rsidR="00376BA3" w:rsidRPr="00A3088E" w14:paraId="6829272E" w14:textId="77777777" w:rsidTr="00D9464C">
        <w:tc>
          <w:tcPr>
            <w:tcW w:w="3209" w:type="dxa"/>
            <w:vMerge w:val="restart"/>
          </w:tcPr>
          <w:p w14:paraId="58FDA8E1" w14:textId="30CB107B" w:rsidR="00376BA3" w:rsidRPr="00A3088E" w:rsidRDefault="00376BA3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 xml:space="preserve">Poremećaj metabolizma i ishrane </w:t>
            </w:r>
          </w:p>
        </w:tc>
        <w:tc>
          <w:tcPr>
            <w:tcW w:w="3210" w:type="dxa"/>
            <w:vMerge w:val="restart"/>
          </w:tcPr>
          <w:p w14:paraId="1644AC03" w14:textId="56E7ECEF" w:rsidR="00376BA3" w:rsidRPr="00A3088E" w:rsidRDefault="00376BA3" w:rsidP="00BA0938">
            <w:pPr>
              <w:rPr>
                <w:iCs/>
                <w:noProof/>
                <w:szCs w:val="22"/>
                <w:lang w:val="sr-Latn-ME"/>
              </w:rPr>
            </w:pPr>
            <w:r w:rsidRPr="00A3088E">
              <w:rPr>
                <w:iCs/>
                <w:noProof/>
                <w:szCs w:val="22"/>
                <w:lang w:val="sr-Latn-ME"/>
              </w:rPr>
              <w:t xml:space="preserve">Nepoznato </w:t>
            </w:r>
          </w:p>
        </w:tc>
        <w:tc>
          <w:tcPr>
            <w:tcW w:w="3210" w:type="dxa"/>
          </w:tcPr>
          <w:p w14:paraId="6387B49F" w14:textId="1A796983" w:rsidR="00376BA3" w:rsidRPr="00A3088E" w:rsidRDefault="00376BA3" w:rsidP="00F8238F">
            <w:pPr>
              <w:rPr>
                <w:iCs/>
                <w:noProof/>
                <w:szCs w:val="22"/>
                <w:lang w:val="sr-Latn-ME"/>
              </w:rPr>
            </w:pPr>
            <w:r w:rsidRPr="00A3088E">
              <w:rPr>
                <w:iCs/>
                <w:noProof/>
                <w:szCs w:val="22"/>
                <w:lang w:val="sr-Latn-ME"/>
              </w:rPr>
              <w:t>Smanjen apetit</w:t>
            </w:r>
          </w:p>
        </w:tc>
      </w:tr>
      <w:tr w:rsidR="00376BA3" w:rsidRPr="00A3088E" w14:paraId="1522EDB3" w14:textId="77777777" w:rsidTr="00D9464C">
        <w:tc>
          <w:tcPr>
            <w:tcW w:w="3209" w:type="dxa"/>
            <w:vMerge/>
          </w:tcPr>
          <w:p w14:paraId="0DD0ED60" w14:textId="77777777" w:rsidR="00376BA3" w:rsidRPr="00A3088E" w:rsidRDefault="00376BA3">
            <w:pPr>
              <w:rPr>
                <w:i/>
                <w:noProof/>
                <w:szCs w:val="22"/>
                <w:lang w:val="sr-Latn-ME"/>
              </w:rPr>
            </w:pPr>
          </w:p>
        </w:tc>
        <w:tc>
          <w:tcPr>
            <w:tcW w:w="3210" w:type="dxa"/>
            <w:vMerge/>
          </w:tcPr>
          <w:p w14:paraId="232F314D" w14:textId="77777777" w:rsidR="00376BA3" w:rsidRPr="00A3088E" w:rsidRDefault="00376BA3" w:rsidP="00570F2D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3210" w:type="dxa"/>
          </w:tcPr>
          <w:p w14:paraId="64831E01" w14:textId="11FCC79E" w:rsidR="00376BA3" w:rsidRPr="00A3088E" w:rsidRDefault="00376BA3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Hipokalemija*</w:t>
            </w:r>
          </w:p>
        </w:tc>
      </w:tr>
      <w:tr w:rsidR="00A1323B" w:rsidRPr="00A3088E" w14:paraId="48A1D135" w14:textId="77777777" w:rsidTr="00D9464C">
        <w:tc>
          <w:tcPr>
            <w:tcW w:w="3209" w:type="dxa"/>
            <w:vMerge w:val="restart"/>
          </w:tcPr>
          <w:p w14:paraId="64366F0C" w14:textId="7525DDE6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Poremećaj nervnog sistema</w:t>
            </w:r>
          </w:p>
        </w:tc>
        <w:tc>
          <w:tcPr>
            <w:tcW w:w="3210" w:type="dxa"/>
          </w:tcPr>
          <w:p w14:paraId="174F0EEE" w14:textId="40ACA111" w:rsidR="00A1323B" w:rsidRPr="00A3088E" w:rsidRDefault="00FD15E4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3210" w:type="dxa"/>
          </w:tcPr>
          <w:p w14:paraId="4EFC85B2" w14:textId="7020AE85" w:rsidR="00A1323B" w:rsidRPr="00A3088E" w:rsidRDefault="00795219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Glavobolja</w:t>
            </w:r>
          </w:p>
        </w:tc>
      </w:tr>
      <w:tr w:rsidR="00A1323B" w:rsidRPr="00A3088E" w14:paraId="7F4B7B44" w14:textId="77777777" w:rsidTr="00D9464C">
        <w:tc>
          <w:tcPr>
            <w:tcW w:w="3209" w:type="dxa"/>
            <w:vMerge/>
          </w:tcPr>
          <w:p w14:paraId="31FCFFA6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51E85D98" w14:textId="3072BE1D" w:rsidR="00A1323B" w:rsidRPr="00A3088E" w:rsidRDefault="00FD15E4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5A5B6556" w14:textId="7484409B" w:rsidR="00A1323B" w:rsidRPr="00A3088E" w:rsidRDefault="00795219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Aseptički meningitis</w:t>
            </w:r>
            <w:r w:rsidR="00D20732" w:rsidRPr="00A3088E">
              <w:rPr>
                <w:noProof/>
                <w:szCs w:val="22"/>
                <w:vertAlign w:val="superscript"/>
                <w:lang w:val="sr-Latn-ME"/>
              </w:rPr>
              <w:t>2</w:t>
            </w:r>
          </w:p>
        </w:tc>
      </w:tr>
      <w:tr w:rsidR="00376BA3" w:rsidRPr="00A3088E" w14:paraId="4DE8482A" w14:textId="77777777" w:rsidTr="00D9464C">
        <w:tc>
          <w:tcPr>
            <w:tcW w:w="3209" w:type="dxa"/>
            <w:vMerge w:val="restart"/>
          </w:tcPr>
          <w:p w14:paraId="26576B37" w14:textId="09F77512" w:rsidR="00376BA3" w:rsidRPr="00A3088E" w:rsidRDefault="00376BA3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Kardiološki poremećaji</w:t>
            </w:r>
          </w:p>
        </w:tc>
        <w:tc>
          <w:tcPr>
            <w:tcW w:w="3210" w:type="dxa"/>
          </w:tcPr>
          <w:p w14:paraId="02B8F52D" w14:textId="412D5CF5" w:rsidR="00376BA3" w:rsidRPr="00A3088E" w:rsidRDefault="007B640B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0CA26ACF" w14:textId="5F5D8438" w:rsidR="00376BA3" w:rsidRPr="00A3088E" w:rsidRDefault="00376BA3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K</w:t>
            </w:r>
            <w:r w:rsidR="00DB4C75" w:rsidRPr="00A3088E">
              <w:rPr>
                <w:i/>
                <w:noProof/>
                <w:szCs w:val="22"/>
                <w:lang w:val="sr-Latn-ME"/>
              </w:rPr>
              <w:t>o</w:t>
            </w:r>
            <w:r w:rsidRPr="00A3088E">
              <w:rPr>
                <w:i/>
                <w:noProof/>
                <w:szCs w:val="22"/>
                <w:lang w:val="sr-Latn-ME"/>
              </w:rPr>
              <w:t>unis</w:t>
            </w:r>
            <w:r w:rsidR="00DB4C75" w:rsidRPr="00A3088E">
              <w:rPr>
                <w:noProof/>
                <w:szCs w:val="22"/>
                <w:lang w:val="sr-Latn-ME"/>
              </w:rPr>
              <w:t>-</w:t>
            </w:r>
            <w:r w:rsidRPr="00A3088E">
              <w:rPr>
                <w:noProof/>
                <w:szCs w:val="22"/>
                <w:lang w:val="sr-Latn-ME"/>
              </w:rPr>
              <w:t>ov sindrom</w:t>
            </w:r>
          </w:p>
        </w:tc>
      </w:tr>
      <w:tr w:rsidR="00376BA3" w:rsidRPr="00A3088E" w14:paraId="20A39D03" w14:textId="77777777" w:rsidTr="00D9464C">
        <w:tc>
          <w:tcPr>
            <w:tcW w:w="3209" w:type="dxa"/>
            <w:vMerge/>
          </w:tcPr>
          <w:p w14:paraId="20211095" w14:textId="60BE9217" w:rsidR="00376BA3" w:rsidRPr="00A3088E" w:rsidRDefault="00376BA3">
            <w:pPr>
              <w:rPr>
                <w:i/>
                <w:noProof/>
                <w:szCs w:val="22"/>
                <w:lang w:val="sr-Latn-ME"/>
              </w:rPr>
            </w:pPr>
          </w:p>
        </w:tc>
        <w:tc>
          <w:tcPr>
            <w:tcW w:w="3210" w:type="dxa"/>
          </w:tcPr>
          <w:p w14:paraId="2F85D74E" w14:textId="5DF079AF" w:rsidR="00376BA3" w:rsidRPr="00A3088E" w:rsidRDefault="00376BA3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3CA1A780" w14:textId="0332E891" w:rsidR="00376BA3" w:rsidRPr="00A3088E" w:rsidRDefault="00376BA3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Srčana insuficijencija i edem</w:t>
            </w:r>
          </w:p>
        </w:tc>
      </w:tr>
      <w:tr w:rsidR="00A1323B" w:rsidRPr="00A3088E" w14:paraId="00E7098E" w14:textId="77777777" w:rsidTr="00D9464C">
        <w:tc>
          <w:tcPr>
            <w:tcW w:w="3209" w:type="dxa"/>
          </w:tcPr>
          <w:p w14:paraId="78E09F4B" w14:textId="1576C761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Vaskularni poremećaji</w:t>
            </w:r>
          </w:p>
        </w:tc>
        <w:tc>
          <w:tcPr>
            <w:tcW w:w="3210" w:type="dxa"/>
          </w:tcPr>
          <w:p w14:paraId="5C4BF489" w14:textId="44D4428C" w:rsidR="00A1323B" w:rsidRPr="00A3088E" w:rsidRDefault="00FD15E4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68F10203" w14:textId="767FFCEF" w:rsidR="00A1323B" w:rsidRPr="00A3088E" w:rsidRDefault="00795219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Hipertenzija</w:t>
            </w:r>
          </w:p>
        </w:tc>
      </w:tr>
      <w:tr w:rsidR="00A1323B" w:rsidRPr="00A3088E" w14:paraId="38113E19" w14:textId="77777777" w:rsidTr="00D9464C">
        <w:tc>
          <w:tcPr>
            <w:tcW w:w="3209" w:type="dxa"/>
            <w:vMerge w:val="restart"/>
          </w:tcPr>
          <w:p w14:paraId="501CE9AF" w14:textId="5F8E9667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Gastrointestinalni poremećaji</w:t>
            </w:r>
          </w:p>
        </w:tc>
        <w:tc>
          <w:tcPr>
            <w:tcW w:w="3210" w:type="dxa"/>
          </w:tcPr>
          <w:p w14:paraId="003DCFB8" w14:textId="0F3E6608" w:rsidR="00A1323B" w:rsidRPr="00A3088E" w:rsidRDefault="00FD15E4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3210" w:type="dxa"/>
          </w:tcPr>
          <w:p w14:paraId="5E5683F5" w14:textId="7920C663" w:rsidR="00A1323B" w:rsidRPr="00A3088E" w:rsidRDefault="00795219" w:rsidP="00F8238F">
            <w:pPr>
              <w:rPr>
                <w:noProof/>
                <w:szCs w:val="22"/>
                <w:u w:val="single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Bol u stomaku, mučnina i dispepsija</w:t>
            </w:r>
          </w:p>
        </w:tc>
      </w:tr>
      <w:tr w:rsidR="00A1323B" w:rsidRPr="00A3088E" w14:paraId="434C841B" w14:textId="77777777" w:rsidTr="00D9464C">
        <w:tc>
          <w:tcPr>
            <w:tcW w:w="3209" w:type="dxa"/>
            <w:vMerge/>
          </w:tcPr>
          <w:p w14:paraId="2F1D3290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0E297E61" w14:textId="7EB0BD3A" w:rsidR="00A1323B" w:rsidRPr="00A3088E" w:rsidRDefault="00CA7A31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68E20E53" w14:textId="7B12C81F" w:rsidR="00A1323B" w:rsidRPr="00A3088E" w:rsidRDefault="00795219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Dijareja, nadimanje, konstipacija i povraćanje</w:t>
            </w:r>
          </w:p>
        </w:tc>
      </w:tr>
      <w:tr w:rsidR="00A1323B" w:rsidRPr="00A3088E" w14:paraId="4275637B" w14:textId="77777777" w:rsidTr="00D9464C">
        <w:tc>
          <w:tcPr>
            <w:tcW w:w="3209" w:type="dxa"/>
            <w:vMerge/>
          </w:tcPr>
          <w:p w14:paraId="744CA84D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3BE17507" w14:textId="20A8EB52" w:rsidR="00A1323B" w:rsidRPr="00A3088E" w:rsidRDefault="00FD15E4" w:rsidP="00BA0938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4160AA82" w14:textId="77777777" w:rsidR="00795219" w:rsidRPr="00A3088E" w:rsidRDefault="00795219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Peptički ulkus, gastrointestinalna</w:t>
            </w:r>
          </w:p>
          <w:p w14:paraId="347A15DE" w14:textId="77777777" w:rsidR="00795219" w:rsidRPr="00A3088E" w:rsidRDefault="00795219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perforacija ili krvarenje, melena i</w:t>
            </w:r>
          </w:p>
          <w:p w14:paraId="53536C7A" w14:textId="50BC7874" w:rsidR="00A1323B" w:rsidRPr="00A3088E" w:rsidRDefault="00795219" w:rsidP="00BA0938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povraćanje krvi</w:t>
            </w:r>
            <w:r w:rsidR="001F6D41" w:rsidRPr="00A3088E">
              <w:rPr>
                <w:rFonts w:eastAsia="TimesNewRoman"/>
                <w:szCs w:val="22"/>
                <w:lang w:val="sr-Latn-ME"/>
              </w:rPr>
              <w:t xml:space="preserve"> (nekad fatalno, naročito kod starijih osoba)</w:t>
            </w:r>
            <w:r w:rsidRPr="00A3088E">
              <w:rPr>
                <w:rFonts w:eastAsia="TimesNewRoman"/>
                <w:szCs w:val="22"/>
                <w:lang w:val="sr-Latn-ME"/>
              </w:rPr>
              <w:t>. Ulceracije u usnoj šupljini i gastritis.</w:t>
            </w:r>
          </w:p>
        </w:tc>
      </w:tr>
      <w:tr w:rsidR="00A1323B" w:rsidRPr="00A3088E" w14:paraId="1D31ED3B" w14:textId="77777777" w:rsidTr="00D9464C">
        <w:tc>
          <w:tcPr>
            <w:tcW w:w="3209" w:type="dxa"/>
            <w:vMerge/>
          </w:tcPr>
          <w:p w14:paraId="666CE493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7A89DB27" w14:textId="3F4E0176" w:rsidR="00A1323B" w:rsidRPr="00A3088E" w:rsidRDefault="00FD15E4" w:rsidP="00972404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15A95BC2" w14:textId="4CDC2480" w:rsidR="00A1323B" w:rsidRPr="00A3088E" w:rsidRDefault="001F6D41" w:rsidP="00F8238F">
            <w:pPr>
              <w:rPr>
                <w:noProof/>
                <w:szCs w:val="22"/>
                <w:u w:val="single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 xml:space="preserve">Pogoršanje </w:t>
            </w:r>
            <w:r w:rsidR="00A33F1A" w:rsidRPr="00A3088E">
              <w:rPr>
                <w:rFonts w:eastAsia="TimesNewRoman"/>
                <w:szCs w:val="22"/>
                <w:lang w:val="sr-Latn-ME"/>
              </w:rPr>
              <w:t xml:space="preserve">ulceroznog </w:t>
            </w:r>
            <w:r w:rsidRPr="00A3088E">
              <w:rPr>
                <w:rFonts w:eastAsia="TimesNewRoman"/>
                <w:szCs w:val="22"/>
                <w:lang w:val="sr-Latn-ME"/>
              </w:rPr>
              <w:t xml:space="preserve">kolitisa i </w:t>
            </w:r>
            <w:r w:rsidRPr="00A3088E">
              <w:rPr>
                <w:rFonts w:eastAsia="TimesNewRoman"/>
                <w:i/>
                <w:iCs/>
                <w:szCs w:val="22"/>
                <w:lang w:val="sr-Latn-ME"/>
              </w:rPr>
              <w:t>Crohn</w:t>
            </w:r>
            <w:r w:rsidRPr="00A3088E">
              <w:rPr>
                <w:rFonts w:eastAsia="TimesNewRoman"/>
                <w:szCs w:val="22"/>
                <w:lang w:val="sr-Latn-ME"/>
              </w:rPr>
              <w:t>-ove</w:t>
            </w:r>
            <w:r w:rsidR="00A33F1A" w:rsidRPr="00A3088E">
              <w:rPr>
                <w:rFonts w:eastAsia="TimesNewRoman"/>
                <w:szCs w:val="22"/>
                <w:lang w:val="sr-Latn-ME"/>
              </w:rPr>
              <w:t xml:space="preserve"> </w:t>
            </w:r>
            <w:r w:rsidR="002F1084" w:rsidRPr="00A3088E">
              <w:rPr>
                <w:rFonts w:eastAsia="TimesNewRoman"/>
                <w:szCs w:val="22"/>
                <w:lang w:val="sr-Latn-ME"/>
              </w:rPr>
              <w:t>b</w:t>
            </w:r>
            <w:r w:rsidRPr="00A3088E">
              <w:rPr>
                <w:rFonts w:eastAsia="TimesNewRoman"/>
                <w:szCs w:val="22"/>
                <w:lang w:val="sr-Latn-ME"/>
              </w:rPr>
              <w:t>olesti</w:t>
            </w:r>
            <w:r w:rsidR="002F1084" w:rsidRPr="00A3088E">
              <w:rPr>
                <w:rFonts w:eastAsia="TimesNewRoman"/>
                <w:szCs w:val="22"/>
                <w:lang w:val="sr-Latn-ME"/>
              </w:rPr>
              <w:t xml:space="preserve"> (</w:t>
            </w:r>
            <w:r w:rsidR="001E5CF6" w:rsidRPr="00A3088E">
              <w:rPr>
                <w:rFonts w:eastAsia="TimesNewRoman"/>
                <w:szCs w:val="22"/>
                <w:lang w:val="sr-Latn-ME"/>
              </w:rPr>
              <w:t xml:space="preserve">pogledati dio </w:t>
            </w:r>
            <w:r w:rsidR="002F1084" w:rsidRPr="00A3088E">
              <w:rPr>
                <w:rFonts w:eastAsia="TimesNewRoman"/>
                <w:szCs w:val="22"/>
                <w:lang w:val="sr-Latn-ME"/>
              </w:rPr>
              <w:t>4.4)</w:t>
            </w:r>
          </w:p>
        </w:tc>
      </w:tr>
      <w:tr w:rsidR="00A1323B" w:rsidRPr="00A3088E" w14:paraId="7B127B81" w14:textId="77777777" w:rsidTr="00D9464C">
        <w:tc>
          <w:tcPr>
            <w:tcW w:w="3209" w:type="dxa"/>
          </w:tcPr>
          <w:p w14:paraId="06E5F2A6" w14:textId="08B993F7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Hepatobilijarni poremećaji</w:t>
            </w:r>
          </w:p>
        </w:tc>
        <w:tc>
          <w:tcPr>
            <w:tcW w:w="3210" w:type="dxa"/>
          </w:tcPr>
          <w:p w14:paraId="3E9A8DD1" w14:textId="5A92EEF3" w:rsidR="00A1323B" w:rsidRPr="00A3088E" w:rsidRDefault="00FD15E4" w:rsidP="00972404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4A3F57A7" w14:textId="5B6DA81D" w:rsidR="00A1323B" w:rsidRPr="00A3088E" w:rsidRDefault="001F6D41" w:rsidP="00F8238F">
            <w:pPr>
              <w:rPr>
                <w:noProof/>
                <w:szCs w:val="22"/>
                <w:u w:val="single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Poremećaj funkcije jetre</w:t>
            </w:r>
          </w:p>
        </w:tc>
      </w:tr>
      <w:tr w:rsidR="00A1323B" w:rsidRPr="00A3088E" w14:paraId="6E09AC2B" w14:textId="77777777" w:rsidTr="00D9464C">
        <w:tc>
          <w:tcPr>
            <w:tcW w:w="3209" w:type="dxa"/>
            <w:vMerge w:val="restart"/>
          </w:tcPr>
          <w:p w14:paraId="6FC4086B" w14:textId="47DA5D75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3210" w:type="dxa"/>
          </w:tcPr>
          <w:p w14:paraId="4E83D6C6" w14:textId="4F1DD0AC" w:rsidR="00A1323B" w:rsidRPr="00A3088E" w:rsidRDefault="00FD15E4" w:rsidP="00972404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Povremeno</w:t>
            </w:r>
          </w:p>
        </w:tc>
        <w:tc>
          <w:tcPr>
            <w:tcW w:w="3210" w:type="dxa"/>
          </w:tcPr>
          <w:p w14:paraId="32D344F8" w14:textId="585E7AE4" w:rsidR="00A1323B" w:rsidRPr="00A3088E" w:rsidRDefault="001F6D41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Različite vrste osipa</w:t>
            </w:r>
          </w:p>
        </w:tc>
      </w:tr>
      <w:tr w:rsidR="00A1323B" w:rsidRPr="00A3088E" w14:paraId="4D6BB8BE" w14:textId="77777777" w:rsidTr="00D9464C">
        <w:tc>
          <w:tcPr>
            <w:tcW w:w="3209" w:type="dxa"/>
            <w:vMerge/>
          </w:tcPr>
          <w:p w14:paraId="1E0C4F25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5944EE3F" w14:textId="74784A33" w:rsidR="00A1323B" w:rsidRPr="00A3088E" w:rsidRDefault="00FD15E4" w:rsidP="00972404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4474BC61" w14:textId="0B531F51" w:rsidR="00A1323B" w:rsidRPr="00A3088E" w:rsidRDefault="00376BA3" w:rsidP="00972404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szCs w:val="22"/>
                <w:lang w:val="sr-Latn-ME"/>
              </w:rPr>
              <w:t xml:space="preserve">Teške kožne neželjene reakcije (SCARs) (uključujući </w:t>
            </w:r>
            <w:r w:rsidRPr="00A3088E">
              <w:rPr>
                <w:i/>
                <w:szCs w:val="22"/>
                <w:lang w:val="sr-Latn-ME"/>
              </w:rPr>
              <w:t>erythema</w:t>
            </w:r>
            <w:r w:rsidRPr="00A3088E">
              <w:rPr>
                <w:szCs w:val="22"/>
                <w:lang w:val="sr-Latn-ME"/>
              </w:rPr>
              <w:t xml:space="preserve"> </w:t>
            </w:r>
            <w:r w:rsidRPr="00A3088E">
              <w:rPr>
                <w:i/>
                <w:szCs w:val="22"/>
                <w:lang w:val="sr-Latn-ME"/>
              </w:rPr>
              <w:lastRenderedPageBreak/>
              <w:t>multiforme</w:t>
            </w:r>
            <w:r w:rsidRPr="00A3088E">
              <w:rPr>
                <w:szCs w:val="22"/>
                <w:lang w:val="sr-Latn-ME"/>
              </w:rPr>
              <w:t xml:space="preserve">, eksfolijativni dermatitis, </w:t>
            </w:r>
            <w:r w:rsidRPr="00A3088E">
              <w:rPr>
                <w:i/>
                <w:szCs w:val="22"/>
                <w:lang w:val="sr-Latn-ME"/>
              </w:rPr>
              <w:t>Stevens-Johnson</w:t>
            </w:r>
            <w:r w:rsidRPr="00A3088E">
              <w:rPr>
                <w:szCs w:val="22"/>
                <w:lang w:val="sr-Latn-ME"/>
              </w:rPr>
              <w:t>-ov sindrom i toksičnu epidermalnu nekrolizu)</w:t>
            </w:r>
          </w:p>
        </w:tc>
      </w:tr>
      <w:tr w:rsidR="00A1323B" w:rsidRPr="00A3088E" w14:paraId="57123538" w14:textId="77777777" w:rsidTr="00D9464C">
        <w:tc>
          <w:tcPr>
            <w:tcW w:w="3209" w:type="dxa"/>
            <w:vMerge/>
          </w:tcPr>
          <w:p w14:paraId="57AC2529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021A72A9" w14:textId="2A086D9F" w:rsidR="00A1323B" w:rsidRPr="00A3088E" w:rsidRDefault="00FD15E4" w:rsidP="00972404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4BAD6BED" w14:textId="67DF2487" w:rsidR="00A1323B" w:rsidRPr="00A3088E" w:rsidRDefault="001F6D41" w:rsidP="00972404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rFonts w:eastAsia="TimesNewRoman"/>
                <w:szCs w:val="22"/>
                <w:lang w:val="sr-Latn-ME"/>
              </w:rPr>
            </w:pPr>
            <w:r w:rsidRPr="00A3088E">
              <w:rPr>
                <w:rFonts w:eastAsia="TimesNewRoman"/>
                <w:szCs w:val="22"/>
                <w:lang w:val="sr-Latn-ME"/>
              </w:rPr>
              <w:t>Reakcija na l</w:t>
            </w:r>
            <w:r w:rsidR="00CA7A31" w:rsidRPr="00A3088E">
              <w:rPr>
                <w:rFonts w:eastAsia="TimesNewRoman"/>
                <w:szCs w:val="22"/>
                <w:lang w:val="sr-Latn-ME"/>
              </w:rPr>
              <w:t>ij</w:t>
            </w:r>
            <w:r w:rsidRPr="00A3088E">
              <w:rPr>
                <w:rFonts w:eastAsia="TimesNewRoman"/>
                <w:szCs w:val="22"/>
                <w:lang w:val="sr-Latn-ME"/>
              </w:rPr>
              <w:t>ek sa eozinofilijom i</w:t>
            </w:r>
            <w:r w:rsidR="00CA7A31" w:rsidRPr="00A3088E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A3088E">
              <w:rPr>
                <w:rFonts w:eastAsia="TimesNewRoman"/>
                <w:szCs w:val="22"/>
                <w:lang w:val="sr-Latn-ME"/>
              </w:rPr>
              <w:t>sistemskim simptomima (DRESS</w:t>
            </w:r>
            <w:r w:rsidR="00CA7A31" w:rsidRPr="00A3088E">
              <w:rPr>
                <w:rFonts w:eastAsia="TimesNewRoman"/>
                <w:szCs w:val="22"/>
                <w:lang w:val="sr-Latn-ME"/>
              </w:rPr>
              <w:t xml:space="preserve"> </w:t>
            </w:r>
            <w:r w:rsidRPr="00A3088E">
              <w:rPr>
                <w:rFonts w:eastAsia="TimesNewRoman"/>
                <w:szCs w:val="22"/>
                <w:lang w:val="sr-Latn-ME"/>
              </w:rPr>
              <w:t>sindrom)</w:t>
            </w:r>
            <w:r w:rsidR="002F1084" w:rsidRPr="00A3088E">
              <w:rPr>
                <w:rFonts w:eastAsia="TimesNewRoman"/>
                <w:szCs w:val="22"/>
                <w:lang w:val="sr-Latn-ME"/>
              </w:rPr>
              <w:t xml:space="preserve">, </w:t>
            </w:r>
            <w:r w:rsidR="002F1084" w:rsidRPr="00A3088E">
              <w:rPr>
                <w:noProof/>
                <w:szCs w:val="22"/>
                <w:lang w:val="sr-Latn-ME"/>
              </w:rPr>
              <w:t>akutna generalizovana egzantematozna pustuloza (AGEP)</w:t>
            </w:r>
            <w:r w:rsidR="000F34E1" w:rsidRPr="00A3088E">
              <w:rPr>
                <w:noProof/>
                <w:szCs w:val="22"/>
                <w:lang w:val="sr-Latn-ME"/>
              </w:rPr>
              <w:t xml:space="preserve">, reakcije </w:t>
            </w:r>
            <w:r w:rsidR="00FF6187" w:rsidRPr="00A3088E">
              <w:rPr>
                <w:noProof/>
                <w:szCs w:val="22"/>
                <w:lang w:val="sr-Latn-ME"/>
              </w:rPr>
              <w:t>f</w:t>
            </w:r>
            <w:r w:rsidR="000F34E1" w:rsidRPr="00A3088E">
              <w:rPr>
                <w:noProof/>
                <w:szCs w:val="22"/>
                <w:lang w:val="sr-Latn-ME"/>
              </w:rPr>
              <w:t>otosenzitivnosti</w:t>
            </w:r>
          </w:p>
        </w:tc>
      </w:tr>
      <w:tr w:rsidR="00A1323B" w:rsidRPr="00A3088E" w14:paraId="360450E3" w14:textId="77777777" w:rsidTr="00D9464C">
        <w:tc>
          <w:tcPr>
            <w:tcW w:w="3209" w:type="dxa"/>
            <w:vMerge w:val="restart"/>
          </w:tcPr>
          <w:p w14:paraId="1D58DEDB" w14:textId="79399740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3210" w:type="dxa"/>
          </w:tcPr>
          <w:p w14:paraId="756A41BC" w14:textId="7534D25F" w:rsidR="00A1323B" w:rsidRPr="00A3088E" w:rsidRDefault="00FD15E4" w:rsidP="00570F2D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0868C2C2" w14:textId="5A88FBD8" w:rsidR="00A1323B" w:rsidRPr="00A3088E" w:rsidRDefault="001F6D41" w:rsidP="00570F2D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szCs w:val="22"/>
                <w:lang w:val="sr-Latn-ME"/>
              </w:rPr>
            </w:pPr>
            <w:r w:rsidRPr="00A3088E">
              <w:rPr>
                <w:szCs w:val="22"/>
                <w:lang w:val="sr-Latn-ME"/>
              </w:rPr>
              <w:t xml:space="preserve">Akutna bubrežna insuficijencija, papilarna nekroza, posebno pri dugotrajnoj </w:t>
            </w:r>
            <w:r w:rsidR="00CA7A31" w:rsidRPr="00A3088E">
              <w:rPr>
                <w:szCs w:val="22"/>
                <w:lang w:val="sr-Latn-ME"/>
              </w:rPr>
              <w:t>primjeni</w:t>
            </w:r>
            <w:r w:rsidRPr="00A3088E">
              <w:rPr>
                <w:szCs w:val="22"/>
                <w:lang w:val="sr-Latn-ME"/>
              </w:rPr>
              <w:t>, udružena sa povećanom koncentracijom uree u serumu i edemom</w:t>
            </w:r>
          </w:p>
        </w:tc>
      </w:tr>
      <w:tr w:rsidR="00A1323B" w:rsidRPr="00A3088E" w14:paraId="50638439" w14:textId="77777777" w:rsidTr="00D9464C">
        <w:tc>
          <w:tcPr>
            <w:tcW w:w="3209" w:type="dxa"/>
            <w:vMerge/>
          </w:tcPr>
          <w:p w14:paraId="264307EE" w14:textId="77777777" w:rsidR="00A1323B" w:rsidRPr="00A3088E" w:rsidRDefault="00A1323B">
            <w:pPr>
              <w:rPr>
                <w:noProof/>
                <w:szCs w:val="22"/>
                <w:u w:val="single"/>
                <w:lang w:val="sr-Latn-ME"/>
              </w:rPr>
            </w:pPr>
          </w:p>
        </w:tc>
        <w:tc>
          <w:tcPr>
            <w:tcW w:w="3210" w:type="dxa"/>
          </w:tcPr>
          <w:p w14:paraId="7493FE4A" w14:textId="53C30943" w:rsidR="00A1323B" w:rsidRPr="00A3088E" w:rsidRDefault="00FD15E4" w:rsidP="00570F2D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Nepoznato</w:t>
            </w:r>
          </w:p>
        </w:tc>
        <w:tc>
          <w:tcPr>
            <w:tcW w:w="3210" w:type="dxa"/>
          </w:tcPr>
          <w:p w14:paraId="6C8F4C00" w14:textId="09C3FF70" w:rsidR="00A1323B" w:rsidRPr="00A3088E" w:rsidRDefault="00936E39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B</w:t>
            </w:r>
            <w:r w:rsidR="001F6D41" w:rsidRPr="00A3088E">
              <w:rPr>
                <w:noProof/>
                <w:szCs w:val="22"/>
                <w:lang w:val="sr-Latn-ME"/>
              </w:rPr>
              <w:t>ubrežna insuficijencija</w:t>
            </w:r>
            <w:r w:rsidR="008C72DA" w:rsidRPr="00A3088E">
              <w:rPr>
                <w:noProof/>
                <w:szCs w:val="22"/>
                <w:lang w:val="sr-Latn-ME"/>
              </w:rPr>
              <w:t>, renalne kolike, disurija, renalna tubularna acidoza*</w:t>
            </w:r>
          </w:p>
        </w:tc>
      </w:tr>
      <w:tr w:rsidR="00A1323B" w:rsidRPr="00A3088E" w14:paraId="1D4B2EA1" w14:textId="77777777" w:rsidTr="00D9464C">
        <w:tc>
          <w:tcPr>
            <w:tcW w:w="3209" w:type="dxa"/>
          </w:tcPr>
          <w:p w14:paraId="577E6CCD" w14:textId="6B0729B1" w:rsidR="00A1323B" w:rsidRPr="00A3088E" w:rsidRDefault="00A1323B" w:rsidP="00F8238F">
            <w:pPr>
              <w:rPr>
                <w:i/>
                <w:noProof/>
                <w:szCs w:val="22"/>
                <w:lang w:val="sr-Latn-ME"/>
              </w:rPr>
            </w:pPr>
            <w:r w:rsidRPr="00A3088E">
              <w:rPr>
                <w:i/>
                <w:noProof/>
                <w:szCs w:val="22"/>
                <w:lang w:val="sr-Latn-ME"/>
              </w:rPr>
              <w:t>Ispitivanja</w:t>
            </w:r>
          </w:p>
        </w:tc>
        <w:tc>
          <w:tcPr>
            <w:tcW w:w="3210" w:type="dxa"/>
          </w:tcPr>
          <w:p w14:paraId="2820D069" w14:textId="2F16B33B" w:rsidR="00A1323B" w:rsidRPr="00A3088E" w:rsidRDefault="00FD15E4" w:rsidP="00570F2D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 xml:space="preserve">Veoma </w:t>
            </w:r>
            <w:r w:rsidR="00CA7A31" w:rsidRPr="00A3088E">
              <w:rPr>
                <w:noProof/>
                <w:szCs w:val="22"/>
                <w:lang w:val="sr-Latn-ME"/>
              </w:rPr>
              <w:t>rijetko</w:t>
            </w:r>
          </w:p>
        </w:tc>
        <w:tc>
          <w:tcPr>
            <w:tcW w:w="3210" w:type="dxa"/>
          </w:tcPr>
          <w:p w14:paraId="0DE8211E" w14:textId="2561555C" w:rsidR="00A1323B" w:rsidRPr="00A3088E" w:rsidRDefault="008C72DA" w:rsidP="00F8238F">
            <w:pPr>
              <w:rPr>
                <w:noProof/>
                <w:szCs w:val="22"/>
                <w:lang w:val="sr-Latn-ME"/>
              </w:rPr>
            </w:pPr>
            <w:r w:rsidRPr="00A3088E">
              <w:rPr>
                <w:noProof/>
                <w:szCs w:val="22"/>
                <w:lang w:val="sr-Latn-ME"/>
              </w:rPr>
              <w:t>Smanjene</w:t>
            </w:r>
            <w:r w:rsidR="00FD6F83" w:rsidRPr="00A3088E">
              <w:rPr>
                <w:noProof/>
                <w:szCs w:val="22"/>
                <w:lang w:val="sr-Latn-ME"/>
              </w:rPr>
              <w:t xml:space="preserve"> </w:t>
            </w:r>
            <w:r w:rsidR="00CA7A31" w:rsidRPr="00A3088E">
              <w:rPr>
                <w:noProof/>
                <w:szCs w:val="22"/>
                <w:lang w:val="sr-Latn-ME"/>
              </w:rPr>
              <w:t>vrijednosti</w:t>
            </w:r>
            <w:r w:rsidR="001F6D41" w:rsidRPr="00A3088E">
              <w:rPr>
                <w:noProof/>
                <w:szCs w:val="22"/>
                <w:lang w:val="sr-Latn-ME"/>
              </w:rPr>
              <w:t xml:space="preserve"> hemoglobina</w:t>
            </w:r>
          </w:p>
        </w:tc>
      </w:tr>
    </w:tbl>
    <w:p w14:paraId="20313F1A" w14:textId="28103146" w:rsidR="00D9464C" w:rsidRPr="00A3088E" w:rsidRDefault="00D9464C" w:rsidP="00F8238F">
      <w:pPr>
        <w:rPr>
          <w:noProof/>
          <w:szCs w:val="22"/>
          <w:u w:val="single"/>
          <w:lang w:val="sr-Latn-ME"/>
        </w:rPr>
      </w:pPr>
    </w:p>
    <w:p w14:paraId="402E5167" w14:textId="7B357264" w:rsidR="00D20732" w:rsidRPr="00A3088E" w:rsidRDefault="00D20732" w:rsidP="00570F2D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A3088E">
        <w:rPr>
          <w:i/>
          <w:szCs w:val="22"/>
          <w:lang w:val="sr-Latn-ME"/>
        </w:rPr>
        <w:t xml:space="preserve">Opis </w:t>
      </w:r>
      <w:r w:rsidR="004D71B8" w:rsidRPr="00A3088E">
        <w:rPr>
          <w:i/>
          <w:szCs w:val="22"/>
          <w:lang w:val="sr-Latn-ME"/>
        </w:rPr>
        <w:t>od</w:t>
      </w:r>
      <w:r w:rsidR="00FD6F83" w:rsidRPr="00A3088E">
        <w:rPr>
          <w:i/>
          <w:szCs w:val="22"/>
          <w:lang w:val="sr-Latn-ME"/>
        </w:rPr>
        <w:t>rjeđe</w:t>
      </w:r>
      <w:r w:rsidR="004D71B8" w:rsidRPr="00A3088E">
        <w:rPr>
          <w:i/>
          <w:szCs w:val="22"/>
          <w:lang w:val="sr-Latn-ME"/>
        </w:rPr>
        <w:t xml:space="preserve">nih </w:t>
      </w:r>
      <w:r w:rsidRPr="00A3088E">
        <w:rPr>
          <w:i/>
          <w:szCs w:val="22"/>
          <w:lang w:val="sr-Latn-ME"/>
        </w:rPr>
        <w:t>neželjenih reakcija</w:t>
      </w:r>
    </w:p>
    <w:p w14:paraId="2A0C9129" w14:textId="77777777" w:rsidR="00D20732" w:rsidRPr="00A3088E" w:rsidRDefault="00D20732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B50B6A5" w14:textId="091A0802" w:rsidR="00D20732" w:rsidRPr="00A3088E" w:rsidRDefault="00FD15E4" w:rsidP="00F8238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1</w:t>
      </w:r>
      <w:r w:rsidR="00D20732" w:rsidRPr="00A3088E">
        <w:rPr>
          <w:szCs w:val="22"/>
          <w:lang w:val="sr-Latn-ME"/>
        </w:rPr>
        <w:t xml:space="preserve"> Reakcije preos</w:t>
      </w:r>
      <w:r w:rsidR="00FD6F83" w:rsidRPr="00A3088E">
        <w:rPr>
          <w:szCs w:val="22"/>
          <w:lang w:val="sr-Latn-ME"/>
        </w:rPr>
        <w:t>j</w:t>
      </w:r>
      <w:r w:rsidR="00D20732" w:rsidRPr="00A3088E">
        <w:rPr>
          <w:szCs w:val="22"/>
          <w:lang w:val="sr-Latn-ME"/>
        </w:rPr>
        <w:t>etljivosti su prijavljene tokom terapije ibuprofenom. One se odnose na (a) nespecifične alergijske reakcije i anafilaksu, (b) reakcije respiratornog trakta uključujući astmu, pogoršanje astme, bronhospazam, dispneju ili (c) raznovrsne prom</w:t>
      </w:r>
      <w:r w:rsidR="00FD6F83" w:rsidRPr="00A3088E">
        <w:rPr>
          <w:szCs w:val="22"/>
          <w:lang w:val="sr-Latn-ME"/>
        </w:rPr>
        <w:t>j</w:t>
      </w:r>
      <w:r w:rsidR="00D20732" w:rsidRPr="00A3088E">
        <w:rPr>
          <w:szCs w:val="22"/>
          <w:lang w:val="sr-Latn-ME"/>
        </w:rPr>
        <w:t xml:space="preserve">ene na koži, uključujući osip različitog tipa, pruritus, urtikariju, purpuru, angioedem i </w:t>
      </w:r>
      <w:r w:rsidR="00FD6F83" w:rsidRPr="00A3088E">
        <w:rPr>
          <w:szCs w:val="22"/>
          <w:lang w:val="sr-Latn-ME"/>
        </w:rPr>
        <w:t>rjeđe</w:t>
      </w:r>
      <w:r w:rsidR="00D20732" w:rsidRPr="00A3088E">
        <w:rPr>
          <w:szCs w:val="22"/>
          <w:lang w:val="sr-Latn-ME"/>
        </w:rPr>
        <w:t xml:space="preserve"> eksfolijativne i bulozne dermatoze (uključujući epidermalnu nekrolizu i multiformni eritem).</w:t>
      </w:r>
      <w:r w:rsidRPr="00A3088E">
        <w:rPr>
          <w:szCs w:val="22"/>
          <w:lang w:val="sr-Latn-ME"/>
        </w:rPr>
        <w:t xml:space="preserve"> </w:t>
      </w:r>
    </w:p>
    <w:p w14:paraId="1C11D485" w14:textId="684E5B71" w:rsidR="00FD15E4" w:rsidRPr="00A3088E" w:rsidRDefault="00FD15E4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6B311BA" w14:textId="4AF3E4CD" w:rsidR="00D20732" w:rsidRPr="00A3088E" w:rsidRDefault="00FD15E4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szCs w:val="22"/>
          <w:lang w:val="sr-Latn-ME"/>
        </w:rPr>
        <w:t>2</w:t>
      </w:r>
      <w:r w:rsidR="00D20732" w:rsidRPr="00A3088E">
        <w:rPr>
          <w:szCs w:val="22"/>
          <w:lang w:val="sr-Latn-ME"/>
        </w:rPr>
        <w:t xml:space="preserve"> </w:t>
      </w:r>
      <w:r w:rsidR="00D20732" w:rsidRPr="00A3088E">
        <w:rPr>
          <w:rFonts w:eastAsia="TimesNewRoman"/>
          <w:szCs w:val="22"/>
          <w:lang w:val="sr-Latn-ME"/>
        </w:rPr>
        <w:t>Patogeni mehanizam nastanka aseptičnog meningitisa izazvanog l</w:t>
      </w:r>
      <w:r w:rsidR="00FD6F83" w:rsidRPr="00A3088E">
        <w:rPr>
          <w:rFonts w:eastAsia="TimesNewRoman"/>
          <w:szCs w:val="22"/>
          <w:lang w:val="sr-Latn-ME"/>
        </w:rPr>
        <w:t>j</w:t>
      </w:r>
      <w:r w:rsidR="00D20732" w:rsidRPr="00A3088E">
        <w:rPr>
          <w:rFonts w:eastAsia="TimesNewRoman"/>
          <w:szCs w:val="22"/>
          <w:lang w:val="sr-Latn-ME"/>
        </w:rPr>
        <w:t>ekovima nije u potpunosti razjašnjen.</w:t>
      </w:r>
      <w:r w:rsidR="00202801" w:rsidRPr="00A3088E">
        <w:rPr>
          <w:rFonts w:eastAsia="TimesNewRoman"/>
          <w:szCs w:val="22"/>
          <w:lang w:val="sr-Latn-ME"/>
        </w:rPr>
        <w:t xml:space="preserve"> </w:t>
      </w:r>
      <w:r w:rsidR="00D20732" w:rsidRPr="00A3088E">
        <w:rPr>
          <w:rFonts w:eastAsia="TimesNewRoman"/>
          <w:szCs w:val="22"/>
          <w:lang w:val="sr-Latn-ME"/>
        </w:rPr>
        <w:t xml:space="preserve">Ipak, dostupni podaci o aseptičnom meningitisu koji je povezan sa </w:t>
      </w:r>
      <w:r w:rsidR="001E5CF6" w:rsidRPr="00A3088E">
        <w:rPr>
          <w:rFonts w:eastAsia="TimesNewRoman"/>
          <w:szCs w:val="22"/>
          <w:lang w:val="sr-Latn-ME"/>
        </w:rPr>
        <w:t>primjenom</w:t>
      </w:r>
      <w:r w:rsidR="00D20732" w:rsidRPr="00A3088E">
        <w:rPr>
          <w:rFonts w:eastAsia="TimesNewRoman"/>
          <w:szCs w:val="22"/>
          <w:lang w:val="sr-Latn-ME"/>
        </w:rPr>
        <w:t xml:space="preserve"> NSAIL, ukazuju na reakciju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="00D20732" w:rsidRPr="00A3088E">
        <w:rPr>
          <w:rFonts w:eastAsia="TimesNewRoman"/>
          <w:szCs w:val="22"/>
          <w:lang w:val="sr-Latn-ME"/>
        </w:rPr>
        <w:t>preos</w:t>
      </w:r>
      <w:r w:rsidR="00FD6F83" w:rsidRPr="00A3088E">
        <w:rPr>
          <w:rFonts w:eastAsia="TimesNewRoman"/>
          <w:szCs w:val="22"/>
          <w:lang w:val="sr-Latn-ME"/>
        </w:rPr>
        <w:t>j</w:t>
      </w:r>
      <w:r w:rsidR="00D20732" w:rsidRPr="00A3088E">
        <w:rPr>
          <w:rFonts w:eastAsia="TimesNewRoman"/>
          <w:szCs w:val="22"/>
          <w:lang w:val="sr-Latn-ME"/>
        </w:rPr>
        <w:t>etljivosti (zbog vremenske povezanosti sa unosom l</w:t>
      </w:r>
      <w:r w:rsidR="00FD6F83" w:rsidRPr="00A3088E">
        <w:rPr>
          <w:rFonts w:eastAsia="TimesNewRoman"/>
          <w:szCs w:val="22"/>
          <w:lang w:val="sr-Latn-ME"/>
        </w:rPr>
        <w:t>ij</w:t>
      </w:r>
      <w:r w:rsidR="00D20732" w:rsidRPr="00A3088E">
        <w:rPr>
          <w:rFonts w:eastAsia="TimesNewRoman"/>
          <w:szCs w:val="22"/>
          <w:lang w:val="sr-Latn-ME"/>
        </w:rPr>
        <w:t>eka i nestanka simptoma nakon prekida uzimanja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="00D20732" w:rsidRPr="00A3088E">
        <w:rPr>
          <w:rFonts w:eastAsia="TimesNewRoman"/>
          <w:szCs w:val="22"/>
          <w:lang w:val="sr-Latn-ME"/>
        </w:rPr>
        <w:t>l</w:t>
      </w:r>
      <w:r w:rsidR="00FD6F83" w:rsidRPr="00A3088E">
        <w:rPr>
          <w:rFonts w:eastAsia="TimesNewRoman"/>
          <w:szCs w:val="22"/>
          <w:lang w:val="sr-Latn-ME"/>
        </w:rPr>
        <w:t>ij</w:t>
      </w:r>
      <w:r w:rsidR="00D20732" w:rsidRPr="00A3088E">
        <w:rPr>
          <w:rFonts w:eastAsia="TimesNewRoman"/>
          <w:szCs w:val="22"/>
          <w:lang w:val="sr-Latn-ME"/>
        </w:rPr>
        <w:t>eka). Tokom l</w:t>
      </w:r>
      <w:r w:rsidR="00FD6F83" w:rsidRPr="00A3088E">
        <w:rPr>
          <w:rFonts w:eastAsia="TimesNewRoman"/>
          <w:szCs w:val="22"/>
          <w:lang w:val="sr-Latn-ME"/>
        </w:rPr>
        <w:t>ij</w:t>
      </w:r>
      <w:r w:rsidR="00D20732" w:rsidRPr="00A3088E">
        <w:rPr>
          <w:rFonts w:eastAsia="TimesNewRoman"/>
          <w:szCs w:val="22"/>
          <w:lang w:val="sr-Latn-ME"/>
        </w:rPr>
        <w:t>ečenja ibuprofenom kod pacijen</w:t>
      </w:r>
      <w:r w:rsidR="00672972" w:rsidRPr="00A3088E">
        <w:rPr>
          <w:rFonts w:eastAsia="TimesNewRoman"/>
          <w:szCs w:val="22"/>
          <w:lang w:val="sr-Latn-ME"/>
        </w:rPr>
        <w:t>a</w:t>
      </w:r>
      <w:r w:rsidR="00D20732" w:rsidRPr="00A3088E">
        <w:rPr>
          <w:rFonts w:eastAsia="TimesNewRoman"/>
          <w:szCs w:val="22"/>
          <w:lang w:val="sr-Latn-ME"/>
        </w:rPr>
        <w:t>ta sa postojećim autoimunskim poremećajima (kao što je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="00D20732" w:rsidRPr="00A3088E">
        <w:rPr>
          <w:rFonts w:eastAsia="TimesNewRoman"/>
          <w:szCs w:val="22"/>
          <w:lang w:val="sr-Latn-ME"/>
        </w:rPr>
        <w:t>sistemski eritemski lupus, mešovita bolest vezivnog tkiva) uočeni su pojedinačni slučajevi pojave simptoma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="00D20732" w:rsidRPr="00A3088E">
        <w:rPr>
          <w:rFonts w:eastAsia="TimesNewRoman"/>
          <w:szCs w:val="22"/>
          <w:lang w:val="sr-Latn-ME"/>
        </w:rPr>
        <w:t>aseptičnog meningitisa (kao što su ukočeni vrat, glavobolja, mučnina, povraćanj</w:t>
      </w:r>
      <w:r w:rsidR="00033394" w:rsidRPr="00A3088E">
        <w:rPr>
          <w:rFonts w:eastAsia="TimesNewRoman"/>
          <w:szCs w:val="22"/>
          <w:lang w:val="sr-Latn-ME"/>
        </w:rPr>
        <w:t>e</w:t>
      </w:r>
      <w:r w:rsidR="00D20732" w:rsidRPr="00A3088E">
        <w:rPr>
          <w:rFonts w:eastAsia="TimesNewRoman"/>
          <w:szCs w:val="22"/>
          <w:lang w:val="sr-Latn-ME"/>
        </w:rPr>
        <w:t>, povišena t</w:t>
      </w:r>
      <w:r w:rsidR="00FD6F83" w:rsidRPr="00A3088E">
        <w:rPr>
          <w:rFonts w:eastAsia="TimesNewRoman"/>
          <w:szCs w:val="22"/>
          <w:lang w:val="sr-Latn-ME"/>
        </w:rPr>
        <w:t>j</w:t>
      </w:r>
      <w:r w:rsidR="00D20732" w:rsidRPr="00A3088E">
        <w:rPr>
          <w:rFonts w:eastAsia="TimesNewRoman"/>
          <w:szCs w:val="22"/>
          <w:lang w:val="sr-Latn-ME"/>
        </w:rPr>
        <w:t>elesna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="008573CD" w:rsidRPr="00A3088E">
        <w:rPr>
          <w:rFonts w:eastAsia="TimesNewRoman"/>
          <w:szCs w:val="22"/>
          <w:lang w:val="sr-Latn-ME"/>
        </w:rPr>
        <w:t>temperatura ili dezorijentacija</w:t>
      </w:r>
      <w:r w:rsidR="00D20732" w:rsidRPr="00A3088E">
        <w:rPr>
          <w:rFonts w:eastAsia="TimesNewRoman"/>
          <w:szCs w:val="22"/>
          <w:lang w:val="sr-Latn-ME"/>
        </w:rPr>
        <w:t>).</w:t>
      </w:r>
    </w:p>
    <w:p w14:paraId="38E3E766" w14:textId="77777777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48CD94CD" w14:textId="345C7C6E" w:rsidR="00D20732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* Renalna tubularna acidoza i hipokalemija su prijavljene u postmarketinškim ispitivanjima </w:t>
      </w:r>
      <w:r w:rsidR="00F013DE" w:rsidRPr="00A3088E">
        <w:rPr>
          <w:szCs w:val="22"/>
          <w:lang w:val="sr-Latn-ME"/>
        </w:rPr>
        <w:t xml:space="preserve">obično </w:t>
      </w:r>
      <w:r w:rsidRPr="00A3088E">
        <w:rPr>
          <w:szCs w:val="22"/>
          <w:lang w:val="sr-Latn-ME"/>
        </w:rPr>
        <w:t xml:space="preserve">nakon </w:t>
      </w:r>
      <w:r w:rsidR="00F013DE" w:rsidRPr="00A3088E">
        <w:rPr>
          <w:szCs w:val="22"/>
          <w:lang w:val="sr-Latn-ME"/>
        </w:rPr>
        <w:t xml:space="preserve">duže upotrebe </w:t>
      </w:r>
      <w:r w:rsidRPr="00A3088E">
        <w:rPr>
          <w:szCs w:val="22"/>
          <w:lang w:val="sr-Latn-ME"/>
        </w:rPr>
        <w:t>ibuprofena ili u većim dozama nego što je preporučeno.</w:t>
      </w:r>
    </w:p>
    <w:p w14:paraId="6E0B5483" w14:textId="77777777" w:rsidR="00376BA3" w:rsidRPr="00A3088E" w:rsidRDefault="00376BA3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47FDA36" w14:textId="77777777" w:rsidR="00F73033" w:rsidRPr="00A3088E" w:rsidRDefault="00F73033" w:rsidP="00F8238F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A3088E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386AF689" w14:textId="77777777" w:rsidR="002072EC" w:rsidRPr="00A3088E" w:rsidRDefault="002072EC" w:rsidP="00201C16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A80C2C1" w14:textId="77777777" w:rsidR="002072EC" w:rsidRPr="00A3088E" w:rsidRDefault="002072E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 xml:space="preserve">Institut za ljekove i medicinska sredstva </w:t>
      </w:r>
    </w:p>
    <w:p w14:paraId="38BC4FEA" w14:textId="77777777" w:rsidR="002072EC" w:rsidRPr="00A3088E" w:rsidRDefault="002072E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Odjeljenje za farmakovigilancu</w:t>
      </w:r>
    </w:p>
    <w:p w14:paraId="2B5289C5" w14:textId="77777777" w:rsidR="002072EC" w:rsidRPr="00A3088E" w:rsidRDefault="002072E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Bulevar Ivana Crnojevića 64a, 81000 Podgorica</w:t>
      </w:r>
    </w:p>
    <w:p w14:paraId="187C022A" w14:textId="77777777" w:rsidR="002072EC" w:rsidRPr="00A3088E" w:rsidRDefault="002072EC" w:rsidP="00570F2D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686BD68E" w14:textId="77777777" w:rsidR="002072EC" w:rsidRPr="00A3088E" w:rsidRDefault="002072EC" w:rsidP="00F8238F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tel: +382 (0) 20 310 280</w:t>
      </w:r>
    </w:p>
    <w:p w14:paraId="0C12E280" w14:textId="77777777" w:rsidR="002072EC" w:rsidRPr="00A3088E" w:rsidRDefault="002072EC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fax: +382 (0) 20 310 581</w:t>
      </w:r>
      <w:r w:rsidRPr="00A3088E">
        <w:rPr>
          <w:rFonts w:eastAsia="Calibri"/>
          <w:szCs w:val="22"/>
          <w:lang w:val="sr-Latn-ME"/>
        </w:rPr>
        <w:tab/>
      </w:r>
    </w:p>
    <w:p w14:paraId="4B8804F7" w14:textId="77777777" w:rsidR="002072EC" w:rsidRPr="00A3088E" w:rsidRDefault="00F73AB8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0" w:history="1">
        <w:r w:rsidR="002072EC" w:rsidRPr="00A3088E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3C3367F9" w14:textId="77777777" w:rsidR="002072EC" w:rsidRPr="00A3088E" w:rsidRDefault="00F73AB8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1" w:history="1">
        <w:r w:rsidR="002072EC" w:rsidRPr="00A3088E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1B28990C" w14:textId="77777777" w:rsidR="002072EC" w:rsidRPr="00A3088E" w:rsidRDefault="002072E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putem IS zdravstvene zaštite</w:t>
      </w:r>
    </w:p>
    <w:p w14:paraId="7F840FD0" w14:textId="77777777" w:rsidR="002072EC" w:rsidRPr="00A3088E" w:rsidRDefault="002072E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A3088E">
        <w:rPr>
          <w:rFonts w:eastAsia="Calibri"/>
          <w:szCs w:val="22"/>
          <w:lang w:val="sr-Latn-ME"/>
        </w:rPr>
        <w:t>QR kod za online prijavu sumnje na neželjeno dejstvo lijeka:</w:t>
      </w:r>
    </w:p>
    <w:p w14:paraId="085F9015" w14:textId="77777777" w:rsidR="002072EC" w:rsidRPr="00A3088E" w:rsidRDefault="002072EC" w:rsidP="00570F2D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5527304C" w14:textId="77777777" w:rsidR="002072EC" w:rsidRPr="00A3088E" w:rsidRDefault="002072EC" w:rsidP="00570F2D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3088E">
        <w:rPr>
          <w:b/>
          <w:bCs/>
          <w:noProof/>
          <w:szCs w:val="22"/>
        </w:rPr>
        <w:drawing>
          <wp:inline distT="0" distB="0" distL="0" distR="0" wp14:anchorId="27797794" wp14:editId="6FE5B788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F75E0" w14:textId="77777777" w:rsidR="00CE09F3" w:rsidRPr="00A3088E" w:rsidRDefault="00CE09F3" w:rsidP="00F8238F">
      <w:pPr>
        <w:rPr>
          <w:szCs w:val="22"/>
          <w:lang w:val="sr-Latn-ME"/>
        </w:rPr>
      </w:pPr>
    </w:p>
    <w:p w14:paraId="5D3F75E1" w14:textId="77777777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4.9. Predoziranje</w:t>
      </w:r>
    </w:p>
    <w:p w14:paraId="5D3F75E2" w14:textId="77777777" w:rsidR="00CE09F3" w:rsidRPr="00A3088E" w:rsidRDefault="00CE09F3">
      <w:pPr>
        <w:rPr>
          <w:szCs w:val="22"/>
          <w:lang w:val="sr-Latn-ME"/>
        </w:rPr>
      </w:pPr>
    </w:p>
    <w:p w14:paraId="78E97998" w14:textId="25E97C1F" w:rsidR="007A3598" w:rsidRPr="00A3088E" w:rsidRDefault="007A359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Kod </w:t>
      </w:r>
      <w:r w:rsidR="001E5CF6" w:rsidRPr="00A3088E">
        <w:rPr>
          <w:rFonts w:eastAsia="TimesNewRoman"/>
          <w:szCs w:val="22"/>
          <w:lang w:val="sr-Latn-ME"/>
        </w:rPr>
        <w:t>djece</w:t>
      </w:r>
      <w:r w:rsidRPr="00A3088E">
        <w:rPr>
          <w:rFonts w:eastAsia="TimesNewRoman"/>
          <w:szCs w:val="22"/>
          <w:lang w:val="sr-Latn-ME"/>
        </w:rPr>
        <w:t>, unos doze veće od 400 mg/kg ibuprofena može izazvati simptome predoziranja. Kod odraslih,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odgovor na dozu nije tako jasno od</w:t>
      </w:r>
      <w:r w:rsidR="00FD6F83" w:rsidRPr="00A3088E">
        <w:rPr>
          <w:rFonts w:eastAsia="TimesNewRoman"/>
          <w:szCs w:val="22"/>
          <w:lang w:val="sr-Latn-ME"/>
        </w:rPr>
        <w:t>ređe</w:t>
      </w:r>
      <w:r w:rsidRPr="00A3088E">
        <w:rPr>
          <w:rFonts w:eastAsia="TimesNewRoman"/>
          <w:szCs w:val="22"/>
          <w:lang w:val="sr-Latn-ME"/>
        </w:rPr>
        <w:t>n. Poluvr</w:t>
      </w:r>
      <w:r w:rsidR="00FD6F83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eme eliminacije kod predoziranja je 1,5 do 3 sata.</w:t>
      </w:r>
    </w:p>
    <w:p w14:paraId="0E660246" w14:textId="77777777" w:rsidR="007A3598" w:rsidRPr="00A3088E" w:rsidRDefault="007A3598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E0D523E" w14:textId="700A4DFE" w:rsidR="007A3598" w:rsidRPr="00A3088E" w:rsidRDefault="007A3598" w:rsidP="00570F2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Simptomi predoziranja</w:t>
      </w:r>
    </w:p>
    <w:p w14:paraId="1E064340" w14:textId="1C7040A0" w:rsidR="007A3598" w:rsidRPr="00A3088E" w:rsidRDefault="007A3598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Kod većine pacijenata koji su uzeli klinički značajne količine NSAIL se neće ispoljiti drugi simptomi osim</w:t>
      </w:r>
      <w:r w:rsidR="00EB6CAD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mučnine, povraćanja, bola u abdomenu ili mnogo r</w:t>
      </w:r>
      <w:r w:rsidR="00FD6F83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eđe dijareje.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Tinitus, glavobolja i gastrointestinalno krvarenje su takođe mogući. Kod teškog trovanja,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toksičnost se manifestuje i kroz simptome u centralnom nervnom sistemu koji uključuju pospanost,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povremeno uzbuđenje i dezorijentaciju ili komu. Povremeno se kod pacijenata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javljaju konvulzije. Kod teških trovanja moguća je pojava metaboličke acidoze, protrombinsko vr</w:t>
      </w:r>
      <w:r w:rsidR="000971AF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eme /INR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se može produžiti, v</w:t>
      </w:r>
      <w:r w:rsidR="000971A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erovatno usl</w:t>
      </w:r>
      <w:r w:rsidR="000971A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ed ometanja dejstva faktora koagulacije u krvi.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Mogu se javiti akutna bubrežna insuficijencija i oštećenje funkcije jetre. Kod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astmatičara je moguće pogoršanje astme.</w:t>
      </w:r>
    </w:p>
    <w:p w14:paraId="5996E56C" w14:textId="77777777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5E45F385" w14:textId="72B5C8CC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szCs w:val="22"/>
          <w:lang w:val="sr-Latn-ME"/>
        </w:rPr>
        <w:t xml:space="preserve">Korišćenje ibuprofena duže ili u većim dozama nego što je preporučeno može dovesti do teške hipokalemije i renalne tubularne acidoze. Simptomi mogu uključiti </w:t>
      </w:r>
      <w:r w:rsidR="00E713C4" w:rsidRPr="00A3088E">
        <w:rPr>
          <w:szCs w:val="22"/>
          <w:lang w:val="sr-Latn-ME"/>
        </w:rPr>
        <w:t xml:space="preserve">smanjen </w:t>
      </w:r>
      <w:r w:rsidRPr="00A3088E">
        <w:rPr>
          <w:szCs w:val="22"/>
          <w:lang w:val="sr-Latn-ME"/>
        </w:rPr>
        <w:t>nivo sv</w:t>
      </w:r>
      <w:r w:rsidR="000971AF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esnosti i generalizovanu slabost</w:t>
      </w:r>
      <w:r w:rsidR="00E713C4" w:rsidRPr="00A3088E">
        <w:rPr>
          <w:szCs w:val="22"/>
          <w:lang w:val="sr-Latn-ME"/>
        </w:rPr>
        <w:t xml:space="preserve"> (</w:t>
      </w:r>
      <w:r w:rsidR="000971AF" w:rsidRPr="00A3088E">
        <w:rPr>
          <w:szCs w:val="22"/>
          <w:lang w:val="sr-Latn-ME"/>
        </w:rPr>
        <w:t xml:space="preserve">pogledati djelove </w:t>
      </w:r>
      <w:r w:rsidR="00E713C4" w:rsidRPr="00A3088E">
        <w:rPr>
          <w:szCs w:val="22"/>
          <w:lang w:val="sr-Latn-ME"/>
        </w:rPr>
        <w:t>4.4 i 4.8)</w:t>
      </w:r>
      <w:r w:rsidRPr="00A3088E">
        <w:rPr>
          <w:szCs w:val="22"/>
          <w:lang w:val="sr-Latn-ME"/>
        </w:rPr>
        <w:t>.</w:t>
      </w:r>
    </w:p>
    <w:p w14:paraId="65ABAC30" w14:textId="77777777" w:rsidR="007A3598" w:rsidRPr="00A3088E" w:rsidRDefault="007A3598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60AC659" w14:textId="42E5349E" w:rsidR="007A3598" w:rsidRPr="00A3088E" w:rsidRDefault="007A3598" w:rsidP="00570F2D">
      <w:pPr>
        <w:tabs>
          <w:tab w:val="clear" w:pos="284"/>
        </w:tabs>
        <w:autoSpaceDE w:val="0"/>
        <w:autoSpaceDN w:val="0"/>
        <w:adjustRightInd w:val="0"/>
        <w:rPr>
          <w:i/>
          <w:iCs/>
          <w:szCs w:val="22"/>
          <w:lang w:val="sr-Latn-ME"/>
        </w:rPr>
      </w:pPr>
      <w:r w:rsidRPr="00A3088E">
        <w:rPr>
          <w:i/>
          <w:iCs/>
          <w:szCs w:val="22"/>
          <w:lang w:val="sr-Latn-ME"/>
        </w:rPr>
        <w:t>Terapijske m</w:t>
      </w:r>
      <w:r w:rsidR="000971AF" w:rsidRPr="00A3088E">
        <w:rPr>
          <w:i/>
          <w:iCs/>
          <w:szCs w:val="22"/>
          <w:lang w:val="sr-Latn-ME"/>
        </w:rPr>
        <w:t>j</w:t>
      </w:r>
      <w:r w:rsidRPr="00A3088E">
        <w:rPr>
          <w:i/>
          <w:iCs/>
          <w:szCs w:val="22"/>
          <w:lang w:val="sr-Latn-ME"/>
        </w:rPr>
        <w:t>ere</w:t>
      </w:r>
    </w:p>
    <w:p w14:paraId="114B6236" w14:textId="6CA7D5DD" w:rsidR="007A3598" w:rsidRPr="00A3088E" w:rsidRDefault="007A3598" w:rsidP="00F8238F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Sprovedene m</w:t>
      </w:r>
      <w:r w:rsidR="000971A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ere treba da budu simptomatske i suportivne i uključe m</w:t>
      </w:r>
      <w:r w:rsidR="000971A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ere za oslobađanje disajnih puteva i nadgledanje srčane i vitaln</w:t>
      </w:r>
      <w:r w:rsidR="007125F3" w:rsidRPr="00A3088E">
        <w:rPr>
          <w:rFonts w:eastAsia="TimesNewRoman"/>
          <w:szCs w:val="22"/>
          <w:lang w:val="sr-Latn-ME"/>
        </w:rPr>
        <w:t>ih</w:t>
      </w:r>
      <w:r w:rsidRPr="00A3088E">
        <w:rPr>
          <w:rFonts w:eastAsia="TimesNewRoman"/>
          <w:szCs w:val="22"/>
          <w:lang w:val="sr-Latn-ME"/>
        </w:rPr>
        <w:t xml:space="preserve"> funkcij</w:t>
      </w:r>
      <w:r w:rsidR="007125F3" w:rsidRPr="00A3088E">
        <w:rPr>
          <w:rFonts w:eastAsia="TimesNewRoman"/>
          <w:szCs w:val="22"/>
          <w:lang w:val="sr-Latn-ME"/>
        </w:rPr>
        <w:t>a</w:t>
      </w:r>
      <w:r w:rsidRPr="00A3088E">
        <w:rPr>
          <w:rFonts w:eastAsia="TimesNewRoman"/>
          <w:szCs w:val="22"/>
          <w:lang w:val="sr-Latn-ME"/>
        </w:rPr>
        <w:t xml:space="preserve"> dok ne postanu stabilni.</w:t>
      </w:r>
    </w:p>
    <w:p w14:paraId="53BA3D34" w14:textId="799A5F45" w:rsidR="007A3598" w:rsidRPr="00A3088E" w:rsidRDefault="007A3598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Uzeti u obzir prim</w:t>
      </w:r>
      <w:r w:rsidR="000971A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enu aktivnog uglja ako se pacijent javi u roku od sat vremena od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uzimanja potencijalno toksične doze. Ako se konvulzije često javljaju ili su produžene, potrebno je da se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>tretiraju intravenskim diazepamom ili lorazepamom. Astmu treba l</w:t>
      </w:r>
      <w:r w:rsidR="000971AF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ečiti bronhodilatatorima.</w:t>
      </w:r>
    </w:p>
    <w:p w14:paraId="78057543" w14:textId="29F69DC3" w:rsidR="007A3598" w:rsidRPr="00A3088E" w:rsidRDefault="007A3598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50F0233" w14:textId="77777777" w:rsidR="009A0BCA" w:rsidRPr="00A3088E" w:rsidRDefault="009A0BCA" w:rsidP="00570F2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D3F75E4" w14:textId="77777777" w:rsidR="00CE09F3" w:rsidRPr="00A3088E" w:rsidRDefault="00CE09F3" w:rsidP="00570F2D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>5. FARMAKOLOŠKI PODACI</w:t>
      </w:r>
    </w:p>
    <w:p w14:paraId="032996BC" w14:textId="77777777" w:rsidR="009A0BCA" w:rsidRPr="00A3088E" w:rsidRDefault="009A0BCA" w:rsidP="00F8238F">
      <w:pPr>
        <w:rPr>
          <w:b/>
          <w:bCs/>
          <w:szCs w:val="22"/>
          <w:lang w:val="sr-Latn-ME"/>
        </w:rPr>
      </w:pPr>
    </w:p>
    <w:p w14:paraId="5D3F75E5" w14:textId="08A6D442" w:rsidR="00CE09F3" w:rsidRPr="00A3088E" w:rsidRDefault="00CE09F3" w:rsidP="00F8238F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5.1. Farmakodinamski podaci</w:t>
      </w:r>
    </w:p>
    <w:p w14:paraId="6F0EE018" w14:textId="77777777" w:rsidR="00D03258" w:rsidRPr="00A3088E" w:rsidRDefault="00D03258">
      <w:pPr>
        <w:rPr>
          <w:b/>
          <w:bCs/>
          <w:szCs w:val="22"/>
          <w:lang w:val="sr-Latn-ME"/>
        </w:rPr>
      </w:pPr>
    </w:p>
    <w:p w14:paraId="5D3F75E6" w14:textId="3245DB78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Farmakoterapijska grupa:</w:t>
      </w:r>
      <w:r w:rsidR="00751335" w:rsidRPr="00A3088E">
        <w:rPr>
          <w:b/>
          <w:bCs/>
          <w:szCs w:val="22"/>
          <w:lang w:val="sr-Latn-ME"/>
        </w:rPr>
        <w:t xml:space="preserve"> </w:t>
      </w:r>
      <w:r w:rsidR="00106DC0" w:rsidRPr="00A3088E">
        <w:rPr>
          <w:szCs w:val="22"/>
          <w:lang w:val="sr-Latn-ME"/>
        </w:rPr>
        <w:t xml:space="preserve">Nesteroidni antiinflamatorni i antireumatski </w:t>
      </w:r>
      <w:r w:rsidR="007125F3" w:rsidRPr="00A3088E">
        <w:rPr>
          <w:szCs w:val="22"/>
          <w:lang w:val="sr-Latn-ME"/>
        </w:rPr>
        <w:t>l</w:t>
      </w:r>
      <w:r w:rsidR="000971AF" w:rsidRPr="00A3088E">
        <w:rPr>
          <w:szCs w:val="22"/>
          <w:lang w:val="sr-Latn-ME"/>
        </w:rPr>
        <w:t>j</w:t>
      </w:r>
      <w:r w:rsidR="007125F3" w:rsidRPr="00A3088E">
        <w:rPr>
          <w:szCs w:val="22"/>
          <w:lang w:val="sr-Latn-ME"/>
        </w:rPr>
        <w:t>ekovi</w:t>
      </w:r>
      <w:r w:rsidR="00106DC0" w:rsidRPr="00A3088E">
        <w:rPr>
          <w:szCs w:val="22"/>
          <w:lang w:val="sr-Latn-ME"/>
        </w:rPr>
        <w:t xml:space="preserve">; </w:t>
      </w:r>
      <w:r w:rsidR="00106DC0" w:rsidRPr="00A3088E">
        <w:rPr>
          <w:bCs/>
          <w:szCs w:val="22"/>
          <w:lang w:val="sr-Latn-ME"/>
        </w:rPr>
        <w:t>d</w:t>
      </w:r>
      <w:r w:rsidR="00751335" w:rsidRPr="00A3088E">
        <w:rPr>
          <w:bCs/>
          <w:szCs w:val="22"/>
          <w:lang w:val="sr-Latn-ME"/>
        </w:rPr>
        <w:t>erivati propionske kiseline</w:t>
      </w:r>
    </w:p>
    <w:p w14:paraId="5D3F75E7" w14:textId="77777777" w:rsidR="00CE09F3" w:rsidRPr="00A3088E" w:rsidRDefault="00CE09F3">
      <w:pPr>
        <w:rPr>
          <w:szCs w:val="22"/>
          <w:lang w:val="sr-Latn-ME"/>
        </w:rPr>
      </w:pPr>
    </w:p>
    <w:p w14:paraId="5D3F75E8" w14:textId="53BEAE9A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ATC šifra:</w:t>
      </w:r>
      <w:r w:rsidR="00751335" w:rsidRPr="00A3088E">
        <w:rPr>
          <w:b/>
          <w:bCs/>
          <w:szCs w:val="22"/>
          <w:lang w:val="sr-Latn-ME"/>
        </w:rPr>
        <w:t xml:space="preserve"> </w:t>
      </w:r>
      <w:r w:rsidR="00751335" w:rsidRPr="00A3088E">
        <w:rPr>
          <w:bCs/>
          <w:szCs w:val="22"/>
          <w:lang w:val="sr-Latn-ME"/>
        </w:rPr>
        <w:t>M01AE01</w:t>
      </w:r>
    </w:p>
    <w:p w14:paraId="5D3F75E9" w14:textId="77777777" w:rsidR="00CE09F3" w:rsidRPr="00A3088E" w:rsidRDefault="00CE09F3">
      <w:pPr>
        <w:rPr>
          <w:szCs w:val="22"/>
          <w:lang w:val="sr-Latn-ME"/>
        </w:rPr>
      </w:pPr>
    </w:p>
    <w:p w14:paraId="13F1B785" w14:textId="3D0158BF" w:rsidR="00751335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Ibuprofen je derivat propionske kiseline iz grupe NSAIL čije terapijsko dejstvo je rezultat inhibitornog dejstva na sintezu prostaglandina. Kod ljudi, ibuprofen smanjuje bol kao posl</w:t>
      </w:r>
      <w:r w:rsidR="000971AF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edicu inflamacije i povišenu temperaturu. Pored toga, ibuprofen reverzibilno inhibira agregaciju trombocita. Klinički podaci pokazuju da pri dozi ibuprofena od 400 mg analgetski efekat može da traje do 8 sati.</w:t>
      </w:r>
    </w:p>
    <w:p w14:paraId="76B7C0A4" w14:textId="77777777" w:rsidR="00376BA3" w:rsidRPr="00A3088E" w:rsidRDefault="00376BA3">
      <w:pPr>
        <w:rPr>
          <w:szCs w:val="22"/>
          <w:lang w:val="sr-Latn-ME"/>
        </w:rPr>
      </w:pPr>
    </w:p>
    <w:p w14:paraId="10F95331" w14:textId="16A70A37" w:rsidR="00751335" w:rsidRPr="00A3088E" w:rsidRDefault="0075133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Eksperimentalni podaci ukazuju da, kada se </w:t>
      </w:r>
      <w:r w:rsidR="00A84108" w:rsidRPr="00A3088E">
        <w:rPr>
          <w:rFonts w:eastAsia="TimesNewRoman"/>
          <w:szCs w:val="22"/>
          <w:lang w:val="sr-Latn-ME"/>
        </w:rPr>
        <w:t>prim</w:t>
      </w:r>
      <w:r w:rsidR="000971AF" w:rsidRPr="00A3088E">
        <w:rPr>
          <w:rFonts w:eastAsia="TimesNewRoman"/>
          <w:szCs w:val="22"/>
          <w:lang w:val="sr-Latn-ME"/>
        </w:rPr>
        <w:t>j</w:t>
      </w:r>
      <w:r w:rsidR="00A84108" w:rsidRPr="00A3088E">
        <w:rPr>
          <w:rFonts w:eastAsia="TimesNewRoman"/>
          <w:szCs w:val="22"/>
          <w:lang w:val="sr-Latn-ME"/>
        </w:rPr>
        <w:t xml:space="preserve">enjuje </w:t>
      </w:r>
      <w:r w:rsidRPr="00A3088E">
        <w:rPr>
          <w:rFonts w:eastAsia="TimesNewRoman"/>
          <w:szCs w:val="22"/>
          <w:lang w:val="sr-Latn-ME"/>
        </w:rPr>
        <w:t xml:space="preserve">istovremeno, ibuprofen može </w:t>
      </w:r>
      <w:r w:rsidR="00A84108" w:rsidRPr="00A3088E">
        <w:rPr>
          <w:rFonts w:eastAsia="TimesNewRoman"/>
          <w:szCs w:val="22"/>
          <w:lang w:val="sr-Latn-ME"/>
        </w:rPr>
        <w:t xml:space="preserve">kompetitivno </w:t>
      </w:r>
      <w:r w:rsidRPr="00A3088E">
        <w:rPr>
          <w:rFonts w:eastAsia="TimesNewRoman"/>
          <w:szCs w:val="22"/>
          <w:lang w:val="sr-Latn-ME"/>
        </w:rPr>
        <w:t xml:space="preserve">da inhibira uticaj male doze acetilsalicilne kiseline na agregaciju trombocita. Neke farmakodinamske studije pokazuju da nakon </w:t>
      </w:r>
      <w:r w:rsidR="001E5CF6" w:rsidRPr="00A3088E">
        <w:rPr>
          <w:rFonts w:eastAsia="TimesNewRoman"/>
          <w:szCs w:val="22"/>
          <w:lang w:val="sr-Latn-ME"/>
        </w:rPr>
        <w:t>primjene</w:t>
      </w:r>
      <w:r w:rsidRPr="00A3088E">
        <w:rPr>
          <w:rFonts w:eastAsia="TimesNewRoman"/>
          <w:szCs w:val="22"/>
          <w:lang w:val="sr-Latn-ME"/>
        </w:rPr>
        <w:t xml:space="preserve"> pojedinačne doze ibuprofena od 400 mg </w:t>
      </w:r>
      <w:r w:rsidR="00A84108" w:rsidRPr="00A3088E">
        <w:rPr>
          <w:rFonts w:eastAsia="TimesNewRoman"/>
          <w:szCs w:val="22"/>
          <w:lang w:val="sr-Latn-ME"/>
        </w:rPr>
        <w:t>tokom</w:t>
      </w:r>
      <w:r w:rsidRPr="00A3088E">
        <w:rPr>
          <w:rFonts w:eastAsia="TimesNewRoman"/>
          <w:szCs w:val="22"/>
          <w:lang w:val="sr-Latn-ME"/>
        </w:rPr>
        <w:t xml:space="preserve"> 8 sati pr</w:t>
      </w:r>
      <w:r w:rsidR="000971AF" w:rsidRPr="00A3088E">
        <w:rPr>
          <w:rFonts w:eastAsia="TimesNewRoman"/>
          <w:szCs w:val="22"/>
          <w:lang w:val="sr-Latn-ME"/>
        </w:rPr>
        <w:t>ij</w:t>
      </w:r>
      <w:r w:rsidRPr="00A3088E">
        <w:rPr>
          <w:rFonts w:eastAsia="TimesNewRoman"/>
          <w:szCs w:val="22"/>
          <w:lang w:val="sr-Latn-ME"/>
        </w:rPr>
        <w:t>e ili 30 minuta nakon uzimanja acetilsalicilne kiseline (81 mg), u farmaceutskom obliku sa trenutnim oslobađanjem, dolazi do smanjenja dejstva</w:t>
      </w:r>
      <w:r w:rsidR="00376BA3" w:rsidRPr="00A3088E">
        <w:rPr>
          <w:rFonts w:eastAsia="TimesNewRoman"/>
          <w:szCs w:val="22"/>
          <w:lang w:val="sr-Latn-ME"/>
        </w:rPr>
        <w:t xml:space="preserve"> </w:t>
      </w:r>
      <w:r w:rsidRPr="00A3088E">
        <w:rPr>
          <w:rFonts w:eastAsia="TimesNewRoman"/>
          <w:szCs w:val="22"/>
          <w:lang w:val="sr-Latn-ME"/>
        </w:rPr>
        <w:t xml:space="preserve">acetilsalicilne kiseline na </w:t>
      </w:r>
      <w:r w:rsidR="00A84108" w:rsidRPr="00A3088E">
        <w:rPr>
          <w:rFonts w:eastAsia="TimesNewRoman"/>
          <w:szCs w:val="22"/>
          <w:lang w:val="sr-Latn-ME"/>
        </w:rPr>
        <w:t xml:space="preserve">stvaranje </w:t>
      </w:r>
      <w:r w:rsidRPr="00A3088E">
        <w:rPr>
          <w:rFonts w:eastAsia="TimesNewRoman"/>
          <w:szCs w:val="22"/>
          <w:lang w:val="sr-Latn-ME"/>
        </w:rPr>
        <w:t xml:space="preserve">tromboksana ili agregaciju trombocita. Iako postoje nepoznanice u vezi sa ekstrapolacijom ovih podataka na kliničku </w:t>
      </w:r>
      <w:r w:rsidR="00A84108" w:rsidRPr="00A3088E">
        <w:rPr>
          <w:rFonts w:eastAsia="TimesNewRoman"/>
          <w:szCs w:val="22"/>
          <w:lang w:val="sr-Latn-ME"/>
        </w:rPr>
        <w:t>praksu</w:t>
      </w:r>
      <w:r w:rsidRPr="00A3088E">
        <w:rPr>
          <w:rFonts w:eastAsia="TimesNewRoman"/>
          <w:szCs w:val="22"/>
          <w:lang w:val="sr-Latn-ME"/>
        </w:rPr>
        <w:t xml:space="preserve">, ne može se isključiti mogućnost da redovna, dugotrajna </w:t>
      </w:r>
      <w:r w:rsidR="00CA7A31" w:rsidRPr="00A3088E">
        <w:rPr>
          <w:rFonts w:eastAsia="TimesNewRoman"/>
          <w:szCs w:val="22"/>
          <w:lang w:val="sr-Latn-ME"/>
        </w:rPr>
        <w:t>primjena</w:t>
      </w:r>
      <w:r w:rsidRPr="00A3088E">
        <w:rPr>
          <w:rFonts w:eastAsia="TimesNewRoman"/>
          <w:szCs w:val="22"/>
          <w:lang w:val="sr-Latn-ME"/>
        </w:rPr>
        <w:t xml:space="preserve"> ibuprofena može </w:t>
      </w:r>
      <w:r w:rsidR="00A84108" w:rsidRPr="00A3088E">
        <w:rPr>
          <w:rFonts w:eastAsia="TimesNewRoman"/>
          <w:szCs w:val="22"/>
          <w:lang w:val="sr-Latn-ME"/>
        </w:rPr>
        <w:t xml:space="preserve">smanjiti </w:t>
      </w:r>
      <w:r w:rsidRPr="00A3088E">
        <w:rPr>
          <w:rFonts w:eastAsia="TimesNewRoman"/>
          <w:szCs w:val="22"/>
          <w:lang w:val="sr-Latn-ME"/>
        </w:rPr>
        <w:t>kardioprotektivno dejstvo malih doza acetilsalicilne kiseline.</w:t>
      </w:r>
    </w:p>
    <w:p w14:paraId="47F92D42" w14:textId="213F98A1" w:rsidR="00751335" w:rsidRPr="00A3088E" w:rsidRDefault="00751335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>Povremena upotreba ibuprofena v</w:t>
      </w:r>
      <w:r w:rsidR="000971AF" w:rsidRPr="00A3088E">
        <w:rPr>
          <w:rFonts w:eastAsia="TimesNewRoman"/>
          <w:szCs w:val="22"/>
          <w:lang w:val="sr-Latn-ME"/>
        </w:rPr>
        <w:t>j</w:t>
      </w:r>
      <w:r w:rsidRPr="00A3088E">
        <w:rPr>
          <w:rFonts w:eastAsia="TimesNewRoman"/>
          <w:szCs w:val="22"/>
          <w:lang w:val="sr-Latn-ME"/>
        </w:rPr>
        <w:t>erovatno nema klinički značajno dejstvo (</w:t>
      </w:r>
      <w:r w:rsidR="001E5CF6" w:rsidRPr="00A3088E">
        <w:rPr>
          <w:rFonts w:eastAsia="TimesNewRoman"/>
          <w:szCs w:val="22"/>
          <w:lang w:val="sr-Latn-ME"/>
        </w:rPr>
        <w:t xml:space="preserve">pogledati dio </w:t>
      </w:r>
      <w:r w:rsidRPr="00A3088E">
        <w:rPr>
          <w:rFonts w:eastAsia="TimesNewRoman"/>
          <w:szCs w:val="22"/>
          <w:lang w:val="sr-Latn-ME"/>
        </w:rPr>
        <w:t>4.5).</w:t>
      </w:r>
    </w:p>
    <w:p w14:paraId="7F100EA0" w14:textId="14EBFD91" w:rsidR="00751335" w:rsidRPr="00A3088E" w:rsidRDefault="00751335">
      <w:pPr>
        <w:rPr>
          <w:szCs w:val="22"/>
          <w:lang w:val="sr-Latn-ME"/>
        </w:rPr>
      </w:pPr>
    </w:p>
    <w:p w14:paraId="5D3F75EB" w14:textId="77777777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lastRenderedPageBreak/>
        <w:t>5.2. Farmakokinetički podaci</w:t>
      </w:r>
    </w:p>
    <w:p w14:paraId="5D3F75EC" w14:textId="6AA94DEC" w:rsidR="00CE09F3" w:rsidRPr="00A3088E" w:rsidRDefault="00CE09F3">
      <w:pPr>
        <w:rPr>
          <w:szCs w:val="22"/>
          <w:lang w:val="sr-Latn-ME"/>
        </w:rPr>
      </w:pPr>
    </w:p>
    <w:p w14:paraId="60F6D81B" w14:textId="679372A6" w:rsidR="00375944" w:rsidRPr="00A3088E" w:rsidRDefault="0037594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Ibuprofen se </w:t>
      </w:r>
      <w:r w:rsidR="00A84108" w:rsidRPr="00A3088E">
        <w:rPr>
          <w:szCs w:val="22"/>
          <w:lang w:val="sr-Latn-ME"/>
        </w:rPr>
        <w:t xml:space="preserve">potpuno </w:t>
      </w:r>
      <w:r w:rsidRPr="00A3088E">
        <w:rPr>
          <w:szCs w:val="22"/>
          <w:lang w:val="sr-Latn-ME"/>
        </w:rPr>
        <w:t>resorbuje iz gastrointestinalnog trakta i ekstenzivno vezuje za proteine plazme.</w:t>
      </w:r>
    </w:p>
    <w:p w14:paraId="7A2CDF85" w14:textId="657B55D5" w:rsidR="00376BA3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Nakon ingestije, želatinozna kapsula se rastvara u želudačnom soku odmah oslobađajući ibuprofen koji se odmah resorbuje. </w:t>
      </w:r>
      <w:r w:rsidR="00A84108" w:rsidRPr="00A3088E">
        <w:rPr>
          <w:szCs w:val="22"/>
          <w:lang w:val="sr-Latn-ME"/>
        </w:rPr>
        <w:t>Medijana m</w:t>
      </w:r>
      <w:r w:rsidRPr="00A3088E">
        <w:rPr>
          <w:szCs w:val="22"/>
          <w:lang w:val="sr-Latn-ME"/>
        </w:rPr>
        <w:t>aksimaln</w:t>
      </w:r>
      <w:r w:rsidR="00A84108" w:rsidRPr="00A3088E">
        <w:rPr>
          <w:szCs w:val="22"/>
          <w:lang w:val="sr-Latn-ME"/>
        </w:rPr>
        <w:t>e</w:t>
      </w:r>
      <w:r w:rsidRPr="00A3088E">
        <w:rPr>
          <w:szCs w:val="22"/>
          <w:lang w:val="sr-Latn-ME"/>
        </w:rPr>
        <w:t xml:space="preserve"> koncentracij</w:t>
      </w:r>
      <w:r w:rsidR="00A84108" w:rsidRPr="00A3088E">
        <w:rPr>
          <w:szCs w:val="22"/>
          <w:lang w:val="sr-Latn-ME"/>
        </w:rPr>
        <w:t>e</w:t>
      </w:r>
      <w:r w:rsidRPr="00A3088E">
        <w:rPr>
          <w:szCs w:val="22"/>
          <w:lang w:val="sr-Latn-ME"/>
        </w:rPr>
        <w:t xml:space="preserve"> u plazmi se dostiže za oko 30 minuta posl</w:t>
      </w:r>
      <w:r w:rsidR="0040069A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 </w:t>
      </w:r>
      <w:r w:rsidR="001E5CF6" w:rsidRPr="00A3088E">
        <w:rPr>
          <w:szCs w:val="22"/>
          <w:lang w:val="sr-Latn-ME"/>
        </w:rPr>
        <w:t>primjene</w:t>
      </w:r>
      <w:r w:rsidRPr="00A3088E">
        <w:rPr>
          <w:szCs w:val="22"/>
          <w:lang w:val="sr-Latn-ME"/>
        </w:rPr>
        <w:t xml:space="preserve"> na prazan želudac.</w:t>
      </w:r>
    </w:p>
    <w:p w14:paraId="7B345DE5" w14:textId="18468CC1" w:rsidR="007B1B35" w:rsidRPr="00A3088E" w:rsidRDefault="00A84108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Medijana m</w:t>
      </w:r>
      <w:r w:rsidR="00376BA3" w:rsidRPr="00A3088E">
        <w:rPr>
          <w:szCs w:val="22"/>
          <w:lang w:val="sr-Latn-ME"/>
        </w:rPr>
        <w:t>aksimaln</w:t>
      </w:r>
      <w:r w:rsidRPr="00A3088E">
        <w:rPr>
          <w:szCs w:val="22"/>
          <w:lang w:val="sr-Latn-ME"/>
        </w:rPr>
        <w:t>e</w:t>
      </w:r>
      <w:r w:rsidR="00376BA3" w:rsidRPr="00A3088E">
        <w:rPr>
          <w:szCs w:val="22"/>
          <w:lang w:val="sr-Latn-ME"/>
        </w:rPr>
        <w:t xml:space="preserve"> koncentracij</w:t>
      </w:r>
      <w:r w:rsidRPr="00A3088E">
        <w:rPr>
          <w:szCs w:val="22"/>
          <w:lang w:val="sr-Latn-ME"/>
        </w:rPr>
        <w:t>e</w:t>
      </w:r>
      <w:r w:rsidR="00376BA3" w:rsidRPr="00A3088E">
        <w:rPr>
          <w:szCs w:val="22"/>
          <w:lang w:val="sr-Latn-ME"/>
        </w:rPr>
        <w:t xml:space="preserve"> se postiže 1-2 sata nakon </w:t>
      </w:r>
      <w:r w:rsidR="001E5CF6" w:rsidRPr="00A3088E">
        <w:rPr>
          <w:szCs w:val="22"/>
          <w:lang w:val="sr-Latn-ME"/>
        </w:rPr>
        <w:t>primjene</w:t>
      </w:r>
      <w:r w:rsidR="00376BA3" w:rsidRPr="00A3088E">
        <w:rPr>
          <w:szCs w:val="22"/>
          <w:lang w:val="sr-Latn-ME"/>
        </w:rPr>
        <w:t xml:space="preserve"> </w:t>
      </w:r>
      <w:r w:rsidRPr="00A3088E">
        <w:rPr>
          <w:szCs w:val="22"/>
          <w:lang w:val="sr-Latn-ME"/>
        </w:rPr>
        <w:t>ibuprofena u obliku tableta</w:t>
      </w:r>
      <w:r w:rsidR="00376BA3" w:rsidRPr="00A3088E">
        <w:rPr>
          <w:szCs w:val="22"/>
          <w:lang w:val="sr-Latn-ME"/>
        </w:rPr>
        <w:t>. Direktno po</w:t>
      </w:r>
      <w:r w:rsidR="00FD6F83" w:rsidRPr="00A3088E">
        <w:rPr>
          <w:szCs w:val="22"/>
          <w:lang w:val="sr-Latn-ME"/>
        </w:rPr>
        <w:t>ređe</w:t>
      </w:r>
      <w:r w:rsidR="00376BA3" w:rsidRPr="00A3088E">
        <w:rPr>
          <w:szCs w:val="22"/>
          <w:lang w:val="sr-Latn-ME"/>
        </w:rPr>
        <w:t>nje kapsule koja sadrži dozu od 400 mg ibuprofena sa 2 tablete koje sadrže dozu od po 200 mg je pokazalo da se pros</w:t>
      </w:r>
      <w:r w:rsidR="000971AF" w:rsidRPr="00A3088E">
        <w:rPr>
          <w:szCs w:val="22"/>
          <w:lang w:val="sr-Latn-ME"/>
        </w:rPr>
        <w:t>j</w:t>
      </w:r>
      <w:r w:rsidR="00376BA3" w:rsidRPr="00A3088E">
        <w:rPr>
          <w:szCs w:val="22"/>
          <w:lang w:val="sr-Latn-ME"/>
        </w:rPr>
        <w:t>ečno vr</w:t>
      </w:r>
      <w:r w:rsidR="000971AF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>eme za postizanje maksimalne koncentracije u plazmi ibuprofena oslobođenog iz kapsule postiže za više nego dvostruko brže vr</w:t>
      </w:r>
      <w:r w:rsidR="000971AF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>eme (32,5 minuta) u odnosu na tablete (90 minuta). Kada se l</w:t>
      </w:r>
      <w:r w:rsidR="000971AF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>ek uzima uz obrok vr</w:t>
      </w:r>
      <w:r w:rsidR="000971AF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>eme za postizanje maksimalne koncentracije l</w:t>
      </w:r>
      <w:r w:rsidR="000971AF" w:rsidRPr="00A3088E">
        <w:rPr>
          <w:szCs w:val="22"/>
          <w:lang w:val="sr-Latn-ME"/>
        </w:rPr>
        <w:t>ij</w:t>
      </w:r>
      <w:r w:rsidR="00376BA3" w:rsidRPr="00A3088E">
        <w:rPr>
          <w:szCs w:val="22"/>
          <w:lang w:val="sr-Latn-ME"/>
        </w:rPr>
        <w:t xml:space="preserve">eka u plazmi može biti odloženo. </w:t>
      </w:r>
    </w:p>
    <w:p w14:paraId="019CB598" w14:textId="4E43E682" w:rsidR="007B1B35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Ibuprofen se metaboliše u jetri do 2 glavna metabolita koja se primarno izlučuju preko bubrega bilo kao takvi ili kao konjugovani metaboliti uz neznatnu količinu neprom</w:t>
      </w:r>
      <w:r w:rsidR="000971AF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enjenog ibuprofena. Eliminacija preko bubrega je brza i kompletna. Poluvr</w:t>
      </w:r>
      <w:r w:rsidR="000971AF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eme eliminacije je oko 2 sata. </w:t>
      </w:r>
    </w:p>
    <w:p w14:paraId="0C0EEB61" w14:textId="77777777" w:rsidR="007B1B35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Nema značajnih razlika u pogledu farmakokinetičkog profila kod starijih osoba. </w:t>
      </w:r>
    </w:p>
    <w:p w14:paraId="4E89AD62" w14:textId="710E0EE5" w:rsidR="00D03258" w:rsidRPr="00A3088E" w:rsidRDefault="00376BA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A3088E">
        <w:rPr>
          <w:szCs w:val="22"/>
          <w:lang w:val="sr-Latn-ME"/>
        </w:rPr>
        <w:t>U ograničenom broju studija, ibuprofen se pojavljuje u ml</w:t>
      </w:r>
      <w:r w:rsidR="000971AF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 xml:space="preserve">eku dojilja u vrlo malim </w:t>
      </w:r>
      <w:r w:rsidR="007B1B35" w:rsidRPr="00A3088E">
        <w:rPr>
          <w:szCs w:val="22"/>
          <w:lang w:val="sr-Latn-ME"/>
        </w:rPr>
        <w:t>koncentracijama</w:t>
      </w:r>
      <w:r w:rsidRPr="00A3088E">
        <w:rPr>
          <w:szCs w:val="22"/>
          <w:lang w:val="sr-Latn-ME"/>
        </w:rPr>
        <w:t>.</w:t>
      </w:r>
    </w:p>
    <w:p w14:paraId="11E47A6D" w14:textId="77777777" w:rsidR="007B318B" w:rsidRPr="00A3088E" w:rsidRDefault="007B318B">
      <w:pPr>
        <w:rPr>
          <w:b/>
          <w:bCs/>
          <w:szCs w:val="22"/>
          <w:lang w:val="sr-Latn-ME"/>
        </w:rPr>
      </w:pPr>
    </w:p>
    <w:p w14:paraId="5D3F75ED" w14:textId="6141196B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5.3. Pretklinički podaci o bezb</w:t>
      </w:r>
      <w:r w:rsidR="000971AF" w:rsidRPr="00A3088E">
        <w:rPr>
          <w:b/>
          <w:bCs/>
          <w:szCs w:val="22"/>
          <w:lang w:val="sr-Latn-ME"/>
        </w:rPr>
        <w:t>j</w:t>
      </w:r>
      <w:r w:rsidRPr="00A3088E">
        <w:rPr>
          <w:b/>
          <w:bCs/>
          <w:szCs w:val="22"/>
          <w:lang w:val="sr-Latn-ME"/>
        </w:rPr>
        <w:t>ednosti l</w:t>
      </w:r>
      <w:r w:rsidR="000971AF" w:rsidRPr="00A3088E">
        <w:rPr>
          <w:b/>
          <w:bCs/>
          <w:szCs w:val="22"/>
          <w:lang w:val="sr-Latn-ME"/>
        </w:rPr>
        <w:t>ij</w:t>
      </w:r>
      <w:r w:rsidRPr="00A3088E">
        <w:rPr>
          <w:b/>
          <w:bCs/>
          <w:szCs w:val="22"/>
          <w:lang w:val="sr-Latn-ME"/>
        </w:rPr>
        <w:t>eka</w:t>
      </w:r>
    </w:p>
    <w:p w14:paraId="5D3F75EE" w14:textId="77777777" w:rsidR="00CE09F3" w:rsidRPr="00A3088E" w:rsidRDefault="00CE09F3">
      <w:pPr>
        <w:rPr>
          <w:szCs w:val="22"/>
          <w:lang w:val="sr-Latn-ME"/>
        </w:rPr>
      </w:pPr>
    </w:p>
    <w:p w14:paraId="31B0420C" w14:textId="33368366" w:rsidR="00DD770D" w:rsidRPr="00A3088E" w:rsidRDefault="00DD770D">
      <w:pPr>
        <w:rPr>
          <w:rFonts w:eastAsia="TimesNewRoman"/>
          <w:szCs w:val="22"/>
          <w:lang w:val="sr-Latn-ME"/>
        </w:rPr>
      </w:pPr>
      <w:r w:rsidRPr="00A3088E">
        <w:rPr>
          <w:rFonts w:eastAsia="TimesNewRoman"/>
          <w:szCs w:val="22"/>
          <w:lang w:val="sr-Latn-ME"/>
        </w:rPr>
        <w:t xml:space="preserve">Nema relevantnih podataka osim onih koji su već navedeni u drugim </w:t>
      </w:r>
      <w:r w:rsidR="000971AF" w:rsidRPr="00A3088E">
        <w:rPr>
          <w:rFonts w:eastAsia="TimesNewRoman"/>
          <w:szCs w:val="22"/>
          <w:lang w:val="sr-Latn-ME"/>
        </w:rPr>
        <w:t>d</w:t>
      </w:r>
      <w:r w:rsidRPr="00A3088E">
        <w:rPr>
          <w:rFonts w:eastAsia="TimesNewRoman"/>
          <w:szCs w:val="22"/>
          <w:lang w:val="sr-Latn-ME"/>
        </w:rPr>
        <w:t>j</w:t>
      </w:r>
      <w:r w:rsidR="000971AF" w:rsidRPr="00A3088E">
        <w:rPr>
          <w:rFonts w:eastAsia="TimesNewRoman"/>
          <w:szCs w:val="22"/>
          <w:lang w:val="sr-Latn-ME"/>
        </w:rPr>
        <w:t>e</w:t>
      </w:r>
      <w:r w:rsidRPr="00A3088E">
        <w:rPr>
          <w:rFonts w:eastAsia="TimesNewRoman"/>
          <w:szCs w:val="22"/>
          <w:lang w:val="sr-Latn-ME"/>
        </w:rPr>
        <w:t>lovima Sažetka karakteristika lijeka.</w:t>
      </w:r>
    </w:p>
    <w:p w14:paraId="7DAB9A54" w14:textId="7D69AAE9" w:rsidR="00751335" w:rsidRPr="00A3088E" w:rsidRDefault="00751335">
      <w:pPr>
        <w:rPr>
          <w:szCs w:val="22"/>
          <w:lang w:val="sr-Latn-ME"/>
        </w:rPr>
      </w:pPr>
    </w:p>
    <w:p w14:paraId="59CEAD98" w14:textId="77777777" w:rsidR="009A0BCA" w:rsidRPr="00A3088E" w:rsidRDefault="009A0BCA">
      <w:pPr>
        <w:rPr>
          <w:szCs w:val="22"/>
          <w:lang w:val="sr-Latn-ME"/>
        </w:rPr>
      </w:pPr>
    </w:p>
    <w:p w14:paraId="5D3F75F0" w14:textId="77777777" w:rsidR="00CE09F3" w:rsidRPr="00A3088E" w:rsidRDefault="00CE09F3" w:rsidP="00570F2D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>6. FARMACEUTSKI PODACI</w:t>
      </w:r>
    </w:p>
    <w:p w14:paraId="3CE68C15" w14:textId="77777777" w:rsidR="009A0BCA" w:rsidRPr="00A3088E" w:rsidRDefault="009A0BCA">
      <w:pPr>
        <w:rPr>
          <w:b/>
          <w:bCs/>
          <w:szCs w:val="22"/>
          <w:lang w:val="sr-Latn-ME"/>
        </w:rPr>
      </w:pPr>
    </w:p>
    <w:p w14:paraId="5D3F75F1" w14:textId="7A80DE8C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6.1. Lista pomoćnih supstanci</w:t>
      </w:r>
      <w:r w:rsidR="002072EC" w:rsidRPr="00A3088E">
        <w:rPr>
          <w:b/>
          <w:bCs/>
          <w:szCs w:val="22"/>
          <w:lang w:val="sr-Latn-ME"/>
        </w:rPr>
        <w:t xml:space="preserve"> (eksipijenasa)</w:t>
      </w:r>
    </w:p>
    <w:p w14:paraId="5D3F75F2" w14:textId="77777777" w:rsidR="00CE09F3" w:rsidRPr="00A3088E" w:rsidRDefault="00CE09F3">
      <w:pPr>
        <w:rPr>
          <w:szCs w:val="22"/>
          <w:lang w:val="sr-Latn-ME"/>
        </w:rPr>
      </w:pPr>
    </w:p>
    <w:p w14:paraId="6885400B" w14:textId="77777777" w:rsidR="009E157A" w:rsidRPr="00A3088E" w:rsidRDefault="009E157A" w:rsidP="00570F2D">
      <w:pPr>
        <w:pStyle w:val="Default"/>
        <w:jc w:val="both"/>
        <w:rPr>
          <w:i/>
          <w:sz w:val="22"/>
          <w:szCs w:val="22"/>
          <w:lang w:val="sr-Latn-ME"/>
        </w:rPr>
      </w:pPr>
      <w:r w:rsidRPr="00A3088E">
        <w:rPr>
          <w:i/>
          <w:sz w:val="22"/>
          <w:szCs w:val="22"/>
          <w:lang w:val="sr-Latn-ME"/>
        </w:rPr>
        <w:t>Sadržaj kapsule:</w:t>
      </w:r>
    </w:p>
    <w:p w14:paraId="42985200" w14:textId="77777777" w:rsidR="00376BA3" w:rsidRPr="00A3088E" w:rsidRDefault="00376BA3" w:rsidP="00F8238F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makrogol 600 </w:t>
      </w:r>
    </w:p>
    <w:p w14:paraId="446F526C" w14:textId="4548F208" w:rsidR="00376BA3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kalijum</w:t>
      </w:r>
      <w:r w:rsidR="009A0BCA" w:rsidRPr="00A3088E">
        <w:rPr>
          <w:szCs w:val="22"/>
          <w:lang w:val="sr-Latn-ME"/>
        </w:rPr>
        <w:t xml:space="preserve"> </w:t>
      </w:r>
      <w:r w:rsidRPr="00A3088E">
        <w:rPr>
          <w:szCs w:val="22"/>
          <w:lang w:val="sr-Latn-ME"/>
        </w:rPr>
        <w:t xml:space="preserve">hidroksid </w:t>
      </w:r>
    </w:p>
    <w:p w14:paraId="5D3F75F3" w14:textId="688EAC27" w:rsidR="00CE09F3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voda, prečišćena</w:t>
      </w:r>
    </w:p>
    <w:p w14:paraId="5D422D4E" w14:textId="77777777" w:rsidR="00376BA3" w:rsidRPr="00A3088E" w:rsidRDefault="00376BA3">
      <w:pPr>
        <w:rPr>
          <w:i/>
          <w:szCs w:val="22"/>
          <w:lang w:val="sr-Latn-ME"/>
        </w:rPr>
      </w:pPr>
    </w:p>
    <w:p w14:paraId="45B1B701" w14:textId="6CA3B590" w:rsidR="009E157A" w:rsidRPr="00A3088E" w:rsidRDefault="009E157A">
      <w:pPr>
        <w:rPr>
          <w:i/>
          <w:szCs w:val="22"/>
          <w:lang w:val="sr-Latn-ME"/>
        </w:rPr>
      </w:pPr>
      <w:r w:rsidRPr="00A3088E">
        <w:rPr>
          <w:i/>
          <w:szCs w:val="22"/>
          <w:lang w:val="sr-Latn-ME"/>
        </w:rPr>
        <w:t xml:space="preserve">Sastav </w:t>
      </w:r>
      <w:r w:rsidR="00376BA3" w:rsidRPr="00A3088E">
        <w:rPr>
          <w:i/>
          <w:szCs w:val="22"/>
          <w:lang w:val="sr-Latn-ME"/>
        </w:rPr>
        <w:t>kapsule</w:t>
      </w:r>
      <w:r w:rsidRPr="00A3088E">
        <w:rPr>
          <w:i/>
          <w:szCs w:val="22"/>
          <w:lang w:val="sr-Latn-ME"/>
        </w:rPr>
        <w:t>:</w:t>
      </w:r>
    </w:p>
    <w:p w14:paraId="2ADA92E9" w14:textId="77777777" w:rsidR="00376BA3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 xml:space="preserve">želatin </w:t>
      </w:r>
    </w:p>
    <w:p w14:paraId="527F5481" w14:textId="1D53DBDA" w:rsidR="009E157A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sorbitol, tečni, d</w:t>
      </w:r>
      <w:r w:rsidR="00D44E66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elimično dehidratisan (E420)</w:t>
      </w:r>
    </w:p>
    <w:p w14:paraId="6E7CD5F6" w14:textId="5834D017" w:rsidR="00EA4CE1" w:rsidRPr="00A3088E" w:rsidRDefault="00EA4CE1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voda, prečišćena.</w:t>
      </w:r>
    </w:p>
    <w:p w14:paraId="3EC5BDB4" w14:textId="77777777" w:rsidR="00376BA3" w:rsidRPr="00A3088E" w:rsidRDefault="00376BA3">
      <w:pPr>
        <w:rPr>
          <w:szCs w:val="22"/>
          <w:lang w:val="sr-Latn-ME"/>
        </w:rPr>
      </w:pPr>
    </w:p>
    <w:p w14:paraId="5D3F75F4" w14:textId="538CD123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6.2. Inkompatibilnost</w:t>
      </w:r>
      <w:r w:rsidR="000971AF" w:rsidRPr="00A3088E">
        <w:rPr>
          <w:b/>
          <w:bCs/>
          <w:szCs w:val="22"/>
          <w:lang w:val="sr-Latn-ME"/>
        </w:rPr>
        <w:t>i</w:t>
      </w:r>
    </w:p>
    <w:p w14:paraId="5D3F75F5" w14:textId="77777777" w:rsidR="00CE09F3" w:rsidRPr="00A3088E" w:rsidRDefault="00CE09F3">
      <w:pPr>
        <w:rPr>
          <w:szCs w:val="22"/>
          <w:lang w:val="sr-Latn-ME"/>
        </w:rPr>
      </w:pPr>
    </w:p>
    <w:p w14:paraId="30024668" w14:textId="4D5BBDCA" w:rsidR="009E157A" w:rsidRPr="00A3088E" w:rsidRDefault="009E157A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Nije prim</w:t>
      </w:r>
      <w:r w:rsidR="000971AF" w:rsidRPr="00A3088E">
        <w:rPr>
          <w:szCs w:val="22"/>
          <w:lang w:val="sr-Latn-ME"/>
        </w:rPr>
        <w:t>j</w:t>
      </w:r>
      <w:r w:rsidRPr="00A3088E">
        <w:rPr>
          <w:szCs w:val="22"/>
          <w:lang w:val="sr-Latn-ME"/>
        </w:rPr>
        <w:t>enljivo.</w:t>
      </w:r>
    </w:p>
    <w:p w14:paraId="5D3F75F6" w14:textId="77777777" w:rsidR="00CE09F3" w:rsidRPr="00A3088E" w:rsidRDefault="00CE09F3">
      <w:pPr>
        <w:rPr>
          <w:szCs w:val="22"/>
          <w:lang w:val="sr-Latn-ME"/>
        </w:rPr>
      </w:pPr>
    </w:p>
    <w:p w14:paraId="5D3F75F7" w14:textId="77777777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>6.3. Rok upotrebe</w:t>
      </w:r>
    </w:p>
    <w:p w14:paraId="5D3F75F8" w14:textId="77777777" w:rsidR="00CE09F3" w:rsidRPr="00A3088E" w:rsidRDefault="00CE09F3">
      <w:pPr>
        <w:rPr>
          <w:szCs w:val="22"/>
          <w:lang w:val="sr-Latn-ME"/>
        </w:rPr>
      </w:pPr>
    </w:p>
    <w:p w14:paraId="1444EFCF" w14:textId="77777777" w:rsidR="00DD770D" w:rsidRPr="00A3088E" w:rsidRDefault="00DD770D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36 mjeseci.</w:t>
      </w:r>
    </w:p>
    <w:p w14:paraId="22345251" w14:textId="77777777" w:rsidR="009E157A" w:rsidRPr="00A3088E" w:rsidRDefault="009E157A">
      <w:pPr>
        <w:rPr>
          <w:szCs w:val="22"/>
          <w:lang w:val="sr-Latn-ME"/>
        </w:rPr>
      </w:pPr>
    </w:p>
    <w:p w14:paraId="5D3F75FA" w14:textId="7EC01F69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 xml:space="preserve">6.4. </w:t>
      </w:r>
      <w:r w:rsidR="002072EC" w:rsidRPr="00A3088E">
        <w:rPr>
          <w:b/>
          <w:bCs/>
          <w:szCs w:val="22"/>
          <w:lang w:val="sr-Latn-ME"/>
        </w:rPr>
        <w:t>Posebne mjere upozorenja pri čuvanju lijeka</w:t>
      </w:r>
    </w:p>
    <w:p w14:paraId="5D3F75FB" w14:textId="77777777" w:rsidR="00CE09F3" w:rsidRPr="00A3088E" w:rsidRDefault="00CE09F3">
      <w:pPr>
        <w:rPr>
          <w:szCs w:val="22"/>
          <w:lang w:val="sr-Latn-ME"/>
        </w:rPr>
      </w:pPr>
    </w:p>
    <w:p w14:paraId="5D3F75FC" w14:textId="772FD53A" w:rsidR="00CE09F3" w:rsidRPr="00A3088E" w:rsidRDefault="009E157A">
      <w:pPr>
        <w:rPr>
          <w:color w:val="000000"/>
          <w:szCs w:val="22"/>
          <w:lang w:val="sr-Latn-ME"/>
        </w:rPr>
      </w:pPr>
      <w:r w:rsidRPr="00A3088E">
        <w:rPr>
          <w:color w:val="000000"/>
          <w:szCs w:val="22"/>
          <w:lang w:val="sr-Latn-ME"/>
        </w:rPr>
        <w:t>Čuvati na temperaturi do 25ºC.</w:t>
      </w:r>
    </w:p>
    <w:p w14:paraId="23AFDD85" w14:textId="77777777" w:rsidR="009E157A" w:rsidRPr="00A3088E" w:rsidRDefault="009E157A">
      <w:pPr>
        <w:rPr>
          <w:szCs w:val="22"/>
          <w:lang w:val="sr-Latn-ME"/>
        </w:rPr>
      </w:pPr>
    </w:p>
    <w:p w14:paraId="5D3F75FD" w14:textId="30E18A6E" w:rsidR="00CE09F3" w:rsidRPr="00A3088E" w:rsidRDefault="0022223A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t xml:space="preserve">6.5. </w:t>
      </w:r>
      <w:r w:rsidR="002072EC" w:rsidRPr="00A3088E">
        <w:rPr>
          <w:b/>
          <w:bCs/>
          <w:szCs w:val="22"/>
          <w:lang w:val="sr-Latn-ME"/>
        </w:rPr>
        <w:t>Vrsta i sadržaj pakovanja</w:t>
      </w:r>
    </w:p>
    <w:p w14:paraId="09815CE9" w14:textId="77777777" w:rsidR="00C57E82" w:rsidRPr="00A3088E" w:rsidRDefault="00C57E82">
      <w:pPr>
        <w:rPr>
          <w:b/>
          <w:bCs/>
          <w:szCs w:val="22"/>
          <w:lang w:val="sr-Latn-ME"/>
        </w:rPr>
      </w:pPr>
    </w:p>
    <w:p w14:paraId="0C62E766" w14:textId="0AB0CC81" w:rsidR="0008394E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Unutrašnje pakovanje je b</w:t>
      </w:r>
      <w:r w:rsidR="000971AF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eli neprovidni PVC/PE/PVdC-Al blister</w:t>
      </w:r>
      <w:r w:rsidR="009A0BCA" w:rsidRPr="00A3088E">
        <w:rPr>
          <w:szCs w:val="22"/>
          <w:lang w:val="sr-Latn-ME"/>
        </w:rPr>
        <w:t xml:space="preserve"> koji</w:t>
      </w:r>
      <w:r w:rsidRPr="00A3088E">
        <w:rPr>
          <w:szCs w:val="22"/>
          <w:lang w:val="sr-Latn-ME"/>
        </w:rPr>
        <w:t xml:space="preserve"> sadrži 10 kapsula, mekih. </w:t>
      </w:r>
    </w:p>
    <w:p w14:paraId="65724FEE" w14:textId="6905B245" w:rsidR="009E157A" w:rsidRPr="00A3088E" w:rsidRDefault="00376BA3">
      <w:pPr>
        <w:rPr>
          <w:szCs w:val="22"/>
          <w:lang w:val="sr-Latn-ME"/>
        </w:rPr>
      </w:pPr>
      <w:r w:rsidRPr="00A3088E">
        <w:rPr>
          <w:szCs w:val="22"/>
          <w:lang w:val="sr-Latn-ME"/>
        </w:rPr>
        <w:t>Spoljašnje pakovanje je složiva kartonska kutija koja sadrži jedan blister</w:t>
      </w:r>
      <w:r w:rsidR="00705695" w:rsidRPr="00A3088E">
        <w:rPr>
          <w:szCs w:val="22"/>
          <w:lang w:val="sr-Latn-ME"/>
        </w:rPr>
        <w:t xml:space="preserve"> sa 10 kapsula, mekih</w:t>
      </w:r>
      <w:r w:rsidRPr="00A3088E">
        <w:rPr>
          <w:szCs w:val="22"/>
          <w:lang w:val="sr-Latn-ME"/>
        </w:rPr>
        <w:t xml:space="preserve"> i Uputstvo za l</w:t>
      </w:r>
      <w:r w:rsidR="00977302" w:rsidRPr="00A3088E">
        <w:rPr>
          <w:szCs w:val="22"/>
          <w:lang w:val="sr-Latn-ME"/>
        </w:rPr>
        <w:t>ij</w:t>
      </w:r>
      <w:r w:rsidRPr="00A3088E">
        <w:rPr>
          <w:szCs w:val="22"/>
          <w:lang w:val="sr-Latn-ME"/>
        </w:rPr>
        <w:t>ek.</w:t>
      </w:r>
    </w:p>
    <w:p w14:paraId="15CB0F06" w14:textId="50537B8E" w:rsidR="00376BA3" w:rsidRPr="00A3088E" w:rsidRDefault="00376BA3">
      <w:pPr>
        <w:rPr>
          <w:szCs w:val="22"/>
          <w:lang w:val="sr-Latn-ME"/>
        </w:rPr>
      </w:pPr>
    </w:p>
    <w:p w14:paraId="2DB7D466" w14:textId="6B26C028" w:rsidR="009A0BCA" w:rsidRPr="00A3088E" w:rsidRDefault="009A0BCA">
      <w:pPr>
        <w:rPr>
          <w:szCs w:val="22"/>
          <w:lang w:val="sr-Latn-ME"/>
        </w:rPr>
      </w:pPr>
    </w:p>
    <w:p w14:paraId="48A6BC7C" w14:textId="77777777" w:rsidR="009A0BCA" w:rsidRPr="00A3088E" w:rsidRDefault="009A0BCA">
      <w:pPr>
        <w:rPr>
          <w:szCs w:val="22"/>
          <w:lang w:val="sr-Latn-ME"/>
        </w:rPr>
      </w:pPr>
    </w:p>
    <w:p w14:paraId="5D3F75FF" w14:textId="213C3C36" w:rsidR="00CE09F3" w:rsidRPr="00A3088E" w:rsidRDefault="00CE09F3">
      <w:pPr>
        <w:rPr>
          <w:b/>
          <w:bCs/>
          <w:szCs w:val="22"/>
          <w:lang w:val="sr-Latn-ME"/>
        </w:rPr>
      </w:pPr>
      <w:r w:rsidRPr="00A3088E">
        <w:rPr>
          <w:b/>
          <w:bCs/>
          <w:szCs w:val="22"/>
          <w:lang w:val="sr-Latn-ME"/>
        </w:rPr>
        <w:lastRenderedPageBreak/>
        <w:t xml:space="preserve">6.6. </w:t>
      </w:r>
      <w:r w:rsidR="002072EC" w:rsidRPr="00A3088E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5D3F7600" w14:textId="77777777" w:rsidR="00CE09F3" w:rsidRPr="00A3088E" w:rsidRDefault="00CE09F3">
      <w:pPr>
        <w:rPr>
          <w:szCs w:val="22"/>
          <w:lang w:val="sr-Latn-ME"/>
        </w:rPr>
      </w:pPr>
    </w:p>
    <w:p w14:paraId="276E8429" w14:textId="77777777" w:rsidR="00DD770D" w:rsidRPr="00A3088E" w:rsidRDefault="00DD770D">
      <w:pPr>
        <w:rPr>
          <w:b/>
          <w:szCs w:val="22"/>
          <w:lang w:val="sr-Latn-ME"/>
        </w:rPr>
      </w:pPr>
      <w:r w:rsidRPr="00A3088E">
        <w:rPr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5D3F7601" w14:textId="603CB78A" w:rsidR="00CE09F3" w:rsidRPr="00A3088E" w:rsidRDefault="00CE09F3">
      <w:pPr>
        <w:rPr>
          <w:szCs w:val="22"/>
          <w:lang w:val="sr-Latn-ME"/>
        </w:rPr>
      </w:pPr>
    </w:p>
    <w:p w14:paraId="145A0FA3" w14:textId="77777777" w:rsidR="009A0BCA" w:rsidRPr="00A3088E" w:rsidRDefault="009A0BCA">
      <w:pPr>
        <w:rPr>
          <w:szCs w:val="22"/>
          <w:lang w:val="sr-Latn-ME"/>
        </w:rPr>
      </w:pPr>
    </w:p>
    <w:p w14:paraId="5D3F7602" w14:textId="77777777" w:rsidR="00CE09F3" w:rsidRPr="00A3088E" w:rsidRDefault="00CE09F3" w:rsidP="00570F2D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 xml:space="preserve">7. NOSILAC DOZVOLE </w:t>
      </w:r>
    </w:p>
    <w:p w14:paraId="21BF49E3" w14:textId="77777777" w:rsidR="009A0BCA" w:rsidRPr="00A3088E" w:rsidRDefault="009A0BCA" w:rsidP="00F8238F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</w:p>
    <w:p w14:paraId="4AC8561F" w14:textId="387E05EB" w:rsidR="00DD770D" w:rsidRPr="00A3088E" w:rsidRDefault="00DD770D" w:rsidP="00F8238F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A3088E">
        <w:rPr>
          <w:bCs/>
          <w:szCs w:val="22"/>
          <w:lang w:val="sr-Latn-ME"/>
        </w:rPr>
        <w:t>Hemofarm A</w:t>
      </w:r>
      <w:r w:rsidR="009A0BCA" w:rsidRPr="00A3088E">
        <w:rPr>
          <w:bCs/>
          <w:szCs w:val="22"/>
          <w:lang w:val="sr-Latn-ME"/>
        </w:rPr>
        <w:t>.</w:t>
      </w:r>
      <w:r w:rsidRPr="00A3088E">
        <w:rPr>
          <w:bCs/>
          <w:szCs w:val="22"/>
          <w:lang w:val="sr-Latn-ME"/>
        </w:rPr>
        <w:t>D</w:t>
      </w:r>
      <w:r w:rsidR="009A0BCA" w:rsidRPr="00A3088E">
        <w:rPr>
          <w:bCs/>
          <w:szCs w:val="22"/>
          <w:lang w:val="sr-Latn-ME"/>
        </w:rPr>
        <w:t>.</w:t>
      </w:r>
      <w:r w:rsidRPr="00A3088E">
        <w:rPr>
          <w:bCs/>
          <w:szCs w:val="22"/>
          <w:lang w:val="sr-Latn-ME"/>
        </w:rPr>
        <w:t xml:space="preserve"> Vršac P</w:t>
      </w:r>
      <w:r w:rsidR="009A0BCA" w:rsidRPr="00A3088E">
        <w:rPr>
          <w:bCs/>
          <w:szCs w:val="22"/>
          <w:lang w:val="sr-Latn-ME"/>
        </w:rPr>
        <w:t>.</w:t>
      </w:r>
      <w:r w:rsidRPr="00A3088E">
        <w:rPr>
          <w:bCs/>
          <w:szCs w:val="22"/>
          <w:lang w:val="sr-Latn-ME"/>
        </w:rPr>
        <w:t>J</w:t>
      </w:r>
      <w:r w:rsidR="009A0BCA" w:rsidRPr="00A3088E">
        <w:rPr>
          <w:bCs/>
          <w:szCs w:val="22"/>
          <w:lang w:val="sr-Latn-ME"/>
        </w:rPr>
        <w:t>.</w:t>
      </w:r>
      <w:r w:rsidRPr="00A3088E">
        <w:rPr>
          <w:bCs/>
          <w:szCs w:val="22"/>
          <w:lang w:val="sr-Latn-ME"/>
        </w:rPr>
        <w:t xml:space="preserve"> Podgorica</w:t>
      </w:r>
    </w:p>
    <w:p w14:paraId="029CBB3B" w14:textId="1ABFFF07" w:rsidR="00DD770D" w:rsidRPr="00A3088E" w:rsidRDefault="00DD770D" w:rsidP="00E54A60">
      <w:pPr>
        <w:tabs>
          <w:tab w:val="left" w:pos="540"/>
          <w:tab w:val="left" w:pos="569"/>
        </w:tabs>
        <w:rPr>
          <w:bCs/>
          <w:szCs w:val="22"/>
          <w:lang w:val="sr-Latn-ME"/>
        </w:rPr>
      </w:pPr>
      <w:r w:rsidRPr="00A3088E">
        <w:rPr>
          <w:bCs/>
          <w:szCs w:val="22"/>
          <w:lang w:val="sr-Latn-ME"/>
        </w:rPr>
        <w:t>8</w:t>
      </w:r>
      <w:r w:rsidR="00DB2F80">
        <w:rPr>
          <w:bCs/>
          <w:szCs w:val="22"/>
          <w:lang w:val="sr-Latn-ME"/>
        </w:rPr>
        <w:t>.</w:t>
      </w:r>
      <w:bookmarkStart w:id="0" w:name="_GoBack"/>
      <w:bookmarkEnd w:id="0"/>
      <w:r w:rsidRPr="00A3088E">
        <w:rPr>
          <w:bCs/>
          <w:szCs w:val="22"/>
          <w:lang w:val="sr-Latn-ME"/>
        </w:rPr>
        <w:t xml:space="preserve"> marta 55A,</w:t>
      </w:r>
      <w:r w:rsidR="009A0BCA" w:rsidRPr="00A3088E">
        <w:rPr>
          <w:bCs/>
          <w:szCs w:val="22"/>
          <w:lang w:val="sr-Latn-ME"/>
        </w:rPr>
        <w:t xml:space="preserve"> </w:t>
      </w:r>
      <w:r w:rsidRPr="00A3088E">
        <w:rPr>
          <w:bCs/>
          <w:szCs w:val="22"/>
          <w:lang w:val="sr-Latn-ME"/>
        </w:rPr>
        <w:t>Podgorica,</w:t>
      </w:r>
      <w:r w:rsidR="009A0BCA" w:rsidRPr="00A3088E">
        <w:rPr>
          <w:bCs/>
          <w:szCs w:val="22"/>
          <w:lang w:val="sr-Latn-ME"/>
        </w:rPr>
        <w:t xml:space="preserve"> </w:t>
      </w:r>
      <w:r w:rsidRPr="00A3088E">
        <w:rPr>
          <w:bCs/>
          <w:szCs w:val="22"/>
          <w:lang w:val="sr-Latn-ME"/>
        </w:rPr>
        <w:t>Crna Gora</w:t>
      </w:r>
    </w:p>
    <w:p w14:paraId="5D3F7604" w14:textId="686B68BD" w:rsidR="00CE09F3" w:rsidRDefault="00CE09F3" w:rsidP="00E54A60">
      <w:pPr>
        <w:rPr>
          <w:szCs w:val="22"/>
          <w:lang w:val="sr-Latn-ME"/>
        </w:rPr>
      </w:pPr>
    </w:p>
    <w:p w14:paraId="7B9E0BB9" w14:textId="77777777" w:rsidR="00E54A60" w:rsidRPr="00A3088E" w:rsidRDefault="00E54A60" w:rsidP="00E54A60">
      <w:pPr>
        <w:rPr>
          <w:szCs w:val="22"/>
          <w:lang w:val="sr-Latn-ME"/>
        </w:rPr>
      </w:pPr>
    </w:p>
    <w:p w14:paraId="5D3F7606" w14:textId="03A00BCF" w:rsidR="0018601D" w:rsidRPr="00A3088E" w:rsidRDefault="00CE09F3" w:rsidP="00E54A60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 xml:space="preserve">8. </w:t>
      </w:r>
      <w:r w:rsidR="00C57E82" w:rsidRPr="00A3088E">
        <w:rPr>
          <w:lang w:val="sr-Latn-ME"/>
        </w:rPr>
        <w:t>BROJ DOZVOLE</w:t>
      </w:r>
      <w:r w:rsidRPr="00A3088E">
        <w:rPr>
          <w:lang w:val="sr-Latn-ME"/>
        </w:rPr>
        <w:t xml:space="preserve"> ZA STAVLJANJE </w:t>
      </w:r>
      <w:r w:rsidR="0039129C" w:rsidRPr="00A3088E">
        <w:rPr>
          <w:lang w:val="sr-Latn-ME"/>
        </w:rPr>
        <w:t>LIJ</w:t>
      </w:r>
      <w:r w:rsidRPr="00A3088E">
        <w:rPr>
          <w:lang w:val="sr-Latn-ME"/>
        </w:rPr>
        <w:t>EKA U PROMET</w:t>
      </w:r>
    </w:p>
    <w:p w14:paraId="144D7366" w14:textId="77777777" w:rsidR="00E54A60" w:rsidRDefault="00E54A60" w:rsidP="00E54A60">
      <w:pPr>
        <w:rPr>
          <w:szCs w:val="22"/>
          <w:lang w:val="sr-Latn-ME"/>
        </w:rPr>
      </w:pPr>
    </w:p>
    <w:p w14:paraId="5D3F7608" w14:textId="70D0C61E" w:rsidR="00CE09F3" w:rsidRPr="00A3088E" w:rsidRDefault="00E54A60" w:rsidP="00E54A60">
      <w:pPr>
        <w:rPr>
          <w:szCs w:val="22"/>
          <w:lang w:val="sr-Latn-ME"/>
        </w:rPr>
      </w:pPr>
      <w:r w:rsidRPr="00E54A60">
        <w:rPr>
          <w:szCs w:val="22"/>
          <w:lang w:val="sr-Latn-ME"/>
        </w:rPr>
        <w:t>2030/25/1935 - 1045</w:t>
      </w:r>
    </w:p>
    <w:p w14:paraId="679EA278" w14:textId="1760F578" w:rsidR="00E54A60" w:rsidRDefault="00E54A60" w:rsidP="00E54A60">
      <w:pPr>
        <w:pStyle w:val="NASLOV123"/>
        <w:spacing w:before="0" w:after="0"/>
        <w:jc w:val="both"/>
        <w:rPr>
          <w:lang w:val="sr-Latn-ME"/>
        </w:rPr>
      </w:pPr>
    </w:p>
    <w:p w14:paraId="7DB5C07A" w14:textId="77777777" w:rsidR="00E54A60" w:rsidRDefault="00E54A60" w:rsidP="00E54A60">
      <w:pPr>
        <w:pStyle w:val="NASLOV123"/>
        <w:spacing w:before="0" w:after="0"/>
        <w:jc w:val="both"/>
        <w:rPr>
          <w:lang w:val="sr-Latn-ME"/>
        </w:rPr>
      </w:pPr>
    </w:p>
    <w:p w14:paraId="73B5AED9" w14:textId="4D1CDEDD" w:rsidR="002072EC" w:rsidRPr="00A3088E" w:rsidRDefault="00CE09F3" w:rsidP="00E54A60">
      <w:pPr>
        <w:pStyle w:val="NASLOV123"/>
        <w:spacing w:before="0" w:after="0"/>
        <w:jc w:val="both"/>
        <w:rPr>
          <w:bCs/>
          <w:lang w:val="sr-Latn-ME"/>
        </w:rPr>
      </w:pPr>
      <w:r w:rsidRPr="00A3088E">
        <w:rPr>
          <w:lang w:val="sr-Latn-ME"/>
        </w:rPr>
        <w:t xml:space="preserve">9. </w:t>
      </w:r>
      <w:r w:rsidR="002072EC" w:rsidRPr="00A3088E">
        <w:rPr>
          <w:bCs/>
          <w:lang w:val="sr-Latn-ME"/>
        </w:rPr>
        <w:t>DATUM PRVE DOZVOLE/OBNOVE DOZVOLE ZA STAVLJANJE LIJEKA U PROMET</w:t>
      </w:r>
    </w:p>
    <w:p w14:paraId="5D3F760C" w14:textId="77D72A69" w:rsidR="00CE09F3" w:rsidRDefault="00CE09F3" w:rsidP="00F8238F">
      <w:pPr>
        <w:autoSpaceDE w:val="0"/>
        <w:autoSpaceDN w:val="0"/>
        <w:adjustRightInd w:val="0"/>
        <w:rPr>
          <w:szCs w:val="22"/>
          <w:lang w:val="sr-Latn-ME"/>
        </w:rPr>
      </w:pPr>
    </w:p>
    <w:p w14:paraId="1482E673" w14:textId="38670310" w:rsidR="00E54A60" w:rsidRPr="00A3088E" w:rsidRDefault="00E54A60" w:rsidP="00E54A60">
      <w:pPr>
        <w:autoSpaceDE w:val="0"/>
        <w:autoSpaceDN w:val="0"/>
        <w:adjustRightInd w:val="0"/>
        <w:rPr>
          <w:szCs w:val="22"/>
          <w:lang w:val="sr-Latn-ME"/>
        </w:rPr>
      </w:pPr>
      <w:r w:rsidRPr="00E54A60">
        <w:rPr>
          <w:szCs w:val="22"/>
          <w:lang w:val="sr-Latn-ME"/>
        </w:rPr>
        <w:t>29.04.2025. godine</w:t>
      </w:r>
    </w:p>
    <w:p w14:paraId="1307F739" w14:textId="77777777" w:rsidR="00E54A60" w:rsidRDefault="00E54A60" w:rsidP="00E54A60">
      <w:pPr>
        <w:pStyle w:val="NASLOV123"/>
        <w:spacing w:before="0" w:after="0"/>
        <w:jc w:val="both"/>
        <w:rPr>
          <w:lang w:val="sr-Latn-ME"/>
        </w:rPr>
      </w:pPr>
    </w:p>
    <w:p w14:paraId="0841016B" w14:textId="77777777" w:rsidR="00E54A60" w:rsidRDefault="00E54A60" w:rsidP="00E54A60">
      <w:pPr>
        <w:pStyle w:val="NASLOV123"/>
        <w:spacing w:before="0" w:after="0"/>
        <w:jc w:val="both"/>
        <w:rPr>
          <w:lang w:val="sr-Latn-ME"/>
        </w:rPr>
      </w:pPr>
    </w:p>
    <w:p w14:paraId="5D3F760E" w14:textId="44944C54" w:rsidR="00CE09F3" w:rsidRPr="00A3088E" w:rsidRDefault="00CE09F3" w:rsidP="00E54A60">
      <w:pPr>
        <w:pStyle w:val="NASLOV123"/>
        <w:spacing w:before="0" w:after="0"/>
        <w:jc w:val="both"/>
        <w:rPr>
          <w:lang w:val="sr-Latn-ME"/>
        </w:rPr>
      </w:pPr>
      <w:r w:rsidRPr="00A3088E">
        <w:rPr>
          <w:lang w:val="sr-Latn-ME"/>
        </w:rPr>
        <w:t>10. DATUM REVIZIJE TEKSTA</w:t>
      </w:r>
    </w:p>
    <w:p w14:paraId="5D3F7614" w14:textId="22161C54" w:rsidR="00923865" w:rsidRDefault="00923865">
      <w:pPr>
        <w:rPr>
          <w:bCs/>
          <w:szCs w:val="22"/>
          <w:lang w:val="sr-Latn-ME"/>
        </w:rPr>
      </w:pPr>
    </w:p>
    <w:p w14:paraId="45497491" w14:textId="7A756A94" w:rsidR="00E54A60" w:rsidRPr="00A3088E" w:rsidRDefault="00E54A60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April, 2025. godine</w:t>
      </w:r>
    </w:p>
    <w:sectPr w:rsidR="00E54A60" w:rsidRPr="00A3088E" w:rsidSect="00350928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C1A1" w14:textId="77777777" w:rsidR="00F73AB8" w:rsidRDefault="00F73AB8">
      <w:r>
        <w:separator/>
      </w:r>
    </w:p>
  </w:endnote>
  <w:endnote w:type="continuationSeparator" w:id="0">
    <w:p w14:paraId="75911F6F" w14:textId="77777777" w:rsidR="00F73AB8" w:rsidRDefault="00F7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761B" w14:textId="77777777" w:rsidR="0093016E" w:rsidRDefault="00660ED5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01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AB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3F761C" w14:textId="77777777" w:rsidR="0093016E" w:rsidRDefault="009301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761D" w14:textId="5E2CC32E" w:rsidR="0093016E" w:rsidRPr="00D44E66" w:rsidRDefault="00F73AB8" w:rsidP="00CE09F3">
    <w:pPr>
      <w:pStyle w:val="Footer"/>
      <w:tabs>
        <w:tab w:val="left" w:pos="5448"/>
      </w:tabs>
      <w:spacing w:before="360"/>
      <w:jc w:val="center"/>
      <w:rPr>
        <w:sz w:val="24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4"/>
        </w:rPr>
      </w:sdtEndPr>
      <w:sdtContent>
        <w:sdt>
          <w:sdtPr>
            <w:rPr>
              <w:sz w:val="24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60ED5" w:rsidRPr="00D44E66">
              <w:rPr>
                <w:sz w:val="20"/>
                <w:szCs w:val="18"/>
              </w:rPr>
              <w:fldChar w:fldCharType="begin"/>
            </w:r>
            <w:r w:rsidR="0093016E" w:rsidRPr="00D44E66">
              <w:rPr>
                <w:sz w:val="20"/>
                <w:szCs w:val="18"/>
              </w:rPr>
              <w:instrText xml:space="preserve"> PAGE </w:instrText>
            </w:r>
            <w:r w:rsidR="00660ED5" w:rsidRPr="00D44E66">
              <w:rPr>
                <w:sz w:val="20"/>
                <w:szCs w:val="18"/>
              </w:rPr>
              <w:fldChar w:fldCharType="separate"/>
            </w:r>
            <w:r w:rsidR="00DB2F80">
              <w:rPr>
                <w:noProof/>
                <w:sz w:val="20"/>
                <w:szCs w:val="18"/>
              </w:rPr>
              <w:t>9</w:t>
            </w:r>
            <w:r w:rsidR="00660ED5" w:rsidRPr="00D44E66">
              <w:rPr>
                <w:sz w:val="20"/>
                <w:szCs w:val="18"/>
              </w:rPr>
              <w:fldChar w:fldCharType="end"/>
            </w:r>
            <w:r w:rsidR="00C3310D" w:rsidRPr="00D44E66">
              <w:rPr>
                <w:sz w:val="20"/>
                <w:szCs w:val="18"/>
              </w:rPr>
              <w:t xml:space="preserve"> /</w:t>
            </w:r>
            <w:r w:rsidR="0093016E" w:rsidRPr="00D44E66">
              <w:rPr>
                <w:sz w:val="20"/>
                <w:szCs w:val="18"/>
              </w:rPr>
              <w:t xml:space="preserve"> </w:t>
            </w:r>
            <w:r w:rsidR="00660ED5" w:rsidRPr="00D44E66">
              <w:rPr>
                <w:sz w:val="20"/>
                <w:szCs w:val="18"/>
              </w:rPr>
              <w:fldChar w:fldCharType="begin"/>
            </w:r>
            <w:r w:rsidR="0093016E" w:rsidRPr="00D44E66">
              <w:rPr>
                <w:sz w:val="20"/>
                <w:szCs w:val="18"/>
              </w:rPr>
              <w:instrText xml:space="preserve"> NUMPAGES  </w:instrText>
            </w:r>
            <w:r w:rsidR="00660ED5" w:rsidRPr="00D44E66">
              <w:rPr>
                <w:sz w:val="20"/>
                <w:szCs w:val="18"/>
              </w:rPr>
              <w:fldChar w:fldCharType="separate"/>
            </w:r>
            <w:r w:rsidR="00DB2F80">
              <w:rPr>
                <w:noProof/>
                <w:sz w:val="20"/>
                <w:szCs w:val="18"/>
              </w:rPr>
              <w:t>10</w:t>
            </w:r>
            <w:r w:rsidR="00660ED5" w:rsidRPr="00D44E66">
              <w:rPr>
                <w:sz w:val="20"/>
                <w:szCs w:val="18"/>
              </w:rPr>
              <w:fldChar w:fldCharType="end"/>
            </w:r>
          </w:sdtContent>
        </w:sdt>
      </w:sdtContent>
    </w:sdt>
  </w:p>
  <w:p w14:paraId="5D3F761E" w14:textId="77777777" w:rsidR="0093016E" w:rsidRPr="00C536C2" w:rsidRDefault="0093016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10224" w14:textId="77777777" w:rsidR="00F73AB8" w:rsidRDefault="00F73AB8">
      <w:r>
        <w:separator/>
      </w:r>
    </w:p>
  </w:footnote>
  <w:footnote w:type="continuationSeparator" w:id="0">
    <w:p w14:paraId="76F99745" w14:textId="77777777" w:rsidR="00F73AB8" w:rsidRDefault="00F7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61A4424"/>
    <w:multiLevelType w:val="hybridMultilevel"/>
    <w:tmpl w:val="CBC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A4499"/>
    <w:multiLevelType w:val="hybridMultilevel"/>
    <w:tmpl w:val="B5E2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68D8"/>
    <w:rsid w:val="00017801"/>
    <w:rsid w:val="00020235"/>
    <w:rsid w:val="00021F9C"/>
    <w:rsid w:val="00033394"/>
    <w:rsid w:val="000378FE"/>
    <w:rsid w:val="00042B5B"/>
    <w:rsid w:val="00047FC4"/>
    <w:rsid w:val="0005798D"/>
    <w:rsid w:val="000615A2"/>
    <w:rsid w:val="00064273"/>
    <w:rsid w:val="00080A5B"/>
    <w:rsid w:val="0008394E"/>
    <w:rsid w:val="00083BE0"/>
    <w:rsid w:val="00095FB6"/>
    <w:rsid w:val="000971AF"/>
    <w:rsid w:val="0009758B"/>
    <w:rsid w:val="000A0F4A"/>
    <w:rsid w:val="000D5631"/>
    <w:rsid w:val="000E75C0"/>
    <w:rsid w:val="000F34E1"/>
    <w:rsid w:val="000F45E7"/>
    <w:rsid w:val="001021F0"/>
    <w:rsid w:val="00105866"/>
    <w:rsid w:val="001058B2"/>
    <w:rsid w:val="00106DC0"/>
    <w:rsid w:val="0013334A"/>
    <w:rsid w:val="0013368C"/>
    <w:rsid w:val="00134341"/>
    <w:rsid w:val="00141639"/>
    <w:rsid w:val="0014180A"/>
    <w:rsid w:val="00173D18"/>
    <w:rsid w:val="00175772"/>
    <w:rsid w:val="00175A7E"/>
    <w:rsid w:val="0018601D"/>
    <w:rsid w:val="00197489"/>
    <w:rsid w:val="00197B76"/>
    <w:rsid w:val="001A0AF7"/>
    <w:rsid w:val="001A0D75"/>
    <w:rsid w:val="001B706A"/>
    <w:rsid w:val="001D10C9"/>
    <w:rsid w:val="001E0A07"/>
    <w:rsid w:val="001E4BA6"/>
    <w:rsid w:val="001E5CF6"/>
    <w:rsid w:val="001E6145"/>
    <w:rsid w:val="001F2D4E"/>
    <w:rsid w:val="001F39B6"/>
    <w:rsid w:val="001F6D41"/>
    <w:rsid w:val="00201C16"/>
    <w:rsid w:val="00202801"/>
    <w:rsid w:val="00205A33"/>
    <w:rsid w:val="002072EC"/>
    <w:rsid w:val="0022218E"/>
    <w:rsid w:val="0022223A"/>
    <w:rsid w:val="00222B5B"/>
    <w:rsid w:val="00222DEE"/>
    <w:rsid w:val="0023213E"/>
    <w:rsid w:val="00235607"/>
    <w:rsid w:val="0024132F"/>
    <w:rsid w:val="00242DCD"/>
    <w:rsid w:val="00247C5C"/>
    <w:rsid w:val="00273BE0"/>
    <w:rsid w:val="00286CD8"/>
    <w:rsid w:val="002B6F6A"/>
    <w:rsid w:val="002C0FBF"/>
    <w:rsid w:val="002D5A8C"/>
    <w:rsid w:val="002F1084"/>
    <w:rsid w:val="002F5E2F"/>
    <w:rsid w:val="00313D61"/>
    <w:rsid w:val="00316FC0"/>
    <w:rsid w:val="0032518B"/>
    <w:rsid w:val="003452C0"/>
    <w:rsid w:val="003459C7"/>
    <w:rsid w:val="0034731A"/>
    <w:rsid w:val="00350928"/>
    <w:rsid w:val="00353AB9"/>
    <w:rsid w:val="00357084"/>
    <w:rsid w:val="003640FE"/>
    <w:rsid w:val="00374C28"/>
    <w:rsid w:val="00375944"/>
    <w:rsid w:val="00376BA3"/>
    <w:rsid w:val="003808B1"/>
    <w:rsid w:val="00383195"/>
    <w:rsid w:val="003835ED"/>
    <w:rsid w:val="0039129C"/>
    <w:rsid w:val="003A2DF8"/>
    <w:rsid w:val="003A30C3"/>
    <w:rsid w:val="003B2082"/>
    <w:rsid w:val="003C18A4"/>
    <w:rsid w:val="003E17A6"/>
    <w:rsid w:val="003E3EC7"/>
    <w:rsid w:val="003F026E"/>
    <w:rsid w:val="003F4E58"/>
    <w:rsid w:val="0040069A"/>
    <w:rsid w:val="004123CD"/>
    <w:rsid w:val="00417883"/>
    <w:rsid w:val="004234ED"/>
    <w:rsid w:val="00427D41"/>
    <w:rsid w:val="0045292E"/>
    <w:rsid w:val="00462C33"/>
    <w:rsid w:val="00492248"/>
    <w:rsid w:val="00497648"/>
    <w:rsid w:val="004B5A11"/>
    <w:rsid w:val="004B7A50"/>
    <w:rsid w:val="004C6570"/>
    <w:rsid w:val="004D18B8"/>
    <w:rsid w:val="004D230F"/>
    <w:rsid w:val="004D71B8"/>
    <w:rsid w:val="004E4979"/>
    <w:rsid w:val="00503974"/>
    <w:rsid w:val="005132C5"/>
    <w:rsid w:val="005162BC"/>
    <w:rsid w:val="0052230B"/>
    <w:rsid w:val="00525A8A"/>
    <w:rsid w:val="005276F0"/>
    <w:rsid w:val="00530909"/>
    <w:rsid w:val="00531B93"/>
    <w:rsid w:val="005456BC"/>
    <w:rsid w:val="00570F2D"/>
    <w:rsid w:val="00572C6B"/>
    <w:rsid w:val="00577766"/>
    <w:rsid w:val="00586907"/>
    <w:rsid w:val="0059494C"/>
    <w:rsid w:val="005A30AB"/>
    <w:rsid w:val="005B3388"/>
    <w:rsid w:val="005B7572"/>
    <w:rsid w:val="005C3F73"/>
    <w:rsid w:val="005C7891"/>
    <w:rsid w:val="005E4293"/>
    <w:rsid w:val="005E65AC"/>
    <w:rsid w:val="005F2FD8"/>
    <w:rsid w:val="005F4FBB"/>
    <w:rsid w:val="00603302"/>
    <w:rsid w:val="00604E4F"/>
    <w:rsid w:val="006051AA"/>
    <w:rsid w:val="006054EE"/>
    <w:rsid w:val="006118B6"/>
    <w:rsid w:val="00616B6B"/>
    <w:rsid w:val="00625D26"/>
    <w:rsid w:val="006270C0"/>
    <w:rsid w:val="00630195"/>
    <w:rsid w:val="00655630"/>
    <w:rsid w:val="006559AF"/>
    <w:rsid w:val="00656501"/>
    <w:rsid w:val="00660ED5"/>
    <w:rsid w:val="00671FE3"/>
    <w:rsid w:val="00672972"/>
    <w:rsid w:val="00691346"/>
    <w:rsid w:val="00693874"/>
    <w:rsid w:val="00693F46"/>
    <w:rsid w:val="006A5FCC"/>
    <w:rsid w:val="006A6D1D"/>
    <w:rsid w:val="006B19BA"/>
    <w:rsid w:val="006B2C7A"/>
    <w:rsid w:val="006D6F7F"/>
    <w:rsid w:val="006E01F5"/>
    <w:rsid w:val="006E4608"/>
    <w:rsid w:val="006F08C6"/>
    <w:rsid w:val="006F158F"/>
    <w:rsid w:val="006F2BC6"/>
    <w:rsid w:val="006F4277"/>
    <w:rsid w:val="00705695"/>
    <w:rsid w:val="007125F3"/>
    <w:rsid w:val="007141BB"/>
    <w:rsid w:val="00723AD8"/>
    <w:rsid w:val="00737AE5"/>
    <w:rsid w:val="00751335"/>
    <w:rsid w:val="00754F01"/>
    <w:rsid w:val="0075617B"/>
    <w:rsid w:val="00757D8F"/>
    <w:rsid w:val="00760693"/>
    <w:rsid w:val="00764648"/>
    <w:rsid w:val="007672F3"/>
    <w:rsid w:val="00791974"/>
    <w:rsid w:val="00795219"/>
    <w:rsid w:val="007A3598"/>
    <w:rsid w:val="007A3EFF"/>
    <w:rsid w:val="007B16C4"/>
    <w:rsid w:val="007B1B35"/>
    <w:rsid w:val="007B1CC5"/>
    <w:rsid w:val="007B318B"/>
    <w:rsid w:val="007B640B"/>
    <w:rsid w:val="007B68EA"/>
    <w:rsid w:val="007C2D7E"/>
    <w:rsid w:val="007C4D48"/>
    <w:rsid w:val="007C7EF3"/>
    <w:rsid w:val="007D17FD"/>
    <w:rsid w:val="007D48C5"/>
    <w:rsid w:val="007E06F0"/>
    <w:rsid w:val="007F4905"/>
    <w:rsid w:val="007F7B09"/>
    <w:rsid w:val="00802DFC"/>
    <w:rsid w:val="00814781"/>
    <w:rsid w:val="00834DBB"/>
    <w:rsid w:val="00840081"/>
    <w:rsid w:val="00842FFB"/>
    <w:rsid w:val="00847C7F"/>
    <w:rsid w:val="008573CD"/>
    <w:rsid w:val="00857C6D"/>
    <w:rsid w:val="0086351A"/>
    <w:rsid w:val="00874B61"/>
    <w:rsid w:val="008A48B7"/>
    <w:rsid w:val="008A6A9A"/>
    <w:rsid w:val="008B3EB5"/>
    <w:rsid w:val="008C5809"/>
    <w:rsid w:val="008C72DA"/>
    <w:rsid w:val="008D78C9"/>
    <w:rsid w:val="008E0FC9"/>
    <w:rsid w:val="008E209B"/>
    <w:rsid w:val="00913684"/>
    <w:rsid w:val="009167A1"/>
    <w:rsid w:val="00923865"/>
    <w:rsid w:val="0093016E"/>
    <w:rsid w:val="00934B4D"/>
    <w:rsid w:val="00936E39"/>
    <w:rsid w:val="00944B96"/>
    <w:rsid w:val="009453F0"/>
    <w:rsid w:val="00955C75"/>
    <w:rsid w:val="00957E02"/>
    <w:rsid w:val="009677DF"/>
    <w:rsid w:val="00971126"/>
    <w:rsid w:val="00972404"/>
    <w:rsid w:val="00977302"/>
    <w:rsid w:val="00980B40"/>
    <w:rsid w:val="009946F8"/>
    <w:rsid w:val="00996081"/>
    <w:rsid w:val="00996E6B"/>
    <w:rsid w:val="009A0BCA"/>
    <w:rsid w:val="009A1D64"/>
    <w:rsid w:val="009A6B33"/>
    <w:rsid w:val="009B1292"/>
    <w:rsid w:val="009B2430"/>
    <w:rsid w:val="009B338B"/>
    <w:rsid w:val="009B56D3"/>
    <w:rsid w:val="009B5703"/>
    <w:rsid w:val="009B58AD"/>
    <w:rsid w:val="009B7935"/>
    <w:rsid w:val="009C276D"/>
    <w:rsid w:val="009C7BA2"/>
    <w:rsid w:val="009D1161"/>
    <w:rsid w:val="009D21AD"/>
    <w:rsid w:val="009D667B"/>
    <w:rsid w:val="009E157A"/>
    <w:rsid w:val="009F4449"/>
    <w:rsid w:val="00A02252"/>
    <w:rsid w:val="00A127F1"/>
    <w:rsid w:val="00A1323B"/>
    <w:rsid w:val="00A22304"/>
    <w:rsid w:val="00A25758"/>
    <w:rsid w:val="00A27130"/>
    <w:rsid w:val="00A3088E"/>
    <w:rsid w:val="00A33F1A"/>
    <w:rsid w:val="00A46BE0"/>
    <w:rsid w:val="00A53F98"/>
    <w:rsid w:val="00A53FB3"/>
    <w:rsid w:val="00A63526"/>
    <w:rsid w:val="00A66E03"/>
    <w:rsid w:val="00A7147C"/>
    <w:rsid w:val="00A738E0"/>
    <w:rsid w:val="00A7632B"/>
    <w:rsid w:val="00A7660B"/>
    <w:rsid w:val="00A801CE"/>
    <w:rsid w:val="00A84108"/>
    <w:rsid w:val="00A86897"/>
    <w:rsid w:val="00A86A3D"/>
    <w:rsid w:val="00A91D9C"/>
    <w:rsid w:val="00A95733"/>
    <w:rsid w:val="00AB41F9"/>
    <w:rsid w:val="00AB5465"/>
    <w:rsid w:val="00AE459E"/>
    <w:rsid w:val="00B07731"/>
    <w:rsid w:val="00B236E5"/>
    <w:rsid w:val="00B26FAC"/>
    <w:rsid w:val="00B31AA2"/>
    <w:rsid w:val="00B36AEE"/>
    <w:rsid w:val="00B507F5"/>
    <w:rsid w:val="00B606A4"/>
    <w:rsid w:val="00B62170"/>
    <w:rsid w:val="00B73453"/>
    <w:rsid w:val="00B74C0B"/>
    <w:rsid w:val="00B8400D"/>
    <w:rsid w:val="00B93A37"/>
    <w:rsid w:val="00BA0938"/>
    <w:rsid w:val="00BA1819"/>
    <w:rsid w:val="00BA5A22"/>
    <w:rsid w:val="00BB55E5"/>
    <w:rsid w:val="00BD725A"/>
    <w:rsid w:val="00BF3750"/>
    <w:rsid w:val="00C027DC"/>
    <w:rsid w:val="00C06244"/>
    <w:rsid w:val="00C07B60"/>
    <w:rsid w:val="00C11C5B"/>
    <w:rsid w:val="00C158A1"/>
    <w:rsid w:val="00C1740B"/>
    <w:rsid w:val="00C27A91"/>
    <w:rsid w:val="00C3310D"/>
    <w:rsid w:val="00C3633E"/>
    <w:rsid w:val="00C536C2"/>
    <w:rsid w:val="00C55F47"/>
    <w:rsid w:val="00C56E2E"/>
    <w:rsid w:val="00C57E82"/>
    <w:rsid w:val="00C64A31"/>
    <w:rsid w:val="00C70BBD"/>
    <w:rsid w:val="00C80C94"/>
    <w:rsid w:val="00C82E8B"/>
    <w:rsid w:val="00CA08F7"/>
    <w:rsid w:val="00CA7A31"/>
    <w:rsid w:val="00CC4C88"/>
    <w:rsid w:val="00CD0B1F"/>
    <w:rsid w:val="00CD3F96"/>
    <w:rsid w:val="00CE001C"/>
    <w:rsid w:val="00CE09F3"/>
    <w:rsid w:val="00CE590F"/>
    <w:rsid w:val="00CE76DA"/>
    <w:rsid w:val="00CF3F39"/>
    <w:rsid w:val="00D03258"/>
    <w:rsid w:val="00D11E94"/>
    <w:rsid w:val="00D20732"/>
    <w:rsid w:val="00D23552"/>
    <w:rsid w:val="00D30389"/>
    <w:rsid w:val="00D3282D"/>
    <w:rsid w:val="00D337F6"/>
    <w:rsid w:val="00D44E66"/>
    <w:rsid w:val="00D52CDB"/>
    <w:rsid w:val="00D61710"/>
    <w:rsid w:val="00D6219A"/>
    <w:rsid w:val="00D6611E"/>
    <w:rsid w:val="00D73F8F"/>
    <w:rsid w:val="00D76794"/>
    <w:rsid w:val="00D85F37"/>
    <w:rsid w:val="00D9464C"/>
    <w:rsid w:val="00D94C21"/>
    <w:rsid w:val="00DB2F80"/>
    <w:rsid w:val="00DB4534"/>
    <w:rsid w:val="00DB4C75"/>
    <w:rsid w:val="00DC72E9"/>
    <w:rsid w:val="00DD0282"/>
    <w:rsid w:val="00DD2A82"/>
    <w:rsid w:val="00DD770D"/>
    <w:rsid w:val="00DE520D"/>
    <w:rsid w:val="00DF46E4"/>
    <w:rsid w:val="00E04856"/>
    <w:rsid w:val="00E15A09"/>
    <w:rsid w:val="00E170F6"/>
    <w:rsid w:val="00E3111E"/>
    <w:rsid w:val="00E42173"/>
    <w:rsid w:val="00E50CD3"/>
    <w:rsid w:val="00E53BF0"/>
    <w:rsid w:val="00E54A60"/>
    <w:rsid w:val="00E56089"/>
    <w:rsid w:val="00E660B6"/>
    <w:rsid w:val="00E713C4"/>
    <w:rsid w:val="00E7706E"/>
    <w:rsid w:val="00E835D4"/>
    <w:rsid w:val="00E87BE1"/>
    <w:rsid w:val="00E9420A"/>
    <w:rsid w:val="00EA01EA"/>
    <w:rsid w:val="00EA020F"/>
    <w:rsid w:val="00EA1F85"/>
    <w:rsid w:val="00EA4CE1"/>
    <w:rsid w:val="00EB0B3A"/>
    <w:rsid w:val="00EB27A8"/>
    <w:rsid w:val="00EB6CAD"/>
    <w:rsid w:val="00ED28C7"/>
    <w:rsid w:val="00ED4585"/>
    <w:rsid w:val="00ED735F"/>
    <w:rsid w:val="00EE2C54"/>
    <w:rsid w:val="00EE38C3"/>
    <w:rsid w:val="00F013DE"/>
    <w:rsid w:val="00F20784"/>
    <w:rsid w:val="00F3215D"/>
    <w:rsid w:val="00F37D5A"/>
    <w:rsid w:val="00F42610"/>
    <w:rsid w:val="00F5775F"/>
    <w:rsid w:val="00F60684"/>
    <w:rsid w:val="00F61E11"/>
    <w:rsid w:val="00F63F24"/>
    <w:rsid w:val="00F72503"/>
    <w:rsid w:val="00F73033"/>
    <w:rsid w:val="00F73AB8"/>
    <w:rsid w:val="00F8238F"/>
    <w:rsid w:val="00F848DD"/>
    <w:rsid w:val="00F878F8"/>
    <w:rsid w:val="00F90323"/>
    <w:rsid w:val="00F92012"/>
    <w:rsid w:val="00FB1505"/>
    <w:rsid w:val="00FD0F4F"/>
    <w:rsid w:val="00FD15E4"/>
    <w:rsid w:val="00FD6F83"/>
    <w:rsid w:val="00FF0D13"/>
    <w:rsid w:val="00FF481A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F75A1"/>
  <w15:docId w15:val="{50759F2A-EAF0-455B-B2C9-8DD1EEAD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1A0D75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9E157A"/>
    <w:pPr>
      <w:tabs>
        <w:tab w:val="clear" w:pos="284"/>
      </w:tabs>
      <w:autoSpaceDE w:val="0"/>
      <w:autoSpaceDN w:val="0"/>
      <w:jc w:val="left"/>
    </w:pPr>
    <w:rPr>
      <w:rFonts w:eastAsiaTheme="minorHAnsi"/>
      <w:color w:val="000000"/>
      <w:sz w:val="24"/>
    </w:rPr>
  </w:style>
  <w:style w:type="table" w:styleId="TableGrid">
    <w:name w:val="Table Grid"/>
    <w:basedOn w:val="TableNormal"/>
    <w:rsid w:val="00D94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7706E"/>
    <w:rPr>
      <w:sz w:val="22"/>
      <w:szCs w:val="24"/>
    </w:rPr>
  </w:style>
  <w:style w:type="paragraph" w:styleId="NoSpacing">
    <w:name w:val="No Spacing"/>
    <w:uiPriority w:val="1"/>
    <w:qFormat/>
    <w:rsid w:val="00F73033"/>
    <w:rPr>
      <w:sz w:val="24"/>
      <w:szCs w:val="24"/>
    </w:rPr>
  </w:style>
  <w:style w:type="character" w:styleId="Hyperlink">
    <w:name w:val="Hyperlink"/>
    <w:basedOn w:val="DefaultParagraphFont"/>
    <w:rsid w:val="00F73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5de12-aa36-4f53-a057-c3d4e2db79c2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E8DCE8-14DF-4898-A166-22A8E47C6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8484F-64E2-4021-8F3B-795EDF438F60}">
  <ds:schemaRefs>
    <ds:schemaRef ds:uri="http://schemas.microsoft.com/office/2006/metadata/properties"/>
    <ds:schemaRef ds:uri="http://schemas.microsoft.com/office/infopath/2007/PartnerControls"/>
    <ds:schemaRef ds:uri="bc35de12-aa36-4f53-a057-c3d4e2db79c2"/>
    <ds:schemaRef ds:uri="f634c6f7-ec6a-408b-8835-1e576ff06ed3"/>
  </ds:schemaRefs>
</ds:datastoreItem>
</file>

<file path=customXml/itemProps3.xml><?xml version="1.0" encoding="utf-8"?>
<ds:datastoreItem xmlns:ds="http://schemas.openxmlformats.org/officeDocument/2006/customXml" ds:itemID="{5253F881-E6E4-4967-8284-A314E06B7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7</cp:revision>
  <cp:lastPrinted>2024-04-24T09:46:00Z</cp:lastPrinted>
  <dcterms:created xsi:type="dcterms:W3CDTF">2025-04-28T11:47:00Z</dcterms:created>
  <dcterms:modified xsi:type="dcterms:W3CDTF">2025-04-29T07:02:00Z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