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26F54" w14:textId="77777777" w:rsidR="002510A5" w:rsidRPr="006E2CA6" w:rsidRDefault="002510A5" w:rsidP="001A0DFE">
      <w:pPr>
        <w:spacing w:line="276" w:lineRule="auto"/>
        <w:jc w:val="center"/>
        <w:rPr>
          <w:b/>
          <w:bCs/>
          <w:iCs/>
          <w:sz w:val="22"/>
          <w:szCs w:val="22"/>
          <w:u w:val="single"/>
          <w:lang w:val="sr-Latn-ME"/>
        </w:rPr>
      </w:pPr>
      <w:r w:rsidRPr="006E2CA6">
        <w:rPr>
          <w:b/>
          <w:bCs/>
          <w:iCs/>
          <w:sz w:val="22"/>
          <w:szCs w:val="22"/>
          <w:u w:val="single"/>
          <w:lang w:val="sr-Latn-ME"/>
        </w:rPr>
        <w:t>SAŽETAK KARAKTERISTIKA LIJEKA</w:t>
      </w:r>
    </w:p>
    <w:p w14:paraId="28C835E8" w14:textId="77777777" w:rsidR="00C37FD7" w:rsidRPr="006E2CA6" w:rsidRDefault="00C37FD7" w:rsidP="001A0DFE">
      <w:pPr>
        <w:tabs>
          <w:tab w:val="left" w:pos="540"/>
          <w:tab w:val="left" w:pos="569"/>
        </w:tabs>
        <w:spacing w:line="276" w:lineRule="auto"/>
        <w:rPr>
          <w:bCs/>
          <w:sz w:val="22"/>
          <w:szCs w:val="22"/>
          <w:lang w:val="sr-Latn-ME"/>
        </w:rPr>
      </w:pPr>
    </w:p>
    <w:p w14:paraId="23C8C57F" w14:textId="77777777" w:rsidR="00411B4B" w:rsidRPr="006E2CA6" w:rsidRDefault="00411B4B" w:rsidP="00304460">
      <w:pPr>
        <w:tabs>
          <w:tab w:val="left" w:pos="540"/>
          <w:tab w:val="left" w:pos="569"/>
        </w:tabs>
        <w:jc w:val="both"/>
        <w:rPr>
          <w:b/>
          <w:bCs/>
          <w:sz w:val="22"/>
          <w:szCs w:val="22"/>
          <w:lang w:val="sr-Latn-ME"/>
        </w:rPr>
      </w:pPr>
      <w:r w:rsidRPr="006E2CA6">
        <w:rPr>
          <w:b/>
          <w:bCs/>
          <w:sz w:val="22"/>
          <w:szCs w:val="22"/>
          <w:lang w:val="sr-Latn-ME"/>
        </w:rPr>
        <w:t>1.</w:t>
      </w:r>
      <w:r w:rsidR="00F5167F" w:rsidRPr="006E2CA6">
        <w:rPr>
          <w:b/>
          <w:bCs/>
          <w:sz w:val="22"/>
          <w:szCs w:val="22"/>
          <w:lang w:val="sr-Latn-ME"/>
        </w:rPr>
        <w:tab/>
      </w:r>
      <w:r w:rsidR="002846DB" w:rsidRPr="006E2CA6">
        <w:rPr>
          <w:b/>
          <w:bCs/>
          <w:sz w:val="22"/>
          <w:szCs w:val="22"/>
          <w:lang w:val="sr-Latn-ME"/>
        </w:rPr>
        <w:t xml:space="preserve">NAZIV </w:t>
      </w:r>
      <w:r w:rsidRPr="006E2CA6">
        <w:rPr>
          <w:b/>
          <w:bCs/>
          <w:sz w:val="22"/>
          <w:szCs w:val="22"/>
          <w:lang w:val="sr-Latn-ME"/>
        </w:rPr>
        <w:t>LIJEKA</w:t>
      </w:r>
    </w:p>
    <w:p w14:paraId="684D6629" w14:textId="77777777" w:rsidR="00EC2532" w:rsidRPr="006E2CA6" w:rsidRDefault="00EC2532" w:rsidP="00304460">
      <w:pPr>
        <w:jc w:val="both"/>
        <w:rPr>
          <w:sz w:val="22"/>
          <w:szCs w:val="22"/>
          <w:lang w:val="sr-Latn-ME"/>
        </w:rPr>
      </w:pPr>
    </w:p>
    <w:p w14:paraId="7C55289B" w14:textId="77777777" w:rsidR="00107BF7" w:rsidRPr="006E2CA6" w:rsidRDefault="002612E0" w:rsidP="00304460">
      <w:pPr>
        <w:jc w:val="both"/>
        <w:rPr>
          <w:i/>
          <w:iCs/>
          <w:color w:val="808080"/>
          <w:sz w:val="22"/>
          <w:szCs w:val="22"/>
          <w:lang w:val="sr-Latn-ME"/>
        </w:rPr>
      </w:pPr>
      <w:r w:rsidRPr="006E2CA6">
        <w:rPr>
          <w:sz w:val="22"/>
          <w:szCs w:val="22"/>
          <w:lang w:val="sr-Latn-ME"/>
        </w:rPr>
        <w:t xml:space="preserve">Colistin Norma, 1000000 i.j., prašak za rastvor za infuziju </w:t>
      </w:r>
    </w:p>
    <w:p w14:paraId="6A03A9DB" w14:textId="77777777" w:rsidR="000D425A" w:rsidRPr="006E2CA6" w:rsidRDefault="000D425A" w:rsidP="00304460">
      <w:pPr>
        <w:jc w:val="both"/>
        <w:rPr>
          <w:bCs/>
          <w:sz w:val="22"/>
          <w:szCs w:val="22"/>
          <w:lang w:val="sr-Latn-ME"/>
        </w:rPr>
      </w:pPr>
    </w:p>
    <w:p w14:paraId="299837F6" w14:textId="4E75C5DD" w:rsidR="006D20A5" w:rsidRPr="006E2CA6" w:rsidRDefault="006D20A5" w:rsidP="006E2CA6">
      <w:pPr>
        <w:spacing w:line="276" w:lineRule="auto"/>
        <w:rPr>
          <w:sz w:val="22"/>
          <w:szCs w:val="22"/>
          <w:lang w:val="sr-Latn-ME"/>
        </w:rPr>
      </w:pPr>
      <w:r w:rsidRPr="006E2CA6">
        <w:rPr>
          <w:sz w:val="22"/>
          <w:szCs w:val="22"/>
          <w:lang w:val="sr-Latn-ME"/>
        </w:rPr>
        <w:t>INN:</w:t>
      </w:r>
      <w:r w:rsidR="002612E0" w:rsidRPr="006E2CA6">
        <w:rPr>
          <w:sz w:val="22"/>
          <w:szCs w:val="22"/>
          <w:lang w:val="sr-Latn-ME"/>
        </w:rPr>
        <w:t xml:space="preserve"> </w:t>
      </w:r>
      <w:r w:rsidR="002772E8" w:rsidRPr="006E2CA6">
        <w:rPr>
          <w:sz w:val="22"/>
          <w:szCs w:val="22"/>
          <w:lang w:val="sr-Latn-ME"/>
        </w:rPr>
        <w:t>kolistin</w:t>
      </w:r>
    </w:p>
    <w:p w14:paraId="4FA7A671" w14:textId="77F1BF92" w:rsidR="006D20A5" w:rsidRDefault="006D20A5" w:rsidP="00304460">
      <w:pPr>
        <w:jc w:val="both"/>
        <w:rPr>
          <w:bCs/>
          <w:sz w:val="22"/>
          <w:szCs w:val="22"/>
          <w:lang w:val="sr-Latn-ME"/>
        </w:rPr>
      </w:pPr>
    </w:p>
    <w:p w14:paraId="104F2B12" w14:textId="77777777" w:rsidR="00CA511F" w:rsidRPr="006E2CA6" w:rsidRDefault="00CA511F" w:rsidP="00304460">
      <w:pPr>
        <w:jc w:val="both"/>
        <w:rPr>
          <w:bCs/>
          <w:sz w:val="22"/>
          <w:szCs w:val="22"/>
          <w:lang w:val="sr-Latn-ME"/>
        </w:rPr>
      </w:pPr>
    </w:p>
    <w:p w14:paraId="0C6CA8A8" w14:textId="77777777" w:rsidR="00411B4B" w:rsidRPr="006E2CA6" w:rsidRDefault="00411B4B" w:rsidP="00304460">
      <w:pPr>
        <w:tabs>
          <w:tab w:val="left" w:pos="540"/>
          <w:tab w:val="left" w:pos="569"/>
        </w:tabs>
        <w:jc w:val="both"/>
        <w:rPr>
          <w:b/>
          <w:bCs/>
          <w:sz w:val="22"/>
          <w:szCs w:val="22"/>
          <w:lang w:val="sr-Latn-ME"/>
        </w:rPr>
      </w:pPr>
      <w:r w:rsidRPr="006E2CA6">
        <w:rPr>
          <w:b/>
          <w:bCs/>
          <w:sz w:val="22"/>
          <w:szCs w:val="22"/>
          <w:lang w:val="sr-Latn-ME"/>
        </w:rPr>
        <w:t xml:space="preserve">2. </w:t>
      </w:r>
      <w:r w:rsidR="00F5167F" w:rsidRPr="006E2CA6">
        <w:rPr>
          <w:b/>
          <w:bCs/>
          <w:sz w:val="22"/>
          <w:szCs w:val="22"/>
          <w:lang w:val="sr-Latn-ME"/>
        </w:rPr>
        <w:tab/>
      </w:r>
      <w:r w:rsidRPr="006E2CA6">
        <w:rPr>
          <w:b/>
          <w:bCs/>
          <w:sz w:val="22"/>
          <w:szCs w:val="22"/>
          <w:lang w:val="sr-Latn-ME"/>
        </w:rPr>
        <w:t>KVALITATIVNI I KVANTITATIVNI SASTAV</w:t>
      </w:r>
    </w:p>
    <w:p w14:paraId="3F8EEECD" w14:textId="77777777" w:rsidR="005A0B2E" w:rsidRPr="006E2CA6" w:rsidRDefault="005A0B2E" w:rsidP="00304460">
      <w:pPr>
        <w:jc w:val="both"/>
        <w:rPr>
          <w:sz w:val="22"/>
          <w:szCs w:val="22"/>
          <w:lang w:val="sr-Latn-ME"/>
        </w:rPr>
      </w:pPr>
    </w:p>
    <w:p w14:paraId="70C9D3C2" w14:textId="1FB2E361" w:rsidR="002612E0" w:rsidRPr="006E2CA6" w:rsidRDefault="002612E0" w:rsidP="006E2CA6">
      <w:pPr>
        <w:spacing w:line="276" w:lineRule="auto"/>
        <w:rPr>
          <w:sz w:val="22"/>
          <w:szCs w:val="22"/>
          <w:lang w:val="sr-Latn-ME"/>
        </w:rPr>
      </w:pPr>
      <w:r w:rsidRPr="006E2CA6">
        <w:rPr>
          <w:sz w:val="22"/>
          <w:szCs w:val="22"/>
          <w:lang w:val="sr-Latn-ME"/>
        </w:rPr>
        <w:t xml:space="preserve">Jedna bočica sadrži 1000000 i.j. </w:t>
      </w:r>
      <w:r w:rsidR="006E2CA6" w:rsidRPr="006E2CA6">
        <w:rPr>
          <w:sz w:val="22"/>
          <w:szCs w:val="22"/>
          <w:lang w:val="sr-Latn-ME"/>
        </w:rPr>
        <w:t>kolistimetat natrijuma</w:t>
      </w:r>
      <w:r w:rsidRPr="006E2CA6">
        <w:rPr>
          <w:sz w:val="22"/>
          <w:szCs w:val="22"/>
          <w:lang w:val="sr-Latn-ME"/>
        </w:rPr>
        <w:t>.</w:t>
      </w:r>
    </w:p>
    <w:p w14:paraId="6E9E5094" w14:textId="77777777" w:rsidR="006E2CA6" w:rsidRDefault="006E2CA6" w:rsidP="00304460">
      <w:pPr>
        <w:jc w:val="both"/>
        <w:rPr>
          <w:sz w:val="22"/>
          <w:szCs w:val="22"/>
          <w:lang w:val="sr-Latn-ME"/>
        </w:rPr>
      </w:pPr>
    </w:p>
    <w:p w14:paraId="09CDA72D" w14:textId="0A68B96D" w:rsidR="0003793F" w:rsidRPr="006E2CA6" w:rsidRDefault="0003793F" w:rsidP="00304460">
      <w:pPr>
        <w:jc w:val="both"/>
        <w:rPr>
          <w:sz w:val="22"/>
          <w:szCs w:val="22"/>
          <w:lang w:val="sr-Latn-ME"/>
        </w:rPr>
      </w:pPr>
      <w:r w:rsidRPr="006E2CA6">
        <w:rPr>
          <w:sz w:val="22"/>
          <w:szCs w:val="22"/>
          <w:lang w:val="sr-Latn-ME"/>
        </w:rPr>
        <w:t>Za spisak svih ekscipijenasa, pogledati dio 6.1.</w:t>
      </w:r>
    </w:p>
    <w:p w14:paraId="319319D4" w14:textId="3FFA6E5A" w:rsidR="0003793F" w:rsidRDefault="0003793F" w:rsidP="00304460">
      <w:pPr>
        <w:jc w:val="both"/>
        <w:rPr>
          <w:sz w:val="22"/>
          <w:szCs w:val="22"/>
          <w:lang w:val="sr-Latn-ME"/>
        </w:rPr>
      </w:pPr>
    </w:p>
    <w:p w14:paraId="05684DD0" w14:textId="77777777" w:rsidR="006E2CA6" w:rsidRPr="006E2CA6" w:rsidRDefault="006E2CA6" w:rsidP="00304460">
      <w:pPr>
        <w:jc w:val="both"/>
        <w:rPr>
          <w:sz w:val="22"/>
          <w:szCs w:val="22"/>
          <w:lang w:val="sr-Latn-ME"/>
        </w:rPr>
      </w:pPr>
    </w:p>
    <w:p w14:paraId="440A69EA" w14:textId="77777777" w:rsidR="00411B4B" w:rsidRPr="006E2CA6" w:rsidRDefault="00411B4B" w:rsidP="00304460">
      <w:pPr>
        <w:tabs>
          <w:tab w:val="left" w:pos="540"/>
          <w:tab w:val="left" w:pos="569"/>
        </w:tabs>
        <w:jc w:val="both"/>
        <w:rPr>
          <w:b/>
          <w:bCs/>
          <w:sz w:val="22"/>
          <w:szCs w:val="22"/>
          <w:lang w:val="sr-Latn-ME"/>
        </w:rPr>
      </w:pPr>
      <w:r w:rsidRPr="006E2CA6">
        <w:rPr>
          <w:b/>
          <w:bCs/>
          <w:sz w:val="22"/>
          <w:szCs w:val="22"/>
          <w:lang w:val="sr-Latn-ME"/>
        </w:rPr>
        <w:t xml:space="preserve">3. </w:t>
      </w:r>
      <w:r w:rsidR="00F5167F" w:rsidRPr="006E2CA6">
        <w:rPr>
          <w:b/>
          <w:bCs/>
          <w:sz w:val="22"/>
          <w:szCs w:val="22"/>
          <w:lang w:val="sr-Latn-ME"/>
        </w:rPr>
        <w:tab/>
      </w:r>
      <w:r w:rsidRPr="006E2CA6">
        <w:rPr>
          <w:b/>
          <w:bCs/>
          <w:sz w:val="22"/>
          <w:szCs w:val="22"/>
          <w:lang w:val="sr-Latn-ME"/>
        </w:rPr>
        <w:t>FARMACEUTSKI OBLIK</w:t>
      </w:r>
      <w:r w:rsidR="009F2D23" w:rsidRPr="006E2CA6">
        <w:rPr>
          <w:b/>
          <w:bCs/>
          <w:sz w:val="22"/>
          <w:szCs w:val="22"/>
          <w:lang w:val="sr-Latn-ME"/>
        </w:rPr>
        <w:t xml:space="preserve"> </w:t>
      </w:r>
    </w:p>
    <w:p w14:paraId="5E8E1BAF" w14:textId="77777777" w:rsidR="00411B4B" w:rsidRPr="006E2CA6" w:rsidRDefault="00411B4B" w:rsidP="00304460">
      <w:pPr>
        <w:jc w:val="both"/>
        <w:rPr>
          <w:bCs/>
          <w:sz w:val="22"/>
          <w:szCs w:val="22"/>
          <w:lang w:val="sr-Latn-ME"/>
        </w:rPr>
      </w:pPr>
    </w:p>
    <w:p w14:paraId="0CC8F513" w14:textId="77777777" w:rsidR="002612E0" w:rsidRPr="006E2CA6" w:rsidRDefault="002612E0" w:rsidP="00304460">
      <w:pPr>
        <w:spacing w:after="240"/>
        <w:jc w:val="both"/>
        <w:rPr>
          <w:bCs/>
          <w:sz w:val="22"/>
          <w:szCs w:val="22"/>
          <w:lang w:val="sr-Latn-ME"/>
        </w:rPr>
      </w:pPr>
      <w:r w:rsidRPr="006E2CA6">
        <w:rPr>
          <w:bCs/>
          <w:sz w:val="22"/>
          <w:szCs w:val="22"/>
          <w:lang w:val="sr-Latn-ME"/>
        </w:rPr>
        <w:t>Prašak za rastvor za</w:t>
      </w:r>
      <w:r w:rsidR="00D73A18" w:rsidRPr="006E2CA6">
        <w:rPr>
          <w:bCs/>
          <w:sz w:val="22"/>
          <w:szCs w:val="22"/>
          <w:lang w:val="sr-Latn-ME"/>
        </w:rPr>
        <w:t xml:space="preserve"> </w:t>
      </w:r>
      <w:r w:rsidRPr="006E2CA6">
        <w:rPr>
          <w:bCs/>
          <w:sz w:val="22"/>
          <w:szCs w:val="22"/>
          <w:lang w:val="sr-Latn-ME"/>
        </w:rPr>
        <w:t>infuziju.</w:t>
      </w:r>
    </w:p>
    <w:p w14:paraId="356A79EF" w14:textId="7E20F944" w:rsidR="00CC744E" w:rsidRPr="006E2CA6" w:rsidRDefault="00CC744E" w:rsidP="00304460">
      <w:pPr>
        <w:spacing w:after="240"/>
        <w:jc w:val="both"/>
        <w:rPr>
          <w:bCs/>
          <w:sz w:val="22"/>
          <w:szCs w:val="22"/>
          <w:lang w:val="sr-Latn-ME"/>
        </w:rPr>
      </w:pPr>
      <w:r w:rsidRPr="006E2CA6">
        <w:rPr>
          <w:bCs/>
          <w:sz w:val="22"/>
          <w:szCs w:val="22"/>
          <w:lang w:val="sr-Latn-ME"/>
        </w:rPr>
        <w:t xml:space="preserve">Bijeli do skoro bijeli prašak. </w:t>
      </w:r>
    </w:p>
    <w:p w14:paraId="5B5AAA27" w14:textId="437FFBC6" w:rsidR="006E2CA6" w:rsidRPr="006E2CA6" w:rsidRDefault="006E2CA6" w:rsidP="00304460">
      <w:pPr>
        <w:jc w:val="both"/>
        <w:rPr>
          <w:bCs/>
          <w:sz w:val="22"/>
          <w:szCs w:val="22"/>
          <w:lang w:val="sr-Latn-ME"/>
        </w:rPr>
      </w:pPr>
    </w:p>
    <w:p w14:paraId="704992DF" w14:textId="77777777" w:rsidR="00411B4B" w:rsidRPr="006E2CA6" w:rsidRDefault="00411B4B" w:rsidP="00304460">
      <w:pPr>
        <w:tabs>
          <w:tab w:val="left" w:pos="540"/>
          <w:tab w:val="left" w:pos="569"/>
        </w:tabs>
        <w:jc w:val="both"/>
        <w:rPr>
          <w:b/>
          <w:bCs/>
          <w:sz w:val="22"/>
          <w:szCs w:val="22"/>
          <w:lang w:val="sr-Latn-ME"/>
        </w:rPr>
      </w:pPr>
      <w:r w:rsidRPr="006E2CA6">
        <w:rPr>
          <w:b/>
          <w:bCs/>
          <w:sz w:val="22"/>
          <w:szCs w:val="22"/>
          <w:lang w:val="sr-Latn-ME"/>
        </w:rPr>
        <w:t xml:space="preserve">4. </w:t>
      </w:r>
      <w:r w:rsidR="00480FB1" w:rsidRPr="006E2CA6">
        <w:rPr>
          <w:b/>
          <w:bCs/>
          <w:sz w:val="22"/>
          <w:szCs w:val="22"/>
          <w:lang w:val="sr-Latn-ME"/>
        </w:rPr>
        <w:tab/>
      </w:r>
      <w:r w:rsidRPr="006E2CA6">
        <w:rPr>
          <w:b/>
          <w:bCs/>
          <w:sz w:val="22"/>
          <w:szCs w:val="22"/>
          <w:lang w:val="sr-Latn-ME"/>
        </w:rPr>
        <w:t>KLINIČKI PODACI</w:t>
      </w:r>
    </w:p>
    <w:p w14:paraId="51947A29" w14:textId="77777777" w:rsidR="00CD6F02" w:rsidRPr="006E2CA6" w:rsidRDefault="00CD6F02" w:rsidP="00304460">
      <w:pPr>
        <w:tabs>
          <w:tab w:val="left" w:pos="540"/>
          <w:tab w:val="left" w:pos="569"/>
        </w:tabs>
        <w:jc w:val="both"/>
        <w:rPr>
          <w:bCs/>
          <w:sz w:val="22"/>
          <w:szCs w:val="22"/>
          <w:lang w:val="sr-Latn-ME"/>
        </w:rPr>
      </w:pPr>
    </w:p>
    <w:p w14:paraId="481F4831" w14:textId="77777777" w:rsidR="00411B4B" w:rsidRPr="006E2CA6" w:rsidRDefault="00411B4B" w:rsidP="00304460">
      <w:pPr>
        <w:tabs>
          <w:tab w:val="left" w:pos="540"/>
          <w:tab w:val="left" w:pos="569"/>
        </w:tabs>
        <w:jc w:val="both"/>
        <w:rPr>
          <w:b/>
          <w:bCs/>
          <w:sz w:val="22"/>
          <w:szCs w:val="22"/>
          <w:lang w:val="sr-Latn-ME"/>
        </w:rPr>
      </w:pPr>
      <w:r w:rsidRPr="006E2CA6">
        <w:rPr>
          <w:b/>
          <w:bCs/>
          <w:sz w:val="22"/>
          <w:szCs w:val="22"/>
          <w:lang w:val="sr-Latn-ME"/>
        </w:rPr>
        <w:t xml:space="preserve">4.1. </w:t>
      </w:r>
      <w:r w:rsidR="00480FB1" w:rsidRPr="006E2CA6">
        <w:rPr>
          <w:b/>
          <w:bCs/>
          <w:sz w:val="22"/>
          <w:szCs w:val="22"/>
          <w:lang w:val="sr-Latn-ME"/>
        </w:rPr>
        <w:tab/>
      </w:r>
      <w:r w:rsidRPr="006E2CA6">
        <w:rPr>
          <w:b/>
          <w:bCs/>
          <w:sz w:val="22"/>
          <w:szCs w:val="22"/>
          <w:lang w:val="sr-Latn-ME"/>
        </w:rPr>
        <w:t>Terapijske indikacije</w:t>
      </w:r>
    </w:p>
    <w:p w14:paraId="73215CB6" w14:textId="77777777" w:rsidR="00411B4B" w:rsidRPr="006E2CA6" w:rsidRDefault="00411B4B" w:rsidP="00304460">
      <w:pPr>
        <w:tabs>
          <w:tab w:val="left" w:pos="540"/>
          <w:tab w:val="left" w:pos="569"/>
        </w:tabs>
        <w:jc w:val="both"/>
        <w:rPr>
          <w:bCs/>
          <w:sz w:val="22"/>
          <w:szCs w:val="22"/>
          <w:lang w:val="sr-Latn-ME"/>
        </w:rPr>
      </w:pPr>
    </w:p>
    <w:p w14:paraId="61EE94F2" w14:textId="1835D4F1" w:rsidR="002612E0" w:rsidRPr="006E2CA6" w:rsidRDefault="00AB30C7" w:rsidP="006F35C5">
      <w:pPr>
        <w:tabs>
          <w:tab w:val="left" w:pos="540"/>
          <w:tab w:val="left" w:pos="569"/>
        </w:tabs>
        <w:spacing w:line="276" w:lineRule="auto"/>
        <w:jc w:val="both"/>
        <w:rPr>
          <w:bCs/>
          <w:sz w:val="22"/>
          <w:szCs w:val="22"/>
          <w:lang w:val="sr-Latn-ME"/>
        </w:rPr>
      </w:pPr>
      <w:r w:rsidRPr="006E2CA6">
        <w:rPr>
          <w:bCs/>
          <w:sz w:val="22"/>
          <w:szCs w:val="22"/>
          <w:lang w:val="sr-Latn-ME"/>
        </w:rPr>
        <w:t xml:space="preserve">Intravenska primjena lijeka </w:t>
      </w:r>
      <w:r w:rsidR="002612E0" w:rsidRPr="006E2CA6">
        <w:rPr>
          <w:bCs/>
          <w:sz w:val="22"/>
          <w:szCs w:val="22"/>
          <w:lang w:val="sr-Latn-ME"/>
        </w:rPr>
        <w:t>Colistin Norma indikovan</w:t>
      </w:r>
      <w:r w:rsidRPr="006E2CA6">
        <w:rPr>
          <w:bCs/>
          <w:sz w:val="22"/>
          <w:szCs w:val="22"/>
          <w:lang w:val="sr-Latn-ME"/>
        </w:rPr>
        <w:t>a</w:t>
      </w:r>
      <w:r w:rsidR="00D73A18" w:rsidRPr="006E2CA6">
        <w:rPr>
          <w:bCs/>
          <w:sz w:val="22"/>
          <w:szCs w:val="22"/>
          <w:lang w:val="sr-Latn-ME"/>
        </w:rPr>
        <w:t xml:space="preserve"> </w:t>
      </w:r>
      <w:r w:rsidRPr="006E2CA6">
        <w:rPr>
          <w:bCs/>
          <w:sz w:val="22"/>
          <w:szCs w:val="22"/>
          <w:lang w:val="sr-Latn-ME"/>
        </w:rPr>
        <w:t xml:space="preserve">je </w:t>
      </w:r>
      <w:r w:rsidR="002612E0" w:rsidRPr="006E2CA6">
        <w:rPr>
          <w:bCs/>
          <w:sz w:val="22"/>
          <w:szCs w:val="22"/>
          <w:lang w:val="sr-Latn-ME"/>
        </w:rPr>
        <w:t xml:space="preserve">kod odraslih i djece, uključujući novorođenčad, za terapiju ozbiljnih </w:t>
      </w:r>
      <w:r w:rsidR="00724C0A" w:rsidRPr="006E2CA6">
        <w:rPr>
          <w:bCs/>
          <w:sz w:val="22"/>
          <w:szCs w:val="22"/>
          <w:lang w:val="sr-Latn-ME"/>
        </w:rPr>
        <w:t>infekcija uzrokovanih</w:t>
      </w:r>
      <w:r w:rsidR="002612E0" w:rsidRPr="006E2CA6">
        <w:rPr>
          <w:bCs/>
          <w:sz w:val="22"/>
          <w:szCs w:val="22"/>
          <w:lang w:val="sr-Latn-ME"/>
        </w:rPr>
        <w:t xml:space="preserve"> </w:t>
      </w:r>
      <w:r w:rsidR="00724C0A" w:rsidRPr="006E2CA6">
        <w:rPr>
          <w:bCs/>
          <w:sz w:val="22"/>
          <w:szCs w:val="22"/>
          <w:lang w:val="sr-Latn-ME"/>
        </w:rPr>
        <w:t>G</w:t>
      </w:r>
      <w:r w:rsidR="002612E0" w:rsidRPr="006E2CA6">
        <w:rPr>
          <w:bCs/>
          <w:sz w:val="22"/>
          <w:szCs w:val="22"/>
          <w:lang w:val="sr-Latn-ME"/>
        </w:rPr>
        <w:t xml:space="preserve">ram-negativnim bakterijama, kod pacijenata sa ograničenim </w:t>
      </w:r>
      <w:r w:rsidR="00F520F7" w:rsidRPr="006E2CA6">
        <w:rPr>
          <w:bCs/>
          <w:sz w:val="22"/>
          <w:szCs w:val="22"/>
          <w:lang w:val="sr-Latn-ME"/>
        </w:rPr>
        <w:t>terapijskim mogućnostima</w:t>
      </w:r>
      <w:r w:rsidR="002612E0" w:rsidRPr="006E2CA6">
        <w:rPr>
          <w:bCs/>
          <w:sz w:val="22"/>
          <w:szCs w:val="22"/>
          <w:lang w:val="sr-Latn-ME"/>
        </w:rPr>
        <w:t xml:space="preserve"> (vidjeti </w:t>
      </w:r>
      <w:r w:rsidRPr="006E2CA6">
        <w:rPr>
          <w:bCs/>
          <w:sz w:val="22"/>
          <w:szCs w:val="22"/>
          <w:lang w:val="sr-Latn-ME"/>
        </w:rPr>
        <w:t xml:space="preserve">dio </w:t>
      </w:r>
      <w:r w:rsidR="002612E0" w:rsidRPr="006E2CA6">
        <w:rPr>
          <w:bCs/>
          <w:sz w:val="22"/>
          <w:szCs w:val="22"/>
          <w:lang w:val="sr-Latn-ME"/>
        </w:rPr>
        <w:t xml:space="preserve">4.2, 4.4, 4.8 i 5.1). </w:t>
      </w:r>
    </w:p>
    <w:p w14:paraId="18D4F83C" w14:textId="77777777" w:rsidR="002612E0" w:rsidRPr="006E2CA6" w:rsidRDefault="002612E0" w:rsidP="00304460">
      <w:pPr>
        <w:tabs>
          <w:tab w:val="left" w:pos="540"/>
          <w:tab w:val="left" w:pos="569"/>
        </w:tabs>
        <w:jc w:val="both"/>
        <w:rPr>
          <w:bCs/>
          <w:sz w:val="22"/>
          <w:szCs w:val="22"/>
          <w:lang w:val="sr-Latn-ME"/>
        </w:rPr>
      </w:pPr>
      <w:r w:rsidRPr="006E2CA6">
        <w:rPr>
          <w:bCs/>
          <w:sz w:val="22"/>
          <w:szCs w:val="22"/>
          <w:lang w:val="sr-Latn-ME"/>
        </w:rPr>
        <w:t>Prilikom određivanja terapije treba uzeti u obzir zvanične preporuke za racionalno korišćenje antibakterijskih ljekova.</w:t>
      </w:r>
    </w:p>
    <w:p w14:paraId="58600950" w14:textId="45ACB510" w:rsidR="00F520F7" w:rsidRPr="006E2CA6" w:rsidRDefault="00F520F7" w:rsidP="00304460">
      <w:pPr>
        <w:tabs>
          <w:tab w:val="left" w:pos="540"/>
          <w:tab w:val="left" w:pos="569"/>
        </w:tabs>
        <w:rPr>
          <w:bCs/>
          <w:sz w:val="22"/>
          <w:szCs w:val="22"/>
          <w:lang w:val="sr-Latn-ME"/>
        </w:rPr>
      </w:pPr>
    </w:p>
    <w:p w14:paraId="1E356934" w14:textId="77777777" w:rsidR="00411B4B" w:rsidRPr="006E2CA6" w:rsidRDefault="00411B4B" w:rsidP="00304460">
      <w:pPr>
        <w:tabs>
          <w:tab w:val="left" w:pos="540"/>
          <w:tab w:val="left" w:pos="569"/>
        </w:tabs>
        <w:jc w:val="both"/>
        <w:rPr>
          <w:b/>
          <w:bCs/>
          <w:sz w:val="22"/>
          <w:szCs w:val="22"/>
          <w:lang w:val="sr-Latn-ME"/>
        </w:rPr>
      </w:pPr>
      <w:r w:rsidRPr="006E2CA6">
        <w:rPr>
          <w:b/>
          <w:bCs/>
          <w:sz w:val="22"/>
          <w:szCs w:val="22"/>
          <w:lang w:val="sr-Latn-ME"/>
        </w:rPr>
        <w:t xml:space="preserve">4.2. </w:t>
      </w:r>
      <w:r w:rsidR="00480FB1" w:rsidRPr="006E2CA6">
        <w:rPr>
          <w:b/>
          <w:bCs/>
          <w:sz w:val="22"/>
          <w:szCs w:val="22"/>
          <w:lang w:val="sr-Latn-ME"/>
        </w:rPr>
        <w:tab/>
      </w:r>
      <w:r w:rsidRPr="006E2CA6">
        <w:rPr>
          <w:b/>
          <w:bCs/>
          <w:sz w:val="22"/>
          <w:szCs w:val="22"/>
          <w:lang w:val="sr-Latn-ME"/>
        </w:rPr>
        <w:t>Doziranje i način primjene</w:t>
      </w:r>
    </w:p>
    <w:p w14:paraId="0211A6F8" w14:textId="77777777" w:rsidR="002612E0" w:rsidRPr="006E2CA6" w:rsidRDefault="002612E0" w:rsidP="00304460">
      <w:pPr>
        <w:tabs>
          <w:tab w:val="left" w:pos="540"/>
          <w:tab w:val="left" w:pos="569"/>
        </w:tabs>
        <w:jc w:val="both"/>
        <w:rPr>
          <w:bCs/>
          <w:sz w:val="22"/>
          <w:szCs w:val="22"/>
          <w:lang w:val="sr-Latn-ME"/>
        </w:rPr>
      </w:pPr>
    </w:p>
    <w:p w14:paraId="7A3F189C" w14:textId="62DA3D8F" w:rsidR="002612E0" w:rsidRPr="006E2CA6" w:rsidRDefault="002612E0" w:rsidP="00304460">
      <w:pPr>
        <w:tabs>
          <w:tab w:val="left" w:pos="540"/>
          <w:tab w:val="left" w:pos="569"/>
        </w:tabs>
        <w:jc w:val="both"/>
        <w:rPr>
          <w:bCs/>
          <w:sz w:val="22"/>
          <w:szCs w:val="22"/>
          <w:lang w:val="sr-Latn-ME"/>
        </w:rPr>
      </w:pPr>
      <w:r w:rsidRPr="006E2CA6">
        <w:rPr>
          <w:bCs/>
          <w:sz w:val="22"/>
          <w:szCs w:val="22"/>
          <w:lang w:val="sr-Latn-ME"/>
        </w:rPr>
        <w:t>Prilikom određivanja doze i trajanja terapije, potrebno je uzeti u obzir težinu infekcije</w:t>
      </w:r>
      <w:r w:rsidR="00724C0A" w:rsidRPr="006E2CA6">
        <w:rPr>
          <w:bCs/>
          <w:sz w:val="22"/>
          <w:szCs w:val="22"/>
          <w:lang w:val="sr-Latn-ME"/>
        </w:rPr>
        <w:t>, kao</w:t>
      </w:r>
      <w:r w:rsidRPr="006E2CA6">
        <w:rPr>
          <w:bCs/>
          <w:sz w:val="22"/>
          <w:szCs w:val="22"/>
          <w:lang w:val="sr-Latn-ME"/>
        </w:rPr>
        <w:t xml:space="preserve"> i klinički </w:t>
      </w:r>
    </w:p>
    <w:p w14:paraId="61A0126E" w14:textId="2CDC12E9" w:rsidR="002612E0" w:rsidRPr="006E2CA6" w:rsidRDefault="002612E0" w:rsidP="00304460">
      <w:pPr>
        <w:tabs>
          <w:tab w:val="left" w:pos="540"/>
          <w:tab w:val="left" w:pos="569"/>
        </w:tabs>
        <w:jc w:val="both"/>
        <w:rPr>
          <w:bCs/>
          <w:sz w:val="22"/>
          <w:szCs w:val="22"/>
          <w:lang w:val="sr-Latn-ME"/>
        </w:rPr>
      </w:pPr>
      <w:r w:rsidRPr="006E2CA6">
        <w:rPr>
          <w:bCs/>
          <w:sz w:val="22"/>
          <w:szCs w:val="22"/>
          <w:lang w:val="sr-Latn-ME"/>
        </w:rPr>
        <w:t>odgovor.</w:t>
      </w:r>
      <w:r w:rsidR="00724C0A" w:rsidRPr="006E2CA6">
        <w:rPr>
          <w:bCs/>
          <w:sz w:val="22"/>
          <w:szCs w:val="22"/>
          <w:lang w:val="sr-Latn-ME"/>
        </w:rPr>
        <w:t xml:space="preserve"> </w:t>
      </w:r>
      <w:r w:rsidRPr="006E2CA6">
        <w:rPr>
          <w:bCs/>
          <w:sz w:val="22"/>
          <w:szCs w:val="22"/>
          <w:lang w:val="sr-Latn-ME"/>
        </w:rPr>
        <w:t>Potrebno je pridržavati se zvaničnih terapijskih smjernica.</w:t>
      </w:r>
    </w:p>
    <w:p w14:paraId="11CE40ED" w14:textId="77777777" w:rsidR="00391E83" w:rsidRPr="006E2CA6" w:rsidRDefault="00391E83" w:rsidP="00304460">
      <w:pPr>
        <w:tabs>
          <w:tab w:val="left" w:pos="540"/>
          <w:tab w:val="left" w:pos="569"/>
        </w:tabs>
        <w:jc w:val="both"/>
        <w:rPr>
          <w:bCs/>
          <w:sz w:val="22"/>
          <w:szCs w:val="22"/>
          <w:lang w:val="sr-Latn-ME"/>
        </w:rPr>
      </w:pPr>
    </w:p>
    <w:p w14:paraId="54EFFD2C" w14:textId="6B336237" w:rsidR="002612E0" w:rsidRPr="006E2CA6" w:rsidRDefault="002612E0" w:rsidP="00304460">
      <w:pPr>
        <w:tabs>
          <w:tab w:val="left" w:pos="540"/>
          <w:tab w:val="left" w:pos="569"/>
        </w:tabs>
        <w:jc w:val="both"/>
        <w:rPr>
          <w:bCs/>
          <w:sz w:val="22"/>
          <w:szCs w:val="22"/>
          <w:lang w:val="sr-Latn-ME"/>
        </w:rPr>
      </w:pPr>
      <w:r w:rsidRPr="006E2CA6">
        <w:rPr>
          <w:bCs/>
          <w:sz w:val="22"/>
          <w:szCs w:val="22"/>
          <w:lang w:val="sr-Latn-ME"/>
        </w:rPr>
        <w:t xml:space="preserve">Doza se izražava u internacionalnim jedinicama (i.j.) </w:t>
      </w:r>
      <w:r w:rsidR="00AB30C7" w:rsidRPr="006E2CA6">
        <w:rPr>
          <w:bCs/>
          <w:sz w:val="22"/>
          <w:szCs w:val="22"/>
          <w:lang w:val="sr-Latn-ME"/>
        </w:rPr>
        <w:t>kolisti</w:t>
      </w:r>
      <w:r w:rsidR="002E22AF" w:rsidRPr="006E2CA6">
        <w:rPr>
          <w:bCs/>
          <w:sz w:val="22"/>
          <w:szCs w:val="22"/>
          <w:lang w:val="sr-Latn-ME"/>
        </w:rPr>
        <w:t xml:space="preserve">metat </w:t>
      </w:r>
      <w:r w:rsidR="00391E83" w:rsidRPr="006E2CA6">
        <w:rPr>
          <w:bCs/>
          <w:sz w:val="22"/>
          <w:szCs w:val="22"/>
          <w:lang w:val="sr-Latn-ME"/>
        </w:rPr>
        <w:t>natrijuma</w:t>
      </w:r>
      <w:r w:rsidRPr="006E2CA6">
        <w:rPr>
          <w:bCs/>
          <w:sz w:val="22"/>
          <w:szCs w:val="22"/>
          <w:lang w:val="sr-Latn-ME"/>
        </w:rPr>
        <w:t xml:space="preserve"> (CMS).</w:t>
      </w:r>
    </w:p>
    <w:p w14:paraId="15D05A74" w14:textId="7B7D075E" w:rsidR="002612E0" w:rsidRPr="006E2CA6" w:rsidRDefault="002612E0" w:rsidP="00304460">
      <w:pPr>
        <w:tabs>
          <w:tab w:val="left" w:pos="540"/>
          <w:tab w:val="left" w:pos="569"/>
        </w:tabs>
        <w:jc w:val="both"/>
        <w:rPr>
          <w:bCs/>
          <w:sz w:val="22"/>
          <w:szCs w:val="22"/>
          <w:lang w:val="sr-Latn-ME"/>
        </w:rPr>
      </w:pPr>
      <w:r w:rsidRPr="006E2CA6">
        <w:rPr>
          <w:bCs/>
          <w:sz w:val="22"/>
          <w:szCs w:val="22"/>
          <w:lang w:val="sr-Latn-ME"/>
        </w:rPr>
        <w:t>Na kraju ovog dijela nalazi se i tabela za konverziju doze CMS-a izražene u i.j. u mg CMS-a, kao i u</w:t>
      </w:r>
    </w:p>
    <w:p w14:paraId="752AC2F8" w14:textId="77777777" w:rsidR="002612E0" w:rsidRPr="006E2CA6" w:rsidRDefault="002612E0" w:rsidP="00304460">
      <w:pPr>
        <w:tabs>
          <w:tab w:val="left" w:pos="540"/>
          <w:tab w:val="left" w:pos="569"/>
        </w:tabs>
        <w:jc w:val="both"/>
        <w:rPr>
          <w:bCs/>
          <w:sz w:val="22"/>
          <w:szCs w:val="22"/>
          <w:lang w:val="sr-Latn-ME"/>
        </w:rPr>
      </w:pPr>
      <w:r w:rsidRPr="006E2CA6">
        <w:rPr>
          <w:bCs/>
          <w:sz w:val="22"/>
          <w:szCs w:val="22"/>
          <w:lang w:val="sr-Latn-ME"/>
        </w:rPr>
        <w:t xml:space="preserve">mg aktivnosti kolistinske baze (engl. </w:t>
      </w:r>
      <w:r w:rsidRPr="00304460">
        <w:rPr>
          <w:bCs/>
          <w:i/>
          <w:sz w:val="22"/>
          <w:szCs w:val="22"/>
          <w:lang w:val="sr-Latn-ME"/>
        </w:rPr>
        <w:t>colistin base activity</w:t>
      </w:r>
      <w:r w:rsidRPr="006E2CA6">
        <w:rPr>
          <w:bCs/>
          <w:sz w:val="22"/>
          <w:szCs w:val="22"/>
          <w:lang w:val="sr-Latn-ME"/>
        </w:rPr>
        <w:t>, CBA).</w:t>
      </w:r>
    </w:p>
    <w:p w14:paraId="04869218" w14:textId="77777777" w:rsidR="0072020E" w:rsidRPr="006E2CA6" w:rsidRDefault="0072020E" w:rsidP="00304460">
      <w:pPr>
        <w:tabs>
          <w:tab w:val="left" w:pos="540"/>
          <w:tab w:val="left" w:pos="569"/>
        </w:tabs>
        <w:jc w:val="both"/>
        <w:rPr>
          <w:bCs/>
          <w:sz w:val="22"/>
          <w:szCs w:val="22"/>
          <w:lang w:val="sr-Latn-ME"/>
        </w:rPr>
      </w:pPr>
    </w:p>
    <w:p w14:paraId="399F48B5" w14:textId="77777777" w:rsidR="00452E9D" w:rsidRPr="006E2CA6" w:rsidRDefault="00452E9D" w:rsidP="00304460">
      <w:pPr>
        <w:tabs>
          <w:tab w:val="left" w:pos="540"/>
          <w:tab w:val="left" w:pos="569"/>
        </w:tabs>
        <w:jc w:val="both"/>
        <w:rPr>
          <w:bCs/>
          <w:sz w:val="22"/>
          <w:szCs w:val="22"/>
          <w:u w:val="single"/>
          <w:lang w:val="sr-Latn-ME"/>
        </w:rPr>
      </w:pPr>
      <w:r w:rsidRPr="006E2CA6">
        <w:rPr>
          <w:bCs/>
          <w:sz w:val="22"/>
          <w:szCs w:val="22"/>
          <w:u w:val="single"/>
          <w:lang w:val="sr-Latn-ME"/>
        </w:rPr>
        <w:t>Doziranje</w:t>
      </w:r>
    </w:p>
    <w:p w14:paraId="2EB5251E" w14:textId="6192A6AE" w:rsidR="00724C0A" w:rsidRPr="006E2CA6" w:rsidRDefault="00AB30C7" w:rsidP="00304460">
      <w:pPr>
        <w:tabs>
          <w:tab w:val="left" w:pos="540"/>
          <w:tab w:val="left" w:pos="569"/>
        </w:tabs>
        <w:jc w:val="both"/>
        <w:rPr>
          <w:sz w:val="22"/>
          <w:szCs w:val="22"/>
          <w:lang w:val="sr-Latn-ME"/>
        </w:rPr>
      </w:pPr>
      <w:r w:rsidRPr="006E2CA6">
        <w:rPr>
          <w:sz w:val="22"/>
          <w:szCs w:val="22"/>
          <w:lang w:val="sr-Latn-ME"/>
        </w:rPr>
        <w:t>P</w:t>
      </w:r>
      <w:r w:rsidR="002612E0" w:rsidRPr="006E2CA6">
        <w:rPr>
          <w:sz w:val="22"/>
          <w:szCs w:val="22"/>
          <w:lang w:val="sr-Latn-ME"/>
        </w:rPr>
        <w:t xml:space="preserve">reporuke za doziranje </w:t>
      </w:r>
      <w:r w:rsidRPr="006E2CA6">
        <w:rPr>
          <w:sz w:val="22"/>
          <w:szCs w:val="22"/>
          <w:lang w:val="sr-Latn-ME"/>
        </w:rPr>
        <w:t>zasnivaju se na</w:t>
      </w:r>
      <w:r w:rsidR="002612E0" w:rsidRPr="006E2CA6">
        <w:rPr>
          <w:sz w:val="22"/>
          <w:szCs w:val="22"/>
          <w:lang w:val="sr-Latn-ME"/>
        </w:rPr>
        <w:t xml:space="preserve"> ograničeni</w:t>
      </w:r>
      <w:r w:rsidRPr="006E2CA6">
        <w:rPr>
          <w:sz w:val="22"/>
          <w:szCs w:val="22"/>
          <w:lang w:val="sr-Latn-ME"/>
        </w:rPr>
        <w:t xml:space="preserve">m </w:t>
      </w:r>
      <w:r w:rsidR="002612E0" w:rsidRPr="006E2CA6">
        <w:rPr>
          <w:sz w:val="22"/>
          <w:szCs w:val="22"/>
          <w:lang w:val="sr-Latn-ME"/>
        </w:rPr>
        <w:t>populacijsko-farmakokinetički</w:t>
      </w:r>
      <w:r w:rsidRPr="006E2CA6">
        <w:rPr>
          <w:sz w:val="22"/>
          <w:szCs w:val="22"/>
          <w:lang w:val="sr-Latn-ME"/>
        </w:rPr>
        <w:t>m</w:t>
      </w:r>
      <w:r w:rsidR="002612E0" w:rsidRPr="006E2CA6">
        <w:rPr>
          <w:sz w:val="22"/>
          <w:szCs w:val="22"/>
          <w:lang w:val="sr-Latn-ME"/>
        </w:rPr>
        <w:t xml:space="preserve"> </w:t>
      </w:r>
      <w:r w:rsidRPr="006E2CA6">
        <w:rPr>
          <w:sz w:val="22"/>
          <w:szCs w:val="22"/>
          <w:lang w:val="sr-Latn-ME"/>
        </w:rPr>
        <w:t xml:space="preserve">podacima prikupljenim </w:t>
      </w:r>
      <w:r w:rsidR="002612E0" w:rsidRPr="006E2CA6">
        <w:rPr>
          <w:sz w:val="22"/>
          <w:szCs w:val="22"/>
          <w:lang w:val="sr-Latn-ME"/>
        </w:rPr>
        <w:t>kod kritično obol</w:t>
      </w:r>
      <w:r w:rsidR="00724C0A" w:rsidRPr="006E2CA6">
        <w:rPr>
          <w:sz w:val="22"/>
          <w:szCs w:val="22"/>
          <w:lang w:val="sr-Latn-ME"/>
        </w:rPr>
        <w:t>j</w:t>
      </w:r>
      <w:r w:rsidR="002612E0" w:rsidRPr="006E2CA6">
        <w:rPr>
          <w:sz w:val="22"/>
          <w:szCs w:val="22"/>
          <w:lang w:val="sr-Latn-ME"/>
        </w:rPr>
        <w:t>elih pacijenata (vid</w:t>
      </w:r>
      <w:r w:rsidRPr="006E2CA6">
        <w:rPr>
          <w:sz w:val="22"/>
          <w:szCs w:val="22"/>
          <w:lang w:val="sr-Latn-ME"/>
        </w:rPr>
        <w:t>j</w:t>
      </w:r>
      <w:r w:rsidR="002612E0" w:rsidRPr="006E2CA6">
        <w:rPr>
          <w:sz w:val="22"/>
          <w:szCs w:val="22"/>
          <w:lang w:val="sr-Latn-ME"/>
        </w:rPr>
        <w:t xml:space="preserve">eti </w:t>
      </w:r>
      <w:r w:rsidRPr="006E2CA6">
        <w:rPr>
          <w:sz w:val="22"/>
          <w:szCs w:val="22"/>
          <w:lang w:val="sr-Latn-ME"/>
        </w:rPr>
        <w:t xml:space="preserve">dio </w:t>
      </w:r>
      <w:r w:rsidR="002612E0" w:rsidRPr="006E2CA6">
        <w:rPr>
          <w:sz w:val="22"/>
          <w:szCs w:val="22"/>
          <w:lang w:val="sr-Latn-ME"/>
        </w:rPr>
        <w:t xml:space="preserve">4.4): </w:t>
      </w:r>
    </w:p>
    <w:p w14:paraId="0C8E59AD" w14:textId="77777777" w:rsidR="00AB30C7" w:rsidRPr="006E2CA6" w:rsidRDefault="00AB30C7" w:rsidP="00304460">
      <w:pPr>
        <w:tabs>
          <w:tab w:val="left" w:pos="540"/>
          <w:tab w:val="left" w:pos="569"/>
        </w:tabs>
        <w:jc w:val="both"/>
        <w:rPr>
          <w:i/>
          <w:sz w:val="22"/>
          <w:szCs w:val="22"/>
          <w:lang w:val="sr-Latn-ME"/>
        </w:rPr>
      </w:pPr>
    </w:p>
    <w:p w14:paraId="765DAFCF" w14:textId="3539FC3C" w:rsidR="00724C0A" w:rsidRPr="00304460" w:rsidRDefault="002612E0" w:rsidP="00304460">
      <w:pPr>
        <w:tabs>
          <w:tab w:val="left" w:pos="540"/>
          <w:tab w:val="left" w:pos="569"/>
        </w:tabs>
        <w:jc w:val="both"/>
        <w:rPr>
          <w:sz w:val="22"/>
          <w:szCs w:val="22"/>
          <w:u w:val="single"/>
          <w:lang w:val="sr-Latn-ME"/>
        </w:rPr>
      </w:pPr>
      <w:r w:rsidRPr="00304460">
        <w:rPr>
          <w:i/>
          <w:sz w:val="22"/>
          <w:szCs w:val="22"/>
          <w:u w:val="single"/>
          <w:lang w:val="sr-Latn-ME"/>
        </w:rPr>
        <w:t>Odrasli i adolescenti</w:t>
      </w:r>
      <w:r w:rsidRPr="00304460">
        <w:rPr>
          <w:sz w:val="22"/>
          <w:szCs w:val="22"/>
          <w:u w:val="single"/>
          <w:lang w:val="sr-Latn-ME"/>
        </w:rPr>
        <w:t xml:space="preserve"> </w:t>
      </w:r>
    </w:p>
    <w:p w14:paraId="032E9615" w14:textId="732E2A0D" w:rsidR="00724C0A" w:rsidRPr="006E2CA6" w:rsidRDefault="002612E0" w:rsidP="00304460">
      <w:pPr>
        <w:tabs>
          <w:tab w:val="left" w:pos="540"/>
          <w:tab w:val="left" w:pos="569"/>
        </w:tabs>
        <w:jc w:val="both"/>
        <w:rPr>
          <w:sz w:val="22"/>
          <w:szCs w:val="22"/>
          <w:lang w:val="sr-Latn-ME"/>
        </w:rPr>
      </w:pPr>
      <w:r w:rsidRPr="006E2CA6">
        <w:rPr>
          <w:sz w:val="22"/>
          <w:szCs w:val="22"/>
          <w:lang w:val="sr-Latn-ME"/>
        </w:rPr>
        <w:t>Doza održavanja</w:t>
      </w:r>
      <w:r w:rsidR="0046637B" w:rsidRPr="006E2CA6">
        <w:rPr>
          <w:sz w:val="22"/>
          <w:szCs w:val="22"/>
          <w:lang w:val="sr-Latn-ME"/>
        </w:rPr>
        <w:t xml:space="preserve">: </w:t>
      </w:r>
      <w:r w:rsidRPr="006E2CA6">
        <w:rPr>
          <w:sz w:val="22"/>
          <w:szCs w:val="22"/>
          <w:lang w:val="sr-Latn-ME"/>
        </w:rPr>
        <w:t xml:space="preserve">9 miliona i.j./dan </w:t>
      </w:r>
      <w:r w:rsidR="00AB30C7" w:rsidRPr="006E2CA6">
        <w:rPr>
          <w:sz w:val="22"/>
          <w:szCs w:val="22"/>
          <w:lang w:val="sr-Latn-ME"/>
        </w:rPr>
        <w:t xml:space="preserve">podijeljeno </w:t>
      </w:r>
      <w:r w:rsidRPr="006E2CA6">
        <w:rPr>
          <w:sz w:val="22"/>
          <w:szCs w:val="22"/>
          <w:lang w:val="sr-Latn-ME"/>
        </w:rPr>
        <w:t xml:space="preserve">na 2-3 pojedinačne doze. </w:t>
      </w:r>
    </w:p>
    <w:p w14:paraId="2D405D1A" w14:textId="28D0997F" w:rsidR="00724C0A" w:rsidRPr="006E2CA6" w:rsidRDefault="002612E0" w:rsidP="00304460">
      <w:pPr>
        <w:tabs>
          <w:tab w:val="left" w:pos="540"/>
          <w:tab w:val="left" w:pos="569"/>
        </w:tabs>
        <w:jc w:val="both"/>
        <w:rPr>
          <w:sz w:val="22"/>
          <w:szCs w:val="22"/>
          <w:lang w:val="sr-Latn-ME"/>
        </w:rPr>
      </w:pPr>
      <w:r w:rsidRPr="006E2CA6">
        <w:rPr>
          <w:sz w:val="22"/>
          <w:szCs w:val="22"/>
          <w:lang w:val="sr-Latn-ME"/>
        </w:rPr>
        <w:t>Kod kritično obol</w:t>
      </w:r>
      <w:r w:rsidR="00724C0A" w:rsidRPr="006E2CA6">
        <w:rPr>
          <w:sz w:val="22"/>
          <w:szCs w:val="22"/>
          <w:lang w:val="sr-Latn-ME"/>
        </w:rPr>
        <w:t>j</w:t>
      </w:r>
      <w:r w:rsidRPr="006E2CA6">
        <w:rPr>
          <w:sz w:val="22"/>
          <w:szCs w:val="22"/>
          <w:lang w:val="sr-Latn-ME"/>
        </w:rPr>
        <w:t>elih pacijenata potrebno je prim</w:t>
      </w:r>
      <w:r w:rsidR="00724C0A" w:rsidRPr="006E2CA6">
        <w:rPr>
          <w:sz w:val="22"/>
          <w:szCs w:val="22"/>
          <w:lang w:val="sr-Latn-ME"/>
        </w:rPr>
        <w:t>ij</w:t>
      </w:r>
      <w:r w:rsidRPr="006E2CA6">
        <w:rPr>
          <w:sz w:val="22"/>
          <w:szCs w:val="22"/>
          <w:lang w:val="sr-Latn-ME"/>
        </w:rPr>
        <w:t xml:space="preserve">eniti udarnu dozu od 9 </w:t>
      </w:r>
      <w:r w:rsidR="0046637B" w:rsidRPr="006E2CA6">
        <w:rPr>
          <w:sz w:val="22"/>
          <w:szCs w:val="22"/>
          <w:lang w:val="sr-Latn-ME"/>
        </w:rPr>
        <w:t>miliona</w:t>
      </w:r>
      <w:r w:rsidR="00D27786" w:rsidRPr="006E2CA6">
        <w:rPr>
          <w:sz w:val="22"/>
          <w:szCs w:val="22"/>
          <w:lang w:val="sr-Latn-ME"/>
        </w:rPr>
        <w:t xml:space="preserve"> </w:t>
      </w:r>
      <w:r w:rsidRPr="006E2CA6">
        <w:rPr>
          <w:sz w:val="22"/>
          <w:szCs w:val="22"/>
          <w:lang w:val="sr-Latn-ME"/>
        </w:rPr>
        <w:t xml:space="preserve">i.j. </w:t>
      </w:r>
    </w:p>
    <w:p w14:paraId="19406E24" w14:textId="77777777" w:rsidR="00724C0A" w:rsidRPr="006E2CA6" w:rsidRDefault="002612E0" w:rsidP="00304460">
      <w:pPr>
        <w:tabs>
          <w:tab w:val="left" w:pos="540"/>
          <w:tab w:val="left" w:pos="569"/>
        </w:tabs>
        <w:jc w:val="both"/>
        <w:rPr>
          <w:sz w:val="22"/>
          <w:szCs w:val="22"/>
          <w:lang w:val="sr-Latn-ME"/>
        </w:rPr>
      </w:pPr>
      <w:r w:rsidRPr="006E2CA6">
        <w:rPr>
          <w:sz w:val="22"/>
          <w:szCs w:val="22"/>
          <w:lang w:val="sr-Latn-ME"/>
        </w:rPr>
        <w:t xml:space="preserve">Nije ustanovljen najprikladniji vremenski interval do prve doze održavanja. </w:t>
      </w:r>
    </w:p>
    <w:p w14:paraId="17088FA6" w14:textId="2E5C3CE8" w:rsidR="00724C0A" w:rsidRPr="006E2CA6" w:rsidRDefault="002612E0" w:rsidP="00304460">
      <w:pPr>
        <w:tabs>
          <w:tab w:val="left" w:pos="540"/>
          <w:tab w:val="left" w:pos="569"/>
        </w:tabs>
        <w:jc w:val="both"/>
        <w:rPr>
          <w:sz w:val="22"/>
          <w:szCs w:val="22"/>
          <w:lang w:val="sr-Latn-ME"/>
        </w:rPr>
      </w:pPr>
      <w:r w:rsidRPr="006E2CA6">
        <w:rPr>
          <w:sz w:val="22"/>
          <w:szCs w:val="22"/>
          <w:lang w:val="sr-Latn-ME"/>
        </w:rPr>
        <w:t>Modeliranje pokazuje da bi u nekim slučajevima pacijentima sa dobrom funkcijom bubrega mogle biti potrebne udarna doza i doza održavanja do 12 miliona i.j. Međutim, kliničko iskustvo sa prim</w:t>
      </w:r>
      <w:r w:rsidR="00724C0A" w:rsidRPr="006E2CA6">
        <w:rPr>
          <w:sz w:val="22"/>
          <w:szCs w:val="22"/>
          <w:lang w:val="sr-Latn-ME"/>
        </w:rPr>
        <w:t>j</w:t>
      </w:r>
      <w:r w:rsidRPr="006E2CA6">
        <w:rPr>
          <w:sz w:val="22"/>
          <w:szCs w:val="22"/>
          <w:lang w:val="sr-Latn-ME"/>
        </w:rPr>
        <w:t>enom takvih doza je vrlo ograničeno i bezb</w:t>
      </w:r>
      <w:r w:rsidR="00724C0A" w:rsidRPr="006E2CA6">
        <w:rPr>
          <w:sz w:val="22"/>
          <w:szCs w:val="22"/>
          <w:lang w:val="sr-Latn-ME"/>
        </w:rPr>
        <w:t>j</w:t>
      </w:r>
      <w:r w:rsidRPr="006E2CA6">
        <w:rPr>
          <w:sz w:val="22"/>
          <w:szCs w:val="22"/>
          <w:lang w:val="sr-Latn-ME"/>
        </w:rPr>
        <w:t xml:space="preserve">ednost nije ustanovljena. </w:t>
      </w:r>
    </w:p>
    <w:p w14:paraId="3E7B92B2" w14:textId="77777777" w:rsidR="00724C0A" w:rsidRPr="006E2CA6" w:rsidRDefault="002612E0" w:rsidP="00304460">
      <w:pPr>
        <w:tabs>
          <w:tab w:val="left" w:pos="540"/>
          <w:tab w:val="left" w:pos="569"/>
        </w:tabs>
        <w:jc w:val="both"/>
        <w:rPr>
          <w:sz w:val="22"/>
          <w:szCs w:val="22"/>
          <w:lang w:val="sr-Latn-ME"/>
        </w:rPr>
      </w:pPr>
      <w:r w:rsidRPr="006E2CA6">
        <w:rPr>
          <w:sz w:val="22"/>
          <w:szCs w:val="22"/>
          <w:lang w:val="sr-Latn-ME"/>
        </w:rPr>
        <w:t xml:space="preserve">Udarna doza se odnosi na pacijente sa normalnom i smanjenom funkcijom bubrega, uključujući pacijente koji primaju supstitucionu terapiju bubrežne insuficijencije. </w:t>
      </w:r>
    </w:p>
    <w:p w14:paraId="48125E2B" w14:textId="77777777" w:rsidR="00AB30C7" w:rsidRPr="006E2CA6" w:rsidRDefault="00AB30C7" w:rsidP="00304460">
      <w:pPr>
        <w:tabs>
          <w:tab w:val="left" w:pos="540"/>
          <w:tab w:val="left" w:pos="569"/>
        </w:tabs>
        <w:jc w:val="both"/>
        <w:rPr>
          <w:sz w:val="22"/>
          <w:szCs w:val="22"/>
          <w:lang w:val="sr-Latn-ME"/>
        </w:rPr>
      </w:pPr>
    </w:p>
    <w:p w14:paraId="25B783C4" w14:textId="30BFBC5D" w:rsidR="00724C0A" w:rsidRPr="00304460" w:rsidRDefault="002612E0" w:rsidP="00304460">
      <w:pPr>
        <w:tabs>
          <w:tab w:val="left" w:pos="540"/>
          <w:tab w:val="left" w:pos="569"/>
        </w:tabs>
        <w:jc w:val="both"/>
        <w:rPr>
          <w:sz w:val="22"/>
          <w:szCs w:val="22"/>
          <w:u w:val="single"/>
          <w:lang w:val="sr-Latn-ME"/>
        </w:rPr>
      </w:pPr>
      <w:r w:rsidRPr="00304460">
        <w:rPr>
          <w:i/>
          <w:sz w:val="22"/>
          <w:szCs w:val="22"/>
          <w:u w:val="single"/>
          <w:lang w:val="sr-Latn-ME"/>
        </w:rPr>
        <w:lastRenderedPageBreak/>
        <w:t>Pacijenti sa oštećenom funkcijom bubrega</w:t>
      </w:r>
      <w:r w:rsidRPr="00304460">
        <w:rPr>
          <w:sz w:val="22"/>
          <w:szCs w:val="22"/>
          <w:u w:val="single"/>
          <w:lang w:val="sr-Latn-ME"/>
        </w:rPr>
        <w:t xml:space="preserve"> </w:t>
      </w:r>
    </w:p>
    <w:p w14:paraId="0C46CC86" w14:textId="77777777" w:rsidR="00724C0A" w:rsidRPr="006E2CA6" w:rsidRDefault="002612E0" w:rsidP="00304460">
      <w:pPr>
        <w:tabs>
          <w:tab w:val="left" w:pos="540"/>
          <w:tab w:val="left" w:pos="569"/>
        </w:tabs>
        <w:jc w:val="both"/>
        <w:rPr>
          <w:sz w:val="22"/>
          <w:szCs w:val="22"/>
          <w:lang w:val="sr-Latn-ME"/>
        </w:rPr>
      </w:pPr>
      <w:r w:rsidRPr="006E2CA6">
        <w:rPr>
          <w:sz w:val="22"/>
          <w:szCs w:val="22"/>
          <w:lang w:val="sr-Latn-ME"/>
        </w:rPr>
        <w:t xml:space="preserve">Kod pacijenata sa oštećenom funkcijom bubrega, neophodno je prilagoditi dozu, ali dostupni farmakokinetički podaci za pacijente sa oštećenom funkcijom bubrega su vrlo ograničeni. </w:t>
      </w:r>
    </w:p>
    <w:p w14:paraId="1320EDC0" w14:textId="527A4611" w:rsidR="00724C0A" w:rsidRPr="006E2CA6" w:rsidRDefault="002612E0" w:rsidP="00304460">
      <w:pPr>
        <w:tabs>
          <w:tab w:val="left" w:pos="540"/>
          <w:tab w:val="left" w:pos="569"/>
        </w:tabs>
        <w:jc w:val="both"/>
        <w:rPr>
          <w:sz w:val="22"/>
          <w:szCs w:val="22"/>
          <w:lang w:val="sr-Latn-ME"/>
        </w:rPr>
      </w:pPr>
      <w:r w:rsidRPr="006E2CA6">
        <w:rPr>
          <w:sz w:val="22"/>
          <w:szCs w:val="22"/>
          <w:lang w:val="sr-Latn-ME"/>
        </w:rPr>
        <w:t>Sl</w:t>
      </w:r>
      <w:r w:rsidR="00AB30C7" w:rsidRPr="006E2CA6">
        <w:rPr>
          <w:sz w:val="22"/>
          <w:szCs w:val="22"/>
          <w:lang w:val="sr-Latn-ME"/>
        </w:rPr>
        <w:t>j</w:t>
      </w:r>
      <w:r w:rsidRPr="006E2CA6">
        <w:rPr>
          <w:sz w:val="22"/>
          <w:szCs w:val="22"/>
          <w:lang w:val="sr-Latn-ME"/>
        </w:rPr>
        <w:t>edeće prilagođene doze su preporučene kao sm</w:t>
      </w:r>
      <w:r w:rsidR="00724C0A" w:rsidRPr="006E2CA6">
        <w:rPr>
          <w:sz w:val="22"/>
          <w:szCs w:val="22"/>
          <w:lang w:val="sr-Latn-ME"/>
        </w:rPr>
        <w:t>j</w:t>
      </w:r>
      <w:r w:rsidRPr="006E2CA6">
        <w:rPr>
          <w:sz w:val="22"/>
          <w:szCs w:val="22"/>
          <w:lang w:val="sr-Latn-ME"/>
        </w:rPr>
        <w:t>ernica.</w:t>
      </w:r>
    </w:p>
    <w:p w14:paraId="37DECAE0" w14:textId="77777777" w:rsidR="00C81A0B" w:rsidRPr="006E2CA6" w:rsidRDefault="00C81A0B" w:rsidP="00304460">
      <w:pPr>
        <w:tabs>
          <w:tab w:val="left" w:pos="540"/>
          <w:tab w:val="left" w:pos="569"/>
        </w:tabs>
        <w:jc w:val="both"/>
        <w:rPr>
          <w:sz w:val="22"/>
          <w:szCs w:val="22"/>
          <w:lang w:val="sr-Latn-ME"/>
        </w:rPr>
      </w:pPr>
    </w:p>
    <w:p w14:paraId="7F907F02" w14:textId="7D33414B" w:rsidR="00C81A0B" w:rsidRPr="006E2CA6" w:rsidRDefault="002612E0" w:rsidP="00304460">
      <w:pPr>
        <w:tabs>
          <w:tab w:val="left" w:pos="540"/>
          <w:tab w:val="left" w:pos="569"/>
        </w:tabs>
        <w:jc w:val="both"/>
        <w:rPr>
          <w:sz w:val="22"/>
          <w:szCs w:val="22"/>
          <w:lang w:val="sr-Latn-ME"/>
        </w:rPr>
      </w:pPr>
      <w:r w:rsidRPr="006E2CA6">
        <w:rPr>
          <w:sz w:val="22"/>
          <w:szCs w:val="22"/>
          <w:lang w:val="sr-Latn-ME"/>
        </w:rPr>
        <w:t>Preporučuje se smanjenje doze kod pacijenata sa klirensom kreatinina &lt;50m</w:t>
      </w:r>
      <w:r w:rsidR="00D8367C" w:rsidRPr="006E2CA6">
        <w:rPr>
          <w:sz w:val="22"/>
          <w:szCs w:val="22"/>
          <w:lang w:val="sr-Latn-ME"/>
        </w:rPr>
        <w:t>l</w:t>
      </w:r>
      <w:r w:rsidRPr="006E2CA6">
        <w:rPr>
          <w:sz w:val="22"/>
          <w:szCs w:val="22"/>
          <w:lang w:val="sr-Latn-ME"/>
        </w:rPr>
        <w:t xml:space="preserve">/min: </w:t>
      </w:r>
    </w:p>
    <w:p w14:paraId="714D93A6" w14:textId="3C220FC7" w:rsidR="00452E9D" w:rsidRPr="006E2CA6" w:rsidRDefault="002612E0" w:rsidP="00304460">
      <w:pPr>
        <w:tabs>
          <w:tab w:val="left" w:pos="540"/>
          <w:tab w:val="left" w:pos="569"/>
        </w:tabs>
        <w:jc w:val="both"/>
        <w:rPr>
          <w:sz w:val="22"/>
          <w:szCs w:val="22"/>
          <w:lang w:val="sr-Latn-ME"/>
        </w:rPr>
      </w:pPr>
      <w:r w:rsidRPr="006E2CA6">
        <w:rPr>
          <w:sz w:val="22"/>
          <w:szCs w:val="22"/>
          <w:lang w:val="sr-Latn-ME"/>
        </w:rPr>
        <w:t>Preporučuje se doziranje dva puta dnevno.</w:t>
      </w:r>
    </w:p>
    <w:p w14:paraId="01C40C08" w14:textId="77777777" w:rsidR="00C81A0B" w:rsidRPr="006E2CA6" w:rsidRDefault="00C81A0B" w:rsidP="00304460">
      <w:pPr>
        <w:tabs>
          <w:tab w:val="left" w:pos="540"/>
          <w:tab w:val="left" w:pos="569"/>
        </w:tabs>
        <w:jc w:val="both"/>
        <w:rPr>
          <w:sz w:val="22"/>
          <w:szCs w:val="22"/>
          <w:lang w:val="sr-Latn-ME"/>
        </w:rPr>
      </w:pPr>
    </w:p>
    <w:tbl>
      <w:tblPr>
        <w:tblStyle w:val="TableGrid"/>
        <w:tblW w:w="0" w:type="auto"/>
        <w:tblLook w:val="04A0" w:firstRow="1" w:lastRow="0" w:firstColumn="1" w:lastColumn="0" w:noHBand="0" w:noVBand="1"/>
      </w:tblPr>
      <w:tblGrid>
        <w:gridCol w:w="4531"/>
        <w:gridCol w:w="4532"/>
      </w:tblGrid>
      <w:tr w:rsidR="002612E0" w:rsidRPr="006E2CA6" w14:paraId="16F46BF4" w14:textId="77777777" w:rsidTr="002612E0">
        <w:tc>
          <w:tcPr>
            <w:tcW w:w="4531" w:type="dxa"/>
          </w:tcPr>
          <w:p w14:paraId="7B310A68" w14:textId="227F8BAE" w:rsidR="002612E0" w:rsidRPr="006E2CA6" w:rsidRDefault="002612E0" w:rsidP="00304460">
            <w:pPr>
              <w:tabs>
                <w:tab w:val="left" w:pos="540"/>
                <w:tab w:val="left" w:pos="569"/>
              </w:tabs>
              <w:jc w:val="both"/>
              <w:rPr>
                <w:b/>
                <w:sz w:val="22"/>
                <w:szCs w:val="22"/>
                <w:lang w:val="sr-Latn-ME"/>
              </w:rPr>
            </w:pPr>
            <w:r w:rsidRPr="006E2CA6">
              <w:rPr>
                <w:b/>
                <w:sz w:val="22"/>
                <w:szCs w:val="22"/>
                <w:lang w:val="sr-Latn-ME"/>
              </w:rPr>
              <w:t>Klirens kreatinina (m</w:t>
            </w:r>
            <w:r w:rsidR="00C81A0B" w:rsidRPr="006E2CA6">
              <w:rPr>
                <w:b/>
                <w:sz w:val="22"/>
                <w:szCs w:val="22"/>
                <w:lang w:val="sr-Latn-ME"/>
              </w:rPr>
              <w:t>l</w:t>
            </w:r>
            <w:r w:rsidRPr="006E2CA6">
              <w:rPr>
                <w:b/>
                <w:sz w:val="22"/>
                <w:szCs w:val="22"/>
                <w:lang w:val="sr-Latn-ME"/>
              </w:rPr>
              <w:t>/min</w:t>
            </w:r>
            <w:r w:rsidR="00C81A0B" w:rsidRPr="006E2CA6">
              <w:rPr>
                <w:b/>
                <w:sz w:val="22"/>
                <w:szCs w:val="22"/>
                <w:lang w:val="sr-Latn-ME"/>
              </w:rPr>
              <w:t>)</w:t>
            </w:r>
          </w:p>
        </w:tc>
        <w:tc>
          <w:tcPr>
            <w:tcW w:w="4532" w:type="dxa"/>
          </w:tcPr>
          <w:p w14:paraId="23693A75" w14:textId="77777777" w:rsidR="002612E0" w:rsidRPr="006E2CA6" w:rsidRDefault="002612E0" w:rsidP="00304460">
            <w:pPr>
              <w:tabs>
                <w:tab w:val="left" w:pos="540"/>
                <w:tab w:val="left" w:pos="569"/>
              </w:tabs>
              <w:jc w:val="both"/>
              <w:rPr>
                <w:b/>
                <w:sz w:val="22"/>
                <w:szCs w:val="22"/>
                <w:lang w:val="sr-Latn-ME"/>
              </w:rPr>
            </w:pPr>
            <w:r w:rsidRPr="006E2CA6">
              <w:rPr>
                <w:b/>
                <w:sz w:val="22"/>
                <w:szCs w:val="22"/>
                <w:lang w:val="sr-Latn-ME"/>
              </w:rPr>
              <w:t>Dnevna doza</w:t>
            </w:r>
          </w:p>
        </w:tc>
      </w:tr>
      <w:tr w:rsidR="002612E0" w:rsidRPr="006E2CA6" w14:paraId="56FD2A9C" w14:textId="77777777" w:rsidTr="002612E0">
        <w:tc>
          <w:tcPr>
            <w:tcW w:w="4531" w:type="dxa"/>
          </w:tcPr>
          <w:p w14:paraId="39DE3420" w14:textId="77777777" w:rsidR="002612E0" w:rsidRPr="006E2CA6" w:rsidRDefault="002612E0" w:rsidP="00304460">
            <w:pPr>
              <w:tabs>
                <w:tab w:val="left" w:pos="540"/>
                <w:tab w:val="left" w:pos="569"/>
              </w:tabs>
              <w:jc w:val="both"/>
              <w:rPr>
                <w:sz w:val="22"/>
                <w:szCs w:val="22"/>
                <w:lang w:val="sr-Latn-ME"/>
              </w:rPr>
            </w:pPr>
            <w:r w:rsidRPr="006E2CA6">
              <w:rPr>
                <w:sz w:val="22"/>
                <w:szCs w:val="22"/>
                <w:lang w:val="sr-Latn-ME"/>
              </w:rPr>
              <w:t>&lt;50-30</w:t>
            </w:r>
          </w:p>
        </w:tc>
        <w:tc>
          <w:tcPr>
            <w:tcW w:w="4532" w:type="dxa"/>
          </w:tcPr>
          <w:p w14:paraId="1C828A37" w14:textId="77777777" w:rsidR="002612E0" w:rsidRPr="006E2CA6" w:rsidRDefault="002612E0" w:rsidP="00304460">
            <w:pPr>
              <w:tabs>
                <w:tab w:val="left" w:pos="540"/>
                <w:tab w:val="left" w:pos="569"/>
              </w:tabs>
              <w:jc w:val="both"/>
              <w:rPr>
                <w:sz w:val="22"/>
                <w:szCs w:val="22"/>
                <w:lang w:val="sr-Latn-ME"/>
              </w:rPr>
            </w:pPr>
            <w:r w:rsidRPr="006E2CA6">
              <w:rPr>
                <w:sz w:val="22"/>
                <w:szCs w:val="22"/>
                <w:lang w:val="sr-Latn-ME"/>
              </w:rPr>
              <w:t>5,5-7,5 M i.j.</w:t>
            </w:r>
          </w:p>
        </w:tc>
      </w:tr>
      <w:tr w:rsidR="002612E0" w:rsidRPr="006E2CA6" w14:paraId="40DDD38A" w14:textId="77777777" w:rsidTr="002612E0">
        <w:tc>
          <w:tcPr>
            <w:tcW w:w="4531" w:type="dxa"/>
          </w:tcPr>
          <w:p w14:paraId="49587937" w14:textId="77777777" w:rsidR="002612E0" w:rsidRPr="006E2CA6" w:rsidRDefault="002612E0" w:rsidP="00304460">
            <w:pPr>
              <w:tabs>
                <w:tab w:val="left" w:pos="540"/>
                <w:tab w:val="left" w:pos="569"/>
              </w:tabs>
              <w:jc w:val="both"/>
              <w:rPr>
                <w:sz w:val="22"/>
                <w:szCs w:val="22"/>
                <w:lang w:val="sr-Latn-ME"/>
              </w:rPr>
            </w:pPr>
            <w:r w:rsidRPr="006E2CA6">
              <w:rPr>
                <w:sz w:val="22"/>
                <w:szCs w:val="22"/>
                <w:lang w:val="sr-Latn-ME"/>
              </w:rPr>
              <w:t>&lt;30-10</w:t>
            </w:r>
          </w:p>
        </w:tc>
        <w:tc>
          <w:tcPr>
            <w:tcW w:w="4532" w:type="dxa"/>
          </w:tcPr>
          <w:p w14:paraId="622F04F3" w14:textId="77777777" w:rsidR="002612E0" w:rsidRPr="006E2CA6" w:rsidRDefault="002612E0" w:rsidP="00304460">
            <w:pPr>
              <w:tabs>
                <w:tab w:val="left" w:pos="540"/>
                <w:tab w:val="left" w:pos="569"/>
              </w:tabs>
              <w:jc w:val="both"/>
              <w:rPr>
                <w:sz w:val="22"/>
                <w:szCs w:val="22"/>
                <w:lang w:val="sr-Latn-ME"/>
              </w:rPr>
            </w:pPr>
            <w:r w:rsidRPr="006E2CA6">
              <w:rPr>
                <w:sz w:val="22"/>
                <w:szCs w:val="22"/>
                <w:lang w:val="sr-Latn-ME"/>
              </w:rPr>
              <w:t>4,5-5,5 M i.j.</w:t>
            </w:r>
          </w:p>
        </w:tc>
      </w:tr>
      <w:tr w:rsidR="002612E0" w:rsidRPr="006E2CA6" w14:paraId="322DEE66" w14:textId="77777777" w:rsidTr="002612E0">
        <w:tc>
          <w:tcPr>
            <w:tcW w:w="4531" w:type="dxa"/>
          </w:tcPr>
          <w:p w14:paraId="1909393D" w14:textId="77777777" w:rsidR="002612E0" w:rsidRPr="006E2CA6" w:rsidRDefault="002612E0" w:rsidP="00304460">
            <w:pPr>
              <w:tabs>
                <w:tab w:val="left" w:pos="540"/>
                <w:tab w:val="left" w:pos="569"/>
              </w:tabs>
              <w:jc w:val="both"/>
              <w:rPr>
                <w:sz w:val="22"/>
                <w:szCs w:val="22"/>
                <w:lang w:val="sr-Latn-ME"/>
              </w:rPr>
            </w:pPr>
            <w:r w:rsidRPr="006E2CA6">
              <w:rPr>
                <w:sz w:val="22"/>
                <w:szCs w:val="22"/>
                <w:lang w:val="sr-Latn-ME"/>
              </w:rPr>
              <w:t>&lt;10</w:t>
            </w:r>
          </w:p>
        </w:tc>
        <w:tc>
          <w:tcPr>
            <w:tcW w:w="4532" w:type="dxa"/>
          </w:tcPr>
          <w:p w14:paraId="11E5A66A" w14:textId="77777777" w:rsidR="002612E0" w:rsidRPr="006E2CA6" w:rsidRDefault="002612E0" w:rsidP="00304460">
            <w:pPr>
              <w:tabs>
                <w:tab w:val="left" w:pos="540"/>
                <w:tab w:val="left" w:pos="569"/>
              </w:tabs>
              <w:jc w:val="both"/>
              <w:rPr>
                <w:sz w:val="22"/>
                <w:szCs w:val="22"/>
                <w:lang w:val="sr-Latn-ME"/>
              </w:rPr>
            </w:pPr>
            <w:r w:rsidRPr="006E2CA6">
              <w:rPr>
                <w:sz w:val="22"/>
                <w:szCs w:val="22"/>
                <w:lang w:val="sr-Latn-ME"/>
              </w:rPr>
              <w:t>3,5 M i.j.</w:t>
            </w:r>
          </w:p>
        </w:tc>
      </w:tr>
    </w:tbl>
    <w:p w14:paraId="026D188A" w14:textId="331F463C" w:rsidR="002612E0" w:rsidRPr="006E2CA6" w:rsidRDefault="002612E0" w:rsidP="00304460">
      <w:pPr>
        <w:tabs>
          <w:tab w:val="left" w:pos="540"/>
          <w:tab w:val="left" w:pos="569"/>
        </w:tabs>
        <w:jc w:val="both"/>
        <w:rPr>
          <w:lang w:val="sr-Latn-ME"/>
        </w:rPr>
      </w:pPr>
      <w:r w:rsidRPr="006E2CA6">
        <w:rPr>
          <w:lang w:val="sr-Latn-ME"/>
        </w:rPr>
        <w:t>M i.j.=</w:t>
      </w:r>
      <w:r w:rsidR="002772E8" w:rsidRPr="006E2CA6">
        <w:rPr>
          <w:lang w:val="sr-Latn-ME"/>
        </w:rPr>
        <w:t xml:space="preserve"> </w:t>
      </w:r>
      <w:r w:rsidRPr="006E2CA6">
        <w:rPr>
          <w:lang w:val="sr-Latn-ME"/>
        </w:rPr>
        <w:t>milion i.j.</w:t>
      </w:r>
    </w:p>
    <w:p w14:paraId="2E531BB5" w14:textId="77777777" w:rsidR="002612E0" w:rsidRPr="006E2CA6" w:rsidRDefault="002612E0" w:rsidP="00304460">
      <w:pPr>
        <w:tabs>
          <w:tab w:val="left" w:pos="540"/>
          <w:tab w:val="left" w:pos="569"/>
        </w:tabs>
        <w:jc w:val="both"/>
        <w:rPr>
          <w:bCs/>
          <w:sz w:val="22"/>
          <w:szCs w:val="22"/>
          <w:u w:val="single"/>
          <w:lang w:val="sr-Latn-ME"/>
        </w:rPr>
      </w:pPr>
    </w:p>
    <w:p w14:paraId="455AC3BA" w14:textId="77777777" w:rsidR="00724C0A" w:rsidRPr="00304460" w:rsidRDefault="002612E0" w:rsidP="00304460">
      <w:pPr>
        <w:tabs>
          <w:tab w:val="left" w:pos="540"/>
          <w:tab w:val="left" w:pos="569"/>
        </w:tabs>
        <w:jc w:val="both"/>
        <w:rPr>
          <w:i/>
          <w:sz w:val="22"/>
          <w:szCs w:val="22"/>
          <w:u w:val="single"/>
          <w:lang w:val="sr-Latn-ME"/>
        </w:rPr>
      </w:pPr>
      <w:r w:rsidRPr="00304460">
        <w:rPr>
          <w:i/>
          <w:sz w:val="22"/>
          <w:szCs w:val="22"/>
          <w:u w:val="single"/>
          <w:lang w:val="sr-Latn-ME"/>
        </w:rPr>
        <w:t>Hemodijaliza i kontinuirana hemo(dija)filtracija</w:t>
      </w:r>
    </w:p>
    <w:p w14:paraId="4613804D" w14:textId="34F293AF" w:rsidR="00724C0A" w:rsidRPr="006E2CA6" w:rsidRDefault="002612E0" w:rsidP="00304460">
      <w:pPr>
        <w:tabs>
          <w:tab w:val="left" w:pos="540"/>
          <w:tab w:val="left" w:pos="569"/>
        </w:tabs>
        <w:jc w:val="both"/>
        <w:rPr>
          <w:sz w:val="22"/>
          <w:szCs w:val="22"/>
          <w:lang w:val="sr-Latn-ME"/>
        </w:rPr>
      </w:pPr>
      <w:r w:rsidRPr="006E2CA6">
        <w:rPr>
          <w:sz w:val="22"/>
          <w:szCs w:val="22"/>
          <w:lang w:val="sr-Latn-ME"/>
        </w:rPr>
        <w:t xml:space="preserve">Izgleda da se kolistin može dijalizirati standardnom hemodijalizom i kontinuiranom veno-venskom hemo(dija)filtracijom (engl. </w:t>
      </w:r>
      <w:r w:rsidRPr="00304460">
        <w:rPr>
          <w:i/>
          <w:sz w:val="22"/>
          <w:szCs w:val="22"/>
          <w:lang w:val="sr-Latn-ME"/>
        </w:rPr>
        <w:t>continuous venovenous haemo(dia)filtration</w:t>
      </w:r>
      <w:r w:rsidRPr="006E2CA6">
        <w:rPr>
          <w:sz w:val="22"/>
          <w:szCs w:val="22"/>
          <w:lang w:val="sr-Latn-ME"/>
        </w:rPr>
        <w:t>, CVVHF, CVVHDF). Dostupni podaci iz populacionih farmakokinetičkih ispitivanja su vrlo ograničeni</w:t>
      </w:r>
      <w:r w:rsidR="00744074" w:rsidRPr="006E2CA6">
        <w:rPr>
          <w:sz w:val="22"/>
          <w:szCs w:val="22"/>
          <w:lang w:val="sr-Latn-ME"/>
        </w:rPr>
        <w:t>,</w:t>
      </w:r>
      <w:r w:rsidRPr="006E2CA6">
        <w:rPr>
          <w:sz w:val="22"/>
          <w:szCs w:val="22"/>
          <w:lang w:val="sr-Latn-ME"/>
        </w:rPr>
        <w:t xml:space="preserve"> prikupljeni od malog broja pacijenata na terapiji metodama zam</w:t>
      </w:r>
      <w:r w:rsidR="00724C0A" w:rsidRPr="006E2CA6">
        <w:rPr>
          <w:sz w:val="22"/>
          <w:szCs w:val="22"/>
          <w:lang w:val="sr-Latn-ME"/>
        </w:rPr>
        <w:t>j</w:t>
      </w:r>
      <w:r w:rsidRPr="006E2CA6">
        <w:rPr>
          <w:sz w:val="22"/>
          <w:szCs w:val="22"/>
          <w:lang w:val="sr-Latn-ME"/>
        </w:rPr>
        <w:t>ene funkcije bubrega. Ne mogu se dati definitivne preporuke za doziranje. Mogu se razmotriti sl</w:t>
      </w:r>
      <w:r w:rsidR="00744074" w:rsidRPr="006E2CA6">
        <w:rPr>
          <w:sz w:val="22"/>
          <w:szCs w:val="22"/>
          <w:lang w:val="sr-Latn-ME"/>
        </w:rPr>
        <w:t>j</w:t>
      </w:r>
      <w:r w:rsidRPr="006E2CA6">
        <w:rPr>
          <w:sz w:val="22"/>
          <w:szCs w:val="22"/>
          <w:lang w:val="sr-Latn-ME"/>
        </w:rPr>
        <w:t xml:space="preserve">edeći režimi. </w:t>
      </w:r>
    </w:p>
    <w:p w14:paraId="752DD99E" w14:textId="77777777" w:rsidR="00724C0A" w:rsidRPr="006E2CA6" w:rsidRDefault="00724C0A" w:rsidP="00304460">
      <w:pPr>
        <w:tabs>
          <w:tab w:val="left" w:pos="540"/>
          <w:tab w:val="left" w:pos="569"/>
        </w:tabs>
        <w:jc w:val="both"/>
        <w:rPr>
          <w:i/>
          <w:sz w:val="22"/>
          <w:szCs w:val="22"/>
          <w:lang w:val="sr-Latn-ME"/>
        </w:rPr>
      </w:pPr>
    </w:p>
    <w:p w14:paraId="7B0285D2" w14:textId="77777777" w:rsidR="00724C0A" w:rsidRPr="00304460" w:rsidRDefault="002612E0" w:rsidP="00304460">
      <w:pPr>
        <w:tabs>
          <w:tab w:val="left" w:pos="540"/>
          <w:tab w:val="left" w:pos="569"/>
        </w:tabs>
        <w:jc w:val="both"/>
        <w:rPr>
          <w:i/>
          <w:sz w:val="22"/>
          <w:szCs w:val="22"/>
          <w:lang w:val="sr-Latn-ME"/>
        </w:rPr>
      </w:pPr>
      <w:r w:rsidRPr="00304460">
        <w:rPr>
          <w:i/>
          <w:sz w:val="22"/>
          <w:szCs w:val="22"/>
          <w:lang w:val="sr-Latn-ME"/>
        </w:rPr>
        <w:t xml:space="preserve">Hemodijaliza </w:t>
      </w:r>
    </w:p>
    <w:p w14:paraId="0BDBF188" w14:textId="36185A94" w:rsidR="00744074" w:rsidRPr="006E2CA6" w:rsidRDefault="002612E0" w:rsidP="00304460">
      <w:pPr>
        <w:tabs>
          <w:tab w:val="left" w:pos="540"/>
          <w:tab w:val="left" w:pos="569"/>
        </w:tabs>
        <w:jc w:val="both"/>
        <w:rPr>
          <w:sz w:val="22"/>
          <w:szCs w:val="22"/>
          <w:lang w:val="sr-Latn-ME"/>
        </w:rPr>
      </w:pPr>
      <w:r w:rsidRPr="006E2CA6">
        <w:rPr>
          <w:sz w:val="22"/>
          <w:szCs w:val="22"/>
          <w:lang w:val="sr-Latn-ME"/>
        </w:rPr>
        <w:t xml:space="preserve">Dani bez hemodijalize: 2,25 </w:t>
      </w:r>
      <w:r w:rsidR="00F33AED" w:rsidRPr="006E2CA6">
        <w:rPr>
          <w:sz w:val="22"/>
          <w:szCs w:val="22"/>
          <w:lang w:val="sr-Latn-ME"/>
        </w:rPr>
        <w:t>miliona</w:t>
      </w:r>
      <w:r w:rsidR="00744074" w:rsidRPr="006E2CA6">
        <w:rPr>
          <w:sz w:val="22"/>
          <w:szCs w:val="22"/>
          <w:lang w:val="sr-Latn-ME"/>
        </w:rPr>
        <w:t xml:space="preserve"> </w:t>
      </w:r>
      <w:r w:rsidRPr="006E2CA6">
        <w:rPr>
          <w:sz w:val="22"/>
          <w:szCs w:val="22"/>
          <w:lang w:val="sr-Latn-ME"/>
        </w:rPr>
        <w:t xml:space="preserve">i.j./dan (2,2-2,3 </w:t>
      </w:r>
      <w:r w:rsidR="00F33AED" w:rsidRPr="006E2CA6">
        <w:rPr>
          <w:sz w:val="22"/>
          <w:szCs w:val="22"/>
          <w:lang w:val="sr-Latn-ME"/>
        </w:rPr>
        <w:t>miliona</w:t>
      </w:r>
      <w:r w:rsidR="00744074" w:rsidRPr="006E2CA6">
        <w:rPr>
          <w:sz w:val="22"/>
          <w:szCs w:val="22"/>
          <w:lang w:val="sr-Latn-ME"/>
        </w:rPr>
        <w:t xml:space="preserve"> </w:t>
      </w:r>
      <w:r w:rsidRPr="006E2CA6">
        <w:rPr>
          <w:sz w:val="22"/>
          <w:szCs w:val="22"/>
          <w:lang w:val="sr-Latn-ME"/>
        </w:rPr>
        <w:t xml:space="preserve">i.j./dan). </w:t>
      </w:r>
    </w:p>
    <w:p w14:paraId="549FC1EB" w14:textId="6965D90B" w:rsidR="00744074" w:rsidRPr="006E2CA6" w:rsidRDefault="00744074" w:rsidP="00304460">
      <w:pPr>
        <w:tabs>
          <w:tab w:val="left" w:pos="540"/>
          <w:tab w:val="left" w:pos="569"/>
        </w:tabs>
        <w:jc w:val="both"/>
        <w:rPr>
          <w:sz w:val="22"/>
          <w:szCs w:val="22"/>
          <w:lang w:val="sr-Latn-ME"/>
        </w:rPr>
      </w:pPr>
      <w:r w:rsidRPr="006E2CA6">
        <w:rPr>
          <w:sz w:val="22"/>
          <w:szCs w:val="22"/>
          <w:lang w:val="sr-Latn-ME"/>
        </w:rPr>
        <w:t xml:space="preserve">Dani hemodijalize: 3 </w:t>
      </w:r>
      <w:r w:rsidR="00F33AED" w:rsidRPr="006E2CA6">
        <w:rPr>
          <w:sz w:val="22"/>
          <w:szCs w:val="22"/>
          <w:lang w:val="sr-Latn-ME"/>
        </w:rPr>
        <w:t>miliona</w:t>
      </w:r>
      <w:r w:rsidRPr="006E2CA6">
        <w:rPr>
          <w:sz w:val="22"/>
          <w:szCs w:val="22"/>
          <w:lang w:val="sr-Latn-ME"/>
        </w:rPr>
        <w:t xml:space="preserve"> i.j./dan onim danima kada se </w:t>
      </w:r>
      <w:r w:rsidR="00D8367C" w:rsidRPr="006E2CA6">
        <w:rPr>
          <w:sz w:val="22"/>
          <w:szCs w:val="22"/>
          <w:lang w:val="sr-Latn-ME"/>
        </w:rPr>
        <w:t>s</w:t>
      </w:r>
      <w:r w:rsidRPr="006E2CA6">
        <w:rPr>
          <w:sz w:val="22"/>
          <w:szCs w:val="22"/>
          <w:lang w:val="sr-Latn-ME"/>
        </w:rPr>
        <w:t xml:space="preserve">provodi hemodijaliza, </w:t>
      </w:r>
      <w:r w:rsidR="00D8367C" w:rsidRPr="006E2CA6">
        <w:rPr>
          <w:sz w:val="22"/>
          <w:szCs w:val="22"/>
          <w:lang w:val="sr-Latn-ME"/>
        </w:rPr>
        <w:t>primijeniti</w:t>
      </w:r>
      <w:r w:rsidRPr="006E2CA6">
        <w:rPr>
          <w:sz w:val="22"/>
          <w:szCs w:val="22"/>
          <w:lang w:val="sr-Latn-ME"/>
        </w:rPr>
        <w:t xml:space="preserve"> nakon </w:t>
      </w:r>
      <w:r w:rsidR="00D8367C" w:rsidRPr="006E2CA6">
        <w:rPr>
          <w:sz w:val="22"/>
          <w:szCs w:val="22"/>
          <w:lang w:val="sr-Latn-ME"/>
        </w:rPr>
        <w:t xml:space="preserve">sesije </w:t>
      </w:r>
      <w:r w:rsidRPr="006E2CA6">
        <w:rPr>
          <w:sz w:val="22"/>
          <w:szCs w:val="22"/>
          <w:lang w:val="sr-Latn-ME"/>
        </w:rPr>
        <w:t xml:space="preserve">hemodijalize. </w:t>
      </w:r>
    </w:p>
    <w:p w14:paraId="3DF852E7" w14:textId="77777777" w:rsidR="00724C0A" w:rsidRPr="006E2CA6" w:rsidRDefault="00724C0A" w:rsidP="00304460">
      <w:pPr>
        <w:tabs>
          <w:tab w:val="left" w:pos="540"/>
          <w:tab w:val="left" w:pos="569"/>
        </w:tabs>
        <w:jc w:val="both"/>
        <w:rPr>
          <w:sz w:val="22"/>
          <w:szCs w:val="22"/>
          <w:lang w:val="sr-Latn-ME"/>
        </w:rPr>
      </w:pPr>
      <w:r w:rsidRPr="006E2CA6">
        <w:rPr>
          <w:sz w:val="22"/>
          <w:szCs w:val="22"/>
          <w:lang w:val="sr-Latn-ME"/>
        </w:rPr>
        <w:t>Preporučuje se doziranje dva puta dnevno.</w:t>
      </w:r>
    </w:p>
    <w:p w14:paraId="32101B97" w14:textId="77777777" w:rsidR="00BE0C2A" w:rsidRPr="006E2CA6" w:rsidRDefault="00BE0C2A" w:rsidP="00304460">
      <w:pPr>
        <w:tabs>
          <w:tab w:val="left" w:pos="540"/>
          <w:tab w:val="left" w:pos="569"/>
        </w:tabs>
        <w:jc w:val="both"/>
        <w:rPr>
          <w:sz w:val="22"/>
          <w:szCs w:val="22"/>
          <w:lang w:val="sr-Latn-ME"/>
        </w:rPr>
      </w:pPr>
    </w:p>
    <w:p w14:paraId="2EFF3192" w14:textId="77777777" w:rsidR="00BE0C2A" w:rsidRPr="00304460" w:rsidRDefault="002612E0" w:rsidP="00304460">
      <w:pPr>
        <w:tabs>
          <w:tab w:val="left" w:pos="540"/>
          <w:tab w:val="left" w:pos="569"/>
        </w:tabs>
        <w:jc w:val="both"/>
        <w:rPr>
          <w:i/>
          <w:sz w:val="22"/>
          <w:szCs w:val="22"/>
          <w:lang w:val="sr-Latn-ME"/>
        </w:rPr>
      </w:pPr>
      <w:r w:rsidRPr="00304460">
        <w:rPr>
          <w:i/>
          <w:sz w:val="22"/>
          <w:szCs w:val="22"/>
          <w:lang w:val="sr-Latn-ME"/>
        </w:rPr>
        <w:t xml:space="preserve">CVVHF/CVVHDF </w:t>
      </w:r>
    </w:p>
    <w:p w14:paraId="0F1D6CFB" w14:textId="77777777" w:rsidR="00BE0C2A" w:rsidRPr="006E2CA6" w:rsidRDefault="002612E0" w:rsidP="00304460">
      <w:pPr>
        <w:tabs>
          <w:tab w:val="left" w:pos="540"/>
          <w:tab w:val="left" w:pos="569"/>
        </w:tabs>
        <w:jc w:val="both"/>
        <w:rPr>
          <w:sz w:val="22"/>
          <w:szCs w:val="22"/>
          <w:lang w:val="sr-Latn-ME"/>
        </w:rPr>
      </w:pPr>
      <w:r w:rsidRPr="006E2CA6">
        <w:rPr>
          <w:sz w:val="22"/>
          <w:szCs w:val="22"/>
          <w:lang w:val="sr-Latn-ME"/>
        </w:rPr>
        <w:t xml:space="preserve">Kao kod pacijenata sa normalnom funkcijom bubrega. </w:t>
      </w:r>
    </w:p>
    <w:p w14:paraId="76EAA2D6" w14:textId="77777777" w:rsidR="00BE0C2A" w:rsidRPr="006E2CA6" w:rsidRDefault="002612E0" w:rsidP="00304460">
      <w:pPr>
        <w:tabs>
          <w:tab w:val="left" w:pos="540"/>
          <w:tab w:val="left" w:pos="569"/>
        </w:tabs>
        <w:jc w:val="both"/>
        <w:rPr>
          <w:sz w:val="22"/>
          <w:szCs w:val="22"/>
          <w:lang w:val="sr-Latn-ME"/>
        </w:rPr>
      </w:pPr>
      <w:r w:rsidRPr="006E2CA6">
        <w:rPr>
          <w:sz w:val="22"/>
          <w:szCs w:val="22"/>
          <w:lang w:val="sr-Latn-ME"/>
        </w:rPr>
        <w:t xml:space="preserve">Preporučuje se doziranje tri puta dnevno. </w:t>
      </w:r>
    </w:p>
    <w:p w14:paraId="2275DACA" w14:textId="77777777" w:rsidR="00BE0C2A" w:rsidRPr="006E2CA6" w:rsidRDefault="00BE0C2A" w:rsidP="00304460">
      <w:pPr>
        <w:tabs>
          <w:tab w:val="left" w:pos="540"/>
          <w:tab w:val="left" w:pos="569"/>
        </w:tabs>
        <w:jc w:val="both"/>
        <w:rPr>
          <w:sz w:val="22"/>
          <w:szCs w:val="22"/>
          <w:lang w:val="sr-Latn-ME"/>
        </w:rPr>
      </w:pPr>
    </w:p>
    <w:p w14:paraId="1E57325B" w14:textId="77777777" w:rsidR="00BE0C2A" w:rsidRPr="00304460" w:rsidRDefault="002612E0" w:rsidP="00304460">
      <w:pPr>
        <w:tabs>
          <w:tab w:val="left" w:pos="540"/>
          <w:tab w:val="left" w:pos="569"/>
        </w:tabs>
        <w:jc w:val="both"/>
        <w:rPr>
          <w:i/>
          <w:sz w:val="22"/>
          <w:szCs w:val="22"/>
          <w:u w:val="single"/>
          <w:lang w:val="sr-Latn-ME"/>
        </w:rPr>
      </w:pPr>
      <w:r w:rsidRPr="00304460">
        <w:rPr>
          <w:i/>
          <w:sz w:val="22"/>
          <w:szCs w:val="22"/>
          <w:u w:val="single"/>
          <w:lang w:val="sr-Latn-ME"/>
        </w:rPr>
        <w:t xml:space="preserve">Pacijenti sa oštećenom funkcijom jetre </w:t>
      </w:r>
    </w:p>
    <w:p w14:paraId="12337EAA" w14:textId="4C3B337F" w:rsidR="006803D3" w:rsidRPr="006E2CA6" w:rsidRDefault="002612E0" w:rsidP="00304460">
      <w:pPr>
        <w:tabs>
          <w:tab w:val="left" w:pos="540"/>
          <w:tab w:val="left" w:pos="569"/>
        </w:tabs>
        <w:jc w:val="both"/>
        <w:rPr>
          <w:sz w:val="22"/>
          <w:szCs w:val="22"/>
          <w:lang w:val="sr-Latn-ME"/>
        </w:rPr>
      </w:pPr>
      <w:r w:rsidRPr="006E2CA6">
        <w:rPr>
          <w:sz w:val="22"/>
          <w:szCs w:val="22"/>
          <w:lang w:val="sr-Latn-ME"/>
        </w:rPr>
        <w:t>Nema podataka o prim</w:t>
      </w:r>
      <w:r w:rsidR="00BE0C2A" w:rsidRPr="006E2CA6">
        <w:rPr>
          <w:sz w:val="22"/>
          <w:szCs w:val="22"/>
          <w:lang w:val="sr-Latn-ME"/>
        </w:rPr>
        <w:t>j</w:t>
      </w:r>
      <w:r w:rsidRPr="006E2CA6">
        <w:rPr>
          <w:sz w:val="22"/>
          <w:szCs w:val="22"/>
          <w:lang w:val="sr-Latn-ME"/>
        </w:rPr>
        <w:t>eni kod pacijenata sa oštećenom funkcijom jetre. Sav</w:t>
      </w:r>
      <w:r w:rsidR="00D8367C" w:rsidRPr="006E2CA6">
        <w:rPr>
          <w:sz w:val="22"/>
          <w:szCs w:val="22"/>
          <w:lang w:val="sr-Latn-ME"/>
        </w:rPr>
        <w:t>j</w:t>
      </w:r>
      <w:r w:rsidRPr="006E2CA6">
        <w:rPr>
          <w:sz w:val="22"/>
          <w:szCs w:val="22"/>
          <w:lang w:val="sr-Latn-ME"/>
        </w:rPr>
        <w:t xml:space="preserve">etuje se oprez kada se </w:t>
      </w:r>
      <w:r w:rsidR="00744074" w:rsidRPr="006E2CA6">
        <w:rPr>
          <w:sz w:val="22"/>
          <w:szCs w:val="22"/>
          <w:lang w:val="sr-Latn-ME"/>
        </w:rPr>
        <w:t>kolisti</w:t>
      </w:r>
      <w:r w:rsidR="002E22AF" w:rsidRPr="006E2CA6">
        <w:rPr>
          <w:sz w:val="22"/>
          <w:szCs w:val="22"/>
          <w:lang w:val="sr-Latn-ME"/>
        </w:rPr>
        <w:t xml:space="preserve">metat </w:t>
      </w:r>
      <w:r w:rsidR="00C81A0B" w:rsidRPr="006E2CA6">
        <w:rPr>
          <w:sz w:val="22"/>
          <w:szCs w:val="22"/>
          <w:lang w:val="sr-Latn-ME"/>
        </w:rPr>
        <w:t>natrijum</w:t>
      </w:r>
      <w:r w:rsidRPr="006E2CA6">
        <w:rPr>
          <w:sz w:val="22"/>
          <w:szCs w:val="22"/>
          <w:lang w:val="sr-Latn-ME"/>
        </w:rPr>
        <w:t xml:space="preserve"> prim</w:t>
      </w:r>
      <w:r w:rsidR="006803D3" w:rsidRPr="006E2CA6">
        <w:rPr>
          <w:sz w:val="22"/>
          <w:szCs w:val="22"/>
          <w:lang w:val="sr-Latn-ME"/>
        </w:rPr>
        <w:t>j</w:t>
      </w:r>
      <w:r w:rsidRPr="006E2CA6">
        <w:rPr>
          <w:sz w:val="22"/>
          <w:szCs w:val="22"/>
          <w:lang w:val="sr-Latn-ME"/>
        </w:rPr>
        <w:t xml:space="preserve">enjuje kod ovih pacijenata. </w:t>
      </w:r>
    </w:p>
    <w:p w14:paraId="5C8EFCAC" w14:textId="77777777" w:rsidR="006803D3" w:rsidRPr="006E2CA6" w:rsidRDefault="006803D3" w:rsidP="00304460">
      <w:pPr>
        <w:tabs>
          <w:tab w:val="left" w:pos="540"/>
          <w:tab w:val="left" w:pos="569"/>
        </w:tabs>
        <w:jc w:val="both"/>
        <w:rPr>
          <w:i/>
          <w:sz w:val="22"/>
          <w:szCs w:val="22"/>
          <w:lang w:val="sr-Latn-ME"/>
        </w:rPr>
      </w:pPr>
    </w:p>
    <w:p w14:paraId="7480462C" w14:textId="77777777" w:rsidR="006803D3" w:rsidRPr="00304460" w:rsidRDefault="002612E0" w:rsidP="00304460">
      <w:pPr>
        <w:tabs>
          <w:tab w:val="left" w:pos="540"/>
          <w:tab w:val="left" w:pos="569"/>
        </w:tabs>
        <w:jc w:val="both"/>
        <w:rPr>
          <w:i/>
          <w:sz w:val="22"/>
          <w:szCs w:val="22"/>
          <w:u w:val="single"/>
          <w:lang w:val="sr-Latn-ME"/>
        </w:rPr>
      </w:pPr>
      <w:r w:rsidRPr="00304460">
        <w:rPr>
          <w:i/>
          <w:sz w:val="22"/>
          <w:szCs w:val="22"/>
          <w:u w:val="single"/>
          <w:lang w:val="sr-Latn-ME"/>
        </w:rPr>
        <w:t xml:space="preserve">Starije osobe </w:t>
      </w:r>
    </w:p>
    <w:p w14:paraId="7810F134" w14:textId="77777777" w:rsidR="00057A02" w:rsidRPr="006E2CA6" w:rsidRDefault="002612E0" w:rsidP="00304460">
      <w:pPr>
        <w:tabs>
          <w:tab w:val="left" w:pos="540"/>
          <w:tab w:val="left" w:pos="569"/>
        </w:tabs>
        <w:jc w:val="both"/>
        <w:rPr>
          <w:sz w:val="22"/>
          <w:szCs w:val="22"/>
          <w:lang w:val="sr-Latn-ME"/>
        </w:rPr>
      </w:pPr>
      <w:r w:rsidRPr="006E2CA6">
        <w:rPr>
          <w:sz w:val="22"/>
          <w:szCs w:val="22"/>
          <w:lang w:val="sr-Latn-ME"/>
        </w:rPr>
        <w:t xml:space="preserve">Smatra se da nije potrebno prilagođavanje doze kod starijih pacijenata sa normalnom funkcijom bubrega. </w:t>
      </w:r>
    </w:p>
    <w:p w14:paraId="3D025565" w14:textId="77777777" w:rsidR="00057A02" w:rsidRPr="006E2CA6" w:rsidRDefault="00057A02" w:rsidP="00304460">
      <w:pPr>
        <w:tabs>
          <w:tab w:val="left" w:pos="540"/>
          <w:tab w:val="left" w:pos="569"/>
        </w:tabs>
        <w:jc w:val="both"/>
        <w:rPr>
          <w:i/>
          <w:sz w:val="22"/>
          <w:szCs w:val="22"/>
          <w:lang w:val="sr-Latn-ME"/>
        </w:rPr>
      </w:pPr>
    </w:p>
    <w:p w14:paraId="1D92E720" w14:textId="77777777" w:rsidR="00057A02" w:rsidRPr="00304460" w:rsidRDefault="002612E0" w:rsidP="00304460">
      <w:pPr>
        <w:tabs>
          <w:tab w:val="left" w:pos="540"/>
          <w:tab w:val="left" w:pos="569"/>
        </w:tabs>
        <w:jc w:val="both"/>
        <w:rPr>
          <w:i/>
          <w:sz w:val="22"/>
          <w:szCs w:val="22"/>
          <w:u w:val="single"/>
          <w:lang w:val="sr-Latn-ME"/>
        </w:rPr>
      </w:pPr>
      <w:r w:rsidRPr="00304460">
        <w:rPr>
          <w:i/>
          <w:sz w:val="22"/>
          <w:szCs w:val="22"/>
          <w:u w:val="single"/>
          <w:lang w:val="sr-Latn-ME"/>
        </w:rPr>
        <w:t>Pedijatrijska populacija</w:t>
      </w:r>
    </w:p>
    <w:p w14:paraId="27B96B87" w14:textId="64CC54C6" w:rsidR="002612E0" w:rsidRPr="006E2CA6" w:rsidRDefault="002612E0" w:rsidP="00304460">
      <w:pPr>
        <w:tabs>
          <w:tab w:val="left" w:pos="540"/>
          <w:tab w:val="left" w:pos="569"/>
        </w:tabs>
        <w:jc w:val="both"/>
        <w:rPr>
          <w:sz w:val="22"/>
          <w:szCs w:val="22"/>
          <w:lang w:val="sr-Latn-ME"/>
        </w:rPr>
      </w:pPr>
      <w:r w:rsidRPr="006E2CA6">
        <w:rPr>
          <w:sz w:val="22"/>
          <w:szCs w:val="22"/>
          <w:lang w:val="sr-Latn-ME"/>
        </w:rPr>
        <w:t>Podaci koji podržavaju režim doziranja kod d</w:t>
      </w:r>
      <w:r w:rsidR="00057A02" w:rsidRPr="006E2CA6">
        <w:rPr>
          <w:sz w:val="22"/>
          <w:szCs w:val="22"/>
          <w:lang w:val="sr-Latn-ME"/>
        </w:rPr>
        <w:t>j</w:t>
      </w:r>
      <w:r w:rsidRPr="006E2CA6">
        <w:rPr>
          <w:sz w:val="22"/>
          <w:szCs w:val="22"/>
          <w:lang w:val="sr-Latn-ME"/>
        </w:rPr>
        <w:t>ece, vrlo su ograničeni. Prilikom odabira doze potrebno je uzeti u obzir zrelost bubrega. Doza se mora bazirati na t</w:t>
      </w:r>
      <w:r w:rsidR="00057A02" w:rsidRPr="006E2CA6">
        <w:rPr>
          <w:sz w:val="22"/>
          <w:szCs w:val="22"/>
          <w:lang w:val="sr-Latn-ME"/>
        </w:rPr>
        <w:t>j</w:t>
      </w:r>
      <w:r w:rsidRPr="006E2CA6">
        <w:rPr>
          <w:sz w:val="22"/>
          <w:szCs w:val="22"/>
          <w:lang w:val="sr-Latn-ME"/>
        </w:rPr>
        <w:t>elesnoj masi bez masnog tkiva.</w:t>
      </w:r>
    </w:p>
    <w:p w14:paraId="0F5ED6AA" w14:textId="77777777" w:rsidR="002612E0" w:rsidRPr="006E2CA6" w:rsidRDefault="002612E0" w:rsidP="00304460">
      <w:pPr>
        <w:tabs>
          <w:tab w:val="left" w:pos="540"/>
          <w:tab w:val="left" w:pos="569"/>
        </w:tabs>
        <w:jc w:val="both"/>
        <w:rPr>
          <w:bCs/>
          <w:sz w:val="22"/>
          <w:szCs w:val="22"/>
          <w:u w:val="single"/>
          <w:lang w:val="sr-Latn-ME"/>
        </w:rPr>
      </w:pPr>
    </w:p>
    <w:p w14:paraId="445DE936" w14:textId="77777777" w:rsidR="00057A02" w:rsidRPr="00304460" w:rsidRDefault="002612E0" w:rsidP="00304460">
      <w:pPr>
        <w:tabs>
          <w:tab w:val="left" w:pos="540"/>
          <w:tab w:val="left" w:pos="569"/>
        </w:tabs>
        <w:jc w:val="both"/>
        <w:rPr>
          <w:sz w:val="22"/>
          <w:szCs w:val="22"/>
          <w:u w:val="single"/>
          <w:lang w:val="sr-Latn-ME"/>
        </w:rPr>
      </w:pPr>
      <w:r w:rsidRPr="00304460">
        <w:rPr>
          <w:sz w:val="22"/>
          <w:szCs w:val="22"/>
          <w:u w:val="single"/>
          <w:lang w:val="sr-Latn-ME"/>
        </w:rPr>
        <w:t>D</w:t>
      </w:r>
      <w:r w:rsidR="00057A02" w:rsidRPr="00304460">
        <w:rPr>
          <w:sz w:val="22"/>
          <w:szCs w:val="22"/>
          <w:u w:val="single"/>
          <w:lang w:val="sr-Latn-ME"/>
        </w:rPr>
        <w:t>j</w:t>
      </w:r>
      <w:r w:rsidRPr="00304460">
        <w:rPr>
          <w:sz w:val="22"/>
          <w:szCs w:val="22"/>
          <w:u w:val="single"/>
          <w:lang w:val="sr-Latn-ME"/>
        </w:rPr>
        <w:t>eca t</w:t>
      </w:r>
      <w:r w:rsidR="00057A02" w:rsidRPr="00304460">
        <w:rPr>
          <w:sz w:val="22"/>
          <w:szCs w:val="22"/>
          <w:u w:val="single"/>
          <w:lang w:val="sr-Latn-ME"/>
        </w:rPr>
        <w:t>j</w:t>
      </w:r>
      <w:r w:rsidRPr="00304460">
        <w:rPr>
          <w:sz w:val="22"/>
          <w:szCs w:val="22"/>
          <w:u w:val="single"/>
          <w:lang w:val="sr-Latn-ME"/>
        </w:rPr>
        <w:t xml:space="preserve">elesne mase ≤ 40kg </w:t>
      </w:r>
    </w:p>
    <w:p w14:paraId="61C891F5" w14:textId="0DDD122A" w:rsidR="00057A02" w:rsidRPr="006E2CA6" w:rsidRDefault="002612E0" w:rsidP="00304460">
      <w:pPr>
        <w:tabs>
          <w:tab w:val="left" w:pos="540"/>
          <w:tab w:val="left" w:pos="569"/>
        </w:tabs>
        <w:jc w:val="both"/>
        <w:rPr>
          <w:sz w:val="22"/>
          <w:szCs w:val="22"/>
          <w:lang w:val="sr-Latn-ME"/>
        </w:rPr>
      </w:pPr>
      <w:r w:rsidRPr="006E2CA6">
        <w:rPr>
          <w:sz w:val="22"/>
          <w:szCs w:val="22"/>
          <w:lang w:val="sr-Latn-ME"/>
        </w:rPr>
        <w:t>Doza od 75000-150000 i.j./kg/dan pod</w:t>
      </w:r>
      <w:r w:rsidR="00057A02" w:rsidRPr="006E2CA6">
        <w:rPr>
          <w:sz w:val="22"/>
          <w:szCs w:val="22"/>
          <w:lang w:val="sr-Latn-ME"/>
        </w:rPr>
        <w:t>ij</w:t>
      </w:r>
      <w:r w:rsidRPr="006E2CA6">
        <w:rPr>
          <w:sz w:val="22"/>
          <w:szCs w:val="22"/>
          <w:lang w:val="sr-Latn-ME"/>
        </w:rPr>
        <w:t xml:space="preserve">eljena na 3 doze. </w:t>
      </w:r>
    </w:p>
    <w:p w14:paraId="66945FEF" w14:textId="77777777" w:rsidR="00057A02" w:rsidRPr="006E2CA6" w:rsidRDefault="00057A02" w:rsidP="00304460">
      <w:pPr>
        <w:tabs>
          <w:tab w:val="left" w:pos="540"/>
          <w:tab w:val="left" w:pos="569"/>
        </w:tabs>
        <w:jc w:val="both"/>
        <w:rPr>
          <w:sz w:val="22"/>
          <w:szCs w:val="22"/>
          <w:lang w:val="sr-Latn-ME"/>
        </w:rPr>
      </w:pPr>
    </w:p>
    <w:p w14:paraId="65313E4C" w14:textId="77777777" w:rsidR="00057A02" w:rsidRPr="006E2CA6" w:rsidRDefault="002612E0" w:rsidP="00304460">
      <w:pPr>
        <w:tabs>
          <w:tab w:val="left" w:pos="540"/>
          <w:tab w:val="left" w:pos="569"/>
        </w:tabs>
        <w:spacing w:after="240"/>
        <w:jc w:val="both"/>
        <w:rPr>
          <w:sz w:val="22"/>
          <w:szCs w:val="22"/>
          <w:lang w:val="sr-Latn-ME"/>
        </w:rPr>
      </w:pPr>
      <w:r w:rsidRPr="00304460">
        <w:rPr>
          <w:sz w:val="22"/>
          <w:szCs w:val="22"/>
          <w:u w:val="single"/>
          <w:lang w:val="sr-Latn-ME"/>
        </w:rPr>
        <w:t>Kod d</w:t>
      </w:r>
      <w:r w:rsidR="00057A02" w:rsidRPr="00304460">
        <w:rPr>
          <w:sz w:val="22"/>
          <w:szCs w:val="22"/>
          <w:u w:val="single"/>
          <w:lang w:val="sr-Latn-ME"/>
        </w:rPr>
        <w:t>j</w:t>
      </w:r>
      <w:r w:rsidRPr="00304460">
        <w:rPr>
          <w:sz w:val="22"/>
          <w:szCs w:val="22"/>
          <w:u w:val="single"/>
          <w:lang w:val="sr-Latn-ME"/>
        </w:rPr>
        <w:t>ece t</w:t>
      </w:r>
      <w:r w:rsidR="00057A02" w:rsidRPr="00304460">
        <w:rPr>
          <w:sz w:val="22"/>
          <w:szCs w:val="22"/>
          <w:u w:val="single"/>
          <w:lang w:val="sr-Latn-ME"/>
        </w:rPr>
        <w:t>j</w:t>
      </w:r>
      <w:r w:rsidRPr="00304460">
        <w:rPr>
          <w:sz w:val="22"/>
          <w:szCs w:val="22"/>
          <w:u w:val="single"/>
          <w:lang w:val="sr-Latn-ME"/>
        </w:rPr>
        <w:t>elesne mase veće od 40 kg</w:t>
      </w:r>
      <w:r w:rsidRPr="006E2CA6">
        <w:rPr>
          <w:sz w:val="22"/>
          <w:szCs w:val="22"/>
          <w:lang w:val="sr-Latn-ME"/>
        </w:rPr>
        <w:t xml:space="preserve"> potrebno je razmotriti prim</w:t>
      </w:r>
      <w:r w:rsidR="00057A02" w:rsidRPr="006E2CA6">
        <w:rPr>
          <w:sz w:val="22"/>
          <w:szCs w:val="22"/>
          <w:lang w:val="sr-Latn-ME"/>
        </w:rPr>
        <w:t>j</w:t>
      </w:r>
      <w:r w:rsidRPr="006E2CA6">
        <w:rPr>
          <w:sz w:val="22"/>
          <w:szCs w:val="22"/>
          <w:lang w:val="sr-Latn-ME"/>
        </w:rPr>
        <w:t xml:space="preserve">enu preporuka za doziranje kod odraslih. </w:t>
      </w:r>
    </w:p>
    <w:p w14:paraId="2D2FC7B9" w14:textId="77777777" w:rsidR="00057A02" w:rsidRPr="006E2CA6" w:rsidRDefault="002612E0" w:rsidP="00304460">
      <w:pPr>
        <w:tabs>
          <w:tab w:val="left" w:pos="540"/>
          <w:tab w:val="left" w:pos="569"/>
        </w:tabs>
        <w:jc w:val="both"/>
        <w:rPr>
          <w:sz w:val="22"/>
          <w:szCs w:val="22"/>
          <w:lang w:val="sr-Latn-ME"/>
        </w:rPr>
      </w:pPr>
      <w:r w:rsidRPr="006E2CA6">
        <w:rPr>
          <w:sz w:val="22"/>
          <w:szCs w:val="22"/>
          <w:lang w:val="sr-Latn-ME"/>
        </w:rPr>
        <w:t>Kod d</w:t>
      </w:r>
      <w:r w:rsidR="00057A02" w:rsidRPr="006E2CA6">
        <w:rPr>
          <w:sz w:val="22"/>
          <w:szCs w:val="22"/>
          <w:lang w:val="sr-Latn-ME"/>
        </w:rPr>
        <w:t>j</w:t>
      </w:r>
      <w:r w:rsidRPr="006E2CA6">
        <w:rPr>
          <w:sz w:val="22"/>
          <w:szCs w:val="22"/>
          <w:lang w:val="sr-Latn-ME"/>
        </w:rPr>
        <w:t>ece sa cističnom fibrozom prijavljena je prim</w:t>
      </w:r>
      <w:r w:rsidR="00057A02" w:rsidRPr="006E2CA6">
        <w:rPr>
          <w:sz w:val="22"/>
          <w:szCs w:val="22"/>
          <w:lang w:val="sr-Latn-ME"/>
        </w:rPr>
        <w:t>j</w:t>
      </w:r>
      <w:r w:rsidRPr="006E2CA6">
        <w:rPr>
          <w:sz w:val="22"/>
          <w:szCs w:val="22"/>
          <w:lang w:val="sr-Latn-ME"/>
        </w:rPr>
        <w:t xml:space="preserve">ena doza od &gt;150000 i.j./kg/dan. </w:t>
      </w:r>
    </w:p>
    <w:p w14:paraId="1D0DBD14" w14:textId="77777777" w:rsidR="00057A02" w:rsidRPr="006E2CA6" w:rsidRDefault="002612E0" w:rsidP="00304460">
      <w:pPr>
        <w:tabs>
          <w:tab w:val="left" w:pos="540"/>
          <w:tab w:val="left" w:pos="569"/>
        </w:tabs>
        <w:spacing w:before="240"/>
        <w:jc w:val="both"/>
        <w:rPr>
          <w:sz w:val="22"/>
          <w:szCs w:val="22"/>
          <w:lang w:val="sr-Latn-ME"/>
        </w:rPr>
      </w:pPr>
      <w:r w:rsidRPr="006E2CA6">
        <w:rPr>
          <w:sz w:val="22"/>
          <w:szCs w:val="22"/>
          <w:lang w:val="sr-Latn-ME"/>
        </w:rPr>
        <w:t>Nema podataka o prim</w:t>
      </w:r>
      <w:r w:rsidR="00057A02" w:rsidRPr="006E2CA6">
        <w:rPr>
          <w:sz w:val="22"/>
          <w:szCs w:val="22"/>
          <w:lang w:val="sr-Latn-ME"/>
        </w:rPr>
        <w:t>j</w:t>
      </w:r>
      <w:r w:rsidRPr="006E2CA6">
        <w:rPr>
          <w:sz w:val="22"/>
          <w:szCs w:val="22"/>
          <w:lang w:val="sr-Latn-ME"/>
        </w:rPr>
        <w:t>eni i visini udarne doze kod kritično bolesne d</w:t>
      </w:r>
      <w:r w:rsidR="00057A02" w:rsidRPr="006E2CA6">
        <w:rPr>
          <w:sz w:val="22"/>
          <w:szCs w:val="22"/>
          <w:lang w:val="sr-Latn-ME"/>
        </w:rPr>
        <w:t>j</w:t>
      </w:r>
      <w:r w:rsidRPr="006E2CA6">
        <w:rPr>
          <w:sz w:val="22"/>
          <w:szCs w:val="22"/>
          <w:lang w:val="sr-Latn-ME"/>
        </w:rPr>
        <w:t xml:space="preserve">ece. </w:t>
      </w:r>
    </w:p>
    <w:p w14:paraId="331B7CF0" w14:textId="2262D988" w:rsidR="00057A02" w:rsidRPr="006E2CA6" w:rsidRDefault="002612E0" w:rsidP="00304460">
      <w:pPr>
        <w:tabs>
          <w:tab w:val="left" w:pos="540"/>
          <w:tab w:val="left" w:pos="569"/>
        </w:tabs>
        <w:spacing w:before="240"/>
        <w:jc w:val="both"/>
        <w:rPr>
          <w:sz w:val="22"/>
          <w:szCs w:val="22"/>
          <w:lang w:val="sr-Latn-ME"/>
        </w:rPr>
      </w:pPr>
      <w:r w:rsidRPr="006E2CA6">
        <w:rPr>
          <w:sz w:val="22"/>
          <w:szCs w:val="22"/>
          <w:lang w:val="sr-Latn-ME"/>
        </w:rPr>
        <w:t>Ni</w:t>
      </w:r>
      <w:r w:rsidR="00D8367C" w:rsidRPr="006E2CA6">
        <w:rPr>
          <w:sz w:val="22"/>
          <w:szCs w:val="22"/>
          <w:lang w:val="sr-Latn-ME"/>
        </w:rPr>
        <w:t>je</w:t>
      </w:r>
      <w:r w:rsidRPr="006E2CA6">
        <w:rPr>
          <w:sz w:val="22"/>
          <w:szCs w:val="22"/>
          <w:lang w:val="sr-Latn-ME"/>
        </w:rPr>
        <w:t>su uspostavljene preporuke za doziranje kod d</w:t>
      </w:r>
      <w:r w:rsidR="00057A02" w:rsidRPr="006E2CA6">
        <w:rPr>
          <w:sz w:val="22"/>
          <w:szCs w:val="22"/>
          <w:lang w:val="sr-Latn-ME"/>
        </w:rPr>
        <w:t>j</w:t>
      </w:r>
      <w:r w:rsidRPr="006E2CA6">
        <w:rPr>
          <w:sz w:val="22"/>
          <w:szCs w:val="22"/>
          <w:lang w:val="sr-Latn-ME"/>
        </w:rPr>
        <w:t xml:space="preserve">ece sa oštećenjem funkcije bubrega. </w:t>
      </w:r>
    </w:p>
    <w:p w14:paraId="4094C067" w14:textId="77777777" w:rsidR="00057A02" w:rsidRPr="006E2CA6" w:rsidRDefault="00057A02" w:rsidP="00304460">
      <w:pPr>
        <w:tabs>
          <w:tab w:val="left" w:pos="540"/>
          <w:tab w:val="left" w:pos="569"/>
        </w:tabs>
        <w:jc w:val="both"/>
        <w:rPr>
          <w:sz w:val="22"/>
          <w:szCs w:val="22"/>
          <w:lang w:val="sr-Latn-ME"/>
        </w:rPr>
      </w:pPr>
    </w:p>
    <w:p w14:paraId="25A6189F" w14:textId="77777777" w:rsidR="00057A02" w:rsidRPr="00304460" w:rsidRDefault="002612E0" w:rsidP="00304460">
      <w:pPr>
        <w:tabs>
          <w:tab w:val="left" w:pos="540"/>
          <w:tab w:val="left" w:pos="569"/>
        </w:tabs>
        <w:jc w:val="both"/>
        <w:rPr>
          <w:i/>
          <w:sz w:val="22"/>
          <w:szCs w:val="22"/>
          <w:u w:val="single"/>
          <w:lang w:val="sr-Latn-ME"/>
        </w:rPr>
      </w:pPr>
      <w:r w:rsidRPr="00304460">
        <w:rPr>
          <w:i/>
          <w:sz w:val="22"/>
          <w:szCs w:val="22"/>
          <w:u w:val="single"/>
          <w:lang w:val="sr-Latn-ME"/>
        </w:rPr>
        <w:t>Intratekalna i intraventrikularna prim</w:t>
      </w:r>
      <w:r w:rsidR="00057A02" w:rsidRPr="00304460">
        <w:rPr>
          <w:i/>
          <w:sz w:val="22"/>
          <w:szCs w:val="22"/>
          <w:u w:val="single"/>
          <w:lang w:val="sr-Latn-ME"/>
        </w:rPr>
        <w:t>j</w:t>
      </w:r>
      <w:r w:rsidRPr="00304460">
        <w:rPr>
          <w:i/>
          <w:sz w:val="22"/>
          <w:szCs w:val="22"/>
          <w:u w:val="single"/>
          <w:lang w:val="sr-Latn-ME"/>
        </w:rPr>
        <w:t xml:space="preserve">ena </w:t>
      </w:r>
    </w:p>
    <w:p w14:paraId="700B4022" w14:textId="1E9D96A2" w:rsidR="00057A02" w:rsidRPr="006E2CA6" w:rsidRDefault="002612E0" w:rsidP="00304460">
      <w:pPr>
        <w:tabs>
          <w:tab w:val="left" w:pos="540"/>
          <w:tab w:val="left" w:pos="569"/>
        </w:tabs>
        <w:jc w:val="both"/>
        <w:rPr>
          <w:sz w:val="22"/>
          <w:szCs w:val="22"/>
          <w:lang w:val="sr-Latn-ME"/>
        </w:rPr>
      </w:pPr>
      <w:r w:rsidRPr="006E2CA6">
        <w:rPr>
          <w:sz w:val="22"/>
          <w:szCs w:val="22"/>
          <w:lang w:val="sr-Latn-ME"/>
        </w:rPr>
        <w:t>Na osnovu ograničenih podataka, kod odraslih pacijenata se preporučuju sl</w:t>
      </w:r>
      <w:r w:rsidR="00D8367C" w:rsidRPr="006E2CA6">
        <w:rPr>
          <w:sz w:val="22"/>
          <w:szCs w:val="22"/>
          <w:lang w:val="sr-Latn-ME"/>
        </w:rPr>
        <w:t>j</w:t>
      </w:r>
      <w:r w:rsidRPr="006E2CA6">
        <w:rPr>
          <w:sz w:val="22"/>
          <w:szCs w:val="22"/>
          <w:lang w:val="sr-Latn-ME"/>
        </w:rPr>
        <w:t xml:space="preserve">edeće doze: </w:t>
      </w:r>
    </w:p>
    <w:p w14:paraId="2C5679CD" w14:textId="4A60FD4E" w:rsidR="00057A02" w:rsidRPr="006E2CA6" w:rsidRDefault="002612E0" w:rsidP="00304460">
      <w:pPr>
        <w:tabs>
          <w:tab w:val="left" w:pos="540"/>
          <w:tab w:val="left" w:pos="569"/>
        </w:tabs>
        <w:jc w:val="both"/>
        <w:rPr>
          <w:sz w:val="22"/>
          <w:szCs w:val="22"/>
          <w:lang w:val="sr-Latn-ME"/>
        </w:rPr>
      </w:pPr>
      <w:r w:rsidRPr="006E2CA6">
        <w:rPr>
          <w:sz w:val="22"/>
          <w:szCs w:val="22"/>
          <w:lang w:val="sr-Latn-ME"/>
        </w:rPr>
        <w:lastRenderedPageBreak/>
        <w:t>Intraventrikularni put</w:t>
      </w:r>
      <w:r w:rsidR="002772E8" w:rsidRPr="006E2CA6">
        <w:rPr>
          <w:sz w:val="22"/>
          <w:szCs w:val="22"/>
          <w:lang w:val="sr-Latn-ME"/>
        </w:rPr>
        <w:t xml:space="preserve">: </w:t>
      </w:r>
      <w:r w:rsidRPr="006E2CA6">
        <w:rPr>
          <w:sz w:val="22"/>
          <w:szCs w:val="22"/>
          <w:lang w:val="sr-Latn-ME"/>
        </w:rPr>
        <w:t xml:space="preserve">125000 i.j./dan </w:t>
      </w:r>
    </w:p>
    <w:p w14:paraId="0C8B85BE" w14:textId="77777777" w:rsidR="002612E0" w:rsidRPr="006E2CA6" w:rsidRDefault="002612E0" w:rsidP="00304460">
      <w:pPr>
        <w:tabs>
          <w:tab w:val="left" w:pos="540"/>
          <w:tab w:val="left" w:pos="569"/>
        </w:tabs>
        <w:jc w:val="both"/>
        <w:rPr>
          <w:bCs/>
          <w:sz w:val="22"/>
          <w:szCs w:val="22"/>
          <w:u w:val="single"/>
          <w:lang w:val="sr-Latn-ME"/>
        </w:rPr>
      </w:pPr>
      <w:r w:rsidRPr="006E2CA6">
        <w:rPr>
          <w:sz w:val="22"/>
          <w:szCs w:val="22"/>
          <w:lang w:val="sr-Latn-ME"/>
        </w:rPr>
        <w:t>Intratekalno prim</w:t>
      </w:r>
      <w:r w:rsidR="00057A02" w:rsidRPr="006E2CA6">
        <w:rPr>
          <w:sz w:val="22"/>
          <w:szCs w:val="22"/>
          <w:lang w:val="sr-Latn-ME"/>
        </w:rPr>
        <w:t>ij</w:t>
      </w:r>
      <w:r w:rsidRPr="006E2CA6">
        <w:rPr>
          <w:sz w:val="22"/>
          <w:szCs w:val="22"/>
          <w:lang w:val="sr-Latn-ME"/>
        </w:rPr>
        <w:t>enjene doze ne sm</w:t>
      </w:r>
      <w:r w:rsidR="00057A02" w:rsidRPr="006E2CA6">
        <w:rPr>
          <w:sz w:val="22"/>
          <w:szCs w:val="22"/>
          <w:lang w:val="sr-Latn-ME"/>
        </w:rPr>
        <w:t>i</w:t>
      </w:r>
      <w:r w:rsidRPr="006E2CA6">
        <w:rPr>
          <w:sz w:val="22"/>
          <w:szCs w:val="22"/>
          <w:lang w:val="sr-Latn-ME"/>
        </w:rPr>
        <w:t>ju biti veće od onih preporučenih za intraventrikularnu prim</w:t>
      </w:r>
      <w:r w:rsidR="00057A02" w:rsidRPr="006E2CA6">
        <w:rPr>
          <w:sz w:val="22"/>
          <w:szCs w:val="22"/>
          <w:lang w:val="sr-Latn-ME"/>
        </w:rPr>
        <w:t>j</w:t>
      </w:r>
      <w:r w:rsidRPr="006E2CA6">
        <w:rPr>
          <w:sz w:val="22"/>
          <w:szCs w:val="22"/>
          <w:lang w:val="sr-Latn-ME"/>
        </w:rPr>
        <w:t>enu. Ne mogu se dati posebne preporuke za doziranje kod intratekalne i intraventrikularne prim</w:t>
      </w:r>
      <w:r w:rsidR="00057A02" w:rsidRPr="006E2CA6">
        <w:rPr>
          <w:sz w:val="22"/>
          <w:szCs w:val="22"/>
          <w:lang w:val="sr-Latn-ME"/>
        </w:rPr>
        <w:t>j</w:t>
      </w:r>
      <w:r w:rsidRPr="006E2CA6">
        <w:rPr>
          <w:sz w:val="22"/>
          <w:szCs w:val="22"/>
          <w:lang w:val="sr-Latn-ME"/>
        </w:rPr>
        <w:t>ene kod d</w:t>
      </w:r>
      <w:r w:rsidR="00057A02" w:rsidRPr="006E2CA6">
        <w:rPr>
          <w:sz w:val="22"/>
          <w:szCs w:val="22"/>
          <w:lang w:val="sr-Latn-ME"/>
        </w:rPr>
        <w:t>j</w:t>
      </w:r>
      <w:r w:rsidRPr="006E2CA6">
        <w:rPr>
          <w:sz w:val="22"/>
          <w:szCs w:val="22"/>
          <w:lang w:val="sr-Latn-ME"/>
        </w:rPr>
        <w:t>ece.</w:t>
      </w:r>
    </w:p>
    <w:p w14:paraId="5F967C73" w14:textId="77777777" w:rsidR="002612E0" w:rsidRPr="006E2CA6" w:rsidRDefault="002612E0" w:rsidP="00304460">
      <w:pPr>
        <w:tabs>
          <w:tab w:val="left" w:pos="540"/>
          <w:tab w:val="left" w:pos="569"/>
        </w:tabs>
        <w:jc w:val="both"/>
        <w:rPr>
          <w:bCs/>
          <w:sz w:val="22"/>
          <w:szCs w:val="22"/>
          <w:u w:val="single"/>
          <w:lang w:val="sr-Latn-ME"/>
        </w:rPr>
      </w:pPr>
    </w:p>
    <w:p w14:paraId="2B312AFC" w14:textId="77777777" w:rsidR="00452E9D" w:rsidRPr="006E2CA6" w:rsidRDefault="00452E9D" w:rsidP="00304460">
      <w:pPr>
        <w:tabs>
          <w:tab w:val="left" w:pos="540"/>
          <w:tab w:val="left" w:pos="569"/>
        </w:tabs>
        <w:jc w:val="both"/>
        <w:rPr>
          <w:bCs/>
          <w:sz w:val="22"/>
          <w:szCs w:val="22"/>
          <w:u w:val="single"/>
          <w:lang w:val="sr-Latn-ME"/>
        </w:rPr>
      </w:pPr>
      <w:r w:rsidRPr="006E2CA6">
        <w:rPr>
          <w:bCs/>
          <w:sz w:val="22"/>
          <w:szCs w:val="22"/>
          <w:u w:val="single"/>
          <w:lang w:val="sr-Latn-ME"/>
        </w:rPr>
        <w:t>Način primjene</w:t>
      </w:r>
    </w:p>
    <w:p w14:paraId="184ACBE8" w14:textId="77777777" w:rsidR="00452E9D" w:rsidRPr="006E2CA6" w:rsidRDefault="00452E9D" w:rsidP="00304460">
      <w:pPr>
        <w:tabs>
          <w:tab w:val="left" w:pos="540"/>
          <w:tab w:val="left" w:pos="569"/>
        </w:tabs>
        <w:jc w:val="both"/>
        <w:rPr>
          <w:bCs/>
          <w:sz w:val="22"/>
          <w:szCs w:val="22"/>
          <w:lang w:val="sr-Latn-ME"/>
        </w:rPr>
      </w:pPr>
    </w:p>
    <w:p w14:paraId="087D4C44" w14:textId="368D5B64" w:rsidR="008241E8" w:rsidRPr="006E2CA6" w:rsidRDefault="009311B7" w:rsidP="006F35C5">
      <w:pPr>
        <w:tabs>
          <w:tab w:val="left" w:pos="540"/>
          <w:tab w:val="left" w:pos="569"/>
        </w:tabs>
        <w:spacing w:line="276" w:lineRule="auto"/>
        <w:rPr>
          <w:sz w:val="22"/>
          <w:szCs w:val="22"/>
          <w:lang w:val="sr-Latn-ME"/>
        </w:rPr>
      </w:pPr>
      <w:r w:rsidRPr="006E2CA6">
        <w:rPr>
          <w:sz w:val="22"/>
          <w:szCs w:val="22"/>
          <w:lang w:val="sr-Latn-ME"/>
        </w:rPr>
        <w:t xml:space="preserve">Lijek </w:t>
      </w:r>
      <w:r w:rsidR="002612E0" w:rsidRPr="006E2CA6">
        <w:rPr>
          <w:sz w:val="22"/>
          <w:szCs w:val="22"/>
          <w:lang w:val="sr-Latn-ME"/>
        </w:rPr>
        <w:t>Colistin Norma se prim</w:t>
      </w:r>
      <w:r w:rsidRPr="006E2CA6">
        <w:rPr>
          <w:sz w:val="22"/>
          <w:szCs w:val="22"/>
          <w:lang w:val="sr-Latn-ME"/>
        </w:rPr>
        <w:t>j</w:t>
      </w:r>
      <w:r w:rsidR="002612E0" w:rsidRPr="006E2CA6">
        <w:rPr>
          <w:sz w:val="22"/>
          <w:szCs w:val="22"/>
          <w:lang w:val="sr-Latn-ME"/>
        </w:rPr>
        <w:t xml:space="preserve">enjuje intravenski u obliku spore infuzije u trajanju od 30-60 minuta. </w:t>
      </w:r>
    </w:p>
    <w:p w14:paraId="43473E91" w14:textId="388D7FA5" w:rsidR="00C81A0B" w:rsidRPr="006E2CA6" w:rsidRDefault="002612E0" w:rsidP="00304460">
      <w:pPr>
        <w:tabs>
          <w:tab w:val="left" w:pos="540"/>
          <w:tab w:val="left" w:pos="569"/>
        </w:tabs>
        <w:jc w:val="both"/>
        <w:rPr>
          <w:sz w:val="22"/>
          <w:szCs w:val="22"/>
          <w:lang w:val="sr-Latn-ME"/>
        </w:rPr>
      </w:pPr>
      <w:r w:rsidRPr="006E2CA6">
        <w:rPr>
          <w:sz w:val="22"/>
          <w:szCs w:val="22"/>
          <w:lang w:val="sr-Latn-ME"/>
        </w:rPr>
        <w:t>Pacijenti sa ugrađenim venskim impla</w:t>
      </w:r>
      <w:r w:rsidR="00934AC9" w:rsidRPr="006E2CA6">
        <w:rPr>
          <w:sz w:val="22"/>
          <w:szCs w:val="22"/>
          <w:lang w:val="sr-Latn-ME"/>
        </w:rPr>
        <w:t>n</w:t>
      </w:r>
      <w:r w:rsidRPr="006E2CA6">
        <w:rPr>
          <w:sz w:val="22"/>
          <w:szCs w:val="22"/>
          <w:lang w:val="sr-Latn-ME"/>
        </w:rPr>
        <w:t>tabilnim sistemom, mogu podn</w:t>
      </w:r>
      <w:r w:rsidR="008241E8" w:rsidRPr="006E2CA6">
        <w:rPr>
          <w:sz w:val="22"/>
          <w:szCs w:val="22"/>
          <w:lang w:val="sr-Latn-ME"/>
        </w:rPr>
        <w:t>ij</w:t>
      </w:r>
      <w:r w:rsidRPr="006E2CA6">
        <w:rPr>
          <w:sz w:val="22"/>
          <w:szCs w:val="22"/>
          <w:lang w:val="sr-Latn-ME"/>
        </w:rPr>
        <w:t xml:space="preserve">eti bolus injekciju do 2 </w:t>
      </w:r>
      <w:r w:rsidR="00F33AED" w:rsidRPr="006E2CA6">
        <w:rPr>
          <w:sz w:val="22"/>
          <w:szCs w:val="22"/>
          <w:lang w:val="sr-Latn-ME"/>
        </w:rPr>
        <w:t>miliona</w:t>
      </w:r>
      <w:r w:rsidR="00744074" w:rsidRPr="006E2CA6">
        <w:rPr>
          <w:sz w:val="22"/>
          <w:szCs w:val="22"/>
          <w:lang w:val="sr-Latn-ME"/>
        </w:rPr>
        <w:t xml:space="preserve"> </w:t>
      </w:r>
      <w:r w:rsidRPr="006E2CA6">
        <w:rPr>
          <w:sz w:val="22"/>
          <w:szCs w:val="22"/>
          <w:lang w:val="sr-Latn-ME"/>
        </w:rPr>
        <w:t xml:space="preserve">i.j. u 10 </w:t>
      </w:r>
      <w:r w:rsidR="00744074" w:rsidRPr="006E2CA6">
        <w:rPr>
          <w:sz w:val="22"/>
          <w:szCs w:val="22"/>
          <w:lang w:val="sr-Latn-ME"/>
        </w:rPr>
        <w:t>ml</w:t>
      </w:r>
      <w:r w:rsidRPr="006E2CA6">
        <w:rPr>
          <w:sz w:val="22"/>
          <w:szCs w:val="22"/>
          <w:lang w:val="sr-Latn-ME"/>
        </w:rPr>
        <w:t>, koja se prim</w:t>
      </w:r>
      <w:r w:rsidR="008241E8" w:rsidRPr="006E2CA6">
        <w:rPr>
          <w:sz w:val="22"/>
          <w:szCs w:val="22"/>
          <w:lang w:val="sr-Latn-ME"/>
        </w:rPr>
        <w:t>j</w:t>
      </w:r>
      <w:r w:rsidRPr="006E2CA6">
        <w:rPr>
          <w:sz w:val="22"/>
          <w:szCs w:val="22"/>
          <w:lang w:val="sr-Latn-ME"/>
        </w:rPr>
        <w:t>enjuje minimalno 5 minuta (vid</w:t>
      </w:r>
      <w:r w:rsidR="008241E8" w:rsidRPr="006E2CA6">
        <w:rPr>
          <w:sz w:val="22"/>
          <w:szCs w:val="22"/>
          <w:lang w:val="sr-Latn-ME"/>
        </w:rPr>
        <w:t>j</w:t>
      </w:r>
      <w:r w:rsidRPr="006E2CA6">
        <w:rPr>
          <w:sz w:val="22"/>
          <w:szCs w:val="22"/>
          <w:lang w:val="sr-Latn-ME"/>
        </w:rPr>
        <w:t xml:space="preserve">eti </w:t>
      </w:r>
      <w:r w:rsidR="00744074" w:rsidRPr="006E2CA6">
        <w:rPr>
          <w:sz w:val="22"/>
          <w:szCs w:val="22"/>
          <w:lang w:val="sr-Latn-ME"/>
        </w:rPr>
        <w:t xml:space="preserve">dio </w:t>
      </w:r>
      <w:r w:rsidRPr="006E2CA6">
        <w:rPr>
          <w:sz w:val="22"/>
          <w:szCs w:val="22"/>
          <w:lang w:val="sr-Latn-ME"/>
        </w:rPr>
        <w:t xml:space="preserve">6.6). </w:t>
      </w:r>
    </w:p>
    <w:p w14:paraId="49E37D08" w14:textId="27E625DC" w:rsidR="008241E8" w:rsidRPr="006E2CA6" w:rsidRDefault="002612E0" w:rsidP="00304460">
      <w:pPr>
        <w:tabs>
          <w:tab w:val="left" w:pos="540"/>
          <w:tab w:val="left" w:pos="569"/>
        </w:tabs>
        <w:jc w:val="both"/>
        <w:rPr>
          <w:sz w:val="22"/>
          <w:szCs w:val="22"/>
          <w:lang w:val="sr-Latn-ME"/>
        </w:rPr>
      </w:pPr>
      <w:r w:rsidRPr="006E2CA6">
        <w:rPr>
          <w:sz w:val="22"/>
          <w:szCs w:val="22"/>
          <w:lang w:val="sr-Latn-ME"/>
        </w:rPr>
        <w:t>Kolistimetat</w:t>
      </w:r>
      <w:r w:rsidR="008241E8" w:rsidRPr="006E2CA6">
        <w:rPr>
          <w:sz w:val="22"/>
          <w:szCs w:val="22"/>
          <w:lang w:val="sr-Latn-ME"/>
        </w:rPr>
        <w:t xml:space="preserve"> </w:t>
      </w:r>
      <w:r w:rsidRPr="006E2CA6">
        <w:rPr>
          <w:sz w:val="22"/>
          <w:szCs w:val="22"/>
          <w:lang w:val="sr-Latn-ME"/>
        </w:rPr>
        <w:t>natrijum podl</w:t>
      </w:r>
      <w:r w:rsidR="008241E8" w:rsidRPr="006E2CA6">
        <w:rPr>
          <w:sz w:val="22"/>
          <w:szCs w:val="22"/>
          <w:lang w:val="sr-Latn-ME"/>
        </w:rPr>
        <w:t>ij</w:t>
      </w:r>
      <w:r w:rsidRPr="006E2CA6">
        <w:rPr>
          <w:sz w:val="22"/>
          <w:szCs w:val="22"/>
          <w:lang w:val="sr-Latn-ME"/>
        </w:rPr>
        <w:t>eže hidrolizi u vodenom rastvoru na aktivnu supstancu kolistin. Prilikom pripreme doze, naročito kada je potrebno kombinovati veći broj bočica, rekonstitucija potrebne doze mora se sprovesti strogom prim</w:t>
      </w:r>
      <w:r w:rsidR="008241E8" w:rsidRPr="006E2CA6">
        <w:rPr>
          <w:sz w:val="22"/>
          <w:szCs w:val="22"/>
          <w:lang w:val="sr-Latn-ME"/>
        </w:rPr>
        <w:t>j</w:t>
      </w:r>
      <w:r w:rsidRPr="006E2CA6">
        <w:rPr>
          <w:sz w:val="22"/>
          <w:szCs w:val="22"/>
          <w:lang w:val="sr-Latn-ME"/>
        </w:rPr>
        <w:t>enom aseptične tehnike (vid</w:t>
      </w:r>
      <w:r w:rsidR="008241E8" w:rsidRPr="006E2CA6">
        <w:rPr>
          <w:sz w:val="22"/>
          <w:szCs w:val="22"/>
          <w:lang w:val="sr-Latn-ME"/>
        </w:rPr>
        <w:t>j</w:t>
      </w:r>
      <w:r w:rsidRPr="006E2CA6">
        <w:rPr>
          <w:sz w:val="22"/>
          <w:szCs w:val="22"/>
          <w:lang w:val="sr-Latn-ME"/>
        </w:rPr>
        <w:t xml:space="preserve">eti </w:t>
      </w:r>
      <w:r w:rsidR="00744074" w:rsidRPr="006E2CA6">
        <w:rPr>
          <w:sz w:val="22"/>
          <w:szCs w:val="22"/>
          <w:lang w:val="sr-Latn-ME"/>
        </w:rPr>
        <w:t xml:space="preserve">dio </w:t>
      </w:r>
      <w:r w:rsidRPr="006E2CA6">
        <w:rPr>
          <w:sz w:val="22"/>
          <w:szCs w:val="22"/>
          <w:lang w:val="sr-Latn-ME"/>
        </w:rPr>
        <w:t xml:space="preserve">6.6). </w:t>
      </w:r>
    </w:p>
    <w:p w14:paraId="37407BD1" w14:textId="77777777" w:rsidR="008241E8" w:rsidRPr="006E2CA6" w:rsidRDefault="008241E8" w:rsidP="00304460">
      <w:pPr>
        <w:tabs>
          <w:tab w:val="left" w:pos="540"/>
          <w:tab w:val="left" w:pos="569"/>
        </w:tabs>
        <w:jc w:val="both"/>
        <w:rPr>
          <w:lang w:val="sr-Latn-ME"/>
        </w:rPr>
      </w:pPr>
    </w:p>
    <w:p w14:paraId="3FDAC795" w14:textId="77777777" w:rsidR="008241E8" w:rsidRPr="006E2CA6" w:rsidRDefault="002612E0" w:rsidP="00304460">
      <w:pPr>
        <w:tabs>
          <w:tab w:val="left" w:pos="540"/>
          <w:tab w:val="left" w:pos="569"/>
        </w:tabs>
        <w:jc w:val="both"/>
        <w:rPr>
          <w:sz w:val="22"/>
          <w:szCs w:val="22"/>
          <w:lang w:val="sr-Latn-ME"/>
        </w:rPr>
      </w:pPr>
      <w:r w:rsidRPr="006E2CA6">
        <w:rPr>
          <w:b/>
          <w:sz w:val="22"/>
          <w:szCs w:val="22"/>
          <w:lang w:val="sr-Latn-ME"/>
        </w:rPr>
        <w:t>Tabela za konverziju doze</w:t>
      </w:r>
      <w:r w:rsidRPr="006E2CA6">
        <w:rPr>
          <w:sz w:val="22"/>
          <w:szCs w:val="22"/>
          <w:lang w:val="sr-Latn-ME"/>
        </w:rPr>
        <w:t xml:space="preserve">: </w:t>
      </w:r>
    </w:p>
    <w:p w14:paraId="77AA2F5A" w14:textId="77777777" w:rsidR="009F1DEC" w:rsidRPr="006E2CA6" w:rsidRDefault="002612E0" w:rsidP="00304460">
      <w:pPr>
        <w:tabs>
          <w:tab w:val="left" w:pos="540"/>
          <w:tab w:val="left" w:pos="569"/>
        </w:tabs>
        <w:jc w:val="both"/>
        <w:rPr>
          <w:sz w:val="22"/>
          <w:szCs w:val="22"/>
          <w:lang w:val="sr-Latn-ME"/>
        </w:rPr>
      </w:pPr>
      <w:r w:rsidRPr="006E2CA6">
        <w:rPr>
          <w:sz w:val="22"/>
          <w:szCs w:val="22"/>
          <w:lang w:val="sr-Latn-ME"/>
        </w:rPr>
        <w:t>U Evrop</w:t>
      </w:r>
      <w:r w:rsidR="008241E8" w:rsidRPr="006E2CA6">
        <w:rPr>
          <w:sz w:val="22"/>
          <w:szCs w:val="22"/>
          <w:lang w:val="sr-Latn-ME"/>
        </w:rPr>
        <w:t xml:space="preserve">skoj uniji se doza kolistimetat </w:t>
      </w:r>
      <w:r w:rsidRPr="006E2CA6">
        <w:rPr>
          <w:sz w:val="22"/>
          <w:szCs w:val="22"/>
          <w:lang w:val="sr-Latn-ME"/>
        </w:rPr>
        <w:t>natrijuma (CMS) mora propisivati i prim</w:t>
      </w:r>
      <w:r w:rsidR="008241E8" w:rsidRPr="006E2CA6">
        <w:rPr>
          <w:sz w:val="22"/>
          <w:szCs w:val="22"/>
          <w:lang w:val="sr-Latn-ME"/>
        </w:rPr>
        <w:t>j</w:t>
      </w:r>
      <w:r w:rsidRPr="006E2CA6">
        <w:rPr>
          <w:sz w:val="22"/>
          <w:szCs w:val="22"/>
          <w:lang w:val="sr-Latn-ME"/>
        </w:rPr>
        <w:t xml:space="preserve">enjivati isključivo u internacionalnim jedinicama (i.j.). Na pakovanju </w:t>
      </w:r>
      <w:r w:rsidR="00E77A88" w:rsidRPr="006E2CA6">
        <w:rPr>
          <w:sz w:val="22"/>
          <w:szCs w:val="22"/>
          <w:lang w:val="sr-Latn-ME"/>
        </w:rPr>
        <w:t>lijek</w:t>
      </w:r>
      <w:r w:rsidRPr="006E2CA6">
        <w:rPr>
          <w:sz w:val="22"/>
          <w:szCs w:val="22"/>
          <w:lang w:val="sr-Latn-ME"/>
        </w:rPr>
        <w:t xml:space="preserve">a navodi se broj i.j. po bočici. </w:t>
      </w:r>
    </w:p>
    <w:p w14:paraId="472783FB" w14:textId="1E49FE6A" w:rsidR="008241E8" w:rsidRPr="006E2CA6" w:rsidRDefault="002612E0" w:rsidP="00304460">
      <w:pPr>
        <w:tabs>
          <w:tab w:val="left" w:pos="540"/>
          <w:tab w:val="left" w:pos="569"/>
        </w:tabs>
        <w:jc w:val="both"/>
        <w:rPr>
          <w:sz w:val="22"/>
          <w:szCs w:val="22"/>
          <w:lang w:val="sr-Latn-ME"/>
        </w:rPr>
      </w:pPr>
      <w:r w:rsidRPr="006E2CA6">
        <w:rPr>
          <w:sz w:val="22"/>
          <w:szCs w:val="22"/>
          <w:lang w:val="sr-Latn-ME"/>
        </w:rPr>
        <w:t>Zbog različitih načina izražavanja jačine doze, dešavale su se zabune i medicinske greške. U SAD-u i drugim d</w:t>
      </w:r>
      <w:r w:rsidR="008241E8" w:rsidRPr="006E2CA6">
        <w:rPr>
          <w:sz w:val="22"/>
          <w:szCs w:val="22"/>
          <w:lang w:val="sr-Latn-ME"/>
        </w:rPr>
        <w:t>j</w:t>
      </w:r>
      <w:r w:rsidRPr="006E2CA6">
        <w:rPr>
          <w:sz w:val="22"/>
          <w:szCs w:val="22"/>
          <w:lang w:val="sr-Latn-ME"/>
        </w:rPr>
        <w:t>elovima sv</w:t>
      </w:r>
      <w:r w:rsidR="008241E8" w:rsidRPr="006E2CA6">
        <w:rPr>
          <w:sz w:val="22"/>
          <w:szCs w:val="22"/>
          <w:lang w:val="sr-Latn-ME"/>
        </w:rPr>
        <w:t>ij</w:t>
      </w:r>
      <w:r w:rsidRPr="006E2CA6">
        <w:rPr>
          <w:sz w:val="22"/>
          <w:szCs w:val="22"/>
          <w:lang w:val="sr-Latn-ME"/>
        </w:rPr>
        <w:t xml:space="preserve">eta, doza se izražava u miligramima aktivnosti kolistinske baze (mg CBA). </w:t>
      </w:r>
    </w:p>
    <w:p w14:paraId="17B1E98C" w14:textId="77777777" w:rsidR="009F1DEC" w:rsidRPr="006E2CA6" w:rsidRDefault="009F1DEC" w:rsidP="00304460">
      <w:pPr>
        <w:tabs>
          <w:tab w:val="left" w:pos="540"/>
          <w:tab w:val="left" w:pos="569"/>
        </w:tabs>
        <w:jc w:val="both"/>
        <w:rPr>
          <w:sz w:val="22"/>
          <w:szCs w:val="22"/>
          <w:lang w:val="sr-Latn-ME"/>
        </w:rPr>
      </w:pPr>
    </w:p>
    <w:p w14:paraId="51FF20C1" w14:textId="40DB2F63" w:rsidR="008241E8" w:rsidRPr="006E2CA6" w:rsidRDefault="002612E0" w:rsidP="00304460">
      <w:pPr>
        <w:tabs>
          <w:tab w:val="left" w:pos="540"/>
          <w:tab w:val="left" w:pos="569"/>
        </w:tabs>
        <w:jc w:val="both"/>
        <w:rPr>
          <w:sz w:val="22"/>
          <w:szCs w:val="22"/>
          <w:lang w:val="sr-Latn-ME"/>
        </w:rPr>
      </w:pPr>
      <w:r w:rsidRPr="006E2CA6">
        <w:rPr>
          <w:sz w:val="22"/>
          <w:szCs w:val="22"/>
          <w:lang w:val="sr-Latn-ME"/>
        </w:rPr>
        <w:t>Sl</w:t>
      </w:r>
      <w:r w:rsidR="00744074" w:rsidRPr="006E2CA6">
        <w:rPr>
          <w:sz w:val="22"/>
          <w:szCs w:val="22"/>
          <w:lang w:val="sr-Latn-ME"/>
        </w:rPr>
        <w:t>j</w:t>
      </w:r>
      <w:r w:rsidRPr="006E2CA6">
        <w:rPr>
          <w:sz w:val="22"/>
          <w:szCs w:val="22"/>
          <w:lang w:val="sr-Latn-ME"/>
        </w:rPr>
        <w:t>edeća tabela za konverziju služi samo informativno, pa se navedene vr</w:t>
      </w:r>
      <w:r w:rsidR="008241E8" w:rsidRPr="006E2CA6">
        <w:rPr>
          <w:sz w:val="22"/>
          <w:szCs w:val="22"/>
          <w:lang w:val="sr-Latn-ME"/>
        </w:rPr>
        <w:t>ij</w:t>
      </w:r>
      <w:r w:rsidRPr="006E2CA6">
        <w:rPr>
          <w:sz w:val="22"/>
          <w:szCs w:val="22"/>
          <w:lang w:val="sr-Latn-ME"/>
        </w:rPr>
        <w:t xml:space="preserve">ednosti moraju smatrati isključivo kao nominalne i približne. </w:t>
      </w:r>
    </w:p>
    <w:p w14:paraId="51FEC423" w14:textId="6E10F6E2" w:rsidR="002772E8" w:rsidRPr="006E2CA6" w:rsidRDefault="002772E8" w:rsidP="00304460">
      <w:pPr>
        <w:tabs>
          <w:tab w:val="left" w:pos="540"/>
          <w:tab w:val="left" w:pos="569"/>
        </w:tabs>
        <w:jc w:val="both"/>
        <w:rPr>
          <w:sz w:val="22"/>
          <w:szCs w:val="22"/>
          <w:lang w:val="sr-Latn-ME"/>
        </w:rPr>
      </w:pPr>
    </w:p>
    <w:p w14:paraId="49AE6640" w14:textId="47E25C61" w:rsidR="002612E0" w:rsidRPr="006E2CA6" w:rsidRDefault="002612E0" w:rsidP="00304460">
      <w:pPr>
        <w:tabs>
          <w:tab w:val="left" w:pos="540"/>
          <w:tab w:val="left" w:pos="569"/>
        </w:tabs>
        <w:jc w:val="both"/>
        <w:rPr>
          <w:b/>
          <w:sz w:val="22"/>
          <w:szCs w:val="22"/>
          <w:lang w:val="sr-Latn-ME"/>
        </w:rPr>
      </w:pPr>
      <w:r w:rsidRPr="006E2CA6">
        <w:rPr>
          <w:b/>
          <w:sz w:val="22"/>
          <w:szCs w:val="22"/>
          <w:lang w:val="sr-Latn-ME"/>
        </w:rPr>
        <w:t>Tabela konverzije CMS-a</w:t>
      </w:r>
    </w:p>
    <w:tbl>
      <w:tblPr>
        <w:tblStyle w:val="TableGrid"/>
        <w:tblW w:w="0" w:type="auto"/>
        <w:tblLook w:val="04A0" w:firstRow="1" w:lastRow="0" w:firstColumn="1" w:lastColumn="0" w:noHBand="0" w:noVBand="1"/>
      </w:tblPr>
      <w:tblGrid>
        <w:gridCol w:w="3021"/>
        <w:gridCol w:w="3021"/>
        <w:gridCol w:w="3021"/>
      </w:tblGrid>
      <w:tr w:rsidR="002612E0" w:rsidRPr="006E2CA6" w14:paraId="2C81ED73" w14:textId="77777777" w:rsidTr="00C61F49">
        <w:tc>
          <w:tcPr>
            <w:tcW w:w="6042" w:type="dxa"/>
            <w:gridSpan w:val="2"/>
          </w:tcPr>
          <w:p w14:paraId="7D057DD7" w14:textId="77777777" w:rsidR="002612E0" w:rsidRPr="006E2CA6" w:rsidRDefault="002612E0" w:rsidP="00304460">
            <w:pPr>
              <w:tabs>
                <w:tab w:val="left" w:pos="540"/>
                <w:tab w:val="left" w:pos="569"/>
              </w:tabs>
              <w:jc w:val="center"/>
              <w:rPr>
                <w:b/>
                <w:sz w:val="22"/>
                <w:szCs w:val="22"/>
                <w:lang w:val="sr-Latn-ME"/>
              </w:rPr>
            </w:pPr>
            <w:r w:rsidRPr="006E2CA6">
              <w:rPr>
                <w:b/>
                <w:sz w:val="22"/>
                <w:szCs w:val="22"/>
                <w:lang w:val="sr-Latn-ME"/>
              </w:rPr>
              <w:t>Jačina</w:t>
            </w:r>
          </w:p>
        </w:tc>
        <w:tc>
          <w:tcPr>
            <w:tcW w:w="3021" w:type="dxa"/>
            <w:vMerge w:val="restart"/>
          </w:tcPr>
          <w:p w14:paraId="56B9AF2B" w14:textId="77777777" w:rsidR="002612E0" w:rsidRPr="006E2CA6" w:rsidRDefault="002612E0" w:rsidP="00304460">
            <w:pPr>
              <w:tabs>
                <w:tab w:val="left" w:pos="540"/>
                <w:tab w:val="left" w:pos="569"/>
              </w:tabs>
              <w:rPr>
                <w:sz w:val="22"/>
                <w:szCs w:val="22"/>
                <w:lang w:val="sr-Latn-ME"/>
              </w:rPr>
            </w:pPr>
            <w:r w:rsidRPr="006E2CA6">
              <w:rPr>
                <w:sz w:val="22"/>
                <w:szCs w:val="22"/>
                <w:lang w:val="sr-Latn-ME"/>
              </w:rPr>
              <w:t xml:space="preserve">≈ </w:t>
            </w:r>
            <w:r w:rsidRPr="006E2CA6">
              <w:rPr>
                <w:b/>
                <w:sz w:val="22"/>
                <w:szCs w:val="22"/>
                <w:lang w:val="sr-Latn-ME"/>
              </w:rPr>
              <w:t>masa CMS-a (mg)*</w:t>
            </w:r>
          </w:p>
        </w:tc>
      </w:tr>
      <w:tr w:rsidR="002612E0" w:rsidRPr="006E2CA6" w14:paraId="7E44A8D4" w14:textId="77777777" w:rsidTr="002612E0">
        <w:tc>
          <w:tcPr>
            <w:tcW w:w="3021" w:type="dxa"/>
          </w:tcPr>
          <w:p w14:paraId="0F7F0CAD" w14:textId="77777777" w:rsidR="002612E0" w:rsidRPr="006E2CA6" w:rsidRDefault="002612E0" w:rsidP="00304460">
            <w:pPr>
              <w:tabs>
                <w:tab w:val="left" w:pos="540"/>
                <w:tab w:val="left" w:pos="569"/>
              </w:tabs>
              <w:jc w:val="center"/>
              <w:rPr>
                <w:b/>
                <w:sz w:val="22"/>
                <w:szCs w:val="22"/>
                <w:lang w:val="sr-Latn-ME"/>
              </w:rPr>
            </w:pPr>
            <w:r w:rsidRPr="006E2CA6">
              <w:rPr>
                <w:b/>
                <w:sz w:val="22"/>
                <w:szCs w:val="22"/>
                <w:lang w:val="sr-Latn-ME"/>
              </w:rPr>
              <w:t>i.j.</w:t>
            </w:r>
          </w:p>
        </w:tc>
        <w:tc>
          <w:tcPr>
            <w:tcW w:w="3021" w:type="dxa"/>
          </w:tcPr>
          <w:p w14:paraId="18160FA8" w14:textId="77777777" w:rsidR="002612E0" w:rsidRPr="006E2CA6" w:rsidRDefault="002612E0" w:rsidP="00304460">
            <w:pPr>
              <w:tabs>
                <w:tab w:val="left" w:pos="540"/>
                <w:tab w:val="left" w:pos="569"/>
              </w:tabs>
              <w:jc w:val="center"/>
              <w:rPr>
                <w:b/>
                <w:sz w:val="22"/>
                <w:szCs w:val="22"/>
                <w:lang w:val="sr-Latn-ME"/>
              </w:rPr>
            </w:pPr>
            <w:r w:rsidRPr="006E2CA6">
              <w:rPr>
                <w:b/>
                <w:sz w:val="22"/>
                <w:szCs w:val="22"/>
                <w:lang w:val="sr-Latn-ME"/>
              </w:rPr>
              <w:t>≈ mg CBA</w:t>
            </w:r>
          </w:p>
        </w:tc>
        <w:tc>
          <w:tcPr>
            <w:tcW w:w="3021" w:type="dxa"/>
            <w:vMerge/>
          </w:tcPr>
          <w:p w14:paraId="21636C76" w14:textId="77777777" w:rsidR="002612E0" w:rsidRPr="006E2CA6" w:rsidRDefault="002612E0" w:rsidP="00304460">
            <w:pPr>
              <w:tabs>
                <w:tab w:val="left" w:pos="540"/>
                <w:tab w:val="left" w:pos="569"/>
              </w:tabs>
              <w:rPr>
                <w:sz w:val="22"/>
                <w:szCs w:val="22"/>
                <w:lang w:val="sr-Latn-ME"/>
              </w:rPr>
            </w:pPr>
          </w:p>
        </w:tc>
      </w:tr>
      <w:tr w:rsidR="002612E0" w:rsidRPr="006E2CA6" w14:paraId="059197FC" w14:textId="77777777" w:rsidTr="002612E0">
        <w:tc>
          <w:tcPr>
            <w:tcW w:w="3021" w:type="dxa"/>
          </w:tcPr>
          <w:p w14:paraId="2B0DD589" w14:textId="77777777" w:rsidR="002612E0" w:rsidRPr="006E2CA6" w:rsidRDefault="00E77A88" w:rsidP="00304460">
            <w:pPr>
              <w:tabs>
                <w:tab w:val="left" w:pos="540"/>
                <w:tab w:val="left" w:pos="569"/>
              </w:tabs>
              <w:rPr>
                <w:sz w:val="22"/>
                <w:szCs w:val="22"/>
                <w:lang w:val="sr-Latn-ME"/>
              </w:rPr>
            </w:pPr>
            <w:r w:rsidRPr="006E2CA6">
              <w:rPr>
                <w:sz w:val="22"/>
                <w:szCs w:val="22"/>
                <w:lang w:val="sr-Latn-ME"/>
              </w:rPr>
              <w:t>12500</w:t>
            </w:r>
          </w:p>
        </w:tc>
        <w:tc>
          <w:tcPr>
            <w:tcW w:w="3021" w:type="dxa"/>
          </w:tcPr>
          <w:p w14:paraId="4CC5C0CF" w14:textId="77777777" w:rsidR="002612E0" w:rsidRPr="006E2CA6" w:rsidRDefault="00E77A88" w:rsidP="00304460">
            <w:pPr>
              <w:tabs>
                <w:tab w:val="left" w:pos="540"/>
                <w:tab w:val="left" w:pos="569"/>
              </w:tabs>
              <w:rPr>
                <w:sz w:val="22"/>
                <w:szCs w:val="22"/>
                <w:lang w:val="sr-Latn-ME"/>
              </w:rPr>
            </w:pPr>
            <w:r w:rsidRPr="006E2CA6">
              <w:rPr>
                <w:sz w:val="22"/>
                <w:szCs w:val="22"/>
                <w:lang w:val="sr-Latn-ME"/>
              </w:rPr>
              <w:t>0,4</w:t>
            </w:r>
          </w:p>
        </w:tc>
        <w:tc>
          <w:tcPr>
            <w:tcW w:w="3021" w:type="dxa"/>
          </w:tcPr>
          <w:p w14:paraId="5982AF72" w14:textId="77777777" w:rsidR="002612E0" w:rsidRPr="006E2CA6" w:rsidRDefault="002612E0" w:rsidP="00304460">
            <w:pPr>
              <w:tabs>
                <w:tab w:val="left" w:pos="540"/>
                <w:tab w:val="left" w:pos="569"/>
              </w:tabs>
              <w:rPr>
                <w:sz w:val="22"/>
                <w:szCs w:val="22"/>
                <w:lang w:val="sr-Latn-ME"/>
              </w:rPr>
            </w:pPr>
            <w:r w:rsidRPr="006E2CA6">
              <w:rPr>
                <w:sz w:val="22"/>
                <w:szCs w:val="22"/>
                <w:lang w:val="sr-Latn-ME"/>
              </w:rPr>
              <w:t>1</w:t>
            </w:r>
          </w:p>
        </w:tc>
      </w:tr>
      <w:tr w:rsidR="002612E0" w:rsidRPr="006E2CA6" w14:paraId="3A5BC5C6" w14:textId="77777777" w:rsidTr="002612E0">
        <w:tc>
          <w:tcPr>
            <w:tcW w:w="3021" w:type="dxa"/>
          </w:tcPr>
          <w:p w14:paraId="3D8063C8" w14:textId="77777777" w:rsidR="002612E0" w:rsidRPr="006E2CA6" w:rsidRDefault="00E77A88" w:rsidP="00304460">
            <w:pPr>
              <w:tabs>
                <w:tab w:val="left" w:pos="540"/>
                <w:tab w:val="left" w:pos="569"/>
              </w:tabs>
              <w:rPr>
                <w:sz w:val="22"/>
                <w:szCs w:val="22"/>
                <w:lang w:val="sr-Latn-ME"/>
              </w:rPr>
            </w:pPr>
            <w:r w:rsidRPr="006E2CA6">
              <w:rPr>
                <w:sz w:val="22"/>
                <w:szCs w:val="22"/>
                <w:lang w:val="sr-Latn-ME"/>
              </w:rPr>
              <w:t>150000</w:t>
            </w:r>
          </w:p>
        </w:tc>
        <w:tc>
          <w:tcPr>
            <w:tcW w:w="3021" w:type="dxa"/>
          </w:tcPr>
          <w:p w14:paraId="0180C335" w14:textId="77777777" w:rsidR="002612E0" w:rsidRPr="006E2CA6" w:rsidRDefault="00E77A88" w:rsidP="00304460">
            <w:pPr>
              <w:tabs>
                <w:tab w:val="left" w:pos="540"/>
                <w:tab w:val="left" w:pos="569"/>
              </w:tabs>
              <w:rPr>
                <w:sz w:val="22"/>
                <w:szCs w:val="22"/>
                <w:lang w:val="sr-Latn-ME"/>
              </w:rPr>
            </w:pPr>
            <w:r w:rsidRPr="006E2CA6">
              <w:rPr>
                <w:sz w:val="22"/>
                <w:szCs w:val="22"/>
                <w:lang w:val="sr-Latn-ME"/>
              </w:rPr>
              <w:t>5</w:t>
            </w:r>
          </w:p>
        </w:tc>
        <w:tc>
          <w:tcPr>
            <w:tcW w:w="3021" w:type="dxa"/>
          </w:tcPr>
          <w:p w14:paraId="43CD69AC" w14:textId="77777777" w:rsidR="002612E0" w:rsidRPr="006E2CA6" w:rsidRDefault="002612E0" w:rsidP="00304460">
            <w:pPr>
              <w:tabs>
                <w:tab w:val="left" w:pos="540"/>
                <w:tab w:val="left" w:pos="569"/>
              </w:tabs>
              <w:rPr>
                <w:sz w:val="22"/>
                <w:szCs w:val="22"/>
                <w:lang w:val="sr-Latn-ME"/>
              </w:rPr>
            </w:pPr>
            <w:r w:rsidRPr="006E2CA6">
              <w:rPr>
                <w:sz w:val="22"/>
                <w:szCs w:val="22"/>
                <w:lang w:val="sr-Latn-ME"/>
              </w:rPr>
              <w:t>12</w:t>
            </w:r>
          </w:p>
        </w:tc>
      </w:tr>
      <w:tr w:rsidR="002612E0" w:rsidRPr="006E2CA6" w14:paraId="6DE5C7B2" w14:textId="77777777" w:rsidTr="002612E0">
        <w:tc>
          <w:tcPr>
            <w:tcW w:w="3021" w:type="dxa"/>
          </w:tcPr>
          <w:p w14:paraId="6DBF1D83" w14:textId="77777777" w:rsidR="002612E0" w:rsidRPr="006E2CA6" w:rsidRDefault="00E77A88" w:rsidP="00304460">
            <w:pPr>
              <w:tabs>
                <w:tab w:val="left" w:pos="540"/>
                <w:tab w:val="left" w:pos="569"/>
              </w:tabs>
              <w:rPr>
                <w:sz w:val="22"/>
                <w:szCs w:val="22"/>
                <w:lang w:val="sr-Latn-ME"/>
              </w:rPr>
            </w:pPr>
            <w:r w:rsidRPr="006E2CA6">
              <w:rPr>
                <w:sz w:val="22"/>
                <w:szCs w:val="22"/>
                <w:lang w:val="sr-Latn-ME"/>
              </w:rPr>
              <w:t>1000000</w:t>
            </w:r>
          </w:p>
        </w:tc>
        <w:tc>
          <w:tcPr>
            <w:tcW w:w="3021" w:type="dxa"/>
          </w:tcPr>
          <w:p w14:paraId="57DC0999" w14:textId="77777777" w:rsidR="002612E0" w:rsidRPr="006E2CA6" w:rsidRDefault="00E77A88" w:rsidP="00304460">
            <w:pPr>
              <w:tabs>
                <w:tab w:val="left" w:pos="540"/>
                <w:tab w:val="left" w:pos="569"/>
              </w:tabs>
              <w:rPr>
                <w:sz w:val="22"/>
                <w:szCs w:val="22"/>
                <w:lang w:val="sr-Latn-ME"/>
              </w:rPr>
            </w:pPr>
            <w:r w:rsidRPr="006E2CA6">
              <w:rPr>
                <w:sz w:val="22"/>
                <w:szCs w:val="22"/>
                <w:lang w:val="sr-Latn-ME"/>
              </w:rPr>
              <w:t>34</w:t>
            </w:r>
          </w:p>
        </w:tc>
        <w:tc>
          <w:tcPr>
            <w:tcW w:w="3021" w:type="dxa"/>
          </w:tcPr>
          <w:p w14:paraId="2F6918B6" w14:textId="77777777" w:rsidR="002612E0" w:rsidRPr="006E2CA6" w:rsidRDefault="002612E0" w:rsidP="00304460">
            <w:pPr>
              <w:tabs>
                <w:tab w:val="left" w:pos="540"/>
                <w:tab w:val="left" w:pos="569"/>
              </w:tabs>
              <w:rPr>
                <w:sz w:val="22"/>
                <w:szCs w:val="22"/>
                <w:lang w:val="sr-Latn-ME"/>
              </w:rPr>
            </w:pPr>
            <w:r w:rsidRPr="006E2CA6">
              <w:rPr>
                <w:sz w:val="22"/>
                <w:szCs w:val="22"/>
                <w:lang w:val="sr-Latn-ME"/>
              </w:rPr>
              <w:t>80</w:t>
            </w:r>
          </w:p>
        </w:tc>
      </w:tr>
      <w:tr w:rsidR="002612E0" w:rsidRPr="006E2CA6" w14:paraId="13ED0B8A" w14:textId="77777777" w:rsidTr="002612E0">
        <w:tc>
          <w:tcPr>
            <w:tcW w:w="3021" w:type="dxa"/>
          </w:tcPr>
          <w:p w14:paraId="232ADFBE" w14:textId="77777777" w:rsidR="002612E0" w:rsidRPr="006E2CA6" w:rsidRDefault="00E77A88" w:rsidP="00304460">
            <w:pPr>
              <w:tabs>
                <w:tab w:val="left" w:pos="540"/>
                <w:tab w:val="left" w:pos="569"/>
              </w:tabs>
              <w:rPr>
                <w:sz w:val="22"/>
                <w:szCs w:val="22"/>
                <w:lang w:val="sr-Latn-ME"/>
              </w:rPr>
            </w:pPr>
            <w:r w:rsidRPr="006E2CA6">
              <w:rPr>
                <w:sz w:val="22"/>
                <w:szCs w:val="22"/>
                <w:lang w:val="sr-Latn-ME"/>
              </w:rPr>
              <w:t>4500000</w:t>
            </w:r>
          </w:p>
        </w:tc>
        <w:tc>
          <w:tcPr>
            <w:tcW w:w="3021" w:type="dxa"/>
          </w:tcPr>
          <w:p w14:paraId="3ED63B0A" w14:textId="77777777" w:rsidR="002612E0" w:rsidRPr="006E2CA6" w:rsidRDefault="00E77A88" w:rsidP="00304460">
            <w:pPr>
              <w:tabs>
                <w:tab w:val="left" w:pos="540"/>
                <w:tab w:val="left" w:pos="569"/>
              </w:tabs>
              <w:rPr>
                <w:sz w:val="22"/>
                <w:szCs w:val="22"/>
                <w:lang w:val="sr-Latn-ME"/>
              </w:rPr>
            </w:pPr>
            <w:r w:rsidRPr="006E2CA6">
              <w:rPr>
                <w:sz w:val="22"/>
                <w:szCs w:val="22"/>
                <w:lang w:val="sr-Latn-ME"/>
              </w:rPr>
              <w:t>150</w:t>
            </w:r>
          </w:p>
        </w:tc>
        <w:tc>
          <w:tcPr>
            <w:tcW w:w="3021" w:type="dxa"/>
          </w:tcPr>
          <w:p w14:paraId="3BA3BF42" w14:textId="77777777" w:rsidR="002612E0" w:rsidRPr="006E2CA6" w:rsidRDefault="002612E0" w:rsidP="00304460">
            <w:pPr>
              <w:tabs>
                <w:tab w:val="left" w:pos="540"/>
                <w:tab w:val="left" w:pos="569"/>
              </w:tabs>
              <w:rPr>
                <w:sz w:val="22"/>
                <w:szCs w:val="22"/>
                <w:lang w:val="sr-Latn-ME"/>
              </w:rPr>
            </w:pPr>
            <w:r w:rsidRPr="006E2CA6">
              <w:rPr>
                <w:sz w:val="22"/>
                <w:szCs w:val="22"/>
                <w:lang w:val="sr-Latn-ME"/>
              </w:rPr>
              <w:t>360</w:t>
            </w:r>
          </w:p>
        </w:tc>
      </w:tr>
      <w:tr w:rsidR="002612E0" w:rsidRPr="006E2CA6" w14:paraId="0D514389" w14:textId="77777777" w:rsidTr="002612E0">
        <w:tc>
          <w:tcPr>
            <w:tcW w:w="3021" w:type="dxa"/>
          </w:tcPr>
          <w:p w14:paraId="07E06854" w14:textId="77777777" w:rsidR="002612E0" w:rsidRPr="006E2CA6" w:rsidRDefault="00E77A88" w:rsidP="00304460">
            <w:pPr>
              <w:tabs>
                <w:tab w:val="left" w:pos="540"/>
                <w:tab w:val="left" w:pos="569"/>
              </w:tabs>
              <w:rPr>
                <w:sz w:val="22"/>
                <w:szCs w:val="22"/>
                <w:lang w:val="sr-Latn-ME"/>
              </w:rPr>
            </w:pPr>
            <w:r w:rsidRPr="006E2CA6">
              <w:rPr>
                <w:sz w:val="22"/>
                <w:szCs w:val="22"/>
                <w:lang w:val="sr-Latn-ME"/>
              </w:rPr>
              <w:t>9000000</w:t>
            </w:r>
          </w:p>
        </w:tc>
        <w:tc>
          <w:tcPr>
            <w:tcW w:w="3021" w:type="dxa"/>
          </w:tcPr>
          <w:p w14:paraId="470F2506" w14:textId="77777777" w:rsidR="002612E0" w:rsidRPr="006E2CA6" w:rsidRDefault="00E77A88" w:rsidP="00304460">
            <w:pPr>
              <w:tabs>
                <w:tab w:val="left" w:pos="540"/>
                <w:tab w:val="left" w:pos="569"/>
              </w:tabs>
              <w:rPr>
                <w:sz w:val="22"/>
                <w:szCs w:val="22"/>
                <w:lang w:val="sr-Latn-ME"/>
              </w:rPr>
            </w:pPr>
            <w:r w:rsidRPr="006E2CA6">
              <w:rPr>
                <w:sz w:val="22"/>
                <w:szCs w:val="22"/>
                <w:lang w:val="sr-Latn-ME"/>
              </w:rPr>
              <w:t>300</w:t>
            </w:r>
          </w:p>
        </w:tc>
        <w:tc>
          <w:tcPr>
            <w:tcW w:w="3021" w:type="dxa"/>
          </w:tcPr>
          <w:p w14:paraId="2B0C2E19" w14:textId="77777777" w:rsidR="002612E0" w:rsidRPr="006E2CA6" w:rsidRDefault="002612E0" w:rsidP="00304460">
            <w:pPr>
              <w:tabs>
                <w:tab w:val="left" w:pos="540"/>
                <w:tab w:val="left" w:pos="569"/>
              </w:tabs>
              <w:rPr>
                <w:sz w:val="22"/>
                <w:szCs w:val="22"/>
                <w:lang w:val="sr-Latn-ME"/>
              </w:rPr>
            </w:pPr>
            <w:r w:rsidRPr="006E2CA6">
              <w:rPr>
                <w:sz w:val="22"/>
                <w:szCs w:val="22"/>
                <w:lang w:val="sr-Latn-ME"/>
              </w:rPr>
              <w:t>720</w:t>
            </w:r>
          </w:p>
        </w:tc>
      </w:tr>
    </w:tbl>
    <w:p w14:paraId="01989911" w14:textId="77777777" w:rsidR="002612E0" w:rsidRPr="006E2CA6" w:rsidRDefault="00E77A88" w:rsidP="00304460">
      <w:pPr>
        <w:tabs>
          <w:tab w:val="left" w:pos="540"/>
          <w:tab w:val="left" w:pos="569"/>
        </w:tabs>
        <w:rPr>
          <w:sz w:val="22"/>
          <w:szCs w:val="22"/>
          <w:lang w:val="sr-Latn-ME"/>
        </w:rPr>
      </w:pPr>
      <w:r w:rsidRPr="006E2CA6">
        <w:rPr>
          <w:sz w:val="22"/>
          <w:szCs w:val="22"/>
          <w:lang w:val="sr-Latn-ME"/>
        </w:rPr>
        <w:t>* Nominala jačina aktivne supstance = 12 500 i.j./mg</w:t>
      </w:r>
    </w:p>
    <w:p w14:paraId="5634E0CA" w14:textId="77777777" w:rsidR="002612E0" w:rsidRPr="006E2CA6" w:rsidRDefault="002612E0" w:rsidP="00304460">
      <w:pPr>
        <w:tabs>
          <w:tab w:val="left" w:pos="540"/>
          <w:tab w:val="left" w:pos="569"/>
        </w:tabs>
        <w:rPr>
          <w:bCs/>
          <w:sz w:val="22"/>
          <w:szCs w:val="22"/>
          <w:lang w:val="sr-Latn-ME"/>
        </w:rPr>
      </w:pPr>
    </w:p>
    <w:p w14:paraId="3A76DCBF" w14:textId="77777777" w:rsidR="00411B4B" w:rsidRPr="006E2CA6" w:rsidRDefault="00411B4B" w:rsidP="00304460">
      <w:pPr>
        <w:tabs>
          <w:tab w:val="left" w:pos="540"/>
          <w:tab w:val="left" w:pos="569"/>
        </w:tabs>
        <w:rPr>
          <w:b/>
          <w:bCs/>
          <w:sz w:val="22"/>
          <w:szCs w:val="22"/>
          <w:lang w:val="sr-Latn-ME"/>
        </w:rPr>
      </w:pPr>
      <w:r w:rsidRPr="006E2CA6">
        <w:rPr>
          <w:b/>
          <w:bCs/>
          <w:sz w:val="22"/>
          <w:szCs w:val="22"/>
          <w:lang w:val="sr-Latn-ME"/>
        </w:rPr>
        <w:t xml:space="preserve">4.3. </w:t>
      </w:r>
      <w:r w:rsidR="00480FB1" w:rsidRPr="006E2CA6">
        <w:rPr>
          <w:b/>
          <w:bCs/>
          <w:sz w:val="22"/>
          <w:szCs w:val="22"/>
          <w:lang w:val="sr-Latn-ME"/>
        </w:rPr>
        <w:tab/>
      </w:r>
      <w:r w:rsidRPr="006E2CA6">
        <w:rPr>
          <w:b/>
          <w:bCs/>
          <w:sz w:val="22"/>
          <w:szCs w:val="22"/>
          <w:lang w:val="sr-Latn-ME"/>
        </w:rPr>
        <w:t>Kontraindikacije</w:t>
      </w:r>
    </w:p>
    <w:p w14:paraId="7CFF67EB" w14:textId="77777777" w:rsidR="00E77A88" w:rsidRPr="006E2CA6" w:rsidRDefault="00E77A88" w:rsidP="00304460">
      <w:pPr>
        <w:tabs>
          <w:tab w:val="left" w:pos="540"/>
          <w:tab w:val="left" w:pos="569"/>
        </w:tabs>
        <w:rPr>
          <w:b/>
          <w:bCs/>
          <w:sz w:val="22"/>
          <w:szCs w:val="22"/>
          <w:lang w:val="sr-Latn-ME"/>
        </w:rPr>
      </w:pPr>
    </w:p>
    <w:p w14:paraId="6D42AF16" w14:textId="1BDC2D9F" w:rsidR="0072020E" w:rsidRPr="006E2CA6" w:rsidRDefault="00E77A88" w:rsidP="00304460">
      <w:pPr>
        <w:tabs>
          <w:tab w:val="left" w:pos="540"/>
          <w:tab w:val="left" w:pos="569"/>
        </w:tabs>
        <w:rPr>
          <w:bCs/>
          <w:sz w:val="22"/>
          <w:szCs w:val="22"/>
          <w:lang w:val="sr-Latn-ME"/>
        </w:rPr>
      </w:pPr>
      <w:r w:rsidRPr="006E2CA6">
        <w:rPr>
          <w:bCs/>
          <w:sz w:val="22"/>
          <w:szCs w:val="22"/>
          <w:lang w:val="sr-Latn-ME"/>
        </w:rPr>
        <w:t>Preosjetljivost na aktivnu supstancu, kolistin ili na polimiksin B.</w:t>
      </w:r>
    </w:p>
    <w:p w14:paraId="3243BDA1" w14:textId="77777777" w:rsidR="00E77A88" w:rsidRPr="006E2CA6" w:rsidRDefault="00E77A88" w:rsidP="00304460">
      <w:pPr>
        <w:tabs>
          <w:tab w:val="left" w:pos="540"/>
          <w:tab w:val="left" w:pos="569"/>
        </w:tabs>
        <w:rPr>
          <w:bCs/>
          <w:sz w:val="22"/>
          <w:szCs w:val="22"/>
          <w:lang w:val="sr-Latn-ME"/>
        </w:rPr>
      </w:pPr>
    </w:p>
    <w:p w14:paraId="6BCE8CD9" w14:textId="77777777" w:rsidR="00411B4B" w:rsidRPr="006E2CA6" w:rsidRDefault="00411B4B" w:rsidP="00304460">
      <w:pPr>
        <w:tabs>
          <w:tab w:val="left" w:pos="540"/>
          <w:tab w:val="left" w:pos="569"/>
        </w:tabs>
        <w:rPr>
          <w:b/>
          <w:bCs/>
          <w:sz w:val="22"/>
          <w:szCs w:val="22"/>
          <w:lang w:val="sr-Latn-ME"/>
        </w:rPr>
      </w:pPr>
      <w:r w:rsidRPr="006E2CA6">
        <w:rPr>
          <w:b/>
          <w:bCs/>
          <w:sz w:val="22"/>
          <w:szCs w:val="22"/>
          <w:lang w:val="sr-Latn-ME"/>
        </w:rPr>
        <w:t xml:space="preserve">4.4. </w:t>
      </w:r>
      <w:r w:rsidR="00480FB1" w:rsidRPr="006E2CA6">
        <w:rPr>
          <w:b/>
          <w:bCs/>
          <w:sz w:val="22"/>
          <w:szCs w:val="22"/>
          <w:lang w:val="sr-Latn-ME"/>
        </w:rPr>
        <w:tab/>
      </w:r>
      <w:r w:rsidRPr="006E2CA6">
        <w:rPr>
          <w:b/>
          <w:bCs/>
          <w:sz w:val="22"/>
          <w:szCs w:val="22"/>
          <w:lang w:val="sr-Latn-ME"/>
        </w:rPr>
        <w:t>Posebna upozorenja i mjere opreza pri upotrebi lijeka</w:t>
      </w:r>
    </w:p>
    <w:p w14:paraId="6DFE45FC" w14:textId="77777777" w:rsidR="0072020E" w:rsidRPr="006E2CA6" w:rsidRDefault="0072020E" w:rsidP="00304460">
      <w:pPr>
        <w:tabs>
          <w:tab w:val="left" w:pos="540"/>
          <w:tab w:val="left" w:pos="569"/>
        </w:tabs>
        <w:rPr>
          <w:bCs/>
          <w:sz w:val="22"/>
          <w:szCs w:val="22"/>
          <w:lang w:val="sr-Latn-ME"/>
        </w:rPr>
      </w:pPr>
    </w:p>
    <w:p w14:paraId="4ECFB6C7" w14:textId="1931AB03" w:rsidR="008241E8"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Kada god je to moguće, potrebno je razmotriti prim</w:t>
      </w:r>
      <w:r w:rsidR="00D27786" w:rsidRPr="006E2CA6">
        <w:rPr>
          <w:sz w:val="22"/>
          <w:szCs w:val="22"/>
          <w:lang w:val="sr-Latn-ME"/>
        </w:rPr>
        <w:t>j</w:t>
      </w:r>
      <w:r w:rsidRPr="006E2CA6">
        <w:rPr>
          <w:sz w:val="22"/>
          <w:szCs w:val="22"/>
          <w:lang w:val="sr-Latn-ME"/>
        </w:rPr>
        <w:t xml:space="preserve">enu intravenskog </w:t>
      </w:r>
      <w:r w:rsidR="00D27786" w:rsidRPr="006E2CA6">
        <w:rPr>
          <w:sz w:val="22"/>
          <w:szCs w:val="22"/>
          <w:lang w:val="sr-Latn-ME"/>
        </w:rPr>
        <w:t>kolisti</w:t>
      </w:r>
      <w:r w:rsidR="002E22AF" w:rsidRPr="006E2CA6">
        <w:rPr>
          <w:sz w:val="22"/>
          <w:szCs w:val="22"/>
          <w:lang w:val="sr-Latn-ME"/>
        </w:rPr>
        <w:t xml:space="preserve">metat </w:t>
      </w:r>
      <w:r w:rsidR="009F1DEC" w:rsidRPr="006E2CA6">
        <w:rPr>
          <w:sz w:val="22"/>
          <w:szCs w:val="22"/>
          <w:lang w:val="sr-Latn-ME"/>
        </w:rPr>
        <w:t>natrijuma</w:t>
      </w:r>
      <w:r w:rsidRPr="006E2CA6">
        <w:rPr>
          <w:sz w:val="22"/>
          <w:szCs w:val="22"/>
          <w:lang w:val="sr-Latn-ME"/>
        </w:rPr>
        <w:t xml:space="preserve"> istovremeno sa drugim antibakterijskim lijekom, uzimajući u obzir preostalu os</w:t>
      </w:r>
      <w:r w:rsidR="00546321" w:rsidRPr="006E2CA6">
        <w:rPr>
          <w:sz w:val="22"/>
          <w:szCs w:val="22"/>
          <w:lang w:val="sr-Latn-ME"/>
        </w:rPr>
        <w:t>j</w:t>
      </w:r>
      <w:r w:rsidRPr="006E2CA6">
        <w:rPr>
          <w:sz w:val="22"/>
          <w:szCs w:val="22"/>
          <w:lang w:val="sr-Latn-ME"/>
        </w:rPr>
        <w:t>etljivost patogena koji se l</w:t>
      </w:r>
      <w:r w:rsidR="008241E8" w:rsidRPr="006E2CA6">
        <w:rPr>
          <w:sz w:val="22"/>
          <w:szCs w:val="22"/>
          <w:lang w:val="sr-Latn-ME"/>
        </w:rPr>
        <w:t>ij</w:t>
      </w:r>
      <w:r w:rsidRPr="006E2CA6">
        <w:rPr>
          <w:sz w:val="22"/>
          <w:szCs w:val="22"/>
          <w:lang w:val="sr-Latn-ME"/>
        </w:rPr>
        <w:t>eči. Budući da je prijavljen razvoj rezistencije na intravenski prim</w:t>
      </w:r>
      <w:r w:rsidR="008241E8" w:rsidRPr="006E2CA6">
        <w:rPr>
          <w:sz w:val="22"/>
          <w:szCs w:val="22"/>
          <w:lang w:val="sr-Latn-ME"/>
        </w:rPr>
        <w:t>ij</w:t>
      </w:r>
      <w:r w:rsidRPr="006E2CA6">
        <w:rPr>
          <w:sz w:val="22"/>
          <w:szCs w:val="22"/>
          <w:lang w:val="sr-Latn-ME"/>
        </w:rPr>
        <w:t>enjen kolisti</w:t>
      </w:r>
      <w:r w:rsidR="00F33AED" w:rsidRPr="006E2CA6">
        <w:rPr>
          <w:sz w:val="22"/>
          <w:szCs w:val="22"/>
          <w:lang w:val="sr-Latn-ME"/>
        </w:rPr>
        <w:t>metat natrijum</w:t>
      </w:r>
      <w:r w:rsidRPr="006E2CA6">
        <w:rPr>
          <w:sz w:val="22"/>
          <w:szCs w:val="22"/>
          <w:lang w:val="sr-Latn-ME"/>
        </w:rPr>
        <w:t>, naročito ukoliko se prim</w:t>
      </w:r>
      <w:r w:rsidR="00546321" w:rsidRPr="006E2CA6">
        <w:rPr>
          <w:sz w:val="22"/>
          <w:szCs w:val="22"/>
          <w:lang w:val="sr-Latn-ME"/>
        </w:rPr>
        <w:t>j</w:t>
      </w:r>
      <w:r w:rsidRPr="006E2CA6">
        <w:rPr>
          <w:sz w:val="22"/>
          <w:szCs w:val="22"/>
          <w:lang w:val="sr-Latn-ME"/>
        </w:rPr>
        <w:t>enjuje kao monoterapija, istovremenu prim</w:t>
      </w:r>
      <w:r w:rsidR="008241E8" w:rsidRPr="006E2CA6">
        <w:rPr>
          <w:sz w:val="22"/>
          <w:szCs w:val="22"/>
          <w:lang w:val="sr-Latn-ME"/>
        </w:rPr>
        <w:t>j</w:t>
      </w:r>
      <w:r w:rsidRPr="006E2CA6">
        <w:rPr>
          <w:sz w:val="22"/>
          <w:szCs w:val="22"/>
          <w:lang w:val="sr-Latn-ME"/>
        </w:rPr>
        <w:t>enu sa drugim antibakterijskim lijekom potrebno je razmotriti u cilju spr</w:t>
      </w:r>
      <w:r w:rsidR="00D27786" w:rsidRPr="006E2CA6">
        <w:rPr>
          <w:sz w:val="22"/>
          <w:szCs w:val="22"/>
          <w:lang w:val="sr-Latn-ME"/>
        </w:rPr>
        <w:t>j</w:t>
      </w:r>
      <w:r w:rsidRPr="006E2CA6">
        <w:rPr>
          <w:sz w:val="22"/>
          <w:szCs w:val="22"/>
          <w:lang w:val="sr-Latn-ME"/>
        </w:rPr>
        <w:t xml:space="preserve">ečavanja razvoja rezistencije. </w:t>
      </w:r>
    </w:p>
    <w:p w14:paraId="5451C33A" w14:textId="79910B5B" w:rsidR="008241E8"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Klinički podaci o efikasnosti i bezb</w:t>
      </w:r>
      <w:r w:rsidR="008241E8" w:rsidRPr="006E2CA6">
        <w:rPr>
          <w:sz w:val="22"/>
          <w:szCs w:val="22"/>
          <w:lang w:val="sr-Latn-ME"/>
        </w:rPr>
        <w:t>j</w:t>
      </w:r>
      <w:r w:rsidRPr="006E2CA6">
        <w:rPr>
          <w:sz w:val="22"/>
          <w:szCs w:val="22"/>
          <w:lang w:val="sr-Latn-ME"/>
        </w:rPr>
        <w:t>ednosti intravenski prim</w:t>
      </w:r>
      <w:r w:rsidR="009F1DEC" w:rsidRPr="006E2CA6">
        <w:rPr>
          <w:sz w:val="22"/>
          <w:szCs w:val="22"/>
          <w:lang w:val="sr-Latn-ME"/>
        </w:rPr>
        <w:t>ij</w:t>
      </w:r>
      <w:r w:rsidRPr="006E2CA6">
        <w:rPr>
          <w:sz w:val="22"/>
          <w:szCs w:val="22"/>
          <w:lang w:val="sr-Latn-ME"/>
        </w:rPr>
        <w:t>enjenog kolistimetat</w:t>
      </w:r>
      <w:r w:rsidR="009F1DEC" w:rsidRPr="006E2CA6">
        <w:rPr>
          <w:sz w:val="22"/>
          <w:szCs w:val="22"/>
          <w:lang w:val="sr-Latn-ME"/>
        </w:rPr>
        <w:t>-</w:t>
      </w:r>
      <w:r w:rsidRPr="006E2CA6">
        <w:rPr>
          <w:sz w:val="22"/>
          <w:szCs w:val="22"/>
          <w:lang w:val="sr-Latn-ME"/>
        </w:rPr>
        <w:t>natrijuma su ograničeni.</w:t>
      </w:r>
      <w:r w:rsidR="00D27786" w:rsidRPr="006E2CA6">
        <w:rPr>
          <w:sz w:val="22"/>
          <w:szCs w:val="22"/>
          <w:lang w:val="sr-Latn-ME"/>
        </w:rPr>
        <w:t xml:space="preserve"> </w:t>
      </w:r>
      <w:r w:rsidRPr="006E2CA6">
        <w:rPr>
          <w:sz w:val="22"/>
          <w:szCs w:val="22"/>
          <w:lang w:val="sr-Latn-ME"/>
        </w:rPr>
        <w:t>Preporučene doze u svim subpopulacijama se takođe baziraju na ograničenim podacima (kliničkim i farmakokinetičkim/farmakodinamskim podacima). Naročito su ograničeni podaci o bezb</w:t>
      </w:r>
      <w:r w:rsidR="008241E8" w:rsidRPr="006E2CA6">
        <w:rPr>
          <w:sz w:val="22"/>
          <w:szCs w:val="22"/>
          <w:lang w:val="sr-Latn-ME"/>
        </w:rPr>
        <w:t>j</w:t>
      </w:r>
      <w:r w:rsidRPr="006E2CA6">
        <w:rPr>
          <w:sz w:val="22"/>
          <w:szCs w:val="22"/>
          <w:lang w:val="sr-Latn-ME"/>
        </w:rPr>
        <w:t>ednosti prim</w:t>
      </w:r>
      <w:r w:rsidR="008241E8" w:rsidRPr="006E2CA6">
        <w:rPr>
          <w:sz w:val="22"/>
          <w:szCs w:val="22"/>
          <w:lang w:val="sr-Latn-ME"/>
        </w:rPr>
        <w:t>j</w:t>
      </w:r>
      <w:r w:rsidRPr="006E2CA6">
        <w:rPr>
          <w:sz w:val="22"/>
          <w:szCs w:val="22"/>
          <w:lang w:val="sr-Latn-ME"/>
        </w:rPr>
        <w:t xml:space="preserve">ene visokih doza (&gt;6 </w:t>
      </w:r>
      <w:r w:rsidR="00F33AED" w:rsidRPr="006E2CA6">
        <w:rPr>
          <w:sz w:val="22"/>
          <w:szCs w:val="22"/>
          <w:lang w:val="sr-Latn-ME"/>
        </w:rPr>
        <w:t>miliona</w:t>
      </w:r>
      <w:r w:rsidR="00D27786" w:rsidRPr="006E2CA6">
        <w:rPr>
          <w:sz w:val="22"/>
          <w:szCs w:val="22"/>
          <w:lang w:val="sr-Latn-ME"/>
        </w:rPr>
        <w:t xml:space="preserve"> </w:t>
      </w:r>
      <w:r w:rsidRPr="006E2CA6">
        <w:rPr>
          <w:sz w:val="22"/>
          <w:szCs w:val="22"/>
          <w:lang w:val="sr-Latn-ME"/>
        </w:rPr>
        <w:t>i.j./dan) i prim</w:t>
      </w:r>
      <w:r w:rsidR="008241E8" w:rsidRPr="006E2CA6">
        <w:rPr>
          <w:sz w:val="22"/>
          <w:szCs w:val="22"/>
          <w:lang w:val="sr-Latn-ME"/>
        </w:rPr>
        <w:t>j</w:t>
      </w:r>
      <w:r w:rsidRPr="006E2CA6">
        <w:rPr>
          <w:sz w:val="22"/>
          <w:szCs w:val="22"/>
          <w:lang w:val="sr-Latn-ME"/>
        </w:rPr>
        <w:t>ene udarne doze, kao i kod posebnih populacija (pacijenti sa oštećenom funkcijom bubrega</w:t>
      </w:r>
      <w:r w:rsidR="008241E8" w:rsidRPr="006E2CA6">
        <w:rPr>
          <w:sz w:val="22"/>
          <w:szCs w:val="22"/>
          <w:lang w:val="sr-Latn-ME"/>
        </w:rPr>
        <w:t xml:space="preserve"> </w:t>
      </w:r>
      <w:r w:rsidRPr="006E2CA6">
        <w:rPr>
          <w:sz w:val="22"/>
          <w:szCs w:val="22"/>
          <w:lang w:val="sr-Latn-ME"/>
        </w:rPr>
        <w:t xml:space="preserve">i pedijatrijska populacija). </w:t>
      </w:r>
      <w:r w:rsidR="00D27786" w:rsidRPr="006E2CA6">
        <w:rPr>
          <w:sz w:val="22"/>
          <w:szCs w:val="22"/>
          <w:lang w:val="sr-Latn-ME"/>
        </w:rPr>
        <w:t>Kolisti</w:t>
      </w:r>
      <w:r w:rsidR="002E22AF" w:rsidRPr="006E2CA6">
        <w:rPr>
          <w:sz w:val="22"/>
          <w:szCs w:val="22"/>
          <w:lang w:val="sr-Latn-ME"/>
        </w:rPr>
        <w:t xml:space="preserve">metat </w:t>
      </w:r>
      <w:r w:rsidR="009F1DEC" w:rsidRPr="006E2CA6">
        <w:rPr>
          <w:sz w:val="22"/>
          <w:szCs w:val="22"/>
          <w:lang w:val="sr-Latn-ME"/>
        </w:rPr>
        <w:t>natrijum</w:t>
      </w:r>
      <w:r w:rsidR="00D27786" w:rsidRPr="006E2CA6">
        <w:rPr>
          <w:sz w:val="22"/>
          <w:szCs w:val="22"/>
          <w:lang w:val="sr-Latn-ME"/>
        </w:rPr>
        <w:t xml:space="preserve"> bi trebalo</w:t>
      </w:r>
      <w:r w:rsidRPr="006E2CA6">
        <w:rPr>
          <w:sz w:val="22"/>
          <w:szCs w:val="22"/>
          <w:lang w:val="sr-Latn-ME"/>
        </w:rPr>
        <w:t xml:space="preserve"> prim</w:t>
      </w:r>
      <w:r w:rsidR="008241E8" w:rsidRPr="006E2CA6">
        <w:rPr>
          <w:sz w:val="22"/>
          <w:szCs w:val="22"/>
          <w:lang w:val="sr-Latn-ME"/>
        </w:rPr>
        <w:t>j</w:t>
      </w:r>
      <w:r w:rsidRPr="006E2CA6">
        <w:rPr>
          <w:sz w:val="22"/>
          <w:szCs w:val="22"/>
          <w:lang w:val="sr-Latn-ME"/>
        </w:rPr>
        <w:t>enjivati samo kada drugi, češće propisivani antibiotici ni</w:t>
      </w:r>
      <w:r w:rsidR="00D27786" w:rsidRPr="006E2CA6">
        <w:rPr>
          <w:sz w:val="22"/>
          <w:szCs w:val="22"/>
          <w:lang w:val="sr-Latn-ME"/>
        </w:rPr>
        <w:t>je</w:t>
      </w:r>
      <w:r w:rsidRPr="006E2CA6">
        <w:rPr>
          <w:sz w:val="22"/>
          <w:szCs w:val="22"/>
          <w:lang w:val="sr-Latn-ME"/>
        </w:rPr>
        <w:t xml:space="preserve">su efikasni ili odgovarajući. </w:t>
      </w:r>
    </w:p>
    <w:p w14:paraId="5FBB7C22" w14:textId="67C9E37F" w:rsidR="008241E8"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Potrebno je praćenje funkcije bubrega na početku terapije i redovno za vr</w:t>
      </w:r>
      <w:r w:rsidR="008241E8" w:rsidRPr="006E2CA6">
        <w:rPr>
          <w:sz w:val="22"/>
          <w:szCs w:val="22"/>
          <w:lang w:val="sr-Latn-ME"/>
        </w:rPr>
        <w:t>ij</w:t>
      </w:r>
      <w:r w:rsidRPr="006E2CA6">
        <w:rPr>
          <w:sz w:val="22"/>
          <w:szCs w:val="22"/>
          <w:lang w:val="sr-Latn-ME"/>
        </w:rPr>
        <w:t xml:space="preserve">eme trajanja terapije kod svih pacijenata. Dozu </w:t>
      </w:r>
      <w:r w:rsidR="00930A6E" w:rsidRPr="006E2CA6">
        <w:rPr>
          <w:sz w:val="22"/>
          <w:szCs w:val="22"/>
          <w:lang w:val="sr-Latn-ME"/>
        </w:rPr>
        <w:t xml:space="preserve">kolistimetat </w:t>
      </w:r>
      <w:r w:rsidR="009F1DEC" w:rsidRPr="006E2CA6">
        <w:rPr>
          <w:sz w:val="22"/>
          <w:szCs w:val="22"/>
          <w:lang w:val="sr-Latn-ME"/>
        </w:rPr>
        <w:t xml:space="preserve">natrijuma </w:t>
      </w:r>
      <w:r w:rsidRPr="006E2CA6">
        <w:rPr>
          <w:sz w:val="22"/>
          <w:szCs w:val="22"/>
          <w:lang w:val="sr-Latn-ME"/>
        </w:rPr>
        <w:t>je potrebno prilagoditi u skladu sa klirensom kreatinina (vid</w:t>
      </w:r>
      <w:r w:rsidR="008241E8" w:rsidRPr="006E2CA6">
        <w:rPr>
          <w:sz w:val="22"/>
          <w:szCs w:val="22"/>
          <w:lang w:val="sr-Latn-ME"/>
        </w:rPr>
        <w:t>j</w:t>
      </w:r>
      <w:r w:rsidRPr="006E2CA6">
        <w:rPr>
          <w:sz w:val="22"/>
          <w:szCs w:val="22"/>
          <w:lang w:val="sr-Latn-ME"/>
        </w:rPr>
        <w:t xml:space="preserve">eti </w:t>
      </w:r>
      <w:r w:rsidR="00D27786" w:rsidRPr="006E2CA6">
        <w:rPr>
          <w:sz w:val="22"/>
          <w:szCs w:val="22"/>
          <w:lang w:val="sr-Latn-ME"/>
        </w:rPr>
        <w:t xml:space="preserve">dio </w:t>
      </w:r>
      <w:r w:rsidRPr="006E2CA6">
        <w:rPr>
          <w:sz w:val="22"/>
          <w:szCs w:val="22"/>
          <w:lang w:val="sr-Latn-ME"/>
        </w:rPr>
        <w:t>4.2). Kod pacijenata sa hipovolemijom ili pacijenata koji primaju druge potencijalno nefrotoksične ljekove postoji povećan rizik od nefrotoksičnosti kolistina (vid</w:t>
      </w:r>
      <w:r w:rsidR="008241E8" w:rsidRPr="006E2CA6">
        <w:rPr>
          <w:sz w:val="22"/>
          <w:szCs w:val="22"/>
          <w:lang w:val="sr-Latn-ME"/>
        </w:rPr>
        <w:t>j</w:t>
      </w:r>
      <w:r w:rsidRPr="006E2CA6">
        <w:rPr>
          <w:sz w:val="22"/>
          <w:szCs w:val="22"/>
          <w:lang w:val="sr-Latn-ME"/>
        </w:rPr>
        <w:t xml:space="preserve">eti </w:t>
      </w:r>
      <w:r w:rsidR="00D27786" w:rsidRPr="006E2CA6">
        <w:rPr>
          <w:sz w:val="22"/>
          <w:szCs w:val="22"/>
          <w:lang w:val="sr-Latn-ME"/>
        </w:rPr>
        <w:t xml:space="preserve">dio </w:t>
      </w:r>
      <w:r w:rsidRPr="006E2CA6">
        <w:rPr>
          <w:sz w:val="22"/>
          <w:szCs w:val="22"/>
          <w:lang w:val="sr-Latn-ME"/>
        </w:rPr>
        <w:t>4.5 i 4.8).</w:t>
      </w:r>
      <w:r w:rsidR="00D27786" w:rsidRPr="006E2CA6">
        <w:rPr>
          <w:sz w:val="22"/>
          <w:szCs w:val="22"/>
          <w:lang w:val="sr-Latn-ME"/>
        </w:rPr>
        <w:t xml:space="preserve"> </w:t>
      </w:r>
      <w:r w:rsidRPr="006E2CA6">
        <w:rPr>
          <w:sz w:val="22"/>
          <w:szCs w:val="22"/>
          <w:lang w:val="sr-Latn-ME"/>
        </w:rPr>
        <w:t xml:space="preserve">U nekim ispitivanjima </w:t>
      </w:r>
      <w:r w:rsidRPr="006E2CA6">
        <w:rPr>
          <w:sz w:val="22"/>
          <w:szCs w:val="22"/>
          <w:lang w:val="sr-Latn-ME"/>
        </w:rPr>
        <w:lastRenderedPageBreak/>
        <w:t>je prijavljeno da je nefrotoksičnost povezana sa kumulativnom dozom i trajanjem terapije. Korist dugotrajne terapije je potrebno proc</w:t>
      </w:r>
      <w:r w:rsidR="008241E8" w:rsidRPr="006E2CA6">
        <w:rPr>
          <w:sz w:val="22"/>
          <w:szCs w:val="22"/>
          <w:lang w:val="sr-Latn-ME"/>
        </w:rPr>
        <w:t>ij</w:t>
      </w:r>
      <w:r w:rsidRPr="006E2CA6">
        <w:rPr>
          <w:sz w:val="22"/>
          <w:szCs w:val="22"/>
          <w:lang w:val="sr-Latn-ME"/>
        </w:rPr>
        <w:t xml:space="preserve">eniti u odnosu na potencijalno povećan rizik od </w:t>
      </w:r>
      <w:r w:rsidR="00D27786" w:rsidRPr="006E2CA6">
        <w:rPr>
          <w:sz w:val="22"/>
          <w:szCs w:val="22"/>
          <w:lang w:val="sr-Latn-ME"/>
        </w:rPr>
        <w:t xml:space="preserve">renalne </w:t>
      </w:r>
      <w:r w:rsidRPr="006E2CA6">
        <w:rPr>
          <w:sz w:val="22"/>
          <w:szCs w:val="22"/>
          <w:lang w:val="sr-Latn-ME"/>
        </w:rPr>
        <w:t>toksičnosti.</w:t>
      </w:r>
    </w:p>
    <w:p w14:paraId="18B38CC5" w14:textId="5BC9FC50" w:rsidR="00D27786" w:rsidRPr="006E2CA6" w:rsidRDefault="00D27786" w:rsidP="00304460">
      <w:pPr>
        <w:tabs>
          <w:tab w:val="left" w:pos="540"/>
          <w:tab w:val="left" w:pos="569"/>
        </w:tabs>
        <w:spacing w:after="240"/>
        <w:jc w:val="both"/>
        <w:rPr>
          <w:sz w:val="22"/>
          <w:szCs w:val="22"/>
          <w:lang w:val="sr-Latn-ME"/>
        </w:rPr>
      </w:pPr>
      <w:r w:rsidRPr="006E2CA6">
        <w:rPr>
          <w:sz w:val="22"/>
          <w:szCs w:val="22"/>
          <w:lang w:val="sr-Latn-ME"/>
        </w:rPr>
        <w:t xml:space="preserve">Nekoliko slučajeva </w:t>
      </w:r>
      <w:r w:rsidR="006E6C25" w:rsidRPr="00304460">
        <w:rPr>
          <w:sz w:val="22"/>
          <w:szCs w:val="22"/>
          <w:lang w:val="sr-Latn-ME"/>
        </w:rPr>
        <w:t>p</w:t>
      </w:r>
      <w:r w:rsidR="0002126B" w:rsidRPr="006E2CA6">
        <w:rPr>
          <w:sz w:val="22"/>
          <w:szCs w:val="22"/>
          <w:lang w:val="sr-Latn-ME"/>
        </w:rPr>
        <w:t>seudo</w:t>
      </w:r>
      <w:r w:rsidRPr="006E2CA6">
        <w:rPr>
          <w:sz w:val="22"/>
          <w:szCs w:val="22"/>
          <w:lang w:val="sr-Latn-ME"/>
        </w:rPr>
        <w:t>-Bartter</w:t>
      </w:r>
      <w:r w:rsidR="0002126B" w:rsidRPr="00304460">
        <w:rPr>
          <w:sz w:val="22"/>
          <w:szCs w:val="22"/>
          <w:lang w:val="sr-Latn-ME"/>
        </w:rPr>
        <w:t>-</w:t>
      </w:r>
      <w:r w:rsidRPr="006E2CA6">
        <w:rPr>
          <w:sz w:val="22"/>
          <w:szCs w:val="22"/>
          <w:lang w:val="sr-Latn-ME"/>
        </w:rPr>
        <w:t>ovog</w:t>
      </w:r>
      <w:r w:rsidRPr="00304460">
        <w:rPr>
          <w:i/>
          <w:sz w:val="22"/>
          <w:szCs w:val="22"/>
          <w:lang w:val="sr-Latn-ME"/>
        </w:rPr>
        <w:t xml:space="preserve"> </w:t>
      </w:r>
      <w:r w:rsidRPr="006E2CA6">
        <w:rPr>
          <w:sz w:val="22"/>
          <w:szCs w:val="22"/>
          <w:lang w:val="sr-Latn-ME"/>
        </w:rPr>
        <w:t xml:space="preserve">sindroma zabilježeno je kod djece i odraslih pri intravenskoj upotrebi </w:t>
      </w:r>
      <w:r w:rsidR="00930A6E" w:rsidRPr="006E2CA6">
        <w:rPr>
          <w:sz w:val="22"/>
          <w:szCs w:val="22"/>
          <w:lang w:val="sr-Latn-ME"/>
        </w:rPr>
        <w:t xml:space="preserve">kolistimetat </w:t>
      </w:r>
      <w:r w:rsidR="009F1DEC" w:rsidRPr="006E2CA6">
        <w:rPr>
          <w:sz w:val="22"/>
          <w:szCs w:val="22"/>
          <w:lang w:val="sr-Latn-ME"/>
        </w:rPr>
        <w:t>natrijuma</w:t>
      </w:r>
      <w:r w:rsidRPr="006E2CA6">
        <w:rPr>
          <w:sz w:val="22"/>
          <w:szCs w:val="22"/>
          <w:lang w:val="sr-Latn-ME"/>
        </w:rPr>
        <w:t xml:space="preserve">. U sumnjivim slučajevima treba započeti praćenje nivoa elektrolita u serumu i primijeniti odgovarajuće liječenje. Međutim, normalizacija poremećaja elektrolita možda neće biti postignuta bez obustavljanja primjene </w:t>
      </w:r>
      <w:r w:rsidR="00930A6E" w:rsidRPr="006E2CA6">
        <w:rPr>
          <w:sz w:val="22"/>
          <w:szCs w:val="22"/>
          <w:lang w:val="sr-Latn-ME"/>
        </w:rPr>
        <w:t xml:space="preserve">kolistimetat </w:t>
      </w:r>
      <w:r w:rsidR="009F1DEC" w:rsidRPr="006E2CA6">
        <w:rPr>
          <w:sz w:val="22"/>
          <w:szCs w:val="22"/>
          <w:lang w:val="sr-Latn-ME"/>
        </w:rPr>
        <w:t>natrijuma</w:t>
      </w:r>
      <w:r w:rsidRPr="006E2CA6">
        <w:rPr>
          <w:sz w:val="22"/>
          <w:szCs w:val="22"/>
          <w:lang w:val="sr-Latn-ME"/>
        </w:rPr>
        <w:t>.</w:t>
      </w:r>
    </w:p>
    <w:p w14:paraId="66A931A2" w14:textId="43EA88D5" w:rsidR="00D27786"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Sav</w:t>
      </w:r>
      <w:r w:rsidR="008241E8" w:rsidRPr="006E2CA6">
        <w:rPr>
          <w:sz w:val="22"/>
          <w:szCs w:val="22"/>
          <w:lang w:val="sr-Latn-ME"/>
        </w:rPr>
        <w:t>j</w:t>
      </w:r>
      <w:r w:rsidRPr="006E2CA6">
        <w:rPr>
          <w:sz w:val="22"/>
          <w:szCs w:val="22"/>
          <w:lang w:val="sr-Latn-ME"/>
        </w:rPr>
        <w:t xml:space="preserve">etuje se oprez kada se </w:t>
      </w:r>
      <w:r w:rsidR="00D27786" w:rsidRPr="006E2CA6">
        <w:rPr>
          <w:sz w:val="22"/>
          <w:szCs w:val="22"/>
          <w:lang w:val="sr-Latn-ME"/>
        </w:rPr>
        <w:t>kolisti</w:t>
      </w:r>
      <w:r w:rsidR="00930A6E" w:rsidRPr="006E2CA6">
        <w:rPr>
          <w:sz w:val="22"/>
          <w:szCs w:val="22"/>
          <w:lang w:val="sr-Latn-ME"/>
        </w:rPr>
        <w:t xml:space="preserve">metat </w:t>
      </w:r>
      <w:r w:rsidR="009F1DEC" w:rsidRPr="006E2CA6">
        <w:rPr>
          <w:sz w:val="22"/>
          <w:szCs w:val="22"/>
          <w:lang w:val="sr-Latn-ME"/>
        </w:rPr>
        <w:t>natrijum</w:t>
      </w:r>
      <w:r w:rsidRPr="006E2CA6">
        <w:rPr>
          <w:sz w:val="22"/>
          <w:szCs w:val="22"/>
          <w:lang w:val="sr-Latn-ME"/>
        </w:rPr>
        <w:t xml:space="preserve"> prim</w:t>
      </w:r>
      <w:r w:rsidR="008241E8" w:rsidRPr="006E2CA6">
        <w:rPr>
          <w:sz w:val="22"/>
          <w:szCs w:val="22"/>
          <w:lang w:val="sr-Latn-ME"/>
        </w:rPr>
        <w:t>j</w:t>
      </w:r>
      <w:r w:rsidRPr="006E2CA6">
        <w:rPr>
          <w:sz w:val="22"/>
          <w:szCs w:val="22"/>
          <w:lang w:val="sr-Latn-ME"/>
        </w:rPr>
        <w:t>enjuje kod odojčadi mlađe od 1 godine jer u tom uzrastu funkcija bubrega još nije potpuno zrela. Osim toga, nije poznat uticaj nezrele bubrežne i metaboličke funk</w:t>
      </w:r>
      <w:r w:rsidR="008241E8" w:rsidRPr="006E2CA6">
        <w:rPr>
          <w:sz w:val="22"/>
          <w:szCs w:val="22"/>
          <w:lang w:val="sr-Latn-ME"/>
        </w:rPr>
        <w:t>cije na konverziju kolistimetat</w:t>
      </w:r>
      <w:r w:rsidR="00930A6E" w:rsidRPr="006E2CA6">
        <w:rPr>
          <w:sz w:val="22"/>
          <w:szCs w:val="22"/>
          <w:lang w:val="sr-Latn-ME"/>
        </w:rPr>
        <w:t xml:space="preserve"> </w:t>
      </w:r>
      <w:r w:rsidRPr="006E2CA6">
        <w:rPr>
          <w:sz w:val="22"/>
          <w:szCs w:val="22"/>
          <w:lang w:val="sr-Latn-ME"/>
        </w:rPr>
        <w:t>natrijuma u kolistin.</w:t>
      </w:r>
    </w:p>
    <w:p w14:paraId="3559378C" w14:textId="2BFF7EB1" w:rsidR="008241E8"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 xml:space="preserve">U slučaju alergijske reakcije, mora se obustaviti terapija </w:t>
      </w:r>
      <w:r w:rsidR="00930A6E" w:rsidRPr="006E2CA6">
        <w:rPr>
          <w:sz w:val="22"/>
          <w:szCs w:val="22"/>
          <w:lang w:val="sr-Latn-ME"/>
        </w:rPr>
        <w:t xml:space="preserve">kolistimetat </w:t>
      </w:r>
      <w:r w:rsidR="009F1DEC" w:rsidRPr="006E2CA6">
        <w:rPr>
          <w:sz w:val="22"/>
          <w:szCs w:val="22"/>
          <w:lang w:val="sr-Latn-ME"/>
        </w:rPr>
        <w:t xml:space="preserve">natrijumom </w:t>
      </w:r>
      <w:r w:rsidRPr="006E2CA6">
        <w:rPr>
          <w:sz w:val="22"/>
          <w:szCs w:val="22"/>
          <w:lang w:val="sr-Latn-ME"/>
        </w:rPr>
        <w:t>i sprovesti odgovarajuće m</w:t>
      </w:r>
      <w:r w:rsidR="008241E8" w:rsidRPr="006E2CA6">
        <w:rPr>
          <w:sz w:val="22"/>
          <w:szCs w:val="22"/>
          <w:lang w:val="sr-Latn-ME"/>
        </w:rPr>
        <w:t>j</w:t>
      </w:r>
      <w:r w:rsidRPr="006E2CA6">
        <w:rPr>
          <w:sz w:val="22"/>
          <w:szCs w:val="22"/>
          <w:lang w:val="sr-Latn-ME"/>
        </w:rPr>
        <w:t xml:space="preserve">ere. </w:t>
      </w:r>
    </w:p>
    <w:p w14:paraId="3AB4D41F" w14:textId="38BE05D4" w:rsidR="008241E8"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 xml:space="preserve">Prijavljeno je da visoke koncentracije </w:t>
      </w:r>
      <w:r w:rsidR="00D27786" w:rsidRPr="006E2CA6">
        <w:rPr>
          <w:sz w:val="22"/>
          <w:szCs w:val="22"/>
          <w:lang w:val="sr-Latn-ME"/>
        </w:rPr>
        <w:t>kolistina</w:t>
      </w:r>
      <w:r w:rsidRPr="006E2CA6">
        <w:rPr>
          <w:sz w:val="22"/>
          <w:szCs w:val="22"/>
          <w:lang w:val="sr-Latn-ME"/>
        </w:rPr>
        <w:t xml:space="preserve"> u serumu, koje bi mogle biti povezane sa predoziranjem ili izostankom smanjenja doze kod pacijenata sa oštećenjem funkcije bubrega, dovode do neurotoksičnih efekata kao što su parestezija lica, mišićna slabost, vrtoglavica, nerazgov</w:t>
      </w:r>
      <w:r w:rsidR="008241E8" w:rsidRPr="006E2CA6">
        <w:rPr>
          <w:sz w:val="22"/>
          <w:szCs w:val="22"/>
          <w:lang w:val="sr-Latn-ME"/>
        </w:rPr>
        <w:t>j</w:t>
      </w:r>
      <w:r w:rsidRPr="006E2CA6">
        <w:rPr>
          <w:sz w:val="22"/>
          <w:szCs w:val="22"/>
          <w:lang w:val="sr-Latn-ME"/>
        </w:rPr>
        <w:t>etan govor, vazomotorna nestabilnost, poremećaj vida, konfuzija, psihoza i apneja. Potrebno je pratiti moguću pojavu perioralne parestezije i parestezije u ekstremitetima, koje su znakovi predoziranja (vid</w:t>
      </w:r>
      <w:r w:rsidR="008241E8" w:rsidRPr="006E2CA6">
        <w:rPr>
          <w:sz w:val="22"/>
          <w:szCs w:val="22"/>
          <w:lang w:val="sr-Latn-ME"/>
        </w:rPr>
        <w:t>j</w:t>
      </w:r>
      <w:r w:rsidRPr="006E2CA6">
        <w:rPr>
          <w:sz w:val="22"/>
          <w:szCs w:val="22"/>
          <w:lang w:val="sr-Latn-ME"/>
        </w:rPr>
        <w:t xml:space="preserve">eti </w:t>
      </w:r>
      <w:r w:rsidR="00D27786" w:rsidRPr="006E2CA6">
        <w:rPr>
          <w:sz w:val="22"/>
          <w:szCs w:val="22"/>
          <w:lang w:val="sr-Latn-ME"/>
        </w:rPr>
        <w:t xml:space="preserve">dio </w:t>
      </w:r>
      <w:r w:rsidRPr="006E2CA6">
        <w:rPr>
          <w:sz w:val="22"/>
          <w:szCs w:val="22"/>
          <w:lang w:val="sr-Latn-ME"/>
        </w:rPr>
        <w:t>4.9).</w:t>
      </w:r>
    </w:p>
    <w:p w14:paraId="463A7012" w14:textId="208CE859" w:rsidR="008241E8"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 xml:space="preserve">Poznato je da </w:t>
      </w:r>
      <w:r w:rsidR="00BE138B" w:rsidRPr="006E2CA6">
        <w:rPr>
          <w:sz w:val="22"/>
          <w:szCs w:val="22"/>
          <w:lang w:val="sr-Latn-ME"/>
        </w:rPr>
        <w:t>kolistin</w:t>
      </w:r>
      <w:r w:rsidRPr="006E2CA6">
        <w:rPr>
          <w:sz w:val="22"/>
          <w:szCs w:val="22"/>
          <w:lang w:val="sr-Latn-ME"/>
        </w:rPr>
        <w:t xml:space="preserve"> smanjuje presinaptičko oslobađanje acetilholina na neuromišićnoj sinapsi, zbog čega se kod pacijenata sa miastenijom gravis mora prim</w:t>
      </w:r>
      <w:r w:rsidR="008241E8" w:rsidRPr="006E2CA6">
        <w:rPr>
          <w:sz w:val="22"/>
          <w:szCs w:val="22"/>
          <w:lang w:val="sr-Latn-ME"/>
        </w:rPr>
        <w:t>j</w:t>
      </w:r>
      <w:r w:rsidRPr="006E2CA6">
        <w:rPr>
          <w:sz w:val="22"/>
          <w:szCs w:val="22"/>
          <w:lang w:val="sr-Latn-ME"/>
        </w:rPr>
        <w:t xml:space="preserve">enjivati uz najveći oprez i samo ako je to neophodno. </w:t>
      </w:r>
    </w:p>
    <w:p w14:paraId="76BFA47D" w14:textId="236E9198" w:rsidR="00BE138B"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Nakon intramuskularne prim</w:t>
      </w:r>
      <w:r w:rsidR="008241E8" w:rsidRPr="006E2CA6">
        <w:rPr>
          <w:sz w:val="22"/>
          <w:szCs w:val="22"/>
          <w:lang w:val="sr-Latn-ME"/>
        </w:rPr>
        <w:t>j</w:t>
      </w:r>
      <w:r w:rsidRPr="006E2CA6">
        <w:rPr>
          <w:sz w:val="22"/>
          <w:szCs w:val="22"/>
          <w:lang w:val="sr-Latn-ME"/>
        </w:rPr>
        <w:t xml:space="preserve">ene </w:t>
      </w:r>
      <w:r w:rsidR="00BE138B" w:rsidRPr="006E2CA6">
        <w:rPr>
          <w:sz w:val="22"/>
          <w:szCs w:val="22"/>
          <w:lang w:val="sr-Latn-ME"/>
        </w:rPr>
        <w:t>kolisti</w:t>
      </w:r>
      <w:r w:rsidR="00930A6E" w:rsidRPr="006E2CA6">
        <w:rPr>
          <w:sz w:val="22"/>
          <w:szCs w:val="22"/>
          <w:lang w:val="sr-Latn-ME"/>
        </w:rPr>
        <w:t xml:space="preserve">metat </w:t>
      </w:r>
      <w:r w:rsidR="0016023D" w:rsidRPr="006E2CA6">
        <w:rPr>
          <w:sz w:val="22"/>
          <w:szCs w:val="22"/>
          <w:lang w:val="sr-Latn-ME"/>
        </w:rPr>
        <w:t>natrijuma</w:t>
      </w:r>
      <w:r w:rsidRPr="006E2CA6">
        <w:rPr>
          <w:sz w:val="22"/>
          <w:szCs w:val="22"/>
          <w:lang w:val="sr-Latn-ME"/>
        </w:rPr>
        <w:t xml:space="preserve"> prijavljen je respiratorni arest. Oštećenje funkcije bubrega povećava mogućnost pojave apneje i neuromuskularne blokade nakon prim</w:t>
      </w:r>
      <w:r w:rsidR="008241E8" w:rsidRPr="006E2CA6">
        <w:rPr>
          <w:sz w:val="22"/>
          <w:szCs w:val="22"/>
          <w:lang w:val="sr-Latn-ME"/>
        </w:rPr>
        <w:t>j</w:t>
      </w:r>
      <w:r w:rsidRPr="006E2CA6">
        <w:rPr>
          <w:sz w:val="22"/>
          <w:szCs w:val="22"/>
          <w:lang w:val="sr-Latn-ME"/>
        </w:rPr>
        <w:t xml:space="preserve">ene </w:t>
      </w:r>
      <w:r w:rsidR="00BE138B" w:rsidRPr="006E2CA6">
        <w:rPr>
          <w:sz w:val="22"/>
          <w:szCs w:val="22"/>
          <w:lang w:val="sr-Latn-ME"/>
        </w:rPr>
        <w:t>kolisti</w:t>
      </w:r>
      <w:r w:rsidR="00930A6E" w:rsidRPr="006E2CA6">
        <w:rPr>
          <w:sz w:val="22"/>
          <w:szCs w:val="22"/>
          <w:lang w:val="sr-Latn-ME"/>
        </w:rPr>
        <w:t xml:space="preserve">metat </w:t>
      </w:r>
      <w:r w:rsidR="00253C99" w:rsidRPr="006E2CA6">
        <w:rPr>
          <w:sz w:val="22"/>
          <w:szCs w:val="22"/>
          <w:lang w:val="sr-Latn-ME"/>
        </w:rPr>
        <w:t>natrijuma</w:t>
      </w:r>
      <w:r w:rsidRPr="006E2CA6">
        <w:rPr>
          <w:sz w:val="22"/>
          <w:szCs w:val="22"/>
          <w:lang w:val="sr-Latn-ME"/>
        </w:rPr>
        <w:t>.</w:t>
      </w:r>
    </w:p>
    <w:p w14:paraId="737D5A27" w14:textId="27AF64F6" w:rsidR="00BE138B" w:rsidRPr="006E2CA6" w:rsidRDefault="00BE138B" w:rsidP="00304460">
      <w:pPr>
        <w:tabs>
          <w:tab w:val="left" w:pos="540"/>
          <w:tab w:val="left" w:pos="569"/>
        </w:tabs>
        <w:spacing w:after="240"/>
        <w:jc w:val="both"/>
        <w:rPr>
          <w:sz w:val="22"/>
          <w:szCs w:val="22"/>
          <w:lang w:val="sr-Latn-ME"/>
        </w:rPr>
      </w:pPr>
      <w:r w:rsidRPr="006E2CA6">
        <w:rPr>
          <w:sz w:val="22"/>
          <w:szCs w:val="22"/>
          <w:lang w:val="sr-Latn-ME"/>
        </w:rPr>
        <w:t>Kolisti</w:t>
      </w:r>
      <w:r w:rsidR="0016023D" w:rsidRPr="006E2CA6">
        <w:rPr>
          <w:sz w:val="22"/>
          <w:szCs w:val="22"/>
          <w:lang w:val="sr-Latn-ME"/>
        </w:rPr>
        <w:t>metat</w:t>
      </w:r>
      <w:r w:rsidR="00930A6E" w:rsidRPr="006E2CA6">
        <w:rPr>
          <w:sz w:val="22"/>
          <w:szCs w:val="22"/>
          <w:lang w:val="sr-Latn-ME"/>
        </w:rPr>
        <w:t xml:space="preserve"> </w:t>
      </w:r>
      <w:r w:rsidRPr="006E2CA6">
        <w:rPr>
          <w:sz w:val="22"/>
          <w:szCs w:val="22"/>
          <w:lang w:val="sr-Latn-ME"/>
        </w:rPr>
        <w:t>n</w:t>
      </w:r>
      <w:r w:rsidR="0016023D" w:rsidRPr="006E2CA6">
        <w:rPr>
          <w:sz w:val="22"/>
          <w:szCs w:val="22"/>
          <w:lang w:val="sr-Latn-ME"/>
        </w:rPr>
        <w:t>atrijum</w:t>
      </w:r>
      <w:r w:rsidR="00E77A88" w:rsidRPr="006E2CA6">
        <w:rPr>
          <w:sz w:val="22"/>
          <w:szCs w:val="22"/>
          <w:lang w:val="sr-Latn-ME"/>
        </w:rPr>
        <w:t xml:space="preserve"> se mora prim</w:t>
      </w:r>
      <w:r w:rsidR="008241E8" w:rsidRPr="006E2CA6">
        <w:rPr>
          <w:sz w:val="22"/>
          <w:szCs w:val="22"/>
          <w:lang w:val="sr-Latn-ME"/>
        </w:rPr>
        <w:t>j</w:t>
      </w:r>
      <w:r w:rsidR="00E77A88" w:rsidRPr="006E2CA6">
        <w:rPr>
          <w:sz w:val="22"/>
          <w:szCs w:val="22"/>
          <w:lang w:val="sr-Latn-ME"/>
        </w:rPr>
        <w:t>enjivati uz poseban oprez kod pacijenata sa porfirijom.</w:t>
      </w:r>
    </w:p>
    <w:p w14:paraId="4AEA2EF7" w14:textId="4869E853" w:rsidR="008241E8"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Kod gotovo svih antibakterijskih ljekova prijavljeni su kolitis i pseudomembranozni kolitis povezani sa prim</w:t>
      </w:r>
      <w:r w:rsidR="008241E8" w:rsidRPr="006E2CA6">
        <w:rPr>
          <w:sz w:val="22"/>
          <w:szCs w:val="22"/>
          <w:lang w:val="sr-Latn-ME"/>
        </w:rPr>
        <w:t>j</w:t>
      </w:r>
      <w:r w:rsidRPr="006E2CA6">
        <w:rPr>
          <w:sz w:val="22"/>
          <w:szCs w:val="22"/>
          <w:lang w:val="sr-Latn-ME"/>
        </w:rPr>
        <w:t>enom antibiotika</w:t>
      </w:r>
      <w:r w:rsidR="00546321" w:rsidRPr="006E2CA6">
        <w:rPr>
          <w:sz w:val="22"/>
          <w:szCs w:val="22"/>
          <w:lang w:val="sr-Latn-ME"/>
        </w:rPr>
        <w:t>,</w:t>
      </w:r>
      <w:r w:rsidRPr="006E2CA6">
        <w:rPr>
          <w:sz w:val="22"/>
          <w:szCs w:val="22"/>
          <w:lang w:val="sr-Latn-ME"/>
        </w:rPr>
        <w:t xml:space="preserve"> pa se mogu javiti i kod prim</w:t>
      </w:r>
      <w:r w:rsidR="00BE138B" w:rsidRPr="006E2CA6">
        <w:rPr>
          <w:sz w:val="22"/>
          <w:szCs w:val="22"/>
          <w:lang w:val="sr-Latn-ME"/>
        </w:rPr>
        <w:t>j</w:t>
      </w:r>
      <w:r w:rsidRPr="006E2CA6">
        <w:rPr>
          <w:sz w:val="22"/>
          <w:szCs w:val="22"/>
          <w:lang w:val="sr-Latn-ME"/>
        </w:rPr>
        <w:t xml:space="preserve">ene </w:t>
      </w:r>
      <w:r w:rsidR="00BE138B" w:rsidRPr="006E2CA6">
        <w:rPr>
          <w:sz w:val="22"/>
          <w:szCs w:val="22"/>
          <w:lang w:val="sr-Latn-ME"/>
        </w:rPr>
        <w:t>kolisti</w:t>
      </w:r>
      <w:r w:rsidR="00D06DC7" w:rsidRPr="006E2CA6">
        <w:rPr>
          <w:sz w:val="22"/>
          <w:szCs w:val="22"/>
          <w:lang w:val="sr-Latn-ME"/>
        </w:rPr>
        <w:t xml:space="preserve">metat </w:t>
      </w:r>
      <w:r w:rsidR="00BE138B" w:rsidRPr="006E2CA6">
        <w:rPr>
          <w:sz w:val="22"/>
          <w:szCs w:val="22"/>
          <w:lang w:val="sr-Latn-ME"/>
        </w:rPr>
        <w:t>na</w:t>
      </w:r>
      <w:r w:rsidR="00D06DC7" w:rsidRPr="006E2CA6">
        <w:rPr>
          <w:sz w:val="22"/>
          <w:szCs w:val="22"/>
          <w:lang w:val="sr-Latn-ME"/>
        </w:rPr>
        <w:t>trijuma</w:t>
      </w:r>
      <w:r w:rsidRPr="006E2CA6">
        <w:rPr>
          <w:sz w:val="22"/>
          <w:szCs w:val="22"/>
          <w:lang w:val="sr-Latn-ME"/>
        </w:rPr>
        <w:t>. Njihova ozbiljnost se može kretati u rasponu od blage do opasne po život. Važno je razmotriti tu dijagnozu kod pacijenata kod kojih se tokom ili nakon prim</w:t>
      </w:r>
      <w:r w:rsidR="00BE138B" w:rsidRPr="006E2CA6">
        <w:rPr>
          <w:sz w:val="22"/>
          <w:szCs w:val="22"/>
          <w:lang w:val="sr-Latn-ME"/>
        </w:rPr>
        <w:t>j</w:t>
      </w:r>
      <w:r w:rsidRPr="006E2CA6">
        <w:rPr>
          <w:sz w:val="22"/>
          <w:szCs w:val="22"/>
          <w:lang w:val="sr-Latn-ME"/>
        </w:rPr>
        <w:t xml:space="preserve">ene </w:t>
      </w:r>
      <w:r w:rsidR="00BE138B" w:rsidRPr="006E2CA6">
        <w:rPr>
          <w:sz w:val="22"/>
          <w:szCs w:val="22"/>
          <w:lang w:val="sr-Latn-ME"/>
        </w:rPr>
        <w:t>kolistina</w:t>
      </w:r>
      <w:r w:rsidRPr="006E2CA6">
        <w:rPr>
          <w:sz w:val="22"/>
          <w:szCs w:val="22"/>
          <w:lang w:val="sr-Latn-ME"/>
        </w:rPr>
        <w:t xml:space="preserve"> pojavi dijareja (vid</w:t>
      </w:r>
      <w:r w:rsidR="008241E8" w:rsidRPr="006E2CA6">
        <w:rPr>
          <w:sz w:val="22"/>
          <w:szCs w:val="22"/>
          <w:lang w:val="sr-Latn-ME"/>
        </w:rPr>
        <w:t>j</w:t>
      </w:r>
      <w:r w:rsidRPr="006E2CA6">
        <w:rPr>
          <w:sz w:val="22"/>
          <w:szCs w:val="22"/>
          <w:lang w:val="sr-Latn-ME"/>
        </w:rPr>
        <w:t xml:space="preserve">eti </w:t>
      </w:r>
      <w:r w:rsidR="00BE138B" w:rsidRPr="006E2CA6">
        <w:rPr>
          <w:sz w:val="22"/>
          <w:szCs w:val="22"/>
          <w:lang w:val="sr-Latn-ME"/>
        </w:rPr>
        <w:t xml:space="preserve">dio </w:t>
      </w:r>
      <w:r w:rsidRPr="006E2CA6">
        <w:rPr>
          <w:sz w:val="22"/>
          <w:szCs w:val="22"/>
          <w:lang w:val="sr-Latn-ME"/>
        </w:rPr>
        <w:t>4.8). Potrebno je razmotriti prekid terapije i prim</w:t>
      </w:r>
      <w:r w:rsidR="00BE138B" w:rsidRPr="006E2CA6">
        <w:rPr>
          <w:sz w:val="22"/>
          <w:szCs w:val="22"/>
          <w:lang w:val="sr-Latn-ME"/>
        </w:rPr>
        <w:t>j</w:t>
      </w:r>
      <w:r w:rsidRPr="006E2CA6">
        <w:rPr>
          <w:sz w:val="22"/>
          <w:szCs w:val="22"/>
          <w:lang w:val="sr-Latn-ME"/>
        </w:rPr>
        <w:t xml:space="preserve">enu specifične terapije za </w:t>
      </w:r>
      <w:r w:rsidRPr="006E2CA6">
        <w:rPr>
          <w:i/>
          <w:sz w:val="22"/>
          <w:szCs w:val="22"/>
          <w:lang w:val="sr-Latn-ME"/>
        </w:rPr>
        <w:t>Clostridium difficile</w:t>
      </w:r>
      <w:r w:rsidRPr="006E2CA6">
        <w:rPr>
          <w:sz w:val="22"/>
          <w:szCs w:val="22"/>
          <w:lang w:val="sr-Latn-ME"/>
        </w:rPr>
        <w:t>. Ne sm</w:t>
      </w:r>
      <w:r w:rsidR="008241E8" w:rsidRPr="006E2CA6">
        <w:rPr>
          <w:sz w:val="22"/>
          <w:szCs w:val="22"/>
          <w:lang w:val="sr-Latn-ME"/>
        </w:rPr>
        <w:t>ij</w:t>
      </w:r>
      <w:r w:rsidRPr="006E2CA6">
        <w:rPr>
          <w:sz w:val="22"/>
          <w:szCs w:val="22"/>
          <w:lang w:val="sr-Latn-ME"/>
        </w:rPr>
        <w:t>u se prim</w:t>
      </w:r>
      <w:r w:rsidR="008241E8" w:rsidRPr="006E2CA6">
        <w:rPr>
          <w:sz w:val="22"/>
          <w:szCs w:val="22"/>
          <w:lang w:val="sr-Latn-ME"/>
        </w:rPr>
        <w:t>j</w:t>
      </w:r>
      <w:r w:rsidRPr="006E2CA6">
        <w:rPr>
          <w:sz w:val="22"/>
          <w:szCs w:val="22"/>
          <w:lang w:val="sr-Latn-ME"/>
        </w:rPr>
        <w:t xml:space="preserve">enjivati ljekovi koji inhibiraju peristaltiku. </w:t>
      </w:r>
    </w:p>
    <w:p w14:paraId="15189E10" w14:textId="4786A526" w:rsidR="00E77A88" w:rsidRPr="006E2CA6" w:rsidRDefault="00E77A88" w:rsidP="00304460">
      <w:pPr>
        <w:tabs>
          <w:tab w:val="left" w:pos="540"/>
          <w:tab w:val="left" w:pos="569"/>
        </w:tabs>
        <w:jc w:val="both"/>
        <w:rPr>
          <w:sz w:val="22"/>
          <w:szCs w:val="22"/>
          <w:lang w:val="sr-Latn-ME"/>
        </w:rPr>
      </w:pPr>
      <w:r w:rsidRPr="006E2CA6">
        <w:rPr>
          <w:sz w:val="22"/>
          <w:szCs w:val="22"/>
          <w:lang w:val="sr-Latn-ME"/>
        </w:rPr>
        <w:t>Intravenski prim</w:t>
      </w:r>
      <w:r w:rsidR="008241E8" w:rsidRPr="006E2CA6">
        <w:rPr>
          <w:sz w:val="22"/>
          <w:szCs w:val="22"/>
          <w:lang w:val="sr-Latn-ME"/>
        </w:rPr>
        <w:t xml:space="preserve">ijenjen </w:t>
      </w:r>
      <w:r w:rsidR="00BE138B" w:rsidRPr="006E2CA6">
        <w:rPr>
          <w:sz w:val="22"/>
          <w:szCs w:val="22"/>
          <w:lang w:val="sr-Latn-ME"/>
        </w:rPr>
        <w:t>kolisti</w:t>
      </w:r>
      <w:r w:rsidR="00930A6E" w:rsidRPr="006E2CA6">
        <w:rPr>
          <w:sz w:val="22"/>
          <w:szCs w:val="22"/>
          <w:lang w:val="sr-Latn-ME"/>
        </w:rPr>
        <w:t xml:space="preserve">metat </w:t>
      </w:r>
      <w:r w:rsidR="0016023D" w:rsidRPr="006E2CA6">
        <w:rPr>
          <w:sz w:val="22"/>
          <w:szCs w:val="22"/>
          <w:lang w:val="sr-Latn-ME"/>
        </w:rPr>
        <w:t>natrijum</w:t>
      </w:r>
      <w:r w:rsidRPr="006E2CA6">
        <w:rPr>
          <w:sz w:val="22"/>
          <w:szCs w:val="22"/>
          <w:lang w:val="sr-Latn-ME"/>
        </w:rPr>
        <w:t xml:space="preserve"> ne prolazi kroz krvno-moždanu barijeru u klinički značajnoj m</w:t>
      </w:r>
      <w:r w:rsidR="008241E8" w:rsidRPr="006E2CA6">
        <w:rPr>
          <w:sz w:val="22"/>
          <w:szCs w:val="22"/>
          <w:lang w:val="sr-Latn-ME"/>
        </w:rPr>
        <w:t>j</w:t>
      </w:r>
      <w:r w:rsidRPr="006E2CA6">
        <w:rPr>
          <w:sz w:val="22"/>
          <w:szCs w:val="22"/>
          <w:lang w:val="sr-Latn-ME"/>
        </w:rPr>
        <w:t>eri. Intratekalna ili intraventrikularna prim</w:t>
      </w:r>
      <w:r w:rsidR="008241E8" w:rsidRPr="006E2CA6">
        <w:rPr>
          <w:sz w:val="22"/>
          <w:szCs w:val="22"/>
          <w:lang w:val="sr-Latn-ME"/>
        </w:rPr>
        <w:t>j</w:t>
      </w:r>
      <w:r w:rsidRPr="006E2CA6">
        <w:rPr>
          <w:sz w:val="22"/>
          <w:szCs w:val="22"/>
          <w:lang w:val="sr-Latn-ME"/>
        </w:rPr>
        <w:t xml:space="preserve">ena </w:t>
      </w:r>
      <w:r w:rsidR="00BE138B" w:rsidRPr="006E2CA6">
        <w:rPr>
          <w:sz w:val="22"/>
          <w:szCs w:val="22"/>
          <w:lang w:val="sr-Latn-ME"/>
        </w:rPr>
        <w:t>kolisti</w:t>
      </w:r>
      <w:r w:rsidR="00930A6E" w:rsidRPr="006E2CA6">
        <w:rPr>
          <w:sz w:val="22"/>
          <w:szCs w:val="22"/>
          <w:lang w:val="sr-Latn-ME"/>
        </w:rPr>
        <w:t>metat natrijuma</w:t>
      </w:r>
      <w:r w:rsidR="00BE138B" w:rsidRPr="006E2CA6">
        <w:rPr>
          <w:sz w:val="22"/>
          <w:szCs w:val="22"/>
          <w:lang w:val="sr-Latn-ME"/>
        </w:rPr>
        <w:t xml:space="preserve"> </w:t>
      </w:r>
      <w:r w:rsidRPr="006E2CA6">
        <w:rPr>
          <w:sz w:val="22"/>
          <w:szCs w:val="22"/>
          <w:lang w:val="sr-Latn-ME"/>
        </w:rPr>
        <w:t>u terapiji meningitisa nije sistematski istražena u kliničkim ispitivanjima i podržavaju je samo prikazi slučajeva. Podaci koji podržavaju doziranje su vrlo ograničeni. Najčešće prim</w:t>
      </w:r>
      <w:r w:rsidR="008241E8" w:rsidRPr="006E2CA6">
        <w:rPr>
          <w:sz w:val="22"/>
          <w:szCs w:val="22"/>
          <w:lang w:val="sr-Latn-ME"/>
        </w:rPr>
        <w:t>ij</w:t>
      </w:r>
      <w:r w:rsidRPr="006E2CA6">
        <w:rPr>
          <w:sz w:val="22"/>
          <w:szCs w:val="22"/>
          <w:lang w:val="sr-Latn-ME"/>
        </w:rPr>
        <w:t>ećena neželjena reakcija tokom prim</w:t>
      </w:r>
      <w:r w:rsidR="008241E8" w:rsidRPr="006E2CA6">
        <w:rPr>
          <w:sz w:val="22"/>
          <w:szCs w:val="22"/>
          <w:lang w:val="sr-Latn-ME"/>
        </w:rPr>
        <w:t>j</w:t>
      </w:r>
      <w:r w:rsidRPr="006E2CA6">
        <w:rPr>
          <w:sz w:val="22"/>
          <w:szCs w:val="22"/>
          <w:lang w:val="sr-Latn-ME"/>
        </w:rPr>
        <w:t xml:space="preserve">ene </w:t>
      </w:r>
      <w:r w:rsidR="005D7AEC" w:rsidRPr="006E2CA6">
        <w:rPr>
          <w:sz w:val="22"/>
          <w:szCs w:val="22"/>
          <w:lang w:val="sr-Latn-ME"/>
        </w:rPr>
        <w:t xml:space="preserve">kolistimetat natrijuma </w:t>
      </w:r>
      <w:r w:rsidRPr="006E2CA6">
        <w:rPr>
          <w:sz w:val="22"/>
          <w:szCs w:val="22"/>
          <w:lang w:val="sr-Latn-ME"/>
        </w:rPr>
        <w:t xml:space="preserve">je aseptični meningitis (videti </w:t>
      </w:r>
      <w:r w:rsidR="00BE138B" w:rsidRPr="006E2CA6">
        <w:rPr>
          <w:sz w:val="22"/>
          <w:szCs w:val="22"/>
          <w:lang w:val="sr-Latn-ME"/>
        </w:rPr>
        <w:t xml:space="preserve">dio </w:t>
      </w:r>
      <w:r w:rsidRPr="006E2CA6">
        <w:rPr>
          <w:sz w:val="22"/>
          <w:szCs w:val="22"/>
          <w:lang w:val="sr-Latn-ME"/>
        </w:rPr>
        <w:t xml:space="preserve">4.8). </w:t>
      </w:r>
    </w:p>
    <w:p w14:paraId="167BB9DC" w14:textId="77777777" w:rsidR="00BE138B" w:rsidRPr="006E2CA6" w:rsidRDefault="00BE138B" w:rsidP="00304460">
      <w:pPr>
        <w:tabs>
          <w:tab w:val="left" w:pos="540"/>
          <w:tab w:val="left" w:pos="569"/>
        </w:tabs>
        <w:jc w:val="both"/>
        <w:rPr>
          <w:sz w:val="22"/>
          <w:szCs w:val="22"/>
          <w:lang w:val="sr-Latn-ME"/>
        </w:rPr>
      </w:pPr>
    </w:p>
    <w:p w14:paraId="033B938C" w14:textId="158973F1" w:rsidR="00BE138B" w:rsidRPr="006E2CA6" w:rsidRDefault="00BE138B" w:rsidP="00304460">
      <w:pPr>
        <w:tabs>
          <w:tab w:val="left" w:pos="540"/>
          <w:tab w:val="left" w:pos="569"/>
        </w:tabs>
        <w:jc w:val="both"/>
        <w:rPr>
          <w:sz w:val="22"/>
          <w:szCs w:val="22"/>
          <w:u w:val="single"/>
          <w:lang w:val="sr-Latn-ME"/>
        </w:rPr>
      </w:pPr>
      <w:r w:rsidRPr="006E2CA6">
        <w:rPr>
          <w:sz w:val="22"/>
          <w:szCs w:val="22"/>
          <w:u w:val="single"/>
          <w:lang w:val="sr-Latn-ME"/>
        </w:rPr>
        <w:t>Sadržaj natrijuma</w:t>
      </w:r>
    </w:p>
    <w:p w14:paraId="54344DA4" w14:textId="1BA3C3E6" w:rsidR="00BE138B" w:rsidRPr="006E2CA6" w:rsidRDefault="00BE138B" w:rsidP="00304460">
      <w:pPr>
        <w:tabs>
          <w:tab w:val="left" w:pos="540"/>
          <w:tab w:val="left" w:pos="569"/>
        </w:tabs>
        <w:jc w:val="both"/>
        <w:rPr>
          <w:sz w:val="22"/>
          <w:szCs w:val="22"/>
          <w:lang w:val="sr-Latn-ME"/>
        </w:rPr>
      </w:pPr>
      <w:r w:rsidRPr="006E2CA6">
        <w:rPr>
          <w:sz w:val="22"/>
          <w:szCs w:val="22"/>
          <w:lang w:val="sr-Latn-ME"/>
        </w:rPr>
        <w:t>Ovaj lijek sadrži manje od 1 mmol natrijuma (23 mg) po bočici, pa se może reći da je praktično bez natrijuma.</w:t>
      </w:r>
    </w:p>
    <w:p w14:paraId="6C74879A" w14:textId="77777777" w:rsidR="00E77A88" w:rsidRPr="006E2CA6" w:rsidRDefault="00E77A88" w:rsidP="00304460">
      <w:pPr>
        <w:tabs>
          <w:tab w:val="left" w:pos="540"/>
          <w:tab w:val="left" w:pos="569"/>
        </w:tabs>
        <w:rPr>
          <w:sz w:val="22"/>
          <w:szCs w:val="22"/>
          <w:lang w:val="sr-Latn-ME"/>
        </w:rPr>
      </w:pPr>
    </w:p>
    <w:p w14:paraId="4D831D33" w14:textId="77777777" w:rsidR="00411B4B" w:rsidRPr="006E2CA6" w:rsidRDefault="00411B4B" w:rsidP="00304460">
      <w:pPr>
        <w:tabs>
          <w:tab w:val="left" w:pos="540"/>
          <w:tab w:val="left" w:pos="569"/>
        </w:tabs>
        <w:rPr>
          <w:b/>
          <w:bCs/>
          <w:sz w:val="22"/>
          <w:szCs w:val="22"/>
          <w:lang w:val="sr-Latn-ME"/>
        </w:rPr>
      </w:pPr>
      <w:r w:rsidRPr="006E2CA6">
        <w:rPr>
          <w:b/>
          <w:bCs/>
          <w:sz w:val="22"/>
          <w:szCs w:val="22"/>
          <w:lang w:val="sr-Latn-ME"/>
        </w:rPr>
        <w:t>4.5.</w:t>
      </w:r>
      <w:r w:rsidR="000D60CC" w:rsidRPr="006E2CA6">
        <w:rPr>
          <w:b/>
          <w:bCs/>
          <w:sz w:val="22"/>
          <w:szCs w:val="22"/>
          <w:lang w:val="sr-Latn-ME"/>
        </w:rPr>
        <w:tab/>
      </w:r>
      <w:r w:rsidRPr="006E2CA6">
        <w:rPr>
          <w:b/>
          <w:bCs/>
          <w:sz w:val="22"/>
          <w:szCs w:val="22"/>
          <w:lang w:val="sr-Latn-ME"/>
        </w:rPr>
        <w:t>Interakcije sa drugim ljekovima i druge vrste interakcija</w:t>
      </w:r>
    </w:p>
    <w:p w14:paraId="3A0409EA" w14:textId="77777777" w:rsidR="00584C5A" w:rsidRPr="006E2CA6" w:rsidRDefault="00584C5A" w:rsidP="00304460">
      <w:pPr>
        <w:tabs>
          <w:tab w:val="left" w:pos="540"/>
          <w:tab w:val="left" w:pos="569"/>
        </w:tabs>
        <w:rPr>
          <w:b/>
          <w:bCs/>
          <w:sz w:val="22"/>
          <w:szCs w:val="22"/>
          <w:lang w:val="sr-Latn-ME"/>
        </w:rPr>
      </w:pPr>
    </w:p>
    <w:p w14:paraId="47FD2E6C" w14:textId="590B7603" w:rsidR="004A4643"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Potreban je poseban oprez k</w:t>
      </w:r>
      <w:r w:rsidR="004A4643" w:rsidRPr="006E2CA6">
        <w:rPr>
          <w:sz w:val="22"/>
          <w:szCs w:val="22"/>
          <w:lang w:val="sr-Latn-ME"/>
        </w:rPr>
        <w:t xml:space="preserve">ada se intravenski </w:t>
      </w:r>
      <w:r w:rsidR="00886058" w:rsidRPr="006E2CA6">
        <w:rPr>
          <w:sz w:val="22"/>
          <w:szCs w:val="22"/>
          <w:lang w:val="sr-Latn-ME"/>
        </w:rPr>
        <w:t>kolisti</w:t>
      </w:r>
      <w:r w:rsidR="0016023D" w:rsidRPr="006E2CA6">
        <w:rPr>
          <w:sz w:val="22"/>
          <w:szCs w:val="22"/>
          <w:lang w:val="sr-Latn-ME"/>
        </w:rPr>
        <w:t>metat</w:t>
      </w:r>
      <w:r w:rsidR="00930A6E" w:rsidRPr="006E2CA6">
        <w:rPr>
          <w:sz w:val="22"/>
          <w:szCs w:val="22"/>
          <w:lang w:val="sr-Latn-ME"/>
        </w:rPr>
        <w:t xml:space="preserve"> </w:t>
      </w:r>
      <w:r w:rsidR="00886058" w:rsidRPr="006E2CA6">
        <w:rPr>
          <w:sz w:val="22"/>
          <w:szCs w:val="22"/>
          <w:lang w:val="sr-Latn-ME"/>
        </w:rPr>
        <w:t>n</w:t>
      </w:r>
      <w:r w:rsidR="0016023D" w:rsidRPr="006E2CA6">
        <w:rPr>
          <w:sz w:val="22"/>
          <w:szCs w:val="22"/>
          <w:lang w:val="sr-Latn-ME"/>
        </w:rPr>
        <w:t>atrijum</w:t>
      </w:r>
      <w:r w:rsidRPr="006E2CA6">
        <w:rPr>
          <w:sz w:val="22"/>
          <w:szCs w:val="22"/>
          <w:lang w:val="sr-Latn-ME"/>
        </w:rPr>
        <w:t xml:space="preserve"> prim</w:t>
      </w:r>
      <w:r w:rsidR="004A4643" w:rsidRPr="006E2CA6">
        <w:rPr>
          <w:sz w:val="22"/>
          <w:szCs w:val="22"/>
          <w:lang w:val="sr-Latn-ME"/>
        </w:rPr>
        <w:t>j</w:t>
      </w:r>
      <w:r w:rsidRPr="006E2CA6">
        <w:rPr>
          <w:sz w:val="22"/>
          <w:szCs w:val="22"/>
          <w:lang w:val="sr-Latn-ME"/>
        </w:rPr>
        <w:t xml:space="preserve">enjuje istovremeno sa potencijalno nefrotoksičnim ili neurotoksičnim ljekovima. </w:t>
      </w:r>
    </w:p>
    <w:p w14:paraId="56EACBF6" w14:textId="4B4E55F0" w:rsidR="004A4643"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Potreban je oprez kod istovremene prim</w:t>
      </w:r>
      <w:r w:rsidR="004A4643" w:rsidRPr="006E2CA6">
        <w:rPr>
          <w:sz w:val="22"/>
          <w:szCs w:val="22"/>
          <w:lang w:val="sr-Latn-ME"/>
        </w:rPr>
        <w:t>j</w:t>
      </w:r>
      <w:r w:rsidRPr="006E2CA6">
        <w:rPr>
          <w:sz w:val="22"/>
          <w:szCs w:val="22"/>
          <w:lang w:val="sr-Latn-ME"/>
        </w:rPr>
        <w:t xml:space="preserve">ene sa drugim formulacijama </w:t>
      </w:r>
      <w:r w:rsidR="00886058" w:rsidRPr="006E2CA6">
        <w:rPr>
          <w:sz w:val="22"/>
          <w:szCs w:val="22"/>
          <w:lang w:val="sr-Latn-ME"/>
        </w:rPr>
        <w:t>kolisti</w:t>
      </w:r>
      <w:r w:rsidR="00930A6E" w:rsidRPr="006E2CA6">
        <w:rPr>
          <w:sz w:val="22"/>
          <w:szCs w:val="22"/>
          <w:lang w:val="sr-Latn-ME"/>
        </w:rPr>
        <w:t xml:space="preserve">metat </w:t>
      </w:r>
      <w:r w:rsidR="0016023D" w:rsidRPr="006E2CA6">
        <w:rPr>
          <w:sz w:val="22"/>
          <w:szCs w:val="22"/>
          <w:lang w:val="sr-Latn-ME"/>
        </w:rPr>
        <w:t>natrijuma</w:t>
      </w:r>
      <w:r w:rsidRPr="006E2CA6">
        <w:rPr>
          <w:sz w:val="22"/>
          <w:szCs w:val="22"/>
          <w:lang w:val="sr-Latn-ME"/>
        </w:rPr>
        <w:t xml:space="preserve"> jer su iskustva malobrojna, a postoji mogućnost aditivne toksičnosti. </w:t>
      </w:r>
    </w:p>
    <w:p w14:paraId="79B5B478" w14:textId="52723B82" w:rsidR="00886058"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Ni</w:t>
      </w:r>
      <w:r w:rsidR="00886058" w:rsidRPr="006E2CA6">
        <w:rPr>
          <w:sz w:val="22"/>
          <w:szCs w:val="22"/>
          <w:lang w:val="sr-Latn-ME"/>
        </w:rPr>
        <w:t>je</w:t>
      </w:r>
      <w:r w:rsidRPr="006E2CA6">
        <w:rPr>
          <w:sz w:val="22"/>
          <w:szCs w:val="22"/>
          <w:lang w:val="sr-Latn-ME"/>
        </w:rPr>
        <w:t xml:space="preserve">su rađena ispitivanja interakcija </w:t>
      </w:r>
      <w:r w:rsidRPr="006E2CA6">
        <w:rPr>
          <w:i/>
          <w:sz w:val="22"/>
          <w:szCs w:val="22"/>
          <w:lang w:val="sr-Latn-ME"/>
        </w:rPr>
        <w:t>in vivo</w:t>
      </w:r>
      <w:r w:rsidRPr="006E2CA6">
        <w:rPr>
          <w:sz w:val="22"/>
          <w:szCs w:val="22"/>
          <w:lang w:val="sr-Latn-ME"/>
        </w:rPr>
        <w:t>. Me</w:t>
      </w:r>
      <w:r w:rsidR="004A4643" w:rsidRPr="006E2CA6">
        <w:rPr>
          <w:sz w:val="22"/>
          <w:szCs w:val="22"/>
          <w:lang w:val="sr-Latn-ME"/>
        </w:rPr>
        <w:t>hanizam konverzije kolistimetat</w:t>
      </w:r>
      <w:r w:rsidR="00930A6E" w:rsidRPr="006E2CA6">
        <w:rPr>
          <w:sz w:val="22"/>
          <w:szCs w:val="22"/>
          <w:lang w:val="sr-Latn-ME"/>
        </w:rPr>
        <w:t xml:space="preserve"> </w:t>
      </w:r>
      <w:r w:rsidRPr="006E2CA6">
        <w:rPr>
          <w:sz w:val="22"/>
          <w:szCs w:val="22"/>
          <w:lang w:val="sr-Latn-ME"/>
        </w:rPr>
        <w:t xml:space="preserve">natrijuma u aktivnu supstancu kolistin nije okarakterisan. Mehanizam klirensa kolistina, uključujući prolaz kroz bubrege, </w:t>
      </w:r>
      <w:r w:rsidRPr="006E2CA6">
        <w:rPr>
          <w:sz w:val="22"/>
          <w:szCs w:val="22"/>
          <w:lang w:val="sr-Latn-ME"/>
        </w:rPr>
        <w:lastRenderedPageBreak/>
        <w:t>takođe je nepoznat. Kolistimetat</w:t>
      </w:r>
      <w:r w:rsidR="004A4643" w:rsidRPr="006E2CA6">
        <w:rPr>
          <w:sz w:val="22"/>
          <w:szCs w:val="22"/>
          <w:lang w:val="sr-Latn-ME"/>
        </w:rPr>
        <w:t xml:space="preserve"> </w:t>
      </w:r>
      <w:r w:rsidRPr="006E2CA6">
        <w:rPr>
          <w:sz w:val="22"/>
          <w:szCs w:val="22"/>
          <w:lang w:val="sr-Latn-ME"/>
        </w:rPr>
        <w:t xml:space="preserve">natrijum ili kolistin </w:t>
      </w:r>
      <w:r w:rsidRPr="006E2CA6">
        <w:rPr>
          <w:i/>
          <w:sz w:val="22"/>
          <w:szCs w:val="22"/>
          <w:lang w:val="sr-Latn-ME"/>
        </w:rPr>
        <w:t>u in vitro</w:t>
      </w:r>
      <w:r w:rsidRPr="006E2CA6">
        <w:rPr>
          <w:sz w:val="22"/>
          <w:szCs w:val="22"/>
          <w:lang w:val="sr-Latn-ME"/>
        </w:rPr>
        <w:t xml:space="preserve"> ispitivanjima na ljudskim hepatocitima ni</w:t>
      </w:r>
      <w:r w:rsidR="00606258" w:rsidRPr="006E2CA6">
        <w:rPr>
          <w:sz w:val="22"/>
          <w:szCs w:val="22"/>
          <w:lang w:val="sr-Latn-ME"/>
        </w:rPr>
        <w:t>je</w:t>
      </w:r>
      <w:r w:rsidRPr="006E2CA6">
        <w:rPr>
          <w:sz w:val="22"/>
          <w:szCs w:val="22"/>
          <w:lang w:val="sr-Latn-ME"/>
        </w:rPr>
        <w:t xml:space="preserve">su indukovali aktivnost nijednog ispitanog enzima P450 (CYP) (CYP1A2, 2B6, 2C8, 2C9, 2C19 i 3A4/5). </w:t>
      </w:r>
    </w:p>
    <w:p w14:paraId="089F7755" w14:textId="5FE5E4DB" w:rsidR="00584C5A" w:rsidRPr="006E2CA6" w:rsidRDefault="00E77A88" w:rsidP="006F35C5">
      <w:pPr>
        <w:tabs>
          <w:tab w:val="left" w:pos="540"/>
          <w:tab w:val="left" w:pos="569"/>
        </w:tabs>
        <w:spacing w:after="240" w:line="276" w:lineRule="auto"/>
        <w:jc w:val="both"/>
        <w:rPr>
          <w:sz w:val="22"/>
          <w:szCs w:val="22"/>
          <w:lang w:val="sr-Latn-ME"/>
        </w:rPr>
      </w:pPr>
      <w:r w:rsidRPr="006E2CA6">
        <w:rPr>
          <w:sz w:val="22"/>
          <w:szCs w:val="22"/>
          <w:lang w:val="sr-Latn-ME"/>
        </w:rPr>
        <w:t>Kada se</w:t>
      </w:r>
      <w:r w:rsidR="004A4643" w:rsidRPr="006E2CA6">
        <w:rPr>
          <w:sz w:val="22"/>
          <w:szCs w:val="22"/>
          <w:lang w:val="sr-Latn-ME"/>
        </w:rPr>
        <w:t xml:space="preserve"> </w:t>
      </w:r>
      <w:r w:rsidR="00834F51" w:rsidRPr="006E2CA6">
        <w:rPr>
          <w:sz w:val="22"/>
          <w:szCs w:val="22"/>
          <w:lang w:val="sr-Latn-ME"/>
        </w:rPr>
        <w:t>lijek Colistin</w:t>
      </w:r>
      <w:r w:rsidRPr="006E2CA6">
        <w:rPr>
          <w:sz w:val="22"/>
          <w:szCs w:val="22"/>
          <w:lang w:val="sr-Latn-ME"/>
        </w:rPr>
        <w:t xml:space="preserve"> Norma prim</w:t>
      </w:r>
      <w:r w:rsidR="00606258" w:rsidRPr="006E2CA6">
        <w:rPr>
          <w:sz w:val="22"/>
          <w:szCs w:val="22"/>
          <w:lang w:val="sr-Latn-ME"/>
        </w:rPr>
        <w:t>j</w:t>
      </w:r>
      <w:r w:rsidRPr="006E2CA6">
        <w:rPr>
          <w:sz w:val="22"/>
          <w:szCs w:val="22"/>
          <w:lang w:val="sr-Latn-ME"/>
        </w:rPr>
        <w:t>enjuje istovremeno sa drugim ljekovima za koje se zna da inhibiraju ili indukuju enzime koji metabolišu ljekove</w:t>
      </w:r>
      <w:r w:rsidR="00606258" w:rsidRPr="006E2CA6">
        <w:rPr>
          <w:sz w:val="22"/>
          <w:szCs w:val="22"/>
          <w:lang w:val="sr-Latn-ME"/>
        </w:rPr>
        <w:t>,</w:t>
      </w:r>
      <w:r w:rsidRPr="006E2CA6">
        <w:rPr>
          <w:sz w:val="22"/>
          <w:szCs w:val="22"/>
          <w:lang w:val="sr-Latn-ME"/>
        </w:rPr>
        <w:t xml:space="preserve"> ili ljekovima koji su poznati supstrati za bubrežne transportere, potrebno je uzeti u obzir mogućnost interakcije između tih ljekova. </w:t>
      </w:r>
    </w:p>
    <w:p w14:paraId="68B1BEFC" w14:textId="0928BEAB" w:rsidR="00584C5A"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Zbog dejstva kolistina na oslobađanje acetilholina, nedepolarizujući mišićni relaksansi se kod pacij</w:t>
      </w:r>
      <w:r w:rsidR="00584C5A" w:rsidRPr="006E2CA6">
        <w:rPr>
          <w:sz w:val="22"/>
          <w:szCs w:val="22"/>
          <w:lang w:val="sr-Latn-ME"/>
        </w:rPr>
        <w:t xml:space="preserve">enata koji primaju </w:t>
      </w:r>
      <w:r w:rsidR="00886058" w:rsidRPr="006E2CA6">
        <w:rPr>
          <w:sz w:val="22"/>
          <w:szCs w:val="22"/>
          <w:lang w:val="sr-Latn-ME"/>
        </w:rPr>
        <w:t>kolisti</w:t>
      </w:r>
      <w:r w:rsidR="00930A6E" w:rsidRPr="006E2CA6">
        <w:rPr>
          <w:sz w:val="22"/>
          <w:szCs w:val="22"/>
          <w:lang w:val="sr-Latn-ME"/>
        </w:rPr>
        <w:t xml:space="preserve">metat </w:t>
      </w:r>
      <w:r w:rsidR="0016023D" w:rsidRPr="006E2CA6">
        <w:rPr>
          <w:sz w:val="22"/>
          <w:szCs w:val="22"/>
          <w:lang w:val="sr-Latn-ME"/>
        </w:rPr>
        <w:t>natrijum</w:t>
      </w:r>
      <w:r w:rsidRPr="006E2CA6">
        <w:rPr>
          <w:sz w:val="22"/>
          <w:szCs w:val="22"/>
          <w:lang w:val="sr-Latn-ME"/>
        </w:rPr>
        <w:t xml:space="preserve"> moraju prim</w:t>
      </w:r>
      <w:r w:rsidR="00584C5A" w:rsidRPr="006E2CA6">
        <w:rPr>
          <w:sz w:val="22"/>
          <w:szCs w:val="22"/>
          <w:lang w:val="sr-Latn-ME"/>
        </w:rPr>
        <w:t>j</w:t>
      </w:r>
      <w:r w:rsidRPr="006E2CA6">
        <w:rPr>
          <w:sz w:val="22"/>
          <w:szCs w:val="22"/>
          <w:lang w:val="sr-Latn-ME"/>
        </w:rPr>
        <w:t>enjivati uz oprez</w:t>
      </w:r>
      <w:r w:rsidR="00606258" w:rsidRPr="006E2CA6">
        <w:rPr>
          <w:sz w:val="22"/>
          <w:szCs w:val="22"/>
          <w:lang w:val="sr-Latn-ME"/>
        </w:rPr>
        <w:t>,</w:t>
      </w:r>
      <w:r w:rsidRPr="006E2CA6">
        <w:rPr>
          <w:sz w:val="22"/>
          <w:szCs w:val="22"/>
          <w:lang w:val="sr-Latn-ME"/>
        </w:rPr>
        <w:t xml:space="preserve"> jer bi njihovi efekti mogli biti produženi (vid</w:t>
      </w:r>
      <w:r w:rsidR="00584C5A" w:rsidRPr="006E2CA6">
        <w:rPr>
          <w:sz w:val="22"/>
          <w:szCs w:val="22"/>
          <w:lang w:val="sr-Latn-ME"/>
        </w:rPr>
        <w:t>j</w:t>
      </w:r>
      <w:r w:rsidRPr="006E2CA6">
        <w:rPr>
          <w:sz w:val="22"/>
          <w:szCs w:val="22"/>
          <w:lang w:val="sr-Latn-ME"/>
        </w:rPr>
        <w:t xml:space="preserve">eti </w:t>
      </w:r>
      <w:r w:rsidR="00886058" w:rsidRPr="006E2CA6">
        <w:rPr>
          <w:sz w:val="22"/>
          <w:szCs w:val="22"/>
          <w:lang w:val="sr-Latn-ME"/>
        </w:rPr>
        <w:t xml:space="preserve">dio </w:t>
      </w:r>
      <w:r w:rsidRPr="006E2CA6">
        <w:rPr>
          <w:sz w:val="22"/>
          <w:szCs w:val="22"/>
          <w:lang w:val="sr-Latn-ME"/>
        </w:rPr>
        <w:t xml:space="preserve">4.4). </w:t>
      </w:r>
    </w:p>
    <w:p w14:paraId="05F8B1DA" w14:textId="6B7470F0" w:rsidR="00584C5A"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Kod istovremene prim</w:t>
      </w:r>
      <w:r w:rsidR="00584C5A" w:rsidRPr="006E2CA6">
        <w:rPr>
          <w:sz w:val="22"/>
          <w:szCs w:val="22"/>
          <w:lang w:val="sr-Latn-ME"/>
        </w:rPr>
        <w:t>j</w:t>
      </w:r>
      <w:r w:rsidRPr="006E2CA6">
        <w:rPr>
          <w:sz w:val="22"/>
          <w:szCs w:val="22"/>
          <w:lang w:val="sr-Latn-ME"/>
        </w:rPr>
        <w:t xml:space="preserve">ene </w:t>
      </w:r>
      <w:r w:rsidR="00886058" w:rsidRPr="006E2CA6">
        <w:rPr>
          <w:sz w:val="22"/>
          <w:szCs w:val="22"/>
          <w:lang w:val="sr-Latn-ME"/>
        </w:rPr>
        <w:t>kolisti</w:t>
      </w:r>
      <w:r w:rsidR="00930A6E" w:rsidRPr="006E2CA6">
        <w:rPr>
          <w:sz w:val="22"/>
          <w:szCs w:val="22"/>
          <w:lang w:val="sr-Latn-ME"/>
        </w:rPr>
        <w:t xml:space="preserve">metat </w:t>
      </w:r>
      <w:r w:rsidR="0016023D" w:rsidRPr="006E2CA6">
        <w:rPr>
          <w:sz w:val="22"/>
          <w:szCs w:val="22"/>
          <w:lang w:val="sr-Latn-ME"/>
        </w:rPr>
        <w:t>natrijuma</w:t>
      </w:r>
      <w:r w:rsidRPr="006E2CA6">
        <w:rPr>
          <w:sz w:val="22"/>
          <w:szCs w:val="22"/>
          <w:lang w:val="sr-Latn-ME"/>
        </w:rPr>
        <w:t xml:space="preserve"> sa makrolidima kao što su azitromicin i klaritromicin</w:t>
      </w:r>
      <w:r w:rsidR="00606258" w:rsidRPr="006E2CA6">
        <w:rPr>
          <w:sz w:val="22"/>
          <w:szCs w:val="22"/>
          <w:lang w:val="sr-Latn-ME"/>
        </w:rPr>
        <w:t>,</w:t>
      </w:r>
      <w:r w:rsidRPr="006E2CA6">
        <w:rPr>
          <w:sz w:val="22"/>
          <w:szCs w:val="22"/>
          <w:lang w:val="sr-Latn-ME"/>
        </w:rPr>
        <w:t xml:space="preserve"> ili sa fluorohinolonima</w:t>
      </w:r>
      <w:r w:rsidR="00606258" w:rsidRPr="006E2CA6">
        <w:rPr>
          <w:sz w:val="22"/>
          <w:szCs w:val="22"/>
          <w:lang w:val="sr-Latn-ME"/>
        </w:rPr>
        <w:t>,</w:t>
      </w:r>
      <w:r w:rsidRPr="006E2CA6">
        <w:rPr>
          <w:sz w:val="22"/>
          <w:szCs w:val="22"/>
          <w:lang w:val="sr-Latn-ME"/>
        </w:rPr>
        <w:t xml:space="preserve"> kao što su norfloksacin i ciprofloksacin, potreban je oprez kod pacijenata sa miastenijom gravis (vid</w:t>
      </w:r>
      <w:r w:rsidR="00584C5A" w:rsidRPr="006E2CA6">
        <w:rPr>
          <w:sz w:val="22"/>
          <w:szCs w:val="22"/>
          <w:lang w:val="sr-Latn-ME"/>
        </w:rPr>
        <w:t>j</w:t>
      </w:r>
      <w:r w:rsidRPr="006E2CA6">
        <w:rPr>
          <w:sz w:val="22"/>
          <w:szCs w:val="22"/>
          <w:lang w:val="sr-Latn-ME"/>
        </w:rPr>
        <w:t xml:space="preserve">eti </w:t>
      </w:r>
      <w:r w:rsidR="00886058" w:rsidRPr="006E2CA6">
        <w:rPr>
          <w:sz w:val="22"/>
          <w:szCs w:val="22"/>
          <w:lang w:val="sr-Latn-ME"/>
        </w:rPr>
        <w:t xml:space="preserve">dio </w:t>
      </w:r>
      <w:r w:rsidRPr="006E2CA6">
        <w:rPr>
          <w:sz w:val="22"/>
          <w:szCs w:val="22"/>
          <w:lang w:val="sr-Latn-ME"/>
        </w:rPr>
        <w:t xml:space="preserve">4.4). </w:t>
      </w:r>
    </w:p>
    <w:p w14:paraId="30CBA5AE" w14:textId="1B4D3F64" w:rsidR="0072020E" w:rsidRPr="006E2CA6" w:rsidRDefault="00E77A88" w:rsidP="00304460">
      <w:pPr>
        <w:tabs>
          <w:tab w:val="left" w:pos="540"/>
          <w:tab w:val="left" w:pos="569"/>
        </w:tabs>
        <w:jc w:val="both"/>
        <w:rPr>
          <w:sz w:val="22"/>
          <w:szCs w:val="22"/>
          <w:lang w:val="sr-Latn-ME"/>
        </w:rPr>
      </w:pPr>
      <w:r w:rsidRPr="006E2CA6">
        <w:rPr>
          <w:sz w:val="22"/>
          <w:szCs w:val="22"/>
          <w:lang w:val="sr-Latn-ME"/>
        </w:rPr>
        <w:t>Treba izb</w:t>
      </w:r>
      <w:r w:rsidR="00584C5A" w:rsidRPr="006E2CA6">
        <w:rPr>
          <w:sz w:val="22"/>
          <w:szCs w:val="22"/>
          <w:lang w:val="sr-Latn-ME"/>
        </w:rPr>
        <w:t>j</w:t>
      </w:r>
      <w:r w:rsidRPr="006E2CA6">
        <w:rPr>
          <w:sz w:val="22"/>
          <w:szCs w:val="22"/>
          <w:lang w:val="sr-Latn-ME"/>
        </w:rPr>
        <w:t>egavati istovremenu prim</w:t>
      </w:r>
      <w:r w:rsidR="00584C5A" w:rsidRPr="006E2CA6">
        <w:rPr>
          <w:sz w:val="22"/>
          <w:szCs w:val="22"/>
          <w:lang w:val="sr-Latn-ME"/>
        </w:rPr>
        <w:t>j</w:t>
      </w:r>
      <w:r w:rsidRPr="006E2CA6">
        <w:rPr>
          <w:sz w:val="22"/>
          <w:szCs w:val="22"/>
          <w:lang w:val="sr-Latn-ME"/>
        </w:rPr>
        <w:t xml:space="preserve">enu </w:t>
      </w:r>
      <w:r w:rsidR="00886058" w:rsidRPr="006E2CA6">
        <w:rPr>
          <w:sz w:val="22"/>
          <w:szCs w:val="22"/>
          <w:lang w:val="sr-Latn-ME"/>
        </w:rPr>
        <w:t>kolisti</w:t>
      </w:r>
      <w:r w:rsidR="00930A6E" w:rsidRPr="006E2CA6">
        <w:rPr>
          <w:sz w:val="22"/>
          <w:szCs w:val="22"/>
          <w:lang w:val="sr-Latn-ME"/>
        </w:rPr>
        <w:t xml:space="preserve">metat </w:t>
      </w:r>
      <w:r w:rsidR="0016023D" w:rsidRPr="006E2CA6">
        <w:rPr>
          <w:sz w:val="22"/>
          <w:szCs w:val="22"/>
          <w:lang w:val="sr-Latn-ME"/>
        </w:rPr>
        <w:t>natrijuma</w:t>
      </w:r>
      <w:r w:rsidRPr="006E2CA6">
        <w:rPr>
          <w:sz w:val="22"/>
          <w:szCs w:val="22"/>
          <w:lang w:val="sr-Latn-ME"/>
        </w:rPr>
        <w:t xml:space="preserve"> sa drugim ljekovima koji imaju neurotoksični i/ili nefrotoksični potencijal. Ovo uključuje aminoglikozidne antibiotike kao što su gentamicin, amikacin, netilmicin i tobramicin</w:t>
      </w:r>
      <w:r w:rsidR="00886058" w:rsidRPr="006E2CA6">
        <w:rPr>
          <w:sz w:val="22"/>
          <w:szCs w:val="22"/>
          <w:lang w:val="sr-Latn-ME"/>
        </w:rPr>
        <w:t>. R</w:t>
      </w:r>
      <w:r w:rsidRPr="006E2CA6">
        <w:rPr>
          <w:sz w:val="22"/>
          <w:szCs w:val="22"/>
          <w:lang w:val="sr-Latn-ME"/>
        </w:rPr>
        <w:t xml:space="preserve">izik od nefrotoksičnosti </w:t>
      </w:r>
      <w:r w:rsidR="00886058" w:rsidRPr="006E2CA6">
        <w:rPr>
          <w:sz w:val="22"/>
          <w:szCs w:val="22"/>
          <w:lang w:val="sr-Latn-ME"/>
        </w:rPr>
        <w:t xml:space="preserve">može biti povećan </w:t>
      </w:r>
      <w:r w:rsidRPr="006E2CA6">
        <w:rPr>
          <w:sz w:val="22"/>
          <w:szCs w:val="22"/>
          <w:lang w:val="sr-Latn-ME"/>
        </w:rPr>
        <w:t>kod istovremene prim</w:t>
      </w:r>
      <w:r w:rsidR="00584C5A" w:rsidRPr="006E2CA6">
        <w:rPr>
          <w:sz w:val="22"/>
          <w:szCs w:val="22"/>
          <w:lang w:val="sr-Latn-ME"/>
        </w:rPr>
        <w:t>j</w:t>
      </w:r>
      <w:r w:rsidRPr="006E2CA6">
        <w:rPr>
          <w:sz w:val="22"/>
          <w:szCs w:val="22"/>
          <w:lang w:val="sr-Latn-ME"/>
        </w:rPr>
        <w:t>ene sa cefalosporinima.</w:t>
      </w:r>
    </w:p>
    <w:p w14:paraId="7ECF3BAA" w14:textId="77777777" w:rsidR="00584C5A" w:rsidRPr="006E2CA6" w:rsidRDefault="00584C5A" w:rsidP="00304460">
      <w:pPr>
        <w:tabs>
          <w:tab w:val="left" w:pos="540"/>
          <w:tab w:val="left" w:pos="569"/>
        </w:tabs>
        <w:jc w:val="both"/>
        <w:rPr>
          <w:sz w:val="22"/>
          <w:szCs w:val="22"/>
          <w:lang w:val="sr-Latn-ME"/>
        </w:rPr>
      </w:pPr>
    </w:p>
    <w:p w14:paraId="6F30E5BC" w14:textId="77777777" w:rsidR="0072020E" w:rsidRPr="006E2CA6" w:rsidRDefault="0072020E" w:rsidP="00304460">
      <w:pPr>
        <w:tabs>
          <w:tab w:val="left" w:pos="540"/>
          <w:tab w:val="left" w:pos="569"/>
        </w:tabs>
        <w:rPr>
          <w:b/>
          <w:sz w:val="22"/>
          <w:szCs w:val="22"/>
          <w:lang w:val="sr-Latn-ME"/>
        </w:rPr>
      </w:pPr>
      <w:r w:rsidRPr="006E2CA6">
        <w:rPr>
          <w:b/>
          <w:bCs/>
          <w:sz w:val="22"/>
          <w:szCs w:val="22"/>
          <w:lang w:val="sr-Latn-ME"/>
        </w:rPr>
        <w:t xml:space="preserve">4.6. </w:t>
      </w:r>
      <w:r w:rsidR="00480FB1" w:rsidRPr="006E2CA6">
        <w:rPr>
          <w:b/>
          <w:bCs/>
          <w:sz w:val="22"/>
          <w:szCs w:val="22"/>
          <w:lang w:val="sr-Latn-ME"/>
        </w:rPr>
        <w:tab/>
      </w:r>
      <w:r w:rsidR="006D20A5" w:rsidRPr="006E2CA6">
        <w:rPr>
          <w:b/>
          <w:sz w:val="22"/>
          <w:szCs w:val="22"/>
          <w:lang w:val="sr-Latn-ME"/>
        </w:rPr>
        <w:t>Plodnost, trudnoća i dojenje</w:t>
      </w:r>
    </w:p>
    <w:p w14:paraId="41EA5C9A" w14:textId="77777777" w:rsidR="002031B3" w:rsidRPr="006E2CA6" w:rsidRDefault="002031B3" w:rsidP="00304460">
      <w:pPr>
        <w:tabs>
          <w:tab w:val="left" w:pos="540"/>
          <w:tab w:val="left" w:pos="569"/>
        </w:tabs>
        <w:rPr>
          <w:sz w:val="22"/>
          <w:szCs w:val="22"/>
          <w:u w:val="single"/>
          <w:lang w:val="sr-Latn-ME"/>
        </w:rPr>
      </w:pPr>
    </w:p>
    <w:p w14:paraId="56EF4ACC" w14:textId="77777777" w:rsidR="007A3ECB" w:rsidRPr="006E2CA6" w:rsidRDefault="007A3ECB" w:rsidP="00304460">
      <w:pPr>
        <w:tabs>
          <w:tab w:val="left" w:pos="540"/>
          <w:tab w:val="left" w:pos="569"/>
        </w:tabs>
        <w:rPr>
          <w:sz w:val="22"/>
          <w:szCs w:val="22"/>
          <w:u w:val="single"/>
          <w:lang w:val="sr-Latn-ME"/>
        </w:rPr>
      </w:pPr>
      <w:r w:rsidRPr="006E2CA6">
        <w:rPr>
          <w:sz w:val="22"/>
          <w:szCs w:val="22"/>
          <w:u w:val="single"/>
          <w:lang w:val="sr-Latn-ME"/>
        </w:rPr>
        <w:t>Trudnoća</w:t>
      </w:r>
    </w:p>
    <w:p w14:paraId="35155F8F" w14:textId="3FAA71C6" w:rsidR="00E77A88" w:rsidRPr="006E2CA6" w:rsidRDefault="00E77A88" w:rsidP="00304460">
      <w:pPr>
        <w:tabs>
          <w:tab w:val="left" w:pos="540"/>
          <w:tab w:val="left" w:pos="569"/>
        </w:tabs>
        <w:jc w:val="both"/>
        <w:rPr>
          <w:sz w:val="22"/>
          <w:szCs w:val="22"/>
          <w:lang w:val="sr-Latn-ME"/>
        </w:rPr>
      </w:pPr>
      <w:r w:rsidRPr="006E2CA6">
        <w:rPr>
          <w:sz w:val="22"/>
          <w:szCs w:val="22"/>
          <w:lang w:val="sr-Latn-ME"/>
        </w:rPr>
        <w:t>Ne postoje odgovarajući podaci o prim</w:t>
      </w:r>
      <w:r w:rsidR="00AA07D2" w:rsidRPr="006E2CA6">
        <w:rPr>
          <w:sz w:val="22"/>
          <w:szCs w:val="22"/>
          <w:lang w:val="sr-Latn-ME"/>
        </w:rPr>
        <w:t>j</w:t>
      </w:r>
      <w:r w:rsidRPr="006E2CA6">
        <w:rPr>
          <w:sz w:val="22"/>
          <w:szCs w:val="22"/>
          <w:lang w:val="sr-Latn-ME"/>
        </w:rPr>
        <w:t xml:space="preserve">eni </w:t>
      </w:r>
      <w:r w:rsidR="002865A6" w:rsidRPr="006E2CA6">
        <w:rPr>
          <w:sz w:val="22"/>
          <w:szCs w:val="22"/>
          <w:lang w:val="sr-Latn-ME"/>
        </w:rPr>
        <w:t>kolisti</w:t>
      </w:r>
      <w:r w:rsidR="00930A6E" w:rsidRPr="006E2CA6">
        <w:rPr>
          <w:sz w:val="22"/>
          <w:szCs w:val="22"/>
          <w:lang w:val="sr-Latn-ME"/>
        </w:rPr>
        <w:t xml:space="preserve">metat </w:t>
      </w:r>
      <w:r w:rsidR="0016023D" w:rsidRPr="006E2CA6">
        <w:rPr>
          <w:sz w:val="22"/>
          <w:szCs w:val="22"/>
          <w:lang w:val="sr-Latn-ME"/>
        </w:rPr>
        <w:t>natrijuma</w:t>
      </w:r>
      <w:r w:rsidRPr="006E2CA6">
        <w:rPr>
          <w:sz w:val="22"/>
          <w:szCs w:val="22"/>
          <w:lang w:val="sr-Latn-ME"/>
        </w:rPr>
        <w:t xml:space="preserve"> kod trudnica. Studije prim</w:t>
      </w:r>
      <w:r w:rsidR="00AA07D2" w:rsidRPr="006E2CA6">
        <w:rPr>
          <w:sz w:val="22"/>
          <w:szCs w:val="22"/>
          <w:lang w:val="sr-Latn-ME"/>
        </w:rPr>
        <w:t>j</w:t>
      </w:r>
      <w:r w:rsidRPr="006E2CA6">
        <w:rPr>
          <w:sz w:val="22"/>
          <w:szCs w:val="22"/>
          <w:lang w:val="sr-Latn-ME"/>
        </w:rPr>
        <w:t>en</w:t>
      </w:r>
      <w:r w:rsidR="00606258" w:rsidRPr="006E2CA6">
        <w:rPr>
          <w:sz w:val="22"/>
          <w:szCs w:val="22"/>
          <w:lang w:val="sr-Latn-ME"/>
        </w:rPr>
        <w:t>e</w:t>
      </w:r>
      <w:r w:rsidRPr="006E2CA6">
        <w:rPr>
          <w:sz w:val="22"/>
          <w:szCs w:val="22"/>
          <w:lang w:val="sr-Latn-ME"/>
        </w:rPr>
        <w:t xml:space="preserve"> pojedinačne doze kod trudnica pokazuju da </w:t>
      </w:r>
      <w:r w:rsidR="002865A6" w:rsidRPr="006E2CA6">
        <w:rPr>
          <w:sz w:val="22"/>
          <w:szCs w:val="22"/>
          <w:lang w:val="sr-Latn-ME"/>
        </w:rPr>
        <w:t>kolisti</w:t>
      </w:r>
      <w:r w:rsidR="00930A6E" w:rsidRPr="006E2CA6">
        <w:rPr>
          <w:sz w:val="22"/>
          <w:szCs w:val="22"/>
          <w:lang w:val="sr-Latn-ME"/>
        </w:rPr>
        <w:t xml:space="preserve">metat </w:t>
      </w:r>
      <w:r w:rsidR="0016023D" w:rsidRPr="006E2CA6">
        <w:rPr>
          <w:sz w:val="22"/>
          <w:szCs w:val="22"/>
          <w:lang w:val="sr-Latn-ME"/>
        </w:rPr>
        <w:t>natrijum</w:t>
      </w:r>
      <w:r w:rsidRPr="006E2CA6">
        <w:rPr>
          <w:sz w:val="22"/>
          <w:szCs w:val="22"/>
          <w:lang w:val="sr-Latn-ME"/>
        </w:rPr>
        <w:t xml:space="preserve"> prolazi placentu i može postojati rizik od toksičnosti po fetus ako se trudnicama ponovi doziranje. </w:t>
      </w:r>
      <w:r w:rsidR="00606258" w:rsidRPr="006E2CA6">
        <w:rPr>
          <w:sz w:val="22"/>
          <w:szCs w:val="22"/>
          <w:lang w:val="sr-Latn-ME"/>
        </w:rPr>
        <w:t>Studije na životinjama</w:t>
      </w:r>
      <w:r w:rsidRPr="006E2CA6">
        <w:rPr>
          <w:sz w:val="22"/>
          <w:szCs w:val="22"/>
          <w:lang w:val="sr-Latn-ME"/>
        </w:rPr>
        <w:t xml:space="preserve"> su nedovoljne u pogledu dejstva </w:t>
      </w:r>
      <w:r w:rsidR="00930A6E" w:rsidRPr="006E2CA6">
        <w:rPr>
          <w:sz w:val="22"/>
          <w:szCs w:val="22"/>
          <w:lang w:val="sr-Latn-ME"/>
        </w:rPr>
        <w:t xml:space="preserve">kolistimetat </w:t>
      </w:r>
      <w:r w:rsidR="0016023D" w:rsidRPr="006E2CA6">
        <w:rPr>
          <w:sz w:val="22"/>
          <w:szCs w:val="22"/>
          <w:lang w:val="sr-Latn-ME"/>
        </w:rPr>
        <w:t>natrijuma</w:t>
      </w:r>
      <w:r w:rsidR="00606258" w:rsidRPr="006E2CA6">
        <w:rPr>
          <w:sz w:val="22"/>
          <w:szCs w:val="22"/>
          <w:lang w:val="sr-Latn-ME"/>
        </w:rPr>
        <w:t xml:space="preserve"> </w:t>
      </w:r>
      <w:r w:rsidRPr="006E2CA6">
        <w:rPr>
          <w:sz w:val="22"/>
          <w:szCs w:val="22"/>
          <w:lang w:val="sr-Latn-ME"/>
        </w:rPr>
        <w:t>na reprodukciju i razvoj (vid</w:t>
      </w:r>
      <w:r w:rsidR="00AA07D2" w:rsidRPr="006E2CA6">
        <w:rPr>
          <w:sz w:val="22"/>
          <w:szCs w:val="22"/>
          <w:lang w:val="sr-Latn-ME"/>
        </w:rPr>
        <w:t>j</w:t>
      </w:r>
      <w:r w:rsidRPr="006E2CA6">
        <w:rPr>
          <w:sz w:val="22"/>
          <w:szCs w:val="22"/>
          <w:lang w:val="sr-Latn-ME"/>
        </w:rPr>
        <w:t xml:space="preserve">eti </w:t>
      </w:r>
      <w:r w:rsidR="002865A6" w:rsidRPr="006E2CA6">
        <w:rPr>
          <w:sz w:val="22"/>
          <w:szCs w:val="22"/>
          <w:lang w:val="sr-Latn-ME"/>
        </w:rPr>
        <w:t xml:space="preserve">dio </w:t>
      </w:r>
      <w:r w:rsidRPr="006E2CA6">
        <w:rPr>
          <w:sz w:val="22"/>
          <w:szCs w:val="22"/>
          <w:lang w:val="sr-Latn-ME"/>
        </w:rPr>
        <w:t xml:space="preserve">5.3.). </w:t>
      </w:r>
      <w:r w:rsidR="002865A6" w:rsidRPr="006E2CA6">
        <w:rPr>
          <w:sz w:val="22"/>
          <w:szCs w:val="22"/>
          <w:lang w:val="sr-Latn-ME"/>
        </w:rPr>
        <w:t>Kolisti</w:t>
      </w:r>
      <w:r w:rsidR="00020E9E" w:rsidRPr="006E2CA6">
        <w:rPr>
          <w:sz w:val="22"/>
          <w:szCs w:val="22"/>
          <w:lang w:val="sr-Latn-ME"/>
        </w:rPr>
        <w:t xml:space="preserve">metat </w:t>
      </w:r>
      <w:r w:rsidR="002865A6" w:rsidRPr="006E2CA6">
        <w:rPr>
          <w:sz w:val="22"/>
          <w:szCs w:val="22"/>
          <w:lang w:val="sr-Latn-ME"/>
        </w:rPr>
        <w:t>n</w:t>
      </w:r>
      <w:r w:rsidR="00020E9E" w:rsidRPr="006E2CA6">
        <w:rPr>
          <w:sz w:val="22"/>
          <w:szCs w:val="22"/>
          <w:lang w:val="sr-Latn-ME"/>
        </w:rPr>
        <w:t>atrijum</w:t>
      </w:r>
      <w:r w:rsidRPr="006E2CA6">
        <w:rPr>
          <w:sz w:val="22"/>
          <w:szCs w:val="22"/>
          <w:lang w:val="sr-Latn-ME"/>
        </w:rPr>
        <w:t xml:space="preserve"> treba prim</w:t>
      </w:r>
      <w:r w:rsidR="00AA07D2" w:rsidRPr="006E2CA6">
        <w:rPr>
          <w:sz w:val="22"/>
          <w:szCs w:val="22"/>
          <w:lang w:val="sr-Latn-ME"/>
        </w:rPr>
        <w:t>j</w:t>
      </w:r>
      <w:r w:rsidRPr="006E2CA6">
        <w:rPr>
          <w:sz w:val="22"/>
          <w:szCs w:val="22"/>
          <w:lang w:val="sr-Latn-ME"/>
        </w:rPr>
        <w:t xml:space="preserve">enjivati u trudnoći samo ako </w:t>
      </w:r>
      <w:r w:rsidR="002865A6" w:rsidRPr="006E2CA6">
        <w:rPr>
          <w:sz w:val="22"/>
          <w:szCs w:val="22"/>
          <w:lang w:val="sr-Latn-ME"/>
        </w:rPr>
        <w:t xml:space="preserve">korist </w:t>
      </w:r>
      <w:r w:rsidRPr="006E2CA6">
        <w:rPr>
          <w:sz w:val="22"/>
          <w:szCs w:val="22"/>
          <w:lang w:val="sr-Latn-ME"/>
        </w:rPr>
        <w:t xml:space="preserve">za majku prevazilazi potencijalni rizik za fetus. </w:t>
      </w:r>
    </w:p>
    <w:p w14:paraId="0FFFB690" w14:textId="77777777" w:rsidR="00E77A88" w:rsidRPr="006E2CA6" w:rsidRDefault="00E77A88" w:rsidP="00304460">
      <w:pPr>
        <w:tabs>
          <w:tab w:val="left" w:pos="540"/>
          <w:tab w:val="left" w:pos="569"/>
        </w:tabs>
        <w:jc w:val="both"/>
        <w:rPr>
          <w:sz w:val="22"/>
          <w:szCs w:val="22"/>
          <w:lang w:val="sr-Latn-ME"/>
        </w:rPr>
      </w:pPr>
    </w:p>
    <w:p w14:paraId="600B5BF9" w14:textId="77777777" w:rsidR="0072020E" w:rsidRPr="006E2CA6" w:rsidRDefault="007A3ECB" w:rsidP="00304460">
      <w:pPr>
        <w:tabs>
          <w:tab w:val="left" w:pos="540"/>
          <w:tab w:val="left" w:pos="569"/>
        </w:tabs>
        <w:jc w:val="both"/>
        <w:rPr>
          <w:b/>
          <w:bCs/>
          <w:sz w:val="22"/>
          <w:szCs w:val="22"/>
          <w:lang w:val="sr-Latn-ME"/>
        </w:rPr>
      </w:pPr>
      <w:r w:rsidRPr="006E2CA6">
        <w:rPr>
          <w:sz w:val="22"/>
          <w:szCs w:val="22"/>
          <w:u w:val="single"/>
          <w:lang w:val="sr-Latn-ME"/>
        </w:rPr>
        <w:t xml:space="preserve">Dojenje </w:t>
      </w:r>
    </w:p>
    <w:p w14:paraId="2ED438FF" w14:textId="3538E943" w:rsidR="00E77A88" w:rsidRPr="006E2CA6" w:rsidRDefault="002865A6" w:rsidP="00304460">
      <w:pPr>
        <w:tabs>
          <w:tab w:val="left" w:pos="540"/>
          <w:tab w:val="left" w:pos="569"/>
        </w:tabs>
        <w:jc w:val="both"/>
        <w:rPr>
          <w:sz w:val="22"/>
          <w:szCs w:val="22"/>
          <w:u w:val="single"/>
          <w:lang w:val="sr-Latn-ME"/>
        </w:rPr>
      </w:pPr>
      <w:r w:rsidRPr="006E2CA6">
        <w:rPr>
          <w:sz w:val="22"/>
          <w:szCs w:val="22"/>
          <w:lang w:val="sr-Latn-ME"/>
        </w:rPr>
        <w:t>Kolisti</w:t>
      </w:r>
      <w:r w:rsidR="00930A6E" w:rsidRPr="006E2CA6">
        <w:rPr>
          <w:sz w:val="22"/>
          <w:szCs w:val="22"/>
          <w:lang w:val="sr-Latn-ME"/>
        </w:rPr>
        <w:t xml:space="preserve">metat </w:t>
      </w:r>
      <w:r w:rsidR="0016023D" w:rsidRPr="006E2CA6">
        <w:rPr>
          <w:sz w:val="22"/>
          <w:szCs w:val="22"/>
          <w:lang w:val="sr-Latn-ME"/>
        </w:rPr>
        <w:t>natrijum</w:t>
      </w:r>
      <w:r w:rsidR="00E77A88" w:rsidRPr="006E2CA6">
        <w:rPr>
          <w:sz w:val="22"/>
          <w:szCs w:val="22"/>
          <w:lang w:val="sr-Latn-ME"/>
        </w:rPr>
        <w:t xml:space="preserve"> se izlučuje u majčino mlijek</w:t>
      </w:r>
      <w:r w:rsidR="00AA07D2" w:rsidRPr="006E2CA6">
        <w:rPr>
          <w:sz w:val="22"/>
          <w:szCs w:val="22"/>
          <w:lang w:val="sr-Latn-ME"/>
        </w:rPr>
        <w:t xml:space="preserve">o. </w:t>
      </w:r>
      <w:r w:rsidRPr="006E2CA6">
        <w:rPr>
          <w:sz w:val="22"/>
          <w:szCs w:val="22"/>
          <w:lang w:val="sr-Latn-ME"/>
        </w:rPr>
        <w:t>Kolisti</w:t>
      </w:r>
      <w:r w:rsidR="00930A6E" w:rsidRPr="006E2CA6">
        <w:rPr>
          <w:sz w:val="22"/>
          <w:szCs w:val="22"/>
          <w:lang w:val="sr-Latn-ME"/>
        </w:rPr>
        <w:t xml:space="preserve">metat </w:t>
      </w:r>
      <w:r w:rsidR="0016023D" w:rsidRPr="006E2CA6">
        <w:rPr>
          <w:sz w:val="22"/>
          <w:szCs w:val="22"/>
          <w:lang w:val="sr-Latn-ME"/>
        </w:rPr>
        <w:t>natrijum</w:t>
      </w:r>
      <w:r w:rsidR="00E77A88" w:rsidRPr="006E2CA6">
        <w:rPr>
          <w:sz w:val="22"/>
          <w:szCs w:val="22"/>
          <w:lang w:val="sr-Latn-ME"/>
        </w:rPr>
        <w:t xml:space="preserve"> treba prim</w:t>
      </w:r>
      <w:r w:rsidR="00AA07D2" w:rsidRPr="006E2CA6">
        <w:rPr>
          <w:sz w:val="22"/>
          <w:szCs w:val="22"/>
          <w:lang w:val="sr-Latn-ME"/>
        </w:rPr>
        <w:t>j</w:t>
      </w:r>
      <w:r w:rsidR="00E77A88" w:rsidRPr="006E2CA6">
        <w:rPr>
          <w:sz w:val="22"/>
          <w:szCs w:val="22"/>
          <w:lang w:val="sr-Latn-ME"/>
        </w:rPr>
        <w:t>enjivati kod dojilja samo kada za to postoji jasna potreba</w:t>
      </w:r>
      <w:r w:rsidRPr="006E2CA6">
        <w:rPr>
          <w:sz w:val="22"/>
          <w:szCs w:val="22"/>
          <w:lang w:val="sr-Latn-ME"/>
        </w:rPr>
        <w:t>.</w:t>
      </w:r>
    </w:p>
    <w:p w14:paraId="1E9B6ACD" w14:textId="77777777" w:rsidR="00227BDB" w:rsidRPr="006E2CA6" w:rsidRDefault="00227BDB" w:rsidP="00304460">
      <w:pPr>
        <w:tabs>
          <w:tab w:val="left" w:pos="540"/>
          <w:tab w:val="left" w:pos="569"/>
        </w:tabs>
        <w:ind w:left="540" w:hanging="540"/>
        <w:rPr>
          <w:b/>
          <w:bCs/>
          <w:sz w:val="22"/>
          <w:szCs w:val="22"/>
          <w:lang w:val="sr-Latn-ME"/>
        </w:rPr>
      </w:pPr>
    </w:p>
    <w:p w14:paraId="4B5CFDFC" w14:textId="77777777" w:rsidR="0072020E" w:rsidRPr="006E2CA6" w:rsidRDefault="0072020E" w:rsidP="00304460">
      <w:pPr>
        <w:tabs>
          <w:tab w:val="left" w:pos="540"/>
          <w:tab w:val="left" w:pos="569"/>
        </w:tabs>
        <w:ind w:left="540" w:hanging="540"/>
        <w:rPr>
          <w:b/>
          <w:bCs/>
          <w:sz w:val="22"/>
          <w:szCs w:val="22"/>
          <w:lang w:val="sr-Latn-ME"/>
        </w:rPr>
      </w:pPr>
      <w:r w:rsidRPr="006E2CA6">
        <w:rPr>
          <w:b/>
          <w:bCs/>
          <w:sz w:val="22"/>
          <w:szCs w:val="22"/>
          <w:lang w:val="sr-Latn-ME"/>
        </w:rPr>
        <w:t xml:space="preserve">4.7. </w:t>
      </w:r>
      <w:r w:rsidR="00480FB1" w:rsidRPr="006E2CA6">
        <w:rPr>
          <w:b/>
          <w:bCs/>
          <w:sz w:val="22"/>
          <w:szCs w:val="22"/>
          <w:lang w:val="sr-Latn-ME"/>
        </w:rPr>
        <w:tab/>
      </w:r>
      <w:r w:rsidRPr="006E2CA6">
        <w:rPr>
          <w:b/>
          <w:bCs/>
          <w:sz w:val="22"/>
          <w:szCs w:val="22"/>
          <w:lang w:val="sr-Latn-ME"/>
        </w:rPr>
        <w:t xml:space="preserve">Uticaj na </w:t>
      </w:r>
      <w:r w:rsidR="002031B3" w:rsidRPr="006E2CA6">
        <w:rPr>
          <w:b/>
          <w:bCs/>
          <w:sz w:val="22"/>
          <w:szCs w:val="22"/>
          <w:lang w:val="sr-Latn-ME"/>
        </w:rPr>
        <w:t xml:space="preserve">sposobnost </w:t>
      </w:r>
      <w:r w:rsidR="00F34554" w:rsidRPr="006E2CA6">
        <w:rPr>
          <w:b/>
          <w:bCs/>
          <w:sz w:val="22"/>
          <w:szCs w:val="22"/>
          <w:lang w:val="sr-Latn-ME"/>
        </w:rPr>
        <w:t>upravljanja vozili</w:t>
      </w:r>
      <w:r w:rsidRPr="006E2CA6">
        <w:rPr>
          <w:b/>
          <w:bCs/>
          <w:sz w:val="22"/>
          <w:szCs w:val="22"/>
          <w:lang w:val="sr-Latn-ME"/>
        </w:rPr>
        <w:t>m</w:t>
      </w:r>
      <w:r w:rsidR="00F34554" w:rsidRPr="006E2CA6">
        <w:rPr>
          <w:b/>
          <w:bCs/>
          <w:sz w:val="22"/>
          <w:szCs w:val="22"/>
          <w:lang w:val="sr-Latn-ME"/>
        </w:rPr>
        <w:t>a</w:t>
      </w:r>
      <w:r w:rsidRPr="006E2CA6">
        <w:rPr>
          <w:b/>
          <w:bCs/>
          <w:sz w:val="22"/>
          <w:szCs w:val="22"/>
          <w:lang w:val="sr-Latn-ME"/>
        </w:rPr>
        <w:t xml:space="preserve"> i </w:t>
      </w:r>
      <w:r w:rsidR="000D3449" w:rsidRPr="006E2CA6">
        <w:rPr>
          <w:b/>
          <w:bCs/>
          <w:sz w:val="22"/>
          <w:szCs w:val="22"/>
          <w:lang w:val="sr-Latn-ME"/>
        </w:rPr>
        <w:t xml:space="preserve">rukovanje </w:t>
      </w:r>
      <w:r w:rsidRPr="006E2CA6">
        <w:rPr>
          <w:b/>
          <w:bCs/>
          <w:sz w:val="22"/>
          <w:szCs w:val="22"/>
          <w:lang w:val="sr-Latn-ME"/>
        </w:rPr>
        <w:t>mašinama</w:t>
      </w:r>
    </w:p>
    <w:p w14:paraId="49887946" w14:textId="77777777" w:rsidR="00AA07D2" w:rsidRPr="006E2CA6" w:rsidRDefault="00AA07D2" w:rsidP="00304460">
      <w:pPr>
        <w:tabs>
          <w:tab w:val="left" w:pos="540"/>
          <w:tab w:val="left" w:pos="569"/>
        </w:tabs>
        <w:ind w:left="540" w:hanging="540"/>
        <w:rPr>
          <w:b/>
          <w:bCs/>
          <w:sz w:val="22"/>
          <w:szCs w:val="22"/>
          <w:lang w:val="sr-Latn-ME"/>
        </w:rPr>
      </w:pPr>
    </w:p>
    <w:p w14:paraId="13A14C46" w14:textId="600189CA" w:rsidR="0072020E" w:rsidRPr="006E2CA6" w:rsidRDefault="00E77A88" w:rsidP="006F35C5">
      <w:pPr>
        <w:tabs>
          <w:tab w:val="left" w:pos="540"/>
          <w:tab w:val="left" w:pos="569"/>
        </w:tabs>
        <w:spacing w:line="276" w:lineRule="auto"/>
        <w:jc w:val="both"/>
        <w:rPr>
          <w:bCs/>
          <w:sz w:val="22"/>
          <w:szCs w:val="22"/>
          <w:lang w:val="sr-Latn-ME"/>
        </w:rPr>
      </w:pPr>
      <w:r w:rsidRPr="006E2CA6">
        <w:rPr>
          <w:bCs/>
          <w:sz w:val="22"/>
          <w:szCs w:val="22"/>
          <w:lang w:val="sr-Latn-ME"/>
        </w:rPr>
        <w:t xml:space="preserve">Tokom terapije lijekom Colistin Norma mogu se javiti simptomi neurotoksičnosti lijeka kao što su </w:t>
      </w:r>
      <w:r w:rsidR="00834F51" w:rsidRPr="006E2CA6">
        <w:rPr>
          <w:bCs/>
          <w:sz w:val="22"/>
          <w:szCs w:val="22"/>
          <w:lang w:val="sr-Latn-ME"/>
        </w:rPr>
        <w:t>vrtoglavica, konfuzija</w:t>
      </w:r>
      <w:r w:rsidRPr="006E2CA6">
        <w:rPr>
          <w:bCs/>
          <w:sz w:val="22"/>
          <w:szCs w:val="22"/>
          <w:lang w:val="sr-Latn-ME"/>
        </w:rPr>
        <w:t xml:space="preserve"> i poremećaj vida. Pacijente treba upozoriti da ne upravljaju vozilima i ne rukuju mašinama </w:t>
      </w:r>
      <w:r w:rsidR="00834F51" w:rsidRPr="006E2CA6">
        <w:rPr>
          <w:bCs/>
          <w:sz w:val="22"/>
          <w:szCs w:val="22"/>
          <w:lang w:val="sr-Latn-ME"/>
        </w:rPr>
        <w:t>ukoliko se</w:t>
      </w:r>
      <w:r w:rsidRPr="006E2CA6">
        <w:rPr>
          <w:bCs/>
          <w:sz w:val="22"/>
          <w:szCs w:val="22"/>
          <w:lang w:val="sr-Latn-ME"/>
        </w:rPr>
        <w:t xml:space="preserve"> ovi simptomi pojave.</w:t>
      </w:r>
    </w:p>
    <w:p w14:paraId="2DF7C4BD" w14:textId="77777777" w:rsidR="00A54B32" w:rsidRPr="006E2CA6" w:rsidRDefault="00A54B32" w:rsidP="00304460">
      <w:pPr>
        <w:tabs>
          <w:tab w:val="left" w:pos="540"/>
          <w:tab w:val="left" w:pos="569"/>
        </w:tabs>
        <w:jc w:val="both"/>
        <w:rPr>
          <w:bCs/>
          <w:sz w:val="22"/>
          <w:szCs w:val="22"/>
          <w:lang w:val="sr-Latn-ME"/>
        </w:rPr>
      </w:pPr>
    </w:p>
    <w:p w14:paraId="1543600D" w14:textId="77777777" w:rsidR="0072020E" w:rsidRPr="006E2CA6" w:rsidRDefault="0072020E" w:rsidP="00304460">
      <w:pPr>
        <w:tabs>
          <w:tab w:val="left" w:pos="540"/>
          <w:tab w:val="left" w:pos="569"/>
        </w:tabs>
        <w:rPr>
          <w:b/>
          <w:bCs/>
          <w:sz w:val="22"/>
          <w:szCs w:val="22"/>
          <w:lang w:val="sr-Latn-ME"/>
        </w:rPr>
      </w:pPr>
      <w:r w:rsidRPr="006E2CA6">
        <w:rPr>
          <w:b/>
          <w:bCs/>
          <w:sz w:val="22"/>
          <w:szCs w:val="22"/>
          <w:lang w:val="sr-Latn-ME"/>
        </w:rPr>
        <w:t xml:space="preserve">4.8. </w:t>
      </w:r>
      <w:r w:rsidR="00480FB1" w:rsidRPr="006E2CA6">
        <w:rPr>
          <w:b/>
          <w:bCs/>
          <w:sz w:val="22"/>
          <w:szCs w:val="22"/>
          <w:lang w:val="sr-Latn-ME"/>
        </w:rPr>
        <w:tab/>
      </w:r>
      <w:r w:rsidRPr="006E2CA6">
        <w:rPr>
          <w:b/>
          <w:bCs/>
          <w:sz w:val="22"/>
          <w:szCs w:val="22"/>
          <w:lang w:val="sr-Latn-ME"/>
        </w:rPr>
        <w:t>Neželjena dejstva</w:t>
      </w:r>
    </w:p>
    <w:p w14:paraId="54C8A0F2" w14:textId="77777777" w:rsidR="004E70AD" w:rsidRPr="006E2CA6" w:rsidRDefault="004E70AD" w:rsidP="00304460">
      <w:pPr>
        <w:tabs>
          <w:tab w:val="left" w:pos="540"/>
          <w:tab w:val="left" w:pos="569"/>
        </w:tabs>
        <w:rPr>
          <w:b/>
          <w:bCs/>
          <w:sz w:val="22"/>
          <w:szCs w:val="22"/>
          <w:lang w:val="sr-Latn-ME"/>
        </w:rPr>
      </w:pPr>
    </w:p>
    <w:p w14:paraId="2FD35608" w14:textId="77777777" w:rsidR="00E77A88" w:rsidRPr="006E2CA6" w:rsidRDefault="00E77A88" w:rsidP="00304460">
      <w:pPr>
        <w:tabs>
          <w:tab w:val="left" w:pos="540"/>
          <w:tab w:val="left" w:pos="569"/>
        </w:tabs>
        <w:jc w:val="both"/>
        <w:rPr>
          <w:sz w:val="22"/>
          <w:szCs w:val="22"/>
          <w:u w:val="single"/>
          <w:lang w:val="sr-Latn-ME"/>
        </w:rPr>
      </w:pPr>
      <w:r w:rsidRPr="006E2CA6">
        <w:rPr>
          <w:sz w:val="22"/>
          <w:szCs w:val="22"/>
          <w:u w:val="single"/>
          <w:lang w:val="sr-Latn-ME"/>
        </w:rPr>
        <w:t>Sistemska primjena</w:t>
      </w:r>
    </w:p>
    <w:p w14:paraId="59983CE2" w14:textId="77777777" w:rsidR="00A54B32"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V</w:t>
      </w:r>
      <w:r w:rsidR="00A54B32" w:rsidRPr="006E2CA6">
        <w:rPr>
          <w:sz w:val="22"/>
          <w:szCs w:val="22"/>
          <w:lang w:val="sr-Latn-ME"/>
        </w:rPr>
        <w:t>j</w:t>
      </w:r>
      <w:r w:rsidRPr="006E2CA6">
        <w:rPr>
          <w:sz w:val="22"/>
          <w:szCs w:val="22"/>
          <w:lang w:val="sr-Latn-ME"/>
        </w:rPr>
        <w:t xml:space="preserve">erovatnoća pojave neželjenih dejstava može biti povezana sa godinama starosti pacijenta, njegovom funkcijom bubrega i opštim stanjem. </w:t>
      </w:r>
    </w:p>
    <w:p w14:paraId="40648AFC" w14:textId="77777777" w:rsidR="00A413D4"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 xml:space="preserve">Kod pacijenata sa cističnom fibrozom neurološki događaji su prijavljeni kod 27% pacijenata. Oni su generalno blagi i povlače se tokom ili ubrzo nakon prestanka terapije. </w:t>
      </w:r>
    </w:p>
    <w:p w14:paraId="6C34BA10" w14:textId="575BB6DC" w:rsidR="00A413D4"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 xml:space="preserve">Neurotoksičnost može biti povezana sa predoziranjem, </w:t>
      </w:r>
      <w:r w:rsidR="0002126B" w:rsidRPr="006E2CA6">
        <w:rPr>
          <w:sz w:val="22"/>
          <w:szCs w:val="22"/>
          <w:lang w:val="sr-Latn-ME"/>
        </w:rPr>
        <w:t>neodgovarajućim smanjivanjem</w:t>
      </w:r>
      <w:r w:rsidRPr="006E2CA6">
        <w:rPr>
          <w:sz w:val="22"/>
          <w:szCs w:val="22"/>
          <w:lang w:val="sr-Latn-ME"/>
        </w:rPr>
        <w:t>doze kod pacijenata sa oštećenom funkcijom bubrega</w:t>
      </w:r>
      <w:r w:rsidR="0002126B" w:rsidRPr="006E2CA6">
        <w:rPr>
          <w:sz w:val="22"/>
          <w:szCs w:val="22"/>
          <w:lang w:val="sr-Latn-ME"/>
        </w:rPr>
        <w:t>,</w:t>
      </w:r>
      <w:r w:rsidRPr="006E2CA6">
        <w:rPr>
          <w:sz w:val="22"/>
          <w:szCs w:val="22"/>
          <w:lang w:val="sr-Latn-ME"/>
        </w:rPr>
        <w:t xml:space="preserve"> i istovremenom prim</w:t>
      </w:r>
      <w:r w:rsidR="00A413D4" w:rsidRPr="006E2CA6">
        <w:rPr>
          <w:sz w:val="22"/>
          <w:szCs w:val="22"/>
          <w:lang w:val="sr-Latn-ME"/>
        </w:rPr>
        <w:t>j</w:t>
      </w:r>
      <w:r w:rsidRPr="006E2CA6">
        <w:rPr>
          <w:sz w:val="22"/>
          <w:szCs w:val="22"/>
          <w:lang w:val="sr-Latn-ME"/>
        </w:rPr>
        <w:t>enom drugih ljekova koji vrše neuromuskularnu blokadu ili koji ispoljavaju slično neurološko dejstvo. Smanjenje doze može ublažiti simptome neurotoksičnosti. Neurotoksični efekti mogu uključivati apneju, prolazni senzorni poremećaj (kao što su parestezija lica i nesv</w:t>
      </w:r>
      <w:r w:rsidR="00A413D4" w:rsidRPr="006E2CA6">
        <w:rPr>
          <w:sz w:val="22"/>
          <w:szCs w:val="22"/>
          <w:lang w:val="sr-Latn-ME"/>
        </w:rPr>
        <w:t>j</w:t>
      </w:r>
      <w:r w:rsidRPr="006E2CA6">
        <w:rPr>
          <w:sz w:val="22"/>
          <w:szCs w:val="22"/>
          <w:lang w:val="sr-Latn-ME"/>
        </w:rPr>
        <w:t>estica) i r</w:t>
      </w:r>
      <w:r w:rsidR="00A413D4" w:rsidRPr="006E2CA6">
        <w:rPr>
          <w:sz w:val="22"/>
          <w:szCs w:val="22"/>
          <w:lang w:val="sr-Latn-ME"/>
        </w:rPr>
        <w:t>ij</w:t>
      </w:r>
      <w:r w:rsidRPr="006E2CA6">
        <w:rPr>
          <w:sz w:val="22"/>
          <w:szCs w:val="22"/>
          <w:lang w:val="sr-Latn-ME"/>
        </w:rPr>
        <w:t>etko vazomotornu nestabilnost, nerazgov</w:t>
      </w:r>
      <w:r w:rsidR="00A413D4" w:rsidRPr="006E2CA6">
        <w:rPr>
          <w:sz w:val="22"/>
          <w:szCs w:val="22"/>
          <w:lang w:val="sr-Latn-ME"/>
        </w:rPr>
        <w:t>j</w:t>
      </w:r>
      <w:r w:rsidRPr="006E2CA6">
        <w:rPr>
          <w:sz w:val="22"/>
          <w:szCs w:val="22"/>
          <w:lang w:val="sr-Latn-ME"/>
        </w:rPr>
        <w:t xml:space="preserve">etan govor, poremećaj vida, konfuziju ili psihozu. </w:t>
      </w:r>
    </w:p>
    <w:p w14:paraId="3DD2F3D2" w14:textId="669778E7" w:rsidR="00A413D4"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lastRenderedPageBreak/>
        <w:t>Prijavljena su neželjena dejstva na funkciju bubrega, koja se obično javljaju nakon prim</w:t>
      </w:r>
      <w:r w:rsidR="00A413D4" w:rsidRPr="006E2CA6">
        <w:rPr>
          <w:sz w:val="22"/>
          <w:szCs w:val="22"/>
          <w:lang w:val="sr-Latn-ME"/>
        </w:rPr>
        <w:t>j</w:t>
      </w:r>
      <w:r w:rsidRPr="006E2CA6">
        <w:rPr>
          <w:sz w:val="22"/>
          <w:szCs w:val="22"/>
          <w:lang w:val="sr-Latn-ME"/>
        </w:rPr>
        <w:t>ene viših doza nego što je preporučeno kod pacijenata sa normalnom funkcijom bubrega ili nesmanjivanjem doze kod pacijenata sa oštećenom funkcijom bubrega</w:t>
      </w:r>
      <w:r w:rsidR="0002126B" w:rsidRPr="006E2CA6">
        <w:rPr>
          <w:sz w:val="22"/>
          <w:szCs w:val="22"/>
          <w:lang w:val="sr-Latn-ME"/>
        </w:rPr>
        <w:t>,</w:t>
      </w:r>
      <w:r w:rsidRPr="006E2CA6">
        <w:rPr>
          <w:sz w:val="22"/>
          <w:szCs w:val="22"/>
          <w:lang w:val="sr-Latn-ME"/>
        </w:rPr>
        <w:t xml:space="preserve"> ili istovremenom prim</w:t>
      </w:r>
      <w:r w:rsidR="00A413D4" w:rsidRPr="006E2CA6">
        <w:rPr>
          <w:sz w:val="22"/>
          <w:szCs w:val="22"/>
          <w:lang w:val="sr-Latn-ME"/>
        </w:rPr>
        <w:t>j</w:t>
      </w:r>
      <w:r w:rsidRPr="006E2CA6">
        <w:rPr>
          <w:sz w:val="22"/>
          <w:szCs w:val="22"/>
          <w:lang w:val="sr-Latn-ME"/>
        </w:rPr>
        <w:t xml:space="preserve">enom drugih ljekova koji ispoljavaju nefrotoksično dejstvo. Ovi efekti obično nestaju nakon prekida terapije. </w:t>
      </w:r>
    </w:p>
    <w:p w14:paraId="61F9E56C" w14:textId="2519663D" w:rsidR="00F75D75" w:rsidRPr="006E2CA6" w:rsidRDefault="00F75D75" w:rsidP="00304460">
      <w:pPr>
        <w:tabs>
          <w:tab w:val="left" w:pos="540"/>
          <w:tab w:val="left" w:pos="569"/>
        </w:tabs>
        <w:spacing w:after="240"/>
        <w:jc w:val="both"/>
        <w:rPr>
          <w:sz w:val="22"/>
          <w:szCs w:val="22"/>
          <w:lang w:val="sr-Latn-ME"/>
        </w:rPr>
      </w:pPr>
      <w:r w:rsidRPr="006E2CA6">
        <w:rPr>
          <w:sz w:val="22"/>
          <w:szCs w:val="22"/>
          <w:lang w:val="sr-Latn-ME"/>
        </w:rPr>
        <w:t xml:space="preserve">Prijavljeni su slučajevi pojave </w:t>
      </w:r>
      <w:r w:rsidR="006E6C25" w:rsidRPr="00304460">
        <w:rPr>
          <w:iCs/>
          <w:sz w:val="22"/>
          <w:szCs w:val="22"/>
          <w:lang w:val="sr-Latn-ME"/>
        </w:rPr>
        <w:t>p</w:t>
      </w:r>
      <w:r w:rsidRPr="00304460">
        <w:rPr>
          <w:iCs/>
          <w:sz w:val="22"/>
          <w:szCs w:val="22"/>
          <w:lang w:val="sr-Latn-ME"/>
        </w:rPr>
        <w:t>seudo-Bartter</w:t>
      </w:r>
      <w:r w:rsidR="0002126B" w:rsidRPr="00304460">
        <w:rPr>
          <w:iCs/>
          <w:sz w:val="22"/>
          <w:szCs w:val="22"/>
          <w:lang w:val="sr-Latn-ME"/>
        </w:rPr>
        <w:t>-</w:t>
      </w:r>
      <w:r w:rsidRPr="00304460">
        <w:rPr>
          <w:iCs/>
          <w:sz w:val="22"/>
          <w:szCs w:val="22"/>
          <w:lang w:val="sr-Latn-ME"/>
        </w:rPr>
        <w:t>ovog</w:t>
      </w:r>
      <w:r w:rsidRPr="006E2CA6">
        <w:rPr>
          <w:sz w:val="22"/>
          <w:szCs w:val="22"/>
          <w:lang w:val="sr-Latn-ME"/>
        </w:rPr>
        <w:t xml:space="preserve"> sindroma nakon intravenske primjene kolisti</w:t>
      </w:r>
      <w:r w:rsidR="00930A6E" w:rsidRPr="006E2CA6">
        <w:rPr>
          <w:sz w:val="22"/>
          <w:szCs w:val="22"/>
          <w:lang w:val="sr-Latn-ME"/>
        </w:rPr>
        <w:t xml:space="preserve">metat </w:t>
      </w:r>
      <w:r w:rsidR="00CE7E56" w:rsidRPr="006E2CA6">
        <w:rPr>
          <w:sz w:val="22"/>
          <w:szCs w:val="22"/>
          <w:lang w:val="sr-Latn-ME"/>
        </w:rPr>
        <w:t>natrijuma</w:t>
      </w:r>
      <w:r w:rsidRPr="006E2CA6">
        <w:rPr>
          <w:sz w:val="22"/>
          <w:szCs w:val="22"/>
          <w:lang w:val="sr-Latn-ME"/>
        </w:rPr>
        <w:t>, sa nepoznatom učestalošću (vidjeti dio 4.4).</w:t>
      </w:r>
    </w:p>
    <w:p w14:paraId="79FCA0AE" w14:textId="77777777" w:rsidR="00F75D75"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Kod pacijenata sa cističnom fibrozom koji su l</w:t>
      </w:r>
      <w:r w:rsidR="00A413D4" w:rsidRPr="006E2CA6">
        <w:rPr>
          <w:sz w:val="22"/>
          <w:szCs w:val="22"/>
          <w:lang w:val="sr-Latn-ME"/>
        </w:rPr>
        <w:t>ij</w:t>
      </w:r>
      <w:r w:rsidRPr="006E2CA6">
        <w:rPr>
          <w:sz w:val="22"/>
          <w:szCs w:val="22"/>
          <w:lang w:val="sr-Latn-ME"/>
        </w:rPr>
        <w:t>ečeni u okviru preporučenih doznih granica, nefrotoksičnost se r</w:t>
      </w:r>
      <w:r w:rsidR="00A413D4" w:rsidRPr="006E2CA6">
        <w:rPr>
          <w:sz w:val="22"/>
          <w:szCs w:val="22"/>
          <w:lang w:val="sr-Latn-ME"/>
        </w:rPr>
        <w:t>ij</w:t>
      </w:r>
      <w:r w:rsidRPr="006E2CA6">
        <w:rPr>
          <w:sz w:val="22"/>
          <w:szCs w:val="22"/>
          <w:lang w:val="sr-Latn-ME"/>
        </w:rPr>
        <w:t xml:space="preserve">etko javlja (manje od 1% pacijenata). Kod ozbiljnih hospitalizovanih pacijenata bez cistične fibroze, znaci nefrotoksičnosti su se ispoljili kod približno 20% pacijenata. </w:t>
      </w:r>
    </w:p>
    <w:p w14:paraId="0A7CE9DC" w14:textId="77777777" w:rsidR="00F75D75" w:rsidRPr="006E2CA6" w:rsidRDefault="00E77A88" w:rsidP="00304460">
      <w:pPr>
        <w:tabs>
          <w:tab w:val="left" w:pos="540"/>
          <w:tab w:val="left" w:pos="569"/>
        </w:tabs>
        <w:jc w:val="both"/>
        <w:rPr>
          <w:sz w:val="22"/>
          <w:szCs w:val="22"/>
          <w:lang w:val="sr-Latn-ME"/>
        </w:rPr>
      </w:pPr>
      <w:r w:rsidRPr="006E2CA6">
        <w:rPr>
          <w:sz w:val="22"/>
          <w:szCs w:val="22"/>
          <w:lang w:val="sr-Latn-ME"/>
        </w:rPr>
        <w:t>Prijavljene su reakcije preos</w:t>
      </w:r>
      <w:r w:rsidR="00A413D4" w:rsidRPr="006E2CA6">
        <w:rPr>
          <w:sz w:val="22"/>
          <w:szCs w:val="22"/>
          <w:lang w:val="sr-Latn-ME"/>
        </w:rPr>
        <w:t>j</w:t>
      </w:r>
      <w:r w:rsidRPr="006E2CA6">
        <w:rPr>
          <w:sz w:val="22"/>
          <w:szCs w:val="22"/>
          <w:lang w:val="sr-Latn-ME"/>
        </w:rPr>
        <w:t xml:space="preserve">etljivosti koje uključuju raš kože i groznicu. Ukoliko se one jave treba prekinuti terapiju ovim lijekom. </w:t>
      </w:r>
    </w:p>
    <w:p w14:paraId="60E08A71" w14:textId="50273083" w:rsidR="00E77A88" w:rsidRPr="006E2CA6" w:rsidRDefault="00E77A88" w:rsidP="00304460">
      <w:pPr>
        <w:tabs>
          <w:tab w:val="left" w:pos="540"/>
          <w:tab w:val="left" w:pos="569"/>
        </w:tabs>
        <w:spacing w:before="240"/>
        <w:jc w:val="both"/>
        <w:rPr>
          <w:b/>
          <w:bCs/>
          <w:sz w:val="22"/>
          <w:szCs w:val="22"/>
          <w:lang w:val="sr-Latn-ME"/>
        </w:rPr>
      </w:pPr>
      <w:r w:rsidRPr="006E2CA6">
        <w:rPr>
          <w:sz w:val="22"/>
          <w:szCs w:val="22"/>
          <w:lang w:val="sr-Latn-ME"/>
        </w:rPr>
        <w:t>Može se pojaviti i lokalna iritacija na m</w:t>
      </w:r>
      <w:r w:rsidR="00F75D75" w:rsidRPr="006E2CA6">
        <w:rPr>
          <w:sz w:val="22"/>
          <w:szCs w:val="22"/>
          <w:lang w:val="sr-Latn-ME"/>
        </w:rPr>
        <w:t>j</w:t>
      </w:r>
      <w:r w:rsidRPr="006E2CA6">
        <w:rPr>
          <w:sz w:val="22"/>
          <w:szCs w:val="22"/>
          <w:lang w:val="sr-Latn-ME"/>
        </w:rPr>
        <w:t>estu prim</w:t>
      </w:r>
      <w:r w:rsidR="00A413D4" w:rsidRPr="006E2CA6">
        <w:rPr>
          <w:sz w:val="22"/>
          <w:szCs w:val="22"/>
          <w:lang w:val="sr-Latn-ME"/>
        </w:rPr>
        <w:t>j</w:t>
      </w:r>
      <w:r w:rsidRPr="006E2CA6">
        <w:rPr>
          <w:sz w:val="22"/>
          <w:szCs w:val="22"/>
          <w:lang w:val="sr-Latn-ME"/>
        </w:rPr>
        <w:t>ene lijeka.</w:t>
      </w:r>
    </w:p>
    <w:p w14:paraId="6DF79980" w14:textId="77777777" w:rsidR="00A413D4" w:rsidRPr="006E2CA6" w:rsidRDefault="00A413D4" w:rsidP="00304460">
      <w:pPr>
        <w:tabs>
          <w:tab w:val="left" w:pos="540"/>
          <w:tab w:val="left" w:pos="569"/>
        </w:tabs>
        <w:rPr>
          <w:b/>
          <w:bCs/>
          <w:sz w:val="22"/>
          <w:szCs w:val="22"/>
          <w:lang w:val="sr-Latn-ME"/>
        </w:rPr>
      </w:pPr>
    </w:p>
    <w:p w14:paraId="5F4CC151" w14:textId="77777777" w:rsidR="00C77DBF" w:rsidRPr="006E2CA6" w:rsidRDefault="00C77DBF" w:rsidP="00304460">
      <w:pPr>
        <w:spacing w:after="200"/>
        <w:rPr>
          <w:rFonts w:eastAsia="Calibri"/>
          <w:sz w:val="22"/>
          <w:szCs w:val="22"/>
          <w:u w:val="single"/>
          <w:lang w:val="sr-Latn-ME"/>
        </w:rPr>
      </w:pPr>
      <w:r w:rsidRPr="006E2CA6">
        <w:rPr>
          <w:rFonts w:eastAsia="Calibri"/>
          <w:sz w:val="22"/>
          <w:szCs w:val="22"/>
          <w:u w:val="single"/>
          <w:lang w:val="sr-Latn-ME"/>
        </w:rPr>
        <w:t>Prijavljivanje sumnji na neželjena dejstva</w:t>
      </w:r>
    </w:p>
    <w:p w14:paraId="1EA13AF0" w14:textId="77777777" w:rsidR="00C77DBF" w:rsidRPr="006E2CA6" w:rsidRDefault="00C77DBF" w:rsidP="00304460">
      <w:pPr>
        <w:spacing w:after="200"/>
        <w:jc w:val="both"/>
        <w:rPr>
          <w:rFonts w:eastAsia="Calibri"/>
          <w:sz w:val="22"/>
          <w:szCs w:val="22"/>
          <w:lang w:val="sr-Latn-ME"/>
        </w:rPr>
      </w:pPr>
      <w:r w:rsidRPr="006E2CA6">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A5EBBFE" w14:textId="77777777" w:rsidR="00C77DBF" w:rsidRPr="006E2CA6" w:rsidRDefault="00C77DBF" w:rsidP="00304460">
      <w:pPr>
        <w:pStyle w:val="NoSpacing"/>
        <w:jc w:val="both"/>
        <w:rPr>
          <w:rFonts w:eastAsia="Calibri"/>
          <w:sz w:val="22"/>
          <w:szCs w:val="22"/>
          <w:lang w:val="sr-Latn-ME"/>
        </w:rPr>
      </w:pPr>
      <w:r w:rsidRPr="006E2CA6">
        <w:rPr>
          <w:rFonts w:eastAsia="Calibri"/>
          <w:sz w:val="22"/>
          <w:szCs w:val="22"/>
          <w:lang w:val="sr-Latn-ME"/>
        </w:rPr>
        <w:t xml:space="preserve">Institut za ljekove i medicinska sredstva </w:t>
      </w:r>
    </w:p>
    <w:p w14:paraId="0F5EB899" w14:textId="77777777" w:rsidR="00C77DBF" w:rsidRPr="006E2CA6" w:rsidRDefault="00C77DBF" w:rsidP="00304460">
      <w:pPr>
        <w:pStyle w:val="NoSpacing"/>
        <w:jc w:val="both"/>
        <w:rPr>
          <w:rFonts w:eastAsia="Calibri"/>
          <w:sz w:val="22"/>
          <w:szCs w:val="22"/>
          <w:lang w:val="sr-Latn-ME"/>
        </w:rPr>
      </w:pPr>
      <w:r w:rsidRPr="006E2CA6">
        <w:rPr>
          <w:rFonts w:eastAsia="Calibri"/>
          <w:sz w:val="22"/>
          <w:szCs w:val="22"/>
          <w:lang w:val="sr-Latn-ME"/>
        </w:rPr>
        <w:t>Odjeljenje za farmakovigilancu</w:t>
      </w:r>
    </w:p>
    <w:p w14:paraId="3FDC7756" w14:textId="77777777" w:rsidR="00C77DBF" w:rsidRPr="006E2CA6" w:rsidRDefault="00C77DBF" w:rsidP="00304460">
      <w:pPr>
        <w:pStyle w:val="NoSpacing"/>
        <w:jc w:val="both"/>
        <w:rPr>
          <w:rFonts w:eastAsia="Calibri"/>
          <w:sz w:val="22"/>
          <w:szCs w:val="22"/>
          <w:lang w:val="sr-Latn-ME"/>
        </w:rPr>
      </w:pPr>
      <w:r w:rsidRPr="006E2CA6">
        <w:rPr>
          <w:rFonts w:eastAsia="Calibri"/>
          <w:sz w:val="22"/>
          <w:szCs w:val="22"/>
          <w:lang w:val="sr-Latn-ME"/>
        </w:rPr>
        <w:t>Bulevar Ivana Crnojevića 64a, 81000 Podgorica</w:t>
      </w:r>
    </w:p>
    <w:p w14:paraId="07DAE919" w14:textId="77777777" w:rsidR="00C77DBF" w:rsidRPr="006E2CA6" w:rsidRDefault="00C77DBF" w:rsidP="00304460">
      <w:pPr>
        <w:pStyle w:val="NoSpacing"/>
        <w:rPr>
          <w:rFonts w:eastAsia="Calibri"/>
          <w:sz w:val="22"/>
          <w:szCs w:val="22"/>
          <w:lang w:val="sr-Latn-ME"/>
        </w:rPr>
      </w:pPr>
    </w:p>
    <w:p w14:paraId="742D292A" w14:textId="77777777" w:rsidR="00C77DBF" w:rsidRPr="006E2CA6" w:rsidRDefault="00C77DBF" w:rsidP="00304460">
      <w:pPr>
        <w:pStyle w:val="NoSpacing"/>
        <w:jc w:val="both"/>
        <w:rPr>
          <w:rFonts w:eastAsia="Calibri"/>
          <w:sz w:val="22"/>
          <w:szCs w:val="22"/>
          <w:lang w:val="sr-Latn-ME"/>
        </w:rPr>
      </w:pPr>
      <w:r w:rsidRPr="006E2CA6">
        <w:rPr>
          <w:rFonts w:eastAsia="Calibri"/>
          <w:sz w:val="22"/>
          <w:szCs w:val="22"/>
          <w:lang w:val="sr-Latn-ME"/>
        </w:rPr>
        <w:t>tel: +382 (0) 20 310 280</w:t>
      </w:r>
    </w:p>
    <w:p w14:paraId="03911C3C" w14:textId="77777777" w:rsidR="00C77DBF" w:rsidRPr="006E2CA6" w:rsidRDefault="00C77DBF" w:rsidP="00304460">
      <w:pPr>
        <w:pStyle w:val="NoSpacing"/>
        <w:tabs>
          <w:tab w:val="left" w:pos="6720"/>
        </w:tabs>
        <w:jc w:val="both"/>
        <w:rPr>
          <w:rFonts w:eastAsia="Calibri"/>
          <w:sz w:val="22"/>
          <w:szCs w:val="22"/>
          <w:lang w:val="sr-Latn-ME"/>
        </w:rPr>
      </w:pPr>
      <w:r w:rsidRPr="006E2CA6">
        <w:rPr>
          <w:rFonts w:eastAsia="Calibri"/>
          <w:sz w:val="22"/>
          <w:szCs w:val="22"/>
          <w:lang w:val="sr-Latn-ME"/>
        </w:rPr>
        <w:t>fax: +382 (0) 20 310 581</w:t>
      </w:r>
      <w:r w:rsidRPr="006E2CA6">
        <w:rPr>
          <w:rFonts w:eastAsia="Calibri"/>
          <w:sz w:val="22"/>
          <w:szCs w:val="22"/>
          <w:lang w:val="sr-Latn-ME"/>
        </w:rPr>
        <w:tab/>
      </w:r>
    </w:p>
    <w:p w14:paraId="70F4D387" w14:textId="77777777" w:rsidR="00C77DBF" w:rsidRPr="006E2CA6" w:rsidRDefault="00785064" w:rsidP="00304460">
      <w:pPr>
        <w:pStyle w:val="NoSpacing"/>
        <w:jc w:val="both"/>
        <w:rPr>
          <w:rFonts w:eastAsia="Calibri"/>
          <w:sz w:val="22"/>
          <w:szCs w:val="22"/>
          <w:lang w:val="sr-Latn-ME"/>
        </w:rPr>
      </w:pPr>
      <w:hyperlink r:id="rId8" w:history="1">
        <w:r w:rsidR="00C77DBF" w:rsidRPr="006E2CA6">
          <w:rPr>
            <w:rStyle w:val="Hyperlink"/>
            <w:rFonts w:eastAsia="Calibri"/>
            <w:sz w:val="22"/>
            <w:szCs w:val="22"/>
            <w:lang w:val="sr-Latn-ME"/>
          </w:rPr>
          <w:t>www.cinmed.me</w:t>
        </w:r>
      </w:hyperlink>
    </w:p>
    <w:p w14:paraId="7B63E8E9" w14:textId="77777777" w:rsidR="00C77DBF" w:rsidRPr="006E2CA6" w:rsidRDefault="00785064" w:rsidP="00304460">
      <w:pPr>
        <w:pStyle w:val="NoSpacing"/>
        <w:jc w:val="both"/>
        <w:rPr>
          <w:rFonts w:eastAsia="Calibri"/>
          <w:color w:val="0000FF"/>
          <w:sz w:val="22"/>
          <w:szCs w:val="22"/>
          <w:u w:val="single"/>
          <w:lang w:val="sr-Latn-ME"/>
        </w:rPr>
      </w:pPr>
      <w:hyperlink r:id="rId9" w:history="1">
        <w:r w:rsidR="00C77DBF" w:rsidRPr="006E2CA6">
          <w:rPr>
            <w:rStyle w:val="Hyperlink"/>
            <w:rFonts w:eastAsia="Calibri"/>
            <w:sz w:val="22"/>
            <w:szCs w:val="22"/>
            <w:lang w:val="sr-Latn-ME"/>
          </w:rPr>
          <w:t>nezeljenadejstva@cinmed.me</w:t>
        </w:r>
      </w:hyperlink>
    </w:p>
    <w:p w14:paraId="42EB310C" w14:textId="77777777" w:rsidR="00C77DBF" w:rsidRPr="006E2CA6" w:rsidRDefault="00C77DBF" w:rsidP="00304460">
      <w:pPr>
        <w:pStyle w:val="NoSpacing"/>
        <w:jc w:val="both"/>
        <w:rPr>
          <w:rFonts w:eastAsia="Calibri"/>
          <w:sz w:val="22"/>
          <w:szCs w:val="22"/>
          <w:lang w:val="sr-Latn-ME"/>
        </w:rPr>
      </w:pPr>
      <w:r w:rsidRPr="006E2CA6">
        <w:rPr>
          <w:rFonts w:eastAsia="Calibri"/>
          <w:sz w:val="22"/>
          <w:szCs w:val="22"/>
          <w:lang w:val="sr-Latn-ME"/>
        </w:rPr>
        <w:t>putem IS zdravstvene zaštite</w:t>
      </w:r>
    </w:p>
    <w:p w14:paraId="53C583AF" w14:textId="77777777" w:rsidR="00C77DBF" w:rsidRPr="006E2CA6" w:rsidRDefault="00C77DBF" w:rsidP="00304460">
      <w:pPr>
        <w:pStyle w:val="NoSpacing"/>
        <w:jc w:val="both"/>
        <w:rPr>
          <w:rFonts w:eastAsia="Calibri"/>
          <w:sz w:val="22"/>
          <w:szCs w:val="22"/>
          <w:lang w:val="sr-Latn-ME"/>
        </w:rPr>
      </w:pPr>
      <w:r w:rsidRPr="006E2CA6">
        <w:rPr>
          <w:rFonts w:eastAsia="Calibri"/>
          <w:sz w:val="22"/>
          <w:szCs w:val="22"/>
          <w:lang w:val="sr-Latn-ME"/>
        </w:rPr>
        <w:t>QR kod za online prijavu sumnje na neželjeno dejstvo lijeka:</w:t>
      </w:r>
    </w:p>
    <w:p w14:paraId="5B59A0BF" w14:textId="77777777" w:rsidR="00C77DBF" w:rsidRPr="006E2CA6" w:rsidRDefault="00C77DBF" w:rsidP="00304460">
      <w:pPr>
        <w:pStyle w:val="NoSpacing"/>
        <w:rPr>
          <w:rFonts w:eastAsia="Calibri"/>
          <w:sz w:val="22"/>
          <w:szCs w:val="22"/>
          <w:lang w:val="sr-Latn-ME"/>
        </w:rPr>
      </w:pPr>
    </w:p>
    <w:p w14:paraId="1878A6DE" w14:textId="77777777" w:rsidR="00C77DBF" w:rsidRPr="006E2CA6" w:rsidRDefault="00C77DBF" w:rsidP="00304460">
      <w:pPr>
        <w:tabs>
          <w:tab w:val="left" w:pos="540"/>
          <w:tab w:val="left" w:pos="569"/>
        </w:tabs>
        <w:rPr>
          <w:b/>
          <w:bCs/>
          <w:sz w:val="22"/>
          <w:szCs w:val="22"/>
          <w:lang w:val="sr-Latn-ME"/>
        </w:rPr>
      </w:pPr>
      <w:r w:rsidRPr="006E2CA6">
        <w:rPr>
          <w:b/>
          <w:bCs/>
          <w:noProof/>
          <w:sz w:val="22"/>
          <w:szCs w:val="22"/>
          <w:lang w:val="sr-Latn-ME" w:eastAsia="sr-Latn-ME"/>
        </w:rPr>
        <w:drawing>
          <wp:inline distT="0" distB="0" distL="0" distR="0" wp14:anchorId="67A64034" wp14:editId="0C8FBA7A">
            <wp:extent cx="980796" cy="972000"/>
            <wp:effectExtent l="0" t="0" r="0" b="0"/>
            <wp:docPr id="10"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EE39545" w14:textId="77777777" w:rsidR="00F75D75" w:rsidRPr="006E2CA6" w:rsidRDefault="00F75D75" w:rsidP="00304460">
      <w:pPr>
        <w:tabs>
          <w:tab w:val="left" w:pos="540"/>
          <w:tab w:val="left" w:pos="569"/>
        </w:tabs>
        <w:rPr>
          <w:rFonts w:eastAsia="Calibri"/>
          <w:sz w:val="22"/>
          <w:szCs w:val="22"/>
          <w:u w:val="single"/>
          <w:lang w:val="sr-Latn-ME"/>
        </w:rPr>
      </w:pPr>
    </w:p>
    <w:p w14:paraId="3E78E560" w14:textId="77777777" w:rsidR="00CD6F02" w:rsidRPr="006E2CA6" w:rsidRDefault="0072020E" w:rsidP="00304460">
      <w:pPr>
        <w:tabs>
          <w:tab w:val="left" w:pos="540"/>
          <w:tab w:val="left" w:pos="569"/>
        </w:tabs>
        <w:rPr>
          <w:b/>
          <w:bCs/>
          <w:sz w:val="22"/>
          <w:szCs w:val="22"/>
          <w:lang w:val="sr-Latn-ME"/>
        </w:rPr>
      </w:pPr>
      <w:r w:rsidRPr="006E2CA6">
        <w:rPr>
          <w:b/>
          <w:bCs/>
          <w:sz w:val="22"/>
          <w:szCs w:val="22"/>
          <w:lang w:val="sr-Latn-ME"/>
        </w:rPr>
        <w:t xml:space="preserve">4.9. </w:t>
      </w:r>
      <w:r w:rsidR="00480FB1" w:rsidRPr="006E2CA6">
        <w:rPr>
          <w:b/>
          <w:bCs/>
          <w:sz w:val="22"/>
          <w:szCs w:val="22"/>
          <w:lang w:val="sr-Latn-ME"/>
        </w:rPr>
        <w:tab/>
      </w:r>
      <w:r w:rsidRPr="006E2CA6">
        <w:rPr>
          <w:b/>
          <w:bCs/>
          <w:sz w:val="22"/>
          <w:szCs w:val="22"/>
          <w:lang w:val="sr-Latn-ME"/>
        </w:rPr>
        <w:t>Predoziranje</w:t>
      </w:r>
      <w:r w:rsidR="002846DB" w:rsidRPr="006E2CA6">
        <w:rPr>
          <w:b/>
          <w:bCs/>
          <w:sz w:val="22"/>
          <w:szCs w:val="22"/>
          <w:lang w:val="sr-Latn-ME"/>
        </w:rPr>
        <w:t xml:space="preserve"> </w:t>
      </w:r>
    </w:p>
    <w:p w14:paraId="3F045E81" w14:textId="77777777" w:rsidR="00CD6F02" w:rsidRPr="006E2CA6" w:rsidRDefault="00CD6F02" w:rsidP="00304460">
      <w:pPr>
        <w:tabs>
          <w:tab w:val="left" w:pos="540"/>
          <w:tab w:val="left" w:pos="569"/>
        </w:tabs>
        <w:rPr>
          <w:b/>
          <w:bCs/>
          <w:sz w:val="22"/>
          <w:szCs w:val="22"/>
          <w:lang w:val="sr-Latn-ME"/>
        </w:rPr>
      </w:pPr>
    </w:p>
    <w:p w14:paraId="25AA5168" w14:textId="4AC26DD5" w:rsidR="00E77A88" w:rsidRPr="006E2CA6" w:rsidRDefault="00E77A88" w:rsidP="00304460">
      <w:pPr>
        <w:tabs>
          <w:tab w:val="left" w:pos="540"/>
          <w:tab w:val="left" w:pos="569"/>
        </w:tabs>
        <w:spacing w:after="240"/>
        <w:jc w:val="both"/>
        <w:rPr>
          <w:bCs/>
          <w:sz w:val="22"/>
          <w:szCs w:val="22"/>
          <w:lang w:val="sr-Latn-ME"/>
        </w:rPr>
      </w:pPr>
      <w:r w:rsidRPr="006E2CA6">
        <w:rPr>
          <w:bCs/>
          <w:sz w:val="22"/>
          <w:szCs w:val="22"/>
          <w:lang w:val="sr-Latn-ME"/>
        </w:rPr>
        <w:t xml:space="preserve">Predoziranje može rezultirati neuromuskularnom blokadom koja može dovesti do slabosti mišića, apneje </w:t>
      </w:r>
      <w:r w:rsidR="00834F51" w:rsidRPr="006E2CA6">
        <w:rPr>
          <w:bCs/>
          <w:sz w:val="22"/>
          <w:szCs w:val="22"/>
          <w:lang w:val="sr-Latn-ME"/>
        </w:rPr>
        <w:t xml:space="preserve">i </w:t>
      </w:r>
      <w:r w:rsidR="00AA0405" w:rsidRPr="006E2CA6">
        <w:rPr>
          <w:bCs/>
          <w:sz w:val="22"/>
          <w:szCs w:val="22"/>
          <w:lang w:val="sr-Latn-ME"/>
        </w:rPr>
        <w:t>mogućeg respiratornog zastoja</w:t>
      </w:r>
      <w:r w:rsidRPr="006E2CA6">
        <w:rPr>
          <w:bCs/>
          <w:sz w:val="22"/>
          <w:szCs w:val="22"/>
          <w:lang w:val="sr-Latn-ME"/>
        </w:rPr>
        <w:t xml:space="preserve">. Predoziranje takođe može uzrokovati akutnu bubreženu insuficijenciju koja </w:t>
      </w:r>
      <w:r w:rsidR="00AA0405" w:rsidRPr="006E2CA6">
        <w:rPr>
          <w:bCs/>
          <w:sz w:val="22"/>
          <w:szCs w:val="22"/>
          <w:lang w:val="sr-Latn-ME"/>
        </w:rPr>
        <w:t xml:space="preserve">se </w:t>
      </w:r>
      <w:r w:rsidRPr="006E2CA6">
        <w:rPr>
          <w:bCs/>
          <w:sz w:val="22"/>
          <w:szCs w:val="22"/>
          <w:lang w:val="sr-Latn-ME"/>
        </w:rPr>
        <w:t>karakteriše smanjen</w:t>
      </w:r>
      <w:r w:rsidR="00AA0405" w:rsidRPr="006E2CA6">
        <w:rPr>
          <w:bCs/>
          <w:sz w:val="22"/>
          <w:szCs w:val="22"/>
          <w:lang w:val="sr-Latn-ME"/>
        </w:rPr>
        <w:t>im</w:t>
      </w:r>
      <w:r w:rsidRPr="006E2CA6">
        <w:rPr>
          <w:bCs/>
          <w:sz w:val="22"/>
          <w:szCs w:val="22"/>
          <w:lang w:val="sr-Latn-ME"/>
        </w:rPr>
        <w:t xml:space="preserve"> izlučivanj</w:t>
      </w:r>
      <w:r w:rsidR="00AA0405" w:rsidRPr="006E2CA6">
        <w:rPr>
          <w:bCs/>
          <w:sz w:val="22"/>
          <w:szCs w:val="22"/>
          <w:lang w:val="sr-Latn-ME"/>
        </w:rPr>
        <w:t>em</w:t>
      </w:r>
      <w:r w:rsidRPr="006E2CA6">
        <w:rPr>
          <w:bCs/>
          <w:sz w:val="22"/>
          <w:szCs w:val="22"/>
          <w:lang w:val="sr-Latn-ME"/>
        </w:rPr>
        <w:t xml:space="preserve"> urina i povećanje</w:t>
      </w:r>
      <w:r w:rsidR="00AA0405" w:rsidRPr="006E2CA6">
        <w:rPr>
          <w:bCs/>
          <w:sz w:val="22"/>
          <w:szCs w:val="22"/>
          <w:lang w:val="sr-Latn-ME"/>
        </w:rPr>
        <w:t>m</w:t>
      </w:r>
      <w:r w:rsidRPr="006E2CA6">
        <w:rPr>
          <w:bCs/>
          <w:sz w:val="22"/>
          <w:szCs w:val="22"/>
          <w:lang w:val="sr-Latn-ME"/>
        </w:rPr>
        <w:t xml:space="preserve"> serumskih koncentracija azota iz uree i kreatinina.</w:t>
      </w:r>
    </w:p>
    <w:p w14:paraId="1201D4C2" w14:textId="77777777" w:rsidR="00227BDB" w:rsidRPr="006E2CA6" w:rsidRDefault="00E77A88" w:rsidP="00304460">
      <w:pPr>
        <w:tabs>
          <w:tab w:val="left" w:pos="540"/>
          <w:tab w:val="left" w:pos="569"/>
        </w:tabs>
        <w:jc w:val="both"/>
        <w:rPr>
          <w:bCs/>
          <w:sz w:val="22"/>
          <w:szCs w:val="22"/>
          <w:lang w:val="sr-Latn-ME"/>
        </w:rPr>
      </w:pPr>
      <w:r w:rsidRPr="006E2CA6">
        <w:rPr>
          <w:bCs/>
          <w:sz w:val="22"/>
          <w:szCs w:val="22"/>
          <w:lang w:val="sr-Latn-ME"/>
        </w:rPr>
        <w:t>Ne postoji specifični antidot, predoziranje se tretira suportivnom terapijom. Može se probati sa m</w:t>
      </w:r>
      <w:r w:rsidR="00834F51" w:rsidRPr="006E2CA6">
        <w:rPr>
          <w:bCs/>
          <w:sz w:val="22"/>
          <w:szCs w:val="22"/>
          <w:lang w:val="sr-Latn-ME"/>
        </w:rPr>
        <w:t>j</w:t>
      </w:r>
      <w:r w:rsidRPr="006E2CA6">
        <w:rPr>
          <w:bCs/>
          <w:sz w:val="22"/>
          <w:szCs w:val="22"/>
          <w:lang w:val="sr-Latn-ME"/>
        </w:rPr>
        <w:t xml:space="preserve">erama </w:t>
      </w:r>
      <w:r w:rsidR="00834F51" w:rsidRPr="006E2CA6">
        <w:rPr>
          <w:bCs/>
          <w:sz w:val="22"/>
          <w:szCs w:val="22"/>
          <w:lang w:val="sr-Latn-ME"/>
        </w:rPr>
        <w:t>koje povećavaju</w:t>
      </w:r>
      <w:r w:rsidRPr="006E2CA6">
        <w:rPr>
          <w:bCs/>
          <w:sz w:val="22"/>
          <w:szCs w:val="22"/>
          <w:lang w:val="sr-Latn-ME"/>
        </w:rPr>
        <w:t xml:space="preserve"> stepen eliminacije kolistina kao što su npr. diureza manitolom, produžena hemodijaliza ili peritonealna dijaliza, ali njihova efikasnost nije poznata.</w:t>
      </w:r>
    </w:p>
    <w:p w14:paraId="6B4BBF03" w14:textId="03086AAB" w:rsidR="00E77A88" w:rsidRDefault="00E77A88" w:rsidP="00304460">
      <w:pPr>
        <w:tabs>
          <w:tab w:val="left" w:pos="540"/>
          <w:tab w:val="left" w:pos="569"/>
        </w:tabs>
        <w:jc w:val="both"/>
        <w:rPr>
          <w:bCs/>
          <w:sz w:val="22"/>
          <w:szCs w:val="22"/>
          <w:lang w:val="sr-Latn-ME"/>
        </w:rPr>
      </w:pPr>
    </w:p>
    <w:p w14:paraId="74F0D8E4" w14:textId="77777777" w:rsidR="00CB6714" w:rsidRPr="006E2CA6" w:rsidRDefault="00CB6714" w:rsidP="00304460">
      <w:pPr>
        <w:tabs>
          <w:tab w:val="left" w:pos="540"/>
          <w:tab w:val="left" w:pos="569"/>
        </w:tabs>
        <w:jc w:val="both"/>
        <w:rPr>
          <w:bCs/>
          <w:sz w:val="22"/>
          <w:szCs w:val="22"/>
          <w:lang w:val="sr-Latn-ME"/>
        </w:rPr>
      </w:pPr>
    </w:p>
    <w:p w14:paraId="53EBBA31" w14:textId="77777777" w:rsidR="0072020E" w:rsidRPr="006E2CA6" w:rsidRDefault="0072020E" w:rsidP="00304460">
      <w:pPr>
        <w:tabs>
          <w:tab w:val="left" w:pos="540"/>
          <w:tab w:val="left" w:pos="569"/>
        </w:tabs>
        <w:rPr>
          <w:b/>
          <w:bCs/>
          <w:sz w:val="22"/>
          <w:szCs w:val="22"/>
          <w:lang w:val="sr-Latn-ME"/>
        </w:rPr>
      </w:pPr>
      <w:r w:rsidRPr="006E2CA6">
        <w:rPr>
          <w:b/>
          <w:bCs/>
          <w:sz w:val="22"/>
          <w:szCs w:val="22"/>
          <w:lang w:val="sr-Latn-ME"/>
        </w:rPr>
        <w:t xml:space="preserve">5. </w:t>
      </w:r>
      <w:r w:rsidR="00480FB1" w:rsidRPr="006E2CA6">
        <w:rPr>
          <w:b/>
          <w:bCs/>
          <w:sz w:val="22"/>
          <w:szCs w:val="22"/>
          <w:lang w:val="sr-Latn-ME"/>
        </w:rPr>
        <w:tab/>
      </w:r>
      <w:r w:rsidRPr="006E2CA6">
        <w:rPr>
          <w:b/>
          <w:bCs/>
          <w:sz w:val="22"/>
          <w:szCs w:val="22"/>
          <w:lang w:val="sr-Latn-ME"/>
        </w:rPr>
        <w:t>FARMAKOLOŠK</w:t>
      </w:r>
      <w:r w:rsidR="000D425A" w:rsidRPr="006E2CA6">
        <w:rPr>
          <w:b/>
          <w:bCs/>
          <w:sz w:val="22"/>
          <w:szCs w:val="22"/>
          <w:lang w:val="sr-Latn-ME"/>
        </w:rPr>
        <w:t>I</w:t>
      </w:r>
      <w:r w:rsidRPr="006E2CA6">
        <w:rPr>
          <w:b/>
          <w:bCs/>
          <w:sz w:val="22"/>
          <w:szCs w:val="22"/>
          <w:lang w:val="sr-Latn-ME"/>
        </w:rPr>
        <w:t xml:space="preserve"> PODACI</w:t>
      </w:r>
    </w:p>
    <w:p w14:paraId="1552DD6B" w14:textId="77777777" w:rsidR="0072020E" w:rsidRPr="006E2CA6" w:rsidRDefault="0072020E" w:rsidP="00304460">
      <w:pPr>
        <w:tabs>
          <w:tab w:val="left" w:pos="540"/>
          <w:tab w:val="left" w:pos="569"/>
        </w:tabs>
        <w:rPr>
          <w:b/>
          <w:bCs/>
          <w:sz w:val="22"/>
          <w:szCs w:val="22"/>
          <w:lang w:val="sr-Latn-ME"/>
        </w:rPr>
      </w:pPr>
    </w:p>
    <w:p w14:paraId="27050FC4" w14:textId="77777777" w:rsidR="0072020E" w:rsidRPr="006E2CA6" w:rsidRDefault="0072020E" w:rsidP="00304460">
      <w:pPr>
        <w:tabs>
          <w:tab w:val="left" w:pos="540"/>
          <w:tab w:val="left" w:pos="569"/>
        </w:tabs>
        <w:rPr>
          <w:b/>
          <w:bCs/>
          <w:sz w:val="22"/>
          <w:szCs w:val="22"/>
          <w:lang w:val="sr-Latn-ME"/>
        </w:rPr>
      </w:pPr>
      <w:r w:rsidRPr="006E2CA6">
        <w:rPr>
          <w:b/>
          <w:bCs/>
          <w:sz w:val="22"/>
          <w:szCs w:val="22"/>
          <w:lang w:val="sr-Latn-ME"/>
        </w:rPr>
        <w:t xml:space="preserve">5.1. </w:t>
      </w:r>
      <w:r w:rsidR="00480FB1" w:rsidRPr="006E2CA6">
        <w:rPr>
          <w:b/>
          <w:bCs/>
          <w:sz w:val="22"/>
          <w:szCs w:val="22"/>
          <w:lang w:val="sr-Latn-ME"/>
        </w:rPr>
        <w:tab/>
      </w:r>
      <w:r w:rsidRPr="006E2CA6">
        <w:rPr>
          <w:b/>
          <w:bCs/>
          <w:sz w:val="22"/>
          <w:szCs w:val="22"/>
          <w:lang w:val="sr-Latn-ME"/>
        </w:rPr>
        <w:t>Farmakodinamski podaci</w:t>
      </w:r>
      <w:r w:rsidR="003A7059" w:rsidRPr="006E2CA6">
        <w:rPr>
          <w:b/>
          <w:bCs/>
          <w:sz w:val="22"/>
          <w:szCs w:val="22"/>
          <w:lang w:val="sr-Latn-ME"/>
        </w:rPr>
        <w:t xml:space="preserve"> </w:t>
      </w:r>
    </w:p>
    <w:p w14:paraId="083A8708" w14:textId="77777777" w:rsidR="00F45F77" w:rsidRPr="006E2CA6" w:rsidRDefault="00F45F77" w:rsidP="00304460">
      <w:pPr>
        <w:tabs>
          <w:tab w:val="left" w:pos="540"/>
          <w:tab w:val="left" w:pos="569"/>
        </w:tabs>
        <w:rPr>
          <w:b/>
          <w:bCs/>
          <w:sz w:val="22"/>
          <w:szCs w:val="22"/>
          <w:lang w:val="sr-Latn-ME"/>
        </w:rPr>
      </w:pPr>
    </w:p>
    <w:p w14:paraId="485AF38E" w14:textId="77777777" w:rsidR="0072020E" w:rsidRPr="006E2CA6" w:rsidRDefault="0072020E" w:rsidP="00304460">
      <w:pPr>
        <w:tabs>
          <w:tab w:val="left" w:pos="540"/>
          <w:tab w:val="left" w:pos="569"/>
        </w:tabs>
        <w:rPr>
          <w:bCs/>
          <w:sz w:val="22"/>
          <w:szCs w:val="22"/>
          <w:lang w:val="sr-Latn-ME"/>
        </w:rPr>
      </w:pPr>
      <w:r w:rsidRPr="006E2CA6">
        <w:rPr>
          <w:bCs/>
          <w:sz w:val="22"/>
          <w:szCs w:val="22"/>
          <w:lang w:val="sr-Latn-ME"/>
        </w:rPr>
        <w:t>Farmakoterapijska grupa:</w:t>
      </w:r>
      <w:r w:rsidR="00E77A88" w:rsidRPr="006E2CA6">
        <w:rPr>
          <w:lang w:val="sr-Latn-ME"/>
        </w:rPr>
        <w:t xml:space="preserve"> </w:t>
      </w:r>
      <w:r w:rsidR="00E77A88" w:rsidRPr="006E2CA6">
        <w:rPr>
          <w:bCs/>
          <w:sz w:val="22"/>
          <w:szCs w:val="22"/>
          <w:lang w:val="sr-Latn-ME"/>
        </w:rPr>
        <w:t>Antibakterijski l</w:t>
      </w:r>
      <w:r w:rsidR="00834F51" w:rsidRPr="006E2CA6">
        <w:rPr>
          <w:bCs/>
          <w:sz w:val="22"/>
          <w:szCs w:val="22"/>
          <w:lang w:val="sr-Latn-ME"/>
        </w:rPr>
        <w:t>j</w:t>
      </w:r>
      <w:r w:rsidR="00E77A88" w:rsidRPr="006E2CA6">
        <w:rPr>
          <w:bCs/>
          <w:sz w:val="22"/>
          <w:szCs w:val="22"/>
          <w:lang w:val="sr-Latn-ME"/>
        </w:rPr>
        <w:t>ekovi za sistemsku prim</w:t>
      </w:r>
      <w:r w:rsidR="00834F51" w:rsidRPr="006E2CA6">
        <w:rPr>
          <w:bCs/>
          <w:sz w:val="22"/>
          <w:szCs w:val="22"/>
          <w:lang w:val="sr-Latn-ME"/>
        </w:rPr>
        <w:t>j</w:t>
      </w:r>
      <w:r w:rsidR="00E77A88" w:rsidRPr="006E2CA6">
        <w:rPr>
          <w:bCs/>
          <w:sz w:val="22"/>
          <w:szCs w:val="22"/>
          <w:lang w:val="sr-Latn-ME"/>
        </w:rPr>
        <w:t>enu; polimiksini</w:t>
      </w:r>
    </w:p>
    <w:p w14:paraId="49896BA6" w14:textId="77777777" w:rsidR="0072020E" w:rsidRPr="006E2CA6" w:rsidRDefault="0072020E" w:rsidP="00304460">
      <w:pPr>
        <w:tabs>
          <w:tab w:val="left" w:pos="540"/>
          <w:tab w:val="left" w:pos="569"/>
        </w:tabs>
        <w:rPr>
          <w:bCs/>
          <w:sz w:val="22"/>
          <w:szCs w:val="22"/>
          <w:lang w:val="sr-Latn-ME"/>
        </w:rPr>
      </w:pPr>
      <w:r w:rsidRPr="006E2CA6">
        <w:rPr>
          <w:bCs/>
          <w:sz w:val="22"/>
          <w:szCs w:val="22"/>
          <w:lang w:val="sr-Latn-ME"/>
        </w:rPr>
        <w:lastRenderedPageBreak/>
        <w:t>ATC kod:</w:t>
      </w:r>
      <w:r w:rsidR="00E77A88" w:rsidRPr="006E2CA6">
        <w:rPr>
          <w:lang w:val="sr-Latn-ME"/>
        </w:rPr>
        <w:t xml:space="preserve"> </w:t>
      </w:r>
      <w:r w:rsidR="00E77A88" w:rsidRPr="006E2CA6">
        <w:rPr>
          <w:bCs/>
          <w:sz w:val="22"/>
          <w:szCs w:val="22"/>
          <w:lang w:val="sr-Latn-ME"/>
        </w:rPr>
        <w:t>J01XB01</w:t>
      </w:r>
    </w:p>
    <w:p w14:paraId="5D43A06F" w14:textId="77777777" w:rsidR="00CB6714" w:rsidRDefault="00CB6714" w:rsidP="00304460">
      <w:pPr>
        <w:tabs>
          <w:tab w:val="left" w:pos="540"/>
          <w:tab w:val="left" w:pos="569"/>
        </w:tabs>
        <w:rPr>
          <w:sz w:val="22"/>
          <w:szCs w:val="22"/>
          <w:u w:val="single"/>
          <w:lang w:val="sr-Latn-ME"/>
        </w:rPr>
      </w:pPr>
    </w:p>
    <w:p w14:paraId="172A3369" w14:textId="78909225" w:rsidR="00834F51" w:rsidRPr="006E2CA6" w:rsidRDefault="00E77A88" w:rsidP="00304460">
      <w:pPr>
        <w:tabs>
          <w:tab w:val="left" w:pos="540"/>
          <w:tab w:val="left" w:pos="569"/>
        </w:tabs>
        <w:rPr>
          <w:sz w:val="22"/>
          <w:szCs w:val="22"/>
          <w:lang w:val="sr-Latn-ME"/>
        </w:rPr>
      </w:pPr>
      <w:r w:rsidRPr="006E2CA6">
        <w:rPr>
          <w:sz w:val="22"/>
          <w:szCs w:val="22"/>
          <w:u w:val="single"/>
          <w:lang w:val="sr-Latn-ME"/>
        </w:rPr>
        <w:t>Mehanizam dejstva</w:t>
      </w:r>
      <w:r w:rsidRPr="006E2CA6">
        <w:rPr>
          <w:sz w:val="22"/>
          <w:szCs w:val="22"/>
          <w:lang w:val="sr-Latn-ME"/>
        </w:rPr>
        <w:t xml:space="preserve"> </w:t>
      </w:r>
    </w:p>
    <w:p w14:paraId="4902F905" w14:textId="59C06099" w:rsidR="00834F51" w:rsidRPr="006E2CA6" w:rsidRDefault="00E77A88" w:rsidP="00304460">
      <w:pPr>
        <w:tabs>
          <w:tab w:val="left" w:pos="540"/>
          <w:tab w:val="left" w:pos="569"/>
        </w:tabs>
        <w:jc w:val="both"/>
        <w:rPr>
          <w:sz w:val="22"/>
          <w:szCs w:val="22"/>
          <w:lang w:val="sr-Latn-ME"/>
        </w:rPr>
      </w:pPr>
      <w:r w:rsidRPr="006E2CA6">
        <w:rPr>
          <w:sz w:val="22"/>
          <w:szCs w:val="22"/>
          <w:lang w:val="sr-Latn-ME"/>
        </w:rPr>
        <w:t>Kolistin je ciklični polipeptidni antibiotik koji pripada grupi polimiksina. Polimiksinski anibiotici d</w:t>
      </w:r>
      <w:r w:rsidR="00F75D75" w:rsidRPr="006E2CA6">
        <w:rPr>
          <w:sz w:val="22"/>
          <w:szCs w:val="22"/>
          <w:lang w:val="sr-Latn-ME"/>
        </w:rPr>
        <w:t>j</w:t>
      </w:r>
      <w:r w:rsidRPr="006E2CA6">
        <w:rPr>
          <w:sz w:val="22"/>
          <w:szCs w:val="22"/>
          <w:lang w:val="sr-Latn-ME"/>
        </w:rPr>
        <w:t xml:space="preserve">eluju tako što oštećuju ćelijske membrane, a rezultati tog fiziološkog efekta su smrtonosni za bakteriju. Polimiksini su selektivni za aerobne Gram-negativne bakterije koje imaju hidrofobnu spoljašnju membranu. </w:t>
      </w:r>
    </w:p>
    <w:p w14:paraId="1217FF4C" w14:textId="77777777" w:rsidR="00834F51" w:rsidRPr="006E2CA6" w:rsidRDefault="00834F51" w:rsidP="00304460">
      <w:pPr>
        <w:tabs>
          <w:tab w:val="left" w:pos="540"/>
          <w:tab w:val="left" w:pos="569"/>
        </w:tabs>
        <w:jc w:val="both"/>
        <w:rPr>
          <w:sz w:val="22"/>
          <w:szCs w:val="22"/>
          <w:lang w:val="sr-Latn-ME"/>
        </w:rPr>
      </w:pPr>
    </w:p>
    <w:p w14:paraId="3DA9CF37" w14:textId="77777777" w:rsidR="00834F51" w:rsidRPr="006E2CA6" w:rsidRDefault="00E77A88" w:rsidP="00304460">
      <w:pPr>
        <w:tabs>
          <w:tab w:val="left" w:pos="540"/>
          <w:tab w:val="left" w:pos="569"/>
        </w:tabs>
        <w:jc w:val="both"/>
        <w:rPr>
          <w:sz w:val="22"/>
          <w:szCs w:val="22"/>
          <w:u w:val="single"/>
          <w:lang w:val="sr-Latn-ME"/>
        </w:rPr>
      </w:pPr>
      <w:r w:rsidRPr="006E2CA6">
        <w:rPr>
          <w:sz w:val="22"/>
          <w:szCs w:val="22"/>
          <w:u w:val="single"/>
          <w:lang w:val="sr-Latn-ME"/>
        </w:rPr>
        <w:t xml:space="preserve">Rezistencija </w:t>
      </w:r>
    </w:p>
    <w:p w14:paraId="3A9C82CB" w14:textId="77777777" w:rsidR="00F75D75"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 xml:space="preserve">Rezistencija bakterija se karakteriše modifikacijom fosfatne grupe na lipopolisaharidu koji se supstituiše sa etanolaminom ili aminoarabinozom. Prirodno rezistentne Gram-negativne bakterije kao što su </w:t>
      </w:r>
      <w:r w:rsidRPr="006E2CA6">
        <w:rPr>
          <w:i/>
          <w:sz w:val="22"/>
          <w:szCs w:val="22"/>
          <w:lang w:val="sr-Latn-ME"/>
        </w:rPr>
        <w:t>Proteus mirabilis</w:t>
      </w:r>
      <w:r w:rsidRPr="006E2CA6">
        <w:rPr>
          <w:sz w:val="22"/>
          <w:szCs w:val="22"/>
          <w:lang w:val="sr-Latn-ME"/>
        </w:rPr>
        <w:t xml:space="preserve"> i </w:t>
      </w:r>
      <w:r w:rsidRPr="006E2CA6">
        <w:rPr>
          <w:i/>
          <w:sz w:val="22"/>
          <w:szCs w:val="22"/>
          <w:lang w:val="sr-Latn-ME"/>
        </w:rPr>
        <w:t xml:space="preserve">Burkholderia cepacia </w:t>
      </w:r>
      <w:r w:rsidRPr="006E2CA6">
        <w:rPr>
          <w:sz w:val="22"/>
          <w:szCs w:val="22"/>
          <w:lang w:val="sr-Latn-ME"/>
        </w:rPr>
        <w:t xml:space="preserve">pokazuju kompletnu supstituciju njihovog lipidnog fosfata sa etanolaminom ili aminoarabinozom. </w:t>
      </w:r>
    </w:p>
    <w:p w14:paraId="367F4B32" w14:textId="714336DC" w:rsidR="00834F51" w:rsidRPr="006E2CA6" w:rsidRDefault="00E77A88" w:rsidP="00304460">
      <w:pPr>
        <w:tabs>
          <w:tab w:val="left" w:pos="540"/>
          <w:tab w:val="left" w:pos="569"/>
        </w:tabs>
        <w:spacing w:after="240"/>
        <w:jc w:val="both"/>
        <w:rPr>
          <w:sz w:val="22"/>
          <w:szCs w:val="22"/>
          <w:lang w:val="sr-Latn-ME"/>
        </w:rPr>
      </w:pPr>
      <w:r w:rsidRPr="006E2CA6">
        <w:rPr>
          <w:sz w:val="22"/>
          <w:szCs w:val="22"/>
          <w:lang w:val="sr-Latn-ME"/>
        </w:rPr>
        <w:t xml:space="preserve">Može se očekivati unakrsna rezistencija između kolistina (polimiksin E) i polimiksina B. S obzirom na to da je mehanizam dejstva polimiksina drugačiji od ostalih antibiotika, rezistencija na kolistin i polimiksin gore navedenim mehanizmom se ne očekuje kao rezultat rezistencije na druge klase antibiotika. </w:t>
      </w:r>
    </w:p>
    <w:p w14:paraId="2E116736" w14:textId="77777777" w:rsidR="00834F51" w:rsidRPr="006E2CA6" w:rsidRDefault="00E77A88" w:rsidP="00304460">
      <w:pPr>
        <w:tabs>
          <w:tab w:val="left" w:pos="540"/>
          <w:tab w:val="left" w:pos="569"/>
        </w:tabs>
        <w:jc w:val="both"/>
        <w:rPr>
          <w:sz w:val="22"/>
          <w:szCs w:val="22"/>
          <w:u w:val="single"/>
          <w:lang w:val="sr-Latn-ME"/>
        </w:rPr>
      </w:pPr>
      <w:r w:rsidRPr="006E2CA6">
        <w:rPr>
          <w:sz w:val="22"/>
          <w:szCs w:val="22"/>
          <w:u w:val="single"/>
          <w:lang w:val="sr-Latn-ME"/>
        </w:rPr>
        <w:t xml:space="preserve">Farmakokinetički/farmakodinamski odnos </w:t>
      </w:r>
    </w:p>
    <w:p w14:paraId="69BF16FC" w14:textId="1F5981D3" w:rsidR="00E77A88" w:rsidRPr="006E2CA6" w:rsidRDefault="00E77A88" w:rsidP="00304460">
      <w:pPr>
        <w:tabs>
          <w:tab w:val="left" w:pos="540"/>
          <w:tab w:val="left" w:pos="569"/>
        </w:tabs>
        <w:jc w:val="both"/>
        <w:rPr>
          <w:sz w:val="22"/>
          <w:szCs w:val="22"/>
          <w:lang w:val="sr-Latn-ME"/>
        </w:rPr>
      </w:pPr>
      <w:r w:rsidRPr="006E2CA6">
        <w:rPr>
          <w:sz w:val="22"/>
          <w:szCs w:val="22"/>
          <w:lang w:val="sr-Latn-ME"/>
        </w:rPr>
        <w:t>Prijavljeno je da</w:t>
      </w:r>
      <w:r w:rsidR="00F75D75" w:rsidRPr="006E2CA6">
        <w:rPr>
          <w:sz w:val="22"/>
          <w:szCs w:val="22"/>
          <w:lang w:val="sr-Latn-ME"/>
        </w:rPr>
        <w:t xml:space="preserve"> je</w:t>
      </w:r>
      <w:r w:rsidRPr="006E2CA6">
        <w:rPr>
          <w:sz w:val="22"/>
          <w:szCs w:val="22"/>
          <w:lang w:val="sr-Latn-ME"/>
        </w:rPr>
        <w:t xml:space="preserve"> </w:t>
      </w:r>
      <w:r w:rsidR="00F75D75" w:rsidRPr="006E2CA6">
        <w:rPr>
          <w:sz w:val="22"/>
          <w:szCs w:val="22"/>
          <w:lang w:val="sr-Latn-ME"/>
        </w:rPr>
        <w:t xml:space="preserve">baktericidni učinak polimiksina na osjetljive bakterije </w:t>
      </w:r>
      <w:r w:rsidRPr="006E2CA6">
        <w:rPr>
          <w:sz w:val="22"/>
          <w:szCs w:val="22"/>
          <w:lang w:val="sr-Latn-ME"/>
        </w:rPr>
        <w:t xml:space="preserve">zavisan od koncentracije. Smatra se da je fPIK/MIK u korelaciji s kliničkom efikasnošću. </w:t>
      </w:r>
    </w:p>
    <w:p w14:paraId="62E1BFF3" w14:textId="77777777" w:rsidR="00E77A88" w:rsidRPr="006E2CA6" w:rsidRDefault="00E77A88" w:rsidP="00304460">
      <w:pPr>
        <w:tabs>
          <w:tab w:val="left" w:pos="540"/>
          <w:tab w:val="left" w:pos="569"/>
        </w:tabs>
        <w:rPr>
          <w:i/>
          <w:sz w:val="22"/>
          <w:szCs w:val="22"/>
          <w:lang w:val="sr-Latn-ME"/>
        </w:rPr>
      </w:pPr>
    </w:p>
    <w:p w14:paraId="1CC67F40" w14:textId="77777777" w:rsidR="002E37A5" w:rsidRPr="006E2CA6" w:rsidRDefault="00E77A88" w:rsidP="00304460">
      <w:pPr>
        <w:tabs>
          <w:tab w:val="left" w:pos="540"/>
          <w:tab w:val="left" w:pos="569"/>
        </w:tabs>
        <w:rPr>
          <w:iCs/>
          <w:sz w:val="22"/>
          <w:szCs w:val="22"/>
          <w:lang w:val="sr-Latn-ME"/>
        </w:rPr>
      </w:pPr>
      <w:r w:rsidRPr="006E2CA6">
        <w:rPr>
          <w:iCs/>
          <w:sz w:val="22"/>
          <w:szCs w:val="22"/>
          <w:lang w:val="sr-Latn-ME"/>
        </w:rPr>
        <w:t>Granične vrijednosti prema EUCAST-u</w:t>
      </w:r>
    </w:p>
    <w:tbl>
      <w:tblPr>
        <w:tblStyle w:val="TableGrid"/>
        <w:tblW w:w="0" w:type="auto"/>
        <w:tblLook w:val="04A0" w:firstRow="1" w:lastRow="0" w:firstColumn="1" w:lastColumn="0" w:noHBand="0" w:noVBand="1"/>
      </w:tblPr>
      <w:tblGrid>
        <w:gridCol w:w="4248"/>
        <w:gridCol w:w="2835"/>
        <w:gridCol w:w="1980"/>
      </w:tblGrid>
      <w:tr w:rsidR="00E77A88" w:rsidRPr="006E2CA6" w14:paraId="37C71C01" w14:textId="77777777" w:rsidTr="00E77A88">
        <w:tc>
          <w:tcPr>
            <w:tcW w:w="4248" w:type="dxa"/>
          </w:tcPr>
          <w:p w14:paraId="28838B98" w14:textId="77777777" w:rsidR="00E77A88" w:rsidRPr="006E2CA6" w:rsidRDefault="00E77A88" w:rsidP="00304460">
            <w:pPr>
              <w:rPr>
                <w:sz w:val="22"/>
                <w:szCs w:val="22"/>
                <w:lang w:val="sr-Latn-ME"/>
              </w:rPr>
            </w:pPr>
            <w:r w:rsidRPr="006E2CA6">
              <w:rPr>
                <w:sz w:val="22"/>
                <w:szCs w:val="22"/>
                <w:lang w:val="sr-Latn-ME"/>
              </w:rPr>
              <w:t xml:space="preserve">EUCAST granične vrijednosti </w:t>
            </w:r>
          </w:p>
        </w:tc>
        <w:tc>
          <w:tcPr>
            <w:tcW w:w="2835" w:type="dxa"/>
          </w:tcPr>
          <w:p w14:paraId="598F0E00" w14:textId="77777777" w:rsidR="00E77A88" w:rsidRPr="006E2CA6" w:rsidRDefault="00E77A88" w:rsidP="00304460">
            <w:pPr>
              <w:rPr>
                <w:b/>
                <w:sz w:val="22"/>
                <w:szCs w:val="22"/>
                <w:lang w:val="sr-Latn-ME"/>
              </w:rPr>
            </w:pPr>
            <w:r w:rsidRPr="006E2CA6">
              <w:rPr>
                <w:b/>
                <w:sz w:val="22"/>
                <w:szCs w:val="22"/>
                <w:lang w:val="sr-Latn-ME"/>
              </w:rPr>
              <w:t xml:space="preserve">Osjetljiv (S) </w:t>
            </w:r>
          </w:p>
        </w:tc>
        <w:tc>
          <w:tcPr>
            <w:tcW w:w="1980" w:type="dxa"/>
          </w:tcPr>
          <w:p w14:paraId="6018F049" w14:textId="5C3478E3" w:rsidR="00E77A88" w:rsidRPr="006E2CA6" w:rsidRDefault="00E77A88" w:rsidP="00304460">
            <w:pPr>
              <w:rPr>
                <w:b/>
                <w:sz w:val="22"/>
                <w:szCs w:val="22"/>
                <w:lang w:val="sr-Latn-ME"/>
              </w:rPr>
            </w:pPr>
            <w:r w:rsidRPr="006E2CA6">
              <w:rPr>
                <w:b/>
                <w:sz w:val="22"/>
                <w:szCs w:val="22"/>
                <w:lang w:val="sr-Latn-ME"/>
              </w:rPr>
              <w:t>Rezistentan (R)</w:t>
            </w:r>
            <w:r w:rsidR="00EC43D8" w:rsidRPr="006E2CA6">
              <w:rPr>
                <w:b/>
                <w:sz w:val="22"/>
                <w:szCs w:val="22"/>
                <w:vertAlign w:val="superscript"/>
                <w:lang w:val="sr-Latn-ME"/>
              </w:rPr>
              <w:t>a</w:t>
            </w:r>
            <w:r w:rsidRPr="006E2CA6">
              <w:rPr>
                <w:b/>
                <w:sz w:val="22"/>
                <w:szCs w:val="22"/>
                <w:lang w:val="sr-Latn-ME"/>
              </w:rPr>
              <w:t xml:space="preserve"> </w:t>
            </w:r>
          </w:p>
        </w:tc>
      </w:tr>
      <w:tr w:rsidR="00E77A88" w:rsidRPr="006E2CA6" w14:paraId="7221343A" w14:textId="77777777" w:rsidTr="00E77A88">
        <w:tc>
          <w:tcPr>
            <w:tcW w:w="4248" w:type="dxa"/>
          </w:tcPr>
          <w:p w14:paraId="6C8A1306" w14:textId="77777777" w:rsidR="00E77A88" w:rsidRPr="006E2CA6" w:rsidRDefault="00E77A88" w:rsidP="00304460">
            <w:pPr>
              <w:rPr>
                <w:i/>
                <w:sz w:val="22"/>
                <w:szCs w:val="22"/>
                <w:lang w:val="sr-Latn-ME"/>
              </w:rPr>
            </w:pPr>
            <w:r w:rsidRPr="006E2CA6">
              <w:rPr>
                <w:i/>
                <w:sz w:val="22"/>
                <w:szCs w:val="22"/>
                <w:lang w:val="sr-Latn-ME"/>
              </w:rPr>
              <w:t xml:space="preserve">Acinetobacter </w:t>
            </w:r>
          </w:p>
        </w:tc>
        <w:tc>
          <w:tcPr>
            <w:tcW w:w="2835" w:type="dxa"/>
          </w:tcPr>
          <w:p w14:paraId="0808C405" w14:textId="77777777" w:rsidR="00E77A88" w:rsidRPr="006E2CA6" w:rsidRDefault="00E77A88" w:rsidP="00304460">
            <w:pPr>
              <w:rPr>
                <w:sz w:val="22"/>
                <w:szCs w:val="22"/>
                <w:lang w:val="sr-Latn-ME"/>
              </w:rPr>
            </w:pPr>
            <w:r w:rsidRPr="006E2CA6">
              <w:rPr>
                <w:sz w:val="22"/>
                <w:szCs w:val="22"/>
                <w:lang w:val="sr-Latn-ME"/>
              </w:rPr>
              <w:t xml:space="preserve">S≤2 </w:t>
            </w:r>
          </w:p>
        </w:tc>
        <w:tc>
          <w:tcPr>
            <w:tcW w:w="1980" w:type="dxa"/>
          </w:tcPr>
          <w:p w14:paraId="5354AA97" w14:textId="77777777" w:rsidR="00E77A88" w:rsidRPr="006E2CA6" w:rsidRDefault="00E77A88" w:rsidP="00304460">
            <w:pPr>
              <w:rPr>
                <w:sz w:val="22"/>
                <w:szCs w:val="22"/>
                <w:lang w:val="sr-Latn-ME"/>
              </w:rPr>
            </w:pPr>
            <w:r w:rsidRPr="006E2CA6">
              <w:rPr>
                <w:sz w:val="22"/>
                <w:szCs w:val="22"/>
                <w:lang w:val="sr-Latn-ME"/>
              </w:rPr>
              <w:t xml:space="preserve">R&gt;2 </w:t>
            </w:r>
          </w:p>
        </w:tc>
      </w:tr>
      <w:tr w:rsidR="00E77A88" w:rsidRPr="006E2CA6" w14:paraId="4D6CB315" w14:textId="77777777" w:rsidTr="00E77A88">
        <w:tc>
          <w:tcPr>
            <w:tcW w:w="4248" w:type="dxa"/>
          </w:tcPr>
          <w:p w14:paraId="7EDD78F2" w14:textId="77777777" w:rsidR="00E77A88" w:rsidRPr="006E2CA6" w:rsidRDefault="00E77A88" w:rsidP="00304460">
            <w:pPr>
              <w:rPr>
                <w:i/>
                <w:sz w:val="22"/>
                <w:szCs w:val="22"/>
                <w:lang w:val="sr-Latn-ME"/>
              </w:rPr>
            </w:pPr>
            <w:r w:rsidRPr="006E2CA6">
              <w:rPr>
                <w:i/>
                <w:sz w:val="22"/>
                <w:szCs w:val="22"/>
                <w:lang w:val="sr-Latn-ME"/>
              </w:rPr>
              <w:t xml:space="preserve">Enterobacteriaceae </w:t>
            </w:r>
          </w:p>
        </w:tc>
        <w:tc>
          <w:tcPr>
            <w:tcW w:w="2835" w:type="dxa"/>
          </w:tcPr>
          <w:p w14:paraId="1175E111" w14:textId="77777777" w:rsidR="00E77A88" w:rsidRPr="006E2CA6" w:rsidRDefault="00E77A88" w:rsidP="00304460">
            <w:pPr>
              <w:rPr>
                <w:sz w:val="22"/>
                <w:szCs w:val="22"/>
                <w:lang w:val="sr-Latn-ME"/>
              </w:rPr>
            </w:pPr>
            <w:r w:rsidRPr="006E2CA6">
              <w:rPr>
                <w:sz w:val="22"/>
                <w:szCs w:val="22"/>
                <w:lang w:val="sr-Latn-ME"/>
              </w:rPr>
              <w:t xml:space="preserve">S≤2 </w:t>
            </w:r>
          </w:p>
        </w:tc>
        <w:tc>
          <w:tcPr>
            <w:tcW w:w="1980" w:type="dxa"/>
          </w:tcPr>
          <w:p w14:paraId="7247F41B" w14:textId="03EE6B0C" w:rsidR="00E77A88" w:rsidRPr="006E2CA6" w:rsidRDefault="00E77A88" w:rsidP="00304460">
            <w:pPr>
              <w:rPr>
                <w:sz w:val="22"/>
                <w:szCs w:val="22"/>
                <w:lang w:val="sr-Latn-ME"/>
              </w:rPr>
            </w:pPr>
            <w:r w:rsidRPr="006E2CA6">
              <w:rPr>
                <w:sz w:val="22"/>
                <w:szCs w:val="22"/>
                <w:lang w:val="sr-Latn-ME"/>
              </w:rPr>
              <w:t>R&gt;2 mg/</w:t>
            </w:r>
            <w:r w:rsidR="00AA0405" w:rsidRPr="006E2CA6">
              <w:rPr>
                <w:sz w:val="22"/>
                <w:szCs w:val="22"/>
                <w:lang w:val="sr-Latn-ME"/>
              </w:rPr>
              <w:t>l</w:t>
            </w:r>
          </w:p>
        </w:tc>
      </w:tr>
      <w:tr w:rsidR="00E77A88" w:rsidRPr="006E2CA6" w14:paraId="6A83B446" w14:textId="77777777" w:rsidTr="00E77A88">
        <w:trPr>
          <w:trHeight w:val="72"/>
        </w:trPr>
        <w:tc>
          <w:tcPr>
            <w:tcW w:w="4248" w:type="dxa"/>
          </w:tcPr>
          <w:p w14:paraId="5E1F0F75" w14:textId="1F98BE69" w:rsidR="00E77A88" w:rsidRPr="006E2CA6" w:rsidRDefault="00E77A88" w:rsidP="00304460">
            <w:pPr>
              <w:rPr>
                <w:i/>
                <w:sz w:val="22"/>
                <w:szCs w:val="22"/>
                <w:lang w:val="sr-Latn-ME"/>
              </w:rPr>
            </w:pPr>
            <w:r w:rsidRPr="006E2CA6">
              <w:rPr>
                <w:i/>
                <w:sz w:val="22"/>
                <w:szCs w:val="22"/>
                <w:lang w:val="sr-Latn-ME"/>
              </w:rPr>
              <w:t>Pseudomonas spp</w:t>
            </w:r>
            <w:r w:rsidR="00AA0405" w:rsidRPr="006E2CA6">
              <w:rPr>
                <w:i/>
                <w:sz w:val="22"/>
                <w:szCs w:val="22"/>
                <w:lang w:val="sr-Latn-ME"/>
              </w:rPr>
              <w:t>.</w:t>
            </w:r>
            <w:r w:rsidRPr="006E2CA6">
              <w:rPr>
                <w:i/>
                <w:sz w:val="22"/>
                <w:szCs w:val="22"/>
                <w:lang w:val="sr-Latn-ME"/>
              </w:rPr>
              <w:t xml:space="preserve"> </w:t>
            </w:r>
          </w:p>
        </w:tc>
        <w:tc>
          <w:tcPr>
            <w:tcW w:w="2835" w:type="dxa"/>
          </w:tcPr>
          <w:p w14:paraId="68A0EBBF" w14:textId="77777777" w:rsidR="00E77A88" w:rsidRPr="006E2CA6" w:rsidRDefault="00E77A88" w:rsidP="00304460">
            <w:pPr>
              <w:rPr>
                <w:sz w:val="22"/>
                <w:szCs w:val="22"/>
                <w:lang w:val="sr-Latn-ME"/>
              </w:rPr>
            </w:pPr>
            <w:r w:rsidRPr="006E2CA6">
              <w:rPr>
                <w:sz w:val="22"/>
                <w:szCs w:val="22"/>
                <w:lang w:val="sr-Latn-ME"/>
              </w:rPr>
              <w:t xml:space="preserve">S≤4 </w:t>
            </w:r>
          </w:p>
        </w:tc>
        <w:tc>
          <w:tcPr>
            <w:tcW w:w="1980" w:type="dxa"/>
          </w:tcPr>
          <w:p w14:paraId="0080DBFA" w14:textId="245F8F43" w:rsidR="00E77A88" w:rsidRPr="006E2CA6" w:rsidRDefault="00E77A88" w:rsidP="00304460">
            <w:pPr>
              <w:rPr>
                <w:sz w:val="22"/>
                <w:szCs w:val="22"/>
                <w:lang w:val="sr-Latn-ME"/>
              </w:rPr>
            </w:pPr>
            <w:r w:rsidRPr="006E2CA6">
              <w:rPr>
                <w:sz w:val="22"/>
                <w:szCs w:val="22"/>
                <w:lang w:val="sr-Latn-ME"/>
              </w:rPr>
              <w:t>R&gt;4 mg/</w:t>
            </w:r>
            <w:r w:rsidR="00AA0405" w:rsidRPr="006E2CA6">
              <w:rPr>
                <w:sz w:val="22"/>
                <w:szCs w:val="22"/>
                <w:lang w:val="sr-Latn-ME"/>
              </w:rPr>
              <w:t>l</w:t>
            </w:r>
          </w:p>
        </w:tc>
      </w:tr>
    </w:tbl>
    <w:p w14:paraId="59A7D2F2" w14:textId="1874B22A" w:rsidR="00E77A88" w:rsidRPr="006E2CA6" w:rsidRDefault="00E77A88" w:rsidP="00304460">
      <w:pPr>
        <w:tabs>
          <w:tab w:val="left" w:pos="540"/>
          <w:tab w:val="left" w:pos="569"/>
        </w:tabs>
        <w:rPr>
          <w:sz w:val="22"/>
          <w:szCs w:val="22"/>
          <w:lang w:val="sr-Latn-ME"/>
        </w:rPr>
      </w:pPr>
      <w:r w:rsidRPr="006E2CA6">
        <w:rPr>
          <w:sz w:val="22"/>
          <w:szCs w:val="22"/>
          <w:vertAlign w:val="superscript"/>
          <w:lang w:val="sr-Latn-ME"/>
        </w:rPr>
        <w:t xml:space="preserve">a </w:t>
      </w:r>
      <w:r w:rsidRPr="006E2CA6">
        <w:rPr>
          <w:sz w:val="22"/>
          <w:szCs w:val="22"/>
          <w:lang w:val="sr-Latn-ME"/>
        </w:rPr>
        <w:t>Granične vr</w:t>
      </w:r>
      <w:r w:rsidR="00EC43D8" w:rsidRPr="006E2CA6">
        <w:rPr>
          <w:sz w:val="22"/>
          <w:szCs w:val="22"/>
          <w:lang w:val="sr-Latn-ME"/>
        </w:rPr>
        <w:t>ij</w:t>
      </w:r>
      <w:r w:rsidRPr="006E2CA6">
        <w:rPr>
          <w:sz w:val="22"/>
          <w:szCs w:val="22"/>
          <w:lang w:val="sr-Latn-ME"/>
        </w:rPr>
        <w:t xml:space="preserve">ednosti se odnose na dozu od 2-3 M i.j. x 3. Može biti potrebna udarna doza (9 M i.j.). </w:t>
      </w:r>
    </w:p>
    <w:p w14:paraId="16547A57" w14:textId="77777777" w:rsidR="00E77A88" w:rsidRPr="006E2CA6" w:rsidRDefault="00E77A88" w:rsidP="00304460">
      <w:pPr>
        <w:tabs>
          <w:tab w:val="left" w:pos="540"/>
          <w:tab w:val="left" w:pos="569"/>
        </w:tabs>
        <w:rPr>
          <w:sz w:val="22"/>
          <w:szCs w:val="22"/>
          <w:lang w:val="sr-Latn-ME"/>
        </w:rPr>
      </w:pPr>
    </w:p>
    <w:p w14:paraId="30E9154B" w14:textId="77777777" w:rsidR="00834F51" w:rsidRPr="006E2CA6" w:rsidRDefault="00E77A88" w:rsidP="00304460">
      <w:pPr>
        <w:tabs>
          <w:tab w:val="left" w:pos="540"/>
          <w:tab w:val="left" w:pos="569"/>
        </w:tabs>
        <w:jc w:val="both"/>
        <w:rPr>
          <w:sz w:val="22"/>
          <w:szCs w:val="22"/>
          <w:u w:val="single"/>
          <w:lang w:val="sr-Latn-ME"/>
        </w:rPr>
      </w:pPr>
      <w:r w:rsidRPr="006E2CA6">
        <w:rPr>
          <w:sz w:val="22"/>
          <w:szCs w:val="22"/>
          <w:u w:val="single"/>
          <w:lang w:val="sr-Latn-ME"/>
        </w:rPr>
        <w:t>Os</w:t>
      </w:r>
      <w:r w:rsidR="00834F51" w:rsidRPr="006E2CA6">
        <w:rPr>
          <w:sz w:val="22"/>
          <w:szCs w:val="22"/>
          <w:u w:val="single"/>
          <w:lang w:val="sr-Latn-ME"/>
        </w:rPr>
        <w:t>j</w:t>
      </w:r>
      <w:r w:rsidRPr="006E2CA6">
        <w:rPr>
          <w:sz w:val="22"/>
          <w:szCs w:val="22"/>
          <w:u w:val="single"/>
          <w:lang w:val="sr-Latn-ME"/>
        </w:rPr>
        <w:t xml:space="preserve">etljivost </w:t>
      </w:r>
    </w:p>
    <w:p w14:paraId="78E2BCA7" w14:textId="767CBD6C" w:rsidR="00E77A88" w:rsidRPr="006E2CA6" w:rsidRDefault="00E77A88" w:rsidP="00304460">
      <w:pPr>
        <w:tabs>
          <w:tab w:val="left" w:pos="540"/>
          <w:tab w:val="left" w:pos="569"/>
        </w:tabs>
        <w:jc w:val="both"/>
        <w:rPr>
          <w:sz w:val="22"/>
          <w:szCs w:val="22"/>
          <w:lang w:val="sr-Latn-ME"/>
        </w:rPr>
      </w:pPr>
      <w:r w:rsidRPr="006E2CA6">
        <w:rPr>
          <w:sz w:val="22"/>
          <w:szCs w:val="22"/>
          <w:lang w:val="sr-Latn-ME"/>
        </w:rPr>
        <w:t>Prevalenca stečene rezistencije može varirati geografski i varirati tokom vremena za izabranu vrstu</w:t>
      </w:r>
      <w:r w:rsidR="00AA0405" w:rsidRPr="006E2CA6">
        <w:rPr>
          <w:sz w:val="22"/>
          <w:szCs w:val="22"/>
          <w:lang w:val="sr-Latn-ME"/>
        </w:rPr>
        <w:t>,</w:t>
      </w:r>
      <w:r w:rsidRPr="006E2CA6">
        <w:rPr>
          <w:sz w:val="22"/>
          <w:szCs w:val="22"/>
          <w:lang w:val="sr-Latn-ME"/>
        </w:rPr>
        <w:t xml:space="preserve"> </w:t>
      </w:r>
      <w:r w:rsidR="00AA0405" w:rsidRPr="006E2CA6">
        <w:rPr>
          <w:sz w:val="22"/>
          <w:szCs w:val="22"/>
          <w:lang w:val="sr-Latn-ME"/>
        </w:rPr>
        <w:t xml:space="preserve">te su </w:t>
      </w:r>
      <w:r w:rsidRPr="006E2CA6">
        <w:rPr>
          <w:sz w:val="22"/>
          <w:szCs w:val="22"/>
          <w:lang w:val="sr-Latn-ME"/>
        </w:rPr>
        <w:t>poželjne lokalne informacije o rezistenciji, naročito kada je u pitanju l</w:t>
      </w:r>
      <w:r w:rsidR="00834F51" w:rsidRPr="006E2CA6">
        <w:rPr>
          <w:sz w:val="22"/>
          <w:szCs w:val="22"/>
          <w:lang w:val="sr-Latn-ME"/>
        </w:rPr>
        <w:t>ij</w:t>
      </w:r>
      <w:r w:rsidRPr="006E2CA6">
        <w:rPr>
          <w:sz w:val="22"/>
          <w:szCs w:val="22"/>
          <w:lang w:val="sr-Latn-ME"/>
        </w:rPr>
        <w:t xml:space="preserve">ečenje teških infekcija. Po potrebi, </w:t>
      </w:r>
      <w:r w:rsidR="00EC43D8" w:rsidRPr="006E2CA6">
        <w:rPr>
          <w:sz w:val="22"/>
          <w:szCs w:val="22"/>
          <w:lang w:val="sr-Latn-ME"/>
        </w:rPr>
        <w:t>mo</w:t>
      </w:r>
      <w:r w:rsidR="002A1305" w:rsidRPr="006E2CA6">
        <w:rPr>
          <w:sz w:val="22"/>
          <w:szCs w:val="22"/>
          <w:lang w:val="sr-Latn-ME"/>
        </w:rPr>
        <w:t>ž</w:t>
      </w:r>
      <w:r w:rsidR="00EC43D8" w:rsidRPr="006E2CA6">
        <w:rPr>
          <w:sz w:val="22"/>
          <w:szCs w:val="22"/>
          <w:lang w:val="sr-Latn-ME"/>
        </w:rPr>
        <w:t>e se za</w:t>
      </w:r>
      <w:r w:rsidRPr="006E2CA6">
        <w:rPr>
          <w:sz w:val="22"/>
          <w:szCs w:val="22"/>
          <w:lang w:val="sr-Latn-ME"/>
        </w:rPr>
        <w:t>tražiti mišljenje stručnjaka kada je lokalna prevalenca rezistencije takva da je efikasnost prim</w:t>
      </w:r>
      <w:r w:rsidR="00834F51" w:rsidRPr="006E2CA6">
        <w:rPr>
          <w:sz w:val="22"/>
          <w:szCs w:val="22"/>
          <w:lang w:val="sr-Latn-ME"/>
        </w:rPr>
        <w:t>j</w:t>
      </w:r>
      <w:r w:rsidRPr="006E2CA6">
        <w:rPr>
          <w:sz w:val="22"/>
          <w:szCs w:val="22"/>
          <w:lang w:val="sr-Latn-ME"/>
        </w:rPr>
        <w:t>ene agensa kod nekih tipova infekcija pod znakom pitanja.</w:t>
      </w:r>
    </w:p>
    <w:p w14:paraId="2D6C4DC7" w14:textId="77777777" w:rsidR="00277E2D" w:rsidRPr="006E2CA6" w:rsidRDefault="00277E2D" w:rsidP="00304460">
      <w:pPr>
        <w:tabs>
          <w:tab w:val="left" w:pos="540"/>
          <w:tab w:val="left" w:pos="569"/>
        </w:tabs>
        <w:rPr>
          <w:sz w:val="22"/>
          <w:szCs w:val="22"/>
          <w:lang w:val="sr-Latn-ME"/>
        </w:rPr>
      </w:pPr>
    </w:p>
    <w:tbl>
      <w:tblPr>
        <w:tblStyle w:val="TableGrid"/>
        <w:tblW w:w="0" w:type="auto"/>
        <w:tblLook w:val="04A0" w:firstRow="1" w:lastRow="0" w:firstColumn="1" w:lastColumn="0" w:noHBand="0" w:noVBand="1"/>
      </w:tblPr>
      <w:tblGrid>
        <w:gridCol w:w="9063"/>
      </w:tblGrid>
      <w:tr w:rsidR="00D73A18" w:rsidRPr="006E2CA6" w14:paraId="5DC00045" w14:textId="77777777" w:rsidTr="00D73A18">
        <w:tc>
          <w:tcPr>
            <w:tcW w:w="9063" w:type="dxa"/>
          </w:tcPr>
          <w:p w14:paraId="2EF08F8E" w14:textId="77777777" w:rsidR="00D73A18" w:rsidRPr="006E2CA6" w:rsidRDefault="00D73A18" w:rsidP="00304460">
            <w:pPr>
              <w:tabs>
                <w:tab w:val="left" w:pos="540"/>
                <w:tab w:val="left" w:pos="569"/>
              </w:tabs>
              <w:rPr>
                <w:b/>
                <w:i/>
                <w:sz w:val="22"/>
                <w:szCs w:val="22"/>
                <w:lang w:val="sr-Latn-ME"/>
              </w:rPr>
            </w:pPr>
            <w:r w:rsidRPr="006E2CA6">
              <w:rPr>
                <w:b/>
                <w:sz w:val="22"/>
                <w:szCs w:val="22"/>
                <w:lang w:val="sr-Latn-ME"/>
              </w:rPr>
              <w:t>Uobičajeno osjetljive vrste</w:t>
            </w:r>
          </w:p>
        </w:tc>
      </w:tr>
      <w:tr w:rsidR="00D73A18" w:rsidRPr="006E2CA6" w14:paraId="32D09C15" w14:textId="77777777" w:rsidTr="00D73A18">
        <w:tc>
          <w:tcPr>
            <w:tcW w:w="9063" w:type="dxa"/>
          </w:tcPr>
          <w:p w14:paraId="29D72E0F" w14:textId="77777777" w:rsidR="00D73A18" w:rsidRPr="006E2CA6" w:rsidRDefault="00D73A18" w:rsidP="00304460">
            <w:pPr>
              <w:tabs>
                <w:tab w:val="left" w:pos="540"/>
                <w:tab w:val="left" w:pos="569"/>
              </w:tabs>
              <w:rPr>
                <w:i/>
                <w:sz w:val="22"/>
                <w:szCs w:val="22"/>
                <w:lang w:val="sr-Latn-ME"/>
              </w:rPr>
            </w:pPr>
            <w:r w:rsidRPr="006E2CA6">
              <w:rPr>
                <w:i/>
                <w:sz w:val="22"/>
                <w:szCs w:val="22"/>
                <w:lang w:val="sr-Latn-ME"/>
              </w:rPr>
              <w:t>Acinetobacter baumannii</w:t>
            </w:r>
          </w:p>
          <w:p w14:paraId="3F0ECADE" w14:textId="77777777" w:rsidR="00D73A18" w:rsidRPr="006E2CA6" w:rsidRDefault="00D73A18" w:rsidP="00304460">
            <w:pPr>
              <w:tabs>
                <w:tab w:val="left" w:pos="540"/>
                <w:tab w:val="left" w:pos="569"/>
              </w:tabs>
              <w:rPr>
                <w:i/>
                <w:sz w:val="22"/>
                <w:szCs w:val="22"/>
                <w:lang w:val="sr-Latn-ME"/>
              </w:rPr>
            </w:pPr>
            <w:r w:rsidRPr="006E2CA6">
              <w:rPr>
                <w:i/>
                <w:sz w:val="22"/>
                <w:szCs w:val="22"/>
                <w:lang w:val="sr-Latn-ME"/>
              </w:rPr>
              <w:t>Haemophilus influenzae</w:t>
            </w:r>
          </w:p>
          <w:p w14:paraId="35898330" w14:textId="46F6EF9C" w:rsidR="00D73A18" w:rsidRPr="006E2CA6" w:rsidRDefault="00D73A18" w:rsidP="00304460">
            <w:pPr>
              <w:tabs>
                <w:tab w:val="left" w:pos="540"/>
                <w:tab w:val="left" w:pos="569"/>
              </w:tabs>
              <w:rPr>
                <w:i/>
                <w:sz w:val="22"/>
                <w:szCs w:val="22"/>
                <w:lang w:val="sr-Latn-ME"/>
              </w:rPr>
            </w:pPr>
            <w:r w:rsidRPr="006E2CA6">
              <w:rPr>
                <w:i/>
                <w:sz w:val="22"/>
                <w:szCs w:val="22"/>
                <w:lang w:val="sr-Latn-ME"/>
              </w:rPr>
              <w:t>Klebsiella spp</w:t>
            </w:r>
            <w:r w:rsidR="002A1305" w:rsidRPr="006E2CA6">
              <w:rPr>
                <w:i/>
                <w:sz w:val="22"/>
                <w:szCs w:val="22"/>
                <w:lang w:val="sr-Latn-ME"/>
              </w:rPr>
              <w:t>.</w:t>
            </w:r>
          </w:p>
          <w:p w14:paraId="777A886C" w14:textId="77777777" w:rsidR="00D73A18" w:rsidRPr="006E2CA6" w:rsidRDefault="00D73A18" w:rsidP="00304460">
            <w:pPr>
              <w:tabs>
                <w:tab w:val="left" w:pos="540"/>
                <w:tab w:val="left" w:pos="569"/>
              </w:tabs>
              <w:rPr>
                <w:i/>
                <w:sz w:val="22"/>
                <w:szCs w:val="22"/>
                <w:lang w:val="sr-Latn-ME"/>
              </w:rPr>
            </w:pPr>
            <w:r w:rsidRPr="006E2CA6">
              <w:rPr>
                <w:i/>
                <w:sz w:val="22"/>
                <w:szCs w:val="22"/>
                <w:lang w:val="sr-Latn-ME"/>
              </w:rPr>
              <w:t>Pseudomonas aeruginosa</w:t>
            </w:r>
          </w:p>
        </w:tc>
      </w:tr>
      <w:tr w:rsidR="00D73A18" w:rsidRPr="006E2CA6" w14:paraId="1D09A8E8" w14:textId="77777777" w:rsidTr="00D73A18">
        <w:tc>
          <w:tcPr>
            <w:tcW w:w="9063" w:type="dxa"/>
          </w:tcPr>
          <w:p w14:paraId="0800AD6B" w14:textId="77777777" w:rsidR="00D73A18" w:rsidRPr="006E2CA6" w:rsidRDefault="00D73A18" w:rsidP="00304460">
            <w:pPr>
              <w:tabs>
                <w:tab w:val="left" w:pos="540"/>
                <w:tab w:val="left" w:pos="569"/>
              </w:tabs>
              <w:rPr>
                <w:b/>
                <w:sz w:val="22"/>
                <w:szCs w:val="22"/>
                <w:lang w:val="sr-Latn-ME"/>
              </w:rPr>
            </w:pPr>
            <w:r w:rsidRPr="006E2CA6">
              <w:rPr>
                <w:b/>
                <w:sz w:val="22"/>
                <w:szCs w:val="22"/>
                <w:lang w:val="sr-Latn-ME"/>
              </w:rPr>
              <w:t>Vrste kod kojih stečena rezistencija može da predstavlja problem</w:t>
            </w:r>
          </w:p>
        </w:tc>
      </w:tr>
      <w:tr w:rsidR="00D73A18" w:rsidRPr="00304460" w14:paraId="05337344" w14:textId="77777777" w:rsidTr="00D73A18">
        <w:tc>
          <w:tcPr>
            <w:tcW w:w="9063" w:type="dxa"/>
          </w:tcPr>
          <w:p w14:paraId="16A18741" w14:textId="77777777" w:rsidR="00D73A18" w:rsidRPr="006E2CA6" w:rsidRDefault="00D73A18" w:rsidP="00304460">
            <w:pPr>
              <w:tabs>
                <w:tab w:val="left" w:pos="540"/>
                <w:tab w:val="left" w:pos="569"/>
              </w:tabs>
              <w:rPr>
                <w:i/>
                <w:sz w:val="22"/>
                <w:szCs w:val="22"/>
                <w:lang w:val="sr-Latn-ME"/>
              </w:rPr>
            </w:pPr>
            <w:r w:rsidRPr="006E2CA6">
              <w:rPr>
                <w:i/>
                <w:sz w:val="22"/>
                <w:szCs w:val="22"/>
                <w:lang w:val="sr-Latn-ME"/>
              </w:rPr>
              <w:t xml:space="preserve">Stenotrophomonas maltophilia </w:t>
            </w:r>
          </w:p>
          <w:p w14:paraId="4DCE7A37" w14:textId="426292B3" w:rsidR="00D73A18" w:rsidRPr="006E2CA6" w:rsidRDefault="00D73A18" w:rsidP="00304460">
            <w:pPr>
              <w:tabs>
                <w:tab w:val="left" w:pos="540"/>
                <w:tab w:val="left" w:pos="569"/>
              </w:tabs>
              <w:rPr>
                <w:i/>
                <w:sz w:val="22"/>
                <w:szCs w:val="22"/>
                <w:lang w:val="sr-Latn-ME"/>
              </w:rPr>
            </w:pPr>
            <w:r w:rsidRPr="006E2CA6">
              <w:rPr>
                <w:i/>
                <w:sz w:val="22"/>
                <w:szCs w:val="22"/>
                <w:lang w:val="sr-Latn-ME"/>
              </w:rPr>
              <w:t>Achromobacter xylosoxidans (ranije poznat kao Alcaligenes xylosoxidans)</w:t>
            </w:r>
          </w:p>
        </w:tc>
      </w:tr>
      <w:tr w:rsidR="00D73A18" w:rsidRPr="006E2CA6" w14:paraId="34A8CAFB" w14:textId="77777777" w:rsidTr="00D73A18">
        <w:tc>
          <w:tcPr>
            <w:tcW w:w="9063" w:type="dxa"/>
          </w:tcPr>
          <w:p w14:paraId="21D99EAB" w14:textId="77777777" w:rsidR="00D73A18" w:rsidRPr="006E2CA6" w:rsidRDefault="00D73A18" w:rsidP="00304460">
            <w:pPr>
              <w:tabs>
                <w:tab w:val="left" w:pos="540"/>
                <w:tab w:val="left" w:pos="569"/>
              </w:tabs>
              <w:rPr>
                <w:b/>
                <w:sz w:val="22"/>
                <w:szCs w:val="22"/>
                <w:lang w:val="sr-Latn-ME"/>
              </w:rPr>
            </w:pPr>
            <w:r w:rsidRPr="006E2CA6">
              <w:rPr>
                <w:b/>
                <w:sz w:val="22"/>
                <w:szCs w:val="22"/>
                <w:lang w:val="sr-Latn-ME"/>
              </w:rPr>
              <w:t>Inherentno rezistentni organizmi</w:t>
            </w:r>
          </w:p>
        </w:tc>
      </w:tr>
      <w:tr w:rsidR="00D73A18" w:rsidRPr="006E2CA6" w14:paraId="2186C5F2" w14:textId="77777777" w:rsidTr="00D73A18">
        <w:tc>
          <w:tcPr>
            <w:tcW w:w="9063" w:type="dxa"/>
          </w:tcPr>
          <w:p w14:paraId="4A7FD640" w14:textId="77777777" w:rsidR="00D73A18" w:rsidRPr="006E2CA6" w:rsidRDefault="00D73A18" w:rsidP="00304460">
            <w:pPr>
              <w:tabs>
                <w:tab w:val="left" w:pos="540"/>
                <w:tab w:val="left" w:pos="569"/>
              </w:tabs>
              <w:rPr>
                <w:i/>
                <w:sz w:val="22"/>
                <w:szCs w:val="22"/>
                <w:lang w:val="sr-Latn-ME"/>
              </w:rPr>
            </w:pPr>
            <w:r w:rsidRPr="006E2CA6">
              <w:rPr>
                <w:i/>
                <w:sz w:val="22"/>
                <w:szCs w:val="22"/>
                <w:lang w:val="sr-Latn-ME"/>
              </w:rPr>
              <w:t>Burkholderia cepacia i slične vrste</w:t>
            </w:r>
          </w:p>
          <w:p w14:paraId="254B31A3" w14:textId="77777777" w:rsidR="00D73A18" w:rsidRPr="006E2CA6" w:rsidRDefault="00D73A18" w:rsidP="00304460">
            <w:pPr>
              <w:tabs>
                <w:tab w:val="left" w:pos="540"/>
                <w:tab w:val="left" w:pos="569"/>
              </w:tabs>
              <w:rPr>
                <w:i/>
                <w:sz w:val="22"/>
                <w:szCs w:val="22"/>
                <w:lang w:val="sr-Latn-ME"/>
              </w:rPr>
            </w:pPr>
            <w:r w:rsidRPr="006E2CA6">
              <w:rPr>
                <w:i/>
                <w:sz w:val="22"/>
                <w:szCs w:val="22"/>
                <w:lang w:val="sr-Latn-ME"/>
              </w:rPr>
              <w:t>Proteus species</w:t>
            </w:r>
          </w:p>
          <w:p w14:paraId="50BC12A1" w14:textId="77777777" w:rsidR="00D73A18" w:rsidRPr="006E2CA6" w:rsidRDefault="00D73A18" w:rsidP="00304460">
            <w:pPr>
              <w:tabs>
                <w:tab w:val="left" w:pos="540"/>
                <w:tab w:val="left" w:pos="569"/>
              </w:tabs>
              <w:rPr>
                <w:i/>
                <w:sz w:val="22"/>
                <w:szCs w:val="22"/>
                <w:lang w:val="sr-Latn-ME"/>
              </w:rPr>
            </w:pPr>
            <w:r w:rsidRPr="006E2CA6">
              <w:rPr>
                <w:i/>
                <w:sz w:val="22"/>
                <w:szCs w:val="22"/>
                <w:lang w:val="sr-Latn-ME"/>
              </w:rPr>
              <w:t>Providencia species</w:t>
            </w:r>
          </w:p>
          <w:p w14:paraId="5A239137" w14:textId="77777777" w:rsidR="00D73A18" w:rsidRPr="006E2CA6" w:rsidRDefault="00D73A18" w:rsidP="00304460">
            <w:pPr>
              <w:tabs>
                <w:tab w:val="left" w:pos="540"/>
                <w:tab w:val="left" w:pos="569"/>
              </w:tabs>
              <w:rPr>
                <w:i/>
                <w:sz w:val="22"/>
                <w:szCs w:val="22"/>
                <w:lang w:val="sr-Latn-ME"/>
              </w:rPr>
            </w:pPr>
            <w:r w:rsidRPr="006E2CA6">
              <w:rPr>
                <w:i/>
                <w:sz w:val="22"/>
                <w:szCs w:val="22"/>
                <w:lang w:val="sr-Latn-ME"/>
              </w:rPr>
              <w:t>Serratia species</w:t>
            </w:r>
          </w:p>
        </w:tc>
      </w:tr>
    </w:tbl>
    <w:p w14:paraId="4A649C05" w14:textId="77777777" w:rsidR="00D73A18" w:rsidRPr="006E2CA6" w:rsidRDefault="00D73A18" w:rsidP="00304460">
      <w:pPr>
        <w:tabs>
          <w:tab w:val="left" w:pos="540"/>
          <w:tab w:val="left" w:pos="569"/>
        </w:tabs>
        <w:rPr>
          <w:i/>
          <w:sz w:val="22"/>
          <w:szCs w:val="22"/>
          <w:lang w:val="sr-Latn-ME"/>
        </w:rPr>
      </w:pPr>
    </w:p>
    <w:p w14:paraId="0A21D6BF" w14:textId="39B9888E" w:rsidR="0072020E" w:rsidRPr="006E2CA6" w:rsidRDefault="0072020E" w:rsidP="00304460">
      <w:pPr>
        <w:tabs>
          <w:tab w:val="left" w:pos="540"/>
          <w:tab w:val="left" w:pos="569"/>
        </w:tabs>
        <w:rPr>
          <w:b/>
          <w:bCs/>
          <w:sz w:val="22"/>
          <w:szCs w:val="22"/>
          <w:lang w:val="sr-Latn-ME"/>
        </w:rPr>
      </w:pPr>
      <w:r w:rsidRPr="006E2CA6">
        <w:rPr>
          <w:b/>
          <w:bCs/>
          <w:sz w:val="22"/>
          <w:szCs w:val="22"/>
          <w:lang w:val="sr-Latn-ME"/>
        </w:rPr>
        <w:t xml:space="preserve">5.2. </w:t>
      </w:r>
      <w:r w:rsidR="00480FB1" w:rsidRPr="006E2CA6">
        <w:rPr>
          <w:b/>
          <w:bCs/>
          <w:sz w:val="22"/>
          <w:szCs w:val="22"/>
          <w:lang w:val="sr-Latn-ME"/>
        </w:rPr>
        <w:tab/>
      </w:r>
      <w:r w:rsidRPr="006E2CA6">
        <w:rPr>
          <w:b/>
          <w:bCs/>
          <w:sz w:val="22"/>
          <w:szCs w:val="22"/>
          <w:lang w:val="sr-Latn-ME"/>
        </w:rPr>
        <w:t>Farmakokinetički podaci</w:t>
      </w:r>
      <w:r w:rsidR="003A7059" w:rsidRPr="006E2CA6">
        <w:rPr>
          <w:b/>
          <w:bCs/>
          <w:sz w:val="22"/>
          <w:szCs w:val="22"/>
          <w:lang w:val="sr-Latn-ME"/>
        </w:rPr>
        <w:t xml:space="preserve"> </w:t>
      </w:r>
    </w:p>
    <w:p w14:paraId="4F381AAD" w14:textId="77777777" w:rsidR="00D73A18" w:rsidRPr="006E2CA6" w:rsidRDefault="00D73A18" w:rsidP="00304460">
      <w:pPr>
        <w:tabs>
          <w:tab w:val="left" w:pos="540"/>
          <w:tab w:val="left" w:pos="569"/>
        </w:tabs>
        <w:rPr>
          <w:b/>
          <w:bCs/>
          <w:sz w:val="22"/>
          <w:szCs w:val="22"/>
          <w:lang w:val="sr-Latn-ME"/>
        </w:rPr>
      </w:pPr>
    </w:p>
    <w:p w14:paraId="36644F04" w14:textId="77777777" w:rsidR="008252B4" w:rsidRPr="006E2CA6" w:rsidRDefault="00D73A18" w:rsidP="00304460">
      <w:pPr>
        <w:tabs>
          <w:tab w:val="left" w:pos="540"/>
          <w:tab w:val="left" w:pos="569"/>
        </w:tabs>
        <w:jc w:val="both"/>
        <w:rPr>
          <w:sz w:val="22"/>
          <w:szCs w:val="22"/>
          <w:u w:val="single"/>
          <w:lang w:val="sr-Latn-ME"/>
        </w:rPr>
      </w:pPr>
      <w:r w:rsidRPr="006E2CA6">
        <w:rPr>
          <w:sz w:val="22"/>
          <w:szCs w:val="22"/>
          <w:u w:val="single"/>
          <w:lang w:val="sr-Latn-ME"/>
        </w:rPr>
        <w:t xml:space="preserve">Resorpcija </w:t>
      </w:r>
    </w:p>
    <w:p w14:paraId="3A56D439" w14:textId="316E1207" w:rsidR="00DC72D6" w:rsidRPr="006E2CA6" w:rsidRDefault="00D73A18" w:rsidP="00304460">
      <w:pPr>
        <w:tabs>
          <w:tab w:val="left" w:pos="540"/>
          <w:tab w:val="left" w:pos="569"/>
        </w:tabs>
        <w:jc w:val="both"/>
        <w:rPr>
          <w:sz w:val="22"/>
          <w:szCs w:val="22"/>
          <w:lang w:val="sr-Latn-ME"/>
        </w:rPr>
      </w:pPr>
      <w:r w:rsidRPr="006E2CA6">
        <w:rPr>
          <w:sz w:val="22"/>
          <w:szCs w:val="22"/>
          <w:lang w:val="sr-Latn-ME"/>
        </w:rPr>
        <w:t>Informacije</w:t>
      </w:r>
      <w:r w:rsidR="008252B4" w:rsidRPr="006E2CA6">
        <w:rPr>
          <w:sz w:val="22"/>
          <w:szCs w:val="22"/>
          <w:lang w:val="sr-Latn-ME"/>
        </w:rPr>
        <w:t xml:space="preserve"> o farmakokinetici kolistimetat</w:t>
      </w:r>
      <w:r w:rsidR="0016023D" w:rsidRPr="006E2CA6">
        <w:rPr>
          <w:sz w:val="22"/>
          <w:szCs w:val="22"/>
          <w:lang w:val="sr-Latn-ME"/>
        </w:rPr>
        <w:t>-</w:t>
      </w:r>
      <w:r w:rsidRPr="006E2CA6">
        <w:rPr>
          <w:sz w:val="22"/>
          <w:szCs w:val="22"/>
          <w:lang w:val="sr-Latn-ME"/>
        </w:rPr>
        <w:t>natrijuma i kolistina su ograničene. Postoje naznake da se farmakokinetika kod kritičnih pacijenata razlikuje od one kod pacijenata sa manje teškim fiziološkim poremećajima</w:t>
      </w:r>
      <w:r w:rsidR="002A1305" w:rsidRPr="006E2CA6">
        <w:rPr>
          <w:sz w:val="22"/>
          <w:szCs w:val="22"/>
          <w:lang w:val="sr-Latn-ME"/>
        </w:rPr>
        <w:t>,</w:t>
      </w:r>
      <w:r w:rsidRPr="006E2CA6">
        <w:rPr>
          <w:sz w:val="22"/>
          <w:szCs w:val="22"/>
          <w:lang w:val="sr-Latn-ME"/>
        </w:rPr>
        <w:t xml:space="preserve"> kao i one kod zdravih dobrovoljaca. Sl</w:t>
      </w:r>
      <w:r w:rsidR="00DC72D6" w:rsidRPr="006E2CA6">
        <w:rPr>
          <w:sz w:val="22"/>
          <w:szCs w:val="22"/>
          <w:lang w:val="sr-Latn-ME"/>
        </w:rPr>
        <w:t>j</w:t>
      </w:r>
      <w:r w:rsidRPr="006E2CA6">
        <w:rPr>
          <w:sz w:val="22"/>
          <w:szCs w:val="22"/>
          <w:lang w:val="sr-Latn-ME"/>
        </w:rPr>
        <w:t>edeći podaci se zasnivaju na ispitivanjima u kojima su se koncentracije kolistimetat-natrijuma/kolistina u plazmi određivale HP</w:t>
      </w:r>
      <w:r w:rsidR="002A1305" w:rsidRPr="006E2CA6">
        <w:rPr>
          <w:sz w:val="22"/>
          <w:szCs w:val="22"/>
          <w:lang w:val="sr-Latn-ME"/>
        </w:rPr>
        <w:t>LC</w:t>
      </w:r>
      <w:r w:rsidRPr="006E2CA6">
        <w:rPr>
          <w:sz w:val="22"/>
          <w:szCs w:val="22"/>
          <w:lang w:val="sr-Latn-ME"/>
        </w:rPr>
        <w:t xml:space="preserve"> metodom. </w:t>
      </w:r>
    </w:p>
    <w:p w14:paraId="6AC999B4" w14:textId="63939D3E" w:rsidR="00DC72D6" w:rsidRPr="006E2CA6" w:rsidRDefault="00D73A18" w:rsidP="00304460">
      <w:pPr>
        <w:tabs>
          <w:tab w:val="left" w:pos="540"/>
          <w:tab w:val="left" w:pos="569"/>
        </w:tabs>
        <w:spacing w:before="240" w:after="240"/>
        <w:jc w:val="both"/>
        <w:rPr>
          <w:sz w:val="22"/>
          <w:szCs w:val="22"/>
          <w:lang w:val="sr-Latn-ME"/>
        </w:rPr>
      </w:pPr>
      <w:r w:rsidRPr="006E2CA6">
        <w:rPr>
          <w:sz w:val="22"/>
          <w:szCs w:val="22"/>
          <w:lang w:val="sr-Latn-ME"/>
        </w:rPr>
        <w:lastRenderedPageBreak/>
        <w:t>Nakon infuzije kolistimetat-natrijuma</w:t>
      </w:r>
      <w:r w:rsidR="0016023D" w:rsidRPr="006E2CA6">
        <w:rPr>
          <w:sz w:val="22"/>
          <w:szCs w:val="22"/>
          <w:lang w:val="sr-Latn-ME"/>
        </w:rPr>
        <w:t>,</w:t>
      </w:r>
      <w:r w:rsidRPr="006E2CA6">
        <w:rPr>
          <w:sz w:val="22"/>
          <w:szCs w:val="22"/>
          <w:lang w:val="sr-Latn-ME"/>
        </w:rPr>
        <w:t xml:space="preserve"> neaktivan oblik se pretvara u aktivan kolistin. Pokazalo se da se maksimalne koncentracije kolistina u plazmi mogu dostići i do 7 sati kasnije nakon prim</w:t>
      </w:r>
      <w:r w:rsidR="00DC72D6" w:rsidRPr="006E2CA6">
        <w:rPr>
          <w:sz w:val="22"/>
          <w:szCs w:val="22"/>
          <w:lang w:val="sr-Latn-ME"/>
        </w:rPr>
        <w:t>j</w:t>
      </w:r>
      <w:r w:rsidRPr="006E2CA6">
        <w:rPr>
          <w:sz w:val="22"/>
          <w:szCs w:val="22"/>
          <w:lang w:val="sr-Latn-ME"/>
        </w:rPr>
        <w:t xml:space="preserve">ene kolistimetat-natrijuma kod kritičnih pacijenata. </w:t>
      </w:r>
    </w:p>
    <w:p w14:paraId="4DC8A837" w14:textId="78244490" w:rsidR="00DC72D6" w:rsidRPr="006E2CA6" w:rsidRDefault="00D73A18" w:rsidP="00304460">
      <w:pPr>
        <w:tabs>
          <w:tab w:val="left" w:pos="540"/>
          <w:tab w:val="left" w:pos="569"/>
        </w:tabs>
        <w:spacing w:before="240" w:after="240"/>
        <w:jc w:val="both"/>
        <w:rPr>
          <w:sz w:val="22"/>
          <w:szCs w:val="22"/>
          <w:lang w:val="sr-Latn-ME"/>
        </w:rPr>
      </w:pPr>
      <w:r w:rsidRPr="006E2CA6">
        <w:rPr>
          <w:sz w:val="22"/>
          <w:szCs w:val="22"/>
          <w:lang w:val="sr-Latn-ME"/>
        </w:rPr>
        <w:t xml:space="preserve">Kod zdravih osoba nema </w:t>
      </w:r>
      <w:r w:rsidR="002A1305" w:rsidRPr="006E2CA6">
        <w:rPr>
          <w:sz w:val="22"/>
          <w:szCs w:val="22"/>
          <w:lang w:val="sr-Latn-ME"/>
        </w:rPr>
        <w:t xml:space="preserve">značajne </w:t>
      </w:r>
      <w:r w:rsidRPr="006E2CA6">
        <w:rPr>
          <w:sz w:val="22"/>
          <w:szCs w:val="22"/>
          <w:lang w:val="sr-Latn-ME"/>
        </w:rPr>
        <w:t xml:space="preserve">resorpcije iz gastrointestinalnog trakta. </w:t>
      </w:r>
    </w:p>
    <w:p w14:paraId="039FB4CA" w14:textId="77777777" w:rsidR="00DC72D6" w:rsidRPr="006E2CA6" w:rsidRDefault="00D73A18" w:rsidP="00304460">
      <w:pPr>
        <w:tabs>
          <w:tab w:val="left" w:pos="540"/>
          <w:tab w:val="left" w:pos="569"/>
        </w:tabs>
        <w:spacing w:before="240"/>
        <w:jc w:val="both"/>
        <w:rPr>
          <w:sz w:val="22"/>
          <w:szCs w:val="22"/>
          <w:lang w:val="sr-Latn-ME"/>
        </w:rPr>
      </w:pPr>
      <w:r w:rsidRPr="006E2CA6">
        <w:rPr>
          <w:sz w:val="22"/>
          <w:szCs w:val="22"/>
          <w:u w:val="single"/>
          <w:lang w:val="sr-Latn-ME"/>
        </w:rPr>
        <w:t>Distribucija</w:t>
      </w:r>
      <w:r w:rsidRPr="006E2CA6">
        <w:rPr>
          <w:sz w:val="22"/>
          <w:szCs w:val="22"/>
          <w:lang w:val="sr-Latn-ME"/>
        </w:rPr>
        <w:t xml:space="preserve"> </w:t>
      </w:r>
    </w:p>
    <w:p w14:paraId="16B4D48D" w14:textId="77777777" w:rsidR="00DC72D6" w:rsidRPr="006E2CA6" w:rsidRDefault="00D73A18" w:rsidP="00304460">
      <w:pPr>
        <w:tabs>
          <w:tab w:val="left" w:pos="540"/>
          <w:tab w:val="left" w:pos="569"/>
        </w:tabs>
        <w:spacing w:after="240"/>
        <w:jc w:val="both"/>
        <w:rPr>
          <w:sz w:val="22"/>
          <w:szCs w:val="22"/>
          <w:lang w:val="sr-Latn-ME"/>
        </w:rPr>
      </w:pPr>
      <w:r w:rsidRPr="006E2CA6">
        <w:rPr>
          <w:sz w:val="22"/>
          <w:szCs w:val="22"/>
          <w:lang w:val="sr-Latn-ME"/>
        </w:rPr>
        <w:t>Volumen distribucije kolistina kod zdravih dobrovoljaca je nizak i približno odgovara ekstracelularnoj tečnosti</w:t>
      </w:r>
      <w:r w:rsidR="00DC72D6" w:rsidRPr="006E2CA6">
        <w:rPr>
          <w:sz w:val="22"/>
          <w:szCs w:val="22"/>
          <w:lang w:val="sr-Latn-ME"/>
        </w:rPr>
        <w:t xml:space="preserve"> (ECF)</w:t>
      </w:r>
      <w:r w:rsidRPr="006E2CA6">
        <w:rPr>
          <w:sz w:val="22"/>
          <w:szCs w:val="22"/>
          <w:lang w:val="sr-Latn-ME"/>
        </w:rPr>
        <w:t>. Volumen distribucije značajno je povećan kod kritičnih pacijenata. Vezivanje za proteine je um</w:t>
      </w:r>
      <w:r w:rsidR="00DC72D6" w:rsidRPr="006E2CA6">
        <w:rPr>
          <w:sz w:val="22"/>
          <w:szCs w:val="22"/>
          <w:lang w:val="sr-Latn-ME"/>
        </w:rPr>
        <w:t>j</w:t>
      </w:r>
      <w:r w:rsidRPr="006E2CA6">
        <w:rPr>
          <w:sz w:val="22"/>
          <w:szCs w:val="22"/>
          <w:lang w:val="sr-Latn-ME"/>
        </w:rPr>
        <w:t xml:space="preserve">ereno, a smanjuje se pri višim koncentracijama. Ako nema upale moždanih ovojnica, penetracija u cerebrospinalnu tečnost </w:t>
      </w:r>
      <w:r w:rsidR="00DC72D6" w:rsidRPr="006E2CA6">
        <w:rPr>
          <w:sz w:val="22"/>
          <w:szCs w:val="22"/>
          <w:lang w:val="sr-Latn-ME"/>
        </w:rPr>
        <w:t xml:space="preserve">(CSF) </w:t>
      </w:r>
      <w:r w:rsidRPr="006E2CA6">
        <w:rPr>
          <w:sz w:val="22"/>
          <w:szCs w:val="22"/>
          <w:lang w:val="sr-Latn-ME"/>
        </w:rPr>
        <w:t xml:space="preserve">je minimalna, ali se u slučaju upale moždanih ovojnica povećava. </w:t>
      </w:r>
    </w:p>
    <w:p w14:paraId="6513C99F" w14:textId="77777777" w:rsidR="00DC72D6" w:rsidRPr="006E2CA6" w:rsidRDefault="00D73A18" w:rsidP="00304460">
      <w:pPr>
        <w:tabs>
          <w:tab w:val="left" w:pos="540"/>
          <w:tab w:val="left" w:pos="569"/>
        </w:tabs>
        <w:spacing w:after="240"/>
        <w:jc w:val="both"/>
        <w:rPr>
          <w:sz w:val="22"/>
          <w:szCs w:val="22"/>
          <w:lang w:val="sr-Latn-ME"/>
        </w:rPr>
      </w:pPr>
      <w:r w:rsidRPr="006E2CA6">
        <w:rPr>
          <w:sz w:val="22"/>
          <w:szCs w:val="22"/>
          <w:lang w:val="sr-Latn-ME"/>
        </w:rPr>
        <w:t xml:space="preserve">Kolistimetat-natrijum i kolistin pokazuju linearnu farmakokinetiku u klinički relevantnom rasponu doza. </w:t>
      </w:r>
    </w:p>
    <w:p w14:paraId="68C9CAE9" w14:textId="77777777" w:rsidR="00DC72D6" w:rsidRPr="006E2CA6" w:rsidRDefault="00D73A18" w:rsidP="00304460">
      <w:pPr>
        <w:tabs>
          <w:tab w:val="left" w:pos="540"/>
          <w:tab w:val="left" w:pos="569"/>
        </w:tabs>
        <w:jc w:val="both"/>
        <w:rPr>
          <w:sz w:val="22"/>
          <w:szCs w:val="22"/>
          <w:lang w:val="sr-Latn-ME"/>
        </w:rPr>
      </w:pPr>
      <w:r w:rsidRPr="006E2CA6">
        <w:rPr>
          <w:sz w:val="22"/>
          <w:szCs w:val="22"/>
          <w:u w:val="single"/>
          <w:lang w:val="sr-Latn-ME"/>
        </w:rPr>
        <w:t>Eliminacija</w:t>
      </w:r>
      <w:r w:rsidRPr="006E2CA6">
        <w:rPr>
          <w:sz w:val="22"/>
          <w:szCs w:val="22"/>
          <w:lang w:val="sr-Latn-ME"/>
        </w:rPr>
        <w:t xml:space="preserve"> </w:t>
      </w:r>
    </w:p>
    <w:p w14:paraId="382626C9" w14:textId="6D88BF6A" w:rsidR="00DC72D6" w:rsidRPr="006E2CA6" w:rsidRDefault="00D73A18" w:rsidP="00304460">
      <w:pPr>
        <w:tabs>
          <w:tab w:val="left" w:pos="540"/>
          <w:tab w:val="left" w:pos="569"/>
        </w:tabs>
        <w:spacing w:after="240"/>
        <w:jc w:val="both"/>
        <w:rPr>
          <w:sz w:val="22"/>
          <w:szCs w:val="22"/>
          <w:lang w:val="sr-Latn-ME"/>
        </w:rPr>
      </w:pPr>
      <w:r w:rsidRPr="006E2CA6">
        <w:rPr>
          <w:sz w:val="22"/>
          <w:szCs w:val="22"/>
          <w:lang w:val="sr-Latn-ME"/>
        </w:rPr>
        <w:t>Proc</w:t>
      </w:r>
      <w:r w:rsidR="002A1305" w:rsidRPr="006E2CA6">
        <w:rPr>
          <w:sz w:val="22"/>
          <w:szCs w:val="22"/>
          <w:lang w:val="sr-Latn-ME"/>
        </w:rPr>
        <w:t>j</w:t>
      </w:r>
      <w:r w:rsidRPr="006E2CA6">
        <w:rPr>
          <w:sz w:val="22"/>
          <w:szCs w:val="22"/>
          <w:lang w:val="sr-Latn-ME"/>
        </w:rPr>
        <w:t xml:space="preserve">enjuje se da se kod zdravih ispitanika približno 30% kolistimetat-natrijuma konvertuje u kolistin; njegov klirens zavisi od klirensa kreatinina, a kako se funkcija bubrega smanjuje, veći deo kolistimetat-natrijuma se konvertuje u kolistin. Kod pacijenata sa vrlo slabom funkcijom bubrega (klirens kreatinina &lt; 30 </w:t>
      </w:r>
      <w:r w:rsidR="00DC72D6" w:rsidRPr="006E2CA6">
        <w:rPr>
          <w:sz w:val="22"/>
          <w:szCs w:val="22"/>
          <w:lang w:val="sr-Latn-ME"/>
        </w:rPr>
        <w:t>ml</w:t>
      </w:r>
      <w:r w:rsidRPr="006E2CA6">
        <w:rPr>
          <w:sz w:val="22"/>
          <w:szCs w:val="22"/>
          <w:lang w:val="sr-Latn-ME"/>
        </w:rPr>
        <w:t>/min)</w:t>
      </w:r>
      <w:r w:rsidR="002A1305" w:rsidRPr="006E2CA6">
        <w:rPr>
          <w:sz w:val="22"/>
          <w:szCs w:val="22"/>
          <w:lang w:val="sr-Latn-ME"/>
        </w:rPr>
        <w:t>,</w:t>
      </w:r>
      <w:r w:rsidRPr="006E2CA6">
        <w:rPr>
          <w:sz w:val="22"/>
          <w:szCs w:val="22"/>
          <w:lang w:val="sr-Latn-ME"/>
        </w:rPr>
        <w:t xml:space="preserve"> obim konverzije može dostići čak 60 do 70%. Kolistimetat-natrijum se pretežno eliminiše putem bubrega glomerularnom filtracijom. Kod zdravih ispitanika se izlučuje 60% do 70% kolistimetat-natrijuma u neizm</w:t>
      </w:r>
      <w:r w:rsidR="00DC72D6" w:rsidRPr="006E2CA6">
        <w:rPr>
          <w:sz w:val="22"/>
          <w:szCs w:val="22"/>
          <w:lang w:val="sr-Latn-ME"/>
        </w:rPr>
        <w:t>ij</w:t>
      </w:r>
      <w:r w:rsidRPr="006E2CA6">
        <w:rPr>
          <w:sz w:val="22"/>
          <w:szCs w:val="22"/>
          <w:lang w:val="sr-Latn-ME"/>
        </w:rPr>
        <w:t xml:space="preserve">enjenom obliku urinom tokom 24 sata. </w:t>
      </w:r>
    </w:p>
    <w:p w14:paraId="42DD2780" w14:textId="2635178D" w:rsidR="00DC72D6" w:rsidRPr="006E2CA6" w:rsidRDefault="00D73A18" w:rsidP="00304460">
      <w:pPr>
        <w:tabs>
          <w:tab w:val="left" w:pos="540"/>
          <w:tab w:val="left" w:pos="569"/>
        </w:tabs>
        <w:spacing w:after="240"/>
        <w:jc w:val="both"/>
        <w:rPr>
          <w:sz w:val="22"/>
          <w:szCs w:val="22"/>
          <w:lang w:val="sr-Latn-ME"/>
        </w:rPr>
      </w:pPr>
      <w:r w:rsidRPr="006E2CA6">
        <w:rPr>
          <w:sz w:val="22"/>
          <w:szCs w:val="22"/>
          <w:lang w:val="sr-Latn-ME"/>
        </w:rPr>
        <w:t xml:space="preserve">Eliminacija aktivnog kolistina nije u potpunosti okarakterisana. Kolistin prolazi </w:t>
      </w:r>
      <w:r w:rsidR="002A1305" w:rsidRPr="006E2CA6">
        <w:rPr>
          <w:sz w:val="22"/>
          <w:szCs w:val="22"/>
          <w:lang w:val="sr-Latn-ME"/>
        </w:rPr>
        <w:t xml:space="preserve">opsežnu </w:t>
      </w:r>
      <w:r w:rsidRPr="006E2CA6">
        <w:rPr>
          <w:sz w:val="22"/>
          <w:szCs w:val="22"/>
          <w:lang w:val="sr-Latn-ME"/>
        </w:rPr>
        <w:t>reapsorpciju u bubrežnim tubulima</w:t>
      </w:r>
      <w:r w:rsidR="002A1305" w:rsidRPr="006E2CA6">
        <w:rPr>
          <w:sz w:val="22"/>
          <w:szCs w:val="22"/>
          <w:lang w:val="sr-Latn-ME"/>
        </w:rPr>
        <w:t>,</w:t>
      </w:r>
      <w:r w:rsidRPr="006E2CA6">
        <w:rPr>
          <w:sz w:val="22"/>
          <w:szCs w:val="22"/>
          <w:lang w:val="sr-Latn-ME"/>
        </w:rPr>
        <w:t xml:space="preserve"> pa se može ukloniti nebubrežnim procesima ili metabolizmom bubrega, pri čemu je moguća kumulacija u bubrezima. Klirens kolistina smanjen je u slučaju oštećenja funkcije bubrega, što može biti posl</w:t>
      </w:r>
      <w:r w:rsidR="00DC72D6" w:rsidRPr="006E2CA6">
        <w:rPr>
          <w:sz w:val="22"/>
          <w:szCs w:val="22"/>
          <w:lang w:val="sr-Latn-ME"/>
        </w:rPr>
        <w:t>j</w:t>
      </w:r>
      <w:r w:rsidRPr="006E2CA6">
        <w:rPr>
          <w:sz w:val="22"/>
          <w:szCs w:val="22"/>
          <w:lang w:val="sr-Latn-ME"/>
        </w:rPr>
        <w:t xml:space="preserve">edica povećane konverzije kolistimetat-natrijuma. </w:t>
      </w:r>
    </w:p>
    <w:p w14:paraId="41382312" w14:textId="022AD083" w:rsidR="00D73A18" w:rsidRPr="006E2CA6" w:rsidRDefault="00D73A18" w:rsidP="00304460">
      <w:pPr>
        <w:tabs>
          <w:tab w:val="left" w:pos="540"/>
          <w:tab w:val="left" w:pos="569"/>
        </w:tabs>
        <w:spacing w:after="240"/>
        <w:jc w:val="both"/>
        <w:rPr>
          <w:b/>
          <w:bCs/>
          <w:sz w:val="22"/>
          <w:szCs w:val="22"/>
          <w:lang w:val="sr-Latn-ME"/>
        </w:rPr>
      </w:pPr>
      <w:r w:rsidRPr="006E2CA6">
        <w:rPr>
          <w:sz w:val="22"/>
          <w:szCs w:val="22"/>
          <w:lang w:val="sr-Latn-ME"/>
        </w:rPr>
        <w:t>Prijavljeno je da poluvr</w:t>
      </w:r>
      <w:r w:rsidR="00DC72D6" w:rsidRPr="006E2CA6">
        <w:rPr>
          <w:sz w:val="22"/>
          <w:szCs w:val="22"/>
          <w:lang w:val="sr-Latn-ME"/>
        </w:rPr>
        <w:t>ij</w:t>
      </w:r>
      <w:r w:rsidRPr="006E2CA6">
        <w:rPr>
          <w:sz w:val="22"/>
          <w:szCs w:val="22"/>
          <w:lang w:val="sr-Latn-ME"/>
        </w:rPr>
        <w:t xml:space="preserve">eme eliminacije kolistina kod zdravih ispitanika iznosi približno 3 sata, a kod pacijenata sa cističnom fibrozom približno 4 sata, uz ukupan klirens od približno 3 </w:t>
      </w:r>
      <w:r w:rsidR="00DC72D6" w:rsidRPr="006E2CA6">
        <w:rPr>
          <w:sz w:val="22"/>
          <w:szCs w:val="22"/>
          <w:lang w:val="sr-Latn-ME"/>
        </w:rPr>
        <w:t>l</w:t>
      </w:r>
      <w:r w:rsidRPr="006E2CA6">
        <w:rPr>
          <w:sz w:val="22"/>
          <w:szCs w:val="22"/>
          <w:lang w:val="sr-Latn-ME"/>
        </w:rPr>
        <w:t>/sat. Prijavljeno je i da se kod kritičnih pacijenata poluvr</w:t>
      </w:r>
      <w:r w:rsidR="00DC72D6" w:rsidRPr="006E2CA6">
        <w:rPr>
          <w:sz w:val="22"/>
          <w:szCs w:val="22"/>
          <w:lang w:val="sr-Latn-ME"/>
        </w:rPr>
        <w:t>ij</w:t>
      </w:r>
      <w:r w:rsidRPr="006E2CA6">
        <w:rPr>
          <w:sz w:val="22"/>
          <w:szCs w:val="22"/>
          <w:lang w:val="sr-Latn-ME"/>
        </w:rPr>
        <w:t>eme eliminacije produžava na približno 9-18 sati.</w:t>
      </w:r>
    </w:p>
    <w:p w14:paraId="02513377" w14:textId="77777777" w:rsidR="0072020E" w:rsidRPr="006E2CA6" w:rsidRDefault="0072020E" w:rsidP="00304460">
      <w:pPr>
        <w:tabs>
          <w:tab w:val="left" w:pos="540"/>
          <w:tab w:val="left" w:pos="569"/>
        </w:tabs>
        <w:rPr>
          <w:b/>
          <w:bCs/>
          <w:sz w:val="22"/>
          <w:szCs w:val="22"/>
          <w:lang w:val="sr-Latn-ME"/>
        </w:rPr>
      </w:pPr>
      <w:r w:rsidRPr="006E2CA6">
        <w:rPr>
          <w:b/>
          <w:bCs/>
          <w:sz w:val="22"/>
          <w:szCs w:val="22"/>
          <w:lang w:val="sr-Latn-ME"/>
        </w:rPr>
        <w:t xml:space="preserve">5.3. </w:t>
      </w:r>
      <w:r w:rsidR="00480FB1" w:rsidRPr="006E2CA6">
        <w:rPr>
          <w:b/>
          <w:bCs/>
          <w:sz w:val="22"/>
          <w:szCs w:val="22"/>
          <w:lang w:val="sr-Latn-ME"/>
        </w:rPr>
        <w:tab/>
      </w:r>
      <w:r w:rsidRPr="006E2CA6">
        <w:rPr>
          <w:b/>
          <w:bCs/>
          <w:sz w:val="22"/>
          <w:szCs w:val="22"/>
          <w:lang w:val="sr-Latn-ME"/>
        </w:rPr>
        <w:t xml:space="preserve">Pretklinički podaci o bezbjednosti </w:t>
      </w:r>
    </w:p>
    <w:p w14:paraId="00301A5A" w14:textId="77777777" w:rsidR="00836B35" w:rsidRPr="006E2CA6" w:rsidRDefault="00836B35" w:rsidP="00304460">
      <w:pPr>
        <w:tabs>
          <w:tab w:val="left" w:pos="540"/>
          <w:tab w:val="left" w:pos="569"/>
        </w:tabs>
        <w:rPr>
          <w:bCs/>
          <w:sz w:val="22"/>
          <w:szCs w:val="22"/>
          <w:lang w:val="sr-Latn-ME"/>
        </w:rPr>
      </w:pPr>
    </w:p>
    <w:p w14:paraId="63D8B868" w14:textId="2E2C67E0" w:rsidR="00DC72D6" w:rsidRPr="006E2CA6" w:rsidRDefault="00D73A18" w:rsidP="00304460">
      <w:pPr>
        <w:tabs>
          <w:tab w:val="left" w:pos="540"/>
          <w:tab w:val="left" w:pos="569"/>
        </w:tabs>
        <w:jc w:val="both"/>
        <w:rPr>
          <w:sz w:val="22"/>
          <w:szCs w:val="22"/>
          <w:lang w:val="sr-Latn-ME"/>
        </w:rPr>
      </w:pPr>
      <w:r w:rsidRPr="006E2CA6">
        <w:rPr>
          <w:sz w:val="22"/>
          <w:szCs w:val="22"/>
          <w:lang w:val="sr-Latn-ME"/>
        </w:rPr>
        <w:t xml:space="preserve">Podaci o potencijalnoj genotoksičnosti su ograničeni, a podaci o karcinogenosti </w:t>
      </w:r>
      <w:r w:rsidR="00DC72D6" w:rsidRPr="006E2CA6">
        <w:rPr>
          <w:sz w:val="22"/>
          <w:szCs w:val="22"/>
          <w:lang w:val="sr-Latn-ME"/>
        </w:rPr>
        <w:t>kolisti</w:t>
      </w:r>
      <w:r w:rsidR="00930A6E" w:rsidRPr="006E2CA6">
        <w:rPr>
          <w:sz w:val="22"/>
          <w:szCs w:val="22"/>
          <w:lang w:val="sr-Latn-ME"/>
        </w:rPr>
        <w:t xml:space="preserve">metat </w:t>
      </w:r>
      <w:r w:rsidR="0016023D" w:rsidRPr="006E2CA6">
        <w:rPr>
          <w:sz w:val="22"/>
          <w:szCs w:val="22"/>
          <w:lang w:val="sr-Latn-ME"/>
        </w:rPr>
        <w:t>natrijuma</w:t>
      </w:r>
      <w:r w:rsidRPr="006E2CA6">
        <w:rPr>
          <w:sz w:val="22"/>
          <w:szCs w:val="22"/>
          <w:lang w:val="sr-Latn-ME"/>
        </w:rPr>
        <w:t xml:space="preserve"> nedostaju. </w:t>
      </w:r>
      <w:r w:rsidR="00DC72D6" w:rsidRPr="006E2CA6">
        <w:rPr>
          <w:sz w:val="22"/>
          <w:szCs w:val="22"/>
          <w:lang w:val="sr-Latn-ME"/>
        </w:rPr>
        <w:t>Pokazalo se da kolisti</w:t>
      </w:r>
      <w:r w:rsidR="00930A6E" w:rsidRPr="006E2CA6">
        <w:rPr>
          <w:sz w:val="22"/>
          <w:szCs w:val="22"/>
          <w:lang w:val="sr-Latn-ME"/>
        </w:rPr>
        <w:t xml:space="preserve">metat </w:t>
      </w:r>
      <w:r w:rsidR="0016023D" w:rsidRPr="006E2CA6">
        <w:rPr>
          <w:sz w:val="22"/>
          <w:szCs w:val="22"/>
          <w:lang w:val="sr-Latn-ME"/>
        </w:rPr>
        <w:t xml:space="preserve">natrijum </w:t>
      </w:r>
      <w:r w:rsidRPr="006E2CA6">
        <w:rPr>
          <w:sz w:val="22"/>
          <w:szCs w:val="22"/>
          <w:lang w:val="sr-Latn-ME"/>
        </w:rPr>
        <w:t xml:space="preserve">indukuje hromozomske aberacije kod ljudskih limfocita, </w:t>
      </w:r>
      <w:r w:rsidRPr="00304460">
        <w:rPr>
          <w:i/>
          <w:sz w:val="22"/>
          <w:szCs w:val="22"/>
          <w:lang w:val="sr-Latn-ME"/>
        </w:rPr>
        <w:t>in vitro</w:t>
      </w:r>
      <w:r w:rsidRPr="006E2CA6">
        <w:rPr>
          <w:sz w:val="22"/>
          <w:szCs w:val="22"/>
          <w:lang w:val="sr-Latn-ME"/>
        </w:rPr>
        <w:t>. Ovo dejstvo može biti povezano sa smanjenjem mitotičkog indeksa, što je takođe prim</w:t>
      </w:r>
      <w:r w:rsidR="00DC72D6" w:rsidRPr="006E2CA6">
        <w:rPr>
          <w:sz w:val="22"/>
          <w:szCs w:val="22"/>
          <w:lang w:val="sr-Latn-ME"/>
        </w:rPr>
        <w:t>ij</w:t>
      </w:r>
      <w:r w:rsidRPr="006E2CA6">
        <w:rPr>
          <w:sz w:val="22"/>
          <w:szCs w:val="22"/>
          <w:lang w:val="sr-Latn-ME"/>
        </w:rPr>
        <w:t xml:space="preserve">ećeno. </w:t>
      </w:r>
    </w:p>
    <w:p w14:paraId="44176CDA" w14:textId="4F6ED157" w:rsidR="00DC72D6" w:rsidRPr="006E2CA6" w:rsidRDefault="00D73A18" w:rsidP="00304460">
      <w:pPr>
        <w:tabs>
          <w:tab w:val="left" w:pos="540"/>
          <w:tab w:val="left" w:pos="569"/>
        </w:tabs>
        <w:spacing w:before="240"/>
        <w:jc w:val="both"/>
        <w:rPr>
          <w:sz w:val="22"/>
          <w:szCs w:val="22"/>
          <w:lang w:val="sr-Latn-ME"/>
        </w:rPr>
      </w:pPr>
      <w:r w:rsidRPr="006E2CA6">
        <w:rPr>
          <w:sz w:val="22"/>
          <w:szCs w:val="22"/>
          <w:lang w:val="sr-Latn-ME"/>
        </w:rPr>
        <w:t xml:space="preserve">Studije reproduktivne toksičnosti </w:t>
      </w:r>
      <w:r w:rsidR="00DC72D6" w:rsidRPr="006E2CA6">
        <w:rPr>
          <w:sz w:val="22"/>
          <w:szCs w:val="22"/>
          <w:lang w:val="sr-Latn-ME"/>
        </w:rPr>
        <w:t xml:space="preserve">nad </w:t>
      </w:r>
      <w:r w:rsidRPr="006E2CA6">
        <w:rPr>
          <w:sz w:val="22"/>
          <w:szCs w:val="22"/>
          <w:lang w:val="sr-Latn-ME"/>
        </w:rPr>
        <w:t>pacovima i miševima ne ukazuju na teratogene osobine. Međutim</w:t>
      </w:r>
      <w:r w:rsidR="007E18E1" w:rsidRPr="006E2CA6">
        <w:rPr>
          <w:sz w:val="22"/>
          <w:szCs w:val="22"/>
          <w:lang w:val="sr-Latn-ME"/>
        </w:rPr>
        <w:t>,</w:t>
      </w:r>
      <w:r w:rsidRPr="006E2CA6">
        <w:rPr>
          <w:sz w:val="22"/>
          <w:szCs w:val="22"/>
          <w:lang w:val="sr-Latn-ME"/>
        </w:rPr>
        <w:t xml:space="preserve"> </w:t>
      </w:r>
      <w:r w:rsidR="00DC72D6" w:rsidRPr="006E2CA6">
        <w:rPr>
          <w:sz w:val="22"/>
          <w:szCs w:val="22"/>
          <w:lang w:val="sr-Latn-ME"/>
        </w:rPr>
        <w:t>kolisti</w:t>
      </w:r>
      <w:r w:rsidR="00930A6E" w:rsidRPr="006E2CA6">
        <w:rPr>
          <w:sz w:val="22"/>
          <w:szCs w:val="22"/>
          <w:lang w:val="sr-Latn-ME"/>
        </w:rPr>
        <w:t xml:space="preserve">metat </w:t>
      </w:r>
      <w:r w:rsidR="0016023D" w:rsidRPr="006E2CA6">
        <w:rPr>
          <w:sz w:val="22"/>
          <w:szCs w:val="22"/>
          <w:lang w:val="sr-Latn-ME"/>
        </w:rPr>
        <w:t>natrijum</w:t>
      </w:r>
      <w:r w:rsidRPr="006E2CA6">
        <w:rPr>
          <w:sz w:val="22"/>
          <w:szCs w:val="22"/>
          <w:lang w:val="sr-Latn-ME"/>
        </w:rPr>
        <w:t xml:space="preserve"> koji je davan kunićima intramuskularno tokom organogeneze u dozi od 4,15 i 9,3 mg/kg rezultirao je </w:t>
      </w:r>
      <w:r w:rsidRPr="006E2CA6">
        <w:rPr>
          <w:i/>
          <w:iCs/>
          <w:sz w:val="22"/>
          <w:szCs w:val="22"/>
          <w:lang w:val="sr-Latn-ME"/>
        </w:rPr>
        <w:t>talipes varus</w:t>
      </w:r>
      <w:r w:rsidRPr="006E2CA6">
        <w:rPr>
          <w:sz w:val="22"/>
          <w:szCs w:val="22"/>
          <w:lang w:val="sr-Latn-ME"/>
        </w:rPr>
        <w:t xml:space="preserve">-om kod 2,6 odnosno 2,9% fetusa. Ove doze iznose 0,5 i 1,2 puta maksimalne dnevne doze kod ljudi. Uz to, povećana resorpcija se javila na 9,3 mg/kg. </w:t>
      </w:r>
    </w:p>
    <w:p w14:paraId="506F9210" w14:textId="31407122" w:rsidR="00396DFD" w:rsidRPr="006E2CA6" w:rsidRDefault="00D73A18" w:rsidP="00304460">
      <w:pPr>
        <w:tabs>
          <w:tab w:val="left" w:pos="540"/>
          <w:tab w:val="left" w:pos="569"/>
        </w:tabs>
        <w:spacing w:before="240"/>
        <w:jc w:val="both"/>
        <w:rPr>
          <w:sz w:val="22"/>
          <w:szCs w:val="22"/>
          <w:lang w:val="sr-Latn-ME"/>
        </w:rPr>
      </w:pPr>
      <w:r w:rsidRPr="006E2CA6">
        <w:rPr>
          <w:sz w:val="22"/>
          <w:szCs w:val="22"/>
          <w:lang w:val="sr-Latn-ME"/>
        </w:rPr>
        <w:t>Nema drugih pretkliničkih bezb</w:t>
      </w:r>
      <w:r w:rsidR="00DC72D6" w:rsidRPr="006E2CA6">
        <w:rPr>
          <w:sz w:val="22"/>
          <w:szCs w:val="22"/>
          <w:lang w:val="sr-Latn-ME"/>
        </w:rPr>
        <w:t>j</w:t>
      </w:r>
      <w:r w:rsidRPr="006E2CA6">
        <w:rPr>
          <w:sz w:val="22"/>
          <w:szCs w:val="22"/>
          <w:lang w:val="sr-Latn-ME"/>
        </w:rPr>
        <w:t>ednosnih podataka od značaja koji bi bili dodatak bezb</w:t>
      </w:r>
      <w:r w:rsidR="00DC72D6" w:rsidRPr="006E2CA6">
        <w:rPr>
          <w:sz w:val="22"/>
          <w:szCs w:val="22"/>
          <w:lang w:val="sr-Latn-ME"/>
        </w:rPr>
        <w:t>j</w:t>
      </w:r>
      <w:r w:rsidRPr="006E2CA6">
        <w:rPr>
          <w:sz w:val="22"/>
          <w:szCs w:val="22"/>
          <w:lang w:val="sr-Latn-ME"/>
        </w:rPr>
        <w:t xml:space="preserve">ednosnim podacima dobijenim od pacijenata koji su bili izloženi </w:t>
      </w:r>
      <w:r w:rsidR="00DC72D6" w:rsidRPr="006E2CA6">
        <w:rPr>
          <w:sz w:val="22"/>
          <w:szCs w:val="22"/>
          <w:lang w:val="sr-Latn-ME"/>
        </w:rPr>
        <w:t>kolisti</w:t>
      </w:r>
      <w:r w:rsidR="00930A6E" w:rsidRPr="006E2CA6">
        <w:rPr>
          <w:sz w:val="22"/>
          <w:szCs w:val="22"/>
          <w:lang w:val="sr-Latn-ME"/>
        </w:rPr>
        <w:t xml:space="preserve">metat </w:t>
      </w:r>
      <w:r w:rsidR="0016023D" w:rsidRPr="006E2CA6">
        <w:rPr>
          <w:sz w:val="22"/>
          <w:szCs w:val="22"/>
          <w:lang w:val="sr-Latn-ME"/>
        </w:rPr>
        <w:t>natrijumu</w:t>
      </w:r>
      <w:r w:rsidRPr="006E2CA6">
        <w:rPr>
          <w:sz w:val="22"/>
          <w:szCs w:val="22"/>
          <w:lang w:val="sr-Latn-ME"/>
        </w:rPr>
        <w:t xml:space="preserve"> i koji već ni</w:t>
      </w:r>
      <w:r w:rsidR="00DC72D6" w:rsidRPr="006E2CA6">
        <w:rPr>
          <w:sz w:val="22"/>
          <w:szCs w:val="22"/>
          <w:lang w:val="sr-Latn-ME"/>
        </w:rPr>
        <w:t>je</w:t>
      </w:r>
      <w:r w:rsidRPr="006E2CA6">
        <w:rPr>
          <w:sz w:val="22"/>
          <w:szCs w:val="22"/>
          <w:lang w:val="sr-Latn-ME"/>
        </w:rPr>
        <w:t>su uključeni u druge d</w:t>
      </w:r>
      <w:r w:rsidR="00DC72D6" w:rsidRPr="006E2CA6">
        <w:rPr>
          <w:sz w:val="22"/>
          <w:szCs w:val="22"/>
          <w:lang w:val="sr-Latn-ME"/>
        </w:rPr>
        <w:t>j</w:t>
      </w:r>
      <w:r w:rsidRPr="006E2CA6">
        <w:rPr>
          <w:sz w:val="22"/>
          <w:szCs w:val="22"/>
          <w:lang w:val="sr-Latn-ME"/>
        </w:rPr>
        <w:t xml:space="preserve">elove ovog </w:t>
      </w:r>
      <w:r w:rsidR="00DC72D6" w:rsidRPr="006E2CA6">
        <w:rPr>
          <w:sz w:val="22"/>
          <w:szCs w:val="22"/>
          <w:lang w:val="sr-Latn-ME"/>
        </w:rPr>
        <w:t>sažetka karakteristika lijeka.</w:t>
      </w:r>
    </w:p>
    <w:p w14:paraId="63435675" w14:textId="040923A0" w:rsidR="00D73A18" w:rsidRDefault="00D73A18" w:rsidP="00304460">
      <w:pPr>
        <w:tabs>
          <w:tab w:val="left" w:pos="540"/>
          <w:tab w:val="left" w:pos="569"/>
        </w:tabs>
        <w:rPr>
          <w:b/>
          <w:bCs/>
          <w:sz w:val="22"/>
          <w:szCs w:val="22"/>
          <w:lang w:val="sr-Latn-ME"/>
        </w:rPr>
      </w:pPr>
    </w:p>
    <w:p w14:paraId="6DA872AF" w14:textId="77777777" w:rsidR="00CB6714" w:rsidRPr="006E2CA6" w:rsidRDefault="00CB6714" w:rsidP="00304460">
      <w:pPr>
        <w:tabs>
          <w:tab w:val="left" w:pos="540"/>
          <w:tab w:val="left" w:pos="569"/>
        </w:tabs>
        <w:rPr>
          <w:b/>
          <w:bCs/>
          <w:sz w:val="22"/>
          <w:szCs w:val="22"/>
          <w:lang w:val="sr-Latn-ME"/>
        </w:rPr>
      </w:pPr>
    </w:p>
    <w:p w14:paraId="2958B09B" w14:textId="77777777" w:rsidR="0072020E" w:rsidRPr="006E2CA6" w:rsidRDefault="0072020E" w:rsidP="00304460">
      <w:pPr>
        <w:tabs>
          <w:tab w:val="left" w:pos="540"/>
          <w:tab w:val="left" w:pos="569"/>
        </w:tabs>
        <w:rPr>
          <w:b/>
          <w:bCs/>
          <w:sz w:val="22"/>
          <w:szCs w:val="22"/>
          <w:lang w:val="sr-Latn-ME"/>
        </w:rPr>
      </w:pPr>
      <w:r w:rsidRPr="006E2CA6">
        <w:rPr>
          <w:b/>
          <w:bCs/>
          <w:sz w:val="22"/>
          <w:szCs w:val="22"/>
          <w:lang w:val="sr-Latn-ME"/>
        </w:rPr>
        <w:t xml:space="preserve">6. </w:t>
      </w:r>
      <w:r w:rsidR="00480FB1" w:rsidRPr="006E2CA6">
        <w:rPr>
          <w:b/>
          <w:bCs/>
          <w:sz w:val="22"/>
          <w:szCs w:val="22"/>
          <w:lang w:val="sr-Latn-ME"/>
        </w:rPr>
        <w:tab/>
      </w:r>
      <w:r w:rsidRPr="006E2CA6">
        <w:rPr>
          <w:b/>
          <w:bCs/>
          <w:sz w:val="22"/>
          <w:szCs w:val="22"/>
          <w:lang w:val="sr-Latn-ME"/>
        </w:rPr>
        <w:t>FARMACEUTSKI PODACI</w:t>
      </w:r>
    </w:p>
    <w:p w14:paraId="4A7BE594" w14:textId="77777777" w:rsidR="00836B35" w:rsidRPr="006E2CA6" w:rsidRDefault="00836B35" w:rsidP="00304460">
      <w:pPr>
        <w:tabs>
          <w:tab w:val="left" w:pos="540"/>
          <w:tab w:val="left" w:pos="569"/>
        </w:tabs>
        <w:rPr>
          <w:bCs/>
          <w:sz w:val="22"/>
          <w:szCs w:val="22"/>
          <w:lang w:val="sr-Latn-ME"/>
        </w:rPr>
      </w:pPr>
    </w:p>
    <w:p w14:paraId="0E232C3F" w14:textId="77777777" w:rsidR="0072020E" w:rsidRPr="006E2CA6" w:rsidRDefault="0072020E" w:rsidP="00304460">
      <w:pPr>
        <w:tabs>
          <w:tab w:val="left" w:pos="540"/>
          <w:tab w:val="left" w:pos="569"/>
        </w:tabs>
        <w:rPr>
          <w:b/>
          <w:bCs/>
          <w:sz w:val="22"/>
          <w:szCs w:val="22"/>
          <w:lang w:val="sr-Latn-ME"/>
        </w:rPr>
      </w:pPr>
      <w:r w:rsidRPr="006E2CA6">
        <w:rPr>
          <w:b/>
          <w:bCs/>
          <w:sz w:val="22"/>
          <w:szCs w:val="22"/>
          <w:lang w:val="sr-Latn-ME"/>
        </w:rPr>
        <w:t xml:space="preserve">6.1. </w:t>
      </w:r>
      <w:r w:rsidR="00480FB1" w:rsidRPr="006E2CA6">
        <w:rPr>
          <w:b/>
          <w:bCs/>
          <w:sz w:val="22"/>
          <w:szCs w:val="22"/>
          <w:lang w:val="sr-Latn-ME"/>
        </w:rPr>
        <w:tab/>
      </w:r>
      <w:r w:rsidRPr="006E2CA6">
        <w:rPr>
          <w:b/>
          <w:bCs/>
          <w:sz w:val="22"/>
          <w:szCs w:val="22"/>
          <w:lang w:val="sr-Latn-ME"/>
        </w:rPr>
        <w:t>Lista pomoćnih supstanci</w:t>
      </w:r>
      <w:r w:rsidR="002E0135" w:rsidRPr="006E2CA6">
        <w:rPr>
          <w:b/>
          <w:bCs/>
          <w:sz w:val="22"/>
          <w:szCs w:val="22"/>
          <w:lang w:val="sr-Latn-ME"/>
        </w:rPr>
        <w:t xml:space="preserve"> (ekscipijenasa)</w:t>
      </w:r>
    </w:p>
    <w:p w14:paraId="76651951" w14:textId="77777777" w:rsidR="00D73A18" w:rsidRPr="006E2CA6" w:rsidRDefault="00D73A18" w:rsidP="00304460">
      <w:pPr>
        <w:tabs>
          <w:tab w:val="left" w:pos="540"/>
          <w:tab w:val="left" w:pos="569"/>
        </w:tabs>
        <w:rPr>
          <w:bCs/>
          <w:sz w:val="22"/>
          <w:szCs w:val="22"/>
          <w:lang w:val="sr-Latn-ME"/>
        </w:rPr>
      </w:pPr>
    </w:p>
    <w:p w14:paraId="1F892D9E" w14:textId="77777777" w:rsidR="0072020E" w:rsidRPr="006E2CA6" w:rsidRDefault="00D73A18" w:rsidP="00304460">
      <w:pPr>
        <w:tabs>
          <w:tab w:val="left" w:pos="540"/>
          <w:tab w:val="left" w:pos="569"/>
        </w:tabs>
        <w:rPr>
          <w:bCs/>
          <w:sz w:val="22"/>
          <w:szCs w:val="22"/>
          <w:lang w:val="sr-Latn-ME"/>
        </w:rPr>
      </w:pPr>
      <w:r w:rsidRPr="006E2CA6">
        <w:rPr>
          <w:bCs/>
          <w:sz w:val="22"/>
          <w:szCs w:val="22"/>
          <w:lang w:val="sr-Latn-ME"/>
        </w:rPr>
        <w:t>Lijek ne sadrži pomoćne supstance.</w:t>
      </w:r>
    </w:p>
    <w:p w14:paraId="6CA7BD2B" w14:textId="77777777" w:rsidR="00D73A18" w:rsidRPr="006E2CA6" w:rsidRDefault="00D73A18" w:rsidP="00304460">
      <w:pPr>
        <w:tabs>
          <w:tab w:val="left" w:pos="540"/>
          <w:tab w:val="left" w:pos="569"/>
        </w:tabs>
        <w:rPr>
          <w:bCs/>
          <w:sz w:val="22"/>
          <w:szCs w:val="22"/>
          <w:lang w:val="sr-Latn-ME"/>
        </w:rPr>
      </w:pPr>
    </w:p>
    <w:p w14:paraId="7A11125A" w14:textId="77777777" w:rsidR="0072020E" w:rsidRPr="006E2CA6" w:rsidRDefault="0072020E" w:rsidP="00304460">
      <w:pPr>
        <w:tabs>
          <w:tab w:val="left" w:pos="540"/>
          <w:tab w:val="left" w:pos="569"/>
        </w:tabs>
        <w:rPr>
          <w:b/>
          <w:bCs/>
          <w:sz w:val="22"/>
          <w:szCs w:val="22"/>
          <w:lang w:val="sr-Latn-ME"/>
        </w:rPr>
      </w:pPr>
      <w:r w:rsidRPr="006E2CA6">
        <w:rPr>
          <w:b/>
          <w:bCs/>
          <w:sz w:val="22"/>
          <w:szCs w:val="22"/>
          <w:lang w:val="sr-Latn-ME"/>
        </w:rPr>
        <w:t xml:space="preserve">6.2. </w:t>
      </w:r>
      <w:r w:rsidR="00480FB1" w:rsidRPr="006E2CA6">
        <w:rPr>
          <w:b/>
          <w:bCs/>
          <w:sz w:val="22"/>
          <w:szCs w:val="22"/>
          <w:lang w:val="sr-Latn-ME"/>
        </w:rPr>
        <w:tab/>
      </w:r>
      <w:r w:rsidRPr="006E2CA6">
        <w:rPr>
          <w:b/>
          <w:bCs/>
          <w:sz w:val="22"/>
          <w:szCs w:val="22"/>
          <w:lang w:val="sr-Latn-ME"/>
        </w:rPr>
        <w:t>Inkompatibilnost</w:t>
      </w:r>
      <w:r w:rsidR="002846DB" w:rsidRPr="006E2CA6">
        <w:rPr>
          <w:b/>
          <w:bCs/>
          <w:sz w:val="22"/>
          <w:szCs w:val="22"/>
          <w:lang w:val="sr-Latn-ME"/>
        </w:rPr>
        <w:t>i</w:t>
      </w:r>
    </w:p>
    <w:p w14:paraId="7BFA1116" w14:textId="77777777" w:rsidR="0072020E" w:rsidRPr="006E2CA6" w:rsidRDefault="0072020E" w:rsidP="00304460">
      <w:pPr>
        <w:tabs>
          <w:tab w:val="left" w:pos="540"/>
          <w:tab w:val="left" w:pos="569"/>
        </w:tabs>
        <w:rPr>
          <w:bCs/>
          <w:sz w:val="22"/>
          <w:szCs w:val="22"/>
          <w:lang w:val="sr-Latn-ME"/>
        </w:rPr>
      </w:pPr>
    </w:p>
    <w:p w14:paraId="436E65B7" w14:textId="42F8B549" w:rsidR="00D73A18" w:rsidRPr="006E2CA6" w:rsidRDefault="00D73A18" w:rsidP="00304460">
      <w:pPr>
        <w:tabs>
          <w:tab w:val="left" w:pos="540"/>
          <w:tab w:val="left" w:pos="569"/>
        </w:tabs>
        <w:rPr>
          <w:bCs/>
          <w:sz w:val="22"/>
          <w:szCs w:val="22"/>
          <w:lang w:val="sr-Latn-ME"/>
        </w:rPr>
      </w:pPr>
      <w:r w:rsidRPr="006E2CA6">
        <w:rPr>
          <w:bCs/>
          <w:sz w:val="22"/>
          <w:szCs w:val="22"/>
          <w:lang w:val="sr-Latn-ME"/>
        </w:rPr>
        <w:t>Treba izb</w:t>
      </w:r>
      <w:r w:rsidR="00DC72D6" w:rsidRPr="006E2CA6">
        <w:rPr>
          <w:bCs/>
          <w:sz w:val="22"/>
          <w:szCs w:val="22"/>
          <w:lang w:val="sr-Latn-ME"/>
        </w:rPr>
        <w:t>j</w:t>
      </w:r>
      <w:r w:rsidRPr="006E2CA6">
        <w:rPr>
          <w:bCs/>
          <w:sz w:val="22"/>
          <w:szCs w:val="22"/>
          <w:lang w:val="sr-Latn-ME"/>
        </w:rPr>
        <w:t>egavati m</w:t>
      </w:r>
      <w:r w:rsidR="00DC72D6" w:rsidRPr="006E2CA6">
        <w:rPr>
          <w:bCs/>
          <w:sz w:val="22"/>
          <w:szCs w:val="22"/>
          <w:lang w:val="sr-Latn-ME"/>
        </w:rPr>
        <w:t>ij</w:t>
      </w:r>
      <w:r w:rsidRPr="006E2CA6">
        <w:rPr>
          <w:bCs/>
          <w:sz w:val="22"/>
          <w:szCs w:val="22"/>
          <w:lang w:val="sr-Latn-ME"/>
        </w:rPr>
        <w:t xml:space="preserve">ešanje rastvora </w:t>
      </w:r>
      <w:proofErr w:type="spellStart"/>
      <w:r w:rsidR="00F31B23">
        <w:rPr>
          <w:bCs/>
          <w:sz w:val="22"/>
          <w:szCs w:val="22"/>
          <w:lang w:val="es-ES"/>
        </w:rPr>
        <w:t>kolistimetat</w:t>
      </w:r>
      <w:proofErr w:type="spellEnd"/>
      <w:r w:rsidR="00F31B23" w:rsidRPr="00304460">
        <w:rPr>
          <w:bCs/>
          <w:sz w:val="22"/>
          <w:szCs w:val="22"/>
          <w:lang w:val="sr-Latn-ME"/>
        </w:rPr>
        <w:t xml:space="preserve"> </w:t>
      </w:r>
      <w:proofErr w:type="spellStart"/>
      <w:r w:rsidR="00F31B23" w:rsidRPr="00D73A18">
        <w:rPr>
          <w:bCs/>
          <w:sz w:val="22"/>
          <w:szCs w:val="22"/>
          <w:lang w:val="es-ES"/>
        </w:rPr>
        <w:t>natrijuma</w:t>
      </w:r>
      <w:proofErr w:type="spellEnd"/>
      <w:r w:rsidR="00F31B23" w:rsidRPr="00304460">
        <w:rPr>
          <w:bCs/>
          <w:sz w:val="22"/>
          <w:szCs w:val="22"/>
          <w:lang w:val="sr-Latn-ME"/>
        </w:rPr>
        <w:t xml:space="preserve"> </w:t>
      </w:r>
      <w:r w:rsidRPr="006E2CA6">
        <w:rPr>
          <w:bCs/>
          <w:sz w:val="22"/>
          <w:szCs w:val="22"/>
          <w:lang w:val="sr-Latn-ME"/>
        </w:rPr>
        <w:t>sa drugim infuzijama/injekcijama.</w:t>
      </w:r>
    </w:p>
    <w:p w14:paraId="7D40E688" w14:textId="77777777" w:rsidR="00D73A18" w:rsidRPr="006E2CA6" w:rsidRDefault="00D73A18" w:rsidP="00304460">
      <w:pPr>
        <w:tabs>
          <w:tab w:val="left" w:pos="540"/>
          <w:tab w:val="left" w:pos="569"/>
        </w:tabs>
        <w:rPr>
          <w:bCs/>
          <w:sz w:val="22"/>
          <w:szCs w:val="22"/>
          <w:lang w:val="sr-Latn-ME"/>
        </w:rPr>
      </w:pPr>
    </w:p>
    <w:p w14:paraId="3DD8F36E" w14:textId="1F5D1BB1" w:rsidR="0072020E" w:rsidRPr="006E2CA6" w:rsidRDefault="0072020E" w:rsidP="00304460">
      <w:pPr>
        <w:tabs>
          <w:tab w:val="left" w:pos="540"/>
          <w:tab w:val="left" w:pos="569"/>
        </w:tabs>
        <w:rPr>
          <w:b/>
          <w:bCs/>
          <w:sz w:val="22"/>
          <w:szCs w:val="22"/>
          <w:lang w:val="sr-Latn-ME"/>
        </w:rPr>
      </w:pPr>
      <w:r w:rsidRPr="006E2CA6">
        <w:rPr>
          <w:b/>
          <w:bCs/>
          <w:sz w:val="22"/>
          <w:szCs w:val="22"/>
          <w:lang w:val="sr-Latn-ME"/>
        </w:rPr>
        <w:lastRenderedPageBreak/>
        <w:t>6.3.</w:t>
      </w:r>
      <w:r w:rsidR="00C05DF8" w:rsidRPr="006E2CA6">
        <w:rPr>
          <w:b/>
          <w:bCs/>
          <w:sz w:val="22"/>
          <w:szCs w:val="22"/>
          <w:lang w:val="sr-Latn-ME"/>
        </w:rPr>
        <w:t xml:space="preserve"> </w:t>
      </w:r>
      <w:r w:rsidR="00480FB1" w:rsidRPr="006E2CA6">
        <w:rPr>
          <w:b/>
          <w:bCs/>
          <w:sz w:val="22"/>
          <w:szCs w:val="22"/>
          <w:lang w:val="sr-Latn-ME"/>
        </w:rPr>
        <w:tab/>
      </w:r>
      <w:r w:rsidRPr="006E2CA6">
        <w:rPr>
          <w:b/>
          <w:bCs/>
          <w:sz w:val="22"/>
          <w:szCs w:val="22"/>
          <w:lang w:val="sr-Latn-ME"/>
        </w:rPr>
        <w:t>Rok upotrebe</w:t>
      </w:r>
    </w:p>
    <w:p w14:paraId="46FF9EE6" w14:textId="77777777" w:rsidR="00D73A18" w:rsidRPr="006E2CA6" w:rsidRDefault="00D73A18" w:rsidP="00304460">
      <w:pPr>
        <w:tabs>
          <w:tab w:val="left" w:pos="540"/>
          <w:tab w:val="left" w:pos="569"/>
        </w:tabs>
        <w:spacing w:before="240"/>
        <w:jc w:val="both"/>
        <w:rPr>
          <w:bCs/>
          <w:sz w:val="22"/>
          <w:szCs w:val="22"/>
          <w:lang w:val="sr-Latn-ME"/>
        </w:rPr>
      </w:pPr>
      <w:r w:rsidRPr="006E2CA6">
        <w:rPr>
          <w:bCs/>
          <w:sz w:val="22"/>
          <w:szCs w:val="22"/>
          <w:lang w:val="sr-Latn-ME"/>
        </w:rPr>
        <w:t>3 godine.</w:t>
      </w:r>
    </w:p>
    <w:p w14:paraId="577FB286" w14:textId="77777777" w:rsidR="00D73A18" w:rsidRPr="006E2CA6" w:rsidRDefault="00D73A18" w:rsidP="00304460">
      <w:pPr>
        <w:tabs>
          <w:tab w:val="left" w:pos="540"/>
          <w:tab w:val="left" w:pos="569"/>
        </w:tabs>
        <w:spacing w:before="240"/>
        <w:jc w:val="both"/>
        <w:rPr>
          <w:bCs/>
          <w:sz w:val="22"/>
          <w:szCs w:val="22"/>
          <w:lang w:val="sr-Latn-ME"/>
        </w:rPr>
      </w:pPr>
      <w:r w:rsidRPr="006E2CA6">
        <w:rPr>
          <w:bCs/>
          <w:sz w:val="22"/>
          <w:szCs w:val="22"/>
          <w:lang w:val="sr-Latn-ME"/>
        </w:rPr>
        <w:t>Rekonstruisani rastvor:</w:t>
      </w:r>
    </w:p>
    <w:p w14:paraId="20FB3949" w14:textId="7ADEF299" w:rsidR="00D73A18" w:rsidRPr="006E2CA6" w:rsidRDefault="00D73A18" w:rsidP="00304460">
      <w:pPr>
        <w:tabs>
          <w:tab w:val="left" w:pos="540"/>
          <w:tab w:val="left" w:pos="569"/>
        </w:tabs>
        <w:spacing w:before="240" w:after="240"/>
        <w:jc w:val="both"/>
        <w:rPr>
          <w:bCs/>
          <w:sz w:val="22"/>
          <w:szCs w:val="22"/>
          <w:lang w:val="sr-Latn-ME"/>
        </w:rPr>
      </w:pPr>
      <w:r w:rsidRPr="006E2CA6">
        <w:rPr>
          <w:bCs/>
          <w:sz w:val="22"/>
          <w:szCs w:val="22"/>
          <w:lang w:val="sr-Latn-ME"/>
        </w:rPr>
        <w:t>Hidroliza kolistimetata se značajno povećava kada se rekonstituiše i razblaži ispod kritične</w:t>
      </w:r>
      <w:r w:rsidR="00DC72D6" w:rsidRPr="006E2CA6">
        <w:rPr>
          <w:bCs/>
          <w:sz w:val="22"/>
          <w:szCs w:val="22"/>
          <w:lang w:val="sr-Latn-ME"/>
        </w:rPr>
        <w:t xml:space="preserve"> </w:t>
      </w:r>
      <w:r w:rsidRPr="006E2CA6">
        <w:rPr>
          <w:bCs/>
          <w:sz w:val="22"/>
          <w:szCs w:val="22"/>
          <w:lang w:val="sr-Latn-ME"/>
        </w:rPr>
        <w:t xml:space="preserve">koncentracije micela, oko 80000 i.j. po </w:t>
      </w:r>
      <w:r w:rsidR="00DC72D6" w:rsidRPr="006E2CA6">
        <w:rPr>
          <w:bCs/>
          <w:sz w:val="22"/>
          <w:szCs w:val="22"/>
          <w:lang w:val="sr-Latn-ME"/>
        </w:rPr>
        <w:t>ml</w:t>
      </w:r>
      <w:r w:rsidRPr="006E2CA6">
        <w:rPr>
          <w:bCs/>
          <w:sz w:val="22"/>
          <w:szCs w:val="22"/>
          <w:lang w:val="sr-Latn-ME"/>
        </w:rPr>
        <w:t>. Rastvor ispod ove koncentracije treba odmah iskoristiti.</w:t>
      </w:r>
    </w:p>
    <w:p w14:paraId="5AABFC2B" w14:textId="4F2F485D" w:rsidR="00D73A18" w:rsidRPr="006E2CA6" w:rsidRDefault="00D73A18" w:rsidP="00304460">
      <w:pPr>
        <w:tabs>
          <w:tab w:val="left" w:pos="540"/>
          <w:tab w:val="left" w:pos="569"/>
        </w:tabs>
        <w:spacing w:after="240"/>
        <w:jc w:val="both"/>
        <w:rPr>
          <w:bCs/>
          <w:sz w:val="22"/>
          <w:szCs w:val="22"/>
          <w:lang w:val="sr-Latn-ME"/>
        </w:rPr>
      </w:pPr>
      <w:r w:rsidRPr="006E2CA6">
        <w:rPr>
          <w:bCs/>
          <w:sz w:val="22"/>
          <w:szCs w:val="22"/>
          <w:lang w:val="sr-Latn-ME"/>
        </w:rPr>
        <w:t xml:space="preserve">Za rastvore za bolus injekciju, </w:t>
      </w:r>
      <w:r w:rsidR="009556DC" w:rsidRPr="006E2CA6">
        <w:rPr>
          <w:bCs/>
          <w:sz w:val="22"/>
          <w:szCs w:val="22"/>
          <w:lang w:val="sr-Latn-ME"/>
        </w:rPr>
        <w:t xml:space="preserve">potvrđena je </w:t>
      </w:r>
      <w:r w:rsidRPr="006E2CA6">
        <w:rPr>
          <w:bCs/>
          <w:sz w:val="22"/>
          <w:szCs w:val="22"/>
          <w:lang w:val="sr-Latn-ME"/>
        </w:rPr>
        <w:t xml:space="preserve">hemijska i fizička stabilnost rekonstituisanog rastvora </w:t>
      </w:r>
      <w:r w:rsidR="009556DC" w:rsidRPr="006E2CA6">
        <w:rPr>
          <w:bCs/>
          <w:sz w:val="22"/>
          <w:szCs w:val="22"/>
          <w:lang w:val="sr-Latn-ME"/>
        </w:rPr>
        <w:t xml:space="preserve">u originalnoj bočici, </w:t>
      </w:r>
      <w:r w:rsidRPr="006E2CA6">
        <w:rPr>
          <w:bCs/>
          <w:sz w:val="22"/>
          <w:szCs w:val="22"/>
          <w:lang w:val="sr-Latn-ME"/>
        </w:rPr>
        <w:t>koncentracije ≥80000 i.j./</w:t>
      </w:r>
      <w:r w:rsidR="009556DC" w:rsidRPr="006E2CA6">
        <w:rPr>
          <w:bCs/>
          <w:sz w:val="22"/>
          <w:szCs w:val="22"/>
          <w:lang w:val="sr-Latn-ME"/>
        </w:rPr>
        <w:t>ml</w:t>
      </w:r>
      <w:r w:rsidRPr="006E2CA6">
        <w:rPr>
          <w:bCs/>
          <w:sz w:val="22"/>
          <w:szCs w:val="22"/>
          <w:lang w:val="sr-Latn-ME"/>
        </w:rPr>
        <w:t>, 24 sata na temper</w:t>
      </w:r>
      <w:r w:rsidR="00F31B23" w:rsidRPr="006E2CA6">
        <w:rPr>
          <w:bCs/>
          <w:sz w:val="22"/>
          <w:szCs w:val="22"/>
          <w:lang w:val="sr-Latn-ME"/>
        </w:rPr>
        <w:t>a</w:t>
      </w:r>
      <w:r w:rsidRPr="006E2CA6">
        <w:rPr>
          <w:bCs/>
          <w:sz w:val="22"/>
          <w:szCs w:val="22"/>
          <w:lang w:val="sr-Latn-ME"/>
        </w:rPr>
        <w:t>turi od 2°C do 8 °C.</w:t>
      </w:r>
    </w:p>
    <w:p w14:paraId="5B449515" w14:textId="76F72ABB" w:rsidR="009556DC" w:rsidRPr="006E2CA6" w:rsidRDefault="00D73A18" w:rsidP="00304460">
      <w:pPr>
        <w:tabs>
          <w:tab w:val="left" w:pos="540"/>
          <w:tab w:val="left" w:pos="569"/>
        </w:tabs>
        <w:spacing w:after="240"/>
        <w:jc w:val="both"/>
        <w:rPr>
          <w:bCs/>
          <w:sz w:val="22"/>
          <w:szCs w:val="22"/>
          <w:lang w:val="sr-Latn-ME"/>
        </w:rPr>
      </w:pPr>
      <w:r w:rsidRPr="006E2CA6">
        <w:rPr>
          <w:bCs/>
          <w:sz w:val="22"/>
          <w:szCs w:val="22"/>
          <w:lang w:val="sr-Latn-ME"/>
        </w:rPr>
        <w:t xml:space="preserve">S mikrobiološke tačke gledišta rastvor treba </w:t>
      </w:r>
      <w:r w:rsidR="009556DC" w:rsidRPr="006E2CA6">
        <w:rPr>
          <w:bCs/>
          <w:sz w:val="22"/>
          <w:szCs w:val="22"/>
          <w:lang w:val="sr-Latn-ME"/>
        </w:rPr>
        <w:t xml:space="preserve">primijeniti </w:t>
      </w:r>
      <w:r w:rsidRPr="006E2CA6">
        <w:rPr>
          <w:bCs/>
          <w:sz w:val="22"/>
          <w:szCs w:val="22"/>
          <w:lang w:val="sr-Latn-ME"/>
        </w:rPr>
        <w:t>odmah nakon pripreme za upotrebu</w:t>
      </w:r>
      <w:r w:rsidR="009556DC" w:rsidRPr="006E2CA6">
        <w:rPr>
          <w:bCs/>
          <w:sz w:val="22"/>
          <w:szCs w:val="22"/>
          <w:lang w:val="sr-Latn-ME"/>
        </w:rPr>
        <w:t>, osim ako način otvaranja/rekonstitucije/razblaživanja ne isključuje rizik od mikrobiološke kontaminacije</w:t>
      </w:r>
      <w:r w:rsidRPr="006E2CA6">
        <w:rPr>
          <w:bCs/>
          <w:sz w:val="22"/>
          <w:szCs w:val="22"/>
          <w:lang w:val="sr-Latn-ME"/>
        </w:rPr>
        <w:t>.</w:t>
      </w:r>
      <w:r w:rsidR="00F31B23">
        <w:rPr>
          <w:bCs/>
          <w:sz w:val="22"/>
          <w:szCs w:val="22"/>
          <w:lang w:val="sr-Latn-ME"/>
        </w:rPr>
        <w:t xml:space="preserve"> </w:t>
      </w:r>
      <w:r w:rsidRPr="006E2CA6">
        <w:rPr>
          <w:bCs/>
          <w:sz w:val="22"/>
          <w:szCs w:val="22"/>
          <w:lang w:val="sr-Latn-ME"/>
        </w:rPr>
        <w:t>Ako se ne upotr</w:t>
      </w:r>
      <w:r w:rsidR="009556DC" w:rsidRPr="006E2CA6">
        <w:rPr>
          <w:bCs/>
          <w:sz w:val="22"/>
          <w:szCs w:val="22"/>
          <w:lang w:val="sr-Latn-ME"/>
        </w:rPr>
        <w:t>ij</w:t>
      </w:r>
      <w:r w:rsidRPr="006E2CA6">
        <w:rPr>
          <w:bCs/>
          <w:sz w:val="22"/>
          <w:szCs w:val="22"/>
          <w:lang w:val="sr-Latn-ME"/>
        </w:rPr>
        <w:t>ebi</w:t>
      </w:r>
      <w:r w:rsidR="009556DC" w:rsidRPr="006E2CA6">
        <w:rPr>
          <w:bCs/>
          <w:sz w:val="22"/>
          <w:szCs w:val="22"/>
          <w:lang w:val="sr-Latn-ME"/>
        </w:rPr>
        <w:t xml:space="preserve"> odmah</w:t>
      </w:r>
      <w:r w:rsidRPr="006E2CA6">
        <w:rPr>
          <w:bCs/>
          <w:sz w:val="22"/>
          <w:szCs w:val="22"/>
          <w:lang w:val="sr-Latn-ME"/>
        </w:rPr>
        <w:t>, vr</w:t>
      </w:r>
      <w:r w:rsidR="009556DC" w:rsidRPr="006E2CA6">
        <w:rPr>
          <w:bCs/>
          <w:sz w:val="22"/>
          <w:szCs w:val="22"/>
          <w:lang w:val="sr-Latn-ME"/>
        </w:rPr>
        <w:t>ij</w:t>
      </w:r>
      <w:r w:rsidRPr="006E2CA6">
        <w:rPr>
          <w:bCs/>
          <w:sz w:val="22"/>
          <w:szCs w:val="22"/>
          <w:lang w:val="sr-Latn-ME"/>
        </w:rPr>
        <w:t>eme i uslovi čuvanja pr</w:t>
      </w:r>
      <w:r w:rsidR="009556DC" w:rsidRPr="006E2CA6">
        <w:rPr>
          <w:bCs/>
          <w:sz w:val="22"/>
          <w:szCs w:val="22"/>
          <w:lang w:val="sr-Latn-ME"/>
        </w:rPr>
        <w:t>ij</w:t>
      </w:r>
      <w:r w:rsidRPr="006E2CA6">
        <w:rPr>
          <w:bCs/>
          <w:sz w:val="22"/>
          <w:szCs w:val="22"/>
          <w:lang w:val="sr-Latn-ME"/>
        </w:rPr>
        <w:t>e upotrebe su odgovornost korisnika</w:t>
      </w:r>
      <w:r w:rsidR="009556DC" w:rsidRPr="006E2CA6">
        <w:rPr>
          <w:bCs/>
          <w:sz w:val="22"/>
          <w:szCs w:val="22"/>
          <w:lang w:val="sr-Latn-ME"/>
        </w:rPr>
        <w:t>.</w:t>
      </w:r>
    </w:p>
    <w:p w14:paraId="5B9F5ECC" w14:textId="77777777" w:rsidR="00F31B23" w:rsidRDefault="009556DC" w:rsidP="00304460">
      <w:pPr>
        <w:tabs>
          <w:tab w:val="left" w:pos="540"/>
          <w:tab w:val="left" w:pos="569"/>
        </w:tabs>
        <w:jc w:val="both"/>
        <w:rPr>
          <w:bCs/>
          <w:sz w:val="22"/>
          <w:szCs w:val="22"/>
          <w:lang w:val="sr-Latn-ME"/>
        </w:rPr>
      </w:pPr>
      <w:r w:rsidRPr="006E2CA6">
        <w:rPr>
          <w:bCs/>
          <w:sz w:val="22"/>
          <w:szCs w:val="22"/>
          <w:lang w:val="sr-Latn-ME"/>
        </w:rPr>
        <w:t xml:space="preserve">Rastvore </w:t>
      </w:r>
      <w:r w:rsidR="00D73A18" w:rsidRPr="006E2CA6">
        <w:rPr>
          <w:bCs/>
          <w:sz w:val="22"/>
          <w:szCs w:val="22"/>
          <w:lang w:val="sr-Latn-ME"/>
        </w:rPr>
        <w:t>za infuziju, koji su razr</w:t>
      </w:r>
      <w:r w:rsidRPr="006E2CA6">
        <w:rPr>
          <w:bCs/>
          <w:sz w:val="22"/>
          <w:szCs w:val="22"/>
          <w:lang w:val="sr-Latn-ME"/>
        </w:rPr>
        <w:t>ij</w:t>
      </w:r>
      <w:r w:rsidR="00D73A18" w:rsidRPr="006E2CA6">
        <w:rPr>
          <w:bCs/>
          <w:sz w:val="22"/>
          <w:szCs w:val="22"/>
          <w:lang w:val="sr-Latn-ME"/>
        </w:rPr>
        <w:t xml:space="preserve">eđeni više od originalne zapremine i/ili sa koncentracijom </w:t>
      </w:r>
    </w:p>
    <w:p w14:paraId="0C4F32C2" w14:textId="15B3FF96" w:rsidR="00D73A18" w:rsidRPr="006E2CA6" w:rsidRDefault="00D73A18" w:rsidP="00304460">
      <w:pPr>
        <w:tabs>
          <w:tab w:val="left" w:pos="540"/>
          <w:tab w:val="left" w:pos="569"/>
        </w:tabs>
        <w:jc w:val="both"/>
        <w:rPr>
          <w:bCs/>
          <w:sz w:val="22"/>
          <w:szCs w:val="22"/>
          <w:lang w:val="sr-Latn-ME"/>
        </w:rPr>
      </w:pPr>
      <w:r w:rsidRPr="006E2CA6">
        <w:rPr>
          <w:bCs/>
          <w:sz w:val="22"/>
          <w:szCs w:val="22"/>
          <w:lang w:val="sr-Latn-ME"/>
        </w:rPr>
        <w:t>&lt;</w:t>
      </w:r>
      <w:r w:rsidR="00F31B23">
        <w:rPr>
          <w:bCs/>
          <w:sz w:val="22"/>
          <w:szCs w:val="22"/>
          <w:lang w:val="sr-Latn-ME"/>
        </w:rPr>
        <w:t xml:space="preserve"> </w:t>
      </w:r>
      <w:r w:rsidRPr="006E2CA6">
        <w:rPr>
          <w:bCs/>
          <w:sz w:val="22"/>
          <w:szCs w:val="22"/>
          <w:lang w:val="sr-Latn-ME"/>
        </w:rPr>
        <w:t>80000 i.j./</w:t>
      </w:r>
      <w:r w:rsidR="009556DC" w:rsidRPr="006E2CA6">
        <w:rPr>
          <w:bCs/>
          <w:sz w:val="22"/>
          <w:szCs w:val="22"/>
          <w:lang w:val="sr-Latn-ME"/>
        </w:rPr>
        <w:t>ml</w:t>
      </w:r>
      <w:r w:rsidRPr="006E2CA6">
        <w:rPr>
          <w:bCs/>
          <w:sz w:val="22"/>
          <w:szCs w:val="22"/>
          <w:lang w:val="sr-Latn-ME"/>
        </w:rPr>
        <w:t>,</w:t>
      </w:r>
      <w:r w:rsidR="00DC72D6" w:rsidRPr="006E2CA6">
        <w:rPr>
          <w:bCs/>
          <w:sz w:val="22"/>
          <w:szCs w:val="22"/>
          <w:lang w:val="sr-Latn-ME"/>
        </w:rPr>
        <w:t xml:space="preserve"> </w:t>
      </w:r>
      <w:r w:rsidRPr="006E2CA6">
        <w:rPr>
          <w:bCs/>
          <w:sz w:val="22"/>
          <w:szCs w:val="22"/>
          <w:lang w:val="sr-Latn-ME"/>
        </w:rPr>
        <w:t>treba odmah iskoristiti.</w:t>
      </w:r>
    </w:p>
    <w:p w14:paraId="555AEE87" w14:textId="553B6397" w:rsidR="0072020E" w:rsidRPr="006E2CA6" w:rsidRDefault="00D73A18" w:rsidP="00304460">
      <w:pPr>
        <w:tabs>
          <w:tab w:val="left" w:pos="540"/>
          <w:tab w:val="left" w:pos="569"/>
        </w:tabs>
        <w:spacing w:before="240"/>
        <w:jc w:val="both"/>
        <w:rPr>
          <w:bCs/>
          <w:sz w:val="22"/>
          <w:szCs w:val="22"/>
          <w:lang w:val="sr-Latn-ME"/>
        </w:rPr>
      </w:pPr>
      <w:r w:rsidRPr="006E2CA6">
        <w:rPr>
          <w:bCs/>
          <w:sz w:val="22"/>
          <w:szCs w:val="22"/>
          <w:lang w:val="sr-Latn-ME"/>
        </w:rPr>
        <w:t>Za rastvore za intratekalnu i intraventrikularnu prim</w:t>
      </w:r>
      <w:r w:rsidR="00CC744E" w:rsidRPr="006E2CA6">
        <w:rPr>
          <w:bCs/>
          <w:sz w:val="22"/>
          <w:szCs w:val="22"/>
          <w:lang w:val="sr-Latn-ME"/>
        </w:rPr>
        <w:t>j</w:t>
      </w:r>
      <w:r w:rsidRPr="006E2CA6">
        <w:rPr>
          <w:bCs/>
          <w:sz w:val="22"/>
          <w:szCs w:val="22"/>
          <w:lang w:val="sr-Latn-ME"/>
        </w:rPr>
        <w:t>enu treba odmah koristiti rekonstituisan l</w:t>
      </w:r>
      <w:r w:rsidR="00CC744E" w:rsidRPr="006E2CA6">
        <w:rPr>
          <w:bCs/>
          <w:sz w:val="22"/>
          <w:szCs w:val="22"/>
          <w:lang w:val="sr-Latn-ME"/>
        </w:rPr>
        <w:t>ij</w:t>
      </w:r>
      <w:r w:rsidRPr="006E2CA6">
        <w:rPr>
          <w:bCs/>
          <w:sz w:val="22"/>
          <w:szCs w:val="22"/>
          <w:lang w:val="sr-Latn-ME"/>
        </w:rPr>
        <w:t>ek.</w:t>
      </w:r>
    </w:p>
    <w:p w14:paraId="1902611C" w14:textId="77777777" w:rsidR="00DC72D6" w:rsidRPr="006E2CA6" w:rsidRDefault="00DC72D6" w:rsidP="00304460">
      <w:pPr>
        <w:tabs>
          <w:tab w:val="left" w:pos="540"/>
          <w:tab w:val="left" w:pos="569"/>
        </w:tabs>
        <w:rPr>
          <w:b/>
          <w:bCs/>
          <w:sz w:val="22"/>
          <w:szCs w:val="22"/>
          <w:lang w:val="sr-Latn-ME"/>
        </w:rPr>
      </w:pPr>
    </w:p>
    <w:p w14:paraId="19343B88" w14:textId="123BBE5B" w:rsidR="0072020E" w:rsidRPr="006E2CA6" w:rsidRDefault="0072020E" w:rsidP="00304460">
      <w:pPr>
        <w:tabs>
          <w:tab w:val="left" w:pos="540"/>
          <w:tab w:val="left" w:pos="569"/>
        </w:tabs>
        <w:rPr>
          <w:b/>
          <w:bCs/>
          <w:sz w:val="22"/>
          <w:szCs w:val="22"/>
          <w:lang w:val="sr-Latn-ME"/>
        </w:rPr>
      </w:pPr>
      <w:r w:rsidRPr="006E2CA6">
        <w:rPr>
          <w:b/>
          <w:bCs/>
          <w:sz w:val="22"/>
          <w:szCs w:val="22"/>
          <w:lang w:val="sr-Latn-ME"/>
        </w:rPr>
        <w:t xml:space="preserve">6.4. </w:t>
      </w:r>
      <w:r w:rsidR="00480FB1" w:rsidRPr="006E2CA6">
        <w:rPr>
          <w:b/>
          <w:bCs/>
          <w:sz w:val="22"/>
          <w:szCs w:val="22"/>
          <w:lang w:val="sr-Latn-ME"/>
        </w:rPr>
        <w:tab/>
      </w:r>
      <w:r w:rsidRPr="006E2CA6">
        <w:rPr>
          <w:b/>
          <w:bCs/>
          <w:sz w:val="22"/>
          <w:szCs w:val="22"/>
          <w:lang w:val="sr-Latn-ME"/>
        </w:rPr>
        <w:t>Posebne mjere upozorenja pri čuvanju</w:t>
      </w:r>
      <w:r w:rsidR="00F8570A" w:rsidRPr="006E2CA6">
        <w:rPr>
          <w:b/>
          <w:bCs/>
          <w:sz w:val="22"/>
          <w:szCs w:val="22"/>
          <w:lang w:val="sr-Latn-ME"/>
        </w:rPr>
        <w:t xml:space="preserve"> lijeka</w:t>
      </w:r>
    </w:p>
    <w:p w14:paraId="03DC9784" w14:textId="77777777" w:rsidR="00D73A18" w:rsidRPr="006E2CA6" w:rsidRDefault="00D73A18" w:rsidP="00304460">
      <w:pPr>
        <w:tabs>
          <w:tab w:val="left" w:pos="540"/>
          <w:tab w:val="left" w:pos="569"/>
        </w:tabs>
        <w:jc w:val="both"/>
        <w:rPr>
          <w:bCs/>
          <w:sz w:val="22"/>
          <w:szCs w:val="22"/>
          <w:lang w:val="sr-Latn-ME"/>
        </w:rPr>
      </w:pPr>
    </w:p>
    <w:p w14:paraId="40AD64E4" w14:textId="77777777" w:rsidR="00D73A18" w:rsidRPr="006E2CA6" w:rsidRDefault="00D73A18" w:rsidP="00304460">
      <w:pPr>
        <w:tabs>
          <w:tab w:val="left" w:pos="540"/>
          <w:tab w:val="left" w:pos="569"/>
        </w:tabs>
        <w:spacing w:after="240"/>
        <w:jc w:val="both"/>
        <w:rPr>
          <w:bCs/>
          <w:sz w:val="22"/>
          <w:szCs w:val="22"/>
          <w:lang w:val="sr-Latn-ME"/>
        </w:rPr>
      </w:pPr>
      <w:r w:rsidRPr="006E2CA6">
        <w:rPr>
          <w:bCs/>
          <w:sz w:val="22"/>
          <w:szCs w:val="22"/>
          <w:lang w:val="sr-Latn-ME"/>
        </w:rPr>
        <w:t>Čuvati na temperaturi do 25°C.</w:t>
      </w:r>
    </w:p>
    <w:p w14:paraId="570452AC" w14:textId="7E382A96" w:rsidR="00D73A18" w:rsidRPr="006E2CA6" w:rsidRDefault="00D73A18" w:rsidP="00304460">
      <w:pPr>
        <w:tabs>
          <w:tab w:val="left" w:pos="540"/>
          <w:tab w:val="left" w:pos="569"/>
        </w:tabs>
        <w:jc w:val="both"/>
        <w:rPr>
          <w:bCs/>
          <w:sz w:val="22"/>
          <w:szCs w:val="22"/>
          <w:lang w:val="sr-Latn-ME"/>
        </w:rPr>
      </w:pPr>
      <w:r w:rsidRPr="006E2CA6">
        <w:rPr>
          <w:bCs/>
          <w:sz w:val="22"/>
          <w:szCs w:val="22"/>
          <w:lang w:val="sr-Latn-ME"/>
        </w:rPr>
        <w:t>Za uslove čuvanja nakon rekonstitucije vid</w:t>
      </w:r>
      <w:r w:rsidR="009556DC" w:rsidRPr="006E2CA6">
        <w:rPr>
          <w:bCs/>
          <w:sz w:val="22"/>
          <w:szCs w:val="22"/>
          <w:lang w:val="sr-Latn-ME"/>
        </w:rPr>
        <w:t>j</w:t>
      </w:r>
      <w:r w:rsidRPr="006E2CA6">
        <w:rPr>
          <w:bCs/>
          <w:sz w:val="22"/>
          <w:szCs w:val="22"/>
          <w:lang w:val="sr-Latn-ME"/>
        </w:rPr>
        <w:t xml:space="preserve">eti </w:t>
      </w:r>
      <w:r w:rsidR="009556DC" w:rsidRPr="006E2CA6">
        <w:rPr>
          <w:bCs/>
          <w:sz w:val="22"/>
          <w:szCs w:val="22"/>
          <w:lang w:val="sr-Latn-ME"/>
        </w:rPr>
        <w:t xml:space="preserve">dio </w:t>
      </w:r>
      <w:r w:rsidRPr="006E2CA6">
        <w:rPr>
          <w:bCs/>
          <w:sz w:val="22"/>
          <w:szCs w:val="22"/>
          <w:lang w:val="sr-Latn-ME"/>
        </w:rPr>
        <w:t>6.3.</w:t>
      </w:r>
    </w:p>
    <w:p w14:paraId="5BE47423" w14:textId="77777777" w:rsidR="00EC2532" w:rsidRPr="006E2CA6" w:rsidRDefault="00EC2532" w:rsidP="00304460">
      <w:pPr>
        <w:tabs>
          <w:tab w:val="left" w:pos="540"/>
          <w:tab w:val="left" w:pos="569"/>
        </w:tabs>
        <w:rPr>
          <w:bCs/>
          <w:sz w:val="22"/>
          <w:szCs w:val="22"/>
          <w:lang w:val="sr-Latn-ME"/>
        </w:rPr>
      </w:pPr>
    </w:p>
    <w:p w14:paraId="664852E1" w14:textId="77777777" w:rsidR="0072020E" w:rsidRPr="006E2CA6" w:rsidRDefault="0072020E" w:rsidP="00304460">
      <w:pPr>
        <w:tabs>
          <w:tab w:val="left" w:pos="540"/>
          <w:tab w:val="left" w:pos="569"/>
        </w:tabs>
        <w:rPr>
          <w:b/>
          <w:bCs/>
          <w:sz w:val="22"/>
          <w:szCs w:val="22"/>
          <w:lang w:val="sr-Latn-ME"/>
        </w:rPr>
      </w:pPr>
      <w:r w:rsidRPr="006E2CA6">
        <w:rPr>
          <w:b/>
          <w:bCs/>
          <w:sz w:val="22"/>
          <w:szCs w:val="22"/>
          <w:lang w:val="sr-Latn-ME"/>
        </w:rPr>
        <w:t xml:space="preserve">6.5. </w:t>
      </w:r>
      <w:r w:rsidR="00480FB1" w:rsidRPr="006E2CA6">
        <w:rPr>
          <w:b/>
          <w:bCs/>
          <w:sz w:val="22"/>
          <w:szCs w:val="22"/>
          <w:lang w:val="sr-Latn-ME"/>
        </w:rPr>
        <w:tab/>
      </w:r>
      <w:r w:rsidR="002846DB" w:rsidRPr="006E2CA6">
        <w:rPr>
          <w:b/>
          <w:bCs/>
          <w:sz w:val="22"/>
          <w:szCs w:val="22"/>
          <w:lang w:val="sr-Latn-ME"/>
        </w:rPr>
        <w:t xml:space="preserve">Vrsta i sadržaj </w:t>
      </w:r>
      <w:r w:rsidR="00F8570A" w:rsidRPr="006E2CA6">
        <w:rPr>
          <w:b/>
          <w:bCs/>
          <w:sz w:val="22"/>
          <w:szCs w:val="22"/>
          <w:lang w:val="sr-Latn-ME"/>
        </w:rPr>
        <w:t>pakovanja</w:t>
      </w:r>
      <w:r w:rsidR="00C06864" w:rsidRPr="006E2CA6">
        <w:rPr>
          <w:b/>
          <w:bCs/>
          <w:sz w:val="22"/>
          <w:szCs w:val="22"/>
          <w:lang w:val="sr-Latn-ME"/>
        </w:rPr>
        <w:t xml:space="preserve"> </w:t>
      </w:r>
    </w:p>
    <w:p w14:paraId="494FCFCC" w14:textId="77777777" w:rsidR="009556DC" w:rsidRPr="006E2CA6" w:rsidRDefault="009556DC" w:rsidP="00304460">
      <w:pPr>
        <w:tabs>
          <w:tab w:val="left" w:pos="540"/>
          <w:tab w:val="left" w:pos="569"/>
        </w:tabs>
        <w:rPr>
          <w:b/>
          <w:bCs/>
          <w:sz w:val="22"/>
          <w:szCs w:val="22"/>
          <w:lang w:val="sr-Latn-ME"/>
        </w:rPr>
      </w:pPr>
    </w:p>
    <w:p w14:paraId="2CC4B6E0" w14:textId="71221D8E" w:rsidR="00D73A18" w:rsidRPr="006E2CA6" w:rsidRDefault="00D73A18" w:rsidP="00304460">
      <w:pPr>
        <w:tabs>
          <w:tab w:val="left" w:pos="540"/>
          <w:tab w:val="left" w:pos="569"/>
        </w:tabs>
        <w:spacing w:after="240"/>
        <w:jc w:val="both"/>
        <w:rPr>
          <w:bCs/>
          <w:sz w:val="22"/>
          <w:szCs w:val="22"/>
          <w:lang w:val="sr-Latn-ME"/>
        </w:rPr>
      </w:pPr>
      <w:r w:rsidRPr="006E2CA6">
        <w:rPr>
          <w:bCs/>
          <w:sz w:val="22"/>
          <w:szCs w:val="22"/>
          <w:lang w:val="sr-Latn-ME"/>
        </w:rPr>
        <w:t xml:space="preserve">Unutrašnje pakovanje je bočica od stakla (tip I) zapremine 10 </w:t>
      </w:r>
      <w:r w:rsidR="009556DC" w:rsidRPr="006E2CA6">
        <w:rPr>
          <w:bCs/>
          <w:sz w:val="22"/>
          <w:szCs w:val="22"/>
          <w:lang w:val="sr-Latn-ME"/>
        </w:rPr>
        <w:t xml:space="preserve">ml </w:t>
      </w:r>
      <w:r w:rsidRPr="006E2CA6">
        <w:rPr>
          <w:bCs/>
          <w:sz w:val="22"/>
          <w:szCs w:val="22"/>
          <w:lang w:val="sr-Latn-ME"/>
        </w:rPr>
        <w:t>zatvorena sivim gumenim čepom (20mm) od silikonizovane hlorbutil gume preko koga se nalazi aluminijumski prsten sa crvenim</w:t>
      </w:r>
      <w:r w:rsidR="009556DC" w:rsidRPr="006E2CA6">
        <w:rPr>
          <w:bCs/>
          <w:sz w:val="22"/>
          <w:szCs w:val="22"/>
          <w:lang w:val="sr-Latn-ME"/>
        </w:rPr>
        <w:t xml:space="preserve"> </w:t>
      </w:r>
      <w:r w:rsidRPr="006E2CA6">
        <w:rPr>
          <w:bCs/>
          <w:sz w:val="22"/>
          <w:szCs w:val="22"/>
          <w:lang w:val="sr-Latn-ME"/>
        </w:rPr>
        <w:t>poklopcem od polipropilena</w:t>
      </w:r>
      <w:r w:rsidR="009556DC" w:rsidRPr="006E2CA6">
        <w:rPr>
          <w:bCs/>
          <w:sz w:val="22"/>
          <w:szCs w:val="22"/>
          <w:lang w:val="sr-Latn-ME"/>
        </w:rPr>
        <w:t xml:space="preserve"> </w:t>
      </w:r>
      <w:r w:rsidRPr="006E2CA6">
        <w:rPr>
          <w:bCs/>
          <w:sz w:val="22"/>
          <w:szCs w:val="22"/>
          <w:lang w:val="sr-Latn-ME"/>
        </w:rPr>
        <w:t>(</w:t>
      </w:r>
      <w:r w:rsidRPr="00304460">
        <w:rPr>
          <w:bCs/>
          <w:i/>
          <w:sz w:val="22"/>
          <w:szCs w:val="22"/>
          <w:lang w:val="sr-Latn-ME"/>
        </w:rPr>
        <w:t>flip-off</w:t>
      </w:r>
      <w:r w:rsidRPr="006E2CA6">
        <w:rPr>
          <w:bCs/>
          <w:sz w:val="22"/>
          <w:szCs w:val="22"/>
          <w:lang w:val="sr-Latn-ME"/>
        </w:rPr>
        <w:t>).</w:t>
      </w:r>
    </w:p>
    <w:p w14:paraId="11A87476" w14:textId="541CC00A" w:rsidR="0072020E" w:rsidRPr="006E2CA6" w:rsidRDefault="00D73A18" w:rsidP="00304460">
      <w:pPr>
        <w:tabs>
          <w:tab w:val="left" w:pos="540"/>
          <w:tab w:val="left" w:pos="569"/>
        </w:tabs>
        <w:rPr>
          <w:bCs/>
          <w:sz w:val="22"/>
          <w:szCs w:val="22"/>
          <w:lang w:val="sr-Latn-ME"/>
        </w:rPr>
      </w:pPr>
      <w:r w:rsidRPr="006E2CA6">
        <w:rPr>
          <w:bCs/>
          <w:sz w:val="22"/>
          <w:szCs w:val="22"/>
          <w:lang w:val="sr-Latn-ME"/>
        </w:rPr>
        <w:t>Spoljašnje pakovanje je složiva kartonska kutija u kojoj se nalazi 1 bočica i Uputstvo za l</w:t>
      </w:r>
      <w:r w:rsidR="009556DC" w:rsidRPr="006E2CA6">
        <w:rPr>
          <w:bCs/>
          <w:sz w:val="22"/>
          <w:szCs w:val="22"/>
          <w:lang w:val="sr-Latn-ME"/>
        </w:rPr>
        <w:t>ij</w:t>
      </w:r>
      <w:r w:rsidRPr="006E2CA6">
        <w:rPr>
          <w:bCs/>
          <w:sz w:val="22"/>
          <w:szCs w:val="22"/>
          <w:lang w:val="sr-Latn-ME"/>
        </w:rPr>
        <w:t>ek.</w:t>
      </w:r>
    </w:p>
    <w:p w14:paraId="1EEDC5B3" w14:textId="77777777" w:rsidR="009556DC" w:rsidRPr="006E2CA6" w:rsidRDefault="009556DC" w:rsidP="00304460">
      <w:pPr>
        <w:tabs>
          <w:tab w:val="left" w:pos="540"/>
          <w:tab w:val="left" w:pos="569"/>
        </w:tabs>
        <w:rPr>
          <w:bCs/>
          <w:sz w:val="22"/>
          <w:szCs w:val="22"/>
          <w:lang w:val="sr-Latn-ME"/>
        </w:rPr>
      </w:pPr>
    </w:p>
    <w:p w14:paraId="0688987B" w14:textId="77777777" w:rsidR="002846DB" w:rsidRPr="006E2CA6" w:rsidRDefault="0072020E" w:rsidP="00304460">
      <w:pPr>
        <w:tabs>
          <w:tab w:val="left" w:pos="540"/>
          <w:tab w:val="left" w:pos="569"/>
        </w:tabs>
        <w:rPr>
          <w:b/>
          <w:bCs/>
          <w:sz w:val="22"/>
          <w:szCs w:val="22"/>
          <w:lang w:val="sr-Latn-ME"/>
        </w:rPr>
      </w:pPr>
      <w:r w:rsidRPr="006E2CA6">
        <w:rPr>
          <w:b/>
          <w:bCs/>
          <w:sz w:val="22"/>
          <w:szCs w:val="22"/>
          <w:lang w:val="sr-Latn-ME"/>
        </w:rPr>
        <w:t xml:space="preserve">6.6. </w:t>
      </w:r>
      <w:r w:rsidR="00480FB1" w:rsidRPr="006E2CA6">
        <w:rPr>
          <w:b/>
          <w:bCs/>
          <w:sz w:val="22"/>
          <w:szCs w:val="22"/>
          <w:lang w:val="sr-Latn-ME"/>
        </w:rPr>
        <w:tab/>
      </w:r>
      <w:r w:rsidRPr="006E2CA6">
        <w:rPr>
          <w:b/>
          <w:bCs/>
          <w:color w:val="000000"/>
          <w:sz w:val="22"/>
          <w:szCs w:val="22"/>
          <w:lang w:val="sr-Latn-ME"/>
        </w:rPr>
        <w:t>Posebne mjere opreza pri odlaganju materijala koji treba odbaciti nakon primjene lijeka</w:t>
      </w:r>
      <w:r w:rsidRPr="006E2CA6">
        <w:rPr>
          <w:b/>
          <w:bCs/>
          <w:sz w:val="22"/>
          <w:szCs w:val="22"/>
          <w:lang w:val="sr-Latn-ME"/>
        </w:rPr>
        <w:t xml:space="preserve"> </w:t>
      </w:r>
      <w:r w:rsidR="00310F03" w:rsidRPr="006E2CA6">
        <w:rPr>
          <w:b/>
          <w:bCs/>
          <w:sz w:val="22"/>
          <w:szCs w:val="22"/>
          <w:lang w:val="sr-Latn-ME"/>
        </w:rPr>
        <w:t>(i druga uputs</w:t>
      </w:r>
      <w:r w:rsidR="004109FA" w:rsidRPr="006E2CA6">
        <w:rPr>
          <w:b/>
          <w:bCs/>
          <w:sz w:val="22"/>
          <w:szCs w:val="22"/>
          <w:lang w:val="sr-Latn-ME"/>
        </w:rPr>
        <w:t>t</w:t>
      </w:r>
      <w:r w:rsidR="00310F03" w:rsidRPr="006E2CA6">
        <w:rPr>
          <w:b/>
          <w:bCs/>
          <w:sz w:val="22"/>
          <w:szCs w:val="22"/>
          <w:lang w:val="sr-Latn-ME"/>
        </w:rPr>
        <w:t xml:space="preserve">va za rukovanje lijekom) </w:t>
      </w:r>
    </w:p>
    <w:p w14:paraId="24117EB0" w14:textId="77777777" w:rsidR="009B168B" w:rsidRPr="006E2CA6" w:rsidRDefault="009B168B" w:rsidP="00304460">
      <w:pPr>
        <w:tabs>
          <w:tab w:val="left" w:pos="540"/>
          <w:tab w:val="left" w:pos="569"/>
        </w:tabs>
        <w:jc w:val="both"/>
        <w:rPr>
          <w:bCs/>
          <w:sz w:val="22"/>
          <w:szCs w:val="22"/>
          <w:lang w:val="sr-Latn-ME"/>
        </w:rPr>
      </w:pPr>
    </w:p>
    <w:p w14:paraId="690F6BE4" w14:textId="537D6062" w:rsidR="002772E8" w:rsidRPr="006E2CA6" w:rsidDel="00DC4741" w:rsidRDefault="002772E8" w:rsidP="009969D4">
      <w:pPr>
        <w:tabs>
          <w:tab w:val="left" w:pos="540"/>
          <w:tab w:val="left" w:pos="569"/>
        </w:tabs>
        <w:spacing w:line="276" w:lineRule="auto"/>
        <w:jc w:val="both"/>
        <w:rPr>
          <w:bCs/>
          <w:sz w:val="22"/>
          <w:szCs w:val="22"/>
          <w:lang w:val="sr-Latn-ME"/>
        </w:rPr>
      </w:pPr>
      <w:r w:rsidRPr="006E2CA6" w:rsidDel="00DC4741">
        <w:rPr>
          <w:bCs/>
          <w:sz w:val="22"/>
          <w:szCs w:val="22"/>
          <w:lang w:val="sr-Latn-ME"/>
        </w:rPr>
        <w:t>Priprema rastvora za bolus injekciju:</w:t>
      </w:r>
    </w:p>
    <w:p w14:paraId="28C21AAF" w14:textId="12E1AB1B" w:rsidR="002772E8" w:rsidRPr="006E2CA6" w:rsidDel="00DC4741" w:rsidRDefault="002772E8" w:rsidP="009969D4">
      <w:pPr>
        <w:tabs>
          <w:tab w:val="left" w:pos="540"/>
          <w:tab w:val="left" w:pos="569"/>
        </w:tabs>
        <w:spacing w:line="276" w:lineRule="auto"/>
        <w:jc w:val="both"/>
        <w:rPr>
          <w:bCs/>
          <w:sz w:val="22"/>
          <w:szCs w:val="22"/>
          <w:lang w:val="sr-Latn-ME"/>
        </w:rPr>
      </w:pPr>
      <w:r w:rsidRPr="006E2CA6" w:rsidDel="00DC4741">
        <w:rPr>
          <w:bCs/>
          <w:sz w:val="22"/>
          <w:szCs w:val="22"/>
          <w:lang w:val="sr-Latn-ME"/>
        </w:rPr>
        <w:t>Sadržaj bočice rekonstituisati sa najviše 10 ml vode za injekcije ili 0,9% natrijuma hlorida.</w:t>
      </w:r>
    </w:p>
    <w:p w14:paraId="414E5058" w14:textId="7300481D" w:rsidR="00D73A18" w:rsidRPr="006E2CA6" w:rsidRDefault="00D73A18" w:rsidP="009969D4">
      <w:pPr>
        <w:tabs>
          <w:tab w:val="left" w:pos="540"/>
          <w:tab w:val="left" w:pos="569"/>
        </w:tabs>
        <w:spacing w:before="240" w:line="276" w:lineRule="auto"/>
        <w:jc w:val="both"/>
        <w:rPr>
          <w:bCs/>
          <w:sz w:val="22"/>
          <w:szCs w:val="22"/>
          <w:lang w:val="sr-Latn-ME"/>
        </w:rPr>
      </w:pPr>
      <w:r w:rsidRPr="006E2CA6">
        <w:rPr>
          <w:bCs/>
          <w:sz w:val="22"/>
          <w:szCs w:val="22"/>
          <w:lang w:val="sr-Latn-ME"/>
        </w:rPr>
        <w:t>Priprema rastvora za infuziju:</w:t>
      </w:r>
    </w:p>
    <w:p w14:paraId="13F44352" w14:textId="7D828F87" w:rsidR="002772E8" w:rsidRPr="006E2CA6" w:rsidRDefault="00D73A18" w:rsidP="009969D4">
      <w:pPr>
        <w:tabs>
          <w:tab w:val="left" w:pos="540"/>
          <w:tab w:val="left" w:pos="569"/>
        </w:tabs>
        <w:spacing w:line="276" w:lineRule="auto"/>
        <w:jc w:val="both"/>
        <w:rPr>
          <w:bCs/>
          <w:sz w:val="22"/>
          <w:szCs w:val="22"/>
          <w:lang w:val="sr-Latn-ME"/>
        </w:rPr>
      </w:pPr>
      <w:r w:rsidRPr="006E2CA6">
        <w:rPr>
          <w:bCs/>
          <w:sz w:val="22"/>
          <w:szCs w:val="22"/>
          <w:lang w:val="sr-Latn-ME"/>
        </w:rPr>
        <w:t xml:space="preserve">Sadržaj </w:t>
      </w:r>
      <w:r w:rsidR="002772E8" w:rsidRPr="006E2CA6">
        <w:rPr>
          <w:bCs/>
          <w:sz w:val="22"/>
          <w:szCs w:val="22"/>
          <w:lang w:val="sr-Latn-ME"/>
        </w:rPr>
        <w:t xml:space="preserve">rekonstituisane </w:t>
      </w:r>
      <w:r w:rsidRPr="006E2CA6">
        <w:rPr>
          <w:bCs/>
          <w:sz w:val="22"/>
          <w:szCs w:val="22"/>
          <w:lang w:val="sr-Latn-ME"/>
        </w:rPr>
        <w:t xml:space="preserve">bočice se može razblažiti, obično sa 50 </w:t>
      </w:r>
      <w:r w:rsidR="002772E8" w:rsidRPr="006E2CA6">
        <w:rPr>
          <w:bCs/>
          <w:sz w:val="22"/>
          <w:szCs w:val="22"/>
          <w:lang w:val="sr-Latn-ME"/>
        </w:rPr>
        <w:t xml:space="preserve">ml </w:t>
      </w:r>
      <w:r w:rsidRPr="006E2CA6">
        <w:rPr>
          <w:bCs/>
          <w:sz w:val="22"/>
          <w:szCs w:val="22"/>
          <w:lang w:val="sr-Latn-ME"/>
        </w:rPr>
        <w:t>0.9% natrijuma hlorida.</w:t>
      </w:r>
    </w:p>
    <w:p w14:paraId="30A63CC0" w14:textId="6881B7D7" w:rsidR="00F31B23" w:rsidRPr="006E2CA6" w:rsidRDefault="00F31B23" w:rsidP="009969D4">
      <w:pPr>
        <w:tabs>
          <w:tab w:val="left" w:pos="540"/>
          <w:tab w:val="left" w:pos="569"/>
        </w:tabs>
        <w:spacing w:line="276" w:lineRule="auto"/>
        <w:jc w:val="both"/>
        <w:rPr>
          <w:bCs/>
          <w:sz w:val="22"/>
          <w:szCs w:val="22"/>
          <w:lang w:val="sr-Latn-ME"/>
        </w:rPr>
      </w:pPr>
    </w:p>
    <w:p w14:paraId="418FC262" w14:textId="0F1654F0" w:rsidR="00F13466" w:rsidRPr="006E2CA6" w:rsidRDefault="00D73A18" w:rsidP="009969D4">
      <w:pPr>
        <w:tabs>
          <w:tab w:val="left" w:pos="540"/>
          <w:tab w:val="left" w:pos="569"/>
        </w:tabs>
        <w:spacing w:line="276" w:lineRule="auto"/>
        <w:jc w:val="both"/>
        <w:rPr>
          <w:bCs/>
          <w:sz w:val="22"/>
          <w:szCs w:val="22"/>
          <w:lang w:val="sr-Latn-ME"/>
        </w:rPr>
      </w:pPr>
      <w:r w:rsidRPr="006E2CA6">
        <w:rPr>
          <w:bCs/>
          <w:sz w:val="22"/>
          <w:szCs w:val="22"/>
          <w:lang w:val="sr-Latn-ME"/>
        </w:rPr>
        <w:t>Kada se koristi intratekalno i intraventrikularno, prim</w:t>
      </w:r>
      <w:r w:rsidR="00330FB0">
        <w:rPr>
          <w:bCs/>
          <w:sz w:val="22"/>
          <w:szCs w:val="22"/>
          <w:lang w:val="sr-Latn-ME"/>
        </w:rPr>
        <w:t>ij</w:t>
      </w:r>
      <w:r w:rsidRPr="006E2CA6">
        <w:rPr>
          <w:bCs/>
          <w:sz w:val="22"/>
          <w:szCs w:val="22"/>
          <w:lang w:val="sr-Latn-ME"/>
        </w:rPr>
        <w:t xml:space="preserve">enjeni volumen ne treba da prelazi 1 </w:t>
      </w:r>
      <w:r w:rsidR="002772E8" w:rsidRPr="006E2CA6">
        <w:rPr>
          <w:bCs/>
          <w:sz w:val="22"/>
          <w:szCs w:val="22"/>
          <w:lang w:val="sr-Latn-ME"/>
        </w:rPr>
        <w:t xml:space="preserve">ml </w:t>
      </w:r>
      <w:r w:rsidRPr="006E2CA6">
        <w:rPr>
          <w:bCs/>
          <w:sz w:val="22"/>
          <w:szCs w:val="22"/>
          <w:lang w:val="sr-Latn-ME"/>
        </w:rPr>
        <w:t>(rekonstituisana koncentracija 125000 i.j./</w:t>
      </w:r>
      <w:r w:rsidR="002772E8" w:rsidRPr="006E2CA6">
        <w:rPr>
          <w:bCs/>
          <w:sz w:val="22"/>
          <w:szCs w:val="22"/>
          <w:lang w:val="sr-Latn-ME"/>
        </w:rPr>
        <w:t>ml</w:t>
      </w:r>
      <w:r w:rsidRPr="006E2CA6">
        <w:rPr>
          <w:bCs/>
          <w:sz w:val="22"/>
          <w:szCs w:val="22"/>
          <w:lang w:val="sr-Latn-ME"/>
        </w:rPr>
        <w:t>).</w:t>
      </w:r>
    </w:p>
    <w:p w14:paraId="25BF20BA" w14:textId="77777777" w:rsidR="009969D4" w:rsidRDefault="009969D4" w:rsidP="00F13466">
      <w:pPr>
        <w:jc w:val="both"/>
        <w:rPr>
          <w:bCs/>
          <w:sz w:val="22"/>
          <w:szCs w:val="22"/>
          <w:lang w:val="sr-Latn-ME"/>
        </w:rPr>
      </w:pPr>
    </w:p>
    <w:p w14:paraId="4D501250" w14:textId="23FFC1EB" w:rsidR="00F13466" w:rsidRPr="006E2CA6" w:rsidRDefault="00F13466" w:rsidP="00F13466">
      <w:pPr>
        <w:jc w:val="both"/>
        <w:rPr>
          <w:bCs/>
          <w:sz w:val="22"/>
          <w:szCs w:val="22"/>
          <w:lang w:val="sr-Latn-ME"/>
        </w:rPr>
      </w:pPr>
      <w:r w:rsidRPr="006E2CA6">
        <w:rPr>
          <w:bCs/>
          <w:sz w:val="22"/>
          <w:szCs w:val="22"/>
          <w:lang w:val="sr-Latn-ME"/>
        </w:rPr>
        <w:t>Izgled rekonstituisanog rastvora: bistar rastvor.</w:t>
      </w:r>
    </w:p>
    <w:p w14:paraId="6FFEC923" w14:textId="77777777" w:rsidR="00CC744E" w:rsidRPr="006E2CA6" w:rsidRDefault="00CC744E" w:rsidP="00304460">
      <w:pPr>
        <w:tabs>
          <w:tab w:val="left" w:pos="540"/>
          <w:tab w:val="left" w:pos="569"/>
        </w:tabs>
        <w:jc w:val="both"/>
        <w:rPr>
          <w:bCs/>
          <w:sz w:val="22"/>
          <w:szCs w:val="22"/>
          <w:lang w:val="sr-Latn-ME"/>
        </w:rPr>
      </w:pPr>
    </w:p>
    <w:p w14:paraId="531B90BA" w14:textId="0A3AE978" w:rsidR="00B66A70" w:rsidRPr="006E2CA6" w:rsidRDefault="00D73A18" w:rsidP="00304460">
      <w:pPr>
        <w:tabs>
          <w:tab w:val="left" w:pos="540"/>
          <w:tab w:val="left" w:pos="569"/>
        </w:tabs>
        <w:jc w:val="both"/>
        <w:rPr>
          <w:bCs/>
          <w:sz w:val="22"/>
          <w:szCs w:val="22"/>
          <w:lang w:val="sr-Latn-ME"/>
        </w:rPr>
      </w:pPr>
      <w:r w:rsidRPr="006E2CA6">
        <w:rPr>
          <w:bCs/>
          <w:sz w:val="22"/>
          <w:szCs w:val="22"/>
          <w:lang w:val="sr-Latn-ME"/>
        </w:rPr>
        <w:t>Neupotr</w:t>
      </w:r>
      <w:r w:rsidR="00133C94">
        <w:rPr>
          <w:bCs/>
          <w:sz w:val="22"/>
          <w:szCs w:val="22"/>
          <w:lang w:val="sr-Latn-ME"/>
        </w:rPr>
        <w:t>ij</w:t>
      </w:r>
      <w:r w:rsidRPr="006E2CA6">
        <w:rPr>
          <w:bCs/>
          <w:sz w:val="22"/>
          <w:szCs w:val="22"/>
          <w:lang w:val="sr-Latn-ME"/>
        </w:rPr>
        <w:t>ebljeni l</w:t>
      </w:r>
      <w:r w:rsidR="002772E8" w:rsidRPr="006E2CA6">
        <w:rPr>
          <w:bCs/>
          <w:sz w:val="22"/>
          <w:szCs w:val="22"/>
          <w:lang w:val="sr-Latn-ME"/>
        </w:rPr>
        <w:t>ij</w:t>
      </w:r>
      <w:r w:rsidRPr="006E2CA6">
        <w:rPr>
          <w:bCs/>
          <w:sz w:val="22"/>
          <w:szCs w:val="22"/>
          <w:lang w:val="sr-Latn-ME"/>
        </w:rPr>
        <w:t xml:space="preserve">ek se uništava u skladu sa </w:t>
      </w:r>
      <w:r w:rsidR="002772E8" w:rsidRPr="006E2CA6">
        <w:rPr>
          <w:bCs/>
          <w:sz w:val="22"/>
          <w:szCs w:val="22"/>
          <w:lang w:val="sr-Latn-ME"/>
        </w:rPr>
        <w:t xml:space="preserve">važećim </w:t>
      </w:r>
      <w:r w:rsidRPr="006E2CA6">
        <w:rPr>
          <w:bCs/>
          <w:sz w:val="22"/>
          <w:szCs w:val="22"/>
          <w:lang w:val="sr-Latn-ME"/>
        </w:rPr>
        <w:t>propisima. Svu neiskorišćenu količinu l</w:t>
      </w:r>
      <w:r w:rsidR="002772E8" w:rsidRPr="006E2CA6">
        <w:rPr>
          <w:bCs/>
          <w:sz w:val="22"/>
          <w:szCs w:val="22"/>
          <w:lang w:val="sr-Latn-ME"/>
        </w:rPr>
        <w:t>ij</w:t>
      </w:r>
      <w:r w:rsidRPr="006E2CA6">
        <w:rPr>
          <w:bCs/>
          <w:sz w:val="22"/>
          <w:szCs w:val="22"/>
          <w:lang w:val="sr-Latn-ME"/>
        </w:rPr>
        <w:t>eka ili otpadnog materijala nakon njegove upotrebe treba ukloniti, u skladu sa važećim propisima.</w:t>
      </w:r>
    </w:p>
    <w:p w14:paraId="638BFEB1" w14:textId="2CF3F2FB" w:rsidR="0072020E" w:rsidRDefault="0072020E" w:rsidP="00304460">
      <w:pPr>
        <w:tabs>
          <w:tab w:val="left" w:pos="540"/>
          <w:tab w:val="left" w:pos="569"/>
        </w:tabs>
        <w:rPr>
          <w:bCs/>
          <w:sz w:val="22"/>
          <w:szCs w:val="22"/>
          <w:lang w:val="sr-Latn-ME"/>
        </w:rPr>
      </w:pPr>
    </w:p>
    <w:p w14:paraId="25BD6359" w14:textId="77777777" w:rsidR="00DC4741" w:rsidRPr="006E2CA6" w:rsidRDefault="00DC4741" w:rsidP="00304460">
      <w:pPr>
        <w:tabs>
          <w:tab w:val="left" w:pos="540"/>
          <w:tab w:val="left" w:pos="569"/>
        </w:tabs>
        <w:rPr>
          <w:bCs/>
          <w:sz w:val="22"/>
          <w:szCs w:val="22"/>
          <w:lang w:val="sr-Latn-ME"/>
        </w:rPr>
      </w:pPr>
    </w:p>
    <w:p w14:paraId="0CB6C550" w14:textId="77777777" w:rsidR="00F8570A" w:rsidRPr="006E2CA6" w:rsidRDefault="0072020E" w:rsidP="00304460">
      <w:pPr>
        <w:tabs>
          <w:tab w:val="left" w:pos="540"/>
          <w:tab w:val="left" w:pos="569"/>
        </w:tabs>
        <w:rPr>
          <w:b/>
          <w:bCs/>
          <w:sz w:val="22"/>
          <w:szCs w:val="22"/>
          <w:lang w:val="sr-Latn-ME"/>
        </w:rPr>
      </w:pPr>
      <w:r w:rsidRPr="006E2CA6">
        <w:rPr>
          <w:b/>
          <w:bCs/>
          <w:sz w:val="22"/>
          <w:szCs w:val="22"/>
          <w:lang w:val="sr-Latn-ME"/>
        </w:rPr>
        <w:t xml:space="preserve">7. </w:t>
      </w:r>
      <w:r w:rsidR="00480FB1" w:rsidRPr="006E2CA6">
        <w:rPr>
          <w:b/>
          <w:bCs/>
          <w:sz w:val="22"/>
          <w:szCs w:val="22"/>
          <w:lang w:val="sr-Latn-ME"/>
        </w:rPr>
        <w:tab/>
      </w:r>
      <w:r w:rsidRPr="006E2CA6">
        <w:rPr>
          <w:b/>
          <w:bCs/>
          <w:sz w:val="22"/>
          <w:szCs w:val="22"/>
          <w:lang w:val="sr-Latn-ME"/>
        </w:rPr>
        <w:t>NOSILAC DOZVOLE</w:t>
      </w:r>
      <w:r w:rsidR="00483928" w:rsidRPr="006E2CA6">
        <w:rPr>
          <w:b/>
          <w:bCs/>
          <w:sz w:val="22"/>
          <w:szCs w:val="22"/>
          <w:lang w:val="sr-Latn-ME"/>
        </w:rPr>
        <w:t xml:space="preserve"> </w:t>
      </w:r>
    </w:p>
    <w:p w14:paraId="5ABC4EF3" w14:textId="77777777" w:rsidR="00C61BE0" w:rsidRPr="006E2CA6" w:rsidRDefault="00C61BE0" w:rsidP="00304460">
      <w:pPr>
        <w:tabs>
          <w:tab w:val="left" w:pos="540"/>
          <w:tab w:val="left" w:pos="569"/>
        </w:tabs>
        <w:rPr>
          <w:bCs/>
          <w:sz w:val="22"/>
          <w:szCs w:val="22"/>
          <w:lang w:val="sr-Latn-ME"/>
        </w:rPr>
      </w:pPr>
    </w:p>
    <w:p w14:paraId="6DD387F4" w14:textId="14C89D84" w:rsidR="002772E8" w:rsidRPr="006E2CA6" w:rsidRDefault="002772E8" w:rsidP="00304460">
      <w:pPr>
        <w:tabs>
          <w:tab w:val="left" w:pos="540"/>
          <w:tab w:val="left" w:pos="569"/>
        </w:tabs>
        <w:rPr>
          <w:bCs/>
          <w:sz w:val="22"/>
          <w:szCs w:val="22"/>
          <w:lang w:val="sr-Latn-ME"/>
        </w:rPr>
      </w:pPr>
      <w:r w:rsidRPr="006E2CA6">
        <w:rPr>
          <w:bCs/>
          <w:sz w:val="22"/>
          <w:szCs w:val="22"/>
          <w:lang w:val="sr-Latn-ME"/>
        </w:rPr>
        <w:t>Evropa Lek Pharma d.o.o. Podgorica</w:t>
      </w:r>
    </w:p>
    <w:p w14:paraId="1F080AAE" w14:textId="6B023368" w:rsidR="002772E8" w:rsidRPr="006E2CA6" w:rsidRDefault="002772E8" w:rsidP="00304460">
      <w:pPr>
        <w:tabs>
          <w:tab w:val="left" w:pos="540"/>
          <w:tab w:val="left" w:pos="569"/>
        </w:tabs>
        <w:rPr>
          <w:bCs/>
          <w:sz w:val="22"/>
          <w:szCs w:val="22"/>
          <w:lang w:val="sr-Latn-ME"/>
        </w:rPr>
      </w:pPr>
      <w:r w:rsidRPr="006E2CA6">
        <w:rPr>
          <w:bCs/>
          <w:sz w:val="22"/>
          <w:szCs w:val="22"/>
          <w:lang w:val="sr-Latn-ME"/>
        </w:rPr>
        <w:t>Kri</w:t>
      </w:r>
      <w:r w:rsidR="007B6DF0" w:rsidRPr="006E2CA6">
        <w:rPr>
          <w:bCs/>
          <w:sz w:val="22"/>
          <w:szCs w:val="22"/>
          <w:lang w:val="sr-Latn-ME"/>
        </w:rPr>
        <w:t>t</w:t>
      </w:r>
      <w:r w:rsidRPr="006E2CA6">
        <w:rPr>
          <w:bCs/>
          <w:sz w:val="22"/>
          <w:szCs w:val="22"/>
          <w:lang w:val="sr-Latn-ME"/>
        </w:rPr>
        <w:t>skog odreda 4/1, 81000 Podgorica, Crna Gora</w:t>
      </w:r>
    </w:p>
    <w:p w14:paraId="4338EEA7" w14:textId="77777777" w:rsidR="0072020E" w:rsidRPr="006E2CA6" w:rsidRDefault="0072020E" w:rsidP="00304460">
      <w:pPr>
        <w:tabs>
          <w:tab w:val="left" w:pos="540"/>
          <w:tab w:val="left" w:pos="569"/>
        </w:tabs>
        <w:rPr>
          <w:b/>
          <w:bCs/>
          <w:sz w:val="22"/>
          <w:szCs w:val="22"/>
          <w:lang w:val="sr-Latn-ME"/>
        </w:rPr>
      </w:pPr>
      <w:r w:rsidRPr="006E2CA6">
        <w:rPr>
          <w:b/>
          <w:bCs/>
          <w:sz w:val="22"/>
          <w:szCs w:val="22"/>
          <w:lang w:val="sr-Latn-ME"/>
        </w:rPr>
        <w:lastRenderedPageBreak/>
        <w:t xml:space="preserve">8. </w:t>
      </w:r>
      <w:r w:rsidR="00480FB1" w:rsidRPr="006E2CA6">
        <w:rPr>
          <w:b/>
          <w:bCs/>
          <w:sz w:val="22"/>
          <w:szCs w:val="22"/>
          <w:lang w:val="sr-Latn-ME"/>
        </w:rPr>
        <w:tab/>
      </w:r>
      <w:bookmarkStart w:id="0" w:name="_GoBack"/>
      <w:bookmarkEnd w:id="0"/>
      <w:r w:rsidRPr="006E2CA6">
        <w:rPr>
          <w:b/>
          <w:bCs/>
          <w:sz w:val="22"/>
          <w:szCs w:val="22"/>
          <w:lang w:val="sr-Latn-ME"/>
        </w:rPr>
        <w:t>BROJ DOZVOLE</w:t>
      </w:r>
      <w:r w:rsidR="008A6D43" w:rsidRPr="006E2CA6">
        <w:rPr>
          <w:b/>
          <w:bCs/>
          <w:sz w:val="22"/>
          <w:szCs w:val="22"/>
          <w:lang w:val="sr-Latn-ME"/>
        </w:rPr>
        <w:t xml:space="preserve"> ZA STAVLJANJE LIJEKA U PROMET</w:t>
      </w:r>
    </w:p>
    <w:p w14:paraId="7A286796" w14:textId="77777777" w:rsidR="0072020E" w:rsidRPr="006E2CA6" w:rsidRDefault="0072020E" w:rsidP="00304460">
      <w:pPr>
        <w:tabs>
          <w:tab w:val="left" w:pos="540"/>
          <w:tab w:val="left" w:pos="569"/>
        </w:tabs>
        <w:rPr>
          <w:bCs/>
          <w:sz w:val="22"/>
          <w:szCs w:val="22"/>
          <w:lang w:val="sr-Latn-ME"/>
        </w:rPr>
      </w:pPr>
    </w:p>
    <w:p w14:paraId="7B1AED69" w14:textId="40273445" w:rsidR="00F45F77" w:rsidRDefault="00DF09AF" w:rsidP="00304460">
      <w:pPr>
        <w:tabs>
          <w:tab w:val="left" w:pos="540"/>
          <w:tab w:val="left" w:pos="569"/>
        </w:tabs>
        <w:rPr>
          <w:rFonts w:ascii="TimesNewRoman" w:hAnsi="TimesNewRoman" w:cs="TimesNewRoman"/>
          <w:sz w:val="22"/>
          <w:szCs w:val="22"/>
          <w:lang w:val="sr-Latn-ME" w:eastAsia="sr-Latn-ME"/>
        </w:rPr>
      </w:pPr>
      <w:r>
        <w:rPr>
          <w:rFonts w:ascii="TimesNewRoman" w:hAnsi="TimesNewRoman" w:cs="TimesNewRoman"/>
          <w:sz w:val="22"/>
          <w:szCs w:val="22"/>
          <w:lang w:val="sr-Latn-ME" w:eastAsia="sr-Latn-ME"/>
        </w:rPr>
        <w:t xml:space="preserve">2030/25/1947 </w:t>
      </w:r>
      <w:r w:rsidR="002B2B26">
        <w:rPr>
          <w:rFonts w:ascii="TimesNewRoman" w:hAnsi="TimesNewRoman" w:cs="TimesNewRoman"/>
          <w:sz w:val="22"/>
          <w:szCs w:val="22"/>
          <w:lang w:val="sr-Latn-ME" w:eastAsia="sr-Latn-ME"/>
        </w:rPr>
        <w:t>–</w:t>
      </w:r>
      <w:r>
        <w:rPr>
          <w:rFonts w:ascii="TimesNewRoman" w:hAnsi="TimesNewRoman" w:cs="TimesNewRoman"/>
          <w:sz w:val="22"/>
          <w:szCs w:val="22"/>
          <w:lang w:val="sr-Latn-ME" w:eastAsia="sr-Latn-ME"/>
        </w:rPr>
        <w:t xml:space="preserve"> 2565</w:t>
      </w:r>
    </w:p>
    <w:p w14:paraId="1BC21C39" w14:textId="174326B5" w:rsidR="002B2B26" w:rsidRDefault="002B2B26" w:rsidP="00304460">
      <w:pPr>
        <w:tabs>
          <w:tab w:val="left" w:pos="540"/>
          <w:tab w:val="left" w:pos="569"/>
        </w:tabs>
        <w:rPr>
          <w:rFonts w:ascii="TimesNewRoman" w:hAnsi="TimesNewRoman" w:cs="TimesNewRoman"/>
          <w:sz w:val="22"/>
          <w:szCs w:val="22"/>
          <w:lang w:val="sr-Latn-ME" w:eastAsia="sr-Latn-ME"/>
        </w:rPr>
      </w:pPr>
    </w:p>
    <w:p w14:paraId="0630B76A" w14:textId="77777777" w:rsidR="002B2B26" w:rsidRPr="006E2CA6" w:rsidRDefault="002B2B26" w:rsidP="00304460">
      <w:pPr>
        <w:tabs>
          <w:tab w:val="left" w:pos="540"/>
          <w:tab w:val="left" w:pos="569"/>
        </w:tabs>
        <w:rPr>
          <w:bCs/>
          <w:sz w:val="22"/>
          <w:szCs w:val="22"/>
          <w:lang w:val="sr-Latn-ME"/>
        </w:rPr>
      </w:pPr>
    </w:p>
    <w:p w14:paraId="5312C22A" w14:textId="77777777" w:rsidR="0072020E" w:rsidRPr="006E2CA6" w:rsidRDefault="0072020E" w:rsidP="00304460">
      <w:pPr>
        <w:tabs>
          <w:tab w:val="left" w:pos="540"/>
          <w:tab w:val="left" w:pos="569"/>
        </w:tabs>
        <w:rPr>
          <w:b/>
          <w:bCs/>
          <w:sz w:val="22"/>
          <w:szCs w:val="22"/>
          <w:lang w:val="sr-Latn-ME"/>
        </w:rPr>
      </w:pPr>
      <w:r w:rsidRPr="006E2CA6">
        <w:rPr>
          <w:b/>
          <w:bCs/>
          <w:sz w:val="22"/>
          <w:szCs w:val="22"/>
          <w:lang w:val="sr-Latn-ME"/>
        </w:rPr>
        <w:t xml:space="preserve">9. </w:t>
      </w:r>
      <w:r w:rsidR="00480FB1" w:rsidRPr="006E2CA6">
        <w:rPr>
          <w:b/>
          <w:bCs/>
          <w:sz w:val="22"/>
          <w:szCs w:val="22"/>
          <w:lang w:val="sr-Latn-ME"/>
        </w:rPr>
        <w:tab/>
      </w:r>
      <w:r w:rsidRPr="006E2CA6">
        <w:rPr>
          <w:b/>
          <w:bCs/>
          <w:sz w:val="22"/>
          <w:szCs w:val="22"/>
          <w:lang w:val="sr-Latn-ME"/>
        </w:rPr>
        <w:t xml:space="preserve">DATUM </w:t>
      </w:r>
      <w:r w:rsidR="00C05DF8" w:rsidRPr="006E2CA6">
        <w:rPr>
          <w:b/>
          <w:bCs/>
          <w:sz w:val="22"/>
          <w:szCs w:val="22"/>
          <w:lang w:val="sr-Latn-ME"/>
        </w:rPr>
        <w:t xml:space="preserve">PRVE </w:t>
      </w:r>
      <w:r w:rsidR="008A6D43" w:rsidRPr="006E2CA6">
        <w:rPr>
          <w:b/>
          <w:bCs/>
          <w:sz w:val="22"/>
          <w:szCs w:val="22"/>
          <w:lang w:val="sr-Latn-ME"/>
        </w:rPr>
        <w:t>DOZVOLE</w:t>
      </w:r>
      <w:r w:rsidR="00C05DF8" w:rsidRPr="006E2CA6">
        <w:rPr>
          <w:b/>
          <w:bCs/>
          <w:sz w:val="22"/>
          <w:szCs w:val="22"/>
          <w:lang w:val="sr-Latn-ME"/>
        </w:rPr>
        <w:t>/OBNOVE DOZVOLE</w:t>
      </w:r>
      <w:r w:rsidR="008A6D43" w:rsidRPr="006E2CA6">
        <w:rPr>
          <w:b/>
          <w:bCs/>
          <w:sz w:val="22"/>
          <w:szCs w:val="22"/>
          <w:lang w:val="sr-Latn-ME"/>
        </w:rPr>
        <w:t xml:space="preserve"> ZA STAVLJANJE LIJEKA U PROMET</w:t>
      </w:r>
    </w:p>
    <w:p w14:paraId="11AFAA30" w14:textId="77777777" w:rsidR="0072020E" w:rsidRPr="006E2CA6" w:rsidRDefault="0072020E" w:rsidP="00304460">
      <w:pPr>
        <w:tabs>
          <w:tab w:val="left" w:pos="540"/>
          <w:tab w:val="left" w:pos="569"/>
        </w:tabs>
        <w:rPr>
          <w:bCs/>
          <w:sz w:val="22"/>
          <w:szCs w:val="22"/>
          <w:lang w:val="sr-Latn-ME"/>
        </w:rPr>
      </w:pPr>
    </w:p>
    <w:p w14:paraId="1B20C09E" w14:textId="35A0B608" w:rsidR="00836B35" w:rsidRDefault="007C5377" w:rsidP="00304460">
      <w:pPr>
        <w:tabs>
          <w:tab w:val="left" w:pos="540"/>
          <w:tab w:val="left" w:pos="569"/>
        </w:tabs>
        <w:rPr>
          <w:rFonts w:ascii="TimesNewRoman" w:hAnsi="TimesNewRoman" w:cs="TimesNewRoman"/>
          <w:sz w:val="22"/>
          <w:szCs w:val="22"/>
          <w:lang w:val="sr-Latn-ME" w:eastAsia="sr-Latn-ME"/>
        </w:rPr>
      </w:pPr>
      <w:r>
        <w:rPr>
          <w:rFonts w:ascii="TimesNewRoman" w:hAnsi="TimesNewRoman" w:cs="TimesNewRoman"/>
          <w:sz w:val="22"/>
          <w:szCs w:val="22"/>
          <w:lang w:val="sr-Latn-ME" w:eastAsia="sr-Latn-ME"/>
        </w:rPr>
        <w:t>29.04.2025. godine</w:t>
      </w:r>
    </w:p>
    <w:p w14:paraId="717423B3" w14:textId="77777777" w:rsidR="002B2B26" w:rsidRDefault="002B2B26" w:rsidP="00304460">
      <w:pPr>
        <w:tabs>
          <w:tab w:val="left" w:pos="540"/>
          <w:tab w:val="left" w:pos="569"/>
        </w:tabs>
        <w:rPr>
          <w:bCs/>
          <w:sz w:val="22"/>
          <w:szCs w:val="22"/>
          <w:lang w:val="sr-Latn-ME"/>
        </w:rPr>
      </w:pPr>
    </w:p>
    <w:p w14:paraId="699C24BD" w14:textId="77777777" w:rsidR="00DC4741" w:rsidRPr="006E2CA6" w:rsidRDefault="00DC4741" w:rsidP="00304460">
      <w:pPr>
        <w:tabs>
          <w:tab w:val="left" w:pos="540"/>
          <w:tab w:val="left" w:pos="569"/>
        </w:tabs>
        <w:rPr>
          <w:bCs/>
          <w:sz w:val="22"/>
          <w:szCs w:val="22"/>
          <w:lang w:val="sr-Latn-ME"/>
        </w:rPr>
      </w:pPr>
    </w:p>
    <w:p w14:paraId="528A2452" w14:textId="77777777" w:rsidR="003F6A59" w:rsidRPr="006E2CA6" w:rsidRDefault="0072020E" w:rsidP="00304460">
      <w:pPr>
        <w:tabs>
          <w:tab w:val="left" w:pos="540"/>
          <w:tab w:val="left" w:pos="569"/>
        </w:tabs>
        <w:ind w:left="540" w:hanging="540"/>
        <w:rPr>
          <w:bCs/>
          <w:sz w:val="22"/>
          <w:szCs w:val="22"/>
          <w:lang w:val="sr-Latn-ME"/>
        </w:rPr>
      </w:pPr>
      <w:r w:rsidRPr="006E2CA6">
        <w:rPr>
          <w:b/>
          <w:bCs/>
          <w:sz w:val="22"/>
          <w:szCs w:val="22"/>
          <w:lang w:val="sr-Latn-ME"/>
        </w:rPr>
        <w:t xml:space="preserve">10. </w:t>
      </w:r>
      <w:r w:rsidR="00480FB1" w:rsidRPr="006E2CA6">
        <w:rPr>
          <w:b/>
          <w:bCs/>
          <w:sz w:val="22"/>
          <w:szCs w:val="22"/>
          <w:lang w:val="sr-Latn-ME"/>
        </w:rPr>
        <w:tab/>
      </w:r>
      <w:r w:rsidR="002846DB" w:rsidRPr="006E2CA6">
        <w:rPr>
          <w:b/>
          <w:bCs/>
          <w:sz w:val="22"/>
          <w:szCs w:val="22"/>
          <w:lang w:val="sr-Latn-ME"/>
        </w:rPr>
        <w:t>D</w:t>
      </w:r>
      <w:r w:rsidR="00EC2532" w:rsidRPr="006E2CA6">
        <w:rPr>
          <w:b/>
          <w:bCs/>
          <w:sz w:val="22"/>
          <w:szCs w:val="22"/>
          <w:lang w:val="sr-Latn-ME"/>
        </w:rPr>
        <w:t xml:space="preserve">ATUM REVIZIJE TEKSTA </w:t>
      </w:r>
    </w:p>
    <w:p w14:paraId="18A03D1A" w14:textId="77777777" w:rsidR="003F6A59" w:rsidRPr="006E2CA6" w:rsidRDefault="003F6A59" w:rsidP="00304460">
      <w:pPr>
        <w:tabs>
          <w:tab w:val="left" w:pos="540"/>
          <w:tab w:val="left" w:pos="569"/>
        </w:tabs>
        <w:rPr>
          <w:bCs/>
          <w:sz w:val="22"/>
          <w:szCs w:val="22"/>
          <w:lang w:val="sr-Latn-ME"/>
        </w:rPr>
      </w:pPr>
    </w:p>
    <w:p w14:paraId="5654C3B8" w14:textId="67061307" w:rsidR="008A6D43" w:rsidRPr="006E2CA6" w:rsidRDefault="007C5377" w:rsidP="00304460">
      <w:pPr>
        <w:tabs>
          <w:tab w:val="left" w:pos="540"/>
          <w:tab w:val="left" w:pos="569"/>
        </w:tabs>
        <w:rPr>
          <w:bCs/>
          <w:sz w:val="22"/>
          <w:szCs w:val="22"/>
          <w:lang w:val="sr-Latn-ME"/>
        </w:rPr>
      </w:pPr>
      <w:r>
        <w:rPr>
          <w:bCs/>
          <w:sz w:val="22"/>
          <w:szCs w:val="22"/>
          <w:lang w:val="sr-Latn-ME"/>
        </w:rPr>
        <w:t xml:space="preserve">April, </w:t>
      </w:r>
      <w:r>
        <w:rPr>
          <w:rFonts w:ascii="TimesNewRoman" w:hAnsi="TimesNewRoman" w:cs="TimesNewRoman"/>
          <w:sz w:val="22"/>
          <w:szCs w:val="22"/>
          <w:lang w:val="sr-Latn-ME" w:eastAsia="sr-Latn-ME"/>
        </w:rPr>
        <w:t>2025. godine</w:t>
      </w:r>
    </w:p>
    <w:p w14:paraId="507A89CF" w14:textId="3D293799" w:rsidR="003F6A59" w:rsidRPr="006E2CA6" w:rsidRDefault="003F6A59" w:rsidP="00304460">
      <w:pPr>
        <w:rPr>
          <w:sz w:val="22"/>
          <w:szCs w:val="22"/>
          <w:lang w:val="sr-Latn-ME"/>
        </w:rPr>
      </w:pPr>
    </w:p>
    <w:sectPr w:rsidR="003F6A59" w:rsidRPr="006E2CA6"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FEEEE" w14:textId="77777777" w:rsidR="00785064" w:rsidRDefault="00785064">
      <w:r>
        <w:separator/>
      </w:r>
    </w:p>
  </w:endnote>
  <w:endnote w:type="continuationSeparator" w:id="0">
    <w:p w14:paraId="12AECB31" w14:textId="77777777" w:rsidR="00785064" w:rsidRDefault="0078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1466D" w14:textId="30FB53D4"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B6714">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B6714">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4A8A4" w14:textId="77777777" w:rsidR="00785064" w:rsidRDefault="00785064">
      <w:r>
        <w:separator/>
      </w:r>
    </w:p>
  </w:footnote>
  <w:footnote w:type="continuationSeparator" w:id="0">
    <w:p w14:paraId="6E7C66FA" w14:textId="77777777" w:rsidR="00785064" w:rsidRDefault="00785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55pt;height:12.6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4781"/>
    <w:rsid w:val="000176CA"/>
    <w:rsid w:val="00020E9E"/>
    <w:rsid w:val="0002126B"/>
    <w:rsid w:val="00036FA0"/>
    <w:rsid w:val="0003793F"/>
    <w:rsid w:val="00047DA2"/>
    <w:rsid w:val="00057A02"/>
    <w:rsid w:val="00057E35"/>
    <w:rsid w:val="00076726"/>
    <w:rsid w:val="00080303"/>
    <w:rsid w:val="000A3F58"/>
    <w:rsid w:val="000B75ED"/>
    <w:rsid w:val="000D2343"/>
    <w:rsid w:val="000D3449"/>
    <w:rsid w:val="000D425A"/>
    <w:rsid w:val="000D60CC"/>
    <w:rsid w:val="000E2084"/>
    <w:rsid w:val="000E6F55"/>
    <w:rsid w:val="000F4B5F"/>
    <w:rsid w:val="000F77FA"/>
    <w:rsid w:val="00107BF7"/>
    <w:rsid w:val="00126F53"/>
    <w:rsid w:val="00133C94"/>
    <w:rsid w:val="0014766D"/>
    <w:rsid w:val="00152D0A"/>
    <w:rsid w:val="001536CC"/>
    <w:rsid w:val="0016023D"/>
    <w:rsid w:val="0018347B"/>
    <w:rsid w:val="001A0DFE"/>
    <w:rsid w:val="001A3FBA"/>
    <w:rsid w:val="001A5518"/>
    <w:rsid w:val="001A6094"/>
    <w:rsid w:val="001B1C6A"/>
    <w:rsid w:val="001C1263"/>
    <w:rsid w:val="001C1417"/>
    <w:rsid w:val="001E390B"/>
    <w:rsid w:val="001E4CB3"/>
    <w:rsid w:val="001F42FB"/>
    <w:rsid w:val="001F719A"/>
    <w:rsid w:val="002031B3"/>
    <w:rsid w:val="00215931"/>
    <w:rsid w:val="00224C91"/>
    <w:rsid w:val="00227BDB"/>
    <w:rsid w:val="00234CB1"/>
    <w:rsid w:val="002352F8"/>
    <w:rsid w:val="002510A5"/>
    <w:rsid w:val="00253C99"/>
    <w:rsid w:val="00254A0A"/>
    <w:rsid w:val="002612E0"/>
    <w:rsid w:val="00266046"/>
    <w:rsid w:val="002772E8"/>
    <w:rsid w:val="00277E2D"/>
    <w:rsid w:val="002846DB"/>
    <w:rsid w:val="00284CCD"/>
    <w:rsid w:val="002865A6"/>
    <w:rsid w:val="002A1305"/>
    <w:rsid w:val="002A4BEA"/>
    <w:rsid w:val="002B192A"/>
    <w:rsid w:val="002B2B26"/>
    <w:rsid w:val="002C6637"/>
    <w:rsid w:val="002E0135"/>
    <w:rsid w:val="002E22AF"/>
    <w:rsid w:val="002E37A5"/>
    <w:rsid w:val="00304460"/>
    <w:rsid w:val="00310F03"/>
    <w:rsid w:val="003204FC"/>
    <w:rsid w:val="003247D2"/>
    <w:rsid w:val="00330FB0"/>
    <w:rsid w:val="003445C1"/>
    <w:rsid w:val="00355B61"/>
    <w:rsid w:val="00362686"/>
    <w:rsid w:val="00371510"/>
    <w:rsid w:val="00391E83"/>
    <w:rsid w:val="0039568C"/>
    <w:rsid w:val="00396DFD"/>
    <w:rsid w:val="003A7059"/>
    <w:rsid w:val="003B7A36"/>
    <w:rsid w:val="003C17AB"/>
    <w:rsid w:val="003C7823"/>
    <w:rsid w:val="003E1DCC"/>
    <w:rsid w:val="003F11A1"/>
    <w:rsid w:val="003F6A59"/>
    <w:rsid w:val="004065C8"/>
    <w:rsid w:val="004109FA"/>
    <w:rsid w:val="00411B4B"/>
    <w:rsid w:val="00415BEE"/>
    <w:rsid w:val="00427915"/>
    <w:rsid w:val="00427F85"/>
    <w:rsid w:val="00436F42"/>
    <w:rsid w:val="004378B4"/>
    <w:rsid w:val="00451314"/>
    <w:rsid w:val="00452E9D"/>
    <w:rsid w:val="004534C7"/>
    <w:rsid w:val="0046637B"/>
    <w:rsid w:val="004671AA"/>
    <w:rsid w:val="00480FB1"/>
    <w:rsid w:val="00483928"/>
    <w:rsid w:val="004A4643"/>
    <w:rsid w:val="004C331F"/>
    <w:rsid w:val="004D6103"/>
    <w:rsid w:val="004E3BCE"/>
    <w:rsid w:val="004E70AD"/>
    <w:rsid w:val="004F0E97"/>
    <w:rsid w:val="00501DD1"/>
    <w:rsid w:val="00515C21"/>
    <w:rsid w:val="00530B51"/>
    <w:rsid w:val="00530BD7"/>
    <w:rsid w:val="00545CD2"/>
    <w:rsid w:val="00546321"/>
    <w:rsid w:val="005476F3"/>
    <w:rsid w:val="00572527"/>
    <w:rsid w:val="00573E40"/>
    <w:rsid w:val="00576348"/>
    <w:rsid w:val="00584C5A"/>
    <w:rsid w:val="00591A18"/>
    <w:rsid w:val="005A0B2E"/>
    <w:rsid w:val="005A23D2"/>
    <w:rsid w:val="005A36CB"/>
    <w:rsid w:val="005B0E91"/>
    <w:rsid w:val="005B49B8"/>
    <w:rsid w:val="005C0741"/>
    <w:rsid w:val="005C5EF4"/>
    <w:rsid w:val="005D7AEC"/>
    <w:rsid w:val="005E2E0B"/>
    <w:rsid w:val="005E7A7D"/>
    <w:rsid w:val="00602457"/>
    <w:rsid w:val="00606258"/>
    <w:rsid w:val="00620686"/>
    <w:rsid w:val="00635955"/>
    <w:rsid w:val="00644FC3"/>
    <w:rsid w:val="00646BD1"/>
    <w:rsid w:val="006561C2"/>
    <w:rsid w:val="00671CB3"/>
    <w:rsid w:val="00674BAF"/>
    <w:rsid w:val="006803D3"/>
    <w:rsid w:val="00682200"/>
    <w:rsid w:val="00692BF6"/>
    <w:rsid w:val="006A1497"/>
    <w:rsid w:val="006B0BD1"/>
    <w:rsid w:val="006B5404"/>
    <w:rsid w:val="006D20A5"/>
    <w:rsid w:val="006D37BF"/>
    <w:rsid w:val="006D51EB"/>
    <w:rsid w:val="006E2CA6"/>
    <w:rsid w:val="006E6C25"/>
    <w:rsid w:val="006F35C5"/>
    <w:rsid w:val="00702E22"/>
    <w:rsid w:val="00707F37"/>
    <w:rsid w:val="0072020E"/>
    <w:rsid w:val="00724C0A"/>
    <w:rsid w:val="00744074"/>
    <w:rsid w:val="00756136"/>
    <w:rsid w:val="00785064"/>
    <w:rsid w:val="00786071"/>
    <w:rsid w:val="007A3ECB"/>
    <w:rsid w:val="007B6DF0"/>
    <w:rsid w:val="007C5377"/>
    <w:rsid w:val="007D7BB3"/>
    <w:rsid w:val="007E18E1"/>
    <w:rsid w:val="007E666B"/>
    <w:rsid w:val="008241E8"/>
    <w:rsid w:val="00824AB9"/>
    <w:rsid w:val="008252B4"/>
    <w:rsid w:val="00834F51"/>
    <w:rsid w:val="00836B35"/>
    <w:rsid w:val="00843BDE"/>
    <w:rsid w:val="008665CE"/>
    <w:rsid w:val="0087588C"/>
    <w:rsid w:val="00886058"/>
    <w:rsid w:val="0089705C"/>
    <w:rsid w:val="008A6D43"/>
    <w:rsid w:val="008B37A1"/>
    <w:rsid w:val="008B491E"/>
    <w:rsid w:val="008B674D"/>
    <w:rsid w:val="008C1A28"/>
    <w:rsid w:val="008C2E98"/>
    <w:rsid w:val="008E49BD"/>
    <w:rsid w:val="008E53E9"/>
    <w:rsid w:val="008E5771"/>
    <w:rsid w:val="008F4ACF"/>
    <w:rsid w:val="00924166"/>
    <w:rsid w:val="00930A6E"/>
    <w:rsid w:val="009311B7"/>
    <w:rsid w:val="00934AC9"/>
    <w:rsid w:val="00940B9B"/>
    <w:rsid w:val="009556DC"/>
    <w:rsid w:val="0095676E"/>
    <w:rsid w:val="00956983"/>
    <w:rsid w:val="00963CF0"/>
    <w:rsid w:val="00964BB1"/>
    <w:rsid w:val="009775D9"/>
    <w:rsid w:val="009969D4"/>
    <w:rsid w:val="00997175"/>
    <w:rsid w:val="009A03D6"/>
    <w:rsid w:val="009A1847"/>
    <w:rsid w:val="009B062A"/>
    <w:rsid w:val="009B168B"/>
    <w:rsid w:val="009E7C6F"/>
    <w:rsid w:val="009F1793"/>
    <w:rsid w:val="009F1DEC"/>
    <w:rsid w:val="009F2D23"/>
    <w:rsid w:val="00A01D69"/>
    <w:rsid w:val="00A02335"/>
    <w:rsid w:val="00A413D4"/>
    <w:rsid w:val="00A46C9A"/>
    <w:rsid w:val="00A54B32"/>
    <w:rsid w:val="00A619F3"/>
    <w:rsid w:val="00A62A73"/>
    <w:rsid w:val="00A81C15"/>
    <w:rsid w:val="00A87FF6"/>
    <w:rsid w:val="00AA0405"/>
    <w:rsid w:val="00AA07D2"/>
    <w:rsid w:val="00AA0A3B"/>
    <w:rsid w:val="00AA2763"/>
    <w:rsid w:val="00AA33B6"/>
    <w:rsid w:val="00AB30C7"/>
    <w:rsid w:val="00AB50CA"/>
    <w:rsid w:val="00AB6D64"/>
    <w:rsid w:val="00AC53CE"/>
    <w:rsid w:val="00AD2193"/>
    <w:rsid w:val="00AF2AC7"/>
    <w:rsid w:val="00AF74CE"/>
    <w:rsid w:val="00B208DB"/>
    <w:rsid w:val="00B23F69"/>
    <w:rsid w:val="00B60619"/>
    <w:rsid w:val="00B66A70"/>
    <w:rsid w:val="00B67366"/>
    <w:rsid w:val="00B80EE1"/>
    <w:rsid w:val="00B84135"/>
    <w:rsid w:val="00BD7B2F"/>
    <w:rsid w:val="00BE0C2A"/>
    <w:rsid w:val="00BE138B"/>
    <w:rsid w:val="00C04D34"/>
    <w:rsid w:val="00C05DF8"/>
    <w:rsid w:val="00C06864"/>
    <w:rsid w:val="00C10F54"/>
    <w:rsid w:val="00C23D8D"/>
    <w:rsid w:val="00C32CEA"/>
    <w:rsid w:val="00C37AA3"/>
    <w:rsid w:val="00C37FD7"/>
    <w:rsid w:val="00C43419"/>
    <w:rsid w:val="00C44CF3"/>
    <w:rsid w:val="00C61BE0"/>
    <w:rsid w:val="00C6707E"/>
    <w:rsid w:val="00C70B0E"/>
    <w:rsid w:val="00C773CA"/>
    <w:rsid w:val="00C77DBF"/>
    <w:rsid w:val="00C812E7"/>
    <w:rsid w:val="00C81A0B"/>
    <w:rsid w:val="00C83785"/>
    <w:rsid w:val="00C94C0D"/>
    <w:rsid w:val="00CA1FEB"/>
    <w:rsid w:val="00CA511F"/>
    <w:rsid w:val="00CB6714"/>
    <w:rsid w:val="00CC744E"/>
    <w:rsid w:val="00CD4F85"/>
    <w:rsid w:val="00CD6F02"/>
    <w:rsid w:val="00CE246D"/>
    <w:rsid w:val="00CE7E56"/>
    <w:rsid w:val="00CF07A0"/>
    <w:rsid w:val="00CF3E03"/>
    <w:rsid w:val="00D0082A"/>
    <w:rsid w:val="00D06DC7"/>
    <w:rsid w:val="00D21455"/>
    <w:rsid w:val="00D27786"/>
    <w:rsid w:val="00D47634"/>
    <w:rsid w:val="00D709B3"/>
    <w:rsid w:val="00D73A18"/>
    <w:rsid w:val="00D8367C"/>
    <w:rsid w:val="00DA0E36"/>
    <w:rsid w:val="00DA2974"/>
    <w:rsid w:val="00DA2ED6"/>
    <w:rsid w:val="00DB76B8"/>
    <w:rsid w:val="00DC2EA1"/>
    <w:rsid w:val="00DC4741"/>
    <w:rsid w:val="00DC72D6"/>
    <w:rsid w:val="00DD6AAF"/>
    <w:rsid w:val="00DE332D"/>
    <w:rsid w:val="00DE3F5C"/>
    <w:rsid w:val="00DF09AF"/>
    <w:rsid w:val="00DF1D20"/>
    <w:rsid w:val="00E21324"/>
    <w:rsid w:val="00E246B9"/>
    <w:rsid w:val="00E31FEA"/>
    <w:rsid w:val="00E45169"/>
    <w:rsid w:val="00E47787"/>
    <w:rsid w:val="00E51C30"/>
    <w:rsid w:val="00E64180"/>
    <w:rsid w:val="00E74AEE"/>
    <w:rsid w:val="00E77A88"/>
    <w:rsid w:val="00E868E5"/>
    <w:rsid w:val="00E9237A"/>
    <w:rsid w:val="00E939FA"/>
    <w:rsid w:val="00EA5765"/>
    <w:rsid w:val="00EC07D5"/>
    <w:rsid w:val="00EC2532"/>
    <w:rsid w:val="00EC43D8"/>
    <w:rsid w:val="00ED7812"/>
    <w:rsid w:val="00EF3B86"/>
    <w:rsid w:val="00F13466"/>
    <w:rsid w:val="00F317E9"/>
    <w:rsid w:val="00F31B23"/>
    <w:rsid w:val="00F33AED"/>
    <w:rsid w:val="00F34554"/>
    <w:rsid w:val="00F45F77"/>
    <w:rsid w:val="00F5167F"/>
    <w:rsid w:val="00F520F7"/>
    <w:rsid w:val="00F52258"/>
    <w:rsid w:val="00F75D75"/>
    <w:rsid w:val="00F8570A"/>
    <w:rsid w:val="00F91C7B"/>
    <w:rsid w:val="00FA0E30"/>
    <w:rsid w:val="00FE7AC3"/>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1AF3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261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7DB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7F3BB-AF29-440C-82F7-FF3773EC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3865</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25851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8</cp:revision>
  <dcterms:created xsi:type="dcterms:W3CDTF">2025-04-28T12:35:00Z</dcterms:created>
  <dcterms:modified xsi:type="dcterms:W3CDTF">2025-04-29T09:46:00Z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