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F58E9" w14:textId="3BF8F635" w:rsidR="002510A5" w:rsidRPr="00B14EBB" w:rsidRDefault="002510A5" w:rsidP="00545126">
      <w:pPr>
        <w:widowControl w:val="0"/>
        <w:jc w:val="center"/>
        <w:rPr>
          <w:b/>
          <w:bCs/>
          <w:iCs/>
          <w:sz w:val="22"/>
          <w:szCs w:val="22"/>
          <w:u w:val="single"/>
          <w:lang w:val="sr-Latn-ME"/>
        </w:rPr>
      </w:pPr>
      <w:r w:rsidRPr="00B14EBB">
        <w:rPr>
          <w:b/>
          <w:bCs/>
          <w:iCs/>
          <w:sz w:val="22"/>
          <w:szCs w:val="22"/>
          <w:u w:val="single"/>
          <w:lang w:val="sr-Latn-ME"/>
        </w:rPr>
        <w:t>SAŽETAK KARAKTERISTIKA LIJEKA</w:t>
      </w:r>
    </w:p>
    <w:p w14:paraId="500F58EB" w14:textId="047864E1" w:rsidR="003C17AB" w:rsidRPr="00B14EBB" w:rsidRDefault="003C17AB" w:rsidP="00545126">
      <w:pPr>
        <w:widowControl w:val="0"/>
        <w:jc w:val="both"/>
        <w:rPr>
          <w:sz w:val="22"/>
          <w:szCs w:val="22"/>
          <w:lang w:val="sr-Latn-ME"/>
        </w:rPr>
      </w:pPr>
    </w:p>
    <w:p w14:paraId="500F58EE" w14:textId="77777777" w:rsidR="00C37FD7" w:rsidRPr="00B14EBB" w:rsidRDefault="00C37FD7" w:rsidP="00545126">
      <w:pPr>
        <w:widowControl w:val="0"/>
        <w:tabs>
          <w:tab w:val="left" w:pos="540"/>
          <w:tab w:val="left" w:pos="569"/>
        </w:tabs>
        <w:jc w:val="both"/>
        <w:rPr>
          <w:bCs/>
          <w:sz w:val="22"/>
          <w:szCs w:val="22"/>
          <w:lang w:val="sr-Latn-ME"/>
        </w:rPr>
      </w:pPr>
    </w:p>
    <w:p w14:paraId="500F58EF"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1.</w:t>
      </w:r>
      <w:r w:rsidR="00F5167F" w:rsidRPr="00B14EBB">
        <w:rPr>
          <w:b/>
          <w:bCs/>
          <w:sz w:val="22"/>
          <w:szCs w:val="22"/>
          <w:lang w:val="sr-Latn-ME"/>
        </w:rPr>
        <w:tab/>
      </w:r>
      <w:r w:rsidR="002846DB" w:rsidRPr="00B14EBB">
        <w:rPr>
          <w:b/>
          <w:bCs/>
          <w:sz w:val="22"/>
          <w:szCs w:val="22"/>
          <w:lang w:val="sr-Latn-ME"/>
        </w:rPr>
        <w:t xml:space="preserve">NAZIV </w:t>
      </w:r>
      <w:r w:rsidRPr="00B14EBB">
        <w:rPr>
          <w:b/>
          <w:bCs/>
          <w:sz w:val="22"/>
          <w:szCs w:val="22"/>
          <w:lang w:val="sr-Latn-ME"/>
        </w:rPr>
        <w:t>LIJEKA</w:t>
      </w:r>
    </w:p>
    <w:p w14:paraId="500F58F0" w14:textId="77777777" w:rsidR="00EC2532" w:rsidRPr="00B14EBB" w:rsidRDefault="00EC2532" w:rsidP="00545126">
      <w:pPr>
        <w:widowControl w:val="0"/>
        <w:jc w:val="both"/>
        <w:rPr>
          <w:sz w:val="22"/>
          <w:szCs w:val="22"/>
          <w:lang w:val="sr-Latn-ME"/>
        </w:rPr>
      </w:pPr>
    </w:p>
    <w:p w14:paraId="20C183D5" w14:textId="468AB011" w:rsidR="006C05DA" w:rsidRPr="00B14EBB" w:rsidRDefault="006C05DA" w:rsidP="00545126">
      <w:pPr>
        <w:pStyle w:val="Header"/>
        <w:widowControl w:val="0"/>
        <w:tabs>
          <w:tab w:val="left" w:pos="284"/>
        </w:tabs>
        <w:jc w:val="both"/>
        <w:rPr>
          <w:sz w:val="22"/>
          <w:szCs w:val="22"/>
          <w:lang w:val="sr-Latn-ME"/>
        </w:rPr>
      </w:pPr>
      <w:r w:rsidRPr="00B14EBB">
        <w:rPr>
          <w:bCs/>
          <w:sz w:val="22"/>
          <w:szCs w:val="22"/>
          <w:lang w:val="sr-Latn-ME"/>
        </w:rPr>
        <w:t>Teriflunomid Zentiva,</w:t>
      </w:r>
      <w:r w:rsidRPr="00B14EBB">
        <w:rPr>
          <w:sz w:val="22"/>
          <w:szCs w:val="22"/>
          <w:lang w:val="sr-Latn-ME"/>
        </w:rPr>
        <w:t xml:space="preserve"> 14 mg, film </w:t>
      </w:r>
      <w:r w:rsidR="00535B30" w:rsidRPr="00B14EBB">
        <w:rPr>
          <w:sz w:val="22"/>
          <w:szCs w:val="22"/>
          <w:lang w:val="sr-Latn-ME"/>
        </w:rPr>
        <w:t>tableta</w:t>
      </w:r>
    </w:p>
    <w:p w14:paraId="3AEB546D" w14:textId="77777777" w:rsidR="006C05DA" w:rsidRPr="00B14EBB" w:rsidRDefault="006C05DA" w:rsidP="00545126">
      <w:pPr>
        <w:pStyle w:val="Header"/>
        <w:widowControl w:val="0"/>
        <w:tabs>
          <w:tab w:val="left" w:pos="284"/>
        </w:tabs>
        <w:jc w:val="both"/>
        <w:rPr>
          <w:b/>
          <w:bCs/>
          <w:sz w:val="22"/>
          <w:szCs w:val="22"/>
          <w:lang w:val="sr-Latn-ME"/>
        </w:rPr>
      </w:pPr>
    </w:p>
    <w:p w14:paraId="500F58F4" w14:textId="2702D0A0" w:rsidR="006D20A5" w:rsidRPr="00B14EBB" w:rsidRDefault="006C05DA" w:rsidP="00545126">
      <w:pPr>
        <w:pStyle w:val="Header"/>
        <w:widowControl w:val="0"/>
        <w:tabs>
          <w:tab w:val="left" w:pos="284"/>
        </w:tabs>
        <w:jc w:val="both"/>
        <w:rPr>
          <w:sz w:val="22"/>
          <w:szCs w:val="22"/>
          <w:lang w:val="sr-Latn-ME"/>
        </w:rPr>
      </w:pPr>
      <w:r w:rsidRPr="00B14EBB">
        <w:rPr>
          <w:sz w:val="22"/>
          <w:szCs w:val="22"/>
          <w:lang w:val="sr-Latn-ME"/>
        </w:rPr>
        <w:t xml:space="preserve">INN: </w:t>
      </w:r>
      <w:r w:rsidRPr="00B14EBB">
        <w:rPr>
          <w:sz w:val="22"/>
          <w:szCs w:val="22"/>
          <w:lang w:val="sr-Latn-ME" w:eastAsia="sr-Latn-CS"/>
        </w:rPr>
        <w:t>teriflunomid</w:t>
      </w:r>
    </w:p>
    <w:p w14:paraId="500F58F5" w14:textId="1A0C31BE" w:rsidR="00530BD7" w:rsidRDefault="00530BD7" w:rsidP="00545126">
      <w:pPr>
        <w:widowControl w:val="0"/>
        <w:jc w:val="both"/>
        <w:rPr>
          <w:bCs/>
          <w:sz w:val="22"/>
          <w:szCs w:val="22"/>
          <w:lang w:val="sr-Latn-ME"/>
        </w:rPr>
      </w:pPr>
    </w:p>
    <w:p w14:paraId="60DD0051" w14:textId="77777777" w:rsidR="00545126" w:rsidRPr="00B14EBB" w:rsidRDefault="00545126" w:rsidP="00545126">
      <w:pPr>
        <w:widowControl w:val="0"/>
        <w:jc w:val="both"/>
        <w:rPr>
          <w:bCs/>
          <w:sz w:val="22"/>
          <w:szCs w:val="22"/>
          <w:lang w:val="sr-Latn-ME"/>
        </w:rPr>
      </w:pPr>
    </w:p>
    <w:p w14:paraId="500F58F6"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2. </w:t>
      </w:r>
      <w:r w:rsidR="00F5167F" w:rsidRPr="00B14EBB">
        <w:rPr>
          <w:b/>
          <w:bCs/>
          <w:sz w:val="22"/>
          <w:szCs w:val="22"/>
          <w:lang w:val="sr-Latn-ME"/>
        </w:rPr>
        <w:tab/>
      </w:r>
      <w:r w:rsidRPr="00B14EBB">
        <w:rPr>
          <w:b/>
          <w:bCs/>
          <w:sz w:val="22"/>
          <w:szCs w:val="22"/>
          <w:lang w:val="sr-Latn-ME"/>
        </w:rPr>
        <w:t>KVALITATIVNI I KVANTITATIVNI SASTAV</w:t>
      </w:r>
    </w:p>
    <w:p w14:paraId="500F58F7" w14:textId="77777777" w:rsidR="005A0B2E" w:rsidRPr="00B14EBB" w:rsidRDefault="005A0B2E" w:rsidP="00545126">
      <w:pPr>
        <w:widowControl w:val="0"/>
        <w:jc w:val="both"/>
        <w:rPr>
          <w:sz w:val="22"/>
          <w:szCs w:val="22"/>
          <w:lang w:val="sr-Latn-ME"/>
        </w:rPr>
      </w:pPr>
    </w:p>
    <w:p w14:paraId="67D196FD" w14:textId="77777777"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Jedna film tableta sadrži 14 mg teriflunomida.</w:t>
      </w:r>
    </w:p>
    <w:p w14:paraId="6A075C18" w14:textId="77777777" w:rsidR="00545126" w:rsidRDefault="00545126" w:rsidP="00545126">
      <w:pPr>
        <w:pStyle w:val="Header"/>
        <w:widowControl w:val="0"/>
        <w:tabs>
          <w:tab w:val="left" w:pos="284"/>
        </w:tabs>
        <w:jc w:val="both"/>
        <w:rPr>
          <w:sz w:val="22"/>
          <w:szCs w:val="22"/>
          <w:u w:val="single"/>
          <w:lang w:val="sr-Latn-ME" w:eastAsia="sr-Latn-CS"/>
        </w:rPr>
      </w:pPr>
    </w:p>
    <w:p w14:paraId="6E9A518E" w14:textId="0906EEE4" w:rsidR="006C05DA" w:rsidRPr="00B14EBB" w:rsidRDefault="006C05DA" w:rsidP="00545126">
      <w:pPr>
        <w:pStyle w:val="Header"/>
        <w:widowControl w:val="0"/>
        <w:tabs>
          <w:tab w:val="left" w:pos="284"/>
        </w:tabs>
        <w:jc w:val="both"/>
        <w:rPr>
          <w:sz w:val="22"/>
          <w:szCs w:val="22"/>
          <w:lang w:val="sr-Latn-ME" w:eastAsia="sr-Latn-CS"/>
        </w:rPr>
      </w:pPr>
      <w:r w:rsidRPr="00B14EBB">
        <w:rPr>
          <w:sz w:val="22"/>
          <w:szCs w:val="22"/>
          <w:u w:val="single"/>
          <w:lang w:val="sr-Latn-ME" w:eastAsia="sr-Latn-CS"/>
        </w:rPr>
        <w:t>Pomoćne supstance sa potvrđenim dejstvom:</w:t>
      </w:r>
      <w:r w:rsidRPr="00B14EBB">
        <w:rPr>
          <w:sz w:val="22"/>
          <w:szCs w:val="22"/>
          <w:lang w:val="sr-Latn-ME" w:eastAsia="sr-Latn-CS"/>
        </w:rPr>
        <w:t xml:space="preserve"> </w:t>
      </w:r>
    </w:p>
    <w:p w14:paraId="3137B923" w14:textId="6FCCB020" w:rsidR="006C05DA" w:rsidRPr="00B14EBB" w:rsidRDefault="006C05DA" w:rsidP="00545126">
      <w:pPr>
        <w:pStyle w:val="Header"/>
        <w:widowControl w:val="0"/>
        <w:tabs>
          <w:tab w:val="left" w:pos="284"/>
        </w:tabs>
        <w:jc w:val="both"/>
        <w:rPr>
          <w:sz w:val="22"/>
          <w:szCs w:val="22"/>
          <w:lang w:val="sr-Latn-ME" w:eastAsia="sr-Latn-CS"/>
        </w:rPr>
      </w:pPr>
      <w:r w:rsidRPr="00B14EBB">
        <w:rPr>
          <w:sz w:val="22"/>
          <w:szCs w:val="22"/>
          <w:lang w:val="sr-Latn-ME" w:eastAsia="sr-Latn-CS"/>
        </w:rPr>
        <w:t xml:space="preserve">Jedna tableta sadrži </w:t>
      </w:r>
      <w:r w:rsidR="007E18D5" w:rsidRPr="00B14EBB">
        <w:rPr>
          <w:sz w:val="22"/>
          <w:szCs w:val="22"/>
          <w:lang w:val="sr-Latn-ME" w:eastAsia="sr-Latn-CS"/>
        </w:rPr>
        <w:t>70,5</w:t>
      </w:r>
      <w:r w:rsidRPr="00B14EBB">
        <w:rPr>
          <w:sz w:val="22"/>
          <w:szCs w:val="22"/>
          <w:lang w:val="sr-Latn-ME" w:eastAsia="sr-Latn-CS"/>
        </w:rPr>
        <w:t xml:space="preserve"> mg laktoze (u obliku laktoza monohidrata). </w:t>
      </w:r>
    </w:p>
    <w:p w14:paraId="5465FE17" w14:textId="77777777" w:rsidR="006C05DA" w:rsidRPr="00B14EBB" w:rsidRDefault="006C05DA" w:rsidP="00545126">
      <w:pPr>
        <w:widowControl w:val="0"/>
        <w:jc w:val="both"/>
        <w:rPr>
          <w:sz w:val="22"/>
          <w:szCs w:val="22"/>
          <w:lang w:val="sr-Latn-ME"/>
        </w:rPr>
      </w:pPr>
    </w:p>
    <w:p w14:paraId="500F58F8" w14:textId="6FDEE0E1" w:rsidR="0003793F" w:rsidRPr="00B14EBB" w:rsidRDefault="0003793F" w:rsidP="00545126">
      <w:pPr>
        <w:widowControl w:val="0"/>
        <w:jc w:val="both"/>
        <w:rPr>
          <w:sz w:val="22"/>
          <w:szCs w:val="22"/>
          <w:lang w:val="sr-Latn-ME"/>
        </w:rPr>
      </w:pPr>
      <w:r w:rsidRPr="00B14EBB">
        <w:rPr>
          <w:sz w:val="22"/>
          <w:szCs w:val="22"/>
          <w:lang w:val="sr-Latn-ME"/>
        </w:rPr>
        <w:t>Za spisak svih ekscipijenasa, pogledati dio 6.1.</w:t>
      </w:r>
    </w:p>
    <w:p w14:paraId="500F58FA" w14:textId="7B6F1D89" w:rsidR="00C37FD7" w:rsidRDefault="00C37FD7" w:rsidP="00545126">
      <w:pPr>
        <w:widowControl w:val="0"/>
        <w:jc w:val="both"/>
        <w:rPr>
          <w:sz w:val="22"/>
          <w:szCs w:val="22"/>
          <w:lang w:val="sr-Latn-ME"/>
        </w:rPr>
      </w:pPr>
    </w:p>
    <w:p w14:paraId="70CCFA0B" w14:textId="77777777" w:rsidR="00545126" w:rsidRPr="00B14EBB" w:rsidRDefault="00545126" w:rsidP="00545126">
      <w:pPr>
        <w:widowControl w:val="0"/>
        <w:jc w:val="both"/>
        <w:rPr>
          <w:sz w:val="22"/>
          <w:szCs w:val="22"/>
          <w:lang w:val="sr-Latn-ME"/>
        </w:rPr>
      </w:pPr>
    </w:p>
    <w:p w14:paraId="500F58FB"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3. </w:t>
      </w:r>
      <w:r w:rsidR="00F5167F" w:rsidRPr="00B14EBB">
        <w:rPr>
          <w:b/>
          <w:bCs/>
          <w:sz w:val="22"/>
          <w:szCs w:val="22"/>
          <w:lang w:val="sr-Latn-ME"/>
        </w:rPr>
        <w:tab/>
      </w:r>
      <w:r w:rsidRPr="00B14EBB">
        <w:rPr>
          <w:b/>
          <w:bCs/>
          <w:sz w:val="22"/>
          <w:szCs w:val="22"/>
          <w:lang w:val="sr-Latn-ME"/>
        </w:rPr>
        <w:t>FARMACEUTSKI OBLIK</w:t>
      </w:r>
      <w:r w:rsidR="009F2D23" w:rsidRPr="00B14EBB">
        <w:rPr>
          <w:b/>
          <w:bCs/>
          <w:sz w:val="22"/>
          <w:szCs w:val="22"/>
          <w:lang w:val="sr-Latn-ME"/>
        </w:rPr>
        <w:t xml:space="preserve"> </w:t>
      </w:r>
    </w:p>
    <w:p w14:paraId="500F58FC" w14:textId="77777777" w:rsidR="00411B4B" w:rsidRPr="00B14EBB" w:rsidRDefault="00411B4B" w:rsidP="00545126">
      <w:pPr>
        <w:widowControl w:val="0"/>
        <w:jc w:val="both"/>
        <w:rPr>
          <w:bCs/>
          <w:sz w:val="22"/>
          <w:szCs w:val="22"/>
          <w:lang w:val="sr-Latn-ME"/>
        </w:rPr>
      </w:pPr>
    </w:p>
    <w:p w14:paraId="2523F1E5" w14:textId="77777777" w:rsidR="006C05DA" w:rsidRPr="00B14EBB" w:rsidRDefault="006C05DA" w:rsidP="00545126">
      <w:pPr>
        <w:pStyle w:val="Header"/>
        <w:widowControl w:val="0"/>
        <w:jc w:val="both"/>
        <w:rPr>
          <w:sz w:val="22"/>
          <w:szCs w:val="22"/>
          <w:lang w:val="sr-Latn-ME"/>
        </w:rPr>
      </w:pPr>
      <w:r w:rsidRPr="00B14EBB">
        <w:rPr>
          <w:sz w:val="22"/>
          <w:szCs w:val="22"/>
          <w:lang w:val="sr-Latn-ME"/>
        </w:rPr>
        <w:t>Film tableta (tableta).</w:t>
      </w:r>
    </w:p>
    <w:p w14:paraId="6F03B375" w14:textId="4F1F2ED1" w:rsidR="006C05DA" w:rsidRPr="00B14EBB" w:rsidRDefault="006C05DA" w:rsidP="00545126">
      <w:pPr>
        <w:pStyle w:val="Header"/>
        <w:widowControl w:val="0"/>
        <w:jc w:val="both"/>
        <w:rPr>
          <w:sz w:val="22"/>
          <w:szCs w:val="22"/>
          <w:lang w:val="sr-Latn-ME"/>
        </w:rPr>
      </w:pPr>
      <w:r w:rsidRPr="00B14EBB">
        <w:rPr>
          <w:sz w:val="22"/>
          <w:szCs w:val="22"/>
          <w:lang w:val="sr-Latn-ME"/>
        </w:rPr>
        <w:t xml:space="preserve">Plave, okrugle, film tablete </w:t>
      </w:r>
      <w:r w:rsidR="00A006E5" w:rsidRPr="00B14EBB">
        <w:rPr>
          <w:sz w:val="22"/>
          <w:szCs w:val="22"/>
          <w:lang w:val="sr-Latn-ME"/>
        </w:rPr>
        <w:t xml:space="preserve">prečnika </w:t>
      </w:r>
      <w:r w:rsidRPr="00B14EBB">
        <w:rPr>
          <w:sz w:val="22"/>
          <w:szCs w:val="22"/>
          <w:lang w:val="sr-Latn-ME"/>
        </w:rPr>
        <w:t>7 mm, sa utisnutom oznakom „C14“ na jednoj strani.</w:t>
      </w:r>
    </w:p>
    <w:p w14:paraId="500F58FD" w14:textId="7B4270D4" w:rsidR="00EC2532" w:rsidRDefault="00EC2532" w:rsidP="00545126">
      <w:pPr>
        <w:widowControl w:val="0"/>
        <w:jc w:val="both"/>
        <w:rPr>
          <w:bCs/>
          <w:sz w:val="22"/>
          <w:szCs w:val="22"/>
          <w:lang w:val="sr-Latn-ME"/>
        </w:rPr>
      </w:pPr>
    </w:p>
    <w:p w14:paraId="3EEF75BE" w14:textId="77777777" w:rsidR="00545126" w:rsidRPr="00B14EBB" w:rsidRDefault="00545126" w:rsidP="00545126">
      <w:pPr>
        <w:widowControl w:val="0"/>
        <w:jc w:val="both"/>
        <w:rPr>
          <w:bCs/>
          <w:sz w:val="22"/>
          <w:szCs w:val="22"/>
          <w:lang w:val="sr-Latn-ME"/>
        </w:rPr>
      </w:pPr>
    </w:p>
    <w:p w14:paraId="500F58FE"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4. </w:t>
      </w:r>
      <w:r w:rsidR="00480FB1" w:rsidRPr="00B14EBB">
        <w:rPr>
          <w:b/>
          <w:bCs/>
          <w:sz w:val="22"/>
          <w:szCs w:val="22"/>
          <w:lang w:val="sr-Latn-ME"/>
        </w:rPr>
        <w:tab/>
      </w:r>
      <w:r w:rsidRPr="00B14EBB">
        <w:rPr>
          <w:b/>
          <w:bCs/>
          <w:sz w:val="22"/>
          <w:szCs w:val="22"/>
          <w:lang w:val="sr-Latn-ME"/>
        </w:rPr>
        <w:t>KLINIČKI PODACI</w:t>
      </w:r>
    </w:p>
    <w:p w14:paraId="500F58FF" w14:textId="77777777" w:rsidR="00CD6F02" w:rsidRPr="00B14EBB" w:rsidRDefault="00CD6F02" w:rsidP="00545126">
      <w:pPr>
        <w:widowControl w:val="0"/>
        <w:tabs>
          <w:tab w:val="left" w:pos="540"/>
          <w:tab w:val="left" w:pos="569"/>
        </w:tabs>
        <w:jc w:val="both"/>
        <w:rPr>
          <w:bCs/>
          <w:sz w:val="22"/>
          <w:szCs w:val="22"/>
          <w:lang w:val="sr-Latn-ME"/>
        </w:rPr>
      </w:pPr>
    </w:p>
    <w:p w14:paraId="500F5900"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4.1. </w:t>
      </w:r>
      <w:r w:rsidR="00480FB1" w:rsidRPr="00B14EBB">
        <w:rPr>
          <w:b/>
          <w:bCs/>
          <w:sz w:val="22"/>
          <w:szCs w:val="22"/>
          <w:lang w:val="sr-Latn-ME"/>
        </w:rPr>
        <w:tab/>
      </w:r>
      <w:r w:rsidRPr="00B14EBB">
        <w:rPr>
          <w:b/>
          <w:bCs/>
          <w:sz w:val="22"/>
          <w:szCs w:val="22"/>
          <w:lang w:val="sr-Latn-ME"/>
        </w:rPr>
        <w:t>Terapijske indikacije</w:t>
      </w:r>
    </w:p>
    <w:p w14:paraId="445C7097" w14:textId="77777777" w:rsidR="00545126" w:rsidRDefault="00545126" w:rsidP="00545126">
      <w:pPr>
        <w:pStyle w:val="Header"/>
        <w:widowControl w:val="0"/>
        <w:jc w:val="both"/>
        <w:rPr>
          <w:sz w:val="22"/>
          <w:szCs w:val="22"/>
          <w:lang w:val="sr-Latn-ME"/>
        </w:rPr>
      </w:pPr>
    </w:p>
    <w:p w14:paraId="09BDE22B" w14:textId="1BE1E6B5" w:rsidR="006C05DA" w:rsidRPr="00B14EBB" w:rsidRDefault="006C05DA" w:rsidP="00545126">
      <w:pPr>
        <w:pStyle w:val="Header"/>
        <w:widowControl w:val="0"/>
        <w:jc w:val="both"/>
        <w:rPr>
          <w:sz w:val="22"/>
          <w:szCs w:val="22"/>
          <w:lang w:val="sr-Latn-ME"/>
        </w:rPr>
      </w:pPr>
      <w:r w:rsidRPr="00B14EBB">
        <w:rPr>
          <w:sz w:val="22"/>
          <w:szCs w:val="22"/>
          <w:lang w:val="sr-Latn-ME"/>
        </w:rPr>
        <w:t>L</w:t>
      </w:r>
      <w:r w:rsidR="00DD6EC0" w:rsidRPr="00B14EBB">
        <w:rPr>
          <w:sz w:val="22"/>
          <w:szCs w:val="22"/>
          <w:lang w:val="sr-Latn-ME"/>
        </w:rPr>
        <w:t>ij</w:t>
      </w:r>
      <w:r w:rsidRPr="00B14EBB">
        <w:rPr>
          <w:sz w:val="22"/>
          <w:szCs w:val="22"/>
          <w:lang w:val="sr-Latn-ME"/>
        </w:rPr>
        <w:t>ek Teriflunomid Zentiva je indikovan za l</w:t>
      </w:r>
      <w:r w:rsidR="00DD6EC0" w:rsidRPr="00B14EBB">
        <w:rPr>
          <w:sz w:val="22"/>
          <w:szCs w:val="22"/>
          <w:lang w:val="sr-Latn-ME"/>
        </w:rPr>
        <w:t>ij</w:t>
      </w:r>
      <w:r w:rsidRPr="00B14EBB">
        <w:rPr>
          <w:sz w:val="22"/>
          <w:szCs w:val="22"/>
          <w:lang w:val="sr-Latn-ME"/>
        </w:rPr>
        <w:t>ečenje odraslih pacijenata i pedijatrijskih pacijenata uzrasta od 10 godina i starijih, sa relapsno-remitentnom multiplom sklerozom (MS) (vid</w:t>
      </w:r>
      <w:r w:rsidR="00DD6EC0" w:rsidRPr="00B14EBB">
        <w:rPr>
          <w:sz w:val="22"/>
          <w:szCs w:val="22"/>
          <w:lang w:val="sr-Latn-ME"/>
        </w:rPr>
        <w:t>j</w:t>
      </w:r>
      <w:r w:rsidRPr="00B14EBB">
        <w:rPr>
          <w:sz w:val="22"/>
          <w:szCs w:val="22"/>
          <w:lang w:val="sr-Latn-ME"/>
        </w:rPr>
        <w:t xml:space="preserve">eti </w:t>
      </w:r>
      <w:r w:rsidR="000A2FFE" w:rsidRPr="00B14EBB">
        <w:rPr>
          <w:sz w:val="22"/>
          <w:szCs w:val="22"/>
          <w:lang w:val="sr-Latn-ME"/>
        </w:rPr>
        <w:t xml:space="preserve">dio </w:t>
      </w:r>
      <w:r w:rsidRPr="00B14EBB">
        <w:rPr>
          <w:sz w:val="22"/>
          <w:szCs w:val="22"/>
          <w:lang w:val="sr-Latn-ME"/>
        </w:rPr>
        <w:t>5.1 za važne informacije o populacijama kod kojih je utvrđena efikasnost l</w:t>
      </w:r>
      <w:r w:rsidR="00DD6EC0" w:rsidRPr="00B14EBB">
        <w:rPr>
          <w:sz w:val="22"/>
          <w:szCs w:val="22"/>
          <w:lang w:val="sr-Latn-ME"/>
        </w:rPr>
        <w:t>ij</w:t>
      </w:r>
      <w:r w:rsidRPr="00B14EBB">
        <w:rPr>
          <w:sz w:val="22"/>
          <w:szCs w:val="22"/>
          <w:lang w:val="sr-Latn-ME"/>
        </w:rPr>
        <w:t>eka).</w:t>
      </w:r>
    </w:p>
    <w:p w14:paraId="500F5901" w14:textId="77777777" w:rsidR="00411B4B" w:rsidRPr="00B14EBB" w:rsidRDefault="00411B4B" w:rsidP="00545126">
      <w:pPr>
        <w:widowControl w:val="0"/>
        <w:tabs>
          <w:tab w:val="left" w:pos="540"/>
          <w:tab w:val="left" w:pos="569"/>
        </w:tabs>
        <w:jc w:val="both"/>
        <w:rPr>
          <w:bCs/>
          <w:sz w:val="22"/>
          <w:szCs w:val="22"/>
          <w:lang w:val="sr-Latn-ME"/>
        </w:rPr>
      </w:pPr>
    </w:p>
    <w:p w14:paraId="500F5902"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4.2. </w:t>
      </w:r>
      <w:r w:rsidR="00480FB1" w:rsidRPr="00B14EBB">
        <w:rPr>
          <w:b/>
          <w:bCs/>
          <w:sz w:val="22"/>
          <w:szCs w:val="22"/>
          <w:lang w:val="sr-Latn-ME"/>
        </w:rPr>
        <w:tab/>
      </w:r>
      <w:r w:rsidRPr="00B14EBB">
        <w:rPr>
          <w:b/>
          <w:bCs/>
          <w:sz w:val="22"/>
          <w:szCs w:val="22"/>
          <w:lang w:val="sr-Latn-ME"/>
        </w:rPr>
        <w:t>Doziranje i način primjene</w:t>
      </w:r>
    </w:p>
    <w:p w14:paraId="5B37A22F" w14:textId="77777777" w:rsidR="00545126" w:rsidRDefault="00545126" w:rsidP="00545126">
      <w:pPr>
        <w:widowControl w:val="0"/>
        <w:autoSpaceDE w:val="0"/>
        <w:autoSpaceDN w:val="0"/>
        <w:adjustRightInd w:val="0"/>
        <w:jc w:val="both"/>
        <w:rPr>
          <w:sz w:val="22"/>
          <w:szCs w:val="22"/>
          <w:lang w:val="sr-Latn-ME" w:eastAsia="sr-Latn-CS"/>
        </w:rPr>
      </w:pPr>
    </w:p>
    <w:p w14:paraId="284FFEF2" w14:textId="4D76A227"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L</w:t>
      </w:r>
      <w:r w:rsidR="00DD6EC0" w:rsidRPr="00B14EBB">
        <w:rPr>
          <w:sz w:val="22"/>
          <w:szCs w:val="22"/>
          <w:lang w:val="sr-Latn-ME" w:eastAsia="sr-Latn-CS"/>
        </w:rPr>
        <w:t>ij</w:t>
      </w:r>
      <w:r w:rsidRPr="00B14EBB">
        <w:rPr>
          <w:sz w:val="22"/>
          <w:szCs w:val="22"/>
          <w:lang w:val="sr-Latn-ME" w:eastAsia="sr-Latn-CS"/>
        </w:rPr>
        <w:t>ečenje mora da započne i prati l</w:t>
      </w:r>
      <w:r w:rsidR="00DD6EC0" w:rsidRPr="00B14EBB">
        <w:rPr>
          <w:sz w:val="22"/>
          <w:szCs w:val="22"/>
          <w:lang w:val="sr-Latn-ME" w:eastAsia="sr-Latn-CS"/>
        </w:rPr>
        <w:t>j</w:t>
      </w:r>
      <w:r w:rsidRPr="00B14EBB">
        <w:rPr>
          <w:sz w:val="22"/>
          <w:szCs w:val="22"/>
          <w:lang w:val="sr-Latn-ME" w:eastAsia="sr-Latn-CS"/>
        </w:rPr>
        <w:t>ekar sa iskustvom u l</w:t>
      </w:r>
      <w:r w:rsidR="00DD6EC0" w:rsidRPr="00B14EBB">
        <w:rPr>
          <w:sz w:val="22"/>
          <w:szCs w:val="22"/>
          <w:lang w:val="sr-Latn-ME" w:eastAsia="sr-Latn-CS"/>
        </w:rPr>
        <w:t>ij</w:t>
      </w:r>
      <w:r w:rsidRPr="00B14EBB">
        <w:rPr>
          <w:sz w:val="22"/>
          <w:szCs w:val="22"/>
          <w:lang w:val="sr-Latn-ME" w:eastAsia="sr-Latn-CS"/>
        </w:rPr>
        <w:t>ečenju multiple skleroze.</w:t>
      </w:r>
    </w:p>
    <w:p w14:paraId="500F5903" w14:textId="77777777" w:rsidR="0072020E" w:rsidRPr="00B14EBB" w:rsidRDefault="0072020E" w:rsidP="00545126">
      <w:pPr>
        <w:widowControl w:val="0"/>
        <w:tabs>
          <w:tab w:val="left" w:pos="540"/>
          <w:tab w:val="left" w:pos="569"/>
        </w:tabs>
        <w:jc w:val="both"/>
        <w:rPr>
          <w:bCs/>
          <w:sz w:val="22"/>
          <w:szCs w:val="22"/>
          <w:lang w:val="sr-Latn-ME"/>
        </w:rPr>
      </w:pPr>
    </w:p>
    <w:p w14:paraId="500F5904" w14:textId="77777777" w:rsidR="00452E9D" w:rsidRPr="00B14EBB" w:rsidRDefault="00452E9D" w:rsidP="00545126">
      <w:pPr>
        <w:widowControl w:val="0"/>
        <w:tabs>
          <w:tab w:val="left" w:pos="540"/>
          <w:tab w:val="left" w:pos="569"/>
        </w:tabs>
        <w:jc w:val="both"/>
        <w:rPr>
          <w:bCs/>
          <w:sz w:val="22"/>
          <w:szCs w:val="22"/>
          <w:u w:val="single"/>
          <w:lang w:val="sr-Latn-ME"/>
        </w:rPr>
      </w:pPr>
      <w:r w:rsidRPr="00B14EBB">
        <w:rPr>
          <w:bCs/>
          <w:sz w:val="22"/>
          <w:szCs w:val="22"/>
          <w:u w:val="single"/>
          <w:lang w:val="sr-Latn-ME"/>
        </w:rPr>
        <w:t>Doziranje</w:t>
      </w:r>
    </w:p>
    <w:p w14:paraId="4E40DE5A" w14:textId="77777777" w:rsidR="0014514D" w:rsidRPr="00B14EBB" w:rsidRDefault="0014514D" w:rsidP="00545126">
      <w:pPr>
        <w:widowControl w:val="0"/>
        <w:autoSpaceDE w:val="0"/>
        <w:autoSpaceDN w:val="0"/>
        <w:adjustRightInd w:val="0"/>
        <w:jc w:val="both"/>
        <w:rPr>
          <w:i/>
          <w:sz w:val="22"/>
          <w:szCs w:val="22"/>
          <w:lang w:val="sr-Latn-ME" w:eastAsia="sr-Latn-CS"/>
        </w:rPr>
      </w:pPr>
    </w:p>
    <w:p w14:paraId="218C6410" w14:textId="4D9AFF4C" w:rsidR="006C05DA" w:rsidRPr="00B14EBB" w:rsidRDefault="006C05DA" w:rsidP="00545126">
      <w:pPr>
        <w:widowControl w:val="0"/>
        <w:autoSpaceDE w:val="0"/>
        <w:autoSpaceDN w:val="0"/>
        <w:adjustRightInd w:val="0"/>
        <w:jc w:val="both"/>
        <w:rPr>
          <w:i/>
          <w:sz w:val="22"/>
          <w:szCs w:val="22"/>
          <w:lang w:val="sr-Latn-ME" w:eastAsia="sr-Latn-CS"/>
        </w:rPr>
      </w:pPr>
      <w:r w:rsidRPr="00B14EBB">
        <w:rPr>
          <w:i/>
          <w:sz w:val="22"/>
          <w:szCs w:val="22"/>
          <w:lang w:val="sr-Latn-ME" w:eastAsia="sr-Latn-CS"/>
        </w:rPr>
        <w:t>Odrasli</w:t>
      </w:r>
    </w:p>
    <w:p w14:paraId="21E78604" w14:textId="4C47DBA2"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Preporučena doza l</w:t>
      </w:r>
      <w:r w:rsidR="00DD6EC0" w:rsidRPr="00B14EBB">
        <w:rPr>
          <w:sz w:val="22"/>
          <w:szCs w:val="22"/>
          <w:lang w:val="sr-Latn-ME" w:eastAsia="sr-Latn-CS"/>
        </w:rPr>
        <w:t>ij</w:t>
      </w:r>
      <w:r w:rsidRPr="00B14EBB">
        <w:rPr>
          <w:sz w:val="22"/>
          <w:szCs w:val="22"/>
          <w:lang w:val="sr-Latn-ME" w:eastAsia="sr-Latn-CS"/>
        </w:rPr>
        <w:t xml:space="preserve">eka </w:t>
      </w:r>
      <w:r w:rsidRPr="00B14EBB">
        <w:rPr>
          <w:sz w:val="22"/>
          <w:szCs w:val="22"/>
          <w:lang w:val="sr-Latn-ME"/>
        </w:rPr>
        <w:t>Teriflunomid Zentiva</w:t>
      </w:r>
      <w:r w:rsidRPr="00B14EBB">
        <w:rPr>
          <w:sz w:val="22"/>
          <w:szCs w:val="22"/>
          <w:lang w:val="sr-Latn-ME" w:eastAsia="sr-Latn-CS"/>
        </w:rPr>
        <w:t xml:space="preserve"> kod odraslih je 14 mg jednom dnevno.</w:t>
      </w:r>
    </w:p>
    <w:p w14:paraId="4A0D16E0" w14:textId="77777777" w:rsidR="006C05DA" w:rsidRPr="00B14EBB" w:rsidRDefault="006C05DA" w:rsidP="00545126">
      <w:pPr>
        <w:widowControl w:val="0"/>
        <w:autoSpaceDE w:val="0"/>
        <w:autoSpaceDN w:val="0"/>
        <w:adjustRightInd w:val="0"/>
        <w:jc w:val="both"/>
        <w:rPr>
          <w:rFonts w:eastAsia="Calibri"/>
          <w:i/>
          <w:iCs/>
          <w:sz w:val="22"/>
          <w:szCs w:val="22"/>
          <w:lang w:val="sr-Latn-ME"/>
        </w:rPr>
      </w:pPr>
    </w:p>
    <w:p w14:paraId="73337DE4" w14:textId="77777777" w:rsidR="006C05DA" w:rsidRPr="00B14EBB" w:rsidRDefault="006C05DA" w:rsidP="00545126">
      <w:pPr>
        <w:widowControl w:val="0"/>
        <w:autoSpaceDE w:val="0"/>
        <w:autoSpaceDN w:val="0"/>
        <w:adjustRightInd w:val="0"/>
        <w:jc w:val="both"/>
        <w:rPr>
          <w:rFonts w:eastAsia="Calibri"/>
          <w:i/>
          <w:iCs/>
          <w:sz w:val="22"/>
          <w:szCs w:val="22"/>
          <w:lang w:val="sr-Latn-ME"/>
        </w:rPr>
      </w:pPr>
      <w:r w:rsidRPr="00B14EBB">
        <w:rPr>
          <w:rFonts w:eastAsia="Calibri"/>
          <w:i/>
          <w:iCs/>
          <w:sz w:val="22"/>
          <w:szCs w:val="22"/>
          <w:lang w:val="sr-Latn-ME"/>
        </w:rPr>
        <w:t>Pedijatrijska populacija (uzrasta od 10 godina i stariji)</w:t>
      </w:r>
    </w:p>
    <w:p w14:paraId="197190F6" w14:textId="57C0753A"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Kod pedijatrijskih pacijenata (uzrasta od 10 godina i starijih), preporučena doza zavisi od t</w:t>
      </w:r>
      <w:r w:rsidR="00DD6EC0" w:rsidRPr="00B14EBB">
        <w:rPr>
          <w:rFonts w:eastAsia="Calibri"/>
          <w:sz w:val="22"/>
          <w:szCs w:val="22"/>
          <w:lang w:val="sr-Latn-ME"/>
        </w:rPr>
        <w:t>j</w:t>
      </w:r>
      <w:r w:rsidRPr="00B14EBB">
        <w:rPr>
          <w:rFonts w:eastAsia="Calibri"/>
          <w:sz w:val="22"/>
          <w:szCs w:val="22"/>
          <w:lang w:val="sr-Latn-ME"/>
        </w:rPr>
        <w:t>elesne težine:</w:t>
      </w:r>
    </w:p>
    <w:p w14:paraId="34D2EE08" w14:textId="0D5E0D90"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 Pedijatrijski pacijenti sa t</w:t>
      </w:r>
      <w:r w:rsidR="00DD6EC0" w:rsidRPr="00B14EBB">
        <w:rPr>
          <w:rFonts w:eastAsia="Calibri"/>
          <w:sz w:val="22"/>
          <w:szCs w:val="22"/>
          <w:lang w:val="sr-Latn-ME"/>
        </w:rPr>
        <w:t>j</w:t>
      </w:r>
      <w:r w:rsidRPr="00B14EBB">
        <w:rPr>
          <w:rFonts w:eastAsia="Calibri"/>
          <w:sz w:val="22"/>
          <w:szCs w:val="22"/>
          <w:lang w:val="sr-Latn-ME"/>
        </w:rPr>
        <w:t xml:space="preserve">elesnom težinom &gt;40 kg: 14 mg </w:t>
      </w:r>
      <w:r w:rsidRPr="00B14EBB">
        <w:rPr>
          <w:sz w:val="22"/>
          <w:szCs w:val="22"/>
          <w:lang w:val="sr-Latn-ME" w:eastAsia="sr-Latn-CS"/>
        </w:rPr>
        <w:t>jednom dnevno.</w:t>
      </w:r>
    </w:p>
    <w:p w14:paraId="1B027962" w14:textId="6C3AF878"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 Pedijatrijski pacijenti sa t</w:t>
      </w:r>
      <w:r w:rsidR="00DD6EC0" w:rsidRPr="00B14EBB">
        <w:rPr>
          <w:rFonts w:eastAsia="Calibri"/>
          <w:sz w:val="22"/>
          <w:szCs w:val="22"/>
          <w:lang w:val="sr-Latn-ME"/>
        </w:rPr>
        <w:t>j</w:t>
      </w:r>
      <w:r w:rsidRPr="00B14EBB">
        <w:rPr>
          <w:rFonts w:eastAsia="Calibri"/>
          <w:sz w:val="22"/>
          <w:szCs w:val="22"/>
          <w:lang w:val="sr-Latn-ME"/>
        </w:rPr>
        <w:t xml:space="preserve">elesnom težinom ≤40 kg: 7 mg </w:t>
      </w:r>
      <w:r w:rsidRPr="00B14EBB">
        <w:rPr>
          <w:sz w:val="22"/>
          <w:szCs w:val="22"/>
          <w:lang w:val="sr-Latn-ME" w:eastAsia="sr-Latn-CS"/>
        </w:rPr>
        <w:t>jednom dnevno.</w:t>
      </w:r>
    </w:p>
    <w:p w14:paraId="48F75B39" w14:textId="77777777" w:rsidR="006C05DA" w:rsidRPr="00B14EBB" w:rsidRDefault="006C05DA" w:rsidP="00545126">
      <w:pPr>
        <w:widowControl w:val="0"/>
        <w:autoSpaceDE w:val="0"/>
        <w:autoSpaceDN w:val="0"/>
        <w:adjustRightInd w:val="0"/>
        <w:jc w:val="both"/>
        <w:rPr>
          <w:rFonts w:eastAsia="Calibri"/>
          <w:sz w:val="22"/>
          <w:szCs w:val="22"/>
          <w:lang w:val="sr-Latn-ME"/>
        </w:rPr>
      </w:pPr>
    </w:p>
    <w:p w14:paraId="54738381" w14:textId="3C5C28E9" w:rsidR="006C05DA" w:rsidRPr="00B14EBB" w:rsidRDefault="006C05DA" w:rsidP="00545126">
      <w:pPr>
        <w:widowControl w:val="0"/>
        <w:autoSpaceDE w:val="0"/>
        <w:autoSpaceDN w:val="0"/>
        <w:adjustRightInd w:val="0"/>
        <w:jc w:val="both"/>
        <w:rPr>
          <w:sz w:val="22"/>
          <w:szCs w:val="22"/>
          <w:lang w:val="sr-Latn-ME"/>
        </w:rPr>
      </w:pPr>
      <w:r w:rsidRPr="00B14EBB">
        <w:rPr>
          <w:sz w:val="22"/>
          <w:szCs w:val="22"/>
          <w:lang w:val="sr-Latn-ME"/>
        </w:rPr>
        <w:t>L</w:t>
      </w:r>
      <w:r w:rsidR="00DD6EC0" w:rsidRPr="00B14EBB">
        <w:rPr>
          <w:sz w:val="22"/>
          <w:szCs w:val="22"/>
          <w:lang w:val="sr-Latn-ME"/>
        </w:rPr>
        <w:t>ij</w:t>
      </w:r>
      <w:r w:rsidRPr="00B14EBB">
        <w:rPr>
          <w:sz w:val="22"/>
          <w:szCs w:val="22"/>
          <w:lang w:val="sr-Latn-ME"/>
        </w:rPr>
        <w:t>ek Teriflunomid Zentiva, 14 mg, film tablete, nisu pogodne za pedijatrijske pacijente t</w:t>
      </w:r>
      <w:r w:rsidR="00DD6EC0" w:rsidRPr="00B14EBB">
        <w:rPr>
          <w:sz w:val="22"/>
          <w:szCs w:val="22"/>
          <w:lang w:val="sr-Latn-ME"/>
        </w:rPr>
        <w:t>j</w:t>
      </w:r>
      <w:r w:rsidRPr="00B14EBB">
        <w:rPr>
          <w:sz w:val="22"/>
          <w:szCs w:val="22"/>
          <w:lang w:val="sr-Latn-ME"/>
        </w:rPr>
        <w:t xml:space="preserve">elesne mase </w:t>
      </w:r>
      <w:r w:rsidRPr="00B14EBB">
        <w:rPr>
          <w:rFonts w:eastAsia="Calibri"/>
          <w:sz w:val="22"/>
          <w:szCs w:val="22"/>
          <w:lang w:val="sr-Latn-ME"/>
        </w:rPr>
        <w:t>≤40 kg.</w:t>
      </w:r>
    </w:p>
    <w:p w14:paraId="6E88D7FB" w14:textId="77777777" w:rsidR="006C05DA" w:rsidRPr="00B14EBB" w:rsidRDefault="006C05DA" w:rsidP="00545126">
      <w:pPr>
        <w:widowControl w:val="0"/>
        <w:autoSpaceDE w:val="0"/>
        <w:autoSpaceDN w:val="0"/>
        <w:adjustRightInd w:val="0"/>
        <w:jc w:val="both"/>
        <w:rPr>
          <w:sz w:val="22"/>
          <w:szCs w:val="22"/>
          <w:lang w:val="sr-Latn-ME"/>
        </w:rPr>
      </w:pPr>
    </w:p>
    <w:p w14:paraId="12D2BC83" w14:textId="369A418C"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Pedijatrijski pacijenti koji dostignu stabilnu t</w:t>
      </w:r>
      <w:r w:rsidR="00DD6EC0" w:rsidRPr="00B14EBB">
        <w:rPr>
          <w:rFonts w:eastAsia="Calibri"/>
          <w:sz w:val="22"/>
          <w:szCs w:val="22"/>
          <w:lang w:val="sr-Latn-ME"/>
        </w:rPr>
        <w:t>j</w:t>
      </w:r>
      <w:r w:rsidRPr="00B14EBB">
        <w:rPr>
          <w:rFonts w:eastAsia="Calibri"/>
          <w:sz w:val="22"/>
          <w:szCs w:val="22"/>
          <w:lang w:val="sr-Latn-ME"/>
        </w:rPr>
        <w:t>elesnu težinu iznad 40 kg moraju preći na dozu od 14 mg</w:t>
      </w:r>
    </w:p>
    <w:p w14:paraId="399698AD" w14:textId="77777777"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jednom dnevno.</w:t>
      </w:r>
    </w:p>
    <w:p w14:paraId="6B4B0A98" w14:textId="4365CF9E" w:rsidR="0014514D" w:rsidRPr="00B14EBB" w:rsidRDefault="0014514D" w:rsidP="00545126">
      <w:pPr>
        <w:widowControl w:val="0"/>
        <w:autoSpaceDE w:val="0"/>
        <w:autoSpaceDN w:val="0"/>
        <w:adjustRightInd w:val="0"/>
        <w:jc w:val="both"/>
        <w:rPr>
          <w:sz w:val="22"/>
          <w:szCs w:val="22"/>
          <w:u w:val="single"/>
          <w:lang w:val="sr-Latn-ME" w:eastAsia="sr-Latn-CS"/>
        </w:rPr>
      </w:pPr>
    </w:p>
    <w:p w14:paraId="73BDC0AA" w14:textId="79DB409F"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Posebne populacije</w:t>
      </w:r>
    </w:p>
    <w:p w14:paraId="6787D765" w14:textId="77777777" w:rsidR="0014514D" w:rsidRPr="00B14EBB" w:rsidRDefault="0014514D" w:rsidP="00545126">
      <w:pPr>
        <w:widowControl w:val="0"/>
        <w:autoSpaceDE w:val="0"/>
        <w:autoSpaceDN w:val="0"/>
        <w:adjustRightInd w:val="0"/>
        <w:jc w:val="both"/>
        <w:rPr>
          <w:i/>
          <w:iCs/>
          <w:sz w:val="22"/>
          <w:szCs w:val="22"/>
          <w:lang w:val="sr-Latn-ME" w:eastAsia="sr-Latn-CS"/>
        </w:rPr>
      </w:pPr>
    </w:p>
    <w:p w14:paraId="51952DAC" w14:textId="1AB687E3"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Starije osobe</w:t>
      </w:r>
    </w:p>
    <w:p w14:paraId="6305F952" w14:textId="39A289C0"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rPr>
        <w:t>L</w:t>
      </w:r>
      <w:r w:rsidR="00DD6EC0" w:rsidRPr="00B14EBB">
        <w:rPr>
          <w:sz w:val="22"/>
          <w:szCs w:val="22"/>
          <w:lang w:val="sr-Latn-ME"/>
        </w:rPr>
        <w:t>ij</w:t>
      </w:r>
      <w:r w:rsidRPr="00B14EBB">
        <w:rPr>
          <w:sz w:val="22"/>
          <w:szCs w:val="22"/>
          <w:lang w:val="sr-Latn-ME"/>
        </w:rPr>
        <w:t>ek Teriflunomid Zentiva</w:t>
      </w:r>
      <w:r w:rsidRPr="00B14EBB">
        <w:rPr>
          <w:sz w:val="22"/>
          <w:szCs w:val="22"/>
          <w:lang w:val="sr-Latn-ME" w:eastAsia="sr-Latn-CS"/>
        </w:rPr>
        <w:t xml:space="preserve"> potrebno je prim</w:t>
      </w:r>
      <w:r w:rsidR="00DD6EC0" w:rsidRPr="00B14EBB">
        <w:rPr>
          <w:sz w:val="22"/>
          <w:szCs w:val="22"/>
          <w:lang w:val="sr-Latn-ME" w:eastAsia="sr-Latn-CS"/>
        </w:rPr>
        <w:t>j</w:t>
      </w:r>
      <w:r w:rsidRPr="00B14EBB">
        <w:rPr>
          <w:sz w:val="22"/>
          <w:szCs w:val="22"/>
          <w:lang w:val="sr-Latn-ME" w:eastAsia="sr-Latn-CS"/>
        </w:rPr>
        <w:t xml:space="preserve">enjivati uz oprez kod pacijenata starosti od 65 godina i </w:t>
      </w:r>
      <w:r w:rsidRPr="00B14EBB">
        <w:rPr>
          <w:sz w:val="22"/>
          <w:szCs w:val="22"/>
          <w:lang w:val="sr-Latn-ME" w:eastAsia="sr-Latn-CS"/>
        </w:rPr>
        <w:lastRenderedPageBreak/>
        <w:t>starijih zbog nedovoljno podataka o bezb</w:t>
      </w:r>
      <w:r w:rsidR="00DD6EC0" w:rsidRPr="00B14EBB">
        <w:rPr>
          <w:sz w:val="22"/>
          <w:szCs w:val="22"/>
          <w:lang w:val="sr-Latn-ME" w:eastAsia="sr-Latn-CS"/>
        </w:rPr>
        <w:t>j</w:t>
      </w:r>
      <w:r w:rsidRPr="00B14EBB">
        <w:rPr>
          <w:sz w:val="22"/>
          <w:szCs w:val="22"/>
          <w:lang w:val="sr-Latn-ME" w:eastAsia="sr-Latn-CS"/>
        </w:rPr>
        <w:t>ednosti i efikasnosti l</w:t>
      </w:r>
      <w:r w:rsidR="00DD6EC0" w:rsidRPr="00B14EBB">
        <w:rPr>
          <w:sz w:val="22"/>
          <w:szCs w:val="22"/>
          <w:lang w:val="sr-Latn-ME" w:eastAsia="sr-Latn-CS"/>
        </w:rPr>
        <w:t>ij</w:t>
      </w:r>
      <w:r w:rsidRPr="00B14EBB">
        <w:rPr>
          <w:sz w:val="22"/>
          <w:szCs w:val="22"/>
          <w:lang w:val="sr-Latn-ME" w:eastAsia="sr-Latn-CS"/>
        </w:rPr>
        <w:t>eka.</w:t>
      </w:r>
    </w:p>
    <w:p w14:paraId="30B4B84F" w14:textId="77777777" w:rsidR="0014514D" w:rsidRPr="00B14EBB" w:rsidRDefault="0014514D" w:rsidP="00545126">
      <w:pPr>
        <w:widowControl w:val="0"/>
        <w:autoSpaceDE w:val="0"/>
        <w:autoSpaceDN w:val="0"/>
        <w:adjustRightInd w:val="0"/>
        <w:jc w:val="both"/>
        <w:rPr>
          <w:i/>
          <w:iCs/>
          <w:sz w:val="22"/>
          <w:szCs w:val="22"/>
          <w:lang w:val="sr-Latn-ME" w:eastAsia="sr-Latn-CS"/>
        </w:rPr>
      </w:pPr>
    </w:p>
    <w:p w14:paraId="773AB6D2" w14:textId="6E3635A4"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Oštećenje funkcije bubrega</w:t>
      </w:r>
    </w:p>
    <w:p w14:paraId="2284960B" w14:textId="2B8B6291" w:rsidR="006C05DA" w:rsidRPr="00B14EBB" w:rsidRDefault="006C05DA" w:rsidP="00545126">
      <w:pPr>
        <w:pStyle w:val="BodyText"/>
        <w:widowControl w:val="0"/>
        <w:jc w:val="both"/>
        <w:rPr>
          <w:sz w:val="22"/>
          <w:szCs w:val="22"/>
          <w:lang w:val="sr-Latn-ME"/>
        </w:rPr>
      </w:pPr>
      <w:r w:rsidRPr="00B14EBB">
        <w:rPr>
          <w:sz w:val="22"/>
          <w:szCs w:val="22"/>
          <w:lang w:val="sr-Latn-ME"/>
        </w:rPr>
        <w:t>Nije potrebno prilagođavanje doze kod pacijenata sa blagim, um</w:t>
      </w:r>
      <w:r w:rsidR="00DD6EC0" w:rsidRPr="00B14EBB">
        <w:rPr>
          <w:sz w:val="22"/>
          <w:szCs w:val="22"/>
          <w:lang w:val="sr-Latn-ME"/>
        </w:rPr>
        <w:t>j</w:t>
      </w:r>
      <w:r w:rsidRPr="00B14EBB">
        <w:rPr>
          <w:sz w:val="22"/>
          <w:szCs w:val="22"/>
          <w:lang w:val="sr-Latn-ME"/>
        </w:rPr>
        <w:t>erenim ili teškim oštećenjem funkcije bubrega koji nisu na dijalizi.</w:t>
      </w:r>
    </w:p>
    <w:p w14:paraId="537CF24C" w14:textId="6FA5FD73" w:rsidR="006C05DA" w:rsidRPr="00B14EBB" w:rsidRDefault="006C05DA" w:rsidP="00545126">
      <w:pPr>
        <w:pStyle w:val="BodyText"/>
        <w:widowControl w:val="0"/>
        <w:jc w:val="both"/>
        <w:rPr>
          <w:sz w:val="22"/>
          <w:szCs w:val="22"/>
          <w:lang w:val="sr-Latn-ME"/>
        </w:rPr>
      </w:pPr>
      <w:r w:rsidRPr="00B14EBB">
        <w:rPr>
          <w:sz w:val="22"/>
          <w:szCs w:val="22"/>
          <w:lang w:val="sr-Latn-ME"/>
        </w:rPr>
        <w:t>Pacijenti sa teškim oštećenjem funkcije bubrega koji su na dijalizi nisu ispitivani. Teriflunomid je kontraindikovan u toj populaciji (vid</w:t>
      </w:r>
      <w:r w:rsidR="00DD6EC0" w:rsidRPr="00B14EBB">
        <w:rPr>
          <w:sz w:val="22"/>
          <w:szCs w:val="22"/>
          <w:lang w:val="sr-Latn-ME"/>
        </w:rPr>
        <w:t>j</w:t>
      </w:r>
      <w:r w:rsidRPr="00B14EBB">
        <w:rPr>
          <w:sz w:val="22"/>
          <w:szCs w:val="22"/>
          <w:lang w:val="sr-Latn-ME"/>
        </w:rPr>
        <w:t xml:space="preserve">eti </w:t>
      </w:r>
      <w:r w:rsidR="00F72FA1" w:rsidRPr="00B14EBB">
        <w:rPr>
          <w:sz w:val="22"/>
          <w:szCs w:val="22"/>
          <w:lang w:val="sr-Latn-ME"/>
        </w:rPr>
        <w:t xml:space="preserve">dio </w:t>
      </w:r>
      <w:r w:rsidRPr="00B14EBB">
        <w:rPr>
          <w:sz w:val="22"/>
          <w:szCs w:val="22"/>
          <w:lang w:val="sr-Latn-ME"/>
        </w:rPr>
        <w:t>4.3).</w:t>
      </w:r>
    </w:p>
    <w:p w14:paraId="48B42AF5" w14:textId="77777777" w:rsidR="0014514D" w:rsidRPr="00B14EBB" w:rsidRDefault="0014514D" w:rsidP="00545126">
      <w:pPr>
        <w:widowControl w:val="0"/>
        <w:autoSpaceDE w:val="0"/>
        <w:autoSpaceDN w:val="0"/>
        <w:adjustRightInd w:val="0"/>
        <w:jc w:val="both"/>
        <w:rPr>
          <w:i/>
          <w:iCs/>
          <w:sz w:val="22"/>
          <w:szCs w:val="22"/>
          <w:lang w:val="sr-Latn-ME" w:eastAsia="sr-Latn-CS"/>
        </w:rPr>
      </w:pPr>
    </w:p>
    <w:p w14:paraId="7B682054" w14:textId="2BADE197"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Oštećenje funkcije jetre</w:t>
      </w:r>
    </w:p>
    <w:p w14:paraId="64AD24BC" w14:textId="39E4B513" w:rsidR="006C05DA" w:rsidRPr="00B14EBB" w:rsidRDefault="006C05DA" w:rsidP="00545126">
      <w:pPr>
        <w:pStyle w:val="BodyText"/>
        <w:widowControl w:val="0"/>
        <w:jc w:val="both"/>
        <w:rPr>
          <w:sz w:val="22"/>
          <w:szCs w:val="22"/>
          <w:lang w:val="sr-Latn-ME"/>
        </w:rPr>
      </w:pPr>
      <w:r w:rsidRPr="00B14EBB">
        <w:rPr>
          <w:sz w:val="22"/>
          <w:szCs w:val="22"/>
          <w:lang w:val="sr-Latn-ME"/>
        </w:rPr>
        <w:t>Nije potrebno prilagođavanje doze kod pacijenata sa blagim i um</w:t>
      </w:r>
      <w:r w:rsidR="00DD6EC0" w:rsidRPr="00B14EBB">
        <w:rPr>
          <w:sz w:val="22"/>
          <w:szCs w:val="22"/>
          <w:lang w:val="sr-Latn-ME"/>
        </w:rPr>
        <w:t>j</w:t>
      </w:r>
      <w:r w:rsidRPr="00B14EBB">
        <w:rPr>
          <w:sz w:val="22"/>
          <w:szCs w:val="22"/>
          <w:lang w:val="sr-Latn-ME"/>
        </w:rPr>
        <w:t>erenim oštećenjem funkcije jetre.</w:t>
      </w:r>
    </w:p>
    <w:p w14:paraId="616721A1" w14:textId="163069D6"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Teriflunomid je kontraindikovan kod pacijenata sa teškim oštećenjem funkcije jetre (vid</w:t>
      </w:r>
      <w:r w:rsidR="00DD6EC0" w:rsidRPr="00B14EBB">
        <w:rPr>
          <w:sz w:val="22"/>
          <w:szCs w:val="22"/>
          <w:lang w:val="sr-Latn-ME" w:eastAsia="sr-Latn-CS"/>
        </w:rPr>
        <w:t>j</w:t>
      </w:r>
      <w:r w:rsidRPr="00B14EBB">
        <w:rPr>
          <w:sz w:val="22"/>
          <w:szCs w:val="22"/>
          <w:lang w:val="sr-Latn-ME" w:eastAsia="sr-Latn-CS"/>
        </w:rPr>
        <w:t xml:space="preserve">eti </w:t>
      </w:r>
      <w:r w:rsidR="00F22796" w:rsidRPr="00B14EBB">
        <w:rPr>
          <w:sz w:val="22"/>
          <w:szCs w:val="22"/>
          <w:lang w:val="sr-Latn-ME" w:eastAsia="sr-Latn-CS"/>
        </w:rPr>
        <w:t xml:space="preserve">dio </w:t>
      </w:r>
      <w:r w:rsidRPr="00B14EBB">
        <w:rPr>
          <w:sz w:val="22"/>
          <w:szCs w:val="22"/>
          <w:lang w:val="sr-Latn-ME" w:eastAsia="sr-Latn-CS"/>
        </w:rPr>
        <w:t>4.3).</w:t>
      </w:r>
    </w:p>
    <w:p w14:paraId="50AF5FDA" w14:textId="77777777" w:rsidR="0014514D" w:rsidRPr="00B14EBB" w:rsidRDefault="0014514D" w:rsidP="00545126">
      <w:pPr>
        <w:widowControl w:val="0"/>
        <w:autoSpaceDE w:val="0"/>
        <w:autoSpaceDN w:val="0"/>
        <w:adjustRightInd w:val="0"/>
        <w:jc w:val="both"/>
        <w:rPr>
          <w:i/>
          <w:iCs/>
          <w:sz w:val="22"/>
          <w:szCs w:val="22"/>
          <w:lang w:val="sr-Latn-ME" w:eastAsia="sr-Latn-CS"/>
        </w:rPr>
      </w:pPr>
    </w:p>
    <w:p w14:paraId="4C81F574" w14:textId="12548CEF"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 xml:space="preserve">Pedijatrijska populacija </w:t>
      </w:r>
      <w:r w:rsidRPr="00B14EBB">
        <w:rPr>
          <w:rFonts w:eastAsia="Calibri"/>
          <w:i/>
          <w:iCs/>
          <w:sz w:val="22"/>
          <w:szCs w:val="22"/>
          <w:lang w:val="sr-Latn-ME"/>
        </w:rPr>
        <w:t>(mlađi od 10 godina)</w:t>
      </w:r>
    </w:p>
    <w:p w14:paraId="30B2466C" w14:textId="0042C9DF"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Bezb</w:t>
      </w:r>
      <w:r w:rsidR="00DD6EC0" w:rsidRPr="00B14EBB">
        <w:rPr>
          <w:sz w:val="22"/>
          <w:szCs w:val="22"/>
          <w:lang w:val="sr-Latn-ME" w:eastAsia="sr-Latn-CS"/>
        </w:rPr>
        <w:t>j</w:t>
      </w:r>
      <w:r w:rsidRPr="00B14EBB">
        <w:rPr>
          <w:sz w:val="22"/>
          <w:szCs w:val="22"/>
          <w:lang w:val="sr-Latn-ME" w:eastAsia="sr-Latn-CS"/>
        </w:rPr>
        <w:t>ednost i efikasnost t</w:t>
      </w:r>
      <w:r w:rsidRPr="00B14EBB">
        <w:rPr>
          <w:sz w:val="22"/>
          <w:szCs w:val="22"/>
          <w:lang w:val="sr-Latn-ME"/>
        </w:rPr>
        <w:t xml:space="preserve">eriflunomida </w:t>
      </w:r>
      <w:r w:rsidRPr="00B14EBB">
        <w:rPr>
          <w:sz w:val="22"/>
          <w:szCs w:val="22"/>
          <w:lang w:val="sr-Latn-ME" w:eastAsia="sr-Latn-CS"/>
        </w:rPr>
        <w:t>kod d</w:t>
      </w:r>
      <w:r w:rsidR="00DD6EC0" w:rsidRPr="00B14EBB">
        <w:rPr>
          <w:sz w:val="22"/>
          <w:szCs w:val="22"/>
          <w:lang w:val="sr-Latn-ME" w:eastAsia="sr-Latn-CS"/>
        </w:rPr>
        <w:t>j</w:t>
      </w:r>
      <w:r w:rsidRPr="00B14EBB">
        <w:rPr>
          <w:sz w:val="22"/>
          <w:szCs w:val="22"/>
          <w:lang w:val="sr-Latn-ME" w:eastAsia="sr-Latn-CS"/>
        </w:rPr>
        <w:t xml:space="preserve">ece mlađe od 10 godina nisu još ustanovljene. </w:t>
      </w:r>
    </w:p>
    <w:p w14:paraId="42446A90" w14:textId="77777777" w:rsidR="006C05DA" w:rsidRPr="00B14EBB" w:rsidRDefault="006C05DA" w:rsidP="00545126">
      <w:pPr>
        <w:pStyle w:val="Header"/>
        <w:widowControl w:val="0"/>
        <w:tabs>
          <w:tab w:val="left" w:pos="284"/>
        </w:tabs>
        <w:jc w:val="both"/>
        <w:rPr>
          <w:sz w:val="22"/>
          <w:szCs w:val="22"/>
          <w:lang w:val="sr-Latn-ME"/>
        </w:rPr>
      </w:pPr>
      <w:r w:rsidRPr="00B14EBB">
        <w:rPr>
          <w:sz w:val="22"/>
          <w:szCs w:val="22"/>
          <w:lang w:val="sr-Latn-ME"/>
        </w:rPr>
        <w:t>Nema dostupnih podataka.</w:t>
      </w:r>
    </w:p>
    <w:p w14:paraId="55B8DB2C" w14:textId="77777777" w:rsidR="006C05DA" w:rsidRPr="00B14EBB" w:rsidRDefault="006C05DA" w:rsidP="00545126">
      <w:pPr>
        <w:pStyle w:val="Header"/>
        <w:widowControl w:val="0"/>
        <w:tabs>
          <w:tab w:val="left" w:pos="284"/>
        </w:tabs>
        <w:jc w:val="both"/>
        <w:rPr>
          <w:sz w:val="22"/>
          <w:szCs w:val="22"/>
          <w:lang w:val="sr-Latn-ME"/>
        </w:rPr>
      </w:pPr>
    </w:p>
    <w:p w14:paraId="2FBCFE0D" w14:textId="77777777" w:rsidR="006C05DA" w:rsidRPr="00B14EBB" w:rsidRDefault="006C05DA" w:rsidP="00545126">
      <w:pPr>
        <w:pStyle w:val="Default"/>
        <w:widowControl w:val="0"/>
        <w:jc w:val="both"/>
        <w:rPr>
          <w:sz w:val="22"/>
          <w:szCs w:val="22"/>
          <w:lang w:val="sr-Latn-ME"/>
        </w:rPr>
      </w:pPr>
      <w:r w:rsidRPr="00B14EBB">
        <w:rPr>
          <w:sz w:val="22"/>
          <w:szCs w:val="22"/>
          <w:lang w:val="sr-Latn-ME"/>
        </w:rPr>
        <w:t>Za doze manje od 14 mg, mogu biti dostupne i druge formulacije.</w:t>
      </w:r>
    </w:p>
    <w:p w14:paraId="500F5905" w14:textId="77777777" w:rsidR="00452E9D" w:rsidRPr="00B14EBB" w:rsidRDefault="00452E9D" w:rsidP="00545126">
      <w:pPr>
        <w:widowControl w:val="0"/>
        <w:tabs>
          <w:tab w:val="left" w:pos="540"/>
          <w:tab w:val="left" w:pos="569"/>
        </w:tabs>
        <w:jc w:val="both"/>
        <w:rPr>
          <w:bCs/>
          <w:sz w:val="22"/>
          <w:szCs w:val="22"/>
          <w:u w:val="single"/>
          <w:lang w:val="sr-Latn-ME"/>
        </w:rPr>
      </w:pPr>
    </w:p>
    <w:p w14:paraId="3EAD4828" w14:textId="5A58EB6A" w:rsidR="006C05DA" w:rsidRPr="00B14EBB" w:rsidRDefault="00452E9D" w:rsidP="00545126">
      <w:pPr>
        <w:widowControl w:val="0"/>
        <w:tabs>
          <w:tab w:val="left" w:pos="540"/>
          <w:tab w:val="left" w:pos="569"/>
        </w:tabs>
        <w:jc w:val="both"/>
        <w:rPr>
          <w:lang w:val="sr-Latn-ME"/>
        </w:rPr>
      </w:pPr>
      <w:r w:rsidRPr="00B14EBB">
        <w:rPr>
          <w:bCs/>
          <w:sz w:val="22"/>
          <w:szCs w:val="22"/>
          <w:u w:val="single"/>
          <w:lang w:val="sr-Latn-ME"/>
        </w:rPr>
        <w:t>Način primjene</w:t>
      </w:r>
    </w:p>
    <w:p w14:paraId="0C58BF69" w14:textId="4E3D17B7" w:rsidR="006C05DA" w:rsidRPr="00B14EBB" w:rsidRDefault="006C05DA" w:rsidP="00545126">
      <w:pPr>
        <w:pStyle w:val="Header"/>
        <w:widowControl w:val="0"/>
        <w:tabs>
          <w:tab w:val="left" w:pos="284"/>
        </w:tabs>
        <w:jc w:val="both"/>
        <w:rPr>
          <w:sz w:val="22"/>
          <w:szCs w:val="22"/>
          <w:lang w:val="sr-Latn-ME"/>
        </w:rPr>
      </w:pPr>
      <w:r w:rsidRPr="00B14EBB">
        <w:rPr>
          <w:sz w:val="22"/>
          <w:szCs w:val="22"/>
          <w:lang w:val="sr-Latn-ME"/>
        </w:rPr>
        <w:t>Film tablete nam</w:t>
      </w:r>
      <w:r w:rsidR="006F5928" w:rsidRPr="00B14EBB">
        <w:rPr>
          <w:sz w:val="22"/>
          <w:szCs w:val="22"/>
          <w:lang w:val="sr-Latn-ME"/>
        </w:rPr>
        <w:t>ij</w:t>
      </w:r>
      <w:r w:rsidRPr="00B14EBB">
        <w:rPr>
          <w:sz w:val="22"/>
          <w:szCs w:val="22"/>
          <w:lang w:val="sr-Latn-ME"/>
        </w:rPr>
        <w:t>enjene su za oralnu prim</w:t>
      </w:r>
      <w:r w:rsidR="006F5928" w:rsidRPr="00B14EBB">
        <w:rPr>
          <w:sz w:val="22"/>
          <w:szCs w:val="22"/>
          <w:lang w:val="sr-Latn-ME"/>
        </w:rPr>
        <w:t>j</w:t>
      </w:r>
      <w:r w:rsidRPr="00B14EBB">
        <w:rPr>
          <w:sz w:val="22"/>
          <w:szCs w:val="22"/>
          <w:lang w:val="sr-Latn-ME"/>
        </w:rPr>
        <w:t>enu. Tablete se moraju progutati c</w:t>
      </w:r>
      <w:r w:rsidR="006F5928" w:rsidRPr="00B14EBB">
        <w:rPr>
          <w:sz w:val="22"/>
          <w:szCs w:val="22"/>
          <w:lang w:val="sr-Latn-ME"/>
        </w:rPr>
        <w:t>ij</w:t>
      </w:r>
      <w:r w:rsidRPr="00B14EBB">
        <w:rPr>
          <w:sz w:val="22"/>
          <w:szCs w:val="22"/>
          <w:lang w:val="sr-Latn-ME"/>
        </w:rPr>
        <w:t>ele, sa malo vode.</w:t>
      </w:r>
    </w:p>
    <w:p w14:paraId="43B3C6A2" w14:textId="277A7126" w:rsidR="006C05DA" w:rsidRPr="00B14EBB" w:rsidRDefault="006C05DA" w:rsidP="00545126">
      <w:pPr>
        <w:pStyle w:val="Header"/>
        <w:widowControl w:val="0"/>
        <w:tabs>
          <w:tab w:val="left" w:pos="284"/>
        </w:tabs>
        <w:jc w:val="both"/>
        <w:rPr>
          <w:sz w:val="22"/>
          <w:szCs w:val="22"/>
          <w:lang w:val="sr-Latn-ME"/>
        </w:rPr>
      </w:pPr>
      <w:r w:rsidRPr="00B14EBB">
        <w:rPr>
          <w:sz w:val="22"/>
          <w:szCs w:val="22"/>
          <w:lang w:val="sr-Latn-ME"/>
        </w:rPr>
        <w:t>L</w:t>
      </w:r>
      <w:r w:rsidR="006F5928" w:rsidRPr="00B14EBB">
        <w:rPr>
          <w:sz w:val="22"/>
          <w:szCs w:val="22"/>
          <w:lang w:val="sr-Latn-ME"/>
        </w:rPr>
        <w:t>ij</w:t>
      </w:r>
      <w:r w:rsidRPr="00B14EBB">
        <w:rPr>
          <w:sz w:val="22"/>
          <w:szCs w:val="22"/>
          <w:lang w:val="sr-Latn-ME"/>
        </w:rPr>
        <w:t>ek Teriflunomid Zentiva se može uzeti sa hranom ili bez nje.</w:t>
      </w:r>
    </w:p>
    <w:p w14:paraId="500F5907" w14:textId="77777777" w:rsidR="00452E9D" w:rsidRPr="00B14EBB" w:rsidRDefault="00452E9D" w:rsidP="00545126">
      <w:pPr>
        <w:widowControl w:val="0"/>
        <w:tabs>
          <w:tab w:val="left" w:pos="540"/>
          <w:tab w:val="left" w:pos="569"/>
        </w:tabs>
        <w:jc w:val="both"/>
        <w:rPr>
          <w:bCs/>
          <w:sz w:val="22"/>
          <w:szCs w:val="22"/>
          <w:lang w:val="sr-Latn-ME"/>
        </w:rPr>
      </w:pPr>
    </w:p>
    <w:p w14:paraId="500F5908" w14:textId="6DC55124" w:rsidR="00411B4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4.3. </w:t>
      </w:r>
      <w:r w:rsidR="00480FB1" w:rsidRPr="00B14EBB">
        <w:rPr>
          <w:b/>
          <w:bCs/>
          <w:sz w:val="22"/>
          <w:szCs w:val="22"/>
          <w:lang w:val="sr-Latn-ME"/>
        </w:rPr>
        <w:tab/>
      </w:r>
      <w:r w:rsidRPr="00B14EBB">
        <w:rPr>
          <w:b/>
          <w:bCs/>
          <w:sz w:val="22"/>
          <w:szCs w:val="22"/>
          <w:lang w:val="sr-Latn-ME"/>
        </w:rPr>
        <w:t>Kontraindikacije</w:t>
      </w:r>
    </w:p>
    <w:p w14:paraId="45C6C997" w14:textId="77777777" w:rsidR="00545126" w:rsidRPr="00B14EBB" w:rsidRDefault="00545126" w:rsidP="00545126">
      <w:pPr>
        <w:widowControl w:val="0"/>
        <w:tabs>
          <w:tab w:val="left" w:pos="540"/>
          <w:tab w:val="left" w:pos="569"/>
        </w:tabs>
        <w:jc w:val="both"/>
        <w:rPr>
          <w:b/>
          <w:bCs/>
          <w:sz w:val="22"/>
          <w:szCs w:val="22"/>
          <w:lang w:val="sr-Latn-ME"/>
        </w:rPr>
      </w:pPr>
    </w:p>
    <w:p w14:paraId="7CF6BB2F" w14:textId="36358452"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Preos</w:t>
      </w:r>
      <w:r w:rsidR="006F5928" w:rsidRPr="00B14EBB">
        <w:rPr>
          <w:sz w:val="22"/>
          <w:szCs w:val="22"/>
          <w:lang w:val="sr-Latn-ME" w:eastAsia="sr-Latn-CS"/>
        </w:rPr>
        <w:t>j</w:t>
      </w:r>
      <w:r w:rsidRPr="00B14EBB">
        <w:rPr>
          <w:sz w:val="22"/>
          <w:szCs w:val="22"/>
          <w:lang w:val="sr-Latn-ME" w:eastAsia="sr-Latn-CS"/>
        </w:rPr>
        <w:t>etljivost na aktivnu</w:t>
      </w:r>
      <w:r w:rsidRPr="00B14EBB">
        <w:rPr>
          <w:lang w:val="sr-Latn-ME"/>
        </w:rPr>
        <w:t xml:space="preserve"> </w:t>
      </w:r>
      <w:r w:rsidRPr="00B14EBB">
        <w:rPr>
          <w:sz w:val="22"/>
          <w:szCs w:val="22"/>
          <w:lang w:val="sr-Latn-ME" w:eastAsia="sr-Latn-CS"/>
        </w:rPr>
        <w:t xml:space="preserve">supstancu ili na bilo koju od pomoćnih supstanci navedenih u </w:t>
      </w:r>
      <w:r w:rsidR="001067E1" w:rsidRPr="00B14EBB">
        <w:rPr>
          <w:sz w:val="22"/>
          <w:szCs w:val="22"/>
          <w:lang w:val="sr-Latn-ME" w:eastAsia="sr-Latn-CS"/>
        </w:rPr>
        <w:t xml:space="preserve">dijelu </w:t>
      </w:r>
      <w:r w:rsidRPr="00B14EBB">
        <w:rPr>
          <w:sz w:val="22"/>
          <w:szCs w:val="22"/>
          <w:lang w:val="sr-Latn-ME" w:eastAsia="sr-Latn-CS"/>
        </w:rPr>
        <w:t>6.1.</w:t>
      </w:r>
    </w:p>
    <w:p w14:paraId="207802E5" w14:textId="77777777"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Pacijenti sa teškim oštećenjem funkcije jetre (Child-Pugh klase C).</w:t>
      </w:r>
    </w:p>
    <w:p w14:paraId="3713D8BE" w14:textId="0AC2CD71" w:rsidR="006C05DA" w:rsidRPr="00B14EBB" w:rsidRDefault="006C05DA" w:rsidP="00545126">
      <w:pPr>
        <w:widowControl w:val="0"/>
        <w:numPr>
          <w:ilvl w:val="0"/>
          <w:numId w:val="12"/>
        </w:numPr>
        <w:autoSpaceDE w:val="0"/>
        <w:autoSpaceDN w:val="0"/>
        <w:adjustRightInd w:val="0"/>
        <w:rPr>
          <w:sz w:val="22"/>
          <w:szCs w:val="22"/>
          <w:lang w:val="sr-Latn-ME" w:eastAsia="sr-Latn-CS"/>
        </w:rPr>
      </w:pPr>
      <w:r w:rsidRPr="00B14EBB">
        <w:rPr>
          <w:sz w:val="22"/>
          <w:szCs w:val="22"/>
          <w:lang w:val="sr-Latn-ME" w:eastAsia="sr-Latn-CS"/>
        </w:rPr>
        <w:t>Trudnice ili žene u reproduktivnom dobu koje ne upotrebljavaju pouzdanu kontracepciju tokom l</w:t>
      </w:r>
      <w:r w:rsidR="006F5928" w:rsidRPr="00B14EBB">
        <w:rPr>
          <w:sz w:val="22"/>
          <w:szCs w:val="22"/>
          <w:lang w:val="sr-Latn-ME" w:eastAsia="sr-Latn-CS"/>
        </w:rPr>
        <w:t>ij</w:t>
      </w:r>
      <w:r w:rsidRPr="00B14EBB">
        <w:rPr>
          <w:sz w:val="22"/>
          <w:szCs w:val="22"/>
          <w:lang w:val="sr-Latn-ME" w:eastAsia="sr-Latn-CS"/>
        </w:rPr>
        <w:t>ečenja teriflunomidom i nakon l</w:t>
      </w:r>
      <w:r w:rsidR="006F5928" w:rsidRPr="00B14EBB">
        <w:rPr>
          <w:sz w:val="22"/>
          <w:szCs w:val="22"/>
          <w:lang w:val="sr-Latn-ME" w:eastAsia="sr-Latn-CS"/>
        </w:rPr>
        <w:t>ij</w:t>
      </w:r>
      <w:r w:rsidRPr="00B14EBB">
        <w:rPr>
          <w:sz w:val="22"/>
          <w:szCs w:val="22"/>
          <w:lang w:val="sr-Latn-ME" w:eastAsia="sr-Latn-CS"/>
        </w:rPr>
        <w:t>ečenja sve dok su koncentracije l</w:t>
      </w:r>
      <w:r w:rsidR="006F5928" w:rsidRPr="00B14EBB">
        <w:rPr>
          <w:sz w:val="22"/>
          <w:szCs w:val="22"/>
          <w:lang w:val="sr-Latn-ME" w:eastAsia="sr-Latn-CS"/>
        </w:rPr>
        <w:t>ij</w:t>
      </w:r>
      <w:r w:rsidRPr="00B14EBB">
        <w:rPr>
          <w:sz w:val="22"/>
          <w:szCs w:val="22"/>
          <w:lang w:val="sr-Latn-ME" w:eastAsia="sr-Latn-CS"/>
        </w:rPr>
        <w:t>eka u plazmi iznad 0,02 mg</w:t>
      </w:r>
      <w:r w:rsidR="00545126">
        <w:rPr>
          <w:sz w:val="22"/>
          <w:szCs w:val="22"/>
          <w:lang w:val="sr-Latn-ME" w:eastAsia="sr-Latn-CS"/>
        </w:rPr>
        <w:t>/l</w:t>
      </w:r>
      <w:r w:rsidRPr="00B14EBB">
        <w:rPr>
          <w:sz w:val="22"/>
          <w:szCs w:val="22"/>
          <w:lang w:val="sr-Latn-ME" w:eastAsia="sr-Latn-CS"/>
        </w:rPr>
        <w:t xml:space="preserve"> (vid</w:t>
      </w:r>
      <w:r w:rsidR="006F5928" w:rsidRPr="00B14EBB">
        <w:rPr>
          <w:sz w:val="22"/>
          <w:szCs w:val="22"/>
          <w:lang w:val="sr-Latn-ME" w:eastAsia="sr-Latn-CS"/>
        </w:rPr>
        <w:t>j</w:t>
      </w:r>
      <w:r w:rsidRPr="00B14EBB">
        <w:rPr>
          <w:sz w:val="22"/>
          <w:szCs w:val="22"/>
          <w:lang w:val="sr-Latn-ME" w:eastAsia="sr-Latn-CS"/>
        </w:rPr>
        <w:t xml:space="preserve">eti </w:t>
      </w:r>
      <w:r w:rsidR="003768F2" w:rsidRPr="00B14EBB">
        <w:rPr>
          <w:sz w:val="22"/>
          <w:szCs w:val="22"/>
          <w:lang w:val="sr-Latn-ME" w:eastAsia="sr-Latn-CS"/>
        </w:rPr>
        <w:t xml:space="preserve">dio </w:t>
      </w:r>
      <w:r w:rsidRPr="00B14EBB">
        <w:rPr>
          <w:sz w:val="22"/>
          <w:szCs w:val="22"/>
          <w:lang w:val="sr-Latn-ME" w:eastAsia="sr-Latn-CS"/>
        </w:rPr>
        <w:t xml:space="preserve">4.6). </w:t>
      </w:r>
      <w:r w:rsidRPr="00B14EBB">
        <w:rPr>
          <w:sz w:val="22"/>
          <w:szCs w:val="22"/>
          <w:lang w:val="sr-Latn-ME" w:eastAsia="sr-Latn-CS"/>
        </w:rPr>
        <w:br/>
        <w:t>Pr</w:t>
      </w:r>
      <w:r w:rsidR="006F5928" w:rsidRPr="00B14EBB">
        <w:rPr>
          <w:sz w:val="22"/>
          <w:szCs w:val="22"/>
          <w:lang w:val="sr-Latn-ME" w:eastAsia="sr-Latn-CS"/>
        </w:rPr>
        <w:t>ij</w:t>
      </w:r>
      <w:r w:rsidRPr="00B14EBB">
        <w:rPr>
          <w:sz w:val="22"/>
          <w:szCs w:val="22"/>
          <w:lang w:val="sr-Latn-ME" w:eastAsia="sr-Latn-CS"/>
        </w:rPr>
        <w:t>e početka l</w:t>
      </w:r>
      <w:r w:rsidR="006F5928" w:rsidRPr="00B14EBB">
        <w:rPr>
          <w:sz w:val="22"/>
          <w:szCs w:val="22"/>
          <w:lang w:val="sr-Latn-ME" w:eastAsia="sr-Latn-CS"/>
        </w:rPr>
        <w:t>ij</w:t>
      </w:r>
      <w:r w:rsidRPr="00B14EBB">
        <w:rPr>
          <w:sz w:val="22"/>
          <w:szCs w:val="22"/>
          <w:lang w:val="sr-Latn-ME" w:eastAsia="sr-Latn-CS"/>
        </w:rPr>
        <w:t>ečenja mora se isključiti trudnoća (vid</w:t>
      </w:r>
      <w:r w:rsidR="006F5928" w:rsidRPr="00B14EBB">
        <w:rPr>
          <w:sz w:val="22"/>
          <w:szCs w:val="22"/>
          <w:lang w:val="sr-Latn-ME" w:eastAsia="sr-Latn-CS"/>
        </w:rPr>
        <w:t>j</w:t>
      </w:r>
      <w:r w:rsidRPr="00B14EBB">
        <w:rPr>
          <w:sz w:val="22"/>
          <w:szCs w:val="22"/>
          <w:lang w:val="sr-Latn-ME" w:eastAsia="sr-Latn-CS"/>
        </w:rPr>
        <w:t xml:space="preserve">eti </w:t>
      </w:r>
      <w:r w:rsidR="003768F2" w:rsidRPr="00B14EBB">
        <w:rPr>
          <w:sz w:val="22"/>
          <w:szCs w:val="22"/>
          <w:lang w:val="sr-Latn-ME" w:eastAsia="sr-Latn-CS"/>
        </w:rPr>
        <w:t>dio</w:t>
      </w:r>
      <w:r w:rsidRPr="00B14EBB">
        <w:rPr>
          <w:sz w:val="22"/>
          <w:szCs w:val="22"/>
          <w:lang w:val="sr-Latn-ME" w:eastAsia="sr-Latn-CS"/>
        </w:rPr>
        <w:t xml:space="preserve"> 4.6).</w:t>
      </w:r>
    </w:p>
    <w:p w14:paraId="0F6ECACA" w14:textId="441A03D3"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Dojilje (vid</w:t>
      </w:r>
      <w:r w:rsidR="006F5928" w:rsidRPr="00B14EBB">
        <w:rPr>
          <w:sz w:val="22"/>
          <w:szCs w:val="22"/>
          <w:lang w:val="sr-Latn-ME" w:eastAsia="sr-Latn-CS"/>
        </w:rPr>
        <w:t>j</w:t>
      </w:r>
      <w:r w:rsidRPr="00B14EBB">
        <w:rPr>
          <w:sz w:val="22"/>
          <w:szCs w:val="22"/>
          <w:lang w:val="sr-Latn-ME" w:eastAsia="sr-Latn-CS"/>
        </w:rPr>
        <w:t xml:space="preserve">eti </w:t>
      </w:r>
      <w:r w:rsidR="003768F2" w:rsidRPr="00B14EBB">
        <w:rPr>
          <w:sz w:val="22"/>
          <w:szCs w:val="22"/>
          <w:lang w:val="sr-Latn-ME" w:eastAsia="sr-Latn-CS"/>
        </w:rPr>
        <w:t>dio</w:t>
      </w:r>
      <w:r w:rsidRPr="00B14EBB">
        <w:rPr>
          <w:sz w:val="22"/>
          <w:szCs w:val="22"/>
          <w:lang w:val="sr-Latn-ME" w:eastAsia="sr-Latn-CS"/>
        </w:rPr>
        <w:t xml:space="preserve"> 4.6).</w:t>
      </w:r>
    </w:p>
    <w:p w14:paraId="28667217" w14:textId="77777777"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 xml:space="preserve">Pacijenti sa teškim imunodeficijentnim stanjima, npr. </w:t>
      </w:r>
      <w:r w:rsidRPr="00B14EBB">
        <w:rPr>
          <w:rFonts w:eastAsia="Calibri"/>
          <w:sz w:val="22"/>
          <w:szCs w:val="22"/>
          <w:lang w:val="sr-Latn-ME"/>
        </w:rPr>
        <w:t>sindromom stečene imunodeficijencije (AIDS).</w:t>
      </w:r>
    </w:p>
    <w:p w14:paraId="7D339380" w14:textId="77777777"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Pacijenti sa značajno oštećenom funkcijom koštane srži ili značajnom anemijom, leukopenijom, neutropenijom ili trombocitopenijom.</w:t>
      </w:r>
    </w:p>
    <w:p w14:paraId="3EAE89B7" w14:textId="57FAA4B2"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Pacijenti sa teškom aktivnom infekcijom, do njenog izl</w:t>
      </w:r>
      <w:r w:rsidR="00B31671" w:rsidRPr="00B14EBB">
        <w:rPr>
          <w:sz w:val="22"/>
          <w:szCs w:val="22"/>
          <w:lang w:val="sr-Latn-ME" w:eastAsia="sr-Latn-CS"/>
        </w:rPr>
        <w:t>j</w:t>
      </w:r>
      <w:r w:rsidRPr="00B14EBB">
        <w:rPr>
          <w:sz w:val="22"/>
          <w:szCs w:val="22"/>
          <w:lang w:val="sr-Latn-ME" w:eastAsia="sr-Latn-CS"/>
        </w:rPr>
        <w:t>ečenja (vid</w:t>
      </w:r>
      <w:r w:rsidR="006F5928" w:rsidRPr="00B14EBB">
        <w:rPr>
          <w:sz w:val="22"/>
          <w:szCs w:val="22"/>
          <w:lang w:val="sr-Latn-ME" w:eastAsia="sr-Latn-CS"/>
        </w:rPr>
        <w:t>j</w:t>
      </w:r>
      <w:r w:rsidRPr="00B14EBB">
        <w:rPr>
          <w:sz w:val="22"/>
          <w:szCs w:val="22"/>
          <w:lang w:val="sr-Latn-ME" w:eastAsia="sr-Latn-CS"/>
        </w:rPr>
        <w:t xml:space="preserve">eti </w:t>
      </w:r>
      <w:r w:rsidR="009F70A4" w:rsidRPr="00B14EBB">
        <w:rPr>
          <w:sz w:val="22"/>
          <w:szCs w:val="22"/>
          <w:lang w:val="sr-Latn-ME" w:eastAsia="sr-Latn-CS"/>
        </w:rPr>
        <w:t xml:space="preserve">dio </w:t>
      </w:r>
      <w:r w:rsidRPr="00B14EBB">
        <w:rPr>
          <w:sz w:val="22"/>
          <w:szCs w:val="22"/>
          <w:lang w:val="sr-Latn-ME" w:eastAsia="sr-Latn-CS"/>
        </w:rPr>
        <w:t>4.4).</w:t>
      </w:r>
    </w:p>
    <w:p w14:paraId="48E600D4" w14:textId="77777777" w:rsidR="006C05DA" w:rsidRPr="00B14EBB" w:rsidRDefault="006C05DA" w:rsidP="00545126">
      <w:pPr>
        <w:widowControl w:val="0"/>
        <w:numPr>
          <w:ilvl w:val="0"/>
          <w:numId w:val="12"/>
        </w:numPr>
        <w:autoSpaceDE w:val="0"/>
        <w:autoSpaceDN w:val="0"/>
        <w:adjustRightInd w:val="0"/>
        <w:jc w:val="both"/>
        <w:rPr>
          <w:sz w:val="22"/>
          <w:szCs w:val="22"/>
          <w:lang w:val="sr-Latn-ME" w:eastAsia="sr-Latn-CS"/>
        </w:rPr>
      </w:pPr>
      <w:r w:rsidRPr="00B14EBB">
        <w:rPr>
          <w:sz w:val="22"/>
          <w:szCs w:val="22"/>
          <w:lang w:val="sr-Latn-ME" w:eastAsia="sr-Latn-CS"/>
        </w:rPr>
        <w:t>Pacijenti sa teškim oštećenjem funkcije bubrega na dijalizi, zato što u toj grupi pacijenata nema dovoljno kliničkih iskustava.</w:t>
      </w:r>
    </w:p>
    <w:p w14:paraId="3ABAAC91" w14:textId="77777777" w:rsidR="006C05DA" w:rsidRPr="00B14EBB" w:rsidRDefault="006C05DA" w:rsidP="00545126">
      <w:pPr>
        <w:pStyle w:val="Header"/>
        <w:widowControl w:val="0"/>
        <w:numPr>
          <w:ilvl w:val="0"/>
          <w:numId w:val="12"/>
        </w:numPr>
        <w:tabs>
          <w:tab w:val="clear" w:pos="4320"/>
          <w:tab w:val="clear" w:pos="8640"/>
          <w:tab w:val="left" w:pos="284"/>
        </w:tabs>
        <w:jc w:val="both"/>
        <w:rPr>
          <w:sz w:val="22"/>
          <w:szCs w:val="22"/>
          <w:lang w:val="sr-Latn-ME"/>
        </w:rPr>
      </w:pPr>
      <w:r w:rsidRPr="00B14EBB">
        <w:rPr>
          <w:sz w:val="22"/>
          <w:szCs w:val="22"/>
          <w:lang w:val="sr-Latn-ME" w:eastAsia="sr-Latn-CS"/>
        </w:rPr>
        <w:t>Pacijenti sa teškom hipoproteinemijom, npr. u nefrotskom sindromu.</w:t>
      </w:r>
    </w:p>
    <w:p w14:paraId="500F5909" w14:textId="77777777" w:rsidR="0072020E" w:rsidRPr="00B14EBB" w:rsidRDefault="0072020E" w:rsidP="00545126">
      <w:pPr>
        <w:widowControl w:val="0"/>
        <w:tabs>
          <w:tab w:val="left" w:pos="540"/>
          <w:tab w:val="left" w:pos="569"/>
        </w:tabs>
        <w:jc w:val="both"/>
        <w:rPr>
          <w:bCs/>
          <w:sz w:val="22"/>
          <w:szCs w:val="22"/>
          <w:lang w:val="sr-Latn-ME"/>
        </w:rPr>
      </w:pPr>
    </w:p>
    <w:p w14:paraId="500F590A"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 xml:space="preserve">4.4. </w:t>
      </w:r>
      <w:r w:rsidR="00480FB1" w:rsidRPr="00B14EBB">
        <w:rPr>
          <w:b/>
          <w:bCs/>
          <w:sz w:val="22"/>
          <w:szCs w:val="22"/>
          <w:lang w:val="sr-Latn-ME"/>
        </w:rPr>
        <w:tab/>
      </w:r>
      <w:r w:rsidRPr="00B14EBB">
        <w:rPr>
          <w:b/>
          <w:bCs/>
          <w:sz w:val="22"/>
          <w:szCs w:val="22"/>
          <w:lang w:val="sr-Latn-ME"/>
        </w:rPr>
        <w:t>Posebna upozorenja i mjere opreza pri upotrebi lijeka</w:t>
      </w:r>
    </w:p>
    <w:p w14:paraId="7F2E5763" w14:textId="77777777" w:rsidR="00545126" w:rsidRDefault="00545126" w:rsidP="00545126">
      <w:pPr>
        <w:widowControl w:val="0"/>
        <w:autoSpaceDE w:val="0"/>
        <w:autoSpaceDN w:val="0"/>
        <w:adjustRightInd w:val="0"/>
        <w:jc w:val="both"/>
        <w:rPr>
          <w:sz w:val="22"/>
          <w:szCs w:val="22"/>
          <w:u w:val="single"/>
          <w:lang w:val="sr-Latn-ME" w:eastAsia="sr-Latn-CS"/>
        </w:rPr>
      </w:pPr>
    </w:p>
    <w:p w14:paraId="7AEEB656" w14:textId="57660082"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Nadzor</w:t>
      </w:r>
    </w:p>
    <w:p w14:paraId="00FAE920" w14:textId="77777777" w:rsidR="00E444AC" w:rsidRPr="00B14EBB" w:rsidRDefault="00E444AC" w:rsidP="00545126">
      <w:pPr>
        <w:widowControl w:val="0"/>
        <w:autoSpaceDE w:val="0"/>
        <w:autoSpaceDN w:val="0"/>
        <w:adjustRightInd w:val="0"/>
        <w:jc w:val="both"/>
        <w:rPr>
          <w:i/>
          <w:iCs/>
          <w:sz w:val="22"/>
          <w:szCs w:val="22"/>
          <w:lang w:val="sr-Latn-ME" w:eastAsia="sr-Latn-CS"/>
        </w:rPr>
      </w:pPr>
    </w:p>
    <w:p w14:paraId="32D5FAED" w14:textId="54DB6D3F"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Pr</w:t>
      </w:r>
      <w:r w:rsidR="006F5928" w:rsidRPr="00B14EBB">
        <w:rPr>
          <w:i/>
          <w:iCs/>
          <w:sz w:val="22"/>
          <w:szCs w:val="22"/>
          <w:lang w:val="sr-Latn-ME" w:eastAsia="sr-Latn-CS"/>
        </w:rPr>
        <w:t>ij</w:t>
      </w:r>
      <w:r w:rsidRPr="00B14EBB">
        <w:rPr>
          <w:i/>
          <w:iCs/>
          <w:sz w:val="22"/>
          <w:szCs w:val="22"/>
          <w:lang w:val="sr-Latn-ME" w:eastAsia="sr-Latn-CS"/>
        </w:rPr>
        <w:t>e l</w:t>
      </w:r>
      <w:r w:rsidR="006F5928" w:rsidRPr="00B14EBB">
        <w:rPr>
          <w:i/>
          <w:iCs/>
          <w:sz w:val="22"/>
          <w:szCs w:val="22"/>
          <w:lang w:val="sr-Latn-ME" w:eastAsia="sr-Latn-CS"/>
        </w:rPr>
        <w:t>ij</w:t>
      </w:r>
      <w:r w:rsidRPr="00B14EBB">
        <w:rPr>
          <w:i/>
          <w:iCs/>
          <w:sz w:val="22"/>
          <w:szCs w:val="22"/>
          <w:lang w:val="sr-Latn-ME" w:eastAsia="sr-Latn-CS"/>
        </w:rPr>
        <w:t>ečenja</w:t>
      </w:r>
    </w:p>
    <w:p w14:paraId="56082F56" w14:textId="68E21092" w:rsidR="006C05DA" w:rsidRPr="00B14EBB" w:rsidRDefault="006C05DA" w:rsidP="00545126">
      <w:pPr>
        <w:pStyle w:val="BodyText"/>
        <w:widowControl w:val="0"/>
        <w:jc w:val="both"/>
        <w:rPr>
          <w:sz w:val="22"/>
          <w:szCs w:val="22"/>
          <w:lang w:val="sr-Latn-ME"/>
        </w:rPr>
      </w:pPr>
      <w:r w:rsidRPr="00B14EBB">
        <w:rPr>
          <w:sz w:val="22"/>
          <w:szCs w:val="22"/>
          <w:lang w:val="sr-Latn-ME"/>
        </w:rPr>
        <w:t>Pr</w:t>
      </w:r>
      <w:r w:rsidR="006F5928" w:rsidRPr="00B14EBB">
        <w:rPr>
          <w:sz w:val="22"/>
          <w:szCs w:val="22"/>
          <w:lang w:val="sr-Latn-ME"/>
        </w:rPr>
        <w:t>ij</w:t>
      </w:r>
      <w:r w:rsidRPr="00B14EBB">
        <w:rPr>
          <w:sz w:val="22"/>
          <w:szCs w:val="22"/>
          <w:lang w:val="sr-Latn-ME"/>
        </w:rPr>
        <w:t>e početka l</w:t>
      </w:r>
      <w:r w:rsidR="006F5928" w:rsidRPr="00B14EBB">
        <w:rPr>
          <w:sz w:val="22"/>
          <w:szCs w:val="22"/>
          <w:lang w:val="sr-Latn-ME"/>
        </w:rPr>
        <w:t>ij</w:t>
      </w:r>
      <w:r w:rsidRPr="00B14EBB">
        <w:rPr>
          <w:sz w:val="22"/>
          <w:szCs w:val="22"/>
          <w:lang w:val="sr-Latn-ME"/>
        </w:rPr>
        <w:t>ečenja teriflunomidom treba prov</w:t>
      </w:r>
      <w:r w:rsidR="006F5928" w:rsidRPr="00B14EBB">
        <w:rPr>
          <w:sz w:val="22"/>
          <w:szCs w:val="22"/>
          <w:lang w:val="sr-Latn-ME"/>
        </w:rPr>
        <w:t>j</w:t>
      </w:r>
      <w:r w:rsidRPr="00B14EBB">
        <w:rPr>
          <w:sz w:val="22"/>
          <w:szCs w:val="22"/>
          <w:lang w:val="sr-Latn-ME"/>
        </w:rPr>
        <w:t>eriti:</w:t>
      </w:r>
    </w:p>
    <w:p w14:paraId="130CDCE6" w14:textId="77777777"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krvni pritisak</w:t>
      </w:r>
    </w:p>
    <w:p w14:paraId="6F83112F" w14:textId="77777777"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alanin aminotransferazu/</w:t>
      </w:r>
      <w:r w:rsidRPr="00B14EBB">
        <w:rPr>
          <w:lang w:val="sr-Latn-ME"/>
        </w:rPr>
        <w:t xml:space="preserve"> </w:t>
      </w:r>
      <w:r w:rsidRPr="00B14EBB">
        <w:rPr>
          <w:sz w:val="22"/>
          <w:szCs w:val="22"/>
          <w:lang w:val="sr-Latn-ME" w:eastAsia="sr-Latn-CS"/>
        </w:rPr>
        <w:t>serumsku glutamat-piruvat transaminazu (ALT/SGPT)</w:t>
      </w:r>
    </w:p>
    <w:p w14:paraId="123729AB" w14:textId="77777777"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kompletnu krvnu sliku, uključujući diferencijalnu sliku leukocita i broj trombocita</w:t>
      </w:r>
    </w:p>
    <w:p w14:paraId="3F554506" w14:textId="77777777" w:rsidR="00E444AC" w:rsidRPr="00B14EBB" w:rsidRDefault="00E444AC" w:rsidP="00545126">
      <w:pPr>
        <w:widowControl w:val="0"/>
        <w:autoSpaceDE w:val="0"/>
        <w:autoSpaceDN w:val="0"/>
        <w:adjustRightInd w:val="0"/>
        <w:jc w:val="both"/>
        <w:rPr>
          <w:i/>
          <w:iCs/>
          <w:sz w:val="22"/>
          <w:szCs w:val="22"/>
          <w:lang w:val="sr-Latn-ME" w:eastAsia="sr-Latn-CS"/>
        </w:rPr>
      </w:pPr>
    </w:p>
    <w:p w14:paraId="694646AE" w14:textId="41679F41" w:rsidR="006C05DA" w:rsidRPr="00B14EBB" w:rsidRDefault="006C05DA"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Tokom l</w:t>
      </w:r>
      <w:r w:rsidR="006F5928" w:rsidRPr="00B14EBB">
        <w:rPr>
          <w:i/>
          <w:iCs/>
          <w:sz w:val="22"/>
          <w:szCs w:val="22"/>
          <w:lang w:val="sr-Latn-ME" w:eastAsia="sr-Latn-CS"/>
        </w:rPr>
        <w:t>ij</w:t>
      </w:r>
      <w:r w:rsidRPr="00B14EBB">
        <w:rPr>
          <w:i/>
          <w:iCs/>
          <w:sz w:val="22"/>
          <w:szCs w:val="22"/>
          <w:lang w:val="sr-Latn-ME" w:eastAsia="sr-Latn-CS"/>
        </w:rPr>
        <w:t>ečenja</w:t>
      </w:r>
    </w:p>
    <w:p w14:paraId="48127EF1" w14:textId="2409C08F"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Tokom l</w:t>
      </w:r>
      <w:r w:rsidR="006F5928" w:rsidRPr="00B14EBB">
        <w:rPr>
          <w:sz w:val="22"/>
          <w:szCs w:val="22"/>
          <w:lang w:val="sr-Latn-ME" w:eastAsia="sr-Latn-CS"/>
        </w:rPr>
        <w:t>ij</w:t>
      </w:r>
      <w:r w:rsidRPr="00B14EBB">
        <w:rPr>
          <w:sz w:val="22"/>
          <w:szCs w:val="22"/>
          <w:lang w:val="sr-Latn-ME" w:eastAsia="sr-Latn-CS"/>
        </w:rPr>
        <w:t>ečenja teriflunomidom treba kontrolisati:</w:t>
      </w:r>
    </w:p>
    <w:p w14:paraId="089CB573" w14:textId="77777777"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krvni pritisak</w:t>
      </w:r>
    </w:p>
    <w:p w14:paraId="7EE9C4B4" w14:textId="252CFBCD" w:rsidR="006C05DA" w:rsidRPr="00B14EBB" w:rsidRDefault="006C05DA" w:rsidP="00545126">
      <w:pPr>
        <w:widowControl w:val="0"/>
        <w:numPr>
          <w:ilvl w:val="1"/>
          <w:numId w:val="13"/>
        </w:numPr>
        <w:autoSpaceDE w:val="0"/>
        <w:autoSpaceDN w:val="0"/>
        <w:adjustRightInd w:val="0"/>
        <w:jc w:val="both"/>
        <w:rPr>
          <w:sz w:val="22"/>
          <w:szCs w:val="22"/>
          <w:lang w:val="sr-Latn-ME" w:eastAsia="sr-Latn-CS"/>
        </w:rPr>
      </w:pPr>
      <w:r w:rsidRPr="00B14EBB">
        <w:rPr>
          <w:sz w:val="22"/>
          <w:szCs w:val="22"/>
          <w:lang w:val="sr-Latn-ME" w:eastAsia="sr-Latn-CS"/>
        </w:rPr>
        <w:t>periodično prov</w:t>
      </w:r>
      <w:r w:rsidR="006F5928" w:rsidRPr="00B14EBB">
        <w:rPr>
          <w:sz w:val="22"/>
          <w:szCs w:val="22"/>
          <w:lang w:val="sr-Latn-ME" w:eastAsia="sr-Latn-CS"/>
        </w:rPr>
        <w:t>j</w:t>
      </w:r>
      <w:r w:rsidRPr="00B14EBB">
        <w:rPr>
          <w:sz w:val="22"/>
          <w:szCs w:val="22"/>
          <w:lang w:val="sr-Latn-ME" w:eastAsia="sr-Latn-CS"/>
        </w:rPr>
        <w:t>eriti</w:t>
      </w:r>
    </w:p>
    <w:p w14:paraId="692C3BFA" w14:textId="77777777"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alanin aminotransferazu/ serumsku glutamat-piruvat transaminazu (ALT/SGPT)</w:t>
      </w:r>
    </w:p>
    <w:p w14:paraId="6105D922" w14:textId="451A3DBB" w:rsidR="006C05DA" w:rsidRPr="00B14EBB" w:rsidRDefault="006C05DA" w:rsidP="00545126">
      <w:pPr>
        <w:widowControl w:val="0"/>
        <w:numPr>
          <w:ilvl w:val="1"/>
          <w:numId w:val="13"/>
        </w:numPr>
        <w:autoSpaceDE w:val="0"/>
        <w:autoSpaceDN w:val="0"/>
        <w:adjustRightInd w:val="0"/>
        <w:jc w:val="both"/>
        <w:rPr>
          <w:sz w:val="22"/>
          <w:szCs w:val="22"/>
          <w:lang w:val="sr-Latn-ME" w:eastAsia="sr-Latn-CS"/>
        </w:rPr>
      </w:pPr>
      <w:r w:rsidRPr="00B14EBB">
        <w:rPr>
          <w:sz w:val="22"/>
          <w:szCs w:val="22"/>
          <w:lang w:val="sr-Latn-ME" w:eastAsia="sr-Latn-CS"/>
        </w:rPr>
        <w:t>enzime jetre</w:t>
      </w:r>
      <w:r w:rsidRPr="00B14EBB">
        <w:rPr>
          <w:lang w:val="sr-Latn-ME"/>
        </w:rPr>
        <w:t xml:space="preserve"> </w:t>
      </w:r>
      <w:r w:rsidRPr="00B14EBB">
        <w:rPr>
          <w:sz w:val="22"/>
          <w:szCs w:val="22"/>
          <w:lang w:val="sr-Latn-ME" w:eastAsia="sr-Latn-CS"/>
        </w:rPr>
        <w:t>treba prov</w:t>
      </w:r>
      <w:r w:rsidR="006F5928" w:rsidRPr="00B14EBB">
        <w:rPr>
          <w:sz w:val="22"/>
          <w:szCs w:val="22"/>
          <w:lang w:val="sr-Latn-ME" w:eastAsia="sr-Latn-CS"/>
        </w:rPr>
        <w:t>j</w:t>
      </w:r>
      <w:r w:rsidRPr="00B14EBB">
        <w:rPr>
          <w:sz w:val="22"/>
          <w:szCs w:val="22"/>
          <w:lang w:val="sr-Latn-ME" w:eastAsia="sr-Latn-CS"/>
        </w:rPr>
        <w:t>eravati najmanje svake četiri ned</w:t>
      </w:r>
      <w:r w:rsidR="00B31671" w:rsidRPr="00B14EBB">
        <w:rPr>
          <w:sz w:val="22"/>
          <w:szCs w:val="22"/>
          <w:lang w:val="sr-Latn-ME" w:eastAsia="sr-Latn-CS"/>
        </w:rPr>
        <w:t>j</w:t>
      </w:r>
      <w:r w:rsidRPr="00B14EBB">
        <w:rPr>
          <w:sz w:val="22"/>
          <w:szCs w:val="22"/>
          <w:lang w:val="sr-Latn-ME" w:eastAsia="sr-Latn-CS"/>
        </w:rPr>
        <w:t>elje tokom prvih 6 m</w:t>
      </w:r>
      <w:r w:rsidR="006F5928" w:rsidRPr="00B14EBB">
        <w:rPr>
          <w:sz w:val="22"/>
          <w:szCs w:val="22"/>
          <w:lang w:val="sr-Latn-ME" w:eastAsia="sr-Latn-CS"/>
        </w:rPr>
        <w:t>j</w:t>
      </w:r>
      <w:r w:rsidRPr="00B14EBB">
        <w:rPr>
          <w:sz w:val="22"/>
          <w:szCs w:val="22"/>
          <w:lang w:val="sr-Latn-ME" w:eastAsia="sr-Latn-CS"/>
        </w:rPr>
        <w:t xml:space="preserve">eseci </w:t>
      </w:r>
      <w:r w:rsidRPr="00B14EBB">
        <w:rPr>
          <w:sz w:val="22"/>
          <w:szCs w:val="22"/>
          <w:lang w:val="sr-Latn-ME" w:eastAsia="sr-Latn-CS"/>
        </w:rPr>
        <w:lastRenderedPageBreak/>
        <w:t>l</w:t>
      </w:r>
      <w:r w:rsidR="006F5928" w:rsidRPr="00B14EBB">
        <w:rPr>
          <w:sz w:val="22"/>
          <w:szCs w:val="22"/>
          <w:lang w:val="sr-Latn-ME" w:eastAsia="sr-Latn-CS"/>
        </w:rPr>
        <w:t>ij</w:t>
      </w:r>
      <w:r w:rsidRPr="00B14EBB">
        <w:rPr>
          <w:sz w:val="22"/>
          <w:szCs w:val="22"/>
          <w:lang w:val="sr-Latn-ME" w:eastAsia="sr-Latn-CS"/>
        </w:rPr>
        <w:t>ečenja i redovno ih kontrolisati posl</w:t>
      </w:r>
      <w:r w:rsidR="006F5928" w:rsidRPr="00B14EBB">
        <w:rPr>
          <w:sz w:val="22"/>
          <w:szCs w:val="22"/>
          <w:lang w:val="sr-Latn-ME" w:eastAsia="sr-Latn-CS"/>
        </w:rPr>
        <w:t>ij</w:t>
      </w:r>
      <w:r w:rsidRPr="00B14EBB">
        <w:rPr>
          <w:sz w:val="22"/>
          <w:szCs w:val="22"/>
          <w:lang w:val="sr-Latn-ME" w:eastAsia="sr-Latn-CS"/>
        </w:rPr>
        <w:t>e toga</w:t>
      </w:r>
    </w:p>
    <w:p w14:paraId="3867DC19" w14:textId="7A53D6D2" w:rsidR="006C05DA" w:rsidRPr="00B14EBB" w:rsidRDefault="006C05DA" w:rsidP="00545126">
      <w:pPr>
        <w:pStyle w:val="ListParagraph"/>
        <w:widowControl w:val="0"/>
        <w:numPr>
          <w:ilvl w:val="1"/>
          <w:numId w:val="13"/>
        </w:numPr>
        <w:rPr>
          <w:rFonts w:ascii="Times New Roman" w:hAnsi="Times New Roman"/>
          <w:sz w:val="22"/>
          <w:szCs w:val="22"/>
          <w:lang w:val="sr-Latn-ME" w:eastAsia="sr-Latn-CS"/>
        </w:rPr>
      </w:pPr>
      <w:r w:rsidRPr="00B14EBB">
        <w:rPr>
          <w:rFonts w:ascii="Times New Roman" w:hAnsi="Times New Roman"/>
          <w:sz w:val="22"/>
          <w:szCs w:val="22"/>
          <w:lang w:val="sr-Latn-ME" w:eastAsia="sr-Latn-CS"/>
        </w:rPr>
        <w:t>razmotrite dodatno praćenje kada se teriflunomid daje pacijentima sa postojećim poremećajima jetre, kada se daje sa drugim potencijalno hepatotoksičnim l</w:t>
      </w:r>
      <w:r w:rsidR="006F5928" w:rsidRPr="00B14EBB">
        <w:rPr>
          <w:rFonts w:ascii="Times New Roman" w:hAnsi="Times New Roman"/>
          <w:sz w:val="22"/>
          <w:szCs w:val="22"/>
          <w:lang w:val="sr-Latn-ME" w:eastAsia="sr-Latn-CS"/>
        </w:rPr>
        <w:t>j</w:t>
      </w:r>
      <w:r w:rsidRPr="00B14EBB">
        <w:rPr>
          <w:rFonts w:ascii="Times New Roman" w:hAnsi="Times New Roman"/>
          <w:sz w:val="22"/>
          <w:szCs w:val="22"/>
          <w:lang w:val="sr-Latn-ME" w:eastAsia="sr-Latn-CS"/>
        </w:rPr>
        <w:t>ekovima ili po potrebi u skladu sa kliničkim zna</w:t>
      </w:r>
      <w:r w:rsidR="00B31671" w:rsidRPr="00B14EBB">
        <w:rPr>
          <w:rFonts w:ascii="Times New Roman" w:hAnsi="Times New Roman"/>
          <w:sz w:val="22"/>
          <w:szCs w:val="22"/>
          <w:lang w:val="sr-Latn-ME" w:eastAsia="sr-Latn-CS"/>
        </w:rPr>
        <w:t>cima</w:t>
      </w:r>
      <w:r w:rsidRPr="00B14EBB">
        <w:rPr>
          <w:rFonts w:ascii="Times New Roman" w:hAnsi="Times New Roman"/>
          <w:sz w:val="22"/>
          <w:szCs w:val="22"/>
          <w:lang w:val="sr-Latn-ME" w:eastAsia="sr-Latn-CS"/>
        </w:rPr>
        <w:t xml:space="preserve"> i simptomima kao što su neobjašnjiva mučnina, povraćanje, bol u abdomenu, umor, anoreksija ili žutica i/ili tamna mokraća. Enzime jetre treba odrediti svake dv</w:t>
      </w:r>
      <w:r w:rsidR="006F5928" w:rsidRPr="00B14EBB">
        <w:rPr>
          <w:rFonts w:ascii="Times New Roman" w:hAnsi="Times New Roman"/>
          <w:sz w:val="22"/>
          <w:szCs w:val="22"/>
          <w:lang w:val="sr-Latn-ME" w:eastAsia="sr-Latn-CS"/>
        </w:rPr>
        <w:t>ij</w:t>
      </w:r>
      <w:r w:rsidRPr="00B14EBB">
        <w:rPr>
          <w:rFonts w:ascii="Times New Roman" w:hAnsi="Times New Roman"/>
          <w:sz w:val="22"/>
          <w:szCs w:val="22"/>
          <w:lang w:val="sr-Latn-ME" w:eastAsia="sr-Latn-CS"/>
        </w:rPr>
        <w:t>e ned</w:t>
      </w:r>
      <w:r w:rsidR="00B31671" w:rsidRPr="00B14EBB">
        <w:rPr>
          <w:rFonts w:ascii="Times New Roman" w:hAnsi="Times New Roman"/>
          <w:sz w:val="22"/>
          <w:szCs w:val="22"/>
          <w:lang w:val="sr-Latn-ME" w:eastAsia="sr-Latn-CS"/>
        </w:rPr>
        <w:t>j</w:t>
      </w:r>
      <w:r w:rsidRPr="00B14EBB">
        <w:rPr>
          <w:rFonts w:ascii="Times New Roman" w:hAnsi="Times New Roman"/>
          <w:sz w:val="22"/>
          <w:szCs w:val="22"/>
          <w:lang w:val="sr-Latn-ME" w:eastAsia="sr-Latn-CS"/>
        </w:rPr>
        <w:t>elje tokom prvih 6 m</w:t>
      </w:r>
      <w:r w:rsidR="006F5928" w:rsidRPr="00B14EBB">
        <w:rPr>
          <w:rFonts w:ascii="Times New Roman" w:hAnsi="Times New Roman"/>
          <w:sz w:val="22"/>
          <w:szCs w:val="22"/>
          <w:lang w:val="sr-Latn-ME" w:eastAsia="sr-Latn-CS"/>
        </w:rPr>
        <w:t>j</w:t>
      </w:r>
      <w:r w:rsidRPr="00B14EBB">
        <w:rPr>
          <w:rFonts w:ascii="Times New Roman" w:hAnsi="Times New Roman"/>
          <w:sz w:val="22"/>
          <w:szCs w:val="22"/>
          <w:lang w:val="sr-Latn-ME" w:eastAsia="sr-Latn-CS"/>
        </w:rPr>
        <w:t>eseci l</w:t>
      </w:r>
      <w:r w:rsidR="006F5928" w:rsidRPr="00B14EBB">
        <w:rPr>
          <w:rFonts w:ascii="Times New Roman" w:hAnsi="Times New Roman"/>
          <w:sz w:val="22"/>
          <w:szCs w:val="22"/>
          <w:lang w:val="sr-Latn-ME" w:eastAsia="sr-Latn-CS"/>
        </w:rPr>
        <w:t>ij</w:t>
      </w:r>
      <w:r w:rsidRPr="00B14EBB">
        <w:rPr>
          <w:rFonts w:ascii="Times New Roman" w:hAnsi="Times New Roman"/>
          <w:sz w:val="22"/>
          <w:szCs w:val="22"/>
          <w:lang w:val="sr-Latn-ME" w:eastAsia="sr-Latn-CS"/>
        </w:rPr>
        <w:t>ečenja, a nakon toga najmanje svakih 8 ned</w:t>
      </w:r>
      <w:r w:rsidR="00B31671" w:rsidRPr="00B14EBB">
        <w:rPr>
          <w:rFonts w:ascii="Times New Roman" w:hAnsi="Times New Roman"/>
          <w:sz w:val="22"/>
          <w:szCs w:val="22"/>
          <w:lang w:val="sr-Latn-ME" w:eastAsia="sr-Latn-CS"/>
        </w:rPr>
        <w:t>j</w:t>
      </w:r>
      <w:r w:rsidRPr="00B14EBB">
        <w:rPr>
          <w:rFonts w:ascii="Times New Roman" w:hAnsi="Times New Roman"/>
          <w:sz w:val="22"/>
          <w:szCs w:val="22"/>
          <w:lang w:val="sr-Latn-ME" w:eastAsia="sr-Latn-CS"/>
        </w:rPr>
        <w:t>elja tokom najmanje 2 godine od početka l</w:t>
      </w:r>
      <w:r w:rsidR="006F5928" w:rsidRPr="00B14EBB">
        <w:rPr>
          <w:rFonts w:ascii="Times New Roman" w:hAnsi="Times New Roman"/>
          <w:sz w:val="22"/>
          <w:szCs w:val="22"/>
          <w:lang w:val="sr-Latn-ME" w:eastAsia="sr-Latn-CS"/>
        </w:rPr>
        <w:t>ij</w:t>
      </w:r>
      <w:r w:rsidRPr="00B14EBB">
        <w:rPr>
          <w:rFonts w:ascii="Times New Roman" w:hAnsi="Times New Roman"/>
          <w:sz w:val="22"/>
          <w:szCs w:val="22"/>
          <w:lang w:val="sr-Latn-ME" w:eastAsia="sr-Latn-CS"/>
        </w:rPr>
        <w:t>ečenja.</w:t>
      </w:r>
    </w:p>
    <w:p w14:paraId="03737065" w14:textId="17AE6EB3" w:rsidR="006C05DA" w:rsidRPr="00B14EBB" w:rsidRDefault="006C05DA" w:rsidP="00545126">
      <w:pPr>
        <w:pStyle w:val="ListParagraph"/>
        <w:widowControl w:val="0"/>
        <w:numPr>
          <w:ilvl w:val="1"/>
          <w:numId w:val="13"/>
        </w:numPr>
        <w:rPr>
          <w:rFonts w:ascii="Times New Roman" w:hAnsi="Times New Roman"/>
          <w:sz w:val="22"/>
          <w:szCs w:val="22"/>
          <w:lang w:val="sr-Latn-ME" w:eastAsia="sr-Latn-CS"/>
        </w:rPr>
      </w:pPr>
      <w:r w:rsidRPr="00B14EBB">
        <w:rPr>
          <w:rFonts w:ascii="Times New Roman" w:hAnsi="Times New Roman"/>
          <w:sz w:val="22"/>
          <w:szCs w:val="22"/>
          <w:lang w:val="sr-Latn-ME" w:eastAsia="sr-Latn-CS"/>
        </w:rPr>
        <w:t>ako ALT (SGPT) poraste 2 do 3 puta iznad gornje granice normale, vr</w:t>
      </w:r>
      <w:r w:rsidR="006F5928" w:rsidRPr="00B14EBB">
        <w:rPr>
          <w:rFonts w:ascii="Times New Roman" w:hAnsi="Times New Roman"/>
          <w:sz w:val="22"/>
          <w:szCs w:val="22"/>
          <w:lang w:val="sr-Latn-ME" w:eastAsia="sr-Latn-CS"/>
        </w:rPr>
        <w:t>ij</w:t>
      </w:r>
      <w:r w:rsidRPr="00B14EBB">
        <w:rPr>
          <w:rFonts w:ascii="Times New Roman" w:hAnsi="Times New Roman"/>
          <w:sz w:val="22"/>
          <w:szCs w:val="22"/>
          <w:lang w:val="sr-Latn-ME" w:eastAsia="sr-Latn-CS"/>
        </w:rPr>
        <w:t>ednosti enzima se moraju određivati svake ned</w:t>
      </w:r>
      <w:r w:rsidR="00B31671" w:rsidRPr="00B14EBB">
        <w:rPr>
          <w:rFonts w:ascii="Times New Roman" w:hAnsi="Times New Roman"/>
          <w:sz w:val="22"/>
          <w:szCs w:val="22"/>
          <w:lang w:val="sr-Latn-ME" w:eastAsia="sr-Latn-CS"/>
        </w:rPr>
        <w:t>j</w:t>
      </w:r>
      <w:r w:rsidRPr="00B14EBB">
        <w:rPr>
          <w:rFonts w:ascii="Times New Roman" w:hAnsi="Times New Roman"/>
          <w:sz w:val="22"/>
          <w:szCs w:val="22"/>
          <w:lang w:val="sr-Latn-ME" w:eastAsia="sr-Latn-CS"/>
        </w:rPr>
        <w:t>elje.</w:t>
      </w:r>
    </w:p>
    <w:p w14:paraId="7EAB86D7" w14:textId="15326DFC" w:rsidR="006C05DA" w:rsidRPr="00B14EBB" w:rsidRDefault="006C05DA" w:rsidP="00545126">
      <w:pPr>
        <w:widowControl w:val="0"/>
        <w:numPr>
          <w:ilvl w:val="0"/>
          <w:numId w:val="13"/>
        </w:numPr>
        <w:autoSpaceDE w:val="0"/>
        <w:autoSpaceDN w:val="0"/>
        <w:adjustRightInd w:val="0"/>
        <w:jc w:val="both"/>
        <w:rPr>
          <w:sz w:val="22"/>
          <w:szCs w:val="22"/>
          <w:lang w:val="sr-Latn-ME" w:eastAsia="sr-Latn-CS"/>
        </w:rPr>
      </w:pPr>
      <w:r w:rsidRPr="00B14EBB">
        <w:rPr>
          <w:sz w:val="22"/>
          <w:szCs w:val="22"/>
          <w:lang w:val="sr-Latn-ME" w:eastAsia="sr-Latn-CS"/>
        </w:rPr>
        <w:t>tokom l</w:t>
      </w:r>
      <w:r w:rsidR="006F5928" w:rsidRPr="00B14EBB">
        <w:rPr>
          <w:sz w:val="22"/>
          <w:szCs w:val="22"/>
          <w:lang w:val="sr-Latn-ME" w:eastAsia="sr-Latn-CS"/>
        </w:rPr>
        <w:t>ij</w:t>
      </w:r>
      <w:r w:rsidRPr="00B14EBB">
        <w:rPr>
          <w:sz w:val="22"/>
          <w:szCs w:val="22"/>
          <w:lang w:val="sr-Latn-ME" w:eastAsia="sr-Latn-CS"/>
        </w:rPr>
        <w:t>ečenja treba uraditi kompletnu krvnu sliku na osnovu kliničkih znak</w:t>
      </w:r>
      <w:r w:rsidR="00B31671" w:rsidRPr="00B14EBB">
        <w:rPr>
          <w:sz w:val="22"/>
          <w:szCs w:val="22"/>
          <w:lang w:val="sr-Latn-ME" w:eastAsia="sr-Latn-CS"/>
        </w:rPr>
        <w:t>ov</w:t>
      </w:r>
      <w:r w:rsidRPr="00B14EBB">
        <w:rPr>
          <w:sz w:val="22"/>
          <w:szCs w:val="22"/>
          <w:lang w:val="sr-Latn-ME" w:eastAsia="sr-Latn-CS"/>
        </w:rPr>
        <w:t>a i simptoma (npr. infekcija).</w:t>
      </w:r>
    </w:p>
    <w:p w14:paraId="2EB27EAD" w14:textId="77777777" w:rsidR="00545126" w:rsidRDefault="00545126" w:rsidP="00545126">
      <w:pPr>
        <w:widowControl w:val="0"/>
        <w:autoSpaceDE w:val="0"/>
        <w:autoSpaceDN w:val="0"/>
        <w:adjustRightInd w:val="0"/>
        <w:jc w:val="both"/>
        <w:rPr>
          <w:sz w:val="22"/>
          <w:szCs w:val="22"/>
          <w:u w:val="single"/>
          <w:lang w:val="sr-Latn-ME" w:eastAsia="sr-Latn-CS"/>
        </w:rPr>
      </w:pPr>
    </w:p>
    <w:p w14:paraId="1560D022" w14:textId="56DE716E"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Postupak ubrzane eliminacije</w:t>
      </w:r>
    </w:p>
    <w:p w14:paraId="3E1D5CBA" w14:textId="115F85AD" w:rsidR="006C05DA" w:rsidRPr="00B14EBB" w:rsidRDefault="006C05DA" w:rsidP="00545126">
      <w:pPr>
        <w:pStyle w:val="BodyText"/>
        <w:widowControl w:val="0"/>
        <w:jc w:val="both"/>
        <w:rPr>
          <w:sz w:val="22"/>
          <w:szCs w:val="22"/>
          <w:lang w:val="sr-Latn-ME"/>
        </w:rPr>
      </w:pPr>
      <w:r w:rsidRPr="00B14EBB">
        <w:rPr>
          <w:sz w:val="22"/>
          <w:szCs w:val="22"/>
          <w:lang w:val="sr-Latn-ME"/>
        </w:rPr>
        <w:t>Teriflunomid se sporo eliminiše iz plazme. Bez postupka ubrzane eliminacije u pros</w:t>
      </w:r>
      <w:r w:rsidR="006F5928" w:rsidRPr="00B14EBB">
        <w:rPr>
          <w:sz w:val="22"/>
          <w:szCs w:val="22"/>
          <w:lang w:val="sr-Latn-ME"/>
        </w:rPr>
        <w:t>j</w:t>
      </w:r>
      <w:r w:rsidRPr="00B14EBB">
        <w:rPr>
          <w:sz w:val="22"/>
          <w:szCs w:val="22"/>
          <w:lang w:val="sr-Latn-ME"/>
        </w:rPr>
        <w:t>eku je potrebno 8 m</w:t>
      </w:r>
      <w:r w:rsidR="006F5928" w:rsidRPr="00B14EBB">
        <w:rPr>
          <w:sz w:val="22"/>
          <w:szCs w:val="22"/>
          <w:lang w:val="sr-Latn-ME"/>
        </w:rPr>
        <w:t>j</w:t>
      </w:r>
      <w:r w:rsidRPr="00B14EBB">
        <w:rPr>
          <w:sz w:val="22"/>
          <w:szCs w:val="22"/>
          <w:lang w:val="sr-Latn-ME"/>
        </w:rPr>
        <w:t>eseci da se koncentracija u plazmi spusti ispod 0,02 mg</w:t>
      </w:r>
      <w:r w:rsidR="00545126">
        <w:rPr>
          <w:sz w:val="22"/>
          <w:szCs w:val="22"/>
          <w:lang w:val="sr-Latn-ME"/>
        </w:rPr>
        <w:t>/l</w:t>
      </w:r>
      <w:r w:rsidRPr="00B14EBB">
        <w:rPr>
          <w:sz w:val="22"/>
          <w:szCs w:val="22"/>
          <w:lang w:val="sr-Latn-ME"/>
        </w:rPr>
        <w:t>, mada zbog individualnih varijacija u klirensu različitih supstanci to može potrajati i do 2 godine. Postupak ubrzane eliminacije se može prim</w:t>
      </w:r>
      <w:r w:rsidR="006F5928" w:rsidRPr="00B14EBB">
        <w:rPr>
          <w:sz w:val="22"/>
          <w:szCs w:val="22"/>
          <w:lang w:val="sr-Latn-ME"/>
        </w:rPr>
        <w:t>ij</w:t>
      </w:r>
      <w:r w:rsidRPr="00B14EBB">
        <w:rPr>
          <w:sz w:val="22"/>
          <w:szCs w:val="22"/>
          <w:lang w:val="sr-Latn-ME"/>
        </w:rPr>
        <w:t>eniti u bilo kom trenutku nakon prekida prim</w:t>
      </w:r>
      <w:r w:rsidR="006F5928" w:rsidRPr="00B14EBB">
        <w:rPr>
          <w:sz w:val="22"/>
          <w:szCs w:val="22"/>
          <w:lang w:val="sr-Latn-ME"/>
        </w:rPr>
        <w:t>j</w:t>
      </w:r>
      <w:r w:rsidRPr="00B14EBB">
        <w:rPr>
          <w:sz w:val="22"/>
          <w:szCs w:val="22"/>
          <w:lang w:val="sr-Latn-ME"/>
        </w:rPr>
        <w:t>ene teriflunomida (za detalje o proceduri vid</w:t>
      </w:r>
      <w:r w:rsidR="006F5928" w:rsidRPr="00B14EBB">
        <w:rPr>
          <w:sz w:val="22"/>
          <w:szCs w:val="22"/>
          <w:lang w:val="sr-Latn-ME"/>
        </w:rPr>
        <w:t>j</w:t>
      </w:r>
      <w:r w:rsidRPr="00B14EBB">
        <w:rPr>
          <w:sz w:val="22"/>
          <w:szCs w:val="22"/>
          <w:lang w:val="sr-Latn-ME"/>
        </w:rPr>
        <w:t xml:space="preserve">eti </w:t>
      </w:r>
      <w:r w:rsidR="00CD3931" w:rsidRPr="00B14EBB">
        <w:rPr>
          <w:sz w:val="22"/>
          <w:szCs w:val="22"/>
          <w:lang w:val="sr-Latn-ME"/>
        </w:rPr>
        <w:t xml:space="preserve">djelove </w:t>
      </w:r>
      <w:r w:rsidRPr="00B14EBB">
        <w:rPr>
          <w:sz w:val="22"/>
          <w:szCs w:val="22"/>
          <w:lang w:val="sr-Latn-ME"/>
        </w:rPr>
        <w:t>4.6 i 5.2).</w:t>
      </w:r>
    </w:p>
    <w:p w14:paraId="754335BF" w14:textId="77777777" w:rsidR="00545126" w:rsidRDefault="00545126" w:rsidP="00545126">
      <w:pPr>
        <w:widowControl w:val="0"/>
        <w:autoSpaceDE w:val="0"/>
        <w:autoSpaceDN w:val="0"/>
        <w:adjustRightInd w:val="0"/>
        <w:jc w:val="both"/>
        <w:rPr>
          <w:sz w:val="22"/>
          <w:szCs w:val="22"/>
          <w:u w:val="single"/>
          <w:lang w:val="sr-Latn-ME" w:eastAsia="sr-Latn-CS"/>
        </w:rPr>
      </w:pPr>
    </w:p>
    <w:p w14:paraId="077B2424" w14:textId="05284748"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D</w:t>
      </w:r>
      <w:r w:rsidR="006F5928" w:rsidRPr="00B14EBB">
        <w:rPr>
          <w:sz w:val="22"/>
          <w:szCs w:val="22"/>
          <w:u w:val="single"/>
          <w:lang w:val="sr-Latn-ME" w:eastAsia="sr-Latn-CS"/>
        </w:rPr>
        <w:t>j</w:t>
      </w:r>
      <w:r w:rsidRPr="00B14EBB">
        <w:rPr>
          <w:sz w:val="22"/>
          <w:szCs w:val="22"/>
          <w:u w:val="single"/>
          <w:lang w:val="sr-Latn-ME" w:eastAsia="sr-Latn-CS"/>
        </w:rPr>
        <w:t>elovanje na jetru</w:t>
      </w:r>
    </w:p>
    <w:p w14:paraId="1A262104" w14:textId="4B71FF2E" w:rsidR="006C05DA" w:rsidRPr="00B14EBB" w:rsidRDefault="006C05DA" w:rsidP="00545126">
      <w:pPr>
        <w:pStyle w:val="BodyText"/>
        <w:widowControl w:val="0"/>
        <w:jc w:val="both"/>
        <w:rPr>
          <w:sz w:val="22"/>
          <w:szCs w:val="22"/>
          <w:lang w:val="sr-Latn-ME"/>
        </w:rPr>
      </w:pPr>
      <w:r w:rsidRPr="00B14EBB">
        <w:rPr>
          <w:sz w:val="22"/>
          <w:szCs w:val="22"/>
          <w:lang w:val="sr-Latn-ME"/>
        </w:rPr>
        <w:t>Kod pacijenata koji primaju teriflunomid prim</w:t>
      </w:r>
      <w:r w:rsidR="006F5928" w:rsidRPr="00B14EBB">
        <w:rPr>
          <w:sz w:val="22"/>
          <w:szCs w:val="22"/>
          <w:lang w:val="sr-Latn-ME"/>
        </w:rPr>
        <w:t>ij</w:t>
      </w:r>
      <w:r w:rsidRPr="00B14EBB">
        <w:rPr>
          <w:sz w:val="22"/>
          <w:szCs w:val="22"/>
          <w:lang w:val="sr-Latn-ME"/>
        </w:rPr>
        <w:t>ećeno je povećanje vr</w:t>
      </w:r>
      <w:r w:rsidR="006F5928" w:rsidRPr="00B14EBB">
        <w:rPr>
          <w:sz w:val="22"/>
          <w:szCs w:val="22"/>
          <w:lang w:val="sr-Latn-ME"/>
        </w:rPr>
        <w:t>ij</w:t>
      </w:r>
      <w:r w:rsidRPr="00B14EBB">
        <w:rPr>
          <w:sz w:val="22"/>
          <w:szCs w:val="22"/>
          <w:lang w:val="sr-Latn-ME"/>
        </w:rPr>
        <w:t>ednosti enzima jetre (vid</w:t>
      </w:r>
      <w:r w:rsidR="006F5928" w:rsidRPr="00B14EBB">
        <w:rPr>
          <w:sz w:val="22"/>
          <w:szCs w:val="22"/>
          <w:lang w:val="sr-Latn-ME"/>
        </w:rPr>
        <w:t>j</w:t>
      </w:r>
      <w:r w:rsidRPr="00B14EBB">
        <w:rPr>
          <w:sz w:val="22"/>
          <w:szCs w:val="22"/>
          <w:lang w:val="sr-Latn-ME"/>
        </w:rPr>
        <w:t xml:space="preserve">eti </w:t>
      </w:r>
      <w:r w:rsidR="00CD3931" w:rsidRPr="00B14EBB">
        <w:rPr>
          <w:sz w:val="22"/>
          <w:szCs w:val="22"/>
          <w:lang w:val="sr-Latn-ME"/>
        </w:rPr>
        <w:t xml:space="preserve">dio </w:t>
      </w:r>
      <w:r w:rsidRPr="00B14EBB">
        <w:rPr>
          <w:sz w:val="22"/>
          <w:szCs w:val="22"/>
          <w:lang w:val="sr-Latn-ME"/>
        </w:rPr>
        <w:t>4.8). Ta povećanja su uglavnom nastupila u prvih 6 m</w:t>
      </w:r>
      <w:r w:rsidR="006F5928" w:rsidRPr="00B14EBB">
        <w:rPr>
          <w:sz w:val="22"/>
          <w:szCs w:val="22"/>
          <w:lang w:val="sr-Latn-ME"/>
        </w:rPr>
        <w:t>j</w:t>
      </w:r>
      <w:r w:rsidRPr="00B14EBB">
        <w:rPr>
          <w:sz w:val="22"/>
          <w:szCs w:val="22"/>
          <w:lang w:val="sr-Latn-ME"/>
        </w:rPr>
        <w:t>eseci l</w:t>
      </w:r>
      <w:r w:rsidR="006F5928" w:rsidRPr="00B14EBB">
        <w:rPr>
          <w:sz w:val="22"/>
          <w:szCs w:val="22"/>
          <w:lang w:val="sr-Latn-ME"/>
        </w:rPr>
        <w:t>ij</w:t>
      </w:r>
      <w:r w:rsidRPr="00B14EBB">
        <w:rPr>
          <w:sz w:val="22"/>
          <w:szCs w:val="22"/>
          <w:lang w:val="sr-Latn-ME"/>
        </w:rPr>
        <w:t>ečenja.</w:t>
      </w:r>
    </w:p>
    <w:p w14:paraId="43CD692D" w14:textId="6CDD5472"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Tokom l</w:t>
      </w:r>
      <w:r w:rsidR="006F5928" w:rsidRPr="00B14EBB">
        <w:rPr>
          <w:sz w:val="22"/>
          <w:szCs w:val="22"/>
          <w:lang w:val="sr-Latn-ME" w:eastAsia="sr-Latn-CS"/>
        </w:rPr>
        <w:t>ij</w:t>
      </w:r>
      <w:r w:rsidRPr="00B14EBB">
        <w:rPr>
          <w:sz w:val="22"/>
          <w:szCs w:val="22"/>
          <w:lang w:val="sr-Latn-ME" w:eastAsia="sr-Latn-CS"/>
        </w:rPr>
        <w:t>ečenja teriflunomidom prim</w:t>
      </w:r>
      <w:r w:rsidR="006F5928" w:rsidRPr="00B14EBB">
        <w:rPr>
          <w:sz w:val="22"/>
          <w:szCs w:val="22"/>
          <w:lang w:val="sr-Latn-ME" w:eastAsia="sr-Latn-CS"/>
        </w:rPr>
        <w:t>ij</w:t>
      </w:r>
      <w:r w:rsidRPr="00B14EBB">
        <w:rPr>
          <w:sz w:val="22"/>
          <w:szCs w:val="22"/>
          <w:lang w:val="sr-Latn-ME" w:eastAsia="sr-Latn-CS"/>
        </w:rPr>
        <w:t>ećeni su slučajevi oštećenja jetre uzrokovani l</w:t>
      </w:r>
      <w:r w:rsidR="006F5928" w:rsidRPr="00B14EBB">
        <w:rPr>
          <w:sz w:val="22"/>
          <w:szCs w:val="22"/>
          <w:lang w:val="sr-Latn-ME" w:eastAsia="sr-Latn-CS"/>
        </w:rPr>
        <w:t>j</w:t>
      </w:r>
      <w:r w:rsidRPr="00B14EBB">
        <w:rPr>
          <w:sz w:val="22"/>
          <w:szCs w:val="22"/>
          <w:lang w:val="sr-Latn-ME" w:eastAsia="sr-Latn-CS"/>
        </w:rPr>
        <w:t>ekovima (engl.</w:t>
      </w:r>
    </w:p>
    <w:p w14:paraId="3A48AB34" w14:textId="77777777" w:rsidR="006C05DA" w:rsidRPr="00B14EBB" w:rsidRDefault="006C05DA" w:rsidP="00545126">
      <w:pPr>
        <w:widowControl w:val="0"/>
        <w:autoSpaceDE w:val="0"/>
        <w:autoSpaceDN w:val="0"/>
        <w:adjustRightInd w:val="0"/>
        <w:jc w:val="both"/>
        <w:rPr>
          <w:sz w:val="22"/>
          <w:szCs w:val="22"/>
          <w:lang w:val="sr-Latn-ME" w:eastAsia="sr-Latn-CS"/>
        </w:rPr>
      </w:pPr>
      <w:r w:rsidRPr="00B14EBB">
        <w:rPr>
          <w:i/>
          <w:iCs/>
          <w:sz w:val="22"/>
          <w:szCs w:val="22"/>
          <w:lang w:val="sr-Latn-ME" w:eastAsia="sr-Latn-CS"/>
        </w:rPr>
        <w:t>drug-induced liver injury</w:t>
      </w:r>
      <w:r w:rsidRPr="00B14EBB">
        <w:rPr>
          <w:sz w:val="22"/>
          <w:szCs w:val="22"/>
          <w:lang w:val="sr-Latn-ME" w:eastAsia="sr-Latn-CS"/>
        </w:rPr>
        <w:t xml:space="preserve"> -DILI) koji su ponekad bili opasni po život. Većina slučajeva oštećenja jetre</w:t>
      </w:r>
    </w:p>
    <w:p w14:paraId="10DCCB27" w14:textId="0242273D"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uzrokovane l</w:t>
      </w:r>
      <w:r w:rsidR="006F5928" w:rsidRPr="00B14EBB">
        <w:rPr>
          <w:sz w:val="22"/>
          <w:szCs w:val="22"/>
          <w:lang w:val="sr-Latn-ME" w:eastAsia="sr-Latn-CS"/>
        </w:rPr>
        <w:t>j</w:t>
      </w:r>
      <w:r w:rsidRPr="00B14EBB">
        <w:rPr>
          <w:sz w:val="22"/>
          <w:szCs w:val="22"/>
          <w:lang w:val="sr-Latn-ME" w:eastAsia="sr-Latn-CS"/>
        </w:rPr>
        <w:t>ekovima je nastala u vremenu od nekoliko ned</w:t>
      </w:r>
      <w:r w:rsidR="00B31671" w:rsidRPr="00B14EBB">
        <w:rPr>
          <w:sz w:val="22"/>
          <w:szCs w:val="22"/>
          <w:lang w:val="sr-Latn-ME" w:eastAsia="sr-Latn-CS"/>
        </w:rPr>
        <w:t>j</w:t>
      </w:r>
      <w:r w:rsidRPr="00B14EBB">
        <w:rPr>
          <w:sz w:val="22"/>
          <w:szCs w:val="22"/>
          <w:lang w:val="sr-Latn-ME" w:eastAsia="sr-Latn-CS"/>
        </w:rPr>
        <w:t>elja ili nekoliko m</w:t>
      </w:r>
      <w:r w:rsidR="006F5928" w:rsidRPr="00B14EBB">
        <w:rPr>
          <w:sz w:val="22"/>
          <w:szCs w:val="22"/>
          <w:lang w:val="sr-Latn-ME" w:eastAsia="sr-Latn-CS"/>
        </w:rPr>
        <w:t>j</w:t>
      </w:r>
      <w:r w:rsidRPr="00B14EBB">
        <w:rPr>
          <w:sz w:val="22"/>
          <w:szCs w:val="22"/>
          <w:lang w:val="sr-Latn-ME" w:eastAsia="sr-Latn-CS"/>
        </w:rPr>
        <w:t>eseci nakon početka</w:t>
      </w:r>
    </w:p>
    <w:p w14:paraId="016A41CE" w14:textId="6754371F"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l</w:t>
      </w:r>
      <w:r w:rsidR="006F5928" w:rsidRPr="00B14EBB">
        <w:rPr>
          <w:sz w:val="22"/>
          <w:szCs w:val="22"/>
          <w:lang w:val="sr-Latn-ME" w:eastAsia="sr-Latn-CS"/>
        </w:rPr>
        <w:t>ij</w:t>
      </w:r>
      <w:r w:rsidRPr="00B14EBB">
        <w:rPr>
          <w:sz w:val="22"/>
          <w:szCs w:val="22"/>
          <w:lang w:val="sr-Latn-ME" w:eastAsia="sr-Latn-CS"/>
        </w:rPr>
        <w:t>ečenja teriflunomidom, a mogu se javiti i kod produžene prim</w:t>
      </w:r>
      <w:r w:rsidR="006F5928" w:rsidRPr="00B14EBB">
        <w:rPr>
          <w:sz w:val="22"/>
          <w:szCs w:val="22"/>
          <w:lang w:val="sr-Latn-ME" w:eastAsia="sr-Latn-CS"/>
        </w:rPr>
        <w:t>j</w:t>
      </w:r>
      <w:r w:rsidRPr="00B14EBB">
        <w:rPr>
          <w:sz w:val="22"/>
          <w:szCs w:val="22"/>
          <w:lang w:val="sr-Latn-ME" w:eastAsia="sr-Latn-CS"/>
        </w:rPr>
        <w:t>ene.</w:t>
      </w:r>
    </w:p>
    <w:p w14:paraId="646B3CDF" w14:textId="3A617687"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Rizik od povećanja vr</w:t>
      </w:r>
      <w:r w:rsidR="006F5928" w:rsidRPr="00B14EBB">
        <w:rPr>
          <w:sz w:val="22"/>
          <w:szCs w:val="22"/>
          <w:lang w:val="sr-Latn-ME" w:eastAsia="sr-Latn-CS"/>
        </w:rPr>
        <w:t>ij</w:t>
      </w:r>
      <w:r w:rsidRPr="00B14EBB">
        <w:rPr>
          <w:sz w:val="22"/>
          <w:szCs w:val="22"/>
          <w:lang w:val="sr-Latn-ME" w:eastAsia="sr-Latn-CS"/>
        </w:rPr>
        <w:t>ednosti enzima jetre kao i oštećenja jetre uzrokovane teriflunomidom može biti veći kod pacijenata sa postojećim poremećajem jetre, kod istovremenog l</w:t>
      </w:r>
      <w:r w:rsidR="006F5928" w:rsidRPr="00B14EBB">
        <w:rPr>
          <w:sz w:val="22"/>
          <w:szCs w:val="22"/>
          <w:lang w:val="sr-Latn-ME" w:eastAsia="sr-Latn-CS"/>
        </w:rPr>
        <w:t>ij</w:t>
      </w:r>
      <w:r w:rsidRPr="00B14EBB">
        <w:rPr>
          <w:sz w:val="22"/>
          <w:szCs w:val="22"/>
          <w:lang w:val="sr-Latn-ME" w:eastAsia="sr-Latn-CS"/>
        </w:rPr>
        <w:t>ečenja sa drugim hepatotoksičnim l</w:t>
      </w:r>
      <w:r w:rsidR="006F5928" w:rsidRPr="00B14EBB">
        <w:rPr>
          <w:sz w:val="22"/>
          <w:szCs w:val="22"/>
          <w:lang w:val="sr-Latn-ME" w:eastAsia="sr-Latn-CS"/>
        </w:rPr>
        <w:t>j</w:t>
      </w:r>
      <w:r w:rsidRPr="00B14EBB">
        <w:rPr>
          <w:sz w:val="22"/>
          <w:szCs w:val="22"/>
          <w:lang w:val="sr-Latn-ME" w:eastAsia="sr-Latn-CS"/>
        </w:rPr>
        <w:t xml:space="preserve">ekovima i/ili konzumacije znatnih količina alkohola. </w:t>
      </w:r>
      <w:r w:rsidR="00B31671" w:rsidRPr="00B14EBB">
        <w:rPr>
          <w:sz w:val="22"/>
          <w:szCs w:val="22"/>
          <w:lang w:val="sr-Latn-ME" w:eastAsia="sr-Latn-CS"/>
        </w:rPr>
        <w:t xml:space="preserve">Zbog </w:t>
      </w:r>
      <w:r w:rsidR="00026904" w:rsidRPr="00B14EBB">
        <w:rPr>
          <w:sz w:val="22"/>
          <w:szCs w:val="22"/>
          <w:lang w:val="sr-Latn-ME" w:eastAsia="sr-Latn-CS"/>
        </w:rPr>
        <w:t>t</w:t>
      </w:r>
      <w:r w:rsidRPr="00B14EBB">
        <w:rPr>
          <w:sz w:val="22"/>
          <w:szCs w:val="22"/>
          <w:lang w:val="sr-Latn-ME" w:eastAsia="sr-Latn-CS"/>
        </w:rPr>
        <w:t>oga pacijente treba pažljivo pratiti kako bi se uočili mogući znakovi i simptomi oštećenja jetre.</w:t>
      </w:r>
    </w:p>
    <w:p w14:paraId="010B2A55" w14:textId="6A343495"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L</w:t>
      </w:r>
      <w:r w:rsidR="006F5928" w:rsidRPr="00B14EBB">
        <w:rPr>
          <w:sz w:val="22"/>
          <w:szCs w:val="22"/>
          <w:lang w:val="sr-Latn-ME" w:eastAsia="sr-Latn-CS"/>
        </w:rPr>
        <w:t>ij</w:t>
      </w:r>
      <w:r w:rsidRPr="00B14EBB">
        <w:rPr>
          <w:sz w:val="22"/>
          <w:szCs w:val="22"/>
          <w:lang w:val="sr-Latn-ME" w:eastAsia="sr-Latn-CS"/>
        </w:rPr>
        <w:t>ečenje teriflunomidom mora se prekinuti i razmotriti postupak ubrzane eliminacije ako postoji sumnja na oštećenje jetre. Treba razmotriti prekid l</w:t>
      </w:r>
      <w:r w:rsidR="006F5928" w:rsidRPr="00B14EBB">
        <w:rPr>
          <w:sz w:val="22"/>
          <w:szCs w:val="22"/>
          <w:lang w:val="sr-Latn-ME" w:eastAsia="sr-Latn-CS"/>
        </w:rPr>
        <w:t>ij</w:t>
      </w:r>
      <w:r w:rsidRPr="00B14EBB">
        <w:rPr>
          <w:sz w:val="22"/>
          <w:szCs w:val="22"/>
          <w:lang w:val="sr-Latn-ME" w:eastAsia="sr-Latn-CS"/>
        </w:rPr>
        <w:t>ečenja teriflunomidom ako su potvrđene povećane vr</w:t>
      </w:r>
      <w:r w:rsidR="006F5928" w:rsidRPr="00B14EBB">
        <w:rPr>
          <w:sz w:val="22"/>
          <w:szCs w:val="22"/>
          <w:lang w:val="sr-Latn-ME" w:eastAsia="sr-Latn-CS"/>
        </w:rPr>
        <w:t>ij</w:t>
      </w:r>
      <w:r w:rsidRPr="00B14EBB">
        <w:rPr>
          <w:sz w:val="22"/>
          <w:szCs w:val="22"/>
          <w:lang w:val="sr-Latn-ME" w:eastAsia="sr-Latn-CS"/>
        </w:rPr>
        <w:t>ednosti enzima jetre (više od 3 puta iznad gornje granice normale, ULN).</w:t>
      </w:r>
    </w:p>
    <w:p w14:paraId="2463AC5D" w14:textId="6283F216" w:rsidR="006C05DA" w:rsidRPr="00B14EBB" w:rsidRDefault="006C05DA" w:rsidP="00545126">
      <w:pPr>
        <w:widowControl w:val="0"/>
        <w:autoSpaceDE w:val="0"/>
        <w:autoSpaceDN w:val="0"/>
        <w:adjustRightInd w:val="0"/>
        <w:jc w:val="both"/>
        <w:rPr>
          <w:sz w:val="22"/>
          <w:szCs w:val="22"/>
          <w:lang w:val="sr-Latn-ME"/>
        </w:rPr>
      </w:pPr>
      <w:r w:rsidRPr="00B14EBB">
        <w:rPr>
          <w:sz w:val="22"/>
          <w:szCs w:val="22"/>
          <w:lang w:val="sr-Latn-ME" w:eastAsia="sr-Latn-CS"/>
        </w:rPr>
        <w:t>U slučaju prekida l</w:t>
      </w:r>
      <w:r w:rsidR="006F5928" w:rsidRPr="00B14EBB">
        <w:rPr>
          <w:sz w:val="22"/>
          <w:szCs w:val="22"/>
          <w:lang w:val="sr-Latn-ME" w:eastAsia="sr-Latn-CS"/>
        </w:rPr>
        <w:t>ij</w:t>
      </w:r>
      <w:r w:rsidRPr="00B14EBB">
        <w:rPr>
          <w:sz w:val="22"/>
          <w:szCs w:val="22"/>
          <w:lang w:val="sr-Latn-ME" w:eastAsia="sr-Latn-CS"/>
        </w:rPr>
        <w:t>ečenja, potrebno je sprovoditi testove funkcije jetre do normalizacije vr</w:t>
      </w:r>
      <w:r w:rsidR="006F5928" w:rsidRPr="00B14EBB">
        <w:rPr>
          <w:sz w:val="22"/>
          <w:szCs w:val="22"/>
          <w:lang w:val="sr-Latn-ME" w:eastAsia="sr-Latn-CS"/>
        </w:rPr>
        <w:t>ij</w:t>
      </w:r>
      <w:r w:rsidRPr="00B14EBB">
        <w:rPr>
          <w:sz w:val="22"/>
          <w:szCs w:val="22"/>
          <w:lang w:val="sr-Latn-ME" w:eastAsia="sr-Latn-CS"/>
        </w:rPr>
        <w:t xml:space="preserve">ednosti </w:t>
      </w:r>
      <w:r w:rsidRPr="00B14EBB">
        <w:rPr>
          <w:sz w:val="22"/>
          <w:szCs w:val="22"/>
          <w:lang w:val="sr-Latn-ME"/>
        </w:rPr>
        <w:t>transaminaza.</w:t>
      </w:r>
    </w:p>
    <w:p w14:paraId="23551499" w14:textId="77777777" w:rsidR="006C05DA" w:rsidRPr="00B14EBB" w:rsidRDefault="006C05DA" w:rsidP="00545126">
      <w:pPr>
        <w:pStyle w:val="Heading5"/>
        <w:keepNext w:val="0"/>
        <w:keepLines w:val="0"/>
        <w:widowControl w:val="0"/>
        <w:spacing w:before="0"/>
        <w:jc w:val="both"/>
        <w:rPr>
          <w:rFonts w:ascii="Times New Roman" w:hAnsi="Times New Roman" w:cs="Times New Roman"/>
          <w:color w:val="auto"/>
          <w:sz w:val="22"/>
          <w:szCs w:val="22"/>
          <w:lang w:val="sr-Latn-ME"/>
        </w:rPr>
      </w:pPr>
    </w:p>
    <w:p w14:paraId="1ED82914" w14:textId="4898A740" w:rsidR="006C05DA" w:rsidRPr="00B14EBB" w:rsidRDefault="006C05DA" w:rsidP="00545126">
      <w:pPr>
        <w:pStyle w:val="Heading5"/>
        <w:keepNext w:val="0"/>
        <w:keepLines w:val="0"/>
        <w:widowControl w:val="0"/>
        <w:spacing w:before="0"/>
        <w:jc w:val="both"/>
        <w:rPr>
          <w:rFonts w:ascii="Times New Roman" w:hAnsi="Times New Roman" w:cs="Times New Roman"/>
          <w:color w:val="auto"/>
          <w:sz w:val="22"/>
          <w:szCs w:val="22"/>
          <w:lang w:val="sr-Latn-ME"/>
        </w:rPr>
      </w:pPr>
      <w:r w:rsidRPr="00B14EBB">
        <w:rPr>
          <w:rFonts w:ascii="Times New Roman" w:hAnsi="Times New Roman" w:cs="Times New Roman"/>
          <w:color w:val="auto"/>
          <w:sz w:val="22"/>
          <w:szCs w:val="22"/>
          <w:lang w:val="sr-Latn-ME"/>
        </w:rPr>
        <w:t xml:space="preserve">Hipoproteinemija     </w:t>
      </w:r>
    </w:p>
    <w:p w14:paraId="65ACB992" w14:textId="4EFEBF8D" w:rsidR="006C05DA" w:rsidRPr="00B14EBB" w:rsidRDefault="006C05DA" w:rsidP="00545126">
      <w:pPr>
        <w:pStyle w:val="BodyText"/>
        <w:widowControl w:val="0"/>
        <w:jc w:val="both"/>
        <w:rPr>
          <w:sz w:val="22"/>
          <w:szCs w:val="22"/>
          <w:lang w:val="sr-Latn-ME"/>
        </w:rPr>
      </w:pPr>
      <w:r w:rsidRPr="00B14EBB">
        <w:rPr>
          <w:sz w:val="22"/>
          <w:szCs w:val="22"/>
          <w:lang w:val="sr-Latn-ME"/>
        </w:rPr>
        <w:t>S obzirom na to da se teriflunomid u velikoj m</w:t>
      </w:r>
      <w:r w:rsidR="006F5928" w:rsidRPr="00B14EBB">
        <w:rPr>
          <w:sz w:val="22"/>
          <w:szCs w:val="22"/>
          <w:lang w:val="sr-Latn-ME"/>
        </w:rPr>
        <w:t>j</w:t>
      </w:r>
      <w:r w:rsidRPr="00B14EBB">
        <w:rPr>
          <w:sz w:val="22"/>
          <w:szCs w:val="22"/>
          <w:lang w:val="sr-Latn-ME"/>
        </w:rPr>
        <w:t>eri vezuje za proteine, a vezivanje zavisi od koncentracije albumina, očekuje se da će koncentracije nevezanog teriflunomida u plazmi biti povećane kod pacijenata sa hipoproteinemijom, npr. u nefrotskom sindromu. Teriflunomid se ne sm</w:t>
      </w:r>
      <w:r w:rsidR="006F5928" w:rsidRPr="00B14EBB">
        <w:rPr>
          <w:sz w:val="22"/>
          <w:szCs w:val="22"/>
          <w:lang w:val="sr-Latn-ME"/>
        </w:rPr>
        <w:t>ij</w:t>
      </w:r>
      <w:r w:rsidRPr="00B14EBB">
        <w:rPr>
          <w:sz w:val="22"/>
          <w:szCs w:val="22"/>
          <w:lang w:val="sr-Latn-ME"/>
        </w:rPr>
        <w:t>e prim</w:t>
      </w:r>
      <w:r w:rsidR="006F5928" w:rsidRPr="00B14EBB">
        <w:rPr>
          <w:sz w:val="22"/>
          <w:szCs w:val="22"/>
          <w:lang w:val="sr-Latn-ME"/>
        </w:rPr>
        <w:t>j</w:t>
      </w:r>
      <w:r w:rsidRPr="00B14EBB">
        <w:rPr>
          <w:sz w:val="22"/>
          <w:szCs w:val="22"/>
          <w:lang w:val="sr-Latn-ME"/>
        </w:rPr>
        <w:t>enjivati kod pacijenata sa teškom hipoproteinemijom.</w:t>
      </w:r>
    </w:p>
    <w:p w14:paraId="37B62774" w14:textId="4A934B05" w:rsidR="00104AC7" w:rsidRPr="00B14EBB" w:rsidRDefault="00104AC7" w:rsidP="00545126">
      <w:pPr>
        <w:widowControl w:val="0"/>
        <w:autoSpaceDE w:val="0"/>
        <w:autoSpaceDN w:val="0"/>
        <w:adjustRightInd w:val="0"/>
        <w:jc w:val="both"/>
        <w:rPr>
          <w:sz w:val="22"/>
          <w:szCs w:val="22"/>
          <w:u w:val="single"/>
          <w:lang w:val="sr-Latn-ME" w:eastAsia="sr-Latn-CS"/>
        </w:rPr>
      </w:pPr>
    </w:p>
    <w:p w14:paraId="2E57FB4E" w14:textId="2B56B04C"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Krvni pritisak</w:t>
      </w:r>
    </w:p>
    <w:p w14:paraId="0050B8A8" w14:textId="6D8BDC08" w:rsidR="006C05DA" w:rsidRPr="00B14EBB" w:rsidRDefault="006C05DA" w:rsidP="00545126">
      <w:pPr>
        <w:pStyle w:val="BodyText"/>
        <w:widowControl w:val="0"/>
        <w:jc w:val="both"/>
        <w:rPr>
          <w:sz w:val="22"/>
          <w:szCs w:val="22"/>
          <w:lang w:val="sr-Latn-ME"/>
        </w:rPr>
      </w:pPr>
      <w:r w:rsidRPr="00B14EBB">
        <w:rPr>
          <w:sz w:val="22"/>
          <w:szCs w:val="22"/>
          <w:lang w:val="sr-Latn-ME"/>
        </w:rPr>
        <w:t>Tokom l</w:t>
      </w:r>
      <w:r w:rsidR="000B5140" w:rsidRPr="00B14EBB">
        <w:rPr>
          <w:sz w:val="22"/>
          <w:szCs w:val="22"/>
          <w:lang w:val="sr-Latn-ME"/>
        </w:rPr>
        <w:t>ij</w:t>
      </w:r>
      <w:r w:rsidRPr="00B14EBB">
        <w:rPr>
          <w:sz w:val="22"/>
          <w:szCs w:val="22"/>
          <w:lang w:val="sr-Latn-ME"/>
        </w:rPr>
        <w:t>ečenja teriflunomidom može doći do povišenja krvnog pritiska (vid</w:t>
      </w:r>
      <w:r w:rsidR="000B5140" w:rsidRPr="00B14EBB">
        <w:rPr>
          <w:sz w:val="22"/>
          <w:szCs w:val="22"/>
          <w:lang w:val="sr-Latn-ME"/>
        </w:rPr>
        <w:t>j</w:t>
      </w:r>
      <w:r w:rsidRPr="00B14EBB">
        <w:rPr>
          <w:sz w:val="22"/>
          <w:szCs w:val="22"/>
          <w:lang w:val="sr-Latn-ME"/>
        </w:rPr>
        <w:t xml:space="preserve">eti </w:t>
      </w:r>
      <w:r w:rsidR="003566B1" w:rsidRPr="00B14EBB">
        <w:rPr>
          <w:sz w:val="22"/>
          <w:szCs w:val="22"/>
          <w:lang w:val="sr-Latn-ME"/>
        </w:rPr>
        <w:t xml:space="preserve">dio </w:t>
      </w:r>
      <w:r w:rsidRPr="00B14EBB">
        <w:rPr>
          <w:sz w:val="22"/>
          <w:szCs w:val="22"/>
          <w:lang w:val="sr-Latn-ME"/>
        </w:rPr>
        <w:t>4.8). Krvni pritisak se mora kontrolisati pr</w:t>
      </w:r>
      <w:r w:rsidR="000B5140" w:rsidRPr="00B14EBB">
        <w:rPr>
          <w:sz w:val="22"/>
          <w:szCs w:val="22"/>
          <w:lang w:val="sr-Latn-ME"/>
        </w:rPr>
        <w:t>ij</w:t>
      </w:r>
      <w:r w:rsidRPr="00B14EBB">
        <w:rPr>
          <w:sz w:val="22"/>
          <w:szCs w:val="22"/>
          <w:lang w:val="sr-Latn-ME"/>
        </w:rPr>
        <w:t>e početka l</w:t>
      </w:r>
      <w:r w:rsidR="000B5140" w:rsidRPr="00B14EBB">
        <w:rPr>
          <w:sz w:val="22"/>
          <w:szCs w:val="22"/>
          <w:lang w:val="sr-Latn-ME"/>
        </w:rPr>
        <w:t>ij</w:t>
      </w:r>
      <w:r w:rsidRPr="00B14EBB">
        <w:rPr>
          <w:sz w:val="22"/>
          <w:szCs w:val="22"/>
          <w:lang w:val="sr-Latn-ME"/>
        </w:rPr>
        <w:t>ečenja teriflunomidom i periodično nakon toga. Povišen krvni pritisak treba l</w:t>
      </w:r>
      <w:r w:rsidR="000B5140" w:rsidRPr="00B14EBB">
        <w:rPr>
          <w:sz w:val="22"/>
          <w:szCs w:val="22"/>
          <w:lang w:val="sr-Latn-ME"/>
        </w:rPr>
        <w:t>ij</w:t>
      </w:r>
      <w:r w:rsidRPr="00B14EBB">
        <w:rPr>
          <w:sz w:val="22"/>
          <w:szCs w:val="22"/>
          <w:lang w:val="sr-Latn-ME"/>
        </w:rPr>
        <w:t>ečiti na odgovarajući način pr</w:t>
      </w:r>
      <w:r w:rsidR="000B5140" w:rsidRPr="00B14EBB">
        <w:rPr>
          <w:sz w:val="22"/>
          <w:szCs w:val="22"/>
          <w:lang w:val="sr-Latn-ME"/>
        </w:rPr>
        <w:t>ij</w:t>
      </w:r>
      <w:r w:rsidRPr="00B14EBB">
        <w:rPr>
          <w:sz w:val="22"/>
          <w:szCs w:val="22"/>
          <w:lang w:val="sr-Latn-ME"/>
        </w:rPr>
        <w:t>e i tokom l</w:t>
      </w:r>
      <w:r w:rsidR="000B5140" w:rsidRPr="00B14EBB">
        <w:rPr>
          <w:sz w:val="22"/>
          <w:szCs w:val="22"/>
          <w:lang w:val="sr-Latn-ME"/>
        </w:rPr>
        <w:t>ij</w:t>
      </w:r>
      <w:r w:rsidRPr="00B14EBB">
        <w:rPr>
          <w:sz w:val="22"/>
          <w:szCs w:val="22"/>
          <w:lang w:val="sr-Latn-ME"/>
        </w:rPr>
        <w:t>ečenja teriflunomidom.</w:t>
      </w:r>
    </w:p>
    <w:p w14:paraId="64B46375" w14:textId="77777777" w:rsidR="00545126" w:rsidRDefault="00545126" w:rsidP="00545126">
      <w:pPr>
        <w:widowControl w:val="0"/>
        <w:autoSpaceDE w:val="0"/>
        <w:autoSpaceDN w:val="0"/>
        <w:adjustRightInd w:val="0"/>
        <w:jc w:val="both"/>
        <w:rPr>
          <w:sz w:val="22"/>
          <w:szCs w:val="22"/>
          <w:u w:val="single"/>
          <w:lang w:val="sr-Latn-ME" w:eastAsia="sr-Latn-CS"/>
        </w:rPr>
      </w:pPr>
    </w:p>
    <w:p w14:paraId="33C8A5ED" w14:textId="429B8E71"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Infekcije</w:t>
      </w:r>
    </w:p>
    <w:p w14:paraId="339244F9" w14:textId="5E8B6428" w:rsidR="006C05DA" w:rsidRPr="00B14EBB" w:rsidRDefault="006C05DA" w:rsidP="00545126">
      <w:pPr>
        <w:pStyle w:val="BodyText"/>
        <w:widowControl w:val="0"/>
        <w:jc w:val="both"/>
        <w:rPr>
          <w:sz w:val="22"/>
          <w:szCs w:val="22"/>
          <w:lang w:val="sr-Latn-ME"/>
        </w:rPr>
      </w:pPr>
      <w:r w:rsidRPr="00B14EBB">
        <w:rPr>
          <w:sz w:val="22"/>
          <w:szCs w:val="22"/>
          <w:lang w:val="sr-Latn-ME"/>
        </w:rPr>
        <w:t>Kod pacijenata sa teškom aktivnom infekcijom početak l</w:t>
      </w:r>
      <w:r w:rsidR="000B5140" w:rsidRPr="00B14EBB">
        <w:rPr>
          <w:sz w:val="22"/>
          <w:szCs w:val="22"/>
          <w:lang w:val="sr-Latn-ME"/>
        </w:rPr>
        <w:t>ij</w:t>
      </w:r>
      <w:r w:rsidRPr="00B14EBB">
        <w:rPr>
          <w:sz w:val="22"/>
          <w:szCs w:val="22"/>
          <w:lang w:val="sr-Latn-ME"/>
        </w:rPr>
        <w:t>ečenja teriflunomidom treba odložiti do izl</w:t>
      </w:r>
      <w:r w:rsidR="000B5140" w:rsidRPr="00B14EBB">
        <w:rPr>
          <w:sz w:val="22"/>
          <w:szCs w:val="22"/>
          <w:lang w:val="sr-Latn-ME"/>
        </w:rPr>
        <w:t>j</w:t>
      </w:r>
      <w:r w:rsidRPr="00B14EBB">
        <w:rPr>
          <w:sz w:val="22"/>
          <w:szCs w:val="22"/>
          <w:lang w:val="sr-Latn-ME"/>
        </w:rPr>
        <w:t>ečenja infekcije.</w:t>
      </w:r>
    </w:p>
    <w:p w14:paraId="6EB5934B" w14:textId="77777777" w:rsidR="000A009A" w:rsidRPr="00B14EBB" w:rsidRDefault="006C05DA" w:rsidP="00545126">
      <w:pPr>
        <w:pStyle w:val="BodyText2"/>
        <w:widowControl w:val="0"/>
        <w:spacing w:after="0" w:line="240" w:lineRule="auto"/>
        <w:jc w:val="both"/>
        <w:rPr>
          <w:sz w:val="22"/>
          <w:szCs w:val="22"/>
          <w:lang w:val="sr-Latn-ME"/>
        </w:rPr>
      </w:pPr>
      <w:r w:rsidRPr="00B14EBB">
        <w:rPr>
          <w:sz w:val="22"/>
          <w:szCs w:val="22"/>
          <w:lang w:val="sr-Latn-ME"/>
        </w:rPr>
        <w:t>U placebom kontrolisanim ispitivanjima nije prim</w:t>
      </w:r>
      <w:r w:rsidR="000B5140" w:rsidRPr="00B14EBB">
        <w:rPr>
          <w:sz w:val="22"/>
          <w:szCs w:val="22"/>
          <w:lang w:val="sr-Latn-ME"/>
        </w:rPr>
        <w:t>ij</w:t>
      </w:r>
      <w:r w:rsidRPr="00B14EBB">
        <w:rPr>
          <w:sz w:val="22"/>
          <w:szCs w:val="22"/>
          <w:lang w:val="sr-Latn-ME"/>
        </w:rPr>
        <w:t>ećen porast broja ozbiljnih infekcija kod prim</w:t>
      </w:r>
      <w:r w:rsidR="000B5140" w:rsidRPr="00B14EBB">
        <w:rPr>
          <w:sz w:val="22"/>
          <w:szCs w:val="22"/>
          <w:lang w:val="sr-Latn-ME"/>
        </w:rPr>
        <w:t>j</w:t>
      </w:r>
      <w:r w:rsidRPr="00B14EBB">
        <w:rPr>
          <w:sz w:val="22"/>
          <w:szCs w:val="22"/>
          <w:lang w:val="sr-Latn-ME"/>
        </w:rPr>
        <w:t>ene teriflunomida (vid</w:t>
      </w:r>
      <w:r w:rsidR="000B5140" w:rsidRPr="00B14EBB">
        <w:rPr>
          <w:sz w:val="22"/>
          <w:szCs w:val="22"/>
          <w:lang w:val="sr-Latn-ME"/>
        </w:rPr>
        <w:t>j</w:t>
      </w:r>
      <w:r w:rsidRPr="00B14EBB">
        <w:rPr>
          <w:sz w:val="22"/>
          <w:szCs w:val="22"/>
          <w:lang w:val="sr-Latn-ME"/>
        </w:rPr>
        <w:t xml:space="preserve">eti </w:t>
      </w:r>
      <w:r w:rsidR="00EA7C8D" w:rsidRPr="00B14EBB">
        <w:rPr>
          <w:sz w:val="22"/>
          <w:szCs w:val="22"/>
          <w:lang w:val="sr-Latn-ME"/>
        </w:rPr>
        <w:t xml:space="preserve">dio </w:t>
      </w:r>
      <w:r w:rsidRPr="00B14EBB">
        <w:rPr>
          <w:sz w:val="22"/>
          <w:szCs w:val="22"/>
          <w:lang w:val="sr-Latn-ME"/>
        </w:rPr>
        <w:t xml:space="preserve">4.8). </w:t>
      </w:r>
    </w:p>
    <w:p w14:paraId="40EAC488" w14:textId="32A4E0B3" w:rsidR="00E04DEF" w:rsidRPr="00B14EBB" w:rsidRDefault="00E04DEF" w:rsidP="00545126">
      <w:pPr>
        <w:pStyle w:val="BodyText2"/>
        <w:widowControl w:val="0"/>
        <w:spacing w:after="0" w:line="240" w:lineRule="auto"/>
        <w:jc w:val="both"/>
        <w:rPr>
          <w:sz w:val="22"/>
          <w:szCs w:val="22"/>
          <w:lang w:val="sr-Latn-ME"/>
        </w:rPr>
      </w:pPr>
      <w:r w:rsidRPr="00B14EBB">
        <w:rPr>
          <w:sz w:val="22"/>
          <w:szCs w:val="22"/>
          <w:lang w:val="sr-Latn-ME"/>
        </w:rPr>
        <w:t>U toku terapije teriflunomidom zab</w:t>
      </w:r>
      <w:r w:rsidR="00B14EBB">
        <w:rPr>
          <w:sz w:val="22"/>
          <w:szCs w:val="22"/>
          <w:lang w:val="sr-Latn-ME"/>
        </w:rPr>
        <w:t>i</w:t>
      </w:r>
      <w:r w:rsidRPr="00B14EBB">
        <w:rPr>
          <w:sz w:val="22"/>
          <w:szCs w:val="22"/>
          <w:lang w:val="sr-Latn-ME"/>
        </w:rPr>
        <w:t>l</w:t>
      </w:r>
      <w:r w:rsidR="003B0325" w:rsidRPr="00B14EBB">
        <w:rPr>
          <w:sz w:val="22"/>
          <w:szCs w:val="22"/>
          <w:lang w:val="sr-Latn-ME"/>
        </w:rPr>
        <w:t>j</w:t>
      </w:r>
      <w:r w:rsidRPr="00B14EBB">
        <w:rPr>
          <w:sz w:val="22"/>
          <w:szCs w:val="22"/>
          <w:lang w:val="sr-Latn-ME"/>
        </w:rPr>
        <w:t xml:space="preserve">eženi su slučajevi infekcije herpes virusom, </w:t>
      </w:r>
      <w:r w:rsidR="003B0325" w:rsidRPr="00B14EBB">
        <w:rPr>
          <w:sz w:val="22"/>
          <w:szCs w:val="22"/>
          <w:lang w:val="sr-Latn-ME"/>
        </w:rPr>
        <w:t>uključujući oralni herp</w:t>
      </w:r>
      <w:r w:rsidR="00B14EBB" w:rsidRPr="00B14EBB">
        <w:rPr>
          <w:sz w:val="22"/>
          <w:szCs w:val="22"/>
          <w:lang w:val="sr-Latn-ME"/>
        </w:rPr>
        <w:t>e</w:t>
      </w:r>
      <w:r w:rsidR="003B0325" w:rsidRPr="00B14EBB">
        <w:rPr>
          <w:sz w:val="22"/>
          <w:szCs w:val="22"/>
          <w:lang w:val="sr-Latn-ME"/>
        </w:rPr>
        <w:t>s i herpes zoster</w:t>
      </w:r>
      <w:r w:rsidR="00B14EBB">
        <w:rPr>
          <w:sz w:val="22"/>
          <w:szCs w:val="22"/>
          <w:lang w:val="sr-Latn-ME"/>
        </w:rPr>
        <w:t xml:space="preserve"> </w:t>
      </w:r>
      <w:r w:rsidR="00B14EBB" w:rsidRPr="00B14EBB">
        <w:rPr>
          <w:sz w:val="22"/>
          <w:szCs w:val="22"/>
          <w:lang w:val="sr-Latn-ME"/>
        </w:rPr>
        <w:t>(vidjeti dio 4.8)</w:t>
      </w:r>
      <w:r w:rsidR="003B0325" w:rsidRPr="00B14EBB">
        <w:rPr>
          <w:sz w:val="22"/>
          <w:szCs w:val="22"/>
          <w:lang w:val="sr-Latn-ME"/>
        </w:rPr>
        <w:t xml:space="preserve">, </w:t>
      </w:r>
      <w:r w:rsidRPr="00B14EBB">
        <w:rPr>
          <w:sz w:val="22"/>
          <w:szCs w:val="22"/>
          <w:lang w:val="sr-Latn-ME"/>
        </w:rPr>
        <w:t>od čega su neki bili ozbiljni, uključujući herpetični meningoencefalitis i diseminacij</w:t>
      </w:r>
      <w:r w:rsidR="00B14EBB">
        <w:rPr>
          <w:sz w:val="22"/>
          <w:szCs w:val="22"/>
          <w:lang w:val="sr-Latn-ME"/>
        </w:rPr>
        <w:t>u</w:t>
      </w:r>
      <w:r w:rsidRPr="00B14EBB">
        <w:rPr>
          <w:sz w:val="22"/>
          <w:szCs w:val="22"/>
          <w:lang w:val="sr-Latn-ME"/>
        </w:rPr>
        <w:t xml:space="preserve"> herpes virusa. Mogu se pojaviti u bilo kom trenutku tokom terapije.</w:t>
      </w:r>
    </w:p>
    <w:p w14:paraId="0D6CDE73" w14:textId="7A4D07FE" w:rsidR="006C05DA" w:rsidRPr="00B14EBB" w:rsidRDefault="00B14EBB" w:rsidP="00545126">
      <w:pPr>
        <w:pStyle w:val="BodyText2"/>
        <w:widowControl w:val="0"/>
        <w:spacing w:after="0" w:line="240" w:lineRule="auto"/>
        <w:jc w:val="both"/>
        <w:rPr>
          <w:sz w:val="22"/>
          <w:szCs w:val="22"/>
          <w:lang w:val="sr-Latn-ME"/>
        </w:rPr>
      </w:pPr>
      <w:r>
        <w:rPr>
          <w:sz w:val="22"/>
          <w:szCs w:val="22"/>
          <w:lang w:val="sr-Latn-ME"/>
        </w:rPr>
        <w:t>S</w:t>
      </w:r>
      <w:r w:rsidR="006C05DA" w:rsidRPr="00B14EBB">
        <w:rPr>
          <w:sz w:val="22"/>
          <w:szCs w:val="22"/>
          <w:lang w:val="sr-Latn-ME"/>
        </w:rPr>
        <w:t xml:space="preserve"> obzirom na imunomodulatorno dejstvo teriflunomida, ako pacijent razvije </w:t>
      </w:r>
      <w:r>
        <w:rPr>
          <w:sz w:val="22"/>
          <w:szCs w:val="22"/>
          <w:lang w:val="sr-Latn-ME"/>
        </w:rPr>
        <w:t xml:space="preserve">bilo koju </w:t>
      </w:r>
      <w:r w:rsidR="006C05DA" w:rsidRPr="00B14EBB">
        <w:rPr>
          <w:sz w:val="22"/>
          <w:szCs w:val="22"/>
          <w:lang w:val="sr-Latn-ME"/>
        </w:rPr>
        <w:t>ozbiljnu infekciju, treba razmotriti prekid l</w:t>
      </w:r>
      <w:r w:rsidR="000B5140" w:rsidRPr="00B14EBB">
        <w:rPr>
          <w:sz w:val="22"/>
          <w:szCs w:val="22"/>
          <w:lang w:val="sr-Latn-ME"/>
        </w:rPr>
        <w:t>ij</w:t>
      </w:r>
      <w:r w:rsidR="006C05DA" w:rsidRPr="00B14EBB">
        <w:rPr>
          <w:sz w:val="22"/>
          <w:szCs w:val="22"/>
          <w:lang w:val="sr-Latn-ME"/>
        </w:rPr>
        <w:t>ečenja l</w:t>
      </w:r>
      <w:r w:rsidR="000B5140" w:rsidRPr="00B14EBB">
        <w:rPr>
          <w:sz w:val="22"/>
          <w:szCs w:val="22"/>
          <w:lang w:val="sr-Latn-ME"/>
        </w:rPr>
        <w:t>ij</w:t>
      </w:r>
      <w:r w:rsidR="006C05DA" w:rsidRPr="00B14EBB">
        <w:rPr>
          <w:sz w:val="22"/>
          <w:szCs w:val="22"/>
          <w:lang w:val="sr-Latn-ME"/>
        </w:rPr>
        <w:t>ekom Teriflunomid Zentiva te iznova proc</w:t>
      </w:r>
      <w:r w:rsidR="000B5140" w:rsidRPr="00B14EBB">
        <w:rPr>
          <w:sz w:val="22"/>
          <w:szCs w:val="22"/>
          <w:lang w:val="sr-Latn-ME"/>
        </w:rPr>
        <w:t>ij</w:t>
      </w:r>
      <w:r w:rsidR="006C05DA" w:rsidRPr="00B14EBB">
        <w:rPr>
          <w:sz w:val="22"/>
          <w:szCs w:val="22"/>
          <w:lang w:val="sr-Latn-ME"/>
        </w:rPr>
        <w:t>eniti koristi i rizike pr</w:t>
      </w:r>
      <w:r w:rsidR="000B5140" w:rsidRPr="00B14EBB">
        <w:rPr>
          <w:sz w:val="22"/>
          <w:szCs w:val="22"/>
          <w:lang w:val="sr-Latn-ME"/>
        </w:rPr>
        <w:t>ij</w:t>
      </w:r>
      <w:r w:rsidR="006C05DA" w:rsidRPr="00B14EBB">
        <w:rPr>
          <w:sz w:val="22"/>
          <w:szCs w:val="22"/>
          <w:lang w:val="sr-Latn-ME"/>
        </w:rPr>
        <w:t>e ponovnog započinjanja l</w:t>
      </w:r>
      <w:r w:rsidR="000B5140" w:rsidRPr="00B14EBB">
        <w:rPr>
          <w:sz w:val="22"/>
          <w:szCs w:val="22"/>
          <w:lang w:val="sr-Latn-ME"/>
        </w:rPr>
        <w:t>ij</w:t>
      </w:r>
      <w:r w:rsidR="006C05DA" w:rsidRPr="00B14EBB">
        <w:rPr>
          <w:sz w:val="22"/>
          <w:szCs w:val="22"/>
          <w:lang w:val="sr-Latn-ME"/>
        </w:rPr>
        <w:t xml:space="preserve">ečenja. Zbog produženog poluvremena eliminacije se može razmotriti ubrzana </w:t>
      </w:r>
      <w:r w:rsidR="006C05DA" w:rsidRPr="00B14EBB">
        <w:rPr>
          <w:sz w:val="22"/>
          <w:szCs w:val="22"/>
          <w:lang w:val="sr-Latn-ME"/>
        </w:rPr>
        <w:lastRenderedPageBreak/>
        <w:t>eliminacija holestiraminom ili medicinskim ugljem.</w:t>
      </w:r>
    </w:p>
    <w:p w14:paraId="249E9B06" w14:textId="15A2CA9F" w:rsidR="006C05DA" w:rsidRPr="00B14EBB" w:rsidRDefault="006C05DA" w:rsidP="00545126">
      <w:pPr>
        <w:pStyle w:val="BodyText"/>
        <w:widowControl w:val="0"/>
        <w:jc w:val="both"/>
        <w:rPr>
          <w:sz w:val="22"/>
          <w:szCs w:val="22"/>
          <w:lang w:val="sr-Latn-ME"/>
        </w:rPr>
      </w:pPr>
      <w:r w:rsidRPr="00B14EBB">
        <w:rPr>
          <w:sz w:val="22"/>
          <w:szCs w:val="22"/>
          <w:lang w:val="sr-Latn-ME"/>
        </w:rPr>
        <w:t>Pacijente koji primaju Teriflunomid Zentiva treba uputiti da simptome infekcije prijave l</w:t>
      </w:r>
      <w:r w:rsidR="000B5140" w:rsidRPr="00B14EBB">
        <w:rPr>
          <w:sz w:val="22"/>
          <w:szCs w:val="22"/>
          <w:lang w:val="sr-Latn-ME"/>
        </w:rPr>
        <w:t>j</w:t>
      </w:r>
      <w:r w:rsidRPr="00B14EBB">
        <w:rPr>
          <w:sz w:val="22"/>
          <w:szCs w:val="22"/>
          <w:lang w:val="sr-Latn-ME"/>
        </w:rPr>
        <w:t>ekaru. Pacijenti sa aktivnim akutnim ili hroničnim infekcijama ne sm</w:t>
      </w:r>
      <w:r w:rsidR="000B5140" w:rsidRPr="00B14EBB">
        <w:rPr>
          <w:sz w:val="22"/>
          <w:szCs w:val="22"/>
          <w:lang w:val="sr-Latn-ME"/>
        </w:rPr>
        <w:t>i</w:t>
      </w:r>
      <w:r w:rsidRPr="00B14EBB">
        <w:rPr>
          <w:sz w:val="22"/>
          <w:szCs w:val="22"/>
          <w:lang w:val="sr-Latn-ME"/>
        </w:rPr>
        <w:t>ju da započinju l</w:t>
      </w:r>
      <w:r w:rsidR="000B5140" w:rsidRPr="00B14EBB">
        <w:rPr>
          <w:sz w:val="22"/>
          <w:szCs w:val="22"/>
          <w:lang w:val="sr-Latn-ME"/>
        </w:rPr>
        <w:t>ij</w:t>
      </w:r>
      <w:r w:rsidRPr="00B14EBB">
        <w:rPr>
          <w:sz w:val="22"/>
          <w:szCs w:val="22"/>
          <w:lang w:val="sr-Latn-ME"/>
        </w:rPr>
        <w:t>ečenje l</w:t>
      </w:r>
      <w:r w:rsidR="000B5140" w:rsidRPr="00B14EBB">
        <w:rPr>
          <w:sz w:val="22"/>
          <w:szCs w:val="22"/>
          <w:lang w:val="sr-Latn-ME"/>
        </w:rPr>
        <w:t>ij</w:t>
      </w:r>
      <w:r w:rsidRPr="00B14EBB">
        <w:rPr>
          <w:sz w:val="22"/>
          <w:szCs w:val="22"/>
          <w:lang w:val="sr-Latn-ME"/>
        </w:rPr>
        <w:t>ekom Teriflunomid Zentiva pr</w:t>
      </w:r>
      <w:r w:rsidR="000B5140" w:rsidRPr="00B14EBB">
        <w:rPr>
          <w:sz w:val="22"/>
          <w:szCs w:val="22"/>
          <w:lang w:val="sr-Latn-ME"/>
        </w:rPr>
        <w:t>ij</w:t>
      </w:r>
      <w:r w:rsidRPr="00B14EBB">
        <w:rPr>
          <w:sz w:val="22"/>
          <w:szCs w:val="22"/>
          <w:lang w:val="sr-Latn-ME"/>
        </w:rPr>
        <w:t>e izl</w:t>
      </w:r>
      <w:r w:rsidR="000B5140" w:rsidRPr="00B14EBB">
        <w:rPr>
          <w:sz w:val="22"/>
          <w:szCs w:val="22"/>
          <w:lang w:val="sr-Latn-ME"/>
        </w:rPr>
        <w:t>j</w:t>
      </w:r>
      <w:r w:rsidRPr="00B14EBB">
        <w:rPr>
          <w:sz w:val="22"/>
          <w:szCs w:val="22"/>
          <w:lang w:val="sr-Latn-ME"/>
        </w:rPr>
        <w:t>ečenja infekcije/infekcija.</w:t>
      </w:r>
    </w:p>
    <w:p w14:paraId="73AE0653" w14:textId="51C244BD" w:rsidR="006C05DA" w:rsidRPr="00B14EBB" w:rsidRDefault="006C05DA" w:rsidP="00545126">
      <w:pPr>
        <w:pStyle w:val="BodyText"/>
        <w:widowControl w:val="0"/>
        <w:jc w:val="both"/>
        <w:rPr>
          <w:sz w:val="22"/>
          <w:szCs w:val="22"/>
          <w:lang w:val="sr-Latn-ME"/>
        </w:rPr>
      </w:pPr>
      <w:r w:rsidRPr="00B14EBB">
        <w:rPr>
          <w:sz w:val="22"/>
          <w:szCs w:val="22"/>
          <w:lang w:val="sr-Latn-ME"/>
        </w:rPr>
        <w:t>S obzirom na to da se u kliničkim ispitivanjima nije sistematski sprovodio skrining na tuberkulozu, bezb</w:t>
      </w:r>
      <w:r w:rsidR="000B5140" w:rsidRPr="00B14EBB">
        <w:rPr>
          <w:sz w:val="22"/>
          <w:szCs w:val="22"/>
          <w:lang w:val="sr-Latn-ME"/>
        </w:rPr>
        <w:t>j</w:t>
      </w:r>
      <w:r w:rsidRPr="00B14EBB">
        <w:rPr>
          <w:sz w:val="22"/>
          <w:szCs w:val="22"/>
          <w:lang w:val="sr-Latn-ME"/>
        </w:rPr>
        <w:t>ednost prim</w:t>
      </w:r>
      <w:r w:rsidR="000B5140" w:rsidRPr="00B14EBB">
        <w:rPr>
          <w:sz w:val="22"/>
          <w:szCs w:val="22"/>
          <w:lang w:val="sr-Latn-ME"/>
        </w:rPr>
        <w:t>j</w:t>
      </w:r>
      <w:r w:rsidRPr="00B14EBB">
        <w:rPr>
          <w:sz w:val="22"/>
          <w:szCs w:val="22"/>
          <w:lang w:val="sr-Latn-ME"/>
        </w:rPr>
        <w:t>ene teriflunomida kod osoba sa latentnom tuberkulozom nije poznata. Pr</w:t>
      </w:r>
      <w:r w:rsidR="000B5140" w:rsidRPr="00B14EBB">
        <w:rPr>
          <w:sz w:val="22"/>
          <w:szCs w:val="22"/>
          <w:lang w:val="sr-Latn-ME"/>
        </w:rPr>
        <w:t>ij</w:t>
      </w:r>
      <w:r w:rsidRPr="00B14EBB">
        <w:rPr>
          <w:sz w:val="22"/>
          <w:szCs w:val="22"/>
          <w:lang w:val="sr-Latn-ME"/>
        </w:rPr>
        <w:t>e l</w:t>
      </w:r>
      <w:r w:rsidR="000B5140" w:rsidRPr="00B14EBB">
        <w:rPr>
          <w:sz w:val="22"/>
          <w:szCs w:val="22"/>
          <w:lang w:val="sr-Latn-ME"/>
        </w:rPr>
        <w:t>ij</w:t>
      </w:r>
      <w:r w:rsidRPr="00B14EBB">
        <w:rPr>
          <w:sz w:val="22"/>
          <w:szCs w:val="22"/>
          <w:lang w:val="sr-Latn-ME"/>
        </w:rPr>
        <w:t>ečenja l</w:t>
      </w:r>
      <w:r w:rsidR="000B5140" w:rsidRPr="00B14EBB">
        <w:rPr>
          <w:sz w:val="22"/>
          <w:szCs w:val="22"/>
          <w:lang w:val="sr-Latn-ME"/>
        </w:rPr>
        <w:t>ij</w:t>
      </w:r>
      <w:r w:rsidRPr="00B14EBB">
        <w:rPr>
          <w:sz w:val="22"/>
          <w:szCs w:val="22"/>
          <w:lang w:val="sr-Latn-ME"/>
        </w:rPr>
        <w:t>ekom Teriflunomid Zentiva pacijente sa pozitivnim nalazom testa na tuberkulozu treba l</w:t>
      </w:r>
      <w:r w:rsidR="000B5140" w:rsidRPr="00B14EBB">
        <w:rPr>
          <w:sz w:val="22"/>
          <w:szCs w:val="22"/>
          <w:lang w:val="sr-Latn-ME"/>
        </w:rPr>
        <w:t>ij</w:t>
      </w:r>
      <w:r w:rsidRPr="00B14EBB">
        <w:rPr>
          <w:sz w:val="22"/>
          <w:szCs w:val="22"/>
          <w:lang w:val="sr-Latn-ME"/>
        </w:rPr>
        <w:t>ečiti u skladu sa standardnom medicinskom praksom.</w:t>
      </w:r>
    </w:p>
    <w:p w14:paraId="202024C0" w14:textId="77777777" w:rsidR="00545126" w:rsidRDefault="00545126" w:rsidP="00545126">
      <w:pPr>
        <w:widowControl w:val="0"/>
        <w:autoSpaceDE w:val="0"/>
        <w:autoSpaceDN w:val="0"/>
        <w:adjustRightInd w:val="0"/>
        <w:jc w:val="both"/>
        <w:rPr>
          <w:sz w:val="22"/>
          <w:szCs w:val="22"/>
          <w:u w:val="single"/>
          <w:lang w:val="sr-Latn-ME" w:eastAsia="sr-Latn-CS"/>
        </w:rPr>
      </w:pPr>
    </w:p>
    <w:p w14:paraId="7635937D" w14:textId="3C54E69F"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Respiratorne reakcije</w:t>
      </w:r>
    </w:p>
    <w:p w14:paraId="00680DA3" w14:textId="77777777" w:rsidR="006C05DA" w:rsidRPr="00B14EBB" w:rsidRDefault="006C05DA" w:rsidP="00545126">
      <w:pPr>
        <w:pStyle w:val="BodyText"/>
        <w:widowControl w:val="0"/>
        <w:jc w:val="both"/>
        <w:rPr>
          <w:sz w:val="22"/>
          <w:szCs w:val="22"/>
          <w:lang w:val="sr-Latn-ME"/>
        </w:rPr>
      </w:pPr>
      <w:r w:rsidRPr="00B14EBB">
        <w:rPr>
          <w:sz w:val="22"/>
          <w:szCs w:val="22"/>
          <w:lang w:val="sr-Latn-ME"/>
        </w:rPr>
        <w:t xml:space="preserve">Intersticijalna bolest pluća (engl. </w:t>
      </w:r>
      <w:r w:rsidRPr="00B14EBB">
        <w:rPr>
          <w:i/>
          <w:sz w:val="22"/>
          <w:szCs w:val="22"/>
          <w:lang w:val="sr-Latn-ME"/>
        </w:rPr>
        <w:t>Interstitial lung disease</w:t>
      </w:r>
      <w:r w:rsidRPr="00B14EBB">
        <w:rPr>
          <w:sz w:val="22"/>
          <w:szCs w:val="22"/>
          <w:lang w:val="sr-Latn-ME"/>
        </w:rPr>
        <w:t>, ILD) kao i slučajevi plućne hipertenzije prijavljeni su nakon stavljanja teriflunomida u promet.</w:t>
      </w:r>
    </w:p>
    <w:p w14:paraId="32DFD6FF" w14:textId="77777777" w:rsidR="006C05DA" w:rsidRPr="00B14EBB" w:rsidRDefault="006C05DA" w:rsidP="00545126">
      <w:pPr>
        <w:widowControl w:val="0"/>
        <w:autoSpaceDE w:val="0"/>
        <w:autoSpaceDN w:val="0"/>
        <w:adjustRightInd w:val="0"/>
        <w:jc w:val="both"/>
        <w:rPr>
          <w:rFonts w:eastAsia="Calibri"/>
          <w:sz w:val="22"/>
          <w:szCs w:val="22"/>
          <w:lang w:val="sr-Latn-ME"/>
        </w:rPr>
      </w:pPr>
    </w:p>
    <w:p w14:paraId="5047B1A1" w14:textId="77777777"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Rizik može biti povećan kod pacijenata sa ILD u anamnezi.</w:t>
      </w:r>
    </w:p>
    <w:p w14:paraId="6976502B" w14:textId="77777777" w:rsidR="006C05DA" w:rsidRPr="00B14EBB" w:rsidRDefault="006C05DA" w:rsidP="00545126">
      <w:pPr>
        <w:pStyle w:val="BodyText"/>
        <w:widowControl w:val="0"/>
        <w:jc w:val="both"/>
        <w:rPr>
          <w:sz w:val="22"/>
          <w:szCs w:val="22"/>
          <w:lang w:val="sr-Latn-ME"/>
        </w:rPr>
      </w:pPr>
      <w:r w:rsidRPr="00B14EBB">
        <w:rPr>
          <w:sz w:val="22"/>
          <w:szCs w:val="22"/>
          <w:lang w:val="sr-Latn-ME"/>
        </w:rPr>
        <w:t xml:space="preserve">ILD se može pojaviti u akutnom obliku bilo kada  tokom terapije sa različitom kliničkom slikom. </w:t>
      </w:r>
    </w:p>
    <w:p w14:paraId="7AEE63EC" w14:textId="0BE1D656" w:rsidR="006C05DA" w:rsidRPr="00B14EBB" w:rsidRDefault="006C05DA" w:rsidP="00545126">
      <w:pPr>
        <w:pStyle w:val="BodyText"/>
        <w:widowControl w:val="0"/>
        <w:jc w:val="both"/>
        <w:rPr>
          <w:sz w:val="22"/>
          <w:szCs w:val="22"/>
          <w:lang w:val="sr-Latn-ME"/>
        </w:rPr>
      </w:pPr>
      <w:r w:rsidRPr="00B14EBB">
        <w:rPr>
          <w:sz w:val="22"/>
          <w:szCs w:val="22"/>
          <w:lang w:val="sr-Latn-ME"/>
        </w:rPr>
        <w:t>ILD može dovesti do smrtnog ishoda. Novi početak ili pogoršanje već postojećih plućnih simptoma, poput kašlja koji ne prolazi i dispneje, mogu biti razlog za prekid l</w:t>
      </w:r>
      <w:r w:rsidR="000B5140" w:rsidRPr="00B14EBB">
        <w:rPr>
          <w:sz w:val="22"/>
          <w:szCs w:val="22"/>
          <w:lang w:val="sr-Latn-ME"/>
        </w:rPr>
        <w:t>ij</w:t>
      </w:r>
      <w:r w:rsidRPr="00B14EBB">
        <w:rPr>
          <w:sz w:val="22"/>
          <w:szCs w:val="22"/>
          <w:lang w:val="sr-Latn-ME"/>
        </w:rPr>
        <w:t>ečenja i daljeg istraživanja po potrebi. Ako je prekid l</w:t>
      </w:r>
      <w:r w:rsidR="000B5140" w:rsidRPr="00B14EBB">
        <w:rPr>
          <w:sz w:val="22"/>
          <w:szCs w:val="22"/>
          <w:lang w:val="sr-Latn-ME"/>
        </w:rPr>
        <w:t>ij</w:t>
      </w:r>
      <w:r w:rsidRPr="00B14EBB">
        <w:rPr>
          <w:sz w:val="22"/>
          <w:szCs w:val="22"/>
          <w:lang w:val="sr-Latn-ME"/>
        </w:rPr>
        <w:t>ečenja neophodan, treba razmotiti pokretanje postupka za ubrzanu eliminaciju l</w:t>
      </w:r>
      <w:r w:rsidR="000B5140" w:rsidRPr="00B14EBB">
        <w:rPr>
          <w:sz w:val="22"/>
          <w:szCs w:val="22"/>
          <w:lang w:val="sr-Latn-ME"/>
        </w:rPr>
        <w:t>ij</w:t>
      </w:r>
      <w:r w:rsidRPr="00B14EBB">
        <w:rPr>
          <w:sz w:val="22"/>
          <w:szCs w:val="22"/>
          <w:lang w:val="sr-Latn-ME"/>
        </w:rPr>
        <w:t>eka.</w:t>
      </w:r>
    </w:p>
    <w:p w14:paraId="4AD71A2A" w14:textId="77777777" w:rsidR="00545126" w:rsidRDefault="00545126" w:rsidP="00545126">
      <w:pPr>
        <w:widowControl w:val="0"/>
        <w:autoSpaceDE w:val="0"/>
        <w:autoSpaceDN w:val="0"/>
        <w:adjustRightInd w:val="0"/>
        <w:jc w:val="both"/>
        <w:rPr>
          <w:sz w:val="22"/>
          <w:szCs w:val="22"/>
          <w:u w:val="single"/>
          <w:lang w:val="sr-Latn-ME" w:eastAsia="sr-Latn-CS"/>
        </w:rPr>
      </w:pPr>
    </w:p>
    <w:p w14:paraId="267C60ED" w14:textId="7BBE33D3"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Hematološko dejstvo</w:t>
      </w:r>
    </w:p>
    <w:p w14:paraId="0C9F383F" w14:textId="2705320F" w:rsidR="006C05DA" w:rsidRPr="00B14EBB" w:rsidRDefault="006C05DA" w:rsidP="00545126">
      <w:pPr>
        <w:pStyle w:val="BodyText"/>
        <w:widowControl w:val="0"/>
        <w:jc w:val="both"/>
        <w:rPr>
          <w:sz w:val="22"/>
          <w:szCs w:val="22"/>
          <w:lang w:val="sr-Latn-ME"/>
        </w:rPr>
      </w:pPr>
      <w:r w:rsidRPr="00B14EBB">
        <w:rPr>
          <w:sz w:val="22"/>
          <w:szCs w:val="22"/>
          <w:lang w:val="sr-Latn-ME"/>
        </w:rPr>
        <w:t>Prim</w:t>
      </w:r>
      <w:r w:rsidR="000B5140" w:rsidRPr="00B14EBB">
        <w:rPr>
          <w:sz w:val="22"/>
          <w:szCs w:val="22"/>
          <w:lang w:val="sr-Latn-ME"/>
        </w:rPr>
        <w:t>ij</w:t>
      </w:r>
      <w:r w:rsidRPr="00B14EBB">
        <w:rPr>
          <w:sz w:val="22"/>
          <w:szCs w:val="22"/>
          <w:lang w:val="sr-Latn-ME"/>
        </w:rPr>
        <w:t>ećeno je smanjenje srednje vr</w:t>
      </w:r>
      <w:r w:rsidR="000B5140" w:rsidRPr="00B14EBB">
        <w:rPr>
          <w:sz w:val="22"/>
          <w:szCs w:val="22"/>
          <w:lang w:val="sr-Latn-ME"/>
        </w:rPr>
        <w:t>ij</w:t>
      </w:r>
      <w:r w:rsidRPr="00B14EBB">
        <w:rPr>
          <w:sz w:val="22"/>
          <w:szCs w:val="22"/>
          <w:lang w:val="sr-Latn-ME"/>
        </w:rPr>
        <w:t>ednosti broja leukocita od manje od 15% u odnosu na početne vr</w:t>
      </w:r>
      <w:r w:rsidR="000B5140" w:rsidRPr="00B14EBB">
        <w:rPr>
          <w:sz w:val="22"/>
          <w:szCs w:val="22"/>
          <w:lang w:val="sr-Latn-ME"/>
        </w:rPr>
        <w:t>ij</w:t>
      </w:r>
      <w:r w:rsidRPr="00B14EBB">
        <w:rPr>
          <w:sz w:val="22"/>
          <w:szCs w:val="22"/>
          <w:lang w:val="sr-Latn-ME"/>
        </w:rPr>
        <w:t>ednosti (vid</w:t>
      </w:r>
      <w:r w:rsidR="000B5140" w:rsidRPr="00B14EBB">
        <w:rPr>
          <w:sz w:val="22"/>
          <w:szCs w:val="22"/>
          <w:lang w:val="sr-Latn-ME"/>
        </w:rPr>
        <w:t>j</w:t>
      </w:r>
      <w:r w:rsidRPr="00B14EBB">
        <w:rPr>
          <w:sz w:val="22"/>
          <w:szCs w:val="22"/>
          <w:lang w:val="sr-Latn-ME"/>
        </w:rPr>
        <w:t xml:space="preserve">eti </w:t>
      </w:r>
      <w:r w:rsidR="008018B3" w:rsidRPr="00B14EBB">
        <w:rPr>
          <w:sz w:val="22"/>
          <w:szCs w:val="22"/>
          <w:lang w:val="sr-Latn-ME"/>
        </w:rPr>
        <w:t xml:space="preserve">dio </w:t>
      </w:r>
      <w:r w:rsidRPr="00B14EBB">
        <w:rPr>
          <w:sz w:val="22"/>
          <w:szCs w:val="22"/>
          <w:lang w:val="sr-Latn-ME"/>
        </w:rPr>
        <w:t>4.8). Kao m</w:t>
      </w:r>
      <w:r w:rsidR="000B5140" w:rsidRPr="00B14EBB">
        <w:rPr>
          <w:sz w:val="22"/>
          <w:szCs w:val="22"/>
          <w:lang w:val="sr-Latn-ME"/>
        </w:rPr>
        <w:t>j</w:t>
      </w:r>
      <w:r w:rsidRPr="00B14EBB">
        <w:rPr>
          <w:sz w:val="22"/>
          <w:szCs w:val="22"/>
          <w:lang w:val="sr-Latn-ME"/>
        </w:rPr>
        <w:t>era opreza, pr</w:t>
      </w:r>
      <w:r w:rsidR="000B5140" w:rsidRPr="00B14EBB">
        <w:rPr>
          <w:sz w:val="22"/>
          <w:szCs w:val="22"/>
          <w:lang w:val="sr-Latn-ME"/>
        </w:rPr>
        <w:t>ij</w:t>
      </w:r>
      <w:r w:rsidRPr="00B14EBB">
        <w:rPr>
          <w:sz w:val="22"/>
          <w:szCs w:val="22"/>
          <w:lang w:val="sr-Latn-ME"/>
        </w:rPr>
        <w:t>e početka l</w:t>
      </w:r>
      <w:r w:rsidR="000B5140" w:rsidRPr="00B14EBB">
        <w:rPr>
          <w:sz w:val="22"/>
          <w:szCs w:val="22"/>
          <w:lang w:val="sr-Latn-ME"/>
        </w:rPr>
        <w:t>ij</w:t>
      </w:r>
      <w:r w:rsidRPr="00B14EBB">
        <w:rPr>
          <w:sz w:val="22"/>
          <w:szCs w:val="22"/>
          <w:lang w:val="sr-Latn-ME"/>
        </w:rPr>
        <w:t>ečenja l</w:t>
      </w:r>
      <w:r w:rsidR="000B5140" w:rsidRPr="00B14EBB">
        <w:rPr>
          <w:sz w:val="22"/>
          <w:szCs w:val="22"/>
          <w:lang w:val="sr-Latn-ME"/>
        </w:rPr>
        <w:t>ij</w:t>
      </w:r>
      <w:r w:rsidRPr="00B14EBB">
        <w:rPr>
          <w:sz w:val="22"/>
          <w:szCs w:val="22"/>
          <w:lang w:val="sr-Latn-ME"/>
        </w:rPr>
        <w:t>ekom Teriflunomid Zentiva na raspolaganju se mora imati novija kompletna krvna slika, uključujući diferencijalnu krvnu sliku leukocita i trombocita, a tokom l</w:t>
      </w:r>
      <w:r w:rsidR="000B5140" w:rsidRPr="00B14EBB">
        <w:rPr>
          <w:sz w:val="22"/>
          <w:szCs w:val="22"/>
          <w:lang w:val="sr-Latn-ME"/>
        </w:rPr>
        <w:t>ij</w:t>
      </w:r>
      <w:r w:rsidRPr="00B14EBB">
        <w:rPr>
          <w:sz w:val="22"/>
          <w:szCs w:val="22"/>
          <w:lang w:val="sr-Latn-ME"/>
        </w:rPr>
        <w:t>ečenja l</w:t>
      </w:r>
      <w:r w:rsidR="000B5140" w:rsidRPr="00B14EBB">
        <w:rPr>
          <w:sz w:val="22"/>
          <w:szCs w:val="22"/>
          <w:lang w:val="sr-Latn-ME"/>
        </w:rPr>
        <w:t>ij</w:t>
      </w:r>
      <w:r w:rsidRPr="00B14EBB">
        <w:rPr>
          <w:sz w:val="22"/>
          <w:szCs w:val="22"/>
          <w:lang w:val="sr-Latn-ME"/>
        </w:rPr>
        <w:t>ekom Teriflunomid Zentiva treba određivati kompletnu krvnu sliku u skladu sa kliničkim znacima i simptomima (npr. u slučaju infekcija).</w:t>
      </w:r>
    </w:p>
    <w:p w14:paraId="533D7BB0" w14:textId="7A86A39C" w:rsidR="006C05DA" w:rsidRPr="00B14EBB" w:rsidRDefault="006C05DA" w:rsidP="00545126">
      <w:pPr>
        <w:pStyle w:val="BodyText"/>
        <w:widowControl w:val="0"/>
        <w:jc w:val="both"/>
        <w:rPr>
          <w:sz w:val="22"/>
          <w:szCs w:val="22"/>
          <w:lang w:val="sr-Latn-ME"/>
        </w:rPr>
      </w:pPr>
      <w:r w:rsidRPr="00B14EBB">
        <w:rPr>
          <w:sz w:val="22"/>
          <w:szCs w:val="22"/>
          <w:lang w:val="sr-Latn-ME"/>
        </w:rPr>
        <w:t>Kod pacijenata sa postojećom anemijom, leukopenijom i/ili trombocitopenijom kao i kod pacijenata sa poremećenom funkcijom koštane srži ili onih kod kojih postoji rizik od supresije koštane srži povećan je rizik od pojave hematoloških poremećaja. Ukoliko dođe do takvih dejstava, treba razmotriti prim</w:t>
      </w:r>
      <w:r w:rsidR="000B5140" w:rsidRPr="00B14EBB">
        <w:rPr>
          <w:sz w:val="22"/>
          <w:szCs w:val="22"/>
          <w:lang w:val="sr-Latn-ME"/>
        </w:rPr>
        <w:t>j</w:t>
      </w:r>
      <w:r w:rsidRPr="00B14EBB">
        <w:rPr>
          <w:sz w:val="22"/>
          <w:szCs w:val="22"/>
          <w:lang w:val="sr-Latn-ME"/>
        </w:rPr>
        <w:t>enu postupka ubrzane eliminacije (vid</w:t>
      </w:r>
      <w:r w:rsidR="000B5140" w:rsidRPr="00B14EBB">
        <w:rPr>
          <w:sz w:val="22"/>
          <w:szCs w:val="22"/>
          <w:lang w:val="sr-Latn-ME"/>
        </w:rPr>
        <w:t>j</w:t>
      </w:r>
      <w:r w:rsidRPr="00B14EBB">
        <w:rPr>
          <w:sz w:val="22"/>
          <w:szCs w:val="22"/>
          <w:lang w:val="sr-Latn-ME"/>
        </w:rPr>
        <w:t>eti u prethodno navedenom tekstu), kako bi se snizile koncentracije teriflunomida u plazmi.</w:t>
      </w:r>
    </w:p>
    <w:p w14:paraId="78BEEE9E" w14:textId="1A3F9E2C" w:rsidR="006C05DA" w:rsidRPr="00B14EBB" w:rsidRDefault="006C05DA" w:rsidP="00545126">
      <w:pPr>
        <w:pStyle w:val="BodyText"/>
        <w:widowControl w:val="0"/>
        <w:jc w:val="both"/>
        <w:rPr>
          <w:sz w:val="22"/>
          <w:szCs w:val="22"/>
          <w:lang w:val="sr-Latn-ME"/>
        </w:rPr>
      </w:pPr>
      <w:r w:rsidRPr="00B14EBB">
        <w:rPr>
          <w:sz w:val="22"/>
          <w:szCs w:val="22"/>
          <w:lang w:val="sr-Latn-ME"/>
        </w:rPr>
        <w:t>U slučajevima teških hematoloških reakcija, uključujući pancitopeniju, mora se prekinuti prim</w:t>
      </w:r>
      <w:r w:rsidR="000B5140" w:rsidRPr="00B14EBB">
        <w:rPr>
          <w:sz w:val="22"/>
          <w:szCs w:val="22"/>
          <w:lang w:val="sr-Latn-ME"/>
        </w:rPr>
        <w:t>j</w:t>
      </w:r>
      <w:r w:rsidRPr="00B14EBB">
        <w:rPr>
          <w:sz w:val="22"/>
          <w:szCs w:val="22"/>
          <w:lang w:val="sr-Latn-ME"/>
        </w:rPr>
        <w:t>ena teriflunomida i bilo koje istovremene mijelosupresivne terapije i razmotriti sprovođenje postupka ubrzane eliminacije teriflunomida.</w:t>
      </w:r>
    </w:p>
    <w:p w14:paraId="2DA20A8E" w14:textId="77777777" w:rsidR="00545126" w:rsidRDefault="00545126" w:rsidP="00545126">
      <w:pPr>
        <w:widowControl w:val="0"/>
        <w:autoSpaceDE w:val="0"/>
        <w:autoSpaceDN w:val="0"/>
        <w:adjustRightInd w:val="0"/>
        <w:jc w:val="both"/>
        <w:rPr>
          <w:sz w:val="22"/>
          <w:szCs w:val="22"/>
          <w:u w:val="single"/>
          <w:lang w:val="sr-Latn-ME" w:eastAsia="sr-Latn-CS"/>
        </w:rPr>
      </w:pPr>
    </w:p>
    <w:p w14:paraId="4FD521E0" w14:textId="059B308B"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Kožne reakcije</w:t>
      </w:r>
    </w:p>
    <w:p w14:paraId="3E817F98" w14:textId="3902EDE6" w:rsidR="006C05DA" w:rsidRPr="00B14EBB" w:rsidRDefault="006C05DA" w:rsidP="00545126">
      <w:pPr>
        <w:pStyle w:val="BodyText"/>
        <w:widowControl w:val="0"/>
        <w:jc w:val="both"/>
        <w:rPr>
          <w:sz w:val="22"/>
          <w:szCs w:val="22"/>
          <w:lang w:val="sr-Latn-ME"/>
        </w:rPr>
      </w:pPr>
      <w:r w:rsidRPr="00B14EBB">
        <w:rPr>
          <w:sz w:val="22"/>
          <w:szCs w:val="22"/>
          <w:lang w:val="sr-Latn-ME"/>
        </w:rPr>
        <w:t>Tokom prim</w:t>
      </w:r>
      <w:r w:rsidR="000B5140" w:rsidRPr="00B14EBB">
        <w:rPr>
          <w:sz w:val="22"/>
          <w:szCs w:val="22"/>
          <w:lang w:val="sr-Latn-ME"/>
        </w:rPr>
        <w:t>j</w:t>
      </w:r>
      <w:r w:rsidRPr="00B14EBB">
        <w:rPr>
          <w:sz w:val="22"/>
          <w:szCs w:val="22"/>
          <w:lang w:val="sr-Latn-ME"/>
        </w:rPr>
        <w:t xml:space="preserve">ene teriflunomida prijavljeni su slučajevi ozbiljnih, ponekad smrtonosnih kožnih reakcija uključujući </w:t>
      </w:r>
      <w:r w:rsidRPr="00B14EBB">
        <w:rPr>
          <w:i/>
          <w:sz w:val="22"/>
          <w:szCs w:val="22"/>
          <w:lang w:val="sr-Latn-ME"/>
        </w:rPr>
        <w:t>Stevens-Johnson</w:t>
      </w:r>
      <w:r w:rsidRPr="00B14EBB">
        <w:rPr>
          <w:sz w:val="22"/>
          <w:szCs w:val="22"/>
          <w:lang w:val="sr-Latn-ME"/>
        </w:rPr>
        <w:t>-ov sindrom (SJS), toksičnu epidermalnu nekrolizu (TEN) i reakcije na l</w:t>
      </w:r>
      <w:r w:rsidR="000B5140" w:rsidRPr="00B14EBB">
        <w:rPr>
          <w:sz w:val="22"/>
          <w:szCs w:val="22"/>
          <w:lang w:val="sr-Latn-ME"/>
        </w:rPr>
        <w:t>ij</w:t>
      </w:r>
      <w:r w:rsidRPr="00B14EBB">
        <w:rPr>
          <w:sz w:val="22"/>
          <w:szCs w:val="22"/>
          <w:lang w:val="sr-Latn-ME"/>
        </w:rPr>
        <w:t xml:space="preserve">ek sa eozinofilijom i sistemskim simptomima (engl. </w:t>
      </w:r>
      <w:r w:rsidRPr="00B14EBB">
        <w:rPr>
          <w:rFonts w:eastAsia="Calibri"/>
          <w:i/>
          <w:sz w:val="22"/>
          <w:szCs w:val="22"/>
          <w:lang w:val="sr-Latn-ME"/>
        </w:rPr>
        <w:t>Reaction with Eosinophilia and Systemic Symptoms</w:t>
      </w:r>
      <w:r w:rsidRPr="00B14EBB">
        <w:rPr>
          <w:sz w:val="22"/>
          <w:szCs w:val="22"/>
          <w:lang w:val="sr-Latn-ME"/>
        </w:rPr>
        <w:t xml:space="preserve"> DRESS).</w:t>
      </w:r>
    </w:p>
    <w:p w14:paraId="0908AF4E" w14:textId="7740BF54" w:rsidR="006C05DA" w:rsidRPr="00B14EBB" w:rsidRDefault="006C05DA" w:rsidP="00545126">
      <w:pPr>
        <w:pStyle w:val="BodyText"/>
        <w:widowControl w:val="0"/>
        <w:jc w:val="both"/>
        <w:rPr>
          <w:sz w:val="22"/>
          <w:szCs w:val="22"/>
          <w:lang w:val="sr-Latn-ME"/>
        </w:rPr>
      </w:pPr>
      <w:r w:rsidRPr="00B14EBB">
        <w:rPr>
          <w:sz w:val="22"/>
          <w:szCs w:val="22"/>
          <w:lang w:val="sr-Latn-ME"/>
        </w:rPr>
        <w:t>Ako se prim</w:t>
      </w:r>
      <w:r w:rsidR="000B5140" w:rsidRPr="00B14EBB">
        <w:rPr>
          <w:sz w:val="22"/>
          <w:szCs w:val="22"/>
          <w:lang w:val="sr-Latn-ME"/>
        </w:rPr>
        <w:t>ij</w:t>
      </w:r>
      <w:r w:rsidRPr="00B14EBB">
        <w:rPr>
          <w:sz w:val="22"/>
          <w:szCs w:val="22"/>
          <w:lang w:val="sr-Latn-ME"/>
        </w:rPr>
        <w:t>ete reakcije na koži/ sluzokoži (ulcerozni stomatitis) zbog kojih se sumnja na teške generalizovane ozbiljne kožne reakcije (</w:t>
      </w:r>
      <w:r w:rsidRPr="00B14EBB">
        <w:rPr>
          <w:i/>
          <w:sz w:val="22"/>
          <w:szCs w:val="22"/>
          <w:lang w:val="sr-Latn-ME"/>
        </w:rPr>
        <w:t>Stevens-Johnson</w:t>
      </w:r>
      <w:r w:rsidRPr="00B14EBB">
        <w:rPr>
          <w:sz w:val="22"/>
          <w:szCs w:val="22"/>
          <w:lang w:val="sr-Latn-ME"/>
        </w:rPr>
        <w:t>-ov sindrom, toksičnu epidermalnu nekrolizu – Lyell-ov sindrom ili reakciju na l</w:t>
      </w:r>
      <w:r w:rsidR="000B5140" w:rsidRPr="00B14EBB">
        <w:rPr>
          <w:sz w:val="22"/>
          <w:szCs w:val="22"/>
          <w:lang w:val="sr-Latn-ME"/>
        </w:rPr>
        <w:t>ij</w:t>
      </w:r>
      <w:r w:rsidRPr="00B14EBB">
        <w:rPr>
          <w:sz w:val="22"/>
          <w:szCs w:val="22"/>
          <w:lang w:val="sr-Latn-ME"/>
        </w:rPr>
        <w:t>ek s eozinofilijom i sistemskim simptomima), mora se prekinuti sa prim</w:t>
      </w:r>
      <w:r w:rsidR="000B5140" w:rsidRPr="00B14EBB">
        <w:rPr>
          <w:sz w:val="22"/>
          <w:szCs w:val="22"/>
          <w:lang w:val="sr-Latn-ME"/>
        </w:rPr>
        <w:t>j</w:t>
      </w:r>
      <w:r w:rsidRPr="00B14EBB">
        <w:rPr>
          <w:sz w:val="22"/>
          <w:szCs w:val="22"/>
          <w:lang w:val="sr-Latn-ME"/>
        </w:rPr>
        <w:t>enom teriflunomida i bilo koje druge terapije koja bi mogla biti povezana sa njom i odmah započeti postupak ubrzane eliminacije. U takvim slučajevima pacijenti se ne sm</w:t>
      </w:r>
      <w:r w:rsidR="000B5140" w:rsidRPr="00B14EBB">
        <w:rPr>
          <w:sz w:val="22"/>
          <w:szCs w:val="22"/>
          <w:lang w:val="sr-Latn-ME"/>
        </w:rPr>
        <w:t>i</w:t>
      </w:r>
      <w:r w:rsidRPr="00B14EBB">
        <w:rPr>
          <w:sz w:val="22"/>
          <w:szCs w:val="22"/>
          <w:lang w:val="sr-Latn-ME"/>
        </w:rPr>
        <w:t>ju ponovo izlagati teriflunomidu (vid</w:t>
      </w:r>
      <w:r w:rsidR="000B5140" w:rsidRPr="00B14EBB">
        <w:rPr>
          <w:sz w:val="22"/>
          <w:szCs w:val="22"/>
          <w:lang w:val="sr-Latn-ME"/>
        </w:rPr>
        <w:t>j</w:t>
      </w:r>
      <w:r w:rsidRPr="00B14EBB">
        <w:rPr>
          <w:sz w:val="22"/>
          <w:szCs w:val="22"/>
          <w:lang w:val="sr-Latn-ME"/>
        </w:rPr>
        <w:t xml:space="preserve">eti </w:t>
      </w:r>
      <w:r w:rsidR="005A10FA" w:rsidRPr="00B14EBB">
        <w:rPr>
          <w:sz w:val="22"/>
          <w:szCs w:val="22"/>
          <w:lang w:val="sr-Latn-ME"/>
        </w:rPr>
        <w:t xml:space="preserve">dio </w:t>
      </w:r>
      <w:r w:rsidRPr="00B14EBB">
        <w:rPr>
          <w:sz w:val="22"/>
          <w:szCs w:val="22"/>
          <w:lang w:val="sr-Latn-ME"/>
        </w:rPr>
        <w:t>4.3).</w:t>
      </w:r>
    </w:p>
    <w:p w14:paraId="2D3A08F2" w14:textId="06C84589" w:rsidR="006C05DA" w:rsidRPr="00B14EBB" w:rsidRDefault="006C05DA" w:rsidP="00545126">
      <w:pPr>
        <w:pStyle w:val="BodyText"/>
        <w:widowControl w:val="0"/>
        <w:jc w:val="both"/>
        <w:rPr>
          <w:sz w:val="22"/>
          <w:szCs w:val="22"/>
          <w:lang w:val="sr-Latn-ME"/>
        </w:rPr>
      </w:pPr>
      <w:r w:rsidRPr="00B14EBB">
        <w:rPr>
          <w:sz w:val="22"/>
          <w:szCs w:val="22"/>
          <w:lang w:val="sr-Latn-ME"/>
        </w:rPr>
        <w:t>Zab</w:t>
      </w:r>
      <w:r w:rsidR="000B5140" w:rsidRPr="00B14EBB">
        <w:rPr>
          <w:sz w:val="22"/>
          <w:szCs w:val="22"/>
          <w:lang w:val="sr-Latn-ME"/>
        </w:rPr>
        <w:t>ilj</w:t>
      </w:r>
      <w:r w:rsidRPr="00B14EBB">
        <w:rPr>
          <w:sz w:val="22"/>
          <w:szCs w:val="22"/>
          <w:lang w:val="sr-Latn-ME"/>
        </w:rPr>
        <w:t>ežena je pojava psorijaze (uključujući pustularnu psorijazu) i pogoršanje postojeće psorijaze tokom upotrebe teriflunomida. Uzimajući u obzir bolest i anamnezu bolesnika, može se razmotriti prekid l</w:t>
      </w:r>
      <w:r w:rsidR="000B5140" w:rsidRPr="00B14EBB">
        <w:rPr>
          <w:sz w:val="22"/>
          <w:szCs w:val="22"/>
          <w:lang w:val="sr-Latn-ME"/>
        </w:rPr>
        <w:t>ij</w:t>
      </w:r>
      <w:r w:rsidRPr="00B14EBB">
        <w:rPr>
          <w:sz w:val="22"/>
          <w:szCs w:val="22"/>
          <w:lang w:val="sr-Latn-ME"/>
        </w:rPr>
        <w:t>ečenja i uvođenje postupka ubrzane eliminacije l</w:t>
      </w:r>
      <w:r w:rsidR="000B5140" w:rsidRPr="00B14EBB">
        <w:rPr>
          <w:sz w:val="22"/>
          <w:szCs w:val="22"/>
          <w:lang w:val="sr-Latn-ME"/>
        </w:rPr>
        <w:t>ij</w:t>
      </w:r>
      <w:r w:rsidRPr="00B14EBB">
        <w:rPr>
          <w:sz w:val="22"/>
          <w:szCs w:val="22"/>
          <w:lang w:val="sr-Latn-ME"/>
        </w:rPr>
        <w:t>eka.</w:t>
      </w:r>
    </w:p>
    <w:p w14:paraId="35F566FD" w14:textId="77777777" w:rsidR="00545126" w:rsidRDefault="00545126" w:rsidP="00545126">
      <w:pPr>
        <w:widowControl w:val="0"/>
        <w:autoSpaceDE w:val="0"/>
        <w:autoSpaceDN w:val="0"/>
        <w:adjustRightInd w:val="0"/>
        <w:jc w:val="both"/>
        <w:rPr>
          <w:sz w:val="22"/>
          <w:szCs w:val="22"/>
          <w:u w:val="single"/>
          <w:lang w:val="sr-Latn-ME" w:eastAsia="sr-Latn-CS"/>
        </w:rPr>
      </w:pPr>
    </w:p>
    <w:p w14:paraId="2675FBF0" w14:textId="25292176"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Periferna neuropatija</w:t>
      </w:r>
    </w:p>
    <w:p w14:paraId="174EFFBB" w14:textId="21C6A9F8" w:rsidR="006C05DA" w:rsidRPr="00B14EBB" w:rsidRDefault="006C05DA" w:rsidP="00545126">
      <w:pPr>
        <w:pStyle w:val="BodyText"/>
        <w:widowControl w:val="0"/>
        <w:jc w:val="both"/>
        <w:rPr>
          <w:sz w:val="22"/>
          <w:szCs w:val="22"/>
          <w:lang w:val="sr-Latn-ME"/>
        </w:rPr>
      </w:pPr>
      <w:r w:rsidRPr="00B14EBB">
        <w:rPr>
          <w:sz w:val="22"/>
          <w:szCs w:val="22"/>
          <w:lang w:val="sr-Latn-ME"/>
        </w:rPr>
        <w:t>Kod pacijenata koji su primali teriflunomid prijavljeni su slučajevi periferne neuropatije (vid</w:t>
      </w:r>
      <w:r w:rsidR="000B5140" w:rsidRPr="00B14EBB">
        <w:rPr>
          <w:sz w:val="22"/>
          <w:szCs w:val="22"/>
          <w:lang w:val="sr-Latn-ME"/>
        </w:rPr>
        <w:t>j</w:t>
      </w:r>
      <w:r w:rsidRPr="00B14EBB">
        <w:rPr>
          <w:sz w:val="22"/>
          <w:szCs w:val="22"/>
          <w:lang w:val="sr-Latn-ME"/>
        </w:rPr>
        <w:t xml:space="preserve">eti </w:t>
      </w:r>
      <w:r w:rsidR="005A10FA" w:rsidRPr="00B14EBB">
        <w:rPr>
          <w:sz w:val="22"/>
          <w:szCs w:val="22"/>
          <w:lang w:val="sr-Latn-ME"/>
        </w:rPr>
        <w:t xml:space="preserve">dio </w:t>
      </w:r>
      <w:r w:rsidRPr="00B14EBB">
        <w:rPr>
          <w:sz w:val="22"/>
          <w:szCs w:val="22"/>
          <w:lang w:val="sr-Latn-ME"/>
        </w:rPr>
        <w:t>4.8). Kod većine pacijenata stanje se poboljšalo nakon prekida prim</w:t>
      </w:r>
      <w:r w:rsidR="000B5140" w:rsidRPr="00B14EBB">
        <w:rPr>
          <w:sz w:val="22"/>
          <w:szCs w:val="22"/>
          <w:lang w:val="sr-Latn-ME"/>
        </w:rPr>
        <w:t>j</w:t>
      </w:r>
      <w:r w:rsidRPr="00B14EBB">
        <w:rPr>
          <w:sz w:val="22"/>
          <w:szCs w:val="22"/>
          <w:lang w:val="sr-Latn-ME"/>
        </w:rPr>
        <w:t>ene teriflunomida. Međutim, postoje velike razlike u konačnom ishodu, tj. kod nekih pacijenata se neuropatija povukla, a kod nekih su simptomi i dalje bili prisutni. Ako pacijent koji prima l</w:t>
      </w:r>
      <w:r w:rsidR="000B5140" w:rsidRPr="00B14EBB">
        <w:rPr>
          <w:sz w:val="22"/>
          <w:szCs w:val="22"/>
          <w:lang w:val="sr-Latn-ME"/>
        </w:rPr>
        <w:t>ij</w:t>
      </w:r>
      <w:r w:rsidRPr="00B14EBB">
        <w:rPr>
          <w:sz w:val="22"/>
          <w:szCs w:val="22"/>
          <w:lang w:val="sr-Latn-ME"/>
        </w:rPr>
        <w:t>ek Teriflunomid Zentiva razvije potvrđenu perifernu neuropatiju, mora se razmotriti prekid l</w:t>
      </w:r>
      <w:r w:rsidR="000B5140" w:rsidRPr="00B14EBB">
        <w:rPr>
          <w:sz w:val="22"/>
          <w:szCs w:val="22"/>
          <w:lang w:val="sr-Latn-ME"/>
        </w:rPr>
        <w:t>ij</w:t>
      </w:r>
      <w:r w:rsidRPr="00B14EBB">
        <w:rPr>
          <w:sz w:val="22"/>
          <w:szCs w:val="22"/>
          <w:lang w:val="sr-Latn-ME"/>
        </w:rPr>
        <w:t>ečenja l</w:t>
      </w:r>
      <w:r w:rsidR="000B5140" w:rsidRPr="00B14EBB">
        <w:rPr>
          <w:sz w:val="22"/>
          <w:szCs w:val="22"/>
          <w:lang w:val="sr-Latn-ME"/>
        </w:rPr>
        <w:t>ij</w:t>
      </w:r>
      <w:r w:rsidRPr="00B14EBB">
        <w:rPr>
          <w:sz w:val="22"/>
          <w:szCs w:val="22"/>
          <w:lang w:val="sr-Latn-ME"/>
        </w:rPr>
        <w:t>ekom Teriflunomid Zentiva i prim</w:t>
      </w:r>
      <w:r w:rsidR="000B5140" w:rsidRPr="00B14EBB">
        <w:rPr>
          <w:sz w:val="22"/>
          <w:szCs w:val="22"/>
          <w:lang w:val="sr-Latn-ME"/>
        </w:rPr>
        <w:t>j</w:t>
      </w:r>
      <w:r w:rsidRPr="00B14EBB">
        <w:rPr>
          <w:sz w:val="22"/>
          <w:szCs w:val="22"/>
          <w:lang w:val="sr-Latn-ME"/>
        </w:rPr>
        <w:t>ena postupka ubrzane eliminacije.</w:t>
      </w:r>
    </w:p>
    <w:p w14:paraId="1CC9B0AA" w14:textId="77777777" w:rsidR="00545126" w:rsidRDefault="00545126" w:rsidP="00545126">
      <w:pPr>
        <w:widowControl w:val="0"/>
        <w:autoSpaceDE w:val="0"/>
        <w:autoSpaceDN w:val="0"/>
        <w:adjustRightInd w:val="0"/>
        <w:jc w:val="both"/>
        <w:rPr>
          <w:sz w:val="22"/>
          <w:szCs w:val="22"/>
          <w:u w:val="single"/>
          <w:lang w:val="sr-Latn-ME" w:eastAsia="sr-Latn-CS"/>
        </w:rPr>
      </w:pPr>
    </w:p>
    <w:p w14:paraId="4CB55EBB" w14:textId="192ADF6A"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lastRenderedPageBreak/>
        <w:t>Vakcinacija</w:t>
      </w:r>
    </w:p>
    <w:p w14:paraId="650015CE" w14:textId="5F1E6A21" w:rsidR="006C05DA" w:rsidRPr="00B14EBB" w:rsidRDefault="006C05DA" w:rsidP="00545126">
      <w:pPr>
        <w:pStyle w:val="BodyText"/>
        <w:widowControl w:val="0"/>
        <w:jc w:val="both"/>
        <w:rPr>
          <w:sz w:val="22"/>
          <w:szCs w:val="22"/>
          <w:lang w:val="sr-Latn-ME"/>
        </w:rPr>
      </w:pPr>
      <w:r w:rsidRPr="00B14EBB">
        <w:rPr>
          <w:sz w:val="22"/>
          <w:szCs w:val="22"/>
          <w:lang w:val="sr-Latn-ME"/>
        </w:rPr>
        <w:t>Dv</w:t>
      </w:r>
      <w:r w:rsidR="000B5140" w:rsidRPr="00B14EBB">
        <w:rPr>
          <w:sz w:val="22"/>
          <w:szCs w:val="22"/>
          <w:lang w:val="sr-Latn-ME"/>
        </w:rPr>
        <w:t>ij</w:t>
      </w:r>
      <w:r w:rsidRPr="00B14EBB">
        <w:rPr>
          <w:sz w:val="22"/>
          <w:szCs w:val="22"/>
          <w:lang w:val="sr-Latn-ME"/>
        </w:rPr>
        <w:t>e kliničke studije su pokazale da je vakcinacija inaktivisanim neoantigenom (prva vakcinacija) ili recall antigenom (ponovno izlaganje) bila sigurna i efikasna tokom terapije teriflunomidom. Prim</w:t>
      </w:r>
      <w:r w:rsidR="000B5140" w:rsidRPr="00B14EBB">
        <w:rPr>
          <w:sz w:val="22"/>
          <w:szCs w:val="22"/>
          <w:lang w:val="sr-Latn-ME"/>
        </w:rPr>
        <w:t>j</w:t>
      </w:r>
      <w:r w:rsidRPr="00B14EBB">
        <w:rPr>
          <w:sz w:val="22"/>
          <w:szCs w:val="22"/>
          <w:lang w:val="sr-Latn-ME"/>
        </w:rPr>
        <w:t>ena živih atenuisanih vakcina može podrazum</w:t>
      </w:r>
      <w:r w:rsidR="0028045D" w:rsidRPr="00B14EBB">
        <w:rPr>
          <w:sz w:val="22"/>
          <w:szCs w:val="22"/>
          <w:lang w:val="sr-Latn-ME"/>
        </w:rPr>
        <w:t>ij</w:t>
      </w:r>
      <w:r w:rsidRPr="00B14EBB">
        <w:rPr>
          <w:sz w:val="22"/>
          <w:szCs w:val="22"/>
          <w:lang w:val="sr-Latn-ME"/>
        </w:rPr>
        <w:t>evati rizik od infekcije pa ih zbog toga treba izb</w:t>
      </w:r>
      <w:r w:rsidR="000B5140" w:rsidRPr="00B14EBB">
        <w:rPr>
          <w:sz w:val="22"/>
          <w:szCs w:val="22"/>
          <w:lang w:val="sr-Latn-ME"/>
        </w:rPr>
        <w:t>j</w:t>
      </w:r>
      <w:r w:rsidRPr="00B14EBB">
        <w:rPr>
          <w:sz w:val="22"/>
          <w:szCs w:val="22"/>
          <w:lang w:val="sr-Latn-ME"/>
        </w:rPr>
        <w:t>egavati.</w:t>
      </w:r>
    </w:p>
    <w:p w14:paraId="16F5868B" w14:textId="77777777" w:rsidR="00545126" w:rsidRDefault="00545126" w:rsidP="00545126">
      <w:pPr>
        <w:widowControl w:val="0"/>
        <w:autoSpaceDE w:val="0"/>
        <w:autoSpaceDN w:val="0"/>
        <w:adjustRightInd w:val="0"/>
        <w:jc w:val="both"/>
        <w:rPr>
          <w:sz w:val="22"/>
          <w:szCs w:val="22"/>
          <w:u w:val="single"/>
          <w:lang w:val="sr-Latn-ME" w:eastAsia="sr-Latn-CS"/>
        </w:rPr>
      </w:pPr>
    </w:p>
    <w:p w14:paraId="4F5172ED" w14:textId="0B3BFA14"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Imunosupresivne ili imunomodulatorne terapije</w:t>
      </w:r>
    </w:p>
    <w:p w14:paraId="02B2C7F1" w14:textId="409E5BCB" w:rsidR="006C05DA" w:rsidRPr="00B14EBB" w:rsidRDefault="006C05DA" w:rsidP="00545126">
      <w:pPr>
        <w:pStyle w:val="BodyText"/>
        <w:widowControl w:val="0"/>
        <w:jc w:val="both"/>
        <w:rPr>
          <w:sz w:val="22"/>
          <w:szCs w:val="22"/>
          <w:lang w:val="sr-Latn-ME"/>
        </w:rPr>
      </w:pPr>
      <w:r w:rsidRPr="00B14EBB">
        <w:rPr>
          <w:sz w:val="22"/>
          <w:szCs w:val="22"/>
          <w:lang w:val="sr-Latn-ME"/>
        </w:rPr>
        <w:t>Budući da teriflunomid vodi por</w:t>
      </w:r>
      <w:r w:rsidR="000B5140" w:rsidRPr="00B14EBB">
        <w:rPr>
          <w:sz w:val="22"/>
          <w:szCs w:val="22"/>
          <w:lang w:val="sr-Latn-ME"/>
        </w:rPr>
        <w:t>ij</w:t>
      </w:r>
      <w:r w:rsidRPr="00B14EBB">
        <w:rPr>
          <w:sz w:val="22"/>
          <w:szCs w:val="22"/>
          <w:lang w:val="sr-Latn-ME"/>
        </w:rPr>
        <w:t>eklo od leflunomida, istovremena prim</w:t>
      </w:r>
      <w:r w:rsidR="000B5140" w:rsidRPr="00B14EBB">
        <w:rPr>
          <w:sz w:val="22"/>
          <w:szCs w:val="22"/>
          <w:lang w:val="sr-Latn-ME"/>
        </w:rPr>
        <w:t>j</w:t>
      </w:r>
      <w:r w:rsidRPr="00B14EBB">
        <w:rPr>
          <w:sz w:val="22"/>
          <w:szCs w:val="22"/>
          <w:lang w:val="sr-Latn-ME"/>
        </w:rPr>
        <w:t>ena teriflunomida sa leflunomidom se ne preporučuje.</w:t>
      </w:r>
    </w:p>
    <w:p w14:paraId="1FAD13DD" w14:textId="548C2256" w:rsidR="006C05DA" w:rsidRPr="00B14EBB" w:rsidRDefault="006C05DA" w:rsidP="00545126">
      <w:pPr>
        <w:pStyle w:val="BodyText"/>
        <w:widowControl w:val="0"/>
        <w:jc w:val="both"/>
        <w:rPr>
          <w:sz w:val="22"/>
          <w:szCs w:val="22"/>
          <w:lang w:val="sr-Latn-ME"/>
        </w:rPr>
      </w:pPr>
      <w:r w:rsidRPr="00B14EBB">
        <w:rPr>
          <w:sz w:val="22"/>
          <w:szCs w:val="22"/>
          <w:lang w:val="sr-Latn-ME"/>
        </w:rPr>
        <w:t>Istovremena prim</w:t>
      </w:r>
      <w:r w:rsidR="000B5140" w:rsidRPr="00B14EBB">
        <w:rPr>
          <w:sz w:val="22"/>
          <w:szCs w:val="22"/>
          <w:lang w:val="sr-Latn-ME"/>
        </w:rPr>
        <w:t>j</w:t>
      </w:r>
      <w:r w:rsidRPr="00B14EBB">
        <w:rPr>
          <w:sz w:val="22"/>
          <w:szCs w:val="22"/>
          <w:lang w:val="sr-Latn-ME"/>
        </w:rPr>
        <w:t>ena sa antineoplastičnim ili imunosupresivnim l</w:t>
      </w:r>
      <w:r w:rsidR="000B5140" w:rsidRPr="00B14EBB">
        <w:rPr>
          <w:sz w:val="22"/>
          <w:szCs w:val="22"/>
          <w:lang w:val="sr-Latn-ME"/>
        </w:rPr>
        <w:t>j</w:t>
      </w:r>
      <w:r w:rsidRPr="00B14EBB">
        <w:rPr>
          <w:sz w:val="22"/>
          <w:szCs w:val="22"/>
          <w:lang w:val="sr-Latn-ME"/>
        </w:rPr>
        <w:t>ekovima koji se upotrebljavaju za l</w:t>
      </w:r>
      <w:r w:rsidR="000B5140" w:rsidRPr="00B14EBB">
        <w:rPr>
          <w:sz w:val="22"/>
          <w:szCs w:val="22"/>
          <w:lang w:val="sr-Latn-ME"/>
        </w:rPr>
        <w:t>ij</w:t>
      </w:r>
      <w:r w:rsidRPr="00B14EBB">
        <w:rPr>
          <w:sz w:val="22"/>
          <w:szCs w:val="22"/>
          <w:lang w:val="sr-Latn-ME"/>
        </w:rPr>
        <w:t>ečenje multiple skleroze nije ispitana. Ispitivanja bezb</w:t>
      </w:r>
      <w:r w:rsidR="000B5140" w:rsidRPr="00B14EBB">
        <w:rPr>
          <w:sz w:val="22"/>
          <w:szCs w:val="22"/>
          <w:lang w:val="sr-Latn-ME"/>
        </w:rPr>
        <w:t>j</w:t>
      </w:r>
      <w:r w:rsidRPr="00B14EBB">
        <w:rPr>
          <w:sz w:val="22"/>
          <w:szCs w:val="22"/>
          <w:lang w:val="sr-Latn-ME"/>
        </w:rPr>
        <w:t>ednosti u kojima je teriflunomid prim</w:t>
      </w:r>
      <w:r w:rsidR="000B5140" w:rsidRPr="00B14EBB">
        <w:rPr>
          <w:sz w:val="22"/>
          <w:szCs w:val="22"/>
          <w:lang w:val="sr-Latn-ME"/>
        </w:rPr>
        <w:t>j</w:t>
      </w:r>
      <w:r w:rsidRPr="00B14EBB">
        <w:rPr>
          <w:sz w:val="22"/>
          <w:szCs w:val="22"/>
          <w:lang w:val="sr-Latn-ME"/>
        </w:rPr>
        <w:t>enjivan istovremeno sa interferonom beta ili glatiramer acetatom tokom najviše godinu dana nisu pokazala nikakve posebne bezeb</w:t>
      </w:r>
      <w:r w:rsidR="000B5140" w:rsidRPr="00B14EBB">
        <w:rPr>
          <w:sz w:val="22"/>
          <w:szCs w:val="22"/>
          <w:lang w:val="sr-Latn-ME"/>
        </w:rPr>
        <w:t>j</w:t>
      </w:r>
      <w:r w:rsidRPr="00B14EBB">
        <w:rPr>
          <w:sz w:val="22"/>
          <w:szCs w:val="22"/>
          <w:lang w:val="sr-Latn-ME"/>
        </w:rPr>
        <w:t>ednosne probleme, ali je prim</w:t>
      </w:r>
      <w:r w:rsidR="000B5140" w:rsidRPr="00B14EBB">
        <w:rPr>
          <w:sz w:val="22"/>
          <w:szCs w:val="22"/>
          <w:lang w:val="sr-Latn-ME"/>
        </w:rPr>
        <w:t>ij</w:t>
      </w:r>
      <w:r w:rsidRPr="00B14EBB">
        <w:rPr>
          <w:sz w:val="22"/>
          <w:szCs w:val="22"/>
          <w:lang w:val="sr-Latn-ME"/>
        </w:rPr>
        <w:t>ećen veći procenat neželjenih dejstava u poređenju sa prim</w:t>
      </w:r>
      <w:r w:rsidR="000B5140" w:rsidRPr="00B14EBB">
        <w:rPr>
          <w:sz w:val="22"/>
          <w:szCs w:val="22"/>
          <w:lang w:val="sr-Latn-ME"/>
        </w:rPr>
        <w:t>j</w:t>
      </w:r>
      <w:r w:rsidRPr="00B14EBB">
        <w:rPr>
          <w:sz w:val="22"/>
          <w:szCs w:val="22"/>
          <w:lang w:val="sr-Latn-ME"/>
        </w:rPr>
        <w:t>enom teriflunomida kao monoterapije. Bezb</w:t>
      </w:r>
      <w:r w:rsidR="000B5140" w:rsidRPr="00B14EBB">
        <w:rPr>
          <w:sz w:val="22"/>
          <w:szCs w:val="22"/>
          <w:lang w:val="sr-Latn-ME"/>
        </w:rPr>
        <w:t>j</w:t>
      </w:r>
      <w:r w:rsidRPr="00B14EBB">
        <w:rPr>
          <w:sz w:val="22"/>
          <w:szCs w:val="22"/>
          <w:lang w:val="sr-Latn-ME"/>
        </w:rPr>
        <w:t>ednost dugoročne prim</w:t>
      </w:r>
      <w:r w:rsidR="000B5140" w:rsidRPr="00B14EBB">
        <w:rPr>
          <w:sz w:val="22"/>
          <w:szCs w:val="22"/>
          <w:lang w:val="sr-Latn-ME"/>
        </w:rPr>
        <w:t>j</w:t>
      </w:r>
      <w:r w:rsidRPr="00B14EBB">
        <w:rPr>
          <w:sz w:val="22"/>
          <w:szCs w:val="22"/>
          <w:lang w:val="sr-Latn-ME"/>
        </w:rPr>
        <w:t>ene tih kombinacija u l</w:t>
      </w:r>
      <w:r w:rsidR="000B5140" w:rsidRPr="00B14EBB">
        <w:rPr>
          <w:sz w:val="22"/>
          <w:szCs w:val="22"/>
          <w:lang w:val="sr-Latn-ME"/>
        </w:rPr>
        <w:t>ij</w:t>
      </w:r>
      <w:r w:rsidRPr="00B14EBB">
        <w:rPr>
          <w:sz w:val="22"/>
          <w:szCs w:val="22"/>
          <w:lang w:val="sr-Latn-ME"/>
        </w:rPr>
        <w:t>ečenju multiple skleroze nije utvrđena.</w:t>
      </w:r>
    </w:p>
    <w:p w14:paraId="1AFF4033" w14:textId="77777777" w:rsidR="00545126" w:rsidRDefault="00545126" w:rsidP="00545126">
      <w:pPr>
        <w:widowControl w:val="0"/>
        <w:autoSpaceDE w:val="0"/>
        <w:autoSpaceDN w:val="0"/>
        <w:adjustRightInd w:val="0"/>
        <w:jc w:val="both"/>
        <w:rPr>
          <w:sz w:val="22"/>
          <w:szCs w:val="22"/>
          <w:u w:val="single"/>
          <w:lang w:val="sr-Latn-ME" w:eastAsia="sr-Latn-CS"/>
        </w:rPr>
      </w:pPr>
    </w:p>
    <w:p w14:paraId="4DDFB850" w14:textId="7AC9639C"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Prelazak na Teriflunomid Zentiva ili prelazak sa l</w:t>
      </w:r>
      <w:r w:rsidR="000B5140" w:rsidRPr="00B14EBB">
        <w:rPr>
          <w:sz w:val="22"/>
          <w:szCs w:val="22"/>
          <w:u w:val="single"/>
          <w:lang w:val="sr-Latn-ME" w:eastAsia="sr-Latn-CS"/>
        </w:rPr>
        <w:t>ij</w:t>
      </w:r>
      <w:r w:rsidRPr="00B14EBB">
        <w:rPr>
          <w:sz w:val="22"/>
          <w:szCs w:val="22"/>
          <w:u w:val="single"/>
          <w:lang w:val="sr-Latn-ME" w:eastAsia="sr-Latn-CS"/>
        </w:rPr>
        <w:t>eka Teriflunomid Zentiva na neki drugi l</w:t>
      </w:r>
      <w:r w:rsidR="000B5140" w:rsidRPr="00B14EBB">
        <w:rPr>
          <w:sz w:val="22"/>
          <w:szCs w:val="22"/>
          <w:u w:val="single"/>
          <w:lang w:val="sr-Latn-ME" w:eastAsia="sr-Latn-CS"/>
        </w:rPr>
        <w:t>ij</w:t>
      </w:r>
      <w:r w:rsidRPr="00B14EBB">
        <w:rPr>
          <w:sz w:val="22"/>
          <w:szCs w:val="22"/>
          <w:u w:val="single"/>
          <w:lang w:val="sr-Latn-ME" w:eastAsia="sr-Latn-CS"/>
        </w:rPr>
        <w:t>ek</w:t>
      </w:r>
    </w:p>
    <w:p w14:paraId="1AAEBA4B" w14:textId="70DCDEA1" w:rsidR="006C05DA" w:rsidRPr="00B14EBB" w:rsidRDefault="006C05DA" w:rsidP="00545126">
      <w:pPr>
        <w:pStyle w:val="BodyText"/>
        <w:widowControl w:val="0"/>
        <w:jc w:val="both"/>
        <w:rPr>
          <w:sz w:val="22"/>
          <w:szCs w:val="22"/>
          <w:lang w:val="sr-Latn-ME"/>
        </w:rPr>
      </w:pPr>
      <w:r w:rsidRPr="00B14EBB">
        <w:rPr>
          <w:sz w:val="22"/>
          <w:szCs w:val="22"/>
          <w:lang w:val="sr-Latn-ME"/>
        </w:rPr>
        <w:t>Na osnovu kliničkih podataka koji se odnose na istovremenu prim</w:t>
      </w:r>
      <w:r w:rsidR="000B5140" w:rsidRPr="00B14EBB">
        <w:rPr>
          <w:sz w:val="22"/>
          <w:szCs w:val="22"/>
          <w:lang w:val="sr-Latn-ME"/>
        </w:rPr>
        <w:t>j</w:t>
      </w:r>
      <w:r w:rsidRPr="00B14EBB">
        <w:rPr>
          <w:sz w:val="22"/>
          <w:szCs w:val="22"/>
          <w:lang w:val="sr-Latn-ME"/>
        </w:rPr>
        <w:t>enu teriflunomida sa interferonom beta ili sa glatiramer acetatom nije potrebno praviti pauzu kada se l</w:t>
      </w:r>
      <w:r w:rsidR="000B5140" w:rsidRPr="00B14EBB">
        <w:rPr>
          <w:sz w:val="22"/>
          <w:szCs w:val="22"/>
          <w:lang w:val="sr-Latn-ME"/>
        </w:rPr>
        <w:t>ij</w:t>
      </w:r>
      <w:r w:rsidRPr="00B14EBB">
        <w:rPr>
          <w:sz w:val="22"/>
          <w:szCs w:val="22"/>
          <w:lang w:val="sr-Latn-ME"/>
        </w:rPr>
        <w:t>ečenje teriflunomidom započinje nakon l</w:t>
      </w:r>
      <w:r w:rsidR="000B5140" w:rsidRPr="00B14EBB">
        <w:rPr>
          <w:sz w:val="22"/>
          <w:szCs w:val="22"/>
          <w:lang w:val="sr-Latn-ME"/>
        </w:rPr>
        <w:t>ij</w:t>
      </w:r>
      <w:r w:rsidRPr="00B14EBB">
        <w:rPr>
          <w:sz w:val="22"/>
          <w:szCs w:val="22"/>
          <w:lang w:val="sr-Latn-ME"/>
        </w:rPr>
        <w:t>ečenja interferonom beta ili glatiramer acetatom, kao ni kada se prim</w:t>
      </w:r>
      <w:r w:rsidR="000B5140" w:rsidRPr="00B14EBB">
        <w:rPr>
          <w:sz w:val="22"/>
          <w:szCs w:val="22"/>
          <w:lang w:val="sr-Latn-ME"/>
        </w:rPr>
        <w:t>j</w:t>
      </w:r>
      <w:r w:rsidRPr="00B14EBB">
        <w:rPr>
          <w:sz w:val="22"/>
          <w:szCs w:val="22"/>
          <w:lang w:val="sr-Latn-ME"/>
        </w:rPr>
        <w:t>ena interferona beta ili glatiramer acetata započinje nakon l</w:t>
      </w:r>
      <w:r w:rsidR="000B5140" w:rsidRPr="00B14EBB">
        <w:rPr>
          <w:sz w:val="22"/>
          <w:szCs w:val="22"/>
          <w:lang w:val="sr-Latn-ME"/>
        </w:rPr>
        <w:t>ij</w:t>
      </w:r>
      <w:r w:rsidRPr="00B14EBB">
        <w:rPr>
          <w:sz w:val="22"/>
          <w:szCs w:val="22"/>
          <w:lang w:val="sr-Latn-ME"/>
        </w:rPr>
        <w:t>ečenja teriflunomidom.</w:t>
      </w:r>
    </w:p>
    <w:p w14:paraId="3C2D91EF" w14:textId="1AF5409E"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Zbog dugog poluvremena eliminacije natalizumaba, tokom 2 do 3 m</w:t>
      </w:r>
      <w:r w:rsidR="000B5140" w:rsidRPr="00B14EBB">
        <w:rPr>
          <w:sz w:val="22"/>
          <w:szCs w:val="22"/>
          <w:lang w:val="sr-Latn-ME" w:eastAsia="sr-Latn-CS"/>
        </w:rPr>
        <w:t>j</w:t>
      </w:r>
      <w:r w:rsidRPr="00B14EBB">
        <w:rPr>
          <w:sz w:val="22"/>
          <w:szCs w:val="22"/>
          <w:lang w:val="sr-Latn-ME" w:eastAsia="sr-Latn-CS"/>
        </w:rPr>
        <w:t>eseca nakon prekida njegove prim</w:t>
      </w:r>
      <w:r w:rsidR="000B5140" w:rsidRPr="00B14EBB">
        <w:rPr>
          <w:sz w:val="22"/>
          <w:szCs w:val="22"/>
          <w:lang w:val="sr-Latn-ME" w:eastAsia="sr-Latn-CS"/>
        </w:rPr>
        <w:t>j</w:t>
      </w:r>
      <w:r w:rsidRPr="00B14EBB">
        <w:rPr>
          <w:sz w:val="22"/>
          <w:szCs w:val="22"/>
          <w:lang w:val="sr-Latn-ME" w:eastAsia="sr-Latn-CS"/>
        </w:rPr>
        <w:t>ene može da dođe do istovremene izloženosti, a time i do dejstva na imunski sistem, ako se l</w:t>
      </w:r>
      <w:r w:rsidR="000B5140" w:rsidRPr="00B14EBB">
        <w:rPr>
          <w:sz w:val="22"/>
          <w:szCs w:val="22"/>
          <w:lang w:val="sr-Latn-ME" w:eastAsia="sr-Latn-CS"/>
        </w:rPr>
        <w:t>ij</w:t>
      </w:r>
      <w:r w:rsidRPr="00B14EBB">
        <w:rPr>
          <w:sz w:val="22"/>
          <w:szCs w:val="22"/>
          <w:lang w:val="sr-Latn-ME" w:eastAsia="sr-Latn-CS"/>
        </w:rPr>
        <w:t xml:space="preserve">ečenje </w:t>
      </w:r>
      <w:r w:rsidRPr="00B14EBB">
        <w:rPr>
          <w:sz w:val="22"/>
          <w:szCs w:val="22"/>
          <w:lang w:val="sr-Latn-ME"/>
        </w:rPr>
        <w:t xml:space="preserve">teriflunomidom </w:t>
      </w:r>
      <w:r w:rsidRPr="00B14EBB">
        <w:rPr>
          <w:sz w:val="22"/>
          <w:szCs w:val="22"/>
          <w:lang w:val="sr-Latn-ME" w:eastAsia="sr-Latn-CS"/>
        </w:rPr>
        <w:t>započne odmah. Stoga je potreban oprez kada pacijenti prelaze sa natalizumaba na Teriflunomid Zentiva.</w:t>
      </w:r>
    </w:p>
    <w:p w14:paraId="3B444AA0" w14:textId="6ACE11C3"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S obzirom na poluvr</w:t>
      </w:r>
      <w:r w:rsidR="000B5140" w:rsidRPr="00B14EBB">
        <w:rPr>
          <w:sz w:val="22"/>
          <w:szCs w:val="22"/>
          <w:lang w:val="sr-Latn-ME" w:eastAsia="sr-Latn-CS"/>
        </w:rPr>
        <w:t>ij</w:t>
      </w:r>
      <w:r w:rsidRPr="00B14EBB">
        <w:rPr>
          <w:sz w:val="22"/>
          <w:szCs w:val="22"/>
          <w:lang w:val="sr-Latn-ME" w:eastAsia="sr-Latn-CS"/>
        </w:rPr>
        <w:t>eme eliminacije fingolimoda, nakon prekida njegove prim</w:t>
      </w:r>
      <w:r w:rsidR="000B5140" w:rsidRPr="00B14EBB">
        <w:rPr>
          <w:sz w:val="22"/>
          <w:szCs w:val="22"/>
          <w:lang w:val="sr-Latn-ME" w:eastAsia="sr-Latn-CS"/>
        </w:rPr>
        <w:t>j</w:t>
      </w:r>
      <w:r w:rsidRPr="00B14EBB">
        <w:rPr>
          <w:sz w:val="22"/>
          <w:szCs w:val="22"/>
          <w:lang w:val="sr-Latn-ME" w:eastAsia="sr-Latn-CS"/>
        </w:rPr>
        <w:t>ene potrebno je 6 ned</w:t>
      </w:r>
      <w:r w:rsidR="000B5140" w:rsidRPr="00B14EBB">
        <w:rPr>
          <w:sz w:val="22"/>
          <w:szCs w:val="22"/>
          <w:lang w:val="sr-Latn-ME" w:eastAsia="sr-Latn-CS"/>
        </w:rPr>
        <w:t>j</w:t>
      </w:r>
      <w:r w:rsidRPr="00B14EBB">
        <w:rPr>
          <w:sz w:val="22"/>
          <w:szCs w:val="22"/>
          <w:lang w:val="sr-Latn-ME" w:eastAsia="sr-Latn-CS"/>
        </w:rPr>
        <w:t>elja bez terapije da bi se l</w:t>
      </w:r>
      <w:r w:rsidR="000B5140" w:rsidRPr="00B14EBB">
        <w:rPr>
          <w:sz w:val="22"/>
          <w:szCs w:val="22"/>
          <w:lang w:val="sr-Latn-ME" w:eastAsia="sr-Latn-CS"/>
        </w:rPr>
        <w:t>ij</w:t>
      </w:r>
      <w:r w:rsidRPr="00B14EBB">
        <w:rPr>
          <w:sz w:val="22"/>
          <w:szCs w:val="22"/>
          <w:lang w:val="sr-Latn-ME" w:eastAsia="sr-Latn-CS"/>
        </w:rPr>
        <w:t>ek uklonio iz krvotoka i 1 do 2 m</w:t>
      </w:r>
      <w:r w:rsidR="000B5140" w:rsidRPr="00B14EBB">
        <w:rPr>
          <w:sz w:val="22"/>
          <w:szCs w:val="22"/>
          <w:lang w:val="sr-Latn-ME" w:eastAsia="sr-Latn-CS"/>
        </w:rPr>
        <w:t>j</w:t>
      </w:r>
      <w:r w:rsidRPr="00B14EBB">
        <w:rPr>
          <w:sz w:val="22"/>
          <w:szCs w:val="22"/>
          <w:lang w:val="sr-Latn-ME" w:eastAsia="sr-Latn-CS"/>
        </w:rPr>
        <w:t>eseca da bi se limfociti vratili na normalne vr</w:t>
      </w:r>
      <w:r w:rsidR="000B5140" w:rsidRPr="00B14EBB">
        <w:rPr>
          <w:sz w:val="22"/>
          <w:szCs w:val="22"/>
          <w:lang w:val="sr-Latn-ME" w:eastAsia="sr-Latn-CS"/>
        </w:rPr>
        <w:t>ij</w:t>
      </w:r>
      <w:r w:rsidRPr="00B14EBB">
        <w:rPr>
          <w:sz w:val="22"/>
          <w:szCs w:val="22"/>
          <w:lang w:val="sr-Latn-ME" w:eastAsia="sr-Latn-CS"/>
        </w:rPr>
        <w:t>ednosti. Početak prim</w:t>
      </w:r>
      <w:r w:rsidR="000B5140" w:rsidRPr="00B14EBB">
        <w:rPr>
          <w:sz w:val="22"/>
          <w:szCs w:val="22"/>
          <w:lang w:val="sr-Latn-ME" w:eastAsia="sr-Latn-CS"/>
        </w:rPr>
        <w:t>j</w:t>
      </w:r>
      <w:r w:rsidRPr="00B14EBB">
        <w:rPr>
          <w:sz w:val="22"/>
          <w:szCs w:val="22"/>
          <w:lang w:val="sr-Latn-ME" w:eastAsia="sr-Latn-CS"/>
        </w:rPr>
        <w:t>ene l</w:t>
      </w:r>
      <w:r w:rsidR="000B5140" w:rsidRPr="00B14EBB">
        <w:rPr>
          <w:sz w:val="22"/>
          <w:szCs w:val="22"/>
          <w:lang w:val="sr-Latn-ME" w:eastAsia="sr-Latn-CS"/>
        </w:rPr>
        <w:t>ij</w:t>
      </w:r>
      <w:r w:rsidRPr="00B14EBB">
        <w:rPr>
          <w:sz w:val="22"/>
          <w:szCs w:val="22"/>
          <w:lang w:val="sr-Latn-ME" w:eastAsia="sr-Latn-CS"/>
        </w:rPr>
        <w:t>eka Teriflunomid Zentiva tokom tog perioda dovešće do istovremene izloženosti fingolimodu. To može imati aditivno dejstvo na imunski sistem pa je zbog toga potreban oprez.</w:t>
      </w:r>
    </w:p>
    <w:p w14:paraId="45EFBCEF" w14:textId="3B668396"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Kod pacijenata sa MS-om medijana t</w:t>
      </w:r>
      <w:r w:rsidRPr="00B14EBB">
        <w:rPr>
          <w:sz w:val="22"/>
          <w:szCs w:val="22"/>
          <w:vertAlign w:val="subscript"/>
          <w:lang w:val="sr-Latn-ME" w:eastAsia="sr-Latn-CS"/>
        </w:rPr>
        <w:t xml:space="preserve">1/2z </w:t>
      </w:r>
      <w:r w:rsidRPr="00B14EBB">
        <w:rPr>
          <w:sz w:val="22"/>
          <w:szCs w:val="22"/>
          <w:lang w:val="sr-Latn-ME" w:eastAsia="sr-Latn-CS"/>
        </w:rPr>
        <w:t>bila je približno 19 dana nakon ponovljenih doza od 14 mg. Ukoliko se donese odluka o prekidu terapije l</w:t>
      </w:r>
      <w:r w:rsidR="000B5140" w:rsidRPr="00B14EBB">
        <w:rPr>
          <w:sz w:val="22"/>
          <w:szCs w:val="22"/>
          <w:lang w:val="sr-Latn-ME" w:eastAsia="sr-Latn-CS"/>
        </w:rPr>
        <w:t>ij</w:t>
      </w:r>
      <w:r w:rsidRPr="00B14EBB">
        <w:rPr>
          <w:sz w:val="22"/>
          <w:szCs w:val="22"/>
          <w:lang w:val="sr-Latn-ME" w:eastAsia="sr-Latn-CS"/>
        </w:rPr>
        <w:t>ekom Teriflunomid Zentiva, uvođenje drugih l</w:t>
      </w:r>
      <w:r w:rsidR="000B5140" w:rsidRPr="00B14EBB">
        <w:rPr>
          <w:sz w:val="22"/>
          <w:szCs w:val="22"/>
          <w:lang w:val="sr-Latn-ME" w:eastAsia="sr-Latn-CS"/>
        </w:rPr>
        <w:t>j</w:t>
      </w:r>
      <w:r w:rsidRPr="00B14EBB">
        <w:rPr>
          <w:sz w:val="22"/>
          <w:szCs w:val="22"/>
          <w:lang w:val="sr-Latn-ME" w:eastAsia="sr-Latn-CS"/>
        </w:rPr>
        <w:t>ekova tokom perioda od 5 poluvremena eliminacije (približno 3,5 m</w:t>
      </w:r>
      <w:r w:rsidR="000B5140" w:rsidRPr="00B14EBB">
        <w:rPr>
          <w:sz w:val="22"/>
          <w:szCs w:val="22"/>
          <w:lang w:val="sr-Latn-ME" w:eastAsia="sr-Latn-CS"/>
        </w:rPr>
        <w:t>j</w:t>
      </w:r>
      <w:r w:rsidRPr="00B14EBB">
        <w:rPr>
          <w:sz w:val="22"/>
          <w:szCs w:val="22"/>
          <w:lang w:val="sr-Latn-ME" w:eastAsia="sr-Latn-CS"/>
        </w:rPr>
        <w:t>eseci, iako kod nekih pacijenata može biti i duže) dovešće do istovremene izloženosti teriflunomidu. To može imati aditivno dejstvo na imunski sistem pa je zbog toga potreban oprez.</w:t>
      </w:r>
    </w:p>
    <w:p w14:paraId="7A2AE42F" w14:textId="77777777" w:rsidR="00545126" w:rsidRDefault="00545126" w:rsidP="00545126">
      <w:pPr>
        <w:pStyle w:val="Heading5"/>
        <w:keepNext w:val="0"/>
        <w:keepLines w:val="0"/>
        <w:widowControl w:val="0"/>
        <w:spacing w:before="0"/>
        <w:jc w:val="both"/>
        <w:rPr>
          <w:rFonts w:ascii="Times New Roman" w:hAnsi="Times New Roman" w:cs="Times New Roman"/>
          <w:color w:val="auto"/>
          <w:sz w:val="22"/>
          <w:szCs w:val="22"/>
          <w:u w:val="single"/>
          <w:lang w:val="sr-Latn-ME"/>
        </w:rPr>
      </w:pPr>
    </w:p>
    <w:p w14:paraId="5E3F3EA3" w14:textId="12AC61A6" w:rsidR="006C05DA" w:rsidRPr="00B14EBB" w:rsidRDefault="006C05DA" w:rsidP="00545126">
      <w:pPr>
        <w:pStyle w:val="Heading5"/>
        <w:keepNext w:val="0"/>
        <w:keepLines w:val="0"/>
        <w:widowControl w:val="0"/>
        <w:spacing w:before="0"/>
        <w:jc w:val="both"/>
        <w:rPr>
          <w:rFonts w:ascii="Times New Roman" w:hAnsi="Times New Roman" w:cs="Times New Roman"/>
          <w:color w:val="auto"/>
          <w:sz w:val="22"/>
          <w:szCs w:val="22"/>
          <w:u w:val="single"/>
          <w:lang w:val="sr-Latn-ME"/>
        </w:rPr>
      </w:pPr>
      <w:r w:rsidRPr="00B14EBB">
        <w:rPr>
          <w:rFonts w:ascii="Times New Roman" w:hAnsi="Times New Roman" w:cs="Times New Roman"/>
          <w:color w:val="auto"/>
          <w:sz w:val="22"/>
          <w:szCs w:val="22"/>
          <w:u w:val="single"/>
          <w:lang w:val="sr-Latn-ME"/>
        </w:rPr>
        <w:t>Interferencija sa određivanjem nivoa jonizovanog kalcijuma</w:t>
      </w:r>
    </w:p>
    <w:p w14:paraId="3B52E448" w14:textId="1CDCFC2F" w:rsidR="006C05DA" w:rsidRPr="00B14EBB" w:rsidRDefault="006C05DA" w:rsidP="00545126">
      <w:pPr>
        <w:pStyle w:val="Header"/>
        <w:widowControl w:val="0"/>
        <w:tabs>
          <w:tab w:val="left" w:pos="284"/>
        </w:tabs>
        <w:jc w:val="both"/>
        <w:rPr>
          <w:sz w:val="22"/>
          <w:szCs w:val="22"/>
          <w:lang w:val="sr-Latn-ME" w:eastAsia="sr-Latn-CS"/>
        </w:rPr>
      </w:pPr>
      <w:r w:rsidRPr="00B14EBB">
        <w:rPr>
          <w:sz w:val="22"/>
          <w:szCs w:val="22"/>
          <w:lang w:val="sr-Latn-ME" w:eastAsia="sr-Latn-CS"/>
        </w:rPr>
        <w:t>Pri određivanju vr</w:t>
      </w:r>
      <w:r w:rsidR="000B5140" w:rsidRPr="00B14EBB">
        <w:rPr>
          <w:sz w:val="22"/>
          <w:szCs w:val="22"/>
          <w:lang w:val="sr-Latn-ME" w:eastAsia="sr-Latn-CS"/>
        </w:rPr>
        <w:t>ij</w:t>
      </w:r>
      <w:r w:rsidRPr="00B14EBB">
        <w:rPr>
          <w:sz w:val="22"/>
          <w:szCs w:val="22"/>
          <w:lang w:val="sr-Latn-ME" w:eastAsia="sr-Latn-CS"/>
        </w:rPr>
        <w:t>ednosti jonizovanog kalcijuma mogu se dobiti lažno smanjene vr</w:t>
      </w:r>
      <w:r w:rsidR="000B5140" w:rsidRPr="00B14EBB">
        <w:rPr>
          <w:sz w:val="22"/>
          <w:szCs w:val="22"/>
          <w:lang w:val="sr-Latn-ME" w:eastAsia="sr-Latn-CS"/>
        </w:rPr>
        <w:t>ij</w:t>
      </w:r>
      <w:r w:rsidRPr="00B14EBB">
        <w:rPr>
          <w:sz w:val="22"/>
          <w:szCs w:val="22"/>
          <w:lang w:val="sr-Latn-ME" w:eastAsia="sr-Latn-CS"/>
        </w:rPr>
        <w:t>ednosti kod prim</w:t>
      </w:r>
      <w:r w:rsidR="000B5140" w:rsidRPr="00B14EBB">
        <w:rPr>
          <w:sz w:val="22"/>
          <w:szCs w:val="22"/>
          <w:lang w:val="sr-Latn-ME" w:eastAsia="sr-Latn-CS"/>
        </w:rPr>
        <w:t>j</w:t>
      </w:r>
      <w:r w:rsidRPr="00B14EBB">
        <w:rPr>
          <w:sz w:val="22"/>
          <w:szCs w:val="22"/>
          <w:lang w:val="sr-Latn-ME" w:eastAsia="sr-Latn-CS"/>
        </w:rPr>
        <w:t>ene  leflunomida i/ili teriflunomida (aktivni metabolit leflunomida) u zavisnosti od toga koji tip gasnog analizatora za određivanje jonizovanog kalcijuma je korišćen (</w:t>
      </w:r>
      <w:r w:rsidRPr="00B14EBB">
        <w:rPr>
          <w:i/>
          <w:sz w:val="22"/>
          <w:szCs w:val="22"/>
          <w:lang w:val="sr-Latn-ME" w:eastAsia="sr-Latn-CS"/>
        </w:rPr>
        <w:t>blood gas analyser</w:t>
      </w:r>
      <w:r w:rsidRPr="00B14EBB">
        <w:rPr>
          <w:sz w:val="22"/>
          <w:szCs w:val="22"/>
          <w:lang w:val="sr-Latn-ME" w:eastAsia="sr-Latn-CS"/>
        </w:rPr>
        <w:t>). Zbog toga je potrebno preispitati v</w:t>
      </w:r>
      <w:r w:rsidR="000B5140" w:rsidRPr="00B14EBB">
        <w:rPr>
          <w:sz w:val="22"/>
          <w:szCs w:val="22"/>
          <w:lang w:val="sr-Latn-ME" w:eastAsia="sr-Latn-CS"/>
        </w:rPr>
        <w:t>j</w:t>
      </w:r>
      <w:r w:rsidRPr="00B14EBB">
        <w:rPr>
          <w:sz w:val="22"/>
          <w:szCs w:val="22"/>
          <w:lang w:val="sr-Latn-ME" w:eastAsia="sr-Latn-CS"/>
        </w:rPr>
        <w:t>erodostojnost prim</w:t>
      </w:r>
      <w:r w:rsidR="000B5140" w:rsidRPr="00B14EBB">
        <w:rPr>
          <w:sz w:val="22"/>
          <w:szCs w:val="22"/>
          <w:lang w:val="sr-Latn-ME" w:eastAsia="sr-Latn-CS"/>
        </w:rPr>
        <w:t>ij</w:t>
      </w:r>
      <w:r w:rsidRPr="00B14EBB">
        <w:rPr>
          <w:sz w:val="22"/>
          <w:szCs w:val="22"/>
          <w:lang w:val="sr-Latn-ME" w:eastAsia="sr-Latn-CS"/>
        </w:rPr>
        <w:t>ećenih smanjenih vr</w:t>
      </w:r>
      <w:r w:rsidR="000B5140" w:rsidRPr="00B14EBB">
        <w:rPr>
          <w:sz w:val="22"/>
          <w:szCs w:val="22"/>
          <w:lang w:val="sr-Latn-ME" w:eastAsia="sr-Latn-CS"/>
        </w:rPr>
        <w:t>ij</w:t>
      </w:r>
      <w:r w:rsidRPr="00B14EBB">
        <w:rPr>
          <w:sz w:val="22"/>
          <w:szCs w:val="22"/>
          <w:lang w:val="sr-Latn-ME" w:eastAsia="sr-Latn-CS"/>
        </w:rPr>
        <w:t>ednosti jonizovanog kalcijuma kod pacijenata koji su na terapiji leflunomidom ili teriflunomidom. U slučaju spornih analiza preporučuje se određivanje koncentracije ukupnog albumina i ukupnog kalcijuma u serumu.</w:t>
      </w:r>
    </w:p>
    <w:p w14:paraId="500F590B" w14:textId="77777777" w:rsidR="0072020E" w:rsidRPr="00B14EBB" w:rsidRDefault="0072020E" w:rsidP="00545126">
      <w:pPr>
        <w:widowControl w:val="0"/>
        <w:tabs>
          <w:tab w:val="left" w:pos="540"/>
          <w:tab w:val="left" w:pos="569"/>
        </w:tabs>
        <w:jc w:val="both"/>
        <w:rPr>
          <w:bCs/>
          <w:sz w:val="22"/>
          <w:szCs w:val="22"/>
          <w:lang w:val="sr-Latn-ME"/>
        </w:rPr>
      </w:pPr>
    </w:p>
    <w:p w14:paraId="500F590C" w14:textId="3FF96ECA" w:rsidR="00057E35" w:rsidRPr="00B14EBB" w:rsidRDefault="00057E35" w:rsidP="00545126">
      <w:pPr>
        <w:widowControl w:val="0"/>
        <w:tabs>
          <w:tab w:val="left" w:pos="540"/>
          <w:tab w:val="left" w:pos="569"/>
        </w:tabs>
        <w:jc w:val="both"/>
        <w:rPr>
          <w:sz w:val="22"/>
          <w:szCs w:val="22"/>
          <w:u w:val="single"/>
          <w:lang w:val="sr-Latn-ME"/>
        </w:rPr>
      </w:pPr>
      <w:r w:rsidRPr="00B14EBB">
        <w:rPr>
          <w:sz w:val="22"/>
          <w:szCs w:val="22"/>
          <w:u w:val="single"/>
          <w:lang w:val="sr-Latn-ME"/>
        </w:rPr>
        <w:t>Pedijatrijska populacija</w:t>
      </w:r>
    </w:p>
    <w:p w14:paraId="700A02CF" w14:textId="77777777" w:rsidR="006C05DA" w:rsidRPr="00B14EBB" w:rsidRDefault="006C05DA" w:rsidP="00545126">
      <w:pPr>
        <w:widowControl w:val="0"/>
        <w:autoSpaceDE w:val="0"/>
        <w:autoSpaceDN w:val="0"/>
        <w:adjustRightInd w:val="0"/>
        <w:jc w:val="both"/>
        <w:rPr>
          <w:rFonts w:eastAsia="Calibri"/>
          <w:i/>
          <w:iCs/>
          <w:sz w:val="22"/>
          <w:szCs w:val="22"/>
          <w:lang w:val="sr-Latn-ME"/>
        </w:rPr>
      </w:pPr>
    </w:p>
    <w:p w14:paraId="570D6530" w14:textId="7505869C" w:rsidR="006C05DA" w:rsidRPr="00B14EBB" w:rsidRDefault="006C05DA" w:rsidP="00545126">
      <w:pPr>
        <w:widowControl w:val="0"/>
        <w:autoSpaceDE w:val="0"/>
        <w:autoSpaceDN w:val="0"/>
        <w:adjustRightInd w:val="0"/>
        <w:jc w:val="both"/>
        <w:rPr>
          <w:rFonts w:eastAsia="Calibri"/>
          <w:i/>
          <w:iCs/>
          <w:sz w:val="22"/>
          <w:szCs w:val="22"/>
          <w:lang w:val="sr-Latn-ME"/>
        </w:rPr>
      </w:pPr>
      <w:r w:rsidRPr="00B14EBB">
        <w:rPr>
          <w:rFonts w:eastAsia="Calibri"/>
          <w:i/>
          <w:iCs/>
          <w:sz w:val="22"/>
          <w:szCs w:val="22"/>
          <w:lang w:val="sr-Latn-ME"/>
        </w:rPr>
        <w:t>Pankreatitis</w:t>
      </w:r>
    </w:p>
    <w:p w14:paraId="5F1C0DBB" w14:textId="4EA4865C" w:rsidR="006C05DA" w:rsidRPr="00B14EBB" w:rsidRDefault="006C05DA"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U kliničkom ispitivanju pedijatrijskih pacijenata, prim</w:t>
      </w:r>
      <w:r w:rsidR="00FB7C01" w:rsidRPr="00B14EBB">
        <w:rPr>
          <w:rFonts w:eastAsia="Calibri"/>
          <w:sz w:val="22"/>
          <w:szCs w:val="22"/>
          <w:lang w:val="sr-Latn-ME"/>
        </w:rPr>
        <w:t>ij</w:t>
      </w:r>
      <w:r w:rsidRPr="00B14EBB">
        <w:rPr>
          <w:rFonts w:eastAsia="Calibri"/>
          <w:sz w:val="22"/>
          <w:szCs w:val="22"/>
          <w:lang w:val="sr-Latn-ME"/>
        </w:rPr>
        <w:t>ećeni su slučajevi pankreatitisa, od kojih su neki</w:t>
      </w:r>
      <w:r w:rsidR="00FB7C01" w:rsidRPr="00B14EBB">
        <w:rPr>
          <w:rFonts w:eastAsia="Calibri"/>
          <w:sz w:val="22"/>
          <w:szCs w:val="22"/>
          <w:lang w:val="sr-Latn-ME"/>
        </w:rPr>
        <w:t xml:space="preserve"> </w:t>
      </w:r>
      <w:r w:rsidRPr="00B14EBB">
        <w:rPr>
          <w:rFonts w:eastAsia="Calibri"/>
          <w:sz w:val="22"/>
          <w:szCs w:val="22"/>
          <w:lang w:val="sr-Latn-ME"/>
        </w:rPr>
        <w:t>bili akutni, kod pacijenata koji su primali teriflunomid (vid</w:t>
      </w:r>
      <w:r w:rsidR="00FB7C01" w:rsidRPr="00B14EBB">
        <w:rPr>
          <w:rFonts w:eastAsia="Calibri"/>
          <w:sz w:val="22"/>
          <w:szCs w:val="22"/>
          <w:lang w:val="sr-Latn-ME"/>
        </w:rPr>
        <w:t>j</w:t>
      </w:r>
      <w:r w:rsidRPr="00B14EBB">
        <w:rPr>
          <w:rFonts w:eastAsia="Calibri"/>
          <w:sz w:val="22"/>
          <w:szCs w:val="22"/>
          <w:lang w:val="sr-Latn-ME"/>
        </w:rPr>
        <w:t xml:space="preserve">eti </w:t>
      </w:r>
      <w:r w:rsidR="005A10FA" w:rsidRPr="00B14EBB">
        <w:rPr>
          <w:rFonts w:eastAsia="Calibri"/>
          <w:sz w:val="22"/>
          <w:szCs w:val="22"/>
          <w:lang w:val="sr-Latn-ME"/>
        </w:rPr>
        <w:t xml:space="preserve">dio </w:t>
      </w:r>
      <w:r w:rsidRPr="00B14EBB">
        <w:rPr>
          <w:rFonts w:eastAsia="Calibri"/>
          <w:sz w:val="22"/>
          <w:szCs w:val="22"/>
          <w:lang w:val="sr-Latn-ME"/>
        </w:rPr>
        <w:t>4.8). Klinički simptomi su uključivali bol u abdomenu, mučninu i/ili povraćanje. Nivoi serumskih amilaza i lipaza bili su povišeni kod ovih pacijenata. Vr</w:t>
      </w:r>
      <w:r w:rsidR="00FB7C01" w:rsidRPr="00B14EBB">
        <w:rPr>
          <w:rFonts w:eastAsia="Calibri"/>
          <w:sz w:val="22"/>
          <w:szCs w:val="22"/>
          <w:lang w:val="sr-Latn-ME"/>
        </w:rPr>
        <w:t>ij</w:t>
      </w:r>
      <w:r w:rsidRPr="00B14EBB">
        <w:rPr>
          <w:rFonts w:eastAsia="Calibri"/>
          <w:sz w:val="22"/>
          <w:szCs w:val="22"/>
          <w:lang w:val="sr-Latn-ME"/>
        </w:rPr>
        <w:t>eme do nastanka kretalo se u rasponu od nekoliko m</w:t>
      </w:r>
      <w:r w:rsidR="00FB7C01" w:rsidRPr="00B14EBB">
        <w:rPr>
          <w:rFonts w:eastAsia="Calibri"/>
          <w:sz w:val="22"/>
          <w:szCs w:val="22"/>
          <w:lang w:val="sr-Latn-ME"/>
        </w:rPr>
        <w:t>j</w:t>
      </w:r>
      <w:r w:rsidRPr="00B14EBB">
        <w:rPr>
          <w:rFonts w:eastAsia="Calibri"/>
          <w:sz w:val="22"/>
          <w:szCs w:val="22"/>
          <w:lang w:val="sr-Latn-ME"/>
        </w:rPr>
        <w:t>eseci do tri godine. Potrebno je obav</w:t>
      </w:r>
      <w:r w:rsidR="00FB7C01" w:rsidRPr="00B14EBB">
        <w:rPr>
          <w:rFonts w:eastAsia="Calibri"/>
          <w:sz w:val="22"/>
          <w:szCs w:val="22"/>
          <w:lang w:val="sr-Latn-ME"/>
        </w:rPr>
        <w:t>ij</w:t>
      </w:r>
      <w:r w:rsidRPr="00B14EBB">
        <w:rPr>
          <w:rFonts w:eastAsia="Calibri"/>
          <w:sz w:val="22"/>
          <w:szCs w:val="22"/>
          <w:lang w:val="sr-Latn-ME"/>
        </w:rPr>
        <w:t>estiti pacijente o karakterističnim simptomima pankreatitisa. Ako postoji sumnja na pankreatitis,potrebno je prikupiti podatke o enzimima pankreasa i povezanim l</w:t>
      </w:r>
      <w:r w:rsidR="00FB7C01" w:rsidRPr="00B14EBB">
        <w:rPr>
          <w:rFonts w:eastAsia="Calibri"/>
          <w:sz w:val="22"/>
          <w:szCs w:val="22"/>
          <w:lang w:val="sr-Latn-ME"/>
        </w:rPr>
        <w:t xml:space="preserve"> </w:t>
      </w:r>
      <w:r w:rsidRPr="00B14EBB">
        <w:rPr>
          <w:rFonts w:eastAsia="Calibri"/>
          <w:sz w:val="22"/>
          <w:szCs w:val="22"/>
          <w:lang w:val="sr-Latn-ME"/>
        </w:rPr>
        <w:t>aboratorijskim parametrima. Ako se</w:t>
      </w:r>
      <w:r w:rsidR="00FB7C01" w:rsidRPr="00B14EBB">
        <w:rPr>
          <w:rFonts w:eastAsia="Calibri"/>
          <w:sz w:val="22"/>
          <w:szCs w:val="22"/>
          <w:lang w:val="sr-Latn-ME"/>
        </w:rPr>
        <w:t xml:space="preserve"> </w:t>
      </w:r>
      <w:r w:rsidRPr="00B14EBB">
        <w:rPr>
          <w:rFonts w:eastAsia="Calibri"/>
          <w:sz w:val="22"/>
          <w:szCs w:val="22"/>
          <w:lang w:val="sr-Latn-ME"/>
        </w:rPr>
        <w:t>potvrdi pankreatitis, mora se prekinuti terapija teriflunomidom i započeti postupak ubrzane eliminacije</w:t>
      </w:r>
      <w:r w:rsidR="0030430D" w:rsidRPr="00B14EBB">
        <w:rPr>
          <w:rFonts w:eastAsia="Calibri"/>
          <w:sz w:val="22"/>
          <w:szCs w:val="22"/>
          <w:lang w:val="sr-Latn-ME"/>
        </w:rPr>
        <w:t xml:space="preserve"> </w:t>
      </w:r>
      <w:r w:rsidRPr="00B14EBB">
        <w:rPr>
          <w:rFonts w:eastAsia="Calibri"/>
          <w:sz w:val="22"/>
          <w:szCs w:val="22"/>
          <w:lang w:val="sr-Latn-ME"/>
        </w:rPr>
        <w:t>(vid</w:t>
      </w:r>
      <w:r w:rsidR="00FB7C01" w:rsidRPr="00B14EBB">
        <w:rPr>
          <w:rFonts w:eastAsia="Calibri"/>
          <w:sz w:val="22"/>
          <w:szCs w:val="22"/>
          <w:lang w:val="sr-Latn-ME"/>
        </w:rPr>
        <w:t>j</w:t>
      </w:r>
      <w:r w:rsidRPr="00B14EBB">
        <w:rPr>
          <w:rFonts w:eastAsia="Calibri"/>
          <w:sz w:val="22"/>
          <w:szCs w:val="22"/>
          <w:lang w:val="sr-Latn-ME"/>
        </w:rPr>
        <w:t xml:space="preserve">eti </w:t>
      </w:r>
      <w:r w:rsidR="005A10FA" w:rsidRPr="00B14EBB">
        <w:rPr>
          <w:rFonts w:eastAsia="Calibri"/>
          <w:sz w:val="22"/>
          <w:szCs w:val="22"/>
          <w:lang w:val="sr-Latn-ME"/>
        </w:rPr>
        <w:t xml:space="preserve">dio </w:t>
      </w:r>
      <w:r w:rsidRPr="00B14EBB">
        <w:rPr>
          <w:rFonts w:eastAsia="Calibri"/>
          <w:sz w:val="22"/>
          <w:szCs w:val="22"/>
          <w:lang w:val="sr-Latn-ME"/>
        </w:rPr>
        <w:t>5.2).</w:t>
      </w:r>
    </w:p>
    <w:p w14:paraId="5A9E7E7B" w14:textId="77777777" w:rsidR="00545126" w:rsidRDefault="00545126" w:rsidP="00545126">
      <w:pPr>
        <w:widowControl w:val="0"/>
        <w:autoSpaceDE w:val="0"/>
        <w:autoSpaceDN w:val="0"/>
        <w:adjustRightInd w:val="0"/>
        <w:jc w:val="both"/>
        <w:rPr>
          <w:sz w:val="22"/>
          <w:szCs w:val="22"/>
          <w:u w:val="single"/>
          <w:lang w:val="sr-Latn-ME" w:eastAsia="sr-Latn-CS"/>
        </w:rPr>
      </w:pPr>
    </w:p>
    <w:p w14:paraId="1C398532" w14:textId="60634016" w:rsidR="006C05DA" w:rsidRPr="00B14EBB" w:rsidRDefault="006C05DA"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Laktoza</w:t>
      </w:r>
    </w:p>
    <w:p w14:paraId="65B7803D" w14:textId="77777777" w:rsidR="006C05DA" w:rsidRPr="00B14EBB" w:rsidRDefault="006C05DA" w:rsidP="00545126">
      <w:pPr>
        <w:widowControl w:val="0"/>
        <w:autoSpaceDE w:val="0"/>
        <w:autoSpaceDN w:val="0"/>
        <w:adjustRightInd w:val="0"/>
        <w:jc w:val="both"/>
        <w:rPr>
          <w:sz w:val="22"/>
          <w:szCs w:val="22"/>
          <w:lang w:val="sr-Latn-ME" w:eastAsia="sr-Latn-CS"/>
        </w:rPr>
      </w:pPr>
      <w:r w:rsidRPr="00B14EBB">
        <w:rPr>
          <w:sz w:val="22"/>
          <w:szCs w:val="22"/>
          <w:lang w:val="sr-Latn-ME"/>
        </w:rPr>
        <w:t>Tablete Teriflunomid Zentiva sadrže laktozu.</w:t>
      </w:r>
    </w:p>
    <w:p w14:paraId="4BBFA363" w14:textId="7FD69BC6" w:rsidR="006C05DA" w:rsidRPr="00B14EBB" w:rsidRDefault="006C05DA" w:rsidP="00545126">
      <w:pPr>
        <w:pStyle w:val="BodyText"/>
        <w:widowControl w:val="0"/>
        <w:jc w:val="both"/>
        <w:rPr>
          <w:sz w:val="22"/>
          <w:szCs w:val="22"/>
          <w:lang w:val="sr-Latn-ME"/>
        </w:rPr>
      </w:pPr>
      <w:r w:rsidRPr="00B14EBB">
        <w:rPr>
          <w:sz w:val="22"/>
          <w:szCs w:val="22"/>
          <w:lang w:val="sr-Latn-ME"/>
        </w:rPr>
        <w:t>Pacijenti sa r</w:t>
      </w:r>
      <w:r w:rsidR="00FB7C01" w:rsidRPr="00B14EBB">
        <w:rPr>
          <w:sz w:val="22"/>
          <w:szCs w:val="22"/>
          <w:lang w:val="sr-Latn-ME"/>
        </w:rPr>
        <w:t>ij</w:t>
      </w:r>
      <w:r w:rsidRPr="00B14EBB">
        <w:rPr>
          <w:sz w:val="22"/>
          <w:szCs w:val="22"/>
          <w:lang w:val="sr-Latn-ME"/>
        </w:rPr>
        <w:t>etkim nasl</w:t>
      </w:r>
      <w:r w:rsidR="00B31671" w:rsidRPr="00B14EBB">
        <w:rPr>
          <w:sz w:val="22"/>
          <w:szCs w:val="22"/>
          <w:lang w:val="sr-Latn-ME"/>
        </w:rPr>
        <w:t>j</w:t>
      </w:r>
      <w:r w:rsidRPr="00B14EBB">
        <w:rPr>
          <w:sz w:val="22"/>
          <w:szCs w:val="22"/>
          <w:lang w:val="sr-Latn-ME"/>
        </w:rPr>
        <w:t xml:space="preserve">ednim oboljenjem intolerancije na galaktozu, nedostatkom laktaze ili </w:t>
      </w:r>
      <w:r w:rsidRPr="00B14EBB">
        <w:rPr>
          <w:sz w:val="22"/>
          <w:szCs w:val="22"/>
          <w:lang w:val="sr-Latn-ME"/>
        </w:rPr>
        <w:lastRenderedPageBreak/>
        <w:t>glukozno-galaktoznom malapsorpcijom ne sm</w:t>
      </w:r>
      <w:r w:rsidR="00FB7C01" w:rsidRPr="00B14EBB">
        <w:rPr>
          <w:sz w:val="22"/>
          <w:szCs w:val="22"/>
          <w:lang w:val="sr-Latn-ME"/>
        </w:rPr>
        <w:t>i</w:t>
      </w:r>
      <w:r w:rsidRPr="00B14EBB">
        <w:rPr>
          <w:sz w:val="22"/>
          <w:szCs w:val="22"/>
          <w:lang w:val="sr-Latn-ME"/>
        </w:rPr>
        <w:t>ju koristiti ovaj l</w:t>
      </w:r>
      <w:r w:rsidR="00FB7C01" w:rsidRPr="00B14EBB">
        <w:rPr>
          <w:sz w:val="22"/>
          <w:szCs w:val="22"/>
          <w:lang w:val="sr-Latn-ME"/>
        </w:rPr>
        <w:t>ij</w:t>
      </w:r>
      <w:r w:rsidRPr="00B14EBB">
        <w:rPr>
          <w:sz w:val="22"/>
          <w:szCs w:val="22"/>
          <w:lang w:val="sr-Latn-ME"/>
        </w:rPr>
        <w:t>ek.</w:t>
      </w:r>
    </w:p>
    <w:p w14:paraId="05C74491" w14:textId="77777777" w:rsidR="00545126" w:rsidRDefault="00545126" w:rsidP="00545126">
      <w:pPr>
        <w:pStyle w:val="BodyText"/>
        <w:widowControl w:val="0"/>
        <w:jc w:val="both"/>
        <w:rPr>
          <w:sz w:val="22"/>
          <w:szCs w:val="22"/>
          <w:u w:val="single"/>
          <w:lang w:val="sr-Latn-ME"/>
        </w:rPr>
      </w:pPr>
    </w:p>
    <w:p w14:paraId="11EBF724" w14:textId="5BAC8DC2" w:rsidR="006C05DA" w:rsidRPr="00B14EBB" w:rsidRDefault="006C05DA" w:rsidP="00545126">
      <w:pPr>
        <w:pStyle w:val="BodyText"/>
        <w:widowControl w:val="0"/>
        <w:jc w:val="both"/>
        <w:rPr>
          <w:sz w:val="22"/>
          <w:szCs w:val="22"/>
          <w:u w:val="single"/>
          <w:lang w:val="sr-Latn-ME"/>
        </w:rPr>
      </w:pPr>
      <w:r w:rsidRPr="00B14EBB">
        <w:rPr>
          <w:sz w:val="22"/>
          <w:szCs w:val="22"/>
          <w:u w:val="single"/>
          <w:lang w:val="sr-Latn-ME"/>
        </w:rPr>
        <w:t>Natrijum</w:t>
      </w:r>
    </w:p>
    <w:p w14:paraId="6018386D" w14:textId="1A6A27CB" w:rsidR="006C05DA" w:rsidRPr="00B14EBB" w:rsidRDefault="006C05DA" w:rsidP="00545126">
      <w:pPr>
        <w:widowControl w:val="0"/>
        <w:jc w:val="both"/>
        <w:rPr>
          <w:rFonts w:eastAsia="TimesNewRoman"/>
          <w:sz w:val="22"/>
          <w:szCs w:val="22"/>
          <w:lang w:val="sr-Latn-ME"/>
        </w:rPr>
      </w:pPr>
      <w:r w:rsidRPr="00B14EBB">
        <w:rPr>
          <w:sz w:val="22"/>
          <w:szCs w:val="22"/>
          <w:lang w:val="sr-Latn-ME"/>
        </w:rPr>
        <w:t>Ovaj l</w:t>
      </w:r>
      <w:r w:rsidR="00FB7C01" w:rsidRPr="00B14EBB">
        <w:rPr>
          <w:sz w:val="22"/>
          <w:szCs w:val="22"/>
          <w:lang w:val="sr-Latn-ME"/>
        </w:rPr>
        <w:t>ij</w:t>
      </w:r>
      <w:r w:rsidRPr="00B14EBB">
        <w:rPr>
          <w:sz w:val="22"/>
          <w:szCs w:val="22"/>
          <w:lang w:val="sr-Latn-ME"/>
        </w:rPr>
        <w:t xml:space="preserve">ek sadrži </w:t>
      </w:r>
      <w:r w:rsidRPr="00B14EBB">
        <w:rPr>
          <w:rFonts w:eastAsia="TimesNewRoman"/>
          <w:sz w:val="22"/>
          <w:szCs w:val="22"/>
          <w:lang w:val="sr-Latn-ME"/>
        </w:rPr>
        <w:t>manje od 1 mmol (23 mg) natrijuma po tableti, odnosno suštinski je bez natrijuma.</w:t>
      </w:r>
    </w:p>
    <w:p w14:paraId="500F590D" w14:textId="77777777" w:rsidR="00057E35" w:rsidRPr="00B14EBB" w:rsidRDefault="00057E35" w:rsidP="00545126">
      <w:pPr>
        <w:widowControl w:val="0"/>
        <w:tabs>
          <w:tab w:val="left" w:pos="540"/>
          <w:tab w:val="left" w:pos="569"/>
        </w:tabs>
        <w:jc w:val="both"/>
        <w:rPr>
          <w:bCs/>
          <w:sz w:val="22"/>
          <w:szCs w:val="22"/>
          <w:lang w:val="sr-Latn-ME"/>
        </w:rPr>
      </w:pPr>
    </w:p>
    <w:p w14:paraId="500F590E" w14:textId="77777777" w:rsidR="00411B4B" w:rsidRPr="00B14EBB" w:rsidRDefault="00411B4B" w:rsidP="00545126">
      <w:pPr>
        <w:widowControl w:val="0"/>
        <w:tabs>
          <w:tab w:val="left" w:pos="540"/>
          <w:tab w:val="left" w:pos="569"/>
        </w:tabs>
        <w:jc w:val="both"/>
        <w:rPr>
          <w:b/>
          <w:bCs/>
          <w:sz w:val="22"/>
          <w:szCs w:val="22"/>
          <w:lang w:val="sr-Latn-ME"/>
        </w:rPr>
      </w:pPr>
      <w:r w:rsidRPr="00B14EBB">
        <w:rPr>
          <w:b/>
          <w:bCs/>
          <w:sz w:val="22"/>
          <w:szCs w:val="22"/>
          <w:lang w:val="sr-Latn-ME"/>
        </w:rPr>
        <w:t>4.5.</w:t>
      </w:r>
      <w:r w:rsidR="000D60CC" w:rsidRPr="00B14EBB">
        <w:rPr>
          <w:b/>
          <w:bCs/>
          <w:sz w:val="22"/>
          <w:szCs w:val="22"/>
          <w:lang w:val="sr-Latn-ME"/>
        </w:rPr>
        <w:tab/>
      </w:r>
      <w:r w:rsidRPr="00B14EBB">
        <w:rPr>
          <w:b/>
          <w:bCs/>
          <w:sz w:val="22"/>
          <w:szCs w:val="22"/>
          <w:lang w:val="sr-Latn-ME"/>
        </w:rPr>
        <w:t>Interakcije sa drugim ljekovima i druge vrste interakcija</w:t>
      </w:r>
    </w:p>
    <w:p w14:paraId="421C65BC" w14:textId="77777777" w:rsidR="00E43D38" w:rsidRPr="00B14EBB" w:rsidRDefault="00E43D38" w:rsidP="00545126">
      <w:pPr>
        <w:pStyle w:val="Heading5"/>
        <w:keepNext w:val="0"/>
        <w:keepLines w:val="0"/>
        <w:widowControl w:val="0"/>
        <w:spacing w:before="0"/>
        <w:jc w:val="both"/>
        <w:rPr>
          <w:rFonts w:ascii="Times New Roman" w:hAnsi="Times New Roman" w:cs="Times New Roman"/>
          <w:color w:val="auto"/>
          <w:sz w:val="22"/>
          <w:szCs w:val="22"/>
          <w:lang w:val="sr-Latn-ME"/>
        </w:rPr>
      </w:pPr>
    </w:p>
    <w:p w14:paraId="35BED889" w14:textId="42D009FF" w:rsidR="00E43D38" w:rsidRPr="00B14EBB" w:rsidRDefault="00E43D38" w:rsidP="00545126">
      <w:pPr>
        <w:pStyle w:val="Heading5"/>
        <w:keepNext w:val="0"/>
        <w:keepLines w:val="0"/>
        <w:widowControl w:val="0"/>
        <w:spacing w:before="0"/>
        <w:jc w:val="both"/>
        <w:rPr>
          <w:rFonts w:ascii="Times New Roman" w:hAnsi="Times New Roman" w:cs="Times New Roman"/>
          <w:color w:val="auto"/>
          <w:sz w:val="22"/>
          <w:szCs w:val="22"/>
          <w:u w:val="single"/>
          <w:lang w:val="sr-Latn-ME"/>
        </w:rPr>
      </w:pPr>
      <w:r w:rsidRPr="00B14EBB">
        <w:rPr>
          <w:rFonts w:ascii="Times New Roman" w:hAnsi="Times New Roman" w:cs="Times New Roman"/>
          <w:color w:val="auto"/>
          <w:sz w:val="22"/>
          <w:szCs w:val="22"/>
          <w:u w:val="single"/>
          <w:lang w:val="sr-Latn-ME"/>
        </w:rPr>
        <w:t>Farmakokinetičke interakcije drugih supstanci na teriflunomid</w:t>
      </w:r>
    </w:p>
    <w:p w14:paraId="0251C761" w14:textId="18C34FB1" w:rsidR="00154573" w:rsidRPr="00B14EBB" w:rsidRDefault="00E43D38" w:rsidP="00545126">
      <w:pPr>
        <w:widowControl w:val="0"/>
        <w:autoSpaceDE w:val="0"/>
        <w:autoSpaceDN w:val="0"/>
        <w:adjustRightInd w:val="0"/>
        <w:jc w:val="both"/>
        <w:rPr>
          <w:i/>
          <w:sz w:val="22"/>
          <w:szCs w:val="22"/>
          <w:lang w:val="sr-Latn-ME" w:eastAsia="sr-Latn-CS"/>
        </w:rPr>
      </w:pPr>
      <w:r w:rsidRPr="00B14EBB">
        <w:rPr>
          <w:sz w:val="22"/>
          <w:szCs w:val="22"/>
          <w:lang w:val="sr-Latn-ME" w:eastAsia="sr-Latn-CS"/>
        </w:rPr>
        <w:t>Primarni put metabolizma teriflunomida je hidroliza, dok je oksidacija sporedni put.</w:t>
      </w:r>
    </w:p>
    <w:p w14:paraId="19D2A15C" w14:textId="77777777" w:rsidR="00154573" w:rsidRPr="00B14EBB" w:rsidRDefault="00154573" w:rsidP="00545126">
      <w:pPr>
        <w:widowControl w:val="0"/>
        <w:autoSpaceDE w:val="0"/>
        <w:autoSpaceDN w:val="0"/>
        <w:adjustRightInd w:val="0"/>
        <w:jc w:val="both"/>
        <w:rPr>
          <w:i/>
          <w:sz w:val="22"/>
          <w:szCs w:val="22"/>
          <w:lang w:val="sr-Latn-ME" w:eastAsia="sr-Latn-CS"/>
        </w:rPr>
      </w:pPr>
    </w:p>
    <w:p w14:paraId="2AF167BC" w14:textId="5D22C454" w:rsidR="00E43D38" w:rsidRPr="00B14EBB" w:rsidRDefault="00E43D38" w:rsidP="00545126">
      <w:pPr>
        <w:widowControl w:val="0"/>
        <w:autoSpaceDE w:val="0"/>
        <w:autoSpaceDN w:val="0"/>
        <w:adjustRightInd w:val="0"/>
        <w:jc w:val="both"/>
        <w:rPr>
          <w:i/>
          <w:sz w:val="22"/>
          <w:szCs w:val="22"/>
          <w:lang w:val="sr-Latn-ME" w:eastAsia="sr-Latn-CS"/>
        </w:rPr>
      </w:pPr>
      <w:r w:rsidRPr="00B14EBB">
        <w:rPr>
          <w:i/>
          <w:sz w:val="22"/>
          <w:szCs w:val="22"/>
          <w:lang w:val="sr-Latn-ME" w:eastAsia="sr-Latn-CS"/>
        </w:rPr>
        <w:t>Snažni induktori citohroma P450 (CYP) i transportera</w:t>
      </w:r>
    </w:p>
    <w:p w14:paraId="0A2556C4" w14:textId="02DB2961"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Istovremena prim</w:t>
      </w:r>
      <w:r w:rsidR="00FB7C01" w:rsidRPr="00B14EBB">
        <w:rPr>
          <w:sz w:val="22"/>
          <w:szCs w:val="22"/>
          <w:lang w:val="sr-Latn-ME" w:eastAsia="sr-Latn-CS"/>
        </w:rPr>
        <w:t>j</w:t>
      </w:r>
      <w:r w:rsidRPr="00B14EBB">
        <w:rPr>
          <w:sz w:val="22"/>
          <w:szCs w:val="22"/>
          <w:lang w:val="sr-Latn-ME" w:eastAsia="sr-Latn-CS"/>
        </w:rPr>
        <w:t>ena ponovljenih doza (600 mg jednom dnevno tokom 22 dana) rifampicina (induktora CYP2B6, 2C8, 2C9, 2C19, 3A), kao i induktora efluksnih transportera P-glikoproteina [P-gp] i proteina koji dovodi do rezistencije raka dojke na l</w:t>
      </w:r>
      <w:r w:rsidR="00FB7C01" w:rsidRPr="00B14EBB">
        <w:rPr>
          <w:sz w:val="22"/>
          <w:szCs w:val="22"/>
          <w:lang w:val="sr-Latn-ME" w:eastAsia="sr-Latn-CS"/>
        </w:rPr>
        <w:t>j</w:t>
      </w:r>
      <w:r w:rsidRPr="00B14EBB">
        <w:rPr>
          <w:sz w:val="22"/>
          <w:szCs w:val="22"/>
          <w:lang w:val="sr-Latn-ME" w:eastAsia="sr-Latn-CS"/>
        </w:rPr>
        <w:t xml:space="preserve">ekove [engl. </w:t>
      </w:r>
      <w:r w:rsidRPr="00B14EBB">
        <w:rPr>
          <w:i/>
          <w:iCs/>
          <w:sz w:val="22"/>
          <w:szCs w:val="22"/>
          <w:lang w:val="sr-Latn-ME" w:eastAsia="sr-Latn-CS"/>
        </w:rPr>
        <w:t>breast cancer resistant protein</w:t>
      </w:r>
      <w:r w:rsidRPr="00B14EBB">
        <w:rPr>
          <w:sz w:val="22"/>
          <w:szCs w:val="22"/>
          <w:lang w:val="sr-Latn-ME" w:eastAsia="sr-Latn-CS"/>
        </w:rPr>
        <w:t>, BCRP] sa teriflunomidom (70 mg u jednokratnoj dozi) smanjila je izloženost teriflunomidu za približno 40%. Rifampicin i drugi poznati snažni induktori citohroma i transportera, kao što su karbamazepin, fenobarbital, fenitoin i kantarion, se moraju prim</w:t>
      </w:r>
      <w:r w:rsidR="00FB7C01" w:rsidRPr="00B14EBB">
        <w:rPr>
          <w:sz w:val="22"/>
          <w:szCs w:val="22"/>
          <w:lang w:val="sr-Latn-ME" w:eastAsia="sr-Latn-CS"/>
        </w:rPr>
        <w:t>j</w:t>
      </w:r>
      <w:r w:rsidRPr="00B14EBB">
        <w:rPr>
          <w:sz w:val="22"/>
          <w:szCs w:val="22"/>
          <w:lang w:val="sr-Latn-ME" w:eastAsia="sr-Latn-CS"/>
        </w:rPr>
        <w:t>enjivati uz oprez tokom l</w:t>
      </w:r>
      <w:r w:rsidR="00FB7C01" w:rsidRPr="00B14EBB">
        <w:rPr>
          <w:sz w:val="22"/>
          <w:szCs w:val="22"/>
          <w:lang w:val="sr-Latn-ME" w:eastAsia="sr-Latn-CS"/>
        </w:rPr>
        <w:t>ij</w:t>
      </w:r>
      <w:r w:rsidRPr="00B14EBB">
        <w:rPr>
          <w:sz w:val="22"/>
          <w:szCs w:val="22"/>
          <w:lang w:val="sr-Latn-ME" w:eastAsia="sr-Latn-CS"/>
        </w:rPr>
        <w:t>ečenja teriflunomidom.</w:t>
      </w:r>
    </w:p>
    <w:p w14:paraId="1987EE22" w14:textId="77777777" w:rsidR="00154573" w:rsidRPr="00B14EBB" w:rsidRDefault="00154573" w:rsidP="00545126">
      <w:pPr>
        <w:widowControl w:val="0"/>
        <w:autoSpaceDE w:val="0"/>
        <w:autoSpaceDN w:val="0"/>
        <w:adjustRightInd w:val="0"/>
        <w:jc w:val="both"/>
        <w:rPr>
          <w:i/>
          <w:iCs/>
          <w:sz w:val="22"/>
          <w:szCs w:val="22"/>
          <w:lang w:val="sr-Latn-ME" w:eastAsia="sr-Latn-CS"/>
        </w:rPr>
      </w:pPr>
    </w:p>
    <w:p w14:paraId="557E4AE9" w14:textId="5CCF58A1"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Holestiramin ili aktivni ugalj</w:t>
      </w:r>
    </w:p>
    <w:p w14:paraId="21B16959" w14:textId="095D332F" w:rsidR="00154573" w:rsidRPr="00B14EBB" w:rsidRDefault="00E43D38" w:rsidP="00545126">
      <w:pPr>
        <w:pStyle w:val="BodyText"/>
        <w:widowControl w:val="0"/>
        <w:jc w:val="both"/>
        <w:rPr>
          <w:sz w:val="22"/>
          <w:szCs w:val="22"/>
          <w:lang w:val="sr-Latn-ME"/>
        </w:rPr>
      </w:pPr>
      <w:r w:rsidRPr="00B14EBB">
        <w:rPr>
          <w:sz w:val="22"/>
          <w:szCs w:val="22"/>
          <w:lang w:val="sr-Latn-ME"/>
        </w:rPr>
        <w:t>Osim u slučajevima kada je ubrzana eliminacija poželjna, ne preporučuje se da se pacijenti koji primaju teriflunomid l</w:t>
      </w:r>
      <w:r w:rsidR="00FB7C01" w:rsidRPr="00B14EBB">
        <w:rPr>
          <w:sz w:val="22"/>
          <w:szCs w:val="22"/>
          <w:lang w:val="sr-Latn-ME"/>
        </w:rPr>
        <w:t>ij</w:t>
      </w:r>
      <w:r w:rsidRPr="00B14EBB">
        <w:rPr>
          <w:sz w:val="22"/>
          <w:szCs w:val="22"/>
          <w:lang w:val="sr-Latn-ME"/>
        </w:rPr>
        <w:t>eče holestiraminom ili aktivnim ugljem jer oni dovode do brzog i značajnog smanjenja koncentracije l</w:t>
      </w:r>
      <w:r w:rsidR="00FB7C01" w:rsidRPr="00B14EBB">
        <w:rPr>
          <w:sz w:val="22"/>
          <w:szCs w:val="22"/>
          <w:lang w:val="sr-Latn-ME"/>
        </w:rPr>
        <w:t>ij</w:t>
      </w:r>
      <w:r w:rsidRPr="00B14EBB">
        <w:rPr>
          <w:sz w:val="22"/>
          <w:szCs w:val="22"/>
          <w:lang w:val="sr-Latn-ME"/>
        </w:rPr>
        <w:t>eka u plazmi. Smatra se da taj mehanizam prekida enterohepatično kruženje i/ili gastrointestinalnu dijalizu teriflunomida.</w:t>
      </w:r>
    </w:p>
    <w:p w14:paraId="57814B05" w14:textId="77777777" w:rsidR="00A667D8" w:rsidRPr="00B14EBB" w:rsidRDefault="00A667D8" w:rsidP="00545126">
      <w:pPr>
        <w:pStyle w:val="BodyText"/>
        <w:widowControl w:val="0"/>
        <w:jc w:val="both"/>
        <w:rPr>
          <w:sz w:val="22"/>
          <w:szCs w:val="22"/>
          <w:lang w:val="sr-Latn-ME"/>
        </w:rPr>
      </w:pPr>
    </w:p>
    <w:p w14:paraId="243681E9" w14:textId="59F4DC39"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Farmakokinetičke interakcije teriflunomida na druge supstance</w:t>
      </w:r>
    </w:p>
    <w:p w14:paraId="07E32D86" w14:textId="77777777" w:rsidR="00154573" w:rsidRPr="00B14EBB" w:rsidRDefault="00154573" w:rsidP="00545126">
      <w:pPr>
        <w:widowControl w:val="0"/>
        <w:autoSpaceDE w:val="0"/>
        <w:autoSpaceDN w:val="0"/>
        <w:adjustRightInd w:val="0"/>
        <w:jc w:val="both"/>
        <w:rPr>
          <w:i/>
          <w:iCs/>
          <w:sz w:val="22"/>
          <w:szCs w:val="22"/>
          <w:lang w:val="sr-Latn-ME" w:eastAsia="sr-Latn-CS"/>
        </w:rPr>
      </w:pPr>
    </w:p>
    <w:p w14:paraId="5A229F62" w14:textId="5D9A6A0C"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teriflunomida na supstrat izoenzima CYP2C8: repaglinid</w:t>
      </w:r>
    </w:p>
    <w:p w14:paraId="7D496756" w14:textId="65A39137"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Nakon ponovljenih doza teriflunomida srednja vr</w:t>
      </w:r>
      <w:r w:rsidR="00FB7C01" w:rsidRPr="00B14EBB">
        <w:rPr>
          <w:sz w:val="22"/>
          <w:szCs w:val="22"/>
          <w:lang w:val="sr-Latn-ME" w:eastAsia="sr-Latn-CS"/>
        </w:rPr>
        <w:t>ij</w:t>
      </w:r>
      <w:r w:rsidRPr="00B14EBB">
        <w:rPr>
          <w:sz w:val="22"/>
          <w:szCs w:val="22"/>
          <w:lang w:val="sr-Latn-ME" w:eastAsia="sr-Latn-CS"/>
        </w:rPr>
        <w:t>ednost C</w:t>
      </w:r>
      <w:r w:rsidRPr="00B14EBB">
        <w:rPr>
          <w:sz w:val="22"/>
          <w:szCs w:val="22"/>
          <w:vertAlign w:val="subscript"/>
          <w:lang w:val="sr-Latn-ME" w:eastAsia="sr-Latn-CS"/>
        </w:rPr>
        <w:t>max</w:t>
      </w:r>
      <w:r w:rsidRPr="00B14EBB">
        <w:rPr>
          <w:sz w:val="22"/>
          <w:szCs w:val="22"/>
          <w:lang w:val="sr-Latn-ME" w:eastAsia="sr-Latn-CS"/>
        </w:rPr>
        <w:t xml:space="preserve"> repaglinida povećala se 1,7 puta, a srednja vr</w:t>
      </w:r>
      <w:r w:rsidR="00FB7C01" w:rsidRPr="00B14EBB">
        <w:rPr>
          <w:sz w:val="22"/>
          <w:szCs w:val="22"/>
          <w:lang w:val="sr-Latn-ME" w:eastAsia="sr-Latn-CS"/>
        </w:rPr>
        <w:t>ij</w:t>
      </w:r>
      <w:r w:rsidRPr="00B14EBB">
        <w:rPr>
          <w:sz w:val="22"/>
          <w:szCs w:val="22"/>
          <w:lang w:val="sr-Latn-ME" w:eastAsia="sr-Latn-CS"/>
        </w:rPr>
        <w:t xml:space="preserve">ednost PIK 2,4 puta, što upućuje na to da je teriflunomid inhibitor CYP2C8 </w:t>
      </w:r>
      <w:r w:rsidRPr="00B14EBB">
        <w:rPr>
          <w:i/>
          <w:iCs/>
          <w:sz w:val="22"/>
          <w:szCs w:val="22"/>
          <w:lang w:val="sr-Latn-ME" w:eastAsia="sr-Latn-CS"/>
        </w:rPr>
        <w:t>in vivo</w:t>
      </w:r>
      <w:r w:rsidRPr="00B14EBB">
        <w:rPr>
          <w:sz w:val="22"/>
          <w:szCs w:val="22"/>
          <w:lang w:val="sr-Latn-ME" w:eastAsia="sr-Latn-CS"/>
        </w:rPr>
        <w:t>. Zbog toga se l</w:t>
      </w:r>
      <w:r w:rsidR="00FB7C01" w:rsidRPr="00B14EBB">
        <w:rPr>
          <w:sz w:val="22"/>
          <w:szCs w:val="22"/>
          <w:lang w:val="sr-Latn-ME" w:eastAsia="sr-Latn-CS"/>
        </w:rPr>
        <w:t>j</w:t>
      </w:r>
      <w:r w:rsidRPr="00B14EBB">
        <w:rPr>
          <w:sz w:val="22"/>
          <w:szCs w:val="22"/>
          <w:lang w:val="sr-Latn-ME" w:eastAsia="sr-Latn-CS"/>
        </w:rPr>
        <w:t>ekovi koji se metabolišu putem CYP2C8, poput repaglinida, paklitaksela, pioglitazona ili roziglitazona, moraju prim</w:t>
      </w:r>
      <w:r w:rsidR="00FB7C01" w:rsidRPr="00B14EBB">
        <w:rPr>
          <w:sz w:val="22"/>
          <w:szCs w:val="22"/>
          <w:lang w:val="sr-Latn-ME" w:eastAsia="sr-Latn-CS"/>
        </w:rPr>
        <w:t>j</w:t>
      </w:r>
      <w:r w:rsidRPr="00B14EBB">
        <w:rPr>
          <w:sz w:val="22"/>
          <w:szCs w:val="22"/>
          <w:lang w:val="sr-Latn-ME" w:eastAsia="sr-Latn-CS"/>
        </w:rPr>
        <w:t>enjivati uz oprez tokom l</w:t>
      </w:r>
      <w:r w:rsidR="00FB7C01" w:rsidRPr="00B14EBB">
        <w:rPr>
          <w:sz w:val="22"/>
          <w:szCs w:val="22"/>
          <w:lang w:val="sr-Latn-ME" w:eastAsia="sr-Latn-CS"/>
        </w:rPr>
        <w:t>ij</w:t>
      </w:r>
      <w:r w:rsidRPr="00B14EBB">
        <w:rPr>
          <w:sz w:val="22"/>
          <w:szCs w:val="22"/>
          <w:lang w:val="sr-Latn-ME" w:eastAsia="sr-Latn-CS"/>
        </w:rPr>
        <w:t>ečenja teriflunomidom.</w:t>
      </w:r>
    </w:p>
    <w:p w14:paraId="0C90095E" w14:textId="77777777" w:rsidR="00154573" w:rsidRPr="00B14EBB" w:rsidRDefault="00154573" w:rsidP="00545126">
      <w:pPr>
        <w:widowControl w:val="0"/>
        <w:autoSpaceDE w:val="0"/>
        <w:autoSpaceDN w:val="0"/>
        <w:adjustRightInd w:val="0"/>
        <w:jc w:val="both"/>
        <w:rPr>
          <w:i/>
          <w:iCs/>
          <w:sz w:val="22"/>
          <w:szCs w:val="22"/>
          <w:lang w:val="sr-Latn-ME" w:eastAsia="sr-Latn-CS"/>
        </w:rPr>
      </w:pPr>
    </w:p>
    <w:p w14:paraId="040E4E4C" w14:textId="7476CC7F"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teriflunomida na oralne kontraceptive: 0,03 mg etinilestradiola i 0,15 mg levonorgestrela</w:t>
      </w:r>
    </w:p>
    <w:p w14:paraId="33DE7D6C" w14:textId="56BB8448"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Nakon ponovljenih doza teriflunomida povećali su se srednja vr</w:t>
      </w:r>
      <w:r w:rsidR="00FB7C01" w:rsidRPr="00B14EBB">
        <w:rPr>
          <w:sz w:val="22"/>
          <w:szCs w:val="22"/>
          <w:lang w:val="sr-Latn-ME" w:eastAsia="sr-Latn-CS"/>
        </w:rPr>
        <w:t>ij</w:t>
      </w:r>
      <w:r w:rsidRPr="00B14EBB">
        <w:rPr>
          <w:sz w:val="22"/>
          <w:szCs w:val="22"/>
          <w:lang w:val="sr-Latn-ME" w:eastAsia="sr-Latn-CS"/>
        </w:rPr>
        <w:t>ednost C</w:t>
      </w:r>
      <w:r w:rsidRPr="00B14EBB">
        <w:rPr>
          <w:sz w:val="22"/>
          <w:szCs w:val="22"/>
          <w:vertAlign w:val="subscript"/>
          <w:lang w:val="sr-Latn-ME" w:eastAsia="sr-Latn-CS"/>
        </w:rPr>
        <w:t>max</w:t>
      </w:r>
      <w:r w:rsidRPr="00B14EBB">
        <w:rPr>
          <w:sz w:val="22"/>
          <w:szCs w:val="22"/>
          <w:lang w:val="sr-Latn-ME" w:eastAsia="sr-Latn-CS"/>
        </w:rPr>
        <w:t xml:space="preserve"> i PIK</w:t>
      </w:r>
      <w:r w:rsidRPr="00B14EBB">
        <w:rPr>
          <w:sz w:val="22"/>
          <w:szCs w:val="22"/>
          <w:vertAlign w:val="subscript"/>
          <w:lang w:val="sr-Latn-ME" w:eastAsia="sr-Latn-CS"/>
        </w:rPr>
        <w:t xml:space="preserve">0-24 </w:t>
      </w:r>
      <w:r w:rsidRPr="00B14EBB">
        <w:rPr>
          <w:sz w:val="22"/>
          <w:szCs w:val="22"/>
          <w:lang w:val="sr-Latn-ME" w:eastAsia="sr-Latn-CS"/>
        </w:rPr>
        <w:t>etinilestradiola (1,58 puta odnosno 1,54 puta), dok se C</w:t>
      </w:r>
      <w:r w:rsidRPr="00B14EBB">
        <w:rPr>
          <w:sz w:val="22"/>
          <w:szCs w:val="22"/>
          <w:vertAlign w:val="subscript"/>
          <w:lang w:val="sr-Latn-ME" w:eastAsia="sr-Latn-CS"/>
        </w:rPr>
        <w:t>max</w:t>
      </w:r>
      <w:r w:rsidRPr="00B14EBB">
        <w:rPr>
          <w:sz w:val="22"/>
          <w:szCs w:val="22"/>
          <w:lang w:val="sr-Latn-ME" w:eastAsia="sr-Latn-CS"/>
        </w:rPr>
        <w:t xml:space="preserve"> levonorgestrela povećala 1,33 puta, a PIK</w:t>
      </w:r>
      <w:r w:rsidRPr="00B14EBB">
        <w:rPr>
          <w:sz w:val="22"/>
          <w:szCs w:val="22"/>
          <w:vertAlign w:val="subscript"/>
          <w:lang w:val="sr-Latn-ME" w:eastAsia="sr-Latn-CS"/>
        </w:rPr>
        <w:t>0-24</w:t>
      </w:r>
      <w:r w:rsidRPr="00B14EBB">
        <w:rPr>
          <w:sz w:val="22"/>
          <w:szCs w:val="22"/>
          <w:lang w:val="sr-Latn-ME" w:eastAsia="sr-Latn-CS"/>
        </w:rPr>
        <w:t xml:space="preserve"> 1,41 puta. Iako se ne očekuje da bi ova interakcija sa teriflunomidom mogla negativno da utiče na efikasnost oralnih kontraceptiva, treba je uzeti u obzir prilikom odabira vrste ili prilagođavanja doze oralnih kontraceptiva koji se upotrebljavaju u kombinaciji sa teriflunomidom.</w:t>
      </w:r>
    </w:p>
    <w:p w14:paraId="4D983928" w14:textId="77777777" w:rsidR="00154573" w:rsidRPr="00B14EBB" w:rsidRDefault="00154573" w:rsidP="00545126">
      <w:pPr>
        <w:widowControl w:val="0"/>
        <w:autoSpaceDE w:val="0"/>
        <w:autoSpaceDN w:val="0"/>
        <w:adjustRightInd w:val="0"/>
        <w:jc w:val="both"/>
        <w:rPr>
          <w:i/>
          <w:iCs/>
          <w:sz w:val="22"/>
          <w:szCs w:val="22"/>
          <w:lang w:val="sr-Latn-ME" w:eastAsia="sr-Latn-CS"/>
        </w:rPr>
      </w:pPr>
    </w:p>
    <w:p w14:paraId="797E5A78" w14:textId="3CA97FCA"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teriflunomida na supstrat izoenzima CYP1A2: kofein</w:t>
      </w:r>
    </w:p>
    <w:p w14:paraId="7F619D4F" w14:textId="2E2AB86E"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Nakon ponovljenih doza teriflunomida srednja vr</w:t>
      </w:r>
      <w:r w:rsidR="00FB7C01" w:rsidRPr="00B14EBB">
        <w:rPr>
          <w:sz w:val="22"/>
          <w:szCs w:val="22"/>
          <w:lang w:val="sr-Latn-ME" w:eastAsia="sr-Latn-CS"/>
        </w:rPr>
        <w:t>ij</w:t>
      </w:r>
      <w:r w:rsidRPr="00B14EBB">
        <w:rPr>
          <w:sz w:val="22"/>
          <w:szCs w:val="22"/>
          <w:lang w:val="sr-Latn-ME" w:eastAsia="sr-Latn-CS"/>
        </w:rPr>
        <w:t>ednost C</w:t>
      </w:r>
      <w:r w:rsidRPr="00B14EBB">
        <w:rPr>
          <w:sz w:val="22"/>
          <w:szCs w:val="22"/>
          <w:vertAlign w:val="subscript"/>
          <w:lang w:val="sr-Latn-ME" w:eastAsia="sr-Latn-CS"/>
        </w:rPr>
        <w:t>max</w:t>
      </w:r>
      <w:r w:rsidRPr="00B14EBB">
        <w:rPr>
          <w:sz w:val="22"/>
          <w:szCs w:val="22"/>
          <w:lang w:val="sr-Latn-ME" w:eastAsia="sr-Latn-CS"/>
        </w:rPr>
        <w:t xml:space="preserve"> kofeina (supstrata CYP1A2) smanjila se za 18%, a srednja vr</w:t>
      </w:r>
      <w:r w:rsidR="00FB7C01" w:rsidRPr="00B14EBB">
        <w:rPr>
          <w:sz w:val="22"/>
          <w:szCs w:val="22"/>
          <w:lang w:val="sr-Latn-ME" w:eastAsia="sr-Latn-CS"/>
        </w:rPr>
        <w:t>ij</w:t>
      </w:r>
      <w:r w:rsidRPr="00B14EBB">
        <w:rPr>
          <w:sz w:val="22"/>
          <w:szCs w:val="22"/>
          <w:lang w:val="sr-Latn-ME" w:eastAsia="sr-Latn-CS"/>
        </w:rPr>
        <w:t xml:space="preserve">ednost PIK za 55%, što upućuje na to da bi teriflunomid mogao biti slab induktor izoenzima CYP1A2 </w:t>
      </w:r>
      <w:r w:rsidRPr="00B14EBB">
        <w:rPr>
          <w:i/>
          <w:iCs/>
          <w:sz w:val="22"/>
          <w:szCs w:val="22"/>
          <w:lang w:val="sr-Latn-ME" w:eastAsia="sr-Latn-CS"/>
        </w:rPr>
        <w:t>in vivo</w:t>
      </w:r>
      <w:r w:rsidRPr="00B14EBB">
        <w:rPr>
          <w:sz w:val="22"/>
          <w:szCs w:val="22"/>
          <w:lang w:val="sr-Latn-ME" w:eastAsia="sr-Latn-CS"/>
        </w:rPr>
        <w:t>. Zbog toga se l</w:t>
      </w:r>
      <w:r w:rsidR="00FB7C01" w:rsidRPr="00B14EBB">
        <w:rPr>
          <w:sz w:val="22"/>
          <w:szCs w:val="22"/>
          <w:lang w:val="sr-Latn-ME" w:eastAsia="sr-Latn-CS"/>
        </w:rPr>
        <w:t>j</w:t>
      </w:r>
      <w:r w:rsidRPr="00B14EBB">
        <w:rPr>
          <w:sz w:val="22"/>
          <w:szCs w:val="22"/>
          <w:lang w:val="sr-Latn-ME" w:eastAsia="sr-Latn-CS"/>
        </w:rPr>
        <w:t>ekovi koji se metabolišu putem CYP1A2 (poput duloksetina, alosetrona, teofilina i tizanidina) moraju prim</w:t>
      </w:r>
      <w:r w:rsidR="00FB7C01" w:rsidRPr="00B14EBB">
        <w:rPr>
          <w:sz w:val="22"/>
          <w:szCs w:val="22"/>
          <w:lang w:val="sr-Latn-ME" w:eastAsia="sr-Latn-CS"/>
        </w:rPr>
        <w:t>j</w:t>
      </w:r>
      <w:r w:rsidRPr="00B14EBB">
        <w:rPr>
          <w:sz w:val="22"/>
          <w:szCs w:val="22"/>
          <w:lang w:val="sr-Latn-ME" w:eastAsia="sr-Latn-CS"/>
        </w:rPr>
        <w:t>enjivati uz oprez tokom l</w:t>
      </w:r>
      <w:r w:rsidR="00FB7C01" w:rsidRPr="00B14EBB">
        <w:rPr>
          <w:sz w:val="22"/>
          <w:szCs w:val="22"/>
          <w:lang w:val="sr-Latn-ME" w:eastAsia="sr-Latn-CS"/>
        </w:rPr>
        <w:t>ij</w:t>
      </w:r>
      <w:r w:rsidRPr="00B14EBB">
        <w:rPr>
          <w:sz w:val="22"/>
          <w:szCs w:val="22"/>
          <w:lang w:val="sr-Latn-ME" w:eastAsia="sr-Latn-CS"/>
        </w:rPr>
        <w:t>ečenja teriflunomidom, jer on može da smanji njihovu efikasnost.</w:t>
      </w:r>
    </w:p>
    <w:p w14:paraId="4C93E251" w14:textId="77777777" w:rsidR="00154573" w:rsidRPr="00B14EBB" w:rsidRDefault="00154573" w:rsidP="00545126">
      <w:pPr>
        <w:widowControl w:val="0"/>
        <w:autoSpaceDE w:val="0"/>
        <w:autoSpaceDN w:val="0"/>
        <w:adjustRightInd w:val="0"/>
        <w:jc w:val="both"/>
        <w:rPr>
          <w:i/>
          <w:iCs/>
          <w:sz w:val="22"/>
          <w:szCs w:val="22"/>
          <w:lang w:val="sr-Latn-ME" w:eastAsia="sr-Latn-CS"/>
        </w:rPr>
      </w:pPr>
    </w:p>
    <w:p w14:paraId="5EDCD94E" w14:textId="7C7C6DF9"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teriflunomida na varfarin</w:t>
      </w:r>
    </w:p>
    <w:p w14:paraId="59897E0B" w14:textId="4E5E3404" w:rsidR="00E43D38" w:rsidRPr="00B14EBB" w:rsidRDefault="00E43D38" w:rsidP="00545126">
      <w:pPr>
        <w:pStyle w:val="BodyText"/>
        <w:widowControl w:val="0"/>
        <w:jc w:val="both"/>
        <w:rPr>
          <w:sz w:val="22"/>
          <w:szCs w:val="22"/>
          <w:lang w:val="sr-Latn-ME"/>
        </w:rPr>
      </w:pPr>
      <w:r w:rsidRPr="00B14EBB">
        <w:rPr>
          <w:sz w:val="22"/>
          <w:szCs w:val="22"/>
          <w:lang w:val="sr-Latn-ME"/>
        </w:rPr>
        <w:t>Ponovljene doze teriflunomida nisu uticale na farmakokinetiku S-varfarina, što upućuje na to da teriflunomid nije ni inhibitor ni induktor CYP2C9. Međutim, kada se teriflunomid prim</w:t>
      </w:r>
      <w:r w:rsidR="00FB7C01" w:rsidRPr="00B14EBB">
        <w:rPr>
          <w:sz w:val="22"/>
          <w:szCs w:val="22"/>
          <w:lang w:val="sr-Latn-ME"/>
        </w:rPr>
        <w:t>j</w:t>
      </w:r>
      <w:r w:rsidRPr="00B14EBB">
        <w:rPr>
          <w:sz w:val="22"/>
          <w:szCs w:val="22"/>
          <w:lang w:val="sr-Latn-ME"/>
        </w:rPr>
        <w:t>enjivao istovremeno sa varfarinom, prim</w:t>
      </w:r>
      <w:r w:rsidR="00FB7C01" w:rsidRPr="00B14EBB">
        <w:rPr>
          <w:sz w:val="22"/>
          <w:szCs w:val="22"/>
          <w:lang w:val="sr-Latn-ME"/>
        </w:rPr>
        <w:t>ij</w:t>
      </w:r>
      <w:r w:rsidRPr="00B14EBB">
        <w:rPr>
          <w:sz w:val="22"/>
          <w:szCs w:val="22"/>
          <w:lang w:val="sr-Latn-ME"/>
        </w:rPr>
        <w:t>ećeno je smanjenje najviše vr</w:t>
      </w:r>
      <w:r w:rsidR="00FB7C01" w:rsidRPr="00B14EBB">
        <w:rPr>
          <w:sz w:val="22"/>
          <w:szCs w:val="22"/>
          <w:lang w:val="sr-Latn-ME"/>
        </w:rPr>
        <w:t>ij</w:t>
      </w:r>
      <w:r w:rsidRPr="00B14EBB">
        <w:rPr>
          <w:sz w:val="22"/>
          <w:szCs w:val="22"/>
          <w:lang w:val="sr-Latn-ME"/>
        </w:rPr>
        <w:t>ednosti internacionalnog normalizacionog faktora (INR) od 25% u odnosu na varfarin prim</w:t>
      </w:r>
      <w:r w:rsidR="00FB7C01" w:rsidRPr="00B14EBB">
        <w:rPr>
          <w:sz w:val="22"/>
          <w:szCs w:val="22"/>
          <w:lang w:val="sr-Latn-ME"/>
        </w:rPr>
        <w:t>ij</w:t>
      </w:r>
      <w:r w:rsidRPr="00B14EBB">
        <w:rPr>
          <w:sz w:val="22"/>
          <w:szCs w:val="22"/>
          <w:lang w:val="sr-Latn-ME"/>
        </w:rPr>
        <w:t>enjen samostalno. Zbog toga se preporučuje pažljiva kontrola i praćenje INR-a kada se varfarin prim</w:t>
      </w:r>
      <w:r w:rsidR="00FB7C01" w:rsidRPr="00B14EBB">
        <w:rPr>
          <w:sz w:val="22"/>
          <w:szCs w:val="22"/>
          <w:lang w:val="sr-Latn-ME"/>
        </w:rPr>
        <w:t>j</w:t>
      </w:r>
      <w:r w:rsidRPr="00B14EBB">
        <w:rPr>
          <w:sz w:val="22"/>
          <w:szCs w:val="22"/>
          <w:lang w:val="sr-Latn-ME"/>
        </w:rPr>
        <w:t>enjuje istovremeno sa teriflunomidom.</w:t>
      </w:r>
    </w:p>
    <w:p w14:paraId="0C0F623D" w14:textId="77777777" w:rsidR="003D7F81" w:rsidRPr="00B14EBB" w:rsidRDefault="003D7F81" w:rsidP="00545126">
      <w:pPr>
        <w:widowControl w:val="0"/>
        <w:autoSpaceDE w:val="0"/>
        <w:autoSpaceDN w:val="0"/>
        <w:adjustRightInd w:val="0"/>
        <w:jc w:val="both"/>
        <w:rPr>
          <w:i/>
          <w:iCs/>
          <w:sz w:val="22"/>
          <w:szCs w:val="22"/>
          <w:lang w:val="sr-Latn-ME" w:eastAsia="sr-Latn-CS"/>
        </w:rPr>
      </w:pPr>
    </w:p>
    <w:p w14:paraId="0AB55DBE" w14:textId="65C32FD8" w:rsidR="00E43D38" w:rsidRPr="00B14EBB" w:rsidRDefault="00E43D38" w:rsidP="00545126">
      <w:pPr>
        <w:widowControl w:val="0"/>
        <w:autoSpaceDE w:val="0"/>
        <w:autoSpaceDN w:val="0"/>
        <w:adjustRightInd w:val="0"/>
        <w:jc w:val="both"/>
        <w:rPr>
          <w:sz w:val="22"/>
          <w:szCs w:val="22"/>
          <w:lang w:val="sr-Latn-ME" w:eastAsia="sr-Latn-CS"/>
        </w:rPr>
      </w:pPr>
      <w:r w:rsidRPr="00B14EBB">
        <w:rPr>
          <w:i/>
          <w:iCs/>
          <w:sz w:val="22"/>
          <w:szCs w:val="22"/>
          <w:lang w:val="sr-Latn-ME" w:eastAsia="sr-Latn-CS"/>
        </w:rPr>
        <w:t>Dejstvo teriflunomida na supstrate organskog anjonskog transportera 3 (OAT3)</w:t>
      </w:r>
    </w:p>
    <w:p w14:paraId="6AD9EB28" w14:textId="118F9EC9"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Nakon ponovljenih doza teriflunomida srednja vr</w:t>
      </w:r>
      <w:r w:rsidR="00FB7C01" w:rsidRPr="00B14EBB">
        <w:rPr>
          <w:sz w:val="22"/>
          <w:szCs w:val="22"/>
          <w:lang w:val="sr-Latn-ME" w:eastAsia="sr-Latn-CS"/>
        </w:rPr>
        <w:t>ij</w:t>
      </w:r>
      <w:r w:rsidRPr="00B14EBB">
        <w:rPr>
          <w:sz w:val="22"/>
          <w:szCs w:val="22"/>
          <w:lang w:val="sr-Latn-ME" w:eastAsia="sr-Latn-CS"/>
        </w:rPr>
        <w:t>ednost C</w:t>
      </w:r>
      <w:r w:rsidRPr="00B14EBB">
        <w:rPr>
          <w:sz w:val="22"/>
          <w:szCs w:val="22"/>
          <w:vertAlign w:val="subscript"/>
          <w:lang w:val="sr-Latn-ME" w:eastAsia="sr-Latn-CS"/>
        </w:rPr>
        <w:t xml:space="preserve">max </w:t>
      </w:r>
      <w:r w:rsidRPr="00B14EBB">
        <w:rPr>
          <w:sz w:val="22"/>
          <w:szCs w:val="22"/>
          <w:lang w:val="sr-Latn-ME" w:eastAsia="sr-Latn-CS"/>
        </w:rPr>
        <w:t>cefaklora povećala se 1,43 puta, a srednja vr</w:t>
      </w:r>
      <w:r w:rsidR="00FB7C01" w:rsidRPr="00B14EBB">
        <w:rPr>
          <w:sz w:val="22"/>
          <w:szCs w:val="22"/>
          <w:lang w:val="sr-Latn-ME" w:eastAsia="sr-Latn-CS"/>
        </w:rPr>
        <w:t>ij</w:t>
      </w:r>
      <w:r w:rsidRPr="00B14EBB">
        <w:rPr>
          <w:sz w:val="22"/>
          <w:szCs w:val="22"/>
          <w:lang w:val="sr-Latn-ME" w:eastAsia="sr-Latn-CS"/>
        </w:rPr>
        <w:t xml:space="preserve">ednost PIK 1,54 puta, što upućuje na to da je teriflunomid inhibitor OAT3 </w:t>
      </w:r>
      <w:r w:rsidRPr="00B14EBB">
        <w:rPr>
          <w:i/>
          <w:iCs/>
          <w:sz w:val="22"/>
          <w:szCs w:val="22"/>
          <w:lang w:val="sr-Latn-ME" w:eastAsia="sr-Latn-CS"/>
        </w:rPr>
        <w:t>in vivo</w:t>
      </w:r>
      <w:r w:rsidRPr="00B14EBB">
        <w:rPr>
          <w:sz w:val="22"/>
          <w:szCs w:val="22"/>
          <w:lang w:val="sr-Latn-ME" w:eastAsia="sr-Latn-CS"/>
        </w:rPr>
        <w:t>. Zbog toga je potreban oprez kada se teriflunomid prim</w:t>
      </w:r>
      <w:r w:rsidR="00FB7C01" w:rsidRPr="00B14EBB">
        <w:rPr>
          <w:sz w:val="22"/>
          <w:szCs w:val="22"/>
          <w:lang w:val="sr-Latn-ME" w:eastAsia="sr-Latn-CS"/>
        </w:rPr>
        <w:t>j</w:t>
      </w:r>
      <w:r w:rsidRPr="00B14EBB">
        <w:rPr>
          <w:sz w:val="22"/>
          <w:szCs w:val="22"/>
          <w:lang w:val="sr-Latn-ME" w:eastAsia="sr-Latn-CS"/>
        </w:rPr>
        <w:t xml:space="preserve">enjuje istovremeno sa supstratima OAT3, kao što su cefaklor, </w:t>
      </w:r>
      <w:r w:rsidRPr="00B14EBB">
        <w:rPr>
          <w:sz w:val="22"/>
          <w:szCs w:val="22"/>
          <w:lang w:val="sr-Latn-ME" w:eastAsia="sr-Latn-CS"/>
        </w:rPr>
        <w:lastRenderedPageBreak/>
        <w:t>benzilpenicilin, ciprofloksacin, indometacin, ketoprofen, furosemid, cimetidin, metotreksat i zidovudin.</w:t>
      </w:r>
    </w:p>
    <w:p w14:paraId="14050AF1" w14:textId="77777777" w:rsidR="003D7F81" w:rsidRPr="00B14EBB" w:rsidRDefault="003D7F81" w:rsidP="00545126">
      <w:pPr>
        <w:widowControl w:val="0"/>
        <w:autoSpaceDE w:val="0"/>
        <w:autoSpaceDN w:val="0"/>
        <w:adjustRightInd w:val="0"/>
        <w:jc w:val="both"/>
        <w:rPr>
          <w:i/>
          <w:iCs/>
          <w:sz w:val="22"/>
          <w:szCs w:val="22"/>
          <w:lang w:val="sr-Latn-ME" w:eastAsia="sr-Latn-CS"/>
        </w:rPr>
      </w:pPr>
    </w:p>
    <w:p w14:paraId="451F5305" w14:textId="7AB1D9FF" w:rsidR="00E43D38" w:rsidRPr="00B14EBB" w:rsidRDefault="00E43D3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teriflunomida na BCRP i/ili supstrate organskog anionskog transportnog polipeptida B1 i B3 (OATP1B1/B3)</w:t>
      </w:r>
    </w:p>
    <w:p w14:paraId="5DC0B976" w14:textId="2E6BD985"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Nakon ponovljenih doza teriflunomida srednja vr</w:t>
      </w:r>
      <w:r w:rsidR="00FB7C01" w:rsidRPr="00B14EBB">
        <w:rPr>
          <w:sz w:val="22"/>
          <w:szCs w:val="22"/>
          <w:lang w:val="sr-Latn-ME" w:eastAsia="sr-Latn-CS"/>
        </w:rPr>
        <w:t>ij</w:t>
      </w:r>
      <w:r w:rsidRPr="00B14EBB">
        <w:rPr>
          <w:sz w:val="22"/>
          <w:szCs w:val="22"/>
          <w:lang w:val="sr-Latn-ME" w:eastAsia="sr-Latn-CS"/>
        </w:rPr>
        <w:t>ednost C</w:t>
      </w:r>
      <w:r w:rsidRPr="00B14EBB">
        <w:rPr>
          <w:sz w:val="22"/>
          <w:szCs w:val="22"/>
          <w:vertAlign w:val="subscript"/>
          <w:lang w:val="sr-Latn-ME" w:eastAsia="sr-Latn-CS"/>
        </w:rPr>
        <w:t>max</w:t>
      </w:r>
      <w:r w:rsidRPr="00B14EBB">
        <w:rPr>
          <w:sz w:val="22"/>
          <w:szCs w:val="22"/>
          <w:lang w:val="sr-Latn-ME" w:eastAsia="sr-Latn-CS"/>
        </w:rPr>
        <w:t xml:space="preserve"> rosuvastatina povećala se 2,65 puta, a PIK 2,51 puta. Međutim, povećanje izloženosti rosuvastatinu u plazmi nije imalo vidljivog uticaja na aktivnost HMG-CoA reduktaze. Kada se prim</w:t>
      </w:r>
      <w:r w:rsidR="00FB7C01" w:rsidRPr="00B14EBB">
        <w:rPr>
          <w:sz w:val="22"/>
          <w:szCs w:val="22"/>
          <w:lang w:val="sr-Latn-ME" w:eastAsia="sr-Latn-CS"/>
        </w:rPr>
        <w:t>j</w:t>
      </w:r>
      <w:r w:rsidRPr="00B14EBB">
        <w:rPr>
          <w:sz w:val="22"/>
          <w:szCs w:val="22"/>
          <w:lang w:val="sr-Latn-ME" w:eastAsia="sr-Latn-CS"/>
        </w:rPr>
        <w:t>enjuje istovremeno sa teriflunomidom, preporučuje se smanjenje doze rosuvastatina za 50%. Takođe je potreban oprez kada se teriflunomid prim</w:t>
      </w:r>
      <w:r w:rsidR="00FB7C01" w:rsidRPr="00B14EBB">
        <w:rPr>
          <w:sz w:val="22"/>
          <w:szCs w:val="22"/>
          <w:lang w:val="sr-Latn-ME" w:eastAsia="sr-Latn-CS"/>
        </w:rPr>
        <w:t>j</w:t>
      </w:r>
      <w:r w:rsidRPr="00B14EBB">
        <w:rPr>
          <w:sz w:val="22"/>
          <w:szCs w:val="22"/>
          <w:lang w:val="sr-Latn-ME" w:eastAsia="sr-Latn-CS"/>
        </w:rPr>
        <w:t>enjuje istovremeno sa drugim supstratima BCRP-a (npr. metotreksatom, topotekanom, sulfasalazinom, daunorubicinom, doksorubicinom) i l</w:t>
      </w:r>
      <w:r w:rsidR="00FB7C01" w:rsidRPr="00B14EBB">
        <w:rPr>
          <w:sz w:val="22"/>
          <w:szCs w:val="22"/>
          <w:lang w:val="sr-Latn-ME" w:eastAsia="sr-Latn-CS"/>
        </w:rPr>
        <w:t>j</w:t>
      </w:r>
      <w:r w:rsidRPr="00B14EBB">
        <w:rPr>
          <w:sz w:val="22"/>
          <w:szCs w:val="22"/>
          <w:lang w:val="sr-Latn-ME" w:eastAsia="sr-Latn-CS"/>
        </w:rPr>
        <w:t>ekovima iz grupe organskih anionskih transportnih polipeptida, naročito inhibitorima HMG-CoA reduktaze (npr. simvastatinom, atorvastatinom, pravastatinom, metotreksatom, nateglinidom, repaglinidom, rifampicinom). Pacijente treba pažljivo pratiti kako bi se uočili mogući znaci i simptomi prekom</w:t>
      </w:r>
      <w:r w:rsidR="00FB7C01" w:rsidRPr="00B14EBB">
        <w:rPr>
          <w:sz w:val="22"/>
          <w:szCs w:val="22"/>
          <w:lang w:val="sr-Latn-ME" w:eastAsia="sr-Latn-CS"/>
        </w:rPr>
        <w:t>j</w:t>
      </w:r>
      <w:r w:rsidRPr="00B14EBB">
        <w:rPr>
          <w:sz w:val="22"/>
          <w:szCs w:val="22"/>
          <w:lang w:val="sr-Latn-ME" w:eastAsia="sr-Latn-CS"/>
        </w:rPr>
        <w:t>erne izloženosti l</w:t>
      </w:r>
      <w:r w:rsidR="00FB7C01" w:rsidRPr="00B14EBB">
        <w:rPr>
          <w:sz w:val="22"/>
          <w:szCs w:val="22"/>
          <w:lang w:val="sr-Latn-ME" w:eastAsia="sr-Latn-CS"/>
        </w:rPr>
        <w:t>j</w:t>
      </w:r>
      <w:r w:rsidRPr="00B14EBB">
        <w:rPr>
          <w:sz w:val="22"/>
          <w:szCs w:val="22"/>
          <w:lang w:val="sr-Latn-ME" w:eastAsia="sr-Latn-CS"/>
        </w:rPr>
        <w:t>ekovima, a u obzir treba uzeti i smanjenje doza tih l</w:t>
      </w:r>
      <w:r w:rsidR="00FB7C01" w:rsidRPr="00B14EBB">
        <w:rPr>
          <w:sz w:val="22"/>
          <w:szCs w:val="22"/>
          <w:lang w:val="sr-Latn-ME" w:eastAsia="sr-Latn-CS"/>
        </w:rPr>
        <w:t>j</w:t>
      </w:r>
      <w:r w:rsidRPr="00B14EBB">
        <w:rPr>
          <w:sz w:val="22"/>
          <w:szCs w:val="22"/>
          <w:lang w:val="sr-Latn-ME" w:eastAsia="sr-Latn-CS"/>
        </w:rPr>
        <w:t>ekova.</w:t>
      </w:r>
    </w:p>
    <w:p w14:paraId="500F590F" w14:textId="77777777" w:rsidR="0072020E" w:rsidRPr="00B14EBB" w:rsidRDefault="0072020E" w:rsidP="00545126">
      <w:pPr>
        <w:widowControl w:val="0"/>
        <w:tabs>
          <w:tab w:val="left" w:pos="540"/>
          <w:tab w:val="left" w:pos="569"/>
        </w:tabs>
        <w:jc w:val="both"/>
        <w:rPr>
          <w:bCs/>
          <w:sz w:val="22"/>
          <w:szCs w:val="22"/>
          <w:lang w:val="sr-Latn-ME"/>
        </w:rPr>
      </w:pPr>
    </w:p>
    <w:p w14:paraId="500F5910" w14:textId="77777777" w:rsidR="0072020E" w:rsidRPr="00B14EBB" w:rsidRDefault="0072020E" w:rsidP="00545126">
      <w:pPr>
        <w:widowControl w:val="0"/>
        <w:tabs>
          <w:tab w:val="left" w:pos="540"/>
          <w:tab w:val="left" w:pos="569"/>
        </w:tabs>
        <w:jc w:val="both"/>
        <w:rPr>
          <w:b/>
          <w:sz w:val="22"/>
          <w:szCs w:val="22"/>
          <w:lang w:val="sr-Latn-ME"/>
        </w:rPr>
      </w:pPr>
      <w:r w:rsidRPr="00B14EBB">
        <w:rPr>
          <w:b/>
          <w:bCs/>
          <w:sz w:val="22"/>
          <w:szCs w:val="22"/>
          <w:lang w:val="sr-Latn-ME"/>
        </w:rPr>
        <w:t xml:space="preserve">4.6. </w:t>
      </w:r>
      <w:r w:rsidR="00480FB1" w:rsidRPr="00B14EBB">
        <w:rPr>
          <w:b/>
          <w:bCs/>
          <w:sz w:val="22"/>
          <w:szCs w:val="22"/>
          <w:lang w:val="sr-Latn-ME"/>
        </w:rPr>
        <w:tab/>
      </w:r>
      <w:r w:rsidR="006D20A5" w:rsidRPr="00B14EBB">
        <w:rPr>
          <w:b/>
          <w:sz w:val="22"/>
          <w:szCs w:val="22"/>
          <w:lang w:val="sr-Latn-ME"/>
        </w:rPr>
        <w:t>Plodnost, trudnoća i dojenje</w:t>
      </w:r>
    </w:p>
    <w:p w14:paraId="500F5911" w14:textId="77777777" w:rsidR="002031B3" w:rsidRPr="00B14EBB" w:rsidRDefault="002031B3" w:rsidP="00545126">
      <w:pPr>
        <w:widowControl w:val="0"/>
        <w:tabs>
          <w:tab w:val="left" w:pos="540"/>
          <w:tab w:val="left" w:pos="569"/>
        </w:tabs>
        <w:jc w:val="both"/>
        <w:rPr>
          <w:sz w:val="22"/>
          <w:szCs w:val="22"/>
          <w:u w:val="single"/>
          <w:lang w:val="sr-Latn-ME"/>
        </w:rPr>
      </w:pPr>
    </w:p>
    <w:p w14:paraId="4ACFA312" w14:textId="77777777" w:rsidR="00D3050B" w:rsidRPr="00B14EBB" w:rsidRDefault="00D3050B"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Primjena kod muškaraca</w:t>
      </w:r>
    </w:p>
    <w:p w14:paraId="1AAFD8A9" w14:textId="783D2598" w:rsidR="00D3050B" w:rsidRPr="00B14EBB" w:rsidRDefault="00D3050B" w:rsidP="00545126">
      <w:pPr>
        <w:pStyle w:val="BodyText"/>
        <w:widowControl w:val="0"/>
        <w:jc w:val="both"/>
        <w:rPr>
          <w:sz w:val="22"/>
          <w:szCs w:val="22"/>
          <w:lang w:val="sr-Latn-ME"/>
        </w:rPr>
      </w:pPr>
      <w:r w:rsidRPr="00B14EBB">
        <w:rPr>
          <w:sz w:val="22"/>
          <w:szCs w:val="22"/>
          <w:lang w:val="sr-Latn-ME"/>
        </w:rPr>
        <w:t>Rizik od embriofetalne toksičnosti kao posl</w:t>
      </w:r>
      <w:r w:rsidR="00B31671" w:rsidRPr="00B14EBB">
        <w:rPr>
          <w:sz w:val="22"/>
          <w:szCs w:val="22"/>
          <w:lang w:val="sr-Latn-ME"/>
        </w:rPr>
        <w:t>j</w:t>
      </w:r>
      <w:r w:rsidRPr="00B14EBB">
        <w:rPr>
          <w:sz w:val="22"/>
          <w:szCs w:val="22"/>
          <w:lang w:val="sr-Latn-ME"/>
        </w:rPr>
        <w:t>edice liječenja muškaraca teriflunomidom smatra se niskim (vidjeti dio 5.3).</w:t>
      </w:r>
    </w:p>
    <w:p w14:paraId="1C5A0269" w14:textId="77777777" w:rsidR="00D3050B" w:rsidRPr="00B14EBB" w:rsidRDefault="00D3050B" w:rsidP="00545126">
      <w:pPr>
        <w:widowControl w:val="0"/>
        <w:tabs>
          <w:tab w:val="left" w:pos="540"/>
          <w:tab w:val="left" w:pos="569"/>
        </w:tabs>
        <w:jc w:val="both"/>
        <w:rPr>
          <w:sz w:val="22"/>
          <w:szCs w:val="22"/>
          <w:u w:val="single"/>
          <w:lang w:val="sr-Latn-ME"/>
        </w:rPr>
      </w:pPr>
    </w:p>
    <w:p w14:paraId="6B1A0FAE" w14:textId="02CA6FE8" w:rsidR="00E43D38" w:rsidRPr="00B14EBB" w:rsidRDefault="007A3ECB" w:rsidP="00545126">
      <w:pPr>
        <w:widowControl w:val="0"/>
        <w:tabs>
          <w:tab w:val="left" w:pos="540"/>
          <w:tab w:val="left" w:pos="569"/>
        </w:tabs>
        <w:jc w:val="both"/>
        <w:rPr>
          <w:sz w:val="22"/>
          <w:szCs w:val="22"/>
          <w:u w:val="single"/>
          <w:lang w:val="sr-Latn-ME"/>
        </w:rPr>
      </w:pPr>
      <w:r w:rsidRPr="00B14EBB">
        <w:rPr>
          <w:sz w:val="22"/>
          <w:szCs w:val="22"/>
          <w:u w:val="single"/>
          <w:lang w:val="sr-Latn-ME"/>
        </w:rPr>
        <w:t>Trudnoća</w:t>
      </w:r>
    </w:p>
    <w:p w14:paraId="2B33CA16" w14:textId="77777777" w:rsidR="00E43D38" w:rsidRPr="00B14EBB" w:rsidRDefault="00E43D38" w:rsidP="00545126">
      <w:pPr>
        <w:widowControl w:val="0"/>
        <w:tabs>
          <w:tab w:val="left" w:pos="540"/>
          <w:tab w:val="left" w:pos="569"/>
        </w:tabs>
        <w:jc w:val="both"/>
        <w:rPr>
          <w:sz w:val="22"/>
          <w:szCs w:val="22"/>
          <w:u w:val="single"/>
          <w:lang w:val="sr-Latn-ME"/>
        </w:rPr>
      </w:pPr>
    </w:p>
    <w:p w14:paraId="3D6C0F32" w14:textId="435C2ED3" w:rsidR="00E43D38" w:rsidRPr="00B14EBB" w:rsidRDefault="00E43D38" w:rsidP="00545126">
      <w:pPr>
        <w:pStyle w:val="BodyText2"/>
        <w:widowControl w:val="0"/>
        <w:spacing w:after="0" w:line="240" w:lineRule="auto"/>
        <w:jc w:val="both"/>
        <w:rPr>
          <w:sz w:val="22"/>
          <w:szCs w:val="22"/>
          <w:lang w:val="sr-Latn-ME"/>
        </w:rPr>
      </w:pPr>
      <w:r w:rsidRPr="00B14EBB">
        <w:rPr>
          <w:sz w:val="22"/>
          <w:szCs w:val="22"/>
          <w:lang w:val="sr-Latn-ME"/>
        </w:rPr>
        <w:t>Postoje malobrojni podaci o prim</w:t>
      </w:r>
      <w:r w:rsidR="00FB7C01" w:rsidRPr="00B14EBB">
        <w:rPr>
          <w:sz w:val="22"/>
          <w:szCs w:val="22"/>
          <w:lang w:val="sr-Latn-ME"/>
        </w:rPr>
        <w:t>j</w:t>
      </w:r>
      <w:r w:rsidRPr="00B14EBB">
        <w:rPr>
          <w:sz w:val="22"/>
          <w:szCs w:val="22"/>
          <w:lang w:val="sr-Latn-ME"/>
        </w:rPr>
        <w:t>eni teriflunomida kod trudnica. Ispitivanja na životinjama pokazala su reproduktivnu toksičnost (vid</w:t>
      </w:r>
      <w:r w:rsidR="00FB7C01" w:rsidRPr="00B14EBB">
        <w:rPr>
          <w:sz w:val="22"/>
          <w:szCs w:val="22"/>
          <w:lang w:val="sr-Latn-ME"/>
        </w:rPr>
        <w:t>j</w:t>
      </w:r>
      <w:r w:rsidRPr="00B14EBB">
        <w:rPr>
          <w:sz w:val="22"/>
          <w:szCs w:val="22"/>
          <w:lang w:val="sr-Latn-ME"/>
        </w:rPr>
        <w:t xml:space="preserve">eti </w:t>
      </w:r>
      <w:r w:rsidR="00AA0E81" w:rsidRPr="00B14EBB">
        <w:rPr>
          <w:sz w:val="22"/>
          <w:szCs w:val="22"/>
          <w:lang w:val="sr-Latn-ME"/>
        </w:rPr>
        <w:t>dio</w:t>
      </w:r>
      <w:r w:rsidRPr="00B14EBB">
        <w:rPr>
          <w:sz w:val="22"/>
          <w:szCs w:val="22"/>
          <w:lang w:val="sr-Latn-ME"/>
        </w:rPr>
        <w:t>5.3).</w:t>
      </w:r>
    </w:p>
    <w:p w14:paraId="758FC23C" w14:textId="2514A53B" w:rsidR="00E43D38" w:rsidRPr="00B14EBB" w:rsidRDefault="00E43D38" w:rsidP="00545126">
      <w:pPr>
        <w:pStyle w:val="BodyText"/>
        <w:widowControl w:val="0"/>
        <w:jc w:val="both"/>
        <w:rPr>
          <w:sz w:val="22"/>
          <w:szCs w:val="22"/>
          <w:lang w:val="sr-Latn-ME"/>
        </w:rPr>
      </w:pPr>
      <w:r w:rsidRPr="00B14EBB">
        <w:rPr>
          <w:sz w:val="22"/>
          <w:szCs w:val="22"/>
          <w:lang w:val="sr-Latn-ME"/>
        </w:rPr>
        <w:t>Teriflunomid može dovesti do ozbiljnih urođenih defekata ako se prim</w:t>
      </w:r>
      <w:r w:rsidR="00FB7C01" w:rsidRPr="00B14EBB">
        <w:rPr>
          <w:sz w:val="22"/>
          <w:szCs w:val="22"/>
          <w:lang w:val="sr-Latn-ME"/>
        </w:rPr>
        <w:t>j</w:t>
      </w:r>
      <w:r w:rsidRPr="00B14EBB">
        <w:rPr>
          <w:sz w:val="22"/>
          <w:szCs w:val="22"/>
          <w:lang w:val="sr-Latn-ME"/>
        </w:rPr>
        <w:t>enjuje tokom trudnoće. Teriflunomid je kontraindikovan tokom trudnoće (vid</w:t>
      </w:r>
      <w:r w:rsidR="00FB7C01" w:rsidRPr="00B14EBB">
        <w:rPr>
          <w:sz w:val="22"/>
          <w:szCs w:val="22"/>
          <w:lang w:val="sr-Latn-ME"/>
        </w:rPr>
        <w:t>j</w:t>
      </w:r>
      <w:r w:rsidRPr="00B14EBB">
        <w:rPr>
          <w:sz w:val="22"/>
          <w:szCs w:val="22"/>
          <w:lang w:val="sr-Latn-ME"/>
        </w:rPr>
        <w:t xml:space="preserve">eti </w:t>
      </w:r>
      <w:r w:rsidR="00AA0E81" w:rsidRPr="00B14EBB">
        <w:rPr>
          <w:sz w:val="22"/>
          <w:szCs w:val="22"/>
          <w:lang w:val="sr-Latn-ME"/>
        </w:rPr>
        <w:t>dio</w:t>
      </w:r>
      <w:r w:rsidR="00AA0E81" w:rsidRPr="00B14EBB" w:rsidDel="00AA0E81">
        <w:rPr>
          <w:sz w:val="22"/>
          <w:szCs w:val="22"/>
          <w:lang w:val="sr-Latn-ME"/>
        </w:rPr>
        <w:t xml:space="preserve"> </w:t>
      </w:r>
      <w:r w:rsidRPr="00B14EBB">
        <w:rPr>
          <w:sz w:val="22"/>
          <w:szCs w:val="22"/>
          <w:lang w:val="sr-Latn-ME"/>
        </w:rPr>
        <w:t>4.3).</w:t>
      </w:r>
    </w:p>
    <w:p w14:paraId="271B662B" w14:textId="1992FD7F" w:rsidR="00E43D38" w:rsidRPr="00B14EBB" w:rsidRDefault="00E43D38" w:rsidP="00545126">
      <w:pPr>
        <w:pStyle w:val="BodyText"/>
        <w:widowControl w:val="0"/>
        <w:jc w:val="both"/>
        <w:rPr>
          <w:sz w:val="22"/>
          <w:szCs w:val="22"/>
          <w:lang w:val="sr-Latn-ME"/>
        </w:rPr>
      </w:pPr>
      <w:r w:rsidRPr="00B14EBB">
        <w:rPr>
          <w:sz w:val="22"/>
          <w:szCs w:val="22"/>
          <w:lang w:val="sr-Latn-ME"/>
        </w:rPr>
        <w:t>Žene u reproduktivnom periodu moraju koristiti efikasnu kontracepciju tokom l</w:t>
      </w:r>
      <w:r w:rsidR="00FB7C01" w:rsidRPr="00B14EBB">
        <w:rPr>
          <w:sz w:val="22"/>
          <w:szCs w:val="22"/>
          <w:lang w:val="sr-Latn-ME"/>
        </w:rPr>
        <w:t>ij</w:t>
      </w:r>
      <w:r w:rsidRPr="00B14EBB">
        <w:rPr>
          <w:sz w:val="22"/>
          <w:szCs w:val="22"/>
          <w:lang w:val="sr-Latn-ME"/>
        </w:rPr>
        <w:t>ečenja i nakon l</w:t>
      </w:r>
      <w:r w:rsidR="00FB7C01" w:rsidRPr="00B14EBB">
        <w:rPr>
          <w:sz w:val="22"/>
          <w:szCs w:val="22"/>
          <w:lang w:val="sr-Latn-ME"/>
        </w:rPr>
        <w:t>ij</w:t>
      </w:r>
      <w:r w:rsidRPr="00B14EBB">
        <w:rPr>
          <w:sz w:val="22"/>
          <w:szCs w:val="22"/>
          <w:lang w:val="sr-Latn-ME"/>
        </w:rPr>
        <w:t>ečenja, sve dok je koncentracija teriflunomida u plazmi iznad 0,02 mg</w:t>
      </w:r>
      <w:r w:rsidR="00545126">
        <w:rPr>
          <w:sz w:val="22"/>
          <w:szCs w:val="22"/>
          <w:lang w:val="sr-Latn-ME"/>
        </w:rPr>
        <w:t>/l</w:t>
      </w:r>
      <w:r w:rsidRPr="00B14EBB">
        <w:rPr>
          <w:sz w:val="22"/>
          <w:szCs w:val="22"/>
          <w:lang w:val="sr-Latn-ME"/>
        </w:rPr>
        <w:t>. Tokom tog perioda žene bi trebale  da razgovaraju sa nadležnim l</w:t>
      </w:r>
      <w:r w:rsidR="00FB7C01" w:rsidRPr="00B14EBB">
        <w:rPr>
          <w:sz w:val="22"/>
          <w:szCs w:val="22"/>
          <w:lang w:val="sr-Latn-ME"/>
        </w:rPr>
        <w:t>j</w:t>
      </w:r>
      <w:r w:rsidRPr="00B14EBB">
        <w:rPr>
          <w:sz w:val="22"/>
          <w:szCs w:val="22"/>
          <w:lang w:val="sr-Latn-ME"/>
        </w:rPr>
        <w:t>ekarom o planovima za prekid ili prom</w:t>
      </w:r>
      <w:r w:rsidR="00FB7C01" w:rsidRPr="00B14EBB">
        <w:rPr>
          <w:sz w:val="22"/>
          <w:szCs w:val="22"/>
          <w:lang w:val="sr-Latn-ME"/>
        </w:rPr>
        <w:t>j</w:t>
      </w:r>
      <w:r w:rsidRPr="00B14EBB">
        <w:rPr>
          <w:sz w:val="22"/>
          <w:szCs w:val="22"/>
          <w:lang w:val="sr-Latn-ME"/>
        </w:rPr>
        <w:t>enu kontracepcije.</w:t>
      </w:r>
    </w:p>
    <w:p w14:paraId="54CA6D3B" w14:textId="24139B62" w:rsidR="00E43D38" w:rsidRPr="00B14EBB" w:rsidRDefault="00E43D38" w:rsidP="00545126">
      <w:pPr>
        <w:widowControl w:val="0"/>
        <w:autoSpaceDE w:val="0"/>
        <w:autoSpaceDN w:val="0"/>
        <w:adjustRightInd w:val="0"/>
        <w:jc w:val="both"/>
        <w:rPr>
          <w:rFonts w:eastAsia="Calibri"/>
          <w:lang w:val="sr-Latn-ME"/>
        </w:rPr>
      </w:pPr>
      <w:r w:rsidRPr="00B14EBB">
        <w:rPr>
          <w:rFonts w:eastAsia="Calibri"/>
          <w:sz w:val="22"/>
          <w:szCs w:val="22"/>
          <w:lang w:val="sr-Latn-ME"/>
        </w:rPr>
        <w:t>D</w:t>
      </w:r>
      <w:r w:rsidR="00FB7C01" w:rsidRPr="00B14EBB">
        <w:rPr>
          <w:rFonts w:eastAsia="Calibri"/>
          <w:sz w:val="22"/>
          <w:szCs w:val="22"/>
          <w:lang w:val="sr-Latn-ME"/>
        </w:rPr>
        <w:t>j</w:t>
      </w:r>
      <w:r w:rsidRPr="00B14EBB">
        <w:rPr>
          <w:rFonts w:eastAsia="Calibri"/>
          <w:sz w:val="22"/>
          <w:szCs w:val="22"/>
          <w:lang w:val="sr-Latn-ME"/>
        </w:rPr>
        <w:t>evojčicama i/ili njihovim roditeljima/starateljima potrebno je objasniti potrebu da se obrate nadležnom</w:t>
      </w:r>
      <w:r w:rsidR="00FB7C01" w:rsidRPr="00B14EBB">
        <w:rPr>
          <w:rFonts w:eastAsia="Calibri"/>
          <w:sz w:val="22"/>
          <w:szCs w:val="22"/>
          <w:lang w:val="sr-Latn-ME"/>
        </w:rPr>
        <w:t xml:space="preserve"> </w:t>
      </w:r>
      <w:r w:rsidRPr="00B14EBB">
        <w:rPr>
          <w:rFonts w:eastAsia="Calibri"/>
          <w:sz w:val="22"/>
          <w:szCs w:val="22"/>
          <w:lang w:val="sr-Latn-ME"/>
        </w:rPr>
        <w:t>l</w:t>
      </w:r>
      <w:r w:rsidR="00FB7C01" w:rsidRPr="00B14EBB">
        <w:rPr>
          <w:rFonts w:eastAsia="Calibri"/>
          <w:sz w:val="22"/>
          <w:szCs w:val="22"/>
          <w:lang w:val="sr-Latn-ME"/>
        </w:rPr>
        <w:t>j</w:t>
      </w:r>
      <w:r w:rsidRPr="00B14EBB">
        <w:rPr>
          <w:rFonts w:eastAsia="Calibri"/>
          <w:sz w:val="22"/>
          <w:szCs w:val="22"/>
          <w:lang w:val="sr-Latn-ME"/>
        </w:rPr>
        <w:t>ekaru čim d</w:t>
      </w:r>
      <w:r w:rsidR="00FB7C01" w:rsidRPr="00B14EBB">
        <w:rPr>
          <w:rFonts w:eastAsia="Calibri"/>
          <w:sz w:val="22"/>
          <w:szCs w:val="22"/>
          <w:lang w:val="sr-Latn-ME"/>
        </w:rPr>
        <w:t>j</w:t>
      </w:r>
      <w:r w:rsidRPr="00B14EBB">
        <w:rPr>
          <w:rFonts w:eastAsia="Calibri"/>
          <w:sz w:val="22"/>
          <w:szCs w:val="22"/>
          <w:lang w:val="sr-Latn-ME"/>
        </w:rPr>
        <w:t>evojčica dobije menstruaciju tokom l</w:t>
      </w:r>
      <w:r w:rsidR="00FB7C01" w:rsidRPr="00B14EBB">
        <w:rPr>
          <w:rFonts w:eastAsia="Calibri"/>
          <w:sz w:val="22"/>
          <w:szCs w:val="22"/>
          <w:lang w:val="sr-Latn-ME"/>
        </w:rPr>
        <w:t>ij</w:t>
      </w:r>
      <w:r w:rsidRPr="00B14EBB">
        <w:rPr>
          <w:rFonts w:eastAsia="Calibri"/>
          <w:sz w:val="22"/>
          <w:szCs w:val="22"/>
          <w:lang w:val="sr-Latn-ME"/>
        </w:rPr>
        <w:t>ečenja l</w:t>
      </w:r>
      <w:r w:rsidR="00FB7C01" w:rsidRPr="00B14EBB">
        <w:rPr>
          <w:rFonts w:eastAsia="Calibri"/>
          <w:sz w:val="22"/>
          <w:szCs w:val="22"/>
          <w:lang w:val="sr-Latn-ME"/>
        </w:rPr>
        <w:t>ij</w:t>
      </w:r>
      <w:r w:rsidRPr="00B14EBB">
        <w:rPr>
          <w:rFonts w:eastAsia="Calibri"/>
          <w:sz w:val="22"/>
          <w:szCs w:val="22"/>
          <w:lang w:val="sr-Latn-ME"/>
        </w:rPr>
        <w:t xml:space="preserve">ekom </w:t>
      </w:r>
      <w:r w:rsidRPr="00B14EBB">
        <w:rPr>
          <w:sz w:val="22"/>
          <w:szCs w:val="22"/>
          <w:lang w:val="sr-Latn-ME"/>
        </w:rPr>
        <w:t>Teriflunomid Zentiva</w:t>
      </w:r>
      <w:r w:rsidRPr="00B14EBB">
        <w:rPr>
          <w:rFonts w:eastAsia="Calibri"/>
          <w:sz w:val="22"/>
          <w:szCs w:val="22"/>
          <w:lang w:val="sr-Latn-ME"/>
        </w:rPr>
        <w:t>. Potrebno je omogućiti sav</w:t>
      </w:r>
      <w:r w:rsidR="00FB7C01" w:rsidRPr="00B14EBB">
        <w:rPr>
          <w:rFonts w:eastAsia="Calibri"/>
          <w:sz w:val="22"/>
          <w:szCs w:val="22"/>
          <w:lang w:val="sr-Latn-ME"/>
        </w:rPr>
        <w:t>j</w:t>
      </w:r>
      <w:r w:rsidRPr="00B14EBB">
        <w:rPr>
          <w:rFonts w:eastAsia="Calibri"/>
          <w:sz w:val="22"/>
          <w:szCs w:val="22"/>
          <w:lang w:val="sr-Latn-ME"/>
        </w:rPr>
        <w:t>etovanje o kontracepciji i mogućim rizicima za plod za sve nove pacijentkinje koje su u reproduktivnom periodu.</w:t>
      </w:r>
      <w:r w:rsidR="003A7AAD" w:rsidRPr="00B14EBB">
        <w:rPr>
          <w:rFonts w:eastAsia="Calibri"/>
          <w:sz w:val="22"/>
          <w:szCs w:val="22"/>
          <w:lang w:val="sr-Latn-ME"/>
        </w:rPr>
        <w:t xml:space="preserve"> </w:t>
      </w:r>
      <w:r w:rsidRPr="00B14EBB">
        <w:rPr>
          <w:rFonts w:eastAsia="Calibri"/>
          <w:lang w:val="sr-Latn-ME"/>
        </w:rPr>
        <w:t>Potrebno je razmotriti upućivanje ginekologu.</w:t>
      </w:r>
    </w:p>
    <w:p w14:paraId="74CD5D14" w14:textId="390340D7" w:rsidR="00E43D38" w:rsidRPr="00B14EBB" w:rsidRDefault="00E43D38" w:rsidP="00545126">
      <w:pPr>
        <w:pStyle w:val="BodyText"/>
        <w:widowControl w:val="0"/>
        <w:jc w:val="both"/>
        <w:rPr>
          <w:sz w:val="22"/>
          <w:szCs w:val="22"/>
          <w:lang w:val="sr-Latn-ME"/>
        </w:rPr>
      </w:pPr>
      <w:r w:rsidRPr="00B14EBB">
        <w:rPr>
          <w:sz w:val="22"/>
          <w:szCs w:val="22"/>
          <w:lang w:val="sr-Latn-ME"/>
        </w:rPr>
        <w:t>Pacijentkinja se mora upozoriti da se u slučaju bilo kakvog kašnjenja menstruacije ili bilo kog drugog razloga zbog kojeg se sumnja na trudnoću mora prekinuti l</w:t>
      </w:r>
      <w:r w:rsidR="00FB7C01" w:rsidRPr="00B14EBB">
        <w:rPr>
          <w:sz w:val="22"/>
          <w:szCs w:val="22"/>
          <w:lang w:val="sr-Latn-ME"/>
        </w:rPr>
        <w:t>ij</w:t>
      </w:r>
      <w:r w:rsidRPr="00B14EBB">
        <w:rPr>
          <w:sz w:val="22"/>
          <w:szCs w:val="22"/>
          <w:lang w:val="sr-Latn-ME"/>
        </w:rPr>
        <w:t>ečenje l</w:t>
      </w:r>
      <w:r w:rsidR="00FB7C01" w:rsidRPr="00B14EBB">
        <w:rPr>
          <w:sz w:val="22"/>
          <w:szCs w:val="22"/>
          <w:lang w:val="sr-Latn-ME"/>
        </w:rPr>
        <w:t>ij</w:t>
      </w:r>
      <w:r w:rsidRPr="00B14EBB">
        <w:rPr>
          <w:sz w:val="22"/>
          <w:szCs w:val="22"/>
          <w:lang w:val="sr-Latn-ME"/>
        </w:rPr>
        <w:t>ekom Teriflunomid Zentiva i odmah obratiti l</w:t>
      </w:r>
      <w:r w:rsidR="00FB7C01" w:rsidRPr="00B14EBB">
        <w:rPr>
          <w:sz w:val="22"/>
          <w:szCs w:val="22"/>
          <w:lang w:val="sr-Latn-ME"/>
        </w:rPr>
        <w:t>j</w:t>
      </w:r>
      <w:r w:rsidRPr="00B14EBB">
        <w:rPr>
          <w:sz w:val="22"/>
          <w:szCs w:val="22"/>
          <w:lang w:val="sr-Latn-ME"/>
        </w:rPr>
        <w:t>ekaru radi testiranja na trudnoću. Ako je test na trudnoću pozitivan, l</w:t>
      </w:r>
      <w:r w:rsidR="00FB7C01" w:rsidRPr="00B14EBB">
        <w:rPr>
          <w:sz w:val="22"/>
          <w:szCs w:val="22"/>
          <w:lang w:val="sr-Latn-ME"/>
        </w:rPr>
        <w:t>j</w:t>
      </w:r>
      <w:r w:rsidRPr="00B14EBB">
        <w:rPr>
          <w:sz w:val="22"/>
          <w:szCs w:val="22"/>
          <w:lang w:val="sr-Latn-ME"/>
        </w:rPr>
        <w:t>ekar i pacijentkinja moraju razgovarati o rizicima za trudnoću. Moguće je da se brzim snižavanjem koncentracije teriflunomida u krvi prim</w:t>
      </w:r>
      <w:r w:rsidR="00FB7C01" w:rsidRPr="00B14EBB">
        <w:rPr>
          <w:sz w:val="22"/>
          <w:szCs w:val="22"/>
          <w:lang w:val="sr-Latn-ME"/>
        </w:rPr>
        <w:t>j</w:t>
      </w:r>
      <w:r w:rsidRPr="00B14EBB">
        <w:rPr>
          <w:sz w:val="22"/>
          <w:szCs w:val="22"/>
          <w:lang w:val="sr-Latn-ME"/>
        </w:rPr>
        <w:t>enom postupka ubrzane eliminacije, opisanog u nastavku teksta, pri prvom kašnjenju menstruacije može smanjiti rizik za plod.</w:t>
      </w:r>
    </w:p>
    <w:p w14:paraId="0578B0A5" w14:textId="30FCAF52" w:rsidR="00E43D38" w:rsidRPr="00B14EBB" w:rsidRDefault="00E43D38" w:rsidP="00545126">
      <w:pPr>
        <w:pStyle w:val="BodyText"/>
        <w:widowControl w:val="0"/>
        <w:jc w:val="both"/>
        <w:rPr>
          <w:sz w:val="22"/>
          <w:szCs w:val="22"/>
          <w:lang w:val="sr-Latn-ME"/>
        </w:rPr>
      </w:pPr>
      <w:r w:rsidRPr="00B14EBB">
        <w:rPr>
          <w:sz w:val="22"/>
          <w:szCs w:val="22"/>
          <w:lang w:val="sr-Latn-ME"/>
        </w:rPr>
        <w:t>Kod žena koje uzimaju teriflunomid i koje žele da zatrudne treba prekinuti prim</w:t>
      </w:r>
      <w:r w:rsidR="00FB7C01" w:rsidRPr="00B14EBB">
        <w:rPr>
          <w:sz w:val="22"/>
          <w:szCs w:val="22"/>
          <w:lang w:val="sr-Latn-ME"/>
        </w:rPr>
        <w:t>j</w:t>
      </w:r>
      <w:r w:rsidRPr="00B14EBB">
        <w:rPr>
          <w:sz w:val="22"/>
          <w:szCs w:val="22"/>
          <w:lang w:val="sr-Latn-ME"/>
        </w:rPr>
        <w:t>enu l</w:t>
      </w:r>
      <w:r w:rsidR="00FB7C01" w:rsidRPr="00B14EBB">
        <w:rPr>
          <w:sz w:val="22"/>
          <w:szCs w:val="22"/>
          <w:lang w:val="sr-Latn-ME"/>
        </w:rPr>
        <w:t>ij</w:t>
      </w:r>
      <w:r w:rsidRPr="00B14EBB">
        <w:rPr>
          <w:sz w:val="22"/>
          <w:szCs w:val="22"/>
          <w:lang w:val="sr-Latn-ME"/>
        </w:rPr>
        <w:t>eka, a preporučuje se i prim</w:t>
      </w:r>
      <w:r w:rsidR="00FB7C01" w:rsidRPr="00B14EBB">
        <w:rPr>
          <w:sz w:val="22"/>
          <w:szCs w:val="22"/>
          <w:lang w:val="sr-Latn-ME"/>
        </w:rPr>
        <w:t>j</w:t>
      </w:r>
      <w:r w:rsidRPr="00B14EBB">
        <w:rPr>
          <w:sz w:val="22"/>
          <w:szCs w:val="22"/>
          <w:lang w:val="sr-Latn-ME"/>
        </w:rPr>
        <w:t>ena postupka ubrzane eliminacije kako bi se što pr</w:t>
      </w:r>
      <w:r w:rsidR="00FB7C01" w:rsidRPr="00B14EBB">
        <w:rPr>
          <w:sz w:val="22"/>
          <w:szCs w:val="22"/>
          <w:lang w:val="sr-Latn-ME"/>
        </w:rPr>
        <w:t>ij</w:t>
      </w:r>
      <w:r w:rsidRPr="00B14EBB">
        <w:rPr>
          <w:sz w:val="22"/>
          <w:szCs w:val="22"/>
          <w:lang w:val="sr-Latn-ME"/>
        </w:rPr>
        <w:t>e postigla koncentracija manja od 0,02 mg</w:t>
      </w:r>
      <w:r w:rsidR="00545126">
        <w:rPr>
          <w:sz w:val="22"/>
          <w:szCs w:val="22"/>
          <w:lang w:val="sr-Latn-ME"/>
        </w:rPr>
        <w:t>/l</w:t>
      </w:r>
      <w:r w:rsidRPr="00B14EBB">
        <w:rPr>
          <w:sz w:val="22"/>
          <w:szCs w:val="22"/>
          <w:lang w:val="sr-Latn-ME"/>
        </w:rPr>
        <w:t xml:space="preserve"> (vid</w:t>
      </w:r>
      <w:r w:rsidR="00FB7C01" w:rsidRPr="00B14EBB">
        <w:rPr>
          <w:sz w:val="22"/>
          <w:szCs w:val="22"/>
          <w:lang w:val="sr-Latn-ME"/>
        </w:rPr>
        <w:t>j</w:t>
      </w:r>
      <w:r w:rsidRPr="00B14EBB">
        <w:rPr>
          <w:sz w:val="22"/>
          <w:szCs w:val="22"/>
          <w:lang w:val="sr-Latn-ME"/>
        </w:rPr>
        <w:t>eti u nastavku teksta).</w:t>
      </w:r>
    </w:p>
    <w:p w14:paraId="021D5E78" w14:textId="22F695C4" w:rsidR="00E43D38" w:rsidRPr="00B14EBB" w:rsidRDefault="00E43D38" w:rsidP="00545126">
      <w:pPr>
        <w:pStyle w:val="BodyText"/>
        <w:widowControl w:val="0"/>
        <w:jc w:val="both"/>
        <w:rPr>
          <w:sz w:val="22"/>
          <w:szCs w:val="22"/>
          <w:lang w:val="sr-Latn-ME"/>
        </w:rPr>
      </w:pPr>
      <w:r w:rsidRPr="00B14EBB">
        <w:rPr>
          <w:sz w:val="22"/>
          <w:szCs w:val="22"/>
          <w:lang w:val="sr-Latn-ME"/>
        </w:rPr>
        <w:t>Bez postupka ubrzane eliminacije očekuje se da će koncentracija teriflunomida u plazmi biti iznad 0,02 mg</w:t>
      </w:r>
      <w:r w:rsidR="00545126">
        <w:rPr>
          <w:sz w:val="22"/>
          <w:szCs w:val="22"/>
          <w:lang w:val="sr-Latn-ME"/>
        </w:rPr>
        <w:t>/l</w:t>
      </w:r>
      <w:r w:rsidRPr="00B14EBB">
        <w:rPr>
          <w:sz w:val="22"/>
          <w:szCs w:val="22"/>
          <w:lang w:val="sr-Latn-ME"/>
        </w:rPr>
        <w:t xml:space="preserve"> tokom pros</w:t>
      </w:r>
      <w:r w:rsidR="00FB7C01" w:rsidRPr="00B14EBB">
        <w:rPr>
          <w:sz w:val="22"/>
          <w:szCs w:val="22"/>
          <w:lang w:val="sr-Latn-ME"/>
        </w:rPr>
        <w:t>j</w:t>
      </w:r>
      <w:r w:rsidRPr="00B14EBB">
        <w:rPr>
          <w:sz w:val="22"/>
          <w:szCs w:val="22"/>
          <w:lang w:val="sr-Latn-ME"/>
        </w:rPr>
        <w:t>ečno 8 m</w:t>
      </w:r>
      <w:r w:rsidR="00FB7C01" w:rsidRPr="00B14EBB">
        <w:rPr>
          <w:sz w:val="22"/>
          <w:szCs w:val="22"/>
          <w:lang w:val="sr-Latn-ME"/>
        </w:rPr>
        <w:t>j</w:t>
      </w:r>
      <w:r w:rsidRPr="00B14EBB">
        <w:rPr>
          <w:sz w:val="22"/>
          <w:szCs w:val="22"/>
          <w:lang w:val="sr-Latn-ME"/>
        </w:rPr>
        <w:t>eseci, a kod pojedinih pacijenata može biti potrebno i do 2 godine kako bi se koncentracija l</w:t>
      </w:r>
      <w:r w:rsidR="00FB7C01" w:rsidRPr="00B14EBB">
        <w:rPr>
          <w:sz w:val="22"/>
          <w:szCs w:val="22"/>
          <w:lang w:val="sr-Latn-ME"/>
        </w:rPr>
        <w:t>ij</w:t>
      </w:r>
      <w:r w:rsidRPr="00B14EBB">
        <w:rPr>
          <w:sz w:val="22"/>
          <w:szCs w:val="22"/>
          <w:lang w:val="sr-Latn-ME"/>
        </w:rPr>
        <w:t>eka u plazmi spustila ispod 0,02 mg</w:t>
      </w:r>
      <w:r w:rsidR="00545126">
        <w:rPr>
          <w:sz w:val="22"/>
          <w:szCs w:val="22"/>
          <w:lang w:val="sr-Latn-ME"/>
        </w:rPr>
        <w:t>/l</w:t>
      </w:r>
      <w:r w:rsidRPr="00B14EBB">
        <w:rPr>
          <w:sz w:val="22"/>
          <w:szCs w:val="22"/>
          <w:lang w:val="sr-Latn-ME"/>
        </w:rPr>
        <w:t>. Zbog toga se pr</w:t>
      </w:r>
      <w:r w:rsidR="00FB7C01" w:rsidRPr="00B14EBB">
        <w:rPr>
          <w:sz w:val="22"/>
          <w:szCs w:val="22"/>
          <w:lang w:val="sr-Latn-ME"/>
        </w:rPr>
        <w:t>ij</w:t>
      </w:r>
      <w:r w:rsidRPr="00B14EBB">
        <w:rPr>
          <w:sz w:val="22"/>
          <w:szCs w:val="22"/>
          <w:lang w:val="sr-Latn-ME"/>
        </w:rPr>
        <w:t>e pokušaja začeća moraju izm</w:t>
      </w:r>
      <w:r w:rsidR="00FB7C01" w:rsidRPr="00B14EBB">
        <w:rPr>
          <w:sz w:val="22"/>
          <w:szCs w:val="22"/>
          <w:lang w:val="sr-Latn-ME"/>
        </w:rPr>
        <w:t>j</w:t>
      </w:r>
      <w:r w:rsidRPr="00B14EBB">
        <w:rPr>
          <w:sz w:val="22"/>
          <w:szCs w:val="22"/>
          <w:lang w:val="sr-Latn-ME"/>
        </w:rPr>
        <w:t>eriti koncentracije teriflunomida u plazmi. Kada izm</w:t>
      </w:r>
      <w:r w:rsidR="00FB7C01" w:rsidRPr="00B14EBB">
        <w:rPr>
          <w:sz w:val="22"/>
          <w:szCs w:val="22"/>
          <w:lang w:val="sr-Latn-ME"/>
        </w:rPr>
        <w:t>j</w:t>
      </w:r>
      <w:r w:rsidRPr="00B14EBB">
        <w:rPr>
          <w:sz w:val="22"/>
          <w:szCs w:val="22"/>
          <w:lang w:val="sr-Latn-ME"/>
        </w:rPr>
        <w:t>erena koncentracija teriflunomida u plazmi bude manja od 0,02 mg</w:t>
      </w:r>
      <w:r w:rsidR="00545126">
        <w:rPr>
          <w:sz w:val="22"/>
          <w:szCs w:val="22"/>
          <w:lang w:val="sr-Latn-ME"/>
        </w:rPr>
        <w:t>/l</w:t>
      </w:r>
      <w:r w:rsidRPr="00B14EBB">
        <w:rPr>
          <w:sz w:val="22"/>
          <w:szCs w:val="22"/>
          <w:lang w:val="sr-Latn-ME"/>
        </w:rPr>
        <w:t>, koncentracija u plazmi se mora ponovo izm</w:t>
      </w:r>
      <w:r w:rsidR="00FB7C01" w:rsidRPr="00B14EBB">
        <w:rPr>
          <w:sz w:val="22"/>
          <w:szCs w:val="22"/>
          <w:lang w:val="sr-Latn-ME"/>
        </w:rPr>
        <w:t>j</w:t>
      </w:r>
      <w:r w:rsidRPr="00B14EBB">
        <w:rPr>
          <w:sz w:val="22"/>
          <w:szCs w:val="22"/>
          <w:lang w:val="sr-Latn-ME"/>
        </w:rPr>
        <w:t>eriti nakon perioda od najmanje 14 dana. Ako su ob</w:t>
      </w:r>
      <w:r w:rsidR="00FB7C01" w:rsidRPr="00B14EBB">
        <w:rPr>
          <w:sz w:val="22"/>
          <w:szCs w:val="22"/>
          <w:lang w:val="sr-Latn-ME"/>
        </w:rPr>
        <w:t>j</w:t>
      </w:r>
      <w:r w:rsidRPr="00B14EBB">
        <w:rPr>
          <w:sz w:val="22"/>
          <w:szCs w:val="22"/>
          <w:lang w:val="sr-Latn-ME"/>
        </w:rPr>
        <w:t>e izm</w:t>
      </w:r>
      <w:r w:rsidR="00FB7C01" w:rsidRPr="00B14EBB">
        <w:rPr>
          <w:sz w:val="22"/>
          <w:szCs w:val="22"/>
          <w:lang w:val="sr-Latn-ME"/>
        </w:rPr>
        <w:t>j</w:t>
      </w:r>
      <w:r w:rsidRPr="00B14EBB">
        <w:rPr>
          <w:sz w:val="22"/>
          <w:szCs w:val="22"/>
          <w:lang w:val="sr-Latn-ME"/>
        </w:rPr>
        <w:t>erene koncentracije u plazmi ispod 0,02 mg</w:t>
      </w:r>
      <w:r w:rsidR="00545126">
        <w:rPr>
          <w:sz w:val="22"/>
          <w:szCs w:val="22"/>
          <w:lang w:val="sr-Latn-ME"/>
        </w:rPr>
        <w:t>/l</w:t>
      </w:r>
      <w:r w:rsidRPr="00B14EBB">
        <w:rPr>
          <w:sz w:val="22"/>
          <w:szCs w:val="22"/>
          <w:lang w:val="sr-Latn-ME"/>
        </w:rPr>
        <w:t>, ne očekuje se rizik za plod.</w:t>
      </w:r>
    </w:p>
    <w:p w14:paraId="2863A896" w14:textId="58A3A3B4" w:rsidR="00E04DEF" w:rsidRPr="00B14EBB" w:rsidRDefault="00E04DEF" w:rsidP="00545126">
      <w:pPr>
        <w:pStyle w:val="BodyText"/>
        <w:widowControl w:val="0"/>
        <w:jc w:val="both"/>
        <w:rPr>
          <w:sz w:val="22"/>
          <w:szCs w:val="22"/>
          <w:lang w:val="sr-Latn-ME"/>
        </w:rPr>
      </w:pPr>
      <w:r w:rsidRPr="00B14EBB">
        <w:rPr>
          <w:sz w:val="22"/>
          <w:szCs w:val="22"/>
          <w:lang w:val="sr-Latn-ME"/>
        </w:rPr>
        <w:t xml:space="preserve">Za više informacija o testiranju uzoraka, molimo Vas </w:t>
      </w:r>
      <w:r w:rsidR="00B14EBB">
        <w:rPr>
          <w:sz w:val="22"/>
          <w:szCs w:val="22"/>
          <w:lang w:val="sr-Latn-ME"/>
        </w:rPr>
        <w:t>da se obratite</w:t>
      </w:r>
      <w:r w:rsidR="00B14EBB" w:rsidRPr="00B14EBB">
        <w:rPr>
          <w:sz w:val="22"/>
          <w:szCs w:val="22"/>
          <w:lang w:val="sr-Latn-ME"/>
        </w:rPr>
        <w:t xml:space="preserve"> </w:t>
      </w:r>
      <w:r w:rsidRPr="00B14EBB">
        <w:rPr>
          <w:sz w:val="22"/>
          <w:szCs w:val="22"/>
          <w:lang w:val="sr-Latn-ME"/>
        </w:rPr>
        <w:t>nosioc</w:t>
      </w:r>
      <w:r w:rsidR="00B14EBB">
        <w:rPr>
          <w:sz w:val="22"/>
          <w:szCs w:val="22"/>
          <w:lang w:val="sr-Latn-ME"/>
        </w:rPr>
        <w:t>u</w:t>
      </w:r>
      <w:r w:rsidRPr="00B14EBB">
        <w:rPr>
          <w:sz w:val="22"/>
          <w:szCs w:val="22"/>
          <w:lang w:val="sr-Latn-ME"/>
        </w:rPr>
        <w:t xml:space="preserve"> dozvole za</w:t>
      </w:r>
      <w:r w:rsidR="00B14EBB">
        <w:rPr>
          <w:sz w:val="22"/>
          <w:szCs w:val="22"/>
          <w:lang w:val="sr-Latn-ME"/>
        </w:rPr>
        <w:t xml:space="preserve"> stavljanje</w:t>
      </w:r>
      <w:r w:rsidRPr="00B14EBB">
        <w:rPr>
          <w:sz w:val="22"/>
          <w:szCs w:val="22"/>
          <w:lang w:val="sr-Latn-ME"/>
        </w:rPr>
        <w:t xml:space="preserve"> lijek</w:t>
      </w:r>
      <w:r w:rsidR="00B14EBB">
        <w:rPr>
          <w:sz w:val="22"/>
          <w:szCs w:val="22"/>
          <w:lang w:val="sr-Latn-ME"/>
        </w:rPr>
        <w:t>a u promet</w:t>
      </w:r>
      <w:r w:rsidRPr="00B14EBB">
        <w:rPr>
          <w:sz w:val="22"/>
          <w:szCs w:val="22"/>
          <w:lang w:val="sr-Latn-ME"/>
        </w:rPr>
        <w:t xml:space="preserve"> ili njegovo</w:t>
      </w:r>
      <w:r w:rsidR="00B14EBB">
        <w:rPr>
          <w:sz w:val="22"/>
          <w:szCs w:val="22"/>
          <w:lang w:val="sr-Latn-ME"/>
        </w:rPr>
        <w:t>m</w:t>
      </w:r>
      <w:r w:rsidRPr="00B14EBB">
        <w:rPr>
          <w:sz w:val="22"/>
          <w:szCs w:val="22"/>
          <w:lang w:val="sr-Latn-ME"/>
        </w:rPr>
        <w:t xml:space="preserve"> lokalno</w:t>
      </w:r>
      <w:r w:rsidR="00B14EBB">
        <w:rPr>
          <w:sz w:val="22"/>
          <w:szCs w:val="22"/>
          <w:lang w:val="sr-Latn-ME"/>
        </w:rPr>
        <w:t>m</w:t>
      </w:r>
      <w:r w:rsidRPr="00B14EBB">
        <w:rPr>
          <w:sz w:val="22"/>
          <w:szCs w:val="22"/>
          <w:lang w:val="sr-Latn-ME"/>
        </w:rPr>
        <w:t xml:space="preserve"> predstavnik</w:t>
      </w:r>
      <w:r w:rsidR="00B14EBB">
        <w:rPr>
          <w:sz w:val="22"/>
          <w:szCs w:val="22"/>
          <w:lang w:val="sr-Latn-ME"/>
        </w:rPr>
        <w:t>u</w:t>
      </w:r>
      <w:r w:rsidRPr="00B14EBB">
        <w:rPr>
          <w:sz w:val="22"/>
          <w:szCs w:val="22"/>
          <w:lang w:val="sr-Latn-ME"/>
        </w:rPr>
        <w:t xml:space="preserve"> (</w:t>
      </w:r>
      <w:r w:rsidR="00C633C5" w:rsidRPr="00B14EBB">
        <w:rPr>
          <w:sz w:val="22"/>
          <w:szCs w:val="22"/>
          <w:lang w:val="sr-Latn-ME"/>
        </w:rPr>
        <w:t>vidjeti</w:t>
      </w:r>
      <w:r w:rsidRPr="00B14EBB">
        <w:rPr>
          <w:sz w:val="22"/>
          <w:szCs w:val="22"/>
          <w:lang w:val="sr-Latn-ME"/>
        </w:rPr>
        <w:t xml:space="preserve"> dio 7).</w:t>
      </w:r>
    </w:p>
    <w:p w14:paraId="3BBDE1BC" w14:textId="77777777" w:rsidR="00E43D38" w:rsidRPr="00B14EBB" w:rsidRDefault="00E43D38" w:rsidP="00545126">
      <w:pPr>
        <w:pStyle w:val="Header"/>
        <w:widowControl w:val="0"/>
        <w:tabs>
          <w:tab w:val="left" w:pos="284"/>
        </w:tabs>
        <w:jc w:val="both"/>
        <w:rPr>
          <w:i/>
          <w:sz w:val="22"/>
          <w:szCs w:val="22"/>
          <w:lang w:val="sr-Latn-ME"/>
        </w:rPr>
      </w:pPr>
      <w:r w:rsidRPr="00B14EBB">
        <w:rPr>
          <w:i/>
          <w:sz w:val="22"/>
          <w:szCs w:val="22"/>
          <w:lang w:val="sr-Latn-ME"/>
        </w:rPr>
        <w:t>Postupak ubrzane eliminacije</w:t>
      </w:r>
    </w:p>
    <w:p w14:paraId="7E89AF5B" w14:textId="359F9C6B"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Nakon prekida l</w:t>
      </w:r>
      <w:r w:rsidR="00FB7C01" w:rsidRPr="00B14EBB">
        <w:rPr>
          <w:sz w:val="22"/>
          <w:szCs w:val="22"/>
          <w:lang w:val="sr-Latn-ME"/>
        </w:rPr>
        <w:t>ij</w:t>
      </w:r>
      <w:r w:rsidRPr="00B14EBB">
        <w:rPr>
          <w:sz w:val="22"/>
          <w:szCs w:val="22"/>
          <w:lang w:val="sr-Latn-ME"/>
        </w:rPr>
        <w:t>ečenja teriflunomidom:</w:t>
      </w:r>
    </w:p>
    <w:p w14:paraId="03192089" w14:textId="0E995CDE" w:rsidR="00E43D38" w:rsidRPr="00B14EBB" w:rsidRDefault="00E43D38" w:rsidP="00545126">
      <w:pPr>
        <w:pStyle w:val="Header"/>
        <w:widowControl w:val="0"/>
        <w:numPr>
          <w:ilvl w:val="0"/>
          <w:numId w:val="13"/>
        </w:numPr>
        <w:tabs>
          <w:tab w:val="clear" w:pos="4320"/>
          <w:tab w:val="clear" w:pos="8640"/>
          <w:tab w:val="left" w:pos="284"/>
          <w:tab w:val="center" w:pos="709"/>
          <w:tab w:val="right" w:pos="9072"/>
        </w:tabs>
        <w:jc w:val="both"/>
        <w:rPr>
          <w:sz w:val="22"/>
          <w:szCs w:val="22"/>
          <w:lang w:val="sr-Latn-ME"/>
        </w:rPr>
      </w:pPr>
      <w:r w:rsidRPr="00B14EBB">
        <w:rPr>
          <w:sz w:val="22"/>
          <w:szCs w:val="22"/>
          <w:lang w:val="sr-Latn-ME"/>
        </w:rPr>
        <w:t>može se prim</w:t>
      </w:r>
      <w:r w:rsidR="00FB7C01" w:rsidRPr="00B14EBB">
        <w:rPr>
          <w:sz w:val="22"/>
          <w:szCs w:val="22"/>
          <w:lang w:val="sr-Latn-ME"/>
        </w:rPr>
        <w:t>ij</w:t>
      </w:r>
      <w:r w:rsidRPr="00B14EBB">
        <w:rPr>
          <w:sz w:val="22"/>
          <w:szCs w:val="22"/>
          <w:lang w:val="sr-Latn-ME"/>
        </w:rPr>
        <w:t>eniti holestiramin u dozi od 8 g tri puta na dan tokom 11 dana ili holestiramin u dozi od 4 g tri puta na dan, ako se holestiramin u dozi od 8 g tri puta na dan ne podnosi dobro</w:t>
      </w:r>
    </w:p>
    <w:p w14:paraId="7601DF97" w14:textId="2C8C6793" w:rsidR="00E43D38" w:rsidRPr="00B14EBB" w:rsidRDefault="00E43D38" w:rsidP="00545126">
      <w:pPr>
        <w:pStyle w:val="Header"/>
        <w:widowControl w:val="0"/>
        <w:numPr>
          <w:ilvl w:val="0"/>
          <w:numId w:val="13"/>
        </w:numPr>
        <w:tabs>
          <w:tab w:val="clear" w:pos="4320"/>
          <w:tab w:val="clear" w:pos="8640"/>
          <w:tab w:val="left" w:pos="709"/>
          <w:tab w:val="right" w:pos="9072"/>
        </w:tabs>
        <w:jc w:val="both"/>
        <w:rPr>
          <w:sz w:val="22"/>
          <w:szCs w:val="22"/>
          <w:lang w:val="sr-Latn-ME"/>
        </w:rPr>
      </w:pPr>
      <w:r w:rsidRPr="00B14EBB">
        <w:rPr>
          <w:sz w:val="22"/>
          <w:szCs w:val="22"/>
          <w:lang w:val="sr-Latn-ME"/>
        </w:rPr>
        <w:t>alternativno se prim</w:t>
      </w:r>
      <w:r w:rsidR="00FB7C01" w:rsidRPr="00B14EBB">
        <w:rPr>
          <w:sz w:val="22"/>
          <w:szCs w:val="22"/>
          <w:lang w:val="sr-Latn-ME"/>
        </w:rPr>
        <w:t>j</w:t>
      </w:r>
      <w:r w:rsidRPr="00B14EBB">
        <w:rPr>
          <w:sz w:val="22"/>
          <w:szCs w:val="22"/>
          <w:lang w:val="sr-Latn-ME"/>
        </w:rPr>
        <w:t>enjuje 50 g aktivnog uglja u prahu svakih 12 sati tokom 11 dana</w:t>
      </w:r>
    </w:p>
    <w:p w14:paraId="40EB8A0F" w14:textId="6771956F"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Međutim, posl</w:t>
      </w:r>
      <w:r w:rsidR="00B31671" w:rsidRPr="00B14EBB">
        <w:rPr>
          <w:sz w:val="22"/>
          <w:szCs w:val="22"/>
          <w:lang w:val="sr-Latn-ME"/>
        </w:rPr>
        <w:t>ij</w:t>
      </w:r>
      <w:r w:rsidRPr="00B14EBB">
        <w:rPr>
          <w:sz w:val="22"/>
          <w:szCs w:val="22"/>
          <w:lang w:val="sr-Latn-ME"/>
        </w:rPr>
        <w:t>e bilo kog od navedena dva postupka ubrzane eliminacije rezultate takođe treba prov</w:t>
      </w:r>
      <w:r w:rsidR="00FB7C01" w:rsidRPr="00B14EBB">
        <w:rPr>
          <w:sz w:val="22"/>
          <w:szCs w:val="22"/>
          <w:lang w:val="sr-Latn-ME"/>
        </w:rPr>
        <w:t>j</w:t>
      </w:r>
      <w:r w:rsidRPr="00B14EBB">
        <w:rPr>
          <w:sz w:val="22"/>
          <w:szCs w:val="22"/>
          <w:lang w:val="sr-Latn-ME"/>
        </w:rPr>
        <w:t>eriti sa dv</w:t>
      </w:r>
      <w:r w:rsidR="00FB7C01" w:rsidRPr="00B14EBB">
        <w:rPr>
          <w:sz w:val="22"/>
          <w:szCs w:val="22"/>
          <w:lang w:val="sr-Latn-ME"/>
        </w:rPr>
        <w:t>ij</w:t>
      </w:r>
      <w:r w:rsidRPr="00B14EBB">
        <w:rPr>
          <w:sz w:val="22"/>
          <w:szCs w:val="22"/>
          <w:lang w:val="sr-Latn-ME"/>
        </w:rPr>
        <w:t xml:space="preserve">e posebne analize u razmaku od najmanje 14 dana pa zatim sačekati najmanje 1,5 </w:t>
      </w:r>
      <w:r w:rsidRPr="00B14EBB">
        <w:rPr>
          <w:sz w:val="22"/>
          <w:szCs w:val="22"/>
          <w:lang w:val="sr-Latn-ME"/>
        </w:rPr>
        <w:lastRenderedPageBreak/>
        <w:t>m</w:t>
      </w:r>
      <w:r w:rsidR="00FB7C01" w:rsidRPr="00B14EBB">
        <w:rPr>
          <w:sz w:val="22"/>
          <w:szCs w:val="22"/>
          <w:lang w:val="sr-Latn-ME"/>
        </w:rPr>
        <w:t>j</w:t>
      </w:r>
      <w:r w:rsidRPr="00B14EBB">
        <w:rPr>
          <w:sz w:val="22"/>
          <w:szCs w:val="22"/>
          <w:lang w:val="sr-Latn-ME"/>
        </w:rPr>
        <w:t>eseci od prve pojave koncentracije u plazmi ispod 0,02 mg</w:t>
      </w:r>
      <w:r w:rsidR="00545126">
        <w:rPr>
          <w:sz w:val="22"/>
          <w:szCs w:val="22"/>
          <w:lang w:val="sr-Latn-ME"/>
        </w:rPr>
        <w:t>/l</w:t>
      </w:r>
      <w:r w:rsidRPr="00B14EBB">
        <w:rPr>
          <w:sz w:val="22"/>
          <w:szCs w:val="22"/>
          <w:lang w:val="sr-Latn-ME"/>
        </w:rPr>
        <w:t xml:space="preserve"> do začeća.</w:t>
      </w:r>
    </w:p>
    <w:p w14:paraId="271C4914" w14:textId="393D61F1"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I holestiramin i aktivni ugalj u prahu mogu uticati na apsorpciju estrogena i progesterona pa se ne može garantovati pouzdana zaštita od trudnoće prim</w:t>
      </w:r>
      <w:r w:rsidR="00FB7C01" w:rsidRPr="00B14EBB">
        <w:rPr>
          <w:sz w:val="22"/>
          <w:szCs w:val="22"/>
          <w:lang w:val="sr-Latn-ME"/>
        </w:rPr>
        <w:t>j</w:t>
      </w:r>
      <w:r w:rsidRPr="00B14EBB">
        <w:rPr>
          <w:sz w:val="22"/>
          <w:szCs w:val="22"/>
          <w:lang w:val="sr-Latn-ME"/>
        </w:rPr>
        <w:t>enom oralnih kontraceptiva tokom postupka ubrzane eliminacije holestiraminom ili aktivnom ugljem u prahu. Preporučuje se prim</w:t>
      </w:r>
      <w:r w:rsidR="00FB7C01" w:rsidRPr="00B14EBB">
        <w:rPr>
          <w:sz w:val="22"/>
          <w:szCs w:val="22"/>
          <w:lang w:val="sr-Latn-ME"/>
        </w:rPr>
        <w:t>j</w:t>
      </w:r>
      <w:r w:rsidRPr="00B14EBB">
        <w:rPr>
          <w:sz w:val="22"/>
          <w:szCs w:val="22"/>
          <w:lang w:val="sr-Latn-ME"/>
        </w:rPr>
        <w:t>ena alternativnih kontracepcijskih metoda.</w:t>
      </w:r>
    </w:p>
    <w:p w14:paraId="640C2133" w14:textId="77777777" w:rsidR="00E43D38" w:rsidRPr="00B14EBB" w:rsidRDefault="00E43D38" w:rsidP="00545126">
      <w:pPr>
        <w:widowControl w:val="0"/>
        <w:tabs>
          <w:tab w:val="left" w:pos="540"/>
          <w:tab w:val="left" w:pos="569"/>
        </w:tabs>
        <w:jc w:val="both"/>
        <w:rPr>
          <w:sz w:val="22"/>
          <w:szCs w:val="22"/>
          <w:u w:val="single"/>
          <w:lang w:val="sr-Latn-ME"/>
        </w:rPr>
      </w:pPr>
    </w:p>
    <w:p w14:paraId="500F5916" w14:textId="77777777" w:rsidR="0072020E" w:rsidRPr="00B14EBB" w:rsidRDefault="007A3ECB" w:rsidP="00545126">
      <w:pPr>
        <w:widowControl w:val="0"/>
        <w:tabs>
          <w:tab w:val="left" w:pos="540"/>
          <w:tab w:val="left" w:pos="569"/>
        </w:tabs>
        <w:jc w:val="both"/>
        <w:rPr>
          <w:b/>
          <w:bCs/>
          <w:sz w:val="22"/>
          <w:szCs w:val="22"/>
          <w:lang w:val="sr-Latn-ME"/>
        </w:rPr>
      </w:pPr>
      <w:r w:rsidRPr="00B14EBB">
        <w:rPr>
          <w:sz w:val="22"/>
          <w:szCs w:val="22"/>
          <w:u w:val="single"/>
          <w:lang w:val="sr-Latn-ME"/>
        </w:rPr>
        <w:t xml:space="preserve">Dojenje </w:t>
      </w:r>
    </w:p>
    <w:p w14:paraId="5989EF8B" w14:textId="399B4450"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Ispitivanja na životinjama su pokazala da se teriflunomid izlučuje u majčino ml</w:t>
      </w:r>
      <w:r w:rsidR="00FB7C01" w:rsidRPr="00B14EBB">
        <w:rPr>
          <w:sz w:val="22"/>
          <w:szCs w:val="22"/>
          <w:lang w:val="sr-Latn-ME"/>
        </w:rPr>
        <w:t>ij</w:t>
      </w:r>
      <w:r w:rsidRPr="00B14EBB">
        <w:rPr>
          <w:sz w:val="22"/>
          <w:szCs w:val="22"/>
          <w:lang w:val="sr-Latn-ME"/>
        </w:rPr>
        <w:t>eko. Zbog toga dojilje ne sm</w:t>
      </w:r>
      <w:r w:rsidR="00FB7C01" w:rsidRPr="00B14EBB">
        <w:rPr>
          <w:sz w:val="22"/>
          <w:szCs w:val="22"/>
          <w:lang w:val="sr-Latn-ME"/>
        </w:rPr>
        <w:t>i</w:t>
      </w:r>
      <w:r w:rsidRPr="00B14EBB">
        <w:rPr>
          <w:sz w:val="22"/>
          <w:szCs w:val="22"/>
          <w:lang w:val="sr-Latn-ME"/>
        </w:rPr>
        <w:t>ju prim</w:t>
      </w:r>
      <w:r w:rsidR="00FB7C01" w:rsidRPr="00B14EBB">
        <w:rPr>
          <w:sz w:val="22"/>
          <w:szCs w:val="22"/>
          <w:lang w:val="sr-Latn-ME"/>
        </w:rPr>
        <w:t>j</w:t>
      </w:r>
      <w:r w:rsidRPr="00B14EBB">
        <w:rPr>
          <w:sz w:val="22"/>
          <w:szCs w:val="22"/>
          <w:lang w:val="sr-Latn-ME"/>
        </w:rPr>
        <w:t>enjivati teriflunomid (vid</w:t>
      </w:r>
      <w:r w:rsidR="00FB7C01" w:rsidRPr="00B14EBB">
        <w:rPr>
          <w:sz w:val="22"/>
          <w:szCs w:val="22"/>
          <w:lang w:val="sr-Latn-ME"/>
        </w:rPr>
        <w:t>j</w:t>
      </w:r>
      <w:r w:rsidRPr="00B14EBB">
        <w:rPr>
          <w:sz w:val="22"/>
          <w:szCs w:val="22"/>
          <w:lang w:val="sr-Latn-ME"/>
        </w:rPr>
        <w:t xml:space="preserve">eti </w:t>
      </w:r>
      <w:r w:rsidR="003A7AAD" w:rsidRPr="00B14EBB">
        <w:rPr>
          <w:sz w:val="22"/>
          <w:szCs w:val="22"/>
          <w:lang w:val="sr-Latn-ME"/>
        </w:rPr>
        <w:t>dio</w:t>
      </w:r>
      <w:r w:rsidRPr="00B14EBB">
        <w:rPr>
          <w:sz w:val="22"/>
          <w:szCs w:val="22"/>
          <w:lang w:val="sr-Latn-ME"/>
        </w:rPr>
        <w:t xml:space="preserve"> 4.3).</w:t>
      </w:r>
    </w:p>
    <w:p w14:paraId="7F95C480" w14:textId="77777777" w:rsidR="00D3050B" w:rsidRPr="00B14EBB" w:rsidRDefault="00D3050B" w:rsidP="00545126">
      <w:pPr>
        <w:widowControl w:val="0"/>
        <w:tabs>
          <w:tab w:val="left" w:pos="540"/>
          <w:tab w:val="left" w:pos="569"/>
        </w:tabs>
        <w:jc w:val="both"/>
        <w:rPr>
          <w:sz w:val="22"/>
          <w:szCs w:val="22"/>
          <w:u w:val="single"/>
          <w:lang w:val="sr-Latn-ME"/>
        </w:rPr>
      </w:pPr>
    </w:p>
    <w:p w14:paraId="107FBE4A" w14:textId="360882FC" w:rsidR="00D3050B" w:rsidRPr="00B14EBB" w:rsidRDefault="00D3050B" w:rsidP="00545126">
      <w:pPr>
        <w:widowControl w:val="0"/>
        <w:tabs>
          <w:tab w:val="left" w:pos="540"/>
          <w:tab w:val="left" w:pos="569"/>
        </w:tabs>
        <w:jc w:val="both"/>
        <w:rPr>
          <w:sz w:val="22"/>
          <w:szCs w:val="22"/>
          <w:u w:val="single"/>
          <w:lang w:val="sr-Latn-ME"/>
        </w:rPr>
      </w:pPr>
      <w:r w:rsidRPr="00B14EBB">
        <w:rPr>
          <w:sz w:val="22"/>
          <w:szCs w:val="22"/>
          <w:u w:val="single"/>
          <w:lang w:val="sr-Latn-ME"/>
        </w:rPr>
        <w:t>Plodnost</w:t>
      </w:r>
    </w:p>
    <w:p w14:paraId="0FB3C785" w14:textId="77777777" w:rsidR="00D3050B" w:rsidRPr="00B14EBB" w:rsidRDefault="00D3050B" w:rsidP="00545126">
      <w:pPr>
        <w:pStyle w:val="Header"/>
        <w:widowControl w:val="0"/>
        <w:tabs>
          <w:tab w:val="left" w:pos="284"/>
          <w:tab w:val="right" w:pos="9972"/>
        </w:tabs>
        <w:jc w:val="both"/>
        <w:rPr>
          <w:sz w:val="22"/>
          <w:szCs w:val="22"/>
          <w:lang w:val="sr-Latn-ME"/>
        </w:rPr>
      </w:pPr>
      <w:r w:rsidRPr="00B14EBB">
        <w:rPr>
          <w:sz w:val="22"/>
          <w:szCs w:val="22"/>
          <w:lang w:val="sr-Latn-ME"/>
        </w:rPr>
        <w:t>Rezultati ispitivanja na životinjama nisu pokazali uticaj na plodnost (vidjeti dio 5.3). Iako nema dovoljno podataka koji se odnose na ljude, ne očekuje se dejstvo na plodnost kod muškaraca i žena.</w:t>
      </w:r>
    </w:p>
    <w:p w14:paraId="500F5917" w14:textId="77777777" w:rsidR="00227BDB" w:rsidRPr="00B14EBB" w:rsidRDefault="00227BDB" w:rsidP="00545126">
      <w:pPr>
        <w:widowControl w:val="0"/>
        <w:tabs>
          <w:tab w:val="left" w:pos="540"/>
          <w:tab w:val="left" w:pos="569"/>
        </w:tabs>
        <w:ind w:left="540" w:hanging="540"/>
        <w:jc w:val="both"/>
        <w:rPr>
          <w:b/>
          <w:bCs/>
          <w:sz w:val="22"/>
          <w:szCs w:val="22"/>
          <w:lang w:val="sr-Latn-ME"/>
        </w:rPr>
      </w:pPr>
    </w:p>
    <w:p w14:paraId="500F5918" w14:textId="77777777" w:rsidR="0072020E" w:rsidRPr="00B14EBB" w:rsidRDefault="0072020E" w:rsidP="00545126">
      <w:pPr>
        <w:widowControl w:val="0"/>
        <w:tabs>
          <w:tab w:val="left" w:pos="540"/>
          <w:tab w:val="left" w:pos="569"/>
        </w:tabs>
        <w:ind w:left="540" w:hanging="540"/>
        <w:jc w:val="both"/>
        <w:rPr>
          <w:b/>
          <w:bCs/>
          <w:sz w:val="22"/>
          <w:szCs w:val="22"/>
          <w:lang w:val="sr-Latn-ME"/>
        </w:rPr>
      </w:pPr>
      <w:r w:rsidRPr="00B14EBB">
        <w:rPr>
          <w:b/>
          <w:bCs/>
          <w:sz w:val="22"/>
          <w:szCs w:val="22"/>
          <w:lang w:val="sr-Latn-ME"/>
        </w:rPr>
        <w:t xml:space="preserve">4.7. </w:t>
      </w:r>
      <w:r w:rsidR="00480FB1" w:rsidRPr="00B14EBB">
        <w:rPr>
          <w:b/>
          <w:bCs/>
          <w:sz w:val="22"/>
          <w:szCs w:val="22"/>
          <w:lang w:val="sr-Latn-ME"/>
        </w:rPr>
        <w:tab/>
      </w:r>
      <w:r w:rsidRPr="00B14EBB">
        <w:rPr>
          <w:b/>
          <w:bCs/>
          <w:sz w:val="22"/>
          <w:szCs w:val="22"/>
          <w:lang w:val="sr-Latn-ME"/>
        </w:rPr>
        <w:t xml:space="preserve">Uticaj na </w:t>
      </w:r>
      <w:r w:rsidR="002031B3" w:rsidRPr="00B14EBB">
        <w:rPr>
          <w:b/>
          <w:bCs/>
          <w:sz w:val="22"/>
          <w:szCs w:val="22"/>
          <w:lang w:val="sr-Latn-ME"/>
        </w:rPr>
        <w:t xml:space="preserve">sposobnost </w:t>
      </w:r>
      <w:r w:rsidR="00F34554" w:rsidRPr="00B14EBB">
        <w:rPr>
          <w:b/>
          <w:bCs/>
          <w:sz w:val="22"/>
          <w:szCs w:val="22"/>
          <w:lang w:val="sr-Latn-ME"/>
        </w:rPr>
        <w:t>upravljanja vozili</w:t>
      </w:r>
      <w:r w:rsidRPr="00B14EBB">
        <w:rPr>
          <w:b/>
          <w:bCs/>
          <w:sz w:val="22"/>
          <w:szCs w:val="22"/>
          <w:lang w:val="sr-Latn-ME"/>
        </w:rPr>
        <w:t>m</w:t>
      </w:r>
      <w:r w:rsidR="00F34554" w:rsidRPr="00B14EBB">
        <w:rPr>
          <w:b/>
          <w:bCs/>
          <w:sz w:val="22"/>
          <w:szCs w:val="22"/>
          <w:lang w:val="sr-Latn-ME"/>
        </w:rPr>
        <w:t>a</w:t>
      </w:r>
      <w:r w:rsidRPr="00B14EBB">
        <w:rPr>
          <w:b/>
          <w:bCs/>
          <w:sz w:val="22"/>
          <w:szCs w:val="22"/>
          <w:lang w:val="sr-Latn-ME"/>
        </w:rPr>
        <w:t xml:space="preserve"> i </w:t>
      </w:r>
      <w:r w:rsidR="000D3449" w:rsidRPr="00B14EBB">
        <w:rPr>
          <w:b/>
          <w:bCs/>
          <w:sz w:val="22"/>
          <w:szCs w:val="22"/>
          <w:lang w:val="sr-Latn-ME"/>
        </w:rPr>
        <w:t xml:space="preserve">rukovanje </w:t>
      </w:r>
      <w:r w:rsidRPr="00B14EBB">
        <w:rPr>
          <w:b/>
          <w:bCs/>
          <w:sz w:val="22"/>
          <w:szCs w:val="22"/>
          <w:lang w:val="sr-Latn-ME"/>
        </w:rPr>
        <w:t>mašinama</w:t>
      </w:r>
    </w:p>
    <w:p w14:paraId="1D6463AB" w14:textId="77777777" w:rsidR="00545126" w:rsidRDefault="00545126" w:rsidP="00545126">
      <w:pPr>
        <w:widowControl w:val="0"/>
        <w:autoSpaceDE w:val="0"/>
        <w:autoSpaceDN w:val="0"/>
        <w:adjustRightInd w:val="0"/>
        <w:jc w:val="both"/>
        <w:rPr>
          <w:sz w:val="22"/>
          <w:szCs w:val="22"/>
          <w:lang w:val="sr-Latn-ME" w:eastAsia="sr-Latn-CS"/>
        </w:rPr>
      </w:pPr>
    </w:p>
    <w:p w14:paraId="2CA92A9D" w14:textId="102CAFE3"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L</w:t>
      </w:r>
      <w:r w:rsidR="00E24715" w:rsidRPr="00B14EBB">
        <w:rPr>
          <w:sz w:val="22"/>
          <w:szCs w:val="22"/>
          <w:lang w:val="sr-Latn-ME" w:eastAsia="sr-Latn-CS"/>
        </w:rPr>
        <w:t>ij</w:t>
      </w:r>
      <w:r w:rsidRPr="00B14EBB">
        <w:rPr>
          <w:sz w:val="22"/>
          <w:szCs w:val="22"/>
          <w:lang w:val="sr-Latn-ME" w:eastAsia="sr-Latn-CS"/>
        </w:rPr>
        <w:t>ek Teriflunomid Zentiva ne utiče ili zanemarivo utiče na sposobnosti prilikom upravljanja vozilima i rukovanja mašinama.</w:t>
      </w:r>
    </w:p>
    <w:p w14:paraId="500F5919" w14:textId="4B27854B" w:rsidR="0072020E" w:rsidRPr="00B14EBB" w:rsidRDefault="00E43D38" w:rsidP="00545126">
      <w:pPr>
        <w:pStyle w:val="BodyText"/>
        <w:widowControl w:val="0"/>
        <w:jc w:val="both"/>
        <w:rPr>
          <w:sz w:val="22"/>
          <w:szCs w:val="22"/>
          <w:lang w:val="sr-Latn-ME"/>
        </w:rPr>
      </w:pPr>
      <w:r w:rsidRPr="00B14EBB">
        <w:rPr>
          <w:sz w:val="22"/>
          <w:szCs w:val="22"/>
          <w:lang w:val="sr-Latn-ME"/>
        </w:rPr>
        <w:t>U slučaju pojave neželjenih dejstava poput vrtoglavice, koja je prim</w:t>
      </w:r>
      <w:r w:rsidR="00E24715" w:rsidRPr="00B14EBB">
        <w:rPr>
          <w:sz w:val="22"/>
          <w:szCs w:val="22"/>
          <w:lang w:val="sr-Latn-ME"/>
        </w:rPr>
        <w:t>ij</w:t>
      </w:r>
      <w:r w:rsidRPr="00B14EBB">
        <w:rPr>
          <w:sz w:val="22"/>
          <w:szCs w:val="22"/>
          <w:lang w:val="sr-Latn-ME"/>
        </w:rPr>
        <w:t>ećena kod prim</w:t>
      </w:r>
      <w:r w:rsidR="00E24715" w:rsidRPr="00B14EBB">
        <w:rPr>
          <w:sz w:val="22"/>
          <w:szCs w:val="22"/>
          <w:lang w:val="sr-Latn-ME"/>
        </w:rPr>
        <w:t>j</w:t>
      </w:r>
      <w:r w:rsidRPr="00B14EBB">
        <w:rPr>
          <w:sz w:val="22"/>
          <w:szCs w:val="22"/>
          <w:lang w:val="sr-Latn-ME"/>
        </w:rPr>
        <w:t>ene leflunomida, molekule od koje teriflunomid vodi por</w:t>
      </w:r>
      <w:r w:rsidR="00E24715" w:rsidRPr="00B14EBB">
        <w:rPr>
          <w:sz w:val="22"/>
          <w:szCs w:val="22"/>
          <w:lang w:val="sr-Latn-ME"/>
        </w:rPr>
        <w:t>ij</w:t>
      </w:r>
      <w:r w:rsidRPr="00B14EBB">
        <w:rPr>
          <w:sz w:val="22"/>
          <w:szCs w:val="22"/>
          <w:lang w:val="sr-Latn-ME"/>
        </w:rPr>
        <w:t>eklo, pacijentu može biti smanjena sposobnost koncentracije i pravilnog reagovanja. U takvim slučajevima pacijenti se moraju suzdržavati od upravljnja vozilima i rukovanja mašinama.</w:t>
      </w:r>
    </w:p>
    <w:p w14:paraId="1D2F0587" w14:textId="77777777" w:rsidR="00104AC7" w:rsidRPr="00B14EBB" w:rsidRDefault="00104AC7" w:rsidP="00545126">
      <w:pPr>
        <w:pStyle w:val="BodyText"/>
        <w:widowControl w:val="0"/>
        <w:jc w:val="both"/>
        <w:rPr>
          <w:sz w:val="22"/>
          <w:szCs w:val="22"/>
          <w:lang w:val="sr-Latn-ME"/>
        </w:rPr>
      </w:pPr>
    </w:p>
    <w:p w14:paraId="500F591B" w14:textId="5A298F64" w:rsidR="004E70AD"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4.8. </w:t>
      </w:r>
      <w:r w:rsidR="00480FB1" w:rsidRPr="00B14EBB">
        <w:rPr>
          <w:b/>
          <w:bCs/>
          <w:sz w:val="22"/>
          <w:szCs w:val="22"/>
          <w:lang w:val="sr-Latn-ME"/>
        </w:rPr>
        <w:tab/>
      </w:r>
      <w:r w:rsidRPr="00B14EBB">
        <w:rPr>
          <w:b/>
          <w:bCs/>
          <w:sz w:val="22"/>
          <w:szCs w:val="22"/>
          <w:lang w:val="sr-Latn-ME"/>
        </w:rPr>
        <w:t>Neželjena dejstva</w:t>
      </w:r>
    </w:p>
    <w:p w14:paraId="5040CF48" w14:textId="77777777" w:rsidR="00545126" w:rsidRDefault="00545126" w:rsidP="00545126">
      <w:pPr>
        <w:widowControl w:val="0"/>
        <w:autoSpaceDE w:val="0"/>
        <w:autoSpaceDN w:val="0"/>
        <w:adjustRightInd w:val="0"/>
        <w:jc w:val="both"/>
        <w:rPr>
          <w:sz w:val="22"/>
          <w:szCs w:val="22"/>
          <w:u w:val="single"/>
          <w:lang w:val="sr-Latn-ME" w:eastAsia="sr-Latn-CS"/>
        </w:rPr>
      </w:pPr>
    </w:p>
    <w:p w14:paraId="15667248" w14:textId="6131D838"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Sažetak bezb</w:t>
      </w:r>
      <w:r w:rsidR="00E24715" w:rsidRPr="00B14EBB">
        <w:rPr>
          <w:sz w:val="22"/>
          <w:szCs w:val="22"/>
          <w:u w:val="single"/>
          <w:lang w:val="sr-Latn-ME" w:eastAsia="sr-Latn-CS"/>
        </w:rPr>
        <w:t>j</w:t>
      </w:r>
      <w:r w:rsidRPr="00B14EBB">
        <w:rPr>
          <w:sz w:val="22"/>
          <w:szCs w:val="22"/>
          <w:u w:val="single"/>
          <w:lang w:val="sr-Latn-ME" w:eastAsia="sr-Latn-CS"/>
        </w:rPr>
        <w:t>ednosnog profila</w:t>
      </w:r>
    </w:p>
    <w:p w14:paraId="163AE8C2" w14:textId="500B6D80"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Najčešće prijavljena neželjena dejstva kod pacijenata l</w:t>
      </w:r>
      <w:r w:rsidR="00E24715" w:rsidRPr="00B14EBB">
        <w:rPr>
          <w:rFonts w:eastAsia="Calibri"/>
          <w:sz w:val="22"/>
          <w:szCs w:val="22"/>
          <w:lang w:val="sr-Latn-ME"/>
        </w:rPr>
        <w:t>ij</w:t>
      </w:r>
      <w:r w:rsidRPr="00B14EBB">
        <w:rPr>
          <w:rFonts w:eastAsia="Calibri"/>
          <w:sz w:val="22"/>
          <w:szCs w:val="22"/>
          <w:lang w:val="sr-Latn-ME"/>
        </w:rPr>
        <w:t>ečenih teriflunomidom (7 mg i 14 mg) bila su: glavobolja (17,8%, 15,7%), dijareja (13,1%, 13,6%), povišene vr</w:t>
      </w:r>
      <w:r w:rsidR="00E24715" w:rsidRPr="00B14EBB">
        <w:rPr>
          <w:rFonts w:eastAsia="Calibri"/>
          <w:sz w:val="22"/>
          <w:szCs w:val="22"/>
          <w:lang w:val="sr-Latn-ME"/>
        </w:rPr>
        <w:t>ij</w:t>
      </w:r>
      <w:r w:rsidRPr="00B14EBB">
        <w:rPr>
          <w:rFonts w:eastAsia="Calibri"/>
          <w:sz w:val="22"/>
          <w:szCs w:val="22"/>
          <w:lang w:val="sr-Latn-ME"/>
        </w:rPr>
        <w:t>ednosti ALT (13%, 15%), mučnina (8%, 10,7%) i alopecija (9,8%, 13,5%). Generalno su glavobolja, dijareja, mučnina i alopecija bili blagi do um</w:t>
      </w:r>
      <w:r w:rsidR="00E24715" w:rsidRPr="00B14EBB">
        <w:rPr>
          <w:rFonts w:eastAsia="Calibri"/>
          <w:sz w:val="22"/>
          <w:szCs w:val="22"/>
          <w:lang w:val="sr-Latn-ME"/>
        </w:rPr>
        <w:t>j</w:t>
      </w:r>
      <w:r w:rsidRPr="00B14EBB">
        <w:rPr>
          <w:rFonts w:eastAsia="Calibri"/>
          <w:sz w:val="22"/>
          <w:szCs w:val="22"/>
          <w:lang w:val="sr-Latn-ME"/>
        </w:rPr>
        <w:t>ereni i prolazni pa nisu često dovodili do prekida l</w:t>
      </w:r>
      <w:r w:rsidR="00E24715" w:rsidRPr="00B14EBB">
        <w:rPr>
          <w:rFonts w:eastAsia="Calibri"/>
          <w:sz w:val="22"/>
          <w:szCs w:val="22"/>
          <w:lang w:val="sr-Latn-ME"/>
        </w:rPr>
        <w:t>ij</w:t>
      </w:r>
      <w:r w:rsidRPr="00B14EBB">
        <w:rPr>
          <w:rFonts w:eastAsia="Calibri"/>
          <w:sz w:val="22"/>
          <w:szCs w:val="22"/>
          <w:lang w:val="sr-Latn-ME"/>
        </w:rPr>
        <w:t>ečenja.</w:t>
      </w:r>
    </w:p>
    <w:p w14:paraId="6D002195" w14:textId="50A68C10" w:rsidR="00E43D38" w:rsidRPr="00B14EBB" w:rsidRDefault="00E43D38" w:rsidP="00545126">
      <w:pPr>
        <w:pStyle w:val="BodyText"/>
        <w:widowControl w:val="0"/>
        <w:jc w:val="both"/>
        <w:rPr>
          <w:sz w:val="22"/>
          <w:szCs w:val="22"/>
          <w:lang w:val="sr-Latn-ME"/>
        </w:rPr>
      </w:pPr>
      <w:r w:rsidRPr="00B14EBB">
        <w:rPr>
          <w:sz w:val="22"/>
          <w:szCs w:val="22"/>
          <w:lang w:val="sr-Latn-ME"/>
        </w:rPr>
        <w:t>Teriflunomid je glavni metabolit leflunomida. Bezb</w:t>
      </w:r>
      <w:r w:rsidR="00E24715" w:rsidRPr="00B14EBB">
        <w:rPr>
          <w:sz w:val="22"/>
          <w:szCs w:val="22"/>
          <w:lang w:val="sr-Latn-ME"/>
        </w:rPr>
        <w:t>j</w:t>
      </w:r>
      <w:r w:rsidRPr="00B14EBB">
        <w:rPr>
          <w:sz w:val="22"/>
          <w:szCs w:val="22"/>
          <w:lang w:val="sr-Latn-ME"/>
        </w:rPr>
        <w:t>ednosni profil leflunomida kod pacijenata koji boluju od reumatoidnog artritisa ili psorijaznih artritisa može biti relevantan kada se teriflunomid propisuje obol</w:t>
      </w:r>
      <w:r w:rsidR="00E24715" w:rsidRPr="00B14EBB">
        <w:rPr>
          <w:sz w:val="22"/>
          <w:szCs w:val="22"/>
          <w:lang w:val="sr-Latn-ME"/>
        </w:rPr>
        <w:t>j</w:t>
      </w:r>
      <w:r w:rsidRPr="00B14EBB">
        <w:rPr>
          <w:sz w:val="22"/>
          <w:szCs w:val="22"/>
          <w:lang w:val="sr-Latn-ME"/>
        </w:rPr>
        <w:t>elima od multiple skleroze.</w:t>
      </w:r>
    </w:p>
    <w:p w14:paraId="3915396E" w14:textId="77777777" w:rsidR="00E43D38" w:rsidRPr="00B14EBB" w:rsidRDefault="00E43D38" w:rsidP="00545126">
      <w:pPr>
        <w:widowControl w:val="0"/>
        <w:autoSpaceDE w:val="0"/>
        <w:autoSpaceDN w:val="0"/>
        <w:adjustRightInd w:val="0"/>
        <w:jc w:val="both"/>
        <w:rPr>
          <w:rFonts w:eastAsia="Calibri"/>
          <w:sz w:val="22"/>
          <w:szCs w:val="22"/>
          <w:lang w:val="sr-Latn-ME"/>
        </w:rPr>
      </w:pPr>
    </w:p>
    <w:p w14:paraId="7E4904CD" w14:textId="77777777"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Tabelarni prikaz neželjenih dejstava</w:t>
      </w:r>
    </w:p>
    <w:p w14:paraId="524A367D" w14:textId="0A1F61DB" w:rsidR="00E43D38" w:rsidRPr="00B14EBB" w:rsidRDefault="00E43D38" w:rsidP="00545126">
      <w:pPr>
        <w:pStyle w:val="BodyText"/>
        <w:widowControl w:val="0"/>
        <w:jc w:val="both"/>
        <w:rPr>
          <w:sz w:val="22"/>
          <w:szCs w:val="22"/>
          <w:lang w:val="sr-Latn-ME"/>
        </w:rPr>
      </w:pPr>
      <w:r w:rsidRPr="00B14EBB">
        <w:rPr>
          <w:rFonts w:eastAsia="Calibri"/>
          <w:sz w:val="22"/>
          <w:szCs w:val="22"/>
          <w:lang w:val="sr-Latn-ME"/>
        </w:rPr>
        <w:t>Teriflunomid je ispitivan kod ukupno 2267 pacijenata izloženih teriflunomidu</w:t>
      </w:r>
      <w:r w:rsidRPr="00B14EBB">
        <w:rPr>
          <w:sz w:val="22"/>
          <w:szCs w:val="22"/>
          <w:lang w:val="sr-Latn-ME"/>
        </w:rPr>
        <w:t xml:space="preserve"> (1155 teriflunomidu u dozi od 7 mg i 1112 teriflunomidu u dozi od 14 mg) prim</w:t>
      </w:r>
      <w:r w:rsidR="00E24715" w:rsidRPr="00B14EBB">
        <w:rPr>
          <w:sz w:val="22"/>
          <w:szCs w:val="22"/>
          <w:lang w:val="sr-Latn-ME"/>
        </w:rPr>
        <w:t>j</w:t>
      </w:r>
      <w:r w:rsidRPr="00B14EBB">
        <w:rPr>
          <w:sz w:val="22"/>
          <w:szCs w:val="22"/>
          <w:lang w:val="sr-Latn-ME"/>
        </w:rPr>
        <w:t>enjenom jednom dnevno tokom medijane od približno 672 dana u četiri placebom kontrolisane studije (1045 pacijenata su primali teriflunomid u dozi od 7 mg, a 1002 u dozi od 14 mg) i jednoj studiji sa aktivnim komparativnim l</w:t>
      </w:r>
      <w:r w:rsidR="00E24715" w:rsidRPr="00B14EBB">
        <w:rPr>
          <w:sz w:val="22"/>
          <w:szCs w:val="22"/>
          <w:lang w:val="sr-Latn-ME"/>
        </w:rPr>
        <w:t>ij</w:t>
      </w:r>
      <w:r w:rsidRPr="00B14EBB">
        <w:rPr>
          <w:sz w:val="22"/>
          <w:szCs w:val="22"/>
          <w:lang w:val="sr-Latn-ME"/>
        </w:rPr>
        <w:t>ekom (110 pacijenata u svakoj grupi l</w:t>
      </w:r>
      <w:r w:rsidR="00E24715" w:rsidRPr="00B14EBB">
        <w:rPr>
          <w:sz w:val="22"/>
          <w:szCs w:val="22"/>
          <w:lang w:val="sr-Latn-ME"/>
        </w:rPr>
        <w:t>ij</w:t>
      </w:r>
      <w:r w:rsidRPr="00B14EBB">
        <w:rPr>
          <w:sz w:val="22"/>
          <w:szCs w:val="22"/>
          <w:lang w:val="sr-Latn-ME"/>
        </w:rPr>
        <w:t>ečenoj teriflunomidom), u kojima su učestvovali pacijenti sa relapsnim oblicima MS-a (relapsnom multiplom sklerozom, RMS).</w:t>
      </w:r>
    </w:p>
    <w:p w14:paraId="041949BB" w14:textId="77777777" w:rsidR="00E43D38" w:rsidRPr="00B14EBB" w:rsidRDefault="00E43D38" w:rsidP="00545126">
      <w:pPr>
        <w:widowControl w:val="0"/>
        <w:autoSpaceDE w:val="0"/>
        <w:autoSpaceDN w:val="0"/>
        <w:adjustRightInd w:val="0"/>
        <w:jc w:val="both"/>
        <w:rPr>
          <w:sz w:val="22"/>
          <w:szCs w:val="22"/>
          <w:u w:val="single"/>
          <w:lang w:val="sr-Latn-ME" w:eastAsia="sr-Latn-CS"/>
        </w:rPr>
      </w:pPr>
    </w:p>
    <w:p w14:paraId="592E491F" w14:textId="099EE705"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U nastavku su prikazana neželjena dejstva prijavljena pri prim</w:t>
      </w:r>
      <w:r w:rsidR="00E24715" w:rsidRPr="00B14EBB">
        <w:rPr>
          <w:sz w:val="22"/>
          <w:szCs w:val="22"/>
          <w:lang w:val="sr-Latn-ME" w:eastAsia="sr-Latn-CS"/>
        </w:rPr>
        <w:t>j</w:t>
      </w:r>
      <w:r w:rsidRPr="00B14EBB">
        <w:rPr>
          <w:sz w:val="22"/>
          <w:szCs w:val="22"/>
          <w:lang w:val="sr-Latn-ME" w:eastAsia="sr-Latn-CS"/>
        </w:rPr>
        <w:t>eni teriflunomida u placebom kontrolisanim studijama kod odraslih pacijenata, pri dozama teriflunomida od 7 mg ili 14 mg iz kliničkih studija kod odraslih pacijenata. Učestalost je definisana sl</w:t>
      </w:r>
      <w:r w:rsidR="00B31671" w:rsidRPr="00B14EBB">
        <w:rPr>
          <w:sz w:val="22"/>
          <w:szCs w:val="22"/>
          <w:lang w:val="sr-Latn-ME" w:eastAsia="sr-Latn-CS"/>
        </w:rPr>
        <w:t>j</w:t>
      </w:r>
      <w:r w:rsidRPr="00B14EBB">
        <w:rPr>
          <w:sz w:val="22"/>
          <w:szCs w:val="22"/>
          <w:lang w:val="sr-Latn-ME" w:eastAsia="sr-Latn-CS"/>
        </w:rPr>
        <w:t>edećim kategorijama: veoma često (≥1/10), često (≥1/100 i &lt;1/10), povremeno (≥1/1000 i &lt;1/100), r</w:t>
      </w:r>
      <w:r w:rsidR="00E24715" w:rsidRPr="00B14EBB">
        <w:rPr>
          <w:sz w:val="22"/>
          <w:szCs w:val="22"/>
          <w:lang w:val="sr-Latn-ME" w:eastAsia="sr-Latn-CS"/>
        </w:rPr>
        <w:t>ij</w:t>
      </w:r>
      <w:r w:rsidRPr="00B14EBB">
        <w:rPr>
          <w:sz w:val="22"/>
          <w:szCs w:val="22"/>
          <w:lang w:val="sr-Latn-ME" w:eastAsia="sr-Latn-CS"/>
        </w:rPr>
        <w:t>etko (≥1/10000 i &lt;1/1000), veoma r</w:t>
      </w:r>
      <w:r w:rsidR="00E24715" w:rsidRPr="00B14EBB">
        <w:rPr>
          <w:sz w:val="22"/>
          <w:szCs w:val="22"/>
          <w:lang w:val="sr-Latn-ME" w:eastAsia="sr-Latn-CS"/>
        </w:rPr>
        <w:t>ij</w:t>
      </w:r>
      <w:r w:rsidRPr="00B14EBB">
        <w:rPr>
          <w:sz w:val="22"/>
          <w:szCs w:val="22"/>
          <w:lang w:val="sr-Latn-ME" w:eastAsia="sr-Latn-CS"/>
        </w:rPr>
        <w:t>etko (&lt;1/10000), nepoznato (ne može se proc</w:t>
      </w:r>
      <w:r w:rsidR="00E24715" w:rsidRPr="00B14EBB">
        <w:rPr>
          <w:sz w:val="22"/>
          <w:szCs w:val="22"/>
          <w:lang w:val="sr-Latn-ME" w:eastAsia="sr-Latn-CS"/>
        </w:rPr>
        <w:t>ij</w:t>
      </w:r>
      <w:r w:rsidRPr="00B14EBB">
        <w:rPr>
          <w:sz w:val="22"/>
          <w:szCs w:val="22"/>
          <w:lang w:val="sr-Latn-ME" w:eastAsia="sr-Latn-CS"/>
        </w:rPr>
        <w:t>eniti na osnovu dostupnih podataka). Unutar svake kategorije učestalosti, neželjena dejstva su navedena u padajućem nizu prema ozbiljnosti.</w:t>
      </w:r>
    </w:p>
    <w:p w14:paraId="4F531404" w14:textId="77777777" w:rsidR="00E43D38" w:rsidRPr="00B14EBB" w:rsidRDefault="00E43D38" w:rsidP="00545126">
      <w:pPr>
        <w:widowControl w:val="0"/>
        <w:autoSpaceDE w:val="0"/>
        <w:autoSpaceDN w:val="0"/>
        <w:adjustRightInd w:val="0"/>
        <w:jc w:val="both"/>
        <w:rPr>
          <w:sz w:val="22"/>
          <w:szCs w:val="22"/>
          <w:lang w:val="sr-Latn-ME" w:eastAsia="sr-Latn-CS"/>
        </w:rPr>
      </w:pPr>
    </w:p>
    <w:tbl>
      <w:tblPr>
        <w:tblW w:w="5076" w:type="pct"/>
        <w:tblLayout w:type="fixed"/>
        <w:tblCellMar>
          <w:left w:w="0" w:type="dxa"/>
          <w:right w:w="0" w:type="dxa"/>
        </w:tblCellMar>
        <w:tblLook w:val="0000" w:firstRow="0" w:lastRow="0" w:firstColumn="0" w:lastColumn="0" w:noHBand="0" w:noVBand="0"/>
      </w:tblPr>
      <w:tblGrid>
        <w:gridCol w:w="2062"/>
        <w:gridCol w:w="1029"/>
        <w:gridCol w:w="1870"/>
        <w:gridCol w:w="1336"/>
        <w:gridCol w:w="839"/>
        <w:gridCol w:w="810"/>
        <w:gridCol w:w="1255"/>
      </w:tblGrid>
      <w:tr w:rsidR="00E43D38" w:rsidRPr="00B14EBB" w14:paraId="4BAAE14C" w14:textId="77777777" w:rsidTr="00A667D8">
        <w:trPr>
          <w:trHeight w:hRule="exact" w:val="510"/>
        </w:trPr>
        <w:tc>
          <w:tcPr>
            <w:tcW w:w="1121" w:type="pct"/>
            <w:tcBorders>
              <w:top w:val="single" w:sz="4" w:space="0" w:color="000000"/>
              <w:left w:val="single" w:sz="4" w:space="0" w:color="000000"/>
              <w:bottom w:val="single" w:sz="4" w:space="0" w:color="000000"/>
              <w:right w:val="single" w:sz="4" w:space="0" w:color="000000"/>
            </w:tcBorders>
            <w:shd w:val="clear" w:color="auto" w:fill="BFBFBF"/>
          </w:tcPr>
          <w:p w14:paraId="521E1FCE" w14:textId="77777777" w:rsidR="00E43D38" w:rsidRPr="00B14EBB" w:rsidRDefault="00E43D38" w:rsidP="00545126">
            <w:pPr>
              <w:widowControl w:val="0"/>
              <w:autoSpaceDE w:val="0"/>
              <w:autoSpaceDN w:val="0"/>
              <w:adjustRightInd w:val="0"/>
              <w:ind w:left="96" w:right="-20"/>
              <w:jc w:val="both"/>
              <w:rPr>
                <w:sz w:val="18"/>
                <w:szCs w:val="18"/>
                <w:lang w:val="sr-Latn-ME" w:eastAsia="sr-Latn-CS"/>
              </w:rPr>
            </w:pPr>
            <w:r w:rsidRPr="00B14EBB">
              <w:rPr>
                <w:b/>
                <w:bCs/>
                <w:sz w:val="18"/>
                <w:szCs w:val="18"/>
                <w:lang w:val="sr-Latn-ME" w:eastAsia="sr-Latn-CS"/>
              </w:rPr>
              <w:t>Klasa</w:t>
            </w:r>
            <w:r w:rsidRPr="00B14EBB">
              <w:rPr>
                <w:b/>
                <w:bCs/>
                <w:spacing w:val="26"/>
                <w:sz w:val="18"/>
                <w:szCs w:val="18"/>
                <w:lang w:val="sr-Latn-ME" w:eastAsia="sr-Latn-CS"/>
              </w:rPr>
              <w:t xml:space="preserve"> </w:t>
            </w:r>
            <w:r w:rsidRPr="00B14EBB">
              <w:rPr>
                <w:b/>
                <w:bCs/>
                <w:w w:val="103"/>
                <w:sz w:val="18"/>
                <w:szCs w:val="18"/>
                <w:lang w:val="sr-Latn-ME" w:eastAsia="sr-Latn-CS"/>
              </w:rPr>
              <w:t>sistema organa</w:t>
            </w:r>
          </w:p>
        </w:tc>
        <w:tc>
          <w:tcPr>
            <w:tcW w:w="559" w:type="pct"/>
            <w:tcBorders>
              <w:top w:val="single" w:sz="4" w:space="0" w:color="000000"/>
              <w:left w:val="single" w:sz="4" w:space="0" w:color="000000"/>
              <w:bottom w:val="single" w:sz="4" w:space="0" w:color="000000"/>
              <w:right w:val="single" w:sz="4" w:space="0" w:color="000000"/>
            </w:tcBorders>
            <w:shd w:val="clear" w:color="auto" w:fill="BFBFBF"/>
          </w:tcPr>
          <w:p w14:paraId="68B71260" w14:textId="77777777" w:rsidR="00E43D38" w:rsidRPr="00B14EBB" w:rsidRDefault="00E43D38" w:rsidP="00545126">
            <w:pPr>
              <w:widowControl w:val="0"/>
              <w:autoSpaceDE w:val="0"/>
              <w:autoSpaceDN w:val="0"/>
              <w:adjustRightInd w:val="0"/>
              <w:ind w:left="95" w:right="-20"/>
              <w:jc w:val="both"/>
              <w:rPr>
                <w:sz w:val="18"/>
                <w:szCs w:val="18"/>
                <w:lang w:val="sr-Latn-ME" w:eastAsia="sr-Latn-CS"/>
              </w:rPr>
            </w:pPr>
            <w:r w:rsidRPr="00B14EBB">
              <w:rPr>
                <w:b/>
                <w:bCs/>
                <w:sz w:val="18"/>
                <w:szCs w:val="18"/>
                <w:lang w:val="sr-Latn-ME" w:eastAsia="sr-Latn-CS"/>
              </w:rPr>
              <w:t>Veoma</w:t>
            </w:r>
            <w:r w:rsidRPr="00B14EBB">
              <w:rPr>
                <w:b/>
                <w:bCs/>
                <w:spacing w:val="15"/>
                <w:sz w:val="18"/>
                <w:szCs w:val="18"/>
                <w:lang w:val="sr-Latn-ME" w:eastAsia="sr-Latn-CS"/>
              </w:rPr>
              <w:t xml:space="preserve"> </w:t>
            </w:r>
            <w:r w:rsidRPr="00B14EBB">
              <w:rPr>
                <w:b/>
                <w:bCs/>
                <w:spacing w:val="-1"/>
                <w:w w:val="103"/>
                <w:sz w:val="18"/>
                <w:szCs w:val="18"/>
                <w:lang w:val="sr-Latn-ME" w:eastAsia="sr-Latn-CS"/>
              </w:rPr>
              <w:t>č</w:t>
            </w:r>
            <w:r w:rsidRPr="00B14EBB">
              <w:rPr>
                <w:b/>
                <w:bCs/>
                <w:spacing w:val="1"/>
                <w:w w:val="103"/>
                <w:sz w:val="18"/>
                <w:szCs w:val="18"/>
                <w:lang w:val="sr-Latn-ME" w:eastAsia="sr-Latn-CS"/>
              </w:rPr>
              <w:t>e</w:t>
            </w:r>
            <w:r w:rsidRPr="00B14EBB">
              <w:rPr>
                <w:b/>
                <w:bCs/>
                <w:spacing w:val="-1"/>
                <w:w w:val="103"/>
                <w:sz w:val="18"/>
                <w:szCs w:val="18"/>
                <w:lang w:val="sr-Latn-ME" w:eastAsia="sr-Latn-CS"/>
              </w:rPr>
              <w:t>s</w:t>
            </w:r>
            <w:r w:rsidRPr="00B14EBB">
              <w:rPr>
                <w:b/>
                <w:bCs/>
                <w:spacing w:val="2"/>
                <w:w w:val="103"/>
                <w:sz w:val="18"/>
                <w:szCs w:val="18"/>
                <w:lang w:val="sr-Latn-ME" w:eastAsia="sr-Latn-CS"/>
              </w:rPr>
              <w:t>t</w:t>
            </w:r>
            <w:r w:rsidRPr="00B14EBB">
              <w:rPr>
                <w:b/>
                <w:bCs/>
                <w:w w:val="103"/>
                <w:sz w:val="18"/>
                <w:szCs w:val="18"/>
                <w:lang w:val="sr-Latn-ME" w:eastAsia="sr-Latn-CS"/>
              </w:rPr>
              <w:t>o</w:t>
            </w:r>
          </w:p>
        </w:tc>
        <w:tc>
          <w:tcPr>
            <w:tcW w:w="1016" w:type="pct"/>
            <w:tcBorders>
              <w:top w:val="single" w:sz="4" w:space="0" w:color="000000"/>
              <w:left w:val="single" w:sz="4" w:space="0" w:color="000000"/>
              <w:bottom w:val="single" w:sz="4" w:space="0" w:color="000000"/>
              <w:right w:val="single" w:sz="4" w:space="0" w:color="000000"/>
            </w:tcBorders>
            <w:shd w:val="clear" w:color="auto" w:fill="BFBFBF"/>
          </w:tcPr>
          <w:p w14:paraId="5248E655" w14:textId="77777777" w:rsidR="00E43D38" w:rsidRPr="00B14EBB" w:rsidRDefault="00E43D38" w:rsidP="00545126">
            <w:pPr>
              <w:widowControl w:val="0"/>
              <w:autoSpaceDE w:val="0"/>
              <w:autoSpaceDN w:val="0"/>
              <w:adjustRightInd w:val="0"/>
              <w:ind w:left="96" w:right="-20"/>
              <w:jc w:val="both"/>
              <w:rPr>
                <w:sz w:val="18"/>
                <w:szCs w:val="18"/>
                <w:lang w:val="sr-Latn-ME" w:eastAsia="sr-Latn-CS"/>
              </w:rPr>
            </w:pPr>
            <w:r w:rsidRPr="00B14EBB">
              <w:rPr>
                <w:b/>
                <w:bCs/>
                <w:w w:val="103"/>
                <w:sz w:val="18"/>
                <w:szCs w:val="18"/>
                <w:lang w:val="sr-Latn-ME" w:eastAsia="sr-Latn-CS"/>
              </w:rPr>
              <w:t>Čes</w:t>
            </w:r>
            <w:r w:rsidRPr="00B14EBB">
              <w:rPr>
                <w:b/>
                <w:bCs/>
                <w:spacing w:val="1"/>
                <w:w w:val="103"/>
                <w:sz w:val="18"/>
                <w:szCs w:val="18"/>
                <w:lang w:val="sr-Latn-ME" w:eastAsia="sr-Latn-CS"/>
              </w:rPr>
              <w:t>t</w:t>
            </w:r>
            <w:r w:rsidRPr="00B14EBB">
              <w:rPr>
                <w:b/>
                <w:bCs/>
                <w:w w:val="103"/>
                <w:sz w:val="18"/>
                <w:szCs w:val="18"/>
                <w:lang w:val="sr-Latn-ME" w:eastAsia="sr-Latn-CS"/>
              </w:rPr>
              <w:t>o</w:t>
            </w:r>
          </w:p>
        </w:tc>
        <w:tc>
          <w:tcPr>
            <w:tcW w:w="726" w:type="pct"/>
            <w:tcBorders>
              <w:top w:val="single" w:sz="4" w:space="0" w:color="000000"/>
              <w:left w:val="single" w:sz="4" w:space="0" w:color="000000"/>
              <w:bottom w:val="single" w:sz="4" w:space="0" w:color="000000"/>
              <w:right w:val="single" w:sz="4" w:space="0" w:color="000000"/>
            </w:tcBorders>
            <w:shd w:val="clear" w:color="auto" w:fill="BFBFBF"/>
          </w:tcPr>
          <w:p w14:paraId="51B93593" w14:textId="77777777" w:rsidR="00E43D38" w:rsidRPr="00B14EBB" w:rsidRDefault="00E43D38" w:rsidP="00545126">
            <w:pPr>
              <w:widowControl w:val="0"/>
              <w:autoSpaceDE w:val="0"/>
              <w:autoSpaceDN w:val="0"/>
              <w:adjustRightInd w:val="0"/>
              <w:ind w:left="96" w:right="-20"/>
              <w:jc w:val="both"/>
              <w:rPr>
                <w:sz w:val="18"/>
                <w:szCs w:val="18"/>
                <w:lang w:val="sr-Latn-ME" w:eastAsia="sr-Latn-CS"/>
              </w:rPr>
            </w:pPr>
            <w:r w:rsidRPr="00B14EBB">
              <w:rPr>
                <w:b/>
                <w:bCs/>
                <w:sz w:val="18"/>
                <w:szCs w:val="18"/>
                <w:lang w:val="sr-Latn-ME" w:eastAsia="sr-Latn-CS"/>
              </w:rPr>
              <w:t>Povremeno</w:t>
            </w:r>
          </w:p>
        </w:tc>
        <w:tc>
          <w:tcPr>
            <w:tcW w:w="456" w:type="pct"/>
            <w:tcBorders>
              <w:top w:val="single" w:sz="4" w:space="0" w:color="000000"/>
              <w:left w:val="single" w:sz="4" w:space="0" w:color="000000"/>
              <w:bottom w:val="single" w:sz="4" w:space="0" w:color="000000"/>
              <w:right w:val="single" w:sz="4" w:space="0" w:color="000000"/>
            </w:tcBorders>
            <w:shd w:val="clear" w:color="auto" w:fill="BFBFBF"/>
          </w:tcPr>
          <w:p w14:paraId="49493B6B" w14:textId="0844D42B" w:rsidR="00E43D38" w:rsidRPr="00B14EBB" w:rsidRDefault="00E43D38" w:rsidP="00545126">
            <w:pPr>
              <w:widowControl w:val="0"/>
              <w:tabs>
                <w:tab w:val="left" w:pos="2452"/>
              </w:tabs>
              <w:autoSpaceDE w:val="0"/>
              <w:autoSpaceDN w:val="0"/>
              <w:adjustRightInd w:val="0"/>
              <w:ind w:left="96" w:right="-20"/>
              <w:jc w:val="both"/>
              <w:rPr>
                <w:b/>
                <w:bCs/>
                <w:sz w:val="20"/>
                <w:szCs w:val="20"/>
                <w:lang w:val="sr-Latn-ME" w:eastAsia="sr-Latn-CS"/>
              </w:rPr>
            </w:pPr>
            <w:r w:rsidRPr="00B14EBB">
              <w:rPr>
                <w:b/>
                <w:bCs/>
                <w:sz w:val="20"/>
                <w:szCs w:val="20"/>
                <w:lang w:val="sr-Latn-ME" w:eastAsia="sr-Latn-CS"/>
              </w:rPr>
              <w:t>R</w:t>
            </w:r>
            <w:r w:rsidR="00E24715" w:rsidRPr="00B14EBB">
              <w:rPr>
                <w:b/>
                <w:bCs/>
                <w:sz w:val="20"/>
                <w:szCs w:val="20"/>
                <w:lang w:val="sr-Latn-ME" w:eastAsia="sr-Latn-CS"/>
              </w:rPr>
              <w:t>ij</w:t>
            </w:r>
            <w:r w:rsidRPr="00B14EBB">
              <w:rPr>
                <w:b/>
                <w:bCs/>
                <w:sz w:val="20"/>
                <w:szCs w:val="20"/>
                <w:lang w:val="sr-Latn-ME" w:eastAsia="sr-Latn-CS"/>
              </w:rPr>
              <w:t>etko</w:t>
            </w:r>
          </w:p>
        </w:tc>
        <w:tc>
          <w:tcPr>
            <w:tcW w:w="440" w:type="pct"/>
            <w:tcBorders>
              <w:top w:val="single" w:sz="4" w:space="0" w:color="000000"/>
              <w:left w:val="single" w:sz="4" w:space="0" w:color="000000"/>
              <w:bottom w:val="single" w:sz="4" w:space="0" w:color="000000"/>
              <w:right w:val="single" w:sz="4" w:space="0" w:color="000000"/>
            </w:tcBorders>
            <w:shd w:val="clear" w:color="auto" w:fill="BFBFBF"/>
          </w:tcPr>
          <w:p w14:paraId="19794ABF" w14:textId="4586F96E" w:rsidR="00E43D38" w:rsidRPr="00B14EBB" w:rsidRDefault="00E43D38" w:rsidP="00545126">
            <w:pPr>
              <w:widowControl w:val="0"/>
              <w:tabs>
                <w:tab w:val="left" w:pos="2452"/>
              </w:tabs>
              <w:autoSpaceDE w:val="0"/>
              <w:autoSpaceDN w:val="0"/>
              <w:adjustRightInd w:val="0"/>
              <w:ind w:left="96" w:right="-20"/>
              <w:jc w:val="both"/>
              <w:rPr>
                <w:b/>
                <w:bCs/>
                <w:sz w:val="20"/>
                <w:szCs w:val="20"/>
                <w:lang w:val="sr-Latn-ME" w:eastAsia="sr-Latn-CS"/>
              </w:rPr>
            </w:pPr>
            <w:r w:rsidRPr="00B14EBB">
              <w:rPr>
                <w:b/>
                <w:bCs/>
                <w:sz w:val="20"/>
                <w:szCs w:val="20"/>
                <w:lang w:val="sr-Latn-ME" w:eastAsia="sr-Latn-CS"/>
              </w:rPr>
              <w:t>Veoma r</w:t>
            </w:r>
            <w:r w:rsidR="00E24715" w:rsidRPr="00B14EBB">
              <w:rPr>
                <w:b/>
                <w:bCs/>
                <w:sz w:val="20"/>
                <w:szCs w:val="20"/>
                <w:lang w:val="sr-Latn-ME" w:eastAsia="sr-Latn-CS"/>
              </w:rPr>
              <w:t>ij</w:t>
            </w:r>
            <w:r w:rsidRPr="00B14EBB">
              <w:rPr>
                <w:b/>
                <w:bCs/>
                <w:sz w:val="20"/>
                <w:szCs w:val="20"/>
                <w:lang w:val="sr-Latn-ME" w:eastAsia="sr-Latn-CS"/>
              </w:rPr>
              <w:t>etko</w:t>
            </w:r>
          </w:p>
        </w:tc>
        <w:tc>
          <w:tcPr>
            <w:tcW w:w="682" w:type="pct"/>
            <w:tcBorders>
              <w:top w:val="single" w:sz="4" w:space="0" w:color="000000"/>
              <w:left w:val="single" w:sz="4" w:space="0" w:color="000000"/>
              <w:bottom w:val="single" w:sz="4" w:space="0" w:color="000000"/>
              <w:right w:val="single" w:sz="4" w:space="0" w:color="000000"/>
            </w:tcBorders>
            <w:shd w:val="clear" w:color="auto" w:fill="BFBFBF"/>
          </w:tcPr>
          <w:p w14:paraId="5D3530D1" w14:textId="77777777" w:rsidR="00E43D38" w:rsidRPr="00B14EBB" w:rsidRDefault="00E43D38" w:rsidP="00545126">
            <w:pPr>
              <w:widowControl w:val="0"/>
              <w:tabs>
                <w:tab w:val="left" w:pos="2452"/>
              </w:tabs>
              <w:autoSpaceDE w:val="0"/>
              <w:autoSpaceDN w:val="0"/>
              <w:adjustRightInd w:val="0"/>
              <w:ind w:left="96" w:right="-20"/>
              <w:jc w:val="both"/>
              <w:rPr>
                <w:b/>
                <w:bCs/>
                <w:sz w:val="20"/>
                <w:szCs w:val="20"/>
                <w:lang w:val="sr-Latn-ME" w:eastAsia="sr-Latn-CS"/>
              </w:rPr>
            </w:pPr>
            <w:r w:rsidRPr="00B14EBB">
              <w:rPr>
                <w:b/>
                <w:bCs/>
                <w:sz w:val="20"/>
                <w:szCs w:val="20"/>
                <w:lang w:val="sr-Latn-ME" w:eastAsia="sr-Latn-CS"/>
              </w:rPr>
              <w:t>Nepoznato</w:t>
            </w:r>
          </w:p>
          <w:p w14:paraId="5C9E9AF0" w14:textId="77777777" w:rsidR="00E43D38" w:rsidRPr="00B14EBB" w:rsidRDefault="00E43D38" w:rsidP="00545126">
            <w:pPr>
              <w:widowControl w:val="0"/>
              <w:tabs>
                <w:tab w:val="left" w:pos="2452"/>
              </w:tabs>
              <w:autoSpaceDE w:val="0"/>
              <w:autoSpaceDN w:val="0"/>
              <w:adjustRightInd w:val="0"/>
              <w:ind w:left="96" w:right="-20"/>
              <w:jc w:val="both"/>
              <w:rPr>
                <w:b/>
                <w:bCs/>
                <w:sz w:val="20"/>
                <w:szCs w:val="20"/>
                <w:lang w:val="sr-Latn-ME" w:eastAsia="sr-Latn-CS"/>
              </w:rPr>
            </w:pPr>
          </w:p>
        </w:tc>
      </w:tr>
      <w:tr w:rsidR="00E43D38" w:rsidRPr="00B14EBB" w14:paraId="237AEE6D" w14:textId="77777777" w:rsidTr="0089376E">
        <w:trPr>
          <w:trHeight w:hRule="exact" w:val="2575"/>
        </w:trPr>
        <w:tc>
          <w:tcPr>
            <w:tcW w:w="1121" w:type="pct"/>
            <w:tcBorders>
              <w:top w:val="single" w:sz="4" w:space="0" w:color="000000"/>
              <w:left w:val="single" w:sz="4" w:space="0" w:color="000000"/>
              <w:bottom w:val="single" w:sz="4" w:space="0" w:color="000000"/>
              <w:right w:val="single" w:sz="4" w:space="0" w:color="000000"/>
            </w:tcBorders>
          </w:tcPr>
          <w:p w14:paraId="759200F7" w14:textId="77777777" w:rsidR="00E43D38" w:rsidRPr="00B14EBB" w:rsidRDefault="00E43D38" w:rsidP="00545126">
            <w:pPr>
              <w:widowControl w:val="0"/>
              <w:autoSpaceDE w:val="0"/>
              <w:autoSpaceDN w:val="0"/>
              <w:adjustRightInd w:val="0"/>
              <w:ind w:left="142"/>
              <w:rPr>
                <w:w w:val="103"/>
                <w:sz w:val="18"/>
                <w:szCs w:val="18"/>
                <w:lang w:val="sr-Latn-ME" w:eastAsia="sr-Latn-CS"/>
              </w:rPr>
            </w:pPr>
            <w:r w:rsidRPr="00B14EBB">
              <w:rPr>
                <w:sz w:val="18"/>
                <w:szCs w:val="18"/>
                <w:lang w:val="sr-Latn-ME" w:eastAsia="sr-Latn-CS"/>
              </w:rPr>
              <w:lastRenderedPageBreak/>
              <w:t>Inf</w:t>
            </w:r>
            <w:r w:rsidRPr="00B14EBB">
              <w:rPr>
                <w:spacing w:val="2"/>
                <w:sz w:val="18"/>
                <w:szCs w:val="18"/>
                <w:lang w:val="sr-Latn-ME" w:eastAsia="sr-Latn-CS"/>
              </w:rPr>
              <w:t>e</w:t>
            </w:r>
            <w:r w:rsidRPr="00B14EBB">
              <w:rPr>
                <w:spacing w:val="-1"/>
                <w:sz w:val="18"/>
                <w:szCs w:val="18"/>
                <w:lang w:val="sr-Latn-ME" w:eastAsia="sr-Latn-CS"/>
              </w:rPr>
              <w:t>k</w:t>
            </w:r>
            <w:r w:rsidRPr="00B14EBB">
              <w:rPr>
                <w:sz w:val="18"/>
                <w:szCs w:val="18"/>
                <w:lang w:val="sr-Latn-ME" w:eastAsia="sr-Latn-CS"/>
              </w:rPr>
              <w:t>cije</w:t>
            </w:r>
            <w:r w:rsidRPr="00B14EBB">
              <w:rPr>
                <w:spacing w:val="23"/>
                <w:sz w:val="18"/>
                <w:szCs w:val="18"/>
                <w:lang w:val="sr-Latn-ME" w:eastAsia="sr-Latn-CS"/>
              </w:rPr>
              <w:t xml:space="preserve"> </w:t>
            </w:r>
            <w:r w:rsidRPr="00B14EBB">
              <w:rPr>
                <w:sz w:val="18"/>
                <w:szCs w:val="18"/>
                <w:lang w:val="sr-Latn-ME" w:eastAsia="sr-Latn-CS"/>
              </w:rPr>
              <w:t>i</w:t>
            </w:r>
            <w:r w:rsidRPr="00B14EBB">
              <w:rPr>
                <w:spacing w:val="4"/>
                <w:sz w:val="18"/>
                <w:szCs w:val="18"/>
                <w:lang w:val="sr-Latn-ME" w:eastAsia="sr-Latn-CS"/>
              </w:rPr>
              <w:t xml:space="preserve"> </w:t>
            </w:r>
            <w:r w:rsidRPr="00B14EBB">
              <w:rPr>
                <w:spacing w:val="1"/>
                <w:w w:val="103"/>
                <w:sz w:val="18"/>
                <w:szCs w:val="18"/>
                <w:lang w:val="sr-Latn-ME" w:eastAsia="sr-Latn-CS"/>
              </w:rPr>
              <w:t>i</w:t>
            </w:r>
            <w:r w:rsidRPr="00B14EBB">
              <w:rPr>
                <w:w w:val="103"/>
                <w:sz w:val="18"/>
                <w:szCs w:val="18"/>
                <w:lang w:val="sr-Latn-ME" w:eastAsia="sr-Latn-CS"/>
              </w:rPr>
              <w:t>nfestaci</w:t>
            </w:r>
            <w:r w:rsidRPr="00B14EBB">
              <w:rPr>
                <w:spacing w:val="2"/>
                <w:w w:val="103"/>
                <w:sz w:val="18"/>
                <w:szCs w:val="18"/>
                <w:lang w:val="sr-Latn-ME" w:eastAsia="sr-Latn-CS"/>
              </w:rPr>
              <w:t>j</w:t>
            </w:r>
            <w:r w:rsidRPr="00B14EBB">
              <w:rPr>
                <w:w w:val="103"/>
                <w:sz w:val="18"/>
                <w:szCs w:val="18"/>
                <w:lang w:val="sr-Latn-ME" w:eastAsia="sr-Latn-CS"/>
              </w:rPr>
              <w:t xml:space="preserve">e </w:t>
            </w:r>
          </w:p>
          <w:p w14:paraId="7D3BF432"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559" w:type="pct"/>
            <w:tcBorders>
              <w:top w:val="single" w:sz="4" w:space="0" w:color="000000"/>
              <w:left w:val="single" w:sz="4" w:space="0" w:color="000000"/>
              <w:bottom w:val="single" w:sz="4" w:space="0" w:color="000000"/>
              <w:right w:val="single" w:sz="4" w:space="0" w:color="000000"/>
            </w:tcBorders>
          </w:tcPr>
          <w:p w14:paraId="001414BC" w14:textId="77777777" w:rsidR="00E43D38" w:rsidRPr="00B14EBB" w:rsidRDefault="00E43D38" w:rsidP="00545126">
            <w:pPr>
              <w:widowControl w:val="0"/>
              <w:autoSpaceDE w:val="0"/>
              <w:autoSpaceDN w:val="0"/>
              <w:adjustRightInd w:val="0"/>
              <w:spacing w:line="248" w:lineRule="auto"/>
              <w:ind w:left="142" w:firstLine="1"/>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57188673" w14:textId="523DB03F" w:rsidR="00E43D38" w:rsidRPr="00B14EBB" w:rsidRDefault="00E43D38" w:rsidP="00545126">
            <w:pPr>
              <w:widowControl w:val="0"/>
              <w:autoSpaceDE w:val="0"/>
              <w:autoSpaceDN w:val="0"/>
              <w:adjustRightInd w:val="0"/>
              <w:spacing w:line="248" w:lineRule="auto"/>
              <w:ind w:left="142" w:firstLine="1"/>
              <w:rPr>
                <w:sz w:val="18"/>
                <w:szCs w:val="18"/>
                <w:lang w:val="sr-Latn-ME" w:eastAsia="sr-Latn-CS"/>
              </w:rPr>
            </w:pPr>
            <w:r w:rsidRPr="00B14EBB">
              <w:rPr>
                <w:sz w:val="18"/>
                <w:szCs w:val="18"/>
                <w:lang w:val="sr-Latn-ME" w:eastAsia="sr-Latn-CS"/>
              </w:rPr>
              <w:t>grip, infekcija</w:t>
            </w:r>
            <w:r w:rsidRPr="00B14EBB">
              <w:rPr>
                <w:spacing w:val="24"/>
                <w:sz w:val="18"/>
                <w:szCs w:val="18"/>
                <w:lang w:val="sr-Latn-ME" w:eastAsia="sr-Latn-CS"/>
              </w:rPr>
              <w:t xml:space="preserve"> </w:t>
            </w:r>
            <w:r w:rsidRPr="00B14EBB">
              <w:rPr>
                <w:sz w:val="18"/>
                <w:szCs w:val="18"/>
                <w:lang w:val="sr-Latn-ME" w:eastAsia="sr-Latn-CS"/>
              </w:rPr>
              <w:t>gornjih</w:t>
            </w:r>
            <w:r w:rsidRPr="00B14EBB">
              <w:rPr>
                <w:spacing w:val="19"/>
                <w:sz w:val="18"/>
                <w:szCs w:val="18"/>
                <w:lang w:val="sr-Latn-ME" w:eastAsia="sr-Latn-CS"/>
              </w:rPr>
              <w:t xml:space="preserve"> </w:t>
            </w:r>
            <w:r w:rsidRPr="00B14EBB">
              <w:rPr>
                <w:sz w:val="18"/>
                <w:szCs w:val="18"/>
                <w:lang w:val="sr-Latn-ME" w:eastAsia="sr-Latn-CS"/>
              </w:rPr>
              <w:t>disajnih</w:t>
            </w:r>
            <w:r w:rsidRPr="00B14EBB">
              <w:rPr>
                <w:spacing w:val="18"/>
                <w:sz w:val="18"/>
                <w:szCs w:val="18"/>
                <w:lang w:val="sr-Latn-ME" w:eastAsia="sr-Latn-CS"/>
              </w:rPr>
              <w:t xml:space="preserve"> </w:t>
            </w:r>
            <w:r w:rsidRPr="00B14EBB">
              <w:rPr>
                <w:spacing w:val="-1"/>
                <w:sz w:val="18"/>
                <w:szCs w:val="18"/>
                <w:lang w:val="sr-Latn-ME" w:eastAsia="sr-Latn-CS"/>
              </w:rPr>
              <w:t>p</w:t>
            </w:r>
            <w:r w:rsidRPr="00B14EBB">
              <w:rPr>
                <w:sz w:val="18"/>
                <w:szCs w:val="18"/>
                <w:lang w:val="sr-Latn-ME" w:eastAsia="sr-Latn-CS"/>
              </w:rPr>
              <w:t>u</w:t>
            </w:r>
            <w:r w:rsidRPr="00B14EBB">
              <w:rPr>
                <w:spacing w:val="1"/>
                <w:sz w:val="18"/>
                <w:szCs w:val="18"/>
                <w:lang w:val="sr-Latn-ME" w:eastAsia="sr-Latn-CS"/>
              </w:rPr>
              <w:t>t</w:t>
            </w:r>
            <w:r w:rsidRPr="00B14EBB">
              <w:rPr>
                <w:sz w:val="18"/>
                <w:szCs w:val="18"/>
                <w:lang w:val="sr-Latn-ME" w:eastAsia="sr-Latn-CS"/>
              </w:rPr>
              <w:t>eva,</w:t>
            </w:r>
            <w:r w:rsidRPr="00B14EBB">
              <w:rPr>
                <w:spacing w:val="19"/>
                <w:sz w:val="18"/>
                <w:szCs w:val="18"/>
                <w:lang w:val="sr-Latn-ME" w:eastAsia="sr-Latn-CS"/>
              </w:rPr>
              <w:t xml:space="preserve"> </w:t>
            </w:r>
            <w:r w:rsidRPr="00B14EBB">
              <w:rPr>
                <w:sz w:val="18"/>
                <w:szCs w:val="18"/>
                <w:lang w:val="sr-Latn-ME" w:eastAsia="sr-Latn-CS"/>
              </w:rPr>
              <w:t>infekcija</w:t>
            </w:r>
            <w:r w:rsidRPr="00B14EBB">
              <w:rPr>
                <w:spacing w:val="25"/>
                <w:sz w:val="18"/>
                <w:szCs w:val="18"/>
                <w:lang w:val="sr-Latn-ME" w:eastAsia="sr-Latn-CS"/>
              </w:rPr>
              <w:t xml:space="preserve"> </w:t>
            </w:r>
            <w:r w:rsidRPr="00B14EBB">
              <w:rPr>
                <w:spacing w:val="-1"/>
                <w:sz w:val="18"/>
                <w:szCs w:val="18"/>
                <w:lang w:val="sr-Latn-ME" w:eastAsia="sr-Latn-CS"/>
              </w:rPr>
              <w:t>m</w:t>
            </w:r>
            <w:r w:rsidRPr="00B14EBB">
              <w:rPr>
                <w:sz w:val="18"/>
                <w:szCs w:val="18"/>
                <w:lang w:val="sr-Latn-ME" w:eastAsia="sr-Latn-CS"/>
              </w:rPr>
              <w:t>okra</w:t>
            </w:r>
            <w:r w:rsidRPr="00B14EBB">
              <w:rPr>
                <w:spacing w:val="-1"/>
                <w:sz w:val="18"/>
                <w:szCs w:val="18"/>
                <w:lang w:val="sr-Latn-ME" w:eastAsia="sr-Latn-CS"/>
              </w:rPr>
              <w:t>ćn</w:t>
            </w:r>
            <w:r w:rsidRPr="00B14EBB">
              <w:rPr>
                <w:spacing w:val="1"/>
                <w:sz w:val="18"/>
                <w:szCs w:val="18"/>
                <w:lang w:val="sr-Latn-ME" w:eastAsia="sr-Latn-CS"/>
              </w:rPr>
              <w:t>i</w:t>
            </w:r>
            <w:r w:rsidRPr="00B14EBB">
              <w:rPr>
                <w:sz w:val="18"/>
                <w:szCs w:val="18"/>
                <w:lang w:val="sr-Latn-ME" w:eastAsia="sr-Latn-CS"/>
              </w:rPr>
              <w:t>h</w:t>
            </w:r>
            <w:r w:rsidRPr="00B14EBB">
              <w:rPr>
                <w:spacing w:val="27"/>
                <w:sz w:val="18"/>
                <w:szCs w:val="18"/>
                <w:lang w:val="sr-Latn-ME" w:eastAsia="sr-Latn-CS"/>
              </w:rPr>
              <w:t xml:space="preserve"> </w:t>
            </w:r>
            <w:r w:rsidRPr="00B14EBB">
              <w:rPr>
                <w:w w:val="103"/>
                <w:sz w:val="18"/>
                <w:szCs w:val="18"/>
                <w:lang w:val="sr-Latn-ME" w:eastAsia="sr-Latn-CS"/>
              </w:rPr>
              <w:t>p</w:t>
            </w:r>
            <w:r w:rsidRPr="00B14EBB">
              <w:rPr>
                <w:spacing w:val="-1"/>
                <w:w w:val="103"/>
                <w:sz w:val="18"/>
                <w:szCs w:val="18"/>
                <w:lang w:val="sr-Latn-ME" w:eastAsia="sr-Latn-CS"/>
              </w:rPr>
              <w:t>u</w:t>
            </w:r>
            <w:r w:rsidRPr="00B14EBB">
              <w:rPr>
                <w:spacing w:val="1"/>
                <w:w w:val="103"/>
                <w:sz w:val="18"/>
                <w:szCs w:val="18"/>
                <w:lang w:val="sr-Latn-ME" w:eastAsia="sr-Latn-CS"/>
              </w:rPr>
              <w:t>te</w:t>
            </w:r>
            <w:r w:rsidRPr="00B14EBB">
              <w:rPr>
                <w:spacing w:val="-1"/>
                <w:w w:val="103"/>
                <w:sz w:val="18"/>
                <w:szCs w:val="18"/>
                <w:lang w:val="sr-Latn-ME" w:eastAsia="sr-Latn-CS"/>
              </w:rPr>
              <w:t>v</w:t>
            </w:r>
            <w:r w:rsidRPr="00B14EBB">
              <w:rPr>
                <w:w w:val="103"/>
                <w:sz w:val="18"/>
                <w:szCs w:val="18"/>
                <w:lang w:val="sr-Latn-ME" w:eastAsia="sr-Latn-CS"/>
              </w:rPr>
              <w:t>a,</w:t>
            </w:r>
            <w:r w:rsidRPr="00B14EBB">
              <w:rPr>
                <w:sz w:val="18"/>
                <w:szCs w:val="18"/>
                <w:lang w:val="sr-Latn-ME" w:eastAsia="sr-Latn-CS"/>
              </w:rPr>
              <w:t xml:space="preserve"> bronhitis, sinuzitis, faringitis, cistitis, virusni gastroenteritis, </w:t>
            </w:r>
            <w:r w:rsidR="00036196" w:rsidRPr="00B14EBB">
              <w:rPr>
                <w:sz w:val="18"/>
                <w:szCs w:val="18"/>
                <w:lang w:val="sr-Latn-ME" w:eastAsia="sr-Latn-CS"/>
              </w:rPr>
              <w:t>infekcij</w:t>
            </w:r>
            <w:r w:rsidR="00280F21">
              <w:rPr>
                <w:sz w:val="18"/>
                <w:szCs w:val="18"/>
                <w:lang w:val="sr-Latn-ME" w:eastAsia="sr-Latn-CS"/>
              </w:rPr>
              <w:t>e</w:t>
            </w:r>
            <w:r w:rsidR="00036196" w:rsidRPr="00B14EBB">
              <w:rPr>
                <w:sz w:val="18"/>
                <w:szCs w:val="18"/>
                <w:lang w:val="sr-Latn-ME" w:eastAsia="sr-Latn-CS"/>
              </w:rPr>
              <w:t xml:space="preserve"> </w:t>
            </w:r>
            <w:r w:rsidRPr="00B14EBB">
              <w:rPr>
                <w:sz w:val="18"/>
                <w:szCs w:val="18"/>
                <w:lang w:val="sr-Latn-ME" w:eastAsia="sr-Latn-CS"/>
              </w:rPr>
              <w:t>herpes</w:t>
            </w:r>
            <w:r w:rsidR="00036196" w:rsidRPr="00B14EBB">
              <w:rPr>
                <w:sz w:val="18"/>
                <w:szCs w:val="18"/>
                <w:lang w:val="sr-Latn-ME" w:eastAsia="sr-Latn-CS"/>
              </w:rPr>
              <w:t xml:space="preserve"> virusom</w:t>
            </w:r>
            <w:r w:rsidR="00036196" w:rsidRPr="00B14EBB">
              <w:rPr>
                <w:sz w:val="18"/>
                <w:szCs w:val="18"/>
                <w:vertAlign w:val="superscript"/>
                <w:lang w:val="sr-Latn-ME" w:eastAsia="sr-Latn-CS"/>
              </w:rPr>
              <w:t>b</w:t>
            </w:r>
            <w:r w:rsidRPr="00B14EBB">
              <w:rPr>
                <w:sz w:val="18"/>
                <w:szCs w:val="18"/>
                <w:lang w:val="sr-Latn-ME" w:eastAsia="sr-Latn-CS"/>
              </w:rPr>
              <w:t>, infekcija zuba,</w:t>
            </w:r>
            <w:r w:rsidR="00280F21">
              <w:rPr>
                <w:sz w:val="18"/>
                <w:szCs w:val="18"/>
                <w:lang w:val="sr-Latn-ME" w:eastAsia="sr-Latn-CS"/>
              </w:rPr>
              <w:t xml:space="preserve"> </w:t>
            </w:r>
            <w:r w:rsidRPr="00B14EBB">
              <w:rPr>
                <w:sz w:val="18"/>
                <w:szCs w:val="18"/>
                <w:lang w:val="sr-Latn-ME" w:eastAsia="sr-Latn-CS"/>
              </w:rPr>
              <w:t>laringitis, atletsko stopalo</w:t>
            </w:r>
          </w:p>
        </w:tc>
        <w:tc>
          <w:tcPr>
            <w:tcW w:w="726" w:type="pct"/>
            <w:tcBorders>
              <w:top w:val="single" w:sz="4" w:space="0" w:color="000000"/>
              <w:left w:val="single" w:sz="4" w:space="0" w:color="000000"/>
              <w:bottom w:val="single" w:sz="4" w:space="0" w:color="000000"/>
              <w:right w:val="single" w:sz="4" w:space="0" w:color="000000"/>
            </w:tcBorders>
          </w:tcPr>
          <w:p w14:paraId="62EACA0F"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ozbiljne infekcije, uključujući sepsu</w:t>
            </w:r>
            <w:r w:rsidRPr="00B14EBB">
              <w:rPr>
                <w:sz w:val="18"/>
                <w:szCs w:val="18"/>
                <w:vertAlign w:val="superscript"/>
                <w:lang w:val="sr-Latn-ME" w:eastAsia="sr-Latn-CS"/>
              </w:rPr>
              <w:t>a</w:t>
            </w:r>
          </w:p>
        </w:tc>
        <w:tc>
          <w:tcPr>
            <w:tcW w:w="456" w:type="pct"/>
            <w:tcBorders>
              <w:top w:val="single" w:sz="4" w:space="0" w:color="000000"/>
              <w:left w:val="single" w:sz="4" w:space="0" w:color="000000"/>
              <w:bottom w:val="single" w:sz="4" w:space="0" w:color="000000"/>
              <w:right w:val="single" w:sz="4" w:space="0" w:color="000000"/>
            </w:tcBorders>
          </w:tcPr>
          <w:p w14:paraId="64568AF2" w14:textId="77777777" w:rsidR="00E43D38" w:rsidRPr="00B14EBB" w:rsidRDefault="00E43D38" w:rsidP="00545126">
            <w:pPr>
              <w:widowControl w:val="0"/>
              <w:tabs>
                <w:tab w:val="left" w:pos="2452"/>
              </w:tabs>
              <w:autoSpaceDE w:val="0"/>
              <w:autoSpaceDN w:val="0"/>
              <w:adjustRightInd w:val="0"/>
              <w:spacing w:line="249" w:lineRule="auto"/>
              <w:ind w:left="142"/>
              <w:rPr>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671D5C86" w14:textId="77777777" w:rsidR="00E43D38" w:rsidRPr="00B14EBB" w:rsidRDefault="00E43D38" w:rsidP="00545126">
            <w:pPr>
              <w:widowControl w:val="0"/>
              <w:tabs>
                <w:tab w:val="left" w:pos="2452"/>
              </w:tabs>
              <w:autoSpaceDE w:val="0"/>
              <w:autoSpaceDN w:val="0"/>
              <w:adjustRightInd w:val="0"/>
              <w:spacing w:line="249" w:lineRule="auto"/>
              <w:ind w:left="142"/>
              <w:rPr>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6C736F1F" w14:textId="77777777" w:rsidR="00E43D38" w:rsidRPr="00B14EBB" w:rsidRDefault="00E43D38" w:rsidP="00545126">
            <w:pPr>
              <w:widowControl w:val="0"/>
              <w:tabs>
                <w:tab w:val="left" w:pos="2452"/>
              </w:tabs>
              <w:autoSpaceDE w:val="0"/>
              <w:autoSpaceDN w:val="0"/>
              <w:adjustRightInd w:val="0"/>
              <w:spacing w:line="249" w:lineRule="auto"/>
              <w:ind w:left="142"/>
              <w:rPr>
                <w:sz w:val="18"/>
                <w:szCs w:val="18"/>
                <w:vertAlign w:val="superscript"/>
                <w:lang w:val="sr-Latn-ME" w:eastAsia="sr-Latn-CS"/>
              </w:rPr>
            </w:pPr>
          </w:p>
        </w:tc>
      </w:tr>
      <w:tr w:rsidR="00E43D38" w:rsidRPr="005D5EBF" w14:paraId="143116F8" w14:textId="77777777" w:rsidTr="00A667D8">
        <w:trPr>
          <w:trHeight w:hRule="exact" w:val="1126"/>
        </w:trPr>
        <w:tc>
          <w:tcPr>
            <w:tcW w:w="1121" w:type="pct"/>
            <w:tcBorders>
              <w:top w:val="single" w:sz="4" w:space="0" w:color="000000"/>
              <w:left w:val="single" w:sz="4" w:space="0" w:color="000000"/>
              <w:bottom w:val="single" w:sz="4" w:space="0" w:color="000000"/>
              <w:right w:val="single" w:sz="4" w:space="0" w:color="000000"/>
            </w:tcBorders>
          </w:tcPr>
          <w:p w14:paraId="3E19904F" w14:textId="77777777" w:rsidR="00E43D38" w:rsidRPr="00B14EBB" w:rsidRDefault="00E43D38" w:rsidP="00545126">
            <w:pPr>
              <w:widowControl w:val="0"/>
              <w:autoSpaceDE w:val="0"/>
              <w:autoSpaceDN w:val="0"/>
              <w:adjustRightInd w:val="0"/>
              <w:spacing w:line="246" w:lineRule="auto"/>
              <w:ind w:left="142"/>
              <w:rPr>
                <w:sz w:val="18"/>
                <w:szCs w:val="18"/>
                <w:lang w:val="sr-Latn-ME" w:eastAsia="sr-Latn-CS"/>
              </w:rPr>
            </w:pPr>
            <w:r w:rsidRPr="00B14EBB">
              <w:rPr>
                <w:sz w:val="18"/>
                <w:szCs w:val="18"/>
                <w:lang w:val="sr-Latn-ME" w:eastAsia="sr-Latn-CS"/>
              </w:rPr>
              <w:t>Por</w:t>
            </w:r>
            <w:r w:rsidRPr="00B14EBB">
              <w:rPr>
                <w:spacing w:val="2"/>
                <w:sz w:val="18"/>
                <w:szCs w:val="18"/>
                <w:lang w:val="sr-Latn-ME" w:eastAsia="sr-Latn-CS"/>
              </w:rPr>
              <w:t>e</w:t>
            </w:r>
            <w:r w:rsidRPr="00B14EBB">
              <w:rPr>
                <w:spacing w:val="-1"/>
                <w:sz w:val="18"/>
                <w:szCs w:val="18"/>
                <w:lang w:val="sr-Latn-ME" w:eastAsia="sr-Latn-CS"/>
              </w:rPr>
              <w:t>m</w:t>
            </w:r>
            <w:r w:rsidRPr="00B14EBB">
              <w:rPr>
                <w:sz w:val="18"/>
                <w:szCs w:val="18"/>
                <w:lang w:val="sr-Latn-ME" w:eastAsia="sr-Latn-CS"/>
              </w:rPr>
              <w:t>e</w:t>
            </w:r>
            <w:r w:rsidRPr="00B14EBB">
              <w:rPr>
                <w:spacing w:val="1"/>
                <w:sz w:val="18"/>
                <w:szCs w:val="18"/>
                <w:lang w:val="sr-Latn-ME" w:eastAsia="sr-Latn-CS"/>
              </w:rPr>
              <w:t>ć</w:t>
            </w:r>
            <w:r w:rsidRPr="00B14EBB">
              <w:rPr>
                <w:sz w:val="18"/>
                <w:szCs w:val="18"/>
                <w:lang w:val="sr-Latn-ME" w:eastAsia="sr-Latn-CS"/>
              </w:rPr>
              <w:t>aji</w:t>
            </w:r>
            <w:r w:rsidRPr="00B14EBB">
              <w:rPr>
                <w:spacing w:val="30"/>
                <w:sz w:val="18"/>
                <w:szCs w:val="18"/>
                <w:lang w:val="sr-Latn-ME" w:eastAsia="sr-Latn-CS"/>
              </w:rPr>
              <w:t xml:space="preserve"> </w:t>
            </w:r>
            <w:r w:rsidRPr="00B14EBB">
              <w:rPr>
                <w:spacing w:val="-1"/>
                <w:sz w:val="18"/>
                <w:szCs w:val="18"/>
                <w:lang w:val="sr-Latn-ME" w:eastAsia="sr-Latn-CS"/>
              </w:rPr>
              <w:t>k</w:t>
            </w:r>
            <w:r w:rsidRPr="00B14EBB">
              <w:rPr>
                <w:spacing w:val="2"/>
                <w:sz w:val="18"/>
                <w:szCs w:val="18"/>
                <w:lang w:val="sr-Latn-ME" w:eastAsia="sr-Latn-CS"/>
              </w:rPr>
              <w:t>r</w:t>
            </w:r>
            <w:r w:rsidRPr="00B14EBB">
              <w:rPr>
                <w:spacing w:val="-1"/>
                <w:sz w:val="18"/>
                <w:szCs w:val="18"/>
                <w:lang w:val="sr-Latn-ME" w:eastAsia="sr-Latn-CS"/>
              </w:rPr>
              <w:t>v</w:t>
            </w:r>
            <w:r w:rsidRPr="00B14EBB">
              <w:rPr>
                <w:sz w:val="18"/>
                <w:szCs w:val="18"/>
                <w:lang w:val="sr-Latn-ME" w:eastAsia="sr-Latn-CS"/>
              </w:rPr>
              <w:t>i</w:t>
            </w:r>
            <w:r w:rsidRPr="00B14EBB">
              <w:rPr>
                <w:spacing w:val="12"/>
                <w:sz w:val="18"/>
                <w:szCs w:val="18"/>
                <w:lang w:val="sr-Latn-ME" w:eastAsia="sr-Latn-CS"/>
              </w:rPr>
              <w:t xml:space="preserve"> </w:t>
            </w:r>
            <w:r w:rsidRPr="00B14EBB">
              <w:rPr>
                <w:sz w:val="18"/>
                <w:szCs w:val="18"/>
                <w:lang w:val="sr-Latn-ME" w:eastAsia="sr-Latn-CS"/>
              </w:rPr>
              <w:t>i</w:t>
            </w:r>
            <w:r w:rsidRPr="00B14EBB">
              <w:rPr>
                <w:spacing w:val="3"/>
                <w:sz w:val="18"/>
                <w:szCs w:val="18"/>
                <w:lang w:val="sr-Latn-ME" w:eastAsia="sr-Latn-CS"/>
              </w:rPr>
              <w:t xml:space="preserve"> </w:t>
            </w:r>
            <w:r w:rsidRPr="00B14EBB">
              <w:rPr>
                <w:sz w:val="18"/>
                <w:szCs w:val="18"/>
                <w:lang w:val="sr-Latn-ME" w:eastAsia="sr-Latn-CS"/>
              </w:rPr>
              <w:t>l</w:t>
            </w:r>
            <w:r w:rsidRPr="00B14EBB">
              <w:rPr>
                <w:spacing w:val="1"/>
                <w:sz w:val="18"/>
                <w:szCs w:val="18"/>
                <w:lang w:val="sr-Latn-ME" w:eastAsia="sr-Latn-CS"/>
              </w:rPr>
              <w:t>i</w:t>
            </w:r>
            <w:r w:rsidRPr="00B14EBB">
              <w:rPr>
                <w:spacing w:val="-1"/>
                <w:sz w:val="18"/>
                <w:szCs w:val="18"/>
                <w:lang w:val="sr-Latn-ME" w:eastAsia="sr-Latn-CS"/>
              </w:rPr>
              <w:t>m</w:t>
            </w:r>
            <w:r w:rsidRPr="00B14EBB">
              <w:rPr>
                <w:sz w:val="18"/>
                <w:szCs w:val="18"/>
                <w:lang w:val="sr-Latn-ME" w:eastAsia="sr-Latn-CS"/>
              </w:rPr>
              <w:t>f</w:t>
            </w:r>
            <w:r w:rsidRPr="00B14EBB">
              <w:rPr>
                <w:spacing w:val="1"/>
                <w:sz w:val="18"/>
                <w:szCs w:val="18"/>
                <w:lang w:val="sr-Latn-ME" w:eastAsia="sr-Latn-CS"/>
              </w:rPr>
              <w:t>n</w:t>
            </w:r>
            <w:r w:rsidRPr="00B14EBB">
              <w:rPr>
                <w:sz w:val="18"/>
                <w:szCs w:val="18"/>
                <w:lang w:val="sr-Latn-ME" w:eastAsia="sr-Latn-CS"/>
              </w:rPr>
              <w:t>og</w:t>
            </w:r>
            <w:r w:rsidRPr="00B14EBB">
              <w:rPr>
                <w:spacing w:val="21"/>
                <w:sz w:val="18"/>
                <w:szCs w:val="18"/>
                <w:lang w:val="sr-Latn-ME" w:eastAsia="sr-Latn-CS"/>
              </w:rPr>
              <w:t xml:space="preserve"> </w:t>
            </w:r>
            <w:r w:rsidRPr="00B14EBB">
              <w:rPr>
                <w:w w:val="103"/>
                <w:sz w:val="18"/>
                <w:szCs w:val="18"/>
                <w:lang w:val="sr-Latn-ME" w:eastAsia="sr-Latn-CS"/>
              </w:rPr>
              <w:t>sistema</w:t>
            </w:r>
          </w:p>
        </w:tc>
        <w:tc>
          <w:tcPr>
            <w:tcW w:w="559" w:type="pct"/>
            <w:tcBorders>
              <w:top w:val="single" w:sz="4" w:space="0" w:color="000000"/>
              <w:left w:val="single" w:sz="4" w:space="0" w:color="000000"/>
              <w:bottom w:val="single" w:sz="4" w:space="0" w:color="000000"/>
              <w:right w:val="single" w:sz="4" w:space="0" w:color="000000"/>
            </w:tcBorders>
          </w:tcPr>
          <w:p w14:paraId="75C1EFD4" w14:textId="77777777" w:rsidR="00E43D38" w:rsidRPr="00B14EBB" w:rsidRDefault="00E43D38" w:rsidP="00545126">
            <w:pPr>
              <w:widowControl w:val="0"/>
              <w:autoSpaceDE w:val="0"/>
              <w:autoSpaceDN w:val="0"/>
              <w:adjustRightInd w:val="0"/>
              <w:spacing w:line="246" w:lineRule="auto"/>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2C1A7CA5"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neutropenija</w:t>
            </w:r>
            <w:r w:rsidRPr="00B14EBB">
              <w:rPr>
                <w:sz w:val="18"/>
                <w:szCs w:val="18"/>
                <w:vertAlign w:val="superscript"/>
                <w:lang w:val="sr-Latn-ME" w:eastAsia="sr-Latn-CS"/>
              </w:rPr>
              <w:t>b</w:t>
            </w:r>
            <w:r w:rsidRPr="00B14EBB">
              <w:rPr>
                <w:sz w:val="18"/>
                <w:szCs w:val="18"/>
                <w:lang w:val="sr-Latn-ME" w:eastAsia="sr-Latn-CS"/>
              </w:rPr>
              <w:t>,</w:t>
            </w:r>
          </w:p>
          <w:p w14:paraId="0F2C9DB0" w14:textId="77777777" w:rsidR="00E43D38" w:rsidRPr="00B14EBB" w:rsidRDefault="00E43D38" w:rsidP="00545126">
            <w:pPr>
              <w:widowControl w:val="0"/>
              <w:autoSpaceDE w:val="0"/>
              <w:autoSpaceDN w:val="0"/>
              <w:adjustRightInd w:val="0"/>
              <w:ind w:left="142"/>
              <w:rPr>
                <w:sz w:val="18"/>
                <w:szCs w:val="18"/>
                <w:vertAlign w:val="superscript"/>
                <w:lang w:val="sr-Latn-ME" w:eastAsia="sr-Latn-CS"/>
              </w:rPr>
            </w:pPr>
            <w:r w:rsidRPr="00B14EBB">
              <w:rPr>
                <w:sz w:val="18"/>
                <w:szCs w:val="18"/>
                <w:lang w:val="sr-Latn-ME" w:eastAsia="sr-Latn-CS"/>
              </w:rPr>
              <w:t>anemija</w:t>
            </w:r>
          </w:p>
        </w:tc>
        <w:tc>
          <w:tcPr>
            <w:tcW w:w="726" w:type="pct"/>
            <w:tcBorders>
              <w:top w:val="single" w:sz="4" w:space="0" w:color="000000"/>
              <w:left w:val="single" w:sz="4" w:space="0" w:color="000000"/>
              <w:bottom w:val="single" w:sz="4" w:space="0" w:color="000000"/>
              <w:right w:val="single" w:sz="4" w:space="0" w:color="000000"/>
            </w:tcBorders>
          </w:tcPr>
          <w:p w14:paraId="3DAA10F3" w14:textId="77777777" w:rsidR="00E43D38" w:rsidRPr="00B14EBB" w:rsidRDefault="00E43D38" w:rsidP="00545126">
            <w:pPr>
              <w:widowControl w:val="0"/>
              <w:autoSpaceDE w:val="0"/>
              <w:autoSpaceDN w:val="0"/>
              <w:adjustRightInd w:val="0"/>
              <w:spacing w:line="246" w:lineRule="auto"/>
              <w:ind w:left="142"/>
              <w:rPr>
                <w:sz w:val="18"/>
                <w:szCs w:val="18"/>
                <w:lang w:val="sr-Latn-ME" w:eastAsia="sr-Latn-CS"/>
              </w:rPr>
            </w:pPr>
            <w:r w:rsidRPr="00B14EBB">
              <w:rPr>
                <w:sz w:val="18"/>
                <w:szCs w:val="18"/>
                <w:lang w:val="sr-Latn-ME" w:eastAsia="sr-Latn-CS"/>
              </w:rPr>
              <w:t>blaga</w:t>
            </w:r>
          </w:p>
          <w:p w14:paraId="405913F8" w14:textId="77777777" w:rsidR="00E43D38" w:rsidRPr="00B14EBB" w:rsidRDefault="00E43D38" w:rsidP="00545126">
            <w:pPr>
              <w:widowControl w:val="0"/>
              <w:autoSpaceDE w:val="0"/>
              <w:autoSpaceDN w:val="0"/>
              <w:adjustRightInd w:val="0"/>
              <w:spacing w:line="246" w:lineRule="auto"/>
              <w:ind w:left="142"/>
              <w:rPr>
                <w:sz w:val="18"/>
                <w:szCs w:val="18"/>
                <w:lang w:val="sr-Latn-ME" w:eastAsia="sr-Latn-CS"/>
              </w:rPr>
            </w:pPr>
            <w:r w:rsidRPr="00B14EBB">
              <w:rPr>
                <w:sz w:val="18"/>
                <w:szCs w:val="18"/>
                <w:lang w:val="sr-Latn-ME" w:eastAsia="sr-Latn-CS"/>
              </w:rPr>
              <w:t>trombocitopenija</w:t>
            </w:r>
          </w:p>
          <w:p w14:paraId="345FD4D4" w14:textId="17C4135E" w:rsidR="00E43D38" w:rsidRPr="00B14EBB" w:rsidRDefault="00E43D38" w:rsidP="00545126">
            <w:pPr>
              <w:widowControl w:val="0"/>
              <w:autoSpaceDE w:val="0"/>
              <w:autoSpaceDN w:val="0"/>
              <w:adjustRightInd w:val="0"/>
              <w:spacing w:line="246" w:lineRule="auto"/>
              <w:ind w:left="142"/>
              <w:rPr>
                <w:sz w:val="18"/>
                <w:szCs w:val="18"/>
                <w:lang w:val="sr-Latn-ME" w:eastAsia="sr-Latn-CS"/>
              </w:rPr>
            </w:pPr>
            <w:r w:rsidRPr="00B14EBB">
              <w:rPr>
                <w:sz w:val="18"/>
                <w:szCs w:val="18"/>
                <w:lang w:val="sr-Latn-ME" w:eastAsia="sr-Latn-CS"/>
              </w:rPr>
              <w:t>(trombociti&lt;100 G</w:t>
            </w:r>
            <w:r w:rsidR="00545126">
              <w:rPr>
                <w:sz w:val="18"/>
                <w:szCs w:val="18"/>
                <w:lang w:val="sr-Latn-ME" w:eastAsia="sr-Latn-CS"/>
              </w:rPr>
              <w:t>/l</w:t>
            </w:r>
            <w:r w:rsidRPr="00B14EBB">
              <w:rPr>
                <w:sz w:val="18"/>
                <w:szCs w:val="18"/>
                <w:lang w:val="sr-Latn-ME" w:eastAsia="sr-Latn-CS"/>
              </w:rPr>
              <w:t>)</w:t>
            </w:r>
          </w:p>
        </w:tc>
        <w:tc>
          <w:tcPr>
            <w:tcW w:w="456" w:type="pct"/>
            <w:tcBorders>
              <w:top w:val="single" w:sz="4" w:space="0" w:color="000000"/>
              <w:left w:val="single" w:sz="4" w:space="0" w:color="000000"/>
              <w:bottom w:val="single" w:sz="4" w:space="0" w:color="000000"/>
              <w:right w:val="single" w:sz="4" w:space="0" w:color="000000"/>
            </w:tcBorders>
          </w:tcPr>
          <w:p w14:paraId="5B74AAA5" w14:textId="77777777" w:rsidR="00E43D38" w:rsidRPr="00B14EBB" w:rsidRDefault="00E43D38" w:rsidP="00545126">
            <w:pPr>
              <w:widowControl w:val="0"/>
              <w:tabs>
                <w:tab w:val="left" w:pos="2452"/>
              </w:tabs>
              <w:autoSpaceDE w:val="0"/>
              <w:autoSpaceDN w:val="0"/>
              <w:adjustRightInd w:val="0"/>
              <w:spacing w:line="246" w:lineRule="auto"/>
              <w:ind w:left="142"/>
              <w:rPr>
                <w:spacing w:val="1"/>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25C36FC8" w14:textId="77777777" w:rsidR="00E43D38" w:rsidRPr="00B14EBB" w:rsidRDefault="00E43D38" w:rsidP="00545126">
            <w:pPr>
              <w:widowControl w:val="0"/>
              <w:tabs>
                <w:tab w:val="left" w:pos="2452"/>
              </w:tabs>
              <w:autoSpaceDE w:val="0"/>
              <w:autoSpaceDN w:val="0"/>
              <w:adjustRightInd w:val="0"/>
              <w:spacing w:line="246" w:lineRule="auto"/>
              <w:ind w:left="142"/>
              <w:rPr>
                <w:spacing w:val="1"/>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55A41E73" w14:textId="77777777" w:rsidR="00E43D38" w:rsidRPr="00B14EBB" w:rsidRDefault="00E43D38" w:rsidP="00545126">
            <w:pPr>
              <w:widowControl w:val="0"/>
              <w:tabs>
                <w:tab w:val="left" w:pos="2452"/>
              </w:tabs>
              <w:autoSpaceDE w:val="0"/>
              <w:autoSpaceDN w:val="0"/>
              <w:adjustRightInd w:val="0"/>
              <w:spacing w:line="246" w:lineRule="auto"/>
              <w:ind w:left="142"/>
              <w:rPr>
                <w:spacing w:val="1"/>
                <w:sz w:val="20"/>
                <w:szCs w:val="20"/>
                <w:lang w:val="sr-Latn-ME" w:eastAsia="sr-Latn-CS"/>
              </w:rPr>
            </w:pPr>
          </w:p>
        </w:tc>
      </w:tr>
      <w:tr w:rsidR="00E43D38" w:rsidRPr="005D5EBF" w14:paraId="4D87F700" w14:textId="77777777" w:rsidTr="00A667D8">
        <w:trPr>
          <w:trHeight w:hRule="exact" w:val="1568"/>
        </w:trPr>
        <w:tc>
          <w:tcPr>
            <w:tcW w:w="1121" w:type="pct"/>
            <w:tcBorders>
              <w:top w:val="single" w:sz="4" w:space="0" w:color="000000"/>
              <w:left w:val="single" w:sz="4" w:space="0" w:color="000000"/>
              <w:bottom w:val="single" w:sz="4" w:space="0" w:color="000000"/>
              <w:right w:val="single" w:sz="4" w:space="0" w:color="000000"/>
            </w:tcBorders>
          </w:tcPr>
          <w:p w14:paraId="3A4ADEDE"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Por</w:t>
            </w:r>
            <w:r w:rsidRPr="00B14EBB">
              <w:rPr>
                <w:spacing w:val="2"/>
                <w:sz w:val="18"/>
                <w:szCs w:val="18"/>
                <w:lang w:val="sr-Latn-ME" w:eastAsia="sr-Latn-CS"/>
              </w:rPr>
              <w:t>e</w:t>
            </w:r>
            <w:r w:rsidRPr="00B14EBB">
              <w:rPr>
                <w:spacing w:val="-1"/>
                <w:sz w:val="18"/>
                <w:szCs w:val="18"/>
                <w:lang w:val="sr-Latn-ME" w:eastAsia="sr-Latn-CS"/>
              </w:rPr>
              <w:t>m</w:t>
            </w:r>
            <w:r w:rsidRPr="00B14EBB">
              <w:rPr>
                <w:sz w:val="18"/>
                <w:szCs w:val="18"/>
                <w:lang w:val="sr-Latn-ME" w:eastAsia="sr-Latn-CS"/>
              </w:rPr>
              <w:t>e</w:t>
            </w:r>
            <w:r w:rsidRPr="00B14EBB">
              <w:rPr>
                <w:spacing w:val="1"/>
                <w:sz w:val="18"/>
                <w:szCs w:val="18"/>
                <w:lang w:val="sr-Latn-ME" w:eastAsia="sr-Latn-CS"/>
              </w:rPr>
              <w:t>ć</w:t>
            </w:r>
            <w:r w:rsidRPr="00B14EBB">
              <w:rPr>
                <w:sz w:val="18"/>
                <w:szCs w:val="18"/>
                <w:lang w:val="sr-Latn-ME" w:eastAsia="sr-Latn-CS"/>
              </w:rPr>
              <w:t>aji</w:t>
            </w:r>
            <w:r w:rsidRPr="00B14EBB">
              <w:rPr>
                <w:spacing w:val="28"/>
                <w:sz w:val="18"/>
                <w:szCs w:val="18"/>
                <w:lang w:val="sr-Latn-ME" w:eastAsia="sr-Latn-CS"/>
              </w:rPr>
              <w:t xml:space="preserve"> </w:t>
            </w:r>
            <w:r w:rsidRPr="00B14EBB">
              <w:rPr>
                <w:spacing w:val="1"/>
                <w:sz w:val="18"/>
                <w:szCs w:val="18"/>
                <w:lang w:val="sr-Latn-ME" w:eastAsia="sr-Latn-CS"/>
              </w:rPr>
              <w:t>i</w:t>
            </w:r>
            <w:r w:rsidRPr="00B14EBB">
              <w:rPr>
                <w:spacing w:val="-1"/>
                <w:sz w:val="18"/>
                <w:szCs w:val="18"/>
                <w:lang w:val="sr-Latn-ME" w:eastAsia="sr-Latn-CS"/>
              </w:rPr>
              <w:t>m</w:t>
            </w:r>
            <w:r w:rsidRPr="00B14EBB">
              <w:rPr>
                <w:sz w:val="18"/>
                <w:szCs w:val="18"/>
                <w:lang w:val="sr-Latn-ME" w:eastAsia="sr-Latn-CS"/>
              </w:rPr>
              <w:t>u</w:t>
            </w:r>
            <w:r w:rsidRPr="00B14EBB">
              <w:rPr>
                <w:spacing w:val="1"/>
                <w:sz w:val="18"/>
                <w:szCs w:val="18"/>
                <w:lang w:val="sr-Latn-ME" w:eastAsia="sr-Latn-CS"/>
              </w:rPr>
              <w:t>nsk</w:t>
            </w:r>
            <w:r w:rsidRPr="00B14EBB">
              <w:rPr>
                <w:sz w:val="18"/>
                <w:szCs w:val="18"/>
                <w:lang w:val="sr-Latn-ME" w:eastAsia="sr-Latn-CS"/>
              </w:rPr>
              <w:t>og</w:t>
            </w:r>
            <w:r w:rsidRPr="00B14EBB">
              <w:rPr>
                <w:spacing w:val="34"/>
                <w:sz w:val="18"/>
                <w:szCs w:val="18"/>
                <w:lang w:val="sr-Latn-ME" w:eastAsia="sr-Latn-CS"/>
              </w:rPr>
              <w:t xml:space="preserve"> </w:t>
            </w:r>
            <w:r w:rsidRPr="00B14EBB">
              <w:rPr>
                <w:w w:val="103"/>
                <w:sz w:val="18"/>
                <w:szCs w:val="18"/>
                <w:lang w:val="sr-Latn-ME" w:eastAsia="sr-Latn-CS"/>
              </w:rPr>
              <w:t>sistema</w:t>
            </w:r>
          </w:p>
        </w:tc>
        <w:tc>
          <w:tcPr>
            <w:tcW w:w="559" w:type="pct"/>
            <w:tcBorders>
              <w:top w:val="single" w:sz="4" w:space="0" w:color="000000"/>
              <w:left w:val="single" w:sz="4" w:space="0" w:color="000000"/>
              <w:bottom w:val="single" w:sz="4" w:space="0" w:color="000000"/>
              <w:right w:val="single" w:sz="4" w:space="0" w:color="000000"/>
            </w:tcBorders>
          </w:tcPr>
          <w:p w14:paraId="6554BC05"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7EBDEFB1"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blage alergijske reakcije</w:t>
            </w:r>
          </w:p>
        </w:tc>
        <w:tc>
          <w:tcPr>
            <w:tcW w:w="726" w:type="pct"/>
            <w:tcBorders>
              <w:top w:val="single" w:sz="4" w:space="0" w:color="000000"/>
              <w:left w:val="single" w:sz="4" w:space="0" w:color="000000"/>
              <w:bottom w:val="single" w:sz="4" w:space="0" w:color="000000"/>
              <w:right w:val="single" w:sz="4" w:space="0" w:color="000000"/>
            </w:tcBorders>
          </w:tcPr>
          <w:p w14:paraId="57A15E5F" w14:textId="661BDC8E"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reakcije preos</w:t>
            </w:r>
            <w:r w:rsidR="00E24715" w:rsidRPr="00B14EBB">
              <w:rPr>
                <w:sz w:val="18"/>
                <w:szCs w:val="18"/>
                <w:lang w:val="sr-Latn-ME" w:eastAsia="sr-Latn-CS"/>
              </w:rPr>
              <w:t>j</w:t>
            </w:r>
            <w:r w:rsidRPr="00B14EBB">
              <w:rPr>
                <w:sz w:val="18"/>
                <w:szCs w:val="18"/>
                <w:lang w:val="sr-Latn-ME" w:eastAsia="sr-Latn-CS"/>
              </w:rPr>
              <w:t>etljivosti (trenutne ili odložene), uključujući anafilaksu i angioedem</w:t>
            </w:r>
          </w:p>
        </w:tc>
        <w:tc>
          <w:tcPr>
            <w:tcW w:w="456" w:type="pct"/>
            <w:tcBorders>
              <w:top w:val="single" w:sz="4" w:space="0" w:color="000000"/>
              <w:left w:val="single" w:sz="4" w:space="0" w:color="000000"/>
              <w:bottom w:val="single" w:sz="4" w:space="0" w:color="000000"/>
              <w:right w:val="single" w:sz="4" w:space="0" w:color="000000"/>
            </w:tcBorders>
          </w:tcPr>
          <w:p w14:paraId="64AE5321"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0EB7F30E"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41F4204D" w14:textId="77777777" w:rsidR="00E43D38" w:rsidRPr="00B14EBB" w:rsidRDefault="00E43D38" w:rsidP="00545126">
            <w:pPr>
              <w:widowControl w:val="0"/>
              <w:tabs>
                <w:tab w:val="left" w:pos="2452"/>
              </w:tabs>
              <w:autoSpaceDE w:val="0"/>
              <w:autoSpaceDN w:val="0"/>
              <w:adjustRightInd w:val="0"/>
              <w:ind w:left="142"/>
              <w:rPr>
                <w:sz w:val="18"/>
                <w:szCs w:val="18"/>
                <w:lang w:val="sr-Latn-ME" w:eastAsia="sr-Latn-CS"/>
              </w:rPr>
            </w:pPr>
          </w:p>
        </w:tc>
      </w:tr>
      <w:tr w:rsidR="00E43D38" w:rsidRPr="00B14EBB" w14:paraId="41DBB09F" w14:textId="77777777" w:rsidTr="00A667D8">
        <w:trPr>
          <w:trHeight w:hRule="exact" w:val="1568"/>
        </w:trPr>
        <w:tc>
          <w:tcPr>
            <w:tcW w:w="1121" w:type="pct"/>
            <w:tcBorders>
              <w:top w:val="single" w:sz="4" w:space="0" w:color="000000"/>
              <w:left w:val="single" w:sz="4" w:space="0" w:color="000000"/>
              <w:bottom w:val="single" w:sz="4" w:space="0" w:color="000000"/>
              <w:right w:val="single" w:sz="4" w:space="0" w:color="000000"/>
            </w:tcBorders>
          </w:tcPr>
          <w:p w14:paraId="741B8A59"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Psi</w:t>
            </w:r>
            <w:r w:rsidRPr="00B14EBB">
              <w:rPr>
                <w:spacing w:val="-1"/>
                <w:sz w:val="18"/>
                <w:szCs w:val="18"/>
                <w:lang w:val="sr-Latn-ME" w:eastAsia="sr-Latn-CS"/>
              </w:rPr>
              <w:t>h</w:t>
            </w:r>
            <w:r w:rsidRPr="00B14EBB">
              <w:rPr>
                <w:sz w:val="18"/>
                <w:szCs w:val="18"/>
                <w:lang w:val="sr-Latn-ME" w:eastAsia="sr-Latn-CS"/>
              </w:rPr>
              <w:t>ijatrijs</w:t>
            </w:r>
            <w:r w:rsidRPr="00B14EBB">
              <w:rPr>
                <w:spacing w:val="-1"/>
                <w:sz w:val="18"/>
                <w:szCs w:val="18"/>
                <w:lang w:val="sr-Latn-ME" w:eastAsia="sr-Latn-CS"/>
              </w:rPr>
              <w:t>k</w:t>
            </w:r>
            <w:r w:rsidRPr="00B14EBB">
              <w:rPr>
                <w:sz w:val="18"/>
                <w:szCs w:val="18"/>
                <w:lang w:val="sr-Latn-ME" w:eastAsia="sr-Latn-CS"/>
              </w:rPr>
              <w:t>i</w:t>
            </w:r>
            <w:r w:rsidRPr="00B14EBB">
              <w:rPr>
                <w:spacing w:val="27"/>
                <w:sz w:val="18"/>
                <w:szCs w:val="18"/>
                <w:lang w:val="sr-Latn-ME" w:eastAsia="sr-Latn-CS"/>
              </w:rPr>
              <w:t xml:space="preserve"> </w:t>
            </w:r>
            <w:r w:rsidRPr="00B14EBB">
              <w:rPr>
                <w:w w:val="103"/>
                <w:sz w:val="18"/>
                <w:szCs w:val="18"/>
                <w:lang w:val="sr-Latn-ME" w:eastAsia="sr-Latn-CS"/>
              </w:rPr>
              <w:t>p</w:t>
            </w:r>
            <w:r w:rsidRPr="00B14EBB">
              <w:rPr>
                <w:spacing w:val="-1"/>
                <w:w w:val="103"/>
                <w:sz w:val="18"/>
                <w:szCs w:val="18"/>
                <w:lang w:val="sr-Latn-ME" w:eastAsia="sr-Latn-CS"/>
              </w:rPr>
              <w:t>o</w:t>
            </w:r>
            <w:r w:rsidRPr="00B14EBB">
              <w:rPr>
                <w:spacing w:val="2"/>
                <w:w w:val="103"/>
                <w:sz w:val="18"/>
                <w:szCs w:val="18"/>
                <w:lang w:val="sr-Latn-ME" w:eastAsia="sr-Latn-CS"/>
              </w:rPr>
              <w:t>r</w:t>
            </w:r>
            <w:r w:rsidRPr="00B14EBB">
              <w:rPr>
                <w:spacing w:val="1"/>
                <w:w w:val="103"/>
                <w:sz w:val="18"/>
                <w:szCs w:val="18"/>
                <w:lang w:val="sr-Latn-ME" w:eastAsia="sr-Latn-CS"/>
              </w:rPr>
              <w:t>e</w:t>
            </w:r>
            <w:r w:rsidRPr="00B14EBB">
              <w:rPr>
                <w:spacing w:val="-2"/>
                <w:w w:val="103"/>
                <w:sz w:val="18"/>
                <w:szCs w:val="18"/>
                <w:lang w:val="sr-Latn-ME" w:eastAsia="sr-Latn-CS"/>
              </w:rPr>
              <w:t>m</w:t>
            </w:r>
            <w:r w:rsidRPr="00B14EBB">
              <w:rPr>
                <w:spacing w:val="2"/>
                <w:w w:val="103"/>
                <w:sz w:val="18"/>
                <w:szCs w:val="18"/>
                <w:lang w:val="sr-Latn-ME" w:eastAsia="sr-Latn-CS"/>
              </w:rPr>
              <w:t>e</w:t>
            </w:r>
            <w:r w:rsidRPr="00B14EBB">
              <w:rPr>
                <w:spacing w:val="-1"/>
                <w:w w:val="103"/>
                <w:sz w:val="18"/>
                <w:szCs w:val="18"/>
                <w:lang w:val="sr-Latn-ME" w:eastAsia="sr-Latn-CS"/>
              </w:rPr>
              <w:t>ć</w:t>
            </w:r>
            <w:r w:rsidRPr="00B14EBB">
              <w:rPr>
                <w:w w:val="103"/>
                <w:sz w:val="18"/>
                <w:szCs w:val="18"/>
                <w:lang w:val="sr-Latn-ME" w:eastAsia="sr-Latn-CS"/>
              </w:rPr>
              <w:t>aji</w:t>
            </w:r>
            <w:r w:rsidRPr="00B14EBB">
              <w:rPr>
                <w:sz w:val="18"/>
                <w:szCs w:val="18"/>
                <w:lang w:val="sr-Latn-ME" w:eastAsia="sr-Latn-CS"/>
              </w:rPr>
              <w:t xml:space="preserve"> </w:t>
            </w:r>
          </w:p>
        </w:tc>
        <w:tc>
          <w:tcPr>
            <w:tcW w:w="559" w:type="pct"/>
            <w:tcBorders>
              <w:top w:val="single" w:sz="4" w:space="0" w:color="000000"/>
              <w:left w:val="single" w:sz="4" w:space="0" w:color="000000"/>
              <w:bottom w:val="single" w:sz="4" w:space="0" w:color="000000"/>
              <w:right w:val="single" w:sz="4" w:space="0" w:color="000000"/>
            </w:tcBorders>
          </w:tcPr>
          <w:p w14:paraId="5F975FE2"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4D463C24"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anksioznost</w:t>
            </w:r>
          </w:p>
        </w:tc>
        <w:tc>
          <w:tcPr>
            <w:tcW w:w="726" w:type="pct"/>
            <w:tcBorders>
              <w:top w:val="single" w:sz="4" w:space="0" w:color="000000"/>
              <w:left w:val="single" w:sz="4" w:space="0" w:color="000000"/>
              <w:bottom w:val="single" w:sz="4" w:space="0" w:color="000000"/>
              <w:right w:val="single" w:sz="4" w:space="0" w:color="000000"/>
            </w:tcBorders>
          </w:tcPr>
          <w:p w14:paraId="1A7DFF28"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6EB25F58"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4C00AD8D"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510EDA5B" w14:textId="77777777" w:rsidR="00E43D38" w:rsidRPr="00B14EBB" w:rsidRDefault="00E43D38" w:rsidP="00545126">
            <w:pPr>
              <w:widowControl w:val="0"/>
              <w:tabs>
                <w:tab w:val="left" w:pos="2452"/>
              </w:tabs>
              <w:autoSpaceDE w:val="0"/>
              <w:autoSpaceDN w:val="0"/>
              <w:adjustRightInd w:val="0"/>
              <w:ind w:left="142"/>
              <w:rPr>
                <w:sz w:val="18"/>
                <w:szCs w:val="18"/>
                <w:lang w:val="sr-Latn-ME" w:eastAsia="sr-Latn-CS"/>
              </w:rPr>
            </w:pPr>
          </w:p>
        </w:tc>
      </w:tr>
      <w:tr w:rsidR="00E43D38" w:rsidRPr="00B14EBB" w14:paraId="0F13DDB9" w14:textId="77777777" w:rsidTr="00A667D8">
        <w:trPr>
          <w:trHeight w:hRule="exact" w:val="906"/>
        </w:trPr>
        <w:tc>
          <w:tcPr>
            <w:tcW w:w="1121" w:type="pct"/>
            <w:tcBorders>
              <w:top w:val="single" w:sz="4" w:space="0" w:color="000000"/>
              <w:left w:val="single" w:sz="4" w:space="0" w:color="000000"/>
              <w:bottom w:val="single" w:sz="4" w:space="0" w:color="000000"/>
              <w:right w:val="single" w:sz="4" w:space="0" w:color="000000"/>
            </w:tcBorders>
          </w:tcPr>
          <w:p w14:paraId="24139C41"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Por</w:t>
            </w:r>
            <w:r w:rsidRPr="00B14EBB">
              <w:rPr>
                <w:spacing w:val="2"/>
                <w:sz w:val="18"/>
                <w:szCs w:val="18"/>
                <w:lang w:val="sr-Latn-ME" w:eastAsia="sr-Latn-CS"/>
              </w:rPr>
              <w:t>e</w:t>
            </w:r>
            <w:r w:rsidRPr="00B14EBB">
              <w:rPr>
                <w:spacing w:val="-1"/>
                <w:sz w:val="18"/>
                <w:szCs w:val="18"/>
                <w:lang w:val="sr-Latn-ME" w:eastAsia="sr-Latn-CS"/>
              </w:rPr>
              <w:t>m</w:t>
            </w:r>
            <w:r w:rsidRPr="00B14EBB">
              <w:rPr>
                <w:sz w:val="18"/>
                <w:szCs w:val="18"/>
                <w:lang w:val="sr-Latn-ME" w:eastAsia="sr-Latn-CS"/>
              </w:rPr>
              <w:t>e</w:t>
            </w:r>
            <w:r w:rsidRPr="00B14EBB">
              <w:rPr>
                <w:spacing w:val="1"/>
                <w:sz w:val="18"/>
                <w:szCs w:val="18"/>
                <w:lang w:val="sr-Latn-ME" w:eastAsia="sr-Latn-CS"/>
              </w:rPr>
              <w:t>ć</w:t>
            </w:r>
            <w:r w:rsidRPr="00B14EBB">
              <w:rPr>
                <w:sz w:val="18"/>
                <w:szCs w:val="18"/>
                <w:lang w:val="sr-Latn-ME" w:eastAsia="sr-Latn-CS"/>
              </w:rPr>
              <w:t>aji</w:t>
            </w:r>
            <w:r w:rsidRPr="00B14EBB">
              <w:rPr>
                <w:spacing w:val="30"/>
                <w:sz w:val="18"/>
                <w:szCs w:val="18"/>
                <w:lang w:val="sr-Latn-ME" w:eastAsia="sr-Latn-CS"/>
              </w:rPr>
              <w:t xml:space="preserve"> </w:t>
            </w:r>
            <w:r w:rsidRPr="00B14EBB">
              <w:rPr>
                <w:sz w:val="18"/>
                <w:szCs w:val="18"/>
                <w:lang w:val="sr-Latn-ME" w:eastAsia="sr-Latn-CS"/>
              </w:rPr>
              <w:t>nervnog</w:t>
            </w:r>
            <w:r w:rsidRPr="00B14EBB">
              <w:rPr>
                <w:spacing w:val="23"/>
                <w:sz w:val="18"/>
                <w:szCs w:val="18"/>
                <w:lang w:val="sr-Latn-ME" w:eastAsia="sr-Latn-CS"/>
              </w:rPr>
              <w:t xml:space="preserve"> </w:t>
            </w:r>
            <w:r w:rsidRPr="00B14EBB">
              <w:rPr>
                <w:w w:val="103"/>
                <w:sz w:val="18"/>
                <w:szCs w:val="18"/>
                <w:lang w:val="sr-Latn-ME" w:eastAsia="sr-Latn-CS"/>
              </w:rPr>
              <w:t>sistema</w:t>
            </w:r>
          </w:p>
        </w:tc>
        <w:tc>
          <w:tcPr>
            <w:tcW w:w="559" w:type="pct"/>
            <w:tcBorders>
              <w:top w:val="single" w:sz="4" w:space="0" w:color="000000"/>
              <w:left w:val="single" w:sz="4" w:space="0" w:color="000000"/>
              <w:bottom w:val="single" w:sz="4" w:space="0" w:color="000000"/>
              <w:right w:val="single" w:sz="4" w:space="0" w:color="000000"/>
            </w:tcBorders>
          </w:tcPr>
          <w:p w14:paraId="1F5E30F3"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glavobolja</w:t>
            </w:r>
          </w:p>
        </w:tc>
        <w:tc>
          <w:tcPr>
            <w:tcW w:w="1016" w:type="pct"/>
            <w:tcBorders>
              <w:top w:val="single" w:sz="4" w:space="0" w:color="000000"/>
              <w:left w:val="single" w:sz="4" w:space="0" w:color="000000"/>
              <w:bottom w:val="single" w:sz="4" w:space="0" w:color="000000"/>
              <w:right w:val="single" w:sz="4" w:space="0" w:color="000000"/>
            </w:tcBorders>
          </w:tcPr>
          <w:p w14:paraId="7B888AC1" w14:textId="77777777" w:rsidR="00E43D38" w:rsidRPr="00B14EBB" w:rsidRDefault="00E43D38" w:rsidP="00545126">
            <w:pPr>
              <w:widowControl w:val="0"/>
              <w:autoSpaceDE w:val="0"/>
              <w:autoSpaceDN w:val="0"/>
              <w:adjustRightInd w:val="0"/>
              <w:spacing w:line="248" w:lineRule="auto"/>
              <w:ind w:left="142" w:firstLine="1"/>
              <w:rPr>
                <w:sz w:val="18"/>
                <w:szCs w:val="18"/>
                <w:lang w:val="sr-Latn-ME" w:eastAsia="sr-Latn-CS"/>
              </w:rPr>
            </w:pPr>
            <w:r w:rsidRPr="00B14EBB">
              <w:rPr>
                <w:sz w:val="18"/>
                <w:szCs w:val="18"/>
                <w:lang w:val="sr-Latn-ME" w:eastAsia="sr-Latn-CS"/>
              </w:rPr>
              <w:t>parestezija, išijas, sindrom karpalnog kanala</w:t>
            </w:r>
          </w:p>
        </w:tc>
        <w:tc>
          <w:tcPr>
            <w:tcW w:w="726" w:type="pct"/>
            <w:tcBorders>
              <w:top w:val="single" w:sz="4" w:space="0" w:color="000000"/>
              <w:left w:val="single" w:sz="4" w:space="0" w:color="000000"/>
              <w:bottom w:val="single" w:sz="4" w:space="0" w:color="000000"/>
              <w:right w:val="single" w:sz="4" w:space="0" w:color="000000"/>
            </w:tcBorders>
          </w:tcPr>
          <w:p w14:paraId="403FFBF5" w14:textId="77777777" w:rsidR="00E43D38" w:rsidRPr="00B14EBB" w:rsidRDefault="00E43D38" w:rsidP="00545126">
            <w:pPr>
              <w:widowControl w:val="0"/>
              <w:autoSpaceDE w:val="0"/>
              <w:autoSpaceDN w:val="0"/>
              <w:adjustRightInd w:val="0"/>
              <w:spacing w:line="248" w:lineRule="auto"/>
              <w:ind w:left="142" w:hanging="1"/>
              <w:rPr>
                <w:sz w:val="18"/>
                <w:szCs w:val="18"/>
                <w:lang w:val="sr-Latn-ME" w:eastAsia="sr-Latn-CS"/>
              </w:rPr>
            </w:pPr>
            <w:r w:rsidRPr="00B14EBB">
              <w:rPr>
                <w:sz w:val="18"/>
                <w:szCs w:val="18"/>
                <w:lang w:val="sr-Latn-ME" w:eastAsia="sr-Latn-CS"/>
              </w:rPr>
              <w:t>hiperestezija,</w:t>
            </w:r>
          </w:p>
          <w:p w14:paraId="71B1CAEE" w14:textId="77777777" w:rsidR="00E43D38" w:rsidRPr="00B14EBB" w:rsidRDefault="00E43D38" w:rsidP="00545126">
            <w:pPr>
              <w:widowControl w:val="0"/>
              <w:autoSpaceDE w:val="0"/>
              <w:autoSpaceDN w:val="0"/>
              <w:adjustRightInd w:val="0"/>
              <w:spacing w:line="248" w:lineRule="auto"/>
              <w:ind w:left="142" w:hanging="1"/>
              <w:rPr>
                <w:sz w:val="18"/>
                <w:szCs w:val="18"/>
                <w:lang w:val="sr-Latn-ME" w:eastAsia="sr-Latn-CS"/>
              </w:rPr>
            </w:pPr>
            <w:r w:rsidRPr="00B14EBB">
              <w:rPr>
                <w:sz w:val="18"/>
                <w:szCs w:val="18"/>
                <w:lang w:val="sr-Latn-ME" w:eastAsia="sr-Latn-CS"/>
              </w:rPr>
              <w:t>neuralgija,</w:t>
            </w:r>
          </w:p>
          <w:p w14:paraId="4CC30000" w14:textId="77777777" w:rsidR="00E43D38" w:rsidRPr="00B14EBB" w:rsidRDefault="00E43D38" w:rsidP="00545126">
            <w:pPr>
              <w:widowControl w:val="0"/>
              <w:autoSpaceDE w:val="0"/>
              <w:autoSpaceDN w:val="0"/>
              <w:adjustRightInd w:val="0"/>
              <w:spacing w:line="248" w:lineRule="auto"/>
              <w:ind w:left="142" w:hanging="1"/>
              <w:rPr>
                <w:sz w:val="18"/>
                <w:szCs w:val="18"/>
                <w:lang w:val="sr-Latn-ME" w:eastAsia="sr-Latn-CS"/>
              </w:rPr>
            </w:pPr>
            <w:r w:rsidRPr="00B14EBB">
              <w:rPr>
                <w:sz w:val="18"/>
                <w:szCs w:val="18"/>
                <w:lang w:val="sr-Latn-ME" w:eastAsia="sr-Latn-CS"/>
              </w:rPr>
              <w:t>periferna neuropatija</w:t>
            </w:r>
          </w:p>
          <w:p w14:paraId="6FE3DD6F"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13B2D893"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4F2B2C95"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465A3E46"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B14EBB" w14:paraId="0665879C" w14:textId="77777777" w:rsidTr="00A667D8">
        <w:trPr>
          <w:trHeight w:hRule="exact" w:val="1142"/>
        </w:trPr>
        <w:tc>
          <w:tcPr>
            <w:tcW w:w="1121" w:type="pct"/>
            <w:tcBorders>
              <w:top w:val="single" w:sz="4" w:space="0" w:color="000000"/>
              <w:left w:val="single" w:sz="4" w:space="0" w:color="000000"/>
              <w:bottom w:val="single" w:sz="4" w:space="0" w:color="000000"/>
              <w:right w:val="single" w:sz="4" w:space="0" w:color="000000"/>
            </w:tcBorders>
          </w:tcPr>
          <w:p w14:paraId="082DB0F7"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Kardiološki poremećaji</w:t>
            </w:r>
          </w:p>
        </w:tc>
        <w:tc>
          <w:tcPr>
            <w:tcW w:w="559" w:type="pct"/>
            <w:tcBorders>
              <w:top w:val="single" w:sz="4" w:space="0" w:color="000000"/>
              <w:left w:val="single" w:sz="4" w:space="0" w:color="000000"/>
              <w:bottom w:val="single" w:sz="4" w:space="0" w:color="000000"/>
              <w:right w:val="single" w:sz="4" w:space="0" w:color="000000"/>
            </w:tcBorders>
          </w:tcPr>
          <w:p w14:paraId="5BEAB464"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5617572A" w14:textId="77777777" w:rsidR="00E43D38" w:rsidRPr="00B14EBB" w:rsidRDefault="00E43D38" w:rsidP="00545126">
            <w:pPr>
              <w:widowControl w:val="0"/>
              <w:autoSpaceDE w:val="0"/>
              <w:autoSpaceDN w:val="0"/>
              <w:adjustRightInd w:val="0"/>
              <w:spacing w:line="248" w:lineRule="auto"/>
              <w:ind w:left="142" w:hanging="1"/>
              <w:rPr>
                <w:sz w:val="18"/>
                <w:szCs w:val="18"/>
                <w:lang w:val="sr-Latn-ME" w:eastAsia="sr-Latn-CS"/>
              </w:rPr>
            </w:pPr>
            <w:r w:rsidRPr="00B14EBB">
              <w:rPr>
                <w:sz w:val="18"/>
                <w:szCs w:val="18"/>
                <w:lang w:val="sr-Latn-ME" w:eastAsia="sr-Latn-CS"/>
              </w:rPr>
              <w:t>palpitacije</w:t>
            </w:r>
          </w:p>
        </w:tc>
        <w:tc>
          <w:tcPr>
            <w:tcW w:w="726" w:type="pct"/>
            <w:tcBorders>
              <w:top w:val="single" w:sz="4" w:space="0" w:color="000000"/>
              <w:left w:val="single" w:sz="4" w:space="0" w:color="000000"/>
              <w:bottom w:val="single" w:sz="4" w:space="0" w:color="000000"/>
              <w:right w:val="single" w:sz="4" w:space="0" w:color="000000"/>
            </w:tcBorders>
          </w:tcPr>
          <w:p w14:paraId="5877C33E" w14:textId="77777777" w:rsidR="00E43D38" w:rsidRPr="00B14EBB" w:rsidRDefault="00E43D38" w:rsidP="00545126">
            <w:pPr>
              <w:widowControl w:val="0"/>
              <w:autoSpaceDE w:val="0"/>
              <w:autoSpaceDN w:val="0"/>
              <w:adjustRightInd w:val="0"/>
              <w:spacing w:line="248" w:lineRule="auto"/>
              <w:ind w:left="142" w:hanging="1"/>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058A0B53" w14:textId="77777777" w:rsidR="00E43D38" w:rsidRPr="00B14EBB" w:rsidRDefault="00E43D38" w:rsidP="00545126">
            <w:pPr>
              <w:widowControl w:val="0"/>
              <w:tabs>
                <w:tab w:val="left" w:pos="2452"/>
              </w:tabs>
              <w:autoSpaceDE w:val="0"/>
              <w:autoSpaceDN w:val="0"/>
              <w:adjustRightInd w:val="0"/>
              <w:spacing w:line="247" w:lineRule="auto"/>
              <w:ind w:left="142"/>
              <w:rPr>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1BE134EA" w14:textId="77777777" w:rsidR="00E43D38" w:rsidRPr="00B14EBB" w:rsidRDefault="00E43D38" w:rsidP="00545126">
            <w:pPr>
              <w:widowControl w:val="0"/>
              <w:tabs>
                <w:tab w:val="left" w:pos="2452"/>
              </w:tabs>
              <w:autoSpaceDE w:val="0"/>
              <w:autoSpaceDN w:val="0"/>
              <w:adjustRightInd w:val="0"/>
              <w:spacing w:line="247" w:lineRule="auto"/>
              <w:ind w:left="142"/>
              <w:rPr>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29B7AC9B" w14:textId="77777777" w:rsidR="00E43D38" w:rsidRPr="00B14EBB" w:rsidRDefault="00E43D38" w:rsidP="00545126">
            <w:pPr>
              <w:widowControl w:val="0"/>
              <w:tabs>
                <w:tab w:val="left" w:pos="2452"/>
              </w:tabs>
              <w:autoSpaceDE w:val="0"/>
              <w:autoSpaceDN w:val="0"/>
              <w:adjustRightInd w:val="0"/>
              <w:spacing w:line="247" w:lineRule="auto"/>
              <w:ind w:left="142"/>
              <w:rPr>
                <w:sz w:val="20"/>
                <w:szCs w:val="20"/>
                <w:lang w:val="sr-Latn-ME" w:eastAsia="sr-Latn-CS"/>
              </w:rPr>
            </w:pPr>
          </w:p>
        </w:tc>
      </w:tr>
      <w:tr w:rsidR="00E43D38" w:rsidRPr="00B14EBB" w14:paraId="612906B9" w14:textId="77777777" w:rsidTr="00A667D8">
        <w:trPr>
          <w:trHeight w:hRule="exact" w:val="478"/>
        </w:trPr>
        <w:tc>
          <w:tcPr>
            <w:tcW w:w="1121" w:type="pct"/>
            <w:tcBorders>
              <w:top w:val="single" w:sz="4" w:space="0" w:color="000000"/>
              <w:left w:val="single" w:sz="4" w:space="0" w:color="000000"/>
              <w:bottom w:val="single" w:sz="4" w:space="0" w:color="000000"/>
              <w:right w:val="single" w:sz="4" w:space="0" w:color="000000"/>
            </w:tcBorders>
          </w:tcPr>
          <w:p w14:paraId="00102239"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Vaskularni</w:t>
            </w:r>
            <w:r w:rsidRPr="00B14EBB">
              <w:rPr>
                <w:spacing w:val="25"/>
                <w:sz w:val="18"/>
                <w:szCs w:val="18"/>
                <w:lang w:val="sr-Latn-ME" w:eastAsia="sr-Latn-CS"/>
              </w:rPr>
              <w:t xml:space="preserve"> </w:t>
            </w:r>
            <w:r w:rsidRPr="00B14EBB">
              <w:rPr>
                <w:w w:val="103"/>
                <w:sz w:val="18"/>
                <w:szCs w:val="18"/>
                <w:lang w:val="sr-Latn-ME" w:eastAsia="sr-Latn-CS"/>
              </w:rPr>
              <w:t>poreme</w:t>
            </w:r>
            <w:r w:rsidRPr="00B14EBB">
              <w:rPr>
                <w:spacing w:val="1"/>
                <w:w w:val="103"/>
                <w:sz w:val="18"/>
                <w:szCs w:val="18"/>
                <w:lang w:val="sr-Latn-ME" w:eastAsia="sr-Latn-CS"/>
              </w:rPr>
              <w:t>ć</w:t>
            </w:r>
            <w:r w:rsidRPr="00B14EBB">
              <w:rPr>
                <w:spacing w:val="-1"/>
                <w:w w:val="103"/>
                <w:sz w:val="18"/>
                <w:szCs w:val="18"/>
                <w:lang w:val="sr-Latn-ME" w:eastAsia="sr-Latn-CS"/>
              </w:rPr>
              <w:t>aji</w:t>
            </w:r>
          </w:p>
        </w:tc>
        <w:tc>
          <w:tcPr>
            <w:tcW w:w="559" w:type="pct"/>
            <w:tcBorders>
              <w:top w:val="single" w:sz="4" w:space="0" w:color="000000"/>
              <w:left w:val="single" w:sz="4" w:space="0" w:color="000000"/>
              <w:bottom w:val="single" w:sz="4" w:space="0" w:color="000000"/>
              <w:right w:val="single" w:sz="4" w:space="0" w:color="000000"/>
            </w:tcBorders>
          </w:tcPr>
          <w:p w14:paraId="05FDA12E" w14:textId="77777777" w:rsidR="00E43D38" w:rsidRPr="00B14EBB" w:rsidRDefault="00E43D38" w:rsidP="00545126">
            <w:pPr>
              <w:widowControl w:val="0"/>
              <w:autoSpaceDE w:val="0"/>
              <w:autoSpaceDN w:val="0"/>
              <w:adjustRightInd w:val="0"/>
              <w:spacing w:line="247" w:lineRule="auto"/>
              <w:ind w:left="142" w:hanging="1"/>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6E1D053A"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hipertenzija</w:t>
            </w:r>
            <w:r w:rsidRPr="00B14EBB">
              <w:rPr>
                <w:sz w:val="18"/>
                <w:szCs w:val="18"/>
                <w:vertAlign w:val="superscript"/>
                <w:lang w:val="sr-Latn-ME" w:eastAsia="sr-Latn-CS"/>
              </w:rPr>
              <w:t>b</w:t>
            </w:r>
          </w:p>
        </w:tc>
        <w:tc>
          <w:tcPr>
            <w:tcW w:w="726" w:type="pct"/>
            <w:tcBorders>
              <w:top w:val="single" w:sz="4" w:space="0" w:color="000000"/>
              <w:left w:val="single" w:sz="4" w:space="0" w:color="000000"/>
              <w:bottom w:val="single" w:sz="4" w:space="0" w:color="000000"/>
              <w:right w:val="single" w:sz="4" w:space="0" w:color="000000"/>
            </w:tcBorders>
          </w:tcPr>
          <w:p w14:paraId="6A5E6D4F"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43946569"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2F0354B2"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2DD50B8E"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B14EBB" w14:paraId="217DC223" w14:textId="77777777" w:rsidTr="00A667D8">
        <w:trPr>
          <w:trHeight w:hRule="exact" w:val="928"/>
        </w:trPr>
        <w:tc>
          <w:tcPr>
            <w:tcW w:w="1121" w:type="pct"/>
            <w:tcBorders>
              <w:top w:val="single" w:sz="4" w:space="0" w:color="000000"/>
              <w:left w:val="single" w:sz="4" w:space="0" w:color="000000"/>
              <w:bottom w:val="single" w:sz="4" w:space="0" w:color="000000"/>
              <w:right w:val="single" w:sz="4" w:space="0" w:color="000000"/>
            </w:tcBorders>
          </w:tcPr>
          <w:p w14:paraId="7DF3D3A0"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Respiratorni, torakalni i medijastinalni poremećaji</w:t>
            </w:r>
          </w:p>
        </w:tc>
        <w:tc>
          <w:tcPr>
            <w:tcW w:w="559" w:type="pct"/>
            <w:tcBorders>
              <w:top w:val="single" w:sz="4" w:space="0" w:color="000000"/>
              <w:left w:val="single" w:sz="4" w:space="0" w:color="000000"/>
              <w:bottom w:val="single" w:sz="4" w:space="0" w:color="000000"/>
              <w:right w:val="single" w:sz="4" w:space="0" w:color="000000"/>
            </w:tcBorders>
          </w:tcPr>
          <w:p w14:paraId="0E0A9AF6" w14:textId="77777777" w:rsidR="00E43D38" w:rsidRPr="00B14EBB" w:rsidRDefault="00E43D38" w:rsidP="00545126">
            <w:pPr>
              <w:widowControl w:val="0"/>
              <w:autoSpaceDE w:val="0"/>
              <w:autoSpaceDN w:val="0"/>
              <w:adjustRightInd w:val="0"/>
              <w:spacing w:line="247" w:lineRule="auto"/>
              <w:ind w:left="142" w:hanging="1"/>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47E79054"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726" w:type="pct"/>
            <w:tcBorders>
              <w:top w:val="single" w:sz="4" w:space="0" w:color="000000"/>
              <w:left w:val="single" w:sz="4" w:space="0" w:color="000000"/>
              <w:bottom w:val="single" w:sz="4" w:space="0" w:color="000000"/>
              <w:right w:val="single" w:sz="4" w:space="0" w:color="000000"/>
            </w:tcBorders>
          </w:tcPr>
          <w:p w14:paraId="1998D2DD"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pacing w:val="1"/>
                <w:sz w:val="18"/>
                <w:szCs w:val="18"/>
                <w:lang w:val="sr-Latn-ME" w:eastAsia="sr-Latn-CS"/>
              </w:rPr>
              <w:t>intersticijalna bolest pluća</w:t>
            </w:r>
          </w:p>
        </w:tc>
        <w:tc>
          <w:tcPr>
            <w:tcW w:w="456" w:type="pct"/>
            <w:tcBorders>
              <w:top w:val="single" w:sz="4" w:space="0" w:color="000000"/>
              <w:left w:val="single" w:sz="4" w:space="0" w:color="000000"/>
              <w:bottom w:val="single" w:sz="4" w:space="0" w:color="000000"/>
              <w:right w:val="single" w:sz="4" w:space="0" w:color="000000"/>
            </w:tcBorders>
          </w:tcPr>
          <w:p w14:paraId="16DE34CA"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659BEE51"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2A127776" w14:textId="77777777" w:rsidR="00E43D38" w:rsidRPr="00B14EBB" w:rsidRDefault="00E43D38" w:rsidP="00545126">
            <w:pPr>
              <w:widowControl w:val="0"/>
              <w:tabs>
                <w:tab w:val="left" w:pos="2452"/>
              </w:tabs>
              <w:autoSpaceDE w:val="0"/>
              <w:autoSpaceDN w:val="0"/>
              <w:adjustRightInd w:val="0"/>
              <w:ind w:left="142"/>
              <w:rPr>
                <w:sz w:val="18"/>
                <w:szCs w:val="18"/>
                <w:lang w:val="sr-Latn-ME" w:eastAsia="sr-Latn-CS"/>
              </w:rPr>
            </w:pPr>
            <w:r w:rsidRPr="00B14EBB">
              <w:rPr>
                <w:sz w:val="18"/>
                <w:szCs w:val="18"/>
                <w:lang w:val="sr-Latn-ME" w:eastAsia="sr-Latn-CS"/>
              </w:rPr>
              <w:t>Plućna hipertenzija</w:t>
            </w:r>
          </w:p>
        </w:tc>
      </w:tr>
      <w:tr w:rsidR="00E43D38" w:rsidRPr="00B14EBB" w14:paraId="3080FCCA" w14:textId="77777777" w:rsidTr="00A667D8">
        <w:trPr>
          <w:trHeight w:hRule="exact" w:val="907"/>
        </w:trPr>
        <w:tc>
          <w:tcPr>
            <w:tcW w:w="1121" w:type="pct"/>
            <w:tcBorders>
              <w:top w:val="single" w:sz="4" w:space="0" w:color="000000"/>
              <w:left w:val="single" w:sz="4" w:space="0" w:color="000000"/>
              <w:bottom w:val="single" w:sz="4" w:space="0" w:color="000000"/>
              <w:right w:val="single" w:sz="4" w:space="0" w:color="000000"/>
            </w:tcBorders>
          </w:tcPr>
          <w:p w14:paraId="708D6B24"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Gastrointestinalni poremećaji</w:t>
            </w:r>
          </w:p>
        </w:tc>
        <w:tc>
          <w:tcPr>
            <w:tcW w:w="559" w:type="pct"/>
            <w:tcBorders>
              <w:top w:val="single" w:sz="4" w:space="0" w:color="000000"/>
              <w:left w:val="single" w:sz="4" w:space="0" w:color="000000"/>
              <w:bottom w:val="single" w:sz="4" w:space="0" w:color="000000"/>
              <w:right w:val="single" w:sz="4" w:space="0" w:color="000000"/>
            </w:tcBorders>
          </w:tcPr>
          <w:p w14:paraId="7C542748"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dijareja,</w:t>
            </w:r>
          </w:p>
          <w:p w14:paraId="4373E1E1" w14:textId="77777777" w:rsidR="00E43D38" w:rsidRPr="00B14EBB" w:rsidRDefault="00E43D38" w:rsidP="00545126">
            <w:pPr>
              <w:widowControl w:val="0"/>
              <w:autoSpaceDE w:val="0"/>
              <w:autoSpaceDN w:val="0"/>
              <w:adjustRightInd w:val="0"/>
              <w:spacing w:line="247" w:lineRule="auto"/>
              <w:ind w:left="142" w:hanging="1"/>
              <w:rPr>
                <w:sz w:val="18"/>
                <w:szCs w:val="18"/>
                <w:lang w:val="sr-Latn-ME" w:eastAsia="sr-Latn-CS"/>
              </w:rPr>
            </w:pPr>
            <w:r w:rsidRPr="00B14EBB">
              <w:rPr>
                <w:sz w:val="18"/>
                <w:szCs w:val="18"/>
                <w:lang w:val="sr-Latn-ME" w:eastAsia="sr-Latn-CS"/>
              </w:rPr>
              <w:t>mučnina</w:t>
            </w:r>
          </w:p>
        </w:tc>
        <w:tc>
          <w:tcPr>
            <w:tcW w:w="1016" w:type="pct"/>
            <w:tcBorders>
              <w:top w:val="single" w:sz="4" w:space="0" w:color="000000"/>
              <w:left w:val="single" w:sz="4" w:space="0" w:color="000000"/>
              <w:bottom w:val="single" w:sz="4" w:space="0" w:color="000000"/>
              <w:right w:val="single" w:sz="4" w:space="0" w:color="000000"/>
            </w:tcBorders>
          </w:tcPr>
          <w:p w14:paraId="4FAD3DCB"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pankreatitis</w:t>
            </w:r>
            <w:r w:rsidRPr="00B14EBB">
              <w:rPr>
                <w:sz w:val="18"/>
                <w:szCs w:val="18"/>
                <w:vertAlign w:val="superscript"/>
                <w:lang w:val="sr-Latn-ME" w:eastAsia="sr-Latn-CS"/>
              </w:rPr>
              <w:t>b,c</w:t>
            </w:r>
            <w:r w:rsidRPr="00B14EBB">
              <w:rPr>
                <w:sz w:val="18"/>
                <w:szCs w:val="18"/>
                <w:lang w:val="sr-Latn-ME" w:eastAsia="sr-Latn-CS"/>
              </w:rPr>
              <w:t>,</w:t>
            </w:r>
          </w:p>
          <w:p w14:paraId="44287268" w14:textId="6D8328EA"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bol u gornjem d</w:t>
            </w:r>
            <w:r w:rsidR="00E24715" w:rsidRPr="00B14EBB">
              <w:rPr>
                <w:sz w:val="18"/>
                <w:szCs w:val="18"/>
                <w:lang w:val="sr-Latn-ME" w:eastAsia="sr-Latn-CS"/>
              </w:rPr>
              <w:t>ij</w:t>
            </w:r>
            <w:r w:rsidRPr="00B14EBB">
              <w:rPr>
                <w:sz w:val="18"/>
                <w:szCs w:val="18"/>
                <w:lang w:val="sr-Latn-ME" w:eastAsia="sr-Latn-CS"/>
              </w:rPr>
              <w:t>elu abdomena, povraćanje,</w:t>
            </w:r>
          </w:p>
          <w:p w14:paraId="5EB9DB91"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zubobolja</w:t>
            </w:r>
          </w:p>
        </w:tc>
        <w:tc>
          <w:tcPr>
            <w:tcW w:w="726" w:type="pct"/>
            <w:tcBorders>
              <w:top w:val="single" w:sz="4" w:space="0" w:color="000000"/>
              <w:left w:val="single" w:sz="4" w:space="0" w:color="000000"/>
              <w:bottom w:val="single" w:sz="4" w:space="0" w:color="000000"/>
              <w:right w:val="single" w:sz="4" w:space="0" w:color="000000"/>
            </w:tcBorders>
          </w:tcPr>
          <w:p w14:paraId="1B293713"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stomatitis,</w:t>
            </w:r>
          </w:p>
          <w:p w14:paraId="17328EE0"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kolitis</w:t>
            </w:r>
          </w:p>
        </w:tc>
        <w:tc>
          <w:tcPr>
            <w:tcW w:w="456" w:type="pct"/>
            <w:tcBorders>
              <w:top w:val="single" w:sz="4" w:space="0" w:color="000000"/>
              <w:left w:val="single" w:sz="4" w:space="0" w:color="000000"/>
              <w:bottom w:val="single" w:sz="4" w:space="0" w:color="000000"/>
              <w:right w:val="single" w:sz="4" w:space="0" w:color="000000"/>
            </w:tcBorders>
          </w:tcPr>
          <w:p w14:paraId="099FD8FB"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5453D219"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2EAFFCC6"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5D5EBF" w14:paraId="02BFEA33" w14:textId="77777777" w:rsidTr="00A667D8">
        <w:trPr>
          <w:trHeight w:hRule="exact" w:val="1512"/>
        </w:trPr>
        <w:tc>
          <w:tcPr>
            <w:tcW w:w="1121" w:type="pct"/>
            <w:tcBorders>
              <w:top w:val="single" w:sz="4" w:space="0" w:color="000000"/>
              <w:left w:val="single" w:sz="4" w:space="0" w:color="000000"/>
              <w:bottom w:val="single" w:sz="4" w:space="0" w:color="000000"/>
              <w:right w:val="single" w:sz="4" w:space="0" w:color="000000"/>
            </w:tcBorders>
          </w:tcPr>
          <w:p w14:paraId="5F6EA873"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Hepatobilijarni poremećaji</w:t>
            </w:r>
          </w:p>
        </w:tc>
        <w:tc>
          <w:tcPr>
            <w:tcW w:w="559" w:type="pct"/>
            <w:tcBorders>
              <w:top w:val="single" w:sz="4" w:space="0" w:color="000000"/>
              <w:left w:val="single" w:sz="4" w:space="0" w:color="000000"/>
              <w:bottom w:val="single" w:sz="4" w:space="0" w:color="000000"/>
              <w:right w:val="single" w:sz="4" w:space="0" w:color="000000"/>
            </w:tcBorders>
          </w:tcPr>
          <w:p w14:paraId="3341202A"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povećane</w:t>
            </w:r>
          </w:p>
          <w:p w14:paraId="647BC3AC" w14:textId="0188DCCF"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vr</w:t>
            </w:r>
            <w:r w:rsidR="00E24715" w:rsidRPr="00B14EBB">
              <w:rPr>
                <w:sz w:val="18"/>
                <w:szCs w:val="18"/>
                <w:lang w:val="sr-Latn-ME" w:eastAsia="sr-Latn-CS"/>
              </w:rPr>
              <w:t>ij</w:t>
            </w:r>
            <w:r w:rsidRPr="00B14EBB">
              <w:rPr>
                <w:sz w:val="18"/>
                <w:szCs w:val="18"/>
                <w:lang w:val="sr-Latn-ME" w:eastAsia="sr-Latn-CS"/>
              </w:rPr>
              <w:t>ednosti alanin</w:t>
            </w:r>
          </w:p>
          <w:p w14:paraId="7B0E8435"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aminotransferaze</w:t>
            </w:r>
          </w:p>
          <w:p w14:paraId="76F2E694"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(ALT)</w:t>
            </w:r>
            <w:r w:rsidRPr="00B14EBB">
              <w:rPr>
                <w:sz w:val="18"/>
                <w:szCs w:val="18"/>
                <w:vertAlign w:val="superscript"/>
                <w:lang w:val="sr-Latn-ME" w:eastAsia="sr-Latn-CS"/>
              </w:rPr>
              <w:t xml:space="preserve"> b</w:t>
            </w:r>
          </w:p>
          <w:p w14:paraId="5F84A962"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7F630AE9" w14:textId="46A4BD9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povećane vr</w:t>
            </w:r>
            <w:r w:rsidR="00E24715" w:rsidRPr="00B14EBB">
              <w:rPr>
                <w:sz w:val="18"/>
                <w:szCs w:val="18"/>
                <w:lang w:val="sr-Latn-ME" w:eastAsia="sr-Latn-CS"/>
              </w:rPr>
              <w:t>ij</w:t>
            </w:r>
            <w:r w:rsidRPr="00B14EBB">
              <w:rPr>
                <w:sz w:val="18"/>
                <w:szCs w:val="18"/>
                <w:lang w:val="sr-Latn-ME" w:eastAsia="sr-Latn-CS"/>
              </w:rPr>
              <w:t>ednosti</w:t>
            </w:r>
          </w:p>
          <w:p w14:paraId="15A68595"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gamaglutamiltransferaze</w:t>
            </w:r>
          </w:p>
          <w:p w14:paraId="305F5F33" w14:textId="524DB4C3"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(GGT)</w:t>
            </w:r>
            <w:r w:rsidRPr="00B14EBB">
              <w:rPr>
                <w:sz w:val="18"/>
                <w:szCs w:val="18"/>
                <w:vertAlign w:val="superscript"/>
                <w:lang w:val="sr-Latn-ME" w:eastAsia="sr-Latn-CS"/>
              </w:rPr>
              <w:t xml:space="preserve"> b</w:t>
            </w:r>
            <w:r w:rsidRPr="00B14EBB">
              <w:rPr>
                <w:sz w:val="18"/>
                <w:szCs w:val="18"/>
                <w:lang w:val="sr-Latn-ME" w:eastAsia="sr-Latn-CS"/>
              </w:rPr>
              <w:t>, povećane vr</w:t>
            </w:r>
            <w:r w:rsidR="00E24715" w:rsidRPr="00B14EBB">
              <w:rPr>
                <w:sz w:val="18"/>
                <w:szCs w:val="18"/>
                <w:lang w:val="sr-Latn-ME" w:eastAsia="sr-Latn-CS"/>
              </w:rPr>
              <w:t>ij</w:t>
            </w:r>
            <w:r w:rsidRPr="00B14EBB">
              <w:rPr>
                <w:sz w:val="18"/>
                <w:szCs w:val="18"/>
                <w:lang w:val="sr-Latn-ME" w:eastAsia="sr-Latn-CS"/>
              </w:rPr>
              <w:t>ednosti aspartat aminotransferaze</w:t>
            </w:r>
            <w:r w:rsidRPr="00B14EBB">
              <w:rPr>
                <w:sz w:val="18"/>
                <w:szCs w:val="18"/>
                <w:vertAlign w:val="superscript"/>
                <w:lang w:val="sr-Latn-ME" w:eastAsia="sr-Latn-CS"/>
              </w:rPr>
              <w:t>b</w:t>
            </w:r>
          </w:p>
          <w:p w14:paraId="55D3F899"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p>
        </w:tc>
        <w:tc>
          <w:tcPr>
            <w:tcW w:w="726" w:type="pct"/>
            <w:tcBorders>
              <w:top w:val="single" w:sz="4" w:space="0" w:color="000000"/>
              <w:left w:val="single" w:sz="4" w:space="0" w:color="000000"/>
              <w:bottom w:val="single" w:sz="4" w:space="0" w:color="000000"/>
              <w:right w:val="single" w:sz="4" w:space="0" w:color="000000"/>
            </w:tcBorders>
          </w:tcPr>
          <w:p w14:paraId="3FF4F3F4" w14:textId="77777777" w:rsidR="00E43D38" w:rsidRPr="00B14EBB" w:rsidRDefault="00E43D38" w:rsidP="00545126">
            <w:pPr>
              <w:widowControl w:val="0"/>
              <w:autoSpaceDE w:val="0"/>
              <w:autoSpaceDN w:val="0"/>
              <w:adjustRightInd w:val="0"/>
              <w:spacing w:line="248" w:lineRule="auto"/>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333FA079"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r w:rsidRPr="00B14EBB">
              <w:rPr>
                <w:sz w:val="18"/>
                <w:szCs w:val="18"/>
                <w:lang w:val="sr-Latn-ME" w:eastAsia="sr-Latn-CS"/>
              </w:rPr>
              <w:t>akutni hepatitis</w:t>
            </w:r>
          </w:p>
          <w:p w14:paraId="2AFC0AB7"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2233D045"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38C9ACFA"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r w:rsidRPr="00B14EBB">
              <w:rPr>
                <w:sz w:val="18"/>
                <w:szCs w:val="18"/>
                <w:lang w:val="sr-Latn-ME" w:eastAsia="sr-Latn-CS"/>
              </w:rPr>
              <w:t>oštećenje jetre</w:t>
            </w:r>
          </w:p>
          <w:p w14:paraId="2BFDB85B"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r w:rsidRPr="00B14EBB">
              <w:rPr>
                <w:sz w:val="18"/>
                <w:szCs w:val="18"/>
                <w:lang w:val="sr-Latn-ME" w:eastAsia="sr-Latn-CS"/>
              </w:rPr>
              <w:t>uzrokovano</w:t>
            </w:r>
          </w:p>
          <w:p w14:paraId="3F96441D" w14:textId="59E0368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r w:rsidRPr="00B14EBB">
              <w:rPr>
                <w:sz w:val="18"/>
                <w:szCs w:val="18"/>
                <w:lang w:val="sr-Latn-ME" w:eastAsia="sr-Latn-CS"/>
              </w:rPr>
              <w:t>l</w:t>
            </w:r>
            <w:r w:rsidR="00E24715" w:rsidRPr="00B14EBB">
              <w:rPr>
                <w:sz w:val="18"/>
                <w:szCs w:val="18"/>
                <w:lang w:val="sr-Latn-ME" w:eastAsia="sr-Latn-CS"/>
              </w:rPr>
              <w:t>ij</w:t>
            </w:r>
            <w:r w:rsidRPr="00B14EBB">
              <w:rPr>
                <w:sz w:val="18"/>
                <w:szCs w:val="18"/>
                <w:lang w:val="sr-Latn-ME" w:eastAsia="sr-Latn-CS"/>
              </w:rPr>
              <w:t>ekom (DILI)</w:t>
            </w:r>
          </w:p>
        </w:tc>
      </w:tr>
      <w:tr w:rsidR="00E43D38" w:rsidRPr="00B14EBB" w14:paraId="1FB37D7F" w14:textId="77777777" w:rsidTr="00A667D8">
        <w:trPr>
          <w:trHeight w:hRule="exact" w:val="1522"/>
        </w:trPr>
        <w:tc>
          <w:tcPr>
            <w:tcW w:w="1121" w:type="pct"/>
            <w:tcBorders>
              <w:top w:val="single" w:sz="4" w:space="0" w:color="000000"/>
              <w:left w:val="single" w:sz="4" w:space="0" w:color="000000"/>
              <w:bottom w:val="single" w:sz="4" w:space="0" w:color="000000"/>
              <w:right w:val="single" w:sz="4" w:space="0" w:color="000000"/>
            </w:tcBorders>
          </w:tcPr>
          <w:p w14:paraId="17885BF4" w14:textId="77777777" w:rsidR="00E43D38" w:rsidRPr="00B14EBB" w:rsidRDefault="00E43D38" w:rsidP="00545126">
            <w:pPr>
              <w:widowControl w:val="0"/>
              <w:autoSpaceDE w:val="0"/>
              <w:autoSpaceDN w:val="0"/>
              <w:adjustRightInd w:val="0"/>
              <w:rPr>
                <w:rFonts w:eastAsia="Calibri"/>
                <w:color w:val="000000"/>
                <w:lang w:val="sr-Latn-ME"/>
              </w:rPr>
            </w:pPr>
          </w:p>
          <w:tbl>
            <w:tblPr>
              <w:tblW w:w="0" w:type="auto"/>
              <w:tblBorders>
                <w:top w:val="nil"/>
                <w:left w:val="nil"/>
                <w:bottom w:val="nil"/>
                <w:right w:val="nil"/>
              </w:tblBorders>
              <w:tblLayout w:type="fixed"/>
              <w:tblLook w:val="0000" w:firstRow="0" w:lastRow="0" w:firstColumn="0" w:lastColumn="0" w:noHBand="0" w:noVBand="0"/>
            </w:tblPr>
            <w:tblGrid>
              <w:gridCol w:w="2711"/>
            </w:tblGrid>
            <w:tr w:rsidR="00E43D38" w:rsidRPr="00B14EBB" w14:paraId="662D6330" w14:textId="77777777" w:rsidTr="00B14EBB">
              <w:trPr>
                <w:trHeight w:val="90"/>
              </w:trPr>
              <w:tc>
                <w:tcPr>
                  <w:tcW w:w="2711" w:type="dxa"/>
                </w:tcPr>
                <w:p w14:paraId="653C66AC" w14:textId="77777777" w:rsidR="00E43D38" w:rsidRPr="00B14EBB" w:rsidRDefault="00E43D38" w:rsidP="00545126">
                  <w:pPr>
                    <w:widowControl w:val="0"/>
                    <w:autoSpaceDE w:val="0"/>
                    <w:autoSpaceDN w:val="0"/>
                    <w:adjustRightInd w:val="0"/>
                    <w:rPr>
                      <w:rFonts w:eastAsia="Calibri"/>
                      <w:color w:val="000000"/>
                      <w:sz w:val="18"/>
                      <w:szCs w:val="18"/>
                      <w:lang w:val="sr-Latn-ME"/>
                    </w:rPr>
                  </w:pPr>
                  <w:r w:rsidRPr="00B14EBB">
                    <w:rPr>
                      <w:rFonts w:eastAsia="Calibri"/>
                      <w:color w:val="000000"/>
                      <w:sz w:val="18"/>
                      <w:szCs w:val="18"/>
                      <w:lang w:val="sr-Latn-ME"/>
                    </w:rPr>
                    <w:t xml:space="preserve">Poremećaji metabolizma i </w:t>
                  </w:r>
                </w:p>
                <w:p w14:paraId="593BCCD1" w14:textId="77777777" w:rsidR="00E43D38" w:rsidRPr="00B14EBB" w:rsidRDefault="00E43D38" w:rsidP="00545126">
                  <w:pPr>
                    <w:widowControl w:val="0"/>
                    <w:autoSpaceDE w:val="0"/>
                    <w:autoSpaceDN w:val="0"/>
                    <w:adjustRightInd w:val="0"/>
                    <w:rPr>
                      <w:rFonts w:eastAsia="Calibri"/>
                      <w:color w:val="000000"/>
                      <w:sz w:val="18"/>
                      <w:szCs w:val="18"/>
                      <w:lang w:val="sr-Latn-ME"/>
                    </w:rPr>
                  </w:pPr>
                  <w:r w:rsidRPr="00B14EBB">
                    <w:rPr>
                      <w:rFonts w:eastAsia="Calibri"/>
                      <w:color w:val="000000"/>
                      <w:sz w:val="18"/>
                      <w:szCs w:val="18"/>
                      <w:lang w:val="sr-Latn-ME"/>
                    </w:rPr>
                    <w:t xml:space="preserve">ishrane </w:t>
                  </w:r>
                </w:p>
              </w:tc>
            </w:tr>
          </w:tbl>
          <w:p w14:paraId="76430C8A"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p>
        </w:tc>
        <w:tc>
          <w:tcPr>
            <w:tcW w:w="559" w:type="pct"/>
            <w:tcBorders>
              <w:top w:val="single" w:sz="4" w:space="0" w:color="000000"/>
              <w:left w:val="single" w:sz="4" w:space="0" w:color="000000"/>
              <w:bottom w:val="single" w:sz="4" w:space="0" w:color="000000"/>
              <w:right w:val="single" w:sz="4" w:space="0" w:color="000000"/>
            </w:tcBorders>
          </w:tcPr>
          <w:p w14:paraId="0544FDC0"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42C76CB7"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726" w:type="pct"/>
            <w:tcBorders>
              <w:top w:val="single" w:sz="4" w:space="0" w:color="000000"/>
              <w:left w:val="single" w:sz="4" w:space="0" w:color="000000"/>
              <w:bottom w:val="single" w:sz="4" w:space="0" w:color="000000"/>
              <w:right w:val="single" w:sz="4" w:space="0" w:color="000000"/>
            </w:tcBorders>
          </w:tcPr>
          <w:p w14:paraId="77A28AA2" w14:textId="77777777" w:rsidR="00E43D38" w:rsidRPr="00B14EBB" w:rsidRDefault="00E43D38" w:rsidP="00545126">
            <w:pPr>
              <w:widowControl w:val="0"/>
              <w:autoSpaceDE w:val="0"/>
              <w:autoSpaceDN w:val="0"/>
              <w:adjustRightInd w:val="0"/>
              <w:spacing w:line="248" w:lineRule="auto"/>
              <w:ind w:left="142"/>
              <w:rPr>
                <w:sz w:val="18"/>
                <w:szCs w:val="18"/>
                <w:lang w:val="sr-Latn-ME" w:eastAsia="sr-Latn-CS"/>
              </w:rPr>
            </w:pPr>
            <w:r w:rsidRPr="00B14EBB">
              <w:rPr>
                <w:sz w:val="18"/>
                <w:szCs w:val="18"/>
                <w:lang w:val="sr-Latn-ME" w:eastAsia="sr-Latn-CS"/>
              </w:rPr>
              <w:t>dislipidemija</w:t>
            </w:r>
          </w:p>
        </w:tc>
        <w:tc>
          <w:tcPr>
            <w:tcW w:w="456" w:type="pct"/>
            <w:tcBorders>
              <w:top w:val="single" w:sz="4" w:space="0" w:color="000000"/>
              <w:left w:val="single" w:sz="4" w:space="0" w:color="000000"/>
              <w:bottom w:val="single" w:sz="4" w:space="0" w:color="000000"/>
              <w:right w:val="single" w:sz="4" w:space="0" w:color="000000"/>
            </w:tcBorders>
          </w:tcPr>
          <w:p w14:paraId="31AD671B"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64595331"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51D97D94" w14:textId="77777777" w:rsidR="00E43D38" w:rsidRPr="00B14EBB" w:rsidRDefault="00E43D38" w:rsidP="00545126">
            <w:pPr>
              <w:widowControl w:val="0"/>
              <w:tabs>
                <w:tab w:val="left" w:pos="2452"/>
              </w:tabs>
              <w:autoSpaceDE w:val="0"/>
              <w:autoSpaceDN w:val="0"/>
              <w:adjustRightInd w:val="0"/>
              <w:spacing w:line="248" w:lineRule="auto"/>
              <w:ind w:left="142"/>
              <w:rPr>
                <w:sz w:val="18"/>
                <w:szCs w:val="18"/>
                <w:lang w:val="sr-Latn-ME" w:eastAsia="sr-Latn-CS"/>
              </w:rPr>
            </w:pPr>
          </w:p>
        </w:tc>
      </w:tr>
      <w:tr w:rsidR="00E43D38" w:rsidRPr="005D5EBF" w14:paraId="1FCF9180" w14:textId="77777777" w:rsidTr="00A667D8">
        <w:trPr>
          <w:trHeight w:hRule="exact" w:val="1605"/>
        </w:trPr>
        <w:tc>
          <w:tcPr>
            <w:tcW w:w="1121" w:type="pct"/>
            <w:tcBorders>
              <w:top w:val="single" w:sz="4" w:space="0" w:color="000000"/>
              <w:left w:val="single" w:sz="4" w:space="0" w:color="000000"/>
              <w:bottom w:val="single" w:sz="4" w:space="0" w:color="000000"/>
              <w:right w:val="single" w:sz="4" w:space="0" w:color="000000"/>
            </w:tcBorders>
          </w:tcPr>
          <w:p w14:paraId="43E225BD"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lastRenderedPageBreak/>
              <w:t>Poremećaji kože i potkožnog tkiva</w:t>
            </w:r>
          </w:p>
        </w:tc>
        <w:tc>
          <w:tcPr>
            <w:tcW w:w="559" w:type="pct"/>
            <w:tcBorders>
              <w:top w:val="single" w:sz="4" w:space="0" w:color="000000"/>
              <w:left w:val="single" w:sz="4" w:space="0" w:color="000000"/>
              <w:bottom w:val="single" w:sz="4" w:space="0" w:color="000000"/>
              <w:right w:val="single" w:sz="4" w:space="0" w:color="000000"/>
            </w:tcBorders>
          </w:tcPr>
          <w:p w14:paraId="55CE8AC4" w14:textId="77777777" w:rsidR="00E43D38" w:rsidRPr="00B14EBB" w:rsidRDefault="00E43D38" w:rsidP="00545126">
            <w:pPr>
              <w:widowControl w:val="0"/>
              <w:autoSpaceDE w:val="0"/>
              <w:autoSpaceDN w:val="0"/>
              <w:adjustRightInd w:val="0"/>
              <w:spacing w:line="249" w:lineRule="auto"/>
              <w:ind w:left="142"/>
              <w:rPr>
                <w:sz w:val="18"/>
                <w:szCs w:val="18"/>
                <w:lang w:val="sr-Latn-ME" w:eastAsia="sr-Latn-CS"/>
              </w:rPr>
            </w:pPr>
            <w:r w:rsidRPr="00B14EBB">
              <w:rPr>
                <w:sz w:val="18"/>
                <w:szCs w:val="18"/>
                <w:lang w:val="sr-Latn-ME" w:eastAsia="sr-Latn-CS"/>
              </w:rPr>
              <w:t>alopecija</w:t>
            </w:r>
          </w:p>
        </w:tc>
        <w:tc>
          <w:tcPr>
            <w:tcW w:w="1016" w:type="pct"/>
            <w:tcBorders>
              <w:top w:val="single" w:sz="4" w:space="0" w:color="000000"/>
              <w:left w:val="single" w:sz="4" w:space="0" w:color="000000"/>
              <w:bottom w:val="single" w:sz="4" w:space="0" w:color="000000"/>
              <w:right w:val="single" w:sz="4" w:space="0" w:color="000000"/>
            </w:tcBorders>
          </w:tcPr>
          <w:p w14:paraId="6FAE6980" w14:textId="77777777" w:rsidR="00E43D38" w:rsidRPr="00B14EBB" w:rsidRDefault="00E43D38" w:rsidP="00545126">
            <w:pPr>
              <w:widowControl w:val="0"/>
              <w:autoSpaceDE w:val="0"/>
              <w:autoSpaceDN w:val="0"/>
              <w:adjustRightInd w:val="0"/>
              <w:spacing w:line="248" w:lineRule="auto"/>
              <w:ind w:left="142"/>
              <w:rPr>
                <w:sz w:val="18"/>
                <w:szCs w:val="18"/>
                <w:lang w:val="sr-Latn-ME" w:eastAsia="sr-Latn-CS"/>
              </w:rPr>
            </w:pPr>
            <w:r w:rsidRPr="00B14EBB">
              <w:rPr>
                <w:sz w:val="18"/>
                <w:szCs w:val="18"/>
                <w:lang w:val="sr-Latn-ME" w:eastAsia="sr-Latn-CS"/>
              </w:rPr>
              <w:t>osip, akne</w:t>
            </w:r>
          </w:p>
        </w:tc>
        <w:tc>
          <w:tcPr>
            <w:tcW w:w="726" w:type="pct"/>
            <w:tcBorders>
              <w:top w:val="single" w:sz="4" w:space="0" w:color="000000"/>
              <w:left w:val="single" w:sz="4" w:space="0" w:color="000000"/>
              <w:bottom w:val="single" w:sz="4" w:space="0" w:color="000000"/>
              <w:right w:val="single" w:sz="4" w:space="0" w:color="000000"/>
            </w:tcBorders>
          </w:tcPr>
          <w:p w14:paraId="11124DB6" w14:textId="0998CAB6"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prom</w:t>
            </w:r>
            <w:r w:rsidR="00E24715" w:rsidRPr="00B14EBB">
              <w:rPr>
                <w:sz w:val="18"/>
                <w:szCs w:val="18"/>
                <w:lang w:val="sr-Latn-ME" w:eastAsia="sr-Latn-CS"/>
              </w:rPr>
              <w:t>j</w:t>
            </w:r>
            <w:r w:rsidRPr="00B14EBB">
              <w:rPr>
                <w:sz w:val="18"/>
                <w:szCs w:val="18"/>
                <w:lang w:val="sr-Latn-ME" w:eastAsia="sr-Latn-CS"/>
              </w:rPr>
              <w:t xml:space="preserve">ene na noktima, </w:t>
            </w:r>
            <w:r w:rsidRPr="00B14EBB">
              <w:rPr>
                <w:spacing w:val="-1"/>
                <w:sz w:val="18"/>
                <w:szCs w:val="18"/>
                <w:lang w:val="sr-Latn-ME" w:eastAsia="sr-Latn-CS"/>
              </w:rPr>
              <w:t>psorijaza (uključujući pustularnu)</w:t>
            </w:r>
            <w:r w:rsidRPr="00B14EBB">
              <w:rPr>
                <w:spacing w:val="-1"/>
                <w:sz w:val="18"/>
                <w:szCs w:val="18"/>
                <w:vertAlign w:val="superscript"/>
                <w:lang w:val="sr-Latn-ME" w:eastAsia="sr-Latn-CS"/>
              </w:rPr>
              <w:t>a,b</w:t>
            </w:r>
          </w:p>
          <w:p w14:paraId="063BFC7D"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pacing w:val="-1"/>
                <w:sz w:val="18"/>
                <w:szCs w:val="18"/>
                <w:lang w:val="sr-Latn-ME" w:eastAsia="sr-Latn-CS"/>
              </w:rPr>
              <w:t>ozbiljne kožne reakcije</w:t>
            </w:r>
            <w:r w:rsidRPr="00B14EBB">
              <w:rPr>
                <w:spacing w:val="-1"/>
                <w:sz w:val="18"/>
                <w:szCs w:val="18"/>
                <w:vertAlign w:val="superscript"/>
                <w:lang w:val="sr-Latn-ME" w:eastAsia="sr-Latn-CS"/>
              </w:rPr>
              <w:t>a</w:t>
            </w:r>
          </w:p>
        </w:tc>
        <w:tc>
          <w:tcPr>
            <w:tcW w:w="456" w:type="pct"/>
            <w:tcBorders>
              <w:top w:val="single" w:sz="4" w:space="0" w:color="000000"/>
              <w:left w:val="single" w:sz="4" w:space="0" w:color="000000"/>
              <w:bottom w:val="single" w:sz="4" w:space="0" w:color="000000"/>
              <w:right w:val="single" w:sz="4" w:space="0" w:color="000000"/>
            </w:tcBorders>
          </w:tcPr>
          <w:p w14:paraId="4651F1D2" w14:textId="77777777" w:rsidR="00E43D38" w:rsidRPr="00B14EBB" w:rsidRDefault="00E43D38" w:rsidP="00545126">
            <w:pPr>
              <w:widowControl w:val="0"/>
              <w:tabs>
                <w:tab w:val="left" w:pos="2452"/>
              </w:tabs>
              <w:autoSpaceDE w:val="0"/>
              <w:autoSpaceDN w:val="0"/>
              <w:adjustRightInd w:val="0"/>
              <w:ind w:left="142"/>
              <w:rPr>
                <w:spacing w:val="-1"/>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50B6D7C9" w14:textId="77777777" w:rsidR="00E43D38" w:rsidRPr="00B14EBB" w:rsidRDefault="00E43D38" w:rsidP="00545126">
            <w:pPr>
              <w:widowControl w:val="0"/>
              <w:tabs>
                <w:tab w:val="left" w:pos="2452"/>
              </w:tabs>
              <w:autoSpaceDE w:val="0"/>
              <w:autoSpaceDN w:val="0"/>
              <w:adjustRightInd w:val="0"/>
              <w:ind w:left="142"/>
              <w:rPr>
                <w:spacing w:val="-1"/>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11811356" w14:textId="77777777" w:rsidR="00E43D38" w:rsidRPr="00B14EBB" w:rsidRDefault="00E43D38" w:rsidP="00545126">
            <w:pPr>
              <w:widowControl w:val="0"/>
              <w:tabs>
                <w:tab w:val="left" w:pos="2452"/>
              </w:tabs>
              <w:autoSpaceDE w:val="0"/>
              <w:autoSpaceDN w:val="0"/>
              <w:adjustRightInd w:val="0"/>
              <w:ind w:left="142"/>
              <w:rPr>
                <w:spacing w:val="-1"/>
                <w:sz w:val="18"/>
                <w:szCs w:val="18"/>
                <w:lang w:val="sr-Latn-ME" w:eastAsia="sr-Latn-CS"/>
              </w:rPr>
            </w:pPr>
          </w:p>
        </w:tc>
      </w:tr>
      <w:tr w:rsidR="00E43D38" w:rsidRPr="005D5EBF" w14:paraId="644868F6" w14:textId="77777777" w:rsidTr="00A667D8">
        <w:trPr>
          <w:trHeight w:hRule="exact" w:val="692"/>
        </w:trPr>
        <w:tc>
          <w:tcPr>
            <w:tcW w:w="1121" w:type="pct"/>
            <w:tcBorders>
              <w:top w:val="single" w:sz="4" w:space="0" w:color="000000"/>
              <w:left w:val="single" w:sz="4" w:space="0" w:color="000000"/>
              <w:bottom w:val="single" w:sz="4" w:space="0" w:color="000000"/>
              <w:right w:val="single" w:sz="4" w:space="0" w:color="000000"/>
            </w:tcBorders>
          </w:tcPr>
          <w:p w14:paraId="790DAB5F" w14:textId="77777777" w:rsidR="00E43D38" w:rsidRPr="00B14EBB" w:rsidRDefault="00E43D38" w:rsidP="00545126">
            <w:pPr>
              <w:widowControl w:val="0"/>
              <w:autoSpaceDE w:val="0"/>
              <w:autoSpaceDN w:val="0"/>
              <w:adjustRightInd w:val="0"/>
              <w:spacing w:line="248" w:lineRule="auto"/>
              <w:ind w:left="142"/>
              <w:rPr>
                <w:sz w:val="18"/>
                <w:szCs w:val="18"/>
                <w:lang w:val="sr-Latn-ME" w:eastAsia="sr-Latn-CS"/>
              </w:rPr>
            </w:pPr>
            <w:r w:rsidRPr="00B14EBB">
              <w:rPr>
                <w:sz w:val="18"/>
                <w:szCs w:val="18"/>
                <w:lang w:val="sr-Latn-ME" w:eastAsia="sr-Latn-CS"/>
              </w:rPr>
              <w:t>Poremećaji mišićno-koštanog sistema i vezivnog tkiva</w:t>
            </w:r>
          </w:p>
        </w:tc>
        <w:tc>
          <w:tcPr>
            <w:tcW w:w="559" w:type="pct"/>
            <w:tcBorders>
              <w:top w:val="single" w:sz="4" w:space="0" w:color="000000"/>
              <w:left w:val="single" w:sz="4" w:space="0" w:color="000000"/>
              <w:bottom w:val="single" w:sz="4" w:space="0" w:color="000000"/>
              <w:right w:val="single" w:sz="4" w:space="0" w:color="000000"/>
            </w:tcBorders>
          </w:tcPr>
          <w:p w14:paraId="1C744D7B"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34CD25CD"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muskulo-skeletni bol,</w:t>
            </w:r>
          </w:p>
          <w:p w14:paraId="3D2FF334"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mijalgija, artralgija</w:t>
            </w:r>
          </w:p>
        </w:tc>
        <w:tc>
          <w:tcPr>
            <w:tcW w:w="726" w:type="pct"/>
            <w:tcBorders>
              <w:top w:val="single" w:sz="4" w:space="0" w:color="000000"/>
              <w:left w:val="single" w:sz="4" w:space="0" w:color="000000"/>
              <w:bottom w:val="single" w:sz="4" w:space="0" w:color="000000"/>
              <w:right w:val="single" w:sz="4" w:space="0" w:color="000000"/>
            </w:tcBorders>
          </w:tcPr>
          <w:p w14:paraId="7391E189"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3E864832"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408C70B8"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66CD126A"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B14EBB" w14:paraId="2E71D0FF" w14:textId="77777777" w:rsidTr="00A667D8">
        <w:trPr>
          <w:trHeight w:hRule="exact" w:val="478"/>
        </w:trPr>
        <w:tc>
          <w:tcPr>
            <w:tcW w:w="1121" w:type="pct"/>
            <w:tcBorders>
              <w:top w:val="single" w:sz="4" w:space="0" w:color="000000"/>
              <w:left w:val="single" w:sz="4" w:space="0" w:color="000000"/>
              <w:bottom w:val="single" w:sz="4" w:space="0" w:color="000000"/>
              <w:right w:val="single" w:sz="4" w:space="0" w:color="000000"/>
            </w:tcBorders>
          </w:tcPr>
          <w:p w14:paraId="48EF9A41"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 xml:space="preserve">Poremećaji bubrega i urinarnog sistema </w:t>
            </w:r>
          </w:p>
        </w:tc>
        <w:tc>
          <w:tcPr>
            <w:tcW w:w="559" w:type="pct"/>
            <w:tcBorders>
              <w:top w:val="single" w:sz="4" w:space="0" w:color="000000"/>
              <w:left w:val="single" w:sz="4" w:space="0" w:color="000000"/>
              <w:bottom w:val="single" w:sz="4" w:space="0" w:color="000000"/>
              <w:right w:val="single" w:sz="4" w:space="0" w:color="000000"/>
            </w:tcBorders>
          </w:tcPr>
          <w:p w14:paraId="2AFD973E"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5D9FE104"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polakisurija</w:t>
            </w:r>
          </w:p>
        </w:tc>
        <w:tc>
          <w:tcPr>
            <w:tcW w:w="726" w:type="pct"/>
            <w:tcBorders>
              <w:top w:val="single" w:sz="4" w:space="0" w:color="000000"/>
              <w:left w:val="single" w:sz="4" w:space="0" w:color="000000"/>
              <w:bottom w:val="single" w:sz="4" w:space="0" w:color="000000"/>
              <w:right w:val="single" w:sz="4" w:space="0" w:color="000000"/>
            </w:tcBorders>
          </w:tcPr>
          <w:p w14:paraId="598838D5"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59F9302C"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47B9FE4C"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455D7C2E"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B14EBB" w14:paraId="53BC51B6" w14:textId="77777777" w:rsidTr="00A667D8">
        <w:trPr>
          <w:trHeight w:hRule="exact" w:val="712"/>
        </w:trPr>
        <w:tc>
          <w:tcPr>
            <w:tcW w:w="1121" w:type="pct"/>
            <w:tcBorders>
              <w:top w:val="single" w:sz="4" w:space="0" w:color="000000"/>
              <w:left w:val="single" w:sz="4" w:space="0" w:color="000000"/>
              <w:bottom w:val="single" w:sz="4" w:space="0" w:color="000000"/>
              <w:right w:val="single" w:sz="4" w:space="0" w:color="000000"/>
            </w:tcBorders>
          </w:tcPr>
          <w:p w14:paraId="5F6B89C5" w14:textId="77777777" w:rsidR="00E43D38" w:rsidRPr="00B14EBB" w:rsidRDefault="00E43D38" w:rsidP="00545126">
            <w:pPr>
              <w:widowControl w:val="0"/>
              <w:autoSpaceDE w:val="0"/>
              <w:autoSpaceDN w:val="0"/>
              <w:adjustRightInd w:val="0"/>
              <w:spacing w:line="248" w:lineRule="auto"/>
              <w:ind w:left="142"/>
              <w:rPr>
                <w:sz w:val="18"/>
                <w:szCs w:val="18"/>
                <w:lang w:val="sr-Latn-ME" w:eastAsia="sr-Latn-CS"/>
              </w:rPr>
            </w:pPr>
            <w:r w:rsidRPr="00B14EBB">
              <w:rPr>
                <w:sz w:val="18"/>
                <w:szCs w:val="18"/>
                <w:lang w:val="sr-Latn-ME" w:eastAsia="sr-Latn-CS"/>
              </w:rPr>
              <w:t>Por</w:t>
            </w:r>
            <w:r w:rsidRPr="00B14EBB">
              <w:rPr>
                <w:spacing w:val="2"/>
                <w:sz w:val="18"/>
                <w:szCs w:val="18"/>
                <w:lang w:val="sr-Latn-ME" w:eastAsia="sr-Latn-CS"/>
              </w:rPr>
              <w:t>e</w:t>
            </w:r>
            <w:r w:rsidRPr="00B14EBB">
              <w:rPr>
                <w:spacing w:val="-1"/>
                <w:sz w:val="18"/>
                <w:szCs w:val="18"/>
                <w:lang w:val="sr-Latn-ME" w:eastAsia="sr-Latn-CS"/>
              </w:rPr>
              <w:t>m</w:t>
            </w:r>
            <w:r w:rsidRPr="00B14EBB">
              <w:rPr>
                <w:sz w:val="18"/>
                <w:szCs w:val="18"/>
                <w:lang w:val="sr-Latn-ME" w:eastAsia="sr-Latn-CS"/>
              </w:rPr>
              <w:t>e</w:t>
            </w:r>
            <w:r w:rsidRPr="00B14EBB">
              <w:rPr>
                <w:spacing w:val="1"/>
                <w:sz w:val="18"/>
                <w:szCs w:val="18"/>
                <w:lang w:val="sr-Latn-ME" w:eastAsia="sr-Latn-CS"/>
              </w:rPr>
              <w:t>ć</w:t>
            </w:r>
            <w:r w:rsidRPr="00B14EBB">
              <w:rPr>
                <w:sz w:val="18"/>
                <w:szCs w:val="18"/>
                <w:lang w:val="sr-Latn-ME" w:eastAsia="sr-Latn-CS"/>
              </w:rPr>
              <w:t>aji</w:t>
            </w:r>
            <w:r w:rsidRPr="00B14EBB">
              <w:rPr>
                <w:spacing w:val="28"/>
                <w:sz w:val="18"/>
                <w:szCs w:val="18"/>
                <w:lang w:val="sr-Latn-ME" w:eastAsia="sr-Latn-CS"/>
              </w:rPr>
              <w:t xml:space="preserve"> </w:t>
            </w:r>
            <w:r w:rsidRPr="00B14EBB">
              <w:rPr>
                <w:sz w:val="18"/>
                <w:szCs w:val="18"/>
                <w:lang w:val="sr-Latn-ME" w:eastAsia="sr-Latn-CS"/>
              </w:rPr>
              <w:t>re</w:t>
            </w:r>
            <w:r w:rsidRPr="00B14EBB">
              <w:rPr>
                <w:spacing w:val="-1"/>
                <w:sz w:val="18"/>
                <w:szCs w:val="18"/>
                <w:lang w:val="sr-Latn-ME" w:eastAsia="sr-Latn-CS"/>
              </w:rPr>
              <w:t>p</w:t>
            </w:r>
            <w:r w:rsidRPr="00B14EBB">
              <w:rPr>
                <w:spacing w:val="2"/>
                <w:sz w:val="18"/>
                <w:szCs w:val="18"/>
                <w:lang w:val="sr-Latn-ME" w:eastAsia="sr-Latn-CS"/>
              </w:rPr>
              <w:t>r</w:t>
            </w:r>
            <w:r w:rsidRPr="00B14EBB">
              <w:rPr>
                <w:spacing w:val="-1"/>
                <w:sz w:val="18"/>
                <w:szCs w:val="18"/>
                <w:lang w:val="sr-Latn-ME" w:eastAsia="sr-Latn-CS"/>
              </w:rPr>
              <w:t>o</w:t>
            </w:r>
            <w:r w:rsidRPr="00B14EBB">
              <w:rPr>
                <w:spacing w:val="1"/>
                <w:sz w:val="18"/>
                <w:szCs w:val="18"/>
                <w:lang w:val="sr-Latn-ME" w:eastAsia="sr-Latn-CS"/>
              </w:rPr>
              <w:t>d</w:t>
            </w:r>
            <w:r w:rsidRPr="00B14EBB">
              <w:rPr>
                <w:sz w:val="18"/>
                <w:szCs w:val="18"/>
                <w:lang w:val="sr-Latn-ME" w:eastAsia="sr-Latn-CS"/>
              </w:rPr>
              <w:t>ukti</w:t>
            </w:r>
            <w:r w:rsidRPr="00B14EBB">
              <w:rPr>
                <w:spacing w:val="1"/>
                <w:sz w:val="18"/>
                <w:szCs w:val="18"/>
                <w:lang w:val="sr-Latn-ME" w:eastAsia="sr-Latn-CS"/>
              </w:rPr>
              <w:t>v</w:t>
            </w:r>
            <w:r w:rsidRPr="00B14EBB">
              <w:rPr>
                <w:sz w:val="18"/>
                <w:szCs w:val="18"/>
                <w:lang w:val="sr-Latn-ME" w:eastAsia="sr-Latn-CS"/>
              </w:rPr>
              <w:t>nog</w:t>
            </w:r>
            <w:r w:rsidRPr="00B14EBB">
              <w:rPr>
                <w:spacing w:val="40"/>
                <w:sz w:val="18"/>
                <w:szCs w:val="18"/>
                <w:lang w:val="sr-Latn-ME" w:eastAsia="sr-Latn-CS"/>
              </w:rPr>
              <w:t xml:space="preserve"> </w:t>
            </w:r>
            <w:r w:rsidRPr="00B14EBB">
              <w:rPr>
                <w:spacing w:val="-1"/>
                <w:sz w:val="18"/>
                <w:szCs w:val="18"/>
                <w:lang w:val="sr-Latn-ME" w:eastAsia="sr-Latn-CS"/>
              </w:rPr>
              <w:t>sistem</w:t>
            </w:r>
            <w:r w:rsidRPr="00B14EBB">
              <w:rPr>
                <w:sz w:val="18"/>
                <w:szCs w:val="18"/>
                <w:lang w:val="sr-Latn-ME" w:eastAsia="sr-Latn-CS"/>
              </w:rPr>
              <w:t>a</w:t>
            </w:r>
            <w:r w:rsidRPr="00B14EBB">
              <w:rPr>
                <w:spacing w:val="19"/>
                <w:sz w:val="18"/>
                <w:szCs w:val="18"/>
                <w:lang w:val="sr-Latn-ME" w:eastAsia="sr-Latn-CS"/>
              </w:rPr>
              <w:t xml:space="preserve"> </w:t>
            </w:r>
            <w:r w:rsidRPr="00B14EBB">
              <w:rPr>
                <w:sz w:val="18"/>
                <w:szCs w:val="18"/>
                <w:lang w:val="sr-Latn-ME" w:eastAsia="sr-Latn-CS"/>
              </w:rPr>
              <w:t>i</w:t>
            </w:r>
            <w:r w:rsidRPr="00B14EBB">
              <w:rPr>
                <w:spacing w:val="4"/>
                <w:sz w:val="18"/>
                <w:szCs w:val="18"/>
                <w:lang w:val="sr-Latn-ME" w:eastAsia="sr-Latn-CS"/>
              </w:rPr>
              <w:t xml:space="preserve"> </w:t>
            </w:r>
            <w:r w:rsidRPr="00B14EBB">
              <w:rPr>
                <w:w w:val="103"/>
                <w:sz w:val="18"/>
                <w:szCs w:val="18"/>
                <w:lang w:val="sr-Latn-ME" w:eastAsia="sr-Latn-CS"/>
              </w:rPr>
              <w:t>do</w:t>
            </w:r>
            <w:r w:rsidRPr="00B14EBB">
              <w:rPr>
                <w:spacing w:val="1"/>
                <w:w w:val="103"/>
                <w:sz w:val="18"/>
                <w:szCs w:val="18"/>
                <w:lang w:val="sr-Latn-ME" w:eastAsia="sr-Latn-CS"/>
              </w:rPr>
              <w:t>j</w:t>
            </w:r>
            <w:r w:rsidRPr="00B14EBB">
              <w:rPr>
                <w:spacing w:val="-1"/>
                <w:w w:val="103"/>
                <w:sz w:val="18"/>
                <w:szCs w:val="18"/>
                <w:lang w:val="sr-Latn-ME" w:eastAsia="sr-Latn-CS"/>
              </w:rPr>
              <w:t>k</w:t>
            </w:r>
            <w:r w:rsidRPr="00B14EBB">
              <w:rPr>
                <w:w w:val="103"/>
                <w:sz w:val="18"/>
                <w:szCs w:val="18"/>
                <w:lang w:val="sr-Latn-ME" w:eastAsia="sr-Latn-CS"/>
              </w:rPr>
              <w:t>i</w:t>
            </w:r>
          </w:p>
        </w:tc>
        <w:tc>
          <w:tcPr>
            <w:tcW w:w="559" w:type="pct"/>
            <w:tcBorders>
              <w:top w:val="single" w:sz="4" w:space="0" w:color="000000"/>
              <w:left w:val="single" w:sz="4" w:space="0" w:color="000000"/>
              <w:bottom w:val="single" w:sz="4" w:space="0" w:color="000000"/>
              <w:right w:val="single" w:sz="4" w:space="0" w:color="000000"/>
            </w:tcBorders>
          </w:tcPr>
          <w:p w14:paraId="3B91412E"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4E7E49CB"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menoragija</w:t>
            </w:r>
          </w:p>
        </w:tc>
        <w:tc>
          <w:tcPr>
            <w:tcW w:w="726" w:type="pct"/>
            <w:tcBorders>
              <w:top w:val="single" w:sz="4" w:space="0" w:color="000000"/>
              <w:left w:val="single" w:sz="4" w:space="0" w:color="000000"/>
              <w:bottom w:val="single" w:sz="4" w:space="0" w:color="000000"/>
              <w:right w:val="single" w:sz="4" w:space="0" w:color="000000"/>
            </w:tcBorders>
          </w:tcPr>
          <w:p w14:paraId="5DE1C08B"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38A47F7F" w14:textId="77777777" w:rsidR="00E43D38" w:rsidRPr="00B14EBB" w:rsidRDefault="00E43D38" w:rsidP="00545126">
            <w:pPr>
              <w:widowControl w:val="0"/>
              <w:tabs>
                <w:tab w:val="left" w:pos="2452"/>
              </w:tabs>
              <w:autoSpaceDE w:val="0"/>
              <w:autoSpaceDN w:val="0"/>
              <w:adjustRightInd w:val="0"/>
              <w:spacing w:line="247" w:lineRule="auto"/>
              <w:ind w:left="142"/>
              <w:rPr>
                <w:spacing w:val="1"/>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19BBED4D" w14:textId="77777777" w:rsidR="00E43D38" w:rsidRPr="00B14EBB" w:rsidRDefault="00E43D38" w:rsidP="00545126">
            <w:pPr>
              <w:widowControl w:val="0"/>
              <w:tabs>
                <w:tab w:val="left" w:pos="2452"/>
              </w:tabs>
              <w:autoSpaceDE w:val="0"/>
              <w:autoSpaceDN w:val="0"/>
              <w:adjustRightInd w:val="0"/>
              <w:spacing w:line="247" w:lineRule="auto"/>
              <w:ind w:left="142"/>
              <w:rPr>
                <w:spacing w:val="1"/>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598B655C" w14:textId="77777777" w:rsidR="00E43D38" w:rsidRPr="00B14EBB" w:rsidRDefault="00E43D38" w:rsidP="00545126">
            <w:pPr>
              <w:widowControl w:val="0"/>
              <w:tabs>
                <w:tab w:val="left" w:pos="2452"/>
              </w:tabs>
              <w:autoSpaceDE w:val="0"/>
              <w:autoSpaceDN w:val="0"/>
              <w:adjustRightInd w:val="0"/>
              <w:spacing w:line="247" w:lineRule="auto"/>
              <w:ind w:left="142"/>
              <w:rPr>
                <w:spacing w:val="1"/>
                <w:sz w:val="20"/>
                <w:szCs w:val="20"/>
                <w:lang w:val="sr-Latn-ME" w:eastAsia="sr-Latn-CS"/>
              </w:rPr>
            </w:pPr>
          </w:p>
        </w:tc>
      </w:tr>
      <w:tr w:rsidR="00E43D38" w:rsidRPr="00B14EBB" w14:paraId="72EF0857" w14:textId="77777777" w:rsidTr="00A667D8">
        <w:trPr>
          <w:trHeight w:hRule="exact" w:val="664"/>
        </w:trPr>
        <w:tc>
          <w:tcPr>
            <w:tcW w:w="1121" w:type="pct"/>
            <w:tcBorders>
              <w:top w:val="single" w:sz="4" w:space="0" w:color="000000"/>
              <w:left w:val="single" w:sz="4" w:space="0" w:color="000000"/>
              <w:bottom w:val="single" w:sz="4" w:space="0" w:color="000000"/>
              <w:right w:val="single" w:sz="4" w:space="0" w:color="000000"/>
            </w:tcBorders>
          </w:tcPr>
          <w:p w14:paraId="7A97A468" w14:textId="76DF638C" w:rsidR="00E43D38" w:rsidRPr="00B14EBB" w:rsidRDefault="00E43D38" w:rsidP="00545126">
            <w:pPr>
              <w:widowControl w:val="0"/>
              <w:autoSpaceDE w:val="0"/>
              <w:autoSpaceDN w:val="0"/>
              <w:adjustRightInd w:val="0"/>
              <w:spacing w:line="248" w:lineRule="auto"/>
              <w:ind w:left="142"/>
              <w:rPr>
                <w:sz w:val="18"/>
                <w:szCs w:val="18"/>
                <w:lang w:val="sr-Latn-ME" w:eastAsia="sr-Latn-CS"/>
              </w:rPr>
            </w:pPr>
            <w:r w:rsidRPr="00B14EBB">
              <w:rPr>
                <w:sz w:val="18"/>
                <w:szCs w:val="18"/>
                <w:lang w:val="sr-Latn-ME" w:eastAsia="sr-Latn-CS"/>
              </w:rPr>
              <w:t>Op</w:t>
            </w:r>
            <w:r w:rsidRPr="00B14EBB">
              <w:rPr>
                <w:spacing w:val="-1"/>
                <w:sz w:val="18"/>
                <w:szCs w:val="18"/>
                <w:lang w:val="sr-Latn-ME" w:eastAsia="sr-Latn-CS"/>
              </w:rPr>
              <w:t>šti</w:t>
            </w:r>
            <w:r w:rsidRPr="00B14EBB">
              <w:rPr>
                <w:spacing w:val="16"/>
                <w:sz w:val="18"/>
                <w:szCs w:val="18"/>
                <w:lang w:val="sr-Latn-ME" w:eastAsia="sr-Latn-CS"/>
              </w:rPr>
              <w:t xml:space="preserve"> </w:t>
            </w:r>
            <w:r w:rsidRPr="00B14EBB">
              <w:rPr>
                <w:spacing w:val="1"/>
                <w:sz w:val="18"/>
                <w:szCs w:val="18"/>
                <w:lang w:val="sr-Latn-ME" w:eastAsia="sr-Latn-CS"/>
              </w:rPr>
              <w:t>p</w:t>
            </w:r>
            <w:r w:rsidRPr="00B14EBB">
              <w:rPr>
                <w:spacing w:val="-1"/>
                <w:sz w:val="18"/>
                <w:szCs w:val="18"/>
                <w:lang w:val="sr-Latn-ME" w:eastAsia="sr-Latn-CS"/>
              </w:rPr>
              <w:t>o</w:t>
            </w:r>
            <w:r w:rsidRPr="00B14EBB">
              <w:rPr>
                <w:spacing w:val="1"/>
                <w:sz w:val="18"/>
                <w:szCs w:val="18"/>
                <w:lang w:val="sr-Latn-ME" w:eastAsia="sr-Latn-CS"/>
              </w:rPr>
              <w:t>r</w:t>
            </w:r>
            <w:r w:rsidRPr="00B14EBB">
              <w:rPr>
                <w:spacing w:val="2"/>
                <w:sz w:val="18"/>
                <w:szCs w:val="18"/>
                <w:lang w:val="sr-Latn-ME" w:eastAsia="sr-Latn-CS"/>
              </w:rPr>
              <w:t>e</w:t>
            </w:r>
            <w:r w:rsidRPr="00B14EBB">
              <w:rPr>
                <w:spacing w:val="-1"/>
                <w:sz w:val="18"/>
                <w:szCs w:val="18"/>
                <w:lang w:val="sr-Latn-ME" w:eastAsia="sr-Latn-CS"/>
              </w:rPr>
              <w:t>m</w:t>
            </w:r>
            <w:r w:rsidRPr="00B14EBB">
              <w:rPr>
                <w:spacing w:val="1"/>
                <w:sz w:val="18"/>
                <w:szCs w:val="18"/>
                <w:lang w:val="sr-Latn-ME" w:eastAsia="sr-Latn-CS"/>
              </w:rPr>
              <w:t>e</w:t>
            </w:r>
            <w:r w:rsidRPr="00B14EBB">
              <w:rPr>
                <w:spacing w:val="-1"/>
                <w:sz w:val="18"/>
                <w:szCs w:val="18"/>
                <w:lang w:val="sr-Latn-ME" w:eastAsia="sr-Latn-CS"/>
              </w:rPr>
              <w:t>ć</w:t>
            </w:r>
            <w:r w:rsidRPr="00B14EBB">
              <w:rPr>
                <w:sz w:val="18"/>
                <w:szCs w:val="18"/>
                <w:lang w:val="sr-Latn-ME" w:eastAsia="sr-Latn-CS"/>
              </w:rPr>
              <w:t>aji</w:t>
            </w:r>
            <w:r w:rsidRPr="00B14EBB">
              <w:rPr>
                <w:spacing w:val="29"/>
                <w:sz w:val="18"/>
                <w:szCs w:val="18"/>
                <w:lang w:val="sr-Latn-ME" w:eastAsia="sr-Latn-CS"/>
              </w:rPr>
              <w:t xml:space="preserve"> </w:t>
            </w:r>
            <w:r w:rsidRPr="00B14EBB">
              <w:rPr>
                <w:sz w:val="18"/>
                <w:szCs w:val="18"/>
                <w:lang w:val="sr-Latn-ME" w:eastAsia="sr-Latn-CS"/>
              </w:rPr>
              <w:t>i</w:t>
            </w:r>
            <w:r w:rsidRPr="00B14EBB">
              <w:rPr>
                <w:spacing w:val="3"/>
                <w:sz w:val="18"/>
                <w:szCs w:val="18"/>
                <w:lang w:val="sr-Latn-ME" w:eastAsia="sr-Latn-CS"/>
              </w:rPr>
              <w:t xml:space="preserve"> </w:t>
            </w:r>
            <w:r w:rsidRPr="00B14EBB">
              <w:rPr>
                <w:sz w:val="18"/>
                <w:szCs w:val="18"/>
                <w:lang w:val="sr-Latn-ME" w:eastAsia="sr-Latn-CS"/>
              </w:rPr>
              <w:t>reakcije</w:t>
            </w:r>
            <w:r w:rsidRPr="00B14EBB">
              <w:rPr>
                <w:spacing w:val="22"/>
                <w:sz w:val="18"/>
                <w:szCs w:val="18"/>
                <w:lang w:val="sr-Latn-ME" w:eastAsia="sr-Latn-CS"/>
              </w:rPr>
              <w:t xml:space="preserve"> </w:t>
            </w:r>
            <w:r w:rsidRPr="00B14EBB">
              <w:rPr>
                <w:sz w:val="18"/>
                <w:szCs w:val="18"/>
                <w:lang w:val="sr-Latn-ME" w:eastAsia="sr-Latn-CS"/>
              </w:rPr>
              <w:t>na</w:t>
            </w:r>
            <w:r w:rsidRPr="00B14EBB">
              <w:rPr>
                <w:spacing w:val="9"/>
                <w:sz w:val="18"/>
                <w:szCs w:val="18"/>
                <w:lang w:val="sr-Latn-ME" w:eastAsia="sr-Latn-CS"/>
              </w:rPr>
              <w:t xml:space="preserve"> </w:t>
            </w:r>
            <w:r w:rsidRPr="00B14EBB">
              <w:rPr>
                <w:sz w:val="18"/>
                <w:szCs w:val="18"/>
                <w:lang w:val="sr-Latn-ME" w:eastAsia="sr-Latn-CS"/>
              </w:rPr>
              <w:t>m</w:t>
            </w:r>
            <w:r w:rsidR="00E24715" w:rsidRPr="00B14EBB">
              <w:rPr>
                <w:sz w:val="18"/>
                <w:szCs w:val="18"/>
                <w:lang w:val="sr-Latn-ME" w:eastAsia="sr-Latn-CS"/>
              </w:rPr>
              <w:t>j</w:t>
            </w:r>
            <w:r w:rsidRPr="00B14EBB">
              <w:rPr>
                <w:sz w:val="18"/>
                <w:szCs w:val="18"/>
                <w:lang w:val="sr-Latn-ME" w:eastAsia="sr-Latn-CS"/>
              </w:rPr>
              <w:t>estu</w:t>
            </w:r>
            <w:r w:rsidRPr="00B14EBB">
              <w:rPr>
                <w:spacing w:val="18"/>
                <w:sz w:val="18"/>
                <w:szCs w:val="18"/>
                <w:lang w:val="sr-Latn-ME" w:eastAsia="sr-Latn-CS"/>
              </w:rPr>
              <w:t xml:space="preserve"> </w:t>
            </w:r>
            <w:r w:rsidRPr="00B14EBB">
              <w:rPr>
                <w:w w:val="103"/>
                <w:sz w:val="18"/>
                <w:szCs w:val="18"/>
                <w:lang w:val="sr-Latn-ME" w:eastAsia="sr-Latn-CS"/>
              </w:rPr>
              <w:t>pr</w:t>
            </w:r>
            <w:r w:rsidRPr="00B14EBB">
              <w:rPr>
                <w:spacing w:val="1"/>
                <w:w w:val="103"/>
                <w:sz w:val="18"/>
                <w:szCs w:val="18"/>
                <w:lang w:val="sr-Latn-ME" w:eastAsia="sr-Latn-CS"/>
              </w:rPr>
              <w:t>i</w:t>
            </w:r>
            <w:r w:rsidRPr="00B14EBB">
              <w:rPr>
                <w:spacing w:val="-1"/>
                <w:w w:val="103"/>
                <w:sz w:val="18"/>
                <w:szCs w:val="18"/>
                <w:lang w:val="sr-Latn-ME" w:eastAsia="sr-Latn-CS"/>
              </w:rPr>
              <w:t>m</w:t>
            </w:r>
            <w:r w:rsidR="00E24715" w:rsidRPr="00B14EBB">
              <w:rPr>
                <w:spacing w:val="-1"/>
                <w:w w:val="103"/>
                <w:sz w:val="18"/>
                <w:szCs w:val="18"/>
                <w:lang w:val="sr-Latn-ME" w:eastAsia="sr-Latn-CS"/>
              </w:rPr>
              <w:t>j</w:t>
            </w:r>
            <w:r w:rsidRPr="00B14EBB">
              <w:rPr>
                <w:w w:val="103"/>
                <w:sz w:val="18"/>
                <w:szCs w:val="18"/>
                <w:lang w:val="sr-Latn-ME" w:eastAsia="sr-Latn-CS"/>
              </w:rPr>
              <w:t>ene</w:t>
            </w:r>
          </w:p>
        </w:tc>
        <w:tc>
          <w:tcPr>
            <w:tcW w:w="559" w:type="pct"/>
            <w:tcBorders>
              <w:top w:val="single" w:sz="4" w:space="0" w:color="000000"/>
              <w:left w:val="single" w:sz="4" w:space="0" w:color="000000"/>
              <w:bottom w:val="single" w:sz="4" w:space="0" w:color="000000"/>
              <w:right w:val="single" w:sz="4" w:space="0" w:color="000000"/>
            </w:tcBorders>
          </w:tcPr>
          <w:p w14:paraId="268B1C33"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41C59217" w14:textId="77777777" w:rsidR="00E43D38" w:rsidRPr="00B14EBB" w:rsidRDefault="00E43D38" w:rsidP="00545126">
            <w:pPr>
              <w:widowControl w:val="0"/>
              <w:autoSpaceDE w:val="0"/>
              <w:autoSpaceDN w:val="0"/>
              <w:adjustRightInd w:val="0"/>
              <w:spacing w:line="248" w:lineRule="auto"/>
              <w:ind w:left="142" w:firstLine="1"/>
              <w:rPr>
                <w:sz w:val="18"/>
                <w:szCs w:val="18"/>
                <w:lang w:val="sr-Latn-ME" w:eastAsia="sr-Latn-CS"/>
              </w:rPr>
            </w:pPr>
            <w:r w:rsidRPr="00B14EBB">
              <w:rPr>
                <w:sz w:val="18"/>
                <w:szCs w:val="18"/>
                <w:lang w:val="sr-Latn-ME" w:eastAsia="sr-Latn-CS"/>
              </w:rPr>
              <w:t>bol, astenija</w:t>
            </w:r>
            <w:r w:rsidRPr="00B14EBB">
              <w:rPr>
                <w:spacing w:val="-1"/>
                <w:sz w:val="18"/>
                <w:szCs w:val="18"/>
                <w:vertAlign w:val="superscript"/>
                <w:lang w:val="sr-Latn-ME" w:eastAsia="sr-Latn-CS"/>
              </w:rPr>
              <w:t>a</w:t>
            </w:r>
          </w:p>
        </w:tc>
        <w:tc>
          <w:tcPr>
            <w:tcW w:w="726" w:type="pct"/>
            <w:tcBorders>
              <w:top w:val="single" w:sz="4" w:space="0" w:color="000000"/>
              <w:left w:val="single" w:sz="4" w:space="0" w:color="000000"/>
              <w:bottom w:val="single" w:sz="4" w:space="0" w:color="000000"/>
              <w:right w:val="single" w:sz="4" w:space="0" w:color="000000"/>
            </w:tcBorders>
          </w:tcPr>
          <w:p w14:paraId="538253B9"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49D2B21A"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33077DBE"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416FA3E3"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r w:rsidR="00E43D38" w:rsidRPr="005D5EBF" w14:paraId="74E5D190" w14:textId="77777777" w:rsidTr="00A667D8">
        <w:trPr>
          <w:trHeight w:hRule="exact" w:val="1766"/>
        </w:trPr>
        <w:tc>
          <w:tcPr>
            <w:tcW w:w="1121" w:type="pct"/>
            <w:tcBorders>
              <w:top w:val="single" w:sz="4" w:space="0" w:color="000000"/>
              <w:left w:val="single" w:sz="4" w:space="0" w:color="000000"/>
              <w:bottom w:val="single" w:sz="4" w:space="0" w:color="000000"/>
              <w:right w:val="single" w:sz="4" w:space="0" w:color="000000"/>
            </w:tcBorders>
          </w:tcPr>
          <w:p w14:paraId="571FD961"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pacing w:val="1"/>
                <w:w w:val="103"/>
                <w:sz w:val="18"/>
                <w:szCs w:val="18"/>
                <w:lang w:val="sr-Latn-ME" w:eastAsia="sr-Latn-CS"/>
              </w:rPr>
              <w:t>Ispitivanja</w:t>
            </w:r>
          </w:p>
        </w:tc>
        <w:tc>
          <w:tcPr>
            <w:tcW w:w="559" w:type="pct"/>
            <w:tcBorders>
              <w:top w:val="single" w:sz="4" w:space="0" w:color="000000"/>
              <w:left w:val="single" w:sz="4" w:space="0" w:color="000000"/>
              <w:bottom w:val="single" w:sz="4" w:space="0" w:color="000000"/>
              <w:right w:val="single" w:sz="4" w:space="0" w:color="000000"/>
            </w:tcBorders>
          </w:tcPr>
          <w:p w14:paraId="7BE34E1A"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sidDel="008F3B98">
              <w:rPr>
                <w:sz w:val="18"/>
                <w:szCs w:val="18"/>
                <w:lang w:val="sr-Latn-ME" w:eastAsia="sr-Latn-CS"/>
              </w:rPr>
              <w:t xml:space="preserve"> </w:t>
            </w:r>
            <w:r w:rsidRPr="00B14EBB">
              <w:rPr>
                <w:sz w:val="18"/>
                <w:szCs w:val="18"/>
                <w:lang w:val="sr-Latn-ME" w:eastAsia="sr-Latn-CS"/>
              </w:rPr>
              <w:t xml:space="preserve"> </w:t>
            </w:r>
          </w:p>
        </w:tc>
        <w:tc>
          <w:tcPr>
            <w:tcW w:w="1016" w:type="pct"/>
            <w:tcBorders>
              <w:top w:val="single" w:sz="4" w:space="0" w:color="000000"/>
              <w:left w:val="single" w:sz="4" w:space="0" w:color="000000"/>
              <w:bottom w:val="single" w:sz="4" w:space="0" w:color="000000"/>
              <w:right w:val="single" w:sz="4" w:space="0" w:color="000000"/>
            </w:tcBorders>
          </w:tcPr>
          <w:p w14:paraId="5A3842EA" w14:textId="72FAEA7E"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smanjenje t</w:t>
            </w:r>
            <w:r w:rsidR="00E24715" w:rsidRPr="00B14EBB">
              <w:rPr>
                <w:sz w:val="18"/>
                <w:szCs w:val="18"/>
                <w:lang w:val="sr-Latn-ME" w:eastAsia="sr-Latn-CS"/>
              </w:rPr>
              <w:t>j</w:t>
            </w:r>
            <w:r w:rsidRPr="00B14EBB">
              <w:rPr>
                <w:sz w:val="18"/>
                <w:szCs w:val="18"/>
                <w:lang w:val="sr-Latn-ME" w:eastAsia="sr-Latn-CS"/>
              </w:rPr>
              <w:t>elesne</w:t>
            </w:r>
          </w:p>
          <w:p w14:paraId="3B6BF46F"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mase, smanjenje broja</w:t>
            </w:r>
          </w:p>
          <w:p w14:paraId="378D0F9B"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neutrofila</w:t>
            </w:r>
            <w:r w:rsidRPr="00B14EBB">
              <w:rPr>
                <w:sz w:val="18"/>
                <w:szCs w:val="18"/>
                <w:vertAlign w:val="superscript"/>
                <w:lang w:val="sr-Latn-ME" w:eastAsia="sr-Latn-CS"/>
              </w:rPr>
              <w:t>b</w:t>
            </w:r>
            <w:r w:rsidRPr="00B14EBB">
              <w:rPr>
                <w:sz w:val="18"/>
                <w:szCs w:val="18"/>
                <w:lang w:val="sr-Latn-ME" w:eastAsia="sr-Latn-CS"/>
              </w:rPr>
              <w:t>, smanjenje broja leukocita</w:t>
            </w:r>
            <w:r w:rsidRPr="00B14EBB">
              <w:rPr>
                <w:sz w:val="18"/>
                <w:szCs w:val="18"/>
                <w:vertAlign w:val="superscript"/>
                <w:lang w:val="sr-Latn-ME" w:eastAsia="sr-Latn-CS"/>
              </w:rPr>
              <w:t>b</w:t>
            </w:r>
            <w:r w:rsidRPr="00B14EBB">
              <w:rPr>
                <w:sz w:val="18"/>
                <w:szCs w:val="18"/>
                <w:lang w:val="sr-Latn-ME" w:eastAsia="sr-Latn-CS"/>
              </w:rPr>
              <w:t>, povećana koncentracija kreatin-fosfokinaze u krvi</w:t>
            </w:r>
          </w:p>
        </w:tc>
        <w:tc>
          <w:tcPr>
            <w:tcW w:w="726" w:type="pct"/>
            <w:tcBorders>
              <w:top w:val="single" w:sz="4" w:space="0" w:color="000000"/>
              <w:left w:val="single" w:sz="4" w:space="0" w:color="000000"/>
              <w:bottom w:val="single" w:sz="4" w:space="0" w:color="000000"/>
              <w:right w:val="single" w:sz="4" w:space="0" w:color="000000"/>
            </w:tcBorders>
          </w:tcPr>
          <w:p w14:paraId="399C7983"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456" w:type="pct"/>
            <w:tcBorders>
              <w:top w:val="single" w:sz="4" w:space="0" w:color="000000"/>
              <w:left w:val="single" w:sz="4" w:space="0" w:color="000000"/>
              <w:bottom w:val="single" w:sz="4" w:space="0" w:color="000000"/>
              <w:right w:val="single" w:sz="4" w:space="0" w:color="000000"/>
            </w:tcBorders>
          </w:tcPr>
          <w:p w14:paraId="42EE6604" w14:textId="77777777" w:rsidR="00E43D38" w:rsidRPr="00B14EBB" w:rsidRDefault="00E43D38" w:rsidP="00545126">
            <w:pPr>
              <w:widowControl w:val="0"/>
              <w:tabs>
                <w:tab w:val="left" w:pos="2452"/>
              </w:tabs>
              <w:autoSpaceDE w:val="0"/>
              <w:autoSpaceDN w:val="0"/>
              <w:adjustRightInd w:val="0"/>
              <w:ind w:left="142"/>
              <w:rPr>
                <w:spacing w:val="1"/>
                <w:sz w:val="20"/>
                <w:szCs w:val="20"/>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4ECC6F9C" w14:textId="77777777" w:rsidR="00E43D38" w:rsidRPr="00B14EBB" w:rsidRDefault="00E43D38" w:rsidP="00545126">
            <w:pPr>
              <w:widowControl w:val="0"/>
              <w:tabs>
                <w:tab w:val="left" w:pos="2452"/>
              </w:tabs>
              <w:autoSpaceDE w:val="0"/>
              <w:autoSpaceDN w:val="0"/>
              <w:adjustRightInd w:val="0"/>
              <w:ind w:left="142"/>
              <w:rPr>
                <w:spacing w:val="1"/>
                <w:sz w:val="20"/>
                <w:szCs w:val="20"/>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13E28A71" w14:textId="77777777" w:rsidR="00E43D38" w:rsidRPr="00B14EBB" w:rsidRDefault="00E43D38" w:rsidP="00545126">
            <w:pPr>
              <w:widowControl w:val="0"/>
              <w:tabs>
                <w:tab w:val="left" w:pos="2452"/>
              </w:tabs>
              <w:autoSpaceDE w:val="0"/>
              <w:autoSpaceDN w:val="0"/>
              <w:adjustRightInd w:val="0"/>
              <w:ind w:left="142"/>
              <w:rPr>
                <w:spacing w:val="1"/>
                <w:sz w:val="20"/>
                <w:szCs w:val="20"/>
                <w:lang w:val="sr-Latn-ME" w:eastAsia="sr-Latn-CS"/>
              </w:rPr>
            </w:pPr>
          </w:p>
        </w:tc>
      </w:tr>
      <w:tr w:rsidR="00E43D38" w:rsidRPr="00B14EBB" w14:paraId="753EF8D1" w14:textId="77777777" w:rsidTr="00A667D8">
        <w:trPr>
          <w:trHeight w:hRule="exact" w:val="658"/>
        </w:trPr>
        <w:tc>
          <w:tcPr>
            <w:tcW w:w="1121" w:type="pct"/>
            <w:tcBorders>
              <w:top w:val="single" w:sz="4" w:space="0" w:color="000000"/>
              <w:left w:val="single" w:sz="4" w:space="0" w:color="000000"/>
              <w:bottom w:val="single" w:sz="4" w:space="0" w:color="000000"/>
              <w:right w:val="single" w:sz="4" w:space="0" w:color="000000"/>
            </w:tcBorders>
          </w:tcPr>
          <w:p w14:paraId="2FA56A37" w14:textId="77777777" w:rsidR="00E43D38" w:rsidRPr="00B14EBB" w:rsidRDefault="00E43D38" w:rsidP="00545126">
            <w:pPr>
              <w:widowControl w:val="0"/>
              <w:autoSpaceDE w:val="0"/>
              <w:autoSpaceDN w:val="0"/>
              <w:adjustRightInd w:val="0"/>
              <w:spacing w:line="247" w:lineRule="auto"/>
              <w:ind w:left="142"/>
              <w:rPr>
                <w:sz w:val="18"/>
                <w:szCs w:val="18"/>
                <w:lang w:val="sr-Latn-ME" w:eastAsia="sr-Latn-CS"/>
              </w:rPr>
            </w:pPr>
            <w:r w:rsidRPr="00B14EBB">
              <w:rPr>
                <w:sz w:val="18"/>
                <w:szCs w:val="18"/>
                <w:lang w:val="sr-Latn-ME" w:eastAsia="sr-Latn-CS"/>
              </w:rPr>
              <w:t>Povrede,</w:t>
            </w:r>
            <w:r w:rsidRPr="00B14EBB">
              <w:rPr>
                <w:spacing w:val="22"/>
                <w:sz w:val="18"/>
                <w:szCs w:val="18"/>
                <w:lang w:val="sr-Latn-ME" w:eastAsia="sr-Latn-CS"/>
              </w:rPr>
              <w:t xml:space="preserve"> </w:t>
            </w:r>
            <w:r w:rsidRPr="00B14EBB">
              <w:rPr>
                <w:sz w:val="18"/>
                <w:szCs w:val="18"/>
                <w:lang w:val="sr-Latn-ME" w:eastAsia="sr-Latn-CS"/>
              </w:rPr>
              <w:t>trova</w:t>
            </w:r>
            <w:r w:rsidRPr="00B14EBB">
              <w:rPr>
                <w:spacing w:val="-1"/>
                <w:sz w:val="18"/>
                <w:szCs w:val="18"/>
                <w:lang w:val="sr-Latn-ME" w:eastAsia="sr-Latn-CS"/>
              </w:rPr>
              <w:t>n</w:t>
            </w:r>
            <w:r w:rsidRPr="00B14EBB">
              <w:rPr>
                <w:sz w:val="18"/>
                <w:szCs w:val="18"/>
                <w:lang w:val="sr-Latn-ME" w:eastAsia="sr-Latn-CS"/>
              </w:rPr>
              <w:t>ja</w:t>
            </w:r>
            <w:r w:rsidRPr="00B14EBB">
              <w:rPr>
                <w:spacing w:val="23"/>
                <w:sz w:val="18"/>
                <w:szCs w:val="18"/>
                <w:lang w:val="sr-Latn-ME" w:eastAsia="sr-Latn-CS"/>
              </w:rPr>
              <w:t xml:space="preserve"> </w:t>
            </w:r>
            <w:r w:rsidRPr="00B14EBB">
              <w:rPr>
                <w:sz w:val="18"/>
                <w:szCs w:val="18"/>
                <w:lang w:val="sr-Latn-ME" w:eastAsia="sr-Latn-CS"/>
              </w:rPr>
              <w:t>i</w:t>
            </w:r>
            <w:r w:rsidRPr="00B14EBB">
              <w:rPr>
                <w:spacing w:val="3"/>
                <w:sz w:val="18"/>
                <w:szCs w:val="18"/>
                <w:lang w:val="sr-Latn-ME" w:eastAsia="sr-Latn-CS"/>
              </w:rPr>
              <w:t xml:space="preserve"> </w:t>
            </w:r>
            <w:r w:rsidRPr="00B14EBB">
              <w:rPr>
                <w:sz w:val="18"/>
                <w:szCs w:val="18"/>
                <w:lang w:val="sr-Latn-ME" w:eastAsia="sr-Latn-CS"/>
              </w:rPr>
              <w:t>pr</w:t>
            </w:r>
            <w:r w:rsidRPr="00B14EBB">
              <w:rPr>
                <w:spacing w:val="1"/>
                <w:sz w:val="18"/>
                <w:szCs w:val="18"/>
                <w:lang w:val="sr-Latn-ME" w:eastAsia="sr-Latn-CS"/>
              </w:rPr>
              <w:t>o</w:t>
            </w:r>
            <w:r w:rsidRPr="00B14EBB">
              <w:rPr>
                <w:sz w:val="18"/>
                <w:szCs w:val="18"/>
                <w:lang w:val="sr-Latn-ME" w:eastAsia="sr-Latn-CS"/>
              </w:rPr>
              <w:t>ced</w:t>
            </w:r>
            <w:r w:rsidRPr="00B14EBB">
              <w:rPr>
                <w:spacing w:val="-1"/>
                <w:sz w:val="18"/>
                <w:szCs w:val="18"/>
                <w:lang w:val="sr-Latn-ME" w:eastAsia="sr-Latn-CS"/>
              </w:rPr>
              <w:t>u</w:t>
            </w:r>
            <w:r w:rsidRPr="00B14EBB">
              <w:rPr>
                <w:spacing w:val="2"/>
                <w:sz w:val="18"/>
                <w:szCs w:val="18"/>
                <w:lang w:val="sr-Latn-ME" w:eastAsia="sr-Latn-CS"/>
              </w:rPr>
              <w:t>r</w:t>
            </w:r>
            <w:r w:rsidRPr="00B14EBB">
              <w:rPr>
                <w:sz w:val="18"/>
                <w:szCs w:val="18"/>
                <w:lang w:val="sr-Latn-ME" w:eastAsia="sr-Latn-CS"/>
              </w:rPr>
              <w:t>alne</w:t>
            </w:r>
            <w:r w:rsidRPr="00B14EBB">
              <w:rPr>
                <w:spacing w:val="33"/>
                <w:sz w:val="18"/>
                <w:szCs w:val="18"/>
                <w:lang w:val="sr-Latn-ME" w:eastAsia="sr-Latn-CS"/>
              </w:rPr>
              <w:t xml:space="preserve"> </w:t>
            </w:r>
            <w:r w:rsidRPr="00B14EBB">
              <w:rPr>
                <w:w w:val="103"/>
                <w:sz w:val="18"/>
                <w:szCs w:val="18"/>
                <w:lang w:val="sr-Latn-ME" w:eastAsia="sr-Latn-CS"/>
              </w:rPr>
              <w:t>ko</w:t>
            </w:r>
            <w:r w:rsidRPr="00B14EBB">
              <w:rPr>
                <w:spacing w:val="-1"/>
                <w:w w:val="103"/>
                <w:sz w:val="18"/>
                <w:szCs w:val="18"/>
                <w:lang w:val="sr-Latn-ME" w:eastAsia="sr-Latn-CS"/>
              </w:rPr>
              <w:t>m</w:t>
            </w:r>
            <w:r w:rsidRPr="00B14EBB">
              <w:rPr>
                <w:w w:val="103"/>
                <w:sz w:val="18"/>
                <w:szCs w:val="18"/>
                <w:lang w:val="sr-Latn-ME" w:eastAsia="sr-Latn-CS"/>
              </w:rPr>
              <w:t>plikacije</w:t>
            </w:r>
          </w:p>
        </w:tc>
        <w:tc>
          <w:tcPr>
            <w:tcW w:w="559" w:type="pct"/>
            <w:tcBorders>
              <w:top w:val="single" w:sz="4" w:space="0" w:color="000000"/>
              <w:left w:val="single" w:sz="4" w:space="0" w:color="000000"/>
              <w:bottom w:val="single" w:sz="4" w:space="0" w:color="000000"/>
              <w:right w:val="single" w:sz="4" w:space="0" w:color="000000"/>
            </w:tcBorders>
          </w:tcPr>
          <w:p w14:paraId="77E87ED8"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1016" w:type="pct"/>
            <w:tcBorders>
              <w:top w:val="single" w:sz="4" w:space="0" w:color="000000"/>
              <w:left w:val="single" w:sz="4" w:space="0" w:color="000000"/>
              <w:bottom w:val="single" w:sz="4" w:space="0" w:color="000000"/>
              <w:right w:val="single" w:sz="4" w:space="0" w:color="000000"/>
            </w:tcBorders>
          </w:tcPr>
          <w:p w14:paraId="2D570D85" w14:textId="77777777" w:rsidR="00E43D38" w:rsidRPr="00B14EBB" w:rsidRDefault="00E43D38" w:rsidP="00545126">
            <w:pPr>
              <w:widowControl w:val="0"/>
              <w:autoSpaceDE w:val="0"/>
              <w:autoSpaceDN w:val="0"/>
              <w:adjustRightInd w:val="0"/>
              <w:ind w:left="142"/>
              <w:rPr>
                <w:sz w:val="18"/>
                <w:szCs w:val="18"/>
                <w:lang w:val="sr-Latn-ME" w:eastAsia="sr-Latn-CS"/>
              </w:rPr>
            </w:pPr>
          </w:p>
        </w:tc>
        <w:tc>
          <w:tcPr>
            <w:tcW w:w="726" w:type="pct"/>
            <w:tcBorders>
              <w:top w:val="single" w:sz="4" w:space="0" w:color="000000"/>
              <w:left w:val="single" w:sz="4" w:space="0" w:color="000000"/>
              <w:bottom w:val="single" w:sz="4" w:space="0" w:color="000000"/>
              <w:right w:val="single" w:sz="4" w:space="0" w:color="000000"/>
            </w:tcBorders>
          </w:tcPr>
          <w:p w14:paraId="7FAE7444" w14:textId="77777777" w:rsidR="00E43D38" w:rsidRPr="00B14EBB" w:rsidRDefault="00E43D38" w:rsidP="00545126">
            <w:pPr>
              <w:widowControl w:val="0"/>
              <w:autoSpaceDE w:val="0"/>
              <w:autoSpaceDN w:val="0"/>
              <w:adjustRightInd w:val="0"/>
              <w:ind w:left="142"/>
              <w:rPr>
                <w:sz w:val="18"/>
                <w:szCs w:val="18"/>
                <w:lang w:val="sr-Latn-ME" w:eastAsia="sr-Latn-CS"/>
              </w:rPr>
            </w:pPr>
            <w:r w:rsidRPr="00B14EBB">
              <w:rPr>
                <w:sz w:val="18"/>
                <w:szCs w:val="18"/>
                <w:lang w:val="sr-Latn-ME" w:eastAsia="sr-Latn-CS"/>
              </w:rPr>
              <w:t>posttraumatski bol</w:t>
            </w:r>
          </w:p>
        </w:tc>
        <w:tc>
          <w:tcPr>
            <w:tcW w:w="456" w:type="pct"/>
            <w:tcBorders>
              <w:top w:val="single" w:sz="4" w:space="0" w:color="000000"/>
              <w:left w:val="single" w:sz="4" w:space="0" w:color="000000"/>
              <w:bottom w:val="single" w:sz="4" w:space="0" w:color="000000"/>
              <w:right w:val="single" w:sz="4" w:space="0" w:color="000000"/>
            </w:tcBorders>
          </w:tcPr>
          <w:p w14:paraId="62AF4372"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440" w:type="pct"/>
            <w:tcBorders>
              <w:top w:val="single" w:sz="4" w:space="0" w:color="000000"/>
              <w:left w:val="single" w:sz="4" w:space="0" w:color="000000"/>
              <w:bottom w:val="single" w:sz="4" w:space="0" w:color="000000"/>
              <w:right w:val="single" w:sz="4" w:space="0" w:color="000000"/>
            </w:tcBorders>
          </w:tcPr>
          <w:p w14:paraId="78BB583C"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c>
          <w:tcPr>
            <w:tcW w:w="682" w:type="pct"/>
            <w:tcBorders>
              <w:top w:val="single" w:sz="4" w:space="0" w:color="000000"/>
              <w:left w:val="single" w:sz="4" w:space="0" w:color="000000"/>
              <w:bottom w:val="single" w:sz="4" w:space="0" w:color="000000"/>
              <w:right w:val="single" w:sz="4" w:space="0" w:color="000000"/>
            </w:tcBorders>
          </w:tcPr>
          <w:p w14:paraId="4634DE3F" w14:textId="77777777" w:rsidR="00E43D38" w:rsidRPr="00B14EBB" w:rsidRDefault="00E43D38" w:rsidP="00545126">
            <w:pPr>
              <w:widowControl w:val="0"/>
              <w:tabs>
                <w:tab w:val="left" w:pos="2452"/>
              </w:tabs>
              <w:autoSpaceDE w:val="0"/>
              <w:autoSpaceDN w:val="0"/>
              <w:adjustRightInd w:val="0"/>
              <w:ind w:left="142"/>
              <w:rPr>
                <w:lang w:val="sr-Latn-ME" w:eastAsia="sr-Latn-CS"/>
              </w:rPr>
            </w:pPr>
          </w:p>
        </w:tc>
      </w:tr>
    </w:tbl>
    <w:p w14:paraId="3FD5BACB" w14:textId="74D48515" w:rsidR="00E43D38" w:rsidRPr="00B14EBB" w:rsidRDefault="00E43D38" w:rsidP="00545126">
      <w:pPr>
        <w:pStyle w:val="Header"/>
        <w:widowControl w:val="0"/>
        <w:tabs>
          <w:tab w:val="left" w:pos="284"/>
        </w:tabs>
        <w:jc w:val="both"/>
        <w:rPr>
          <w:sz w:val="18"/>
          <w:szCs w:val="18"/>
          <w:lang w:val="sr-Latn-ME"/>
        </w:rPr>
      </w:pPr>
      <w:r w:rsidRPr="00B14EBB">
        <w:rPr>
          <w:sz w:val="18"/>
          <w:szCs w:val="18"/>
          <w:vertAlign w:val="superscript"/>
          <w:lang w:val="sr-Latn-ME"/>
        </w:rPr>
        <w:t>a</w:t>
      </w:r>
      <w:r w:rsidRPr="00B14EBB">
        <w:rPr>
          <w:sz w:val="18"/>
          <w:szCs w:val="18"/>
          <w:lang w:val="sr-Latn-ME"/>
        </w:rPr>
        <w:t>: vid</w:t>
      </w:r>
      <w:r w:rsidR="00E24715" w:rsidRPr="00B14EBB">
        <w:rPr>
          <w:sz w:val="18"/>
          <w:szCs w:val="18"/>
          <w:lang w:val="sr-Latn-ME"/>
        </w:rPr>
        <w:t>j</w:t>
      </w:r>
      <w:r w:rsidRPr="00B14EBB">
        <w:rPr>
          <w:sz w:val="18"/>
          <w:szCs w:val="18"/>
          <w:lang w:val="sr-Latn-ME"/>
        </w:rPr>
        <w:t>eti d</w:t>
      </w:r>
      <w:r w:rsidR="00E24715" w:rsidRPr="00B14EBB">
        <w:rPr>
          <w:sz w:val="18"/>
          <w:szCs w:val="18"/>
          <w:lang w:val="sr-Latn-ME"/>
        </w:rPr>
        <w:t>i</w:t>
      </w:r>
      <w:r w:rsidRPr="00B14EBB">
        <w:rPr>
          <w:sz w:val="18"/>
          <w:szCs w:val="18"/>
          <w:lang w:val="sr-Latn-ME"/>
        </w:rPr>
        <w:t>o sa detaljnim opisom</w:t>
      </w:r>
    </w:p>
    <w:p w14:paraId="056BC29C" w14:textId="3A0E32EE" w:rsidR="00E43D38" w:rsidRPr="00B14EBB" w:rsidRDefault="00E43D38" w:rsidP="00545126">
      <w:pPr>
        <w:pStyle w:val="Header"/>
        <w:widowControl w:val="0"/>
        <w:tabs>
          <w:tab w:val="left" w:pos="284"/>
        </w:tabs>
        <w:jc w:val="both"/>
        <w:rPr>
          <w:sz w:val="18"/>
          <w:szCs w:val="18"/>
          <w:lang w:val="sr-Latn-ME" w:eastAsia="sr-Latn-CS"/>
        </w:rPr>
      </w:pPr>
      <w:r w:rsidRPr="00B14EBB">
        <w:rPr>
          <w:sz w:val="18"/>
          <w:szCs w:val="18"/>
          <w:vertAlign w:val="superscript"/>
          <w:lang w:val="sr-Latn-ME" w:eastAsia="sr-Latn-CS"/>
        </w:rPr>
        <w:t>b</w:t>
      </w:r>
      <w:r w:rsidRPr="00B14EBB">
        <w:rPr>
          <w:sz w:val="18"/>
          <w:szCs w:val="18"/>
          <w:lang w:val="sr-Latn-ME" w:eastAsia="sr-Latn-CS"/>
        </w:rPr>
        <w:t>: vid</w:t>
      </w:r>
      <w:r w:rsidR="00E24715" w:rsidRPr="00B14EBB">
        <w:rPr>
          <w:sz w:val="18"/>
          <w:szCs w:val="18"/>
          <w:lang w:val="sr-Latn-ME" w:eastAsia="sr-Latn-CS"/>
        </w:rPr>
        <w:t>j</w:t>
      </w:r>
      <w:r w:rsidRPr="00B14EBB">
        <w:rPr>
          <w:sz w:val="18"/>
          <w:szCs w:val="18"/>
          <w:lang w:val="sr-Latn-ME" w:eastAsia="sr-Latn-CS"/>
        </w:rPr>
        <w:t xml:space="preserve">eti </w:t>
      </w:r>
      <w:r w:rsidR="00280F21">
        <w:rPr>
          <w:sz w:val="18"/>
          <w:szCs w:val="18"/>
          <w:lang w:val="sr-Latn-ME" w:eastAsia="sr-Latn-CS"/>
        </w:rPr>
        <w:t>dio</w:t>
      </w:r>
      <w:r w:rsidR="00280F21" w:rsidRPr="00B14EBB">
        <w:rPr>
          <w:sz w:val="18"/>
          <w:szCs w:val="18"/>
          <w:lang w:val="sr-Latn-ME" w:eastAsia="sr-Latn-CS"/>
        </w:rPr>
        <w:t xml:space="preserve"> </w:t>
      </w:r>
      <w:r w:rsidRPr="00B14EBB">
        <w:rPr>
          <w:sz w:val="18"/>
          <w:szCs w:val="18"/>
          <w:lang w:val="sr-Latn-ME" w:eastAsia="sr-Latn-CS"/>
        </w:rPr>
        <w:t>4.4</w:t>
      </w:r>
      <w:r w:rsidR="00280F21">
        <w:rPr>
          <w:sz w:val="18"/>
          <w:szCs w:val="18"/>
          <w:lang w:val="sr-Latn-ME" w:eastAsia="sr-Latn-CS"/>
        </w:rPr>
        <w:t>.</w:t>
      </w:r>
    </w:p>
    <w:p w14:paraId="12158B61" w14:textId="60DFEC97" w:rsidR="00E43D38" w:rsidRPr="00B14EBB" w:rsidRDefault="00E43D38" w:rsidP="00545126">
      <w:pPr>
        <w:widowControl w:val="0"/>
        <w:autoSpaceDE w:val="0"/>
        <w:autoSpaceDN w:val="0"/>
        <w:adjustRightInd w:val="0"/>
        <w:jc w:val="both"/>
        <w:rPr>
          <w:rFonts w:eastAsia="Calibri"/>
          <w:sz w:val="18"/>
          <w:szCs w:val="18"/>
          <w:lang w:val="sr-Latn-ME"/>
        </w:rPr>
      </w:pPr>
      <w:r w:rsidRPr="00B14EBB">
        <w:rPr>
          <w:rFonts w:eastAsia="Calibri"/>
          <w:sz w:val="18"/>
          <w:szCs w:val="18"/>
          <w:vertAlign w:val="superscript"/>
          <w:lang w:val="sr-Latn-ME"/>
        </w:rPr>
        <w:t>c</w:t>
      </w:r>
      <w:r w:rsidRPr="00B14EBB">
        <w:rPr>
          <w:rFonts w:eastAsia="Calibri"/>
          <w:sz w:val="18"/>
          <w:szCs w:val="18"/>
          <w:lang w:val="sr-Latn-ME"/>
        </w:rPr>
        <w:t>: učestalost je „često“ kod d</w:t>
      </w:r>
      <w:r w:rsidR="00E24715" w:rsidRPr="00B14EBB">
        <w:rPr>
          <w:rFonts w:eastAsia="Calibri"/>
          <w:sz w:val="18"/>
          <w:szCs w:val="18"/>
          <w:lang w:val="sr-Latn-ME"/>
        </w:rPr>
        <w:t>j</w:t>
      </w:r>
      <w:r w:rsidRPr="00B14EBB">
        <w:rPr>
          <w:rFonts w:eastAsia="Calibri"/>
          <w:sz w:val="18"/>
          <w:szCs w:val="18"/>
          <w:lang w:val="sr-Latn-ME"/>
        </w:rPr>
        <w:t>ece prema kontrolisanom kliničkom ispitivanju kod pedijatrijskih pacijenata;</w:t>
      </w:r>
    </w:p>
    <w:p w14:paraId="5F90BE43" w14:textId="77777777" w:rsidR="00E43D38" w:rsidRPr="00B14EBB" w:rsidRDefault="00E43D38" w:rsidP="00545126">
      <w:pPr>
        <w:pStyle w:val="Header"/>
        <w:widowControl w:val="0"/>
        <w:tabs>
          <w:tab w:val="left" w:pos="284"/>
        </w:tabs>
        <w:jc w:val="both"/>
        <w:rPr>
          <w:sz w:val="18"/>
          <w:szCs w:val="18"/>
          <w:lang w:val="sr-Latn-ME"/>
        </w:rPr>
      </w:pPr>
      <w:r w:rsidRPr="00B14EBB">
        <w:rPr>
          <w:rFonts w:eastAsia="Calibri"/>
          <w:sz w:val="18"/>
          <w:szCs w:val="18"/>
          <w:lang w:val="sr-Latn-ME"/>
        </w:rPr>
        <w:t>učestalost je „povremeno“ kod odraslih</w:t>
      </w:r>
    </w:p>
    <w:p w14:paraId="1DFF8568" w14:textId="77777777" w:rsidR="00545126" w:rsidRDefault="00545126" w:rsidP="00545126">
      <w:pPr>
        <w:pStyle w:val="Header"/>
        <w:widowControl w:val="0"/>
        <w:tabs>
          <w:tab w:val="left" w:pos="284"/>
        </w:tabs>
        <w:jc w:val="both"/>
        <w:rPr>
          <w:sz w:val="22"/>
          <w:szCs w:val="22"/>
          <w:u w:val="single"/>
          <w:lang w:val="sr-Latn-ME"/>
        </w:rPr>
      </w:pPr>
    </w:p>
    <w:p w14:paraId="7E919F58" w14:textId="0BB79C9A" w:rsidR="00E43D38" w:rsidRPr="00B14EBB" w:rsidRDefault="00E43D38" w:rsidP="00545126">
      <w:pPr>
        <w:pStyle w:val="Header"/>
        <w:widowControl w:val="0"/>
        <w:tabs>
          <w:tab w:val="left" w:pos="284"/>
        </w:tabs>
        <w:jc w:val="both"/>
        <w:rPr>
          <w:sz w:val="22"/>
          <w:szCs w:val="22"/>
          <w:u w:val="single"/>
          <w:lang w:val="sr-Latn-ME"/>
        </w:rPr>
      </w:pPr>
      <w:r w:rsidRPr="00B14EBB">
        <w:rPr>
          <w:sz w:val="22"/>
          <w:szCs w:val="22"/>
          <w:u w:val="single"/>
          <w:lang w:val="sr-Latn-ME"/>
        </w:rPr>
        <w:t>Opis odabranih neželjenih dejstava</w:t>
      </w:r>
    </w:p>
    <w:p w14:paraId="4ED58F2E" w14:textId="77777777" w:rsidR="00B27A53" w:rsidRPr="00B14EBB" w:rsidRDefault="00B27A53" w:rsidP="00545126">
      <w:pPr>
        <w:pStyle w:val="Header"/>
        <w:widowControl w:val="0"/>
        <w:tabs>
          <w:tab w:val="left" w:pos="284"/>
        </w:tabs>
        <w:jc w:val="both"/>
        <w:rPr>
          <w:i/>
          <w:iCs/>
          <w:sz w:val="22"/>
          <w:szCs w:val="22"/>
          <w:lang w:val="sr-Latn-ME"/>
        </w:rPr>
      </w:pPr>
    </w:p>
    <w:p w14:paraId="339AE5D6" w14:textId="6181E25A"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Alopecija</w:t>
      </w:r>
    </w:p>
    <w:p w14:paraId="587007C0" w14:textId="1CEB551A"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Alopecija je prijavljena kao proređivanje kose, smanjenje gustine kose, gubitak kose (povezan ili nepovezan sa prom</w:t>
      </w:r>
      <w:r w:rsidR="00E24715" w:rsidRPr="00B14EBB">
        <w:rPr>
          <w:sz w:val="22"/>
          <w:szCs w:val="22"/>
          <w:lang w:val="sr-Latn-ME"/>
        </w:rPr>
        <w:t>j</w:t>
      </w:r>
      <w:r w:rsidRPr="00B14EBB">
        <w:rPr>
          <w:sz w:val="22"/>
          <w:szCs w:val="22"/>
          <w:lang w:val="sr-Latn-ME"/>
        </w:rPr>
        <w:t>enom teksture kose) kod 13,9% pacijenata l</w:t>
      </w:r>
      <w:r w:rsidR="00E24715" w:rsidRPr="00B14EBB">
        <w:rPr>
          <w:sz w:val="22"/>
          <w:szCs w:val="22"/>
          <w:lang w:val="sr-Latn-ME"/>
        </w:rPr>
        <w:t>ij</w:t>
      </w:r>
      <w:r w:rsidRPr="00B14EBB">
        <w:rPr>
          <w:sz w:val="22"/>
          <w:szCs w:val="22"/>
          <w:lang w:val="sr-Latn-ME"/>
        </w:rPr>
        <w:t>ečenih teriflunomidom u dozi od 14 mg u poređenju sa 5,1% pacijenata koji su primali placebo. Većina slučajeva opisana je kao raširena ili generalizovana pojava na t</w:t>
      </w:r>
      <w:r w:rsidR="00E24715" w:rsidRPr="00B14EBB">
        <w:rPr>
          <w:sz w:val="22"/>
          <w:szCs w:val="22"/>
          <w:lang w:val="sr-Latn-ME"/>
        </w:rPr>
        <w:t>j</w:t>
      </w:r>
      <w:r w:rsidRPr="00B14EBB">
        <w:rPr>
          <w:sz w:val="22"/>
          <w:szCs w:val="22"/>
          <w:lang w:val="sr-Latn-ME"/>
        </w:rPr>
        <w:t>emenu (nije prijavljen potpuni gubitak kose), koja se najčešće javila tokom prvih 6 m</w:t>
      </w:r>
      <w:r w:rsidR="00E24715" w:rsidRPr="00B14EBB">
        <w:rPr>
          <w:sz w:val="22"/>
          <w:szCs w:val="22"/>
          <w:lang w:val="sr-Latn-ME"/>
        </w:rPr>
        <w:t>j</w:t>
      </w:r>
      <w:r w:rsidRPr="00B14EBB">
        <w:rPr>
          <w:sz w:val="22"/>
          <w:szCs w:val="22"/>
          <w:lang w:val="sr-Latn-ME"/>
        </w:rPr>
        <w:t>eseci, a povukla se kod  121 od 139 (87,1 %) pacijenata l</w:t>
      </w:r>
      <w:r w:rsidR="00E24715" w:rsidRPr="00B14EBB">
        <w:rPr>
          <w:sz w:val="22"/>
          <w:szCs w:val="22"/>
          <w:lang w:val="sr-Latn-ME"/>
        </w:rPr>
        <w:t>ij</w:t>
      </w:r>
      <w:r w:rsidRPr="00B14EBB">
        <w:rPr>
          <w:sz w:val="22"/>
          <w:szCs w:val="22"/>
          <w:lang w:val="sr-Latn-ME"/>
        </w:rPr>
        <w:t>ečenih teriflunomidom u dozi od 14 mg.</w:t>
      </w:r>
    </w:p>
    <w:p w14:paraId="5CE635C0" w14:textId="44AA2045"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Prekid l</w:t>
      </w:r>
      <w:r w:rsidR="00E24715" w:rsidRPr="00B14EBB">
        <w:rPr>
          <w:sz w:val="22"/>
          <w:szCs w:val="22"/>
          <w:lang w:val="sr-Latn-ME"/>
        </w:rPr>
        <w:t>ij</w:t>
      </w:r>
      <w:r w:rsidRPr="00B14EBB">
        <w:rPr>
          <w:sz w:val="22"/>
          <w:szCs w:val="22"/>
          <w:lang w:val="sr-Latn-ME"/>
        </w:rPr>
        <w:t>ečenja zbog alopecije iznosio je 1,3% u grupi koja je primala teriflunomid u dozi od 14 mg, u odnosu na 0,1% u grupi koja je primala placebo.</w:t>
      </w:r>
    </w:p>
    <w:p w14:paraId="66E67450" w14:textId="77777777" w:rsidR="00B27A53" w:rsidRPr="00B14EBB" w:rsidRDefault="00B27A53" w:rsidP="00545126">
      <w:pPr>
        <w:pStyle w:val="Header"/>
        <w:widowControl w:val="0"/>
        <w:tabs>
          <w:tab w:val="left" w:pos="284"/>
        </w:tabs>
        <w:jc w:val="both"/>
        <w:rPr>
          <w:i/>
          <w:iCs/>
          <w:sz w:val="22"/>
          <w:szCs w:val="22"/>
          <w:lang w:val="sr-Latn-ME"/>
        </w:rPr>
      </w:pPr>
    </w:p>
    <w:p w14:paraId="06A90143" w14:textId="66EB2B3B"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Dejstvo na jetru</w:t>
      </w:r>
    </w:p>
    <w:p w14:paraId="1CA21A25" w14:textId="126F4DDE"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Tokom placebom kontrolisanih ispitivanja otkriveno je sl</w:t>
      </w:r>
      <w:r w:rsidR="00B31671" w:rsidRPr="00B14EBB">
        <w:rPr>
          <w:sz w:val="22"/>
          <w:szCs w:val="22"/>
          <w:lang w:val="sr-Latn-ME"/>
        </w:rPr>
        <w:t>j</w:t>
      </w:r>
      <w:r w:rsidRPr="00B14EBB">
        <w:rPr>
          <w:sz w:val="22"/>
          <w:szCs w:val="22"/>
          <w:lang w:val="sr-Latn-ME"/>
        </w:rPr>
        <w:t>edeće:</w:t>
      </w:r>
    </w:p>
    <w:tbl>
      <w:tblPr>
        <w:tblW w:w="0" w:type="auto"/>
        <w:tblInd w:w="100" w:type="dxa"/>
        <w:tblCellMar>
          <w:left w:w="0" w:type="dxa"/>
          <w:right w:w="0" w:type="dxa"/>
        </w:tblCellMar>
        <w:tblLook w:val="0000" w:firstRow="0" w:lastRow="0" w:firstColumn="0" w:lastColumn="0" w:noHBand="0" w:noVBand="0"/>
      </w:tblPr>
      <w:tblGrid>
        <w:gridCol w:w="3156"/>
        <w:gridCol w:w="2268"/>
        <w:gridCol w:w="2268"/>
      </w:tblGrid>
      <w:tr w:rsidR="00E43D38" w:rsidRPr="005D5EBF" w14:paraId="586EB801" w14:textId="77777777" w:rsidTr="00B14EBB">
        <w:trPr>
          <w:trHeight w:hRule="exact" w:val="521"/>
        </w:trPr>
        <w:tc>
          <w:tcPr>
            <w:tcW w:w="7692" w:type="dxa"/>
            <w:gridSpan w:val="3"/>
            <w:tcBorders>
              <w:top w:val="single" w:sz="7" w:space="0" w:color="000000"/>
              <w:left w:val="single" w:sz="4" w:space="0" w:color="000000"/>
              <w:bottom w:val="single" w:sz="7" w:space="0" w:color="000000"/>
              <w:right w:val="single" w:sz="4" w:space="0" w:color="000000"/>
            </w:tcBorders>
          </w:tcPr>
          <w:p w14:paraId="11D1B6C4" w14:textId="445A03B3" w:rsidR="00E43D38" w:rsidRPr="00B14EBB" w:rsidRDefault="00E43D38" w:rsidP="00545126">
            <w:pPr>
              <w:pStyle w:val="Header"/>
              <w:widowControl w:val="0"/>
              <w:ind w:left="142"/>
              <w:jc w:val="both"/>
              <w:rPr>
                <w:b/>
                <w:bCs/>
                <w:sz w:val="22"/>
                <w:szCs w:val="22"/>
                <w:lang w:val="sr-Latn-ME"/>
              </w:rPr>
            </w:pPr>
            <w:r w:rsidRPr="00B14EBB">
              <w:rPr>
                <w:b/>
                <w:bCs/>
                <w:sz w:val="22"/>
                <w:szCs w:val="22"/>
                <w:lang w:val="sr-Latn-ME"/>
              </w:rPr>
              <w:t>Povećanje vr</w:t>
            </w:r>
            <w:r w:rsidR="00E24715" w:rsidRPr="00B14EBB">
              <w:rPr>
                <w:b/>
                <w:bCs/>
                <w:sz w:val="22"/>
                <w:szCs w:val="22"/>
                <w:lang w:val="sr-Latn-ME"/>
              </w:rPr>
              <w:t>ij</w:t>
            </w:r>
            <w:r w:rsidRPr="00B14EBB">
              <w:rPr>
                <w:b/>
                <w:bCs/>
                <w:sz w:val="22"/>
                <w:szCs w:val="22"/>
                <w:lang w:val="sr-Latn-ME"/>
              </w:rPr>
              <w:t>ednosti ALT (na osnovu laboratorijskih podataka) u odnosu na</w:t>
            </w:r>
          </w:p>
          <w:p w14:paraId="355D2EF5" w14:textId="77777777" w:rsidR="00E43D38" w:rsidRPr="00B14EBB" w:rsidRDefault="00E43D38" w:rsidP="00545126">
            <w:pPr>
              <w:pStyle w:val="Header"/>
              <w:widowControl w:val="0"/>
              <w:ind w:left="142"/>
              <w:jc w:val="both"/>
              <w:rPr>
                <w:b/>
                <w:bCs/>
                <w:sz w:val="22"/>
                <w:szCs w:val="22"/>
                <w:lang w:val="sr-Latn-ME"/>
              </w:rPr>
            </w:pPr>
            <w:r w:rsidRPr="00B14EBB">
              <w:rPr>
                <w:b/>
                <w:bCs/>
                <w:sz w:val="22"/>
                <w:szCs w:val="22"/>
                <w:lang w:val="sr-Latn-ME"/>
              </w:rPr>
              <w:t>početni status - sigurnosna populacija u placebom kontrolisanim ispitivanjima</w:t>
            </w:r>
          </w:p>
          <w:p w14:paraId="52DF37DB" w14:textId="77777777" w:rsidR="00E43D38" w:rsidRPr="00B14EBB" w:rsidRDefault="00E43D38" w:rsidP="00545126">
            <w:pPr>
              <w:pStyle w:val="Header"/>
              <w:widowControl w:val="0"/>
              <w:tabs>
                <w:tab w:val="left" w:pos="284"/>
              </w:tabs>
              <w:jc w:val="both"/>
              <w:rPr>
                <w:b/>
                <w:bCs/>
                <w:sz w:val="22"/>
                <w:szCs w:val="22"/>
                <w:lang w:val="sr-Latn-ME"/>
              </w:rPr>
            </w:pPr>
          </w:p>
        </w:tc>
      </w:tr>
      <w:tr w:rsidR="00E43D38" w:rsidRPr="00B14EBB" w14:paraId="6CE44C51" w14:textId="77777777" w:rsidTr="00B14EBB">
        <w:trPr>
          <w:trHeight w:hRule="exact" w:val="521"/>
        </w:trPr>
        <w:tc>
          <w:tcPr>
            <w:tcW w:w="3156" w:type="dxa"/>
            <w:tcBorders>
              <w:top w:val="single" w:sz="7" w:space="0" w:color="000000"/>
              <w:left w:val="single" w:sz="4" w:space="0" w:color="000000"/>
              <w:bottom w:val="single" w:sz="7" w:space="0" w:color="000000"/>
              <w:right w:val="nil"/>
            </w:tcBorders>
          </w:tcPr>
          <w:p w14:paraId="2A95EA56" w14:textId="77777777" w:rsidR="00E43D38" w:rsidRPr="00B14EBB" w:rsidRDefault="00E43D38" w:rsidP="00545126">
            <w:pPr>
              <w:pStyle w:val="Header"/>
              <w:widowControl w:val="0"/>
              <w:tabs>
                <w:tab w:val="left" w:pos="284"/>
              </w:tabs>
              <w:ind w:left="142"/>
              <w:jc w:val="both"/>
              <w:rPr>
                <w:sz w:val="22"/>
                <w:szCs w:val="22"/>
                <w:lang w:val="sr-Latn-ME"/>
              </w:rPr>
            </w:pPr>
          </w:p>
        </w:tc>
        <w:tc>
          <w:tcPr>
            <w:tcW w:w="2268" w:type="dxa"/>
            <w:tcBorders>
              <w:top w:val="single" w:sz="7" w:space="0" w:color="000000"/>
              <w:left w:val="nil"/>
              <w:bottom w:val="single" w:sz="7" w:space="0" w:color="000000"/>
              <w:right w:val="nil"/>
            </w:tcBorders>
          </w:tcPr>
          <w:p w14:paraId="544BB544" w14:textId="77777777" w:rsidR="00E43D38" w:rsidRPr="00B14EBB" w:rsidRDefault="00E43D38" w:rsidP="00545126">
            <w:pPr>
              <w:pStyle w:val="Header"/>
              <w:widowControl w:val="0"/>
              <w:tabs>
                <w:tab w:val="left" w:pos="284"/>
              </w:tabs>
              <w:ind w:left="142"/>
              <w:jc w:val="both"/>
              <w:rPr>
                <w:sz w:val="22"/>
                <w:szCs w:val="22"/>
                <w:lang w:val="sr-Latn-ME"/>
              </w:rPr>
            </w:pPr>
            <w:r w:rsidRPr="00B14EBB">
              <w:rPr>
                <w:b/>
                <w:bCs/>
                <w:sz w:val="22"/>
                <w:szCs w:val="22"/>
                <w:lang w:val="sr-Latn-ME"/>
              </w:rPr>
              <w:t>placebo</w:t>
            </w:r>
          </w:p>
          <w:p w14:paraId="7775CB3D" w14:textId="77777777" w:rsidR="00E43D38" w:rsidRPr="00B14EBB" w:rsidRDefault="00E43D38" w:rsidP="00545126">
            <w:pPr>
              <w:pStyle w:val="Header"/>
              <w:widowControl w:val="0"/>
              <w:tabs>
                <w:tab w:val="left" w:pos="284"/>
              </w:tabs>
              <w:ind w:left="142"/>
              <w:jc w:val="both"/>
              <w:rPr>
                <w:sz w:val="22"/>
                <w:szCs w:val="22"/>
                <w:lang w:val="sr-Latn-ME"/>
              </w:rPr>
            </w:pPr>
            <w:r w:rsidRPr="00B14EBB">
              <w:rPr>
                <w:b/>
                <w:bCs/>
                <w:sz w:val="22"/>
                <w:szCs w:val="22"/>
                <w:lang w:val="sr-Latn-ME"/>
              </w:rPr>
              <w:t>(N=997)</w:t>
            </w:r>
          </w:p>
        </w:tc>
        <w:tc>
          <w:tcPr>
            <w:tcW w:w="2268" w:type="dxa"/>
            <w:tcBorders>
              <w:top w:val="single" w:sz="7" w:space="0" w:color="000000"/>
              <w:left w:val="nil"/>
              <w:bottom w:val="single" w:sz="7" w:space="0" w:color="000000"/>
              <w:right w:val="single" w:sz="4" w:space="0" w:color="000000"/>
            </w:tcBorders>
          </w:tcPr>
          <w:p w14:paraId="7D02E5AF" w14:textId="77777777" w:rsidR="00E43D38" w:rsidRPr="00B14EBB" w:rsidRDefault="00E43D38" w:rsidP="00545126">
            <w:pPr>
              <w:pStyle w:val="Header"/>
              <w:widowControl w:val="0"/>
              <w:tabs>
                <w:tab w:val="left" w:pos="284"/>
              </w:tabs>
              <w:ind w:left="142"/>
              <w:jc w:val="both"/>
              <w:rPr>
                <w:sz w:val="22"/>
                <w:szCs w:val="22"/>
                <w:lang w:val="sr-Latn-ME"/>
              </w:rPr>
            </w:pPr>
            <w:r w:rsidRPr="00B14EBB">
              <w:rPr>
                <w:b/>
                <w:bCs/>
                <w:sz w:val="22"/>
                <w:szCs w:val="22"/>
                <w:lang w:val="sr-Latn-ME"/>
              </w:rPr>
              <w:t>teriflunomid 14 mg</w:t>
            </w:r>
          </w:p>
          <w:p w14:paraId="73325498" w14:textId="77777777" w:rsidR="00E43D38" w:rsidRPr="00B14EBB" w:rsidRDefault="00E43D38" w:rsidP="00545126">
            <w:pPr>
              <w:pStyle w:val="Header"/>
              <w:widowControl w:val="0"/>
              <w:tabs>
                <w:tab w:val="left" w:pos="284"/>
              </w:tabs>
              <w:ind w:left="142"/>
              <w:jc w:val="both"/>
              <w:rPr>
                <w:sz w:val="22"/>
                <w:szCs w:val="22"/>
                <w:lang w:val="sr-Latn-ME"/>
              </w:rPr>
            </w:pPr>
            <w:r w:rsidRPr="00B14EBB">
              <w:rPr>
                <w:b/>
                <w:bCs/>
                <w:sz w:val="22"/>
                <w:szCs w:val="22"/>
                <w:lang w:val="sr-Latn-ME"/>
              </w:rPr>
              <w:t>(N=1002)</w:t>
            </w:r>
          </w:p>
        </w:tc>
      </w:tr>
      <w:tr w:rsidR="00E43D38" w:rsidRPr="00B14EBB" w14:paraId="65AB288A" w14:textId="77777777" w:rsidTr="00B14EBB">
        <w:trPr>
          <w:trHeight w:hRule="exact" w:val="253"/>
        </w:trPr>
        <w:tc>
          <w:tcPr>
            <w:tcW w:w="3156" w:type="dxa"/>
            <w:tcBorders>
              <w:top w:val="nil"/>
              <w:left w:val="single" w:sz="4" w:space="0" w:color="000000"/>
              <w:bottom w:val="nil"/>
              <w:right w:val="nil"/>
            </w:tcBorders>
          </w:tcPr>
          <w:p w14:paraId="0D50BE6F"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&gt;3 ULN</w:t>
            </w:r>
          </w:p>
        </w:tc>
        <w:tc>
          <w:tcPr>
            <w:tcW w:w="2268" w:type="dxa"/>
            <w:tcBorders>
              <w:top w:val="nil"/>
              <w:left w:val="nil"/>
              <w:bottom w:val="nil"/>
              <w:right w:val="nil"/>
            </w:tcBorders>
          </w:tcPr>
          <w:p w14:paraId="6DA6574D"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66/994 (6,6%)</w:t>
            </w:r>
          </w:p>
        </w:tc>
        <w:tc>
          <w:tcPr>
            <w:tcW w:w="2268" w:type="dxa"/>
            <w:tcBorders>
              <w:top w:val="nil"/>
              <w:left w:val="nil"/>
              <w:bottom w:val="nil"/>
              <w:right w:val="single" w:sz="4" w:space="0" w:color="000000"/>
            </w:tcBorders>
          </w:tcPr>
          <w:p w14:paraId="217020E8"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80/999 (8,0%)</w:t>
            </w:r>
          </w:p>
        </w:tc>
      </w:tr>
      <w:tr w:rsidR="00E43D38" w:rsidRPr="00B14EBB" w14:paraId="4D9114AE" w14:textId="77777777" w:rsidTr="00B14EBB">
        <w:trPr>
          <w:trHeight w:hRule="exact" w:val="253"/>
        </w:trPr>
        <w:tc>
          <w:tcPr>
            <w:tcW w:w="3156" w:type="dxa"/>
            <w:tcBorders>
              <w:top w:val="nil"/>
              <w:left w:val="single" w:sz="4" w:space="0" w:color="000000"/>
              <w:bottom w:val="nil"/>
              <w:right w:val="nil"/>
            </w:tcBorders>
          </w:tcPr>
          <w:p w14:paraId="723F222D"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&gt;5 ULN</w:t>
            </w:r>
          </w:p>
        </w:tc>
        <w:tc>
          <w:tcPr>
            <w:tcW w:w="2268" w:type="dxa"/>
            <w:tcBorders>
              <w:top w:val="nil"/>
              <w:left w:val="nil"/>
              <w:bottom w:val="nil"/>
              <w:right w:val="nil"/>
            </w:tcBorders>
          </w:tcPr>
          <w:p w14:paraId="7B0F15B3"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37/994 (3,7%)</w:t>
            </w:r>
          </w:p>
        </w:tc>
        <w:tc>
          <w:tcPr>
            <w:tcW w:w="2268" w:type="dxa"/>
            <w:tcBorders>
              <w:top w:val="nil"/>
              <w:left w:val="nil"/>
              <w:bottom w:val="nil"/>
              <w:right w:val="single" w:sz="4" w:space="0" w:color="000000"/>
            </w:tcBorders>
          </w:tcPr>
          <w:p w14:paraId="0CC06FE3"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31/999 (3,1%)</w:t>
            </w:r>
          </w:p>
        </w:tc>
      </w:tr>
      <w:tr w:rsidR="00E43D38" w:rsidRPr="00B14EBB" w14:paraId="1B72926C" w14:textId="77777777" w:rsidTr="00B14EBB">
        <w:trPr>
          <w:trHeight w:hRule="exact" w:val="253"/>
        </w:trPr>
        <w:tc>
          <w:tcPr>
            <w:tcW w:w="3156" w:type="dxa"/>
            <w:tcBorders>
              <w:top w:val="nil"/>
              <w:left w:val="single" w:sz="4" w:space="0" w:color="000000"/>
              <w:bottom w:val="nil"/>
              <w:right w:val="nil"/>
            </w:tcBorders>
          </w:tcPr>
          <w:p w14:paraId="51D34069"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&gt;10 ULN</w:t>
            </w:r>
          </w:p>
        </w:tc>
        <w:tc>
          <w:tcPr>
            <w:tcW w:w="2268" w:type="dxa"/>
            <w:tcBorders>
              <w:top w:val="nil"/>
              <w:left w:val="nil"/>
              <w:bottom w:val="nil"/>
              <w:right w:val="nil"/>
            </w:tcBorders>
          </w:tcPr>
          <w:p w14:paraId="305AD6E2"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16/994 (1,6%)</w:t>
            </w:r>
          </w:p>
        </w:tc>
        <w:tc>
          <w:tcPr>
            <w:tcW w:w="2268" w:type="dxa"/>
            <w:tcBorders>
              <w:top w:val="nil"/>
              <w:left w:val="nil"/>
              <w:bottom w:val="nil"/>
              <w:right w:val="single" w:sz="4" w:space="0" w:color="000000"/>
            </w:tcBorders>
          </w:tcPr>
          <w:p w14:paraId="27F274AB"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9/999 (0,9%)</w:t>
            </w:r>
          </w:p>
        </w:tc>
      </w:tr>
      <w:tr w:rsidR="00E43D38" w:rsidRPr="00B14EBB" w14:paraId="7373AFB5" w14:textId="77777777" w:rsidTr="00B14EBB">
        <w:trPr>
          <w:trHeight w:hRule="exact" w:val="253"/>
        </w:trPr>
        <w:tc>
          <w:tcPr>
            <w:tcW w:w="3156" w:type="dxa"/>
            <w:tcBorders>
              <w:top w:val="nil"/>
              <w:left w:val="single" w:sz="4" w:space="0" w:color="000000"/>
              <w:bottom w:val="nil"/>
              <w:right w:val="nil"/>
            </w:tcBorders>
          </w:tcPr>
          <w:p w14:paraId="15680BF5"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&gt;20 ULN</w:t>
            </w:r>
          </w:p>
        </w:tc>
        <w:tc>
          <w:tcPr>
            <w:tcW w:w="2268" w:type="dxa"/>
            <w:tcBorders>
              <w:top w:val="nil"/>
              <w:left w:val="nil"/>
              <w:bottom w:val="nil"/>
              <w:right w:val="nil"/>
            </w:tcBorders>
          </w:tcPr>
          <w:p w14:paraId="539F7DDC"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4/994 (0,4%)</w:t>
            </w:r>
          </w:p>
        </w:tc>
        <w:tc>
          <w:tcPr>
            <w:tcW w:w="2268" w:type="dxa"/>
            <w:tcBorders>
              <w:top w:val="nil"/>
              <w:left w:val="nil"/>
              <w:bottom w:val="nil"/>
              <w:right w:val="single" w:sz="4" w:space="0" w:color="000000"/>
            </w:tcBorders>
          </w:tcPr>
          <w:p w14:paraId="28AC422E"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3/999 (0,3%)</w:t>
            </w:r>
          </w:p>
        </w:tc>
      </w:tr>
      <w:tr w:rsidR="00E43D38" w:rsidRPr="00B14EBB" w14:paraId="730B6F44" w14:textId="77777777" w:rsidTr="00B14EBB">
        <w:trPr>
          <w:trHeight w:hRule="exact" w:val="255"/>
        </w:trPr>
        <w:tc>
          <w:tcPr>
            <w:tcW w:w="3156" w:type="dxa"/>
            <w:tcBorders>
              <w:top w:val="nil"/>
              <w:left w:val="single" w:sz="4" w:space="0" w:color="000000"/>
              <w:bottom w:val="single" w:sz="4" w:space="0" w:color="000000"/>
              <w:right w:val="nil"/>
            </w:tcBorders>
          </w:tcPr>
          <w:p w14:paraId="38289A28"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ALT &gt;3 ULN i TBILI &gt;2 ULN</w:t>
            </w:r>
          </w:p>
        </w:tc>
        <w:tc>
          <w:tcPr>
            <w:tcW w:w="2268" w:type="dxa"/>
            <w:tcBorders>
              <w:top w:val="nil"/>
              <w:left w:val="nil"/>
              <w:bottom w:val="single" w:sz="4" w:space="0" w:color="000000"/>
              <w:right w:val="nil"/>
            </w:tcBorders>
          </w:tcPr>
          <w:p w14:paraId="08AEBD7C"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5/994 (0,5%)</w:t>
            </w:r>
          </w:p>
        </w:tc>
        <w:tc>
          <w:tcPr>
            <w:tcW w:w="2268" w:type="dxa"/>
            <w:tcBorders>
              <w:top w:val="nil"/>
              <w:left w:val="nil"/>
              <w:bottom w:val="single" w:sz="4" w:space="0" w:color="000000"/>
              <w:right w:val="single" w:sz="4" w:space="0" w:color="000000"/>
            </w:tcBorders>
          </w:tcPr>
          <w:p w14:paraId="32A8066E" w14:textId="77777777" w:rsidR="00E43D38" w:rsidRPr="00B14EBB" w:rsidRDefault="00E43D38" w:rsidP="00545126">
            <w:pPr>
              <w:pStyle w:val="Header"/>
              <w:widowControl w:val="0"/>
              <w:tabs>
                <w:tab w:val="left" w:pos="284"/>
              </w:tabs>
              <w:ind w:left="142"/>
              <w:jc w:val="both"/>
              <w:rPr>
                <w:sz w:val="22"/>
                <w:szCs w:val="22"/>
                <w:lang w:val="sr-Latn-ME"/>
              </w:rPr>
            </w:pPr>
            <w:r w:rsidRPr="00B14EBB">
              <w:rPr>
                <w:sz w:val="22"/>
                <w:szCs w:val="22"/>
                <w:lang w:val="sr-Latn-ME"/>
              </w:rPr>
              <w:t>3/999 (0,3%)</w:t>
            </w:r>
          </w:p>
        </w:tc>
      </w:tr>
    </w:tbl>
    <w:p w14:paraId="6B14F09D" w14:textId="77777777" w:rsidR="00545126" w:rsidRDefault="00545126" w:rsidP="00545126">
      <w:pPr>
        <w:pStyle w:val="Header"/>
        <w:widowControl w:val="0"/>
        <w:tabs>
          <w:tab w:val="left" w:pos="284"/>
        </w:tabs>
        <w:jc w:val="both"/>
        <w:rPr>
          <w:sz w:val="22"/>
          <w:szCs w:val="22"/>
          <w:lang w:val="sr-Latn-ME"/>
        </w:rPr>
      </w:pPr>
    </w:p>
    <w:p w14:paraId="18B88495" w14:textId="68283F65"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Blago povećanje vr</w:t>
      </w:r>
      <w:r w:rsidR="00E24715" w:rsidRPr="00B14EBB">
        <w:rPr>
          <w:sz w:val="22"/>
          <w:szCs w:val="22"/>
          <w:lang w:val="sr-Latn-ME"/>
        </w:rPr>
        <w:t>ij</w:t>
      </w:r>
      <w:r w:rsidRPr="00B14EBB">
        <w:rPr>
          <w:sz w:val="22"/>
          <w:szCs w:val="22"/>
          <w:lang w:val="sr-Latn-ME"/>
        </w:rPr>
        <w:t>ednosti transaminaze, ALT manji ili jednak trostrukom ULN češće je prim</w:t>
      </w:r>
      <w:r w:rsidR="00E24715" w:rsidRPr="00B14EBB">
        <w:rPr>
          <w:sz w:val="22"/>
          <w:szCs w:val="22"/>
          <w:lang w:val="sr-Latn-ME"/>
        </w:rPr>
        <w:t>ij</w:t>
      </w:r>
      <w:r w:rsidRPr="00B14EBB">
        <w:rPr>
          <w:sz w:val="22"/>
          <w:szCs w:val="22"/>
          <w:lang w:val="sr-Latn-ME"/>
        </w:rPr>
        <w:t>ećen u grupama l</w:t>
      </w:r>
      <w:r w:rsidR="00E24715" w:rsidRPr="00B14EBB">
        <w:rPr>
          <w:sz w:val="22"/>
          <w:szCs w:val="22"/>
          <w:lang w:val="sr-Latn-ME"/>
        </w:rPr>
        <w:t>ij</w:t>
      </w:r>
      <w:r w:rsidRPr="00B14EBB">
        <w:rPr>
          <w:sz w:val="22"/>
          <w:szCs w:val="22"/>
          <w:lang w:val="sr-Latn-ME"/>
        </w:rPr>
        <w:t>ečenim teriflunomidom u poređenju sa grupama koje su primale placebo. Učestalost povećanja iznad trostrukog ULN i veće bila je podjednaka u svim l</w:t>
      </w:r>
      <w:r w:rsidR="00E24715" w:rsidRPr="00B14EBB">
        <w:rPr>
          <w:sz w:val="22"/>
          <w:szCs w:val="22"/>
          <w:lang w:val="sr-Latn-ME"/>
        </w:rPr>
        <w:t>ij</w:t>
      </w:r>
      <w:r w:rsidRPr="00B14EBB">
        <w:rPr>
          <w:sz w:val="22"/>
          <w:szCs w:val="22"/>
          <w:lang w:val="sr-Latn-ME"/>
        </w:rPr>
        <w:t>ečenim grupama. Ta povećanja vr</w:t>
      </w:r>
      <w:r w:rsidR="00E24715" w:rsidRPr="00B14EBB">
        <w:rPr>
          <w:sz w:val="22"/>
          <w:szCs w:val="22"/>
          <w:lang w:val="sr-Latn-ME"/>
        </w:rPr>
        <w:t>ij</w:t>
      </w:r>
      <w:r w:rsidRPr="00B14EBB">
        <w:rPr>
          <w:sz w:val="22"/>
          <w:szCs w:val="22"/>
          <w:lang w:val="sr-Latn-ME"/>
        </w:rPr>
        <w:t>ednosti transaminaze pojavila su se uglavnom u prvih 6 m</w:t>
      </w:r>
      <w:r w:rsidR="00E24715" w:rsidRPr="00B14EBB">
        <w:rPr>
          <w:sz w:val="22"/>
          <w:szCs w:val="22"/>
          <w:lang w:val="sr-Latn-ME"/>
        </w:rPr>
        <w:t>j</w:t>
      </w:r>
      <w:r w:rsidRPr="00B14EBB">
        <w:rPr>
          <w:sz w:val="22"/>
          <w:szCs w:val="22"/>
          <w:lang w:val="sr-Latn-ME"/>
        </w:rPr>
        <w:t>eseci l</w:t>
      </w:r>
      <w:r w:rsidR="00E24715" w:rsidRPr="00B14EBB">
        <w:rPr>
          <w:sz w:val="22"/>
          <w:szCs w:val="22"/>
          <w:lang w:val="sr-Latn-ME"/>
        </w:rPr>
        <w:t>ij</w:t>
      </w:r>
      <w:r w:rsidRPr="00B14EBB">
        <w:rPr>
          <w:sz w:val="22"/>
          <w:szCs w:val="22"/>
          <w:lang w:val="sr-Latn-ME"/>
        </w:rPr>
        <w:t xml:space="preserve">ečenja a povukla su se nakon </w:t>
      </w:r>
      <w:r w:rsidRPr="00B14EBB">
        <w:rPr>
          <w:sz w:val="22"/>
          <w:szCs w:val="22"/>
          <w:lang w:val="sr-Latn-ME"/>
        </w:rPr>
        <w:lastRenderedPageBreak/>
        <w:t>prekida l</w:t>
      </w:r>
      <w:r w:rsidR="00E24715" w:rsidRPr="00B14EBB">
        <w:rPr>
          <w:sz w:val="22"/>
          <w:szCs w:val="22"/>
          <w:lang w:val="sr-Latn-ME"/>
        </w:rPr>
        <w:t>ij</w:t>
      </w:r>
      <w:r w:rsidRPr="00B14EBB">
        <w:rPr>
          <w:sz w:val="22"/>
          <w:szCs w:val="22"/>
          <w:lang w:val="sr-Latn-ME"/>
        </w:rPr>
        <w:t>ečenja. Vr</w:t>
      </w:r>
      <w:r w:rsidR="00E24715" w:rsidRPr="00B14EBB">
        <w:rPr>
          <w:sz w:val="22"/>
          <w:szCs w:val="22"/>
          <w:lang w:val="sr-Latn-ME"/>
        </w:rPr>
        <w:t>ij</w:t>
      </w:r>
      <w:r w:rsidRPr="00B14EBB">
        <w:rPr>
          <w:sz w:val="22"/>
          <w:szCs w:val="22"/>
          <w:lang w:val="sr-Latn-ME"/>
        </w:rPr>
        <w:t>eme oporavka kretalo se u rasponu od nekoliko m</w:t>
      </w:r>
      <w:r w:rsidR="00E24715" w:rsidRPr="00B14EBB">
        <w:rPr>
          <w:sz w:val="22"/>
          <w:szCs w:val="22"/>
          <w:lang w:val="sr-Latn-ME"/>
        </w:rPr>
        <w:t>j</w:t>
      </w:r>
      <w:r w:rsidRPr="00B14EBB">
        <w:rPr>
          <w:sz w:val="22"/>
          <w:szCs w:val="22"/>
          <w:lang w:val="sr-Latn-ME"/>
        </w:rPr>
        <w:t>eseci do nekoliko godina.</w:t>
      </w:r>
    </w:p>
    <w:p w14:paraId="314605B0" w14:textId="77777777" w:rsidR="00B27A53" w:rsidRPr="00B14EBB" w:rsidRDefault="00B27A53" w:rsidP="00545126">
      <w:pPr>
        <w:pStyle w:val="Header"/>
        <w:widowControl w:val="0"/>
        <w:tabs>
          <w:tab w:val="left" w:pos="284"/>
        </w:tabs>
        <w:jc w:val="both"/>
        <w:rPr>
          <w:i/>
          <w:iCs/>
          <w:sz w:val="22"/>
          <w:szCs w:val="22"/>
          <w:lang w:val="sr-Latn-ME"/>
        </w:rPr>
      </w:pPr>
    </w:p>
    <w:p w14:paraId="79C30BC9" w14:textId="5067982E"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Dejstvo na krvni pritisak</w:t>
      </w:r>
    </w:p>
    <w:p w14:paraId="4AA81F0C" w14:textId="08432E3F"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Tokom placebom kontrolisanih ispitivanja utvrđeno je sl</w:t>
      </w:r>
      <w:r w:rsidR="00B31671" w:rsidRPr="00B14EBB">
        <w:rPr>
          <w:sz w:val="22"/>
          <w:szCs w:val="22"/>
          <w:lang w:val="sr-Latn-ME"/>
        </w:rPr>
        <w:t>j</w:t>
      </w:r>
      <w:r w:rsidRPr="00B14EBB">
        <w:rPr>
          <w:sz w:val="22"/>
          <w:szCs w:val="22"/>
          <w:lang w:val="sr-Latn-ME"/>
        </w:rPr>
        <w:t>edeće:</w:t>
      </w:r>
    </w:p>
    <w:p w14:paraId="2EBBE11C" w14:textId="77777777"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 sistolni krvni pritisak bio je &gt;140 mm Hg kod 19,9% pacijenata koji su primali teriflunomid u dozi od 14 mg/dan u poređenju sa 15,5% pacijenata koji su primali placebo;</w:t>
      </w:r>
    </w:p>
    <w:p w14:paraId="78B7A92A" w14:textId="77777777"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 sistolni krvni pritisak bio je &gt;160 mm Hg kod 3,8 pacijenata koji su primali teriflunomid u dozi od 14 mg/dan u poređenju sa 2,0% pacijenata koji su primali placebo;</w:t>
      </w:r>
    </w:p>
    <w:p w14:paraId="38E1A0BA" w14:textId="77777777"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 dijastolni krvni pritisak bio je &gt;90 mm Hg kod 21,4% pacijenata koji su primali teriflunomid u dozi od 14 mg/dan u poređenju sa 13,6% pacijenata koji su primali placebo;</w:t>
      </w:r>
    </w:p>
    <w:p w14:paraId="5C618F88" w14:textId="77777777" w:rsidR="00B27A53" w:rsidRPr="00B14EBB" w:rsidRDefault="00B27A53" w:rsidP="00545126">
      <w:pPr>
        <w:pStyle w:val="Header"/>
        <w:widowControl w:val="0"/>
        <w:tabs>
          <w:tab w:val="left" w:pos="284"/>
        </w:tabs>
        <w:jc w:val="both"/>
        <w:rPr>
          <w:i/>
          <w:iCs/>
          <w:sz w:val="22"/>
          <w:szCs w:val="22"/>
          <w:lang w:val="sr-Latn-ME"/>
        </w:rPr>
      </w:pPr>
    </w:p>
    <w:p w14:paraId="42DFCBC6" w14:textId="19F162A2"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Infekcije</w:t>
      </w:r>
    </w:p>
    <w:p w14:paraId="1E993A5B" w14:textId="44611C30"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U placebom kontrolisanim ispitivanjima na odraslim pacijentima, nije prim</w:t>
      </w:r>
      <w:r w:rsidR="00E24715" w:rsidRPr="00B14EBB">
        <w:rPr>
          <w:sz w:val="22"/>
          <w:szCs w:val="22"/>
          <w:lang w:val="sr-Latn-ME"/>
        </w:rPr>
        <w:t>ij</w:t>
      </w:r>
      <w:r w:rsidRPr="00B14EBB">
        <w:rPr>
          <w:sz w:val="22"/>
          <w:szCs w:val="22"/>
          <w:lang w:val="sr-Latn-ME"/>
        </w:rPr>
        <w:t>ećena povećana učestalost ozbiljnih infekcija kod prim</w:t>
      </w:r>
      <w:r w:rsidR="00E24715" w:rsidRPr="00B14EBB">
        <w:rPr>
          <w:sz w:val="22"/>
          <w:szCs w:val="22"/>
          <w:lang w:val="sr-Latn-ME"/>
        </w:rPr>
        <w:t>j</w:t>
      </w:r>
      <w:r w:rsidRPr="00B14EBB">
        <w:rPr>
          <w:sz w:val="22"/>
          <w:szCs w:val="22"/>
          <w:lang w:val="sr-Latn-ME"/>
        </w:rPr>
        <w:t>ene teriflunomida u dozi od 14 mg (2,7%) u poređenju sa placebom (2,2%). Ozbiljne oportunističke infekcije javile su se kod 0,2% pacijenata u svakoj grupi. Ozbiljne infekcije uključujući sepsu, ponekad sa smrtnim ishodom, prijavljivane su u postmarketinškom periodu.</w:t>
      </w:r>
    </w:p>
    <w:p w14:paraId="4BB23F38" w14:textId="77777777" w:rsidR="00B27A53" w:rsidRPr="00B14EBB" w:rsidRDefault="00B27A53" w:rsidP="00545126">
      <w:pPr>
        <w:pStyle w:val="Header"/>
        <w:widowControl w:val="0"/>
        <w:tabs>
          <w:tab w:val="left" w:pos="284"/>
        </w:tabs>
        <w:jc w:val="both"/>
        <w:rPr>
          <w:i/>
          <w:iCs/>
          <w:sz w:val="22"/>
          <w:szCs w:val="22"/>
          <w:lang w:val="sr-Latn-ME"/>
        </w:rPr>
      </w:pPr>
    </w:p>
    <w:p w14:paraId="77607D36" w14:textId="072258B8"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Hematološko dejstvo</w:t>
      </w:r>
    </w:p>
    <w:p w14:paraId="4BB07DBF" w14:textId="6A2EF3DD"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U placebom kontrolisanim ispitivanjima t</w:t>
      </w:r>
      <w:r w:rsidRPr="00B14EBB">
        <w:rPr>
          <w:sz w:val="22"/>
          <w:szCs w:val="22"/>
          <w:lang w:val="sr-Latn-ME" w:eastAsia="sr-Latn-CS"/>
        </w:rPr>
        <w:t>eriflunomida</w:t>
      </w:r>
      <w:r w:rsidRPr="00B14EBB">
        <w:rPr>
          <w:sz w:val="22"/>
          <w:szCs w:val="22"/>
          <w:lang w:val="sr-Latn-ME"/>
        </w:rPr>
        <w:t xml:space="preserve"> uočeno je smanjenje srednje vr</w:t>
      </w:r>
      <w:r w:rsidR="00E24715" w:rsidRPr="00B14EBB">
        <w:rPr>
          <w:sz w:val="22"/>
          <w:szCs w:val="22"/>
          <w:lang w:val="sr-Latn-ME"/>
        </w:rPr>
        <w:t>ij</w:t>
      </w:r>
      <w:r w:rsidRPr="00B14EBB">
        <w:rPr>
          <w:sz w:val="22"/>
          <w:szCs w:val="22"/>
          <w:lang w:val="sr-Latn-ME"/>
        </w:rPr>
        <w:t>ednosti broja leukocita (&lt;15% u odnosu na početne vr</w:t>
      </w:r>
      <w:r w:rsidR="00E24715" w:rsidRPr="00B14EBB">
        <w:rPr>
          <w:sz w:val="22"/>
          <w:szCs w:val="22"/>
          <w:lang w:val="sr-Latn-ME"/>
        </w:rPr>
        <w:t>ij</w:t>
      </w:r>
      <w:r w:rsidRPr="00B14EBB">
        <w:rPr>
          <w:sz w:val="22"/>
          <w:szCs w:val="22"/>
          <w:lang w:val="sr-Latn-ME"/>
        </w:rPr>
        <w:t>ednosti, uglavnom pad broja neutrofila i limfocita), a kod nekih pacijenata to smanjenje bilo je još i veće. Smanjenje srednjega broja u odnosu na početne vr</w:t>
      </w:r>
      <w:r w:rsidR="00E24715" w:rsidRPr="00B14EBB">
        <w:rPr>
          <w:sz w:val="22"/>
          <w:szCs w:val="22"/>
          <w:lang w:val="sr-Latn-ME"/>
        </w:rPr>
        <w:t>ij</w:t>
      </w:r>
      <w:r w:rsidRPr="00B14EBB">
        <w:rPr>
          <w:sz w:val="22"/>
          <w:szCs w:val="22"/>
          <w:lang w:val="sr-Latn-ME"/>
        </w:rPr>
        <w:t>ednosti nastupilo je tokom prvih 6 ned</w:t>
      </w:r>
      <w:r w:rsidR="00B31671" w:rsidRPr="00B14EBB">
        <w:rPr>
          <w:sz w:val="22"/>
          <w:szCs w:val="22"/>
          <w:lang w:val="sr-Latn-ME"/>
        </w:rPr>
        <w:t>j</w:t>
      </w:r>
      <w:r w:rsidRPr="00B14EBB">
        <w:rPr>
          <w:sz w:val="22"/>
          <w:szCs w:val="22"/>
          <w:lang w:val="sr-Latn-ME"/>
        </w:rPr>
        <w:t>elja, nakon čega se taj broj tokom l</w:t>
      </w:r>
      <w:r w:rsidR="00E24715" w:rsidRPr="00B14EBB">
        <w:rPr>
          <w:sz w:val="22"/>
          <w:szCs w:val="22"/>
          <w:lang w:val="sr-Latn-ME"/>
        </w:rPr>
        <w:t>ij</w:t>
      </w:r>
      <w:r w:rsidRPr="00B14EBB">
        <w:rPr>
          <w:sz w:val="22"/>
          <w:szCs w:val="22"/>
          <w:lang w:val="sr-Latn-ME"/>
        </w:rPr>
        <w:t>ečenja s vremenom stabilizovao, ali pri sniženim koncentracijama (smanjenje manje od 15% u odnosu na početne vr</w:t>
      </w:r>
      <w:r w:rsidR="00E24715" w:rsidRPr="00B14EBB">
        <w:rPr>
          <w:sz w:val="22"/>
          <w:szCs w:val="22"/>
          <w:lang w:val="sr-Latn-ME"/>
        </w:rPr>
        <w:t>ij</w:t>
      </w:r>
      <w:r w:rsidRPr="00B14EBB">
        <w:rPr>
          <w:sz w:val="22"/>
          <w:szCs w:val="22"/>
          <w:lang w:val="sr-Latn-ME"/>
        </w:rPr>
        <w:t>ednosti). Dejstvo na broj eritrocita (&lt;2%) i trombocita (&lt;10%) bilo je manje izraženo.</w:t>
      </w:r>
    </w:p>
    <w:p w14:paraId="7236484C" w14:textId="5A5F9F91" w:rsidR="00A667D8" w:rsidRPr="00B14EBB" w:rsidRDefault="00A667D8" w:rsidP="00545126">
      <w:pPr>
        <w:pStyle w:val="Header"/>
        <w:widowControl w:val="0"/>
        <w:tabs>
          <w:tab w:val="left" w:pos="284"/>
        </w:tabs>
        <w:jc w:val="both"/>
        <w:rPr>
          <w:i/>
          <w:iCs/>
          <w:sz w:val="22"/>
          <w:szCs w:val="22"/>
          <w:lang w:val="sr-Latn-ME"/>
        </w:rPr>
      </w:pPr>
    </w:p>
    <w:p w14:paraId="4CD4EF6A" w14:textId="217A770F"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Periferna neuropatija</w:t>
      </w:r>
    </w:p>
    <w:p w14:paraId="1FF185FC" w14:textId="19961C94"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U placebom kontrolisanim ispitivanjima kod odraslih pacijenata periferna neuropatija, uključujući polineuropatiju i mononeuropatiju (npr. sindrom karpalnog tunela), češće je uočena kod pacijenata koji su uzimali teriflunomid nego kod pacijenata koji su primali placebo. U pivotalnim, placebom kontrolisanim ispitivanjima učestalost periferne neuropatije potvrđene kliničkim ispitivanjima nervne kondukcije iznosila je 1,9% (17 od 898 pacijenta) kod prim</w:t>
      </w:r>
      <w:r w:rsidR="00E24715" w:rsidRPr="00B14EBB">
        <w:rPr>
          <w:sz w:val="22"/>
          <w:szCs w:val="22"/>
          <w:lang w:val="sr-Latn-ME"/>
        </w:rPr>
        <w:t>j</w:t>
      </w:r>
      <w:r w:rsidRPr="00B14EBB">
        <w:rPr>
          <w:sz w:val="22"/>
          <w:szCs w:val="22"/>
          <w:lang w:val="sr-Latn-ME"/>
        </w:rPr>
        <w:t>ene teriflunomida u dozi od 14 mg u poređenju sa 0,4% (4 od 898) pacijenata koji su primali placebo. L</w:t>
      </w:r>
      <w:r w:rsidR="00E24715" w:rsidRPr="00B14EBB">
        <w:rPr>
          <w:sz w:val="22"/>
          <w:szCs w:val="22"/>
          <w:lang w:val="sr-Latn-ME"/>
        </w:rPr>
        <w:t>ij</w:t>
      </w:r>
      <w:r w:rsidRPr="00B14EBB">
        <w:rPr>
          <w:sz w:val="22"/>
          <w:szCs w:val="22"/>
          <w:lang w:val="sr-Latn-ME"/>
        </w:rPr>
        <w:t>ečenje je prekinuto kod 5 pacijenata sa perifernom neuropatijom koji su uzimali teriflunomid u dozi od 14 mg. Oporavak nakon prekida l</w:t>
      </w:r>
      <w:r w:rsidR="00E24715" w:rsidRPr="00B14EBB">
        <w:rPr>
          <w:sz w:val="22"/>
          <w:szCs w:val="22"/>
          <w:lang w:val="sr-Latn-ME"/>
        </w:rPr>
        <w:t>ij</w:t>
      </w:r>
      <w:r w:rsidRPr="00B14EBB">
        <w:rPr>
          <w:sz w:val="22"/>
          <w:szCs w:val="22"/>
          <w:lang w:val="sr-Latn-ME"/>
        </w:rPr>
        <w:t>ečenja prijavljen je kod 4 od tih pacijenata.</w:t>
      </w:r>
    </w:p>
    <w:p w14:paraId="44307EE3" w14:textId="77777777" w:rsidR="00B27A53" w:rsidRPr="00B14EBB" w:rsidRDefault="00B27A53" w:rsidP="00545126">
      <w:pPr>
        <w:pStyle w:val="Header"/>
        <w:widowControl w:val="0"/>
        <w:tabs>
          <w:tab w:val="left" w:pos="284"/>
        </w:tabs>
        <w:jc w:val="both"/>
        <w:rPr>
          <w:i/>
          <w:iCs/>
          <w:sz w:val="22"/>
          <w:szCs w:val="22"/>
          <w:lang w:val="sr-Latn-ME"/>
        </w:rPr>
      </w:pPr>
    </w:p>
    <w:p w14:paraId="0FADCB2C" w14:textId="4683AA7E" w:rsidR="00E43D38" w:rsidRPr="00B14EBB" w:rsidRDefault="00E43D38" w:rsidP="00545126">
      <w:pPr>
        <w:pStyle w:val="Header"/>
        <w:widowControl w:val="0"/>
        <w:tabs>
          <w:tab w:val="left" w:pos="284"/>
        </w:tabs>
        <w:jc w:val="both"/>
        <w:rPr>
          <w:i/>
          <w:iCs/>
          <w:sz w:val="22"/>
          <w:szCs w:val="22"/>
          <w:lang w:val="sr-Latn-ME"/>
        </w:rPr>
      </w:pPr>
      <w:r w:rsidRPr="00B14EBB">
        <w:rPr>
          <w:i/>
          <w:iCs/>
          <w:sz w:val="22"/>
          <w:szCs w:val="22"/>
          <w:lang w:val="sr-Latn-ME"/>
        </w:rPr>
        <w:t>Benigne, maligne i nespecifične neoplazme (uključujući ciste i polipe)</w:t>
      </w:r>
    </w:p>
    <w:p w14:paraId="19581A6C" w14:textId="2B39601E"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Iskustvo iz kliničkih ispitivanja nije pokazalo povećan rizik od malignih bolesti kod prim</w:t>
      </w:r>
      <w:r w:rsidR="00E24715" w:rsidRPr="00B14EBB">
        <w:rPr>
          <w:sz w:val="22"/>
          <w:szCs w:val="22"/>
          <w:lang w:val="sr-Latn-ME"/>
        </w:rPr>
        <w:t>j</w:t>
      </w:r>
      <w:r w:rsidRPr="00B14EBB">
        <w:rPr>
          <w:sz w:val="22"/>
          <w:szCs w:val="22"/>
          <w:lang w:val="sr-Latn-ME"/>
        </w:rPr>
        <w:t>ene teriflunomida. Rizik od malignih bolesti, naročito limfoproliferativnih poremećaja, povećan je kod prim</w:t>
      </w:r>
      <w:r w:rsidR="00E24715" w:rsidRPr="00B14EBB">
        <w:rPr>
          <w:sz w:val="22"/>
          <w:szCs w:val="22"/>
          <w:lang w:val="sr-Latn-ME"/>
        </w:rPr>
        <w:t>j</w:t>
      </w:r>
      <w:r w:rsidRPr="00B14EBB">
        <w:rPr>
          <w:sz w:val="22"/>
          <w:szCs w:val="22"/>
          <w:lang w:val="sr-Latn-ME"/>
        </w:rPr>
        <w:t>ene nekih drugih l</w:t>
      </w:r>
      <w:r w:rsidR="00E24715" w:rsidRPr="00B14EBB">
        <w:rPr>
          <w:sz w:val="22"/>
          <w:szCs w:val="22"/>
          <w:lang w:val="sr-Latn-ME"/>
        </w:rPr>
        <w:t>j</w:t>
      </w:r>
      <w:r w:rsidRPr="00B14EBB">
        <w:rPr>
          <w:sz w:val="22"/>
          <w:szCs w:val="22"/>
          <w:lang w:val="sr-Latn-ME"/>
        </w:rPr>
        <w:t>ekova koji utiču na imunski sistem (dejstvo grupe l</w:t>
      </w:r>
      <w:r w:rsidR="00E24715" w:rsidRPr="00B14EBB">
        <w:rPr>
          <w:sz w:val="22"/>
          <w:szCs w:val="22"/>
          <w:lang w:val="sr-Latn-ME"/>
        </w:rPr>
        <w:t>j</w:t>
      </w:r>
      <w:r w:rsidRPr="00B14EBB">
        <w:rPr>
          <w:sz w:val="22"/>
          <w:szCs w:val="22"/>
          <w:lang w:val="sr-Latn-ME"/>
        </w:rPr>
        <w:t>ekova).</w:t>
      </w:r>
    </w:p>
    <w:p w14:paraId="4A8EF45F" w14:textId="77777777" w:rsidR="00B27A53" w:rsidRPr="00B14EBB" w:rsidRDefault="00B27A53" w:rsidP="00545126">
      <w:pPr>
        <w:pStyle w:val="Header"/>
        <w:widowControl w:val="0"/>
        <w:tabs>
          <w:tab w:val="left" w:pos="284"/>
        </w:tabs>
        <w:jc w:val="both"/>
        <w:rPr>
          <w:i/>
          <w:sz w:val="22"/>
          <w:szCs w:val="22"/>
          <w:lang w:val="sr-Latn-ME"/>
        </w:rPr>
      </w:pPr>
    </w:p>
    <w:p w14:paraId="63FA66FE" w14:textId="0E9A2520" w:rsidR="00E43D38" w:rsidRPr="00B14EBB" w:rsidRDefault="00E43D38" w:rsidP="00545126">
      <w:pPr>
        <w:pStyle w:val="Header"/>
        <w:widowControl w:val="0"/>
        <w:tabs>
          <w:tab w:val="left" w:pos="284"/>
        </w:tabs>
        <w:jc w:val="both"/>
        <w:rPr>
          <w:i/>
          <w:sz w:val="22"/>
          <w:szCs w:val="22"/>
          <w:lang w:val="sr-Latn-ME"/>
        </w:rPr>
      </w:pPr>
      <w:r w:rsidRPr="00B14EBB">
        <w:rPr>
          <w:i/>
          <w:sz w:val="22"/>
          <w:szCs w:val="22"/>
          <w:lang w:val="sr-Latn-ME"/>
        </w:rPr>
        <w:t>Teške kožne reakcije</w:t>
      </w:r>
    </w:p>
    <w:p w14:paraId="184DFC3C" w14:textId="716D87B5" w:rsidR="00E43D38" w:rsidRPr="00B14EBB" w:rsidRDefault="00E43D38" w:rsidP="00545126">
      <w:pPr>
        <w:pStyle w:val="Header"/>
        <w:widowControl w:val="0"/>
        <w:tabs>
          <w:tab w:val="left" w:pos="284"/>
        </w:tabs>
        <w:jc w:val="both"/>
        <w:rPr>
          <w:sz w:val="22"/>
          <w:szCs w:val="22"/>
          <w:lang w:val="sr-Latn-ME" w:eastAsia="sr-Latn-CS"/>
        </w:rPr>
      </w:pPr>
      <w:r w:rsidRPr="00B14EBB">
        <w:rPr>
          <w:sz w:val="22"/>
          <w:szCs w:val="22"/>
          <w:lang w:val="sr-Latn-ME" w:eastAsia="sr-Latn-CS"/>
        </w:rPr>
        <w:t>Tokom prim</w:t>
      </w:r>
      <w:r w:rsidR="00E24715" w:rsidRPr="00B14EBB">
        <w:rPr>
          <w:sz w:val="22"/>
          <w:szCs w:val="22"/>
          <w:lang w:val="sr-Latn-ME" w:eastAsia="sr-Latn-CS"/>
        </w:rPr>
        <w:t>j</w:t>
      </w:r>
      <w:r w:rsidRPr="00B14EBB">
        <w:rPr>
          <w:sz w:val="22"/>
          <w:szCs w:val="22"/>
          <w:lang w:val="sr-Latn-ME" w:eastAsia="sr-Latn-CS"/>
        </w:rPr>
        <w:t>ene teriflunomida u postmarketinškom periodu prijavljeni su slučajevi teških kožnih reakcija (vid</w:t>
      </w:r>
      <w:r w:rsidR="00E24715" w:rsidRPr="00B14EBB">
        <w:rPr>
          <w:sz w:val="22"/>
          <w:szCs w:val="22"/>
          <w:lang w:val="sr-Latn-ME" w:eastAsia="sr-Latn-CS"/>
        </w:rPr>
        <w:t>j</w:t>
      </w:r>
      <w:r w:rsidRPr="00B14EBB">
        <w:rPr>
          <w:sz w:val="22"/>
          <w:szCs w:val="22"/>
          <w:lang w:val="sr-Latn-ME" w:eastAsia="sr-Latn-CS"/>
        </w:rPr>
        <w:t xml:space="preserve">eti </w:t>
      </w:r>
      <w:r w:rsidR="00B31671" w:rsidRPr="00B14EBB">
        <w:rPr>
          <w:sz w:val="22"/>
          <w:szCs w:val="22"/>
          <w:lang w:val="sr-Latn-ME" w:eastAsia="sr-Latn-CS"/>
        </w:rPr>
        <w:t xml:space="preserve">dio </w:t>
      </w:r>
      <w:r w:rsidRPr="00B14EBB">
        <w:rPr>
          <w:sz w:val="22"/>
          <w:szCs w:val="22"/>
          <w:lang w:val="sr-Latn-ME" w:eastAsia="sr-Latn-CS"/>
        </w:rPr>
        <w:t>4.4).</w:t>
      </w:r>
    </w:p>
    <w:p w14:paraId="0120AE67" w14:textId="77777777" w:rsidR="00B27A53" w:rsidRPr="00B14EBB" w:rsidRDefault="00B27A53" w:rsidP="00545126">
      <w:pPr>
        <w:pStyle w:val="Header"/>
        <w:widowControl w:val="0"/>
        <w:tabs>
          <w:tab w:val="left" w:pos="284"/>
        </w:tabs>
        <w:jc w:val="both"/>
        <w:rPr>
          <w:i/>
          <w:sz w:val="22"/>
          <w:szCs w:val="22"/>
          <w:lang w:val="sr-Latn-ME" w:eastAsia="sr-Latn-CS"/>
        </w:rPr>
      </w:pPr>
    </w:p>
    <w:p w14:paraId="02D25B19" w14:textId="4436B092" w:rsidR="00E43D38" w:rsidRPr="00B14EBB" w:rsidRDefault="00E43D38" w:rsidP="00545126">
      <w:pPr>
        <w:pStyle w:val="Header"/>
        <w:widowControl w:val="0"/>
        <w:tabs>
          <w:tab w:val="left" w:pos="284"/>
        </w:tabs>
        <w:jc w:val="both"/>
        <w:rPr>
          <w:i/>
          <w:sz w:val="22"/>
          <w:szCs w:val="22"/>
          <w:lang w:val="sr-Latn-ME" w:eastAsia="sr-Latn-CS"/>
        </w:rPr>
      </w:pPr>
      <w:r w:rsidRPr="00B14EBB">
        <w:rPr>
          <w:i/>
          <w:sz w:val="22"/>
          <w:szCs w:val="22"/>
          <w:lang w:val="sr-Latn-ME" w:eastAsia="sr-Latn-CS"/>
        </w:rPr>
        <w:t>Astenija</w:t>
      </w:r>
    </w:p>
    <w:p w14:paraId="5AFD84A1" w14:textId="76F4CB68" w:rsidR="00E43D38" w:rsidRPr="00B14EBB" w:rsidRDefault="00E43D38" w:rsidP="00545126">
      <w:pPr>
        <w:pStyle w:val="Header"/>
        <w:widowControl w:val="0"/>
        <w:tabs>
          <w:tab w:val="left" w:pos="284"/>
        </w:tabs>
        <w:jc w:val="both"/>
        <w:rPr>
          <w:sz w:val="22"/>
          <w:szCs w:val="22"/>
          <w:lang w:val="sr-Latn-ME"/>
        </w:rPr>
      </w:pPr>
      <w:r w:rsidRPr="00B14EBB">
        <w:rPr>
          <w:sz w:val="22"/>
          <w:szCs w:val="22"/>
          <w:lang w:val="sr-Latn-ME"/>
        </w:rPr>
        <w:t>U placebom kontrolisanim ispitivanjima kod odraslih pacijenata, učestalost astenije bila je 2,0%  u grupi koja je prim</w:t>
      </w:r>
      <w:r w:rsidR="00E24715" w:rsidRPr="00B14EBB">
        <w:rPr>
          <w:sz w:val="22"/>
          <w:szCs w:val="22"/>
          <w:lang w:val="sr-Latn-ME"/>
        </w:rPr>
        <w:t>j</w:t>
      </w:r>
      <w:r w:rsidRPr="00B14EBB">
        <w:rPr>
          <w:sz w:val="22"/>
          <w:szCs w:val="22"/>
          <w:lang w:val="sr-Latn-ME"/>
        </w:rPr>
        <w:t>enjivala placebo, 1,6% u grupi koja je prim</w:t>
      </w:r>
      <w:r w:rsidR="00E24715" w:rsidRPr="00B14EBB">
        <w:rPr>
          <w:sz w:val="22"/>
          <w:szCs w:val="22"/>
          <w:lang w:val="sr-Latn-ME"/>
        </w:rPr>
        <w:t>j</w:t>
      </w:r>
      <w:r w:rsidRPr="00B14EBB">
        <w:rPr>
          <w:sz w:val="22"/>
          <w:szCs w:val="22"/>
          <w:lang w:val="sr-Latn-ME"/>
        </w:rPr>
        <w:t>enjivala teriflunomid u dozi od 7 mg i 2,2% u grupi koja je prim</w:t>
      </w:r>
      <w:r w:rsidR="00E24715" w:rsidRPr="00B14EBB">
        <w:rPr>
          <w:sz w:val="22"/>
          <w:szCs w:val="22"/>
          <w:lang w:val="sr-Latn-ME"/>
        </w:rPr>
        <w:t>j</w:t>
      </w:r>
      <w:r w:rsidRPr="00B14EBB">
        <w:rPr>
          <w:sz w:val="22"/>
          <w:szCs w:val="22"/>
          <w:lang w:val="sr-Latn-ME"/>
        </w:rPr>
        <w:t>enjivala teriflunomid u dozi 14 mg.</w:t>
      </w:r>
    </w:p>
    <w:p w14:paraId="4AD5F752" w14:textId="77777777" w:rsidR="00E43D38" w:rsidRPr="00B14EBB" w:rsidRDefault="00E43D38" w:rsidP="00545126">
      <w:pPr>
        <w:widowControl w:val="0"/>
        <w:autoSpaceDE w:val="0"/>
        <w:autoSpaceDN w:val="0"/>
        <w:adjustRightInd w:val="0"/>
        <w:jc w:val="both"/>
        <w:rPr>
          <w:rFonts w:eastAsia="Calibri"/>
          <w:i/>
          <w:iCs/>
          <w:sz w:val="22"/>
          <w:szCs w:val="22"/>
          <w:lang w:val="sr-Latn-ME"/>
        </w:rPr>
      </w:pPr>
    </w:p>
    <w:p w14:paraId="0D7DE5AD" w14:textId="77777777" w:rsidR="00E43D38" w:rsidRPr="00B14EBB" w:rsidRDefault="00E43D38" w:rsidP="00545126">
      <w:pPr>
        <w:widowControl w:val="0"/>
        <w:autoSpaceDE w:val="0"/>
        <w:autoSpaceDN w:val="0"/>
        <w:adjustRightInd w:val="0"/>
        <w:jc w:val="both"/>
        <w:rPr>
          <w:rFonts w:eastAsia="Calibri"/>
          <w:i/>
          <w:iCs/>
          <w:sz w:val="22"/>
          <w:szCs w:val="22"/>
          <w:lang w:val="sr-Latn-ME"/>
        </w:rPr>
      </w:pPr>
      <w:r w:rsidRPr="00B14EBB">
        <w:rPr>
          <w:rFonts w:eastAsia="Calibri"/>
          <w:i/>
          <w:iCs/>
          <w:sz w:val="22"/>
          <w:szCs w:val="22"/>
          <w:lang w:val="sr-Latn-ME"/>
        </w:rPr>
        <w:t>Psorijaza</w:t>
      </w:r>
    </w:p>
    <w:p w14:paraId="31E0CC01" w14:textId="77777777"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U placebom kontroliranim ispitivanjima učestalost psorijaze bila je 0,3% u grupi koja je primala placebo, 0,3% u grupi koja je primala 7 mg teriflunomida i 0,4% u grupi koja je primala 14 mg teriflunomida.</w:t>
      </w:r>
    </w:p>
    <w:p w14:paraId="17FF1802" w14:textId="77777777" w:rsidR="00E43D38" w:rsidRPr="00B14EBB" w:rsidRDefault="00E43D38" w:rsidP="00545126">
      <w:pPr>
        <w:widowControl w:val="0"/>
        <w:autoSpaceDE w:val="0"/>
        <w:autoSpaceDN w:val="0"/>
        <w:adjustRightInd w:val="0"/>
        <w:jc w:val="both"/>
        <w:rPr>
          <w:rFonts w:eastAsia="Calibri"/>
          <w:i/>
          <w:iCs/>
          <w:sz w:val="22"/>
          <w:szCs w:val="22"/>
          <w:lang w:val="sr-Latn-ME"/>
        </w:rPr>
      </w:pPr>
    </w:p>
    <w:p w14:paraId="3048CFCE" w14:textId="77777777" w:rsidR="00E43D38" w:rsidRPr="00B14EBB" w:rsidRDefault="00E43D38" w:rsidP="00545126">
      <w:pPr>
        <w:widowControl w:val="0"/>
        <w:autoSpaceDE w:val="0"/>
        <w:autoSpaceDN w:val="0"/>
        <w:adjustRightInd w:val="0"/>
        <w:jc w:val="both"/>
        <w:rPr>
          <w:rFonts w:eastAsia="Calibri"/>
          <w:i/>
          <w:iCs/>
          <w:sz w:val="22"/>
          <w:szCs w:val="22"/>
          <w:lang w:val="sr-Latn-ME"/>
        </w:rPr>
      </w:pPr>
      <w:r w:rsidRPr="00B14EBB">
        <w:rPr>
          <w:rFonts w:eastAsia="Calibri"/>
          <w:i/>
          <w:iCs/>
          <w:sz w:val="22"/>
          <w:szCs w:val="22"/>
          <w:lang w:val="sr-Latn-ME"/>
        </w:rPr>
        <w:t xml:space="preserve">Gastrointestinalni poremećaji </w:t>
      </w:r>
    </w:p>
    <w:p w14:paraId="7458EBD2" w14:textId="4B036A2A"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Nakon stavljanja teriflunomida u promet, pankreatitis, uključujući slučajeve nekrotizirajućeg pankreatitisa i pseudociste pankreasa, nije često prijavljen kod odraslih. Pankreatični događaji mogu se javiti bilo kada tokom l</w:t>
      </w:r>
      <w:r w:rsidR="00E24715" w:rsidRPr="00B14EBB">
        <w:rPr>
          <w:rFonts w:eastAsia="Calibri"/>
          <w:sz w:val="22"/>
          <w:szCs w:val="22"/>
          <w:lang w:val="sr-Latn-ME"/>
        </w:rPr>
        <w:t>ij</w:t>
      </w:r>
      <w:r w:rsidRPr="00B14EBB">
        <w:rPr>
          <w:rFonts w:eastAsia="Calibri"/>
          <w:sz w:val="22"/>
          <w:szCs w:val="22"/>
          <w:lang w:val="sr-Latn-ME"/>
        </w:rPr>
        <w:t>ečenja teriflunomidom, što može dovesti do hospitalizacije i/ili zaht</w:t>
      </w:r>
      <w:r w:rsidR="00E24715" w:rsidRPr="00B14EBB">
        <w:rPr>
          <w:rFonts w:eastAsia="Calibri"/>
          <w:sz w:val="22"/>
          <w:szCs w:val="22"/>
          <w:lang w:val="sr-Latn-ME"/>
        </w:rPr>
        <w:t>ij</w:t>
      </w:r>
      <w:r w:rsidRPr="00B14EBB">
        <w:rPr>
          <w:rFonts w:eastAsia="Calibri"/>
          <w:sz w:val="22"/>
          <w:szCs w:val="22"/>
          <w:lang w:val="sr-Latn-ME"/>
        </w:rPr>
        <w:t xml:space="preserve">evati </w:t>
      </w:r>
      <w:r w:rsidRPr="00B14EBB">
        <w:rPr>
          <w:rFonts w:eastAsia="Calibri"/>
          <w:sz w:val="22"/>
          <w:szCs w:val="22"/>
          <w:lang w:val="sr-Latn-ME"/>
        </w:rPr>
        <w:lastRenderedPageBreak/>
        <w:t>korektivno l</w:t>
      </w:r>
      <w:r w:rsidR="00E24715" w:rsidRPr="00B14EBB">
        <w:rPr>
          <w:rFonts w:eastAsia="Calibri"/>
          <w:sz w:val="22"/>
          <w:szCs w:val="22"/>
          <w:lang w:val="sr-Latn-ME"/>
        </w:rPr>
        <w:t>ij</w:t>
      </w:r>
      <w:r w:rsidRPr="00B14EBB">
        <w:rPr>
          <w:rFonts w:eastAsia="Calibri"/>
          <w:sz w:val="22"/>
          <w:szCs w:val="22"/>
          <w:lang w:val="sr-Latn-ME"/>
        </w:rPr>
        <w:t>ečenje.</w:t>
      </w:r>
    </w:p>
    <w:p w14:paraId="125BDD44" w14:textId="77777777" w:rsidR="00E43D38" w:rsidRPr="00B14EBB" w:rsidRDefault="00E43D38" w:rsidP="00545126">
      <w:pPr>
        <w:widowControl w:val="0"/>
        <w:autoSpaceDE w:val="0"/>
        <w:autoSpaceDN w:val="0"/>
        <w:adjustRightInd w:val="0"/>
        <w:jc w:val="both"/>
        <w:rPr>
          <w:rFonts w:eastAsia="Calibri"/>
          <w:sz w:val="22"/>
          <w:szCs w:val="22"/>
          <w:lang w:val="sr-Latn-ME"/>
        </w:rPr>
      </w:pPr>
    </w:p>
    <w:p w14:paraId="6944247C" w14:textId="77777777" w:rsidR="00E43D38" w:rsidRPr="00B14EBB" w:rsidRDefault="00E43D38" w:rsidP="00545126">
      <w:pPr>
        <w:widowControl w:val="0"/>
        <w:autoSpaceDE w:val="0"/>
        <w:autoSpaceDN w:val="0"/>
        <w:adjustRightInd w:val="0"/>
        <w:jc w:val="both"/>
        <w:rPr>
          <w:rFonts w:eastAsia="Calibri"/>
          <w:sz w:val="22"/>
          <w:szCs w:val="22"/>
          <w:u w:val="single"/>
          <w:lang w:val="sr-Latn-ME"/>
        </w:rPr>
      </w:pPr>
      <w:r w:rsidRPr="00B14EBB">
        <w:rPr>
          <w:rFonts w:eastAsia="Calibri"/>
          <w:sz w:val="22"/>
          <w:szCs w:val="22"/>
          <w:u w:val="single"/>
          <w:lang w:val="sr-Latn-ME"/>
        </w:rPr>
        <w:t>Pedijatrijska populacija</w:t>
      </w:r>
    </w:p>
    <w:p w14:paraId="76389E62" w14:textId="77777777" w:rsidR="00E43D38" w:rsidRPr="00B14EBB" w:rsidRDefault="00E43D38" w:rsidP="00545126">
      <w:pPr>
        <w:widowControl w:val="0"/>
        <w:autoSpaceDE w:val="0"/>
        <w:autoSpaceDN w:val="0"/>
        <w:adjustRightInd w:val="0"/>
        <w:jc w:val="both"/>
        <w:rPr>
          <w:rFonts w:eastAsia="Calibri"/>
          <w:sz w:val="22"/>
          <w:szCs w:val="22"/>
          <w:lang w:val="sr-Latn-ME"/>
        </w:rPr>
      </w:pPr>
    </w:p>
    <w:p w14:paraId="752100AC" w14:textId="5A6B55E3"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Ispitivani bezb</w:t>
      </w:r>
      <w:r w:rsidR="00E24715" w:rsidRPr="00B14EBB">
        <w:rPr>
          <w:rFonts w:eastAsia="Calibri"/>
          <w:sz w:val="22"/>
          <w:szCs w:val="22"/>
          <w:lang w:val="sr-Latn-ME"/>
        </w:rPr>
        <w:t>j</w:t>
      </w:r>
      <w:r w:rsidRPr="00B14EBB">
        <w:rPr>
          <w:rFonts w:eastAsia="Calibri"/>
          <w:sz w:val="22"/>
          <w:szCs w:val="22"/>
          <w:lang w:val="sr-Latn-ME"/>
        </w:rPr>
        <w:t>ednosni profil kod pedijatrijskih pacijenata (od 10 do 17 godina) koji su svaki dan uzimali teriflunomid generalno je bio sličan onome kod odraslih pacijenata. Međutim, u ispitivanju pedijatrijskih pacijenata (166 pacijenata: 109 u grupi koja je primala teriflunomid i 57 u grupi koja je primala placebo), slučajevi pankreatitisa prijavljeni su kod 1,8% (2/109) pacijenata l</w:t>
      </w:r>
      <w:r w:rsidR="00E24715" w:rsidRPr="00B14EBB">
        <w:rPr>
          <w:rFonts w:eastAsia="Calibri"/>
          <w:sz w:val="22"/>
          <w:szCs w:val="22"/>
          <w:lang w:val="sr-Latn-ME"/>
        </w:rPr>
        <w:t>ij</w:t>
      </w:r>
      <w:r w:rsidRPr="00B14EBB">
        <w:rPr>
          <w:rFonts w:eastAsia="Calibri"/>
          <w:sz w:val="22"/>
          <w:szCs w:val="22"/>
          <w:lang w:val="sr-Latn-ME"/>
        </w:rPr>
        <w:t>ečenih teriflunomidom za razliku od grupe koja je primala placebo u kojoj, u dvostruko sl</w:t>
      </w:r>
      <w:r w:rsidR="00E24715" w:rsidRPr="00B14EBB">
        <w:rPr>
          <w:rFonts w:eastAsia="Calibri"/>
          <w:sz w:val="22"/>
          <w:szCs w:val="22"/>
          <w:lang w:val="sr-Latn-ME"/>
        </w:rPr>
        <w:t>ij</w:t>
      </w:r>
      <w:r w:rsidRPr="00B14EBB">
        <w:rPr>
          <w:rFonts w:eastAsia="Calibri"/>
          <w:sz w:val="22"/>
          <w:szCs w:val="22"/>
          <w:lang w:val="sr-Latn-ME"/>
        </w:rPr>
        <w:t>epoj fazi, nije bilo prijavljenih slučajeva. Jedan od tih slučajeva doveo je do hospitalizacije i zaht</w:t>
      </w:r>
      <w:r w:rsidR="00E24715" w:rsidRPr="00B14EBB">
        <w:rPr>
          <w:rFonts w:eastAsia="Calibri"/>
          <w:sz w:val="22"/>
          <w:szCs w:val="22"/>
          <w:lang w:val="sr-Latn-ME"/>
        </w:rPr>
        <w:t>ij</w:t>
      </w:r>
      <w:r w:rsidRPr="00B14EBB">
        <w:rPr>
          <w:rFonts w:eastAsia="Calibri"/>
          <w:sz w:val="22"/>
          <w:szCs w:val="22"/>
          <w:lang w:val="sr-Latn-ME"/>
        </w:rPr>
        <w:t>evao je korektivno l</w:t>
      </w:r>
      <w:r w:rsidR="00E24715" w:rsidRPr="00B14EBB">
        <w:rPr>
          <w:rFonts w:eastAsia="Calibri"/>
          <w:sz w:val="22"/>
          <w:szCs w:val="22"/>
          <w:lang w:val="sr-Latn-ME"/>
        </w:rPr>
        <w:t>ij</w:t>
      </w:r>
      <w:r w:rsidRPr="00B14EBB">
        <w:rPr>
          <w:rFonts w:eastAsia="Calibri"/>
          <w:sz w:val="22"/>
          <w:szCs w:val="22"/>
          <w:lang w:val="sr-Latn-ME"/>
        </w:rPr>
        <w:t>ečenje. Kod pedijatrijskih pacijenata l</w:t>
      </w:r>
      <w:r w:rsidR="00E24715" w:rsidRPr="00B14EBB">
        <w:rPr>
          <w:rFonts w:eastAsia="Calibri"/>
          <w:sz w:val="22"/>
          <w:szCs w:val="22"/>
          <w:lang w:val="sr-Latn-ME"/>
        </w:rPr>
        <w:t>ij</w:t>
      </w:r>
      <w:r w:rsidRPr="00B14EBB">
        <w:rPr>
          <w:rFonts w:eastAsia="Calibri"/>
          <w:sz w:val="22"/>
          <w:szCs w:val="22"/>
          <w:lang w:val="sr-Latn-ME"/>
        </w:rPr>
        <w:t>ečenih teriflunomidom u otvorenoj fazi ispitivanja, prijavljena su 2 dodatna slučaja pankreatitisa (jedan je bio prijavljen kao ozbiljan događaj, a drugi nije bio ozbiljan te je bio blagog intenziteta) i jedan slučaj ozbiljnog akutnog pankreatitisa (sa pseudo-papilomom). Pankreatitis je doveo do hospitalizacije kod dva od ta 3 pacijenta. Klinički simptomi su uključivali bol u abdomenu, mučninu i/ili povraćanje, a nivoi serumskih amilaza i lipaza bili su povišeni. Svi pacijenti su se oporavili nakon prekida l</w:t>
      </w:r>
      <w:r w:rsidR="00E24715" w:rsidRPr="00B14EBB">
        <w:rPr>
          <w:rFonts w:eastAsia="Calibri"/>
          <w:sz w:val="22"/>
          <w:szCs w:val="22"/>
          <w:lang w:val="sr-Latn-ME"/>
        </w:rPr>
        <w:t>ij</w:t>
      </w:r>
      <w:r w:rsidRPr="00B14EBB">
        <w:rPr>
          <w:rFonts w:eastAsia="Calibri"/>
          <w:sz w:val="22"/>
          <w:szCs w:val="22"/>
          <w:lang w:val="sr-Latn-ME"/>
        </w:rPr>
        <w:t>ečenja, postupka ubrzane eliminacije (vid</w:t>
      </w:r>
      <w:r w:rsidR="00E24715" w:rsidRPr="00B14EBB">
        <w:rPr>
          <w:rFonts w:eastAsia="Calibri"/>
          <w:sz w:val="22"/>
          <w:szCs w:val="22"/>
          <w:lang w:val="sr-Latn-ME"/>
        </w:rPr>
        <w:t>j</w:t>
      </w:r>
      <w:r w:rsidRPr="00B14EBB">
        <w:rPr>
          <w:rFonts w:eastAsia="Calibri"/>
          <w:sz w:val="22"/>
          <w:szCs w:val="22"/>
          <w:lang w:val="sr-Latn-ME"/>
        </w:rPr>
        <w:t xml:space="preserve">eti </w:t>
      </w:r>
      <w:r w:rsidR="00155BAC" w:rsidRPr="00B14EBB">
        <w:rPr>
          <w:rFonts w:eastAsia="Calibri"/>
          <w:sz w:val="22"/>
          <w:szCs w:val="22"/>
          <w:lang w:val="sr-Latn-ME"/>
        </w:rPr>
        <w:t xml:space="preserve">dio </w:t>
      </w:r>
      <w:r w:rsidRPr="00B14EBB">
        <w:rPr>
          <w:rFonts w:eastAsia="Calibri"/>
          <w:sz w:val="22"/>
          <w:szCs w:val="22"/>
          <w:lang w:val="sr-Latn-ME"/>
        </w:rPr>
        <w:t>4.4) i korektivnog l</w:t>
      </w:r>
      <w:r w:rsidR="00E24715" w:rsidRPr="00B14EBB">
        <w:rPr>
          <w:rFonts w:eastAsia="Calibri"/>
          <w:sz w:val="22"/>
          <w:szCs w:val="22"/>
          <w:lang w:val="sr-Latn-ME"/>
        </w:rPr>
        <w:t>ij</w:t>
      </w:r>
      <w:r w:rsidRPr="00B14EBB">
        <w:rPr>
          <w:rFonts w:eastAsia="Calibri"/>
          <w:sz w:val="22"/>
          <w:szCs w:val="22"/>
          <w:lang w:val="sr-Latn-ME"/>
        </w:rPr>
        <w:t>ečenja.</w:t>
      </w:r>
    </w:p>
    <w:p w14:paraId="0E23B60E" w14:textId="77777777" w:rsidR="00E43D38" w:rsidRPr="00B14EBB" w:rsidRDefault="00E43D38" w:rsidP="00545126">
      <w:pPr>
        <w:widowControl w:val="0"/>
        <w:autoSpaceDE w:val="0"/>
        <w:autoSpaceDN w:val="0"/>
        <w:adjustRightInd w:val="0"/>
        <w:jc w:val="both"/>
        <w:rPr>
          <w:rFonts w:eastAsia="Calibri"/>
          <w:sz w:val="22"/>
          <w:szCs w:val="22"/>
          <w:lang w:val="sr-Latn-ME"/>
        </w:rPr>
      </w:pPr>
    </w:p>
    <w:p w14:paraId="0B0BFC66" w14:textId="3647B08C"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Sl</w:t>
      </w:r>
      <w:r w:rsidR="00B31671" w:rsidRPr="00B14EBB">
        <w:rPr>
          <w:rFonts w:eastAsia="Calibri"/>
          <w:sz w:val="22"/>
          <w:szCs w:val="22"/>
          <w:lang w:val="sr-Latn-ME"/>
        </w:rPr>
        <w:t>j</w:t>
      </w:r>
      <w:r w:rsidRPr="00B14EBB">
        <w:rPr>
          <w:rFonts w:eastAsia="Calibri"/>
          <w:sz w:val="22"/>
          <w:szCs w:val="22"/>
          <w:lang w:val="sr-Latn-ME"/>
        </w:rPr>
        <w:t>edeće neželjene reakcije češće su prijavljivane u pedijatrijskoj populaciji nego u odrasloj populaciji:</w:t>
      </w:r>
    </w:p>
    <w:p w14:paraId="65DE8934" w14:textId="3965E079"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SymbolMT"/>
          <w:sz w:val="22"/>
          <w:szCs w:val="22"/>
          <w:lang w:val="sr-Latn-ME"/>
        </w:rPr>
        <w:t xml:space="preserve">• </w:t>
      </w:r>
      <w:r w:rsidRPr="00B14EBB">
        <w:rPr>
          <w:rFonts w:eastAsia="Calibri"/>
          <w:sz w:val="22"/>
          <w:szCs w:val="22"/>
          <w:lang w:val="sr-Latn-ME"/>
        </w:rPr>
        <w:t>Alopecija je prijavljena kod 22,0% pacijenata l</w:t>
      </w:r>
      <w:r w:rsidR="00E24715" w:rsidRPr="00B14EBB">
        <w:rPr>
          <w:rFonts w:eastAsia="Calibri"/>
          <w:sz w:val="22"/>
          <w:szCs w:val="22"/>
          <w:lang w:val="sr-Latn-ME"/>
        </w:rPr>
        <w:t>ij</w:t>
      </w:r>
      <w:r w:rsidRPr="00B14EBB">
        <w:rPr>
          <w:rFonts w:eastAsia="Calibri"/>
          <w:sz w:val="22"/>
          <w:szCs w:val="22"/>
          <w:lang w:val="sr-Latn-ME"/>
        </w:rPr>
        <w:t>ečenih teriflunomidom nasuprot 12,3% pacijenata l</w:t>
      </w:r>
      <w:r w:rsidR="00E24715" w:rsidRPr="00B14EBB">
        <w:rPr>
          <w:rFonts w:eastAsia="Calibri"/>
          <w:sz w:val="22"/>
          <w:szCs w:val="22"/>
          <w:lang w:val="sr-Latn-ME"/>
        </w:rPr>
        <w:t>ij</w:t>
      </w:r>
      <w:r w:rsidRPr="00B14EBB">
        <w:rPr>
          <w:rFonts w:eastAsia="Calibri"/>
          <w:sz w:val="22"/>
          <w:szCs w:val="22"/>
          <w:lang w:val="sr-Latn-ME"/>
        </w:rPr>
        <w:t>ečenih placebom.</w:t>
      </w:r>
    </w:p>
    <w:p w14:paraId="254279EB" w14:textId="6E609D4F"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SymbolMT"/>
          <w:sz w:val="22"/>
          <w:szCs w:val="22"/>
          <w:lang w:val="sr-Latn-ME"/>
        </w:rPr>
        <w:t xml:space="preserve">• </w:t>
      </w:r>
      <w:r w:rsidRPr="00B14EBB">
        <w:rPr>
          <w:rFonts w:eastAsia="Calibri"/>
          <w:sz w:val="22"/>
          <w:szCs w:val="22"/>
          <w:lang w:val="sr-Latn-ME"/>
        </w:rPr>
        <w:t>Infekcije su prijavljene kod 66,1% pacijenata l</w:t>
      </w:r>
      <w:r w:rsidR="00E24715" w:rsidRPr="00B14EBB">
        <w:rPr>
          <w:rFonts w:eastAsia="Calibri"/>
          <w:sz w:val="22"/>
          <w:szCs w:val="22"/>
          <w:lang w:val="sr-Latn-ME"/>
        </w:rPr>
        <w:t>ij</w:t>
      </w:r>
      <w:r w:rsidRPr="00B14EBB">
        <w:rPr>
          <w:rFonts w:eastAsia="Calibri"/>
          <w:sz w:val="22"/>
          <w:szCs w:val="22"/>
          <w:lang w:val="sr-Latn-ME"/>
        </w:rPr>
        <w:t>ečenih teriflunomidom nasuprot 45,6% pacijenata l</w:t>
      </w:r>
      <w:r w:rsidR="00E24715" w:rsidRPr="00B14EBB">
        <w:rPr>
          <w:rFonts w:eastAsia="Calibri"/>
          <w:sz w:val="22"/>
          <w:szCs w:val="22"/>
          <w:lang w:val="sr-Latn-ME"/>
        </w:rPr>
        <w:t>ij</w:t>
      </w:r>
      <w:r w:rsidRPr="00B14EBB">
        <w:rPr>
          <w:rFonts w:eastAsia="Calibri"/>
          <w:sz w:val="22"/>
          <w:szCs w:val="22"/>
          <w:lang w:val="sr-Latn-ME"/>
        </w:rPr>
        <w:t>ečenih placebom. Među njima su nazofaringitis i infekcije gornjih disajnih puteva češće prijavljeni kod prim</w:t>
      </w:r>
      <w:r w:rsidR="00E24715" w:rsidRPr="00B14EBB">
        <w:rPr>
          <w:rFonts w:eastAsia="Calibri"/>
          <w:sz w:val="22"/>
          <w:szCs w:val="22"/>
          <w:lang w:val="sr-Latn-ME"/>
        </w:rPr>
        <w:t>j</w:t>
      </w:r>
      <w:r w:rsidRPr="00B14EBB">
        <w:rPr>
          <w:rFonts w:eastAsia="Calibri"/>
          <w:sz w:val="22"/>
          <w:szCs w:val="22"/>
          <w:lang w:val="sr-Latn-ME"/>
        </w:rPr>
        <w:t>ene teriflunomida.</w:t>
      </w:r>
    </w:p>
    <w:p w14:paraId="024BE0AD" w14:textId="2B44C2AF"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SymbolMT"/>
          <w:sz w:val="22"/>
          <w:szCs w:val="22"/>
          <w:lang w:val="sr-Latn-ME"/>
        </w:rPr>
        <w:t xml:space="preserve">• </w:t>
      </w:r>
      <w:r w:rsidRPr="00B14EBB">
        <w:rPr>
          <w:rFonts w:eastAsia="Calibri"/>
          <w:sz w:val="22"/>
          <w:szCs w:val="22"/>
          <w:lang w:val="sr-Latn-ME"/>
        </w:rPr>
        <w:t>Povećanje nivoa kreatin-fosfokinaze (CPK) prijavljeno je kod 5,5% pacijenata l</w:t>
      </w:r>
      <w:r w:rsidR="00E24715" w:rsidRPr="00B14EBB">
        <w:rPr>
          <w:rFonts w:eastAsia="Calibri"/>
          <w:sz w:val="22"/>
          <w:szCs w:val="22"/>
          <w:lang w:val="sr-Latn-ME"/>
        </w:rPr>
        <w:t>ij</w:t>
      </w:r>
      <w:r w:rsidRPr="00B14EBB">
        <w:rPr>
          <w:rFonts w:eastAsia="Calibri"/>
          <w:sz w:val="22"/>
          <w:szCs w:val="22"/>
          <w:lang w:val="sr-Latn-ME"/>
        </w:rPr>
        <w:t>ečenih teriflunomidom nasuprot 0% pacijenata l</w:t>
      </w:r>
      <w:r w:rsidR="00E24715" w:rsidRPr="00B14EBB">
        <w:rPr>
          <w:rFonts w:eastAsia="Calibri"/>
          <w:sz w:val="22"/>
          <w:szCs w:val="22"/>
          <w:lang w:val="sr-Latn-ME"/>
        </w:rPr>
        <w:t>ij</w:t>
      </w:r>
      <w:r w:rsidRPr="00B14EBB">
        <w:rPr>
          <w:rFonts w:eastAsia="Calibri"/>
          <w:sz w:val="22"/>
          <w:szCs w:val="22"/>
          <w:lang w:val="sr-Latn-ME"/>
        </w:rPr>
        <w:t>ečenih placebom. Većina slučajeva bila je povezana sa zab</w:t>
      </w:r>
      <w:r w:rsidR="00E24715" w:rsidRPr="00B14EBB">
        <w:rPr>
          <w:rFonts w:eastAsia="Calibri"/>
          <w:sz w:val="22"/>
          <w:szCs w:val="22"/>
          <w:lang w:val="sr-Latn-ME"/>
        </w:rPr>
        <w:t>ilj</w:t>
      </w:r>
      <w:r w:rsidRPr="00B14EBB">
        <w:rPr>
          <w:rFonts w:eastAsia="Calibri"/>
          <w:sz w:val="22"/>
          <w:szCs w:val="22"/>
          <w:lang w:val="sr-Latn-ME"/>
        </w:rPr>
        <w:t>eženim fizičkim vežbama.</w:t>
      </w:r>
    </w:p>
    <w:p w14:paraId="33F6F815" w14:textId="12D42210"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SymbolMT"/>
          <w:sz w:val="22"/>
          <w:szCs w:val="22"/>
          <w:lang w:val="sr-Latn-ME"/>
        </w:rPr>
        <w:t xml:space="preserve">• </w:t>
      </w:r>
      <w:r w:rsidRPr="00B14EBB">
        <w:rPr>
          <w:rFonts w:eastAsia="Calibri"/>
          <w:sz w:val="22"/>
          <w:szCs w:val="22"/>
          <w:lang w:val="sr-Latn-ME"/>
        </w:rPr>
        <w:t>Parestezija je prijavljena kod 11,0% pacijenata l</w:t>
      </w:r>
      <w:r w:rsidR="002D1647" w:rsidRPr="00B14EBB">
        <w:rPr>
          <w:rFonts w:eastAsia="Calibri"/>
          <w:sz w:val="22"/>
          <w:szCs w:val="22"/>
          <w:lang w:val="sr-Latn-ME"/>
        </w:rPr>
        <w:t>ij</w:t>
      </w:r>
      <w:r w:rsidRPr="00B14EBB">
        <w:rPr>
          <w:rFonts w:eastAsia="Calibri"/>
          <w:sz w:val="22"/>
          <w:szCs w:val="22"/>
          <w:lang w:val="sr-Latn-ME"/>
        </w:rPr>
        <w:t>ečenih teriflunomidom nasuprot 1,8% pacijenata l</w:t>
      </w:r>
      <w:r w:rsidR="002D1647" w:rsidRPr="00B14EBB">
        <w:rPr>
          <w:rFonts w:eastAsia="Calibri"/>
          <w:sz w:val="22"/>
          <w:szCs w:val="22"/>
          <w:lang w:val="sr-Latn-ME"/>
        </w:rPr>
        <w:t>ij</w:t>
      </w:r>
      <w:r w:rsidRPr="00B14EBB">
        <w:rPr>
          <w:rFonts w:eastAsia="Calibri"/>
          <w:sz w:val="22"/>
          <w:szCs w:val="22"/>
          <w:lang w:val="sr-Latn-ME"/>
        </w:rPr>
        <w:t>ečenih placebom.</w:t>
      </w:r>
    </w:p>
    <w:p w14:paraId="1F864F01" w14:textId="27A99FCF" w:rsidR="00E43D38" w:rsidRPr="00B14EBB" w:rsidRDefault="00E43D38" w:rsidP="00545126">
      <w:pPr>
        <w:widowControl w:val="0"/>
        <w:autoSpaceDE w:val="0"/>
        <w:autoSpaceDN w:val="0"/>
        <w:adjustRightInd w:val="0"/>
        <w:jc w:val="both"/>
        <w:rPr>
          <w:rFonts w:eastAsia="Calibri"/>
          <w:sz w:val="22"/>
          <w:szCs w:val="22"/>
          <w:lang w:val="sr-Latn-ME"/>
        </w:rPr>
      </w:pPr>
      <w:r w:rsidRPr="00B14EBB">
        <w:rPr>
          <w:rFonts w:eastAsia="SymbolMT"/>
          <w:sz w:val="22"/>
          <w:szCs w:val="22"/>
          <w:lang w:val="sr-Latn-ME"/>
        </w:rPr>
        <w:t xml:space="preserve">• </w:t>
      </w:r>
      <w:r w:rsidRPr="00B14EBB">
        <w:rPr>
          <w:rFonts w:eastAsia="Calibri"/>
          <w:sz w:val="22"/>
          <w:szCs w:val="22"/>
          <w:lang w:val="sr-Latn-ME"/>
        </w:rPr>
        <w:t>Bol u abdomenu prijavljena je kod 11,0% pacijenata l</w:t>
      </w:r>
      <w:r w:rsidR="002D1647" w:rsidRPr="00B14EBB">
        <w:rPr>
          <w:rFonts w:eastAsia="Calibri"/>
          <w:sz w:val="22"/>
          <w:szCs w:val="22"/>
          <w:lang w:val="sr-Latn-ME"/>
        </w:rPr>
        <w:t>ij</w:t>
      </w:r>
      <w:r w:rsidRPr="00B14EBB">
        <w:rPr>
          <w:rFonts w:eastAsia="Calibri"/>
          <w:sz w:val="22"/>
          <w:szCs w:val="22"/>
          <w:lang w:val="sr-Latn-ME"/>
        </w:rPr>
        <w:t>ečenih teriflunomidom nasuprot 1,8% pacijenata l</w:t>
      </w:r>
      <w:r w:rsidR="002D1647" w:rsidRPr="00B14EBB">
        <w:rPr>
          <w:rFonts w:eastAsia="Calibri"/>
          <w:sz w:val="22"/>
          <w:szCs w:val="22"/>
          <w:lang w:val="sr-Latn-ME"/>
        </w:rPr>
        <w:t>ij</w:t>
      </w:r>
      <w:r w:rsidRPr="00B14EBB">
        <w:rPr>
          <w:rFonts w:eastAsia="Calibri"/>
          <w:sz w:val="22"/>
          <w:szCs w:val="22"/>
          <w:lang w:val="sr-Latn-ME"/>
        </w:rPr>
        <w:t>ečenih placebom.</w:t>
      </w:r>
    </w:p>
    <w:p w14:paraId="792E8787" w14:textId="77777777" w:rsidR="00E43D38" w:rsidRPr="00B14EBB" w:rsidRDefault="00E43D38" w:rsidP="00545126">
      <w:pPr>
        <w:widowControl w:val="0"/>
        <w:autoSpaceDE w:val="0"/>
        <w:autoSpaceDN w:val="0"/>
        <w:adjustRightInd w:val="0"/>
        <w:jc w:val="both"/>
        <w:rPr>
          <w:rFonts w:eastAsia="Calibri"/>
          <w:sz w:val="22"/>
          <w:szCs w:val="22"/>
          <w:lang w:val="sr-Latn-ME"/>
        </w:rPr>
      </w:pPr>
    </w:p>
    <w:p w14:paraId="500F591C" w14:textId="622A33FA" w:rsidR="005A23D2" w:rsidRPr="00B14EBB" w:rsidRDefault="005A23D2" w:rsidP="00545126">
      <w:pPr>
        <w:widowControl w:val="0"/>
        <w:spacing w:line="276" w:lineRule="auto"/>
        <w:jc w:val="both"/>
        <w:rPr>
          <w:rFonts w:eastAsia="Calibri"/>
          <w:sz w:val="22"/>
          <w:szCs w:val="22"/>
          <w:u w:val="single"/>
          <w:lang w:val="sr-Latn-ME"/>
        </w:rPr>
      </w:pPr>
      <w:r w:rsidRPr="00B14EBB">
        <w:rPr>
          <w:rFonts w:eastAsia="Calibri"/>
          <w:sz w:val="22"/>
          <w:szCs w:val="22"/>
          <w:u w:val="single"/>
          <w:lang w:val="sr-Latn-ME"/>
        </w:rPr>
        <w:t>Prijavljivanje sumnji na neželjena dejstva</w:t>
      </w:r>
    </w:p>
    <w:p w14:paraId="500F591D" w14:textId="04ACBCB9" w:rsidR="005A23D2" w:rsidRPr="00B14EBB" w:rsidRDefault="005A23D2" w:rsidP="00545126">
      <w:pPr>
        <w:widowControl w:val="0"/>
        <w:jc w:val="both"/>
        <w:rPr>
          <w:rFonts w:eastAsia="Calibri"/>
          <w:sz w:val="22"/>
          <w:szCs w:val="22"/>
          <w:lang w:val="sr-Latn-ME"/>
        </w:rPr>
      </w:pPr>
      <w:r w:rsidRPr="00B14EBB">
        <w:rPr>
          <w:rFonts w:eastAsia="Calibri"/>
          <w:sz w:val="22"/>
          <w:szCs w:val="22"/>
          <w:lang w:val="sr-Latn-ME"/>
        </w:rPr>
        <w:t>Prijavljivanje neželjenih dejstava nakon dobijanja dozvole</w:t>
      </w:r>
      <w:r w:rsidR="00B31671" w:rsidRPr="00B14EBB">
        <w:rPr>
          <w:rFonts w:eastAsia="Calibri"/>
          <w:sz w:val="22"/>
          <w:szCs w:val="22"/>
          <w:lang w:val="sr-Latn-ME"/>
        </w:rPr>
        <w:t xml:space="preserve"> za lijek</w:t>
      </w:r>
      <w:r w:rsidRPr="00B14EBB">
        <w:rPr>
          <w:rFonts w:eastAsia="Calibri"/>
          <w:sz w:val="22"/>
          <w:szCs w:val="22"/>
          <w:lang w:val="sr-Latn-ME"/>
        </w:rPr>
        <w:t xml:space="preserve"> je od velikog značaja jer obezbjeđuje kont</w:t>
      </w:r>
      <w:r w:rsidR="00EA5765" w:rsidRPr="00B14EBB">
        <w:rPr>
          <w:rFonts w:eastAsia="Calibri"/>
          <w:sz w:val="22"/>
          <w:szCs w:val="22"/>
          <w:lang w:val="sr-Latn-ME"/>
        </w:rPr>
        <w:t>inuirano praćenje odnosa korist</w:t>
      </w:r>
      <w:r w:rsidRPr="00B14EBB">
        <w:rPr>
          <w:rFonts w:eastAsia="Calibri"/>
          <w:sz w:val="22"/>
          <w:szCs w:val="22"/>
          <w:lang w:val="sr-Latn-ME"/>
        </w:rPr>
        <w:t>/rizik primjene lijeka. Zdravstveni radnici treba da prijave svaku sumnju na neželjeno</w:t>
      </w:r>
      <w:r w:rsidR="009B062A" w:rsidRPr="00B14EBB">
        <w:rPr>
          <w:rFonts w:eastAsia="Calibri"/>
          <w:sz w:val="22"/>
          <w:szCs w:val="22"/>
          <w:lang w:val="sr-Latn-ME"/>
        </w:rPr>
        <w:t xml:space="preserve"> </w:t>
      </w:r>
      <w:r w:rsidRPr="00B14EBB">
        <w:rPr>
          <w:rFonts w:eastAsia="Calibri"/>
          <w:sz w:val="22"/>
          <w:szCs w:val="22"/>
          <w:lang w:val="sr-Latn-ME"/>
        </w:rPr>
        <w:t xml:space="preserve">dejstvo ovog lijeka </w:t>
      </w:r>
      <w:r w:rsidR="004E70AD" w:rsidRPr="00B14EBB">
        <w:rPr>
          <w:rFonts w:eastAsia="Calibri"/>
          <w:sz w:val="22"/>
          <w:szCs w:val="22"/>
          <w:lang w:val="sr-Latn-ME"/>
        </w:rPr>
        <w:t>Institutu</w:t>
      </w:r>
      <w:r w:rsidRPr="00B14EBB">
        <w:rPr>
          <w:rFonts w:eastAsia="Calibri"/>
          <w:sz w:val="22"/>
          <w:szCs w:val="22"/>
          <w:lang w:val="sr-Latn-ME"/>
        </w:rPr>
        <w:t xml:space="preserve"> za ljekove i medicinska sredstva</w:t>
      </w:r>
      <w:r w:rsidR="004E70AD" w:rsidRPr="00B14EBB">
        <w:rPr>
          <w:rFonts w:eastAsia="Calibri"/>
          <w:sz w:val="22"/>
          <w:szCs w:val="22"/>
          <w:lang w:val="sr-Latn-ME"/>
        </w:rPr>
        <w:t xml:space="preserve"> </w:t>
      </w:r>
      <w:r w:rsidRPr="00B14EBB">
        <w:rPr>
          <w:rFonts w:eastAsia="Calibri"/>
          <w:sz w:val="22"/>
          <w:szCs w:val="22"/>
          <w:lang w:val="sr-Latn-ME"/>
        </w:rPr>
        <w:t>(</w:t>
      </w:r>
      <w:r w:rsidR="004E70AD" w:rsidRPr="00B14EBB">
        <w:rPr>
          <w:rFonts w:eastAsia="Calibri"/>
          <w:sz w:val="22"/>
          <w:szCs w:val="22"/>
          <w:lang w:val="sr-Latn-ME"/>
        </w:rPr>
        <w:t>CInMED</w:t>
      </w:r>
      <w:r w:rsidRPr="00B14EBB">
        <w:rPr>
          <w:rFonts w:eastAsia="Calibri"/>
          <w:sz w:val="22"/>
          <w:szCs w:val="22"/>
          <w:lang w:val="sr-Latn-ME"/>
        </w:rPr>
        <w:t>):</w:t>
      </w:r>
    </w:p>
    <w:p w14:paraId="500F591E" w14:textId="77777777" w:rsidR="005A23D2" w:rsidRPr="00B14EBB" w:rsidRDefault="004E70AD" w:rsidP="00545126">
      <w:pPr>
        <w:pStyle w:val="NoSpacing"/>
        <w:widowControl w:val="0"/>
        <w:jc w:val="both"/>
        <w:rPr>
          <w:rFonts w:eastAsia="Calibri"/>
          <w:sz w:val="22"/>
          <w:szCs w:val="22"/>
          <w:lang w:val="sr-Latn-ME"/>
        </w:rPr>
      </w:pPr>
      <w:r w:rsidRPr="00B14EBB">
        <w:rPr>
          <w:rFonts w:eastAsia="Calibri"/>
          <w:sz w:val="22"/>
          <w:szCs w:val="22"/>
          <w:lang w:val="sr-Latn-ME"/>
        </w:rPr>
        <w:t xml:space="preserve">Institut </w:t>
      </w:r>
      <w:r w:rsidR="005A23D2" w:rsidRPr="00B14EBB">
        <w:rPr>
          <w:rFonts w:eastAsia="Calibri"/>
          <w:sz w:val="22"/>
          <w:szCs w:val="22"/>
          <w:lang w:val="sr-Latn-ME"/>
        </w:rPr>
        <w:t xml:space="preserve">za ljekove i medicinska sredstva </w:t>
      </w:r>
    </w:p>
    <w:p w14:paraId="500F591F" w14:textId="77777777" w:rsidR="005A23D2" w:rsidRPr="00B14EBB" w:rsidRDefault="005A23D2" w:rsidP="00545126">
      <w:pPr>
        <w:pStyle w:val="NoSpacing"/>
        <w:widowControl w:val="0"/>
        <w:jc w:val="both"/>
        <w:rPr>
          <w:rFonts w:eastAsia="Calibri"/>
          <w:sz w:val="22"/>
          <w:szCs w:val="22"/>
          <w:lang w:val="sr-Latn-ME"/>
        </w:rPr>
      </w:pPr>
      <w:r w:rsidRPr="00B14EBB">
        <w:rPr>
          <w:rFonts w:eastAsia="Calibri"/>
          <w:sz w:val="22"/>
          <w:szCs w:val="22"/>
          <w:lang w:val="sr-Latn-ME"/>
        </w:rPr>
        <w:t>Odjeljenje za farmakovigilancu</w:t>
      </w:r>
    </w:p>
    <w:p w14:paraId="500F5920" w14:textId="77777777" w:rsidR="00EA5765" w:rsidRPr="00B14EBB" w:rsidRDefault="005A23D2" w:rsidP="00545126">
      <w:pPr>
        <w:pStyle w:val="NoSpacing"/>
        <w:widowControl w:val="0"/>
        <w:jc w:val="both"/>
        <w:rPr>
          <w:rFonts w:eastAsia="Calibri"/>
          <w:sz w:val="22"/>
          <w:szCs w:val="22"/>
          <w:lang w:val="sr-Latn-ME"/>
        </w:rPr>
      </w:pPr>
      <w:r w:rsidRPr="00B14EBB">
        <w:rPr>
          <w:rFonts w:eastAsia="Calibri"/>
          <w:sz w:val="22"/>
          <w:szCs w:val="22"/>
          <w:lang w:val="sr-Latn-ME"/>
        </w:rPr>
        <w:t>Bulevar Ivana Crnojevića 64a, 81000 Podgorica</w:t>
      </w:r>
    </w:p>
    <w:p w14:paraId="500F5921" w14:textId="77777777" w:rsidR="00EA5765" w:rsidRPr="00B14EBB" w:rsidRDefault="00EA5765" w:rsidP="00545126">
      <w:pPr>
        <w:pStyle w:val="NoSpacing"/>
        <w:widowControl w:val="0"/>
        <w:jc w:val="both"/>
        <w:rPr>
          <w:rFonts w:eastAsia="Calibri"/>
          <w:sz w:val="22"/>
          <w:szCs w:val="22"/>
          <w:lang w:val="sr-Latn-ME"/>
        </w:rPr>
      </w:pPr>
    </w:p>
    <w:p w14:paraId="500F5922" w14:textId="77777777" w:rsidR="005A23D2" w:rsidRPr="00B14EBB" w:rsidRDefault="005A23D2" w:rsidP="00545126">
      <w:pPr>
        <w:pStyle w:val="NoSpacing"/>
        <w:widowControl w:val="0"/>
        <w:jc w:val="both"/>
        <w:rPr>
          <w:rFonts w:eastAsia="Calibri"/>
          <w:sz w:val="22"/>
          <w:szCs w:val="22"/>
          <w:lang w:val="sr-Latn-ME"/>
        </w:rPr>
      </w:pPr>
      <w:r w:rsidRPr="00B14EBB">
        <w:rPr>
          <w:rFonts w:eastAsia="Calibri"/>
          <w:sz w:val="22"/>
          <w:szCs w:val="22"/>
          <w:lang w:val="sr-Latn-ME"/>
        </w:rPr>
        <w:t>tel: +382 (0) 20 310 280</w:t>
      </w:r>
    </w:p>
    <w:p w14:paraId="500F5923" w14:textId="77777777" w:rsidR="00EA5765" w:rsidRPr="00B14EBB" w:rsidRDefault="005A23D2" w:rsidP="00545126">
      <w:pPr>
        <w:pStyle w:val="NoSpacing"/>
        <w:widowControl w:val="0"/>
        <w:tabs>
          <w:tab w:val="left" w:pos="6720"/>
        </w:tabs>
        <w:jc w:val="both"/>
        <w:rPr>
          <w:rFonts w:eastAsia="Calibri"/>
          <w:sz w:val="22"/>
          <w:szCs w:val="22"/>
          <w:lang w:val="sr-Latn-ME"/>
        </w:rPr>
      </w:pPr>
      <w:r w:rsidRPr="00B14EBB">
        <w:rPr>
          <w:rFonts w:eastAsia="Calibri"/>
          <w:sz w:val="22"/>
          <w:szCs w:val="22"/>
          <w:lang w:val="sr-Latn-ME"/>
        </w:rPr>
        <w:t>fax:</w:t>
      </w:r>
      <w:r w:rsidR="00EA5765" w:rsidRPr="00B14EBB">
        <w:rPr>
          <w:rFonts w:eastAsia="Calibri"/>
          <w:sz w:val="22"/>
          <w:szCs w:val="22"/>
          <w:lang w:val="sr-Latn-ME"/>
        </w:rPr>
        <w:t xml:space="preserve"> </w:t>
      </w:r>
      <w:r w:rsidRPr="00B14EBB">
        <w:rPr>
          <w:rFonts w:eastAsia="Calibri"/>
          <w:sz w:val="22"/>
          <w:szCs w:val="22"/>
          <w:lang w:val="sr-Latn-ME"/>
        </w:rPr>
        <w:t>+382 (0) 20 310 581</w:t>
      </w:r>
      <w:r w:rsidR="00FF3EDF" w:rsidRPr="00B14EBB">
        <w:rPr>
          <w:rFonts w:eastAsia="Calibri"/>
          <w:sz w:val="22"/>
          <w:szCs w:val="22"/>
          <w:lang w:val="sr-Latn-ME"/>
        </w:rPr>
        <w:tab/>
      </w:r>
    </w:p>
    <w:p w14:paraId="500F5924" w14:textId="77777777" w:rsidR="005A23D2" w:rsidRPr="00B14EBB" w:rsidRDefault="003F3EF1" w:rsidP="00545126">
      <w:pPr>
        <w:pStyle w:val="NoSpacing"/>
        <w:widowControl w:val="0"/>
        <w:jc w:val="both"/>
        <w:rPr>
          <w:rFonts w:eastAsia="Calibri"/>
          <w:sz w:val="22"/>
          <w:szCs w:val="22"/>
          <w:lang w:val="sr-Latn-ME"/>
        </w:rPr>
      </w:pPr>
      <w:hyperlink r:id="rId8" w:history="1">
        <w:r w:rsidR="004E70AD" w:rsidRPr="00B14EBB">
          <w:rPr>
            <w:rStyle w:val="Hyperlink"/>
            <w:rFonts w:eastAsia="Calibri"/>
            <w:sz w:val="22"/>
            <w:szCs w:val="22"/>
            <w:lang w:val="sr-Latn-ME"/>
          </w:rPr>
          <w:t>www.cinmed.me</w:t>
        </w:r>
      </w:hyperlink>
    </w:p>
    <w:p w14:paraId="500F5925" w14:textId="77777777" w:rsidR="00EA5765" w:rsidRPr="00B14EBB" w:rsidRDefault="003F3EF1" w:rsidP="00545126">
      <w:pPr>
        <w:pStyle w:val="NoSpacing"/>
        <w:widowControl w:val="0"/>
        <w:jc w:val="both"/>
        <w:rPr>
          <w:rFonts w:eastAsia="Calibri"/>
          <w:color w:val="0000FF"/>
          <w:sz w:val="22"/>
          <w:szCs w:val="22"/>
          <w:u w:val="single"/>
          <w:lang w:val="sr-Latn-ME"/>
        </w:rPr>
      </w:pPr>
      <w:hyperlink r:id="rId9" w:history="1">
        <w:r w:rsidR="004E70AD" w:rsidRPr="00B14EBB">
          <w:rPr>
            <w:rStyle w:val="Hyperlink"/>
            <w:rFonts w:eastAsia="Calibri"/>
            <w:sz w:val="22"/>
            <w:szCs w:val="22"/>
            <w:lang w:val="sr-Latn-ME"/>
          </w:rPr>
          <w:t>nezeljenadejstva@cinmed.me</w:t>
        </w:r>
      </w:hyperlink>
    </w:p>
    <w:p w14:paraId="500F5926" w14:textId="77777777" w:rsidR="005A23D2" w:rsidRPr="00B14EBB" w:rsidRDefault="005A23D2" w:rsidP="00545126">
      <w:pPr>
        <w:pStyle w:val="NoSpacing"/>
        <w:widowControl w:val="0"/>
        <w:jc w:val="both"/>
        <w:rPr>
          <w:rFonts w:eastAsia="Calibri"/>
          <w:sz w:val="22"/>
          <w:szCs w:val="22"/>
          <w:lang w:val="sr-Latn-ME"/>
        </w:rPr>
      </w:pPr>
      <w:r w:rsidRPr="00B14EBB">
        <w:rPr>
          <w:rFonts w:eastAsia="Calibri"/>
          <w:sz w:val="22"/>
          <w:szCs w:val="22"/>
          <w:lang w:val="sr-Latn-ME"/>
        </w:rPr>
        <w:t>putem IS zdravstvene zaštite</w:t>
      </w:r>
    </w:p>
    <w:p w14:paraId="500F5927" w14:textId="77777777" w:rsidR="007E31E9" w:rsidRPr="00B14EBB" w:rsidRDefault="007E31E9" w:rsidP="00545126">
      <w:pPr>
        <w:pStyle w:val="NoSpacing"/>
        <w:widowControl w:val="0"/>
        <w:jc w:val="both"/>
        <w:rPr>
          <w:rFonts w:eastAsia="Calibri"/>
          <w:sz w:val="22"/>
          <w:szCs w:val="22"/>
          <w:lang w:val="sr-Latn-ME"/>
        </w:rPr>
      </w:pPr>
      <w:r w:rsidRPr="00B14EBB">
        <w:rPr>
          <w:rFonts w:eastAsia="Calibri"/>
          <w:sz w:val="22"/>
          <w:szCs w:val="22"/>
          <w:lang w:val="sr-Latn-ME"/>
        </w:rPr>
        <w:t>QR kod za online prijavu</w:t>
      </w:r>
      <w:r w:rsidR="00D74CD2" w:rsidRPr="00B14EBB">
        <w:rPr>
          <w:rFonts w:eastAsia="Calibri"/>
          <w:sz w:val="22"/>
          <w:szCs w:val="22"/>
          <w:lang w:val="sr-Latn-ME"/>
        </w:rPr>
        <w:t xml:space="preserve"> sumnje na neželjeno dejstvo lijeka</w:t>
      </w:r>
      <w:r w:rsidRPr="00B14EBB">
        <w:rPr>
          <w:rFonts w:eastAsia="Calibri"/>
          <w:sz w:val="22"/>
          <w:szCs w:val="22"/>
          <w:lang w:val="sr-Latn-ME"/>
        </w:rPr>
        <w:t>:</w:t>
      </w:r>
    </w:p>
    <w:p w14:paraId="500F5928" w14:textId="77777777" w:rsidR="007E31E9" w:rsidRPr="00B14EBB" w:rsidRDefault="007E31E9" w:rsidP="00545126">
      <w:pPr>
        <w:pStyle w:val="NoSpacing"/>
        <w:widowControl w:val="0"/>
        <w:jc w:val="both"/>
        <w:rPr>
          <w:rFonts w:eastAsia="Calibri"/>
          <w:sz w:val="22"/>
          <w:szCs w:val="22"/>
          <w:lang w:val="sr-Latn-ME"/>
        </w:rPr>
      </w:pPr>
    </w:p>
    <w:p w14:paraId="500F5929" w14:textId="08F3AB88" w:rsidR="004F17E2" w:rsidRPr="00B14EBB" w:rsidRDefault="00545126" w:rsidP="00545126">
      <w:pPr>
        <w:pStyle w:val="NoSpacing"/>
        <w:widowControl w:val="0"/>
        <w:jc w:val="both"/>
        <w:rPr>
          <w:rFonts w:eastAsia="Calibri"/>
          <w:sz w:val="22"/>
          <w:szCs w:val="22"/>
          <w:lang w:val="sr-Latn-ME"/>
        </w:rPr>
      </w:pPr>
      <w:r w:rsidRPr="007F661E">
        <w:rPr>
          <w:b/>
          <w:bCs/>
          <w:noProof/>
          <w:sz w:val="22"/>
          <w:szCs w:val="22"/>
          <w:lang w:val="sr-Latn-ME" w:eastAsia="sr-Latn-ME"/>
        </w:rPr>
        <w:drawing>
          <wp:inline distT="0" distB="0" distL="0" distR="0" wp14:anchorId="07082952" wp14:editId="5F25E902">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0F592A" w14:textId="77777777" w:rsidR="00836B35" w:rsidRPr="00B14EBB" w:rsidRDefault="00836B35" w:rsidP="00545126">
      <w:pPr>
        <w:widowControl w:val="0"/>
        <w:tabs>
          <w:tab w:val="left" w:pos="540"/>
          <w:tab w:val="left" w:pos="569"/>
        </w:tabs>
        <w:jc w:val="both"/>
        <w:rPr>
          <w:b/>
          <w:bCs/>
          <w:sz w:val="22"/>
          <w:szCs w:val="22"/>
          <w:lang w:val="sr-Latn-ME"/>
        </w:rPr>
      </w:pPr>
    </w:p>
    <w:p w14:paraId="500F592B" w14:textId="77777777" w:rsidR="00CD6F02"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4.9. </w:t>
      </w:r>
      <w:r w:rsidR="00480FB1" w:rsidRPr="00B14EBB">
        <w:rPr>
          <w:b/>
          <w:bCs/>
          <w:sz w:val="22"/>
          <w:szCs w:val="22"/>
          <w:lang w:val="sr-Latn-ME"/>
        </w:rPr>
        <w:tab/>
      </w:r>
      <w:r w:rsidRPr="00B14EBB">
        <w:rPr>
          <w:b/>
          <w:bCs/>
          <w:sz w:val="22"/>
          <w:szCs w:val="22"/>
          <w:lang w:val="sr-Latn-ME"/>
        </w:rPr>
        <w:t>Predoziranje</w:t>
      </w:r>
      <w:r w:rsidR="002846DB" w:rsidRPr="00B14EBB">
        <w:rPr>
          <w:b/>
          <w:bCs/>
          <w:sz w:val="22"/>
          <w:szCs w:val="22"/>
          <w:lang w:val="sr-Latn-ME"/>
        </w:rPr>
        <w:t xml:space="preserve"> </w:t>
      </w:r>
    </w:p>
    <w:p w14:paraId="24270F57" w14:textId="77777777" w:rsidR="00545126" w:rsidRDefault="00545126" w:rsidP="00545126">
      <w:pPr>
        <w:widowControl w:val="0"/>
        <w:autoSpaceDE w:val="0"/>
        <w:autoSpaceDN w:val="0"/>
        <w:adjustRightInd w:val="0"/>
        <w:jc w:val="both"/>
        <w:rPr>
          <w:sz w:val="22"/>
          <w:szCs w:val="22"/>
          <w:u w:val="single"/>
          <w:lang w:val="sr-Latn-ME" w:eastAsia="sr-Latn-CS"/>
        </w:rPr>
      </w:pPr>
    </w:p>
    <w:p w14:paraId="35C92D3C" w14:textId="062A69BC"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Simptomi</w:t>
      </w:r>
    </w:p>
    <w:p w14:paraId="01D92F97" w14:textId="79986E9C" w:rsidR="00E43D38" w:rsidRPr="00B14EBB" w:rsidRDefault="00E43D38" w:rsidP="00545126">
      <w:pPr>
        <w:pStyle w:val="BodyText"/>
        <w:widowControl w:val="0"/>
        <w:jc w:val="both"/>
        <w:rPr>
          <w:sz w:val="22"/>
          <w:szCs w:val="22"/>
          <w:lang w:val="sr-Latn-ME"/>
        </w:rPr>
      </w:pPr>
      <w:r w:rsidRPr="00B14EBB">
        <w:rPr>
          <w:sz w:val="22"/>
          <w:szCs w:val="22"/>
          <w:lang w:val="sr-Latn-ME"/>
        </w:rPr>
        <w:t xml:space="preserve">Nema iskustava sa predoziranjem niti trovanjem teriflunomidom kod ljudi. Teriflunomid u dozi od 70 </w:t>
      </w:r>
      <w:r w:rsidRPr="00B14EBB">
        <w:rPr>
          <w:sz w:val="22"/>
          <w:szCs w:val="22"/>
          <w:lang w:val="sr-Latn-ME"/>
        </w:rPr>
        <w:lastRenderedPageBreak/>
        <w:t>mg na dan prim</w:t>
      </w:r>
      <w:r w:rsidR="002D1647" w:rsidRPr="00B14EBB">
        <w:rPr>
          <w:sz w:val="22"/>
          <w:szCs w:val="22"/>
          <w:lang w:val="sr-Latn-ME"/>
        </w:rPr>
        <w:t>j</w:t>
      </w:r>
      <w:r w:rsidRPr="00B14EBB">
        <w:rPr>
          <w:sz w:val="22"/>
          <w:szCs w:val="22"/>
          <w:lang w:val="sr-Latn-ME"/>
        </w:rPr>
        <w:t>enjivan je tokom najviše 14 dana kod zdravih ispitanika. Neželjena dejstva su bila u skladu sa bezb</w:t>
      </w:r>
      <w:r w:rsidR="002D1647" w:rsidRPr="00B14EBB">
        <w:rPr>
          <w:sz w:val="22"/>
          <w:szCs w:val="22"/>
          <w:lang w:val="sr-Latn-ME"/>
        </w:rPr>
        <w:t>j</w:t>
      </w:r>
      <w:r w:rsidRPr="00B14EBB">
        <w:rPr>
          <w:sz w:val="22"/>
          <w:szCs w:val="22"/>
          <w:lang w:val="sr-Latn-ME"/>
        </w:rPr>
        <w:t>ednosnim profilom teriflunomida kod pacijenata sa multiplom sklerozom.</w:t>
      </w:r>
    </w:p>
    <w:p w14:paraId="136D9302" w14:textId="77777777" w:rsidR="00545126" w:rsidRDefault="00545126" w:rsidP="00545126">
      <w:pPr>
        <w:widowControl w:val="0"/>
        <w:autoSpaceDE w:val="0"/>
        <w:autoSpaceDN w:val="0"/>
        <w:adjustRightInd w:val="0"/>
        <w:jc w:val="both"/>
        <w:rPr>
          <w:sz w:val="22"/>
          <w:szCs w:val="22"/>
          <w:u w:val="single"/>
          <w:lang w:val="sr-Latn-ME" w:eastAsia="sr-Latn-CS"/>
        </w:rPr>
      </w:pPr>
    </w:p>
    <w:p w14:paraId="040370B4" w14:textId="1E112964"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L</w:t>
      </w:r>
      <w:r w:rsidR="002D1647" w:rsidRPr="00B14EBB">
        <w:rPr>
          <w:sz w:val="22"/>
          <w:szCs w:val="22"/>
          <w:u w:val="single"/>
          <w:lang w:val="sr-Latn-ME" w:eastAsia="sr-Latn-CS"/>
        </w:rPr>
        <w:t>ij</w:t>
      </w:r>
      <w:r w:rsidRPr="00B14EBB">
        <w:rPr>
          <w:sz w:val="22"/>
          <w:szCs w:val="22"/>
          <w:u w:val="single"/>
          <w:lang w:val="sr-Latn-ME" w:eastAsia="sr-Latn-CS"/>
        </w:rPr>
        <w:t>ečenje</w:t>
      </w:r>
    </w:p>
    <w:p w14:paraId="13074964" w14:textId="6507FA26" w:rsidR="00E43D38" w:rsidRPr="00B14EBB" w:rsidRDefault="00E43D38" w:rsidP="00545126">
      <w:pPr>
        <w:pStyle w:val="BodyText"/>
        <w:widowControl w:val="0"/>
        <w:jc w:val="both"/>
        <w:rPr>
          <w:sz w:val="22"/>
          <w:szCs w:val="22"/>
          <w:lang w:val="sr-Latn-ME"/>
        </w:rPr>
      </w:pPr>
      <w:r w:rsidRPr="00B14EBB">
        <w:rPr>
          <w:sz w:val="22"/>
          <w:szCs w:val="22"/>
          <w:lang w:val="sr-Latn-ME"/>
        </w:rPr>
        <w:t>U slučaju značajnog predoziranja ili toksičnosti, preporučuje se prim</w:t>
      </w:r>
      <w:r w:rsidR="002D1647" w:rsidRPr="00B14EBB">
        <w:rPr>
          <w:sz w:val="22"/>
          <w:szCs w:val="22"/>
          <w:lang w:val="sr-Latn-ME"/>
        </w:rPr>
        <w:t>j</w:t>
      </w:r>
      <w:r w:rsidRPr="00B14EBB">
        <w:rPr>
          <w:sz w:val="22"/>
          <w:szCs w:val="22"/>
          <w:lang w:val="sr-Latn-ME"/>
        </w:rPr>
        <w:t>ena holestiramina ili aktivnog uglja za ubrzavanje eliminacije. Preporučeni postupak eliminacije je prim</w:t>
      </w:r>
      <w:r w:rsidR="002D1647" w:rsidRPr="00B14EBB">
        <w:rPr>
          <w:sz w:val="22"/>
          <w:szCs w:val="22"/>
          <w:lang w:val="sr-Latn-ME"/>
        </w:rPr>
        <w:t>j</w:t>
      </w:r>
      <w:r w:rsidRPr="00B14EBB">
        <w:rPr>
          <w:sz w:val="22"/>
          <w:szCs w:val="22"/>
          <w:lang w:val="sr-Latn-ME"/>
        </w:rPr>
        <w:t>ena holestiramina u dozi od 8 g tri puta na dan tokom 11 dana. Ako se ta doza ne podnosi dobro, može se prim</w:t>
      </w:r>
      <w:r w:rsidR="002D1647" w:rsidRPr="00B14EBB">
        <w:rPr>
          <w:sz w:val="22"/>
          <w:szCs w:val="22"/>
          <w:lang w:val="sr-Latn-ME"/>
        </w:rPr>
        <w:t>ij</w:t>
      </w:r>
      <w:r w:rsidRPr="00B14EBB">
        <w:rPr>
          <w:sz w:val="22"/>
          <w:szCs w:val="22"/>
          <w:lang w:val="sr-Latn-ME"/>
        </w:rPr>
        <w:t xml:space="preserve">eniti holestiramin u dozi od 4 g tri puta na dan tokom 11 dana. </w:t>
      </w:r>
    </w:p>
    <w:p w14:paraId="500F592C" w14:textId="60D6AE54" w:rsidR="00CD6F02" w:rsidRPr="00B14EBB" w:rsidRDefault="00E43D38" w:rsidP="00545126">
      <w:pPr>
        <w:pStyle w:val="BodyText"/>
        <w:widowControl w:val="0"/>
        <w:jc w:val="both"/>
        <w:rPr>
          <w:sz w:val="22"/>
          <w:szCs w:val="22"/>
          <w:lang w:val="sr-Latn-ME"/>
        </w:rPr>
      </w:pPr>
      <w:r w:rsidRPr="00B14EBB">
        <w:rPr>
          <w:sz w:val="22"/>
          <w:szCs w:val="22"/>
          <w:lang w:val="sr-Latn-ME"/>
        </w:rPr>
        <w:t>Ako holestiramin nije dostupan, alternativno se može prim</w:t>
      </w:r>
      <w:r w:rsidR="002D1647" w:rsidRPr="00B14EBB">
        <w:rPr>
          <w:sz w:val="22"/>
          <w:szCs w:val="22"/>
          <w:lang w:val="sr-Latn-ME"/>
        </w:rPr>
        <w:t>ij</w:t>
      </w:r>
      <w:r w:rsidRPr="00B14EBB">
        <w:rPr>
          <w:sz w:val="22"/>
          <w:szCs w:val="22"/>
          <w:lang w:val="sr-Latn-ME"/>
        </w:rPr>
        <w:t>eniti aktivni ugalj u dozi od 50 g dva puta na dan tokom 11 dana. Osim toga, ako je to potrebno zbog podnošljivosti, holestiramin ili aktivni ugalj ne moraju se prim</w:t>
      </w:r>
      <w:r w:rsidR="002D1647" w:rsidRPr="00B14EBB">
        <w:rPr>
          <w:sz w:val="22"/>
          <w:szCs w:val="22"/>
          <w:lang w:val="sr-Latn-ME"/>
        </w:rPr>
        <w:t>j</w:t>
      </w:r>
      <w:r w:rsidRPr="00B14EBB">
        <w:rPr>
          <w:sz w:val="22"/>
          <w:szCs w:val="22"/>
          <w:lang w:val="sr-Latn-ME"/>
        </w:rPr>
        <w:t>enjivati tokom uzastopnih dana (vid</w:t>
      </w:r>
      <w:r w:rsidR="002D1647" w:rsidRPr="00B14EBB">
        <w:rPr>
          <w:sz w:val="22"/>
          <w:szCs w:val="22"/>
          <w:lang w:val="sr-Latn-ME"/>
        </w:rPr>
        <w:t>j</w:t>
      </w:r>
      <w:r w:rsidRPr="00B14EBB">
        <w:rPr>
          <w:sz w:val="22"/>
          <w:szCs w:val="22"/>
          <w:lang w:val="sr-Latn-ME"/>
        </w:rPr>
        <w:t xml:space="preserve">eti </w:t>
      </w:r>
      <w:r w:rsidR="001C42A7" w:rsidRPr="00B14EBB">
        <w:rPr>
          <w:sz w:val="22"/>
          <w:szCs w:val="22"/>
          <w:lang w:val="sr-Latn-ME"/>
        </w:rPr>
        <w:t xml:space="preserve">dio </w:t>
      </w:r>
      <w:r w:rsidRPr="00B14EBB">
        <w:rPr>
          <w:sz w:val="22"/>
          <w:szCs w:val="22"/>
          <w:lang w:val="sr-Latn-ME"/>
        </w:rPr>
        <w:t>5.2).</w:t>
      </w:r>
    </w:p>
    <w:p w14:paraId="500F592D" w14:textId="77777777" w:rsidR="00227BDB" w:rsidRPr="00B14EBB" w:rsidRDefault="00227BDB" w:rsidP="00545126">
      <w:pPr>
        <w:widowControl w:val="0"/>
        <w:tabs>
          <w:tab w:val="left" w:pos="540"/>
          <w:tab w:val="left" w:pos="569"/>
        </w:tabs>
        <w:jc w:val="both"/>
        <w:rPr>
          <w:b/>
          <w:bCs/>
          <w:sz w:val="22"/>
          <w:szCs w:val="22"/>
          <w:lang w:val="sr-Latn-ME"/>
        </w:rPr>
      </w:pPr>
    </w:p>
    <w:p w14:paraId="500F592E"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5. </w:t>
      </w:r>
      <w:r w:rsidR="00480FB1" w:rsidRPr="00B14EBB">
        <w:rPr>
          <w:b/>
          <w:bCs/>
          <w:sz w:val="22"/>
          <w:szCs w:val="22"/>
          <w:lang w:val="sr-Latn-ME"/>
        </w:rPr>
        <w:tab/>
      </w:r>
      <w:r w:rsidRPr="00B14EBB">
        <w:rPr>
          <w:b/>
          <w:bCs/>
          <w:sz w:val="22"/>
          <w:szCs w:val="22"/>
          <w:lang w:val="sr-Latn-ME"/>
        </w:rPr>
        <w:t>FARMAKOLOŠK</w:t>
      </w:r>
      <w:r w:rsidR="000D425A" w:rsidRPr="00B14EBB">
        <w:rPr>
          <w:b/>
          <w:bCs/>
          <w:sz w:val="22"/>
          <w:szCs w:val="22"/>
          <w:lang w:val="sr-Latn-ME"/>
        </w:rPr>
        <w:t>I</w:t>
      </w:r>
      <w:r w:rsidRPr="00B14EBB">
        <w:rPr>
          <w:b/>
          <w:bCs/>
          <w:sz w:val="22"/>
          <w:szCs w:val="22"/>
          <w:lang w:val="sr-Latn-ME"/>
        </w:rPr>
        <w:t xml:space="preserve"> PODACI</w:t>
      </w:r>
    </w:p>
    <w:p w14:paraId="500F592F" w14:textId="77777777" w:rsidR="0072020E" w:rsidRPr="00B14EBB" w:rsidRDefault="0072020E" w:rsidP="00545126">
      <w:pPr>
        <w:widowControl w:val="0"/>
        <w:tabs>
          <w:tab w:val="left" w:pos="540"/>
          <w:tab w:val="left" w:pos="569"/>
        </w:tabs>
        <w:jc w:val="both"/>
        <w:rPr>
          <w:b/>
          <w:bCs/>
          <w:sz w:val="22"/>
          <w:szCs w:val="22"/>
          <w:lang w:val="sr-Latn-ME"/>
        </w:rPr>
      </w:pPr>
    </w:p>
    <w:p w14:paraId="500F5930"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5.1. </w:t>
      </w:r>
      <w:r w:rsidR="00480FB1" w:rsidRPr="00B14EBB">
        <w:rPr>
          <w:b/>
          <w:bCs/>
          <w:sz w:val="22"/>
          <w:szCs w:val="22"/>
          <w:lang w:val="sr-Latn-ME"/>
        </w:rPr>
        <w:tab/>
      </w:r>
      <w:r w:rsidRPr="00B14EBB">
        <w:rPr>
          <w:b/>
          <w:bCs/>
          <w:sz w:val="22"/>
          <w:szCs w:val="22"/>
          <w:lang w:val="sr-Latn-ME"/>
        </w:rPr>
        <w:t>Farmakodinamski podaci</w:t>
      </w:r>
      <w:r w:rsidR="003A7059" w:rsidRPr="00B14EBB">
        <w:rPr>
          <w:b/>
          <w:bCs/>
          <w:sz w:val="22"/>
          <w:szCs w:val="22"/>
          <w:lang w:val="sr-Latn-ME"/>
        </w:rPr>
        <w:t xml:space="preserve"> </w:t>
      </w:r>
    </w:p>
    <w:p w14:paraId="500F5931" w14:textId="77777777" w:rsidR="00F45F77" w:rsidRPr="00B14EBB" w:rsidRDefault="00F45F77" w:rsidP="00545126">
      <w:pPr>
        <w:widowControl w:val="0"/>
        <w:tabs>
          <w:tab w:val="left" w:pos="540"/>
          <w:tab w:val="left" w:pos="569"/>
        </w:tabs>
        <w:jc w:val="both"/>
        <w:rPr>
          <w:b/>
          <w:bCs/>
          <w:sz w:val="22"/>
          <w:szCs w:val="22"/>
          <w:lang w:val="sr-Latn-ME"/>
        </w:rPr>
      </w:pPr>
    </w:p>
    <w:p w14:paraId="500F5932" w14:textId="0C8342B2" w:rsidR="0072020E" w:rsidRPr="00B14EBB" w:rsidRDefault="0072020E" w:rsidP="00545126">
      <w:pPr>
        <w:widowControl w:val="0"/>
        <w:tabs>
          <w:tab w:val="left" w:pos="540"/>
          <w:tab w:val="left" w:pos="569"/>
        </w:tabs>
        <w:jc w:val="both"/>
        <w:rPr>
          <w:bCs/>
          <w:sz w:val="22"/>
          <w:szCs w:val="22"/>
          <w:lang w:val="sr-Latn-ME"/>
        </w:rPr>
      </w:pPr>
      <w:r w:rsidRPr="00B14EBB">
        <w:rPr>
          <w:bCs/>
          <w:sz w:val="22"/>
          <w:szCs w:val="22"/>
          <w:lang w:val="sr-Latn-ME"/>
        </w:rPr>
        <w:t>Farmakoterapijska grupa:</w:t>
      </w:r>
      <w:r w:rsidR="00E43D38" w:rsidRPr="00B14EBB">
        <w:rPr>
          <w:bCs/>
          <w:sz w:val="22"/>
          <w:szCs w:val="22"/>
          <w:lang w:val="sr-Latn-ME"/>
        </w:rPr>
        <w:t xml:space="preserve"> Imunosupresivna sredstva</w:t>
      </w:r>
      <w:r w:rsidR="00E43D38" w:rsidRPr="00B14EBB">
        <w:rPr>
          <w:sz w:val="22"/>
          <w:szCs w:val="22"/>
          <w:lang w:val="sr-Latn-ME"/>
        </w:rPr>
        <w:t>; s</w:t>
      </w:r>
      <w:r w:rsidR="00E43D38" w:rsidRPr="00B14EBB">
        <w:rPr>
          <w:sz w:val="22"/>
          <w:szCs w:val="22"/>
          <w:lang w:val="sr-Latn-ME" w:eastAsia="sr-Latn-CS"/>
        </w:rPr>
        <w:t>elektivni imunosupresivi</w:t>
      </w:r>
    </w:p>
    <w:p w14:paraId="500F5933" w14:textId="77777777" w:rsidR="0072020E" w:rsidRPr="00B14EBB" w:rsidRDefault="0072020E" w:rsidP="00545126">
      <w:pPr>
        <w:widowControl w:val="0"/>
        <w:tabs>
          <w:tab w:val="left" w:pos="540"/>
          <w:tab w:val="left" w:pos="569"/>
        </w:tabs>
        <w:jc w:val="both"/>
        <w:rPr>
          <w:bCs/>
          <w:sz w:val="22"/>
          <w:szCs w:val="22"/>
          <w:lang w:val="sr-Latn-ME"/>
        </w:rPr>
      </w:pPr>
    </w:p>
    <w:p w14:paraId="500F5934" w14:textId="17BDC641" w:rsidR="0072020E" w:rsidRPr="00B14EBB" w:rsidRDefault="0072020E" w:rsidP="00545126">
      <w:pPr>
        <w:widowControl w:val="0"/>
        <w:tabs>
          <w:tab w:val="left" w:pos="540"/>
          <w:tab w:val="left" w:pos="569"/>
        </w:tabs>
        <w:jc w:val="both"/>
        <w:rPr>
          <w:sz w:val="22"/>
          <w:szCs w:val="22"/>
          <w:lang w:val="sr-Latn-ME" w:eastAsia="sr-Latn-CS"/>
        </w:rPr>
      </w:pPr>
      <w:r w:rsidRPr="00B14EBB">
        <w:rPr>
          <w:bCs/>
          <w:sz w:val="22"/>
          <w:szCs w:val="22"/>
          <w:lang w:val="sr-Latn-ME"/>
        </w:rPr>
        <w:t>ATC kod:</w:t>
      </w:r>
      <w:r w:rsidR="00E43D38" w:rsidRPr="00B14EBB">
        <w:rPr>
          <w:bCs/>
          <w:sz w:val="22"/>
          <w:szCs w:val="22"/>
          <w:lang w:val="sr-Latn-ME"/>
        </w:rPr>
        <w:t xml:space="preserve"> </w:t>
      </w:r>
      <w:r w:rsidR="008C4798" w:rsidRPr="00B14EBB">
        <w:rPr>
          <w:sz w:val="22"/>
          <w:szCs w:val="22"/>
          <w:lang w:val="sr-Latn-ME" w:eastAsia="sr-Latn-CS"/>
        </w:rPr>
        <w:t>L04AK02</w:t>
      </w:r>
    </w:p>
    <w:p w14:paraId="17EEDC39" w14:textId="77777777" w:rsidR="00A667D8" w:rsidRPr="00B14EBB" w:rsidRDefault="00A667D8" w:rsidP="00545126">
      <w:pPr>
        <w:widowControl w:val="0"/>
        <w:autoSpaceDE w:val="0"/>
        <w:autoSpaceDN w:val="0"/>
        <w:adjustRightInd w:val="0"/>
        <w:jc w:val="both"/>
        <w:rPr>
          <w:sz w:val="22"/>
          <w:szCs w:val="22"/>
          <w:u w:val="single"/>
          <w:lang w:val="sr-Latn-ME" w:eastAsia="sr-Latn-CS"/>
        </w:rPr>
      </w:pPr>
    </w:p>
    <w:p w14:paraId="442BC8F9" w14:textId="29114E20" w:rsidR="00E43D38" w:rsidRPr="00B14EBB" w:rsidRDefault="00E43D3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Mehanizam dejstva</w:t>
      </w:r>
    </w:p>
    <w:p w14:paraId="5EC9C1E3" w14:textId="73C5F470" w:rsidR="00E43D38" w:rsidRPr="00B14EBB" w:rsidRDefault="00E43D3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Teriflunomid je imunomodulatorni l</w:t>
      </w:r>
      <w:r w:rsidR="002D1647" w:rsidRPr="00B14EBB">
        <w:rPr>
          <w:sz w:val="22"/>
          <w:szCs w:val="22"/>
          <w:lang w:val="sr-Latn-ME" w:eastAsia="sr-Latn-CS"/>
        </w:rPr>
        <w:t>ij</w:t>
      </w:r>
      <w:r w:rsidRPr="00B14EBB">
        <w:rPr>
          <w:sz w:val="22"/>
          <w:szCs w:val="22"/>
          <w:lang w:val="sr-Latn-ME" w:eastAsia="sr-Latn-CS"/>
        </w:rPr>
        <w:t>ek sa antiinflamatornim svojstvima koji selektivno i reverzibilno inhibira mitohondrijski enzim dihidroorotat dehidrogenazu (DHO-DH) koji se funkcionalno spaja sa respiratornim lancem. Kao posl</w:t>
      </w:r>
      <w:r w:rsidR="00B31671" w:rsidRPr="00B14EBB">
        <w:rPr>
          <w:sz w:val="22"/>
          <w:szCs w:val="22"/>
          <w:lang w:val="sr-Latn-ME" w:eastAsia="sr-Latn-CS"/>
        </w:rPr>
        <w:t>j</w:t>
      </w:r>
      <w:r w:rsidRPr="00B14EBB">
        <w:rPr>
          <w:sz w:val="22"/>
          <w:szCs w:val="22"/>
          <w:lang w:val="sr-Latn-ME" w:eastAsia="sr-Latn-CS"/>
        </w:rPr>
        <w:t>edica inhibicije, teriflunomid uopšteno smanjuje proliferaciju ćelija koje se brzo d</w:t>
      </w:r>
      <w:r w:rsidR="002D1647" w:rsidRPr="00B14EBB">
        <w:rPr>
          <w:sz w:val="22"/>
          <w:szCs w:val="22"/>
          <w:lang w:val="sr-Latn-ME" w:eastAsia="sr-Latn-CS"/>
        </w:rPr>
        <w:t>ij</w:t>
      </w:r>
      <w:r w:rsidRPr="00B14EBB">
        <w:rPr>
          <w:sz w:val="22"/>
          <w:szCs w:val="22"/>
          <w:lang w:val="sr-Latn-ME" w:eastAsia="sr-Latn-CS"/>
        </w:rPr>
        <w:t xml:space="preserve">ele čije širenje zavisi od </w:t>
      </w:r>
      <w:r w:rsidRPr="00B14EBB">
        <w:rPr>
          <w:i/>
          <w:iCs/>
          <w:sz w:val="22"/>
          <w:szCs w:val="22"/>
          <w:lang w:val="sr-Latn-ME" w:eastAsia="sr-Latn-CS"/>
        </w:rPr>
        <w:t xml:space="preserve">de novo </w:t>
      </w:r>
      <w:r w:rsidRPr="00B14EBB">
        <w:rPr>
          <w:sz w:val="22"/>
          <w:szCs w:val="22"/>
          <w:lang w:val="sr-Latn-ME" w:eastAsia="sr-Latn-CS"/>
        </w:rPr>
        <w:t>sinteze pirimidina. Tačan mehanizam kojim teriflunomid ostvaruje svoje terapijsko dejstvo kod multiple skleroze nije u potpunosti razjašnjen, ali u njemu posreduje smanjen broj limfocita.</w:t>
      </w:r>
    </w:p>
    <w:p w14:paraId="376A28DF" w14:textId="77777777" w:rsidR="00545126" w:rsidRDefault="00545126" w:rsidP="00545126">
      <w:pPr>
        <w:widowControl w:val="0"/>
        <w:autoSpaceDE w:val="0"/>
        <w:autoSpaceDN w:val="0"/>
        <w:adjustRightInd w:val="0"/>
        <w:jc w:val="both"/>
        <w:rPr>
          <w:sz w:val="22"/>
          <w:szCs w:val="22"/>
          <w:u w:val="single"/>
          <w:lang w:val="sr-Latn-ME" w:eastAsia="sr-Latn-CS"/>
        </w:rPr>
      </w:pPr>
    </w:p>
    <w:p w14:paraId="4CC07E82" w14:textId="09986BBF" w:rsidR="00136A0D" w:rsidRPr="00B14EBB" w:rsidRDefault="00136A0D"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Farmakodinamsko dejstvo</w:t>
      </w:r>
    </w:p>
    <w:p w14:paraId="0FC215C0" w14:textId="77777777" w:rsidR="00136A0D" w:rsidRPr="00B14EBB" w:rsidRDefault="00136A0D"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Imunski sistem</w:t>
      </w:r>
    </w:p>
    <w:p w14:paraId="23C91608" w14:textId="059B9CB5"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Dejstvo na broj imunskih ćelija u krvi: u placebom kontrolisanim ispitivanjima teriflunomid u dozi od 14 mg jednom dnevno dovelo je do blagog smanjenja srednje vr</w:t>
      </w:r>
      <w:r w:rsidR="002D1647" w:rsidRPr="00B14EBB">
        <w:rPr>
          <w:sz w:val="22"/>
          <w:szCs w:val="22"/>
          <w:lang w:val="sr-Latn-ME" w:eastAsia="sr-Latn-CS"/>
        </w:rPr>
        <w:t>ij</w:t>
      </w:r>
      <w:r w:rsidRPr="00B14EBB">
        <w:rPr>
          <w:sz w:val="22"/>
          <w:szCs w:val="22"/>
          <w:lang w:val="sr-Latn-ME" w:eastAsia="sr-Latn-CS"/>
        </w:rPr>
        <w:t>ednosti broja limfocita od manje od 0,3 x 10</w:t>
      </w:r>
      <w:r w:rsidRPr="00B14EBB">
        <w:rPr>
          <w:sz w:val="22"/>
          <w:szCs w:val="22"/>
          <w:vertAlign w:val="superscript"/>
          <w:lang w:val="sr-Latn-ME" w:eastAsia="sr-Latn-CS"/>
        </w:rPr>
        <w:t>9</w:t>
      </w:r>
      <w:r w:rsidR="00545126">
        <w:rPr>
          <w:sz w:val="22"/>
          <w:szCs w:val="22"/>
          <w:lang w:val="sr-Latn-ME" w:eastAsia="sr-Latn-CS"/>
        </w:rPr>
        <w:t>/l</w:t>
      </w:r>
      <w:r w:rsidRPr="00B14EBB">
        <w:rPr>
          <w:sz w:val="22"/>
          <w:szCs w:val="22"/>
          <w:lang w:val="sr-Latn-ME" w:eastAsia="sr-Latn-CS"/>
        </w:rPr>
        <w:t>, koje je nastupilo tokom prva tri m</w:t>
      </w:r>
      <w:r w:rsidR="002D1647" w:rsidRPr="00B14EBB">
        <w:rPr>
          <w:sz w:val="22"/>
          <w:szCs w:val="22"/>
          <w:lang w:val="sr-Latn-ME" w:eastAsia="sr-Latn-CS"/>
        </w:rPr>
        <w:t>j</w:t>
      </w:r>
      <w:r w:rsidRPr="00B14EBB">
        <w:rPr>
          <w:sz w:val="22"/>
          <w:szCs w:val="22"/>
          <w:lang w:val="sr-Latn-ME" w:eastAsia="sr-Latn-CS"/>
        </w:rPr>
        <w:t>eseca l</w:t>
      </w:r>
      <w:r w:rsidR="002D1647" w:rsidRPr="00B14EBB">
        <w:rPr>
          <w:sz w:val="22"/>
          <w:szCs w:val="22"/>
          <w:lang w:val="sr-Latn-ME" w:eastAsia="sr-Latn-CS"/>
        </w:rPr>
        <w:t>ij</w:t>
      </w:r>
      <w:r w:rsidRPr="00B14EBB">
        <w:rPr>
          <w:sz w:val="22"/>
          <w:szCs w:val="22"/>
          <w:lang w:val="sr-Latn-ME" w:eastAsia="sr-Latn-CS"/>
        </w:rPr>
        <w:t>ečenja, a koncentracije su se održale do završetka l</w:t>
      </w:r>
      <w:r w:rsidR="002D1647" w:rsidRPr="00B14EBB">
        <w:rPr>
          <w:sz w:val="22"/>
          <w:szCs w:val="22"/>
          <w:lang w:val="sr-Latn-ME" w:eastAsia="sr-Latn-CS"/>
        </w:rPr>
        <w:t>ij</w:t>
      </w:r>
      <w:r w:rsidRPr="00B14EBB">
        <w:rPr>
          <w:sz w:val="22"/>
          <w:szCs w:val="22"/>
          <w:lang w:val="sr-Latn-ME" w:eastAsia="sr-Latn-CS"/>
        </w:rPr>
        <w:t>ečenja.</w:t>
      </w:r>
    </w:p>
    <w:p w14:paraId="0FE7497F" w14:textId="77777777" w:rsidR="001C42A7" w:rsidRPr="00B14EBB" w:rsidRDefault="001C42A7" w:rsidP="00545126">
      <w:pPr>
        <w:widowControl w:val="0"/>
        <w:autoSpaceDE w:val="0"/>
        <w:autoSpaceDN w:val="0"/>
        <w:adjustRightInd w:val="0"/>
        <w:jc w:val="both"/>
        <w:rPr>
          <w:i/>
          <w:iCs/>
          <w:sz w:val="22"/>
          <w:szCs w:val="22"/>
          <w:lang w:val="sr-Latn-ME" w:eastAsia="sr-Latn-CS"/>
        </w:rPr>
      </w:pPr>
    </w:p>
    <w:p w14:paraId="745EFBFB" w14:textId="62486F6B" w:rsidR="00136A0D" w:rsidRPr="00B14EBB" w:rsidRDefault="00136A0D"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Potencijal za produženje QT-intervala</w:t>
      </w:r>
    </w:p>
    <w:p w14:paraId="7AF5CC88" w14:textId="193B150F" w:rsidR="00136A0D" w:rsidRPr="00B14EBB" w:rsidRDefault="00136A0D" w:rsidP="00545126">
      <w:pPr>
        <w:pStyle w:val="BodyText"/>
        <w:widowControl w:val="0"/>
        <w:jc w:val="both"/>
        <w:rPr>
          <w:sz w:val="22"/>
          <w:szCs w:val="22"/>
          <w:lang w:val="sr-Latn-ME"/>
        </w:rPr>
      </w:pPr>
      <w:r w:rsidRPr="00B14EBB">
        <w:rPr>
          <w:sz w:val="22"/>
          <w:szCs w:val="22"/>
          <w:lang w:val="sr-Latn-ME"/>
        </w:rPr>
        <w:t>U placebom kontrolisanom sveobuhvatnom ispitivanju QT-intervala sprovedenom na zdravim ispitanicima teriflunomid pri srednjim koncentracijama u stanju dinamičke ravnoteže nije pokazao potencijal za produžavanje QTcF-intervala u poređenju sa placebom: najduže vr</w:t>
      </w:r>
      <w:r w:rsidR="002D1647" w:rsidRPr="00B14EBB">
        <w:rPr>
          <w:sz w:val="22"/>
          <w:szCs w:val="22"/>
          <w:lang w:val="sr-Latn-ME"/>
        </w:rPr>
        <w:t>ij</w:t>
      </w:r>
      <w:r w:rsidRPr="00B14EBB">
        <w:rPr>
          <w:sz w:val="22"/>
          <w:szCs w:val="22"/>
          <w:lang w:val="sr-Latn-ME"/>
        </w:rPr>
        <w:t>eme odgovaralo je srednjoj razlici između teriflunomida i placeba od 3,45 ms, pri čemu je gornja granica 90% intervala pouzdanosti iznosila 6,45 ms.</w:t>
      </w:r>
    </w:p>
    <w:p w14:paraId="2899CE0D" w14:textId="77777777" w:rsidR="001C42A7" w:rsidRPr="00B14EBB" w:rsidRDefault="001C42A7" w:rsidP="00545126">
      <w:pPr>
        <w:widowControl w:val="0"/>
        <w:autoSpaceDE w:val="0"/>
        <w:autoSpaceDN w:val="0"/>
        <w:adjustRightInd w:val="0"/>
        <w:jc w:val="both"/>
        <w:rPr>
          <w:i/>
          <w:iCs/>
          <w:sz w:val="22"/>
          <w:szCs w:val="22"/>
          <w:lang w:val="sr-Latn-ME" w:eastAsia="sr-Latn-CS"/>
        </w:rPr>
      </w:pPr>
    </w:p>
    <w:p w14:paraId="42B48374" w14:textId="454FFC96" w:rsidR="00136A0D" w:rsidRPr="00B14EBB" w:rsidRDefault="00136A0D"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Dejstvo na funkciju bubrežnih tubula</w:t>
      </w:r>
    </w:p>
    <w:p w14:paraId="2223D155" w14:textId="05D77EB2" w:rsidR="00136A0D" w:rsidRPr="00B14EBB" w:rsidRDefault="00136A0D" w:rsidP="00545126">
      <w:pPr>
        <w:pStyle w:val="BodyText"/>
        <w:widowControl w:val="0"/>
        <w:jc w:val="both"/>
        <w:rPr>
          <w:sz w:val="22"/>
          <w:szCs w:val="22"/>
          <w:lang w:val="sr-Latn-ME"/>
        </w:rPr>
      </w:pPr>
      <w:r w:rsidRPr="00B14EBB">
        <w:rPr>
          <w:sz w:val="22"/>
          <w:szCs w:val="22"/>
          <w:lang w:val="sr-Latn-ME"/>
        </w:rPr>
        <w:t>U placebom kontrolisanim ispitivanjima prim</w:t>
      </w:r>
      <w:r w:rsidR="002D1647" w:rsidRPr="00B14EBB">
        <w:rPr>
          <w:sz w:val="22"/>
          <w:szCs w:val="22"/>
          <w:lang w:val="sr-Latn-ME"/>
        </w:rPr>
        <w:t>ij</w:t>
      </w:r>
      <w:r w:rsidRPr="00B14EBB">
        <w:rPr>
          <w:sz w:val="22"/>
          <w:szCs w:val="22"/>
          <w:lang w:val="sr-Latn-ME"/>
        </w:rPr>
        <w:t>ećeno je srednje smanjenje koncentracije mokraćne kiseline u serumu od 20-30% kod pacijenata l</w:t>
      </w:r>
      <w:r w:rsidR="002D1647" w:rsidRPr="00B14EBB">
        <w:rPr>
          <w:sz w:val="22"/>
          <w:szCs w:val="22"/>
          <w:lang w:val="sr-Latn-ME"/>
        </w:rPr>
        <w:t>ij</w:t>
      </w:r>
      <w:r w:rsidRPr="00B14EBB">
        <w:rPr>
          <w:sz w:val="22"/>
          <w:szCs w:val="22"/>
          <w:lang w:val="sr-Latn-ME"/>
        </w:rPr>
        <w:t>ečenih teriflunomidom u poređenju sa onima koji su primali placebo. Srednje smanjenje koncentracije fosfora u serumu iznosilo je približno 10% u grupi koja je prim</w:t>
      </w:r>
      <w:r w:rsidR="002D1647" w:rsidRPr="00B14EBB">
        <w:rPr>
          <w:sz w:val="22"/>
          <w:szCs w:val="22"/>
          <w:lang w:val="sr-Latn-ME"/>
        </w:rPr>
        <w:t>j</w:t>
      </w:r>
      <w:r w:rsidRPr="00B14EBB">
        <w:rPr>
          <w:sz w:val="22"/>
          <w:szCs w:val="22"/>
          <w:lang w:val="sr-Latn-ME"/>
        </w:rPr>
        <w:t>enjivala teriflunomid u poređenju sa placebom. Ova dejstva se mogu povezati sa povećanim izlučivanjem u bubrežnim tubulima, a nisu povezana sa prom</w:t>
      </w:r>
      <w:r w:rsidR="002D1647" w:rsidRPr="00B14EBB">
        <w:rPr>
          <w:sz w:val="22"/>
          <w:szCs w:val="22"/>
          <w:lang w:val="sr-Latn-ME"/>
        </w:rPr>
        <w:t>j</w:t>
      </w:r>
      <w:r w:rsidRPr="00B14EBB">
        <w:rPr>
          <w:sz w:val="22"/>
          <w:szCs w:val="22"/>
          <w:lang w:val="sr-Latn-ME"/>
        </w:rPr>
        <w:t>enama glomerularnih funkcija.</w:t>
      </w:r>
    </w:p>
    <w:p w14:paraId="35E23AC1" w14:textId="77777777" w:rsidR="00545126" w:rsidRDefault="00545126" w:rsidP="00545126">
      <w:pPr>
        <w:widowControl w:val="0"/>
        <w:autoSpaceDE w:val="0"/>
        <w:autoSpaceDN w:val="0"/>
        <w:adjustRightInd w:val="0"/>
        <w:jc w:val="both"/>
        <w:rPr>
          <w:sz w:val="22"/>
          <w:szCs w:val="22"/>
          <w:u w:val="single"/>
          <w:lang w:val="sr-Latn-ME" w:eastAsia="sr-Latn-CS"/>
        </w:rPr>
      </w:pPr>
    </w:p>
    <w:p w14:paraId="53227BB3" w14:textId="0D73FDF4" w:rsidR="00136A0D" w:rsidRPr="00B14EBB" w:rsidRDefault="00136A0D"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Klinička efikasnost i bezb</w:t>
      </w:r>
      <w:r w:rsidR="002D1647" w:rsidRPr="00B14EBB">
        <w:rPr>
          <w:sz w:val="22"/>
          <w:szCs w:val="22"/>
          <w:u w:val="single"/>
          <w:lang w:val="sr-Latn-ME" w:eastAsia="sr-Latn-CS"/>
        </w:rPr>
        <w:t>j</w:t>
      </w:r>
      <w:r w:rsidRPr="00B14EBB">
        <w:rPr>
          <w:sz w:val="22"/>
          <w:szCs w:val="22"/>
          <w:u w:val="single"/>
          <w:lang w:val="sr-Latn-ME" w:eastAsia="sr-Latn-CS"/>
        </w:rPr>
        <w:t>ednost</w:t>
      </w:r>
    </w:p>
    <w:p w14:paraId="6CF0695A" w14:textId="7FD55063"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Efikasnost teriflunomida demonstrirana je kroz dve placebom kontrolisane studije, TEMSO i TOWER, u kojima se ispitivala prim</w:t>
      </w:r>
      <w:r w:rsidR="002D1647" w:rsidRPr="00B14EBB">
        <w:rPr>
          <w:sz w:val="22"/>
          <w:szCs w:val="22"/>
          <w:lang w:val="sr-Latn-ME" w:eastAsia="sr-Latn-CS"/>
        </w:rPr>
        <w:t>j</w:t>
      </w:r>
      <w:r w:rsidRPr="00B14EBB">
        <w:rPr>
          <w:sz w:val="22"/>
          <w:szCs w:val="22"/>
          <w:lang w:val="sr-Latn-ME" w:eastAsia="sr-Latn-CS"/>
        </w:rPr>
        <w:t>ena teriflunomida u dozama od 7 mg na dan i 14 mg jedanom dnevno kod pacijenata sa RMS.</w:t>
      </w:r>
    </w:p>
    <w:p w14:paraId="5E068E0A" w14:textId="1E85E822" w:rsidR="00136A0D" w:rsidRPr="00B14EBB" w:rsidRDefault="00136A0D" w:rsidP="00545126">
      <w:pPr>
        <w:widowControl w:val="0"/>
        <w:autoSpaceDE w:val="0"/>
        <w:autoSpaceDN w:val="0"/>
        <w:adjustRightInd w:val="0"/>
        <w:ind w:right="-93"/>
        <w:jc w:val="both"/>
        <w:rPr>
          <w:sz w:val="22"/>
          <w:szCs w:val="22"/>
          <w:lang w:val="sr-Latn-ME" w:eastAsia="sr-Latn-CS"/>
        </w:rPr>
      </w:pPr>
      <w:r w:rsidRPr="00B14EBB">
        <w:rPr>
          <w:sz w:val="22"/>
          <w:szCs w:val="22"/>
          <w:lang w:val="sr-Latn-ME" w:eastAsia="sr-Latn-CS"/>
        </w:rPr>
        <w:t>U ispitivanju TEMSO je ukupno 1088 pacijenata sa RMS randomizovano u grupu koja je prim</w:t>
      </w:r>
      <w:r w:rsidR="002D1647" w:rsidRPr="00B14EBB">
        <w:rPr>
          <w:sz w:val="22"/>
          <w:szCs w:val="22"/>
          <w:lang w:val="sr-Latn-ME" w:eastAsia="sr-Latn-CS"/>
        </w:rPr>
        <w:t>j</w:t>
      </w:r>
      <w:r w:rsidRPr="00B14EBB">
        <w:rPr>
          <w:sz w:val="22"/>
          <w:szCs w:val="22"/>
          <w:lang w:val="sr-Latn-ME" w:eastAsia="sr-Latn-CS"/>
        </w:rPr>
        <w:t>enjivala teriflunomid u dozi od 7 mg (n=366) ili 14 mg (n=359) ili u grupu koja je primala placebo (n=363) tokom 108 ned</w:t>
      </w:r>
      <w:r w:rsidR="002D1647" w:rsidRPr="00B14EBB">
        <w:rPr>
          <w:sz w:val="22"/>
          <w:szCs w:val="22"/>
          <w:lang w:val="sr-Latn-ME" w:eastAsia="sr-Latn-CS"/>
        </w:rPr>
        <w:t>j</w:t>
      </w:r>
      <w:r w:rsidRPr="00B14EBB">
        <w:rPr>
          <w:sz w:val="22"/>
          <w:szCs w:val="22"/>
          <w:lang w:val="sr-Latn-ME" w:eastAsia="sr-Latn-CS"/>
        </w:rPr>
        <w:t xml:space="preserve">elja. Svi pacijenti su imali definitivno potvrđenu dijagnozu multiple skleroze (prema McDonald-ovim kriterijumima (2001)), relapsni klinički tok bolesti, sa progresijom ili bez nje pa su imali najmanje 1 relaps u godini koja je prethodila ispitivanju ili najmanje 2 relapsa tokom 2 godine koje su prethodile </w:t>
      </w:r>
      <w:r w:rsidRPr="00B14EBB">
        <w:rPr>
          <w:sz w:val="22"/>
          <w:szCs w:val="22"/>
          <w:lang w:val="sr-Latn-ME" w:eastAsia="sr-Latn-CS"/>
        </w:rPr>
        <w:lastRenderedPageBreak/>
        <w:t xml:space="preserve">ispitivanju. Pacijenti su pri ulasku u studiju imali rezultat ≤ 5,5 na proširenoj skali stepena onesposobljenosti (engl. </w:t>
      </w:r>
      <w:r w:rsidRPr="00B14EBB">
        <w:rPr>
          <w:i/>
          <w:iCs/>
          <w:sz w:val="22"/>
          <w:szCs w:val="22"/>
          <w:lang w:val="sr-Latn-ME" w:eastAsia="sr-Latn-CS"/>
        </w:rPr>
        <w:t>Expanded Disability Status Scale</w:t>
      </w:r>
      <w:r w:rsidRPr="00B14EBB">
        <w:rPr>
          <w:sz w:val="22"/>
          <w:szCs w:val="22"/>
          <w:lang w:val="sr-Latn-ME" w:eastAsia="sr-Latn-CS"/>
        </w:rPr>
        <w:t xml:space="preserve">, EDSS). </w:t>
      </w:r>
    </w:p>
    <w:p w14:paraId="3C8408A6" w14:textId="15030818" w:rsidR="00136A0D" w:rsidRPr="00B14EBB" w:rsidRDefault="00136A0D" w:rsidP="00545126">
      <w:pPr>
        <w:widowControl w:val="0"/>
        <w:autoSpaceDE w:val="0"/>
        <w:autoSpaceDN w:val="0"/>
        <w:adjustRightInd w:val="0"/>
        <w:ind w:right="-93"/>
        <w:jc w:val="both"/>
        <w:rPr>
          <w:sz w:val="22"/>
          <w:szCs w:val="22"/>
          <w:lang w:val="sr-Latn-ME" w:eastAsia="sr-Latn-CS"/>
        </w:rPr>
      </w:pPr>
      <w:r w:rsidRPr="00B14EBB">
        <w:rPr>
          <w:sz w:val="22"/>
          <w:szCs w:val="22"/>
          <w:lang w:val="sr-Latn-ME" w:eastAsia="sr-Latn-CS"/>
        </w:rPr>
        <w:t>Pros</w:t>
      </w:r>
      <w:r w:rsidR="002D1647" w:rsidRPr="00B14EBB">
        <w:rPr>
          <w:sz w:val="22"/>
          <w:szCs w:val="22"/>
          <w:lang w:val="sr-Latn-ME" w:eastAsia="sr-Latn-CS"/>
        </w:rPr>
        <w:t>j</w:t>
      </w:r>
      <w:r w:rsidRPr="00B14EBB">
        <w:rPr>
          <w:sz w:val="22"/>
          <w:szCs w:val="22"/>
          <w:lang w:val="sr-Latn-ME" w:eastAsia="sr-Latn-CS"/>
        </w:rPr>
        <w:t>ečna starost ispitivane populacije bila je 37,9 godina. Većina pacijenata imala je relapsno-remitentnu multiplu sklerozu (91,5%), a jedna podgrupa pacijenata imala je sekundarnu progresivnu (4,7%) ili progresivnu relapsnu multiplu sklerozu (3,9%). Srednji broj relapsa unutar jedne godine pr</w:t>
      </w:r>
      <w:r w:rsidR="002D1647" w:rsidRPr="00B14EBB">
        <w:rPr>
          <w:sz w:val="22"/>
          <w:szCs w:val="22"/>
          <w:lang w:val="sr-Latn-ME" w:eastAsia="sr-Latn-CS"/>
        </w:rPr>
        <w:t>ij</w:t>
      </w:r>
      <w:r w:rsidRPr="00B14EBB">
        <w:rPr>
          <w:sz w:val="22"/>
          <w:szCs w:val="22"/>
          <w:lang w:val="sr-Latn-ME" w:eastAsia="sr-Latn-CS"/>
        </w:rPr>
        <w:t>e uključivanja u ispitivanje iznosio je 1,4, a 36,2% pacijenata je na početku l</w:t>
      </w:r>
      <w:r w:rsidR="002D1647" w:rsidRPr="00B14EBB">
        <w:rPr>
          <w:sz w:val="22"/>
          <w:szCs w:val="22"/>
          <w:lang w:val="sr-Latn-ME" w:eastAsia="sr-Latn-CS"/>
        </w:rPr>
        <w:t>ij</w:t>
      </w:r>
      <w:r w:rsidRPr="00B14EBB">
        <w:rPr>
          <w:sz w:val="22"/>
          <w:szCs w:val="22"/>
          <w:lang w:val="sr-Latn-ME" w:eastAsia="sr-Latn-CS"/>
        </w:rPr>
        <w:t>ečenja imalo lezije za koje se vezuje gadolini. Medijana EDSS rezultata na početku l</w:t>
      </w:r>
      <w:r w:rsidR="002D1647" w:rsidRPr="00B14EBB">
        <w:rPr>
          <w:sz w:val="22"/>
          <w:szCs w:val="22"/>
          <w:lang w:val="sr-Latn-ME" w:eastAsia="sr-Latn-CS"/>
        </w:rPr>
        <w:t>ij</w:t>
      </w:r>
      <w:r w:rsidRPr="00B14EBB">
        <w:rPr>
          <w:sz w:val="22"/>
          <w:szCs w:val="22"/>
          <w:lang w:val="sr-Latn-ME" w:eastAsia="sr-Latn-CS"/>
        </w:rPr>
        <w:t>ečenja iznosila je 2,50: 249 pacijenata (22,9%) je na početku l</w:t>
      </w:r>
      <w:r w:rsidR="002D1647" w:rsidRPr="00B14EBB">
        <w:rPr>
          <w:sz w:val="22"/>
          <w:szCs w:val="22"/>
          <w:lang w:val="sr-Latn-ME" w:eastAsia="sr-Latn-CS"/>
        </w:rPr>
        <w:t>ij</w:t>
      </w:r>
      <w:r w:rsidRPr="00B14EBB">
        <w:rPr>
          <w:sz w:val="22"/>
          <w:szCs w:val="22"/>
          <w:lang w:val="sr-Latn-ME" w:eastAsia="sr-Latn-CS"/>
        </w:rPr>
        <w:t>ečenja imalo EDSS rezultat &gt; 3,5. Srednje trajanje bolesti od pojave prvih simptoma iznosilo je 8,7 godina. Većina pacijenata (73%) nije primala l</w:t>
      </w:r>
      <w:r w:rsidR="002D1647" w:rsidRPr="00B14EBB">
        <w:rPr>
          <w:sz w:val="22"/>
          <w:szCs w:val="22"/>
          <w:lang w:val="sr-Latn-ME" w:eastAsia="sr-Latn-CS"/>
        </w:rPr>
        <w:t>j</w:t>
      </w:r>
      <w:r w:rsidRPr="00B14EBB">
        <w:rPr>
          <w:sz w:val="22"/>
          <w:szCs w:val="22"/>
          <w:lang w:val="sr-Latn-ME" w:eastAsia="sr-Latn-CS"/>
        </w:rPr>
        <w:t>ekove koji modifikuju tok bolesti tokom 2 godine pr</w:t>
      </w:r>
      <w:r w:rsidR="002D1647" w:rsidRPr="00B14EBB">
        <w:rPr>
          <w:sz w:val="22"/>
          <w:szCs w:val="22"/>
          <w:lang w:val="sr-Latn-ME" w:eastAsia="sr-Latn-CS"/>
        </w:rPr>
        <w:t>ij</w:t>
      </w:r>
      <w:r w:rsidRPr="00B14EBB">
        <w:rPr>
          <w:sz w:val="22"/>
          <w:szCs w:val="22"/>
          <w:lang w:val="sr-Latn-ME" w:eastAsia="sr-Latn-CS"/>
        </w:rPr>
        <w:t>e uključivanja u ispitivanje. Rezultati ispitivanja prikazani su u Tabeli 1.</w:t>
      </w:r>
    </w:p>
    <w:p w14:paraId="304C9B2D" w14:textId="1077297E"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Rezultati dugoročnog praćenja iz ekstenzije dugoročne studije bezb</w:t>
      </w:r>
      <w:r w:rsidR="002D1647" w:rsidRPr="00B14EBB">
        <w:rPr>
          <w:sz w:val="22"/>
          <w:szCs w:val="22"/>
          <w:lang w:val="sr-Latn-ME" w:eastAsia="sr-Latn-CS"/>
        </w:rPr>
        <w:t>j</w:t>
      </w:r>
      <w:r w:rsidRPr="00B14EBB">
        <w:rPr>
          <w:sz w:val="22"/>
          <w:szCs w:val="22"/>
          <w:lang w:val="sr-Latn-ME" w:eastAsia="sr-Latn-CS"/>
        </w:rPr>
        <w:t>ednosti TEMSO (ukupna medijana dužine trajanja terapije je oko 5 godina, maksimalno trajanje terapije je oko 8,5 godina) nisu pokazali nikakve nove ili neočekivane informacije o bezb</w:t>
      </w:r>
      <w:r w:rsidR="002D1647" w:rsidRPr="00B14EBB">
        <w:rPr>
          <w:sz w:val="22"/>
          <w:szCs w:val="22"/>
          <w:lang w:val="sr-Latn-ME" w:eastAsia="sr-Latn-CS"/>
        </w:rPr>
        <w:t>j</w:t>
      </w:r>
      <w:r w:rsidRPr="00B14EBB">
        <w:rPr>
          <w:sz w:val="22"/>
          <w:szCs w:val="22"/>
          <w:lang w:val="sr-Latn-ME" w:eastAsia="sr-Latn-CS"/>
        </w:rPr>
        <w:t>ednosti.</w:t>
      </w:r>
    </w:p>
    <w:p w14:paraId="05E9E325" w14:textId="2B23E7D0"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U ispitivanju TOWER ukupno je 1169 pacijenata sa RMS randomizovano u grupu koja je primala teriflunomid u dozi od 7 mg (n=408) ili 14 mg (n=372) ili u grupu koja je primala placebo (n=389) u sklopu l</w:t>
      </w:r>
      <w:r w:rsidR="002D1647" w:rsidRPr="00B14EBB">
        <w:rPr>
          <w:sz w:val="22"/>
          <w:szCs w:val="22"/>
          <w:lang w:val="sr-Latn-ME" w:eastAsia="sr-Latn-CS"/>
        </w:rPr>
        <w:t>ij</w:t>
      </w:r>
      <w:r w:rsidRPr="00B14EBB">
        <w:rPr>
          <w:sz w:val="22"/>
          <w:szCs w:val="22"/>
          <w:lang w:val="sr-Latn-ME" w:eastAsia="sr-Latn-CS"/>
        </w:rPr>
        <w:t>ečenja čije je trajanje bilo varijabilno i koje je završavalo 48 ned</w:t>
      </w:r>
      <w:r w:rsidR="002D1647" w:rsidRPr="00B14EBB">
        <w:rPr>
          <w:sz w:val="22"/>
          <w:szCs w:val="22"/>
          <w:lang w:val="sr-Latn-ME" w:eastAsia="sr-Latn-CS"/>
        </w:rPr>
        <w:t>j</w:t>
      </w:r>
      <w:r w:rsidRPr="00B14EBB">
        <w:rPr>
          <w:sz w:val="22"/>
          <w:szCs w:val="22"/>
          <w:lang w:val="sr-Latn-ME" w:eastAsia="sr-Latn-CS"/>
        </w:rPr>
        <w:t>elja nakon randomizacije posl</w:t>
      </w:r>
      <w:r w:rsidR="002D1647" w:rsidRPr="00B14EBB">
        <w:rPr>
          <w:sz w:val="22"/>
          <w:szCs w:val="22"/>
          <w:lang w:val="sr-Latn-ME" w:eastAsia="sr-Latn-CS"/>
        </w:rPr>
        <w:t>j</w:t>
      </w:r>
      <w:r w:rsidRPr="00B14EBB">
        <w:rPr>
          <w:sz w:val="22"/>
          <w:szCs w:val="22"/>
          <w:lang w:val="sr-Latn-ME" w:eastAsia="sr-Latn-CS"/>
        </w:rPr>
        <w:t>ednjeg pacijenta. Svi pacijenti su imali definitivno potvrđenu dijagnozu multiple skleroze (prema McDonald-ovim kriterijumima (2005)), relapsni klinički tok bolesti, sa progresijom ili bez nje te su imali najmanje 1 relaps u godini koja je prethodila ispitivanju ili najmanje 2 relapsa tokom 2 godine koje su prethodile ispitivanju. Pacijenti su pri ulasku u ispitivanje imali rezultat ≤ 5,5 na proširenoj skali stepena onesposobljenosti (EDSS).</w:t>
      </w:r>
    </w:p>
    <w:p w14:paraId="78BBB517" w14:textId="04BBC1EA" w:rsidR="00136A0D" w:rsidRDefault="00136A0D" w:rsidP="00545126">
      <w:pPr>
        <w:pStyle w:val="BodyText"/>
        <w:widowControl w:val="0"/>
        <w:jc w:val="both"/>
        <w:rPr>
          <w:sz w:val="22"/>
          <w:szCs w:val="22"/>
          <w:lang w:val="sr-Latn-ME"/>
        </w:rPr>
      </w:pPr>
      <w:r w:rsidRPr="00B14EBB">
        <w:rPr>
          <w:sz w:val="22"/>
          <w:szCs w:val="22"/>
          <w:lang w:val="sr-Latn-ME"/>
        </w:rPr>
        <w:t>Pros</w:t>
      </w:r>
      <w:r w:rsidR="002D1647" w:rsidRPr="00B14EBB">
        <w:rPr>
          <w:sz w:val="22"/>
          <w:szCs w:val="22"/>
          <w:lang w:val="sr-Latn-ME"/>
        </w:rPr>
        <w:t>j</w:t>
      </w:r>
      <w:r w:rsidRPr="00B14EBB">
        <w:rPr>
          <w:sz w:val="22"/>
          <w:szCs w:val="22"/>
          <w:lang w:val="sr-Latn-ME"/>
        </w:rPr>
        <w:t>ečna starost pacijenata ispitivane populacije bila je 37,9 godina. Većina pacijenata imala je relapsno-remitentnu multiplu sklerozu (97,5%), a jedna podgrupa pacijenata imala je sekundarnu progresivnu (0,8%) ili progresivnu relapsnu multiplu sklerozu (1,7%). Srednji broj relapsa unutar jedne godine pre uključivanja u ispitivanje iznosio je 1,4. Lezije za koje se vezuje gadolini na početku l</w:t>
      </w:r>
      <w:r w:rsidR="002D1647" w:rsidRPr="00B14EBB">
        <w:rPr>
          <w:sz w:val="22"/>
          <w:szCs w:val="22"/>
          <w:lang w:val="sr-Latn-ME"/>
        </w:rPr>
        <w:t>ij</w:t>
      </w:r>
      <w:r w:rsidRPr="00B14EBB">
        <w:rPr>
          <w:sz w:val="22"/>
          <w:szCs w:val="22"/>
          <w:lang w:val="sr-Latn-ME"/>
        </w:rPr>
        <w:t>ečenja: nema podataka. Medijana EDSS rezultata na početku l</w:t>
      </w:r>
      <w:r w:rsidR="002D1647" w:rsidRPr="00B14EBB">
        <w:rPr>
          <w:sz w:val="22"/>
          <w:szCs w:val="22"/>
          <w:lang w:val="sr-Latn-ME"/>
        </w:rPr>
        <w:t>ij</w:t>
      </w:r>
      <w:r w:rsidRPr="00B14EBB">
        <w:rPr>
          <w:sz w:val="22"/>
          <w:szCs w:val="22"/>
          <w:lang w:val="sr-Latn-ME"/>
        </w:rPr>
        <w:t>ečenja iznosila je 2,50: 298 pacijenata (25,5%) je na početku l</w:t>
      </w:r>
      <w:r w:rsidR="002D1647" w:rsidRPr="00B14EBB">
        <w:rPr>
          <w:sz w:val="22"/>
          <w:szCs w:val="22"/>
          <w:lang w:val="sr-Latn-ME"/>
        </w:rPr>
        <w:t>ij</w:t>
      </w:r>
      <w:r w:rsidRPr="00B14EBB">
        <w:rPr>
          <w:sz w:val="22"/>
          <w:szCs w:val="22"/>
          <w:lang w:val="sr-Latn-ME"/>
        </w:rPr>
        <w:t>ečenja imalo EDSS rezultat &gt; 3,5. Srednje trajanje bolesti od pojave prvih simptoma iznosilo je 8,0 godina. Većina pacijenata (67,2%) nije primala l</w:t>
      </w:r>
      <w:r w:rsidR="002D1647" w:rsidRPr="00B14EBB">
        <w:rPr>
          <w:sz w:val="22"/>
          <w:szCs w:val="22"/>
          <w:lang w:val="sr-Latn-ME"/>
        </w:rPr>
        <w:t>j</w:t>
      </w:r>
      <w:r w:rsidRPr="00B14EBB">
        <w:rPr>
          <w:sz w:val="22"/>
          <w:szCs w:val="22"/>
          <w:lang w:val="sr-Latn-ME"/>
        </w:rPr>
        <w:t>ekove koji modifikuju tok bolesti tokom 2 godine pr</w:t>
      </w:r>
      <w:r w:rsidR="002D1647" w:rsidRPr="00B14EBB">
        <w:rPr>
          <w:sz w:val="22"/>
          <w:szCs w:val="22"/>
          <w:lang w:val="sr-Latn-ME"/>
        </w:rPr>
        <w:t>ij</w:t>
      </w:r>
      <w:r w:rsidRPr="00B14EBB">
        <w:rPr>
          <w:sz w:val="22"/>
          <w:szCs w:val="22"/>
          <w:lang w:val="sr-Latn-ME"/>
        </w:rPr>
        <w:t>e uključivanja u ispitivanje. Rezultati ispitivanja prikazani su u Tabeli 1.</w:t>
      </w:r>
    </w:p>
    <w:p w14:paraId="320AEF0C" w14:textId="77777777" w:rsidR="00545126" w:rsidRPr="00B14EBB" w:rsidRDefault="00545126" w:rsidP="00545126">
      <w:pPr>
        <w:pStyle w:val="BodyText"/>
        <w:widowControl w:val="0"/>
        <w:jc w:val="both"/>
        <w:rPr>
          <w:sz w:val="22"/>
          <w:szCs w:val="22"/>
          <w:lang w:val="sr-Latn-ME"/>
        </w:rPr>
      </w:pPr>
    </w:p>
    <w:p w14:paraId="541F2B77" w14:textId="77777777" w:rsidR="00136A0D" w:rsidRPr="00B14EBB" w:rsidRDefault="00136A0D" w:rsidP="00545126">
      <w:pPr>
        <w:pStyle w:val="BodyText"/>
        <w:widowControl w:val="0"/>
        <w:jc w:val="both"/>
        <w:rPr>
          <w:lang w:val="sr-Latn-ME"/>
        </w:rPr>
      </w:pPr>
      <w:r w:rsidRPr="00B14EBB">
        <w:rPr>
          <w:rFonts w:eastAsia="TimesNewRomanPS-BoldMT"/>
          <w:b/>
          <w:bCs/>
          <w:lang w:val="sr-Latn-ME"/>
        </w:rPr>
        <w:t>Tabela 1- Glavni rezultati (za odobrenu dozu, ITT populacija)</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665"/>
        <w:gridCol w:w="1666"/>
        <w:gridCol w:w="1666"/>
        <w:gridCol w:w="1666"/>
      </w:tblGrid>
      <w:tr w:rsidR="00136A0D" w:rsidRPr="00B14EBB" w14:paraId="345D63CC" w14:textId="77777777" w:rsidTr="00B14EBB">
        <w:trPr>
          <w:tblHeader/>
          <w:jc w:val="center"/>
        </w:trPr>
        <w:tc>
          <w:tcPr>
            <w:tcW w:w="2508" w:type="dxa"/>
            <w:vAlign w:val="center"/>
          </w:tcPr>
          <w:p w14:paraId="4AD354AA"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3331" w:type="dxa"/>
            <w:gridSpan w:val="2"/>
            <w:vAlign w:val="center"/>
          </w:tcPr>
          <w:p w14:paraId="2863CED5"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Ispitivanje TEMSO</w:t>
            </w:r>
          </w:p>
        </w:tc>
        <w:tc>
          <w:tcPr>
            <w:tcW w:w="3332" w:type="dxa"/>
            <w:gridSpan w:val="2"/>
            <w:vAlign w:val="center"/>
          </w:tcPr>
          <w:p w14:paraId="18028963"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Ispitivanje TOWER</w:t>
            </w:r>
          </w:p>
        </w:tc>
      </w:tr>
      <w:tr w:rsidR="00136A0D" w:rsidRPr="00B14EBB" w14:paraId="29B03594" w14:textId="77777777" w:rsidTr="00B14EBB">
        <w:trPr>
          <w:tblHeader/>
          <w:jc w:val="center"/>
        </w:trPr>
        <w:tc>
          <w:tcPr>
            <w:tcW w:w="2508" w:type="dxa"/>
            <w:vAlign w:val="center"/>
          </w:tcPr>
          <w:p w14:paraId="7DCA51D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1665" w:type="dxa"/>
            <w:vAlign w:val="center"/>
          </w:tcPr>
          <w:p w14:paraId="55B3736F"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 xml:space="preserve">Teriflunomid </w:t>
            </w:r>
          </w:p>
          <w:p w14:paraId="606055BE"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14 mg</w:t>
            </w:r>
          </w:p>
        </w:tc>
        <w:tc>
          <w:tcPr>
            <w:tcW w:w="1666" w:type="dxa"/>
            <w:vAlign w:val="center"/>
          </w:tcPr>
          <w:p w14:paraId="6AC653DB"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Placebo</w:t>
            </w:r>
          </w:p>
        </w:tc>
        <w:tc>
          <w:tcPr>
            <w:tcW w:w="1666" w:type="dxa"/>
            <w:vAlign w:val="center"/>
          </w:tcPr>
          <w:p w14:paraId="558BDFBC"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 xml:space="preserve">Teriflunomid </w:t>
            </w:r>
          </w:p>
          <w:p w14:paraId="72130DC7"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14 mg</w:t>
            </w:r>
          </w:p>
        </w:tc>
        <w:tc>
          <w:tcPr>
            <w:tcW w:w="1666" w:type="dxa"/>
            <w:vAlign w:val="center"/>
          </w:tcPr>
          <w:p w14:paraId="60048D5E"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Placebo</w:t>
            </w:r>
          </w:p>
        </w:tc>
      </w:tr>
      <w:tr w:rsidR="00136A0D" w:rsidRPr="00B14EBB" w14:paraId="0C63B2E8" w14:textId="77777777" w:rsidTr="00B14EBB">
        <w:trPr>
          <w:tblHeader/>
          <w:jc w:val="center"/>
        </w:trPr>
        <w:tc>
          <w:tcPr>
            <w:tcW w:w="2508" w:type="dxa"/>
            <w:vAlign w:val="center"/>
          </w:tcPr>
          <w:p w14:paraId="68042DDA"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N</w:t>
            </w:r>
          </w:p>
        </w:tc>
        <w:tc>
          <w:tcPr>
            <w:tcW w:w="1665" w:type="dxa"/>
            <w:vAlign w:val="center"/>
          </w:tcPr>
          <w:p w14:paraId="03600227"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358</w:t>
            </w:r>
          </w:p>
        </w:tc>
        <w:tc>
          <w:tcPr>
            <w:tcW w:w="1666" w:type="dxa"/>
            <w:vAlign w:val="center"/>
          </w:tcPr>
          <w:p w14:paraId="153F529C"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363</w:t>
            </w:r>
          </w:p>
        </w:tc>
        <w:tc>
          <w:tcPr>
            <w:tcW w:w="1666" w:type="dxa"/>
            <w:vAlign w:val="center"/>
          </w:tcPr>
          <w:p w14:paraId="3950E63E"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370</w:t>
            </w:r>
          </w:p>
        </w:tc>
        <w:tc>
          <w:tcPr>
            <w:tcW w:w="1666" w:type="dxa"/>
            <w:vAlign w:val="center"/>
          </w:tcPr>
          <w:p w14:paraId="6F9D9B82"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388</w:t>
            </w:r>
          </w:p>
        </w:tc>
      </w:tr>
      <w:tr w:rsidR="00136A0D" w:rsidRPr="00B14EBB" w14:paraId="1A297F23" w14:textId="77777777" w:rsidTr="00B14EBB">
        <w:trPr>
          <w:jc w:val="center"/>
        </w:trPr>
        <w:tc>
          <w:tcPr>
            <w:tcW w:w="2508" w:type="dxa"/>
            <w:vAlign w:val="center"/>
          </w:tcPr>
          <w:p w14:paraId="67D31850"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Rezultati efikasnosti</w:t>
            </w:r>
          </w:p>
        </w:tc>
        <w:tc>
          <w:tcPr>
            <w:tcW w:w="1665" w:type="dxa"/>
            <w:vAlign w:val="center"/>
          </w:tcPr>
          <w:p w14:paraId="2858B172"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1666" w:type="dxa"/>
            <w:vAlign w:val="center"/>
          </w:tcPr>
          <w:p w14:paraId="6D9C29F8"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1666" w:type="dxa"/>
            <w:vAlign w:val="center"/>
          </w:tcPr>
          <w:p w14:paraId="1B02FAD8"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1666" w:type="dxa"/>
            <w:vAlign w:val="center"/>
          </w:tcPr>
          <w:p w14:paraId="5C5DEBB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2059CE43" w14:textId="77777777" w:rsidTr="00B14EBB">
        <w:trPr>
          <w:jc w:val="center"/>
        </w:trPr>
        <w:tc>
          <w:tcPr>
            <w:tcW w:w="2508" w:type="dxa"/>
            <w:vAlign w:val="center"/>
          </w:tcPr>
          <w:p w14:paraId="44FF3483"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Godišnja stopa relapsa</w:t>
            </w:r>
          </w:p>
        </w:tc>
        <w:tc>
          <w:tcPr>
            <w:tcW w:w="1665" w:type="dxa"/>
            <w:vAlign w:val="center"/>
          </w:tcPr>
          <w:p w14:paraId="0D8E546B"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0,37</w:t>
            </w:r>
          </w:p>
        </w:tc>
        <w:tc>
          <w:tcPr>
            <w:tcW w:w="1666" w:type="dxa"/>
            <w:vAlign w:val="center"/>
          </w:tcPr>
          <w:p w14:paraId="284943A5"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0,54</w:t>
            </w:r>
          </w:p>
        </w:tc>
        <w:tc>
          <w:tcPr>
            <w:tcW w:w="1666" w:type="dxa"/>
            <w:vAlign w:val="center"/>
          </w:tcPr>
          <w:p w14:paraId="1DB4E251"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0,32</w:t>
            </w:r>
          </w:p>
        </w:tc>
        <w:tc>
          <w:tcPr>
            <w:tcW w:w="1666" w:type="dxa"/>
            <w:vAlign w:val="center"/>
          </w:tcPr>
          <w:p w14:paraId="3F5AFAF1"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0,50</w:t>
            </w:r>
          </w:p>
        </w:tc>
      </w:tr>
      <w:tr w:rsidR="00136A0D" w:rsidRPr="00B14EBB" w14:paraId="16FFA453" w14:textId="77777777" w:rsidTr="00B14EBB">
        <w:trPr>
          <w:jc w:val="center"/>
        </w:trPr>
        <w:tc>
          <w:tcPr>
            <w:tcW w:w="2508" w:type="dxa"/>
            <w:vAlign w:val="center"/>
          </w:tcPr>
          <w:p w14:paraId="304AAA98" w14:textId="77777777" w:rsidR="00136A0D" w:rsidRPr="00B14EBB" w:rsidRDefault="00136A0D" w:rsidP="00545126">
            <w:pPr>
              <w:widowControl w:val="0"/>
              <w:overflowPunct w:val="0"/>
              <w:autoSpaceDE w:val="0"/>
              <w:autoSpaceDN w:val="0"/>
              <w:adjustRightInd w:val="0"/>
              <w:jc w:val="both"/>
              <w:textAlignment w:val="baseline"/>
              <w:rPr>
                <w:i/>
                <w:sz w:val="20"/>
                <w:szCs w:val="20"/>
                <w:lang w:val="sr-Latn-ME"/>
              </w:rPr>
            </w:pPr>
            <w:r w:rsidRPr="00B14EBB">
              <w:rPr>
                <w:i/>
                <w:sz w:val="20"/>
                <w:szCs w:val="20"/>
                <w:lang w:val="sr-Latn-ME"/>
              </w:rPr>
              <w:t>Razlika u riziku (CI</w:t>
            </w:r>
            <w:r w:rsidRPr="00B14EBB">
              <w:rPr>
                <w:i/>
                <w:sz w:val="20"/>
                <w:szCs w:val="20"/>
                <w:vertAlign w:val="subscript"/>
                <w:lang w:val="sr-Latn-ME"/>
              </w:rPr>
              <w:t>95%</w:t>
            </w:r>
            <w:r w:rsidRPr="00B14EBB">
              <w:rPr>
                <w:i/>
                <w:sz w:val="20"/>
                <w:szCs w:val="20"/>
                <w:lang w:val="sr-Latn-ME"/>
              </w:rPr>
              <w:t>)</w:t>
            </w:r>
          </w:p>
        </w:tc>
        <w:tc>
          <w:tcPr>
            <w:tcW w:w="3331" w:type="dxa"/>
            <w:gridSpan w:val="2"/>
            <w:vAlign w:val="center"/>
          </w:tcPr>
          <w:p w14:paraId="3B7F6348"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-0,17 (-0,26, -0,08)</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c>
          <w:tcPr>
            <w:tcW w:w="3332" w:type="dxa"/>
            <w:gridSpan w:val="2"/>
            <w:vAlign w:val="center"/>
          </w:tcPr>
          <w:p w14:paraId="2110A7B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-0,18 (-0,27, -0,09)</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r>
      <w:tr w:rsidR="00136A0D" w:rsidRPr="00B14EBB" w14:paraId="5F0A6A40" w14:textId="77777777" w:rsidTr="00B14EBB">
        <w:trPr>
          <w:jc w:val="center"/>
        </w:trPr>
        <w:tc>
          <w:tcPr>
            <w:tcW w:w="2508" w:type="dxa"/>
            <w:vAlign w:val="center"/>
          </w:tcPr>
          <w:p w14:paraId="684FD380" w14:textId="7E4AFBFE"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 xml:space="preserve">Bez relapse </w:t>
            </w:r>
            <w:r w:rsidRPr="00B14EBB">
              <w:rPr>
                <w:sz w:val="20"/>
                <w:szCs w:val="20"/>
                <w:vertAlign w:val="subscript"/>
                <w:lang w:val="sr-Latn-ME"/>
              </w:rPr>
              <w:t>108. ned</w:t>
            </w:r>
            <w:r w:rsidR="00B31671" w:rsidRPr="00B14EBB">
              <w:rPr>
                <w:sz w:val="20"/>
                <w:szCs w:val="20"/>
                <w:vertAlign w:val="subscript"/>
                <w:lang w:val="sr-Latn-ME"/>
              </w:rPr>
              <w:t>j</w:t>
            </w:r>
            <w:r w:rsidRPr="00B14EBB">
              <w:rPr>
                <w:sz w:val="20"/>
                <w:szCs w:val="20"/>
                <w:vertAlign w:val="subscript"/>
                <w:lang w:val="sr-Latn-ME"/>
              </w:rPr>
              <w:t>elja</w:t>
            </w:r>
          </w:p>
        </w:tc>
        <w:tc>
          <w:tcPr>
            <w:tcW w:w="1665" w:type="dxa"/>
            <w:vAlign w:val="center"/>
          </w:tcPr>
          <w:p w14:paraId="5971BD0D"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56,5%</w:t>
            </w:r>
          </w:p>
        </w:tc>
        <w:tc>
          <w:tcPr>
            <w:tcW w:w="1666" w:type="dxa"/>
            <w:vAlign w:val="center"/>
          </w:tcPr>
          <w:p w14:paraId="7B6E769B"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45,6%</w:t>
            </w:r>
          </w:p>
        </w:tc>
        <w:tc>
          <w:tcPr>
            <w:tcW w:w="1666" w:type="dxa"/>
            <w:vAlign w:val="center"/>
          </w:tcPr>
          <w:p w14:paraId="57C9252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57,1%</w:t>
            </w:r>
          </w:p>
        </w:tc>
        <w:tc>
          <w:tcPr>
            <w:tcW w:w="1666" w:type="dxa"/>
            <w:vAlign w:val="center"/>
          </w:tcPr>
          <w:p w14:paraId="5AA3F568"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46,8%</w:t>
            </w:r>
          </w:p>
        </w:tc>
      </w:tr>
      <w:tr w:rsidR="00136A0D" w:rsidRPr="00B14EBB" w14:paraId="0322B725" w14:textId="77777777" w:rsidTr="00B14EBB">
        <w:trPr>
          <w:jc w:val="center"/>
        </w:trPr>
        <w:tc>
          <w:tcPr>
            <w:tcW w:w="2508" w:type="dxa"/>
            <w:vAlign w:val="center"/>
          </w:tcPr>
          <w:p w14:paraId="2D9B006D"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i/>
                <w:iCs/>
                <w:sz w:val="20"/>
                <w:szCs w:val="20"/>
                <w:lang w:val="sr-Latn-ME"/>
              </w:rPr>
              <w:t>Hazard ratio</w:t>
            </w:r>
            <w:r w:rsidRPr="00B14EBB">
              <w:rPr>
                <w:sz w:val="20"/>
                <w:szCs w:val="20"/>
                <w:lang w:val="sr-Latn-ME"/>
              </w:rPr>
              <w:t xml:space="preserve"> (CI</w:t>
            </w:r>
            <w:r w:rsidRPr="00B14EBB">
              <w:rPr>
                <w:sz w:val="20"/>
                <w:szCs w:val="20"/>
                <w:vertAlign w:val="subscript"/>
                <w:lang w:val="sr-Latn-ME"/>
              </w:rPr>
              <w:t>95%</w:t>
            </w:r>
            <w:r w:rsidRPr="00B14EBB">
              <w:rPr>
                <w:sz w:val="20"/>
                <w:szCs w:val="20"/>
                <w:lang w:val="sr-Latn-ME"/>
              </w:rPr>
              <w:t>)</w:t>
            </w:r>
          </w:p>
        </w:tc>
        <w:tc>
          <w:tcPr>
            <w:tcW w:w="3331" w:type="dxa"/>
            <w:gridSpan w:val="2"/>
            <w:vAlign w:val="center"/>
          </w:tcPr>
          <w:p w14:paraId="2E6C3402"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0,72, (0,58, 0,89)</w:t>
            </w:r>
            <w:r w:rsidRPr="00B14EBB">
              <w:rPr>
                <w:sz w:val="20"/>
                <w:szCs w:val="20"/>
                <w:vertAlign w:val="superscript"/>
                <w:lang w:val="sr-Latn-ME"/>
              </w:rPr>
              <w:sym w:font="Symbol" w:char="F02A"/>
            </w:r>
            <w:r w:rsidRPr="00B14EBB">
              <w:rPr>
                <w:sz w:val="20"/>
                <w:szCs w:val="20"/>
                <w:vertAlign w:val="superscript"/>
                <w:lang w:val="sr-Latn-ME"/>
              </w:rPr>
              <w:sym w:font="Symbol" w:char="F02A"/>
            </w:r>
          </w:p>
        </w:tc>
        <w:tc>
          <w:tcPr>
            <w:tcW w:w="3332" w:type="dxa"/>
            <w:gridSpan w:val="2"/>
            <w:vAlign w:val="center"/>
          </w:tcPr>
          <w:p w14:paraId="08140579"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0,63, (0,50, 0,79)</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r>
      <w:tr w:rsidR="00136A0D" w:rsidRPr="00B14EBB" w14:paraId="38B209C8" w14:textId="77777777" w:rsidTr="00B14EBB">
        <w:trPr>
          <w:jc w:val="center"/>
        </w:trPr>
        <w:tc>
          <w:tcPr>
            <w:tcW w:w="2508" w:type="dxa"/>
            <w:vAlign w:val="center"/>
          </w:tcPr>
          <w:p w14:paraId="65D8C528" w14:textId="1EBF895D"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Trom</w:t>
            </w:r>
            <w:r w:rsidR="002D1647" w:rsidRPr="00B14EBB">
              <w:rPr>
                <w:sz w:val="20"/>
                <w:szCs w:val="20"/>
                <w:lang w:val="sr-Latn-ME"/>
              </w:rPr>
              <w:t>j</w:t>
            </w:r>
            <w:r w:rsidRPr="00B14EBB">
              <w:rPr>
                <w:sz w:val="20"/>
                <w:szCs w:val="20"/>
                <w:lang w:val="sr-Latn-ME"/>
              </w:rPr>
              <w:t>esečna trajna progresija onesposobljenosti</w:t>
            </w:r>
            <w:r w:rsidRPr="00B14EBB">
              <w:rPr>
                <w:sz w:val="20"/>
                <w:szCs w:val="20"/>
                <w:vertAlign w:val="subscript"/>
                <w:lang w:val="sr-Latn-ME"/>
              </w:rPr>
              <w:t>108. ned</w:t>
            </w:r>
            <w:r w:rsidR="00B31671" w:rsidRPr="00B14EBB">
              <w:rPr>
                <w:sz w:val="20"/>
                <w:szCs w:val="20"/>
                <w:vertAlign w:val="subscript"/>
                <w:lang w:val="sr-Latn-ME"/>
              </w:rPr>
              <w:t>j</w:t>
            </w:r>
            <w:r w:rsidRPr="00B14EBB">
              <w:rPr>
                <w:sz w:val="20"/>
                <w:szCs w:val="20"/>
                <w:vertAlign w:val="subscript"/>
                <w:lang w:val="sr-Latn-ME"/>
              </w:rPr>
              <w:t>elja</w:t>
            </w:r>
          </w:p>
        </w:tc>
        <w:tc>
          <w:tcPr>
            <w:tcW w:w="1665" w:type="dxa"/>
            <w:vAlign w:val="center"/>
          </w:tcPr>
          <w:p w14:paraId="48106AA5"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20,2%</w:t>
            </w:r>
          </w:p>
        </w:tc>
        <w:tc>
          <w:tcPr>
            <w:tcW w:w="1666" w:type="dxa"/>
            <w:vAlign w:val="center"/>
          </w:tcPr>
          <w:p w14:paraId="38D827FD"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27,3%</w:t>
            </w:r>
          </w:p>
        </w:tc>
        <w:tc>
          <w:tcPr>
            <w:tcW w:w="1666" w:type="dxa"/>
            <w:vAlign w:val="center"/>
          </w:tcPr>
          <w:p w14:paraId="5782EBE7"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15,8%</w:t>
            </w:r>
          </w:p>
        </w:tc>
        <w:tc>
          <w:tcPr>
            <w:tcW w:w="1666" w:type="dxa"/>
            <w:vAlign w:val="center"/>
          </w:tcPr>
          <w:p w14:paraId="54A0D256"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19,7%</w:t>
            </w:r>
          </w:p>
        </w:tc>
      </w:tr>
      <w:tr w:rsidR="00136A0D" w:rsidRPr="00B14EBB" w14:paraId="5E43D320" w14:textId="77777777" w:rsidTr="00B14EBB">
        <w:trPr>
          <w:jc w:val="center"/>
        </w:trPr>
        <w:tc>
          <w:tcPr>
            <w:tcW w:w="2508" w:type="dxa"/>
            <w:vAlign w:val="center"/>
          </w:tcPr>
          <w:p w14:paraId="212DFDA6"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i/>
                <w:iCs/>
                <w:sz w:val="20"/>
                <w:szCs w:val="20"/>
                <w:lang w:val="sr-Latn-ME"/>
              </w:rPr>
              <w:t>Hazard ratio</w:t>
            </w:r>
            <w:r w:rsidRPr="00B14EBB">
              <w:rPr>
                <w:sz w:val="20"/>
                <w:szCs w:val="20"/>
                <w:lang w:val="sr-Latn-ME"/>
              </w:rPr>
              <w:t xml:space="preserve"> (</w:t>
            </w:r>
            <w:r w:rsidRPr="00B14EBB">
              <w:rPr>
                <w:i/>
                <w:sz w:val="20"/>
                <w:szCs w:val="20"/>
                <w:lang w:val="sr-Latn-ME"/>
              </w:rPr>
              <w:t>CI</w:t>
            </w:r>
            <w:r w:rsidRPr="00B14EBB">
              <w:rPr>
                <w:i/>
                <w:sz w:val="20"/>
                <w:szCs w:val="20"/>
                <w:vertAlign w:val="subscript"/>
                <w:lang w:val="sr-Latn-ME"/>
              </w:rPr>
              <w:t>95%</w:t>
            </w:r>
            <w:r w:rsidRPr="00B14EBB">
              <w:rPr>
                <w:i/>
                <w:sz w:val="20"/>
                <w:szCs w:val="20"/>
                <w:lang w:val="sr-Latn-ME"/>
              </w:rPr>
              <w:t>)</w:t>
            </w:r>
          </w:p>
        </w:tc>
        <w:tc>
          <w:tcPr>
            <w:tcW w:w="3331" w:type="dxa"/>
            <w:gridSpan w:val="2"/>
            <w:vAlign w:val="center"/>
          </w:tcPr>
          <w:p w14:paraId="7C68816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0,70 (0,51, 0,97)</w:t>
            </w:r>
            <w:r w:rsidRPr="00B14EBB">
              <w:rPr>
                <w:sz w:val="20"/>
                <w:szCs w:val="20"/>
                <w:vertAlign w:val="superscript"/>
                <w:lang w:val="sr-Latn-ME"/>
              </w:rPr>
              <w:sym w:font="Symbol" w:char="F02A"/>
            </w:r>
          </w:p>
        </w:tc>
        <w:tc>
          <w:tcPr>
            <w:tcW w:w="3332" w:type="dxa"/>
            <w:gridSpan w:val="2"/>
            <w:vAlign w:val="center"/>
          </w:tcPr>
          <w:p w14:paraId="503A0E4F"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0,68 (0,47, 1,00)</w:t>
            </w:r>
            <w:r w:rsidRPr="00B14EBB">
              <w:rPr>
                <w:sz w:val="20"/>
                <w:szCs w:val="20"/>
                <w:vertAlign w:val="superscript"/>
                <w:lang w:val="sr-Latn-ME"/>
              </w:rPr>
              <w:sym w:font="Symbol" w:char="F02A"/>
            </w:r>
          </w:p>
        </w:tc>
      </w:tr>
      <w:tr w:rsidR="00136A0D" w:rsidRPr="00B14EBB" w14:paraId="585DF5DF" w14:textId="77777777" w:rsidTr="00B14EBB">
        <w:trPr>
          <w:jc w:val="center"/>
        </w:trPr>
        <w:tc>
          <w:tcPr>
            <w:tcW w:w="2508" w:type="dxa"/>
            <w:vAlign w:val="center"/>
          </w:tcPr>
          <w:p w14:paraId="6B075813" w14:textId="10F37D25"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Šestom</w:t>
            </w:r>
            <w:r w:rsidR="002D1647" w:rsidRPr="00B14EBB">
              <w:rPr>
                <w:sz w:val="20"/>
                <w:szCs w:val="20"/>
                <w:lang w:val="sr-Latn-ME"/>
              </w:rPr>
              <w:t>j</w:t>
            </w:r>
            <w:r w:rsidRPr="00B14EBB">
              <w:rPr>
                <w:sz w:val="20"/>
                <w:szCs w:val="20"/>
                <w:lang w:val="sr-Latn-ME"/>
              </w:rPr>
              <w:t>esečna trajna progresija onesposobljenosti</w:t>
            </w:r>
            <w:r w:rsidRPr="00B14EBB">
              <w:rPr>
                <w:sz w:val="20"/>
                <w:szCs w:val="20"/>
                <w:vertAlign w:val="subscript"/>
                <w:lang w:val="sr-Latn-ME"/>
              </w:rPr>
              <w:t>108. ned</w:t>
            </w:r>
            <w:r w:rsidR="00B31671" w:rsidRPr="00B14EBB">
              <w:rPr>
                <w:sz w:val="20"/>
                <w:szCs w:val="20"/>
                <w:vertAlign w:val="subscript"/>
                <w:lang w:val="sr-Latn-ME"/>
              </w:rPr>
              <w:t>j</w:t>
            </w:r>
            <w:r w:rsidRPr="00B14EBB">
              <w:rPr>
                <w:sz w:val="20"/>
                <w:szCs w:val="20"/>
                <w:vertAlign w:val="subscript"/>
                <w:lang w:val="sr-Latn-ME"/>
              </w:rPr>
              <w:t>elja</w:t>
            </w:r>
          </w:p>
        </w:tc>
        <w:tc>
          <w:tcPr>
            <w:tcW w:w="1665" w:type="dxa"/>
            <w:vAlign w:val="center"/>
          </w:tcPr>
          <w:p w14:paraId="13CACEDC"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13,8%</w:t>
            </w:r>
          </w:p>
        </w:tc>
        <w:tc>
          <w:tcPr>
            <w:tcW w:w="1666" w:type="dxa"/>
            <w:vAlign w:val="center"/>
          </w:tcPr>
          <w:p w14:paraId="666E8E6F"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18,7%</w:t>
            </w:r>
          </w:p>
        </w:tc>
        <w:tc>
          <w:tcPr>
            <w:tcW w:w="1666" w:type="dxa"/>
            <w:vAlign w:val="center"/>
          </w:tcPr>
          <w:p w14:paraId="3A5B2139"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11,7%</w:t>
            </w:r>
          </w:p>
        </w:tc>
        <w:tc>
          <w:tcPr>
            <w:tcW w:w="1666" w:type="dxa"/>
            <w:vAlign w:val="center"/>
          </w:tcPr>
          <w:p w14:paraId="55166CEF"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11,9%</w:t>
            </w:r>
          </w:p>
        </w:tc>
      </w:tr>
      <w:tr w:rsidR="00136A0D" w:rsidRPr="00B14EBB" w14:paraId="6896CD64" w14:textId="77777777" w:rsidTr="00B14EBB">
        <w:trPr>
          <w:jc w:val="center"/>
        </w:trPr>
        <w:tc>
          <w:tcPr>
            <w:tcW w:w="2508" w:type="dxa"/>
            <w:vAlign w:val="center"/>
          </w:tcPr>
          <w:p w14:paraId="27AE5F2E"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i/>
                <w:sz w:val="20"/>
                <w:szCs w:val="20"/>
                <w:lang w:val="sr-Latn-ME"/>
              </w:rPr>
              <w:t>Hazard ratio (CI</w:t>
            </w:r>
            <w:r w:rsidRPr="00B14EBB">
              <w:rPr>
                <w:i/>
                <w:sz w:val="20"/>
                <w:szCs w:val="20"/>
                <w:vertAlign w:val="subscript"/>
                <w:lang w:val="sr-Latn-ME"/>
              </w:rPr>
              <w:t>95%</w:t>
            </w:r>
            <w:r w:rsidRPr="00B14EBB">
              <w:rPr>
                <w:i/>
                <w:sz w:val="20"/>
                <w:szCs w:val="20"/>
                <w:lang w:val="sr-Latn-ME"/>
              </w:rPr>
              <w:t>)</w:t>
            </w:r>
          </w:p>
        </w:tc>
        <w:tc>
          <w:tcPr>
            <w:tcW w:w="3331" w:type="dxa"/>
            <w:gridSpan w:val="2"/>
            <w:vAlign w:val="center"/>
          </w:tcPr>
          <w:p w14:paraId="67862227"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0,75 (0,50, 1,11)</w:t>
            </w:r>
          </w:p>
        </w:tc>
        <w:tc>
          <w:tcPr>
            <w:tcW w:w="3332" w:type="dxa"/>
            <w:gridSpan w:val="2"/>
            <w:vAlign w:val="center"/>
          </w:tcPr>
          <w:p w14:paraId="1FD92616"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0,84 (0,53, 1,33)</w:t>
            </w:r>
          </w:p>
        </w:tc>
      </w:tr>
      <w:tr w:rsidR="00136A0D" w:rsidRPr="00B14EBB" w14:paraId="47061894" w14:textId="77777777" w:rsidTr="00B14EBB">
        <w:trPr>
          <w:jc w:val="center"/>
        </w:trPr>
        <w:tc>
          <w:tcPr>
            <w:tcW w:w="2508" w:type="dxa"/>
            <w:vAlign w:val="center"/>
          </w:tcPr>
          <w:p w14:paraId="7C526664" w14:textId="77777777" w:rsidR="00136A0D" w:rsidRPr="00B14EBB" w:rsidRDefault="00136A0D" w:rsidP="00545126">
            <w:pPr>
              <w:widowControl w:val="0"/>
              <w:overflowPunct w:val="0"/>
              <w:autoSpaceDE w:val="0"/>
              <w:autoSpaceDN w:val="0"/>
              <w:adjustRightInd w:val="0"/>
              <w:jc w:val="both"/>
              <w:textAlignment w:val="baseline"/>
              <w:rPr>
                <w:b/>
                <w:sz w:val="20"/>
                <w:szCs w:val="20"/>
                <w:lang w:val="sr-Latn-ME"/>
              </w:rPr>
            </w:pPr>
            <w:r w:rsidRPr="00B14EBB">
              <w:rPr>
                <w:b/>
                <w:sz w:val="20"/>
                <w:szCs w:val="20"/>
                <w:lang w:val="sr-Latn-ME"/>
              </w:rPr>
              <w:t>Parametar praćenja MRI</w:t>
            </w:r>
          </w:p>
        </w:tc>
        <w:tc>
          <w:tcPr>
            <w:tcW w:w="1665" w:type="dxa"/>
            <w:vAlign w:val="center"/>
          </w:tcPr>
          <w:p w14:paraId="002F0E35"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1666" w:type="dxa"/>
            <w:vAlign w:val="center"/>
          </w:tcPr>
          <w:p w14:paraId="2840AEBE"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c>
          <w:tcPr>
            <w:tcW w:w="3332" w:type="dxa"/>
            <w:gridSpan w:val="2"/>
            <w:vMerge w:val="restart"/>
            <w:vAlign w:val="center"/>
          </w:tcPr>
          <w:p w14:paraId="547C7E4C" w14:textId="4CF356C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Nije m</w:t>
            </w:r>
            <w:r w:rsidR="002D1647" w:rsidRPr="00B14EBB">
              <w:rPr>
                <w:sz w:val="20"/>
                <w:szCs w:val="20"/>
                <w:lang w:val="sr-Latn-ME"/>
              </w:rPr>
              <w:t>j</w:t>
            </w:r>
            <w:r w:rsidRPr="00B14EBB">
              <w:rPr>
                <w:sz w:val="20"/>
                <w:szCs w:val="20"/>
                <w:lang w:val="sr-Latn-ME"/>
              </w:rPr>
              <w:t>ereno</w:t>
            </w:r>
          </w:p>
        </w:tc>
      </w:tr>
      <w:tr w:rsidR="00136A0D" w:rsidRPr="00B14EBB" w14:paraId="54454E16" w14:textId="77777777" w:rsidTr="00B14EBB">
        <w:trPr>
          <w:jc w:val="center"/>
        </w:trPr>
        <w:tc>
          <w:tcPr>
            <w:tcW w:w="2508" w:type="dxa"/>
            <w:vAlign w:val="center"/>
          </w:tcPr>
          <w:p w14:paraId="4FE9BFFB" w14:textId="7CE1A693"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Prom</w:t>
            </w:r>
            <w:r w:rsidR="002D1647" w:rsidRPr="00B14EBB">
              <w:rPr>
                <w:sz w:val="20"/>
                <w:szCs w:val="20"/>
                <w:lang w:val="sr-Latn-ME"/>
              </w:rPr>
              <w:t>j</w:t>
            </w:r>
            <w:r w:rsidRPr="00B14EBB">
              <w:rPr>
                <w:sz w:val="20"/>
                <w:szCs w:val="20"/>
                <w:lang w:val="sr-Latn-ME"/>
              </w:rPr>
              <w:t xml:space="preserve">ena BOD </w:t>
            </w:r>
            <w:r w:rsidRPr="00B14EBB">
              <w:rPr>
                <w:sz w:val="20"/>
                <w:szCs w:val="20"/>
                <w:vertAlign w:val="subscript"/>
                <w:lang w:val="sr-Latn-ME"/>
              </w:rPr>
              <w:t>108. ned</w:t>
            </w:r>
            <w:r w:rsidR="002D1647" w:rsidRPr="00B14EBB">
              <w:rPr>
                <w:sz w:val="20"/>
                <w:szCs w:val="20"/>
                <w:vertAlign w:val="subscript"/>
                <w:lang w:val="sr-Latn-ME"/>
              </w:rPr>
              <w:t>j</w:t>
            </w:r>
            <w:r w:rsidRPr="00B14EBB">
              <w:rPr>
                <w:sz w:val="20"/>
                <w:szCs w:val="20"/>
                <w:vertAlign w:val="subscript"/>
                <w:lang w:val="sr-Latn-ME"/>
              </w:rPr>
              <w:t>elja</w:t>
            </w:r>
            <w:r w:rsidRPr="00B14EBB">
              <w:rPr>
                <w:sz w:val="20"/>
                <w:szCs w:val="20"/>
                <w:vertAlign w:val="superscript"/>
                <w:lang w:val="sr-Latn-ME"/>
              </w:rPr>
              <w:t>(1)</w:t>
            </w:r>
          </w:p>
        </w:tc>
        <w:tc>
          <w:tcPr>
            <w:tcW w:w="1665" w:type="dxa"/>
            <w:vAlign w:val="center"/>
          </w:tcPr>
          <w:p w14:paraId="5576CE55"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 xml:space="preserve">0,72 </w:t>
            </w:r>
          </w:p>
        </w:tc>
        <w:tc>
          <w:tcPr>
            <w:tcW w:w="1666" w:type="dxa"/>
            <w:vAlign w:val="center"/>
          </w:tcPr>
          <w:p w14:paraId="49D67E07"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2,21</w:t>
            </w:r>
          </w:p>
        </w:tc>
        <w:tc>
          <w:tcPr>
            <w:tcW w:w="3332" w:type="dxa"/>
            <w:gridSpan w:val="2"/>
            <w:vMerge/>
            <w:vAlign w:val="center"/>
          </w:tcPr>
          <w:p w14:paraId="44ADA2A4"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456AA0E6" w14:textId="77777777" w:rsidTr="00B14EBB">
        <w:trPr>
          <w:jc w:val="center"/>
        </w:trPr>
        <w:tc>
          <w:tcPr>
            <w:tcW w:w="2508" w:type="dxa"/>
            <w:vAlign w:val="center"/>
          </w:tcPr>
          <w:p w14:paraId="01D17A09" w14:textId="77C043B2" w:rsidR="00136A0D" w:rsidRPr="00B14EBB" w:rsidRDefault="00136A0D" w:rsidP="00545126">
            <w:pPr>
              <w:widowControl w:val="0"/>
              <w:overflowPunct w:val="0"/>
              <w:autoSpaceDE w:val="0"/>
              <w:autoSpaceDN w:val="0"/>
              <w:adjustRightInd w:val="0"/>
              <w:jc w:val="both"/>
              <w:textAlignment w:val="baseline"/>
              <w:rPr>
                <w:i/>
                <w:sz w:val="20"/>
                <w:szCs w:val="20"/>
                <w:lang w:val="sr-Latn-ME"/>
              </w:rPr>
            </w:pPr>
            <w:r w:rsidRPr="00B14EBB">
              <w:rPr>
                <w:i/>
                <w:sz w:val="20"/>
                <w:szCs w:val="20"/>
                <w:lang w:val="sr-Latn-ME"/>
              </w:rPr>
              <w:t>Prom</w:t>
            </w:r>
            <w:r w:rsidR="002D1647" w:rsidRPr="00B14EBB">
              <w:rPr>
                <w:i/>
                <w:sz w:val="20"/>
                <w:szCs w:val="20"/>
                <w:lang w:val="sr-Latn-ME"/>
              </w:rPr>
              <w:t>j</w:t>
            </w:r>
            <w:r w:rsidRPr="00B14EBB">
              <w:rPr>
                <w:i/>
                <w:sz w:val="20"/>
                <w:szCs w:val="20"/>
                <w:lang w:val="sr-Latn-ME"/>
              </w:rPr>
              <w:t xml:space="preserve">ena u odnosu na placebo </w:t>
            </w:r>
          </w:p>
        </w:tc>
        <w:tc>
          <w:tcPr>
            <w:tcW w:w="3331" w:type="dxa"/>
            <w:gridSpan w:val="2"/>
            <w:vAlign w:val="center"/>
          </w:tcPr>
          <w:p w14:paraId="5C436F27"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67%</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c>
          <w:tcPr>
            <w:tcW w:w="3332" w:type="dxa"/>
            <w:gridSpan w:val="2"/>
            <w:vMerge/>
            <w:vAlign w:val="center"/>
          </w:tcPr>
          <w:p w14:paraId="220C1ABE"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353F0E83" w14:textId="77777777" w:rsidTr="00B14EBB">
        <w:trPr>
          <w:jc w:val="center"/>
        </w:trPr>
        <w:tc>
          <w:tcPr>
            <w:tcW w:w="2508" w:type="dxa"/>
            <w:vAlign w:val="center"/>
          </w:tcPr>
          <w:p w14:paraId="26AB6209" w14:textId="41711222"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Srednji broj lezija za koje se vezuje gadolinijum u 108. ned</w:t>
            </w:r>
            <w:r w:rsidR="00B31671" w:rsidRPr="00B14EBB">
              <w:rPr>
                <w:sz w:val="20"/>
                <w:szCs w:val="20"/>
                <w:lang w:val="sr-Latn-ME"/>
              </w:rPr>
              <w:t>j</w:t>
            </w:r>
            <w:r w:rsidRPr="00B14EBB">
              <w:rPr>
                <w:sz w:val="20"/>
                <w:szCs w:val="20"/>
                <w:lang w:val="sr-Latn-ME"/>
              </w:rPr>
              <w:t>elji</w:t>
            </w:r>
          </w:p>
        </w:tc>
        <w:tc>
          <w:tcPr>
            <w:tcW w:w="1665" w:type="dxa"/>
            <w:vAlign w:val="center"/>
          </w:tcPr>
          <w:p w14:paraId="17DCBBE1"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0,38</w:t>
            </w:r>
          </w:p>
        </w:tc>
        <w:tc>
          <w:tcPr>
            <w:tcW w:w="1666" w:type="dxa"/>
            <w:vAlign w:val="center"/>
          </w:tcPr>
          <w:p w14:paraId="0A205A98" w14:textId="77777777" w:rsidR="00136A0D" w:rsidRPr="00B14EBB" w:rsidDel="00841640"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1,18</w:t>
            </w:r>
          </w:p>
        </w:tc>
        <w:tc>
          <w:tcPr>
            <w:tcW w:w="3332" w:type="dxa"/>
            <w:gridSpan w:val="2"/>
            <w:vMerge/>
            <w:vAlign w:val="center"/>
          </w:tcPr>
          <w:p w14:paraId="16402102"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0C434864" w14:textId="77777777" w:rsidTr="00B14EBB">
        <w:trPr>
          <w:jc w:val="center"/>
        </w:trPr>
        <w:tc>
          <w:tcPr>
            <w:tcW w:w="2508" w:type="dxa"/>
            <w:vAlign w:val="center"/>
          </w:tcPr>
          <w:p w14:paraId="4F1C87B0" w14:textId="25F1EBE4"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i/>
                <w:sz w:val="20"/>
                <w:szCs w:val="20"/>
                <w:lang w:val="sr-Latn-ME"/>
              </w:rPr>
              <w:t>Prom</w:t>
            </w:r>
            <w:r w:rsidR="002D1647" w:rsidRPr="00B14EBB">
              <w:rPr>
                <w:i/>
                <w:sz w:val="20"/>
                <w:szCs w:val="20"/>
                <w:lang w:val="sr-Latn-ME"/>
              </w:rPr>
              <w:t>j</w:t>
            </w:r>
            <w:r w:rsidRPr="00B14EBB">
              <w:rPr>
                <w:i/>
                <w:sz w:val="20"/>
                <w:szCs w:val="20"/>
                <w:lang w:val="sr-Latn-ME"/>
              </w:rPr>
              <w:t>ena u odnosu na placebo (CI</w:t>
            </w:r>
            <w:r w:rsidRPr="00B14EBB">
              <w:rPr>
                <w:i/>
                <w:sz w:val="20"/>
                <w:szCs w:val="20"/>
                <w:vertAlign w:val="subscript"/>
                <w:lang w:val="sr-Latn-ME"/>
              </w:rPr>
              <w:t>95%</w:t>
            </w:r>
            <w:r w:rsidRPr="00B14EBB">
              <w:rPr>
                <w:i/>
                <w:sz w:val="20"/>
                <w:szCs w:val="20"/>
                <w:lang w:val="sr-Latn-ME"/>
              </w:rPr>
              <w:t>)</w:t>
            </w:r>
          </w:p>
        </w:tc>
        <w:tc>
          <w:tcPr>
            <w:tcW w:w="3331" w:type="dxa"/>
            <w:gridSpan w:val="2"/>
            <w:vAlign w:val="center"/>
          </w:tcPr>
          <w:p w14:paraId="148E4B73"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-0,80 (-1,20, -0,39)</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c>
          <w:tcPr>
            <w:tcW w:w="3332" w:type="dxa"/>
            <w:gridSpan w:val="2"/>
            <w:vMerge/>
            <w:vAlign w:val="center"/>
          </w:tcPr>
          <w:p w14:paraId="31F12C75"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4BC858E3" w14:textId="77777777" w:rsidTr="00B14EBB">
        <w:trPr>
          <w:jc w:val="center"/>
        </w:trPr>
        <w:tc>
          <w:tcPr>
            <w:tcW w:w="2508" w:type="dxa"/>
            <w:vAlign w:val="center"/>
          </w:tcPr>
          <w:p w14:paraId="0C3CED89"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Broj jedinstvenih aktivnih lezija po skeniranju</w:t>
            </w:r>
          </w:p>
        </w:tc>
        <w:tc>
          <w:tcPr>
            <w:tcW w:w="1665" w:type="dxa"/>
            <w:vAlign w:val="center"/>
          </w:tcPr>
          <w:p w14:paraId="18716602"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0,75</w:t>
            </w:r>
          </w:p>
        </w:tc>
        <w:tc>
          <w:tcPr>
            <w:tcW w:w="1666" w:type="dxa"/>
            <w:vAlign w:val="center"/>
          </w:tcPr>
          <w:p w14:paraId="516307E8"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t>2,46</w:t>
            </w:r>
          </w:p>
        </w:tc>
        <w:tc>
          <w:tcPr>
            <w:tcW w:w="3332" w:type="dxa"/>
            <w:gridSpan w:val="2"/>
            <w:vMerge/>
            <w:vAlign w:val="center"/>
          </w:tcPr>
          <w:p w14:paraId="5F333D6D"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r w:rsidR="00136A0D" w:rsidRPr="00B14EBB" w14:paraId="083E9E5B" w14:textId="77777777" w:rsidTr="00B14EBB">
        <w:trPr>
          <w:jc w:val="center"/>
        </w:trPr>
        <w:tc>
          <w:tcPr>
            <w:tcW w:w="2508" w:type="dxa"/>
            <w:vAlign w:val="center"/>
          </w:tcPr>
          <w:p w14:paraId="6006D195" w14:textId="2E54FF0A"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i/>
                <w:sz w:val="20"/>
                <w:szCs w:val="20"/>
                <w:lang w:val="sr-Latn-ME"/>
              </w:rPr>
              <w:t>Prom</w:t>
            </w:r>
            <w:r w:rsidR="002D1647" w:rsidRPr="00B14EBB">
              <w:rPr>
                <w:i/>
                <w:sz w:val="20"/>
                <w:szCs w:val="20"/>
                <w:lang w:val="sr-Latn-ME"/>
              </w:rPr>
              <w:t>j</w:t>
            </w:r>
            <w:r w:rsidRPr="00B14EBB">
              <w:rPr>
                <w:i/>
                <w:sz w:val="20"/>
                <w:szCs w:val="20"/>
                <w:lang w:val="sr-Latn-ME"/>
              </w:rPr>
              <w:t xml:space="preserve">ena u odnosu na </w:t>
            </w:r>
            <w:r w:rsidRPr="00B14EBB">
              <w:rPr>
                <w:i/>
                <w:sz w:val="20"/>
                <w:szCs w:val="20"/>
                <w:lang w:val="sr-Latn-ME"/>
              </w:rPr>
              <w:lastRenderedPageBreak/>
              <w:t>placebo (CI</w:t>
            </w:r>
            <w:r w:rsidRPr="00B14EBB">
              <w:rPr>
                <w:i/>
                <w:sz w:val="20"/>
                <w:szCs w:val="20"/>
                <w:vertAlign w:val="subscript"/>
                <w:lang w:val="sr-Latn-ME"/>
              </w:rPr>
              <w:t>95%</w:t>
            </w:r>
            <w:r w:rsidRPr="00B14EBB">
              <w:rPr>
                <w:i/>
                <w:sz w:val="20"/>
                <w:szCs w:val="20"/>
                <w:lang w:val="sr-Latn-ME"/>
              </w:rPr>
              <w:t>)</w:t>
            </w:r>
          </w:p>
        </w:tc>
        <w:tc>
          <w:tcPr>
            <w:tcW w:w="3331" w:type="dxa"/>
            <w:gridSpan w:val="2"/>
            <w:vAlign w:val="center"/>
          </w:tcPr>
          <w:p w14:paraId="00A32829"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r w:rsidRPr="00B14EBB">
              <w:rPr>
                <w:sz w:val="20"/>
                <w:szCs w:val="20"/>
                <w:lang w:val="sr-Latn-ME"/>
              </w:rPr>
              <w:lastRenderedPageBreak/>
              <w:t>69%, (59%; 77%)</w:t>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r w:rsidRPr="00B14EBB">
              <w:rPr>
                <w:sz w:val="20"/>
                <w:szCs w:val="20"/>
                <w:vertAlign w:val="superscript"/>
                <w:lang w:val="sr-Latn-ME"/>
              </w:rPr>
              <w:sym w:font="Symbol" w:char="F02A"/>
            </w:r>
          </w:p>
        </w:tc>
        <w:tc>
          <w:tcPr>
            <w:tcW w:w="3332" w:type="dxa"/>
            <w:gridSpan w:val="2"/>
            <w:vMerge/>
            <w:vAlign w:val="center"/>
          </w:tcPr>
          <w:p w14:paraId="0E485702" w14:textId="77777777" w:rsidR="00136A0D" w:rsidRPr="00B14EBB" w:rsidRDefault="00136A0D" w:rsidP="00545126">
            <w:pPr>
              <w:widowControl w:val="0"/>
              <w:overflowPunct w:val="0"/>
              <w:autoSpaceDE w:val="0"/>
              <w:autoSpaceDN w:val="0"/>
              <w:adjustRightInd w:val="0"/>
              <w:jc w:val="both"/>
              <w:textAlignment w:val="baseline"/>
              <w:rPr>
                <w:sz w:val="20"/>
                <w:szCs w:val="20"/>
                <w:lang w:val="sr-Latn-ME"/>
              </w:rPr>
            </w:pPr>
          </w:p>
        </w:tc>
      </w:tr>
    </w:tbl>
    <w:p w14:paraId="654DB1A1" w14:textId="77777777" w:rsidR="00136A0D" w:rsidRPr="00545126" w:rsidRDefault="00136A0D" w:rsidP="00545126">
      <w:pPr>
        <w:widowControl w:val="0"/>
        <w:autoSpaceDE w:val="0"/>
        <w:autoSpaceDN w:val="0"/>
        <w:adjustRightInd w:val="0"/>
        <w:jc w:val="both"/>
        <w:rPr>
          <w:sz w:val="20"/>
          <w:szCs w:val="22"/>
          <w:lang w:val="sr-Latn-ME" w:eastAsia="sr-Latn-CS"/>
        </w:rPr>
      </w:pPr>
      <w:r w:rsidRPr="00545126">
        <w:rPr>
          <w:sz w:val="20"/>
          <w:szCs w:val="22"/>
          <w:vertAlign w:val="superscript"/>
          <w:lang w:val="sr-Latn-ME" w:eastAsia="sr-Latn-CS"/>
        </w:rPr>
        <w:t>****</w:t>
      </w:r>
      <w:r w:rsidRPr="00545126">
        <w:rPr>
          <w:sz w:val="20"/>
          <w:szCs w:val="22"/>
          <w:lang w:val="sr-Latn-ME" w:eastAsia="sr-Latn-CS"/>
        </w:rPr>
        <w:t xml:space="preserve">p&lt;0,0001 </w:t>
      </w:r>
      <w:r w:rsidRPr="00545126">
        <w:rPr>
          <w:sz w:val="20"/>
          <w:szCs w:val="22"/>
          <w:vertAlign w:val="superscript"/>
          <w:lang w:val="sr-Latn-ME" w:eastAsia="sr-Latn-CS"/>
        </w:rPr>
        <w:t>***</w:t>
      </w:r>
      <w:r w:rsidRPr="00545126">
        <w:rPr>
          <w:sz w:val="20"/>
          <w:szCs w:val="22"/>
          <w:lang w:val="sr-Latn-ME" w:eastAsia="sr-Latn-CS"/>
        </w:rPr>
        <w:t xml:space="preserve">p&lt;0,001 </w:t>
      </w:r>
      <w:r w:rsidRPr="00545126">
        <w:rPr>
          <w:sz w:val="20"/>
          <w:szCs w:val="22"/>
          <w:vertAlign w:val="superscript"/>
          <w:lang w:val="sr-Latn-ME" w:eastAsia="sr-Latn-CS"/>
        </w:rPr>
        <w:t>**</w:t>
      </w:r>
      <w:r w:rsidRPr="00545126">
        <w:rPr>
          <w:sz w:val="20"/>
          <w:szCs w:val="22"/>
          <w:lang w:val="sr-Latn-ME" w:eastAsia="sr-Latn-CS"/>
        </w:rPr>
        <w:t xml:space="preserve">p&lt;0,01 </w:t>
      </w:r>
      <w:r w:rsidRPr="00545126">
        <w:rPr>
          <w:sz w:val="20"/>
          <w:szCs w:val="22"/>
          <w:vertAlign w:val="superscript"/>
          <w:lang w:val="sr-Latn-ME" w:eastAsia="sr-Latn-CS"/>
        </w:rPr>
        <w:t>*</w:t>
      </w:r>
      <w:r w:rsidRPr="00545126">
        <w:rPr>
          <w:sz w:val="20"/>
          <w:szCs w:val="22"/>
          <w:lang w:val="sr-Latn-ME" w:eastAsia="sr-Latn-CS"/>
        </w:rPr>
        <w:t>p&lt;0,05 u poređenju sa placebom</w:t>
      </w:r>
    </w:p>
    <w:p w14:paraId="70A46841" w14:textId="5FB7F699" w:rsidR="00136A0D" w:rsidRPr="00545126" w:rsidRDefault="00136A0D" w:rsidP="00545126">
      <w:pPr>
        <w:widowControl w:val="0"/>
        <w:autoSpaceDE w:val="0"/>
        <w:autoSpaceDN w:val="0"/>
        <w:adjustRightInd w:val="0"/>
        <w:jc w:val="both"/>
        <w:rPr>
          <w:sz w:val="20"/>
          <w:szCs w:val="22"/>
          <w:lang w:val="sr-Latn-ME" w:eastAsia="sr-Latn-CS"/>
        </w:rPr>
      </w:pPr>
      <w:r w:rsidRPr="00545126">
        <w:rPr>
          <w:sz w:val="20"/>
          <w:szCs w:val="22"/>
          <w:lang w:val="sr-Latn-ME" w:eastAsia="sr-Latn-CS"/>
        </w:rPr>
        <w:t>(1) BOD (</w:t>
      </w:r>
      <w:r w:rsidRPr="00545126">
        <w:rPr>
          <w:i/>
          <w:iCs/>
          <w:sz w:val="20"/>
          <w:szCs w:val="22"/>
          <w:lang w:val="sr-Latn-ME" w:eastAsia="sr-Latn-CS"/>
        </w:rPr>
        <w:t>burden of disease</w:t>
      </w:r>
      <w:r w:rsidRPr="00545126">
        <w:rPr>
          <w:sz w:val="20"/>
          <w:szCs w:val="22"/>
          <w:lang w:val="sr-Latn-ME" w:eastAsia="sr-Latn-CS"/>
        </w:rPr>
        <w:t>): opterećenje bolešću: ukupan volumen lezija (hipoin</w:t>
      </w:r>
      <w:r w:rsidR="00545126" w:rsidRPr="00545126">
        <w:rPr>
          <w:sz w:val="20"/>
          <w:szCs w:val="22"/>
          <w:lang w:val="sr-Latn-ME" w:eastAsia="sr-Latn-CS"/>
        </w:rPr>
        <w:t>tenzivne lezije na T2 i T1) u ml</w:t>
      </w:r>
    </w:p>
    <w:p w14:paraId="0AD07D07" w14:textId="77777777" w:rsidR="00545126" w:rsidRDefault="00545126" w:rsidP="00545126">
      <w:pPr>
        <w:widowControl w:val="0"/>
        <w:autoSpaceDE w:val="0"/>
        <w:autoSpaceDN w:val="0"/>
        <w:adjustRightInd w:val="0"/>
        <w:jc w:val="both"/>
        <w:rPr>
          <w:sz w:val="22"/>
          <w:szCs w:val="22"/>
          <w:lang w:val="sr-Latn-ME" w:eastAsia="sr-Latn-CS"/>
        </w:rPr>
      </w:pPr>
    </w:p>
    <w:p w14:paraId="6E408A62" w14:textId="616C178E"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Efikasnost kod pacijenata sa bolešću visokog stepena aktivnosti:</w:t>
      </w:r>
    </w:p>
    <w:p w14:paraId="3D09CCB6" w14:textId="4A7B7940" w:rsidR="00136A0D" w:rsidRPr="00B14EBB" w:rsidRDefault="00136A0D" w:rsidP="00545126">
      <w:pPr>
        <w:pStyle w:val="BodyText"/>
        <w:widowControl w:val="0"/>
        <w:jc w:val="both"/>
        <w:rPr>
          <w:sz w:val="22"/>
          <w:szCs w:val="22"/>
          <w:lang w:val="sr-Latn-ME"/>
        </w:rPr>
      </w:pPr>
      <w:r w:rsidRPr="00B14EBB">
        <w:rPr>
          <w:sz w:val="22"/>
          <w:szCs w:val="22"/>
          <w:lang w:val="sr-Latn-ME"/>
        </w:rPr>
        <w:t>U ispitivanju TEMSO (n=127) je u podgrupi pacijenata sa bolešću visokog stepena aktivnosti prim</w:t>
      </w:r>
      <w:r w:rsidR="002D1647" w:rsidRPr="00B14EBB">
        <w:rPr>
          <w:sz w:val="22"/>
          <w:szCs w:val="22"/>
          <w:lang w:val="sr-Latn-ME"/>
        </w:rPr>
        <w:t>ij</w:t>
      </w:r>
      <w:r w:rsidRPr="00B14EBB">
        <w:rPr>
          <w:sz w:val="22"/>
          <w:szCs w:val="22"/>
          <w:lang w:val="sr-Latn-ME"/>
        </w:rPr>
        <w:t>ećeno konzistentno dejstvo terapije na relapse i vr</w:t>
      </w:r>
      <w:r w:rsidR="002D1647" w:rsidRPr="00B14EBB">
        <w:rPr>
          <w:sz w:val="22"/>
          <w:szCs w:val="22"/>
          <w:lang w:val="sr-Latn-ME"/>
        </w:rPr>
        <w:t>ij</w:t>
      </w:r>
      <w:r w:rsidRPr="00B14EBB">
        <w:rPr>
          <w:sz w:val="22"/>
          <w:szCs w:val="22"/>
          <w:lang w:val="sr-Latn-ME"/>
        </w:rPr>
        <w:t>eme do trom</w:t>
      </w:r>
      <w:r w:rsidR="002D1647" w:rsidRPr="00B14EBB">
        <w:rPr>
          <w:sz w:val="22"/>
          <w:szCs w:val="22"/>
          <w:lang w:val="sr-Latn-ME"/>
        </w:rPr>
        <w:t>j</w:t>
      </w:r>
      <w:r w:rsidRPr="00B14EBB">
        <w:rPr>
          <w:sz w:val="22"/>
          <w:szCs w:val="22"/>
          <w:lang w:val="sr-Latn-ME"/>
        </w:rPr>
        <w:t>esečne trajne progresije onesposobljenosti. Zbog dizajna ispitivanja visoka aktivnost bolesti definše se kao 2 ili više relapsa tokom jedne godine, sa jednom ili više lezija inhibiranih gadolinijem pri MRI mozga. U TOWER studiji nije sprovedena slična analiza podgrupe jer nisu prikupljeni MRI podaci.</w:t>
      </w:r>
    </w:p>
    <w:p w14:paraId="3BFF2661" w14:textId="79D22405" w:rsidR="00136A0D" w:rsidRPr="00B14EBB" w:rsidRDefault="00136A0D" w:rsidP="00545126">
      <w:pPr>
        <w:pStyle w:val="BodyText"/>
        <w:widowControl w:val="0"/>
        <w:jc w:val="both"/>
        <w:rPr>
          <w:sz w:val="22"/>
          <w:szCs w:val="22"/>
          <w:lang w:val="sr-Latn-ME"/>
        </w:rPr>
      </w:pPr>
      <w:r w:rsidRPr="00B14EBB">
        <w:rPr>
          <w:sz w:val="22"/>
          <w:szCs w:val="22"/>
          <w:lang w:val="sr-Latn-ME"/>
        </w:rPr>
        <w:t>Nema podataka kod pacijenata koji nisu odgovorili na c</w:t>
      </w:r>
      <w:r w:rsidR="002D1647" w:rsidRPr="00B14EBB">
        <w:rPr>
          <w:sz w:val="22"/>
          <w:szCs w:val="22"/>
          <w:lang w:val="sr-Latn-ME"/>
        </w:rPr>
        <w:t>j</w:t>
      </w:r>
      <w:r w:rsidRPr="00B14EBB">
        <w:rPr>
          <w:sz w:val="22"/>
          <w:szCs w:val="22"/>
          <w:lang w:val="sr-Latn-ME"/>
        </w:rPr>
        <w:t>elokupni i odgovarajući ciklus l</w:t>
      </w:r>
      <w:r w:rsidR="002D1647" w:rsidRPr="00B14EBB">
        <w:rPr>
          <w:sz w:val="22"/>
          <w:szCs w:val="22"/>
          <w:lang w:val="sr-Latn-ME"/>
        </w:rPr>
        <w:t>ij</w:t>
      </w:r>
      <w:r w:rsidRPr="00B14EBB">
        <w:rPr>
          <w:sz w:val="22"/>
          <w:szCs w:val="22"/>
          <w:lang w:val="sr-Latn-ME"/>
        </w:rPr>
        <w:t>ečenja beta-interferonom (l</w:t>
      </w:r>
      <w:r w:rsidR="002D1647" w:rsidRPr="00B14EBB">
        <w:rPr>
          <w:sz w:val="22"/>
          <w:szCs w:val="22"/>
          <w:lang w:val="sr-Latn-ME"/>
        </w:rPr>
        <w:t>ij</w:t>
      </w:r>
      <w:r w:rsidRPr="00B14EBB">
        <w:rPr>
          <w:sz w:val="22"/>
          <w:szCs w:val="22"/>
          <w:lang w:val="sr-Latn-ME"/>
        </w:rPr>
        <w:t>ečenje obično traje najmanje godinu dana) i koji su imali najmanje 1 relaps u prethodnoj godini tokom l</w:t>
      </w:r>
      <w:r w:rsidR="002D1647" w:rsidRPr="00B14EBB">
        <w:rPr>
          <w:sz w:val="22"/>
          <w:szCs w:val="22"/>
          <w:lang w:val="sr-Latn-ME"/>
        </w:rPr>
        <w:t>ij</w:t>
      </w:r>
      <w:r w:rsidRPr="00B14EBB">
        <w:rPr>
          <w:sz w:val="22"/>
          <w:szCs w:val="22"/>
          <w:lang w:val="sr-Latn-ME"/>
        </w:rPr>
        <w:t>ečenja te najmanje 9 hiperintenzivnih lezija na T2 pri MRI oslikavanju lobanje ili najmanje 1 leziju za koju se vezuje gadolinijum, niti kod pacijenata koji su u prethodnoj godini imali neizm</w:t>
      </w:r>
      <w:r w:rsidR="002D1647" w:rsidRPr="00B14EBB">
        <w:rPr>
          <w:sz w:val="22"/>
          <w:szCs w:val="22"/>
          <w:lang w:val="sr-Latn-ME"/>
        </w:rPr>
        <w:t>ij</w:t>
      </w:r>
      <w:r w:rsidRPr="00B14EBB">
        <w:rPr>
          <w:sz w:val="22"/>
          <w:szCs w:val="22"/>
          <w:lang w:val="sr-Latn-ME"/>
        </w:rPr>
        <w:t>enjenu ili povećanu stopu relapsa u odnosu na prethodne 2 godine.</w:t>
      </w:r>
    </w:p>
    <w:p w14:paraId="46701CEC" w14:textId="1FFD9A5F"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TOPIC je bio dvostruko sl</w:t>
      </w:r>
      <w:r w:rsidR="002D1647" w:rsidRPr="00B14EBB">
        <w:rPr>
          <w:sz w:val="22"/>
          <w:szCs w:val="22"/>
          <w:lang w:val="sr-Latn-ME" w:eastAsia="sr-Latn-CS"/>
        </w:rPr>
        <w:t>ij</w:t>
      </w:r>
      <w:r w:rsidRPr="00B14EBB">
        <w:rPr>
          <w:sz w:val="22"/>
          <w:szCs w:val="22"/>
          <w:lang w:val="sr-Latn-ME" w:eastAsia="sr-Latn-CS"/>
        </w:rPr>
        <w:t>epa, placebo kontrolisana studija koja je proc</w:t>
      </w:r>
      <w:r w:rsidR="002D1647" w:rsidRPr="00B14EBB">
        <w:rPr>
          <w:sz w:val="22"/>
          <w:szCs w:val="22"/>
          <w:lang w:val="sr-Latn-ME" w:eastAsia="sr-Latn-CS"/>
        </w:rPr>
        <w:t>j</w:t>
      </w:r>
      <w:r w:rsidRPr="00B14EBB">
        <w:rPr>
          <w:sz w:val="22"/>
          <w:szCs w:val="22"/>
          <w:lang w:val="sr-Latn-ME" w:eastAsia="sr-Latn-CS"/>
        </w:rPr>
        <w:t>enjivala doze od 7 mg i 14 mg prim</w:t>
      </w:r>
      <w:r w:rsidR="002D1647" w:rsidRPr="00B14EBB">
        <w:rPr>
          <w:sz w:val="22"/>
          <w:szCs w:val="22"/>
          <w:lang w:val="sr-Latn-ME" w:eastAsia="sr-Latn-CS"/>
        </w:rPr>
        <w:t>ij</w:t>
      </w:r>
      <w:r w:rsidRPr="00B14EBB">
        <w:rPr>
          <w:sz w:val="22"/>
          <w:szCs w:val="22"/>
          <w:lang w:val="sr-Latn-ME" w:eastAsia="sr-Latn-CS"/>
        </w:rPr>
        <w:t>enjene jednom dnevno u periodu do 108 ned</w:t>
      </w:r>
      <w:r w:rsidR="00B31671" w:rsidRPr="00B14EBB">
        <w:rPr>
          <w:sz w:val="22"/>
          <w:szCs w:val="22"/>
          <w:lang w:val="sr-Latn-ME" w:eastAsia="sr-Latn-CS"/>
        </w:rPr>
        <w:t>j</w:t>
      </w:r>
      <w:r w:rsidRPr="00B14EBB">
        <w:rPr>
          <w:sz w:val="22"/>
          <w:szCs w:val="22"/>
          <w:lang w:val="sr-Latn-ME" w:eastAsia="sr-Latn-CS"/>
        </w:rPr>
        <w:t>elja kod pacijenata sa prvim kliničkim demijelizacionim događajem (srednja starost pacijenata 32,1 godina). Primarni parametar praćenja je bilo vr</w:t>
      </w:r>
      <w:r w:rsidR="002D1647" w:rsidRPr="00B14EBB">
        <w:rPr>
          <w:sz w:val="22"/>
          <w:szCs w:val="22"/>
          <w:lang w:val="sr-Latn-ME" w:eastAsia="sr-Latn-CS"/>
        </w:rPr>
        <w:t>ij</w:t>
      </w:r>
      <w:r w:rsidRPr="00B14EBB">
        <w:rPr>
          <w:sz w:val="22"/>
          <w:szCs w:val="22"/>
          <w:lang w:val="sr-Latn-ME" w:eastAsia="sr-Latn-CS"/>
        </w:rPr>
        <w:t>eme do druge kliničke epizode (relapsa). Ukupno 618 pacijenata je randomizovano da prima 7 mg (n=205) ili 14 mg (n=216) teriflunomida ili placebo (n=197). Rizik od pojave drugog kliničkog napada tokom 2 godine bio je 35,9% u placebo grupi i 24,0% u grupi koja je primala 14 mg teriflunomida (koeficijent rizika: 0.57, 95% interval pov</w:t>
      </w:r>
      <w:r w:rsidR="002D1647" w:rsidRPr="00B14EBB">
        <w:rPr>
          <w:sz w:val="22"/>
          <w:szCs w:val="22"/>
          <w:lang w:val="sr-Latn-ME" w:eastAsia="sr-Latn-CS"/>
        </w:rPr>
        <w:t>j</w:t>
      </w:r>
      <w:r w:rsidRPr="00B14EBB">
        <w:rPr>
          <w:sz w:val="22"/>
          <w:szCs w:val="22"/>
          <w:lang w:val="sr-Latn-ME" w:eastAsia="sr-Latn-CS"/>
        </w:rPr>
        <w:t>erenja: 0.38 do 0.87, p=0.0087). Rezultati iz studije TOPIC su potvrdili efikasnost teriflunomida kod RRMS (uključujući ranu RRMS sa prvim kliničkim demijelinizirajućim događajem  i MRI lezijama diseminovanim vremenski i prostorno).</w:t>
      </w:r>
    </w:p>
    <w:p w14:paraId="561260BA" w14:textId="1D16884B" w:rsidR="00136A0D" w:rsidRPr="00B14EBB" w:rsidRDefault="00136A0D"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Efikasnost teriflunomida upoređena je sa efikasnošću subkutanog interferona beta-1a (pri preporučenoj dozi od 44 mikrograma tri puta ned</w:t>
      </w:r>
      <w:r w:rsidR="00B31671" w:rsidRPr="00B14EBB">
        <w:rPr>
          <w:sz w:val="22"/>
          <w:szCs w:val="22"/>
          <w:lang w:val="sr-Latn-ME" w:eastAsia="sr-Latn-CS"/>
        </w:rPr>
        <w:t>j</w:t>
      </w:r>
      <w:r w:rsidRPr="00B14EBB">
        <w:rPr>
          <w:sz w:val="22"/>
          <w:szCs w:val="22"/>
          <w:lang w:val="sr-Latn-ME" w:eastAsia="sr-Latn-CS"/>
        </w:rPr>
        <w:t>eljno) u 324 randomizovana pacijenta u ispitivanju (TENERE) sa minimalnim trajanjem l</w:t>
      </w:r>
      <w:r w:rsidR="002D1647" w:rsidRPr="00B14EBB">
        <w:rPr>
          <w:sz w:val="22"/>
          <w:szCs w:val="22"/>
          <w:lang w:val="sr-Latn-ME" w:eastAsia="sr-Latn-CS"/>
        </w:rPr>
        <w:t>ij</w:t>
      </w:r>
      <w:r w:rsidRPr="00B14EBB">
        <w:rPr>
          <w:sz w:val="22"/>
          <w:szCs w:val="22"/>
          <w:lang w:val="sr-Latn-ME" w:eastAsia="sr-Latn-CS"/>
        </w:rPr>
        <w:t>ečenja od 48 ned</w:t>
      </w:r>
      <w:r w:rsidR="00B31671" w:rsidRPr="00B14EBB">
        <w:rPr>
          <w:sz w:val="22"/>
          <w:szCs w:val="22"/>
          <w:lang w:val="sr-Latn-ME" w:eastAsia="sr-Latn-CS"/>
        </w:rPr>
        <w:t>j</w:t>
      </w:r>
      <w:r w:rsidRPr="00B14EBB">
        <w:rPr>
          <w:sz w:val="22"/>
          <w:szCs w:val="22"/>
          <w:lang w:val="sr-Latn-ME" w:eastAsia="sr-Latn-CS"/>
        </w:rPr>
        <w:t>elja (najviše 114 ned</w:t>
      </w:r>
      <w:r w:rsidR="00B31671" w:rsidRPr="00B14EBB">
        <w:rPr>
          <w:sz w:val="22"/>
          <w:szCs w:val="22"/>
          <w:lang w:val="sr-Latn-ME" w:eastAsia="sr-Latn-CS"/>
        </w:rPr>
        <w:t>j</w:t>
      </w:r>
      <w:r w:rsidRPr="00B14EBB">
        <w:rPr>
          <w:sz w:val="22"/>
          <w:szCs w:val="22"/>
          <w:lang w:val="sr-Latn-ME" w:eastAsia="sr-Latn-CS"/>
        </w:rPr>
        <w:t>elja). Primarni parametar praćenja bio je rizik od neusp</w:t>
      </w:r>
      <w:r w:rsidR="008A3D46" w:rsidRPr="00B14EBB">
        <w:rPr>
          <w:sz w:val="22"/>
          <w:szCs w:val="22"/>
          <w:lang w:val="sr-Latn-ME" w:eastAsia="sr-Latn-CS"/>
        </w:rPr>
        <w:t>j</w:t>
      </w:r>
      <w:r w:rsidRPr="00B14EBB">
        <w:rPr>
          <w:sz w:val="22"/>
          <w:szCs w:val="22"/>
          <w:lang w:val="sr-Latn-ME" w:eastAsia="sr-Latn-CS"/>
        </w:rPr>
        <w:t>eha (potvrđeni relaps ili trajni prekid l</w:t>
      </w:r>
      <w:r w:rsidR="008A3D46" w:rsidRPr="00B14EBB">
        <w:rPr>
          <w:sz w:val="22"/>
          <w:szCs w:val="22"/>
          <w:lang w:val="sr-Latn-ME" w:eastAsia="sr-Latn-CS"/>
        </w:rPr>
        <w:t>ij</w:t>
      </w:r>
      <w:r w:rsidRPr="00B14EBB">
        <w:rPr>
          <w:sz w:val="22"/>
          <w:szCs w:val="22"/>
          <w:lang w:val="sr-Latn-ME" w:eastAsia="sr-Latn-CS"/>
        </w:rPr>
        <w:t>ečenja, šta god je nastupilo prvo). U grupi l</w:t>
      </w:r>
      <w:r w:rsidR="008A3D46" w:rsidRPr="00B14EBB">
        <w:rPr>
          <w:sz w:val="22"/>
          <w:szCs w:val="22"/>
          <w:lang w:val="sr-Latn-ME" w:eastAsia="sr-Latn-CS"/>
        </w:rPr>
        <w:t>ij</w:t>
      </w:r>
      <w:r w:rsidRPr="00B14EBB">
        <w:rPr>
          <w:sz w:val="22"/>
          <w:szCs w:val="22"/>
          <w:lang w:val="sr-Latn-ME" w:eastAsia="sr-Latn-CS"/>
        </w:rPr>
        <w:t>ečenoj teriflunomidom u dozi od 14 mg došlo je do trajnog prekida l</w:t>
      </w:r>
      <w:r w:rsidR="008A3D46" w:rsidRPr="00B14EBB">
        <w:rPr>
          <w:sz w:val="22"/>
          <w:szCs w:val="22"/>
          <w:lang w:val="sr-Latn-ME" w:eastAsia="sr-Latn-CS"/>
        </w:rPr>
        <w:t>ij</w:t>
      </w:r>
      <w:r w:rsidRPr="00B14EBB">
        <w:rPr>
          <w:sz w:val="22"/>
          <w:szCs w:val="22"/>
          <w:lang w:val="sr-Latn-ME" w:eastAsia="sr-Latn-CS"/>
        </w:rPr>
        <w:t>ečenja u 22 od 111 pacijenata (19,8%), a uzrok tome bila su neželjena dejstva (10,8%), nedovoljna efikasnost (3,6%), drugi razlozi (4,5%) i gubitak iz praćenja (0,9%). U grupi l</w:t>
      </w:r>
      <w:r w:rsidR="008A3D46" w:rsidRPr="00B14EBB">
        <w:rPr>
          <w:sz w:val="22"/>
          <w:szCs w:val="22"/>
          <w:lang w:val="sr-Latn-ME" w:eastAsia="sr-Latn-CS"/>
        </w:rPr>
        <w:t>ij</w:t>
      </w:r>
      <w:r w:rsidRPr="00B14EBB">
        <w:rPr>
          <w:sz w:val="22"/>
          <w:szCs w:val="22"/>
          <w:lang w:val="sr-Latn-ME" w:eastAsia="sr-Latn-CS"/>
        </w:rPr>
        <w:t>ečenoj subkutanim interferonom beta-1a došlo je do trajnog prekida l</w:t>
      </w:r>
      <w:r w:rsidR="008A3D46" w:rsidRPr="00B14EBB">
        <w:rPr>
          <w:sz w:val="22"/>
          <w:szCs w:val="22"/>
          <w:lang w:val="sr-Latn-ME" w:eastAsia="sr-Latn-CS"/>
        </w:rPr>
        <w:t>ij</w:t>
      </w:r>
      <w:r w:rsidRPr="00B14EBB">
        <w:rPr>
          <w:sz w:val="22"/>
          <w:szCs w:val="22"/>
          <w:lang w:val="sr-Latn-ME" w:eastAsia="sr-Latn-CS"/>
        </w:rPr>
        <w:t>ečenja kod 30 od 104 pacijeata (28,8%), a uzrok tome bila su neželjena dejstva (21,2%), nedovoljna efikasnost (1,9%), drugi razlozi (4,8%) i slabo pridržavanje protokola (1%). Teriflunomid u dozi od 14 mg na dan nije bio statistički superioran prema interferonu beta-1a u primarnom parametru praćenja studije: procenat pacijenata koji nisu odgovorili na l</w:t>
      </w:r>
      <w:r w:rsidR="008A3D46" w:rsidRPr="00B14EBB">
        <w:rPr>
          <w:sz w:val="22"/>
          <w:szCs w:val="22"/>
          <w:lang w:val="sr-Latn-ME" w:eastAsia="sr-Latn-CS"/>
        </w:rPr>
        <w:t>ij</w:t>
      </w:r>
      <w:r w:rsidRPr="00B14EBB">
        <w:rPr>
          <w:sz w:val="22"/>
          <w:szCs w:val="22"/>
          <w:lang w:val="sr-Latn-ME" w:eastAsia="sr-Latn-CS"/>
        </w:rPr>
        <w:t>ečenje u 96. ned</w:t>
      </w:r>
      <w:r w:rsidR="00B31671" w:rsidRPr="00B14EBB">
        <w:rPr>
          <w:sz w:val="22"/>
          <w:szCs w:val="22"/>
          <w:lang w:val="sr-Latn-ME" w:eastAsia="sr-Latn-CS"/>
        </w:rPr>
        <w:t>j</w:t>
      </w:r>
      <w:r w:rsidRPr="00B14EBB">
        <w:rPr>
          <w:sz w:val="22"/>
          <w:szCs w:val="22"/>
          <w:lang w:val="sr-Latn-ME" w:eastAsia="sr-Latn-CS"/>
        </w:rPr>
        <w:t xml:space="preserve">elji, određen </w:t>
      </w:r>
      <w:r w:rsidRPr="00B14EBB">
        <w:rPr>
          <w:i/>
          <w:sz w:val="22"/>
          <w:szCs w:val="22"/>
          <w:lang w:val="sr-Latn-ME" w:eastAsia="sr-Latn-CS"/>
        </w:rPr>
        <w:t>Kaplan-Meier</w:t>
      </w:r>
      <w:r w:rsidRPr="00B14EBB">
        <w:rPr>
          <w:sz w:val="22"/>
          <w:szCs w:val="22"/>
          <w:lang w:val="sr-Latn-ME" w:eastAsia="sr-Latn-CS"/>
        </w:rPr>
        <w:t>-ovom metodom, iznosio je 41,1% nasuprot 44,4% (teriflunomid u dozi od 14 mg nasuprot interferona beta-1a, p=0,595).</w:t>
      </w:r>
    </w:p>
    <w:p w14:paraId="1A1594FE" w14:textId="77777777" w:rsidR="00136A0D" w:rsidRPr="00B14EBB" w:rsidRDefault="00136A0D" w:rsidP="00545126">
      <w:pPr>
        <w:widowControl w:val="0"/>
        <w:autoSpaceDE w:val="0"/>
        <w:autoSpaceDN w:val="0"/>
        <w:adjustRightInd w:val="0"/>
        <w:jc w:val="both"/>
        <w:rPr>
          <w:rFonts w:eastAsia="Calibri"/>
          <w:sz w:val="22"/>
          <w:szCs w:val="22"/>
          <w:lang w:val="sr-Latn-ME"/>
        </w:rPr>
      </w:pPr>
    </w:p>
    <w:p w14:paraId="49018A72" w14:textId="77777777" w:rsidR="00136A0D" w:rsidRPr="00B14EBB" w:rsidRDefault="00136A0D" w:rsidP="00545126">
      <w:pPr>
        <w:widowControl w:val="0"/>
        <w:autoSpaceDE w:val="0"/>
        <w:autoSpaceDN w:val="0"/>
        <w:adjustRightInd w:val="0"/>
        <w:jc w:val="both"/>
        <w:rPr>
          <w:rFonts w:eastAsia="Calibri"/>
          <w:sz w:val="22"/>
          <w:szCs w:val="22"/>
          <w:u w:val="single"/>
          <w:lang w:val="sr-Latn-ME"/>
        </w:rPr>
      </w:pPr>
      <w:r w:rsidRPr="00B14EBB">
        <w:rPr>
          <w:rFonts w:eastAsia="Calibri"/>
          <w:sz w:val="22"/>
          <w:szCs w:val="22"/>
          <w:u w:val="single"/>
          <w:lang w:val="sr-Latn-ME"/>
        </w:rPr>
        <w:t>Pedijatrijska populacija</w:t>
      </w:r>
    </w:p>
    <w:p w14:paraId="5B291DC4" w14:textId="77777777" w:rsidR="00136A0D" w:rsidRPr="00B14EBB" w:rsidRDefault="00136A0D" w:rsidP="00545126">
      <w:pPr>
        <w:widowControl w:val="0"/>
        <w:autoSpaceDE w:val="0"/>
        <w:autoSpaceDN w:val="0"/>
        <w:adjustRightInd w:val="0"/>
        <w:jc w:val="both"/>
        <w:rPr>
          <w:rFonts w:eastAsia="Calibri"/>
          <w:i/>
          <w:iCs/>
          <w:sz w:val="22"/>
          <w:szCs w:val="22"/>
          <w:lang w:val="sr-Latn-ME"/>
        </w:rPr>
      </w:pPr>
    </w:p>
    <w:p w14:paraId="5367C6B0" w14:textId="2C74C97E" w:rsidR="00136A0D" w:rsidRPr="00B14EBB" w:rsidRDefault="00136A0D" w:rsidP="00545126">
      <w:pPr>
        <w:widowControl w:val="0"/>
        <w:autoSpaceDE w:val="0"/>
        <w:autoSpaceDN w:val="0"/>
        <w:adjustRightInd w:val="0"/>
        <w:jc w:val="both"/>
        <w:rPr>
          <w:rFonts w:eastAsia="Calibri"/>
          <w:i/>
          <w:iCs/>
          <w:sz w:val="22"/>
          <w:szCs w:val="22"/>
          <w:lang w:val="sr-Latn-ME"/>
        </w:rPr>
      </w:pPr>
      <w:r w:rsidRPr="00B14EBB">
        <w:rPr>
          <w:rFonts w:eastAsia="Calibri"/>
          <w:i/>
          <w:iCs/>
          <w:sz w:val="22"/>
          <w:szCs w:val="22"/>
          <w:lang w:val="sr-Latn-ME"/>
        </w:rPr>
        <w:t>D</w:t>
      </w:r>
      <w:r w:rsidR="007F43CC" w:rsidRPr="00B14EBB">
        <w:rPr>
          <w:rFonts w:eastAsia="Calibri"/>
          <w:i/>
          <w:iCs/>
          <w:sz w:val="22"/>
          <w:szCs w:val="22"/>
          <w:lang w:val="sr-Latn-ME"/>
        </w:rPr>
        <w:t>j</w:t>
      </w:r>
      <w:r w:rsidRPr="00B14EBB">
        <w:rPr>
          <w:rFonts w:eastAsia="Calibri"/>
          <w:i/>
          <w:iCs/>
          <w:sz w:val="22"/>
          <w:szCs w:val="22"/>
          <w:lang w:val="sr-Latn-ME"/>
        </w:rPr>
        <w:t>eca i adolescenti (uzrasta od 10 do 17 godina)</w:t>
      </w:r>
    </w:p>
    <w:p w14:paraId="4F3E29A6" w14:textId="0D56CF64" w:rsidR="00136A0D" w:rsidRPr="00B14EBB" w:rsidRDefault="00136A0D"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Ispitivanje EFC11759/TERIKIDS bilo je internacionalno dvostruko sl</w:t>
      </w:r>
      <w:r w:rsidR="007F43CC" w:rsidRPr="00B14EBB">
        <w:rPr>
          <w:rFonts w:eastAsia="Calibri"/>
          <w:sz w:val="22"/>
          <w:szCs w:val="22"/>
          <w:lang w:val="sr-Latn-ME"/>
        </w:rPr>
        <w:t>ij</w:t>
      </w:r>
      <w:r w:rsidRPr="00B14EBB">
        <w:rPr>
          <w:rFonts w:eastAsia="Calibri"/>
          <w:sz w:val="22"/>
          <w:szCs w:val="22"/>
          <w:lang w:val="sr-Latn-ME"/>
        </w:rPr>
        <w:t>epo, placebom kontrolisano ispitivanje kod pedijatrijskih pacijenata uzrasta od 10 do 17 godina sa relapsno-remitentnom multiplom sklerozom, koje je proc</w:t>
      </w:r>
      <w:r w:rsidR="007F43CC" w:rsidRPr="00B14EBB">
        <w:rPr>
          <w:rFonts w:eastAsia="Calibri"/>
          <w:sz w:val="22"/>
          <w:szCs w:val="22"/>
          <w:lang w:val="sr-Latn-ME"/>
        </w:rPr>
        <w:t>ij</w:t>
      </w:r>
      <w:r w:rsidRPr="00B14EBB">
        <w:rPr>
          <w:rFonts w:eastAsia="Calibri"/>
          <w:sz w:val="22"/>
          <w:szCs w:val="22"/>
          <w:lang w:val="sr-Latn-ME"/>
        </w:rPr>
        <w:t>enilo doze teriflunomida koje su se prim</w:t>
      </w:r>
      <w:r w:rsidR="007F43CC" w:rsidRPr="00B14EBB">
        <w:rPr>
          <w:rFonts w:eastAsia="Calibri"/>
          <w:sz w:val="22"/>
          <w:szCs w:val="22"/>
          <w:lang w:val="sr-Latn-ME"/>
        </w:rPr>
        <w:t>j</w:t>
      </w:r>
      <w:r w:rsidRPr="00B14EBB">
        <w:rPr>
          <w:rFonts w:eastAsia="Calibri"/>
          <w:sz w:val="22"/>
          <w:szCs w:val="22"/>
          <w:lang w:val="sr-Latn-ME"/>
        </w:rPr>
        <w:t>enjivale jednom dnevno (bile su prilagođene kako bi se postigla izloženost ekvivalentna dozi od 14 mg kod odraslih) tokom najviše do 96 ned</w:t>
      </w:r>
      <w:r w:rsidR="00B31671" w:rsidRPr="00B14EBB">
        <w:rPr>
          <w:rFonts w:eastAsia="Calibri"/>
          <w:sz w:val="22"/>
          <w:szCs w:val="22"/>
          <w:lang w:val="sr-Latn-ME"/>
        </w:rPr>
        <w:t>j</w:t>
      </w:r>
      <w:r w:rsidRPr="00B14EBB">
        <w:rPr>
          <w:rFonts w:eastAsia="Calibri"/>
          <w:sz w:val="22"/>
          <w:szCs w:val="22"/>
          <w:lang w:val="sr-Latn-ME"/>
        </w:rPr>
        <w:t>elja nakon čega je usl</w:t>
      </w:r>
      <w:r w:rsidR="0028045D" w:rsidRPr="00B14EBB">
        <w:rPr>
          <w:rFonts w:eastAsia="Calibri"/>
          <w:sz w:val="22"/>
          <w:szCs w:val="22"/>
          <w:lang w:val="sr-Latn-ME"/>
        </w:rPr>
        <w:t>ij</w:t>
      </w:r>
      <w:r w:rsidRPr="00B14EBB">
        <w:rPr>
          <w:rFonts w:eastAsia="Calibri"/>
          <w:sz w:val="22"/>
          <w:szCs w:val="22"/>
          <w:lang w:val="sr-Latn-ME"/>
        </w:rPr>
        <w:t>edio otvoreni nastavak ispitivanja. Svi pacijenti su doživ</w:t>
      </w:r>
      <w:r w:rsidR="0028045D" w:rsidRPr="00B14EBB">
        <w:rPr>
          <w:rFonts w:eastAsia="Calibri"/>
          <w:sz w:val="22"/>
          <w:szCs w:val="22"/>
          <w:lang w:val="sr-Latn-ME"/>
        </w:rPr>
        <w:t>j</w:t>
      </w:r>
      <w:r w:rsidRPr="00B14EBB">
        <w:rPr>
          <w:rFonts w:eastAsia="Calibri"/>
          <w:sz w:val="22"/>
          <w:szCs w:val="22"/>
          <w:lang w:val="sr-Latn-ME"/>
        </w:rPr>
        <w:t>eli najmanje 1 relaps tokom 1 godine ili najmanje 2 relapsa tokom 2 godine koje su prethodile ispitivanju. Neurološke proc</w:t>
      </w:r>
      <w:r w:rsidR="0028045D" w:rsidRPr="00B14EBB">
        <w:rPr>
          <w:rFonts w:eastAsia="Calibri"/>
          <w:sz w:val="22"/>
          <w:szCs w:val="22"/>
          <w:lang w:val="sr-Latn-ME"/>
        </w:rPr>
        <w:t>j</w:t>
      </w:r>
      <w:r w:rsidRPr="00B14EBB">
        <w:rPr>
          <w:rFonts w:eastAsia="Calibri"/>
          <w:sz w:val="22"/>
          <w:szCs w:val="22"/>
          <w:lang w:val="sr-Latn-ME"/>
        </w:rPr>
        <w:t>ene sprovedene su kod skrininga i svake 24 ned</w:t>
      </w:r>
      <w:r w:rsidR="00B31671" w:rsidRPr="00B14EBB">
        <w:rPr>
          <w:rFonts w:eastAsia="Calibri"/>
          <w:sz w:val="22"/>
          <w:szCs w:val="22"/>
          <w:lang w:val="sr-Latn-ME"/>
        </w:rPr>
        <w:t>j</w:t>
      </w:r>
      <w:r w:rsidRPr="00B14EBB">
        <w:rPr>
          <w:rFonts w:eastAsia="Calibri"/>
          <w:sz w:val="22"/>
          <w:szCs w:val="22"/>
          <w:lang w:val="sr-Latn-ME"/>
        </w:rPr>
        <w:t>elje do završetka ispitivanja, kao i kod neplaniranih pos</w:t>
      </w:r>
      <w:r w:rsidR="0028045D" w:rsidRPr="00B14EBB">
        <w:rPr>
          <w:rFonts w:eastAsia="Calibri"/>
          <w:sz w:val="22"/>
          <w:szCs w:val="22"/>
          <w:lang w:val="sr-Latn-ME"/>
        </w:rPr>
        <w:t>j</w:t>
      </w:r>
      <w:r w:rsidRPr="00B14EBB">
        <w:rPr>
          <w:rFonts w:eastAsia="Calibri"/>
          <w:sz w:val="22"/>
          <w:szCs w:val="22"/>
          <w:lang w:val="sr-Latn-ME"/>
        </w:rPr>
        <w:t>eta l</w:t>
      </w:r>
      <w:r w:rsidR="0028045D" w:rsidRPr="00B14EBB">
        <w:rPr>
          <w:rFonts w:eastAsia="Calibri"/>
          <w:sz w:val="22"/>
          <w:szCs w:val="22"/>
          <w:lang w:val="sr-Latn-ME"/>
        </w:rPr>
        <w:t>j</w:t>
      </w:r>
      <w:r w:rsidRPr="00B14EBB">
        <w:rPr>
          <w:rFonts w:eastAsia="Calibri"/>
          <w:sz w:val="22"/>
          <w:szCs w:val="22"/>
          <w:lang w:val="sr-Latn-ME"/>
        </w:rPr>
        <w:t>ekaru zbog sumnji na relaps. Pacijenti sa kliničkim relapsom ili visokom MRI aktivnosti od najmanje 5 novih ili povećavajućih T2 lezija na 2 uzastopna snimka prebačeni su pr</w:t>
      </w:r>
      <w:r w:rsidR="0028045D" w:rsidRPr="00B14EBB">
        <w:rPr>
          <w:rFonts w:eastAsia="Calibri"/>
          <w:sz w:val="22"/>
          <w:szCs w:val="22"/>
          <w:lang w:val="sr-Latn-ME"/>
        </w:rPr>
        <w:t>ij</w:t>
      </w:r>
      <w:r w:rsidRPr="00B14EBB">
        <w:rPr>
          <w:rFonts w:eastAsia="Calibri"/>
          <w:sz w:val="22"/>
          <w:szCs w:val="22"/>
          <w:lang w:val="sr-Latn-ME"/>
        </w:rPr>
        <w:t>e isteka 96 ned</w:t>
      </w:r>
      <w:r w:rsidR="00B31671" w:rsidRPr="00B14EBB">
        <w:rPr>
          <w:rFonts w:eastAsia="Calibri"/>
          <w:sz w:val="22"/>
          <w:szCs w:val="22"/>
          <w:lang w:val="sr-Latn-ME"/>
        </w:rPr>
        <w:t>j</w:t>
      </w:r>
      <w:r w:rsidRPr="00B14EBB">
        <w:rPr>
          <w:rFonts w:eastAsia="Calibri"/>
          <w:sz w:val="22"/>
          <w:szCs w:val="22"/>
          <w:lang w:val="sr-Latn-ME"/>
        </w:rPr>
        <w:t>elja na otvoreni nastavak ispitivanja kako bi se osiguralo aktivno l</w:t>
      </w:r>
      <w:r w:rsidR="0028045D" w:rsidRPr="00B14EBB">
        <w:rPr>
          <w:rFonts w:eastAsia="Calibri"/>
          <w:sz w:val="22"/>
          <w:szCs w:val="22"/>
          <w:lang w:val="sr-Latn-ME"/>
        </w:rPr>
        <w:t>ij</w:t>
      </w:r>
      <w:r w:rsidRPr="00B14EBB">
        <w:rPr>
          <w:rFonts w:eastAsia="Calibri"/>
          <w:sz w:val="22"/>
          <w:szCs w:val="22"/>
          <w:lang w:val="sr-Latn-ME"/>
        </w:rPr>
        <w:t>ečenje. Primarni ishod bio je vr</w:t>
      </w:r>
      <w:r w:rsidR="0028045D" w:rsidRPr="00B14EBB">
        <w:rPr>
          <w:rFonts w:eastAsia="Calibri"/>
          <w:sz w:val="22"/>
          <w:szCs w:val="22"/>
          <w:lang w:val="sr-Latn-ME"/>
        </w:rPr>
        <w:t>ij</w:t>
      </w:r>
      <w:r w:rsidRPr="00B14EBB">
        <w:rPr>
          <w:rFonts w:eastAsia="Calibri"/>
          <w:sz w:val="22"/>
          <w:szCs w:val="22"/>
          <w:lang w:val="sr-Latn-ME"/>
        </w:rPr>
        <w:t>eme do prvog kliničkog relapsa nakon randomizacije. Vr</w:t>
      </w:r>
      <w:r w:rsidR="0028045D" w:rsidRPr="00B14EBB">
        <w:rPr>
          <w:rFonts w:eastAsia="Calibri"/>
          <w:sz w:val="22"/>
          <w:szCs w:val="22"/>
          <w:lang w:val="sr-Latn-ME"/>
        </w:rPr>
        <w:t>ij</w:t>
      </w:r>
      <w:r w:rsidRPr="00B14EBB">
        <w:rPr>
          <w:rFonts w:eastAsia="Calibri"/>
          <w:sz w:val="22"/>
          <w:szCs w:val="22"/>
          <w:lang w:val="sr-Latn-ME"/>
        </w:rPr>
        <w:t>eme do prvog potvrđenog kliničkog relapsa ili visoke MRI aktivnosti, šta god je prvo nastupilo, unapr</w:t>
      </w:r>
      <w:r w:rsidR="0028045D" w:rsidRPr="00B14EBB">
        <w:rPr>
          <w:rFonts w:eastAsia="Calibri"/>
          <w:sz w:val="22"/>
          <w:szCs w:val="22"/>
          <w:lang w:val="sr-Latn-ME"/>
        </w:rPr>
        <w:t>ij</w:t>
      </w:r>
      <w:r w:rsidRPr="00B14EBB">
        <w:rPr>
          <w:rFonts w:eastAsia="Calibri"/>
          <w:sz w:val="22"/>
          <w:szCs w:val="22"/>
          <w:lang w:val="sr-Latn-ME"/>
        </w:rPr>
        <w:t>ed je definisano kao analiza os</w:t>
      </w:r>
      <w:r w:rsidR="0028045D" w:rsidRPr="00B14EBB">
        <w:rPr>
          <w:rFonts w:eastAsia="Calibri"/>
          <w:sz w:val="22"/>
          <w:szCs w:val="22"/>
          <w:lang w:val="sr-Latn-ME"/>
        </w:rPr>
        <w:t>j</w:t>
      </w:r>
      <w:r w:rsidRPr="00B14EBB">
        <w:rPr>
          <w:rFonts w:eastAsia="Calibri"/>
          <w:sz w:val="22"/>
          <w:szCs w:val="22"/>
          <w:lang w:val="sr-Latn-ME"/>
        </w:rPr>
        <w:t>etljivosti jer uključuje i kliničke i MRI uslove za prelaz na otvoreni period.</w:t>
      </w:r>
    </w:p>
    <w:p w14:paraId="1ED0ABBC" w14:textId="77777777" w:rsidR="00136A0D" w:rsidRPr="00B14EBB" w:rsidRDefault="00136A0D" w:rsidP="00545126">
      <w:pPr>
        <w:widowControl w:val="0"/>
        <w:autoSpaceDE w:val="0"/>
        <w:autoSpaceDN w:val="0"/>
        <w:adjustRightInd w:val="0"/>
        <w:jc w:val="both"/>
        <w:rPr>
          <w:rFonts w:eastAsia="Calibri"/>
          <w:sz w:val="22"/>
          <w:szCs w:val="22"/>
          <w:lang w:val="sr-Latn-ME"/>
        </w:rPr>
      </w:pPr>
    </w:p>
    <w:p w14:paraId="46590A63" w14:textId="622AA4F7" w:rsidR="00136A0D" w:rsidRPr="00B14EBB" w:rsidRDefault="00136A0D"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lastRenderedPageBreak/>
        <w:t>Ukupno je randomizovano 166 pacijenata u odnosu 2:1 kako bi primali teriflunomid (n=109) ili placebo (n=57). Pacijenti su pri ulasku u ispitivanje imali EDSS rezultat ≤ 5,5; pros</w:t>
      </w:r>
      <w:r w:rsidR="0028045D" w:rsidRPr="00B14EBB">
        <w:rPr>
          <w:rFonts w:eastAsia="Calibri"/>
          <w:sz w:val="22"/>
          <w:szCs w:val="22"/>
          <w:lang w:val="sr-Latn-ME"/>
        </w:rPr>
        <w:t>j</w:t>
      </w:r>
      <w:r w:rsidRPr="00B14EBB">
        <w:rPr>
          <w:rFonts w:eastAsia="Calibri"/>
          <w:sz w:val="22"/>
          <w:szCs w:val="22"/>
          <w:lang w:val="sr-Latn-ME"/>
        </w:rPr>
        <w:t>ečnu starost od 14,6 godina; pros</w:t>
      </w:r>
      <w:r w:rsidR="0028045D" w:rsidRPr="00B14EBB">
        <w:rPr>
          <w:rFonts w:eastAsia="Calibri"/>
          <w:sz w:val="22"/>
          <w:szCs w:val="22"/>
          <w:lang w:val="sr-Latn-ME"/>
        </w:rPr>
        <w:t>j</w:t>
      </w:r>
      <w:r w:rsidRPr="00B14EBB">
        <w:rPr>
          <w:rFonts w:eastAsia="Calibri"/>
          <w:sz w:val="22"/>
          <w:szCs w:val="22"/>
          <w:lang w:val="sr-Latn-ME"/>
        </w:rPr>
        <w:t>ečnu težinu od 58,1 kg; pros</w:t>
      </w:r>
      <w:r w:rsidR="0028045D" w:rsidRPr="00B14EBB">
        <w:rPr>
          <w:rFonts w:eastAsia="Calibri"/>
          <w:sz w:val="22"/>
          <w:szCs w:val="22"/>
          <w:lang w:val="sr-Latn-ME"/>
        </w:rPr>
        <w:t>j</w:t>
      </w:r>
      <w:r w:rsidRPr="00B14EBB">
        <w:rPr>
          <w:rFonts w:eastAsia="Calibri"/>
          <w:sz w:val="22"/>
          <w:szCs w:val="22"/>
          <w:lang w:val="sr-Latn-ME"/>
        </w:rPr>
        <w:t>ečno trajanje bolesti od trenutka dijagnoze bilo je 1,4 godine; a srednji broj T1 lezija za koju se vezuje gadolinijum po MRI snimku iznosio je 3,9 lezije na početku l</w:t>
      </w:r>
      <w:r w:rsidR="0028045D" w:rsidRPr="00B14EBB">
        <w:rPr>
          <w:rFonts w:eastAsia="Calibri"/>
          <w:sz w:val="22"/>
          <w:szCs w:val="22"/>
          <w:lang w:val="sr-Latn-ME"/>
        </w:rPr>
        <w:t>ij</w:t>
      </w:r>
      <w:r w:rsidRPr="00B14EBB">
        <w:rPr>
          <w:rFonts w:eastAsia="Calibri"/>
          <w:sz w:val="22"/>
          <w:szCs w:val="22"/>
          <w:lang w:val="sr-Latn-ME"/>
        </w:rPr>
        <w:t>ečenja. Svi pacijenti su imali relapsno-remitentnu multiplu sklerozu sa medijanom EDSS rezultata od 1,5 na početku l</w:t>
      </w:r>
      <w:r w:rsidR="0028045D" w:rsidRPr="00B14EBB">
        <w:rPr>
          <w:rFonts w:eastAsia="Calibri"/>
          <w:sz w:val="22"/>
          <w:szCs w:val="22"/>
          <w:lang w:val="sr-Latn-ME"/>
        </w:rPr>
        <w:t>ij</w:t>
      </w:r>
      <w:r w:rsidRPr="00B14EBB">
        <w:rPr>
          <w:rFonts w:eastAsia="Calibri"/>
          <w:sz w:val="22"/>
          <w:szCs w:val="22"/>
          <w:lang w:val="sr-Latn-ME"/>
        </w:rPr>
        <w:t>ečenja. Pros</w:t>
      </w:r>
      <w:r w:rsidR="0028045D" w:rsidRPr="00B14EBB">
        <w:rPr>
          <w:rFonts w:eastAsia="Calibri"/>
          <w:sz w:val="22"/>
          <w:szCs w:val="22"/>
          <w:lang w:val="sr-Latn-ME"/>
        </w:rPr>
        <w:t>j</w:t>
      </w:r>
      <w:r w:rsidRPr="00B14EBB">
        <w:rPr>
          <w:rFonts w:eastAsia="Calibri"/>
          <w:sz w:val="22"/>
          <w:szCs w:val="22"/>
          <w:lang w:val="sr-Latn-ME"/>
        </w:rPr>
        <w:t>ečno vr</w:t>
      </w:r>
      <w:r w:rsidR="0028045D" w:rsidRPr="00B14EBB">
        <w:rPr>
          <w:rFonts w:eastAsia="Calibri"/>
          <w:sz w:val="22"/>
          <w:szCs w:val="22"/>
          <w:lang w:val="sr-Latn-ME"/>
        </w:rPr>
        <w:t>ij</w:t>
      </w:r>
      <w:r w:rsidRPr="00B14EBB">
        <w:rPr>
          <w:rFonts w:eastAsia="Calibri"/>
          <w:sz w:val="22"/>
          <w:szCs w:val="22"/>
          <w:lang w:val="sr-Latn-ME"/>
        </w:rPr>
        <w:t>eme trajanja l</w:t>
      </w:r>
      <w:r w:rsidR="0028045D" w:rsidRPr="00B14EBB">
        <w:rPr>
          <w:rFonts w:eastAsia="Calibri"/>
          <w:sz w:val="22"/>
          <w:szCs w:val="22"/>
          <w:lang w:val="sr-Latn-ME"/>
        </w:rPr>
        <w:t>ij</w:t>
      </w:r>
      <w:r w:rsidRPr="00B14EBB">
        <w:rPr>
          <w:rFonts w:eastAsia="Calibri"/>
          <w:sz w:val="22"/>
          <w:szCs w:val="22"/>
          <w:lang w:val="sr-Latn-ME"/>
        </w:rPr>
        <w:t>ečenja iznosilo je 362 dana kod pacijenata koji su primali placebo i 488 dana kod pacijenata koji su primali teriflunomid. Prelaz iz razdoblja dvostruko sl</w:t>
      </w:r>
      <w:r w:rsidR="0028045D" w:rsidRPr="00B14EBB">
        <w:rPr>
          <w:rFonts w:eastAsia="Calibri"/>
          <w:sz w:val="22"/>
          <w:szCs w:val="22"/>
          <w:lang w:val="sr-Latn-ME"/>
        </w:rPr>
        <w:t>ij</w:t>
      </w:r>
      <w:r w:rsidRPr="00B14EBB">
        <w:rPr>
          <w:rFonts w:eastAsia="Calibri"/>
          <w:sz w:val="22"/>
          <w:szCs w:val="22"/>
          <w:lang w:val="sr-Latn-ME"/>
        </w:rPr>
        <w:t>epog ispitivanja u otvoreno ispitivanje l</w:t>
      </w:r>
      <w:r w:rsidR="0028045D" w:rsidRPr="00B14EBB">
        <w:rPr>
          <w:rFonts w:eastAsia="Calibri"/>
          <w:sz w:val="22"/>
          <w:szCs w:val="22"/>
          <w:lang w:val="sr-Latn-ME"/>
        </w:rPr>
        <w:t>ij</w:t>
      </w:r>
      <w:r w:rsidRPr="00B14EBB">
        <w:rPr>
          <w:rFonts w:eastAsia="Calibri"/>
          <w:sz w:val="22"/>
          <w:szCs w:val="22"/>
          <w:lang w:val="sr-Latn-ME"/>
        </w:rPr>
        <w:t>ečenja, zbog visoke MRI aktivnosti, bio je češći nego što se očekivalo, a češći i raniji u grupi koja je primala placebo nego u grupi koja je primala teriflunomid (26% kod pacijenata koji su primali placebo i 13% kod pacijenata koji su primali teriflunomid).</w:t>
      </w:r>
    </w:p>
    <w:p w14:paraId="7E28E162" w14:textId="4ADF70A1" w:rsidR="00136A0D" w:rsidRPr="00B14EBB" w:rsidRDefault="00136A0D"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Teriflunomid je smanjio rizik od kliničkog relapsa za 34% u odnosu na placebo, bez dostizanja statističke</w:t>
      </w:r>
      <w:r w:rsidR="0028045D" w:rsidRPr="00B14EBB">
        <w:rPr>
          <w:rFonts w:eastAsia="Calibri"/>
          <w:sz w:val="22"/>
          <w:szCs w:val="22"/>
          <w:lang w:val="sr-Latn-ME"/>
        </w:rPr>
        <w:t xml:space="preserve"> </w:t>
      </w:r>
      <w:r w:rsidRPr="00B14EBB">
        <w:rPr>
          <w:rFonts w:eastAsia="Calibri"/>
          <w:sz w:val="22"/>
          <w:szCs w:val="22"/>
          <w:lang w:val="sr-Latn-ME"/>
        </w:rPr>
        <w:t>značajnosti (p=0,29) (Tabela 2). U unapr</w:t>
      </w:r>
      <w:r w:rsidR="0028045D" w:rsidRPr="00B14EBB">
        <w:rPr>
          <w:rFonts w:eastAsia="Calibri"/>
          <w:sz w:val="22"/>
          <w:szCs w:val="22"/>
          <w:lang w:val="sr-Latn-ME"/>
        </w:rPr>
        <w:t>ij</w:t>
      </w:r>
      <w:r w:rsidRPr="00B14EBB">
        <w:rPr>
          <w:rFonts w:eastAsia="Calibri"/>
          <w:sz w:val="22"/>
          <w:szCs w:val="22"/>
          <w:lang w:val="sr-Latn-ME"/>
        </w:rPr>
        <w:t>ed definisanoj analizi os</w:t>
      </w:r>
      <w:r w:rsidR="0028045D" w:rsidRPr="00B14EBB">
        <w:rPr>
          <w:rFonts w:eastAsia="Calibri"/>
          <w:sz w:val="22"/>
          <w:szCs w:val="22"/>
          <w:lang w:val="sr-Latn-ME"/>
        </w:rPr>
        <w:t>j</w:t>
      </w:r>
      <w:r w:rsidRPr="00B14EBB">
        <w:rPr>
          <w:rFonts w:eastAsia="Calibri"/>
          <w:sz w:val="22"/>
          <w:szCs w:val="22"/>
          <w:lang w:val="sr-Latn-ME"/>
        </w:rPr>
        <w:t>etljivosti, teriflunomid je postigao statistički značajno smanjenje kombinovanog rizika od kliničkog relapsa ili visoke MRI aktivnosti za 43% u odnosu na placebo (p=0,04) (Tabela 2).</w:t>
      </w:r>
    </w:p>
    <w:p w14:paraId="015B74E6" w14:textId="77777777" w:rsidR="00136A0D" w:rsidRPr="00B14EBB" w:rsidRDefault="00136A0D" w:rsidP="00545126">
      <w:pPr>
        <w:widowControl w:val="0"/>
        <w:autoSpaceDE w:val="0"/>
        <w:autoSpaceDN w:val="0"/>
        <w:adjustRightInd w:val="0"/>
        <w:jc w:val="both"/>
        <w:rPr>
          <w:rFonts w:eastAsia="Calibri"/>
          <w:sz w:val="22"/>
          <w:szCs w:val="22"/>
          <w:lang w:val="sr-Latn-ME"/>
        </w:rPr>
      </w:pPr>
    </w:p>
    <w:p w14:paraId="2CA05E9E" w14:textId="77777777" w:rsidR="00136A0D" w:rsidRPr="00B14EBB" w:rsidRDefault="00136A0D"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Teriflunomid je značajno smanjio broj novih i povećavajućih T2 lezija po snimku za 55% (p=0,0006) (</w:t>
      </w:r>
      <w:r w:rsidRPr="00B14EBB">
        <w:rPr>
          <w:rFonts w:eastAsia="Calibri"/>
          <w:i/>
          <w:iCs/>
          <w:sz w:val="22"/>
          <w:szCs w:val="22"/>
          <w:lang w:val="sr-Latn-ME"/>
        </w:rPr>
        <w:t xml:space="preserve">post-hoc </w:t>
      </w:r>
      <w:r w:rsidRPr="00B14EBB">
        <w:rPr>
          <w:rFonts w:eastAsia="Calibri"/>
          <w:sz w:val="22"/>
          <w:szCs w:val="22"/>
          <w:lang w:val="sr-Latn-ME"/>
        </w:rPr>
        <w:t>analiza prilagođena početnom broju T2 lezija: 34%, p=0,0446), i broj T1 lezija za koju se vezuje gadolinijum po snimku za 75% (p&lt;0,001) (Tabela 2).</w:t>
      </w:r>
    </w:p>
    <w:p w14:paraId="1F5A9CAF" w14:textId="6264C627" w:rsidR="00136A0D" w:rsidRPr="00B14EBB" w:rsidRDefault="00136A0D" w:rsidP="00545126">
      <w:pPr>
        <w:widowControl w:val="0"/>
        <w:autoSpaceDE w:val="0"/>
        <w:autoSpaceDN w:val="0"/>
        <w:adjustRightInd w:val="0"/>
        <w:jc w:val="both"/>
        <w:rPr>
          <w:sz w:val="22"/>
          <w:szCs w:val="22"/>
          <w:lang w:val="sr-Latn-ME" w:eastAsia="sr-Latn-CS"/>
        </w:rPr>
      </w:pPr>
    </w:p>
    <w:p w14:paraId="723996E9" w14:textId="77777777" w:rsidR="00136A0D" w:rsidRPr="00B14EBB" w:rsidRDefault="00136A0D" w:rsidP="00545126">
      <w:pPr>
        <w:widowControl w:val="0"/>
        <w:jc w:val="both"/>
        <w:rPr>
          <w:sz w:val="22"/>
          <w:szCs w:val="22"/>
          <w:lang w:val="sr-Latn-ME"/>
        </w:rPr>
      </w:pPr>
      <w:r w:rsidRPr="00B14EBB">
        <w:rPr>
          <w:b/>
          <w:bCs/>
          <w:sz w:val="22"/>
          <w:szCs w:val="22"/>
          <w:lang w:val="sr-Latn-ME"/>
        </w:rPr>
        <w:t>Tabela 2 – Klinički i MRI rezultati ispitivanja EFC11759/TERIKIDS</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1"/>
        <w:gridCol w:w="1704"/>
        <w:gridCol w:w="1836"/>
      </w:tblGrid>
      <w:tr w:rsidR="00136A0D" w:rsidRPr="00B14EBB" w14:paraId="4F0F91CC" w14:textId="77777777" w:rsidTr="00B14EBB">
        <w:tc>
          <w:tcPr>
            <w:tcW w:w="5521" w:type="dxa"/>
            <w:shd w:val="clear" w:color="auto" w:fill="auto"/>
          </w:tcPr>
          <w:p w14:paraId="265F6D15" w14:textId="77777777" w:rsidR="00136A0D" w:rsidRPr="00B14EBB" w:rsidRDefault="00136A0D" w:rsidP="00545126">
            <w:pPr>
              <w:widowControl w:val="0"/>
              <w:jc w:val="both"/>
              <w:rPr>
                <w:sz w:val="22"/>
                <w:szCs w:val="22"/>
                <w:lang w:val="sr-Latn-ME"/>
              </w:rPr>
            </w:pPr>
            <w:r w:rsidRPr="00B14EBB">
              <w:rPr>
                <w:b/>
                <w:bCs/>
                <w:sz w:val="22"/>
                <w:szCs w:val="22"/>
                <w:lang w:val="sr-Latn-ME"/>
              </w:rPr>
              <w:t>EFC11759 ITT populacija</w:t>
            </w:r>
          </w:p>
        </w:tc>
        <w:tc>
          <w:tcPr>
            <w:tcW w:w="1704" w:type="dxa"/>
            <w:shd w:val="clear" w:color="auto" w:fill="auto"/>
          </w:tcPr>
          <w:p w14:paraId="35E8873C" w14:textId="77777777" w:rsidR="00136A0D" w:rsidRPr="00B14EBB" w:rsidRDefault="00136A0D" w:rsidP="00545126">
            <w:pPr>
              <w:pStyle w:val="Default"/>
              <w:widowControl w:val="0"/>
              <w:jc w:val="both"/>
              <w:rPr>
                <w:sz w:val="22"/>
                <w:szCs w:val="22"/>
                <w:lang w:val="sr-Latn-ME"/>
              </w:rPr>
            </w:pPr>
            <w:r w:rsidRPr="00B14EBB">
              <w:rPr>
                <w:b/>
                <w:bCs/>
                <w:sz w:val="22"/>
                <w:szCs w:val="22"/>
                <w:lang w:val="sr-Latn-ME"/>
              </w:rPr>
              <w:t>Teriflunomid</w:t>
            </w:r>
          </w:p>
          <w:p w14:paraId="3498E303" w14:textId="77777777" w:rsidR="00136A0D" w:rsidRPr="00B14EBB" w:rsidRDefault="00136A0D" w:rsidP="00545126">
            <w:pPr>
              <w:widowControl w:val="0"/>
              <w:jc w:val="both"/>
              <w:rPr>
                <w:sz w:val="22"/>
                <w:szCs w:val="22"/>
                <w:lang w:val="sr-Latn-ME"/>
              </w:rPr>
            </w:pPr>
            <w:r w:rsidRPr="00B14EBB">
              <w:rPr>
                <w:b/>
                <w:bCs/>
                <w:sz w:val="22"/>
                <w:szCs w:val="22"/>
                <w:lang w:val="sr-Latn-ME"/>
              </w:rPr>
              <w:t>(N=109)</w:t>
            </w:r>
          </w:p>
        </w:tc>
        <w:tc>
          <w:tcPr>
            <w:tcW w:w="1836" w:type="dxa"/>
            <w:shd w:val="clear" w:color="auto" w:fill="auto"/>
          </w:tcPr>
          <w:p w14:paraId="6849B83D" w14:textId="77777777" w:rsidR="00136A0D" w:rsidRPr="00B14EBB" w:rsidRDefault="00136A0D" w:rsidP="00545126">
            <w:pPr>
              <w:pStyle w:val="Default"/>
              <w:widowControl w:val="0"/>
              <w:jc w:val="both"/>
              <w:rPr>
                <w:sz w:val="22"/>
                <w:szCs w:val="22"/>
                <w:lang w:val="sr-Latn-ME"/>
              </w:rPr>
            </w:pPr>
            <w:r w:rsidRPr="00B14EBB">
              <w:rPr>
                <w:b/>
                <w:bCs/>
                <w:sz w:val="22"/>
                <w:szCs w:val="22"/>
                <w:lang w:val="sr-Latn-ME"/>
              </w:rPr>
              <w:t>Placebo</w:t>
            </w:r>
          </w:p>
          <w:p w14:paraId="6F2DE74E" w14:textId="77777777" w:rsidR="00136A0D" w:rsidRPr="00B14EBB" w:rsidRDefault="00136A0D" w:rsidP="00545126">
            <w:pPr>
              <w:widowControl w:val="0"/>
              <w:jc w:val="both"/>
              <w:rPr>
                <w:sz w:val="22"/>
                <w:szCs w:val="22"/>
                <w:lang w:val="sr-Latn-ME"/>
              </w:rPr>
            </w:pPr>
            <w:r w:rsidRPr="00B14EBB">
              <w:rPr>
                <w:b/>
                <w:bCs/>
                <w:sz w:val="22"/>
                <w:szCs w:val="22"/>
                <w:lang w:val="sr-Latn-ME"/>
              </w:rPr>
              <w:t>(N=57)</w:t>
            </w:r>
          </w:p>
        </w:tc>
      </w:tr>
      <w:tr w:rsidR="00136A0D" w:rsidRPr="00B14EBB" w14:paraId="3F85C298" w14:textId="77777777" w:rsidTr="00B14EBB">
        <w:tc>
          <w:tcPr>
            <w:tcW w:w="5521" w:type="dxa"/>
            <w:tcBorders>
              <w:right w:val="nil"/>
            </w:tcBorders>
            <w:shd w:val="clear" w:color="auto" w:fill="auto"/>
          </w:tcPr>
          <w:p w14:paraId="23591FB2" w14:textId="77777777" w:rsidR="00136A0D" w:rsidRPr="00B14EBB" w:rsidRDefault="00136A0D" w:rsidP="00545126">
            <w:pPr>
              <w:pStyle w:val="Default"/>
              <w:widowControl w:val="0"/>
              <w:jc w:val="both"/>
              <w:rPr>
                <w:sz w:val="22"/>
                <w:szCs w:val="22"/>
                <w:lang w:val="sr-Latn-ME"/>
              </w:rPr>
            </w:pPr>
            <w:r w:rsidRPr="00B14EBB">
              <w:rPr>
                <w:b/>
                <w:bCs/>
                <w:sz w:val="22"/>
                <w:szCs w:val="22"/>
                <w:lang w:val="sr-Latn-ME"/>
              </w:rPr>
              <w:t>Klinički ishodi</w:t>
            </w:r>
          </w:p>
        </w:tc>
        <w:tc>
          <w:tcPr>
            <w:tcW w:w="1704" w:type="dxa"/>
            <w:tcBorders>
              <w:left w:val="nil"/>
              <w:right w:val="nil"/>
            </w:tcBorders>
            <w:shd w:val="clear" w:color="auto" w:fill="auto"/>
          </w:tcPr>
          <w:p w14:paraId="2D21A850" w14:textId="77777777" w:rsidR="00136A0D" w:rsidRPr="00B14EBB" w:rsidRDefault="00136A0D" w:rsidP="00545126">
            <w:pPr>
              <w:widowControl w:val="0"/>
              <w:jc w:val="both"/>
              <w:rPr>
                <w:sz w:val="22"/>
                <w:szCs w:val="22"/>
                <w:lang w:val="sr-Latn-ME"/>
              </w:rPr>
            </w:pPr>
          </w:p>
        </w:tc>
        <w:tc>
          <w:tcPr>
            <w:tcW w:w="1836" w:type="dxa"/>
            <w:tcBorders>
              <w:left w:val="nil"/>
            </w:tcBorders>
            <w:shd w:val="clear" w:color="auto" w:fill="auto"/>
          </w:tcPr>
          <w:p w14:paraId="7F42C4D3" w14:textId="77777777" w:rsidR="00136A0D" w:rsidRPr="00B14EBB" w:rsidRDefault="00136A0D" w:rsidP="00545126">
            <w:pPr>
              <w:widowControl w:val="0"/>
              <w:jc w:val="both"/>
              <w:rPr>
                <w:sz w:val="22"/>
                <w:szCs w:val="22"/>
                <w:lang w:val="sr-Latn-ME"/>
              </w:rPr>
            </w:pPr>
          </w:p>
        </w:tc>
      </w:tr>
      <w:tr w:rsidR="00136A0D" w:rsidRPr="00B14EBB" w14:paraId="3DE5CE47" w14:textId="77777777" w:rsidTr="00B14EBB">
        <w:tc>
          <w:tcPr>
            <w:tcW w:w="5521" w:type="dxa"/>
            <w:shd w:val="clear" w:color="auto" w:fill="auto"/>
          </w:tcPr>
          <w:p w14:paraId="09872973" w14:textId="43CEA9AC" w:rsidR="00136A0D" w:rsidRPr="00B14EBB" w:rsidRDefault="00136A0D" w:rsidP="00545126">
            <w:pPr>
              <w:pStyle w:val="Default"/>
              <w:widowControl w:val="0"/>
              <w:jc w:val="both"/>
              <w:rPr>
                <w:sz w:val="22"/>
                <w:szCs w:val="22"/>
                <w:lang w:val="sr-Latn-ME"/>
              </w:rPr>
            </w:pPr>
            <w:r w:rsidRPr="00B14EBB">
              <w:rPr>
                <w:sz w:val="22"/>
                <w:szCs w:val="22"/>
                <w:lang w:val="sr-Latn-ME"/>
              </w:rPr>
              <w:t>Vr</w:t>
            </w:r>
            <w:r w:rsidR="0028045D" w:rsidRPr="00B14EBB">
              <w:rPr>
                <w:sz w:val="22"/>
                <w:szCs w:val="22"/>
                <w:lang w:val="sr-Latn-ME"/>
              </w:rPr>
              <w:t>ij</w:t>
            </w:r>
            <w:r w:rsidRPr="00B14EBB">
              <w:rPr>
                <w:sz w:val="22"/>
                <w:szCs w:val="22"/>
                <w:lang w:val="sr-Latn-ME"/>
              </w:rPr>
              <w:t>eme do prvog potvrđenog kliničkog relapsa,</w:t>
            </w:r>
          </w:p>
          <w:p w14:paraId="214DC74B" w14:textId="27FD09A2" w:rsidR="00136A0D" w:rsidRPr="00B14EBB" w:rsidRDefault="00136A0D" w:rsidP="00545126">
            <w:pPr>
              <w:pStyle w:val="Default"/>
              <w:widowControl w:val="0"/>
              <w:jc w:val="both"/>
              <w:rPr>
                <w:sz w:val="22"/>
                <w:szCs w:val="22"/>
                <w:lang w:val="sr-Latn-ME"/>
              </w:rPr>
            </w:pPr>
            <w:r w:rsidRPr="00B14EBB">
              <w:rPr>
                <w:sz w:val="22"/>
                <w:szCs w:val="22"/>
                <w:lang w:val="sr-Latn-ME"/>
              </w:rPr>
              <w:t>V</w:t>
            </w:r>
            <w:r w:rsidR="000F1226" w:rsidRPr="00B14EBB">
              <w:rPr>
                <w:sz w:val="22"/>
                <w:szCs w:val="22"/>
                <w:lang w:val="sr-Latn-ME"/>
              </w:rPr>
              <w:t>j</w:t>
            </w:r>
            <w:r w:rsidRPr="00B14EBB">
              <w:rPr>
                <w:sz w:val="22"/>
                <w:szCs w:val="22"/>
                <w:lang w:val="sr-Latn-ME"/>
              </w:rPr>
              <w:t>erovatnoća (95%CI) potvrđenog relapsa u 96. ned</w:t>
            </w:r>
            <w:r w:rsidR="00B31671" w:rsidRPr="00B14EBB">
              <w:rPr>
                <w:sz w:val="22"/>
                <w:szCs w:val="22"/>
                <w:lang w:val="sr-Latn-ME"/>
              </w:rPr>
              <w:t>j</w:t>
            </w:r>
            <w:r w:rsidRPr="00B14EBB">
              <w:rPr>
                <w:sz w:val="22"/>
                <w:szCs w:val="22"/>
                <w:lang w:val="sr-Latn-ME"/>
              </w:rPr>
              <w:t>elji</w:t>
            </w:r>
          </w:p>
          <w:p w14:paraId="3FE349A9" w14:textId="364DDDAD" w:rsidR="00136A0D" w:rsidRPr="00B14EBB" w:rsidRDefault="00136A0D" w:rsidP="00545126">
            <w:pPr>
              <w:pStyle w:val="Default"/>
              <w:widowControl w:val="0"/>
              <w:jc w:val="both"/>
              <w:rPr>
                <w:sz w:val="22"/>
                <w:szCs w:val="22"/>
                <w:lang w:val="sr-Latn-ME"/>
              </w:rPr>
            </w:pPr>
            <w:r w:rsidRPr="00B14EBB">
              <w:rPr>
                <w:sz w:val="22"/>
                <w:szCs w:val="22"/>
                <w:lang w:val="sr-Latn-ME"/>
              </w:rPr>
              <w:t>V</w:t>
            </w:r>
            <w:r w:rsidR="000F1226" w:rsidRPr="00B14EBB">
              <w:rPr>
                <w:sz w:val="22"/>
                <w:szCs w:val="22"/>
                <w:lang w:val="sr-Latn-ME"/>
              </w:rPr>
              <w:t>j</w:t>
            </w:r>
            <w:r w:rsidRPr="00B14EBB">
              <w:rPr>
                <w:sz w:val="22"/>
                <w:szCs w:val="22"/>
                <w:lang w:val="sr-Latn-ME"/>
              </w:rPr>
              <w:t>erovatnoća (95%CI) potvrđenog relapsa u 48. ned</w:t>
            </w:r>
            <w:r w:rsidR="00B31671" w:rsidRPr="00B14EBB">
              <w:rPr>
                <w:sz w:val="22"/>
                <w:szCs w:val="22"/>
                <w:lang w:val="sr-Latn-ME"/>
              </w:rPr>
              <w:t>j</w:t>
            </w:r>
            <w:r w:rsidRPr="00B14EBB">
              <w:rPr>
                <w:sz w:val="22"/>
                <w:szCs w:val="22"/>
                <w:lang w:val="sr-Latn-ME"/>
              </w:rPr>
              <w:t>elji</w:t>
            </w:r>
          </w:p>
        </w:tc>
        <w:tc>
          <w:tcPr>
            <w:tcW w:w="1704" w:type="dxa"/>
            <w:shd w:val="clear" w:color="auto" w:fill="auto"/>
          </w:tcPr>
          <w:p w14:paraId="0D8DA1D4" w14:textId="77777777" w:rsidR="00136A0D" w:rsidRPr="00B14EBB" w:rsidRDefault="00136A0D" w:rsidP="00545126">
            <w:pPr>
              <w:pStyle w:val="Default"/>
              <w:widowControl w:val="0"/>
              <w:jc w:val="both"/>
              <w:rPr>
                <w:sz w:val="22"/>
                <w:szCs w:val="22"/>
                <w:lang w:val="sr-Latn-ME"/>
              </w:rPr>
            </w:pPr>
          </w:p>
          <w:p w14:paraId="0D85F5CB" w14:textId="77777777" w:rsidR="00136A0D" w:rsidRPr="00B14EBB" w:rsidRDefault="00136A0D" w:rsidP="00545126">
            <w:pPr>
              <w:pStyle w:val="Default"/>
              <w:widowControl w:val="0"/>
              <w:jc w:val="both"/>
              <w:rPr>
                <w:sz w:val="22"/>
                <w:szCs w:val="22"/>
                <w:lang w:val="sr-Latn-ME"/>
              </w:rPr>
            </w:pPr>
            <w:r w:rsidRPr="00B14EBB">
              <w:rPr>
                <w:sz w:val="22"/>
                <w:szCs w:val="22"/>
                <w:lang w:val="sr-Latn-ME"/>
              </w:rPr>
              <w:t>0.39 (0.29, 0.48)</w:t>
            </w:r>
          </w:p>
          <w:p w14:paraId="673333ED" w14:textId="77777777" w:rsidR="00136A0D" w:rsidRPr="00B14EBB" w:rsidRDefault="00136A0D" w:rsidP="00545126">
            <w:pPr>
              <w:widowControl w:val="0"/>
              <w:jc w:val="both"/>
              <w:rPr>
                <w:sz w:val="22"/>
                <w:szCs w:val="22"/>
                <w:lang w:val="sr-Latn-ME"/>
              </w:rPr>
            </w:pPr>
            <w:r w:rsidRPr="00B14EBB">
              <w:rPr>
                <w:i/>
                <w:iCs/>
                <w:sz w:val="22"/>
                <w:szCs w:val="22"/>
                <w:lang w:val="sr-Latn-ME"/>
              </w:rPr>
              <w:t>0.30 (0.21, 0.39)</w:t>
            </w:r>
          </w:p>
        </w:tc>
        <w:tc>
          <w:tcPr>
            <w:tcW w:w="1836" w:type="dxa"/>
            <w:shd w:val="clear" w:color="auto" w:fill="auto"/>
          </w:tcPr>
          <w:p w14:paraId="325BFA5E" w14:textId="77777777" w:rsidR="00136A0D" w:rsidRPr="00B14EBB" w:rsidRDefault="00136A0D" w:rsidP="00545126">
            <w:pPr>
              <w:pStyle w:val="Default"/>
              <w:widowControl w:val="0"/>
              <w:jc w:val="both"/>
              <w:rPr>
                <w:sz w:val="22"/>
                <w:szCs w:val="22"/>
                <w:lang w:val="sr-Latn-ME"/>
              </w:rPr>
            </w:pPr>
          </w:p>
          <w:p w14:paraId="0DA0B7E0" w14:textId="77777777" w:rsidR="00136A0D" w:rsidRPr="00B14EBB" w:rsidRDefault="00136A0D" w:rsidP="00545126">
            <w:pPr>
              <w:pStyle w:val="Default"/>
              <w:widowControl w:val="0"/>
              <w:jc w:val="both"/>
              <w:rPr>
                <w:sz w:val="22"/>
                <w:szCs w:val="22"/>
                <w:lang w:val="sr-Latn-ME"/>
              </w:rPr>
            </w:pPr>
            <w:r w:rsidRPr="00B14EBB">
              <w:rPr>
                <w:sz w:val="22"/>
                <w:szCs w:val="22"/>
                <w:lang w:val="sr-Latn-ME"/>
              </w:rPr>
              <w:t>0.53 (0.36, 0.68)</w:t>
            </w:r>
          </w:p>
          <w:p w14:paraId="69BACA0A" w14:textId="77777777" w:rsidR="00136A0D" w:rsidRPr="00B14EBB" w:rsidRDefault="00136A0D" w:rsidP="00545126">
            <w:pPr>
              <w:widowControl w:val="0"/>
              <w:jc w:val="both"/>
              <w:rPr>
                <w:sz w:val="22"/>
                <w:szCs w:val="22"/>
                <w:lang w:val="sr-Latn-ME"/>
              </w:rPr>
            </w:pPr>
            <w:r w:rsidRPr="00B14EBB">
              <w:rPr>
                <w:i/>
                <w:iCs/>
                <w:sz w:val="22"/>
                <w:szCs w:val="22"/>
                <w:lang w:val="sr-Latn-ME"/>
              </w:rPr>
              <w:t>0.39 (0.30, 0.52)</w:t>
            </w:r>
          </w:p>
        </w:tc>
      </w:tr>
      <w:tr w:rsidR="00136A0D" w:rsidRPr="00B14EBB" w14:paraId="72AE0FDB" w14:textId="77777777" w:rsidTr="00B14EBB">
        <w:tc>
          <w:tcPr>
            <w:tcW w:w="5521" w:type="dxa"/>
            <w:shd w:val="clear" w:color="auto" w:fill="auto"/>
          </w:tcPr>
          <w:p w14:paraId="3427622B" w14:textId="77777777" w:rsidR="00136A0D" w:rsidRPr="00B14EBB" w:rsidRDefault="00136A0D" w:rsidP="00545126">
            <w:pPr>
              <w:widowControl w:val="0"/>
              <w:jc w:val="both"/>
              <w:rPr>
                <w:sz w:val="22"/>
                <w:szCs w:val="22"/>
                <w:lang w:val="sr-Latn-ME"/>
              </w:rPr>
            </w:pPr>
            <w:r w:rsidRPr="00B14EBB">
              <w:rPr>
                <w:sz w:val="22"/>
                <w:szCs w:val="22"/>
                <w:lang w:val="sr-Latn-ME"/>
              </w:rPr>
              <w:t>Odnos rizika (95% CI)</w:t>
            </w:r>
          </w:p>
        </w:tc>
        <w:tc>
          <w:tcPr>
            <w:tcW w:w="3540" w:type="dxa"/>
            <w:gridSpan w:val="2"/>
            <w:shd w:val="clear" w:color="auto" w:fill="auto"/>
          </w:tcPr>
          <w:p w14:paraId="65EDE66F" w14:textId="77777777" w:rsidR="00136A0D" w:rsidRPr="00B14EBB" w:rsidRDefault="00136A0D" w:rsidP="00545126">
            <w:pPr>
              <w:widowControl w:val="0"/>
              <w:jc w:val="both"/>
              <w:rPr>
                <w:sz w:val="22"/>
                <w:szCs w:val="22"/>
                <w:lang w:val="sr-Latn-ME"/>
              </w:rPr>
            </w:pPr>
            <w:r w:rsidRPr="00B14EBB">
              <w:rPr>
                <w:sz w:val="22"/>
                <w:szCs w:val="22"/>
                <w:lang w:val="sr-Latn-ME"/>
              </w:rPr>
              <w:t>0.66 (0.39, 1.11)^</w:t>
            </w:r>
          </w:p>
        </w:tc>
      </w:tr>
      <w:tr w:rsidR="00136A0D" w:rsidRPr="00B14EBB" w14:paraId="56940071" w14:textId="77777777" w:rsidTr="00B14EBB">
        <w:tc>
          <w:tcPr>
            <w:tcW w:w="5521" w:type="dxa"/>
            <w:shd w:val="clear" w:color="auto" w:fill="auto"/>
          </w:tcPr>
          <w:p w14:paraId="1AA3351A" w14:textId="0517BCE2" w:rsidR="00136A0D" w:rsidRPr="00B14EBB" w:rsidRDefault="00136A0D" w:rsidP="00545126">
            <w:pPr>
              <w:pStyle w:val="Default"/>
              <w:widowControl w:val="0"/>
              <w:jc w:val="both"/>
              <w:rPr>
                <w:sz w:val="22"/>
                <w:szCs w:val="22"/>
                <w:lang w:val="sr-Latn-ME"/>
              </w:rPr>
            </w:pPr>
            <w:r w:rsidRPr="00B14EBB">
              <w:rPr>
                <w:sz w:val="22"/>
                <w:szCs w:val="22"/>
                <w:lang w:val="sr-Latn-ME"/>
              </w:rPr>
              <w:t>Vr</w:t>
            </w:r>
            <w:r w:rsidR="000F1226" w:rsidRPr="00B14EBB">
              <w:rPr>
                <w:sz w:val="22"/>
                <w:szCs w:val="22"/>
                <w:lang w:val="sr-Latn-ME"/>
              </w:rPr>
              <w:t>ij</w:t>
            </w:r>
            <w:r w:rsidRPr="00B14EBB">
              <w:rPr>
                <w:sz w:val="22"/>
                <w:szCs w:val="22"/>
                <w:lang w:val="sr-Latn-ME"/>
              </w:rPr>
              <w:t xml:space="preserve">eme do prvog potvrđenog kliničkog relapsa  ili visoke MRI aktivnosti, </w:t>
            </w:r>
          </w:p>
          <w:p w14:paraId="0238F9B2" w14:textId="7AB5EFB5" w:rsidR="00136A0D" w:rsidRPr="00B14EBB" w:rsidRDefault="00136A0D" w:rsidP="00545126">
            <w:pPr>
              <w:pStyle w:val="Default"/>
              <w:widowControl w:val="0"/>
              <w:jc w:val="both"/>
              <w:rPr>
                <w:sz w:val="22"/>
                <w:szCs w:val="22"/>
                <w:lang w:val="sr-Latn-ME"/>
              </w:rPr>
            </w:pPr>
            <w:r w:rsidRPr="00B14EBB">
              <w:rPr>
                <w:sz w:val="22"/>
                <w:szCs w:val="22"/>
                <w:lang w:val="sr-Latn-ME"/>
              </w:rPr>
              <w:t>V</w:t>
            </w:r>
            <w:r w:rsidR="000F1226" w:rsidRPr="00B14EBB">
              <w:rPr>
                <w:sz w:val="22"/>
                <w:szCs w:val="22"/>
                <w:lang w:val="sr-Latn-ME"/>
              </w:rPr>
              <w:t>j</w:t>
            </w:r>
            <w:r w:rsidRPr="00B14EBB">
              <w:rPr>
                <w:sz w:val="22"/>
                <w:szCs w:val="22"/>
                <w:lang w:val="sr-Latn-ME"/>
              </w:rPr>
              <w:t>erovatnoća (95%CI) potvrđenog relapsa ili visoke MRI aktivnosti u 96. nedelji</w:t>
            </w:r>
          </w:p>
          <w:p w14:paraId="5ECFCD92" w14:textId="69E08510" w:rsidR="00136A0D" w:rsidRPr="00B14EBB" w:rsidRDefault="00136A0D" w:rsidP="00545126">
            <w:pPr>
              <w:pStyle w:val="Default"/>
              <w:widowControl w:val="0"/>
              <w:jc w:val="both"/>
              <w:rPr>
                <w:sz w:val="22"/>
                <w:szCs w:val="22"/>
                <w:lang w:val="sr-Latn-ME"/>
              </w:rPr>
            </w:pPr>
            <w:r w:rsidRPr="00B14EBB">
              <w:rPr>
                <w:sz w:val="22"/>
                <w:szCs w:val="22"/>
                <w:lang w:val="sr-Latn-ME"/>
              </w:rPr>
              <w:t>V</w:t>
            </w:r>
            <w:r w:rsidR="000F1226" w:rsidRPr="00B14EBB">
              <w:rPr>
                <w:sz w:val="22"/>
                <w:szCs w:val="22"/>
                <w:lang w:val="sr-Latn-ME"/>
              </w:rPr>
              <w:t>j</w:t>
            </w:r>
            <w:r w:rsidRPr="00B14EBB">
              <w:rPr>
                <w:sz w:val="22"/>
                <w:szCs w:val="22"/>
                <w:lang w:val="sr-Latn-ME"/>
              </w:rPr>
              <w:t>erovatnoća (95%CI) potvrđenog relapsa ili visoke MRI aktivnosti u 48. ned</w:t>
            </w:r>
            <w:r w:rsidR="00B31671" w:rsidRPr="00B14EBB">
              <w:rPr>
                <w:sz w:val="22"/>
                <w:szCs w:val="22"/>
                <w:lang w:val="sr-Latn-ME"/>
              </w:rPr>
              <w:t>j</w:t>
            </w:r>
            <w:r w:rsidRPr="00B14EBB">
              <w:rPr>
                <w:sz w:val="22"/>
                <w:szCs w:val="22"/>
                <w:lang w:val="sr-Latn-ME"/>
              </w:rPr>
              <w:t>elji</w:t>
            </w:r>
          </w:p>
        </w:tc>
        <w:tc>
          <w:tcPr>
            <w:tcW w:w="1704" w:type="dxa"/>
            <w:shd w:val="clear" w:color="auto" w:fill="auto"/>
          </w:tcPr>
          <w:p w14:paraId="650E44D0" w14:textId="77777777" w:rsidR="00136A0D" w:rsidRPr="00B14EBB" w:rsidRDefault="00136A0D" w:rsidP="00545126">
            <w:pPr>
              <w:pStyle w:val="Default"/>
              <w:widowControl w:val="0"/>
              <w:jc w:val="both"/>
              <w:rPr>
                <w:sz w:val="22"/>
                <w:szCs w:val="22"/>
                <w:lang w:val="sr-Latn-ME"/>
              </w:rPr>
            </w:pPr>
          </w:p>
          <w:p w14:paraId="6F72CA2F" w14:textId="77777777" w:rsidR="00136A0D" w:rsidRPr="00B14EBB" w:rsidRDefault="00136A0D" w:rsidP="00545126">
            <w:pPr>
              <w:pStyle w:val="Default"/>
              <w:widowControl w:val="0"/>
              <w:jc w:val="both"/>
              <w:rPr>
                <w:sz w:val="22"/>
                <w:szCs w:val="22"/>
                <w:lang w:val="sr-Latn-ME"/>
              </w:rPr>
            </w:pPr>
            <w:r w:rsidRPr="00B14EBB">
              <w:rPr>
                <w:sz w:val="22"/>
                <w:szCs w:val="22"/>
                <w:lang w:val="sr-Latn-ME"/>
              </w:rPr>
              <w:t>0.51 (0.41, 0.60)</w:t>
            </w:r>
          </w:p>
          <w:p w14:paraId="21C3591F" w14:textId="77777777" w:rsidR="00136A0D" w:rsidRPr="00B14EBB" w:rsidRDefault="00136A0D" w:rsidP="00545126">
            <w:pPr>
              <w:widowControl w:val="0"/>
              <w:jc w:val="both"/>
              <w:rPr>
                <w:i/>
                <w:iCs/>
                <w:sz w:val="22"/>
                <w:szCs w:val="22"/>
                <w:lang w:val="sr-Latn-ME"/>
              </w:rPr>
            </w:pPr>
          </w:p>
          <w:p w14:paraId="5E3ED167" w14:textId="77777777" w:rsidR="00136A0D" w:rsidRPr="00B14EBB" w:rsidRDefault="00136A0D" w:rsidP="00545126">
            <w:pPr>
              <w:widowControl w:val="0"/>
              <w:jc w:val="both"/>
              <w:rPr>
                <w:sz w:val="22"/>
                <w:szCs w:val="22"/>
                <w:lang w:val="sr-Latn-ME"/>
              </w:rPr>
            </w:pPr>
            <w:r w:rsidRPr="00B14EBB">
              <w:rPr>
                <w:i/>
                <w:iCs/>
                <w:sz w:val="22"/>
                <w:szCs w:val="22"/>
                <w:lang w:val="sr-Latn-ME"/>
              </w:rPr>
              <w:t xml:space="preserve">0.38 (0.29, 0.47) </w:t>
            </w:r>
          </w:p>
        </w:tc>
        <w:tc>
          <w:tcPr>
            <w:tcW w:w="1836" w:type="dxa"/>
            <w:shd w:val="clear" w:color="auto" w:fill="auto"/>
          </w:tcPr>
          <w:p w14:paraId="2AF43FC6" w14:textId="77777777" w:rsidR="00136A0D" w:rsidRPr="00B14EBB" w:rsidRDefault="00136A0D" w:rsidP="00545126">
            <w:pPr>
              <w:pStyle w:val="Default"/>
              <w:widowControl w:val="0"/>
              <w:jc w:val="both"/>
              <w:rPr>
                <w:sz w:val="22"/>
                <w:szCs w:val="22"/>
                <w:lang w:val="sr-Latn-ME"/>
              </w:rPr>
            </w:pPr>
          </w:p>
          <w:p w14:paraId="773F6339" w14:textId="77777777" w:rsidR="00136A0D" w:rsidRPr="00B14EBB" w:rsidRDefault="00136A0D" w:rsidP="00545126">
            <w:pPr>
              <w:pStyle w:val="Default"/>
              <w:widowControl w:val="0"/>
              <w:jc w:val="both"/>
              <w:rPr>
                <w:sz w:val="22"/>
                <w:szCs w:val="22"/>
                <w:lang w:val="sr-Latn-ME"/>
              </w:rPr>
            </w:pPr>
            <w:r w:rsidRPr="00B14EBB">
              <w:rPr>
                <w:sz w:val="22"/>
                <w:szCs w:val="22"/>
                <w:lang w:val="sr-Latn-ME"/>
              </w:rPr>
              <w:t>0.72 (0.58, 0.82)</w:t>
            </w:r>
          </w:p>
          <w:p w14:paraId="55CE68CF" w14:textId="77777777" w:rsidR="00136A0D" w:rsidRPr="00B14EBB" w:rsidRDefault="00136A0D" w:rsidP="00545126">
            <w:pPr>
              <w:widowControl w:val="0"/>
              <w:jc w:val="both"/>
              <w:rPr>
                <w:i/>
                <w:iCs/>
                <w:sz w:val="22"/>
                <w:szCs w:val="22"/>
                <w:lang w:val="sr-Latn-ME"/>
              </w:rPr>
            </w:pPr>
          </w:p>
          <w:p w14:paraId="6A97A4A3" w14:textId="77777777" w:rsidR="00136A0D" w:rsidRPr="00B14EBB" w:rsidRDefault="00136A0D" w:rsidP="00545126">
            <w:pPr>
              <w:widowControl w:val="0"/>
              <w:jc w:val="both"/>
              <w:rPr>
                <w:sz w:val="22"/>
                <w:szCs w:val="22"/>
                <w:lang w:val="sr-Latn-ME"/>
              </w:rPr>
            </w:pPr>
            <w:r w:rsidRPr="00B14EBB">
              <w:rPr>
                <w:i/>
                <w:iCs/>
                <w:sz w:val="22"/>
                <w:szCs w:val="22"/>
                <w:lang w:val="sr-Latn-ME"/>
              </w:rPr>
              <w:t xml:space="preserve">0.56 (0.42, 0.68) </w:t>
            </w:r>
          </w:p>
        </w:tc>
      </w:tr>
      <w:tr w:rsidR="00136A0D" w:rsidRPr="00B14EBB" w14:paraId="2C7DC80E" w14:textId="77777777" w:rsidTr="00B14EBB">
        <w:tc>
          <w:tcPr>
            <w:tcW w:w="5521" w:type="dxa"/>
            <w:shd w:val="clear" w:color="auto" w:fill="auto"/>
          </w:tcPr>
          <w:p w14:paraId="06E1D93A" w14:textId="77777777" w:rsidR="00136A0D" w:rsidRPr="00B14EBB" w:rsidRDefault="00136A0D" w:rsidP="00545126">
            <w:pPr>
              <w:widowControl w:val="0"/>
              <w:jc w:val="both"/>
              <w:rPr>
                <w:sz w:val="22"/>
                <w:szCs w:val="22"/>
                <w:lang w:val="sr-Latn-ME"/>
              </w:rPr>
            </w:pPr>
            <w:r w:rsidRPr="00B14EBB">
              <w:rPr>
                <w:sz w:val="22"/>
                <w:szCs w:val="22"/>
                <w:lang w:val="sr-Latn-ME"/>
              </w:rPr>
              <w:t xml:space="preserve">Odnos rizika (95% CI) </w:t>
            </w:r>
          </w:p>
        </w:tc>
        <w:tc>
          <w:tcPr>
            <w:tcW w:w="3540" w:type="dxa"/>
            <w:gridSpan w:val="2"/>
            <w:shd w:val="clear" w:color="auto" w:fill="auto"/>
          </w:tcPr>
          <w:p w14:paraId="2157484F" w14:textId="77777777" w:rsidR="00136A0D" w:rsidRPr="00B14EBB" w:rsidRDefault="00136A0D" w:rsidP="00545126">
            <w:pPr>
              <w:widowControl w:val="0"/>
              <w:jc w:val="both"/>
              <w:rPr>
                <w:sz w:val="22"/>
                <w:szCs w:val="22"/>
                <w:lang w:val="sr-Latn-ME"/>
              </w:rPr>
            </w:pPr>
            <w:r w:rsidRPr="00B14EBB">
              <w:rPr>
                <w:sz w:val="22"/>
                <w:szCs w:val="22"/>
                <w:lang w:val="sr-Latn-ME"/>
              </w:rPr>
              <w:t>0.57 (0.37, 0.87)*</w:t>
            </w:r>
          </w:p>
        </w:tc>
      </w:tr>
      <w:tr w:rsidR="00136A0D" w:rsidRPr="00B14EBB" w14:paraId="293B680E" w14:textId="77777777" w:rsidTr="00B14EBB">
        <w:tc>
          <w:tcPr>
            <w:tcW w:w="5521" w:type="dxa"/>
            <w:shd w:val="clear" w:color="auto" w:fill="auto"/>
          </w:tcPr>
          <w:p w14:paraId="70709441" w14:textId="77777777" w:rsidR="00136A0D" w:rsidRPr="00B14EBB" w:rsidRDefault="00136A0D" w:rsidP="00545126">
            <w:pPr>
              <w:pStyle w:val="Default"/>
              <w:widowControl w:val="0"/>
              <w:jc w:val="both"/>
              <w:rPr>
                <w:sz w:val="22"/>
                <w:szCs w:val="22"/>
                <w:lang w:val="sr-Latn-ME"/>
              </w:rPr>
            </w:pPr>
            <w:r w:rsidRPr="00B14EBB">
              <w:rPr>
                <w:b/>
                <w:bCs/>
                <w:sz w:val="22"/>
                <w:szCs w:val="22"/>
                <w:lang w:val="sr-Latn-ME"/>
              </w:rPr>
              <w:t>Ključni MRI ishodi</w:t>
            </w:r>
          </w:p>
        </w:tc>
        <w:tc>
          <w:tcPr>
            <w:tcW w:w="1704" w:type="dxa"/>
            <w:shd w:val="clear" w:color="auto" w:fill="auto"/>
          </w:tcPr>
          <w:p w14:paraId="29F47348" w14:textId="77777777" w:rsidR="00136A0D" w:rsidRPr="00B14EBB" w:rsidRDefault="00136A0D" w:rsidP="00545126">
            <w:pPr>
              <w:widowControl w:val="0"/>
              <w:jc w:val="both"/>
              <w:rPr>
                <w:sz w:val="22"/>
                <w:szCs w:val="22"/>
                <w:lang w:val="sr-Latn-ME"/>
              </w:rPr>
            </w:pPr>
          </w:p>
        </w:tc>
        <w:tc>
          <w:tcPr>
            <w:tcW w:w="1836" w:type="dxa"/>
            <w:shd w:val="clear" w:color="auto" w:fill="auto"/>
          </w:tcPr>
          <w:p w14:paraId="21F759C4" w14:textId="77777777" w:rsidR="00136A0D" w:rsidRPr="00B14EBB" w:rsidRDefault="00136A0D" w:rsidP="00545126">
            <w:pPr>
              <w:widowControl w:val="0"/>
              <w:jc w:val="both"/>
              <w:rPr>
                <w:sz w:val="22"/>
                <w:szCs w:val="22"/>
                <w:lang w:val="sr-Latn-ME"/>
              </w:rPr>
            </w:pPr>
          </w:p>
        </w:tc>
      </w:tr>
      <w:tr w:rsidR="00136A0D" w:rsidRPr="00B14EBB" w14:paraId="59D07863" w14:textId="77777777" w:rsidTr="00B14EBB">
        <w:tc>
          <w:tcPr>
            <w:tcW w:w="5521" w:type="dxa"/>
            <w:shd w:val="clear" w:color="auto" w:fill="auto"/>
          </w:tcPr>
          <w:p w14:paraId="6713AF3C" w14:textId="77777777" w:rsidR="00136A0D" w:rsidRPr="00B14EBB" w:rsidRDefault="00136A0D" w:rsidP="00545126">
            <w:pPr>
              <w:pStyle w:val="Default"/>
              <w:widowControl w:val="0"/>
              <w:jc w:val="both"/>
              <w:rPr>
                <w:sz w:val="22"/>
                <w:szCs w:val="22"/>
                <w:lang w:val="sr-Latn-ME"/>
              </w:rPr>
            </w:pPr>
            <w:r w:rsidRPr="00B14EBB">
              <w:rPr>
                <w:sz w:val="22"/>
                <w:szCs w:val="22"/>
                <w:lang w:val="sr-Latn-ME"/>
              </w:rPr>
              <w:t>Prilagođeni broj novih ili povećavajućih T2 lezija,</w:t>
            </w:r>
          </w:p>
          <w:p w14:paraId="79367BF1" w14:textId="6731E39E" w:rsidR="00136A0D" w:rsidRPr="00B14EBB" w:rsidRDefault="00136A0D" w:rsidP="00545126">
            <w:pPr>
              <w:pStyle w:val="Default"/>
              <w:widowControl w:val="0"/>
              <w:jc w:val="both"/>
              <w:rPr>
                <w:sz w:val="22"/>
                <w:szCs w:val="22"/>
                <w:lang w:val="sr-Latn-ME"/>
              </w:rPr>
            </w:pPr>
            <w:r w:rsidRPr="00B14EBB">
              <w:rPr>
                <w:sz w:val="22"/>
                <w:szCs w:val="22"/>
                <w:lang w:val="sr-Latn-ME"/>
              </w:rPr>
              <w:t>Proc</w:t>
            </w:r>
            <w:r w:rsidR="000F1226" w:rsidRPr="00B14EBB">
              <w:rPr>
                <w:sz w:val="22"/>
                <w:szCs w:val="22"/>
                <w:lang w:val="sr-Latn-ME"/>
              </w:rPr>
              <w:t>j</w:t>
            </w:r>
            <w:r w:rsidRPr="00B14EBB">
              <w:rPr>
                <w:sz w:val="22"/>
                <w:szCs w:val="22"/>
                <w:lang w:val="sr-Latn-ME"/>
              </w:rPr>
              <w:t>ena (95% CI)</w:t>
            </w:r>
          </w:p>
          <w:p w14:paraId="3A3DC303" w14:textId="7FF6008F" w:rsidR="00136A0D" w:rsidRPr="00B14EBB" w:rsidRDefault="00136A0D" w:rsidP="00545126">
            <w:pPr>
              <w:widowControl w:val="0"/>
              <w:jc w:val="both"/>
              <w:rPr>
                <w:sz w:val="22"/>
                <w:szCs w:val="22"/>
                <w:lang w:val="sr-Latn-ME"/>
              </w:rPr>
            </w:pPr>
            <w:r w:rsidRPr="00B14EBB">
              <w:rPr>
                <w:i/>
                <w:iCs/>
                <w:sz w:val="22"/>
                <w:szCs w:val="22"/>
                <w:lang w:val="sr-Latn-ME"/>
              </w:rPr>
              <w:t>Proc</w:t>
            </w:r>
            <w:r w:rsidR="000F1226" w:rsidRPr="00B14EBB">
              <w:rPr>
                <w:i/>
                <w:iCs/>
                <w:sz w:val="22"/>
                <w:szCs w:val="22"/>
                <w:lang w:val="sr-Latn-ME"/>
              </w:rPr>
              <w:t>j</w:t>
            </w:r>
            <w:r w:rsidRPr="00B14EBB">
              <w:rPr>
                <w:i/>
                <w:iCs/>
                <w:sz w:val="22"/>
                <w:szCs w:val="22"/>
                <w:lang w:val="sr-Latn-ME"/>
              </w:rPr>
              <w:t>ena (95% CI), post-hoc analiza prilagođena za početni broj T2 lezija</w:t>
            </w:r>
          </w:p>
        </w:tc>
        <w:tc>
          <w:tcPr>
            <w:tcW w:w="1704" w:type="dxa"/>
            <w:shd w:val="clear" w:color="auto" w:fill="auto"/>
          </w:tcPr>
          <w:p w14:paraId="6E6F2AAB" w14:textId="77777777" w:rsidR="00136A0D" w:rsidRPr="00B14EBB" w:rsidRDefault="00136A0D" w:rsidP="00545126">
            <w:pPr>
              <w:pStyle w:val="Default"/>
              <w:widowControl w:val="0"/>
              <w:jc w:val="both"/>
              <w:rPr>
                <w:sz w:val="22"/>
                <w:szCs w:val="22"/>
                <w:lang w:val="sr-Latn-ME"/>
              </w:rPr>
            </w:pPr>
          </w:p>
          <w:p w14:paraId="39C4E77F" w14:textId="77777777" w:rsidR="00136A0D" w:rsidRPr="00B14EBB" w:rsidRDefault="00136A0D" w:rsidP="00545126">
            <w:pPr>
              <w:pStyle w:val="Default"/>
              <w:widowControl w:val="0"/>
              <w:jc w:val="both"/>
              <w:rPr>
                <w:sz w:val="22"/>
                <w:szCs w:val="22"/>
                <w:lang w:val="sr-Latn-ME"/>
              </w:rPr>
            </w:pPr>
            <w:r w:rsidRPr="00B14EBB">
              <w:rPr>
                <w:sz w:val="22"/>
                <w:szCs w:val="22"/>
                <w:lang w:val="sr-Latn-ME"/>
              </w:rPr>
              <w:t>4.74 (2.12, 10.57)</w:t>
            </w:r>
          </w:p>
          <w:p w14:paraId="51F1B2E6" w14:textId="77777777" w:rsidR="00136A0D" w:rsidRPr="00B14EBB" w:rsidRDefault="00136A0D" w:rsidP="00545126">
            <w:pPr>
              <w:widowControl w:val="0"/>
              <w:jc w:val="both"/>
              <w:rPr>
                <w:sz w:val="22"/>
                <w:szCs w:val="22"/>
                <w:lang w:val="sr-Latn-ME"/>
              </w:rPr>
            </w:pPr>
            <w:r w:rsidRPr="00B14EBB">
              <w:rPr>
                <w:i/>
                <w:iCs/>
                <w:sz w:val="22"/>
                <w:szCs w:val="22"/>
                <w:lang w:val="sr-Latn-ME"/>
              </w:rPr>
              <w:t>3.57 (1.97, 6.46)</w:t>
            </w:r>
          </w:p>
        </w:tc>
        <w:tc>
          <w:tcPr>
            <w:tcW w:w="1836" w:type="dxa"/>
            <w:shd w:val="clear" w:color="auto" w:fill="auto"/>
          </w:tcPr>
          <w:p w14:paraId="4069117F" w14:textId="77777777" w:rsidR="00136A0D" w:rsidRPr="00B14EBB" w:rsidRDefault="00136A0D" w:rsidP="00545126">
            <w:pPr>
              <w:pStyle w:val="Default"/>
              <w:widowControl w:val="0"/>
              <w:jc w:val="both"/>
              <w:rPr>
                <w:sz w:val="22"/>
                <w:szCs w:val="22"/>
                <w:lang w:val="sr-Latn-ME"/>
              </w:rPr>
            </w:pPr>
          </w:p>
          <w:p w14:paraId="19D11D37" w14:textId="77777777" w:rsidR="00136A0D" w:rsidRPr="00B14EBB" w:rsidRDefault="00136A0D" w:rsidP="00545126">
            <w:pPr>
              <w:pStyle w:val="Default"/>
              <w:widowControl w:val="0"/>
              <w:jc w:val="both"/>
              <w:rPr>
                <w:sz w:val="22"/>
                <w:szCs w:val="22"/>
                <w:lang w:val="sr-Latn-ME"/>
              </w:rPr>
            </w:pPr>
            <w:r w:rsidRPr="00B14EBB">
              <w:rPr>
                <w:sz w:val="22"/>
                <w:szCs w:val="22"/>
                <w:lang w:val="sr-Latn-ME"/>
              </w:rPr>
              <w:t>10.52 (4.71, 23.50)</w:t>
            </w:r>
          </w:p>
          <w:p w14:paraId="065A85ED" w14:textId="77777777" w:rsidR="00136A0D" w:rsidRPr="00B14EBB" w:rsidRDefault="00136A0D" w:rsidP="00545126">
            <w:pPr>
              <w:widowControl w:val="0"/>
              <w:jc w:val="both"/>
              <w:rPr>
                <w:sz w:val="22"/>
                <w:szCs w:val="22"/>
                <w:lang w:val="sr-Latn-ME"/>
              </w:rPr>
            </w:pPr>
            <w:r w:rsidRPr="00B14EBB">
              <w:rPr>
                <w:i/>
                <w:iCs/>
                <w:sz w:val="22"/>
                <w:szCs w:val="22"/>
                <w:lang w:val="sr-Latn-ME"/>
              </w:rPr>
              <w:t>5.37 (2.84, 10.16)</w:t>
            </w:r>
          </w:p>
        </w:tc>
      </w:tr>
      <w:tr w:rsidR="00136A0D" w:rsidRPr="00B14EBB" w14:paraId="3857E54E" w14:textId="77777777" w:rsidTr="00B14EBB">
        <w:tc>
          <w:tcPr>
            <w:tcW w:w="5521" w:type="dxa"/>
            <w:shd w:val="clear" w:color="auto" w:fill="auto"/>
          </w:tcPr>
          <w:p w14:paraId="2DA75D03" w14:textId="77777777" w:rsidR="00136A0D" w:rsidRPr="00B14EBB" w:rsidRDefault="00136A0D" w:rsidP="00545126">
            <w:pPr>
              <w:pStyle w:val="Default"/>
              <w:widowControl w:val="0"/>
              <w:jc w:val="both"/>
              <w:rPr>
                <w:sz w:val="22"/>
                <w:szCs w:val="22"/>
                <w:lang w:val="sr-Latn-ME"/>
              </w:rPr>
            </w:pPr>
            <w:r w:rsidRPr="00B14EBB">
              <w:rPr>
                <w:sz w:val="22"/>
                <w:szCs w:val="22"/>
                <w:lang w:val="sr-Latn-ME"/>
              </w:rPr>
              <w:t>Relativan rizik (95% CI)</w:t>
            </w:r>
          </w:p>
          <w:p w14:paraId="08A7F6EA" w14:textId="77777777" w:rsidR="00136A0D" w:rsidRPr="00B14EBB" w:rsidRDefault="00136A0D" w:rsidP="00545126">
            <w:pPr>
              <w:widowControl w:val="0"/>
              <w:jc w:val="both"/>
              <w:rPr>
                <w:sz w:val="22"/>
                <w:szCs w:val="22"/>
                <w:lang w:val="sr-Latn-ME"/>
              </w:rPr>
            </w:pPr>
            <w:r w:rsidRPr="00B14EBB">
              <w:rPr>
                <w:sz w:val="22"/>
                <w:szCs w:val="22"/>
                <w:lang w:val="sr-Latn-ME"/>
              </w:rPr>
              <w:t>Relativan rizik (95% CI)</w:t>
            </w:r>
            <w:r w:rsidRPr="00B14EBB">
              <w:rPr>
                <w:i/>
                <w:iCs/>
                <w:sz w:val="22"/>
                <w:szCs w:val="22"/>
                <w:lang w:val="sr-Latn-ME"/>
              </w:rPr>
              <w:t>, post-hoc analiza prilagođena za početni broj T2 lezija</w:t>
            </w:r>
          </w:p>
        </w:tc>
        <w:tc>
          <w:tcPr>
            <w:tcW w:w="3540" w:type="dxa"/>
            <w:gridSpan w:val="2"/>
            <w:shd w:val="clear" w:color="auto" w:fill="auto"/>
          </w:tcPr>
          <w:p w14:paraId="2EB812AD" w14:textId="77777777" w:rsidR="00136A0D" w:rsidRPr="00B14EBB" w:rsidRDefault="00136A0D" w:rsidP="00545126">
            <w:pPr>
              <w:pStyle w:val="Default"/>
              <w:widowControl w:val="0"/>
              <w:jc w:val="both"/>
              <w:rPr>
                <w:sz w:val="22"/>
                <w:szCs w:val="22"/>
                <w:lang w:val="sr-Latn-ME"/>
              </w:rPr>
            </w:pPr>
            <w:r w:rsidRPr="00B14EBB">
              <w:rPr>
                <w:sz w:val="22"/>
                <w:szCs w:val="22"/>
                <w:lang w:val="sr-Latn-ME"/>
              </w:rPr>
              <w:t>0.45 (0.29, 0.71)**</w:t>
            </w:r>
          </w:p>
          <w:p w14:paraId="66B13C01" w14:textId="77777777" w:rsidR="00136A0D" w:rsidRPr="00B14EBB" w:rsidRDefault="00136A0D" w:rsidP="00545126">
            <w:pPr>
              <w:widowControl w:val="0"/>
              <w:jc w:val="both"/>
              <w:rPr>
                <w:sz w:val="22"/>
                <w:szCs w:val="22"/>
                <w:lang w:val="sr-Latn-ME"/>
              </w:rPr>
            </w:pPr>
            <w:r w:rsidRPr="00B14EBB">
              <w:rPr>
                <w:i/>
                <w:iCs/>
                <w:sz w:val="22"/>
                <w:szCs w:val="22"/>
                <w:lang w:val="sr-Latn-ME"/>
              </w:rPr>
              <w:t>0.67 (0.45, 0.99)*</w:t>
            </w:r>
          </w:p>
        </w:tc>
      </w:tr>
      <w:tr w:rsidR="00136A0D" w:rsidRPr="00B14EBB" w14:paraId="38AB42E9" w14:textId="77777777" w:rsidTr="00B14EBB">
        <w:tc>
          <w:tcPr>
            <w:tcW w:w="5521" w:type="dxa"/>
            <w:shd w:val="clear" w:color="auto" w:fill="auto"/>
          </w:tcPr>
          <w:p w14:paraId="1F04AD3E" w14:textId="77777777" w:rsidR="00136A0D" w:rsidRPr="00B14EBB" w:rsidRDefault="00136A0D" w:rsidP="00545126">
            <w:pPr>
              <w:pStyle w:val="Default"/>
              <w:widowControl w:val="0"/>
              <w:jc w:val="both"/>
              <w:rPr>
                <w:sz w:val="22"/>
                <w:szCs w:val="22"/>
                <w:lang w:val="sr-Latn-ME"/>
              </w:rPr>
            </w:pPr>
            <w:r w:rsidRPr="00B14EBB">
              <w:rPr>
                <w:sz w:val="22"/>
                <w:szCs w:val="22"/>
                <w:lang w:val="sr-Latn-ME"/>
              </w:rPr>
              <w:t>Prilagođeni broj T1 lezija za koje se vezuje gadolinijum,</w:t>
            </w:r>
          </w:p>
          <w:p w14:paraId="1176D714" w14:textId="1B8057D3" w:rsidR="00136A0D" w:rsidRPr="00B14EBB" w:rsidRDefault="00136A0D" w:rsidP="00545126">
            <w:pPr>
              <w:widowControl w:val="0"/>
              <w:jc w:val="both"/>
              <w:rPr>
                <w:sz w:val="22"/>
                <w:szCs w:val="22"/>
                <w:lang w:val="sr-Latn-ME"/>
              </w:rPr>
            </w:pPr>
            <w:r w:rsidRPr="00B14EBB">
              <w:rPr>
                <w:sz w:val="22"/>
                <w:szCs w:val="22"/>
                <w:lang w:val="sr-Latn-ME"/>
              </w:rPr>
              <w:t>Proc</w:t>
            </w:r>
            <w:r w:rsidR="000F1226" w:rsidRPr="00B14EBB">
              <w:rPr>
                <w:sz w:val="22"/>
                <w:szCs w:val="22"/>
                <w:lang w:val="sr-Latn-ME"/>
              </w:rPr>
              <w:t>j</w:t>
            </w:r>
            <w:r w:rsidRPr="00B14EBB">
              <w:rPr>
                <w:sz w:val="22"/>
                <w:szCs w:val="22"/>
                <w:lang w:val="sr-Latn-ME"/>
              </w:rPr>
              <w:t>ena (95% CI)</w:t>
            </w:r>
          </w:p>
        </w:tc>
        <w:tc>
          <w:tcPr>
            <w:tcW w:w="1704" w:type="dxa"/>
            <w:shd w:val="clear" w:color="auto" w:fill="auto"/>
          </w:tcPr>
          <w:p w14:paraId="1725CC8C" w14:textId="77777777" w:rsidR="00136A0D" w:rsidRPr="00B14EBB" w:rsidRDefault="00136A0D" w:rsidP="00545126">
            <w:pPr>
              <w:widowControl w:val="0"/>
              <w:jc w:val="both"/>
              <w:rPr>
                <w:sz w:val="22"/>
                <w:szCs w:val="22"/>
                <w:lang w:val="sr-Latn-ME"/>
              </w:rPr>
            </w:pPr>
          </w:p>
          <w:p w14:paraId="2024C5C4" w14:textId="77777777" w:rsidR="00136A0D" w:rsidRPr="00B14EBB" w:rsidRDefault="00136A0D" w:rsidP="00545126">
            <w:pPr>
              <w:widowControl w:val="0"/>
              <w:jc w:val="both"/>
              <w:rPr>
                <w:sz w:val="22"/>
                <w:szCs w:val="22"/>
                <w:lang w:val="sr-Latn-ME"/>
              </w:rPr>
            </w:pPr>
            <w:r w:rsidRPr="00B14EBB">
              <w:rPr>
                <w:sz w:val="22"/>
                <w:szCs w:val="22"/>
                <w:lang w:val="sr-Latn-ME"/>
              </w:rPr>
              <w:t xml:space="preserve">1.90 (0.66, 5.49) </w:t>
            </w:r>
          </w:p>
        </w:tc>
        <w:tc>
          <w:tcPr>
            <w:tcW w:w="1836" w:type="dxa"/>
            <w:shd w:val="clear" w:color="auto" w:fill="auto"/>
          </w:tcPr>
          <w:p w14:paraId="3DC3BECE" w14:textId="77777777" w:rsidR="00136A0D" w:rsidRPr="00B14EBB" w:rsidRDefault="00136A0D" w:rsidP="00545126">
            <w:pPr>
              <w:widowControl w:val="0"/>
              <w:jc w:val="both"/>
              <w:rPr>
                <w:sz w:val="22"/>
                <w:szCs w:val="22"/>
                <w:lang w:val="sr-Latn-ME"/>
              </w:rPr>
            </w:pPr>
          </w:p>
          <w:p w14:paraId="197BAD12" w14:textId="77777777" w:rsidR="00136A0D" w:rsidRPr="00B14EBB" w:rsidRDefault="00136A0D" w:rsidP="00545126">
            <w:pPr>
              <w:widowControl w:val="0"/>
              <w:jc w:val="both"/>
              <w:rPr>
                <w:sz w:val="22"/>
                <w:szCs w:val="22"/>
                <w:lang w:val="sr-Latn-ME"/>
              </w:rPr>
            </w:pPr>
            <w:r w:rsidRPr="00B14EBB">
              <w:rPr>
                <w:sz w:val="22"/>
                <w:szCs w:val="22"/>
                <w:lang w:val="sr-Latn-ME"/>
              </w:rPr>
              <w:t xml:space="preserve">7.51 (2.48, 22.70) </w:t>
            </w:r>
          </w:p>
        </w:tc>
      </w:tr>
      <w:tr w:rsidR="00136A0D" w:rsidRPr="00B14EBB" w14:paraId="068CE13A" w14:textId="77777777" w:rsidTr="00B14EBB">
        <w:tc>
          <w:tcPr>
            <w:tcW w:w="5521" w:type="dxa"/>
            <w:shd w:val="clear" w:color="auto" w:fill="auto"/>
          </w:tcPr>
          <w:p w14:paraId="1D32C767" w14:textId="77777777" w:rsidR="00136A0D" w:rsidRPr="00B14EBB" w:rsidRDefault="00136A0D" w:rsidP="00545126">
            <w:pPr>
              <w:widowControl w:val="0"/>
              <w:jc w:val="both"/>
              <w:rPr>
                <w:sz w:val="22"/>
                <w:szCs w:val="22"/>
                <w:lang w:val="sr-Latn-ME"/>
              </w:rPr>
            </w:pPr>
            <w:r w:rsidRPr="00B14EBB">
              <w:rPr>
                <w:sz w:val="22"/>
                <w:szCs w:val="22"/>
                <w:lang w:val="sr-Latn-ME"/>
              </w:rPr>
              <w:t xml:space="preserve">Relativni rizik (95% CI) </w:t>
            </w:r>
          </w:p>
        </w:tc>
        <w:tc>
          <w:tcPr>
            <w:tcW w:w="3540" w:type="dxa"/>
            <w:gridSpan w:val="2"/>
            <w:shd w:val="clear" w:color="auto" w:fill="auto"/>
          </w:tcPr>
          <w:p w14:paraId="40187D54" w14:textId="77777777" w:rsidR="00136A0D" w:rsidRPr="00B14EBB" w:rsidRDefault="00136A0D" w:rsidP="00545126">
            <w:pPr>
              <w:widowControl w:val="0"/>
              <w:jc w:val="both"/>
              <w:rPr>
                <w:sz w:val="22"/>
                <w:szCs w:val="22"/>
                <w:lang w:val="sr-Latn-ME"/>
              </w:rPr>
            </w:pPr>
            <w:r w:rsidRPr="00B14EBB">
              <w:rPr>
                <w:sz w:val="22"/>
                <w:szCs w:val="22"/>
                <w:lang w:val="sr-Latn-ME"/>
              </w:rPr>
              <w:t>0.25 (0.13, 0.51)***</w:t>
            </w:r>
          </w:p>
        </w:tc>
      </w:tr>
      <w:tr w:rsidR="00136A0D" w:rsidRPr="00B14EBB" w14:paraId="450A77AB" w14:textId="77777777" w:rsidTr="00B14EBB">
        <w:tc>
          <w:tcPr>
            <w:tcW w:w="9061" w:type="dxa"/>
            <w:gridSpan w:val="3"/>
            <w:shd w:val="clear" w:color="auto" w:fill="auto"/>
          </w:tcPr>
          <w:p w14:paraId="65A91C26" w14:textId="77777777" w:rsidR="00136A0D" w:rsidRPr="00545126" w:rsidRDefault="00136A0D" w:rsidP="00545126">
            <w:pPr>
              <w:pStyle w:val="Default"/>
              <w:widowControl w:val="0"/>
              <w:jc w:val="both"/>
              <w:rPr>
                <w:szCs w:val="22"/>
                <w:lang w:val="sr-Latn-ME"/>
              </w:rPr>
            </w:pPr>
            <w:r w:rsidRPr="00545126">
              <w:rPr>
                <w:szCs w:val="22"/>
                <w:lang w:val="sr-Latn-ME"/>
              </w:rPr>
              <w:t>^p≥0.05 u poređenju sa placebom, * p&lt;0.05, ** p&lt;0.001, *** p&lt;0.0001</w:t>
            </w:r>
          </w:p>
          <w:p w14:paraId="23A9D2D8" w14:textId="6F16430C" w:rsidR="00136A0D" w:rsidRPr="00545126" w:rsidRDefault="00136A0D" w:rsidP="00545126">
            <w:pPr>
              <w:widowControl w:val="0"/>
              <w:jc w:val="both"/>
              <w:rPr>
                <w:sz w:val="20"/>
                <w:szCs w:val="22"/>
                <w:lang w:val="sr-Latn-ME"/>
              </w:rPr>
            </w:pPr>
            <w:r w:rsidRPr="00545126">
              <w:rPr>
                <w:sz w:val="20"/>
                <w:szCs w:val="22"/>
                <w:lang w:val="sr-Latn-ME"/>
              </w:rPr>
              <w:t>V</w:t>
            </w:r>
            <w:r w:rsidR="000F1226" w:rsidRPr="00545126">
              <w:rPr>
                <w:sz w:val="20"/>
                <w:szCs w:val="22"/>
                <w:lang w:val="sr-Latn-ME"/>
              </w:rPr>
              <w:t>j</w:t>
            </w:r>
            <w:r w:rsidRPr="00545126">
              <w:rPr>
                <w:sz w:val="20"/>
                <w:szCs w:val="22"/>
                <w:lang w:val="sr-Latn-ME"/>
              </w:rPr>
              <w:t xml:space="preserve">erovatnoća se bazira na </w:t>
            </w:r>
            <w:r w:rsidRPr="00545126">
              <w:rPr>
                <w:i/>
                <w:sz w:val="20"/>
                <w:szCs w:val="22"/>
                <w:lang w:val="sr-Latn-ME"/>
              </w:rPr>
              <w:t>Kaplan-Meier</w:t>
            </w:r>
            <w:r w:rsidRPr="00545126">
              <w:rPr>
                <w:sz w:val="20"/>
                <w:szCs w:val="22"/>
                <w:lang w:val="sr-Latn-ME"/>
              </w:rPr>
              <w:t>-oj proc</w:t>
            </w:r>
            <w:r w:rsidR="000F1226" w:rsidRPr="00545126">
              <w:rPr>
                <w:sz w:val="20"/>
                <w:szCs w:val="22"/>
                <w:lang w:val="sr-Latn-ME"/>
              </w:rPr>
              <w:t>j</w:t>
            </w:r>
            <w:r w:rsidRPr="00545126">
              <w:rPr>
                <w:sz w:val="20"/>
                <w:szCs w:val="22"/>
                <w:lang w:val="sr-Latn-ME"/>
              </w:rPr>
              <w:t>eni, a 96. ned</w:t>
            </w:r>
            <w:r w:rsidR="00B31671" w:rsidRPr="00545126">
              <w:rPr>
                <w:sz w:val="20"/>
                <w:szCs w:val="22"/>
                <w:lang w:val="sr-Latn-ME"/>
              </w:rPr>
              <w:t>j</w:t>
            </w:r>
            <w:r w:rsidRPr="00545126">
              <w:rPr>
                <w:sz w:val="20"/>
                <w:szCs w:val="22"/>
                <w:lang w:val="sr-Latn-ME"/>
              </w:rPr>
              <w:t>elja je bila kraj l</w:t>
            </w:r>
            <w:r w:rsidR="000F1226" w:rsidRPr="00545126">
              <w:rPr>
                <w:sz w:val="20"/>
                <w:szCs w:val="22"/>
                <w:lang w:val="sr-Latn-ME"/>
              </w:rPr>
              <w:t>ij</w:t>
            </w:r>
            <w:r w:rsidRPr="00545126">
              <w:rPr>
                <w:sz w:val="20"/>
                <w:szCs w:val="22"/>
                <w:lang w:val="sr-Latn-ME"/>
              </w:rPr>
              <w:t xml:space="preserve">ečenja u ispitivanju. </w:t>
            </w:r>
          </w:p>
        </w:tc>
      </w:tr>
    </w:tbl>
    <w:p w14:paraId="3D9DB4BC" w14:textId="77777777" w:rsidR="00136A0D" w:rsidRPr="00B14EBB" w:rsidRDefault="00136A0D" w:rsidP="00545126">
      <w:pPr>
        <w:widowControl w:val="0"/>
        <w:jc w:val="both"/>
        <w:rPr>
          <w:sz w:val="22"/>
          <w:szCs w:val="22"/>
          <w:lang w:val="sr-Latn-ME"/>
        </w:rPr>
      </w:pPr>
    </w:p>
    <w:p w14:paraId="662B736D" w14:textId="566E604B" w:rsidR="00136A0D" w:rsidRPr="00B14EBB" w:rsidRDefault="00136A0D" w:rsidP="00545126">
      <w:pPr>
        <w:pStyle w:val="BodyText"/>
        <w:widowControl w:val="0"/>
        <w:jc w:val="both"/>
        <w:rPr>
          <w:sz w:val="22"/>
          <w:szCs w:val="22"/>
          <w:lang w:val="sr-Latn-ME"/>
        </w:rPr>
      </w:pPr>
      <w:r w:rsidRPr="00B14EBB">
        <w:rPr>
          <w:sz w:val="22"/>
          <w:szCs w:val="22"/>
          <w:lang w:val="sr-Latn-ME"/>
        </w:rPr>
        <w:t>Evropska agencija za l</w:t>
      </w:r>
      <w:r w:rsidR="000F1226" w:rsidRPr="00B14EBB">
        <w:rPr>
          <w:sz w:val="22"/>
          <w:szCs w:val="22"/>
          <w:lang w:val="sr-Latn-ME"/>
        </w:rPr>
        <w:t>j</w:t>
      </w:r>
      <w:r w:rsidRPr="00B14EBB">
        <w:rPr>
          <w:sz w:val="22"/>
          <w:szCs w:val="22"/>
          <w:lang w:val="sr-Latn-ME"/>
        </w:rPr>
        <w:t>ekove je izuzela obavezu podnošenja rezultata ispitivanja teriflunomida kod d</w:t>
      </w:r>
      <w:r w:rsidR="000F1226" w:rsidRPr="00B14EBB">
        <w:rPr>
          <w:sz w:val="22"/>
          <w:szCs w:val="22"/>
          <w:lang w:val="sr-Latn-ME"/>
        </w:rPr>
        <w:t>j</w:t>
      </w:r>
      <w:r w:rsidRPr="00B14EBB">
        <w:rPr>
          <w:sz w:val="22"/>
          <w:szCs w:val="22"/>
          <w:lang w:val="sr-Latn-ME"/>
        </w:rPr>
        <w:t>ece od rođenja do manje od 10 godina starosti u l</w:t>
      </w:r>
      <w:r w:rsidR="000F1226" w:rsidRPr="00B14EBB">
        <w:rPr>
          <w:sz w:val="22"/>
          <w:szCs w:val="22"/>
          <w:lang w:val="sr-Latn-ME"/>
        </w:rPr>
        <w:t>ij</w:t>
      </w:r>
      <w:r w:rsidRPr="00B14EBB">
        <w:rPr>
          <w:sz w:val="22"/>
          <w:szCs w:val="22"/>
          <w:lang w:val="sr-Latn-ME"/>
        </w:rPr>
        <w:t>ečenju multiple skleroze (vid</w:t>
      </w:r>
      <w:r w:rsidR="000F1226" w:rsidRPr="00B14EBB">
        <w:rPr>
          <w:sz w:val="22"/>
          <w:szCs w:val="22"/>
          <w:lang w:val="sr-Latn-ME"/>
        </w:rPr>
        <w:t>j</w:t>
      </w:r>
      <w:r w:rsidRPr="00B14EBB">
        <w:rPr>
          <w:sz w:val="22"/>
          <w:szCs w:val="22"/>
          <w:lang w:val="sr-Latn-ME"/>
        </w:rPr>
        <w:t xml:space="preserve">eti </w:t>
      </w:r>
      <w:r w:rsidR="00F90A53" w:rsidRPr="00B14EBB">
        <w:rPr>
          <w:sz w:val="22"/>
          <w:szCs w:val="22"/>
          <w:lang w:val="sr-Latn-ME"/>
        </w:rPr>
        <w:t xml:space="preserve">dio </w:t>
      </w:r>
      <w:r w:rsidRPr="00B14EBB">
        <w:rPr>
          <w:sz w:val="22"/>
          <w:szCs w:val="22"/>
          <w:lang w:val="sr-Latn-ME"/>
        </w:rPr>
        <w:t>4.2 za informacije o pedijatrijskoj prim</w:t>
      </w:r>
      <w:r w:rsidR="000F1226" w:rsidRPr="00B14EBB">
        <w:rPr>
          <w:sz w:val="22"/>
          <w:szCs w:val="22"/>
          <w:lang w:val="sr-Latn-ME"/>
        </w:rPr>
        <w:t>j</w:t>
      </w:r>
      <w:r w:rsidRPr="00B14EBB">
        <w:rPr>
          <w:sz w:val="22"/>
          <w:szCs w:val="22"/>
          <w:lang w:val="sr-Latn-ME"/>
        </w:rPr>
        <w:t>eni).</w:t>
      </w:r>
    </w:p>
    <w:p w14:paraId="500F5935" w14:textId="77777777" w:rsidR="002E37A5" w:rsidRPr="00B14EBB" w:rsidRDefault="002E37A5" w:rsidP="00545126">
      <w:pPr>
        <w:widowControl w:val="0"/>
        <w:tabs>
          <w:tab w:val="left" w:pos="540"/>
          <w:tab w:val="left" w:pos="569"/>
        </w:tabs>
        <w:jc w:val="both"/>
        <w:rPr>
          <w:b/>
          <w:bCs/>
          <w:sz w:val="22"/>
          <w:szCs w:val="22"/>
          <w:lang w:val="sr-Latn-ME"/>
        </w:rPr>
      </w:pPr>
    </w:p>
    <w:p w14:paraId="500F5936"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5.2. </w:t>
      </w:r>
      <w:r w:rsidR="00480FB1" w:rsidRPr="00B14EBB">
        <w:rPr>
          <w:b/>
          <w:bCs/>
          <w:sz w:val="22"/>
          <w:szCs w:val="22"/>
          <w:lang w:val="sr-Latn-ME"/>
        </w:rPr>
        <w:tab/>
      </w:r>
      <w:r w:rsidRPr="00B14EBB">
        <w:rPr>
          <w:b/>
          <w:bCs/>
          <w:sz w:val="22"/>
          <w:szCs w:val="22"/>
          <w:lang w:val="sr-Latn-ME"/>
        </w:rPr>
        <w:t>Farmakokinetički podaci</w:t>
      </w:r>
      <w:r w:rsidR="003A7059" w:rsidRPr="00B14EBB">
        <w:rPr>
          <w:b/>
          <w:bCs/>
          <w:sz w:val="22"/>
          <w:szCs w:val="22"/>
          <w:lang w:val="sr-Latn-ME"/>
        </w:rPr>
        <w:t xml:space="preserve"> </w:t>
      </w:r>
    </w:p>
    <w:p w14:paraId="2696A708" w14:textId="77777777" w:rsidR="00545126" w:rsidRDefault="00545126" w:rsidP="00545126">
      <w:pPr>
        <w:widowControl w:val="0"/>
        <w:autoSpaceDE w:val="0"/>
        <w:autoSpaceDN w:val="0"/>
        <w:adjustRightInd w:val="0"/>
        <w:jc w:val="both"/>
        <w:rPr>
          <w:sz w:val="22"/>
          <w:szCs w:val="22"/>
          <w:u w:val="single"/>
          <w:lang w:val="sr-Latn-ME" w:eastAsia="sr-Latn-CS"/>
        </w:rPr>
      </w:pPr>
    </w:p>
    <w:p w14:paraId="5564126D" w14:textId="025233B7"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Apsorpcija</w:t>
      </w:r>
    </w:p>
    <w:p w14:paraId="7B23CCC4" w14:textId="0A6FABBC" w:rsidR="00C67518" w:rsidRPr="00B14EBB" w:rsidRDefault="00C67518" w:rsidP="00545126">
      <w:pPr>
        <w:pStyle w:val="BodyText"/>
        <w:widowControl w:val="0"/>
        <w:jc w:val="both"/>
        <w:rPr>
          <w:sz w:val="22"/>
          <w:szCs w:val="22"/>
          <w:lang w:val="sr-Latn-ME"/>
        </w:rPr>
      </w:pPr>
      <w:r w:rsidRPr="00B14EBB">
        <w:rPr>
          <w:sz w:val="22"/>
          <w:szCs w:val="22"/>
          <w:lang w:val="sr-Latn-ME"/>
        </w:rPr>
        <w:t>Medijana za postizanje maksimalnih koncentracija u plazmi je između 1 i 4 sata nakon prim</w:t>
      </w:r>
      <w:r w:rsidR="000F1226" w:rsidRPr="00B14EBB">
        <w:rPr>
          <w:sz w:val="22"/>
          <w:szCs w:val="22"/>
          <w:lang w:val="sr-Latn-ME"/>
        </w:rPr>
        <w:t>j</w:t>
      </w:r>
      <w:r w:rsidRPr="00B14EBB">
        <w:rPr>
          <w:sz w:val="22"/>
          <w:szCs w:val="22"/>
          <w:lang w:val="sr-Latn-ME"/>
        </w:rPr>
        <w:t>ene doze i ponovljene peroralne prim</w:t>
      </w:r>
      <w:r w:rsidR="000F1226" w:rsidRPr="00B14EBB">
        <w:rPr>
          <w:sz w:val="22"/>
          <w:szCs w:val="22"/>
          <w:lang w:val="sr-Latn-ME"/>
        </w:rPr>
        <w:t>j</w:t>
      </w:r>
      <w:r w:rsidRPr="00B14EBB">
        <w:rPr>
          <w:sz w:val="22"/>
          <w:szCs w:val="22"/>
          <w:lang w:val="sr-Latn-ME"/>
        </w:rPr>
        <w:t>ene teriflunomida, pri čemu se postiže visoka bioraspoloživost (približno 100%).</w:t>
      </w:r>
    </w:p>
    <w:p w14:paraId="27736DFF" w14:textId="77777777"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lastRenderedPageBreak/>
        <w:t>Hrana nema klinički značajan uticaj na farmakokinetiku teriflunomida.</w:t>
      </w:r>
    </w:p>
    <w:p w14:paraId="5E5BE35E" w14:textId="0D717436" w:rsidR="00F90A53"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Iz predviđenih srednjih vr</w:t>
      </w:r>
      <w:r w:rsidR="000F1226" w:rsidRPr="00B14EBB">
        <w:rPr>
          <w:sz w:val="22"/>
          <w:szCs w:val="22"/>
          <w:lang w:val="sr-Latn-ME" w:eastAsia="sr-Latn-CS"/>
        </w:rPr>
        <w:t>ij</w:t>
      </w:r>
      <w:r w:rsidRPr="00B14EBB">
        <w:rPr>
          <w:sz w:val="22"/>
          <w:szCs w:val="22"/>
          <w:lang w:val="sr-Latn-ME" w:eastAsia="sr-Latn-CS"/>
        </w:rPr>
        <w:t>ednosti farmakokinetičkih parametara, izračunatih na osnovu populacione farmakokinetičke analize podataka prikupljenih kod zdravih dobrovoljaca i obol</w:t>
      </w:r>
      <w:r w:rsidR="000F1226" w:rsidRPr="00B14EBB">
        <w:rPr>
          <w:sz w:val="22"/>
          <w:szCs w:val="22"/>
          <w:lang w:val="sr-Latn-ME" w:eastAsia="sr-Latn-CS"/>
        </w:rPr>
        <w:t>j</w:t>
      </w:r>
      <w:r w:rsidRPr="00B14EBB">
        <w:rPr>
          <w:sz w:val="22"/>
          <w:szCs w:val="22"/>
          <w:lang w:val="sr-Latn-ME" w:eastAsia="sr-Latn-CS"/>
        </w:rPr>
        <w:t>elih od multiple skleroze, prim</w:t>
      </w:r>
      <w:r w:rsidR="000F1226" w:rsidRPr="00B14EBB">
        <w:rPr>
          <w:sz w:val="22"/>
          <w:szCs w:val="22"/>
          <w:lang w:val="sr-Latn-ME" w:eastAsia="sr-Latn-CS"/>
        </w:rPr>
        <w:t>ij</w:t>
      </w:r>
      <w:r w:rsidRPr="00B14EBB">
        <w:rPr>
          <w:sz w:val="22"/>
          <w:szCs w:val="22"/>
          <w:lang w:val="sr-Latn-ME" w:eastAsia="sr-Latn-CS"/>
        </w:rPr>
        <w:t>ećeno je sporo postizanje koncentracija u stanju dinamičke ravnoteže (tj. potrebno je približno 100 dana (3,5 m</w:t>
      </w:r>
      <w:r w:rsidR="000F1226" w:rsidRPr="00B14EBB">
        <w:rPr>
          <w:sz w:val="22"/>
          <w:szCs w:val="22"/>
          <w:lang w:val="sr-Latn-ME" w:eastAsia="sr-Latn-CS"/>
        </w:rPr>
        <w:t>j</w:t>
      </w:r>
      <w:r w:rsidRPr="00B14EBB">
        <w:rPr>
          <w:sz w:val="22"/>
          <w:szCs w:val="22"/>
          <w:lang w:val="sr-Latn-ME" w:eastAsia="sr-Latn-CS"/>
        </w:rPr>
        <w:t>eseci) za postizanje 95% koncentracije u stanju dinamičke ravnoteže), a proc</w:t>
      </w:r>
      <w:r w:rsidR="000F1226" w:rsidRPr="00B14EBB">
        <w:rPr>
          <w:sz w:val="22"/>
          <w:szCs w:val="22"/>
          <w:lang w:val="sr-Latn-ME" w:eastAsia="sr-Latn-CS"/>
        </w:rPr>
        <w:t>ij</w:t>
      </w:r>
      <w:r w:rsidRPr="00B14EBB">
        <w:rPr>
          <w:sz w:val="22"/>
          <w:szCs w:val="22"/>
          <w:lang w:val="sr-Latn-ME" w:eastAsia="sr-Latn-CS"/>
        </w:rPr>
        <w:t>enjena stopa nakupljanja PIK-a povećana je približno 34 puta.</w:t>
      </w:r>
    </w:p>
    <w:p w14:paraId="7E14E04D" w14:textId="77777777" w:rsidR="00545126" w:rsidRDefault="00545126" w:rsidP="00545126">
      <w:pPr>
        <w:widowControl w:val="0"/>
        <w:autoSpaceDE w:val="0"/>
        <w:autoSpaceDN w:val="0"/>
        <w:adjustRightInd w:val="0"/>
        <w:jc w:val="both"/>
        <w:rPr>
          <w:sz w:val="22"/>
          <w:szCs w:val="22"/>
          <w:u w:val="single"/>
          <w:lang w:val="sr-Latn-ME" w:eastAsia="sr-Latn-CS"/>
        </w:rPr>
      </w:pPr>
    </w:p>
    <w:p w14:paraId="10F82F1B" w14:textId="723F3659"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Distribucija</w:t>
      </w:r>
    </w:p>
    <w:p w14:paraId="1C33D057" w14:textId="55BE44A1" w:rsidR="00C67518" w:rsidRPr="00B14EBB" w:rsidRDefault="00C67518" w:rsidP="00545126">
      <w:pPr>
        <w:pStyle w:val="BodyText"/>
        <w:widowControl w:val="0"/>
        <w:jc w:val="both"/>
        <w:rPr>
          <w:sz w:val="22"/>
          <w:szCs w:val="22"/>
          <w:lang w:val="sr-Latn-ME"/>
        </w:rPr>
      </w:pPr>
      <w:r w:rsidRPr="00B14EBB">
        <w:rPr>
          <w:sz w:val="22"/>
          <w:szCs w:val="22"/>
          <w:lang w:val="sr-Latn-ME"/>
        </w:rPr>
        <w:t>Teriflunomid se u visokom stepenu veže za proteine plazme (&gt;99%), najverovatnije albumin, te se uglavnom raspodeljuje u plazmi. Volumen distribucije nakon jednokratne intravenske (i.v.) prim</w:t>
      </w:r>
      <w:r w:rsidR="000F1226" w:rsidRPr="00B14EBB">
        <w:rPr>
          <w:sz w:val="22"/>
          <w:szCs w:val="22"/>
          <w:lang w:val="sr-Latn-ME"/>
        </w:rPr>
        <w:t>j</w:t>
      </w:r>
      <w:r w:rsidRPr="00B14EBB">
        <w:rPr>
          <w:sz w:val="22"/>
          <w:szCs w:val="22"/>
          <w:lang w:val="sr-Latn-ME"/>
        </w:rPr>
        <w:t>ene iznosi 11 L. Međutim, ta proc</w:t>
      </w:r>
      <w:r w:rsidR="000F1226" w:rsidRPr="00B14EBB">
        <w:rPr>
          <w:sz w:val="22"/>
          <w:szCs w:val="22"/>
          <w:lang w:val="sr-Latn-ME"/>
        </w:rPr>
        <w:t>j</w:t>
      </w:r>
      <w:r w:rsidRPr="00B14EBB">
        <w:rPr>
          <w:sz w:val="22"/>
          <w:szCs w:val="22"/>
          <w:lang w:val="sr-Latn-ME"/>
        </w:rPr>
        <w:t>ena je v</w:t>
      </w:r>
      <w:r w:rsidR="000F1226" w:rsidRPr="00B14EBB">
        <w:rPr>
          <w:sz w:val="22"/>
          <w:szCs w:val="22"/>
          <w:lang w:val="sr-Latn-ME"/>
        </w:rPr>
        <w:t>j</w:t>
      </w:r>
      <w:r w:rsidRPr="00B14EBB">
        <w:rPr>
          <w:sz w:val="22"/>
          <w:szCs w:val="22"/>
          <w:lang w:val="sr-Latn-ME"/>
        </w:rPr>
        <w:t>erovatno manja od prave vr</w:t>
      </w:r>
      <w:r w:rsidR="000F1226" w:rsidRPr="00B14EBB">
        <w:rPr>
          <w:sz w:val="22"/>
          <w:szCs w:val="22"/>
          <w:lang w:val="sr-Latn-ME"/>
        </w:rPr>
        <w:t>ij</w:t>
      </w:r>
      <w:r w:rsidRPr="00B14EBB">
        <w:rPr>
          <w:sz w:val="22"/>
          <w:szCs w:val="22"/>
          <w:lang w:val="sr-Latn-ME"/>
        </w:rPr>
        <w:t>ednosti jer je kod pacova prim</w:t>
      </w:r>
      <w:r w:rsidR="000F1226" w:rsidRPr="00B14EBB">
        <w:rPr>
          <w:sz w:val="22"/>
          <w:szCs w:val="22"/>
          <w:lang w:val="sr-Latn-ME"/>
        </w:rPr>
        <w:t>ij</w:t>
      </w:r>
      <w:r w:rsidRPr="00B14EBB">
        <w:rPr>
          <w:sz w:val="22"/>
          <w:szCs w:val="22"/>
          <w:lang w:val="sr-Latn-ME"/>
        </w:rPr>
        <w:t>ećena veća raspod</w:t>
      </w:r>
      <w:r w:rsidR="000F1226" w:rsidRPr="00B14EBB">
        <w:rPr>
          <w:sz w:val="22"/>
          <w:szCs w:val="22"/>
          <w:lang w:val="sr-Latn-ME"/>
        </w:rPr>
        <w:t>j</w:t>
      </w:r>
      <w:r w:rsidRPr="00B14EBB">
        <w:rPr>
          <w:sz w:val="22"/>
          <w:szCs w:val="22"/>
          <w:lang w:val="sr-Latn-ME"/>
        </w:rPr>
        <w:t>ela u organe.</w:t>
      </w:r>
    </w:p>
    <w:p w14:paraId="05E28D5A" w14:textId="77777777" w:rsidR="00545126" w:rsidRDefault="00545126" w:rsidP="00545126">
      <w:pPr>
        <w:widowControl w:val="0"/>
        <w:autoSpaceDE w:val="0"/>
        <w:autoSpaceDN w:val="0"/>
        <w:adjustRightInd w:val="0"/>
        <w:jc w:val="both"/>
        <w:rPr>
          <w:sz w:val="22"/>
          <w:szCs w:val="22"/>
          <w:u w:val="single"/>
          <w:lang w:val="sr-Latn-ME" w:eastAsia="sr-Latn-CS"/>
        </w:rPr>
      </w:pPr>
    </w:p>
    <w:p w14:paraId="0ACC4F8F" w14:textId="7479F616"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Biotransformacija</w:t>
      </w:r>
    </w:p>
    <w:p w14:paraId="5B14CC08" w14:textId="7F5BC04E" w:rsidR="00C67518" w:rsidRPr="00B14EBB" w:rsidRDefault="00C67518" w:rsidP="00545126">
      <w:pPr>
        <w:pStyle w:val="BodyText"/>
        <w:widowControl w:val="0"/>
        <w:jc w:val="both"/>
        <w:rPr>
          <w:sz w:val="22"/>
          <w:szCs w:val="22"/>
          <w:lang w:val="sr-Latn-ME"/>
        </w:rPr>
      </w:pPr>
      <w:r w:rsidRPr="00B14EBB">
        <w:rPr>
          <w:sz w:val="22"/>
          <w:szCs w:val="22"/>
          <w:lang w:val="sr-Latn-ME"/>
        </w:rPr>
        <w:t>Teriflunomid se um</w:t>
      </w:r>
      <w:r w:rsidR="000F1226" w:rsidRPr="00B14EBB">
        <w:rPr>
          <w:sz w:val="22"/>
          <w:szCs w:val="22"/>
          <w:lang w:val="sr-Latn-ME"/>
        </w:rPr>
        <w:t>j</w:t>
      </w:r>
      <w:r w:rsidRPr="00B14EBB">
        <w:rPr>
          <w:sz w:val="22"/>
          <w:szCs w:val="22"/>
          <w:lang w:val="sr-Latn-ME"/>
        </w:rPr>
        <w:t>ereno metaboliše pa je jedina komponenta otkrivena u plazmi. Primarni metabolički put teriflunomida je hidroliza, a oksidacija je sporedni put. Sekundarni putevi uključuju oksidaciju, N-acetiliranje i konjugaciju sulfata.</w:t>
      </w:r>
    </w:p>
    <w:p w14:paraId="5696DD4E" w14:textId="77777777" w:rsidR="00545126" w:rsidRDefault="00545126" w:rsidP="00545126">
      <w:pPr>
        <w:widowControl w:val="0"/>
        <w:autoSpaceDE w:val="0"/>
        <w:autoSpaceDN w:val="0"/>
        <w:adjustRightInd w:val="0"/>
        <w:jc w:val="both"/>
        <w:rPr>
          <w:sz w:val="22"/>
          <w:szCs w:val="22"/>
          <w:u w:val="single"/>
          <w:lang w:val="sr-Latn-ME" w:eastAsia="sr-Latn-CS"/>
        </w:rPr>
      </w:pPr>
    </w:p>
    <w:p w14:paraId="47E439C1" w14:textId="5DF33721"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Eliminacija</w:t>
      </w:r>
    </w:p>
    <w:p w14:paraId="19887BB4" w14:textId="69847148"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Teriflunomid se u gastrointestinalni sistem izlučuje uglavnom kroz žuč kao l</w:t>
      </w:r>
      <w:r w:rsidR="000F1226" w:rsidRPr="00B14EBB">
        <w:rPr>
          <w:sz w:val="22"/>
          <w:szCs w:val="22"/>
          <w:lang w:val="sr-Latn-ME" w:eastAsia="sr-Latn-CS"/>
        </w:rPr>
        <w:t>ij</w:t>
      </w:r>
      <w:r w:rsidRPr="00B14EBB">
        <w:rPr>
          <w:sz w:val="22"/>
          <w:szCs w:val="22"/>
          <w:lang w:val="sr-Latn-ME" w:eastAsia="sr-Latn-CS"/>
        </w:rPr>
        <w:t>ek u neprom</w:t>
      </w:r>
      <w:r w:rsidR="000F1226" w:rsidRPr="00B14EBB">
        <w:rPr>
          <w:sz w:val="22"/>
          <w:szCs w:val="22"/>
          <w:lang w:val="sr-Latn-ME" w:eastAsia="sr-Latn-CS"/>
        </w:rPr>
        <w:t>ij</w:t>
      </w:r>
      <w:r w:rsidRPr="00B14EBB">
        <w:rPr>
          <w:sz w:val="22"/>
          <w:szCs w:val="22"/>
          <w:lang w:val="sr-Latn-ME" w:eastAsia="sr-Latn-CS"/>
        </w:rPr>
        <w:t>enjenom obliku i najv</w:t>
      </w:r>
      <w:r w:rsidR="000F1226" w:rsidRPr="00B14EBB">
        <w:rPr>
          <w:sz w:val="22"/>
          <w:szCs w:val="22"/>
          <w:lang w:val="sr-Latn-ME" w:eastAsia="sr-Latn-CS"/>
        </w:rPr>
        <w:t>j</w:t>
      </w:r>
      <w:r w:rsidRPr="00B14EBB">
        <w:rPr>
          <w:sz w:val="22"/>
          <w:szCs w:val="22"/>
          <w:lang w:val="sr-Latn-ME" w:eastAsia="sr-Latn-CS"/>
        </w:rPr>
        <w:t>erovatnije direktnom sekrecijom. Teriflunomid je supstrat efluksnog transportnog proteina BCRP, koji bi mogao učestvovati u direktnoj sekreciji. Tokom 21 dana 60,1% prim</w:t>
      </w:r>
      <w:r w:rsidR="000F1226" w:rsidRPr="00B14EBB">
        <w:rPr>
          <w:sz w:val="22"/>
          <w:szCs w:val="22"/>
          <w:lang w:val="sr-Latn-ME" w:eastAsia="sr-Latn-CS"/>
        </w:rPr>
        <w:t>ij</w:t>
      </w:r>
      <w:r w:rsidRPr="00B14EBB">
        <w:rPr>
          <w:sz w:val="22"/>
          <w:szCs w:val="22"/>
          <w:lang w:val="sr-Latn-ME" w:eastAsia="sr-Latn-CS"/>
        </w:rPr>
        <w:t>enjene doze izluči se putem fecesa (37,5%) i mokraće (22,6%). Nakon postupka ubrzane eliminacije holestiraminom pronađeno je dodatnih 23,1% (uglavnom u fecesu). Na osnovu pojedinačnih previđanja farmakokinetičkih parametara dobijenih modelom populacijske farmakokinetičke analize prim</w:t>
      </w:r>
      <w:r w:rsidR="000F1226" w:rsidRPr="00B14EBB">
        <w:rPr>
          <w:sz w:val="22"/>
          <w:szCs w:val="22"/>
          <w:lang w:val="sr-Latn-ME" w:eastAsia="sr-Latn-CS"/>
        </w:rPr>
        <w:t>j</w:t>
      </w:r>
      <w:r w:rsidRPr="00B14EBB">
        <w:rPr>
          <w:sz w:val="22"/>
          <w:szCs w:val="22"/>
          <w:lang w:val="sr-Latn-ME" w:eastAsia="sr-Latn-CS"/>
        </w:rPr>
        <w:t>ene teriflunomida kod zdravih dobrovoljaca i obol</w:t>
      </w:r>
      <w:r w:rsidR="000F1226" w:rsidRPr="00B14EBB">
        <w:rPr>
          <w:sz w:val="22"/>
          <w:szCs w:val="22"/>
          <w:lang w:val="sr-Latn-ME" w:eastAsia="sr-Latn-CS"/>
        </w:rPr>
        <w:t>j</w:t>
      </w:r>
      <w:r w:rsidRPr="00B14EBB">
        <w:rPr>
          <w:sz w:val="22"/>
          <w:szCs w:val="22"/>
          <w:lang w:val="sr-Latn-ME" w:eastAsia="sr-Latn-CS"/>
        </w:rPr>
        <w:t>elih od multiple skleroze, medijana t</w:t>
      </w:r>
      <w:r w:rsidRPr="00B14EBB">
        <w:rPr>
          <w:sz w:val="22"/>
          <w:szCs w:val="22"/>
          <w:vertAlign w:val="subscript"/>
          <w:lang w:val="sr-Latn-ME" w:eastAsia="sr-Latn-CS"/>
        </w:rPr>
        <w:t>1/2z</w:t>
      </w:r>
      <w:r w:rsidRPr="00B14EBB">
        <w:rPr>
          <w:sz w:val="22"/>
          <w:szCs w:val="22"/>
          <w:lang w:val="sr-Latn-ME" w:eastAsia="sr-Latn-CS"/>
        </w:rPr>
        <w:t xml:space="preserve"> iznosila je približno 19 dana nakon ponovljenih doza od 14 mg. Nakon jednokratne intravenske prim</w:t>
      </w:r>
      <w:r w:rsidR="000F1226" w:rsidRPr="00B14EBB">
        <w:rPr>
          <w:sz w:val="22"/>
          <w:szCs w:val="22"/>
          <w:lang w:val="sr-Latn-ME" w:eastAsia="sr-Latn-CS"/>
        </w:rPr>
        <w:t>j</w:t>
      </w:r>
      <w:r w:rsidRPr="00B14EBB">
        <w:rPr>
          <w:sz w:val="22"/>
          <w:szCs w:val="22"/>
          <w:lang w:val="sr-Latn-ME" w:eastAsia="sr-Latn-CS"/>
        </w:rPr>
        <w:t>ene ukupan klirens teriflunomida iznosio je 30,5 mL/h.</w:t>
      </w:r>
    </w:p>
    <w:p w14:paraId="0DA57817" w14:textId="77777777" w:rsidR="00F90A53" w:rsidRPr="00B14EBB" w:rsidRDefault="00F90A53" w:rsidP="00545126">
      <w:pPr>
        <w:widowControl w:val="0"/>
        <w:autoSpaceDE w:val="0"/>
        <w:autoSpaceDN w:val="0"/>
        <w:adjustRightInd w:val="0"/>
        <w:jc w:val="both"/>
        <w:rPr>
          <w:i/>
          <w:iCs/>
          <w:sz w:val="22"/>
          <w:szCs w:val="22"/>
          <w:lang w:val="sr-Latn-ME" w:eastAsia="sr-Latn-CS"/>
        </w:rPr>
      </w:pPr>
    </w:p>
    <w:p w14:paraId="23FE7305" w14:textId="272D3DB8" w:rsidR="00C67518" w:rsidRPr="00B14EBB" w:rsidRDefault="00C6751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Postupak ubrzane eliminacije: holestiramin i aktivni ugalj</w:t>
      </w:r>
    </w:p>
    <w:p w14:paraId="738F5D5B" w14:textId="1E94ABB0" w:rsidR="00C67518" w:rsidRPr="00B14EBB" w:rsidRDefault="00C67518" w:rsidP="00545126">
      <w:pPr>
        <w:pStyle w:val="BodyText"/>
        <w:widowControl w:val="0"/>
        <w:jc w:val="both"/>
        <w:rPr>
          <w:sz w:val="22"/>
          <w:szCs w:val="22"/>
          <w:lang w:val="sr-Latn-ME"/>
        </w:rPr>
      </w:pPr>
      <w:r w:rsidRPr="00B14EBB">
        <w:rPr>
          <w:sz w:val="22"/>
          <w:szCs w:val="22"/>
          <w:lang w:val="sr-Latn-ME"/>
        </w:rPr>
        <w:t>Eliminacija teriflunomida iz krvotoka može se ubrzati prim</w:t>
      </w:r>
      <w:r w:rsidR="000F1226" w:rsidRPr="00B14EBB">
        <w:rPr>
          <w:sz w:val="22"/>
          <w:szCs w:val="22"/>
          <w:lang w:val="sr-Latn-ME"/>
        </w:rPr>
        <w:t>j</w:t>
      </w:r>
      <w:r w:rsidRPr="00B14EBB">
        <w:rPr>
          <w:sz w:val="22"/>
          <w:szCs w:val="22"/>
          <w:lang w:val="sr-Latn-ME"/>
        </w:rPr>
        <w:t>enom holestiramina ili aktivnog uglja, koji najv</w:t>
      </w:r>
      <w:r w:rsidR="000F1226" w:rsidRPr="00B14EBB">
        <w:rPr>
          <w:sz w:val="22"/>
          <w:szCs w:val="22"/>
          <w:lang w:val="sr-Latn-ME"/>
        </w:rPr>
        <w:t>j</w:t>
      </w:r>
      <w:r w:rsidRPr="00B14EBB">
        <w:rPr>
          <w:sz w:val="22"/>
          <w:szCs w:val="22"/>
          <w:lang w:val="sr-Latn-ME"/>
        </w:rPr>
        <w:t>erovatnije prekidaju postupak ponovne apsorpcije u cr</w:t>
      </w:r>
      <w:r w:rsidR="000F1226" w:rsidRPr="00B14EBB">
        <w:rPr>
          <w:sz w:val="22"/>
          <w:szCs w:val="22"/>
          <w:lang w:val="sr-Latn-ME"/>
        </w:rPr>
        <w:t>ij</w:t>
      </w:r>
      <w:r w:rsidRPr="00B14EBB">
        <w:rPr>
          <w:sz w:val="22"/>
          <w:szCs w:val="22"/>
          <w:lang w:val="sr-Latn-ME"/>
        </w:rPr>
        <w:t>evima. Koncentracije teriflunomida m</w:t>
      </w:r>
      <w:r w:rsidR="000F1226" w:rsidRPr="00B14EBB">
        <w:rPr>
          <w:sz w:val="22"/>
          <w:szCs w:val="22"/>
          <w:lang w:val="sr-Latn-ME"/>
        </w:rPr>
        <w:t>j</w:t>
      </w:r>
      <w:r w:rsidRPr="00B14EBB">
        <w:rPr>
          <w:sz w:val="22"/>
          <w:szCs w:val="22"/>
          <w:lang w:val="sr-Latn-ME"/>
        </w:rPr>
        <w:t>erene tokom 11-dnevnog postupka ubrzanja eliminacije teriflunomida prim</w:t>
      </w:r>
      <w:r w:rsidR="000F1226" w:rsidRPr="00B14EBB">
        <w:rPr>
          <w:sz w:val="22"/>
          <w:szCs w:val="22"/>
          <w:lang w:val="sr-Latn-ME"/>
        </w:rPr>
        <w:t>j</w:t>
      </w:r>
      <w:r w:rsidRPr="00B14EBB">
        <w:rPr>
          <w:sz w:val="22"/>
          <w:szCs w:val="22"/>
          <w:lang w:val="sr-Latn-ME"/>
        </w:rPr>
        <w:t>enom 8 g holestiramina tri puta na dan, 4 g holestiramina tri puta na dan ili 50 g aktivnog uglja dva puta na dan nakon prekida l</w:t>
      </w:r>
      <w:r w:rsidR="000F1226" w:rsidRPr="00B14EBB">
        <w:rPr>
          <w:sz w:val="22"/>
          <w:szCs w:val="22"/>
          <w:lang w:val="sr-Latn-ME"/>
        </w:rPr>
        <w:t>ij</w:t>
      </w:r>
      <w:r w:rsidRPr="00B14EBB">
        <w:rPr>
          <w:sz w:val="22"/>
          <w:szCs w:val="22"/>
          <w:lang w:val="sr-Latn-ME"/>
        </w:rPr>
        <w:t>ečenja teriflunomidom pokazale su da navedeni protokoli efikasno ubrzavaju eliminaciju i tako smanjuju koncentracije teriflunomida u plazmi za više od 98%, pri čemu holestiramin d</w:t>
      </w:r>
      <w:r w:rsidR="000F1226" w:rsidRPr="00B14EBB">
        <w:rPr>
          <w:sz w:val="22"/>
          <w:szCs w:val="22"/>
          <w:lang w:val="sr-Latn-ME"/>
        </w:rPr>
        <w:t>j</w:t>
      </w:r>
      <w:r w:rsidRPr="00B14EBB">
        <w:rPr>
          <w:sz w:val="22"/>
          <w:szCs w:val="22"/>
          <w:lang w:val="sr-Latn-ME"/>
        </w:rPr>
        <w:t>eluje brže od uglja. Nakon prekida l</w:t>
      </w:r>
      <w:r w:rsidR="000F1226" w:rsidRPr="00B14EBB">
        <w:rPr>
          <w:sz w:val="22"/>
          <w:szCs w:val="22"/>
          <w:lang w:val="sr-Latn-ME"/>
        </w:rPr>
        <w:t>ij</w:t>
      </w:r>
      <w:r w:rsidRPr="00B14EBB">
        <w:rPr>
          <w:sz w:val="22"/>
          <w:szCs w:val="22"/>
          <w:lang w:val="sr-Latn-ME"/>
        </w:rPr>
        <w:t>ečenja teriflunomidom i prim</w:t>
      </w:r>
      <w:r w:rsidR="000F1226" w:rsidRPr="00B14EBB">
        <w:rPr>
          <w:sz w:val="22"/>
          <w:szCs w:val="22"/>
          <w:lang w:val="sr-Latn-ME"/>
        </w:rPr>
        <w:t>j</w:t>
      </w:r>
      <w:r w:rsidRPr="00B14EBB">
        <w:rPr>
          <w:sz w:val="22"/>
          <w:szCs w:val="22"/>
          <w:lang w:val="sr-Latn-ME"/>
        </w:rPr>
        <w:t>ene holestiramina u dozi od 8 g tri puta na dan koncentracija teriflunomida u plazmi smanjena je za 52% na kraju 1. dana, 91% na kraju 3. dana, 99,2% na kraju 7. dana i 99,9% na kraju 11. dana. Izbor jednog od triju postupaka eliminacije zavisi od podnošljivosti pacijenata. Ako se holestiramin u dozi od 8 g tri puta na dan ne podnosi dobro, može se prim</w:t>
      </w:r>
      <w:r w:rsidR="000F1226" w:rsidRPr="00B14EBB">
        <w:rPr>
          <w:sz w:val="22"/>
          <w:szCs w:val="22"/>
          <w:lang w:val="sr-Latn-ME"/>
        </w:rPr>
        <w:t>ij</w:t>
      </w:r>
      <w:r w:rsidRPr="00B14EBB">
        <w:rPr>
          <w:sz w:val="22"/>
          <w:szCs w:val="22"/>
          <w:lang w:val="sr-Latn-ME"/>
        </w:rPr>
        <w:t>eniti holestiramin u dozi od 4 g tri puta na dan. Alternativno se može prim</w:t>
      </w:r>
      <w:r w:rsidR="000F1226" w:rsidRPr="00B14EBB">
        <w:rPr>
          <w:sz w:val="22"/>
          <w:szCs w:val="22"/>
          <w:lang w:val="sr-Latn-ME"/>
        </w:rPr>
        <w:t>ij</w:t>
      </w:r>
      <w:r w:rsidRPr="00B14EBB">
        <w:rPr>
          <w:sz w:val="22"/>
          <w:szCs w:val="22"/>
          <w:lang w:val="sr-Latn-ME"/>
        </w:rPr>
        <w:t>eniti aktivni ugalj (l</w:t>
      </w:r>
      <w:r w:rsidR="000F1226" w:rsidRPr="00B14EBB">
        <w:rPr>
          <w:sz w:val="22"/>
          <w:szCs w:val="22"/>
          <w:lang w:val="sr-Latn-ME"/>
        </w:rPr>
        <w:t>j</w:t>
      </w:r>
      <w:r w:rsidRPr="00B14EBB">
        <w:rPr>
          <w:sz w:val="22"/>
          <w:szCs w:val="22"/>
          <w:lang w:val="sr-Latn-ME"/>
        </w:rPr>
        <w:t>ekovi se ne moraju prim</w:t>
      </w:r>
      <w:r w:rsidR="000F1226" w:rsidRPr="00B14EBB">
        <w:rPr>
          <w:sz w:val="22"/>
          <w:szCs w:val="22"/>
          <w:lang w:val="sr-Latn-ME"/>
        </w:rPr>
        <w:t>j</w:t>
      </w:r>
      <w:r w:rsidRPr="00B14EBB">
        <w:rPr>
          <w:sz w:val="22"/>
          <w:szCs w:val="22"/>
          <w:lang w:val="sr-Latn-ME"/>
        </w:rPr>
        <w:t>enjivati tokom 11 uzastopnih dana, osim ako je koncentraciju teriflunomida u plazmi potrebno brzo smanjiti).</w:t>
      </w:r>
    </w:p>
    <w:p w14:paraId="20DAF55B" w14:textId="77777777" w:rsidR="00545126" w:rsidRDefault="00545126" w:rsidP="00545126">
      <w:pPr>
        <w:widowControl w:val="0"/>
        <w:autoSpaceDE w:val="0"/>
        <w:autoSpaceDN w:val="0"/>
        <w:adjustRightInd w:val="0"/>
        <w:jc w:val="both"/>
        <w:rPr>
          <w:sz w:val="22"/>
          <w:szCs w:val="22"/>
          <w:u w:val="single"/>
          <w:lang w:val="sr-Latn-ME" w:eastAsia="sr-Latn-CS"/>
        </w:rPr>
      </w:pPr>
    </w:p>
    <w:p w14:paraId="5DFD6464" w14:textId="730BA58D"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Linearnost/nelinearnost</w:t>
      </w:r>
    </w:p>
    <w:p w14:paraId="5D0145BD" w14:textId="488B4778" w:rsidR="00C67518" w:rsidRPr="00B14EBB" w:rsidRDefault="00C67518" w:rsidP="00545126">
      <w:pPr>
        <w:pStyle w:val="BodyText"/>
        <w:widowControl w:val="0"/>
        <w:jc w:val="both"/>
        <w:rPr>
          <w:sz w:val="22"/>
          <w:szCs w:val="22"/>
          <w:lang w:val="sr-Latn-ME"/>
        </w:rPr>
      </w:pPr>
      <w:r w:rsidRPr="00B14EBB">
        <w:rPr>
          <w:sz w:val="22"/>
          <w:szCs w:val="22"/>
          <w:lang w:val="sr-Latn-ME"/>
        </w:rPr>
        <w:t>Sistemska izloženost povećava se proporcionalno dozi nakon peroralne prim</w:t>
      </w:r>
      <w:r w:rsidR="000F1226" w:rsidRPr="00B14EBB">
        <w:rPr>
          <w:sz w:val="22"/>
          <w:szCs w:val="22"/>
          <w:lang w:val="sr-Latn-ME"/>
        </w:rPr>
        <w:t>j</w:t>
      </w:r>
      <w:r w:rsidRPr="00B14EBB">
        <w:rPr>
          <w:sz w:val="22"/>
          <w:szCs w:val="22"/>
          <w:lang w:val="sr-Latn-ME"/>
        </w:rPr>
        <w:t>ene teriflunomida u dozi od 7 do 14 mg.</w:t>
      </w:r>
    </w:p>
    <w:p w14:paraId="23AC9AB8" w14:textId="77777777" w:rsidR="00545126" w:rsidRDefault="00545126" w:rsidP="00545126">
      <w:pPr>
        <w:widowControl w:val="0"/>
        <w:autoSpaceDE w:val="0"/>
        <w:autoSpaceDN w:val="0"/>
        <w:adjustRightInd w:val="0"/>
        <w:jc w:val="both"/>
        <w:rPr>
          <w:sz w:val="22"/>
          <w:szCs w:val="22"/>
          <w:u w:val="single"/>
          <w:lang w:val="sr-Latn-ME" w:eastAsia="sr-Latn-CS"/>
        </w:rPr>
      </w:pPr>
    </w:p>
    <w:p w14:paraId="14DD55B4" w14:textId="5D305EAA"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Karakteristike u određenim grupama pacijenata</w:t>
      </w:r>
    </w:p>
    <w:p w14:paraId="5890BDA2" w14:textId="77777777" w:rsidR="00F90A53" w:rsidRPr="00B14EBB" w:rsidRDefault="00F90A53" w:rsidP="00545126">
      <w:pPr>
        <w:widowControl w:val="0"/>
        <w:autoSpaceDE w:val="0"/>
        <w:autoSpaceDN w:val="0"/>
        <w:adjustRightInd w:val="0"/>
        <w:jc w:val="both"/>
        <w:rPr>
          <w:i/>
          <w:iCs/>
          <w:sz w:val="22"/>
          <w:szCs w:val="22"/>
          <w:lang w:val="sr-Latn-ME" w:eastAsia="sr-Latn-CS"/>
        </w:rPr>
      </w:pPr>
    </w:p>
    <w:p w14:paraId="0A2D9F67" w14:textId="1856E4B5" w:rsidR="00C67518" w:rsidRPr="00B14EBB" w:rsidRDefault="00C6751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 xml:space="preserve">Pol i starije osobe </w:t>
      </w:r>
    </w:p>
    <w:p w14:paraId="1348F110" w14:textId="49B79F60" w:rsidR="00C67518" w:rsidRPr="00B14EBB" w:rsidRDefault="00C67518" w:rsidP="00545126">
      <w:pPr>
        <w:pStyle w:val="BodyText"/>
        <w:widowControl w:val="0"/>
        <w:jc w:val="both"/>
        <w:rPr>
          <w:sz w:val="22"/>
          <w:szCs w:val="22"/>
          <w:lang w:val="sr-Latn-ME"/>
        </w:rPr>
      </w:pPr>
      <w:r w:rsidRPr="00B14EBB">
        <w:rPr>
          <w:sz w:val="22"/>
          <w:szCs w:val="22"/>
          <w:lang w:val="sr-Latn-ME"/>
        </w:rPr>
        <w:t>Na osnovu populacijske farmakokinetičke analize utvrđeno je nekoliko izvora intrinzičke varijabilnosti kod zdravih ispitanika i kod obol</w:t>
      </w:r>
      <w:r w:rsidR="000F1226" w:rsidRPr="00B14EBB">
        <w:rPr>
          <w:sz w:val="22"/>
          <w:szCs w:val="22"/>
          <w:lang w:val="sr-Latn-ME"/>
        </w:rPr>
        <w:t>j</w:t>
      </w:r>
      <w:r w:rsidRPr="00B14EBB">
        <w:rPr>
          <w:sz w:val="22"/>
          <w:szCs w:val="22"/>
          <w:lang w:val="sr-Latn-ME"/>
        </w:rPr>
        <w:t>elih od multiple skleroze: starost, t</w:t>
      </w:r>
      <w:r w:rsidR="000F1226" w:rsidRPr="00B14EBB">
        <w:rPr>
          <w:sz w:val="22"/>
          <w:szCs w:val="22"/>
          <w:lang w:val="sr-Latn-ME"/>
        </w:rPr>
        <w:t>j</w:t>
      </w:r>
      <w:r w:rsidRPr="00B14EBB">
        <w:rPr>
          <w:sz w:val="22"/>
          <w:szCs w:val="22"/>
          <w:lang w:val="sr-Latn-ME"/>
        </w:rPr>
        <w:t>elesna masa, pol, rasa, koncentracije albumina i bilirubina. Međutim, njihov uticaj je ograničen (≤31%).</w:t>
      </w:r>
    </w:p>
    <w:p w14:paraId="6436E81D" w14:textId="77777777" w:rsidR="00F90A53" w:rsidRPr="00B14EBB" w:rsidRDefault="00F90A53" w:rsidP="00545126">
      <w:pPr>
        <w:widowControl w:val="0"/>
        <w:autoSpaceDE w:val="0"/>
        <w:autoSpaceDN w:val="0"/>
        <w:adjustRightInd w:val="0"/>
        <w:jc w:val="both"/>
        <w:rPr>
          <w:i/>
          <w:iCs/>
          <w:sz w:val="22"/>
          <w:szCs w:val="22"/>
          <w:lang w:val="sr-Latn-ME" w:eastAsia="sr-Latn-CS"/>
        </w:rPr>
      </w:pPr>
    </w:p>
    <w:p w14:paraId="7054A097" w14:textId="462713FF" w:rsidR="00C67518" w:rsidRPr="00B14EBB" w:rsidRDefault="00C6751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Oštećenje funkcije jetre</w:t>
      </w:r>
    </w:p>
    <w:p w14:paraId="79A1C061" w14:textId="140D83ED" w:rsidR="00C67518" w:rsidRPr="00B14EBB" w:rsidRDefault="00C67518" w:rsidP="00545126">
      <w:pPr>
        <w:pStyle w:val="BodyText"/>
        <w:widowControl w:val="0"/>
        <w:jc w:val="both"/>
        <w:rPr>
          <w:sz w:val="22"/>
          <w:szCs w:val="22"/>
          <w:lang w:val="sr-Latn-ME"/>
        </w:rPr>
      </w:pPr>
      <w:r w:rsidRPr="00B14EBB">
        <w:rPr>
          <w:sz w:val="22"/>
          <w:szCs w:val="22"/>
          <w:lang w:val="sr-Latn-ME"/>
        </w:rPr>
        <w:t>Blago i um</w:t>
      </w:r>
      <w:r w:rsidR="000F1226" w:rsidRPr="00B14EBB">
        <w:rPr>
          <w:sz w:val="22"/>
          <w:szCs w:val="22"/>
          <w:lang w:val="sr-Latn-ME"/>
        </w:rPr>
        <w:t>j</w:t>
      </w:r>
      <w:r w:rsidRPr="00B14EBB">
        <w:rPr>
          <w:sz w:val="22"/>
          <w:szCs w:val="22"/>
          <w:lang w:val="sr-Latn-ME"/>
        </w:rPr>
        <w:t>ereno oštećenje funkcije jetre nije imalo uticaj na farmakokinetiku teriflunomida pa se ne očekuje prilagođavanje doze kod pacijenata sa blagim i um</w:t>
      </w:r>
      <w:r w:rsidR="000F1226" w:rsidRPr="00B14EBB">
        <w:rPr>
          <w:sz w:val="22"/>
          <w:szCs w:val="22"/>
          <w:lang w:val="sr-Latn-ME"/>
        </w:rPr>
        <w:t>j</w:t>
      </w:r>
      <w:r w:rsidRPr="00B14EBB">
        <w:rPr>
          <w:sz w:val="22"/>
          <w:szCs w:val="22"/>
          <w:lang w:val="sr-Latn-ME"/>
        </w:rPr>
        <w:t>erenim oštećenjem funkcije jetre.</w:t>
      </w:r>
    </w:p>
    <w:p w14:paraId="4D5E4F6F" w14:textId="65FCD0F2"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lastRenderedPageBreak/>
        <w:t>Međutim, teriflunomid je kontraindikovan kod pacijenata sa teškim oštećenjem funkcije jetre (vid</w:t>
      </w:r>
      <w:r w:rsidR="000F1226" w:rsidRPr="00B14EBB">
        <w:rPr>
          <w:sz w:val="22"/>
          <w:szCs w:val="22"/>
          <w:lang w:val="sr-Latn-ME" w:eastAsia="sr-Latn-CS"/>
        </w:rPr>
        <w:t>j</w:t>
      </w:r>
      <w:r w:rsidRPr="00B14EBB">
        <w:rPr>
          <w:sz w:val="22"/>
          <w:szCs w:val="22"/>
          <w:lang w:val="sr-Latn-ME" w:eastAsia="sr-Latn-CS"/>
        </w:rPr>
        <w:t xml:space="preserve">eti </w:t>
      </w:r>
      <w:r w:rsidR="00F90A53" w:rsidRPr="00B14EBB">
        <w:rPr>
          <w:sz w:val="22"/>
          <w:szCs w:val="22"/>
          <w:lang w:val="sr-Latn-ME" w:eastAsia="sr-Latn-CS"/>
        </w:rPr>
        <w:t xml:space="preserve">djelove </w:t>
      </w:r>
      <w:r w:rsidRPr="00B14EBB">
        <w:rPr>
          <w:sz w:val="22"/>
          <w:szCs w:val="22"/>
          <w:lang w:val="sr-Latn-ME" w:eastAsia="sr-Latn-CS"/>
        </w:rPr>
        <w:t>4.2 i 4.3).</w:t>
      </w:r>
    </w:p>
    <w:p w14:paraId="68EF3DEF" w14:textId="77777777" w:rsidR="00F90A53" w:rsidRPr="00B14EBB" w:rsidRDefault="00F90A53" w:rsidP="00545126">
      <w:pPr>
        <w:widowControl w:val="0"/>
        <w:autoSpaceDE w:val="0"/>
        <w:autoSpaceDN w:val="0"/>
        <w:adjustRightInd w:val="0"/>
        <w:jc w:val="both"/>
        <w:rPr>
          <w:i/>
          <w:iCs/>
          <w:sz w:val="22"/>
          <w:szCs w:val="22"/>
          <w:lang w:val="sr-Latn-ME" w:eastAsia="sr-Latn-CS"/>
        </w:rPr>
      </w:pPr>
    </w:p>
    <w:p w14:paraId="361A3B74" w14:textId="5C6D51FD" w:rsidR="00C67518" w:rsidRPr="00B14EBB" w:rsidRDefault="00C67518" w:rsidP="00545126">
      <w:pPr>
        <w:widowControl w:val="0"/>
        <w:autoSpaceDE w:val="0"/>
        <w:autoSpaceDN w:val="0"/>
        <w:adjustRightInd w:val="0"/>
        <w:jc w:val="both"/>
        <w:rPr>
          <w:i/>
          <w:iCs/>
          <w:sz w:val="22"/>
          <w:szCs w:val="22"/>
          <w:lang w:val="sr-Latn-ME" w:eastAsia="sr-Latn-CS"/>
        </w:rPr>
      </w:pPr>
      <w:r w:rsidRPr="00B14EBB">
        <w:rPr>
          <w:i/>
          <w:iCs/>
          <w:sz w:val="22"/>
          <w:szCs w:val="22"/>
          <w:lang w:val="sr-Latn-ME" w:eastAsia="sr-Latn-CS"/>
        </w:rPr>
        <w:t>Oštećenje funkcije bubrega</w:t>
      </w:r>
    </w:p>
    <w:p w14:paraId="27679AB9" w14:textId="551ED57E" w:rsidR="00C67518" w:rsidRPr="00B14EBB" w:rsidRDefault="00C67518" w:rsidP="00545126">
      <w:pPr>
        <w:pStyle w:val="BodyText"/>
        <w:widowControl w:val="0"/>
        <w:jc w:val="both"/>
        <w:rPr>
          <w:sz w:val="22"/>
          <w:szCs w:val="22"/>
          <w:lang w:val="sr-Latn-ME"/>
        </w:rPr>
      </w:pPr>
      <w:r w:rsidRPr="00B14EBB">
        <w:rPr>
          <w:sz w:val="22"/>
          <w:szCs w:val="22"/>
          <w:lang w:val="sr-Latn-ME"/>
        </w:rPr>
        <w:t>Teško oštećenje funkcije bubrega nije uticalo na farmakokinetiku teriflunomida. Stoga se ne očekuje prilagođavanje doze kod pacijenata sa blagim, um</w:t>
      </w:r>
      <w:r w:rsidR="000F1226" w:rsidRPr="00B14EBB">
        <w:rPr>
          <w:sz w:val="22"/>
          <w:szCs w:val="22"/>
          <w:lang w:val="sr-Latn-ME"/>
        </w:rPr>
        <w:t>j</w:t>
      </w:r>
      <w:r w:rsidRPr="00B14EBB">
        <w:rPr>
          <w:sz w:val="22"/>
          <w:szCs w:val="22"/>
          <w:lang w:val="sr-Latn-ME"/>
        </w:rPr>
        <w:t>erenim i teškim oštećenjem funkcije bubrega.</w:t>
      </w:r>
    </w:p>
    <w:p w14:paraId="6CD43FEF" w14:textId="77777777" w:rsidR="00545126" w:rsidRDefault="00545126" w:rsidP="00545126">
      <w:pPr>
        <w:widowControl w:val="0"/>
        <w:autoSpaceDE w:val="0"/>
        <w:autoSpaceDN w:val="0"/>
        <w:adjustRightInd w:val="0"/>
        <w:jc w:val="both"/>
        <w:rPr>
          <w:rFonts w:eastAsia="Calibri"/>
          <w:i/>
          <w:iCs/>
          <w:sz w:val="22"/>
          <w:szCs w:val="22"/>
          <w:lang w:val="sr-Latn-ME"/>
        </w:rPr>
      </w:pPr>
    </w:p>
    <w:p w14:paraId="4E0A58AC" w14:textId="152CA575" w:rsidR="00C67518" w:rsidRPr="00B14EBB" w:rsidRDefault="00C67518" w:rsidP="00545126">
      <w:pPr>
        <w:widowControl w:val="0"/>
        <w:autoSpaceDE w:val="0"/>
        <w:autoSpaceDN w:val="0"/>
        <w:adjustRightInd w:val="0"/>
        <w:jc w:val="both"/>
        <w:rPr>
          <w:rFonts w:eastAsia="Calibri"/>
          <w:sz w:val="22"/>
          <w:szCs w:val="22"/>
          <w:lang w:val="sr-Latn-ME"/>
        </w:rPr>
      </w:pPr>
      <w:r w:rsidRPr="00B14EBB">
        <w:rPr>
          <w:rFonts w:eastAsia="Calibri"/>
          <w:i/>
          <w:iCs/>
          <w:sz w:val="22"/>
          <w:szCs w:val="22"/>
          <w:lang w:val="sr-Latn-ME"/>
        </w:rPr>
        <w:t>Pedijatrijska populacija</w:t>
      </w:r>
    </w:p>
    <w:p w14:paraId="7DF8AE80" w14:textId="21EAA165" w:rsidR="00C67518" w:rsidRPr="00B14EBB" w:rsidRDefault="00C6751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Kod pedijatrijskih pacijenata t</w:t>
      </w:r>
      <w:r w:rsidR="000F1226" w:rsidRPr="00B14EBB">
        <w:rPr>
          <w:rFonts w:eastAsia="Calibri"/>
          <w:sz w:val="22"/>
          <w:szCs w:val="22"/>
          <w:lang w:val="sr-Latn-ME"/>
        </w:rPr>
        <w:t>j</w:t>
      </w:r>
      <w:r w:rsidRPr="00B14EBB">
        <w:rPr>
          <w:rFonts w:eastAsia="Calibri"/>
          <w:sz w:val="22"/>
          <w:szCs w:val="22"/>
          <w:lang w:val="sr-Latn-ME"/>
        </w:rPr>
        <w:t>elesne težine &gt;40 kg l</w:t>
      </w:r>
      <w:r w:rsidR="000F1226" w:rsidRPr="00B14EBB">
        <w:rPr>
          <w:rFonts w:eastAsia="Calibri"/>
          <w:sz w:val="22"/>
          <w:szCs w:val="22"/>
          <w:lang w:val="sr-Latn-ME"/>
        </w:rPr>
        <w:t>ij</w:t>
      </w:r>
      <w:r w:rsidRPr="00B14EBB">
        <w:rPr>
          <w:rFonts w:eastAsia="Calibri"/>
          <w:sz w:val="22"/>
          <w:szCs w:val="22"/>
          <w:lang w:val="sr-Latn-ME"/>
        </w:rPr>
        <w:t>ečenih teriflunomidom u dozi od 14 mg jedanput na dan, izloženost u stanju dinamičke ravnoteže bila je u rasponu prim</w:t>
      </w:r>
      <w:r w:rsidR="000F1226" w:rsidRPr="00B14EBB">
        <w:rPr>
          <w:rFonts w:eastAsia="Calibri"/>
          <w:sz w:val="22"/>
          <w:szCs w:val="22"/>
          <w:lang w:val="sr-Latn-ME"/>
        </w:rPr>
        <w:t>ij</w:t>
      </w:r>
      <w:r w:rsidRPr="00B14EBB">
        <w:rPr>
          <w:rFonts w:eastAsia="Calibri"/>
          <w:sz w:val="22"/>
          <w:szCs w:val="22"/>
          <w:lang w:val="sr-Latn-ME"/>
        </w:rPr>
        <w:t>ećenom kod odraslih pacijenata l</w:t>
      </w:r>
      <w:r w:rsidR="000F1226" w:rsidRPr="00B14EBB">
        <w:rPr>
          <w:rFonts w:eastAsia="Calibri"/>
          <w:sz w:val="22"/>
          <w:szCs w:val="22"/>
          <w:lang w:val="sr-Latn-ME"/>
        </w:rPr>
        <w:t>ij</w:t>
      </w:r>
      <w:r w:rsidRPr="00B14EBB">
        <w:rPr>
          <w:rFonts w:eastAsia="Calibri"/>
          <w:sz w:val="22"/>
          <w:szCs w:val="22"/>
          <w:lang w:val="sr-Latn-ME"/>
        </w:rPr>
        <w:t>ečenih istim režimom doziranja.</w:t>
      </w:r>
    </w:p>
    <w:p w14:paraId="0CD0DCD5" w14:textId="41CAD105" w:rsidR="00C67518" w:rsidRPr="00B14EBB" w:rsidRDefault="00C6751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Kod pedijatrijskih pacijenata t</w:t>
      </w:r>
      <w:r w:rsidR="000F1226" w:rsidRPr="00B14EBB">
        <w:rPr>
          <w:rFonts w:eastAsia="Calibri"/>
          <w:sz w:val="22"/>
          <w:szCs w:val="22"/>
          <w:lang w:val="sr-Latn-ME"/>
        </w:rPr>
        <w:t>j</w:t>
      </w:r>
      <w:r w:rsidRPr="00B14EBB">
        <w:rPr>
          <w:rFonts w:eastAsia="Calibri"/>
          <w:sz w:val="22"/>
          <w:szCs w:val="22"/>
          <w:lang w:val="sr-Latn-ME"/>
        </w:rPr>
        <w:t>elesne težine ≤40 kg l</w:t>
      </w:r>
      <w:r w:rsidR="000F1226" w:rsidRPr="00B14EBB">
        <w:rPr>
          <w:rFonts w:eastAsia="Calibri"/>
          <w:sz w:val="22"/>
          <w:szCs w:val="22"/>
          <w:lang w:val="sr-Latn-ME"/>
        </w:rPr>
        <w:t>ij</w:t>
      </w:r>
      <w:r w:rsidRPr="00B14EBB">
        <w:rPr>
          <w:rFonts w:eastAsia="Calibri"/>
          <w:sz w:val="22"/>
          <w:szCs w:val="22"/>
          <w:lang w:val="sr-Latn-ME"/>
        </w:rPr>
        <w:t>ečenih teriflunomidom u dozi od 7 mg jedanput na dan (na osnovu ograničenih kliničkih podataka i simulacija) došlo je do izloženosti u stanju dinamičke ravnoteže u rasponu prim</w:t>
      </w:r>
      <w:r w:rsidR="000F1226" w:rsidRPr="00B14EBB">
        <w:rPr>
          <w:rFonts w:eastAsia="Calibri"/>
          <w:sz w:val="22"/>
          <w:szCs w:val="22"/>
          <w:lang w:val="sr-Latn-ME"/>
        </w:rPr>
        <w:t>ij</w:t>
      </w:r>
      <w:r w:rsidRPr="00B14EBB">
        <w:rPr>
          <w:rFonts w:eastAsia="Calibri"/>
          <w:sz w:val="22"/>
          <w:szCs w:val="22"/>
          <w:lang w:val="sr-Latn-ME"/>
        </w:rPr>
        <w:t>ećenom kod odraslih pacijenata l</w:t>
      </w:r>
      <w:r w:rsidR="000F1226" w:rsidRPr="00B14EBB">
        <w:rPr>
          <w:rFonts w:eastAsia="Calibri"/>
          <w:sz w:val="22"/>
          <w:szCs w:val="22"/>
          <w:lang w:val="sr-Latn-ME"/>
        </w:rPr>
        <w:t>ij</w:t>
      </w:r>
      <w:r w:rsidRPr="00B14EBB">
        <w:rPr>
          <w:rFonts w:eastAsia="Calibri"/>
          <w:sz w:val="22"/>
          <w:szCs w:val="22"/>
          <w:lang w:val="sr-Latn-ME"/>
        </w:rPr>
        <w:t>ečnih teriflunomidom u dozi od 14 mg jedanput</w:t>
      </w:r>
      <w:r w:rsidR="000F1226" w:rsidRPr="00B14EBB">
        <w:rPr>
          <w:rFonts w:eastAsia="Calibri"/>
          <w:sz w:val="22"/>
          <w:szCs w:val="22"/>
          <w:lang w:val="sr-Latn-ME"/>
        </w:rPr>
        <w:t xml:space="preserve"> </w:t>
      </w:r>
      <w:r w:rsidRPr="00B14EBB">
        <w:rPr>
          <w:rFonts w:eastAsia="Calibri"/>
          <w:sz w:val="22"/>
          <w:szCs w:val="22"/>
          <w:lang w:val="sr-Latn-ME"/>
        </w:rPr>
        <w:t>na dan. Prim</w:t>
      </w:r>
      <w:r w:rsidR="000F1226" w:rsidRPr="00B14EBB">
        <w:rPr>
          <w:rFonts w:eastAsia="Calibri"/>
          <w:sz w:val="22"/>
          <w:szCs w:val="22"/>
          <w:lang w:val="sr-Latn-ME"/>
        </w:rPr>
        <w:t>ij</w:t>
      </w:r>
      <w:r w:rsidRPr="00B14EBB">
        <w:rPr>
          <w:rFonts w:eastAsia="Calibri"/>
          <w:sz w:val="22"/>
          <w:szCs w:val="22"/>
          <w:lang w:val="sr-Latn-ME"/>
        </w:rPr>
        <w:t>ećene najniže koncentracije u stanju dinamičke ravnoteže bile su jako varijabilne među pojedincima, kao što je prim</w:t>
      </w:r>
      <w:r w:rsidR="000F1226" w:rsidRPr="00B14EBB">
        <w:rPr>
          <w:rFonts w:eastAsia="Calibri"/>
          <w:sz w:val="22"/>
          <w:szCs w:val="22"/>
          <w:lang w:val="sr-Latn-ME"/>
        </w:rPr>
        <w:t>ij</w:t>
      </w:r>
      <w:r w:rsidRPr="00B14EBB">
        <w:rPr>
          <w:rFonts w:eastAsia="Calibri"/>
          <w:sz w:val="22"/>
          <w:szCs w:val="22"/>
          <w:lang w:val="sr-Latn-ME"/>
        </w:rPr>
        <w:t>ećeno kod odraslih pacijenata sa multiplom sklerozom.</w:t>
      </w:r>
    </w:p>
    <w:p w14:paraId="500F5937" w14:textId="77777777" w:rsidR="0072020E" w:rsidRPr="00B14EBB" w:rsidRDefault="0072020E" w:rsidP="00545126">
      <w:pPr>
        <w:widowControl w:val="0"/>
        <w:tabs>
          <w:tab w:val="left" w:pos="540"/>
          <w:tab w:val="left" w:pos="569"/>
        </w:tabs>
        <w:jc w:val="both"/>
        <w:rPr>
          <w:bCs/>
          <w:sz w:val="22"/>
          <w:szCs w:val="22"/>
          <w:lang w:val="sr-Latn-ME"/>
        </w:rPr>
      </w:pPr>
    </w:p>
    <w:p w14:paraId="500F5938"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5.3. </w:t>
      </w:r>
      <w:r w:rsidR="00480FB1" w:rsidRPr="00B14EBB">
        <w:rPr>
          <w:b/>
          <w:bCs/>
          <w:sz w:val="22"/>
          <w:szCs w:val="22"/>
          <w:lang w:val="sr-Latn-ME"/>
        </w:rPr>
        <w:tab/>
      </w:r>
      <w:r w:rsidRPr="00B14EBB">
        <w:rPr>
          <w:b/>
          <w:bCs/>
          <w:sz w:val="22"/>
          <w:szCs w:val="22"/>
          <w:lang w:val="sr-Latn-ME"/>
        </w:rPr>
        <w:t xml:space="preserve">Pretklinički podaci o bezbjednosti </w:t>
      </w:r>
    </w:p>
    <w:p w14:paraId="6AE3CC19" w14:textId="77777777" w:rsidR="00545126" w:rsidRDefault="00545126" w:rsidP="00545126">
      <w:pPr>
        <w:widowControl w:val="0"/>
        <w:autoSpaceDE w:val="0"/>
        <w:autoSpaceDN w:val="0"/>
        <w:adjustRightInd w:val="0"/>
        <w:jc w:val="both"/>
        <w:rPr>
          <w:rFonts w:eastAsia="Calibri"/>
          <w:sz w:val="22"/>
          <w:szCs w:val="22"/>
          <w:u w:val="single"/>
          <w:lang w:val="sr-Latn-ME"/>
        </w:rPr>
      </w:pPr>
    </w:p>
    <w:p w14:paraId="2FAA2506" w14:textId="3F744765"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rFonts w:eastAsia="Calibri"/>
          <w:sz w:val="22"/>
          <w:szCs w:val="22"/>
          <w:u w:val="single"/>
          <w:lang w:val="sr-Latn-ME"/>
        </w:rPr>
        <w:t>Toksičnost ponovljenih doza</w:t>
      </w:r>
    </w:p>
    <w:p w14:paraId="2D5B1C91" w14:textId="6F81297C"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Ponovljena peroralna prim</w:t>
      </w:r>
      <w:r w:rsidR="00E004B5" w:rsidRPr="00B14EBB">
        <w:rPr>
          <w:sz w:val="22"/>
          <w:szCs w:val="22"/>
          <w:lang w:val="sr-Latn-ME" w:eastAsia="sr-Latn-CS"/>
        </w:rPr>
        <w:t>j</w:t>
      </w:r>
      <w:r w:rsidRPr="00B14EBB">
        <w:rPr>
          <w:sz w:val="22"/>
          <w:szCs w:val="22"/>
          <w:lang w:val="sr-Latn-ME" w:eastAsia="sr-Latn-CS"/>
        </w:rPr>
        <w:t>ena teriflunomida kod miševa, pacova odnosno pasa tokom najviše 3, 6 odnosno 12 m</w:t>
      </w:r>
      <w:r w:rsidR="00E004B5" w:rsidRPr="00B14EBB">
        <w:rPr>
          <w:sz w:val="22"/>
          <w:szCs w:val="22"/>
          <w:lang w:val="sr-Latn-ME" w:eastAsia="sr-Latn-CS"/>
        </w:rPr>
        <w:t>j</w:t>
      </w:r>
      <w:r w:rsidRPr="00B14EBB">
        <w:rPr>
          <w:sz w:val="22"/>
          <w:szCs w:val="22"/>
          <w:lang w:val="sr-Latn-ME" w:eastAsia="sr-Latn-CS"/>
        </w:rPr>
        <w:t>eseci pokazala je da su glavni ciljevi toksičnosti koštana srž, limfoidni organi, usna šupljina/digestivni sistem, reproduktivni organi i pankreas. Zab</w:t>
      </w:r>
      <w:r w:rsidR="00E004B5" w:rsidRPr="00B14EBB">
        <w:rPr>
          <w:sz w:val="22"/>
          <w:szCs w:val="22"/>
          <w:lang w:val="sr-Latn-ME" w:eastAsia="sr-Latn-CS"/>
        </w:rPr>
        <w:t>ilj</w:t>
      </w:r>
      <w:r w:rsidRPr="00B14EBB">
        <w:rPr>
          <w:sz w:val="22"/>
          <w:szCs w:val="22"/>
          <w:lang w:val="sr-Latn-ME" w:eastAsia="sr-Latn-CS"/>
        </w:rPr>
        <w:t>eženo je i oksidativno dejstvo na eritrocite. Anemija, smanjen broj trombocita i dejstvo na imunski sistem, uključujući leukopeniju, limfopeniju i sekundarne infekcije, povezane su sa dejstvima na koštanu srž i/ili limfoidne organe. Većina dejstava odražava osnovni način d</w:t>
      </w:r>
      <w:r w:rsidR="00E004B5" w:rsidRPr="00B14EBB">
        <w:rPr>
          <w:sz w:val="22"/>
          <w:szCs w:val="22"/>
          <w:lang w:val="sr-Latn-ME" w:eastAsia="sr-Latn-CS"/>
        </w:rPr>
        <w:t>j</w:t>
      </w:r>
      <w:r w:rsidRPr="00B14EBB">
        <w:rPr>
          <w:sz w:val="22"/>
          <w:szCs w:val="22"/>
          <w:lang w:val="sr-Latn-ME" w:eastAsia="sr-Latn-CS"/>
        </w:rPr>
        <w:t>elovanja spoja (inhibicija ćelija koje se d</w:t>
      </w:r>
      <w:r w:rsidR="00E004B5" w:rsidRPr="00B14EBB">
        <w:rPr>
          <w:sz w:val="22"/>
          <w:szCs w:val="22"/>
          <w:lang w:val="sr-Latn-ME" w:eastAsia="sr-Latn-CS"/>
        </w:rPr>
        <w:t>ij</w:t>
      </w:r>
      <w:r w:rsidRPr="00B14EBB">
        <w:rPr>
          <w:sz w:val="22"/>
          <w:szCs w:val="22"/>
          <w:lang w:val="sr-Latn-ME" w:eastAsia="sr-Latn-CS"/>
        </w:rPr>
        <w:t>ele). Životinje su os</w:t>
      </w:r>
      <w:r w:rsidR="00E004B5" w:rsidRPr="00B14EBB">
        <w:rPr>
          <w:sz w:val="22"/>
          <w:szCs w:val="22"/>
          <w:lang w:val="sr-Latn-ME" w:eastAsia="sr-Latn-CS"/>
        </w:rPr>
        <w:t>j</w:t>
      </w:r>
      <w:r w:rsidRPr="00B14EBB">
        <w:rPr>
          <w:sz w:val="22"/>
          <w:szCs w:val="22"/>
          <w:lang w:val="sr-Latn-ME" w:eastAsia="sr-Latn-CS"/>
        </w:rPr>
        <w:t>etljivije na farmakološko dejstvo, a samim tim i na toksičnost teriflunomida od ljudi. Zbog tog razloga je toksičnost kod životinja utvrđena pri izloženostima koje su jednake ili manje od koncentracija izloženosti pri l</w:t>
      </w:r>
      <w:r w:rsidR="00E004B5" w:rsidRPr="00B14EBB">
        <w:rPr>
          <w:sz w:val="22"/>
          <w:szCs w:val="22"/>
          <w:lang w:val="sr-Latn-ME" w:eastAsia="sr-Latn-CS"/>
        </w:rPr>
        <w:t>ij</w:t>
      </w:r>
      <w:r w:rsidRPr="00B14EBB">
        <w:rPr>
          <w:sz w:val="22"/>
          <w:szCs w:val="22"/>
          <w:lang w:val="sr-Latn-ME" w:eastAsia="sr-Latn-CS"/>
        </w:rPr>
        <w:t>ečenju ljudi.</w:t>
      </w:r>
    </w:p>
    <w:p w14:paraId="1553D6CD" w14:textId="77777777" w:rsidR="00545126" w:rsidRDefault="00545126" w:rsidP="00545126">
      <w:pPr>
        <w:widowControl w:val="0"/>
        <w:autoSpaceDE w:val="0"/>
        <w:autoSpaceDN w:val="0"/>
        <w:adjustRightInd w:val="0"/>
        <w:jc w:val="both"/>
        <w:rPr>
          <w:rFonts w:eastAsia="Calibri"/>
          <w:sz w:val="22"/>
          <w:szCs w:val="22"/>
          <w:u w:val="single"/>
          <w:lang w:val="sr-Latn-ME"/>
        </w:rPr>
      </w:pPr>
    </w:p>
    <w:p w14:paraId="1B63A1CC" w14:textId="773DB4F3"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rFonts w:eastAsia="Calibri"/>
          <w:sz w:val="22"/>
          <w:szCs w:val="22"/>
          <w:u w:val="single"/>
          <w:lang w:val="sr-Latn-ME"/>
        </w:rPr>
        <w:t>Genotoksični i kancerogeni potencijal</w:t>
      </w:r>
    </w:p>
    <w:p w14:paraId="5842CEA6" w14:textId="16EC2F5B"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 xml:space="preserve">Teriflunomid nije bio mutagen </w:t>
      </w:r>
      <w:r w:rsidRPr="00B14EBB">
        <w:rPr>
          <w:i/>
          <w:iCs/>
          <w:sz w:val="22"/>
          <w:szCs w:val="22"/>
          <w:lang w:val="sr-Latn-ME" w:eastAsia="sr-Latn-CS"/>
        </w:rPr>
        <w:t xml:space="preserve">in vitro </w:t>
      </w:r>
      <w:r w:rsidRPr="00B14EBB">
        <w:rPr>
          <w:sz w:val="22"/>
          <w:szCs w:val="22"/>
          <w:lang w:val="sr-Latn-ME" w:eastAsia="sr-Latn-CS"/>
        </w:rPr>
        <w:t xml:space="preserve">ni klastogen </w:t>
      </w:r>
      <w:r w:rsidRPr="00B14EBB">
        <w:rPr>
          <w:i/>
          <w:iCs/>
          <w:sz w:val="22"/>
          <w:szCs w:val="22"/>
          <w:lang w:val="sr-Latn-ME" w:eastAsia="sr-Latn-CS"/>
        </w:rPr>
        <w:t>in vivo</w:t>
      </w:r>
      <w:r w:rsidRPr="00B14EBB">
        <w:rPr>
          <w:sz w:val="22"/>
          <w:szCs w:val="22"/>
          <w:lang w:val="sr-Latn-ME" w:eastAsia="sr-Latn-CS"/>
        </w:rPr>
        <w:t>. Klastogenost prim</w:t>
      </w:r>
      <w:r w:rsidR="00E004B5" w:rsidRPr="00B14EBB">
        <w:rPr>
          <w:sz w:val="22"/>
          <w:szCs w:val="22"/>
          <w:lang w:val="sr-Latn-ME" w:eastAsia="sr-Latn-CS"/>
        </w:rPr>
        <w:t>ij</w:t>
      </w:r>
      <w:r w:rsidRPr="00B14EBB">
        <w:rPr>
          <w:sz w:val="22"/>
          <w:szCs w:val="22"/>
          <w:lang w:val="sr-Latn-ME" w:eastAsia="sr-Latn-CS"/>
        </w:rPr>
        <w:t xml:space="preserve">ećena </w:t>
      </w:r>
      <w:r w:rsidRPr="00B14EBB">
        <w:rPr>
          <w:i/>
          <w:iCs/>
          <w:sz w:val="22"/>
          <w:szCs w:val="22"/>
          <w:lang w:val="sr-Latn-ME" w:eastAsia="sr-Latn-CS"/>
        </w:rPr>
        <w:t xml:space="preserve">in vitro </w:t>
      </w:r>
      <w:r w:rsidRPr="00B14EBB">
        <w:rPr>
          <w:sz w:val="22"/>
          <w:szCs w:val="22"/>
          <w:lang w:val="sr-Latn-ME" w:eastAsia="sr-Latn-CS"/>
        </w:rPr>
        <w:t>smatra se i sporednim dejstvom povezanim sa disbalansom nukleotidnog pula, koji je posl</w:t>
      </w:r>
      <w:r w:rsidR="00B31671" w:rsidRPr="00B14EBB">
        <w:rPr>
          <w:sz w:val="22"/>
          <w:szCs w:val="22"/>
          <w:lang w:val="sr-Latn-ME" w:eastAsia="sr-Latn-CS"/>
        </w:rPr>
        <w:t>j</w:t>
      </w:r>
      <w:r w:rsidRPr="00B14EBB">
        <w:rPr>
          <w:sz w:val="22"/>
          <w:szCs w:val="22"/>
          <w:lang w:val="sr-Latn-ME" w:eastAsia="sr-Latn-CS"/>
        </w:rPr>
        <w:t xml:space="preserve">edica farmakologije inhibicije DHO-DH. Sporedni metabolit TFMA (4-trifluorometilanilin) uzrokovao je mutagenosti i klastogenost </w:t>
      </w:r>
      <w:r w:rsidRPr="00B14EBB">
        <w:rPr>
          <w:i/>
          <w:iCs/>
          <w:sz w:val="22"/>
          <w:szCs w:val="22"/>
          <w:lang w:val="sr-Latn-ME" w:eastAsia="sr-Latn-CS"/>
        </w:rPr>
        <w:t>in vitro</w:t>
      </w:r>
      <w:r w:rsidRPr="00B14EBB">
        <w:rPr>
          <w:sz w:val="22"/>
          <w:szCs w:val="22"/>
          <w:lang w:val="sr-Latn-ME" w:eastAsia="sr-Latn-CS"/>
        </w:rPr>
        <w:t xml:space="preserve">, ali ne i </w:t>
      </w:r>
      <w:r w:rsidRPr="00B14EBB">
        <w:rPr>
          <w:i/>
          <w:iCs/>
          <w:sz w:val="22"/>
          <w:szCs w:val="22"/>
          <w:lang w:val="sr-Latn-ME" w:eastAsia="sr-Latn-CS"/>
        </w:rPr>
        <w:t>in vivo</w:t>
      </w:r>
      <w:r w:rsidRPr="00B14EBB">
        <w:rPr>
          <w:sz w:val="22"/>
          <w:szCs w:val="22"/>
          <w:lang w:val="sr-Latn-ME" w:eastAsia="sr-Latn-CS"/>
        </w:rPr>
        <w:t>.</w:t>
      </w:r>
    </w:p>
    <w:p w14:paraId="15FE9158" w14:textId="77777777"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Kod pacova i miševa nisu uočeni dokazi kancerogenosti.</w:t>
      </w:r>
    </w:p>
    <w:p w14:paraId="723472F6" w14:textId="77777777" w:rsidR="00545126" w:rsidRDefault="00545126" w:rsidP="00545126">
      <w:pPr>
        <w:widowControl w:val="0"/>
        <w:autoSpaceDE w:val="0"/>
        <w:autoSpaceDN w:val="0"/>
        <w:adjustRightInd w:val="0"/>
        <w:jc w:val="both"/>
        <w:rPr>
          <w:sz w:val="22"/>
          <w:szCs w:val="22"/>
          <w:u w:val="single"/>
          <w:lang w:val="sr-Latn-ME" w:eastAsia="sr-Latn-CS"/>
        </w:rPr>
      </w:pPr>
    </w:p>
    <w:p w14:paraId="621AAB0B" w14:textId="483D495E" w:rsidR="00C67518" w:rsidRPr="00B14EBB" w:rsidRDefault="00C67518" w:rsidP="00545126">
      <w:pPr>
        <w:widowControl w:val="0"/>
        <w:autoSpaceDE w:val="0"/>
        <w:autoSpaceDN w:val="0"/>
        <w:adjustRightInd w:val="0"/>
        <w:jc w:val="both"/>
        <w:rPr>
          <w:sz w:val="22"/>
          <w:szCs w:val="22"/>
          <w:u w:val="single"/>
          <w:lang w:val="sr-Latn-ME" w:eastAsia="sr-Latn-CS"/>
        </w:rPr>
      </w:pPr>
      <w:r w:rsidRPr="00B14EBB">
        <w:rPr>
          <w:sz w:val="22"/>
          <w:szCs w:val="22"/>
          <w:u w:val="single"/>
          <w:lang w:val="sr-Latn-ME" w:eastAsia="sr-Latn-CS"/>
        </w:rPr>
        <w:t>Reproduktivna toksičnost</w:t>
      </w:r>
    </w:p>
    <w:p w14:paraId="3420A92D" w14:textId="3F6A2036" w:rsidR="00C67518" w:rsidRPr="00B14EBB" w:rsidRDefault="00C67518" w:rsidP="00545126">
      <w:pPr>
        <w:pStyle w:val="BodyText"/>
        <w:widowControl w:val="0"/>
        <w:jc w:val="both"/>
        <w:rPr>
          <w:sz w:val="22"/>
          <w:szCs w:val="22"/>
          <w:lang w:val="sr-Latn-ME"/>
        </w:rPr>
      </w:pPr>
      <w:r w:rsidRPr="00B14EBB">
        <w:rPr>
          <w:sz w:val="22"/>
          <w:szCs w:val="22"/>
          <w:lang w:val="sr-Latn-ME"/>
        </w:rPr>
        <w:t>Uprkos štetnom dejstvu teriflunomida na reproduktivne organe kod mužjaka, uključujući i smanjeni broj spermatozoida, teriflunomid nije uticao na plodnost kod pacova. Nije došlo do spoljnih malformacija u potomstvu mužjaka pacova koji su primali teriflunomid pr</w:t>
      </w:r>
      <w:r w:rsidR="00E004B5" w:rsidRPr="00B14EBB">
        <w:rPr>
          <w:sz w:val="22"/>
          <w:szCs w:val="22"/>
          <w:lang w:val="sr-Latn-ME"/>
        </w:rPr>
        <w:t>ij</w:t>
      </w:r>
      <w:r w:rsidRPr="00B14EBB">
        <w:rPr>
          <w:sz w:val="22"/>
          <w:szCs w:val="22"/>
          <w:lang w:val="sr-Latn-ME"/>
        </w:rPr>
        <w:t>e parenja sa netretiranim ženkama pacova. Teriflunomid je bio embriotoksičan i teratogen kod pacova i kunića pri dozama koje su bile unutar raspona doza koje se prim</w:t>
      </w:r>
      <w:r w:rsidR="00E004B5" w:rsidRPr="00B14EBB">
        <w:rPr>
          <w:sz w:val="22"/>
          <w:szCs w:val="22"/>
          <w:lang w:val="sr-Latn-ME"/>
        </w:rPr>
        <w:t>j</w:t>
      </w:r>
      <w:r w:rsidRPr="00B14EBB">
        <w:rPr>
          <w:sz w:val="22"/>
          <w:szCs w:val="22"/>
          <w:lang w:val="sr-Latn-ME"/>
        </w:rPr>
        <w:t>enjuju za l</w:t>
      </w:r>
      <w:r w:rsidR="00E004B5" w:rsidRPr="00B14EBB">
        <w:rPr>
          <w:sz w:val="22"/>
          <w:szCs w:val="22"/>
          <w:lang w:val="sr-Latn-ME"/>
        </w:rPr>
        <w:t>ij</w:t>
      </w:r>
      <w:r w:rsidRPr="00B14EBB">
        <w:rPr>
          <w:sz w:val="22"/>
          <w:szCs w:val="22"/>
          <w:lang w:val="sr-Latn-ME"/>
        </w:rPr>
        <w:t>ečenje kod ljudi. Neželjena dejstva na potomstvo takođe su prim</w:t>
      </w:r>
      <w:r w:rsidR="00E004B5" w:rsidRPr="00B14EBB">
        <w:rPr>
          <w:sz w:val="22"/>
          <w:szCs w:val="22"/>
          <w:lang w:val="sr-Latn-ME"/>
        </w:rPr>
        <w:t>ij</w:t>
      </w:r>
      <w:r w:rsidRPr="00B14EBB">
        <w:rPr>
          <w:sz w:val="22"/>
          <w:szCs w:val="22"/>
          <w:lang w:val="sr-Latn-ME"/>
        </w:rPr>
        <w:t>ećena kada je teriflunomid prim</w:t>
      </w:r>
      <w:r w:rsidR="00E004B5" w:rsidRPr="00B14EBB">
        <w:rPr>
          <w:sz w:val="22"/>
          <w:szCs w:val="22"/>
          <w:lang w:val="sr-Latn-ME"/>
        </w:rPr>
        <w:t>j</w:t>
      </w:r>
      <w:r w:rsidRPr="00B14EBB">
        <w:rPr>
          <w:sz w:val="22"/>
          <w:szCs w:val="22"/>
          <w:lang w:val="sr-Latn-ME"/>
        </w:rPr>
        <w:t>enjivan kod skotnih ženki pacova tokom gestacije i laktacije. Rizik od embriofetalne toksičnosti uzrokovane muškim polnim ćelijama usl</w:t>
      </w:r>
      <w:r w:rsidR="00B31671" w:rsidRPr="00B14EBB">
        <w:rPr>
          <w:sz w:val="22"/>
          <w:szCs w:val="22"/>
          <w:lang w:val="sr-Latn-ME"/>
        </w:rPr>
        <w:t>j</w:t>
      </w:r>
      <w:r w:rsidRPr="00B14EBB">
        <w:rPr>
          <w:sz w:val="22"/>
          <w:szCs w:val="22"/>
          <w:lang w:val="sr-Latn-ME"/>
        </w:rPr>
        <w:t>ed l</w:t>
      </w:r>
      <w:r w:rsidR="00E004B5" w:rsidRPr="00B14EBB">
        <w:rPr>
          <w:sz w:val="22"/>
          <w:szCs w:val="22"/>
          <w:lang w:val="sr-Latn-ME"/>
        </w:rPr>
        <w:t>ij</w:t>
      </w:r>
      <w:r w:rsidRPr="00B14EBB">
        <w:rPr>
          <w:sz w:val="22"/>
          <w:szCs w:val="22"/>
          <w:lang w:val="sr-Latn-ME"/>
        </w:rPr>
        <w:t>ečenja teriflunomidom smatra se niskim. Očekivana proc</w:t>
      </w:r>
      <w:r w:rsidR="00E004B5" w:rsidRPr="00B14EBB">
        <w:rPr>
          <w:sz w:val="22"/>
          <w:szCs w:val="22"/>
          <w:lang w:val="sr-Latn-ME"/>
        </w:rPr>
        <w:t>ij</w:t>
      </w:r>
      <w:r w:rsidRPr="00B14EBB">
        <w:rPr>
          <w:sz w:val="22"/>
          <w:szCs w:val="22"/>
          <w:lang w:val="sr-Latn-ME"/>
        </w:rPr>
        <w:t>enjena izloženost u plazmi žene putem sperme l</w:t>
      </w:r>
      <w:r w:rsidR="00E004B5" w:rsidRPr="00B14EBB">
        <w:rPr>
          <w:sz w:val="22"/>
          <w:szCs w:val="22"/>
          <w:lang w:val="sr-Latn-ME"/>
        </w:rPr>
        <w:t>ij</w:t>
      </w:r>
      <w:r w:rsidRPr="00B14EBB">
        <w:rPr>
          <w:sz w:val="22"/>
          <w:szCs w:val="22"/>
          <w:lang w:val="sr-Latn-ME"/>
        </w:rPr>
        <w:t>ečenog pacijenta je 100 puta niža od izloženosti u plazmi nakon peroralne prim</w:t>
      </w:r>
      <w:r w:rsidR="00E004B5" w:rsidRPr="00B14EBB">
        <w:rPr>
          <w:sz w:val="22"/>
          <w:szCs w:val="22"/>
          <w:lang w:val="sr-Latn-ME"/>
        </w:rPr>
        <w:t>j</w:t>
      </w:r>
      <w:r w:rsidRPr="00B14EBB">
        <w:rPr>
          <w:sz w:val="22"/>
          <w:szCs w:val="22"/>
          <w:lang w:val="sr-Latn-ME"/>
        </w:rPr>
        <w:t>ene 14 mg teriflunomida.</w:t>
      </w:r>
    </w:p>
    <w:p w14:paraId="6406F791" w14:textId="77777777" w:rsidR="00C67518" w:rsidRPr="00B14EBB" w:rsidRDefault="00C67518" w:rsidP="00545126">
      <w:pPr>
        <w:pStyle w:val="BodyText"/>
        <w:widowControl w:val="0"/>
        <w:jc w:val="both"/>
        <w:rPr>
          <w:sz w:val="22"/>
          <w:szCs w:val="22"/>
          <w:lang w:val="sr-Latn-ME"/>
        </w:rPr>
      </w:pPr>
    </w:p>
    <w:p w14:paraId="7A5455CE" w14:textId="77777777" w:rsidR="00C67518" w:rsidRPr="00B14EBB" w:rsidRDefault="00C67518" w:rsidP="00545126">
      <w:pPr>
        <w:widowControl w:val="0"/>
        <w:autoSpaceDE w:val="0"/>
        <w:autoSpaceDN w:val="0"/>
        <w:adjustRightInd w:val="0"/>
        <w:jc w:val="both"/>
        <w:rPr>
          <w:rFonts w:eastAsia="Calibri"/>
          <w:sz w:val="22"/>
          <w:szCs w:val="22"/>
          <w:u w:val="single"/>
          <w:lang w:val="sr-Latn-ME"/>
        </w:rPr>
      </w:pPr>
      <w:r w:rsidRPr="00B14EBB">
        <w:rPr>
          <w:rFonts w:eastAsia="Calibri"/>
          <w:sz w:val="22"/>
          <w:szCs w:val="22"/>
          <w:u w:val="single"/>
          <w:lang w:val="sr-Latn-ME"/>
        </w:rPr>
        <w:t>Toksičnost kod mladunčadi</w:t>
      </w:r>
    </w:p>
    <w:p w14:paraId="37522E7B" w14:textId="0054F20E" w:rsidR="00C67518" w:rsidRPr="00B14EBB" w:rsidRDefault="00C67518" w:rsidP="00545126">
      <w:pPr>
        <w:widowControl w:val="0"/>
        <w:autoSpaceDE w:val="0"/>
        <w:autoSpaceDN w:val="0"/>
        <w:adjustRightInd w:val="0"/>
        <w:jc w:val="both"/>
        <w:rPr>
          <w:rFonts w:eastAsia="Calibri"/>
          <w:sz w:val="22"/>
          <w:szCs w:val="22"/>
          <w:lang w:val="sr-Latn-ME"/>
        </w:rPr>
      </w:pPr>
      <w:r w:rsidRPr="00B14EBB">
        <w:rPr>
          <w:rFonts w:eastAsia="Calibri"/>
          <w:sz w:val="22"/>
          <w:szCs w:val="22"/>
          <w:lang w:val="sr-Latn-ME"/>
        </w:rPr>
        <w:t>Mladunčad pacova koja je primala teriflunomid oralno tokom 7 ned</w:t>
      </w:r>
      <w:r w:rsidR="00E004B5" w:rsidRPr="00B14EBB">
        <w:rPr>
          <w:rFonts w:eastAsia="Calibri"/>
          <w:sz w:val="22"/>
          <w:szCs w:val="22"/>
          <w:lang w:val="sr-Latn-ME"/>
        </w:rPr>
        <w:t>j</w:t>
      </w:r>
      <w:r w:rsidRPr="00B14EBB">
        <w:rPr>
          <w:rFonts w:eastAsia="Calibri"/>
          <w:sz w:val="22"/>
          <w:szCs w:val="22"/>
          <w:lang w:val="sr-Latn-ME"/>
        </w:rPr>
        <w:t>elja od odbijanja do seksualne zrelosti</w:t>
      </w:r>
      <w:r w:rsidR="00E004B5" w:rsidRPr="00B14EBB">
        <w:rPr>
          <w:rFonts w:eastAsia="Calibri"/>
          <w:sz w:val="22"/>
          <w:szCs w:val="22"/>
          <w:lang w:val="sr-Latn-ME"/>
        </w:rPr>
        <w:t xml:space="preserve"> </w:t>
      </w:r>
      <w:r w:rsidRPr="00B14EBB">
        <w:rPr>
          <w:rFonts w:eastAsia="Calibri"/>
          <w:sz w:val="22"/>
          <w:szCs w:val="22"/>
          <w:lang w:val="sr-Latn-ME"/>
        </w:rPr>
        <w:t>nije imala nikakve neželjene efekte na rast, t</w:t>
      </w:r>
      <w:r w:rsidR="00E004B5" w:rsidRPr="00B14EBB">
        <w:rPr>
          <w:rFonts w:eastAsia="Calibri"/>
          <w:sz w:val="22"/>
          <w:szCs w:val="22"/>
          <w:lang w:val="sr-Latn-ME"/>
        </w:rPr>
        <w:t>j</w:t>
      </w:r>
      <w:r w:rsidRPr="00B14EBB">
        <w:rPr>
          <w:rFonts w:eastAsia="Calibri"/>
          <w:sz w:val="22"/>
          <w:szCs w:val="22"/>
          <w:lang w:val="sr-Latn-ME"/>
        </w:rPr>
        <w:t>elesni ili neurološki razvoj, učenje i pamćenje, lokomotornu aktivnost, seksualni razvoj ili plodnost. Neželjene reakcije su obuhvatale anemiju, smanjenje limfoidnih odgovora, smanjenje odgovora antit</w:t>
      </w:r>
      <w:r w:rsidR="00E004B5" w:rsidRPr="00B14EBB">
        <w:rPr>
          <w:rFonts w:eastAsia="Calibri"/>
          <w:sz w:val="22"/>
          <w:szCs w:val="22"/>
          <w:lang w:val="sr-Latn-ME"/>
        </w:rPr>
        <w:t>ij</w:t>
      </w:r>
      <w:r w:rsidRPr="00B14EBB">
        <w:rPr>
          <w:rFonts w:eastAsia="Calibri"/>
          <w:sz w:val="22"/>
          <w:szCs w:val="22"/>
          <w:lang w:val="sr-Latn-ME"/>
        </w:rPr>
        <w:t>ela zavisnih od T-ćelija koji zavise od doze i značajno smanjene koncentracije IgM i IgG antit</w:t>
      </w:r>
      <w:r w:rsidR="00E004B5" w:rsidRPr="00B14EBB">
        <w:rPr>
          <w:rFonts w:eastAsia="Calibri"/>
          <w:sz w:val="22"/>
          <w:szCs w:val="22"/>
          <w:lang w:val="sr-Latn-ME"/>
        </w:rPr>
        <w:t>ij</w:t>
      </w:r>
      <w:r w:rsidRPr="00B14EBB">
        <w:rPr>
          <w:rFonts w:eastAsia="Calibri"/>
          <w:sz w:val="22"/>
          <w:szCs w:val="22"/>
          <w:lang w:val="sr-Latn-ME"/>
        </w:rPr>
        <w:t>ela, što se uglavnom podudaralo sa opažanjima u ispitivanjima toksičnosti ponovljenih doza kod odraslih pacova. Međutim, povećanje broja B-ćelija koje je prim</w:t>
      </w:r>
      <w:r w:rsidR="00E004B5" w:rsidRPr="00B14EBB">
        <w:rPr>
          <w:rFonts w:eastAsia="Calibri"/>
          <w:sz w:val="22"/>
          <w:szCs w:val="22"/>
          <w:lang w:val="sr-Latn-ME"/>
        </w:rPr>
        <w:t>ij</w:t>
      </w:r>
      <w:r w:rsidRPr="00B14EBB">
        <w:rPr>
          <w:rFonts w:eastAsia="Calibri"/>
          <w:sz w:val="22"/>
          <w:szCs w:val="22"/>
          <w:lang w:val="sr-Latn-ME"/>
        </w:rPr>
        <w:t>ećeno kod mladunčadi pacova nije bilo prim</w:t>
      </w:r>
      <w:r w:rsidR="00896360" w:rsidRPr="00B14EBB">
        <w:rPr>
          <w:rFonts w:eastAsia="Calibri"/>
          <w:sz w:val="22"/>
          <w:szCs w:val="22"/>
          <w:lang w:val="sr-Latn-ME"/>
        </w:rPr>
        <w:t>ij</w:t>
      </w:r>
      <w:r w:rsidRPr="00B14EBB">
        <w:rPr>
          <w:rFonts w:eastAsia="Calibri"/>
          <w:sz w:val="22"/>
          <w:szCs w:val="22"/>
          <w:lang w:val="sr-Latn-ME"/>
        </w:rPr>
        <w:t>ećeno kod odraslih pacova. Značaj ove razlike je nepoznat, ali dokazana je potpuna reverzibilnost kao i za većinu drugih nalaza. Mladunčad pacova bila je izložena nižim nivoima od onih kod d</w:t>
      </w:r>
      <w:r w:rsidR="00896360" w:rsidRPr="00B14EBB">
        <w:rPr>
          <w:rFonts w:eastAsia="Calibri"/>
          <w:sz w:val="22"/>
          <w:szCs w:val="22"/>
          <w:lang w:val="sr-Latn-ME"/>
        </w:rPr>
        <w:t>j</w:t>
      </w:r>
      <w:r w:rsidRPr="00B14EBB">
        <w:rPr>
          <w:rFonts w:eastAsia="Calibri"/>
          <w:sz w:val="22"/>
          <w:szCs w:val="22"/>
          <w:lang w:val="sr-Latn-ME"/>
        </w:rPr>
        <w:t xml:space="preserve">ece i adolescenata pri maksimalnoj preporučenoj dozi kod ljudi </w:t>
      </w:r>
      <w:r w:rsidRPr="00B14EBB">
        <w:rPr>
          <w:rFonts w:eastAsia="Calibri"/>
          <w:sz w:val="22"/>
          <w:szCs w:val="22"/>
          <w:lang w:val="sr-Latn-ME"/>
        </w:rPr>
        <w:lastRenderedPageBreak/>
        <w:t xml:space="preserve">(engl. </w:t>
      </w:r>
      <w:r w:rsidRPr="00B14EBB">
        <w:rPr>
          <w:rFonts w:eastAsia="Calibri"/>
          <w:i/>
          <w:iCs/>
          <w:sz w:val="22"/>
          <w:szCs w:val="22"/>
          <w:lang w:val="sr-Latn-ME"/>
        </w:rPr>
        <w:t>maximum recommended human dose</w:t>
      </w:r>
      <w:r w:rsidRPr="00B14EBB">
        <w:rPr>
          <w:rFonts w:eastAsia="Calibri"/>
          <w:sz w:val="22"/>
          <w:szCs w:val="22"/>
          <w:lang w:val="sr-Latn-ME"/>
        </w:rPr>
        <w:t>, MRHD) zbog visoke os</w:t>
      </w:r>
      <w:r w:rsidR="00896360" w:rsidRPr="00B14EBB">
        <w:rPr>
          <w:rFonts w:eastAsia="Calibri"/>
          <w:sz w:val="22"/>
          <w:szCs w:val="22"/>
          <w:lang w:val="sr-Latn-ME"/>
        </w:rPr>
        <w:t>j</w:t>
      </w:r>
      <w:r w:rsidRPr="00B14EBB">
        <w:rPr>
          <w:rFonts w:eastAsia="Calibri"/>
          <w:sz w:val="22"/>
          <w:szCs w:val="22"/>
          <w:lang w:val="sr-Latn-ME"/>
        </w:rPr>
        <w:t>etljivosti životinja na teriflunomid.</w:t>
      </w:r>
    </w:p>
    <w:p w14:paraId="500F5939" w14:textId="77777777" w:rsidR="00836B35" w:rsidRPr="00B14EBB" w:rsidRDefault="00836B35" w:rsidP="00545126">
      <w:pPr>
        <w:widowControl w:val="0"/>
        <w:tabs>
          <w:tab w:val="left" w:pos="540"/>
          <w:tab w:val="left" w:pos="569"/>
        </w:tabs>
        <w:jc w:val="both"/>
        <w:rPr>
          <w:bCs/>
          <w:sz w:val="22"/>
          <w:szCs w:val="22"/>
          <w:lang w:val="sr-Latn-ME"/>
        </w:rPr>
      </w:pPr>
    </w:p>
    <w:p w14:paraId="500F593A" w14:textId="77777777" w:rsidR="00396DFD" w:rsidRPr="00B14EBB" w:rsidRDefault="00396DFD" w:rsidP="00545126">
      <w:pPr>
        <w:widowControl w:val="0"/>
        <w:tabs>
          <w:tab w:val="left" w:pos="540"/>
          <w:tab w:val="left" w:pos="569"/>
        </w:tabs>
        <w:jc w:val="both"/>
        <w:rPr>
          <w:b/>
          <w:bCs/>
          <w:sz w:val="22"/>
          <w:szCs w:val="22"/>
          <w:lang w:val="sr-Latn-ME"/>
        </w:rPr>
      </w:pPr>
    </w:p>
    <w:p w14:paraId="500F593B"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 </w:t>
      </w:r>
      <w:r w:rsidR="00480FB1" w:rsidRPr="00B14EBB">
        <w:rPr>
          <w:b/>
          <w:bCs/>
          <w:sz w:val="22"/>
          <w:szCs w:val="22"/>
          <w:lang w:val="sr-Latn-ME"/>
        </w:rPr>
        <w:tab/>
      </w:r>
      <w:r w:rsidRPr="00B14EBB">
        <w:rPr>
          <w:b/>
          <w:bCs/>
          <w:sz w:val="22"/>
          <w:szCs w:val="22"/>
          <w:lang w:val="sr-Latn-ME"/>
        </w:rPr>
        <w:t>FARMACEUTSKI PODACI</w:t>
      </w:r>
    </w:p>
    <w:p w14:paraId="500F593C" w14:textId="77777777" w:rsidR="00836B35" w:rsidRPr="00B14EBB" w:rsidRDefault="00836B35" w:rsidP="00545126">
      <w:pPr>
        <w:widowControl w:val="0"/>
        <w:tabs>
          <w:tab w:val="left" w:pos="540"/>
          <w:tab w:val="left" w:pos="569"/>
        </w:tabs>
        <w:jc w:val="both"/>
        <w:rPr>
          <w:bCs/>
          <w:sz w:val="22"/>
          <w:szCs w:val="22"/>
          <w:lang w:val="sr-Latn-ME"/>
        </w:rPr>
      </w:pPr>
    </w:p>
    <w:p w14:paraId="500F593D"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6.1. </w:t>
      </w:r>
      <w:r w:rsidR="00480FB1" w:rsidRPr="00B14EBB">
        <w:rPr>
          <w:b/>
          <w:bCs/>
          <w:sz w:val="22"/>
          <w:szCs w:val="22"/>
          <w:lang w:val="sr-Latn-ME"/>
        </w:rPr>
        <w:tab/>
      </w:r>
      <w:r w:rsidRPr="00B14EBB">
        <w:rPr>
          <w:b/>
          <w:bCs/>
          <w:sz w:val="22"/>
          <w:szCs w:val="22"/>
          <w:lang w:val="sr-Latn-ME"/>
        </w:rPr>
        <w:t>Lista pomoćnih supstanci</w:t>
      </w:r>
      <w:r w:rsidR="002E0135" w:rsidRPr="00B14EBB">
        <w:rPr>
          <w:b/>
          <w:bCs/>
          <w:sz w:val="22"/>
          <w:szCs w:val="22"/>
          <w:lang w:val="sr-Latn-ME"/>
        </w:rPr>
        <w:t xml:space="preserve"> (ekscipijenasa)</w:t>
      </w:r>
    </w:p>
    <w:p w14:paraId="598A3552" w14:textId="77777777" w:rsidR="00545126" w:rsidRDefault="00545126" w:rsidP="00545126">
      <w:pPr>
        <w:pStyle w:val="Header"/>
        <w:widowControl w:val="0"/>
        <w:jc w:val="both"/>
        <w:rPr>
          <w:i/>
          <w:sz w:val="22"/>
          <w:szCs w:val="22"/>
          <w:u w:val="single"/>
          <w:lang w:val="sr-Latn-ME"/>
        </w:rPr>
      </w:pPr>
    </w:p>
    <w:p w14:paraId="5F508349" w14:textId="77E64FA4" w:rsidR="00C67518" w:rsidRPr="00B14EBB" w:rsidRDefault="00C67518" w:rsidP="00545126">
      <w:pPr>
        <w:pStyle w:val="Header"/>
        <w:widowControl w:val="0"/>
        <w:jc w:val="both"/>
        <w:rPr>
          <w:i/>
          <w:sz w:val="22"/>
          <w:szCs w:val="22"/>
          <w:u w:val="single"/>
          <w:lang w:val="sr-Latn-ME"/>
        </w:rPr>
      </w:pPr>
      <w:r w:rsidRPr="00B14EBB">
        <w:rPr>
          <w:i/>
          <w:sz w:val="22"/>
          <w:szCs w:val="22"/>
          <w:u w:val="single"/>
          <w:lang w:val="sr-Latn-ME"/>
        </w:rPr>
        <w:t>Jezgro tablete</w:t>
      </w:r>
    </w:p>
    <w:p w14:paraId="2EC97E22" w14:textId="77777777" w:rsidR="00C67518" w:rsidRPr="00B14EBB" w:rsidRDefault="00C67518" w:rsidP="00545126">
      <w:pPr>
        <w:pStyle w:val="Header"/>
        <w:widowControl w:val="0"/>
        <w:jc w:val="both"/>
        <w:rPr>
          <w:sz w:val="22"/>
          <w:szCs w:val="22"/>
          <w:lang w:val="sr-Latn-ME"/>
        </w:rPr>
      </w:pPr>
      <w:r w:rsidRPr="00B14EBB">
        <w:rPr>
          <w:sz w:val="22"/>
          <w:szCs w:val="22"/>
          <w:lang w:val="sr-Latn-ME"/>
        </w:rPr>
        <w:t>laktoza, monohidrat;</w:t>
      </w:r>
    </w:p>
    <w:p w14:paraId="02F8A670" w14:textId="77777777" w:rsidR="00C67518" w:rsidRPr="00B14EBB" w:rsidRDefault="00C67518" w:rsidP="00545126">
      <w:pPr>
        <w:pStyle w:val="Header"/>
        <w:widowControl w:val="0"/>
        <w:jc w:val="both"/>
        <w:rPr>
          <w:sz w:val="22"/>
          <w:szCs w:val="22"/>
          <w:lang w:val="sr-Latn-ME"/>
        </w:rPr>
      </w:pPr>
      <w:r w:rsidRPr="00B14EBB">
        <w:rPr>
          <w:sz w:val="22"/>
          <w:szCs w:val="22"/>
          <w:lang w:val="sr-Latn-ME"/>
        </w:rPr>
        <w:t>celuloza, mikrokristalna;</w:t>
      </w:r>
    </w:p>
    <w:p w14:paraId="1815C020" w14:textId="77777777" w:rsidR="00C67518" w:rsidRPr="00B14EBB" w:rsidRDefault="00C67518" w:rsidP="00545126">
      <w:pPr>
        <w:pStyle w:val="Header"/>
        <w:widowControl w:val="0"/>
        <w:jc w:val="both"/>
        <w:rPr>
          <w:sz w:val="22"/>
          <w:szCs w:val="22"/>
          <w:lang w:val="sr-Latn-ME"/>
        </w:rPr>
      </w:pPr>
      <w:r w:rsidRPr="00B14EBB">
        <w:rPr>
          <w:sz w:val="22"/>
          <w:szCs w:val="22"/>
          <w:lang w:val="sr-Latn-ME"/>
        </w:rPr>
        <w:t>skrob, kukuruzni;</w:t>
      </w:r>
    </w:p>
    <w:p w14:paraId="15785044" w14:textId="11FC2903" w:rsidR="00C67518" w:rsidRPr="00B14EBB" w:rsidRDefault="00C67518" w:rsidP="00545126">
      <w:pPr>
        <w:pStyle w:val="Header"/>
        <w:widowControl w:val="0"/>
        <w:jc w:val="both"/>
        <w:rPr>
          <w:sz w:val="22"/>
          <w:szCs w:val="22"/>
          <w:lang w:val="sr-Latn-ME"/>
        </w:rPr>
      </w:pPr>
      <w:r w:rsidRPr="00B14EBB">
        <w:rPr>
          <w:sz w:val="22"/>
          <w:szCs w:val="22"/>
          <w:lang w:val="sr-Latn-ME"/>
        </w:rPr>
        <w:t>natrijum</w:t>
      </w:r>
      <w:r w:rsidR="00A006E5" w:rsidRPr="00B14EBB">
        <w:rPr>
          <w:sz w:val="22"/>
          <w:szCs w:val="22"/>
          <w:lang w:val="sr-Latn-ME"/>
        </w:rPr>
        <w:t xml:space="preserve"> </w:t>
      </w:r>
      <w:r w:rsidRPr="00B14EBB">
        <w:rPr>
          <w:sz w:val="22"/>
          <w:szCs w:val="22"/>
          <w:lang w:val="sr-Latn-ME"/>
        </w:rPr>
        <w:t>skrobglikolat (tip A);</w:t>
      </w:r>
    </w:p>
    <w:p w14:paraId="43ABF381" w14:textId="77777777" w:rsidR="00C67518" w:rsidRPr="00B14EBB" w:rsidRDefault="00C67518" w:rsidP="00545126">
      <w:pPr>
        <w:pStyle w:val="Header"/>
        <w:widowControl w:val="0"/>
        <w:jc w:val="both"/>
        <w:rPr>
          <w:sz w:val="22"/>
          <w:szCs w:val="22"/>
          <w:lang w:val="sr-Latn-ME"/>
        </w:rPr>
      </w:pPr>
      <w:r w:rsidRPr="00B14EBB">
        <w:rPr>
          <w:sz w:val="22"/>
          <w:szCs w:val="22"/>
          <w:lang w:val="sr-Latn-ME"/>
        </w:rPr>
        <w:t>hidroksipropilceluloza;</w:t>
      </w:r>
    </w:p>
    <w:p w14:paraId="36A97B8C" w14:textId="11BE0E1E" w:rsidR="00C67518" w:rsidRPr="00B14EBB" w:rsidRDefault="00C67518" w:rsidP="00545126">
      <w:pPr>
        <w:pStyle w:val="Header"/>
        <w:widowControl w:val="0"/>
        <w:jc w:val="both"/>
        <w:rPr>
          <w:sz w:val="22"/>
          <w:szCs w:val="22"/>
          <w:lang w:val="sr-Latn-ME"/>
        </w:rPr>
      </w:pPr>
      <w:r w:rsidRPr="00B14EBB">
        <w:rPr>
          <w:sz w:val="22"/>
          <w:szCs w:val="22"/>
          <w:lang w:val="sr-Latn-ME"/>
        </w:rPr>
        <w:t>magnezijum</w:t>
      </w:r>
      <w:r w:rsidR="00A006E5" w:rsidRPr="00B14EBB">
        <w:rPr>
          <w:sz w:val="22"/>
          <w:szCs w:val="22"/>
          <w:lang w:val="sr-Latn-ME"/>
        </w:rPr>
        <w:t xml:space="preserve"> </w:t>
      </w:r>
      <w:r w:rsidRPr="00B14EBB">
        <w:rPr>
          <w:sz w:val="22"/>
          <w:szCs w:val="22"/>
          <w:lang w:val="sr-Latn-ME"/>
        </w:rPr>
        <w:t>stearat.</w:t>
      </w:r>
    </w:p>
    <w:p w14:paraId="29129B1E" w14:textId="77777777" w:rsidR="00CD1AD1" w:rsidRDefault="00CD1AD1" w:rsidP="00545126">
      <w:pPr>
        <w:pStyle w:val="Header"/>
        <w:widowControl w:val="0"/>
        <w:jc w:val="both"/>
        <w:rPr>
          <w:i/>
          <w:sz w:val="22"/>
          <w:szCs w:val="22"/>
          <w:u w:val="single"/>
          <w:lang w:val="sr-Latn-ME"/>
        </w:rPr>
      </w:pPr>
    </w:p>
    <w:p w14:paraId="1EF581FA" w14:textId="44F5E9AE" w:rsidR="00C67518" w:rsidRPr="00B14EBB" w:rsidRDefault="00C67518" w:rsidP="00545126">
      <w:pPr>
        <w:pStyle w:val="Header"/>
        <w:widowControl w:val="0"/>
        <w:jc w:val="both"/>
        <w:rPr>
          <w:sz w:val="22"/>
          <w:szCs w:val="22"/>
          <w:u w:val="single"/>
          <w:lang w:val="sr-Latn-ME"/>
        </w:rPr>
      </w:pPr>
      <w:r w:rsidRPr="00B14EBB">
        <w:rPr>
          <w:i/>
          <w:sz w:val="22"/>
          <w:szCs w:val="22"/>
          <w:u w:val="single"/>
          <w:lang w:val="sr-Latn-ME"/>
        </w:rPr>
        <w:t xml:space="preserve">Film </w:t>
      </w:r>
      <w:r w:rsidRPr="00B14EBB">
        <w:rPr>
          <w:bCs/>
          <w:i/>
          <w:sz w:val="22"/>
          <w:szCs w:val="22"/>
          <w:u w:val="single"/>
          <w:lang w:val="sr-Latn-ME"/>
        </w:rPr>
        <w:t>(omotač) tablete</w:t>
      </w:r>
      <w:r w:rsidRPr="00B14EBB">
        <w:rPr>
          <w:sz w:val="22"/>
          <w:szCs w:val="22"/>
          <w:u w:val="single"/>
          <w:lang w:val="sr-Latn-ME"/>
        </w:rPr>
        <w:t xml:space="preserve"> </w:t>
      </w:r>
    </w:p>
    <w:p w14:paraId="4B881EAC" w14:textId="77777777" w:rsidR="00C67518" w:rsidRPr="00B14EBB" w:rsidRDefault="00C67518" w:rsidP="00545126">
      <w:pPr>
        <w:pStyle w:val="Header"/>
        <w:widowControl w:val="0"/>
        <w:jc w:val="both"/>
        <w:rPr>
          <w:sz w:val="22"/>
          <w:szCs w:val="22"/>
          <w:lang w:val="sr-Latn-ME"/>
        </w:rPr>
      </w:pPr>
      <w:r w:rsidRPr="00B14EBB">
        <w:rPr>
          <w:sz w:val="22"/>
          <w:szCs w:val="22"/>
          <w:lang w:val="sr-Latn-ME"/>
        </w:rPr>
        <w:t>hipromeloza (E464);</w:t>
      </w:r>
    </w:p>
    <w:p w14:paraId="400D97EF" w14:textId="77777777" w:rsidR="00C67518" w:rsidRPr="00B14EBB" w:rsidRDefault="00C67518" w:rsidP="00545126">
      <w:pPr>
        <w:pStyle w:val="Header"/>
        <w:widowControl w:val="0"/>
        <w:jc w:val="both"/>
        <w:rPr>
          <w:sz w:val="22"/>
          <w:szCs w:val="22"/>
          <w:lang w:val="sr-Latn-ME"/>
        </w:rPr>
      </w:pPr>
      <w:r w:rsidRPr="00B14EBB">
        <w:rPr>
          <w:sz w:val="22"/>
          <w:szCs w:val="22"/>
          <w:lang w:val="sr-Latn-ME"/>
        </w:rPr>
        <w:t>laktoza, monohidrat;</w:t>
      </w:r>
    </w:p>
    <w:p w14:paraId="648A716E" w14:textId="77777777" w:rsidR="00C67518" w:rsidRPr="00B14EBB" w:rsidRDefault="00C67518" w:rsidP="00545126">
      <w:pPr>
        <w:pStyle w:val="Header"/>
        <w:widowControl w:val="0"/>
        <w:jc w:val="both"/>
        <w:rPr>
          <w:sz w:val="22"/>
          <w:szCs w:val="22"/>
          <w:lang w:val="sr-Latn-ME"/>
        </w:rPr>
      </w:pPr>
      <w:r w:rsidRPr="00B14EBB">
        <w:rPr>
          <w:sz w:val="22"/>
          <w:szCs w:val="22"/>
          <w:lang w:val="sr-Latn-ME"/>
        </w:rPr>
        <w:t>kalcijum karbonat (E170);</w:t>
      </w:r>
    </w:p>
    <w:p w14:paraId="2E2E7F59" w14:textId="77777777" w:rsidR="00C67518" w:rsidRPr="00B14EBB" w:rsidRDefault="00C67518" w:rsidP="00545126">
      <w:pPr>
        <w:pStyle w:val="Header"/>
        <w:widowControl w:val="0"/>
        <w:jc w:val="both"/>
        <w:rPr>
          <w:sz w:val="22"/>
          <w:szCs w:val="22"/>
          <w:lang w:val="sr-Latn-ME"/>
        </w:rPr>
      </w:pPr>
      <w:r w:rsidRPr="00B14EBB">
        <w:rPr>
          <w:sz w:val="22"/>
          <w:szCs w:val="22"/>
          <w:lang w:val="sr-Latn-ME"/>
        </w:rPr>
        <w:t>triacetin (E1518);</w:t>
      </w:r>
    </w:p>
    <w:p w14:paraId="48D852DF" w14:textId="77777777" w:rsidR="00C67518" w:rsidRPr="00B14EBB" w:rsidRDefault="00C67518" w:rsidP="00545126">
      <w:pPr>
        <w:pStyle w:val="Header"/>
        <w:widowControl w:val="0"/>
        <w:tabs>
          <w:tab w:val="left" w:pos="284"/>
        </w:tabs>
        <w:jc w:val="both"/>
        <w:rPr>
          <w:sz w:val="22"/>
          <w:szCs w:val="22"/>
          <w:lang w:val="sr-Latn-ME"/>
        </w:rPr>
      </w:pPr>
      <w:r w:rsidRPr="00B14EBB">
        <w:rPr>
          <w:sz w:val="22"/>
          <w:szCs w:val="22"/>
          <w:lang w:val="sr-Latn-ME"/>
        </w:rPr>
        <w:t xml:space="preserve">boja </w:t>
      </w:r>
      <w:r w:rsidRPr="00B14EBB">
        <w:rPr>
          <w:i/>
          <w:iCs/>
          <w:sz w:val="22"/>
          <w:szCs w:val="22"/>
          <w:lang w:val="sr-Latn-ME"/>
        </w:rPr>
        <w:t>indigo carmine aluminum lake</w:t>
      </w:r>
      <w:r w:rsidRPr="00B14EBB">
        <w:rPr>
          <w:sz w:val="22"/>
          <w:szCs w:val="22"/>
          <w:lang w:val="sr-Latn-ME"/>
        </w:rPr>
        <w:t xml:space="preserve"> (E132).</w:t>
      </w:r>
    </w:p>
    <w:p w14:paraId="500F593E" w14:textId="77777777" w:rsidR="0072020E" w:rsidRPr="00B14EBB" w:rsidRDefault="0072020E" w:rsidP="00545126">
      <w:pPr>
        <w:widowControl w:val="0"/>
        <w:tabs>
          <w:tab w:val="left" w:pos="540"/>
          <w:tab w:val="left" w:pos="569"/>
        </w:tabs>
        <w:jc w:val="both"/>
        <w:rPr>
          <w:bCs/>
          <w:sz w:val="22"/>
          <w:szCs w:val="22"/>
          <w:lang w:val="sr-Latn-ME"/>
        </w:rPr>
      </w:pPr>
    </w:p>
    <w:p w14:paraId="500F593F"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6.2. </w:t>
      </w:r>
      <w:r w:rsidR="00480FB1" w:rsidRPr="00B14EBB">
        <w:rPr>
          <w:b/>
          <w:bCs/>
          <w:sz w:val="22"/>
          <w:szCs w:val="22"/>
          <w:lang w:val="sr-Latn-ME"/>
        </w:rPr>
        <w:tab/>
      </w:r>
      <w:r w:rsidRPr="00B14EBB">
        <w:rPr>
          <w:b/>
          <w:bCs/>
          <w:sz w:val="22"/>
          <w:szCs w:val="22"/>
          <w:lang w:val="sr-Latn-ME"/>
        </w:rPr>
        <w:t>Inkompatibilnost</w:t>
      </w:r>
      <w:r w:rsidR="002846DB" w:rsidRPr="00B14EBB">
        <w:rPr>
          <w:b/>
          <w:bCs/>
          <w:sz w:val="22"/>
          <w:szCs w:val="22"/>
          <w:lang w:val="sr-Latn-ME"/>
        </w:rPr>
        <w:t>i</w:t>
      </w:r>
    </w:p>
    <w:p w14:paraId="0AA9BE0B" w14:textId="77777777" w:rsidR="00545126" w:rsidRDefault="00545126" w:rsidP="00545126">
      <w:pPr>
        <w:widowControl w:val="0"/>
        <w:autoSpaceDE w:val="0"/>
        <w:autoSpaceDN w:val="0"/>
        <w:adjustRightInd w:val="0"/>
        <w:jc w:val="both"/>
        <w:rPr>
          <w:sz w:val="22"/>
          <w:szCs w:val="22"/>
          <w:lang w:val="sr-Latn-ME" w:eastAsia="sr-Latn-CS"/>
        </w:rPr>
      </w:pPr>
    </w:p>
    <w:p w14:paraId="7DEE2227" w14:textId="7942970D" w:rsidR="00C67518"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Nije prim</w:t>
      </w:r>
      <w:r w:rsidR="00896360" w:rsidRPr="00B14EBB">
        <w:rPr>
          <w:sz w:val="22"/>
          <w:szCs w:val="22"/>
          <w:lang w:val="sr-Latn-ME" w:eastAsia="sr-Latn-CS"/>
        </w:rPr>
        <w:t>j</w:t>
      </w:r>
      <w:r w:rsidRPr="00B14EBB">
        <w:rPr>
          <w:sz w:val="22"/>
          <w:szCs w:val="22"/>
          <w:lang w:val="sr-Latn-ME" w:eastAsia="sr-Latn-CS"/>
        </w:rPr>
        <w:t>enljivo.</w:t>
      </w:r>
    </w:p>
    <w:p w14:paraId="5FC10377" w14:textId="77777777" w:rsidR="00A667D8" w:rsidRPr="00B14EBB" w:rsidRDefault="00A667D8" w:rsidP="00545126">
      <w:pPr>
        <w:widowControl w:val="0"/>
        <w:autoSpaceDE w:val="0"/>
        <w:autoSpaceDN w:val="0"/>
        <w:adjustRightInd w:val="0"/>
        <w:jc w:val="both"/>
        <w:rPr>
          <w:sz w:val="22"/>
          <w:szCs w:val="22"/>
          <w:lang w:val="sr-Latn-ME" w:eastAsia="sr-Latn-CS"/>
        </w:rPr>
      </w:pPr>
    </w:p>
    <w:p w14:paraId="500F5941"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6.3.</w:t>
      </w:r>
      <w:r w:rsidR="00C05DF8" w:rsidRPr="00B14EBB">
        <w:rPr>
          <w:b/>
          <w:bCs/>
          <w:sz w:val="22"/>
          <w:szCs w:val="22"/>
          <w:lang w:val="sr-Latn-ME"/>
        </w:rPr>
        <w:t xml:space="preserve"> </w:t>
      </w:r>
      <w:r w:rsidR="00480FB1" w:rsidRPr="00B14EBB">
        <w:rPr>
          <w:b/>
          <w:bCs/>
          <w:sz w:val="22"/>
          <w:szCs w:val="22"/>
          <w:lang w:val="sr-Latn-ME"/>
        </w:rPr>
        <w:tab/>
      </w:r>
      <w:r w:rsidRPr="00B14EBB">
        <w:rPr>
          <w:b/>
          <w:bCs/>
          <w:sz w:val="22"/>
          <w:szCs w:val="22"/>
          <w:lang w:val="sr-Latn-ME"/>
        </w:rPr>
        <w:t>Rok upotrebe</w:t>
      </w:r>
    </w:p>
    <w:p w14:paraId="500F5942" w14:textId="28B3F8BE" w:rsidR="0072020E" w:rsidRPr="00B14EBB" w:rsidRDefault="00C67518" w:rsidP="00545126">
      <w:pPr>
        <w:widowControl w:val="0"/>
        <w:autoSpaceDE w:val="0"/>
        <w:autoSpaceDN w:val="0"/>
        <w:adjustRightInd w:val="0"/>
        <w:jc w:val="both"/>
        <w:rPr>
          <w:sz w:val="22"/>
          <w:szCs w:val="22"/>
          <w:lang w:val="sr-Latn-ME" w:eastAsia="sr-Latn-CS"/>
        </w:rPr>
      </w:pPr>
      <w:r w:rsidRPr="00B14EBB">
        <w:rPr>
          <w:sz w:val="22"/>
          <w:szCs w:val="22"/>
          <w:lang w:val="sr-Latn-ME" w:eastAsia="sr-Latn-CS"/>
        </w:rPr>
        <w:t>2 godine</w:t>
      </w:r>
    </w:p>
    <w:p w14:paraId="1B5A4972" w14:textId="77777777" w:rsidR="00C67518" w:rsidRPr="00B14EBB" w:rsidRDefault="00C67518" w:rsidP="00545126">
      <w:pPr>
        <w:widowControl w:val="0"/>
        <w:autoSpaceDE w:val="0"/>
        <w:autoSpaceDN w:val="0"/>
        <w:adjustRightInd w:val="0"/>
        <w:jc w:val="both"/>
        <w:rPr>
          <w:sz w:val="22"/>
          <w:szCs w:val="22"/>
          <w:lang w:val="sr-Latn-ME" w:eastAsia="sr-Latn-CS"/>
        </w:rPr>
      </w:pPr>
    </w:p>
    <w:p w14:paraId="500F5943"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6.4. </w:t>
      </w:r>
      <w:r w:rsidR="00480FB1" w:rsidRPr="00B14EBB">
        <w:rPr>
          <w:b/>
          <w:bCs/>
          <w:sz w:val="22"/>
          <w:szCs w:val="22"/>
          <w:lang w:val="sr-Latn-ME"/>
        </w:rPr>
        <w:tab/>
      </w:r>
      <w:r w:rsidRPr="00B14EBB">
        <w:rPr>
          <w:b/>
          <w:bCs/>
          <w:sz w:val="22"/>
          <w:szCs w:val="22"/>
          <w:lang w:val="sr-Latn-ME"/>
        </w:rPr>
        <w:t>Posebne mjere upozorenja pri čuvanju</w:t>
      </w:r>
      <w:r w:rsidR="00F8570A" w:rsidRPr="00B14EBB">
        <w:rPr>
          <w:b/>
          <w:bCs/>
          <w:sz w:val="22"/>
          <w:szCs w:val="22"/>
          <w:lang w:val="sr-Latn-ME"/>
        </w:rPr>
        <w:t xml:space="preserve"> lijeka</w:t>
      </w:r>
    </w:p>
    <w:p w14:paraId="4A9D04B2" w14:textId="77777777" w:rsidR="00545126" w:rsidRDefault="00545126" w:rsidP="00545126">
      <w:pPr>
        <w:pStyle w:val="Header"/>
        <w:widowControl w:val="0"/>
        <w:tabs>
          <w:tab w:val="left" w:pos="284"/>
        </w:tabs>
        <w:jc w:val="both"/>
        <w:rPr>
          <w:sz w:val="22"/>
          <w:szCs w:val="22"/>
          <w:lang w:val="sr-Latn-ME" w:eastAsia="sr-Latn-CS"/>
        </w:rPr>
      </w:pPr>
    </w:p>
    <w:p w14:paraId="4C10217F" w14:textId="3D38E459" w:rsidR="00C67518" w:rsidRPr="00B14EBB" w:rsidRDefault="00C67518" w:rsidP="00545126">
      <w:pPr>
        <w:pStyle w:val="Header"/>
        <w:widowControl w:val="0"/>
        <w:tabs>
          <w:tab w:val="left" w:pos="284"/>
        </w:tabs>
        <w:jc w:val="both"/>
        <w:rPr>
          <w:sz w:val="22"/>
          <w:szCs w:val="22"/>
          <w:lang w:val="sr-Latn-ME"/>
        </w:rPr>
      </w:pPr>
      <w:r w:rsidRPr="00B14EBB">
        <w:rPr>
          <w:sz w:val="22"/>
          <w:szCs w:val="22"/>
          <w:lang w:val="sr-Latn-ME" w:eastAsia="sr-Latn-CS"/>
        </w:rPr>
        <w:t>L</w:t>
      </w:r>
      <w:r w:rsidR="00896360" w:rsidRPr="00B14EBB">
        <w:rPr>
          <w:sz w:val="22"/>
          <w:szCs w:val="22"/>
          <w:lang w:val="sr-Latn-ME" w:eastAsia="sr-Latn-CS"/>
        </w:rPr>
        <w:t>ij</w:t>
      </w:r>
      <w:r w:rsidRPr="00B14EBB">
        <w:rPr>
          <w:sz w:val="22"/>
          <w:szCs w:val="22"/>
          <w:lang w:val="sr-Latn-ME" w:eastAsia="sr-Latn-CS"/>
        </w:rPr>
        <w:t>ek ne zaht</w:t>
      </w:r>
      <w:r w:rsidR="00896360" w:rsidRPr="00B14EBB">
        <w:rPr>
          <w:sz w:val="22"/>
          <w:szCs w:val="22"/>
          <w:lang w:val="sr-Latn-ME" w:eastAsia="sr-Latn-CS"/>
        </w:rPr>
        <w:t>ij</w:t>
      </w:r>
      <w:r w:rsidRPr="00B14EBB">
        <w:rPr>
          <w:sz w:val="22"/>
          <w:szCs w:val="22"/>
          <w:lang w:val="sr-Latn-ME" w:eastAsia="sr-Latn-CS"/>
        </w:rPr>
        <w:t>eva posebne uslove čuvanja.</w:t>
      </w:r>
    </w:p>
    <w:p w14:paraId="500F5944" w14:textId="77777777" w:rsidR="00EC2532" w:rsidRPr="00B14EBB" w:rsidRDefault="00EC2532" w:rsidP="00545126">
      <w:pPr>
        <w:widowControl w:val="0"/>
        <w:tabs>
          <w:tab w:val="left" w:pos="540"/>
          <w:tab w:val="left" w:pos="569"/>
        </w:tabs>
        <w:jc w:val="both"/>
        <w:rPr>
          <w:bCs/>
          <w:sz w:val="22"/>
          <w:szCs w:val="22"/>
          <w:lang w:val="sr-Latn-ME"/>
        </w:rPr>
      </w:pPr>
    </w:p>
    <w:p w14:paraId="500F5945"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6.5. </w:t>
      </w:r>
      <w:r w:rsidR="00480FB1" w:rsidRPr="00B14EBB">
        <w:rPr>
          <w:b/>
          <w:bCs/>
          <w:sz w:val="22"/>
          <w:szCs w:val="22"/>
          <w:lang w:val="sr-Latn-ME"/>
        </w:rPr>
        <w:tab/>
      </w:r>
      <w:r w:rsidR="002846DB" w:rsidRPr="00B14EBB">
        <w:rPr>
          <w:b/>
          <w:bCs/>
          <w:sz w:val="22"/>
          <w:szCs w:val="22"/>
          <w:lang w:val="sr-Latn-ME"/>
        </w:rPr>
        <w:t xml:space="preserve">Vrsta i sadržaj </w:t>
      </w:r>
      <w:r w:rsidR="00F8570A" w:rsidRPr="00B14EBB">
        <w:rPr>
          <w:b/>
          <w:bCs/>
          <w:sz w:val="22"/>
          <w:szCs w:val="22"/>
          <w:lang w:val="sr-Latn-ME"/>
        </w:rPr>
        <w:t>pakovanja</w:t>
      </w:r>
      <w:r w:rsidR="00C06864" w:rsidRPr="00B14EBB">
        <w:rPr>
          <w:b/>
          <w:bCs/>
          <w:sz w:val="22"/>
          <w:szCs w:val="22"/>
          <w:lang w:val="sr-Latn-ME"/>
        </w:rPr>
        <w:t xml:space="preserve"> </w:t>
      </w:r>
    </w:p>
    <w:p w14:paraId="31744323" w14:textId="77777777" w:rsidR="00C67518" w:rsidRPr="00B14EBB" w:rsidRDefault="00C67518" w:rsidP="00545126">
      <w:pPr>
        <w:widowControl w:val="0"/>
        <w:autoSpaceDE w:val="0"/>
        <w:autoSpaceDN w:val="0"/>
        <w:jc w:val="both"/>
        <w:rPr>
          <w:w w:val="105"/>
          <w:sz w:val="22"/>
          <w:szCs w:val="22"/>
          <w:lang w:val="sr-Latn-ME"/>
        </w:rPr>
      </w:pPr>
    </w:p>
    <w:p w14:paraId="255FAD2B" w14:textId="0F866242" w:rsidR="00C67518" w:rsidRPr="00B14EBB" w:rsidRDefault="00C67518" w:rsidP="00545126">
      <w:pPr>
        <w:widowControl w:val="0"/>
        <w:autoSpaceDE w:val="0"/>
        <w:autoSpaceDN w:val="0"/>
        <w:jc w:val="both"/>
        <w:rPr>
          <w:sz w:val="22"/>
          <w:szCs w:val="22"/>
          <w:lang w:val="sr-Latn-ME"/>
        </w:rPr>
      </w:pPr>
      <w:r w:rsidRPr="00B14EBB">
        <w:rPr>
          <w:w w:val="105"/>
          <w:sz w:val="22"/>
          <w:szCs w:val="22"/>
          <w:lang w:val="sr-Latn-ME"/>
        </w:rPr>
        <w:t xml:space="preserve">Unutrašnje pakovanje je </w:t>
      </w:r>
      <w:r w:rsidRPr="00B14EBB">
        <w:rPr>
          <w:sz w:val="22"/>
          <w:szCs w:val="22"/>
          <w:shd w:val="clear" w:color="auto" w:fill="FFFFFF"/>
          <w:lang w:val="sr-Latn-ME"/>
        </w:rPr>
        <w:t xml:space="preserve">Alu/PVC/Alu/OPA </w:t>
      </w:r>
      <w:r w:rsidRPr="00B14EBB">
        <w:rPr>
          <w:w w:val="105"/>
          <w:sz w:val="22"/>
          <w:szCs w:val="22"/>
          <w:lang w:val="sr-Latn-ME"/>
        </w:rPr>
        <w:t>blister, koji sadrži 7 film tableta.</w:t>
      </w:r>
    </w:p>
    <w:p w14:paraId="628315D9" w14:textId="15CCE3C4" w:rsidR="00C67518" w:rsidRPr="00B14EBB" w:rsidRDefault="00C67518" w:rsidP="00545126">
      <w:pPr>
        <w:widowControl w:val="0"/>
        <w:autoSpaceDE w:val="0"/>
        <w:autoSpaceDN w:val="0"/>
        <w:spacing w:line="244" w:lineRule="auto"/>
        <w:jc w:val="both"/>
        <w:rPr>
          <w:w w:val="105"/>
          <w:sz w:val="22"/>
          <w:szCs w:val="22"/>
          <w:lang w:val="sr-Latn-ME"/>
        </w:rPr>
      </w:pPr>
      <w:r w:rsidRPr="00B14EBB">
        <w:rPr>
          <w:w w:val="105"/>
          <w:sz w:val="22"/>
          <w:szCs w:val="22"/>
          <w:lang w:val="sr-Latn-ME"/>
        </w:rPr>
        <w:t>Spoljašnje pakovanje je složiva kartonska kutija koja sadrži 4 blistera (ukupno 28 film tableta) i Uputstvo za l</w:t>
      </w:r>
      <w:r w:rsidR="00896360" w:rsidRPr="00B14EBB">
        <w:rPr>
          <w:w w:val="105"/>
          <w:sz w:val="22"/>
          <w:szCs w:val="22"/>
          <w:lang w:val="sr-Latn-ME"/>
        </w:rPr>
        <w:t>ij</w:t>
      </w:r>
      <w:r w:rsidRPr="00B14EBB">
        <w:rPr>
          <w:w w:val="105"/>
          <w:sz w:val="22"/>
          <w:szCs w:val="22"/>
          <w:lang w:val="sr-Latn-ME"/>
        </w:rPr>
        <w:t>ek.</w:t>
      </w:r>
    </w:p>
    <w:p w14:paraId="500F5946" w14:textId="77777777" w:rsidR="0072020E" w:rsidRPr="00B14EBB" w:rsidRDefault="0072020E" w:rsidP="00545126">
      <w:pPr>
        <w:widowControl w:val="0"/>
        <w:tabs>
          <w:tab w:val="left" w:pos="540"/>
          <w:tab w:val="left" w:pos="569"/>
        </w:tabs>
        <w:jc w:val="both"/>
        <w:rPr>
          <w:bCs/>
          <w:sz w:val="22"/>
          <w:szCs w:val="22"/>
          <w:lang w:val="sr-Latn-ME"/>
        </w:rPr>
      </w:pPr>
    </w:p>
    <w:p w14:paraId="500F5947" w14:textId="77777777" w:rsidR="002846DB"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6.6. </w:t>
      </w:r>
      <w:r w:rsidR="00480FB1" w:rsidRPr="00B14EBB">
        <w:rPr>
          <w:b/>
          <w:bCs/>
          <w:sz w:val="22"/>
          <w:szCs w:val="22"/>
          <w:lang w:val="sr-Latn-ME"/>
        </w:rPr>
        <w:tab/>
      </w:r>
      <w:r w:rsidRPr="00B14EBB">
        <w:rPr>
          <w:b/>
          <w:bCs/>
          <w:color w:val="000000"/>
          <w:sz w:val="22"/>
          <w:szCs w:val="22"/>
          <w:lang w:val="sr-Latn-ME"/>
        </w:rPr>
        <w:t>Posebne mjere opreza pri odlaganju materijala koji treba odbaciti nakon primjene lijeka</w:t>
      </w:r>
      <w:r w:rsidRPr="00B14EBB">
        <w:rPr>
          <w:b/>
          <w:bCs/>
          <w:sz w:val="22"/>
          <w:szCs w:val="22"/>
          <w:lang w:val="sr-Latn-ME"/>
        </w:rPr>
        <w:t xml:space="preserve"> </w:t>
      </w:r>
      <w:r w:rsidR="00310F03" w:rsidRPr="00B14EBB">
        <w:rPr>
          <w:b/>
          <w:bCs/>
          <w:sz w:val="22"/>
          <w:szCs w:val="22"/>
          <w:lang w:val="sr-Latn-ME"/>
        </w:rPr>
        <w:t>(i druga uputs</w:t>
      </w:r>
      <w:r w:rsidR="004109FA" w:rsidRPr="00B14EBB">
        <w:rPr>
          <w:b/>
          <w:bCs/>
          <w:sz w:val="22"/>
          <w:szCs w:val="22"/>
          <w:lang w:val="sr-Latn-ME"/>
        </w:rPr>
        <w:t>t</w:t>
      </w:r>
      <w:r w:rsidR="00310F03" w:rsidRPr="00B14EBB">
        <w:rPr>
          <w:b/>
          <w:bCs/>
          <w:sz w:val="22"/>
          <w:szCs w:val="22"/>
          <w:lang w:val="sr-Latn-ME"/>
        </w:rPr>
        <w:t xml:space="preserve">va za rukovanje lijekom) </w:t>
      </w:r>
    </w:p>
    <w:p w14:paraId="500F5948" w14:textId="77777777" w:rsidR="00B66A70" w:rsidRPr="00B14EBB" w:rsidRDefault="00B66A70" w:rsidP="00545126">
      <w:pPr>
        <w:widowControl w:val="0"/>
        <w:tabs>
          <w:tab w:val="left" w:pos="540"/>
          <w:tab w:val="left" w:pos="569"/>
        </w:tabs>
        <w:jc w:val="both"/>
        <w:rPr>
          <w:b/>
          <w:bCs/>
          <w:sz w:val="22"/>
          <w:szCs w:val="22"/>
          <w:lang w:val="sr-Latn-ME"/>
        </w:rPr>
      </w:pPr>
    </w:p>
    <w:p w14:paraId="4AC5151F" w14:textId="7AC0D9A4" w:rsidR="00C67518" w:rsidRPr="00B14EBB" w:rsidRDefault="00C67518" w:rsidP="00545126">
      <w:pPr>
        <w:pStyle w:val="Header"/>
        <w:widowControl w:val="0"/>
        <w:tabs>
          <w:tab w:val="left" w:pos="284"/>
        </w:tabs>
        <w:jc w:val="both"/>
        <w:rPr>
          <w:b/>
          <w:bCs/>
          <w:sz w:val="22"/>
          <w:szCs w:val="22"/>
          <w:lang w:val="sr-Latn-ME"/>
        </w:rPr>
      </w:pPr>
      <w:r w:rsidRPr="00B14EBB">
        <w:rPr>
          <w:sz w:val="22"/>
          <w:szCs w:val="22"/>
          <w:lang w:val="sr-Latn-ME"/>
        </w:rPr>
        <w:t>Svu neiskorišćenu količinu l</w:t>
      </w:r>
      <w:r w:rsidR="00896360" w:rsidRPr="00B14EBB">
        <w:rPr>
          <w:sz w:val="22"/>
          <w:szCs w:val="22"/>
          <w:lang w:val="sr-Latn-ME"/>
        </w:rPr>
        <w:t>ij</w:t>
      </w:r>
      <w:r w:rsidRPr="00B14EBB">
        <w:rPr>
          <w:sz w:val="22"/>
          <w:szCs w:val="22"/>
          <w:lang w:val="sr-Latn-ME"/>
        </w:rPr>
        <w:t>eka ili otpadnog materijala nakon njegove upotrebe treba ukloniti, u skladu sa važećim propisima.</w:t>
      </w:r>
    </w:p>
    <w:p w14:paraId="500F5949" w14:textId="5E180E6C" w:rsidR="0072020E" w:rsidRDefault="0072020E" w:rsidP="00545126">
      <w:pPr>
        <w:widowControl w:val="0"/>
        <w:tabs>
          <w:tab w:val="left" w:pos="540"/>
          <w:tab w:val="left" w:pos="569"/>
        </w:tabs>
        <w:jc w:val="both"/>
        <w:rPr>
          <w:bCs/>
          <w:sz w:val="22"/>
          <w:szCs w:val="22"/>
          <w:lang w:val="sr-Latn-ME"/>
        </w:rPr>
      </w:pPr>
    </w:p>
    <w:p w14:paraId="5BEE2C56" w14:textId="77777777" w:rsidR="00545126" w:rsidRPr="00B14EBB" w:rsidRDefault="00545126" w:rsidP="00545126">
      <w:pPr>
        <w:widowControl w:val="0"/>
        <w:tabs>
          <w:tab w:val="left" w:pos="540"/>
          <w:tab w:val="left" w:pos="569"/>
        </w:tabs>
        <w:jc w:val="both"/>
        <w:rPr>
          <w:bCs/>
          <w:sz w:val="22"/>
          <w:szCs w:val="22"/>
          <w:lang w:val="sr-Latn-ME"/>
        </w:rPr>
      </w:pPr>
    </w:p>
    <w:p w14:paraId="500F594A" w14:textId="77777777" w:rsidR="00F8570A"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7. </w:t>
      </w:r>
      <w:r w:rsidR="00480FB1" w:rsidRPr="00B14EBB">
        <w:rPr>
          <w:b/>
          <w:bCs/>
          <w:sz w:val="22"/>
          <w:szCs w:val="22"/>
          <w:lang w:val="sr-Latn-ME"/>
        </w:rPr>
        <w:tab/>
      </w:r>
      <w:r w:rsidRPr="00B14EBB">
        <w:rPr>
          <w:b/>
          <w:bCs/>
          <w:sz w:val="22"/>
          <w:szCs w:val="22"/>
          <w:lang w:val="sr-Latn-ME"/>
        </w:rPr>
        <w:t>NOSILAC DOZVOLE</w:t>
      </w:r>
      <w:r w:rsidR="00483928" w:rsidRPr="00B14EBB">
        <w:rPr>
          <w:b/>
          <w:bCs/>
          <w:sz w:val="22"/>
          <w:szCs w:val="22"/>
          <w:lang w:val="sr-Latn-ME"/>
        </w:rPr>
        <w:t xml:space="preserve"> </w:t>
      </w:r>
    </w:p>
    <w:p w14:paraId="500F594B" w14:textId="77777777" w:rsidR="00C61BE0" w:rsidRPr="00B14EBB" w:rsidRDefault="00C61BE0" w:rsidP="00545126">
      <w:pPr>
        <w:widowControl w:val="0"/>
        <w:tabs>
          <w:tab w:val="left" w:pos="540"/>
          <w:tab w:val="left" w:pos="569"/>
        </w:tabs>
        <w:jc w:val="both"/>
        <w:rPr>
          <w:bCs/>
          <w:sz w:val="22"/>
          <w:szCs w:val="22"/>
          <w:lang w:val="sr-Latn-ME"/>
        </w:rPr>
      </w:pPr>
    </w:p>
    <w:p w14:paraId="5A2799AE" w14:textId="77777777" w:rsidR="007E18D5" w:rsidRPr="00B14EBB" w:rsidRDefault="007E18D5" w:rsidP="00545126">
      <w:pPr>
        <w:widowControl w:val="0"/>
        <w:jc w:val="both"/>
        <w:rPr>
          <w:color w:val="0D0D0D"/>
          <w:szCs w:val="22"/>
          <w:lang w:val="sr-Latn-ME"/>
        </w:rPr>
      </w:pPr>
      <w:r w:rsidRPr="00B14EBB">
        <w:rPr>
          <w:color w:val="0D0D0D"/>
          <w:szCs w:val="22"/>
          <w:lang w:val="sr-Latn-ME"/>
        </w:rPr>
        <w:t>Zentiva Pharma d.o.o. – dio stranog društva Podgorica</w:t>
      </w:r>
    </w:p>
    <w:p w14:paraId="3C3F8EF0" w14:textId="77777777" w:rsidR="007E18D5" w:rsidRPr="00B14EBB" w:rsidRDefault="007E18D5" w:rsidP="00545126">
      <w:pPr>
        <w:widowControl w:val="0"/>
        <w:jc w:val="both"/>
        <w:rPr>
          <w:color w:val="0D0D0D"/>
          <w:szCs w:val="22"/>
          <w:lang w:val="sr-Latn-ME"/>
        </w:rPr>
      </w:pPr>
      <w:r w:rsidRPr="00B14EBB">
        <w:rPr>
          <w:szCs w:val="22"/>
          <w:lang w:val="sr-Latn-ME"/>
        </w:rPr>
        <w:t>Kritskog odreda 4/1</w:t>
      </w:r>
      <w:r w:rsidRPr="00B14EBB">
        <w:rPr>
          <w:color w:val="0D0D0D"/>
          <w:szCs w:val="22"/>
          <w:lang w:val="sr-Latn-ME"/>
        </w:rPr>
        <w:t>, Podgorica, Crna Gora</w:t>
      </w:r>
    </w:p>
    <w:p w14:paraId="500F594C" w14:textId="3248832B" w:rsidR="00C37FD7" w:rsidRDefault="00C37FD7" w:rsidP="00545126">
      <w:pPr>
        <w:widowControl w:val="0"/>
        <w:tabs>
          <w:tab w:val="left" w:pos="540"/>
          <w:tab w:val="left" w:pos="569"/>
        </w:tabs>
        <w:jc w:val="both"/>
        <w:rPr>
          <w:bCs/>
          <w:sz w:val="22"/>
          <w:szCs w:val="22"/>
          <w:lang w:val="sr-Latn-ME"/>
        </w:rPr>
      </w:pPr>
    </w:p>
    <w:p w14:paraId="22DCD2CD" w14:textId="77777777" w:rsidR="00545126" w:rsidRPr="00B14EBB" w:rsidRDefault="00545126" w:rsidP="00545126">
      <w:pPr>
        <w:widowControl w:val="0"/>
        <w:tabs>
          <w:tab w:val="left" w:pos="540"/>
          <w:tab w:val="left" w:pos="569"/>
        </w:tabs>
        <w:jc w:val="both"/>
        <w:rPr>
          <w:bCs/>
          <w:sz w:val="22"/>
          <w:szCs w:val="22"/>
          <w:lang w:val="sr-Latn-ME"/>
        </w:rPr>
      </w:pPr>
    </w:p>
    <w:p w14:paraId="500F594D"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8. </w:t>
      </w:r>
      <w:r w:rsidR="00480FB1" w:rsidRPr="00B14EBB">
        <w:rPr>
          <w:b/>
          <w:bCs/>
          <w:sz w:val="22"/>
          <w:szCs w:val="22"/>
          <w:lang w:val="sr-Latn-ME"/>
        </w:rPr>
        <w:tab/>
      </w:r>
      <w:r w:rsidRPr="00B14EBB">
        <w:rPr>
          <w:b/>
          <w:bCs/>
          <w:sz w:val="22"/>
          <w:szCs w:val="22"/>
          <w:lang w:val="sr-Latn-ME"/>
        </w:rPr>
        <w:t>BROJ DOZVOLE</w:t>
      </w:r>
      <w:r w:rsidR="008A6D43" w:rsidRPr="00B14EBB">
        <w:rPr>
          <w:b/>
          <w:bCs/>
          <w:sz w:val="22"/>
          <w:szCs w:val="22"/>
          <w:lang w:val="sr-Latn-ME"/>
        </w:rPr>
        <w:t xml:space="preserve"> ZA STAVLJANJE LIJEKA U PROMET</w:t>
      </w:r>
    </w:p>
    <w:p w14:paraId="500F594E" w14:textId="77777777" w:rsidR="0072020E" w:rsidRPr="00B14EBB" w:rsidRDefault="0072020E" w:rsidP="00545126">
      <w:pPr>
        <w:widowControl w:val="0"/>
        <w:tabs>
          <w:tab w:val="left" w:pos="540"/>
          <w:tab w:val="left" w:pos="569"/>
        </w:tabs>
        <w:jc w:val="both"/>
        <w:rPr>
          <w:bCs/>
          <w:sz w:val="22"/>
          <w:szCs w:val="22"/>
          <w:lang w:val="sr-Latn-ME"/>
        </w:rPr>
      </w:pPr>
    </w:p>
    <w:p w14:paraId="68D88BBB" w14:textId="07E637EB" w:rsidR="005C7D99" w:rsidRPr="00B14EBB" w:rsidRDefault="00826646" w:rsidP="00545126">
      <w:pPr>
        <w:pStyle w:val="Header"/>
        <w:widowControl w:val="0"/>
        <w:jc w:val="both"/>
        <w:rPr>
          <w:sz w:val="22"/>
          <w:szCs w:val="22"/>
          <w:lang w:val="sr-Latn-ME"/>
        </w:rPr>
      </w:pPr>
      <w:bookmarkStart w:id="0" w:name="_GoBack"/>
      <w:bookmarkEnd w:id="0"/>
      <w:r w:rsidRPr="00B14EBB">
        <w:rPr>
          <w:sz w:val="22"/>
          <w:szCs w:val="22"/>
          <w:lang w:val="sr-Latn-ME"/>
        </w:rPr>
        <w:t>2030/24/1326 - 2361</w:t>
      </w:r>
    </w:p>
    <w:p w14:paraId="500F594F" w14:textId="5CED95F4" w:rsidR="00F45F77" w:rsidRPr="00B14EBB" w:rsidRDefault="00F45F77" w:rsidP="00545126">
      <w:pPr>
        <w:widowControl w:val="0"/>
        <w:tabs>
          <w:tab w:val="left" w:pos="540"/>
          <w:tab w:val="left" w:pos="569"/>
        </w:tabs>
        <w:jc w:val="both"/>
        <w:rPr>
          <w:bCs/>
          <w:sz w:val="22"/>
          <w:szCs w:val="22"/>
          <w:lang w:val="sr-Latn-ME"/>
        </w:rPr>
      </w:pPr>
    </w:p>
    <w:p w14:paraId="03CEA28F" w14:textId="594BA8BF" w:rsidR="00A667D8" w:rsidRPr="00B14EBB" w:rsidRDefault="00A667D8" w:rsidP="00545126">
      <w:pPr>
        <w:widowControl w:val="0"/>
        <w:tabs>
          <w:tab w:val="left" w:pos="540"/>
          <w:tab w:val="left" w:pos="569"/>
        </w:tabs>
        <w:jc w:val="both"/>
        <w:rPr>
          <w:bCs/>
          <w:sz w:val="22"/>
          <w:szCs w:val="22"/>
          <w:lang w:val="sr-Latn-ME"/>
        </w:rPr>
      </w:pPr>
    </w:p>
    <w:p w14:paraId="500F5950" w14:textId="77777777" w:rsidR="0072020E" w:rsidRPr="00B14EBB" w:rsidRDefault="0072020E" w:rsidP="00545126">
      <w:pPr>
        <w:widowControl w:val="0"/>
        <w:tabs>
          <w:tab w:val="left" w:pos="540"/>
          <w:tab w:val="left" w:pos="569"/>
        </w:tabs>
        <w:jc w:val="both"/>
        <w:rPr>
          <w:b/>
          <w:bCs/>
          <w:sz w:val="22"/>
          <w:szCs w:val="22"/>
          <w:lang w:val="sr-Latn-ME"/>
        </w:rPr>
      </w:pPr>
      <w:r w:rsidRPr="00B14EBB">
        <w:rPr>
          <w:b/>
          <w:bCs/>
          <w:sz w:val="22"/>
          <w:szCs w:val="22"/>
          <w:lang w:val="sr-Latn-ME"/>
        </w:rPr>
        <w:t xml:space="preserve">9. </w:t>
      </w:r>
      <w:r w:rsidR="00480FB1" w:rsidRPr="00B14EBB">
        <w:rPr>
          <w:b/>
          <w:bCs/>
          <w:sz w:val="22"/>
          <w:szCs w:val="22"/>
          <w:lang w:val="sr-Latn-ME"/>
        </w:rPr>
        <w:tab/>
      </w:r>
      <w:r w:rsidRPr="00B14EBB">
        <w:rPr>
          <w:b/>
          <w:bCs/>
          <w:sz w:val="22"/>
          <w:szCs w:val="22"/>
          <w:lang w:val="sr-Latn-ME"/>
        </w:rPr>
        <w:t xml:space="preserve">DATUM </w:t>
      </w:r>
      <w:r w:rsidR="00C05DF8" w:rsidRPr="00B14EBB">
        <w:rPr>
          <w:b/>
          <w:bCs/>
          <w:sz w:val="22"/>
          <w:szCs w:val="22"/>
          <w:lang w:val="sr-Latn-ME"/>
        </w:rPr>
        <w:t xml:space="preserve">PRVE </w:t>
      </w:r>
      <w:r w:rsidR="008A6D43" w:rsidRPr="00B14EBB">
        <w:rPr>
          <w:b/>
          <w:bCs/>
          <w:sz w:val="22"/>
          <w:szCs w:val="22"/>
          <w:lang w:val="sr-Latn-ME"/>
        </w:rPr>
        <w:t>DOZVOLE</w:t>
      </w:r>
      <w:r w:rsidR="00C05DF8" w:rsidRPr="00B14EBB">
        <w:rPr>
          <w:b/>
          <w:bCs/>
          <w:sz w:val="22"/>
          <w:szCs w:val="22"/>
          <w:lang w:val="sr-Latn-ME"/>
        </w:rPr>
        <w:t>/OBNOVE DOZVOLE</w:t>
      </w:r>
      <w:r w:rsidR="008A6D43" w:rsidRPr="00B14EBB">
        <w:rPr>
          <w:b/>
          <w:bCs/>
          <w:sz w:val="22"/>
          <w:szCs w:val="22"/>
          <w:lang w:val="sr-Latn-ME"/>
        </w:rPr>
        <w:t xml:space="preserve"> ZA STAVLJANJE LIJEKA U </w:t>
      </w:r>
      <w:r w:rsidR="008A6D43" w:rsidRPr="00B14EBB">
        <w:rPr>
          <w:b/>
          <w:bCs/>
          <w:sz w:val="22"/>
          <w:szCs w:val="22"/>
          <w:lang w:val="sr-Latn-ME"/>
        </w:rPr>
        <w:lastRenderedPageBreak/>
        <w:t>PROMET</w:t>
      </w:r>
    </w:p>
    <w:p w14:paraId="500F5951" w14:textId="77777777" w:rsidR="0072020E" w:rsidRPr="00B14EBB" w:rsidRDefault="0072020E" w:rsidP="00545126">
      <w:pPr>
        <w:widowControl w:val="0"/>
        <w:tabs>
          <w:tab w:val="left" w:pos="540"/>
          <w:tab w:val="left" w:pos="569"/>
        </w:tabs>
        <w:jc w:val="both"/>
        <w:rPr>
          <w:bCs/>
          <w:sz w:val="22"/>
          <w:szCs w:val="22"/>
          <w:lang w:val="sr-Latn-ME"/>
        </w:rPr>
      </w:pPr>
    </w:p>
    <w:p w14:paraId="36AF6378" w14:textId="2529F162" w:rsidR="005C7D99" w:rsidRPr="00B14EBB" w:rsidRDefault="00826646" w:rsidP="00545126">
      <w:pPr>
        <w:pStyle w:val="Header"/>
        <w:widowControl w:val="0"/>
        <w:jc w:val="both"/>
        <w:rPr>
          <w:sz w:val="22"/>
          <w:szCs w:val="22"/>
          <w:lang w:val="sr-Latn-ME"/>
        </w:rPr>
      </w:pPr>
      <w:r w:rsidRPr="00B14EBB">
        <w:rPr>
          <w:sz w:val="22"/>
          <w:szCs w:val="22"/>
          <w:lang w:val="sr-Latn-ME"/>
        </w:rPr>
        <w:t>08.03.2024. godine</w:t>
      </w:r>
    </w:p>
    <w:p w14:paraId="500F5952" w14:textId="06AED1EB" w:rsidR="00836B35" w:rsidRDefault="00836B35" w:rsidP="00545126">
      <w:pPr>
        <w:widowControl w:val="0"/>
        <w:tabs>
          <w:tab w:val="left" w:pos="540"/>
          <w:tab w:val="left" w:pos="569"/>
        </w:tabs>
        <w:jc w:val="both"/>
        <w:rPr>
          <w:bCs/>
          <w:sz w:val="22"/>
          <w:szCs w:val="22"/>
          <w:lang w:val="sr-Latn-ME"/>
        </w:rPr>
      </w:pPr>
    </w:p>
    <w:p w14:paraId="7BB7E69B" w14:textId="77777777" w:rsidR="00545126" w:rsidRPr="00B14EBB" w:rsidRDefault="00545126" w:rsidP="00545126">
      <w:pPr>
        <w:widowControl w:val="0"/>
        <w:tabs>
          <w:tab w:val="left" w:pos="540"/>
          <w:tab w:val="left" w:pos="569"/>
        </w:tabs>
        <w:jc w:val="both"/>
        <w:rPr>
          <w:bCs/>
          <w:sz w:val="22"/>
          <w:szCs w:val="22"/>
          <w:lang w:val="sr-Latn-ME"/>
        </w:rPr>
      </w:pPr>
    </w:p>
    <w:p w14:paraId="500F5953" w14:textId="29C06715" w:rsidR="003F6A59" w:rsidRPr="00B14EBB" w:rsidRDefault="0072020E" w:rsidP="00545126">
      <w:pPr>
        <w:widowControl w:val="0"/>
        <w:tabs>
          <w:tab w:val="left" w:pos="540"/>
          <w:tab w:val="left" w:pos="569"/>
        </w:tabs>
        <w:ind w:left="540" w:hanging="540"/>
        <w:jc w:val="both"/>
        <w:rPr>
          <w:b/>
          <w:bCs/>
          <w:sz w:val="22"/>
          <w:szCs w:val="22"/>
          <w:lang w:val="sr-Latn-ME"/>
        </w:rPr>
      </w:pPr>
      <w:r w:rsidRPr="00B14EBB">
        <w:rPr>
          <w:b/>
          <w:bCs/>
          <w:sz w:val="22"/>
          <w:szCs w:val="22"/>
          <w:lang w:val="sr-Latn-ME"/>
        </w:rPr>
        <w:t xml:space="preserve">10. </w:t>
      </w:r>
      <w:r w:rsidR="00480FB1" w:rsidRPr="00B14EBB">
        <w:rPr>
          <w:b/>
          <w:bCs/>
          <w:sz w:val="22"/>
          <w:szCs w:val="22"/>
          <w:lang w:val="sr-Latn-ME"/>
        </w:rPr>
        <w:tab/>
      </w:r>
      <w:r w:rsidR="002846DB" w:rsidRPr="00B14EBB">
        <w:rPr>
          <w:b/>
          <w:bCs/>
          <w:sz w:val="22"/>
          <w:szCs w:val="22"/>
          <w:lang w:val="sr-Latn-ME"/>
        </w:rPr>
        <w:t>D</w:t>
      </w:r>
      <w:r w:rsidR="00EC2532" w:rsidRPr="00B14EBB">
        <w:rPr>
          <w:b/>
          <w:bCs/>
          <w:sz w:val="22"/>
          <w:szCs w:val="22"/>
          <w:lang w:val="sr-Latn-ME"/>
        </w:rPr>
        <w:t xml:space="preserve">ATUM REVIZIJE TEKSTA </w:t>
      </w:r>
    </w:p>
    <w:p w14:paraId="553F4DFF" w14:textId="48F1B19F" w:rsidR="00826646" w:rsidRPr="00B14EBB" w:rsidRDefault="00826646" w:rsidP="00545126">
      <w:pPr>
        <w:widowControl w:val="0"/>
        <w:tabs>
          <w:tab w:val="left" w:pos="540"/>
          <w:tab w:val="left" w:pos="569"/>
        </w:tabs>
        <w:ind w:left="540" w:hanging="540"/>
        <w:jc w:val="both"/>
        <w:rPr>
          <w:b/>
          <w:bCs/>
          <w:sz w:val="22"/>
          <w:szCs w:val="22"/>
          <w:lang w:val="sr-Latn-ME"/>
        </w:rPr>
      </w:pPr>
    </w:p>
    <w:p w14:paraId="7B380A42" w14:textId="7BE562AB" w:rsidR="00826646" w:rsidRPr="00B14EBB" w:rsidRDefault="00545126" w:rsidP="00545126">
      <w:pPr>
        <w:widowControl w:val="0"/>
        <w:tabs>
          <w:tab w:val="left" w:pos="540"/>
          <w:tab w:val="left" w:pos="569"/>
        </w:tabs>
        <w:ind w:left="540" w:hanging="540"/>
        <w:jc w:val="both"/>
        <w:rPr>
          <w:bCs/>
          <w:sz w:val="22"/>
          <w:szCs w:val="22"/>
          <w:lang w:val="sr-Latn-ME"/>
        </w:rPr>
      </w:pPr>
      <w:r>
        <w:rPr>
          <w:bCs/>
          <w:sz w:val="22"/>
          <w:szCs w:val="22"/>
          <w:lang w:val="sr-Latn-ME"/>
        </w:rPr>
        <w:t>April</w:t>
      </w:r>
      <w:r w:rsidR="00826646" w:rsidRPr="00B14EBB">
        <w:rPr>
          <w:bCs/>
          <w:sz w:val="22"/>
          <w:szCs w:val="22"/>
          <w:lang w:val="sr-Latn-ME"/>
        </w:rPr>
        <w:t>, 202</w:t>
      </w:r>
      <w:r w:rsidR="00C633C5" w:rsidRPr="00B14EBB">
        <w:rPr>
          <w:bCs/>
          <w:sz w:val="22"/>
          <w:szCs w:val="22"/>
          <w:lang w:val="sr-Latn-ME"/>
        </w:rPr>
        <w:t>5</w:t>
      </w:r>
      <w:r w:rsidR="00826646" w:rsidRPr="00B14EBB">
        <w:rPr>
          <w:bCs/>
          <w:sz w:val="22"/>
          <w:szCs w:val="22"/>
          <w:lang w:val="sr-Latn-ME"/>
        </w:rPr>
        <w:t>. godine</w:t>
      </w:r>
    </w:p>
    <w:p w14:paraId="500F595C" w14:textId="4BDAB524" w:rsidR="003F6A59" w:rsidRPr="00B14EBB" w:rsidRDefault="003F6A59" w:rsidP="00545126">
      <w:pPr>
        <w:widowControl w:val="0"/>
        <w:jc w:val="both"/>
        <w:rPr>
          <w:bCs/>
          <w:sz w:val="22"/>
          <w:szCs w:val="22"/>
          <w:lang w:val="sr-Latn-ME"/>
        </w:rPr>
      </w:pPr>
    </w:p>
    <w:p w14:paraId="206400BE" w14:textId="3F0FFB1A" w:rsidR="005C7D99" w:rsidRPr="00B14EBB" w:rsidRDefault="005C7D99" w:rsidP="00545126">
      <w:pPr>
        <w:widowControl w:val="0"/>
        <w:jc w:val="both"/>
        <w:rPr>
          <w:sz w:val="22"/>
          <w:szCs w:val="22"/>
          <w:lang w:val="sr-Latn-ME"/>
        </w:rPr>
      </w:pPr>
    </w:p>
    <w:sectPr w:rsidR="005C7D99" w:rsidRPr="00B14EBB" w:rsidSect="00545126">
      <w:headerReference w:type="even" r:id="rId12"/>
      <w:headerReference w:type="default" r:id="rId13"/>
      <w:footerReference w:type="even" r:id="rId14"/>
      <w:footerReference w:type="default" r:id="rId15"/>
      <w:headerReference w:type="first" r:id="rId16"/>
      <w:footerReference w:type="first" r:id="rId17"/>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C6572" w14:textId="77777777" w:rsidR="003F3EF1" w:rsidRDefault="003F3EF1">
      <w:r>
        <w:separator/>
      </w:r>
    </w:p>
  </w:endnote>
  <w:endnote w:type="continuationSeparator" w:id="0">
    <w:p w14:paraId="43A4F1CD" w14:textId="77777777" w:rsidR="003F3EF1" w:rsidRDefault="003F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BoldMT">
    <w:altName w:val="MS Mincho"/>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05D4" w14:textId="77777777" w:rsidR="00B14EBB" w:rsidRDefault="00B1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5965" w14:textId="3EF2F5F7" w:rsidR="00B14EBB" w:rsidRPr="00B23F69" w:rsidRDefault="00B14EB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E68B0">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E68B0">
      <w:rPr>
        <w:noProof/>
        <w:sz w:val="22"/>
        <w:szCs w:val="22"/>
      </w:rPr>
      <w:t>20</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87A1" w14:textId="77777777" w:rsidR="00B14EBB" w:rsidRDefault="00B1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4081" w14:textId="77777777" w:rsidR="003F3EF1" w:rsidRDefault="003F3EF1">
      <w:r>
        <w:separator/>
      </w:r>
    </w:p>
  </w:footnote>
  <w:footnote w:type="continuationSeparator" w:id="0">
    <w:p w14:paraId="1685B4DB" w14:textId="77777777" w:rsidR="003F3EF1" w:rsidRDefault="003F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1815" w14:textId="77777777" w:rsidR="00B14EBB" w:rsidRDefault="00B14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8819" w14:textId="28EE4C20" w:rsidR="00B14EBB" w:rsidRDefault="00B14EBB">
    <w:pPr>
      <w:pStyle w:val="Header"/>
    </w:pPr>
    <w:r>
      <w:rPr>
        <w:noProof/>
        <w:lang w:val="sr-Latn-ME" w:eastAsia="sr-Latn-ME"/>
      </w:rPr>
      <mc:AlternateContent>
        <mc:Choice Requires="wps">
          <w:drawing>
            <wp:anchor distT="0" distB="0" distL="114300" distR="114300" simplePos="0" relativeHeight="251659264" behindDoc="0" locked="0" layoutInCell="0" allowOverlap="1" wp14:anchorId="58EB2FC8" wp14:editId="6F5C1864">
              <wp:simplePos x="0" y="0"/>
              <wp:positionH relativeFrom="page">
                <wp:posOffset>0</wp:posOffset>
              </wp:positionH>
              <wp:positionV relativeFrom="page">
                <wp:posOffset>190500</wp:posOffset>
              </wp:positionV>
              <wp:extent cx="7562215" cy="273050"/>
              <wp:effectExtent l="0" t="0" r="0" b="12700"/>
              <wp:wrapNone/>
              <wp:docPr id="3" name="MSIPCMb0a647ef8cfb6ced11a4f6a3"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516C4" w14:textId="17642972" w:rsidR="00B14EBB" w:rsidRPr="001D02A9" w:rsidRDefault="00B14EBB" w:rsidP="001D02A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8EB2FC8" id="_x0000_t202" coordsize="21600,21600" o:spt="202" path="m,l,21600r21600,l21600,xe">
              <v:stroke joinstyle="miter"/>
              <v:path gradientshapeok="t" o:connecttype="rect"/>
            </v:shapetype>
            <v:shape id="MSIPCMb0a647ef8cfb6ced11a4f6a3" o:spid="_x0000_s1026" type="#_x0000_t202" alt="{&quot;HashCode&quot;:478424116,&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" o:allowincell="f" filled="f" stroked="f" strokeweight=".5pt">
              <v:textbox inset=",0,20pt,0">
                <w:txbxContent>
                  <w:p w14:paraId="55D516C4" w14:textId="17642972" w:rsidR="00B14EBB" w:rsidRPr="001D02A9" w:rsidRDefault="00B14EBB" w:rsidP="001D02A9">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706E" w14:textId="77777777" w:rsidR="00B14EBB" w:rsidRDefault="00B14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5.75pt;height:13.5pt;visibility:visible;mso-wrap-style:square" o:bullet="t">
        <v:imagedata r:id="rId1" o:title=""/>
      </v:shape>
    </w:pict>
  </w:numPicBullet>
  <w:abstractNum w:abstractNumId="0" w15:restartNumberingAfterBreak="0">
    <w:nsid w:val="01512C00"/>
    <w:multiLevelType w:val="hybridMultilevel"/>
    <w:tmpl w:val="629E9D1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87C04C5"/>
    <w:multiLevelType w:val="hybridMultilevel"/>
    <w:tmpl w:val="88F49A90"/>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BA1"/>
    <w:rsid w:val="000176CA"/>
    <w:rsid w:val="00020E70"/>
    <w:rsid w:val="00026904"/>
    <w:rsid w:val="00033469"/>
    <w:rsid w:val="00036196"/>
    <w:rsid w:val="00036FA0"/>
    <w:rsid w:val="0003793F"/>
    <w:rsid w:val="00045130"/>
    <w:rsid w:val="00057E35"/>
    <w:rsid w:val="00075E28"/>
    <w:rsid w:val="00076726"/>
    <w:rsid w:val="00080303"/>
    <w:rsid w:val="00083D02"/>
    <w:rsid w:val="000A009A"/>
    <w:rsid w:val="000A2FFE"/>
    <w:rsid w:val="000A3F58"/>
    <w:rsid w:val="000B5140"/>
    <w:rsid w:val="000D2343"/>
    <w:rsid w:val="000D3449"/>
    <w:rsid w:val="000D425A"/>
    <w:rsid w:val="000D60CC"/>
    <w:rsid w:val="000E2084"/>
    <w:rsid w:val="000E6F55"/>
    <w:rsid w:val="000F1226"/>
    <w:rsid w:val="000F77FA"/>
    <w:rsid w:val="00104AC7"/>
    <w:rsid w:val="001067E1"/>
    <w:rsid w:val="00107BF7"/>
    <w:rsid w:val="00126F53"/>
    <w:rsid w:val="00136A0D"/>
    <w:rsid w:val="0014514D"/>
    <w:rsid w:val="0014766D"/>
    <w:rsid w:val="001536CC"/>
    <w:rsid w:val="00154573"/>
    <w:rsid w:val="00155BAC"/>
    <w:rsid w:val="001629FE"/>
    <w:rsid w:val="00162F4A"/>
    <w:rsid w:val="001A3FBA"/>
    <w:rsid w:val="001A5518"/>
    <w:rsid w:val="001B1C6A"/>
    <w:rsid w:val="001C0F08"/>
    <w:rsid w:val="001C1263"/>
    <w:rsid w:val="001C1417"/>
    <w:rsid w:val="001C42A7"/>
    <w:rsid w:val="001D02A9"/>
    <w:rsid w:val="001E390B"/>
    <w:rsid w:val="001F42FB"/>
    <w:rsid w:val="001F719A"/>
    <w:rsid w:val="002031B3"/>
    <w:rsid w:val="00207320"/>
    <w:rsid w:val="00212897"/>
    <w:rsid w:val="00215931"/>
    <w:rsid w:val="00224C91"/>
    <w:rsid w:val="00227BDB"/>
    <w:rsid w:val="00234CB1"/>
    <w:rsid w:val="002352F8"/>
    <w:rsid w:val="002510A5"/>
    <w:rsid w:val="00254A0A"/>
    <w:rsid w:val="00266046"/>
    <w:rsid w:val="0028045D"/>
    <w:rsid w:val="00280F21"/>
    <w:rsid w:val="002846DB"/>
    <w:rsid w:val="00284CCD"/>
    <w:rsid w:val="002A14E9"/>
    <w:rsid w:val="002C6637"/>
    <w:rsid w:val="002D1647"/>
    <w:rsid w:val="002E0135"/>
    <w:rsid w:val="002E37A5"/>
    <w:rsid w:val="00303CFA"/>
    <w:rsid w:val="0030430D"/>
    <w:rsid w:val="00310F03"/>
    <w:rsid w:val="003145DB"/>
    <w:rsid w:val="003247D2"/>
    <w:rsid w:val="003445C1"/>
    <w:rsid w:val="00355B61"/>
    <w:rsid w:val="003566B1"/>
    <w:rsid w:val="00362686"/>
    <w:rsid w:val="003700A4"/>
    <w:rsid w:val="00371510"/>
    <w:rsid w:val="003768F2"/>
    <w:rsid w:val="00396DFD"/>
    <w:rsid w:val="003A7059"/>
    <w:rsid w:val="003A7AAD"/>
    <w:rsid w:val="003B0325"/>
    <w:rsid w:val="003B7A36"/>
    <w:rsid w:val="003C17AB"/>
    <w:rsid w:val="003C3AFE"/>
    <w:rsid w:val="003C7823"/>
    <w:rsid w:val="003D7F81"/>
    <w:rsid w:val="003E1DCC"/>
    <w:rsid w:val="003F11A1"/>
    <w:rsid w:val="003F3EF1"/>
    <w:rsid w:val="003F6A59"/>
    <w:rsid w:val="004065C8"/>
    <w:rsid w:val="004109FA"/>
    <w:rsid w:val="00411B4B"/>
    <w:rsid w:val="00415BEE"/>
    <w:rsid w:val="004254E9"/>
    <w:rsid w:val="00427F85"/>
    <w:rsid w:val="00436F42"/>
    <w:rsid w:val="004378B4"/>
    <w:rsid w:val="00447302"/>
    <w:rsid w:val="00451314"/>
    <w:rsid w:val="00452E9D"/>
    <w:rsid w:val="004534C7"/>
    <w:rsid w:val="00461770"/>
    <w:rsid w:val="004671AA"/>
    <w:rsid w:val="00471DF8"/>
    <w:rsid w:val="00480FB1"/>
    <w:rsid w:val="00483928"/>
    <w:rsid w:val="004A0EF8"/>
    <w:rsid w:val="004C331F"/>
    <w:rsid w:val="004D6103"/>
    <w:rsid w:val="004E3BCE"/>
    <w:rsid w:val="004E70AD"/>
    <w:rsid w:val="004F0143"/>
    <w:rsid w:val="004F0E97"/>
    <w:rsid w:val="004F17E2"/>
    <w:rsid w:val="00501DD1"/>
    <w:rsid w:val="00515C21"/>
    <w:rsid w:val="00530BD7"/>
    <w:rsid w:val="00535B30"/>
    <w:rsid w:val="00545126"/>
    <w:rsid w:val="00545CD2"/>
    <w:rsid w:val="005476F3"/>
    <w:rsid w:val="0056792E"/>
    <w:rsid w:val="0057163E"/>
    <w:rsid w:val="00572527"/>
    <w:rsid w:val="00573E40"/>
    <w:rsid w:val="00576348"/>
    <w:rsid w:val="005A0B2E"/>
    <w:rsid w:val="005A10FA"/>
    <w:rsid w:val="005A23D2"/>
    <w:rsid w:val="005A36CB"/>
    <w:rsid w:val="005B49B8"/>
    <w:rsid w:val="005C0741"/>
    <w:rsid w:val="005C5EF4"/>
    <w:rsid w:val="005C7D99"/>
    <w:rsid w:val="005D5EBF"/>
    <w:rsid w:val="005E2E0B"/>
    <w:rsid w:val="005E67AD"/>
    <w:rsid w:val="005E68B0"/>
    <w:rsid w:val="005E7A7D"/>
    <w:rsid w:val="00602457"/>
    <w:rsid w:val="00644FC3"/>
    <w:rsid w:val="00646BD1"/>
    <w:rsid w:val="006561C2"/>
    <w:rsid w:val="00671CB3"/>
    <w:rsid w:val="00674BAF"/>
    <w:rsid w:val="00682200"/>
    <w:rsid w:val="00692BF6"/>
    <w:rsid w:val="006A1351"/>
    <w:rsid w:val="006A1497"/>
    <w:rsid w:val="006B0BD1"/>
    <w:rsid w:val="006B5404"/>
    <w:rsid w:val="006C05DA"/>
    <w:rsid w:val="006D20A5"/>
    <w:rsid w:val="006D37BF"/>
    <w:rsid w:val="006F5928"/>
    <w:rsid w:val="00702E22"/>
    <w:rsid w:val="00716515"/>
    <w:rsid w:val="0072020E"/>
    <w:rsid w:val="0075086F"/>
    <w:rsid w:val="00754902"/>
    <w:rsid w:val="00786071"/>
    <w:rsid w:val="007A3ECB"/>
    <w:rsid w:val="007C67A0"/>
    <w:rsid w:val="007D7BB3"/>
    <w:rsid w:val="007E18D5"/>
    <w:rsid w:val="007E31E9"/>
    <w:rsid w:val="007F05E3"/>
    <w:rsid w:val="007F43CC"/>
    <w:rsid w:val="00801304"/>
    <w:rsid w:val="008018B3"/>
    <w:rsid w:val="00824AB9"/>
    <w:rsid w:val="008252F4"/>
    <w:rsid w:val="00826646"/>
    <w:rsid w:val="00836B35"/>
    <w:rsid w:val="00843BDE"/>
    <w:rsid w:val="00854810"/>
    <w:rsid w:val="0087588C"/>
    <w:rsid w:val="0089376E"/>
    <w:rsid w:val="00896360"/>
    <w:rsid w:val="0089705C"/>
    <w:rsid w:val="008A3D46"/>
    <w:rsid w:val="008A6D43"/>
    <w:rsid w:val="008B491E"/>
    <w:rsid w:val="008C1A28"/>
    <w:rsid w:val="008C2E98"/>
    <w:rsid w:val="008C4798"/>
    <w:rsid w:val="008D1ECF"/>
    <w:rsid w:val="008E49BD"/>
    <w:rsid w:val="008E53E9"/>
    <w:rsid w:val="008E5771"/>
    <w:rsid w:val="008F4ACF"/>
    <w:rsid w:val="00915915"/>
    <w:rsid w:val="00924166"/>
    <w:rsid w:val="00940B9B"/>
    <w:rsid w:val="00953573"/>
    <w:rsid w:val="0095676E"/>
    <w:rsid w:val="00956983"/>
    <w:rsid w:val="00963CF0"/>
    <w:rsid w:val="00964BB1"/>
    <w:rsid w:val="009775D9"/>
    <w:rsid w:val="00997175"/>
    <w:rsid w:val="009A1847"/>
    <w:rsid w:val="009B062A"/>
    <w:rsid w:val="009E7C6F"/>
    <w:rsid w:val="009F1793"/>
    <w:rsid w:val="009F2D23"/>
    <w:rsid w:val="009F70A4"/>
    <w:rsid w:val="009F783C"/>
    <w:rsid w:val="00A006E5"/>
    <w:rsid w:val="00A01D69"/>
    <w:rsid w:val="00A02335"/>
    <w:rsid w:val="00A36A0D"/>
    <w:rsid w:val="00A42493"/>
    <w:rsid w:val="00A46C9A"/>
    <w:rsid w:val="00A619F3"/>
    <w:rsid w:val="00A62A73"/>
    <w:rsid w:val="00A66610"/>
    <w:rsid w:val="00A667D8"/>
    <w:rsid w:val="00A87FF6"/>
    <w:rsid w:val="00A952BE"/>
    <w:rsid w:val="00AA0A3B"/>
    <w:rsid w:val="00AA0E81"/>
    <w:rsid w:val="00AA2763"/>
    <w:rsid w:val="00AA33B6"/>
    <w:rsid w:val="00AB0B9F"/>
    <w:rsid w:val="00AB50CA"/>
    <w:rsid w:val="00AB6D64"/>
    <w:rsid w:val="00AC53CE"/>
    <w:rsid w:val="00AC55D7"/>
    <w:rsid w:val="00AD2193"/>
    <w:rsid w:val="00AF19F4"/>
    <w:rsid w:val="00AF2AC7"/>
    <w:rsid w:val="00AF74CE"/>
    <w:rsid w:val="00B14EBB"/>
    <w:rsid w:val="00B208DB"/>
    <w:rsid w:val="00B23F69"/>
    <w:rsid w:val="00B27A53"/>
    <w:rsid w:val="00B31671"/>
    <w:rsid w:val="00B500F1"/>
    <w:rsid w:val="00B53A32"/>
    <w:rsid w:val="00B60619"/>
    <w:rsid w:val="00B66A70"/>
    <w:rsid w:val="00B67366"/>
    <w:rsid w:val="00B80EE1"/>
    <w:rsid w:val="00B84135"/>
    <w:rsid w:val="00BC0CCC"/>
    <w:rsid w:val="00C0177F"/>
    <w:rsid w:val="00C04D34"/>
    <w:rsid w:val="00C05DF8"/>
    <w:rsid w:val="00C06864"/>
    <w:rsid w:val="00C10F54"/>
    <w:rsid w:val="00C23D8D"/>
    <w:rsid w:val="00C37AA3"/>
    <w:rsid w:val="00C37FD7"/>
    <w:rsid w:val="00C43419"/>
    <w:rsid w:val="00C44CF3"/>
    <w:rsid w:val="00C61BE0"/>
    <w:rsid w:val="00C625CE"/>
    <w:rsid w:val="00C633C5"/>
    <w:rsid w:val="00C6707E"/>
    <w:rsid w:val="00C67518"/>
    <w:rsid w:val="00C70B0E"/>
    <w:rsid w:val="00C773CA"/>
    <w:rsid w:val="00C83785"/>
    <w:rsid w:val="00C87FA8"/>
    <w:rsid w:val="00C94C0D"/>
    <w:rsid w:val="00CA1FEB"/>
    <w:rsid w:val="00CD1AD1"/>
    <w:rsid w:val="00CD3931"/>
    <w:rsid w:val="00CD4F85"/>
    <w:rsid w:val="00CD6F02"/>
    <w:rsid w:val="00CE246D"/>
    <w:rsid w:val="00CF07A0"/>
    <w:rsid w:val="00CF3E03"/>
    <w:rsid w:val="00D0082A"/>
    <w:rsid w:val="00D21455"/>
    <w:rsid w:val="00D27BDF"/>
    <w:rsid w:val="00D3050B"/>
    <w:rsid w:val="00D47634"/>
    <w:rsid w:val="00D709B3"/>
    <w:rsid w:val="00D74CD2"/>
    <w:rsid w:val="00DA2ED6"/>
    <w:rsid w:val="00DB1D55"/>
    <w:rsid w:val="00DB76B8"/>
    <w:rsid w:val="00DC2EA1"/>
    <w:rsid w:val="00DD6AAF"/>
    <w:rsid w:val="00DD6EC0"/>
    <w:rsid w:val="00DE3F5C"/>
    <w:rsid w:val="00DF1D20"/>
    <w:rsid w:val="00E004B5"/>
    <w:rsid w:val="00E04DEF"/>
    <w:rsid w:val="00E179B7"/>
    <w:rsid w:val="00E21324"/>
    <w:rsid w:val="00E246B9"/>
    <w:rsid w:val="00E24715"/>
    <w:rsid w:val="00E31FEA"/>
    <w:rsid w:val="00E34038"/>
    <w:rsid w:val="00E43D38"/>
    <w:rsid w:val="00E444AC"/>
    <w:rsid w:val="00E45169"/>
    <w:rsid w:val="00E47787"/>
    <w:rsid w:val="00E51C30"/>
    <w:rsid w:val="00E64180"/>
    <w:rsid w:val="00E7235D"/>
    <w:rsid w:val="00E74AEE"/>
    <w:rsid w:val="00E868E5"/>
    <w:rsid w:val="00E9237A"/>
    <w:rsid w:val="00E939FA"/>
    <w:rsid w:val="00EA5765"/>
    <w:rsid w:val="00EA7C8D"/>
    <w:rsid w:val="00EC2532"/>
    <w:rsid w:val="00ED7812"/>
    <w:rsid w:val="00EF3B86"/>
    <w:rsid w:val="00F013F1"/>
    <w:rsid w:val="00F1361B"/>
    <w:rsid w:val="00F22796"/>
    <w:rsid w:val="00F317E9"/>
    <w:rsid w:val="00F34554"/>
    <w:rsid w:val="00F35B68"/>
    <w:rsid w:val="00F45F77"/>
    <w:rsid w:val="00F5167F"/>
    <w:rsid w:val="00F52258"/>
    <w:rsid w:val="00F66112"/>
    <w:rsid w:val="00F72FA1"/>
    <w:rsid w:val="00F8570A"/>
    <w:rsid w:val="00F90A53"/>
    <w:rsid w:val="00F91C7B"/>
    <w:rsid w:val="00FB6EFD"/>
    <w:rsid w:val="00FB7C01"/>
    <w:rsid w:val="00FE54FD"/>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F58E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5">
    <w:name w:val="heading 5"/>
    <w:basedOn w:val="Normal"/>
    <w:next w:val="Normal"/>
    <w:link w:val="Heading5Char"/>
    <w:semiHidden/>
    <w:unhideWhenUsed/>
    <w:qFormat/>
    <w:rsid w:val="006C05D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6C05DA"/>
    <w:rPr>
      <w:sz w:val="24"/>
      <w:szCs w:val="24"/>
      <w:lang w:val="en-US" w:eastAsia="en-US"/>
    </w:rPr>
  </w:style>
  <w:style w:type="paragraph" w:styleId="BodyText">
    <w:name w:val="Body Text"/>
    <w:basedOn w:val="Normal"/>
    <w:link w:val="BodyTextChar"/>
    <w:uiPriority w:val="99"/>
    <w:unhideWhenUsed/>
    <w:rsid w:val="006C05DA"/>
    <w:pPr>
      <w:autoSpaceDE w:val="0"/>
      <w:autoSpaceDN w:val="0"/>
      <w:adjustRightInd w:val="0"/>
    </w:pPr>
    <w:rPr>
      <w:sz w:val="20"/>
      <w:szCs w:val="20"/>
      <w:lang w:val="sr-Latn-CS" w:eastAsia="sr-Latn-CS"/>
    </w:rPr>
  </w:style>
  <w:style w:type="character" w:customStyle="1" w:styleId="BodyTextChar">
    <w:name w:val="Body Text Char"/>
    <w:basedOn w:val="DefaultParagraphFont"/>
    <w:link w:val="BodyText"/>
    <w:uiPriority w:val="99"/>
    <w:rsid w:val="006C05DA"/>
    <w:rPr>
      <w:lang w:val="sr-Latn-CS" w:eastAsia="sr-Latn-CS"/>
    </w:rPr>
  </w:style>
  <w:style w:type="paragraph" w:customStyle="1" w:styleId="Default">
    <w:name w:val="Default"/>
    <w:qFormat/>
    <w:rsid w:val="006C05DA"/>
    <w:pPr>
      <w:suppressAutoHyphens/>
    </w:pPr>
    <w:rPr>
      <w:lang w:val="en-US" w:eastAsia="en-US"/>
    </w:rPr>
  </w:style>
  <w:style w:type="character" w:customStyle="1" w:styleId="Heading5Char">
    <w:name w:val="Heading 5 Char"/>
    <w:basedOn w:val="DefaultParagraphFont"/>
    <w:link w:val="Heading5"/>
    <w:semiHidden/>
    <w:rsid w:val="006C05DA"/>
    <w:rPr>
      <w:rFonts w:asciiTheme="majorHAnsi" w:eastAsiaTheme="majorEastAsia" w:hAnsiTheme="majorHAnsi" w:cstheme="majorBidi"/>
      <w:color w:val="2E74B5" w:themeColor="accent1" w:themeShade="BF"/>
      <w:sz w:val="24"/>
      <w:szCs w:val="24"/>
      <w:lang w:val="en-US" w:eastAsia="en-US"/>
    </w:rPr>
  </w:style>
  <w:style w:type="paragraph" w:styleId="BodyText2">
    <w:name w:val="Body Text 2"/>
    <w:basedOn w:val="Normal"/>
    <w:link w:val="BodyText2Char"/>
    <w:rsid w:val="006C05DA"/>
    <w:pPr>
      <w:spacing w:after="120" w:line="480" w:lineRule="auto"/>
    </w:pPr>
  </w:style>
  <w:style w:type="character" w:customStyle="1" w:styleId="BodyText2Char">
    <w:name w:val="Body Text 2 Char"/>
    <w:basedOn w:val="DefaultParagraphFont"/>
    <w:link w:val="BodyText2"/>
    <w:rsid w:val="006C05DA"/>
    <w:rPr>
      <w:sz w:val="24"/>
      <w:szCs w:val="24"/>
      <w:lang w:val="en-US" w:eastAsia="en-US"/>
    </w:rPr>
  </w:style>
  <w:style w:type="paragraph" w:styleId="ListParagraph">
    <w:name w:val="List Paragraph"/>
    <w:basedOn w:val="Normal"/>
    <w:uiPriority w:val="34"/>
    <w:qFormat/>
    <w:rsid w:val="006C05DA"/>
    <w:pPr>
      <w:tabs>
        <w:tab w:val="left" w:pos="284"/>
      </w:tabs>
      <w:ind w:left="720"/>
      <w:contextualSpacing/>
      <w:jc w:val="both"/>
    </w:pPr>
    <w:rPr>
      <w:rFonts w:ascii="Humanist777" w:hAnsi="Humanist777"/>
    </w:rPr>
  </w:style>
  <w:style w:type="paragraph" w:styleId="Revision">
    <w:name w:val="Revision"/>
    <w:hidden/>
    <w:uiPriority w:val="99"/>
    <w:semiHidden/>
    <w:rsid w:val="000A2FF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9214-E65A-4A51-ACE8-98D6A8FC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9627</Words>
  <Characters>54880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64379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2023-02-09T08:16:00Z</cp:lastPrinted>
  <dcterms:created xsi:type="dcterms:W3CDTF">2025-03-21T10:08:00Z</dcterms:created>
  <dcterms:modified xsi:type="dcterms:W3CDTF">2025-04-30T11:38:00Z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2023-03-16T09:21:45Z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23deda10-2543-4c68-b8a2-33d3284b7135</vt:lpwstr>
  </property>
  <property fmtid="{D5CDD505-2E9C-101B-9397-08002B2CF9AE}" pid="9" name="MSIP_Label_e67a70be-9428-4198-8dbd-5dd218ff11f4_ContentBits">
    <vt:lpwstr>1</vt:lpwstr>
  </property>
</Properties>
</file>